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33790" w14:textId="77777777" w:rsidR="0048364F" w:rsidRPr="0091033A" w:rsidRDefault="00193461" w:rsidP="0020300C">
      <w:pPr>
        <w:rPr>
          <w:sz w:val="28"/>
        </w:rPr>
      </w:pPr>
      <w:r w:rsidRPr="0091033A">
        <w:rPr>
          <w:noProof/>
          <w:lang w:eastAsia="en-AU"/>
        </w:rPr>
        <w:drawing>
          <wp:inline distT="0" distB="0" distL="0" distR="0" wp14:anchorId="6E9DEC53" wp14:editId="3B80257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E176FBF" w14:textId="77777777" w:rsidR="0048364F" w:rsidRPr="0091033A" w:rsidRDefault="0048364F" w:rsidP="0048364F">
      <w:pPr>
        <w:rPr>
          <w:sz w:val="19"/>
        </w:rPr>
      </w:pPr>
    </w:p>
    <w:p w14:paraId="7426DA76" w14:textId="77777777" w:rsidR="0048364F" w:rsidRPr="0091033A" w:rsidRDefault="003F678D" w:rsidP="0048364F">
      <w:pPr>
        <w:pStyle w:val="ShortT"/>
      </w:pPr>
      <w:r w:rsidRPr="0091033A">
        <w:t xml:space="preserve">National Housing Finance and Investment Corporation Investment Mandate Amendment (Regional First Home Buyer </w:t>
      </w:r>
      <w:r w:rsidR="009C37C2" w:rsidRPr="0091033A">
        <w:t>Guarantee</w:t>
      </w:r>
      <w:r w:rsidRPr="0091033A">
        <w:t xml:space="preserve">) </w:t>
      </w:r>
      <w:r w:rsidR="003F293C" w:rsidRPr="0091033A">
        <w:t>Direction 2</w:t>
      </w:r>
      <w:r w:rsidRPr="0091033A">
        <w:t>022</w:t>
      </w:r>
    </w:p>
    <w:p w14:paraId="1197C62C" w14:textId="77777777" w:rsidR="00D36BB5" w:rsidRPr="00001A63" w:rsidRDefault="00D36BB5" w:rsidP="008E4315">
      <w:pPr>
        <w:pStyle w:val="SignCoverPageStart"/>
        <w:rPr>
          <w:szCs w:val="22"/>
        </w:rPr>
      </w:pPr>
      <w:r w:rsidRPr="00001A63">
        <w:rPr>
          <w:szCs w:val="22"/>
        </w:rPr>
        <w:t xml:space="preserve">I, </w:t>
      </w:r>
      <w:r>
        <w:rPr>
          <w:szCs w:val="22"/>
        </w:rPr>
        <w:t>Julie Collins</w:t>
      </w:r>
      <w:r w:rsidRPr="00001A63">
        <w:rPr>
          <w:szCs w:val="22"/>
        </w:rPr>
        <w:t xml:space="preserve">, </w:t>
      </w:r>
      <w:r w:rsidRPr="00D36BB5">
        <w:rPr>
          <w:szCs w:val="22"/>
        </w:rPr>
        <w:t>Minister for Housing, Minister for Homelessness, and Minister for Small Business</w:t>
      </w:r>
      <w:r w:rsidRPr="00001A63">
        <w:rPr>
          <w:szCs w:val="22"/>
        </w:rPr>
        <w:t xml:space="preserve">, make the following </w:t>
      </w:r>
      <w:r>
        <w:rPr>
          <w:szCs w:val="22"/>
        </w:rPr>
        <w:t>d</w:t>
      </w:r>
      <w:r w:rsidR="00FA4EB4">
        <w:rPr>
          <w:szCs w:val="22"/>
        </w:rPr>
        <w:t>irection</w:t>
      </w:r>
      <w:r w:rsidRPr="00001A63">
        <w:rPr>
          <w:szCs w:val="22"/>
        </w:rPr>
        <w:t>.</w:t>
      </w:r>
    </w:p>
    <w:p w14:paraId="069A4FA5" w14:textId="2EFCC962" w:rsidR="00D36BB5" w:rsidRPr="00001A63" w:rsidRDefault="00D36BB5" w:rsidP="008E4315">
      <w:pPr>
        <w:keepNext/>
        <w:spacing w:before="300" w:line="240" w:lineRule="atLeast"/>
        <w:ind w:right="397"/>
        <w:jc w:val="both"/>
        <w:rPr>
          <w:szCs w:val="22"/>
        </w:rPr>
      </w:pPr>
      <w:r>
        <w:rPr>
          <w:szCs w:val="22"/>
        </w:rPr>
        <w:t>Dated</w:t>
      </w:r>
      <w:r w:rsidRPr="00001A63">
        <w:rPr>
          <w:szCs w:val="22"/>
        </w:rPr>
        <w:tab/>
      </w:r>
      <w:r w:rsidR="00370AEA">
        <w:rPr>
          <w:szCs w:val="22"/>
        </w:rPr>
        <w:t xml:space="preserve">     23 September </w:t>
      </w:r>
      <w:r w:rsidRPr="00001A63">
        <w:rPr>
          <w:szCs w:val="22"/>
        </w:rPr>
        <w:tab/>
      </w:r>
      <w:r w:rsidRPr="00001A63">
        <w:rPr>
          <w:szCs w:val="22"/>
        </w:rPr>
        <w:fldChar w:fldCharType="begin"/>
      </w:r>
      <w:r w:rsidRPr="00001A63">
        <w:rPr>
          <w:szCs w:val="22"/>
        </w:rPr>
        <w:instrText xml:space="preserve"> DOCPROPERTY  DateMade </w:instrText>
      </w:r>
      <w:r w:rsidRPr="00001A63">
        <w:rPr>
          <w:szCs w:val="22"/>
        </w:rPr>
        <w:fldChar w:fldCharType="separate"/>
      </w:r>
      <w:r w:rsidR="00E91E87">
        <w:rPr>
          <w:szCs w:val="22"/>
        </w:rPr>
        <w:t>2022</w:t>
      </w:r>
      <w:r w:rsidRPr="00001A63">
        <w:rPr>
          <w:szCs w:val="22"/>
        </w:rPr>
        <w:fldChar w:fldCharType="end"/>
      </w:r>
    </w:p>
    <w:p w14:paraId="68EE0F42" w14:textId="77777777" w:rsidR="00D36BB5" w:rsidRPr="00001A63" w:rsidRDefault="00D36BB5" w:rsidP="008E4315">
      <w:pPr>
        <w:keepNext/>
        <w:tabs>
          <w:tab w:val="left" w:pos="3402"/>
        </w:tabs>
        <w:spacing w:before="1440" w:line="300" w:lineRule="atLeast"/>
        <w:ind w:right="397"/>
        <w:rPr>
          <w:szCs w:val="22"/>
        </w:rPr>
      </w:pPr>
      <w:r>
        <w:rPr>
          <w:szCs w:val="22"/>
        </w:rPr>
        <w:t>Julie Collins</w:t>
      </w:r>
    </w:p>
    <w:p w14:paraId="0FCC3829" w14:textId="77777777" w:rsidR="00D36BB5" w:rsidRPr="001F2C7F" w:rsidRDefault="00D36BB5" w:rsidP="00D36BB5">
      <w:pPr>
        <w:pStyle w:val="SignCoverPageEnd"/>
        <w:rPr>
          <w:szCs w:val="22"/>
        </w:rPr>
      </w:pPr>
      <w:r>
        <w:rPr>
          <w:szCs w:val="22"/>
        </w:rPr>
        <w:t>Minister for Housing</w:t>
      </w:r>
      <w:r>
        <w:rPr>
          <w:szCs w:val="22"/>
        </w:rPr>
        <w:br/>
      </w:r>
      <w:r w:rsidRPr="00D36BB5">
        <w:rPr>
          <w:szCs w:val="22"/>
        </w:rPr>
        <w:t>Minister for Homelessness</w:t>
      </w:r>
      <w:r>
        <w:rPr>
          <w:szCs w:val="22"/>
        </w:rPr>
        <w:br/>
      </w:r>
      <w:r w:rsidRPr="00D36BB5">
        <w:rPr>
          <w:szCs w:val="22"/>
        </w:rPr>
        <w:t>Minister for Small Business</w:t>
      </w:r>
    </w:p>
    <w:p w14:paraId="289346ED" w14:textId="77777777" w:rsidR="00D36BB5" w:rsidRDefault="00D36BB5" w:rsidP="008E4315"/>
    <w:p w14:paraId="3514B742" w14:textId="77777777" w:rsidR="0048364F" w:rsidRPr="00CC33B6" w:rsidRDefault="0048364F" w:rsidP="0048364F">
      <w:pPr>
        <w:pStyle w:val="Header"/>
        <w:tabs>
          <w:tab w:val="clear" w:pos="4150"/>
          <w:tab w:val="clear" w:pos="8307"/>
        </w:tabs>
      </w:pPr>
      <w:r w:rsidRPr="00CC33B6">
        <w:rPr>
          <w:rStyle w:val="CharAmSchNo"/>
        </w:rPr>
        <w:t xml:space="preserve"> </w:t>
      </w:r>
      <w:r w:rsidRPr="00CC33B6">
        <w:rPr>
          <w:rStyle w:val="CharAmSchText"/>
        </w:rPr>
        <w:t xml:space="preserve"> </w:t>
      </w:r>
    </w:p>
    <w:p w14:paraId="76C72B8D" w14:textId="77777777" w:rsidR="0048364F" w:rsidRPr="00CC33B6" w:rsidRDefault="0048364F" w:rsidP="0048364F">
      <w:pPr>
        <w:pStyle w:val="Header"/>
        <w:tabs>
          <w:tab w:val="clear" w:pos="4150"/>
          <w:tab w:val="clear" w:pos="8307"/>
        </w:tabs>
      </w:pPr>
      <w:r w:rsidRPr="00CC33B6">
        <w:rPr>
          <w:rStyle w:val="CharAmPartNo"/>
        </w:rPr>
        <w:t xml:space="preserve"> </w:t>
      </w:r>
      <w:r w:rsidRPr="00CC33B6">
        <w:rPr>
          <w:rStyle w:val="CharAmPartText"/>
        </w:rPr>
        <w:t xml:space="preserve"> </w:t>
      </w:r>
    </w:p>
    <w:p w14:paraId="51DEB27D" w14:textId="77777777" w:rsidR="0048364F" w:rsidRPr="0091033A" w:rsidRDefault="0048364F" w:rsidP="0048364F">
      <w:pPr>
        <w:sectPr w:rsidR="0048364F" w:rsidRPr="0091033A" w:rsidSect="00F23FD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67723F66" w14:textId="77777777" w:rsidR="00220A0C" w:rsidRPr="0091033A" w:rsidRDefault="0048364F" w:rsidP="0048364F">
      <w:pPr>
        <w:outlineLvl w:val="0"/>
        <w:rPr>
          <w:sz w:val="36"/>
        </w:rPr>
      </w:pPr>
      <w:r w:rsidRPr="0091033A">
        <w:rPr>
          <w:sz w:val="36"/>
        </w:rPr>
        <w:lastRenderedPageBreak/>
        <w:t>Contents</w:t>
      </w:r>
    </w:p>
    <w:p w14:paraId="24F70BAA" w14:textId="6D63FD93" w:rsidR="00AC6C10" w:rsidRPr="0091033A" w:rsidRDefault="00AC6C10">
      <w:pPr>
        <w:pStyle w:val="TOC5"/>
        <w:rPr>
          <w:rFonts w:asciiTheme="minorHAnsi" w:eastAsiaTheme="minorEastAsia" w:hAnsiTheme="minorHAnsi" w:cstheme="minorBidi"/>
          <w:noProof/>
          <w:kern w:val="0"/>
          <w:sz w:val="22"/>
          <w:szCs w:val="22"/>
        </w:rPr>
      </w:pPr>
      <w:r w:rsidRPr="0091033A">
        <w:fldChar w:fldCharType="begin"/>
      </w:r>
      <w:r w:rsidRPr="0091033A">
        <w:instrText xml:space="preserve"> TOC \o "1-9" </w:instrText>
      </w:r>
      <w:r w:rsidRPr="0091033A">
        <w:fldChar w:fldCharType="separate"/>
      </w:r>
      <w:r w:rsidRPr="0091033A">
        <w:rPr>
          <w:noProof/>
        </w:rPr>
        <w:t>1</w:t>
      </w:r>
      <w:r w:rsidRPr="0091033A">
        <w:rPr>
          <w:noProof/>
        </w:rPr>
        <w:tab/>
        <w:t>Name</w:t>
      </w:r>
      <w:r w:rsidRPr="0091033A">
        <w:rPr>
          <w:noProof/>
        </w:rPr>
        <w:tab/>
      </w:r>
      <w:r w:rsidRPr="0091033A">
        <w:rPr>
          <w:noProof/>
        </w:rPr>
        <w:fldChar w:fldCharType="begin"/>
      </w:r>
      <w:r w:rsidRPr="0091033A">
        <w:rPr>
          <w:noProof/>
        </w:rPr>
        <w:instrText xml:space="preserve"> PAGEREF _Toc111015711 \h </w:instrText>
      </w:r>
      <w:r w:rsidRPr="0091033A">
        <w:rPr>
          <w:noProof/>
        </w:rPr>
      </w:r>
      <w:r w:rsidRPr="0091033A">
        <w:rPr>
          <w:noProof/>
        </w:rPr>
        <w:fldChar w:fldCharType="separate"/>
      </w:r>
      <w:r w:rsidR="003D4FED">
        <w:rPr>
          <w:noProof/>
        </w:rPr>
        <w:t>1</w:t>
      </w:r>
      <w:r w:rsidRPr="0091033A">
        <w:rPr>
          <w:noProof/>
        </w:rPr>
        <w:fldChar w:fldCharType="end"/>
      </w:r>
    </w:p>
    <w:p w14:paraId="348749E8" w14:textId="21800413" w:rsidR="00AC6C10" w:rsidRPr="0091033A" w:rsidRDefault="00AC6C10">
      <w:pPr>
        <w:pStyle w:val="TOC5"/>
        <w:rPr>
          <w:rFonts w:asciiTheme="minorHAnsi" w:eastAsiaTheme="minorEastAsia" w:hAnsiTheme="minorHAnsi" w:cstheme="minorBidi"/>
          <w:noProof/>
          <w:kern w:val="0"/>
          <w:sz w:val="22"/>
          <w:szCs w:val="22"/>
        </w:rPr>
      </w:pPr>
      <w:r w:rsidRPr="0091033A">
        <w:rPr>
          <w:noProof/>
        </w:rPr>
        <w:t>2</w:t>
      </w:r>
      <w:r w:rsidRPr="0091033A">
        <w:rPr>
          <w:noProof/>
        </w:rPr>
        <w:tab/>
        <w:t>Commencement</w:t>
      </w:r>
      <w:r w:rsidRPr="0091033A">
        <w:rPr>
          <w:noProof/>
        </w:rPr>
        <w:tab/>
      </w:r>
      <w:r w:rsidRPr="0091033A">
        <w:rPr>
          <w:noProof/>
        </w:rPr>
        <w:fldChar w:fldCharType="begin"/>
      </w:r>
      <w:r w:rsidRPr="0091033A">
        <w:rPr>
          <w:noProof/>
        </w:rPr>
        <w:instrText xml:space="preserve"> PAGEREF _Toc111015712 \h </w:instrText>
      </w:r>
      <w:r w:rsidRPr="0091033A">
        <w:rPr>
          <w:noProof/>
        </w:rPr>
      </w:r>
      <w:r w:rsidRPr="0091033A">
        <w:rPr>
          <w:noProof/>
        </w:rPr>
        <w:fldChar w:fldCharType="separate"/>
      </w:r>
      <w:r w:rsidR="003D4FED">
        <w:rPr>
          <w:noProof/>
        </w:rPr>
        <w:t>1</w:t>
      </w:r>
      <w:r w:rsidRPr="0091033A">
        <w:rPr>
          <w:noProof/>
        </w:rPr>
        <w:fldChar w:fldCharType="end"/>
      </w:r>
    </w:p>
    <w:p w14:paraId="452B1841" w14:textId="0FC603F3" w:rsidR="00AC6C10" w:rsidRPr="0091033A" w:rsidRDefault="00AC6C10">
      <w:pPr>
        <w:pStyle w:val="TOC5"/>
        <w:rPr>
          <w:rFonts w:asciiTheme="minorHAnsi" w:eastAsiaTheme="minorEastAsia" w:hAnsiTheme="minorHAnsi" w:cstheme="minorBidi"/>
          <w:noProof/>
          <w:kern w:val="0"/>
          <w:sz w:val="22"/>
          <w:szCs w:val="22"/>
        </w:rPr>
      </w:pPr>
      <w:r w:rsidRPr="0091033A">
        <w:rPr>
          <w:noProof/>
        </w:rPr>
        <w:t>3</w:t>
      </w:r>
      <w:r w:rsidRPr="0091033A">
        <w:rPr>
          <w:noProof/>
        </w:rPr>
        <w:tab/>
        <w:t>Authority</w:t>
      </w:r>
      <w:r w:rsidRPr="0091033A">
        <w:rPr>
          <w:noProof/>
        </w:rPr>
        <w:tab/>
      </w:r>
      <w:r w:rsidRPr="0091033A">
        <w:rPr>
          <w:noProof/>
        </w:rPr>
        <w:fldChar w:fldCharType="begin"/>
      </w:r>
      <w:r w:rsidRPr="0091033A">
        <w:rPr>
          <w:noProof/>
        </w:rPr>
        <w:instrText xml:space="preserve"> PAGEREF _Toc111015713 \h </w:instrText>
      </w:r>
      <w:r w:rsidRPr="0091033A">
        <w:rPr>
          <w:noProof/>
        </w:rPr>
      </w:r>
      <w:r w:rsidRPr="0091033A">
        <w:rPr>
          <w:noProof/>
        </w:rPr>
        <w:fldChar w:fldCharType="separate"/>
      </w:r>
      <w:r w:rsidR="003D4FED">
        <w:rPr>
          <w:noProof/>
        </w:rPr>
        <w:t>1</w:t>
      </w:r>
      <w:r w:rsidRPr="0091033A">
        <w:rPr>
          <w:noProof/>
        </w:rPr>
        <w:fldChar w:fldCharType="end"/>
      </w:r>
    </w:p>
    <w:p w14:paraId="214E60B0" w14:textId="17EA2BAC" w:rsidR="00AC6C10" w:rsidRPr="0091033A" w:rsidRDefault="00AC6C10">
      <w:pPr>
        <w:pStyle w:val="TOC5"/>
        <w:rPr>
          <w:rFonts w:asciiTheme="minorHAnsi" w:eastAsiaTheme="minorEastAsia" w:hAnsiTheme="minorHAnsi" w:cstheme="minorBidi"/>
          <w:noProof/>
          <w:kern w:val="0"/>
          <w:sz w:val="22"/>
          <w:szCs w:val="22"/>
        </w:rPr>
      </w:pPr>
      <w:r w:rsidRPr="0091033A">
        <w:rPr>
          <w:noProof/>
        </w:rPr>
        <w:t>4</w:t>
      </w:r>
      <w:r w:rsidRPr="0091033A">
        <w:rPr>
          <w:noProof/>
        </w:rPr>
        <w:tab/>
        <w:t>Schedules</w:t>
      </w:r>
      <w:r w:rsidRPr="0091033A">
        <w:rPr>
          <w:noProof/>
        </w:rPr>
        <w:tab/>
      </w:r>
      <w:r w:rsidRPr="0091033A">
        <w:rPr>
          <w:noProof/>
        </w:rPr>
        <w:fldChar w:fldCharType="begin"/>
      </w:r>
      <w:r w:rsidRPr="0091033A">
        <w:rPr>
          <w:noProof/>
        </w:rPr>
        <w:instrText xml:space="preserve"> PAGEREF _Toc111015714 \h </w:instrText>
      </w:r>
      <w:r w:rsidRPr="0091033A">
        <w:rPr>
          <w:noProof/>
        </w:rPr>
      </w:r>
      <w:r w:rsidRPr="0091033A">
        <w:rPr>
          <w:noProof/>
        </w:rPr>
        <w:fldChar w:fldCharType="separate"/>
      </w:r>
      <w:r w:rsidR="003D4FED">
        <w:rPr>
          <w:noProof/>
        </w:rPr>
        <w:t>1</w:t>
      </w:r>
      <w:r w:rsidRPr="0091033A">
        <w:rPr>
          <w:noProof/>
        </w:rPr>
        <w:fldChar w:fldCharType="end"/>
      </w:r>
    </w:p>
    <w:p w14:paraId="56E00911" w14:textId="6F4B9E0A" w:rsidR="00AC6C10" w:rsidRPr="0091033A" w:rsidRDefault="00AC6C10">
      <w:pPr>
        <w:pStyle w:val="TOC6"/>
        <w:rPr>
          <w:rFonts w:asciiTheme="minorHAnsi" w:eastAsiaTheme="minorEastAsia" w:hAnsiTheme="minorHAnsi" w:cstheme="minorBidi"/>
          <w:b w:val="0"/>
          <w:noProof/>
          <w:kern w:val="0"/>
          <w:sz w:val="22"/>
          <w:szCs w:val="22"/>
        </w:rPr>
      </w:pPr>
      <w:r w:rsidRPr="0091033A">
        <w:rPr>
          <w:noProof/>
        </w:rPr>
        <w:t>Schedule 1—Amendments</w:t>
      </w:r>
      <w:r w:rsidRPr="0091033A">
        <w:rPr>
          <w:b w:val="0"/>
          <w:noProof/>
          <w:sz w:val="18"/>
        </w:rPr>
        <w:tab/>
      </w:r>
      <w:r w:rsidRPr="0091033A">
        <w:rPr>
          <w:b w:val="0"/>
          <w:noProof/>
          <w:sz w:val="18"/>
        </w:rPr>
        <w:fldChar w:fldCharType="begin"/>
      </w:r>
      <w:r w:rsidRPr="0091033A">
        <w:rPr>
          <w:b w:val="0"/>
          <w:noProof/>
          <w:sz w:val="18"/>
        </w:rPr>
        <w:instrText xml:space="preserve"> PAGEREF _Toc111015715 \h </w:instrText>
      </w:r>
      <w:r w:rsidRPr="0091033A">
        <w:rPr>
          <w:b w:val="0"/>
          <w:noProof/>
          <w:sz w:val="18"/>
        </w:rPr>
      </w:r>
      <w:r w:rsidRPr="0091033A">
        <w:rPr>
          <w:b w:val="0"/>
          <w:noProof/>
          <w:sz w:val="18"/>
        </w:rPr>
        <w:fldChar w:fldCharType="separate"/>
      </w:r>
      <w:r w:rsidR="003D4FED">
        <w:rPr>
          <w:b w:val="0"/>
          <w:noProof/>
          <w:sz w:val="18"/>
        </w:rPr>
        <w:t>2</w:t>
      </w:r>
      <w:r w:rsidRPr="0091033A">
        <w:rPr>
          <w:b w:val="0"/>
          <w:noProof/>
          <w:sz w:val="18"/>
        </w:rPr>
        <w:fldChar w:fldCharType="end"/>
      </w:r>
    </w:p>
    <w:p w14:paraId="6BC8B5CD" w14:textId="2DF138D5" w:rsidR="00AC6C10" w:rsidRPr="0091033A" w:rsidRDefault="00AC6C10">
      <w:pPr>
        <w:pStyle w:val="TOC9"/>
        <w:rPr>
          <w:rFonts w:asciiTheme="minorHAnsi" w:eastAsiaTheme="minorEastAsia" w:hAnsiTheme="minorHAnsi" w:cstheme="minorBidi"/>
          <w:i w:val="0"/>
          <w:noProof/>
          <w:kern w:val="0"/>
          <w:sz w:val="22"/>
          <w:szCs w:val="22"/>
        </w:rPr>
      </w:pPr>
      <w:r w:rsidRPr="0091033A">
        <w:rPr>
          <w:noProof/>
          <w:shd w:val="clear" w:color="auto" w:fill="FFFFFF"/>
        </w:rPr>
        <w:t xml:space="preserve">National Housing Finance and Investment Corporation Investment Mandate </w:t>
      </w:r>
      <w:r w:rsidR="003F293C" w:rsidRPr="0091033A">
        <w:rPr>
          <w:noProof/>
          <w:shd w:val="clear" w:color="auto" w:fill="FFFFFF"/>
        </w:rPr>
        <w:t>Direction 2</w:t>
      </w:r>
      <w:r w:rsidRPr="0091033A">
        <w:rPr>
          <w:noProof/>
          <w:shd w:val="clear" w:color="auto" w:fill="FFFFFF"/>
        </w:rPr>
        <w:t>018</w:t>
      </w:r>
      <w:r w:rsidRPr="0091033A">
        <w:rPr>
          <w:i w:val="0"/>
          <w:noProof/>
          <w:sz w:val="18"/>
        </w:rPr>
        <w:tab/>
      </w:r>
      <w:r w:rsidRPr="0091033A">
        <w:rPr>
          <w:i w:val="0"/>
          <w:noProof/>
          <w:sz w:val="18"/>
        </w:rPr>
        <w:fldChar w:fldCharType="begin"/>
      </w:r>
      <w:r w:rsidRPr="0091033A">
        <w:rPr>
          <w:i w:val="0"/>
          <w:noProof/>
          <w:sz w:val="18"/>
        </w:rPr>
        <w:instrText xml:space="preserve"> PAGEREF _Toc111015716 \h </w:instrText>
      </w:r>
      <w:r w:rsidRPr="0091033A">
        <w:rPr>
          <w:i w:val="0"/>
          <w:noProof/>
          <w:sz w:val="18"/>
        </w:rPr>
      </w:r>
      <w:r w:rsidRPr="0091033A">
        <w:rPr>
          <w:i w:val="0"/>
          <w:noProof/>
          <w:sz w:val="18"/>
        </w:rPr>
        <w:fldChar w:fldCharType="separate"/>
      </w:r>
      <w:r w:rsidR="003D4FED">
        <w:rPr>
          <w:i w:val="0"/>
          <w:noProof/>
          <w:sz w:val="18"/>
        </w:rPr>
        <w:t>2</w:t>
      </w:r>
      <w:r w:rsidRPr="0091033A">
        <w:rPr>
          <w:i w:val="0"/>
          <w:noProof/>
          <w:sz w:val="18"/>
        </w:rPr>
        <w:fldChar w:fldCharType="end"/>
      </w:r>
    </w:p>
    <w:p w14:paraId="0DF37781" w14:textId="77777777" w:rsidR="0048364F" w:rsidRPr="0091033A" w:rsidRDefault="00AC6C10" w:rsidP="0048364F">
      <w:r w:rsidRPr="0091033A">
        <w:fldChar w:fldCharType="end"/>
      </w:r>
    </w:p>
    <w:p w14:paraId="503C576B" w14:textId="77777777" w:rsidR="0048364F" w:rsidRPr="0091033A" w:rsidRDefault="0048364F" w:rsidP="0048364F">
      <w:pPr>
        <w:sectPr w:rsidR="0048364F" w:rsidRPr="0091033A" w:rsidSect="00F23FD4">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35F28F9E" w14:textId="77777777" w:rsidR="0048364F" w:rsidRPr="0091033A" w:rsidRDefault="0048364F" w:rsidP="0048364F">
      <w:pPr>
        <w:pStyle w:val="ActHead5"/>
      </w:pPr>
      <w:bookmarkStart w:id="0" w:name="_Toc111015711"/>
      <w:r w:rsidRPr="00CC33B6">
        <w:rPr>
          <w:rStyle w:val="CharSectno"/>
        </w:rPr>
        <w:lastRenderedPageBreak/>
        <w:t>1</w:t>
      </w:r>
      <w:r w:rsidRPr="0091033A">
        <w:t xml:space="preserve">  </w:t>
      </w:r>
      <w:r w:rsidR="004F676E" w:rsidRPr="0091033A">
        <w:t>Name</w:t>
      </w:r>
      <w:bookmarkEnd w:id="0"/>
    </w:p>
    <w:p w14:paraId="357C81E2" w14:textId="77777777" w:rsidR="0048364F" w:rsidRPr="0091033A" w:rsidRDefault="0048364F" w:rsidP="0048364F">
      <w:pPr>
        <w:pStyle w:val="subsection"/>
      </w:pPr>
      <w:r w:rsidRPr="0091033A">
        <w:tab/>
      </w:r>
      <w:r w:rsidRPr="0091033A">
        <w:tab/>
      </w:r>
      <w:r w:rsidR="003F678D" w:rsidRPr="0091033A">
        <w:t>This instrument is</w:t>
      </w:r>
      <w:r w:rsidRPr="0091033A">
        <w:t xml:space="preserve"> the </w:t>
      </w:r>
      <w:r w:rsidR="003F293C" w:rsidRPr="0091033A">
        <w:rPr>
          <w:i/>
          <w:noProof/>
        </w:rPr>
        <w:t>National Housing Finance and Investment Corporation Investment Mandate Amendment (Regional First Home Buyer Guarantee) Direction 2022</w:t>
      </w:r>
      <w:r w:rsidRPr="0091033A">
        <w:t>.</w:t>
      </w:r>
    </w:p>
    <w:p w14:paraId="048F7AA5" w14:textId="77777777" w:rsidR="004F676E" w:rsidRPr="0091033A" w:rsidRDefault="0048364F" w:rsidP="005452CC">
      <w:pPr>
        <w:pStyle w:val="ActHead5"/>
      </w:pPr>
      <w:bookmarkStart w:id="1" w:name="_Toc111015712"/>
      <w:r w:rsidRPr="00CC33B6">
        <w:rPr>
          <w:rStyle w:val="CharSectno"/>
        </w:rPr>
        <w:t>2</w:t>
      </w:r>
      <w:r w:rsidRPr="0091033A">
        <w:t xml:space="preserve">  Commencement</w:t>
      </w:r>
      <w:bookmarkEnd w:id="1"/>
    </w:p>
    <w:p w14:paraId="0F60C09F" w14:textId="77777777" w:rsidR="005452CC" w:rsidRPr="0091033A" w:rsidRDefault="005452CC" w:rsidP="008632EB">
      <w:pPr>
        <w:pStyle w:val="subsection"/>
      </w:pPr>
      <w:r w:rsidRPr="0091033A">
        <w:tab/>
        <w:t>(1)</w:t>
      </w:r>
      <w:r w:rsidRPr="0091033A">
        <w:tab/>
        <w:t xml:space="preserve">Each provision of </w:t>
      </w:r>
      <w:r w:rsidR="003F678D" w:rsidRPr="0091033A">
        <w:t>this instrument</w:t>
      </w:r>
      <w:r w:rsidRPr="0091033A">
        <w:t xml:space="preserve"> specified in column 1 of the table commences, or is taken to have commenced, in accordance with column 2 of the table. Any other statement in column 2 has effect according to its terms.</w:t>
      </w:r>
    </w:p>
    <w:p w14:paraId="0DCA3B7A" w14:textId="77777777" w:rsidR="005452CC" w:rsidRPr="0091033A" w:rsidRDefault="005452CC" w:rsidP="008632E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1033A" w14:paraId="369293EF" w14:textId="77777777" w:rsidTr="00AD7252">
        <w:trPr>
          <w:tblHeader/>
        </w:trPr>
        <w:tc>
          <w:tcPr>
            <w:tcW w:w="8364" w:type="dxa"/>
            <w:gridSpan w:val="3"/>
            <w:tcBorders>
              <w:top w:val="single" w:sz="12" w:space="0" w:color="auto"/>
              <w:bottom w:val="single" w:sz="6" w:space="0" w:color="auto"/>
            </w:tcBorders>
            <w:shd w:val="clear" w:color="auto" w:fill="auto"/>
            <w:hideMark/>
          </w:tcPr>
          <w:p w14:paraId="22587523" w14:textId="77777777" w:rsidR="005452CC" w:rsidRPr="0091033A" w:rsidRDefault="005452CC" w:rsidP="008632EB">
            <w:pPr>
              <w:pStyle w:val="TableHeading"/>
            </w:pPr>
            <w:r w:rsidRPr="0091033A">
              <w:t>Commencement information</w:t>
            </w:r>
          </w:p>
        </w:tc>
      </w:tr>
      <w:tr w:rsidR="005452CC" w:rsidRPr="0091033A" w14:paraId="016CB508" w14:textId="77777777" w:rsidTr="00AD7252">
        <w:trPr>
          <w:tblHeader/>
        </w:trPr>
        <w:tc>
          <w:tcPr>
            <w:tcW w:w="2127" w:type="dxa"/>
            <w:tcBorders>
              <w:top w:val="single" w:sz="6" w:space="0" w:color="auto"/>
              <w:bottom w:val="single" w:sz="6" w:space="0" w:color="auto"/>
            </w:tcBorders>
            <w:shd w:val="clear" w:color="auto" w:fill="auto"/>
            <w:hideMark/>
          </w:tcPr>
          <w:p w14:paraId="304217F5" w14:textId="77777777" w:rsidR="005452CC" w:rsidRPr="0091033A" w:rsidRDefault="005452CC" w:rsidP="008632EB">
            <w:pPr>
              <w:pStyle w:val="TableHeading"/>
            </w:pPr>
            <w:r w:rsidRPr="0091033A">
              <w:t>Column 1</w:t>
            </w:r>
          </w:p>
        </w:tc>
        <w:tc>
          <w:tcPr>
            <w:tcW w:w="4394" w:type="dxa"/>
            <w:tcBorders>
              <w:top w:val="single" w:sz="6" w:space="0" w:color="auto"/>
              <w:bottom w:val="single" w:sz="6" w:space="0" w:color="auto"/>
            </w:tcBorders>
            <w:shd w:val="clear" w:color="auto" w:fill="auto"/>
            <w:hideMark/>
          </w:tcPr>
          <w:p w14:paraId="729DED90" w14:textId="77777777" w:rsidR="005452CC" w:rsidRPr="0091033A" w:rsidRDefault="005452CC" w:rsidP="008632EB">
            <w:pPr>
              <w:pStyle w:val="TableHeading"/>
            </w:pPr>
            <w:r w:rsidRPr="0091033A">
              <w:t>Column 2</w:t>
            </w:r>
          </w:p>
        </w:tc>
        <w:tc>
          <w:tcPr>
            <w:tcW w:w="1843" w:type="dxa"/>
            <w:tcBorders>
              <w:top w:val="single" w:sz="6" w:space="0" w:color="auto"/>
              <w:bottom w:val="single" w:sz="6" w:space="0" w:color="auto"/>
            </w:tcBorders>
            <w:shd w:val="clear" w:color="auto" w:fill="auto"/>
            <w:hideMark/>
          </w:tcPr>
          <w:p w14:paraId="2FAFAC2B" w14:textId="77777777" w:rsidR="005452CC" w:rsidRPr="0091033A" w:rsidRDefault="005452CC" w:rsidP="008632EB">
            <w:pPr>
              <w:pStyle w:val="TableHeading"/>
            </w:pPr>
            <w:r w:rsidRPr="0091033A">
              <w:t>Column 3</w:t>
            </w:r>
          </w:p>
        </w:tc>
      </w:tr>
      <w:tr w:rsidR="005452CC" w:rsidRPr="0091033A" w14:paraId="6B4C778C" w14:textId="77777777" w:rsidTr="00AD7252">
        <w:trPr>
          <w:tblHeader/>
        </w:trPr>
        <w:tc>
          <w:tcPr>
            <w:tcW w:w="2127" w:type="dxa"/>
            <w:tcBorders>
              <w:top w:val="single" w:sz="6" w:space="0" w:color="auto"/>
              <w:bottom w:val="single" w:sz="12" w:space="0" w:color="auto"/>
            </w:tcBorders>
            <w:shd w:val="clear" w:color="auto" w:fill="auto"/>
            <w:hideMark/>
          </w:tcPr>
          <w:p w14:paraId="4269AB5A" w14:textId="77777777" w:rsidR="005452CC" w:rsidRPr="0091033A" w:rsidRDefault="005452CC" w:rsidP="008632EB">
            <w:pPr>
              <w:pStyle w:val="TableHeading"/>
            </w:pPr>
            <w:r w:rsidRPr="0091033A">
              <w:t>Provisions</w:t>
            </w:r>
          </w:p>
        </w:tc>
        <w:tc>
          <w:tcPr>
            <w:tcW w:w="4394" w:type="dxa"/>
            <w:tcBorders>
              <w:top w:val="single" w:sz="6" w:space="0" w:color="auto"/>
              <w:bottom w:val="single" w:sz="12" w:space="0" w:color="auto"/>
            </w:tcBorders>
            <w:shd w:val="clear" w:color="auto" w:fill="auto"/>
            <w:hideMark/>
          </w:tcPr>
          <w:p w14:paraId="6ADF856B" w14:textId="77777777" w:rsidR="005452CC" w:rsidRPr="0091033A" w:rsidRDefault="005452CC" w:rsidP="008632EB">
            <w:pPr>
              <w:pStyle w:val="TableHeading"/>
            </w:pPr>
            <w:r w:rsidRPr="0091033A">
              <w:t>Commencement</w:t>
            </w:r>
          </w:p>
        </w:tc>
        <w:tc>
          <w:tcPr>
            <w:tcW w:w="1843" w:type="dxa"/>
            <w:tcBorders>
              <w:top w:val="single" w:sz="6" w:space="0" w:color="auto"/>
              <w:bottom w:val="single" w:sz="12" w:space="0" w:color="auto"/>
            </w:tcBorders>
            <w:shd w:val="clear" w:color="auto" w:fill="auto"/>
            <w:hideMark/>
          </w:tcPr>
          <w:p w14:paraId="1C0E4A7E" w14:textId="77777777" w:rsidR="005452CC" w:rsidRPr="0091033A" w:rsidRDefault="005452CC" w:rsidP="008632EB">
            <w:pPr>
              <w:pStyle w:val="TableHeading"/>
            </w:pPr>
            <w:r w:rsidRPr="0091033A">
              <w:t>Date/Details</w:t>
            </w:r>
          </w:p>
        </w:tc>
      </w:tr>
      <w:tr w:rsidR="005452CC" w:rsidRPr="0091033A" w14:paraId="26962E06" w14:textId="77777777" w:rsidTr="00AD7252">
        <w:tc>
          <w:tcPr>
            <w:tcW w:w="2127" w:type="dxa"/>
            <w:tcBorders>
              <w:top w:val="single" w:sz="12" w:space="0" w:color="auto"/>
              <w:bottom w:val="single" w:sz="12" w:space="0" w:color="auto"/>
            </w:tcBorders>
            <w:shd w:val="clear" w:color="auto" w:fill="auto"/>
            <w:hideMark/>
          </w:tcPr>
          <w:p w14:paraId="6F932367" w14:textId="77777777" w:rsidR="005452CC" w:rsidRPr="0091033A" w:rsidRDefault="005452CC" w:rsidP="00AD7252">
            <w:pPr>
              <w:pStyle w:val="Tabletext"/>
            </w:pPr>
            <w:r w:rsidRPr="0091033A">
              <w:t xml:space="preserve">1.  </w:t>
            </w:r>
            <w:r w:rsidR="00AD7252" w:rsidRPr="0091033A">
              <w:t xml:space="preserve">The whole of </w:t>
            </w:r>
            <w:r w:rsidR="003F678D" w:rsidRPr="0091033A">
              <w:t>this instrument</w:t>
            </w:r>
          </w:p>
        </w:tc>
        <w:tc>
          <w:tcPr>
            <w:tcW w:w="4394" w:type="dxa"/>
            <w:tcBorders>
              <w:top w:val="single" w:sz="12" w:space="0" w:color="auto"/>
              <w:bottom w:val="single" w:sz="12" w:space="0" w:color="auto"/>
            </w:tcBorders>
            <w:shd w:val="clear" w:color="auto" w:fill="auto"/>
            <w:hideMark/>
          </w:tcPr>
          <w:p w14:paraId="7AC215D5" w14:textId="77777777" w:rsidR="0013338A" w:rsidRPr="0091033A" w:rsidRDefault="0013338A" w:rsidP="005D0167">
            <w:pPr>
              <w:pStyle w:val="Tabletext"/>
            </w:pPr>
            <w:r w:rsidRPr="0091033A">
              <w:t>The later of:</w:t>
            </w:r>
          </w:p>
          <w:p w14:paraId="02CC907B" w14:textId="77777777" w:rsidR="0013338A" w:rsidRPr="0091033A" w:rsidRDefault="0013338A" w:rsidP="005D0167">
            <w:pPr>
              <w:pStyle w:val="Tablea"/>
            </w:pPr>
            <w:r w:rsidRPr="0091033A">
              <w:t xml:space="preserve">(a) </w:t>
            </w:r>
            <w:r w:rsidR="00311826" w:rsidRPr="0091033A">
              <w:t>the day after this instrument is registered</w:t>
            </w:r>
            <w:r w:rsidRPr="0091033A">
              <w:t>; and</w:t>
            </w:r>
          </w:p>
          <w:p w14:paraId="7CCF7B26" w14:textId="77777777" w:rsidR="005452CC" w:rsidRPr="0091033A" w:rsidRDefault="0013338A" w:rsidP="0013338A">
            <w:pPr>
              <w:pStyle w:val="Tablea"/>
            </w:pPr>
            <w:r w:rsidRPr="0091033A">
              <w:t xml:space="preserve">(b) </w:t>
            </w:r>
            <w:r w:rsidR="003F293C" w:rsidRPr="0091033A">
              <w:rPr>
                <w:lang w:eastAsia="en-US"/>
              </w:rPr>
              <w:t>1 October</w:t>
            </w:r>
            <w:r w:rsidR="00D1275D" w:rsidRPr="0091033A">
              <w:rPr>
                <w:lang w:eastAsia="en-US"/>
              </w:rPr>
              <w:t xml:space="preserve"> 2022</w:t>
            </w:r>
            <w:r w:rsidRPr="0091033A">
              <w:t>.</w:t>
            </w:r>
          </w:p>
        </w:tc>
        <w:tc>
          <w:tcPr>
            <w:tcW w:w="1843" w:type="dxa"/>
            <w:tcBorders>
              <w:top w:val="single" w:sz="12" w:space="0" w:color="auto"/>
              <w:bottom w:val="single" w:sz="12" w:space="0" w:color="auto"/>
            </w:tcBorders>
            <w:shd w:val="clear" w:color="auto" w:fill="auto"/>
          </w:tcPr>
          <w:p w14:paraId="3EB4510D" w14:textId="631B456D" w:rsidR="005452CC" w:rsidRPr="0091033A" w:rsidRDefault="00216C65">
            <w:pPr>
              <w:pStyle w:val="Tabletext"/>
            </w:pPr>
            <w:r>
              <w:t>1 October 2022</w:t>
            </w:r>
            <w:bookmarkStart w:id="2" w:name="_GoBack"/>
            <w:bookmarkEnd w:id="2"/>
          </w:p>
        </w:tc>
      </w:tr>
    </w:tbl>
    <w:p w14:paraId="6A706EE6" w14:textId="77777777" w:rsidR="005452CC" w:rsidRPr="0091033A" w:rsidRDefault="005452CC" w:rsidP="008632EB">
      <w:pPr>
        <w:pStyle w:val="notetext"/>
      </w:pPr>
      <w:r w:rsidRPr="0091033A">
        <w:rPr>
          <w:snapToGrid w:val="0"/>
          <w:lang w:eastAsia="en-US"/>
        </w:rPr>
        <w:t>Note:</w:t>
      </w:r>
      <w:r w:rsidRPr="0091033A">
        <w:rPr>
          <w:snapToGrid w:val="0"/>
          <w:lang w:eastAsia="en-US"/>
        </w:rPr>
        <w:tab/>
        <w:t xml:space="preserve">This table relates only to the provisions of </w:t>
      </w:r>
      <w:r w:rsidR="003F678D" w:rsidRPr="0091033A">
        <w:rPr>
          <w:snapToGrid w:val="0"/>
          <w:lang w:eastAsia="en-US"/>
        </w:rPr>
        <w:t>this instrument</w:t>
      </w:r>
      <w:r w:rsidRPr="0091033A">
        <w:t xml:space="preserve"> </w:t>
      </w:r>
      <w:r w:rsidRPr="0091033A">
        <w:rPr>
          <w:snapToGrid w:val="0"/>
          <w:lang w:eastAsia="en-US"/>
        </w:rPr>
        <w:t xml:space="preserve">as originally made. It will not be amended to deal with any later amendments of </w:t>
      </w:r>
      <w:r w:rsidR="003F678D" w:rsidRPr="0091033A">
        <w:rPr>
          <w:snapToGrid w:val="0"/>
          <w:lang w:eastAsia="en-US"/>
        </w:rPr>
        <w:t>this instrument</w:t>
      </w:r>
      <w:r w:rsidRPr="0091033A">
        <w:rPr>
          <w:snapToGrid w:val="0"/>
          <w:lang w:eastAsia="en-US"/>
        </w:rPr>
        <w:t>.</w:t>
      </w:r>
    </w:p>
    <w:p w14:paraId="765B5BC5" w14:textId="77777777" w:rsidR="005452CC" w:rsidRPr="0091033A" w:rsidRDefault="005452CC" w:rsidP="004F676E">
      <w:pPr>
        <w:pStyle w:val="subsection"/>
      </w:pPr>
      <w:r w:rsidRPr="0091033A">
        <w:tab/>
        <w:t>(2)</w:t>
      </w:r>
      <w:r w:rsidRPr="0091033A">
        <w:tab/>
        <w:t xml:space="preserve">Any information in column 3 of the table is not part of </w:t>
      </w:r>
      <w:r w:rsidR="003F678D" w:rsidRPr="0091033A">
        <w:t>this instrument</w:t>
      </w:r>
      <w:r w:rsidRPr="0091033A">
        <w:t xml:space="preserve">. Information may be inserted in this column, or information in it may be edited, in any published version of </w:t>
      </w:r>
      <w:r w:rsidR="003F678D" w:rsidRPr="0091033A">
        <w:t>this instrument</w:t>
      </w:r>
      <w:r w:rsidRPr="0091033A">
        <w:t>.</w:t>
      </w:r>
    </w:p>
    <w:p w14:paraId="29DC9C30" w14:textId="77777777" w:rsidR="00BF6650" w:rsidRPr="0091033A" w:rsidRDefault="00BF6650" w:rsidP="00BF6650">
      <w:pPr>
        <w:pStyle w:val="ActHead5"/>
      </w:pPr>
      <w:bookmarkStart w:id="3" w:name="_Toc111015713"/>
      <w:r w:rsidRPr="00CC33B6">
        <w:rPr>
          <w:rStyle w:val="CharSectno"/>
        </w:rPr>
        <w:t>3</w:t>
      </w:r>
      <w:r w:rsidRPr="0091033A">
        <w:t xml:space="preserve">  Authority</w:t>
      </w:r>
      <w:bookmarkEnd w:id="3"/>
    </w:p>
    <w:p w14:paraId="0F60AE97" w14:textId="77777777" w:rsidR="00BF6650" w:rsidRPr="0091033A" w:rsidRDefault="00BF6650" w:rsidP="00BF6650">
      <w:pPr>
        <w:pStyle w:val="subsection"/>
      </w:pPr>
      <w:r w:rsidRPr="0091033A">
        <w:tab/>
      </w:r>
      <w:r w:rsidRPr="0091033A">
        <w:tab/>
      </w:r>
      <w:r w:rsidR="003F678D" w:rsidRPr="0091033A">
        <w:t>This instrument is</w:t>
      </w:r>
      <w:r w:rsidRPr="0091033A">
        <w:t xml:space="preserve"> made </w:t>
      </w:r>
      <w:r w:rsidR="003F678D" w:rsidRPr="0091033A">
        <w:rPr>
          <w:color w:val="000000"/>
          <w:szCs w:val="22"/>
          <w:shd w:val="clear" w:color="auto" w:fill="FFFFFF"/>
        </w:rPr>
        <w:t xml:space="preserve">under </w:t>
      </w:r>
      <w:r w:rsidR="00DA6BE7" w:rsidRPr="0091033A">
        <w:rPr>
          <w:color w:val="000000"/>
          <w:szCs w:val="22"/>
          <w:shd w:val="clear" w:color="auto" w:fill="FFFFFF"/>
        </w:rPr>
        <w:t>subsection 1</w:t>
      </w:r>
      <w:r w:rsidR="003F678D" w:rsidRPr="0091033A">
        <w:rPr>
          <w:color w:val="000000"/>
          <w:szCs w:val="22"/>
          <w:shd w:val="clear" w:color="auto" w:fill="FFFFFF"/>
        </w:rPr>
        <w:t>2(1) of the </w:t>
      </w:r>
      <w:bookmarkStart w:id="4" w:name="_Hlk113890093"/>
      <w:r w:rsidR="003F678D" w:rsidRPr="0091033A">
        <w:rPr>
          <w:i/>
          <w:iCs/>
          <w:color w:val="000000"/>
          <w:szCs w:val="22"/>
          <w:shd w:val="clear" w:color="auto" w:fill="FFFFFF"/>
        </w:rPr>
        <w:t>National Housing Finance and Investment Corporation Act 2018</w:t>
      </w:r>
      <w:r w:rsidR="003F678D" w:rsidRPr="0091033A">
        <w:rPr>
          <w:color w:val="000000"/>
          <w:szCs w:val="22"/>
          <w:shd w:val="clear" w:color="auto" w:fill="FFFFFF"/>
        </w:rPr>
        <w:t>.</w:t>
      </w:r>
      <w:bookmarkEnd w:id="4"/>
    </w:p>
    <w:p w14:paraId="0B167F78" w14:textId="77777777" w:rsidR="00557C7A" w:rsidRPr="0091033A" w:rsidRDefault="00BF6650" w:rsidP="00557C7A">
      <w:pPr>
        <w:pStyle w:val="ActHead5"/>
      </w:pPr>
      <w:bookmarkStart w:id="5" w:name="_Toc111015714"/>
      <w:r w:rsidRPr="00CC33B6">
        <w:rPr>
          <w:rStyle w:val="CharSectno"/>
        </w:rPr>
        <w:t>4</w:t>
      </w:r>
      <w:r w:rsidR="00557C7A" w:rsidRPr="0091033A">
        <w:t xml:space="preserve">  </w:t>
      </w:r>
      <w:r w:rsidR="00083F48" w:rsidRPr="0091033A">
        <w:t>Schedules</w:t>
      </w:r>
      <w:bookmarkEnd w:id="5"/>
    </w:p>
    <w:p w14:paraId="7924E34D" w14:textId="77777777" w:rsidR="00557C7A" w:rsidRPr="0091033A" w:rsidRDefault="00557C7A" w:rsidP="00557C7A">
      <w:pPr>
        <w:pStyle w:val="subsection"/>
      </w:pPr>
      <w:r w:rsidRPr="0091033A">
        <w:tab/>
      </w:r>
      <w:r w:rsidRPr="0091033A">
        <w:tab/>
      </w:r>
      <w:r w:rsidR="00083F48" w:rsidRPr="0091033A">
        <w:t xml:space="preserve">Each </w:t>
      </w:r>
      <w:r w:rsidR="00160BD7" w:rsidRPr="0091033A">
        <w:t>instrument</w:t>
      </w:r>
      <w:r w:rsidR="00083F48" w:rsidRPr="0091033A">
        <w:t xml:space="preserve"> that is specified in a Schedule to </w:t>
      </w:r>
      <w:r w:rsidR="003F678D" w:rsidRPr="0091033A">
        <w:t>this instrument</w:t>
      </w:r>
      <w:r w:rsidR="00083F48" w:rsidRPr="0091033A">
        <w:t xml:space="preserve"> is amended or repealed as set out in the applicable items in the Schedule concerned, and any other item in a Schedule to </w:t>
      </w:r>
      <w:r w:rsidR="003F678D" w:rsidRPr="0091033A">
        <w:t>this instrument</w:t>
      </w:r>
      <w:r w:rsidR="00083F48" w:rsidRPr="0091033A">
        <w:t xml:space="preserve"> has effect according to its terms.</w:t>
      </w:r>
    </w:p>
    <w:p w14:paraId="1730F078" w14:textId="77777777" w:rsidR="0048364F" w:rsidRPr="0091033A" w:rsidRDefault="0048364F" w:rsidP="009C5989">
      <w:pPr>
        <w:pStyle w:val="ActHead6"/>
        <w:pageBreakBefore/>
      </w:pPr>
      <w:bookmarkStart w:id="6" w:name="_Toc111015715"/>
      <w:r w:rsidRPr="00CC33B6">
        <w:rPr>
          <w:rStyle w:val="CharAmSchNo"/>
        </w:rPr>
        <w:lastRenderedPageBreak/>
        <w:t>Schedule 1</w:t>
      </w:r>
      <w:r w:rsidRPr="0091033A">
        <w:t>—</w:t>
      </w:r>
      <w:r w:rsidR="00460499" w:rsidRPr="00CC33B6">
        <w:rPr>
          <w:rStyle w:val="CharAmSchText"/>
        </w:rPr>
        <w:t>Amendments</w:t>
      </w:r>
      <w:bookmarkEnd w:id="6"/>
    </w:p>
    <w:p w14:paraId="4B85E9DC" w14:textId="77777777" w:rsidR="0004044E" w:rsidRPr="00CC33B6" w:rsidRDefault="0004044E" w:rsidP="0004044E">
      <w:pPr>
        <w:pStyle w:val="Header"/>
      </w:pPr>
      <w:r w:rsidRPr="00CC33B6">
        <w:rPr>
          <w:rStyle w:val="CharAmPartNo"/>
        </w:rPr>
        <w:t xml:space="preserve"> </w:t>
      </w:r>
      <w:r w:rsidRPr="00CC33B6">
        <w:rPr>
          <w:rStyle w:val="CharAmPartText"/>
        </w:rPr>
        <w:t xml:space="preserve"> </w:t>
      </w:r>
    </w:p>
    <w:p w14:paraId="6B697496" w14:textId="77777777" w:rsidR="00515863" w:rsidRPr="0091033A" w:rsidRDefault="00515863" w:rsidP="00515863">
      <w:pPr>
        <w:pStyle w:val="ActHead9"/>
        <w:rPr>
          <w:shd w:val="clear" w:color="auto" w:fill="FFFFFF"/>
        </w:rPr>
      </w:pPr>
      <w:bookmarkStart w:id="7" w:name="_Toc111015716"/>
      <w:r w:rsidRPr="0091033A">
        <w:rPr>
          <w:shd w:val="clear" w:color="auto" w:fill="FFFFFF"/>
        </w:rPr>
        <w:t xml:space="preserve">National Housing Finance and Investment Corporation Investment Mandate </w:t>
      </w:r>
      <w:r w:rsidR="003F293C" w:rsidRPr="0091033A">
        <w:rPr>
          <w:shd w:val="clear" w:color="auto" w:fill="FFFFFF"/>
        </w:rPr>
        <w:t>Direction 2</w:t>
      </w:r>
      <w:r w:rsidRPr="0091033A">
        <w:rPr>
          <w:shd w:val="clear" w:color="auto" w:fill="FFFFFF"/>
        </w:rPr>
        <w:t>018</w:t>
      </w:r>
      <w:bookmarkEnd w:id="7"/>
    </w:p>
    <w:p w14:paraId="47AA8C43" w14:textId="77777777" w:rsidR="003F678D" w:rsidRPr="0091033A" w:rsidRDefault="000B5E00" w:rsidP="008632EB">
      <w:pPr>
        <w:pStyle w:val="ItemHead"/>
      </w:pPr>
      <w:r w:rsidRPr="0091033A">
        <w:t>1</w:t>
      </w:r>
      <w:r w:rsidR="003F678D" w:rsidRPr="0091033A">
        <w:t xml:space="preserve">  </w:t>
      </w:r>
      <w:r w:rsidR="003F293C" w:rsidRPr="0091033A">
        <w:t>Section 4</w:t>
      </w:r>
    </w:p>
    <w:p w14:paraId="74D3C439" w14:textId="77777777" w:rsidR="008632EB" w:rsidRPr="0091033A" w:rsidRDefault="008632EB" w:rsidP="008632EB">
      <w:pPr>
        <w:pStyle w:val="Item"/>
      </w:pPr>
      <w:r w:rsidRPr="0091033A">
        <w:t>Insert:</w:t>
      </w:r>
    </w:p>
    <w:p w14:paraId="7B1BAF65" w14:textId="77777777" w:rsidR="00263BCC" w:rsidRPr="0091033A" w:rsidRDefault="00263BCC" w:rsidP="00441FF7">
      <w:pPr>
        <w:pStyle w:val="Definition"/>
        <w:rPr>
          <w:b/>
          <w:i/>
        </w:rPr>
      </w:pPr>
      <w:r w:rsidRPr="0091033A">
        <w:rPr>
          <w:b/>
          <w:i/>
        </w:rPr>
        <w:t>Australian Defence Force</w:t>
      </w:r>
      <w:r w:rsidRPr="0091033A">
        <w:t xml:space="preserve"> has the same meaning as in the </w:t>
      </w:r>
      <w:r w:rsidRPr="0091033A">
        <w:rPr>
          <w:i/>
        </w:rPr>
        <w:t>Defence Act 1903</w:t>
      </w:r>
      <w:r w:rsidRPr="0091033A">
        <w:t>.</w:t>
      </w:r>
    </w:p>
    <w:p w14:paraId="7024BD16" w14:textId="77777777" w:rsidR="00441FF7" w:rsidRPr="0091033A" w:rsidRDefault="00441FF7" w:rsidP="00441FF7">
      <w:pPr>
        <w:pStyle w:val="Definition"/>
      </w:pPr>
      <w:r w:rsidRPr="0091033A">
        <w:rPr>
          <w:b/>
          <w:i/>
        </w:rPr>
        <w:t>Australian Statistical Geography Standard</w:t>
      </w:r>
      <w:r w:rsidRPr="0091033A">
        <w:t xml:space="preserve"> means the Australian Statistical Geography Standard (ASGS): Volume 1 </w:t>
      </w:r>
      <w:r w:rsidR="0091033A">
        <w:noBreakHyphen/>
      </w:r>
      <w:r w:rsidRPr="0091033A">
        <w:t xml:space="preserve"> Main Structure and Greater Capital City Statistical Areas, July 2016, published by the Australian Bureau of Statistics, as existing at the time </w:t>
      </w:r>
      <w:r w:rsidR="00C84D1B" w:rsidRPr="0091033A">
        <w:t>this instrument commenced</w:t>
      </w:r>
      <w:r w:rsidRPr="0091033A">
        <w:t>.</w:t>
      </w:r>
    </w:p>
    <w:p w14:paraId="4C76D786" w14:textId="77777777" w:rsidR="00441FF7" w:rsidRPr="0091033A" w:rsidRDefault="00441FF7" w:rsidP="00441FF7">
      <w:pPr>
        <w:pStyle w:val="notetext"/>
      </w:pPr>
      <w:r w:rsidRPr="0091033A">
        <w:t>Note:</w:t>
      </w:r>
      <w:r w:rsidRPr="0091033A">
        <w:tab/>
        <w:t>The Standard could in 2022 be viewed on the Australian Bureau of Statistics website (https://www.abs.gov.au).</w:t>
      </w:r>
    </w:p>
    <w:p w14:paraId="06370421" w14:textId="77777777" w:rsidR="00AC6C10" w:rsidRPr="0091033A" w:rsidRDefault="00AC6C10" w:rsidP="008632EB">
      <w:pPr>
        <w:pStyle w:val="Definition"/>
      </w:pPr>
      <w:r w:rsidRPr="0091033A">
        <w:rPr>
          <w:b/>
          <w:i/>
        </w:rPr>
        <w:t>capital city</w:t>
      </w:r>
      <w:r w:rsidRPr="0091033A">
        <w:t xml:space="preserve">—see </w:t>
      </w:r>
      <w:r w:rsidR="003F293C" w:rsidRPr="0091033A">
        <w:t>subsection 4</w:t>
      </w:r>
      <w:r w:rsidR="00893CAC" w:rsidRPr="0091033A">
        <w:t>A</w:t>
      </w:r>
      <w:r w:rsidR="00875FDA" w:rsidRPr="0091033A">
        <w:t>(1)</w:t>
      </w:r>
      <w:r w:rsidRPr="0091033A">
        <w:t>.</w:t>
      </w:r>
    </w:p>
    <w:p w14:paraId="07A60E4E" w14:textId="77777777" w:rsidR="00EC3106" w:rsidRPr="0091033A" w:rsidRDefault="00EC3106" w:rsidP="008632EB">
      <w:pPr>
        <w:pStyle w:val="Definition"/>
      </w:pPr>
      <w:r w:rsidRPr="0091033A">
        <w:rPr>
          <w:b/>
          <w:i/>
        </w:rPr>
        <w:t>regional area</w:t>
      </w:r>
      <w:r w:rsidRPr="0091033A">
        <w:t xml:space="preserve">—see </w:t>
      </w:r>
      <w:r w:rsidR="003F293C" w:rsidRPr="0091033A">
        <w:t>subsection 4</w:t>
      </w:r>
      <w:r w:rsidRPr="0091033A">
        <w:t>A(3).</w:t>
      </w:r>
    </w:p>
    <w:p w14:paraId="087F6F2D" w14:textId="77777777" w:rsidR="00AC6C10" w:rsidRPr="0091033A" w:rsidRDefault="00AC6C10" w:rsidP="008632EB">
      <w:pPr>
        <w:pStyle w:val="Definition"/>
      </w:pPr>
      <w:r w:rsidRPr="0091033A">
        <w:rPr>
          <w:b/>
          <w:i/>
        </w:rPr>
        <w:t>regional centre</w:t>
      </w:r>
      <w:r w:rsidRPr="0091033A">
        <w:t xml:space="preserve">—see </w:t>
      </w:r>
      <w:r w:rsidR="003F293C" w:rsidRPr="0091033A">
        <w:t>subsection 4</w:t>
      </w:r>
      <w:r w:rsidR="00893CAC" w:rsidRPr="0091033A">
        <w:t>A</w:t>
      </w:r>
      <w:r w:rsidR="00875FDA" w:rsidRPr="0091033A">
        <w:t>(2)</w:t>
      </w:r>
      <w:r w:rsidRPr="0091033A">
        <w:t>.</w:t>
      </w:r>
    </w:p>
    <w:p w14:paraId="1BD8C49A" w14:textId="77777777" w:rsidR="00893CAC" w:rsidRPr="0091033A" w:rsidRDefault="00893CAC" w:rsidP="008632EB">
      <w:pPr>
        <w:pStyle w:val="Definition"/>
      </w:pPr>
      <w:r w:rsidRPr="0091033A">
        <w:rPr>
          <w:b/>
          <w:i/>
        </w:rPr>
        <w:t>Regional First Home</w:t>
      </w:r>
      <w:r w:rsidR="008F1F9C" w:rsidRPr="0091033A">
        <w:rPr>
          <w:b/>
          <w:i/>
        </w:rPr>
        <w:t xml:space="preserve"> Buyer</w:t>
      </w:r>
      <w:r w:rsidRPr="0091033A">
        <w:rPr>
          <w:b/>
          <w:i/>
        </w:rPr>
        <w:t xml:space="preserve"> Guarantee</w:t>
      </w:r>
      <w:r w:rsidRPr="0091033A">
        <w:rPr>
          <w:i/>
        </w:rPr>
        <w:t xml:space="preserve"> </w:t>
      </w:r>
      <w:r w:rsidRPr="0091033A">
        <w:t xml:space="preserve">means a guarantee issued under </w:t>
      </w:r>
      <w:r w:rsidR="003F293C" w:rsidRPr="0091033A">
        <w:t>section 2</w:t>
      </w:r>
      <w:r w:rsidRPr="0091033A">
        <w:t>9</w:t>
      </w:r>
      <w:r w:rsidR="00C33059" w:rsidRPr="0091033A">
        <w:t>I</w:t>
      </w:r>
      <w:r w:rsidRPr="0091033A">
        <w:t>BA.</w:t>
      </w:r>
    </w:p>
    <w:p w14:paraId="65FB04B6" w14:textId="77777777" w:rsidR="00263BCC" w:rsidRPr="0091033A" w:rsidRDefault="00263BCC" w:rsidP="008632EB">
      <w:pPr>
        <w:pStyle w:val="Definition"/>
      </w:pPr>
      <w:r w:rsidRPr="0091033A">
        <w:rPr>
          <w:b/>
          <w:i/>
        </w:rPr>
        <w:t>Reserves</w:t>
      </w:r>
      <w:r w:rsidRPr="0091033A">
        <w:t xml:space="preserve"> has the same meaning as in the </w:t>
      </w:r>
      <w:r w:rsidRPr="0091033A">
        <w:rPr>
          <w:i/>
        </w:rPr>
        <w:t>Defence Act 1903</w:t>
      </w:r>
      <w:r w:rsidRPr="0091033A">
        <w:t>.</w:t>
      </w:r>
    </w:p>
    <w:p w14:paraId="69F09FDE" w14:textId="77777777" w:rsidR="0003406D" w:rsidRPr="0091033A" w:rsidRDefault="0003406D" w:rsidP="008632EB">
      <w:pPr>
        <w:pStyle w:val="Definition"/>
      </w:pPr>
      <w:r w:rsidRPr="0091033A">
        <w:rPr>
          <w:b/>
          <w:i/>
        </w:rPr>
        <w:t>Statistical Area Level 4 area</w:t>
      </w:r>
      <w:r w:rsidRPr="0091033A">
        <w:rPr>
          <w:i/>
        </w:rPr>
        <w:t xml:space="preserve"> </w:t>
      </w:r>
      <w:r w:rsidRPr="0091033A">
        <w:t>has the same meaning as in the Australian Statistical Geography Standard.</w:t>
      </w:r>
    </w:p>
    <w:p w14:paraId="4F31FB1D" w14:textId="77777777" w:rsidR="00AC6C10" w:rsidRPr="0091033A" w:rsidRDefault="000B5E00" w:rsidP="00AC6C10">
      <w:pPr>
        <w:pStyle w:val="ItemHead"/>
        <w:rPr>
          <w:shd w:val="clear" w:color="auto" w:fill="FFFFFF"/>
        </w:rPr>
      </w:pPr>
      <w:r w:rsidRPr="0091033A">
        <w:rPr>
          <w:shd w:val="clear" w:color="auto" w:fill="FFFFFF"/>
        </w:rPr>
        <w:t>2</w:t>
      </w:r>
      <w:r w:rsidR="00AC6C10" w:rsidRPr="0091033A">
        <w:rPr>
          <w:shd w:val="clear" w:color="auto" w:fill="FFFFFF"/>
        </w:rPr>
        <w:t xml:space="preserve">  After </w:t>
      </w:r>
      <w:r w:rsidR="003F293C" w:rsidRPr="0091033A">
        <w:rPr>
          <w:shd w:val="clear" w:color="auto" w:fill="FFFFFF"/>
        </w:rPr>
        <w:t>section 4</w:t>
      </w:r>
    </w:p>
    <w:p w14:paraId="4B7B5DDA" w14:textId="77777777" w:rsidR="00AC6C10" w:rsidRPr="0091033A" w:rsidRDefault="00AC6C10" w:rsidP="00AC6C10">
      <w:pPr>
        <w:pStyle w:val="Item"/>
      </w:pPr>
      <w:r w:rsidRPr="0091033A">
        <w:t>Insert:</w:t>
      </w:r>
    </w:p>
    <w:p w14:paraId="56CC57A0" w14:textId="77777777" w:rsidR="00AC6C10" w:rsidRPr="0091033A" w:rsidRDefault="00AC6C10" w:rsidP="00AC6C10">
      <w:pPr>
        <w:pStyle w:val="ActHead5"/>
      </w:pPr>
      <w:r w:rsidRPr="00CC33B6">
        <w:rPr>
          <w:rStyle w:val="CharSectno"/>
        </w:rPr>
        <w:t>4A</w:t>
      </w:r>
      <w:r w:rsidRPr="0091033A">
        <w:t xml:space="preserve">  Meaning of </w:t>
      </w:r>
      <w:r w:rsidRPr="0091033A">
        <w:rPr>
          <w:i/>
        </w:rPr>
        <w:t>capital city</w:t>
      </w:r>
      <w:r w:rsidR="00181941" w:rsidRPr="0091033A">
        <w:t xml:space="preserve">, </w:t>
      </w:r>
      <w:r w:rsidR="00515863" w:rsidRPr="0091033A">
        <w:rPr>
          <w:i/>
        </w:rPr>
        <w:t>regional centre</w:t>
      </w:r>
      <w:r w:rsidR="00181941" w:rsidRPr="0091033A">
        <w:t xml:space="preserve"> and </w:t>
      </w:r>
      <w:r w:rsidR="00181941" w:rsidRPr="0091033A">
        <w:rPr>
          <w:i/>
        </w:rPr>
        <w:t>regional area</w:t>
      </w:r>
    </w:p>
    <w:p w14:paraId="784A7062" w14:textId="77777777" w:rsidR="00515863" w:rsidRPr="0091033A" w:rsidRDefault="00515863" w:rsidP="00515863">
      <w:pPr>
        <w:pStyle w:val="subsection"/>
      </w:pPr>
      <w:r w:rsidRPr="0091033A">
        <w:tab/>
        <w:t>(1)</w:t>
      </w:r>
      <w:r w:rsidRPr="0091033A">
        <w:tab/>
      </w:r>
      <w:r w:rsidR="0003406D" w:rsidRPr="0091033A">
        <w:t xml:space="preserve">The </w:t>
      </w:r>
      <w:r w:rsidR="0003406D" w:rsidRPr="0091033A">
        <w:rPr>
          <w:b/>
          <w:i/>
        </w:rPr>
        <w:t>c</w:t>
      </w:r>
      <w:r w:rsidRPr="0091033A">
        <w:rPr>
          <w:b/>
          <w:i/>
        </w:rPr>
        <w:t>apital city</w:t>
      </w:r>
      <w:r w:rsidR="0003406D" w:rsidRPr="0091033A">
        <w:t xml:space="preserve"> </w:t>
      </w:r>
      <w:r w:rsidR="00132F19" w:rsidRPr="0091033A">
        <w:t>of</w:t>
      </w:r>
      <w:r w:rsidR="0003406D" w:rsidRPr="0091033A">
        <w:t xml:space="preserve"> a</w:t>
      </w:r>
      <w:r w:rsidRPr="0091033A">
        <w:t xml:space="preserve"> State</w:t>
      </w:r>
      <w:r w:rsidR="0003406D" w:rsidRPr="0091033A">
        <w:t xml:space="preserve"> </w:t>
      </w:r>
      <w:r w:rsidR="0013338A" w:rsidRPr="0091033A">
        <w:t xml:space="preserve">or </w:t>
      </w:r>
      <w:r w:rsidR="00132F19" w:rsidRPr="0091033A">
        <w:t xml:space="preserve">the Northern </w:t>
      </w:r>
      <w:r w:rsidR="0013338A" w:rsidRPr="0091033A">
        <w:t xml:space="preserve">Territory </w:t>
      </w:r>
      <w:r w:rsidR="0003406D" w:rsidRPr="0091033A">
        <w:t xml:space="preserve">is the </w:t>
      </w:r>
      <w:r w:rsidRPr="0091033A">
        <w:t xml:space="preserve">Greater Capital City Statistical Area </w:t>
      </w:r>
      <w:r w:rsidR="0003406D" w:rsidRPr="0091033A">
        <w:t xml:space="preserve">(within the meaning of the Australian Statistical Geography Standard) </w:t>
      </w:r>
      <w:r w:rsidRPr="0091033A">
        <w:t>in that State</w:t>
      </w:r>
      <w:r w:rsidR="0013338A" w:rsidRPr="0091033A">
        <w:t xml:space="preserve"> or Territory</w:t>
      </w:r>
      <w:r w:rsidR="0003406D" w:rsidRPr="0091033A">
        <w:t>.</w:t>
      </w:r>
    </w:p>
    <w:p w14:paraId="5AC668F2" w14:textId="77777777" w:rsidR="00515863" w:rsidRPr="0091033A" w:rsidRDefault="00515863" w:rsidP="00515863">
      <w:pPr>
        <w:pStyle w:val="subsection"/>
      </w:pPr>
      <w:r w:rsidRPr="0091033A">
        <w:tab/>
        <w:t>(2)</w:t>
      </w:r>
      <w:r w:rsidRPr="0091033A">
        <w:tab/>
      </w:r>
      <w:r w:rsidR="0003406D" w:rsidRPr="0091033A">
        <w:t>A</w:t>
      </w:r>
      <w:r w:rsidR="0003406D" w:rsidRPr="0091033A">
        <w:rPr>
          <w:b/>
          <w:i/>
        </w:rPr>
        <w:t xml:space="preserve"> r</w:t>
      </w:r>
      <w:r w:rsidRPr="0091033A">
        <w:rPr>
          <w:b/>
          <w:i/>
        </w:rPr>
        <w:t>egional centre</w:t>
      </w:r>
      <w:r w:rsidR="0003406D" w:rsidRPr="0091033A">
        <w:t xml:space="preserve"> for a</w:t>
      </w:r>
      <w:r w:rsidRPr="0091033A">
        <w:t xml:space="preserve"> State </w:t>
      </w:r>
      <w:r w:rsidR="00A4223D" w:rsidRPr="0091033A">
        <w:t xml:space="preserve">specified in an item </w:t>
      </w:r>
      <w:r w:rsidRPr="0091033A">
        <w:t>in the following table</w:t>
      </w:r>
      <w:r w:rsidR="0003406D" w:rsidRPr="0091033A">
        <w:t xml:space="preserve"> is</w:t>
      </w:r>
      <w:r w:rsidRPr="0091033A">
        <w:t xml:space="preserve"> one of the Statistical Area Level 4 areas </w:t>
      </w:r>
      <w:r w:rsidR="001A7495" w:rsidRPr="0091033A">
        <w:t xml:space="preserve">specified </w:t>
      </w:r>
      <w:r w:rsidRPr="0091033A">
        <w:t xml:space="preserve">in </w:t>
      </w:r>
      <w:r w:rsidR="00A4223D" w:rsidRPr="0091033A">
        <w:t>that item.</w:t>
      </w:r>
    </w:p>
    <w:p w14:paraId="08B4E3CF" w14:textId="77777777" w:rsidR="00515863" w:rsidRPr="0091033A" w:rsidRDefault="00515863" w:rsidP="00515863">
      <w:pPr>
        <w:pStyle w:val="Tabletext"/>
      </w:pPr>
    </w:p>
    <w:tbl>
      <w:tblPr>
        <w:tblW w:w="7088" w:type="dxa"/>
        <w:tblInd w:w="1241"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851"/>
        <w:gridCol w:w="3260"/>
        <w:gridCol w:w="2977"/>
      </w:tblGrid>
      <w:tr w:rsidR="00515863" w:rsidRPr="0091033A" w14:paraId="08BEA8AD" w14:textId="77777777" w:rsidTr="00C84D1B">
        <w:trPr>
          <w:tblHeader/>
        </w:trPr>
        <w:tc>
          <w:tcPr>
            <w:tcW w:w="851" w:type="dxa"/>
            <w:tcBorders>
              <w:top w:val="single" w:sz="12" w:space="0" w:color="auto"/>
              <w:bottom w:val="single" w:sz="12" w:space="0" w:color="auto"/>
            </w:tcBorders>
            <w:shd w:val="clear" w:color="auto" w:fill="auto"/>
            <w:hideMark/>
          </w:tcPr>
          <w:p w14:paraId="1E943226" w14:textId="77777777" w:rsidR="00515863" w:rsidRPr="0091033A" w:rsidRDefault="00515863" w:rsidP="00AF7043">
            <w:pPr>
              <w:pStyle w:val="TableHeading"/>
            </w:pPr>
            <w:r w:rsidRPr="0091033A">
              <w:t>Item</w:t>
            </w:r>
          </w:p>
        </w:tc>
        <w:tc>
          <w:tcPr>
            <w:tcW w:w="3260" w:type="dxa"/>
            <w:tcBorders>
              <w:top w:val="single" w:sz="12" w:space="0" w:color="auto"/>
              <w:bottom w:val="single" w:sz="12" w:space="0" w:color="auto"/>
            </w:tcBorders>
            <w:shd w:val="clear" w:color="auto" w:fill="auto"/>
            <w:hideMark/>
          </w:tcPr>
          <w:p w14:paraId="3654AD41" w14:textId="77777777" w:rsidR="00515863" w:rsidRPr="0091033A" w:rsidRDefault="00515863" w:rsidP="00AF7043">
            <w:pPr>
              <w:pStyle w:val="TableHeading"/>
            </w:pPr>
            <w:r w:rsidRPr="0091033A">
              <w:t>State</w:t>
            </w:r>
          </w:p>
        </w:tc>
        <w:tc>
          <w:tcPr>
            <w:tcW w:w="2977" w:type="dxa"/>
            <w:tcBorders>
              <w:top w:val="single" w:sz="12" w:space="0" w:color="auto"/>
              <w:bottom w:val="single" w:sz="12" w:space="0" w:color="auto"/>
            </w:tcBorders>
            <w:shd w:val="clear" w:color="auto" w:fill="auto"/>
            <w:hideMark/>
          </w:tcPr>
          <w:p w14:paraId="69875B18" w14:textId="77777777" w:rsidR="00515863" w:rsidRPr="0091033A" w:rsidRDefault="00515863" w:rsidP="00AF7043">
            <w:pPr>
              <w:pStyle w:val="TableHeading"/>
            </w:pPr>
            <w:r w:rsidRPr="0091033A">
              <w:t xml:space="preserve">Regional </w:t>
            </w:r>
            <w:r w:rsidR="00315659" w:rsidRPr="0091033A">
              <w:t>c</w:t>
            </w:r>
            <w:r w:rsidRPr="0091033A">
              <w:t>entre</w:t>
            </w:r>
          </w:p>
        </w:tc>
      </w:tr>
      <w:tr w:rsidR="00515863" w:rsidRPr="0091033A" w14:paraId="5B95578D" w14:textId="77777777" w:rsidTr="00C84D1B">
        <w:tc>
          <w:tcPr>
            <w:tcW w:w="851" w:type="dxa"/>
            <w:tcBorders>
              <w:top w:val="single" w:sz="12" w:space="0" w:color="auto"/>
            </w:tcBorders>
            <w:shd w:val="clear" w:color="auto" w:fill="auto"/>
          </w:tcPr>
          <w:p w14:paraId="1559991E" w14:textId="77777777" w:rsidR="00515863" w:rsidRPr="0091033A" w:rsidRDefault="00515863" w:rsidP="00AF7043">
            <w:pPr>
              <w:pStyle w:val="Tabletext"/>
            </w:pPr>
            <w:r w:rsidRPr="0091033A">
              <w:t>1</w:t>
            </w:r>
          </w:p>
        </w:tc>
        <w:tc>
          <w:tcPr>
            <w:tcW w:w="3260" w:type="dxa"/>
            <w:tcBorders>
              <w:top w:val="single" w:sz="12" w:space="0" w:color="auto"/>
            </w:tcBorders>
            <w:shd w:val="clear" w:color="auto" w:fill="auto"/>
          </w:tcPr>
          <w:p w14:paraId="2953C414" w14:textId="77777777" w:rsidR="00515863" w:rsidRPr="0091033A" w:rsidRDefault="00515863" w:rsidP="00AF7043">
            <w:pPr>
              <w:pStyle w:val="Tabletext"/>
            </w:pPr>
            <w:r w:rsidRPr="0091033A">
              <w:t>New South Wales</w:t>
            </w:r>
          </w:p>
        </w:tc>
        <w:tc>
          <w:tcPr>
            <w:tcW w:w="2977" w:type="dxa"/>
            <w:tcBorders>
              <w:top w:val="single" w:sz="12" w:space="0" w:color="auto"/>
            </w:tcBorders>
            <w:shd w:val="clear" w:color="auto" w:fill="auto"/>
          </w:tcPr>
          <w:p w14:paraId="0D96053E" w14:textId="77777777" w:rsidR="00515863" w:rsidRPr="0091033A" w:rsidRDefault="00515863" w:rsidP="00AF7043">
            <w:pPr>
              <w:pStyle w:val="Tabletext"/>
            </w:pPr>
            <w:r w:rsidRPr="0091033A">
              <w:t>Newcastle and Lake Macquarie</w:t>
            </w:r>
          </w:p>
          <w:p w14:paraId="4F53C40F" w14:textId="77777777" w:rsidR="00515863" w:rsidRPr="0091033A" w:rsidRDefault="00515863" w:rsidP="00AF7043">
            <w:pPr>
              <w:pStyle w:val="Tabletext"/>
            </w:pPr>
            <w:r w:rsidRPr="0091033A">
              <w:t>Illawarra</w:t>
            </w:r>
          </w:p>
        </w:tc>
      </w:tr>
      <w:tr w:rsidR="00515863" w:rsidRPr="0091033A" w14:paraId="41A46FAA" w14:textId="77777777" w:rsidTr="00C84D1B">
        <w:tc>
          <w:tcPr>
            <w:tcW w:w="851" w:type="dxa"/>
            <w:tcBorders>
              <w:bottom w:val="single" w:sz="2" w:space="0" w:color="auto"/>
            </w:tcBorders>
            <w:shd w:val="clear" w:color="auto" w:fill="auto"/>
          </w:tcPr>
          <w:p w14:paraId="0B4CAFD7" w14:textId="77777777" w:rsidR="00515863" w:rsidRPr="0091033A" w:rsidRDefault="00515863" w:rsidP="00AF7043">
            <w:pPr>
              <w:pStyle w:val="Tabletext"/>
            </w:pPr>
            <w:r w:rsidRPr="0091033A">
              <w:t>2</w:t>
            </w:r>
          </w:p>
        </w:tc>
        <w:tc>
          <w:tcPr>
            <w:tcW w:w="3260" w:type="dxa"/>
            <w:tcBorders>
              <w:bottom w:val="single" w:sz="2" w:space="0" w:color="auto"/>
            </w:tcBorders>
            <w:shd w:val="clear" w:color="auto" w:fill="auto"/>
          </w:tcPr>
          <w:p w14:paraId="18028900" w14:textId="77777777" w:rsidR="00515863" w:rsidRPr="0091033A" w:rsidRDefault="00515863" w:rsidP="00AF7043">
            <w:pPr>
              <w:pStyle w:val="Tabletext"/>
            </w:pPr>
            <w:r w:rsidRPr="0091033A">
              <w:t>Victoria</w:t>
            </w:r>
          </w:p>
        </w:tc>
        <w:tc>
          <w:tcPr>
            <w:tcW w:w="2977" w:type="dxa"/>
            <w:tcBorders>
              <w:bottom w:val="single" w:sz="2" w:space="0" w:color="auto"/>
            </w:tcBorders>
            <w:shd w:val="clear" w:color="auto" w:fill="auto"/>
          </w:tcPr>
          <w:p w14:paraId="344E79D3" w14:textId="77777777" w:rsidR="00515863" w:rsidRPr="0091033A" w:rsidRDefault="00515863" w:rsidP="00AF7043">
            <w:pPr>
              <w:pStyle w:val="Tabletext"/>
            </w:pPr>
            <w:r w:rsidRPr="0091033A">
              <w:t>Geelong</w:t>
            </w:r>
          </w:p>
        </w:tc>
      </w:tr>
      <w:tr w:rsidR="00515863" w:rsidRPr="0091033A" w14:paraId="00376EF2" w14:textId="77777777" w:rsidTr="00C84D1B">
        <w:tc>
          <w:tcPr>
            <w:tcW w:w="851" w:type="dxa"/>
            <w:tcBorders>
              <w:top w:val="single" w:sz="2" w:space="0" w:color="auto"/>
              <w:bottom w:val="single" w:sz="12" w:space="0" w:color="auto"/>
            </w:tcBorders>
            <w:shd w:val="clear" w:color="auto" w:fill="auto"/>
          </w:tcPr>
          <w:p w14:paraId="5C5CA8B2" w14:textId="77777777" w:rsidR="00515863" w:rsidRPr="0091033A" w:rsidRDefault="00515863" w:rsidP="00AF7043">
            <w:pPr>
              <w:pStyle w:val="Tabletext"/>
            </w:pPr>
            <w:r w:rsidRPr="0091033A">
              <w:t>3</w:t>
            </w:r>
          </w:p>
        </w:tc>
        <w:tc>
          <w:tcPr>
            <w:tcW w:w="3260" w:type="dxa"/>
            <w:tcBorders>
              <w:top w:val="single" w:sz="2" w:space="0" w:color="auto"/>
              <w:bottom w:val="single" w:sz="12" w:space="0" w:color="auto"/>
            </w:tcBorders>
            <w:shd w:val="clear" w:color="auto" w:fill="auto"/>
          </w:tcPr>
          <w:p w14:paraId="69C089A1" w14:textId="77777777" w:rsidR="00515863" w:rsidRPr="0091033A" w:rsidRDefault="00515863" w:rsidP="00AF7043">
            <w:pPr>
              <w:pStyle w:val="Tabletext"/>
            </w:pPr>
            <w:r w:rsidRPr="0091033A">
              <w:t>Queensland</w:t>
            </w:r>
          </w:p>
        </w:tc>
        <w:tc>
          <w:tcPr>
            <w:tcW w:w="2977" w:type="dxa"/>
            <w:tcBorders>
              <w:top w:val="single" w:sz="2" w:space="0" w:color="auto"/>
              <w:bottom w:val="single" w:sz="12" w:space="0" w:color="auto"/>
            </w:tcBorders>
            <w:shd w:val="clear" w:color="auto" w:fill="auto"/>
          </w:tcPr>
          <w:p w14:paraId="1A6CE4F2" w14:textId="77777777" w:rsidR="00515863" w:rsidRPr="0091033A" w:rsidRDefault="00515863" w:rsidP="00AF7043">
            <w:pPr>
              <w:pStyle w:val="Tabletext"/>
            </w:pPr>
            <w:r w:rsidRPr="0091033A">
              <w:t>Gold Coast</w:t>
            </w:r>
          </w:p>
          <w:p w14:paraId="5E97CA44" w14:textId="77777777" w:rsidR="00515863" w:rsidRPr="0091033A" w:rsidRDefault="00515863" w:rsidP="00AF7043">
            <w:pPr>
              <w:pStyle w:val="Tabletext"/>
            </w:pPr>
            <w:r w:rsidRPr="0091033A">
              <w:t>Sunshine Coast</w:t>
            </w:r>
          </w:p>
        </w:tc>
      </w:tr>
    </w:tbl>
    <w:p w14:paraId="69A7DE07" w14:textId="77777777" w:rsidR="00132F19" w:rsidRPr="0091033A" w:rsidRDefault="00132F19" w:rsidP="00132F19">
      <w:pPr>
        <w:pStyle w:val="subsection"/>
      </w:pPr>
      <w:r w:rsidRPr="0091033A">
        <w:tab/>
        <w:t>(3)</w:t>
      </w:r>
      <w:r w:rsidRPr="0091033A">
        <w:tab/>
        <w:t xml:space="preserve">A </w:t>
      </w:r>
      <w:r w:rsidRPr="0091033A">
        <w:rPr>
          <w:b/>
          <w:i/>
        </w:rPr>
        <w:t>regional area</w:t>
      </w:r>
      <w:r w:rsidRPr="0091033A">
        <w:t xml:space="preserve"> </w:t>
      </w:r>
      <w:r w:rsidR="00B83B99">
        <w:t>i</w:t>
      </w:r>
      <w:r w:rsidRPr="0091033A">
        <w:t>s:</w:t>
      </w:r>
    </w:p>
    <w:p w14:paraId="67FDA183" w14:textId="77777777" w:rsidR="00132F19" w:rsidRPr="0091033A" w:rsidRDefault="00132F19" w:rsidP="00132F19">
      <w:pPr>
        <w:pStyle w:val="paragraph"/>
      </w:pPr>
      <w:r w:rsidRPr="0091033A">
        <w:lastRenderedPageBreak/>
        <w:tab/>
        <w:t>(a)</w:t>
      </w:r>
      <w:r w:rsidRPr="0091033A">
        <w:tab/>
        <w:t xml:space="preserve">a Statistical Area Level 4 area in a State or the Northern Territory that is not </w:t>
      </w:r>
      <w:r w:rsidR="00B83B99">
        <w:t>the</w:t>
      </w:r>
      <w:r w:rsidRPr="0091033A">
        <w:t xml:space="preserve"> capital city</w:t>
      </w:r>
      <w:r w:rsidR="00BC6644" w:rsidRPr="0091033A">
        <w:t xml:space="preserve"> of</w:t>
      </w:r>
      <w:r w:rsidRPr="0091033A">
        <w:t xml:space="preserve"> that State or Territory; </w:t>
      </w:r>
      <w:r w:rsidR="000B5E00" w:rsidRPr="0091033A">
        <w:t>or</w:t>
      </w:r>
    </w:p>
    <w:p w14:paraId="082A0732" w14:textId="77777777" w:rsidR="00132F19" w:rsidRPr="0091033A" w:rsidRDefault="00132F19" w:rsidP="00132F19">
      <w:pPr>
        <w:pStyle w:val="paragraph"/>
      </w:pPr>
      <w:r w:rsidRPr="0091033A">
        <w:tab/>
        <w:t>(b)</w:t>
      </w:r>
      <w:r w:rsidRPr="0091033A">
        <w:tab/>
      </w:r>
      <w:r w:rsidR="004501D0" w:rsidRPr="0091033A">
        <w:t>Norfolk Island; or</w:t>
      </w:r>
    </w:p>
    <w:p w14:paraId="4F62AC28" w14:textId="77777777" w:rsidR="004501D0" w:rsidRPr="0091033A" w:rsidRDefault="004501D0" w:rsidP="00132F19">
      <w:pPr>
        <w:pStyle w:val="paragraph"/>
      </w:pPr>
      <w:r w:rsidRPr="0091033A">
        <w:tab/>
        <w:t>(c)</w:t>
      </w:r>
      <w:r w:rsidRPr="0091033A">
        <w:tab/>
        <w:t>the Jervis Bay Territory; or</w:t>
      </w:r>
    </w:p>
    <w:p w14:paraId="17734DB4" w14:textId="77777777" w:rsidR="004501D0" w:rsidRPr="0091033A" w:rsidRDefault="004501D0" w:rsidP="004501D0">
      <w:pPr>
        <w:pStyle w:val="paragraph"/>
      </w:pPr>
      <w:r w:rsidRPr="0091033A">
        <w:tab/>
        <w:t>(d)</w:t>
      </w:r>
      <w:r w:rsidRPr="0091033A">
        <w:tab/>
        <w:t>the Territory of Christmas Island; or</w:t>
      </w:r>
    </w:p>
    <w:p w14:paraId="3D78BDB2" w14:textId="77777777" w:rsidR="004501D0" w:rsidRPr="0091033A" w:rsidRDefault="004501D0" w:rsidP="004501D0">
      <w:pPr>
        <w:pStyle w:val="paragraph"/>
      </w:pPr>
      <w:r w:rsidRPr="0091033A">
        <w:tab/>
        <w:t>(e)</w:t>
      </w:r>
      <w:r w:rsidRPr="0091033A">
        <w:tab/>
        <w:t>the Territory of Cocos (Keeling) Island</w:t>
      </w:r>
      <w:r w:rsidR="00655E5D" w:rsidRPr="0091033A">
        <w:t>s</w:t>
      </w:r>
      <w:r w:rsidRPr="0091033A">
        <w:t>.</w:t>
      </w:r>
    </w:p>
    <w:p w14:paraId="5C121E31" w14:textId="77777777" w:rsidR="008632EB" w:rsidRPr="0091033A" w:rsidRDefault="000B5E00" w:rsidP="00F60FD1">
      <w:pPr>
        <w:pStyle w:val="ItemHead"/>
        <w:rPr>
          <w:shd w:val="clear" w:color="auto" w:fill="FFFFFF"/>
        </w:rPr>
      </w:pPr>
      <w:r w:rsidRPr="0091033A">
        <w:rPr>
          <w:shd w:val="clear" w:color="auto" w:fill="FFFFFF"/>
        </w:rPr>
        <w:t>3</w:t>
      </w:r>
      <w:r w:rsidR="00F60FD1" w:rsidRPr="0091033A">
        <w:rPr>
          <w:shd w:val="clear" w:color="auto" w:fill="FFFFFF"/>
        </w:rPr>
        <w:t xml:space="preserve">  </w:t>
      </w:r>
      <w:r w:rsidR="003F293C" w:rsidRPr="0091033A">
        <w:rPr>
          <w:shd w:val="clear" w:color="auto" w:fill="FFFFFF"/>
        </w:rPr>
        <w:t>Part 5</w:t>
      </w:r>
      <w:r w:rsidR="00F60FD1" w:rsidRPr="0091033A">
        <w:rPr>
          <w:shd w:val="clear" w:color="auto" w:fill="FFFFFF"/>
        </w:rPr>
        <w:t>A (</w:t>
      </w:r>
      <w:r w:rsidR="00C84D1B" w:rsidRPr="0091033A">
        <w:rPr>
          <w:shd w:val="clear" w:color="auto" w:fill="FFFFFF"/>
        </w:rPr>
        <w:t xml:space="preserve">at the end of the </w:t>
      </w:r>
      <w:r w:rsidR="00F60FD1" w:rsidRPr="0091033A">
        <w:rPr>
          <w:shd w:val="clear" w:color="auto" w:fill="FFFFFF"/>
        </w:rPr>
        <w:t>box after</w:t>
      </w:r>
      <w:r w:rsidR="00C84D1B" w:rsidRPr="0091033A">
        <w:rPr>
          <w:shd w:val="clear" w:color="auto" w:fill="FFFFFF"/>
        </w:rPr>
        <w:t xml:space="preserve"> the</w:t>
      </w:r>
      <w:r w:rsidR="00F60FD1" w:rsidRPr="0091033A">
        <w:rPr>
          <w:shd w:val="clear" w:color="auto" w:fill="FFFFFF"/>
        </w:rPr>
        <w:t xml:space="preserve"> heading)</w:t>
      </w:r>
    </w:p>
    <w:p w14:paraId="3E1D3769" w14:textId="77777777" w:rsidR="00F60FD1" w:rsidRPr="0091033A" w:rsidRDefault="00F60FD1" w:rsidP="00F60FD1">
      <w:pPr>
        <w:pStyle w:val="Item"/>
        <w:rPr>
          <w:color w:val="000000"/>
          <w:szCs w:val="22"/>
          <w:shd w:val="clear" w:color="auto" w:fill="FFFFFF"/>
        </w:rPr>
      </w:pPr>
      <w:r w:rsidRPr="0091033A">
        <w:t>A</w:t>
      </w:r>
      <w:r w:rsidR="00C84D1B" w:rsidRPr="0091033A">
        <w:t>dd</w:t>
      </w:r>
      <w:r w:rsidRPr="0091033A">
        <w:rPr>
          <w:color w:val="000000"/>
          <w:szCs w:val="22"/>
          <w:shd w:val="clear" w:color="auto" w:fill="FFFFFF"/>
        </w:rPr>
        <w:t>:</w:t>
      </w:r>
    </w:p>
    <w:p w14:paraId="01E3896B" w14:textId="77777777" w:rsidR="008F1F9C" w:rsidRPr="0091033A" w:rsidRDefault="008F1F9C" w:rsidP="00E15BA6">
      <w:pPr>
        <w:pStyle w:val="SOHeadBold"/>
      </w:pPr>
      <w:r w:rsidRPr="0091033A">
        <w:t xml:space="preserve">Regional First Home Buyer </w:t>
      </w:r>
      <w:r w:rsidR="009C37C2" w:rsidRPr="0091033A">
        <w:t>Guarantee</w:t>
      </w:r>
    </w:p>
    <w:p w14:paraId="111B9249" w14:textId="77777777" w:rsidR="00BA7F49" w:rsidRPr="0091033A" w:rsidRDefault="001D6499" w:rsidP="004635C4">
      <w:pPr>
        <w:pStyle w:val="SOText"/>
      </w:pPr>
      <w:r w:rsidRPr="0091033A">
        <w:t xml:space="preserve">The purpose of the </w:t>
      </w:r>
      <w:r w:rsidR="008F1F9C" w:rsidRPr="0091033A">
        <w:t xml:space="preserve">Regional First Home Buyer </w:t>
      </w:r>
      <w:r w:rsidR="009C37C2" w:rsidRPr="0091033A">
        <w:t>Guarantee</w:t>
      </w:r>
      <w:r w:rsidR="00C84D1B" w:rsidRPr="0091033A">
        <w:t xml:space="preserve"> is</w:t>
      </w:r>
      <w:r w:rsidRPr="0091033A">
        <w:t xml:space="preserve"> to </w:t>
      </w:r>
      <w:r w:rsidR="004501D0" w:rsidRPr="0091033A">
        <w:t>help</w:t>
      </w:r>
      <w:r w:rsidRPr="0091033A">
        <w:t xml:space="preserve"> persons living in a regional area to purchase a home in that area. It does this by allowing</w:t>
      </w:r>
      <w:r w:rsidR="00315659" w:rsidRPr="0091033A">
        <w:t xml:space="preserve"> the</w:t>
      </w:r>
      <w:r w:rsidRPr="0091033A">
        <w:t xml:space="preserve"> NHFIC to issue up to an additional 10,000 guarantees for each of the 2022</w:t>
      </w:r>
      <w:r w:rsidR="0091033A">
        <w:noBreakHyphen/>
      </w:r>
      <w:r w:rsidRPr="0091033A">
        <w:t>23, 2023</w:t>
      </w:r>
      <w:r w:rsidR="0091033A">
        <w:noBreakHyphen/>
      </w:r>
      <w:r w:rsidRPr="0091033A">
        <w:t>24 and 2024</w:t>
      </w:r>
      <w:r w:rsidR="0091033A">
        <w:noBreakHyphen/>
      </w:r>
      <w:r w:rsidRPr="0091033A">
        <w:t>25 financial years</w:t>
      </w:r>
      <w:r w:rsidR="00875FDA" w:rsidRPr="0091033A">
        <w:t xml:space="preserve">. </w:t>
      </w:r>
      <w:r w:rsidR="00BA7F49" w:rsidRPr="0091033A">
        <w:t>Additional eligibility requirements relating to the</w:t>
      </w:r>
      <w:r w:rsidR="002E3538" w:rsidRPr="0091033A">
        <w:t xml:space="preserve"> area in which the home is located</w:t>
      </w:r>
      <w:r w:rsidR="00132F19" w:rsidRPr="0091033A">
        <w:t>,</w:t>
      </w:r>
      <w:r w:rsidR="00BA7F49" w:rsidRPr="0091033A">
        <w:t xml:space="preserve"> </w:t>
      </w:r>
      <w:r w:rsidR="002E3538" w:rsidRPr="0091033A">
        <w:t>and residency in the area</w:t>
      </w:r>
      <w:r w:rsidR="00132F19" w:rsidRPr="0091033A">
        <w:t>,</w:t>
      </w:r>
      <w:r w:rsidR="002E3538" w:rsidRPr="0091033A">
        <w:t xml:space="preserve"> </w:t>
      </w:r>
      <w:r w:rsidR="00BA7F49" w:rsidRPr="0091033A">
        <w:t>must be satisfied.</w:t>
      </w:r>
    </w:p>
    <w:p w14:paraId="69C7A7C7" w14:textId="77777777" w:rsidR="00BA7F49" w:rsidRPr="0091033A" w:rsidRDefault="000B5E00" w:rsidP="00BA7F49">
      <w:pPr>
        <w:pStyle w:val="ItemHead"/>
      </w:pPr>
      <w:r w:rsidRPr="0091033A">
        <w:t>4</w:t>
      </w:r>
      <w:r w:rsidR="00BA7F49" w:rsidRPr="0091033A">
        <w:t xml:space="preserve">  </w:t>
      </w:r>
      <w:r w:rsidR="003F293C" w:rsidRPr="0091033A">
        <w:t>Subsection 2</w:t>
      </w:r>
      <w:r w:rsidR="00BA7F49" w:rsidRPr="0091033A">
        <w:t>9B(2A)</w:t>
      </w:r>
    </w:p>
    <w:p w14:paraId="2B7C630C" w14:textId="77777777" w:rsidR="00BA7F49" w:rsidRPr="0091033A" w:rsidRDefault="00BA7F49" w:rsidP="00BA7F49">
      <w:pPr>
        <w:pStyle w:val="Item"/>
      </w:pPr>
      <w:r w:rsidRPr="0091033A">
        <w:t>Omit “and 29IB”, substitute “</w:t>
      </w:r>
      <w:r w:rsidR="00B83B99">
        <w:t xml:space="preserve">, </w:t>
      </w:r>
      <w:r w:rsidRPr="0091033A">
        <w:t>29IB and 29IBA”.</w:t>
      </w:r>
    </w:p>
    <w:p w14:paraId="5DF09076" w14:textId="77777777" w:rsidR="003329F1" w:rsidRPr="0091033A" w:rsidRDefault="000B5E00" w:rsidP="003329F1">
      <w:pPr>
        <w:pStyle w:val="ItemHead"/>
      </w:pPr>
      <w:r w:rsidRPr="0091033A">
        <w:t>5</w:t>
      </w:r>
      <w:r w:rsidR="00F60FD1" w:rsidRPr="0091033A">
        <w:t xml:space="preserve">  </w:t>
      </w:r>
      <w:r w:rsidR="001A7495" w:rsidRPr="0091033A">
        <w:t xml:space="preserve">At the end of </w:t>
      </w:r>
      <w:r w:rsidR="003F293C" w:rsidRPr="0091033A">
        <w:t>subsection 2</w:t>
      </w:r>
      <w:r w:rsidR="003329F1" w:rsidRPr="0091033A">
        <w:t>9C(2)</w:t>
      </w:r>
    </w:p>
    <w:p w14:paraId="70E2D52F" w14:textId="77777777" w:rsidR="003329F1" w:rsidRPr="0091033A" w:rsidRDefault="001A7495" w:rsidP="003329F1">
      <w:pPr>
        <w:pStyle w:val="Item"/>
      </w:pPr>
      <w:r w:rsidRPr="0091033A">
        <w:t>Add:</w:t>
      </w:r>
    </w:p>
    <w:p w14:paraId="49194F81" w14:textId="77777777" w:rsidR="00323A19" w:rsidRPr="0091033A" w:rsidRDefault="003329F1" w:rsidP="00263BCC">
      <w:pPr>
        <w:pStyle w:val="paragraph"/>
      </w:pPr>
      <w:r w:rsidRPr="0091033A">
        <w:tab/>
      </w:r>
      <w:r w:rsidR="00B83B99">
        <w:t xml:space="preserve">; </w:t>
      </w:r>
      <w:r w:rsidRPr="0091033A">
        <w:t>(</w:t>
      </w:r>
      <w:r w:rsidR="001A7495" w:rsidRPr="0091033A">
        <w:t>l</w:t>
      </w:r>
      <w:r w:rsidRPr="0091033A">
        <w:t>)</w:t>
      </w:r>
      <w:r w:rsidRPr="0091033A">
        <w:tab/>
      </w:r>
      <w:r w:rsidR="001A7495" w:rsidRPr="0091033A">
        <w:t xml:space="preserve">for a </w:t>
      </w:r>
      <w:r w:rsidR="008F1F9C" w:rsidRPr="0091033A">
        <w:t>Regional First Home Buyer Guarantee</w:t>
      </w:r>
      <w:r w:rsidR="00323A19" w:rsidRPr="0091033A">
        <w:t>:</w:t>
      </w:r>
    </w:p>
    <w:p w14:paraId="6B0BE333" w14:textId="77777777" w:rsidR="00A56854" w:rsidRPr="0091033A" w:rsidRDefault="00323A19" w:rsidP="00323A19">
      <w:pPr>
        <w:pStyle w:val="paragraphsub"/>
      </w:pPr>
      <w:r w:rsidRPr="0091033A">
        <w:tab/>
        <w:t>(i)</w:t>
      </w:r>
      <w:r w:rsidRPr="0091033A">
        <w:tab/>
      </w:r>
      <w:r w:rsidR="005D0167" w:rsidRPr="0091033A">
        <w:t xml:space="preserve">the residential property is located in a </w:t>
      </w:r>
      <w:r w:rsidR="00132F19" w:rsidRPr="0091033A">
        <w:t>regional area</w:t>
      </w:r>
      <w:r w:rsidRPr="0091033A">
        <w:t>; and</w:t>
      </w:r>
    </w:p>
    <w:p w14:paraId="4218057A" w14:textId="77777777" w:rsidR="00D1275D" w:rsidRPr="0091033A" w:rsidRDefault="003329F1" w:rsidP="00927B46">
      <w:pPr>
        <w:pStyle w:val="paragraphsub"/>
        <w:rPr>
          <w:color w:val="000000"/>
          <w:szCs w:val="22"/>
        </w:rPr>
      </w:pPr>
      <w:r w:rsidRPr="0091033A">
        <w:tab/>
        <w:t>(i</w:t>
      </w:r>
      <w:r w:rsidR="005D0167" w:rsidRPr="0091033A">
        <w:t>i</w:t>
      </w:r>
      <w:r w:rsidRPr="0091033A">
        <w:t>)</w:t>
      </w:r>
      <w:r w:rsidRPr="0091033A">
        <w:tab/>
      </w:r>
      <w:r w:rsidR="00132F19" w:rsidRPr="0091033A">
        <w:rPr>
          <w:color w:val="000000"/>
          <w:szCs w:val="22"/>
        </w:rPr>
        <w:t>at least one borrower under the loan agreement</w:t>
      </w:r>
      <w:r w:rsidR="00D1275D" w:rsidRPr="0091033A">
        <w:rPr>
          <w:color w:val="000000"/>
          <w:szCs w:val="22"/>
        </w:rPr>
        <w:t xml:space="preserve"> either</w:t>
      </w:r>
      <w:r w:rsidR="00923BBE">
        <w:rPr>
          <w:color w:val="000000"/>
          <w:szCs w:val="22"/>
        </w:rPr>
        <w:t>,</w:t>
      </w:r>
      <w:r w:rsidR="00132F19" w:rsidRPr="0091033A">
        <w:rPr>
          <w:color w:val="000000"/>
          <w:szCs w:val="22"/>
        </w:rPr>
        <w:t xml:space="preserve"> has</w:t>
      </w:r>
      <w:r w:rsidR="000B5E00" w:rsidRPr="0091033A">
        <w:rPr>
          <w:color w:val="000000"/>
          <w:szCs w:val="22"/>
        </w:rPr>
        <w:t xml:space="preserve"> </w:t>
      </w:r>
      <w:r w:rsidR="00923BBE" w:rsidRPr="0091033A">
        <w:rPr>
          <w:color w:val="000000"/>
          <w:szCs w:val="22"/>
        </w:rPr>
        <w:t xml:space="preserve">lived </w:t>
      </w:r>
      <w:r w:rsidR="000B5E00" w:rsidRPr="0091033A">
        <w:rPr>
          <w:color w:val="000000"/>
          <w:szCs w:val="22"/>
        </w:rPr>
        <w:t>throughout the previous 12 month period</w:t>
      </w:r>
      <w:r w:rsidR="00923BBE">
        <w:rPr>
          <w:color w:val="000000"/>
          <w:szCs w:val="22"/>
        </w:rPr>
        <w:t xml:space="preserve"> </w:t>
      </w:r>
      <w:r w:rsidR="00132F19" w:rsidRPr="0091033A">
        <w:rPr>
          <w:color w:val="000000"/>
          <w:szCs w:val="22"/>
        </w:rPr>
        <w:t>in the regional area or an adjacent regional area</w:t>
      </w:r>
      <w:r w:rsidR="00923BBE">
        <w:rPr>
          <w:color w:val="000000"/>
          <w:szCs w:val="22"/>
        </w:rPr>
        <w:t>,</w:t>
      </w:r>
      <w:r w:rsidR="00132F19" w:rsidRPr="0091033A">
        <w:rPr>
          <w:color w:val="000000"/>
          <w:szCs w:val="22"/>
        </w:rPr>
        <w:t xml:space="preserve"> </w:t>
      </w:r>
      <w:r w:rsidR="00D1275D" w:rsidRPr="0091033A">
        <w:rPr>
          <w:color w:val="000000"/>
          <w:szCs w:val="22"/>
        </w:rPr>
        <w:t xml:space="preserve">or </w:t>
      </w:r>
      <w:r w:rsidR="000B5E00" w:rsidRPr="0091033A">
        <w:rPr>
          <w:color w:val="000000"/>
          <w:szCs w:val="22"/>
        </w:rPr>
        <w:t>is covered by</w:t>
      </w:r>
      <w:r w:rsidR="00D1275D" w:rsidRPr="0091033A">
        <w:rPr>
          <w:color w:val="000000"/>
          <w:szCs w:val="22"/>
        </w:rPr>
        <w:t xml:space="preserve"> </w:t>
      </w:r>
      <w:r w:rsidR="003F293C" w:rsidRPr="0091033A">
        <w:rPr>
          <w:color w:val="000000"/>
          <w:szCs w:val="22"/>
        </w:rPr>
        <w:t>subsection (</w:t>
      </w:r>
      <w:r w:rsidR="00D1275D" w:rsidRPr="0091033A">
        <w:rPr>
          <w:color w:val="000000"/>
          <w:szCs w:val="22"/>
        </w:rPr>
        <w:t>2AA)</w:t>
      </w:r>
      <w:r w:rsidR="000B5E00" w:rsidRPr="0091033A">
        <w:rPr>
          <w:color w:val="000000"/>
          <w:szCs w:val="22"/>
        </w:rPr>
        <w:t>.</w:t>
      </w:r>
    </w:p>
    <w:p w14:paraId="2E96ED2B" w14:textId="77777777" w:rsidR="00D1275D" w:rsidRPr="0091033A" w:rsidRDefault="000B5E00" w:rsidP="00D1275D">
      <w:pPr>
        <w:pStyle w:val="ItemHead"/>
      </w:pPr>
      <w:r w:rsidRPr="0091033A">
        <w:t>6</w:t>
      </w:r>
      <w:r w:rsidR="00D1275D" w:rsidRPr="0091033A">
        <w:t xml:space="preserve">  After </w:t>
      </w:r>
      <w:r w:rsidR="003F293C" w:rsidRPr="0091033A">
        <w:t>subsection 2</w:t>
      </w:r>
      <w:r w:rsidR="00D1275D" w:rsidRPr="0091033A">
        <w:t>9C(2)</w:t>
      </w:r>
    </w:p>
    <w:p w14:paraId="6F1547E9" w14:textId="77777777" w:rsidR="00D1275D" w:rsidRPr="0091033A" w:rsidRDefault="00D1275D" w:rsidP="00D1275D">
      <w:pPr>
        <w:pStyle w:val="Item"/>
      </w:pPr>
      <w:r w:rsidRPr="0091033A">
        <w:t>Insert:</w:t>
      </w:r>
    </w:p>
    <w:p w14:paraId="1E74A5D1" w14:textId="77777777" w:rsidR="00D1275D" w:rsidRPr="0091033A" w:rsidRDefault="00D1275D" w:rsidP="00D1275D">
      <w:pPr>
        <w:pStyle w:val="subsection"/>
      </w:pPr>
      <w:r w:rsidRPr="0091033A">
        <w:tab/>
        <w:t>(2AA)</w:t>
      </w:r>
      <w:r w:rsidRPr="0091033A">
        <w:tab/>
        <w:t>The borrower</w:t>
      </w:r>
      <w:r w:rsidR="000B5E00" w:rsidRPr="0091033A">
        <w:t xml:space="preserve"> is covered by this </w:t>
      </w:r>
      <w:r w:rsidRPr="0091033A">
        <w:t>subsection if:</w:t>
      </w:r>
    </w:p>
    <w:p w14:paraId="7C09F340" w14:textId="77777777" w:rsidR="00D1275D" w:rsidRPr="0091033A" w:rsidRDefault="00D1275D" w:rsidP="00D1275D">
      <w:pPr>
        <w:pStyle w:val="paragraph"/>
        <w:rPr>
          <w:color w:val="000000"/>
          <w:szCs w:val="22"/>
        </w:rPr>
      </w:pPr>
      <w:r w:rsidRPr="0091033A">
        <w:tab/>
        <w:t>(a)</w:t>
      </w:r>
      <w:r w:rsidRPr="0091033A">
        <w:tab/>
        <w:t>the borrower ha</w:t>
      </w:r>
      <w:r w:rsidR="000B5E00" w:rsidRPr="0091033A">
        <w:t xml:space="preserve">s </w:t>
      </w:r>
      <w:r w:rsidR="009A6751" w:rsidRPr="0091033A">
        <w:t xml:space="preserve">lived </w:t>
      </w:r>
      <w:r w:rsidR="000B5E00" w:rsidRPr="0091033A">
        <w:rPr>
          <w:color w:val="000000"/>
          <w:szCs w:val="22"/>
        </w:rPr>
        <w:t>during some of the previous 12 month period</w:t>
      </w:r>
      <w:r w:rsidRPr="0091033A">
        <w:t xml:space="preserve"> in</w:t>
      </w:r>
      <w:r w:rsidRPr="0091033A">
        <w:rPr>
          <w:color w:val="000000"/>
          <w:szCs w:val="22"/>
        </w:rPr>
        <w:t xml:space="preserve"> the regional area or an adjacent regional area; and</w:t>
      </w:r>
    </w:p>
    <w:p w14:paraId="24C5E486" w14:textId="77777777" w:rsidR="00927B46" w:rsidRPr="0091033A" w:rsidRDefault="00D1275D" w:rsidP="00D1275D">
      <w:pPr>
        <w:pStyle w:val="paragraph"/>
      </w:pPr>
      <w:r w:rsidRPr="0091033A">
        <w:tab/>
        <w:t>(b)</w:t>
      </w:r>
      <w:r w:rsidRPr="0091033A">
        <w:tab/>
      </w:r>
      <w:r w:rsidR="000B5E00" w:rsidRPr="0091033A">
        <w:t xml:space="preserve">throughout </w:t>
      </w:r>
      <w:r w:rsidRPr="0091033A">
        <w:t xml:space="preserve">the rest of the period the borrower has been </w:t>
      </w:r>
      <w:r w:rsidR="00132F19" w:rsidRPr="0091033A">
        <w:rPr>
          <w:color w:val="000000"/>
          <w:szCs w:val="22"/>
        </w:rPr>
        <w:t xml:space="preserve">unable to </w:t>
      </w:r>
      <w:r w:rsidR="004501D0" w:rsidRPr="0091033A">
        <w:rPr>
          <w:color w:val="000000"/>
          <w:szCs w:val="22"/>
        </w:rPr>
        <w:t xml:space="preserve">do so </w:t>
      </w:r>
      <w:r w:rsidR="00132F19" w:rsidRPr="0091033A">
        <w:t>because of a posting required in the course of the borrower performing duties as a member of the Australian Defence Force</w:t>
      </w:r>
      <w:r w:rsidRPr="0091033A">
        <w:t xml:space="preserve"> (</w:t>
      </w:r>
      <w:r w:rsidR="00132F19" w:rsidRPr="0091033A">
        <w:t>other than as a member of the Reserves).</w:t>
      </w:r>
    </w:p>
    <w:p w14:paraId="56DCAF56" w14:textId="77777777" w:rsidR="00515863" w:rsidRPr="0091033A" w:rsidRDefault="000B5E00" w:rsidP="00515863">
      <w:pPr>
        <w:pStyle w:val="ItemHead"/>
      </w:pPr>
      <w:r w:rsidRPr="0091033A">
        <w:t>7</w:t>
      </w:r>
      <w:r w:rsidR="00515863" w:rsidRPr="0091033A">
        <w:t xml:space="preserve">  </w:t>
      </w:r>
      <w:r w:rsidR="003F293C" w:rsidRPr="0091033A">
        <w:t>Subsection 2</w:t>
      </w:r>
      <w:r w:rsidR="00515863" w:rsidRPr="0091033A">
        <w:t>9F(3)</w:t>
      </w:r>
    </w:p>
    <w:p w14:paraId="6B3F5B18" w14:textId="77777777" w:rsidR="00515863" w:rsidRPr="0091033A" w:rsidRDefault="00515863" w:rsidP="00515863">
      <w:pPr>
        <w:pStyle w:val="Item"/>
      </w:pPr>
      <w:r w:rsidRPr="0091033A">
        <w:t>Repeal the subsection.</w:t>
      </w:r>
    </w:p>
    <w:p w14:paraId="78969449" w14:textId="77777777" w:rsidR="00927B46" w:rsidRPr="0091033A" w:rsidRDefault="000B5E00" w:rsidP="00927B46">
      <w:pPr>
        <w:pStyle w:val="ItemHead"/>
      </w:pPr>
      <w:r w:rsidRPr="0091033A">
        <w:t>8</w:t>
      </w:r>
      <w:r w:rsidR="00927B46" w:rsidRPr="0091033A">
        <w:t xml:space="preserve">  </w:t>
      </w:r>
      <w:r w:rsidR="003F293C" w:rsidRPr="0091033A">
        <w:t>Subsection 2</w:t>
      </w:r>
      <w:r w:rsidR="00927B46" w:rsidRPr="0091033A">
        <w:t>9IA(1)</w:t>
      </w:r>
    </w:p>
    <w:p w14:paraId="43C3BC5D" w14:textId="77777777" w:rsidR="00927B46" w:rsidRPr="0091033A" w:rsidRDefault="00927B46" w:rsidP="00927B46">
      <w:pPr>
        <w:pStyle w:val="Item"/>
      </w:pPr>
      <w:r w:rsidRPr="0091033A">
        <w:t>Omit “or 29IB”, substitute “, 29IB or 29IBA”.</w:t>
      </w:r>
    </w:p>
    <w:p w14:paraId="471E21C3" w14:textId="77777777" w:rsidR="001D6499" w:rsidRPr="0091033A" w:rsidRDefault="000B5E00" w:rsidP="001D6499">
      <w:pPr>
        <w:pStyle w:val="ItemHead"/>
      </w:pPr>
      <w:r w:rsidRPr="0091033A">
        <w:t>9</w:t>
      </w:r>
      <w:r w:rsidR="001D6499" w:rsidRPr="0091033A">
        <w:t xml:space="preserve">  </w:t>
      </w:r>
      <w:r w:rsidR="003F293C" w:rsidRPr="0091033A">
        <w:t>Subsection 2</w:t>
      </w:r>
      <w:r w:rsidR="001D6499" w:rsidRPr="0091033A">
        <w:t>9</w:t>
      </w:r>
      <w:r w:rsidR="00BA7F49" w:rsidRPr="0091033A">
        <w:t>I</w:t>
      </w:r>
      <w:r w:rsidR="001D6499" w:rsidRPr="0091033A">
        <w:t>B(1)</w:t>
      </w:r>
    </w:p>
    <w:p w14:paraId="6A0217D8" w14:textId="77777777" w:rsidR="00927B46" w:rsidRPr="0091033A" w:rsidRDefault="001D6499" w:rsidP="00927B46">
      <w:pPr>
        <w:pStyle w:val="Item"/>
      </w:pPr>
      <w:r w:rsidRPr="0091033A">
        <w:t>Omit “</w:t>
      </w:r>
      <w:r w:rsidR="00C84D1B" w:rsidRPr="0091033A">
        <w:t xml:space="preserve">or </w:t>
      </w:r>
      <w:r w:rsidRPr="0091033A">
        <w:t>29IA”, substitute “, 29IA or 29</w:t>
      </w:r>
      <w:r w:rsidR="00C33059" w:rsidRPr="0091033A">
        <w:t>I</w:t>
      </w:r>
      <w:r w:rsidRPr="0091033A">
        <w:t>BA”.</w:t>
      </w:r>
    </w:p>
    <w:p w14:paraId="6D59A9C9" w14:textId="77777777" w:rsidR="001A7495" w:rsidRPr="0091033A" w:rsidRDefault="000B5E00" w:rsidP="001020F0">
      <w:pPr>
        <w:pStyle w:val="ItemHead"/>
      </w:pPr>
      <w:r w:rsidRPr="0091033A">
        <w:lastRenderedPageBreak/>
        <w:t>10</w:t>
      </w:r>
      <w:r w:rsidR="0003406D" w:rsidRPr="0091033A">
        <w:t xml:space="preserve">  </w:t>
      </w:r>
      <w:r w:rsidR="001020F0" w:rsidRPr="0091033A">
        <w:t xml:space="preserve">After </w:t>
      </w:r>
      <w:r w:rsidR="003F293C" w:rsidRPr="0091033A">
        <w:t>section 2</w:t>
      </w:r>
      <w:r w:rsidR="001020F0" w:rsidRPr="0091033A">
        <w:t>9IB</w:t>
      </w:r>
    </w:p>
    <w:p w14:paraId="23D36893" w14:textId="77777777" w:rsidR="001020F0" w:rsidRPr="0091033A" w:rsidRDefault="001020F0" w:rsidP="001020F0">
      <w:pPr>
        <w:pStyle w:val="Item"/>
      </w:pPr>
      <w:r w:rsidRPr="0091033A">
        <w:t>Insert:</w:t>
      </w:r>
    </w:p>
    <w:p w14:paraId="005FA041" w14:textId="77777777" w:rsidR="001020F0" w:rsidRPr="0091033A" w:rsidRDefault="001020F0" w:rsidP="001020F0">
      <w:pPr>
        <w:pStyle w:val="ActHead5"/>
      </w:pPr>
      <w:r w:rsidRPr="00CC33B6">
        <w:rPr>
          <w:rStyle w:val="CharSectno"/>
        </w:rPr>
        <w:t>29IBA</w:t>
      </w:r>
      <w:r w:rsidRPr="0091033A">
        <w:t xml:space="preserve">  </w:t>
      </w:r>
      <w:r w:rsidR="008F1F9C" w:rsidRPr="0091033A">
        <w:t xml:space="preserve">Regional First Home Buyer </w:t>
      </w:r>
      <w:r w:rsidR="009C37C2" w:rsidRPr="0091033A">
        <w:t>Guarantee</w:t>
      </w:r>
      <w:r w:rsidR="002D462E">
        <w:t>s</w:t>
      </w:r>
    </w:p>
    <w:p w14:paraId="6F9390B6" w14:textId="77777777" w:rsidR="006076EC" w:rsidRPr="0091033A" w:rsidRDefault="006076EC" w:rsidP="006076EC">
      <w:pPr>
        <w:pStyle w:val="SubsectionHead"/>
      </w:pPr>
      <w:r w:rsidRPr="0091033A">
        <w:t xml:space="preserve">Additional guarantees for the </w:t>
      </w:r>
      <w:r w:rsidR="00617E6A" w:rsidRPr="0091033A">
        <w:t>2022</w:t>
      </w:r>
      <w:r w:rsidR="0091033A">
        <w:noBreakHyphen/>
      </w:r>
      <w:r w:rsidR="00617E6A" w:rsidRPr="0091033A">
        <w:t>23 financial year</w:t>
      </w:r>
    </w:p>
    <w:p w14:paraId="0B2391AE" w14:textId="77777777" w:rsidR="00617E6A" w:rsidRPr="0091033A" w:rsidRDefault="006076EC" w:rsidP="00617E6A">
      <w:pPr>
        <w:pStyle w:val="subsection"/>
      </w:pPr>
      <w:r w:rsidRPr="0091033A">
        <w:tab/>
        <w:t>(1)</w:t>
      </w:r>
      <w:r w:rsidRPr="0091033A">
        <w:tab/>
      </w:r>
      <w:r w:rsidRPr="0091033A">
        <w:rPr>
          <w:color w:val="000000"/>
          <w:szCs w:val="22"/>
        </w:rPr>
        <w:t xml:space="preserve">In addition to the guarantees that the NHFIC may issue under </w:t>
      </w:r>
      <w:r w:rsidR="003F293C" w:rsidRPr="0091033A">
        <w:rPr>
          <w:color w:val="000000"/>
          <w:szCs w:val="22"/>
        </w:rPr>
        <w:t>section 2</w:t>
      </w:r>
      <w:r w:rsidRPr="0091033A">
        <w:rPr>
          <w:color w:val="000000"/>
          <w:szCs w:val="22"/>
        </w:rPr>
        <w:t>9I, 29IA or 29IB</w:t>
      </w:r>
      <w:r w:rsidR="00C84D1B" w:rsidRPr="0091033A">
        <w:rPr>
          <w:color w:val="000000"/>
          <w:szCs w:val="22"/>
        </w:rPr>
        <w:t>,</w:t>
      </w:r>
      <w:r w:rsidRPr="0091033A">
        <w:rPr>
          <w:color w:val="000000"/>
          <w:szCs w:val="22"/>
        </w:rPr>
        <w:t xml:space="preserve"> </w:t>
      </w:r>
      <w:r w:rsidRPr="0091033A">
        <w:t>the NHFIC may issue</w:t>
      </w:r>
      <w:r w:rsidR="00435DC0" w:rsidRPr="0091033A">
        <w:t xml:space="preserve"> up to</w:t>
      </w:r>
      <w:r w:rsidRPr="0091033A">
        <w:t xml:space="preserve"> 10,000 additional guarantees (</w:t>
      </w:r>
      <w:r w:rsidRPr="0091033A">
        <w:rPr>
          <w:b/>
          <w:i/>
        </w:rPr>
        <w:t>Regional First Home Buyer</w:t>
      </w:r>
      <w:r w:rsidR="009C37C2" w:rsidRPr="0091033A">
        <w:rPr>
          <w:b/>
          <w:i/>
        </w:rPr>
        <w:t xml:space="preserve"> </w:t>
      </w:r>
      <w:r w:rsidRPr="0091033A">
        <w:rPr>
          <w:b/>
          <w:i/>
        </w:rPr>
        <w:t>Guarantees</w:t>
      </w:r>
      <w:r w:rsidRPr="0091033A">
        <w:t xml:space="preserve">) for the </w:t>
      </w:r>
      <w:r w:rsidR="00617E6A" w:rsidRPr="0091033A">
        <w:t>202</w:t>
      </w:r>
      <w:r w:rsidR="00A577C5" w:rsidRPr="0091033A">
        <w:t>2</w:t>
      </w:r>
      <w:r w:rsidR="0091033A">
        <w:noBreakHyphen/>
      </w:r>
      <w:r w:rsidR="00617E6A" w:rsidRPr="0091033A">
        <w:t>23 financial year.</w:t>
      </w:r>
    </w:p>
    <w:p w14:paraId="6E986FF0" w14:textId="77777777" w:rsidR="00316C74" w:rsidRPr="0091033A" w:rsidRDefault="001020F0" w:rsidP="00617E6A">
      <w:pPr>
        <w:pStyle w:val="SubsectionHead"/>
      </w:pPr>
      <w:r w:rsidRPr="0091033A">
        <w:t>Additional guarantees for</w:t>
      </w:r>
      <w:r w:rsidR="00316C74" w:rsidRPr="0091033A">
        <w:t xml:space="preserve"> the </w:t>
      </w:r>
      <w:r w:rsidR="006076EC" w:rsidRPr="0091033A">
        <w:t>2023</w:t>
      </w:r>
      <w:r w:rsidR="0091033A">
        <w:noBreakHyphen/>
      </w:r>
      <w:r w:rsidR="006076EC" w:rsidRPr="0091033A">
        <w:t>24 and 2024</w:t>
      </w:r>
      <w:r w:rsidR="0091033A">
        <w:noBreakHyphen/>
      </w:r>
      <w:r w:rsidR="006076EC" w:rsidRPr="0091033A">
        <w:t>25 financial years</w:t>
      </w:r>
    </w:p>
    <w:p w14:paraId="690B3F13" w14:textId="77777777" w:rsidR="00316C74" w:rsidRPr="0091033A" w:rsidRDefault="00316C74" w:rsidP="00316C74">
      <w:pPr>
        <w:pStyle w:val="subsection"/>
      </w:pPr>
      <w:r w:rsidRPr="0091033A">
        <w:tab/>
        <w:t>(</w:t>
      </w:r>
      <w:r w:rsidR="006076EC" w:rsidRPr="0091033A">
        <w:t>2</w:t>
      </w:r>
      <w:r w:rsidRPr="0091033A">
        <w:t>)</w:t>
      </w:r>
      <w:r w:rsidRPr="0091033A">
        <w:tab/>
      </w:r>
      <w:r w:rsidRPr="0091033A">
        <w:rPr>
          <w:color w:val="000000"/>
          <w:szCs w:val="22"/>
        </w:rPr>
        <w:t xml:space="preserve">In addition to the guarantees that the NHFIC may issue under </w:t>
      </w:r>
      <w:r w:rsidR="003F293C" w:rsidRPr="0091033A">
        <w:rPr>
          <w:color w:val="000000"/>
          <w:szCs w:val="22"/>
        </w:rPr>
        <w:t>section 2</w:t>
      </w:r>
      <w:r w:rsidRPr="0091033A">
        <w:rPr>
          <w:color w:val="000000"/>
          <w:szCs w:val="22"/>
        </w:rPr>
        <w:t>9I, 29IA or 29IB</w:t>
      </w:r>
      <w:r w:rsidR="00C84D1B" w:rsidRPr="0091033A">
        <w:rPr>
          <w:color w:val="000000"/>
          <w:szCs w:val="22"/>
        </w:rPr>
        <w:t>,</w:t>
      </w:r>
      <w:r w:rsidRPr="0091033A">
        <w:rPr>
          <w:color w:val="000000"/>
          <w:szCs w:val="22"/>
        </w:rPr>
        <w:t xml:space="preserve"> </w:t>
      </w:r>
      <w:r w:rsidRPr="0091033A">
        <w:t>the NHFIC may issue</w:t>
      </w:r>
      <w:r w:rsidR="000F10D3" w:rsidRPr="0091033A">
        <w:t xml:space="preserve"> additional guarantees (</w:t>
      </w:r>
      <w:r w:rsidR="000F10D3" w:rsidRPr="0091033A">
        <w:rPr>
          <w:b/>
          <w:i/>
        </w:rPr>
        <w:t>Regional First Home Buyer Guarantees</w:t>
      </w:r>
      <w:r w:rsidR="000F10D3" w:rsidRPr="0091033A">
        <w:t>) for each of the 2023</w:t>
      </w:r>
      <w:r w:rsidR="0091033A">
        <w:noBreakHyphen/>
      </w:r>
      <w:r w:rsidR="000F10D3" w:rsidRPr="0091033A">
        <w:t>24 and 2024</w:t>
      </w:r>
      <w:r w:rsidR="0091033A">
        <w:noBreakHyphen/>
      </w:r>
      <w:r w:rsidR="000F10D3" w:rsidRPr="0091033A">
        <w:t>25 financial years.</w:t>
      </w:r>
    </w:p>
    <w:p w14:paraId="6F7FA387" w14:textId="77777777" w:rsidR="002320BB" w:rsidRPr="0091033A" w:rsidRDefault="000F10D3" w:rsidP="00316C74">
      <w:pPr>
        <w:pStyle w:val="subsection"/>
      </w:pPr>
      <w:r w:rsidRPr="0091033A">
        <w:tab/>
        <w:t>(</w:t>
      </w:r>
      <w:r w:rsidR="006076EC" w:rsidRPr="0091033A">
        <w:t>3</w:t>
      </w:r>
      <w:r w:rsidRPr="0091033A">
        <w:t>)</w:t>
      </w:r>
      <w:r w:rsidRPr="0091033A">
        <w:tab/>
        <w:t xml:space="preserve">The </w:t>
      </w:r>
      <w:r w:rsidR="002320BB" w:rsidRPr="0091033A">
        <w:t xml:space="preserve">total number of additional guarantees that may be issued for a financial year under </w:t>
      </w:r>
      <w:r w:rsidR="003F293C" w:rsidRPr="0091033A">
        <w:t>subsection (</w:t>
      </w:r>
      <w:r w:rsidR="002320BB" w:rsidRPr="0091033A">
        <w:t>2) must not exceed</w:t>
      </w:r>
      <w:r w:rsidR="00202259" w:rsidRPr="0091033A">
        <w:t xml:space="preserve"> the sum of the following</w:t>
      </w:r>
      <w:r w:rsidR="002320BB" w:rsidRPr="0091033A">
        <w:t>:</w:t>
      </w:r>
    </w:p>
    <w:p w14:paraId="0EB153E7" w14:textId="77777777" w:rsidR="00316C74" w:rsidRPr="0091033A" w:rsidRDefault="000F10D3" w:rsidP="000F10D3">
      <w:pPr>
        <w:pStyle w:val="paragraph"/>
      </w:pPr>
      <w:r w:rsidRPr="0091033A">
        <w:tab/>
        <w:t>(a)</w:t>
      </w:r>
      <w:r w:rsidRPr="0091033A">
        <w:tab/>
      </w:r>
      <w:r w:rsidR="00316C74" w:rsidRPr="0091033A">
        <w:t>10,000</w:t>
      </w:r>
      <w:r w:rsidRPr="0091033A">
        <w:t>;</w:t>
      </w:r>
    </w:p>
    <w:p w14:paraId="43EC8116" w14:textId="77777777" w:rsidR="00681206" w:rsidRPr="0091033A" w:rsidRDefault="000F10D3" w:rsidP="002E1BB4">
      <w:pPr>
        <w:pStyle w:val="paragraph"/>
      </w:pPr>
      <w:r w:rsidRPr="0091033A">
        <w:tab/>
        <w:t>(b)</w:t>
      </w:r>
      <w:r w:rsidRPr="0091033A">
        <w:tab/>
        <w:t xml:space="preserve">the </w:t>
      </w:r>
      <w:r w:rsidR="00543959" w:rsidRPr="0091033A">
        <w:t xml:space="preserve">number </w:t>
      </w:r>
      <w:r w:rsidRPr="0091033A">
        <w:t xml:space="preserve">determined under </w:t>
      </w:r>
      <w:r w:rsidR="003F293C" w:rsidRPr="0091033A">
        <w:t>paragraph (</w:t>
      </w:r>
      <w:r w:rsidR="006076EC" w:rsidRPr="0091033A">
        <w:t>4</w:t>
      </w:r>
      <w:r w:rsidRPr="0091033A">
        <w:t>)</w:t>
      </w:r>
      <w:r w:rsidR="00C84D1B" w:rsidRPr="0091033A">
        <w:t>(b)</w:t>
      </w:r>
      <w:r w:rsidR="004501D0" w:rsidRPr="0091033A">
        <w:t xml:space="preserve"> </w:t>
      </w:r>
      <w:r w:rsidRPr="0091033A">
        <w:t>for th</w:t>
      </w:r>
      <w:r w:rsidR="0003298B" w:rsidRPr="0091033A">
        <w:t>e</w:t>
      </w:r>
      <w:r w:rsidRPr="0091033A">
        <w:t xml:space="preserve"> financial year.</w:t>
      </w:r>
    </w:p>
    <w:p w14:paraId="6320FD5C" w14:textId="77777777" w:rsidR="007E7567" w:rsidRPr="0091033A" w:rsidRDefault="007E7567" w:rsidP="007E7567">
      <w:pPr>
        <w:pStyle w:val="SubsectionHead"/>
      </w:pPr>
      <w:r w:rsidRPr="0091033A">
        <w:t>Roll over of guarantees</w:t>
      </w:r>
      <w:r w:rsidR="00A00CBB" w:rsidRPr="0091033A">
        <w:t xml:space="preserve"> to next financial year</w:t>
      </w:r>
    </w:p>
    <w:p w14:paraId="03A4A07F" w14:textId="77777777" w:rsidR="00A577C5" w:rsidRPr="0091033A" w:rsidRDefault="000F10D3" w:rsidP="00A577C5">
      <w:pPr>
        <w:pStyle w:val="subsection"/>
      </w:pPr>
      <w:r w:rsidRPr="0091033A">
        <w:tab/>
        <w:t>(</w:t>
      </w:r>
      <w:r w:rsidR="006076EC" w:rsidRPr="0091033A">
        <w:t>4</w:t>
      </w:r>
      <w:r w:rsidRPr="0091033A">
        <w:t>)</w:t>
      </w:r>
      <w:r w:rsidRPr="0091033A">
        <w:tab/>
      </w:r>
      <w:r w:rsidR="00926923" w:rsidRPr="0091033A">
        <w:t xml:space="preserve">If </w:t>
      </w:r>
      <w:r w:rsidR="00A00CBB" w:rsidRPr="0091033A">
        <w:t>a</w:t>
      </w:r>
      <w:r w:rsidR="006547E5" w:rsidRPr="0091033A">
        <w:t xml:space="preserve"> number</w:t>
      </w:r>
      <w:r w:rsidR="00A00CBB" w:rsidRPr="0091033A">
        <w:t xml:space="preserve"> </w:t>
      </w:r>
      <w:r w:rsidR="006547E5" w:rsidRPr="0091033A">
        <w:t xml:space="preserve">of </w:t>
      </w:r>
      <w:r w:rsidR="00926923" w:rsidRPr="0091033A">
        <w:t>Regional First Home Buyer Guarantees</w:t>
      </w:r>
      <w:r w:rsidR="00A577C5" w:rsidRPr="0091033A">
        <w:t xml:space="preserve"> </w:t>
      </w:r>
      <w:r w:rsidR="004501D0" w:rsidRPr="0091033A">
        <w:t xml:space="preserve">that </w:t>
      </w:r>
      <w:r w:rsidR="00F57AE9" w:rsidRPr="0091033A">
        <w:t>could</w:t>
      </w:r>
      <w:r w:rsidR="00A00CBB" w:rsidRPr="0091033A">
        <w:t xml:space="preserve"> have been issued </w:t>
      </w:r>
      <w:r w:rsidR="00A577C5" w:rsidRPr="0091033A">
        <w:t>for the 2022</w:t>
      </w:r>
      <w:r w:rsidR="0091033A">
        <w:noBreakHyphen/>
      </w:r>
      <w:r w:rsidR="00A577C5" w:rsidRPr="0091033A">
        <w:t xml:space="preserve">23 financial year </w:t>
      </w:r>
      <w:r w:rsidR="005B4AB4" w:rsidRPr="0091033A">
        <w:t xml:space="preserve">under </w:t>
      </w:r>
      <w:r w:rsidR="003F293C" w:rsidRPr="0091033A">
        <w:t>subsection (</w:t>
      </w:r>
      <w:r w:rsidR="005B4AB4" w:rsidRPr="0091033A">
        <w:t xml:space="preserve">1), </w:t>
      </w:r>
      <w:r w:rsidR="00A577C5" w:rsidRPr="0091033A">
        <w:t xml:space="preserve">or </w:t>
      </w:r>
      <w:r w:rsidR="005B4AB4" w:rsidRPr="0091033A">
        <w:t xml:space="preserve">for </w:t>
      </w:r>
      <w:r w:rsidR="00A577C5" w:rsidRPr="0091033A">
        <w:t>the 2023</w:t>
      </w:r>
      <w:r w:rsidR="0091033A">
        <w:noBreakHyphen/>
      </w:r>
      <w:r w:rsidR="00A577C5" w:rsidRPr="0091033A">
        <w:t>24 financial year</w:t>
      </w:r>
      <w:r w:rsidR="005B4AB4" w:rsidRPr="0091033A">
        <w:t xml:space="preserve"> under </w:t>
      </w:r>
      <w:r w:rsidR="003F293C" w:rsidRPr="0091033A">
        <w:t>subsection (</w:t>
      </w:r>
      <w:r w:rsidR="005B4AB4" w:rsidRPr="0091033A">
        <w:t>2),</w:t>
      </w:r>
      <w:r w:rsidR="00A577C5" w:rsidRPr="0091033A">
        <w:t xml:space="preserve"> </w:t>
      </w:r>
      <w:r w:rsidR="00A00CBB" w:rsidRPr="0091033A">
        <w:t>were not issued</w:t>
      </w:r>
      <w:r w:rsidR="005B4AB4" w:rsidRPr="0091033A">
        <w:t xml:space="preserve"> under that subsection </w:t>
      </w:r>
      <w:r w:rsidR="00A00CBB" w:rsidRPr="0091033A">
        <w:t>for that financial year</w:t>
      </w:r>
      <w:r w:rsidR="00A577C5" w:rsidRPr="0091033A">
        <w:t>:</w:t>
      </w:r>
    </w:p>
    <w:p w14:paraId="5DADD518" w14:textId="77777777" w:rsidR="00543959" w:rsidRPr="0091033A" w:rsidRDefault="00543959" w:rsidP="00A577C5">
      <w:pPr>
        <w:pStyle w:val="paragraph"/>
      </w:pPr>
      <w:r w:rsidRPr="0091033A">
        <w:tab/>
        <w:t>(a)</w:t>
      </w:r>
      <w:r w:rsidRPr="0091033A">
        <w:tab/>
        <w:t>the NHFIC must notify the Minister of</w:t>
      </w:r>
      <w:r w:rsidR="006547E5" w:rsidRPr="0091033A">
        <w:t xml:space="preserve"> th</w:t>
      </w:r>
      <w:r w:rsidR="00A00CBB" w:rsidRPr="0091033A">
        <w:t>e number of</w:t>
      </w:r>
      <w:r w:rsidR="00927B46" w:rsidRPr="0091033A">
        <w:t xml:space="preserve"> the</w:t>
      </w:r>
      <w:r w:rsidR="00A00CBB" w:rsidRPr="0091033A">
        <w:t xml:space="preserve"> guarantees for that financial year</w:t>
      </w:r>
      <w:r w:rsidR="00927B46" w:rsidRPr="0091033A">
        <w:t xml:space="preserve"> that were not issued</w:t>
      </w:r>
      <w:r w:rsidRPr="0091033A">
        <w:t>; and</w:t>
      </w:r>
    </w:p>
    <w:p w14:paraId="70D4D2F5" w14:textId="77777777" w:rsidR="00A00CBB" w:rsidRPr="0091033A" w:rsidRDefault="00543959" w:rsidP="00543959">
      <w:pPr>
        <w:pStyle w:val="paragraph"/>
      </w:pPr>
      <w:r w:rsidRPr="0091033A">
        <w:tab/>
        <w:t>(b)</w:t>
      </w:r>
      <w:r w:rsidRPr="0091033A">
        <w:tab/>
      </w:r>
      <w:r w:rsidR="00926923" w:rsidRPr="0091033A">
        <w:t>the Minister may determine, by written notice given to the NHFIC,</w:t>
      </w:r>
      <w:r w:rsidR="00A00CBB" w:rsidRPr="0091033A">
        <w:t xml:space="preserve"> the number of those guarantees that may be issued for the next financial year.</w:t>
      </w:r>
    </w:p>
    <w:p w14:paraId="2FADE7A8" w14:textId="77777777" w:rsidR="00681206" w:rsidRPr="0091033A" w:rsidRDefault="002E1BB4" w:rsidP="002E1BB4">
      <w:pPr>
        <w:pStyle w:val="notetext"/>
      </w:pPr>
      <w:r w:rsidRPr="0091033A">
        <w:t>Note:</w:t>
      </w:r>
      <w:r w:rsidRPr="0091033A">
        <w:tab/>
      </w:r>
      <w:r w:rsidR="007E7567" w:rsidRPr="0091033A">
        <w:t>A determination cannot be made in relation to</w:t>
      </w:r>
      <w:r w:rsidR="00A00CBB" w:rsidRPr="0091033A">
        <w:t xml:space="preserve"> </w:t>
      </w:r>
      <w:r w:rsidR="00A577C5" w:rsidRPr="0091033A">
        <w:t>g</w:t>
      </w:r>
      <w:r w:rsidRPr="0091033A">
        <w:t xml:space="preserve">uarantees </w:t>
      </w:r>
      <w:r w:rsidR="00A00CBB" w:rsidRPr="0091033A">
        <w:t xml:space="preserve">not issued </w:t>
      </w:r>
      <w:r w:rsidR="00EC3106" w:rsidRPr="0091033A">
        <w:t>for</w:t>
      </w:r>
      <w:r w:rsidRPr="0091033A">
        <w:t xml:space="preserve"> the 2024</w:t>
      </w:r>
      <w:r w:rsidR="0091033A">
        <w:noBreakHyphen/>
      </w:r>
      <w:r w:rsidRPr="0091033A">
        <w:t>25 financial year.</w:t>
      </w:r>
    </w:p>
    <w:p w14:paraId="3D9CEC2D" w14:textId="77777777" w:rsidR="007E7567" w:rsidRPr="0091033A" w:rsidRDefault="007E7567" w:rsidP="007E7567">
      <w:pPr>
        <w:pStyle w:val="subsection"/>
      </w:pPr>
      <w:r w:rsidRPr="0091033A">
        <w:rPr>
          <w:shd w:val="clear" w:color="auto" w:fill="FFFFFF"/>
        </w:rPr>
        <w:tab/>
        <w:t>(5)</w:t>
      </w:r>
      <w:r w:rsidRPr="0091033A">
        <w:rPr>
          <w:shd w:val="clear" w:color="auto" w:fill="FFFFFF"/>
        </w:rPr>
        <w:tab/>
        <w:t xml:space="preserve">In making a determination under </w:t>
      </w:r>
      <w:r w:rsidR="003F293C" w:rsidRPr="0091033A">
        <w:rPr>
          <w:shd w:val="clear" w:color="auto" w:fill="FFFFFF"/>
        </w:rPr>
        <w:t>paragraph (</w:t>
      </w:r>
      <w:r w:rsidRPr="0091033A">
        <w:rPr>
          <w:shd w:val="clear" w:color="auto" w:fill="FFFFFF"/>
        </w:rPr>
        <w:t>4)</w:t>
      </w:r>
      <w:r w:rsidR="00C84D1B" w:rsidRPr="0091033A">
        <w:rPr>
          <w:shd w:val="clear" w:color="auto" w:fill="FFFFFF"/>
        </w:rPr>
        <w:t>(b)</w:t>
      </w:r>
      <w:r w:rsidRPr="0091033A">
        <w:rPr>
          <w:shd w:val="clear" w:color="auto" w:fill="FFFFFF"/>
        </w:rPr>
        <w:t xml:space="preserve">, the Minister must take into account the performance of the </w:t>
      </w:r>
      <w:r w:rsidRPr="0091033A">
        <w:t xml:space="preserve">Regional First Home Buyer </w:t>
      </w:r>
      <w:r w:rsidR="009C37C2" w:rsidRPr="0091033A">
        <w:t>Guarantee</w:t>
      </w:r>
      <w:r w:rsidRPr="0091033A">
        <w:rPr>
          <w:shd w:val="clear" w:color="auto" w:fill="FFFFFF"/>
        </w:rPr>
        <w:t xml:space="preserve">, and any unique circumstances influencing the uptake of </w:t>
      </w:r>
      <w:r w:rsidRPr="0091033A">
        <w:t>Regional First Home Buyer Guarantees.</w:t>
      </w:r>
    </w:p>
    <w:p w14:paraId="481D5383" w14:textId="77777777" w:rsidR="00681206" w:rsidRPr="0091033A" w:rsidRDefault="00681206" w:rsidP="00681206">
      <w:pPr>
        <w:pStyle w:val="subsection"/>
      </w:pPr>
      <w:r w:rsidRPr="0091033A">
        <w:rPr>
          <w:color w:val="000000"/>
          <w:szCs w:val="22"/>
        </w:rPr>
        <w:tab/>
      </w:r>
      <w:r w:rsidR="00252BE1" w:rsidRPr="0091033A">
        <w:rPr>
          <w:color w:val="000000"/>
          <w:szCs w:val="22"/>
        </w:rPr>
        <w:t>(</w:t>
      </w:r>
      <w:r w:rsidR="007E7567" w:rsidRPr="0091033A">
        <w:rPr>
          <w:color w:val="000000"/>
          <w:szCs w:val="22"/>
        </w:rPr>
        <w:t>6</w:t>
      </w:r>
      <w:r w:rsidR="00252BE1" w:rsidRPr="0091033A">
        <w:rPr>
          <w:color w:val="000000"/>
          <w:szCs w:val="22"/>
        </w:rPr>
        <w:t>)</w:t>
      </w:r>
      <w:r w:rsidRPr="0091033A">
        <w:rPr>
          <w:color w:val="000000"/>
          <w:szCs w:val="22"/>
        </w:rPr>
        <w:tab/>
      </w:r>
      <w:r w:rsidR="00543959" w:rsidRPr="0091033A">
        <w:t xml:space="preserve">Notification for the purposes of </w:t>
      </w:r>
      <w:r w:rsidR="003F293C" w:rsidRPr="0091033A">
        <w:t>paragraph (</w:t>
      </w:r>
      <w:r w:rsidR="00543959" w:rsidRPr="0091033A">
        <w:t>4)</w:t>
      </w:r>
      <w:r w:rsidR="0003298B" w:rsidRPr="0091033A">
        <w:t>(a)</w:t>
      </w:r>
      <w:r w:rsidRPr="0091033A">
        <w:t>:</w:t>
      </w:r>
    </w:p>
    <w:p w14:paraId="2819A846" w14:textId="77777777" w:rsidR="00681206" w:rsidRPr="0091033A" w:rsidRDefault="00681206" w:rsidP="007E7567">
      <w:pPr>
        <w:pStyle w:val="paragraph"/>
      </w:pPr>
      <w:r w:rsidRPr="0091033A">
        <w:tab/>
        <w:t>(a)</w:t>
      </w:r>
      <w:r w:rsidRPr="0091033A">
        <w:tab/>
      </w:r>
      <w:r w:rsidR="00543959" w:rsidRPr="0091033A">
        <w:t xml:space="preserve">must </w:t>
      </w:r>
      <w:r w:rsidRPr="0091033A">
        <w:t>be given, in writin</w:t>
      </w:r>
      <w:r w:rsidR="007E7567" w:rsidRPr="0091033A">
        <w:t xml:space="preserve">g, </w:t>
      </w:r>
      <w:r w:rsidRPr="0091033A">
        <w:t>on the 10</w:t>
      </w:r>
      <w:r w:rsidR="00C84D1B" w:rsidRPr="0091033A">
        <w:t>0th</w:t>
      </w:r>
      <w:r w:rsidRPr="0091033A">
        <w:t xml:space="preserve"> day after the end of the </w:t>
      </w:r>
      <w:r w:rsidR="00617E6A" w:rsidRPr="0091033A">
        <w:t>financial year</w:t>
      </w:r>
      <w:r w:rsidR="007E7567" w:rsidRPr="0091033A">
        <w:t xml:space="preserve"> (</w:t>
      </w:r>
      <w:r w:rsidR="007E7567" w:rsidRPr="0091033A">
        <w:rPr>
          <w:color w:val="000000"/>
          <w:szCs w:val="22"/>
          <w:shd w:val="clear" w:color="auto" w:fill="FFFFFF"/>
        </w:rPr>
        <w:t>or as otherwise directed by the Minister in writing)</w:t>
      </w:r>
      <w:r w:rsidR="00543959" w:rsidRPr="0091033A">
        <w:t>; and</w:t>
      </w:r>
    </w:p>
    <w:p w14:paraId="7B595D8B" w14:textId="77777777" w:rsidR="00252BE1" w:rsidRPr="0091033A" w:rsidRDefault="00681206" w:rsidP="00681206">
      <w:pPr>
        <w:pStyle w:val="paragraph"/>
      </w:pPr>
      <w:r w:rsidRPr="0091033A">
        <w:tab/>
        <w:t>(b)</w:t>
      </w:r>
      <w:r w:rsidRPr="0091033A">
        <w:tab/>
      </w:r>
      <w:r w:rsidR="00252BE1" w:rsidRPr="0091033A">
        <w:t xml:space="preserve">must include a detailed </w:t>
      </w:r>
      <w:r w:rsidR="00543959" w:rsidRPr="0091033A">
        <w:t>breakdown of th</w:t>
      </w:r>
      <w:r w:rsidR="00927B46" w:rsidRPr="0091033A">
        <w:t>e</w:t>
      </w:r>
      <w:r w:rsidR="00A00CBB" w:rsidRPr="0091033A">
        <w:t xml:space="preserve"> </w:t>
      </w:r>
      <w:r w:rsidR="00543959" w:rsidRPr="0091033A">
        <w:t xml:space="preserve">guarantees </w:t>
      </w:r>
      <w:r w:rsidR="00927B46" w:rsidRPr="0091033A">
        <w:t xml:space="preserve">that were not issued </w:t>
      </w:r>
      <w:r w:rsidR="00543959" w:rsidRPr="0091033A">
        <w:t xml:space="preserve">for </w:t>
      </w:r>
      <w:r w:rsidR="00617E6A" w:rsidRPr="0091033A">
        <w:t>the financial year</w:t>
      </w:r>
      <w:r w:rsidR="00A577C5" w:rsidRPr="0091033A">
        <w:t xml:space="preserve">, </w:t>
      </w:r>
      <w:r w:rsidR="007E7567" w:rsidRPr="0091033A">
        <w:t>as assessed at the time of giving the notice</w:t>
      </w:r>
      <w:r w:rsidR="00A577C5" w:rsidRPr="0091033A">
        <w:t>,</w:t>
      </w:r>
      <w:r w:rsidR="00252BE1" w:rsidRPr="0091033A">
        <w:t xml:space="preserve"> including:</w:t>
      </w:r>
    </w:p>
    <w:p w14:paraId="2E668EB7" w14:textId="77777777" w:rsidR="00A00CBB" w:rsidRPr="0091033A" w:rsidRDefault="00A00CBB" w:rsidP="00927B46">
      <w:pPr>
        <w:pStyle w:val="paragraphsub"/>
      </w:pPr>
      <w:r w:rsidRPr="0091033A">
        <w:tab/>
        <w:t>(i)</w:t>
      </w:r>
      <w:r w:rsidRPr="0091033A">
        <w:tab/>
        <w:t>the number of g</w:t>
      </w:r>
      <w:r w:rsidR="00927B46" w:rsidRPr="0091033A">
        <w:t>uarantees that were not issued; and</w:t>
      </w:r>
    </w:p>
    <w:p w14:paraId="2F7DC7A4" w14:textId="77777777" w:rsidR="00252BE1" w:rsidRPr="0091033A" w:rsidRDefault="00681206" w:rsidP="00681206">
      <w:pPr>
        <w:pStyle w:val="paragraphsub"/>
      </w:pPr>
      <w:r w:rsidRPr="0091033A">
        <w:tab/>
      </w:r>
      <w:r w:rsidR="00252BE1" w:rsidRPr="0091033A">
        <w:t>(</w:t>
      </w:r>
      <w:r w:rsidR="006547E5" w:rsidRPr="0091033A">
        <w:t>i</w:t>
      </w:r>
      <w:r w:rsidR="00927B46" w:rsidRPr="0091033A">
        <w:t>i</w:t>
      </w:r>
      <w:r w:rsidR="00252BE1" w:rsidRPr="0091033A">
        <w:t>)</w:t>
      </w:r>
      <w:r w:rsidRPr="0091033A">
        <w:tab/>
        <w:t>the respective number</w:t>
      </w:r>
      <w:r w:rsidR="00923BBE">
        <w:t>s</w:t>
      </w:r>
      <w:r w:rsidRPr="0091033A">
        <w:t xml:space="preserve"> of </w:t>
      </w:r>
      <w:r w:rsidR="00D1275D" w:rsidRPr="0091033A">
        <w:t>those</w:t>
      </w:r>
      <w:r w:rsidR="006547E5" w:rsidRPr="0091033A">
        <w:t xml:space="preserve"> </w:t>
      </w:r>
      <w:r w:rsidRPr="0091033A">
        <w:t xml:space="preserve">guarantees that are reserved, lapsed and </w:t>
      </w:r>
      <w:r w:rsidR="00252BE1" w:rsidRPr="0091033A">
        <w:t>expired;</w:t>
      </w:r>
      <w:r w:rsidR="00927B46" w:rsidRPr="0091033A">
        <w:t xml:space="preserve"> and</w:t>
      </w:r>
    </w:p>
    <w:p w14:paraId="0760AB29" w14:textId="77777777" w:rsidR="00252BE1" w:rsidRPr="0091033A" w:rsidRDefault="00681206" w:rsidP="00681206">
      <w:pPr>
        <w:pStyle w:val="paragraphsub"/>
      </w:pPr>
      <w:r w:rsidRPr="0091033A">
        <w:tab/>
      </w:r>
      <w:r w:rsidR="00252BE1" w:rsidRPr="0091033A">
        <w:t>(</w:t>
      </w:r>
      <w:r w:rsidRPr="0091033A">
        <w:t>i</w:t>
      </w:r>
      <w:r w:rsidR="00A00CBB" w:rsidRPr="0091033A">
        <w:t>i</w:t>
      </w:r>
      <w:r w:rsidR="00927B46" w:rsidRPr="0091033A">
        <w:t>i</w:t>
      </w:r>
      <w:r w:rsidR="00252BE1" w:rsidRPr="0091033A">
        <w:t>)</w:t>
      </w:r>
      <w:r w:rsidRPr="0091033A">
        <w:tab/>
      </w:r>
      <w:r w:rsidR="00252BE1" w:rsidRPr="0091033A">
        <w:t>any other information requested in writing by the Minister.</w:t>
      </w:r>
    </w:p>
    <w:p w14:paraId="2292E970" w14:textId="77777777" w:rsidR="001020F0" w:rsidRPr="0091033A" w:rsidRDefault="001020F0" w:rsidP="001020F0">
      <w:pPr>
        <w:pStyle w:val="SubsectionHead"/>
      </w:pPr>
      <w:r w:rsidRPr="0091033A">
        <w:lastRenderedPageBreak/>
        <w:t xml:space="preserve">Counting of </w:t>
      </w:r>
      <w:r w:rsidR="008F1F9C" w:rsidRPr="0091033A">
        <w:t>Regional First Home Buyer Guarantees</w:t>
      </w:r>
    </w:p>
    <w:p w14:paraId="7912213C" w14:textId="77777777" w:rsidR="001020F0" w:rsidRPr="0091033A" w:rsidRDefault="001020F0" w:rsidP="001020F0">
      <w:pPr>
        <w:pStyle w:val="subsection"/>
      </w:pPr>
      <w:r w:rsidRPr="0091033A">
        <w:tab/>
        <w:t>(</w:t>
      </w:r>
      <w:r w:rsidR="007E7567" w:rsidRPr="0091033A">
        <w:t>7</w:t>
      </w:r>
      <w:r w:rsidRPr="0091033A">
        <w:t>)</w:t>
      </w:r>
      <w:r w:rsidRPr="0091033A">
        <w:tab/>
        <w:t>For the purposes of this section:</w:t>
      </w:r>
    </w:p>
    <w:p w14:paraId="4791F9CD" w14:textId="77777777" w:rsidR="001020F0" w:rsidRPr="0091033A" w:rsidRDefault="001020F0" w:rsidP="001020F0">
      <w:pPr>
        <w:pStyle w:val="paragraph"/>
      </w:pPr>
      <w:r w:rsidRPr="0091033A">
        <w:tab/>
        <w:t>(a)</w:t>
      </w:r>
      <w:r w:rsidRPr="0091033A">
        <w:tab/>
      </w:r>
      <w:r w:rsidR="002E1BB4" w:rsidRPr="0091033A">
        <w:t xml:space="preserve">subject to </w:t>
      </w:r>
      <w:r w:rsidR="003F293C" w:rsidRPr="0091033A">
        <w:t>subsection (</w:t>
      </w:r>
      <w:r w:rsidR="007E7567" w:rsidRPr="0091033A">
        <w:t>8</w:t>
      </w:r>
      <w:r w:rsidR="002E1BB4" w:rsidRPr="0091033A">
        <w:t>)</w:t>
      </w:r>
      <w:r w:rsidR="006547E5" w:rsidRPr="0091033A">
        <w:t>,</w:t>
      </w:r>
      <w:r w:rsidR="002E1BB4" w:rsidRPr="0091033A">
        <w:t xml:space="preserve"> </w:t>
      </w:r>
      <w:r w:rsidRPr="0091033A">
        <w:t xml:space="preserve">a </w:t>
      </w:r>
      <w:r w:rsidR="008F1F9C" w:rsidRPr="0091033A">
        <w:t>Regional First Home Buyer Guarantee</w:t>
      </w:r>
      <w:r w:rsidRPr="0091033A">
        <w:t xml:space="preserve"> is issued </w:t>
      </w:r>
      <w:r w:rsidR="006076EC" w:rsidRPr="0091033A">
        <w:t>for</w:t>
      </w:r>
      <w:r w:rsidRPr="0091033A">
        <w:t xml:space="preserve"> the financial year during which its issue is approved by the NHFIC, even if the arrangement relating to the guarantee is entered into in a later financial year; and</w:t>
      </w:r>
    </w:p>
    <w:p w14:paraId="462902D1" w14:textId="77777777" w:rsidR="001020F0" w:rsidRPr="0091033A" w:rsidRDefault="001020F0" w:rsidP="001020F0">
      <w:pPr>
        <w:pStyle w:val="paragraph"/>
      </w:pPr>
      <w:r w:rsidRPr="0091033A">
        <w:tab/>
        <w:t>(b)</w:t>
      </w:r>
      <w:r w:rsidRPr="0091033A">
        <w:tab/>
        <w:t xml:space="preserve">a </w:t>
      </w:r>
      <w:r w:rsidR="008F1F9C" w:rsidRPr="0091033A">
        <w:t>Regional First Home Buyer Guarantee</w:t>
      </w:r>
      <w:r w:rsidRPr="0091033A">
        <w:t xml:space="preserve"> issued in relation to a loan that satisfies </w:t>
      </w:r>
      <w:r w:rsidR="003F293C" w:rsidRPr="0091033A">
        <w:t>subsection 2</w:t>
      </w:r>
      <w:r w:rsidRPr="0091033A">
        <w:t>9C(4) is disregarded.</w:t>
      </w:r>
    </w:p>
    <w:p w14:paraId="2E5DE17F" w14:textId="77777777" w:rsidR="002E1BB4" w:rsidRPr="0091033A" w:rsidRDefault="002E1BB4" w:rsidP="002E1BB4">
      <w:pPr>
        <w:pStyle w:val="subsection"/>
        <w:shd w:val="clear" w:color="auto" w:fill="FFFFFF"/>
        <w:rPr>
          <w:color w:val="000000"/>
          <w:szCs w:val="22"/>
        </w:rPr>
      </w:pPr>
      <w:r w:rsidRPr="0091033A">
        <w:tab/>
        <w:t>(</w:t>
      </w:r>
      <w:r w:rsidR="007E7567" w:rsidRPr="0091033A">
        <w:t>8</w:t>
      </w:r>
      <w:r w:rsidRPr="0091033A">
        <w:t>)</w:t>
      </w:r>
      <w:r w:rsidRPr="0091033A">
        <w:tab/>
      </w:r>
      <w:r w:rsidR="003F293C" w:rsidRPr="0091033A">
        <w:rPr>
          <w:color w:val="000000"/>
          <w:szCs w:val="22"/>
        </w:rPr>
        <w:t>Paragraph (</w:t>
      </w:r>
      <w:r w:rsidR="00C84D1B" w:rsidRPr="0091033A">
        <w:rPr>
          <w:color w:val="000000"/>
          <w:szCs w:val="22"/>
        </w:rPr>
        <w:t>7</w:t>
      </w:r>
      <w:r w:rsidRPr="0091033A">
        <w:rPr>
          <w:color w:val="000000"/>
          <w:szCs w:val="22"/>
        </w:rPr>
        <w:t xml:space="preserve">)(a) does not apply to guarantees that are the subject of a determination under </w:t>
      </w:r>
      <w:r w:rsidR="003F293C" w:rsidRPr="0091033A">
        <w:rPr>
          <w:color w:val="000000"/>
          <w:szCs w:val="22"/>
        </w:rPr>
        <w:t>paragraph (</w:t>
      </w:r>
      <w:r w:rsidRPr="0091033A">
        <w:rPr>
          <w:color w:val="000000"/>
          <w:szCs w:val="22"/>
        </w:rPr>
        <w:t>4)</w:t>
      </w:r>
      <w:r w:rsidR="00C84D1B" w:rsidRPr="0091033A">
        <w:rPr>
          <w:color w:val="000000"/>
          <w:szCs w:val="22"/>
        </w:rPr>
        <w:t>(b)</w:t>
      </w:r>
      <w:r w:rsidRPr="0091033A">
        <w:rPr>
          <w:color w:val="000000"/>
          <w:szCs w:val="22"/>
        </w:rPr>
        <w:t>.</w:t>
      </w:r>
    </w:p>
    <w:p w14:paraId="62A0893F" w14:textId="77777777" w:rsidR="001020F0" w:rsidRPr="0091033A" w:rsidRDefault="000B5E00" w:rsidP="001020F0">
      <w:pPr>
        <w:pStyle w:val="ItemHead"/>
      </w:pPr>
      <w:r w:rsidRPr="0091033A">
        <w:t>11</w:t>
      </w:r>
      <w:r w:rsidR="001020F0" w:rsidRPr="0091033A">
        <w:t xml:space="preserve">  </w:t>
      </w:r>
      <w:r w:rsidR="003F293C" w:rsidRPr="0091033A">
        <w:t>Section 2</w:t>
      </w:r>
      <w:r w:rsidR="001020F0" w:rsidRPr="0091033A">
        <w:t>9IC</w:t>
      </w:r>
    </w:p>
    <w:p w14:paraId="43BE13FF" w14:textId="77777777" w:rsidR="001020F0" w:rsidRPr="0091033A" w:rsidRDefault="001020F0" w:rsidP="001020F0">
      <w:pPr>
        <w:pStyle w:val="Item"/>
      </w:pPr>
      <w:r w:rsidRPr="0091033A">
        <w:t>Repeal the section, substitute:</w:t>
      </w:r>
    </w:p>
    <w:p w14:paraId="6E11FCDE" w14:textId="77777777" w:rsidR="001020F0" w:rsidRPr="0091033A" w:rsidRDefault="001020F0" w:rsidP="001020F0">
      <w:pPr>
        <w:pStyle w:val="ActHead5"/>
      </w:pPr>
      <w:bookmarkStart w:id="8" w:name="_Toc71106123"/>
      <w:bookmarkStart w:id="9" w:name="_Toc71124688"/>
      <w:bookmarkStart w:id="10" w:name="_Toc109314026"/>
      <w:r w:rsidRPr="00CC33B6">
        <w:rPr>
          <w:rStyle w:val="CharSectno"/>
        </w:rPr>
        <w:t>29IC</w:t>
      </w:r>
      <w:r w:rsidRPr="0091033A">
        <w:t xml:space="preserve">  Interaction between </w:t>
      </w:r>
      <w:r w:rsidR="003F293C" w:rsidRPr="0091033A">
        <w:t>sections 2</w:t>
      </w:r>
      <w:r w:rsidRPr="0091033A">
        <w:t>9I, 29IA, 29IB</w:t>
      </w:r>
      <w:bookmarkEnd w:id="8"/>
      <w:bookmarkEnd w:id="9"/>
      <w:bookmarkEnd w:id="10"/>
      <w:r w:rsidRPr="0091033A">
        <w:t xml:space="preserve"> and 29</w:t>
      </w:r>
      <w:r w:rsidR="00C33059" w:rsidRPr="0091033A">
        <w:t>I</w:t>
      </w:r>
      <w:r w:rsidRPr="0091033A">
        <w:t>BA</w:t>
      </w:r>
    </w:p>
    <w:p w14:paraId="431ECBAE" w14:textId="77777777" w:rsidR="001020F0" w:rsidRPr="0091033A" w:rsidRDefault="001020F0" w:rsidP="001020F0">
      <w:pPr>
        <w:pStyle w:val="subsection"/>
      </w:pPr>
      <w:r w:rsidRPr="0091033A">
        <w:tab/>
        <w:t>(1)</w:t>
      </w:r>
      <w:r w:rsidRPr="0091033A">
        <w:tab/>
        <w:t xml:space="preserve">None of </w:t>
      </w:r>
      <w:r w:rsidR="003F293C" w:rsidRPr="0091033A">
        <w:t>sections 2</w:t>
      </w:r>
      <w:r w:rsidRPr="0091033A">
        <w:t>9I, 29IA, 29IB and 29</w:t>
      </w:r>
      <w:r w:rsidR="00C33059" w:rsidRPr="0091033A">
        <w:t>I</w:t>
      </w:r>
      <w:r w:rsidRPr="0091033A">
        <w:t xml:space="preserve">BA (the </w:t>
      </w:r>
      <w:r w:rsidRPr="0091033A">
        <w:rPr>
          <w:b/>
          <w:i/>
        </w:rPr>
        <w:t>limiting sections</w:t>
      </w:r>
      <w:r w:rsidRPr="0091033A">
        <w:t>) limits the types of guarantees that may be issued under another limiting section.</w:t>
      </w:r>
    </w:p>
    <w:p w14:paraId="0F78B5F2" w14:textId="77777777" w:rsidR="001020F0" w:rsidRPr="0091033A" w:rsidRDefault="001020F0" w:rsidP="001020F0">
      <w:pPr>
        <w:pStyle w:val="subsection"/>
      </w:pPr>
      <w:r w:rsidRPr="0091033A">
        <w:tab/>
        <w:t>(2)</w:t>
      </w:r>
      <w:r w:rsidRPr="0091033A">
        <w:tab/>
        <w:t>If a guarantee could, taking account of the eligible lender’s credit assessment and the limits on numbers for the relevant limiting sections, be issued under one or more of the limiting sections, the following rules apply:</w:t>
      </w:r>
    </w:p>
    <w:p w14:paraId="24E8AF53" w14:textId="77777777" w:rsidR="00A00CBB" w:rsidRPr="0091033A" w:rsidRDefault="001020F0" w:rsidP="001020F0">
      <w:pPr>
        <w:pStyle w:val="paragraph"/>
      </w:pPr>
      <w:r w:rsidRPr="0091033A">
        <w:tab/>
        <w:t>(a)</w:t>
      </w:r>
      <w:r w:rsidRPr="0091033A">
        <w:tab/>
        <w:t xml:space="preserve">if it could be issued under </w:t>
      </w:r>
      <w:r w:rsidR="003F293C" w:rsidRPr="0091033A">
        <w:t>section 2</w:t>
      </w:r>
      <w:r w:rsidR="00AF7043" w:rsidRPr="0091033A">
        <w:t xml:space="preserve">9IA, </w:t>
      </w:r>
      <w:r w:rsidRPr="0091033A">
        <w:t xml:space="preserve">29IB or </w:t>
      </w:r>
      <w:r w:rsidR="00AF7043" w:rsidRPr="0091033A">
        <w:t>29</w:t>
      </w:r>
      <w:r w:rsidR="00C33059" w:rsidRPr="0091033A">
        <w:t>I</w:t>
      </w:r>
      <w:r w:rsidR="00AF7043" w:rsidRPr="0091033A">
        <w:t>BA</w:t>
      </w:r>
      <w:r w:rsidRPr="0091033A">
        <w:t>:</w:t>
      </w:r>
    </w:p>
    <w:p w14:paraId="0D9AD5A7" w14:textId="77777777" w:rsidR="001020F0" w:rsidRPr="0091033A" w:rsidRDefault="001020F0" w:rsidP="001020F0">
      <w:pPr>
        <w:pStyle w:val="paragraphsub"/>
      </w:pPr>
      <w:r w:rsidRPr="0091033A">
        <w:tab/>
        <w:t>(i)</w:t>
      </w:r>
      <w:r w:rsidRPr="0091033A">
        <w:tab/>
        <w:t xml:space="preserve">it may not be issued under </w:t>
      </w:r>
      <w:r w:rsidR="003F293C" w:rsidRPr="0091033A">
        <w:t>section 2</w:t>
      </w:r>
      <w:r w:rsidRPr="0091033A">
        <w:t>9I; and</w:t>
      </w:r>
    </w:p>
    <w:p w14:paraId="08031A9F" w14:textId="77777777" w:rsidR="001020F0" w:rsidRPr="0091033A" w:rsidRDefault="001020F0" w:rsidP="001020F0">
      <w:pPr>
        <w:pStyle w:val="paragraphsub"/>
      </w:pPr>
      <w:r w:rsidRPr="0091033A">
        <w:tab/>
        <w:t>(ii)</w:t>
      </w:r>
      <w:r w:rsidRPr="0091033A">
        <w:tab/>
        <w:t xml:space="preserve">if it could be issued under </w:t>
      </w:r>
      <w:r w:rsidR="00AF7043" w:rsidRPr="0091033A">
        <w:t xml:space="preserve">more than one of </w:t>
      </w:r>
      <w:r w:rsidR="003F293C" w:rsidRPr="0091033A">
        <w:t>sections 2</w:t>
      </w:r>
      <w:r w:rsidR="00BA7F49" w:rsidRPr="0091033A">
        <w:t>9IA, 29IB and 29</w:t>
      </w:r>
      <w:r w:rsidR="00C33059" w:rsidRPr="0091033A">
        <w:t>I</w:t>
      </w:r>
      <w:r w:rsidR="00BA7F49" w:rsidRPr="0091033A">
        <w:t>BA</w:t>
      </w:r>
      <w:r w:rsidRPr="0091033A">
        <w:t>—the NHFIC may determine which of those sections it is to be issued under;</w:t>
      </w:r>
    </w:p>
    <w:p w14:paraId="7A210D04" w14:textId="77777777" w:rsidR="001020F0" w:rsidRPr="0091033A" w:rsidRDefault="001020F0" w:rsidP="001020F0">
      <w:pPr>
        <w:pStyle w:val="paragraph"/>
      </w:pPr>
      <w:r w:rsidRPr="0091033A">
        <w:tab/>
        <w:t>(b)</w:t>
      </w:r>
      <w:r w:rsidRPr="0091033A">
        <w:tab/>
        <w:t xml:space="preserve">if it could not be issued under </w:t>
      </w:r>
      <w:r w:rsidR="00AF7043" w:rsidRPr="0091033A">
        <w:t xml:space="preserve">any </w:t>
      </w:r>
      <w:r w:rsidRPr="0091033A">
        <w:t xml:space="preserve">of </w:t>
      </w:r>
      <w:r w:rsidR="003F293C" w:rsidRPr="0091033A">
        <w:t>sections 2</w:t>
      </w:r>
      <w:r w:rsidR="00AF7043" w:rsidRPr="0091033A">
        <w:t xml:space="preserve">9IA, </w:t>
      </w:r>
      <w:r w:rsidRPr="0091033A">
        <w:t>29IB and</w:t>
      </w:r>
      <w:r w:rsidR="00AF7043" w:rsidRPr="0091033A">
        <w:t xml:space="preserve"> 29</w:t>
      </w:r>
      <w:r w:rsidR="00C33059" w:rsidRPr="0091033A">
        <w:t>I</w:t>
      </w:r>
      <w:r w:rsidR="00AF7043" w:rsidRPr="0091033A">
        <w:t>BA</w:t>
      </w:r>
      <w:r w:rsidRPr="0091033A">
        <w:t xml:space="preserve">—it may be issued under </w:t>
      </w:r>
      <w:r w:rsidR="003F293C" w:rsidRPr="0091033A">
        <w:t>section 2</w:t>
      </w:r>
      <w:r w:rsidRPr="0091033A">
        <w:t>9I.</w:t>
      </w:r>
    </w:p>
    <w:p w14:paraId="60FD48B0" w14:textId="77777777" w:rsidR="00C84D1B" w:rsidRPr="0091033A" w:rsidRDefault="000B5E00" w:rsidP="00C84D1B">
      <w:pPr>
        <w:pStyle w:val="ItemHead"/>
      </w:pPr>
      <w:r w:rsidRPr="0091033A">
        <w:t>12</w:t>
      </w:r>
      <w:r w:rsidR="00C84D1B" w:rsidRPr="0091033A">
        <w:t xml:space="preserve">  </w:t>
      </w:r>
      <w:r w:rsidR="003F293C" w:rsidRPr="0091033A">
        <w:t>Subsection 2</w:t>
      </w:r>
      <w:r w:rsidR="00C84D1B" w:rsidRPr="0091033A">
        <w:t>9JA(1)</w:t>
      </w:r>
    </w:p>
    <w:p w14:paraId="6FDA7A0D" w14:textId="77777777" w:rsidR="00C84D1B" w:rsidRPr="0091033A" w:rsidRDefault="00C84D1B" w:rsidP="00C84D1B">
      <w:pPr>
        <w:pStyle w:val="Item"/>
      </w:pPr>
      <w:r w:rsidRPr="0091033A">
        <w:t>Omit “and the Family Home Guarantee”, substitute “, the Family Home Guarantee and the Regional First Home Buyer Guarantee”.</w:t>
      </w:r>
    </w:p>
    <w:p w14:paraId="2B893711" w14:textId="77777777" w:rsidR="00263BCC" w:rsidRPr="0091033A" w:rsidRDefault="000B5E00" w:rsidP="00316C74">
      <w:pPr>
        <w:pStyle w:val="ItemHead"/>
      </w:pPr>
      <w:r w:rsidRPr="0091033A">
        <w:t>13</w:t>
      </w:r>
      <w:r w:rsidR="00263BCC" w:rsidRPr="0091033A">
        <w:t xml:space="preserve">  </w:t>
      </w:r>
      <w:r w:rsidR="003F293C" w:rsidRPr="0091033A">
        <w:t>Paragraph 2</w:t>
      </w:r>
      <w:r w:rsidR="00316C74" w:rsidRPr="0091033A">
        <w:t>9K</w:t>
      </w:r>
      <w:r w:rsidR="00A577C5" w:rsidRPr="0091033A">
        <w:t>(1)</w:t>
      </w:r>
      <w:r w:rsidR="00316C74" w:rsidRPr="0091033A">
        <w:t>(b)</w:t>
      </w:r>
    </w:p>
    <w:p w14:paraId="4A1241D8" w14:textId="77777777" w:rsidR="00316C74" w:rsidRPr="0091033A" w:rsidRDefault="00316C74" w:rsidP="00316C74">
      <w:pPr>
        <w:pStyle w:val="Item"/>
      </w:pPr>
      <w:r w:rsidRPr="0091033A">
        <w:t xml:space="preserve">Omit “, as those terms are defined in the </w:t>
      </w:r>
      <w:r w:rsidRPr="0091033A">
        <w:rPr>
          <w:i/>
        </w:rPr>
        <w:t>Defence Act 1903</w:t>
      </w:r>
      <w:bookmarkStart w:id="11" w:name="opcEndofActName"/>
      <w:bookmarkEnd w:id="11"/>
      <w:r w:rsidRPr="0091033A">
        <w:t>”.</w:t>
      </w:r>
    </w:p>
    <w:p w14:paraId="3974DDED" w14:textId="77777777" w:rsidR="00AF7043" w:rsidRPr="0091033A" w:rsidRDefault="000B5E00" w:rsidP="00AF7043">
      <w:pPr>
        <w:pStyle w:val="ItemHead"/>
      </w:pPr>
      <w:r w:rsidRPr="0091033A">
        <w:t>14</w:t>
      </w:r>
      <w:r w:rsidR="00AF7043" w:rsidRPr="0091033A">
        <w:t xml:space="preserve">  </w:t>
      </w:r>
      <w:r w:rsidR="003F293C" w:rsidRPr="0091033A">
        <w:t>Subsection 2</w:t>
      </w:r>
      <w:r w:rsidR="00AF7043" w:rsidRPr="0091033A">
        <w:t>9L(2)</w:t>
      </w:r>
    </w:p>
    <w:p w14:paraId="53729A7F" w14:textId="77777777" w:rsidR="001B5B43" w:rsidRPr="0091033A" w:rsidRDefault="00AF7043" w:rsidP="008F1F9C">
      <w:pPr>
        <w:pStyle w:val="Item"/>
      </w:pPr>
      <w:r w:rsidRPr="0091033A">
        <w:t xml:space="preserve">Omit “and Family Home Guarantees”, substitute “, Family Home Guarantees and </w:t>
      </w:r>
      <w:r w:rsidR="008F1F9C" w:rsidRPr="0091033A">
        <w:t>Regional First Home Buyer Guarantee</w:t>
      </w:r>
      <w:r w:rsidRPr="0091033A">
        <w:t>s”.</w:t>
      </w:r>
    </w:p>
    <w:sectPr w:rsidR="001B5B43" w:rsidRPr="0091033A" w:rsidSect="00F23FD4">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6E03" w14:textId="77777777" w:rsidR="00B83B99" w:rsidRDefault="00B83B99" w:rsidP="0048364F">
      <w:pPr>
        <w:spacing w:line="240" w:lineRule="auto"/>
      </w:pPr>
      <w:r>
        <w:separator/>
      </w:r>
    </w:p>
  </w:endnote>
  <w:endnote w:type="continuationSeparator" w:id="0">
    <w:p w14:paraId="29D91E14" w14:textId="77777777" w:rsidR="00B83B99" w:rsidRDefault="00B83B9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EC0A1" w14:textId="77777777" w:rsidR="00B83B99" w:rsidRPr="00F23FD4" w:rsidRDefault="00F23FD4" w:rsidP="00F23FD4">
    <w:pPr>
      <w:pStyle w:val="Footer"/>
      <w:tabs>
        <w:tab w:val="clear" w:pos="4153"/>
        <w:tab w:val="clear" w:pos="8306"/>
        <w:tab w:val="center" w:pos="4150"/>
        <w:tab w:val="right" w:pos="8307"/>
      </w:tabs>
      <w:spacing w:before="120"/>
      <w:rPr>
        <w:i/>
        <w:sz w:val="18"/>
      </w:rPr>
    </w:pPr>
    <w:r w:rsidRPr="00F23FD4">
      <w:rPr>
        <w:i/>
        <w:sz w:val="18"/>
      </w:rPr>
      <w:t>OPC66087 -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F0F2" w14:textId="77777777" w:rsidR="00B83B99" w:rsidRDefault="00B83B99" w:rsidP="00E97334"/>
  <w:p w14:paraId="17E67C10" w14:textId="77777777" w:rsidR="00B83B99" w:rsidRPr="00F23FD4" w:rsidRDefault="00F23FD4" w:rsidP="00F23FD4">
    <w:pPr>
      <w:rPr>
        <w:rFonts w:cs="Times New Roman"/>
        <w:i/>
        <w:sz w:val="18"/>
      </w:rPr>
    </w:pPr>
    <w:r w:rsidRPr="00F23FD4">
      <w:rPr>
        <w:rFonts w:cs="Times New Roman"/>
        <w:i/>
        <w:sz w:val="18"/>
      </w:rPr>
      <w:t>OPC66087 -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B8E6" w14:textId="77777777" w:rsidR="00B83B99" w:rsidRPr="00F23FD4" w:rsidRDefault="00F23FD4" w:rsidP="00F23FD4">
    <w:pPr>
      <w:pStyle w:val="Footer"/>
      <w:tabs>
        <w:tab w:val="clear" w:pos="4153"/>
        <w:tab w:val="clear" w:pos="8306"/>
        <w:tab w:val="center" w:pos="4150"/>
        <w:tab w:val="right" w:pos="8307"/>
      </w:tabs>
      <w:spacing w:before="120"/>
      <w:rPr>
        <w:i/>
        <w:sz w:val="18"/>
      </w:rPr>
    </w:pPr>
    <w:r w:rsidRPr="00F23FD4">
      <w:rPr>
        <w:i/>
        <w:sz w:val="18"/>
      </w:rPr>
      <w:t>OPC66087 -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18F2" w14:textId="77777777" w:rsidR="00B83B99" w:rsidRPr="00E33C1C" w:rsidRDefault="00B83B9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83B99" w14:paraId="6F2FA442" w14:textId="77777777" w:rsidTr="0017114E">
      <w:tc>
        <w:tcPr>
          <w:tcW w:w="709" w:type="dxa"/>
          <w:tcBorders>
            <w:top w:val="nil"/>
            <w:left w:val="nil"/>
            <w:bottom w:val="nil"/>
            <w:right w:val="nil"/>
          </w:tcBorders>
        </w:tcPr>
        <w:p w14:paraId="34D5E304" w14:textId="77777777" w:rsidR="00B83B99" w:rsidRDefault="00B83B99" w:rsidP="008632E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C72E7E6" w14:textId="115D8577" w:rsidR="00B83B99" w:rsidRDefault="00B83B99" w:rsidP="008632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4FED">
            <w:rPr>
              <w:i/>
              <w:sz w:val="18"/>
            </w:rPr>
            <w:t>National Housing Finance and Investment Corporation Investment Mandate Amendment (Regional First Home Buyer Guarantee) Direction 2022</w:t>
          </w:r>
          <w:r w:rsidRPr="007A1328">
            <w:rPr>
              <w:i/>
              <w:sz w:val="18"/>
            </w:rPr>
            <w:fldChar w:fldCharType="end"/>
          </w:r>
        </w:p>
      </w:tc>
      <w:tc>
        <w:tcPr>
          <w:tcW w:w="1384" w:type="dxa"/>
          <w:tcBorders>
            <w:top w:val="nil"/>
            <w:left w:val="nil"/>
            <w:bottom w:val="nil"/>
            <w:right w:val="nil"/>
          </w:tcBorders>
        </w:tcPr>
        <w:p w14:paraId="2F37150F" w14:textId="77777777" w:rsidR="00B83B99" w:rsidRDefault="00B83B99" w:rsidP="008632EB">
          <w:pPr>
            <w:spacing w:line="0" w:lineRule="atLeast"/>
            <w:jc w:val="right"/>
            <w:rPr>
              <w:sz w:val="18"/>
            </w:rPr>
          </w:pPr>
        </w:p>
      </w:tc>
    </w:tr>
  </w:tbl>
  <w:p w14:paraId="11BD6094" w14:textId="77777777" w:rsidR="00B83B99" w:rsidRPr="00F23FD4" w:rsidRDefault="00F23FD4" w:rsidP="00F23FD4">
    <w:pPr>
      <w:rPr>
        <w:rFonts w:cs="Times New Roman"/>
        <w:i/>
        <w:sz w:val="18"/>
      </w:rPr>
    </w:pPr>
    <w:r w:rsidRPr="00F23FD4">
      <w:rPr>
        <w:rFonts w:cs="Times New Roman"/>
        <w:i/>
        <w:sz w:val="18"/>
      </w:rPr>
      <w:t>OPC66087 -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9370" w14:textId="77777777" w:rsidR="00B83B99" w:rsidRPr="00E33C1C" w:rsidRDefault="00B83B9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83B99" w14:paraId="7E56B415" w14:textId="77777777" w:rsidTr="0017114E">
      <w:tc>
        <w:tcPr>
          <w:tcW w:w="1383" w:type="dxa"/>
          <w:tcBorders>
            <w:top w:val="nil"/>
            <w:left w:val="nil"/>
            <w:bottom w:val="nil"/>
            <w:right w:val="nil"/>
          </w:tcBorders>
        </w:tcPr>
        <w:p w14:paraId="5BC7D4A0" w14:textId="77777777" w:rsidR="00B83B99" w:rsidRDefault="00B83B99" w:rsidP="008632EB">
          <w:pPr>
            <w:spacing w:line="0" w:lineRule="atLeast"/>
            <w:rPr>
              <w:sz w:val="18"/>
            </w:rPr>
          </w:pPr>
        </w:p>
      </w:tc>
      <w:tc>
        <w:tcPr>
          <w:tcW w:w="6379" w:type="dxa"/>
          <w:tcBorders>
            <w:top w:val="nil"/>
            <w:left w:val="nil"/>
            <w:bottom w:val="nil"/>
            <w:right w:val="nil"/>
          </w:tcBorders>
        </w:tcPr>
        <w:p w14:paraId="1C34ED05" w14:textId="6610A64B" w:rsidR="00B83B99" w:rsidRDefault="00B83B99" w:rsidP="008632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4FED">
            <w:rPr>
              <w:i/>
              <w:sz w:val="18"/>
            </w:rPr>
            <w:t>National Housing Finance and Investment Corporation Investment Mandate Amendment (Regional First Home Buyer Guarantee) Direction 2022</w:t>
          </w:r>
          <w:r w:rsidRPr="007A1328">
            <w:rPr>
              <w:i/>
              <w:sz w:val="18"/>
            </w:rPr>
            <w:fldChar w:fldCharType="end"/>
          </w:r>
        </w:p>
      </w:tc>
      <w:tc>
        <w:tcPr>
          <w:tcW w:w="710" w:type="dxa"/>
          <w:tcBorders>
            <w:top w:val="nil"/>
            <w:left w:val="nil"/>
            <w:bottom w:val="nil"/>
            <w:right w:val="nil"/>
          </w:tcBorders>
        </w:tcPr>
        <w:p w14:paraId="3575AC10" w14:textId="77777777" w:rsidR="00B83B99" w:rsidRDefault="00B83B99" w:rsidP="008632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F477466" w14:textId="77777777" w:rsidR="00B83B99" w:rsidRPr="00F23FD4" w:rsidRDefault="00F23FD4" w:rsidP="00F23FD4">
    <w:pPr>
      <w:rPr>
        <w:rFonts w:cs="Times New Roman"/>
        <w:i/>
        <w:sz w:val="18"/>
      </w:rPr>
    </w:pPr>
    <w:r w:rsidRPr="00F23FD4">
      <w:rPr>
        <w:rFonts w:cs="Times New Roman"/>
        <w:i/>
        <w:sz w:val="18"/>
      </w:rPr>
      <w:t>OPC66087 -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0042" w14:textId="77777777" w:rsidR="00B83B99" w:rsidRPr="00E33C1C" w:rsidRDefault="00B83B9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83B99" w14:paraId="7F6E8D98" w14:textId="77777777" w:rsidTr="0017114E">
      <w:tc>
        <w:tcPr>
          <w:tcW w:w="709" w:type="dxa"/>
          <w:tcBorders>
            <w:top w:val="nil"/>
            <w:left w:val="nil"/>
            <w:bottom w:val="nil"/>
            <w:right w:val="nil"/>
          </w:tcBorders>
        </w:tcPr>
        <w:p w14:paraId="5239D98A" w14:textId="77777777" w:rsidR="00B83B99" w:rsidRDefault="00B83B99" w:rsidP="008632E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05B5CD3" w14:textId="5B82896B" w:rsidR="00B83B99" w:rsidRDefault="00B83B99" w:rsidP="008632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4FED">
            <w:rPr>
              <w:i/>
              <w:sz w:val="18"/>
            </w:rPr>
            <w:t>National Housing Finance and Investment Corporation Investment Mandate Amendment (Regional First Home Buyer Guarantee) Direction 2022</w:t>
          </w:r>
          <w:r w:rsidRPr="007A1328">
            <w:rPr>
              <w:i/>
              <w:sz w:val="18"/>
            </w:rPr>
            <w:fldChar w:fldCharType="end"/>
          </w:r>
        </w:p>
      </w:tc>
      <w:tc>
        <w:tcPr>
          <w:tcW w:w="1384" w:type="dxa"/>
          <w:tcBorders>
            <w:top w:val="nil"/>
            <w:left w:val="nil"/>
            <w:bottom w:val="nil"/>
            <w:right w:val="nil"/>
          </w:tcBorders>
        </w:tcPr>
        <w:p w14:paraId="1C04CE64" w14:textId="77777777" w:rsidR="00B83B99" w:rsidRDefault="00B83B99" w:rsidP="008632EB">
          <w:pPr>
            <w:spacing w:line="0" w:lineRule="atLeast"/>
            <w:jc w:val="right"/>
            <w:rPr>
              <w:sz w:val="18"/>
            </w:rPr>
          </w:pPr>
        </w:p>
      </w:tc>
    </w:tr>
  </w:tbl>
  <w:p w14:paraId="4F3AF40F" w14:textId="77777777" w:rsidR="00B83B99" w:rsidRPr="00F23FD4" w:rsidRDefault="00F23FD4" w:rsidP="00F23FD4">
    <w:pPr>
      <w:rPr>
        <w:rFonts w:cs="Times New Roman"/>
        <w:i/>
        <w:sz w:val="18"/>
      </w:rPr>
    </w:pPr>
    <w:r w:rsidRPr="00F23FD4">
      <w:rPr>
        <w:rFonts w:cs="Times New Roman"/>
        <w:i/>
        <w:sz w:val="18"/>
      </w:rPr>
      <w:t>OPC66087 -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1D73" w14:textId="77777777" w:rsidR="00B83B99" w:rsidRPr="00E33C1C" w:rsidRDefault="00B83B9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83B99" w14:paraId="4BBCE903" w14:textId="77777777" w:rsidTr="008632EB">
      <w:tc>
        <w:tcPr>
          <w:tcW w:w="1384" w:type="dxa"/>
          <w:tcBorders>
            <w:top w:val="nil"/>
            <w:left w:val="nil"/>
            <w:bottom w:val="nil"/>
            <w:right w:val="nil"/>
          </w:tcBorders>
        </w:tcPr>
        <w:p w14:paraId="2009C009" w14:textId="77777777" w:rsidR="00B83B99" w:rsidRDefault="00B83B99" w:rsidP="008632EB">
          <w:pPr>
            <w:spacing w:line="0" w:lineRule="atLeast"/>
            <w:rPr>
              <w:sz w:val="18"/>
            </w:rPr>
          </w:pPr>
        </w:p>
      </w:tc>
      <w:tc>
        <w:tcPr>
          <w:tcW w:w="6379" w:type="dxa"/>
          <w:tcBorders>
            <w:top w:val="nil"/>
            <w:left w:val="nil"/>
            <w:bottom w:val="nil"/>
            <w:right w:val="nil"/>
          </w:tcBorders>
        </w:tcPr>
        <w:p w14:paraId="3118EB78" w14:textId="2D53689C" w:rsidR="00B83B99" w:rsidRDefault="00B83B99" w:rsidP="008632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4FED">
            <w:rPr>
              <w:i/>
              <w:sz w:val="18"/>
            </w:rPr>
            <w:t>National Housing Finance and Investment Corporation Investment Mandate Amendment (Regional First Home Buyer Guarantee) Direction 2022</w:t>
          </w:r>
          <w:r w:rsidRPr="007A1328">
            <w:rPr>
              <w:i/>
              <w:sz w:val="18"/>
            </w:rPr>
            <w:fldChar w:fldCharType="end"/>
          </w:r>
        </w:p>
      </w:tc>
      <w:tc>
        <w:tcPr>
          <w:tcW w:w="709" w:type="dxa"/>
          <w:tcBorders>
            <w:top w:val="nil"/>
            <w:left w:val="nil"/>
            <w:bottom w:val="nil"/>
            <w:right w:val="nil"/>
          </w:tcBorders>
        </w:tcPr>
        <w:p w14:paraId="240E1809" w14:textId="77777777" w:rsidR="00B83B99" w:rsidRDefault="00B83B99" w:rsidP="008632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943E677" w14:textId="77777777" w:rsidR="00B83B99" w:rsidRPr="00F23FD4" w:rsidRDefault="00F23FD4" w:rsidP="00F23FD4">
    <w:pPr>
      <w:rPr>
        <w:rFonts w:cs="Times New Roman"/>
        <w:i/>
        <w:sz w:val="18"/>
      </w:rPr>
    </w:pPr>
    <w:r w:rsidRPr="00F23FD4">
      <w:rPr>
        <w:rFonts w:cs="Times New Roman"/>
        <w:i/>
        <w:sz w:val="18"/>
      </w:rPr>
      <w:t>OPC66087 -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C8C" w14:textId="77777777" w:rsidR="00B83B99" w:rsidRPr="00E33C1C" w:rsidRDefault="00B83B9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83B99" w14:paraId="141F640A" w14:textId="77777777" w:rsidTr="007A6863">
      <w:tc>
        <w:tcPr>
          <w:tcW w:w="1384" w:type="dxa"/>
          <w:tcBorders>
            <w:top w:val="nil"/>
            <w:left w:val="nil"/>
            <w:bottom w:val="nil"/>
            <w:right w:val="nil"/>
          </w:tcBorders>
        </w:tcPr>
        <w:p w14:paraId="0F93B9A9" w14:textId="77777777" w:rsidR="00B83B99" w:rsidRDefault="00B83B99" w:rsidP="008632EB">
          <w:pPr>
            <w:spacing w:line="0" w:lineRule="atLeast"/>
            <w:rPr>
              <w:sz w:val="18"/>
            </w:rPr>
          </w:pPr>
        </w:p>
      </w:tc>
      <w:tc>
        <w:tcPr>
          <w:tcW w:w="6379" w:type="dxa"/>
          <w:tcBorders>
            <w:top w:val="nil"/>
            <w:left w:val="nil"/>
            <w:bottom w:val="nil"/>
            <w:right w:val="nil"/>
          </w:tcBorders>
        </w:tcPr>
        <w:p w14:paraId="314630DB" w14:textId="19249908" w:rsidR="00B83B99" w:rsidRDefault="00B83B99" w:rsidP="008632E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4FED">
            <w:rPr>
              <w:i/>
              <w:sz w:val="18"/>
            </w:rPr>
            <w:t>National Housing Finance and Investment Corporation Investment Mandate Amendment (Regional First Home Buyer Guarantee) Direction 2022</w:t>
          </w:r>
          <w:r w:rsidRPr="007A1328">
            <w:rPr>
              <w:i/>
              <w:sz w:val="18"/>
            </w:rPr>
            <w:fldChar w:fldCharType="end"/>
          </w:r>
        </w:p>
      </w:tc>
      <w:tc>
        <w:tcPr>
          <w:tcW w:w="709" w:type="dxa"/>
          <w:tcBorders>
            <w:top w:val="nil"/>
            <w:left w:val="nil"/>
            <w:bottom w:val="nil"/>
            <w:right w:val="nil"/>
          </w:tcBorders>
        </w:tcPr>
        <w:p w14:paraId="6CCD1EB1" w14:textId="77777777" w:rsidR="00B83B99" w:rsidRDefault="00B83B99" w:rsidP="008632E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34D914D" w14:textId="77777777" w:rsidR="00B83B99" w:rsidRPr="00F23FD4" w:rsidRDefault="00F23FD4" w:rsidP="00F23FD4">
    <w:pPr>
      <w:rPr>
        <w:rFonts w:cs="Times New Roman"/>
        <w:i/>
        <w:sz w:val="18"/>
      </w:rPr>
    </w:pPr>
    <w:r w:rsidRPr="00F23FD4">
      <w:rPr>
        <w:rFonts w:cs="Times New Roman"/>
        <w:i/>
        <w:sz w:val="18"/>
      </w:rPr>
      <w:t>OPC66087 -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BB876" w14:textId="77777777" w:rsidR="00B83B99" w:rsidRDefault="00B83B99" w:rsidP="0048364F">
      <w:pPr>
        <w:spacing w:line="240" w:lineRule="auto"/>
      </w:pPr>
      <w:r>
        <w:separator/>
      </w:r>
    </w:p>
  </w:footnote>
  <w:footnote w:type="continuationSeparator" w:id="0">
    <w:p w14:paraId="02A97740" w14:textId="77777777" w:rsidR="00B83B99" w:rsidRDefault="00B83B9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BFF6" w14:textId="77777777" w:rsidR="00B83B99" w:rsidRPr="005F1388" w:rsidRDefault="00B83B9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F4FF0" w14:textId="77777777" w:rsidR="00B83B99" w:rsidRPr="005F1388" w:rsidRDefault="00B83B9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96B6" w14:textId="77777777" w:rsidR="00B83B99" w:rsidRPr="005F1388" w:rsidRDefault="00B83B9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FD76" w14:textId="77777777" w:rsidR="00B83B99" w:rsidRPr="00ED79B6" w:rsidRDefault="00B83B99"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41D8" w14:textId="77777777" w:rsidR="00B83B99" w:rsidRPr="00ED79B6" w:rsidRDefault="00B83B99"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9941" w14:textId="77777777" w:rsidR="00B83B99" w:rsidRPr="00ED79B6" w:rsidRDefault="00B83B9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3D43" w14:textId="6453E9B0" w:rsidR="00B83B99" w:rsidRPr="00A961C4" w:rsidRDefault="00B83B99" w:rsidP="0048364F">
    <w:pPr>
      <w:rPr>
        <w:b/>
        <w:sz w:val="20"/>
      </w:rPr>
    </w:pPr>
    <w:r>
      <w:rPr>
        <w:b/>
        <w:sz w:val="20"/>
      </w:rPr>
      <w:fldChar w:fldCharType="begin"/>
    </w:r>
    <w:r>
      <w:rPr>
        <w:b/>
        <w:sz w:val="20"/>
      </w:rPr>
      <w:instrText xml:space="preserve"> STYLEREF CharAmSchNo </w:instrText>
    </w:r>
    <w:r>
      <w:rPr>
        <w:b/>
        <w:sz w:val="20"/>
      </w:rPr>
      <w:fldChar w:fldCharType="separate"/>
    </w:r>
    <w:r w:rsidR="00216C6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16C65">
      <w:rPr>
        <w:noProof/>
        <w:sz w:val="20"/>
      </w:rPr>
      <w:t>Amendments</w:t>
    </w:r>
    <w:r>
      <w:rPr>
        <w:sz w:val="20"/>
      </w:rPr>
      <w:fldChar w:fldCharType="end"/>
    </w:r>
  </w:p>
  <w:p w14:paraId="03F7137A" w14:textId="433ACC37" w:rsidR="00B83B99" w:rsidRPr="00A961C4" w:rsidRDefault="00B83B9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8B2E498" w14:textId="77777777" w:rsidR="00B83B99" w:rsidRPr="00A961C4" w:rsidRDefault="00B83B9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7286B" w14:textId="4B54EDBC" w:rsidR="00B83B99" w:rsidRPr="00A961C4" w:rsidRDefault="00B83B99" w:rsidP="0048364F">
    <w:pPr>
      <w:jc w:val="right"/>
      <w:rPr>
        <w:sz w:val="20"/>
      </w:rPr>
    </w:pPr>
    <w:r w:rsidRPr="00A961C4">
      <w:rPr>
        <w:sz w:val="20"/>
      </w:rPr>
      <w:fldChar w:fldCharType="begin"/>
    </w:r>
    <w:r w:rsidRPr="00A961C4">
      <w:rPr>
        <w:sz w:val="20"/>
      </w:rPr>
      <w:instrText xml:space="preserve"> STYLEREF CharAmSchText </w:instrText>
    </w:r>
    <w:r w:rsidR="00216C65">
      <w:rPr>
        <w:sz w:val="20"/>
      </w:rPr>
      <w:fldChar w:fldCharType="separate"/>
    </w:r>
    <w:r w:rsidR="00216C6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16C65">
      <w:rPr>
        <w:b/>
        <w:sz w:val="20"/>
      </w:rPr>
      <w:fldChar w:fldCharType="separate"/>
    </w:r>
    <w:r w:rsidR="00216C65">
      <w:rPr>
        <w:b/>
        <w:noProof/>
        <w:sz w:val="20"/>
      </w:rPr>
      <w:t>Schedule 1</w:t>
    </w:r>
    <w:r>
      <w:rPr>
        <w:b/>
        <w:sz w:val="20"/>
      </w:rPr>
      <w:fldChar w:fldCharType="end"/>
    </w:r>
  </w:p>
  <w:p w14:paraId="00268E75" w14:textId="705CCEEE" w:rsidR="00B83B99" w:rsidRPr="00A961C4" w:rsidRDefault="00B83B9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233BC19" w14:textId="77777777" w:rsidR="00B83B99" w:rsidRPr="00A961C4" w:rsidRDefault="00B83B9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ED79" w14:textId="77777777" w:rsidR="00B83B99" w:rsidRPr="00A961C4" w:rsidRDefault="00B83B9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8D"/>
    <w:rsid w:val="00000263"/>
    <w:rsid w:val="0001126D"/>
    <w:rsid w:val="000113BC"/>
    <w:rsid w:val="000136AF"/>
    <w:rsid w:val="00015EEF"/>
    <w:rsid w:val="0003298B"/>
    <w:rsid w:val="0003406D"/>
    <w:rsid w:val="00035304"/>
    <w:rsid w:val="00036E24"/>
    <w:rsid w:val="0004044E"/>
    <w:rsid w:val="00046F47"/>
    <w:rsid w:val="0005120E"/>
    <w:rsid w:val="00054577"/>
    <w:rsid w:val="000614BF"/>
    <w:rsid w:val="0007169C"/>
    <w:rsid w:val="00077593"/>
    <w:rsid w:val="00083F48"/>
    <w:rsid w:val="000A7DF9"/>
    <w:rsid w:val="000B5E00"/>
    <w:rsid w:val="000D05EF"/>
    <w:rsid w:val="000D3DCA"/>
    <w:rsid w:val="000D5485"/>
    <w:rsid w:val="000F10D3"/>
    <w:rsid w:val="000F21C1"/>
    <w:rsid w:val="000F2F2D"/>
    <w:rsid w:val="001020F0"/>
    <w:rsid w:val="00105D72"/>
    <w:rsid w:val="0010745C"/>
    <w:rsid w:val="00117277"/>
    <w:rsid w:val="00130AE1"/>
    <w:rsid w:val="00132F19"/>
    <w:rsid w:val="0013338A"/>
    <w:rsid w:val="00155873"/>
    <w:rsid w:val="00160BD7"/>
    <w:rsid w:val="001643C9"/>
    <w:rsid w:val="00165568"/>
    <w:rsid w:val="00166082"/>
    <w:rsid w:val="001666CF"/>
    <w:rsid w:val="00166C2F"/>
    <w:rsid w:val="0017114E"/>
    <w:rsid w:val="001716C9"/>
    <w:rsid w:val="00181941"/>
    <w:rsid w:val="00184261"/>
    <w:rsid w:val="00190BA1"/>
    <w:rsid w:val="00190DF5"/>
    <w:rsid w:val="00193461"/>
    <w:rsid w:val="001939E1"/>
    <w:rsid w:val="00195382"/>
    <w:rsid w:val="001A3B9F"/>
    <w:rsid w:val="001A65C0"/>
    <w:rsid w:val="001A7495"/>
    <w:rsid w:val="001B5B43"/>
    <w:rsid w:val="001B6456"/>
    <w:rsid w:val="001B7A5D"/>
    <w:rsid w:val="001C69C4"/>
    <w:rsid w:val="001D6499"/>
    <w:rsid w:val="001E0A8D"/>
    <w:rsid w:val="001E3590"/>
    <w:rsid w:val="001E7407"/>
    <w:rsid w:val="00201D27"/>
    <w:rsid w:val="00202259"/>
    <w:rsid w:val="00202D19"/>
    <w:rsid w:val="0020300C"/>
    <w:rsid w:val="00216C65"/>
    <w:rsid w:val="00220A0C"/>
    <w:rsid w:val="002216A1"/>
    <w:rsid w:val="00223E4A"/>
    <w:rsid w:val="002302EA"/>
    <w:rsid w:val="00231276"/>
    <w:rsid w:val="002319E6"/>
    <w:rsid w:val="002320BB"/>
    <w:rsid w:val="00240749"/>
    <w:rsid w:val="002468D7"/>
    <w:rsid w:val="00252BE1"/>
    <w:rsid w:val="00263886"/>
    <w:rsid w:val="00263BCC"/>
    <w:rsid w:val="00285CDD"/>
    <w:rsid w:val="00291167"/>
    <w:rsid w:val="00291DED"/>
    <w:rsid w:val="00297ECB"/>
    <w:rsid w:val="002A6C95"/>
    <w:rsid w:val="002C152A"/>
    <w:rsid w:val="002D043A"/>
    <w:rsid w:val="002D462E"/>
    <w:rsid w:val="002E1BB4"/>
    <w:rsid w:val="002E3538"/>
    <w:rsid w:val="00311826"/>
    <w:rsid w:val="00315659"/>
    <w:rsid w:val="00316C74"/>
    <w:rsid w:val="0031713F"/>
    <w:rsid w:val="00321913"/>
    <w:rsid w:val="00323A19"/>
    <w:rsid w:val="00324EE6"/>
    <w:rsid w:val="003316DC"/>
    <w:rsid w:val="003329F1"/>
    <w:rsid w:val="00332E0D"/>
    <w:rsid w:val="003415D3"/>
    <w:rsid w:val="00346335"/>
    <w:rsid w:val="00352B0F"/>
    <w:rsid w:val="003561B0"/>
    <w:rsid w:val="003615B0"/>
    <w:rsid w:val="00367960"/>
    <w:rsid w:val="00370AEA"/>
    <w:rsid w:val="003A15AC"/>
    <w:rsid w:val="003A56EB"/>
    <w:rsid w:val="003B0627"/>
    <w:rsid w:val="003B1FAA"/>
    <w:rsid w:val="003C5F2B"/>
    <w:rsid w:val="003D0BFE"/>
    <w:rsid w:val="003D4FED"/>
    <w:rsid w:val="003D5700"/>
    <w:rsid w:val="003E03A3"/>
    <w:rsid w:val="003F0F5A"/>
    <w:rsid w:val="003F216E"/>
    <w:rsid w:val="003F293C"/>
    <w:rsid w:val="003F32B6"/>
    <w:rsid w:val="003F678D"/>
    <w:rsid w:val="00400A30"/>
    <w:rsid w:val="004022CA"/>
    <w:rsid w:val="00402A1C"/>
    <w:rsid w:val="004116CD"/>
    <w:rsid w:val="00414ADE"/>
    <w:rsid w:val="00416B01"/>
    <w:rsid w:val="00424CA9"/>
    <w:rsid w:val="004257BB"/>
    <w:rsid w:val="004261D9"/>
    <w:rsid w:val="004309F0"/>
    <w:rsid w:val="00435DC0"/>
    <w:rsid w:val="00436535"/>
    <w:rsid w:val="00441FF7"/>
    <w:rsid w:val="0044291A"/>
    <w:rsid w:val="004501D0"/>
    <w:rsid w:val="0045386D"/>
    <w:rsid w:val="00460499"/>
    <w:rsid w:val="004635C4"/>
    <w:rsid w:val="00474835"/>
    <w:rsid w:val="004819C7"/>
    <w:rsid w:val="0048364F"/>
    <w:rsid w:val="00490F2E"/>
    <w:rsid w:val="004934FF"/>
    <w:rsid w:val="00496DB3"/>
    <w:rsid w:val="00496F97"/>
    <w:rsid w:val="004A53EA"/>
    <w:rsid w:val="004C5C3C"/>
    <w:rsid w:val="004F1FAC"/>
    <w:rsid w:val="004F676E"/>
    <w:rsid w:val="0051321D"/>
    <w:rsid w:val="00515863"/>
    <w:rsid w:val="00516B8D"/>
    <w:rsid w:val="00520874"/>
    <w:rsid w:val="0052686F"/>
    <w:rsid w:val="0052756C"/>
    <w:rsid w:val="00530230"/>
    <w:rsid w:val="00530CC9"/>
    <w:rsid w:val="00537FBC"/>
    <w:rsid w:val="00541D73"/>
    <w:rsid w:val="00543469"/>
    <w:rsid w:val="00543959"/>
    <w:rsid w:val="005452CC"/>
    <w:rsid w:val="00545448"/>
    <w:rsid w:val="00546FA3"/>
    <w:rsid w:val="00554243"/>
    <w:rsid w:val="00554EA6"/>
    <w:rsid w:val="00557C7A"/>
    <w:rsid w:val="00562A58"/>
    <w:rsid w:val="00581211"/>
    <w:rsid w:val="00584811"/>
    <w:rsid w:val="00593AA6"/>
    <w:rsid w:val="00594161"/>
    <w:rsid w:val="00594512"/>
    <w:rsid w:val="00594749"/>
    <w:rsid w:val="005A482B"/>
    <w:rsid w:val="005B4067"/>
    <w:rsid w:val="005B4AB4"/>
    <w:rsid w:val="005C22D5"/>
    <w:rsid w:val="005C36E0"/>
    <w:rsid w:val="005C3F41"/>
    <w:rsid w:val="005C6508"/>
    <w:rsid w:val="005D0167"/>
    <w:rsid w:val="005D168D"/>
    <w:rsid w:val="005D5EA1"/>
    <w:rsid w:val="005E61D3"/>
    <w:rsid w:val="005F4840"/>
    <w:rsid w:val="005F7738"/>
    <w:rsid w:val="00600219"/>
    <w:rsid w:val="006076EC"/>
    <w:rsid w:val="00613EAD"/>
    <w:rsid w:val="006158AC"/>
    <w:rsid w:val="00617E6A"/>
    <w:rsid w:val="00640402"/>
    <w:rsid w:val="00640F78"/>
    <w:rsid w:val="00646E7B"/>
    <w:rsid w:val="006547E5"/>
    <w:rsid w:val="00655D6A"/>
    <w:rsid w:val="00655E5D"/>
    <w:rsid w:val="00656DE9"/>
    <w:rsid w:val="00677CC2"/>
    <w:rsid w:val="00681206"/>
    <w:rsid w:val="00685F42"/>
    <w:rsid w:val="006866A1"/>
    <w:rsid w:val="0069207B"/>
    <w:rsid w:val="006A4309"/>
    <w:rsid w:val="006A79A9"/>
    <w:rsid w:val="006B0E55"/>
    <w:rsid w:val="006B7006"/>
    <w:rsid w:val="006C3D8C"/>
    <w:rsid w:val="006C5E2C"/>
    <w:rsid w:val="006C7F8C"/>
    <w:rsid w:val="006D7AB9"/>
    <w:rsid w:val="00700B2C"/>
    <w:rsid w:val="00713084"/>
    <w:rsid w:val="00720FC2"/>
    <w:rsid w:val="007301E2"/>
    <w:rsid w:val="00731E00"/>
    <w:rsid w:val="00732E9D"/>
    <w:rsid w:val="0073491A"/>
    <w:rsid w:val="007440B7"/>
    <w:rsid w:val="00747993"/>
    <w:rsid w:val="007634AD"/>
    <w:rsid w:val="007715C9"/>
    <w:rsid w:val="00774EDD"/>
    <w:rsid w:val="007757EC"/>
    <w:rsid w:val="007A115D"/>
    <w:rsid w:val="007A35E6"/>
    <w:rsid w:val="007A6863"/>
    <w:rsid w:val="007D45C1"/>
    <w:rsid w:val="007E7567"/>
    <w:rsid w:val="007E7D4A"/>
    <w:rsid w:val="007F48ED"/>
    <w:rsid w:val="007F7947"/>
    <w:rsid w:val="00812F45"/>
    <w:rsid w:val="00823B55"/>
    <w:rsid w:val="0084172C"/>
    <w:rsid w:val="008552AA"/>
    <w:rsid w:val="00856A31"/>
    <w:rsid w:val="008632EB"/>
    <w:rsid w:val="008754D0"/>
    <w:rsid w:val="00875FDA"/>
    <w:rsid w:val="00877D48"/>
    <w:rsid w:val="008816F0"/>
    <w:rsid w:val="0088345B"/>
    <w:rsid w:val="00885B0C"/>
    <w:rsid w:val="00886910"/>
    <w:rsid w:val="00892CE7"/>
    <w:rsid w:val="00893CAC"/>
    <w:rsid w:val="008A16A5"/>
    <w:rsid w:val="008B2601"/>
    <w:rsid w:val="008B5D42"/>
    <w:rsid w:val="008C2B5D"/>
    <w:rsid w:val="008D0EE0"/>
    <w:rsid w:val="008D5B99"/>
    <w:rsid w:val="008D7A27"/>
    <w:rsid w:val="008E4702"/>
    <w:rsid w:val="008E69AA"/>
    <w:rsid w:val="008F1F9C"/>
    <w:rsid w:val="008F4F1C"/>
    <w:rsid w:val="0091033A"/>
    <w:rsid w:val="00922764"/>
    <w:rsid w:val="00923BBE"/>
    <w:rsid w:val="00926923"/>
    <w:rsid w:val="00927B46"/>
    <w:rsid w:val="00931FDD"/>
    <w:rsid w:val="00932377"/>
    <w:rsid w:val="009408EA"/>
    <w:rsid w:val="00943102"/>
    <w:rsid w:val="0094523D"/>
    <w:rsid w:val="009559E6"/>
    <w:rsid w:val="009576D5"/>
    <w:rsid w:val="00966110"/>
    <w:rsid w:val="00976A63"/>
    <w:rsid w:val="00983419"/>
    <w:rsid w:val="00994821"/>
    <w:rsid w:val="009A6751"/>
    <w:rsid w:val="009A77F7"/>
    <w:rsid w:val="009C29A0"/>
    <w:rsid w:val="009C3431"/>
    <w:rsid w:val="009C37C2"/>
    <w:rsid w:val="009C5989"/>
    <w:rsid w:val="009D08DA"/>
    <w:rsid w:val="009E3450"/>
    <w:rsid w:val="009F3C66"/>
    <w:rsid w:val="00A00CBB"/>
    <w:rsid w:val="00A06860"/>
    <w:rsid w:val="00A136F5"/>
    <w:rsid w:val="00A231E2"/>
    <w:rsid w:val="00A23959"/>
    <w:rsid w:val="00A2550D"/>
    <w:rsid w:val="00A4169B"/>
    <w:rsid w:val="00A4223D"/>
    <w:rsid w:val="00A445F2"/>
    <w:rsid w:val="00A50D55"/>
    <w:rsid w:val="00A5165B"/>
    <w:rsid w:val="00A52FDA"/>
    <w:rsid w:val="00A56854"/>
    <w:rsid w:val="00A577C5"/>
    <w:rsid w:val="00A64912"/>
    <w:rsid w:val="00A70A74"/>
    <w:rsid w:val="00A90EA8"/>
    <w:rsid w:val="00AA0343"/>
    <w:rsid w:val="00AA0B3D"/>
    <w:rsid w:val="00AA2A5C"/>
    <w:rsid w:val="00AA36BE"/>
    <w:rsid w:val="00AB78E9"/>
    <w:rsid w:val="00AC6C10"/>
    <w:rsid w:val="00AD3467"/>
    <w:rsid w:val="00AD5641"/>
    <w:rsid w:val="00AD7252"/>
    <w:rsid w:val="00AE0F9B"/>
    <w:rsid w:val="00AE3771"/>
    <w:rsid w:val="00AF55FF"/>
    <w:rsid w:val="00AF7043"/>
    <w:rsid w:val="00B032D8"/>
    <w:rsid w:val="00B24CBE"/>
    <w:rsid w:val="00B302E3"/>
    <w:rsid w:val="00B33B3C"/>
    <w:rsid w:val="00B40D74"/>
    <w:rsid w:val="00B52663"/>
    <w:rsid w:val="00B56DCB"/>
    <w:rsid w:val="00B770D2"/>
    <w:rsid w:val="00B83B99"/>
    <w:rsid w:val="00B94F68"/>
    <w:rsid w:val="00BA47A3"/>
    <w:rsid w:val="00BA5026"/>
    <w:rsid w:val="00BA726D"/>
    <w:rsid w:val="00BA7F49"/>
    <w:rsid w:val="00BB6E79"/>
    <w:rsid w:val="00BC6644"/>
    <w:rsid w:val="00BE3B31"/>
    <w:rsid w:val="00BE719A"/>
    <w:rsid w:val="00BE720A"/>
    <w:rsid w:val="00BF6650"/>
    <w:rsid w:val="00C067E5"/>
    <w:rsid w:val="00C14799"/>
    <w:rsid w:val="00C164CA"/>
    <w:rsid w:val="00C33059"/>
    <w:rsid w:val="00C42BF8"/>
    <w:rsid w:val="00C460AE"/>
    <w:rsid w:val="00C50043"/>
    <w:rsid w:val="00C50A0F"/>
    <w:rsid w:val="00C5188F"/>
    <w:rsid w:val="00C7573B"/>
    <w:rsid w:val="00C76CF3"/>
    <w:rsid w:val="00C84D1B"/>
    <w:rsid w:val="00CA7844"/>
    <w:rsid w:val="00CB13ED"/>
    <w:rsid w:val="00CB58EF"/>
    <w:rsid w:val="00CC2146"/>
    <w:rsid w:val="00CC33B6"/>
    <w:rsid w:val="00CE7D64"/>
    <w:rsid w:val="00CF0BB2"/>
    <w:rsid w:val="00D01682"/>
    <w:rsid w:val="00D01FC5"/>
    <w:rsid w:val="00D1275D"/>
    <w:rsid w:val="00D13441"/>
    <w:rsid w:val="00D16D78"/>
    <w:rsid w:val="00D20665"/>
    <w:rsid w:val="00D243A3"/>
    <w:rsid w:val="00D3200B"/>
    <w:rsid w:val="00D33440"/>
    <w:rsid w:val="00D33ED0"/>
    <w:rsid w:val="00D36BB5"/>
    <w:rsid w:val="00D52EFE"/>
    <w:rsid w:val="00D550EF"/>
    <w:rsid w:val="00D56A0D"/>
    <w:rsid w:val="00D5767F"/>
    <w:rsid w:val="00D63EF6"/>
    <w:rsid w:val="00D66518"/>
    <w:rsid w:val="00D70DFB"/>
    <w:rsid w:val="00D71EEA"/>
    <w:rsid w:val="00D735CD"/>
    <w:rsid w:val="00D766DF"/>
    <w:rsid w:val="00D95891"/>
    <w:rsid w:val="00DA6BE7"/>
    <w:rsid w:val="00DB5CB4"/>
    <w:rsid w:val="00DE149E"/>
    <w:rsid w:val="00DE313C"/>
    <w:rsid w:val="00DF457C"/>
    <w:rsid w:val="00E0036F"/>
    <w:rsid w:val="00E05704"/>
    <w:rsid w:val="00E12F1A"/>
    <w:rsid w:val="00E15561"/>
    <w:rsid w:val="00E15BA6"/>
    <w:rsid w:val="00E21CFB"/>
    <w:rsid w:val="00E22935"/>
    <w:rsid w:val="00E44136"/>
    <w:rsid w:val="00E54292"/>
    <w:rsid w:val="00E54D80"/>
    <w:rsid w:val="00E60191"/>
    <w:rsid w:val="00E74DC7"/>
    <w:rsid w:val="00E87699"/>
    <w:rsid w:val="00E91E87"/>
    <w:rsid w:val="00E92E27"/>
    <w:rsid w:val="00E9586B"/>
    <w:rsid w:val="00E97334"/>
    <w:rsid w:val="00EA0D36"/>
    <w:rsid w:val="00EC3106"/>
    <w:rsid w:val="00ED4928"/>
    <w:rsid w:val="00EE3749"/>
    <w:rsid w:val="00EE6190"/>
    <w:rsid w:val="00EF2E3A"/>
    <w:rsid w:val="00EF6402"/>
    <w:rsid w:val="00F025DF"/>
    <w:rsid w:val="00F047E2"/>
    <w:rsid w:val="00F04D57"/>
    <w:rsid w:val="00F078DC"/>
    <w:rsid w:val="00F13E86"/>
    <w:rsid w:val="00F23FD4"/>
    <w:rsid w:val="00F25D9B"/>
    <w:rsid w:val="00F26A61"/>
    <w:rsid w:val="00F27672"/>
    <w:rsid w:val="00F32FCB"/>
    <w:rsid w:val="00F57AE9"/>
    <w:rsid w:val="00F60FD1"/>
    <w:rsid w:val="00F65D57"/>
    <w:rsid w:val="00F6709F"/>
    <w:rsid w:val="00F677A9"/>
    <w:rsid w:val="00F723BD"/>
    <w:rsid w:val="00F732EA"/>
    <w:rsid w:val="00F84CF5"/>
    <w:rsid w:val="00F8612E"/>
    <w:rsid w:val="00FA420B"/>
    <w:rsid w:val="00FA4EB4"/>
    <w:rsid w:val="00FD2B18"/>
    <w:rsid w:val="00FD761A"/>
    <w:rsid w:val="00FE0781"/>
    <w:rsid w:val="00FF39DE"/>
    <w:rsid w:val="00FF7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AF4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F293C"/>
    <w:pPr>
      <w:spacing w:line="260" w:lineRule="atLeast"/>
    </w:pPr>
    <w:rPr>
      <w:sz w:val="22"/>
    </w:rPr>
  </w:style>
  <w:style w:type="paragraph" w:styleId="Heading1">
    <w:name w:val="heading 1"/>
    <w:basedOn w:val="Normal"/>
    <w:next w:val="Normal"/>
    <w:link w:val="Heading1Char"/>
    <w:uiPriority w:val="9"/>
    <w:qFormat/>
    <w:rsid w:val="003F293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93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293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293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293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F293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F293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F293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F293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F293C"/>
  </w:style>
  <w:style w:type="paragraph" w:customStyle="1" w:styleId="OPCParaBase">
    <w:name w:val="OPCParaBase"/>
    <w:qFormat/>
    <w:rsid w:val="003F293C"/>
    <w:pPr>
      <w:spacing w:line="260" w:lineRule="atLeast"/>
    </w:pPr>
    <w:rPr>
      <w:rFonts w:eastAsia="Times New Roman" w:cs="Times New Roman"/>
      <w:sz w:val="22"/>
      <w:lang w:eastAsia="en-AU"/>
    </w:rPr>
  </w:style>
  <w:style w:type="paragraph" w:customStyle="1" w:styleId="ShortT">
    <w:name w:val="ShortT"/>
    <w:basedOn w:val="OPCParaBase"/>
    <w:next w:val="Normal"/>
    <w:qFormat/>
    <w:rsid w:val="003F293C"/>
    <w:pPr>
      <w:spacing w:line="240" w:lineRule="auto"/>
    </w:pPr>
    <w:rPr>
      <w:b/>
      <w:sz w:val="40"/>
    </w:rPr>
  </w:style>
  <w:style w:type="paragraph" w:customStyle="1" w:styleId="ActHead1">
    <w:name w:val="ActHead 1"/>
    <w:aliases w:val="c"/>
    <w:basedOn w:val="OPCParaBase"/>
    <w:next w:val="Normal"/>
    <w:qFormat/>
    <w:rsid w:val="003F293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293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F293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F293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F293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293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293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293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293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F293C"/>
  </w:style>
  <w:style w:type="paragraph" w:customStyle="1" w:styleId="Blocks">
    <w:name w:val="Blocks"/>
    <w:aliases w:val="bb"/>
    <w:basedOn w:val="OPCParaBase"/>
    <w:qFormat/>
    <w:rsid w:val="003F293C"/>
    <w:pPr>
      <w:spacing w:line="240" w:lineRule="auto"/>
    </w:pPr>
    <w:rPr>
      <w:sz w:val="24"/>
    </w:rPr>
  </w:style>
  <w:style w:type="paragraph" w:customStyle="1" w:styleId="BoxText">
    <w:name w:val="BoxText"/>
    <w:aliases w:val="bt"/>
    <w:basedOn w:val="OPCParaBase"/>
    <w:qFormat/>
    <w:rsid w:val="003F293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293C"/>
    <w:rPr>
      <w:b/>
    </w:rPr>
  </w:style>
  <w:style w:type="paragraph" w:customStyle="1" w:styleId="BoxHeadItalic">
    <w:name w:val="BoxHeadItalic"/>
    <w:aliases w:val="bhi"/>
    <w:basedOn w:val="BoxText"/>
    <w:next w:val="BoxStep"/>
    <w:qFormat/>
    <w:rsid w:val="003F293C"/>
    <w:rPr>
      <w:i/>
    </w:rPr>
  </w:style>
  <w:style w:type="paragraph" w:customStyle="1" w:styleId="BoxList">
    <w:name w:val="BoxList"/>
    <w:aliases w:val="bl"/>
    <w:basedOn w:val="BoxText"/>
    <w:qFormat/>
    <w:rsid w:val="003F293C"/>
    <w:pPr>
      <w:ind w:left="1559" w:hanging="425"/>
    </w:pPr>
  </w:style>
  <w:style w:type="paragraph" w:customStyle="1" w:styleId="BoxNote">
    <w:name w:val="BoxNote"/>
    <w:aliases w:val="bn"/>
    <w:basedOn w:val="BoxText"/>
    <w:qFormat/>
    <w:rsid w:val="003F293C"/>
    <w:pPr>
      <w:tabs>
        <w:tab w:val="left" w:pos="1985"/>
      </w:tabs>
      <w:spacing w:before="122" w:line="198" w:lineRule="exact"/>
      <w:ind w:left="2948" w:hanging="1814"/>
    </w:pPr>
    <w:rPr>
      <w:sz w:val="18"/>
    </w:rPr>
  </w:style>
  <w:style w:type="paragraph" w:customStyle="1" w:styleId="BoxPara">
    <w:name w:val="BoxPara"/>
    <w:aliases w:val="bp"/>
    <w:basedOn w:val="BoxText"/>
    <w:qFormat/>
    <w:rsid w:val="003F293C"/>
    <w:pPr>
      <w:tabs>
        <w:tab w:val="right" w:pos="2268"/>
      </w:tabs>
      <w:ind w:left="2552" w:hanging="1418"/>
    </w:pPr>
  </w:style>
  <w:style w:type="paragraph" w:customStyle="1" w:styleId="BoxStep">
    <w:name w:val="BoxStep"/>
    <w:aliases w:val="bs"/>
    <w:basedOn w:val="BoxText"/>
    <w:qFormat/>
    <w:rsid w:val="003F293C"/>
    <w:pPr>
      <w:ind w:left="1985" w:hanging="851"/>
    </w:pPr>
  </w:style>
  <w:style w:type="character" w:customStyle="1" w:styleId="CharAmPartNo">
    <w:name w:val="CharAmPartNo"/>
    <w:basedOn w:val="OPCCharBase"/>
    <w:qFormat/>
    <w:rsid w:val="003F293C"/>
  </w:style>
  <w:style w:type="character" w:customStyle="1" w:styleId="CharAmPartText">
    <w:name w:val="CharAmPartText"/>
    <w:basedOn w:val="OPCCharBase"/>
    <w:qFormat/>
    <w:rsid w:val="003F293C"/>
  </w:style>
  <w:style w:type="character" w:customStyle="1" w:styleId="CharAmSchNo">
    <w:name w:val="CharAmSchNo"/>
    <w:basedOn w:val="OPCCharBase"/>
    <w:qFormat/>
    <w:rsid w:val="003F293C"/>
  </w:style>
  <w:style w:type="character" w:customStyle="1" w:styleId="CharAmSchText">
    <w:name w:val="CharAmSchText"/>
    <w:basedOn w:val="OPCCharBase"/>
    <w:qFormat/>
    <w:rsid w:val="003F293C"/>
  </w:style>
  <w:style w:type="character" w:customStyle="1" w:styleId="CharBoldItalic">
    <w:name w:val="CharBoldItalic"/>
    <w:basedOn w:val="OPCCharBase"/>
    <w:uiPriority w:val="1"/>
    <w:qFormat/>
    <w:rsid w:val="003F293C"/>
    <w:rPr>
      <w:b/>
      <w:i/>
    </w:rPr>
  </w:style>
  <w:style w:type="character" w:customStyle="1" w:styleId="CharChapNo">
    <w:name w:val="CharChapNo"/>
    <w:basedOn w:val="OPCCharBase"/>
    <w:uiPriority w:val="1"/>
    <w:qFormat/>
    <w:rsid w:val="003F293C"/>
  </w:style>
  <w:style w:type="character" w:customStyle="1" w:styleId="CharChapText">
    <w:name w:val="CharChapText"/>
    <w:basedOn w:val="OPCCharBase"/>
    <w:uiPriority w:val="1"/>
    <w:qFormat/>
    <w:rsid w:val="003F293C"/>
  </w:style>
  <w:style w:type="character" w:customStyle="1" w:styleId="CharDivNo">
    <w:name w:val="CharDivNo"/>
    <w:basedOn w:val="OPCCharBase"/>
    <w:uiPriority w:val="1"/>
    <w:qFormat/>
    <w:rsid w:val="003F293C"/>
  </w:style>
  <w:style w:type="character" w:customStyle="1" w:styleId="CharDivText">
    <w:name w:val="CharDivText"/>
    <w:basedOn w:val="OPCCharBase"/>
    <w:uiPriority w:val="1"/>
    <w:qFormat/>
    <w:rsid w:val="003F293C"/>
  </w:style>
  <w:style w:type="character" w:customStyle="1" w:styleId="CharItalic">
    <w:name w:val="CharItalic"/>
    <w:basedOn w:val="OPCCharBase"/>
    <w:uiPriority w:val="1"/>
    <w:qFormat/>
    <w:rsid w:val="003F293C"/>
    <w:rPr>
      <w:i/>
    </w:rPr>
  </w:style>
  <w:style w:type="character" w:customStyle="1" w:styleId="CharPartNo">
    <w:name w:val="CharPartNo"/>
    <w:basedOn w:val="OPCCharBase"/>
    <w:uiPriority w:val="1"/>
    <w:qFormat/>
    <w:rsid w:val="003F293C"/>
  </w:style>
  <w:style w:type="character" w:customStyle="1" w:styleId="CharPartText">
    <w:name w:val="CharPartText"/>
    <w:basedOn w:val="OPCCharBase"/>
    <w:uiPriority w:val="1"/>
    <w:qFormat/>
    <w:rsid w:val="003F293C"/>
  </w:style>
  <w:style w:type="character" w:customStyle="1" w:styleId="CharSectno">
    <w:name w:val="CharSectno"/>
    <w:basedOn w:val="OPCCharBase"/>
    <w:qFormat/>
    <w:rsid w:val="003F293C"/>
  </w:style>
  <w:style w:type="character" w:customStyle="1" w:styleId="CharSubdNo">
    <w:name w:val="CharSubdNo"/>
    <w:basedOn w:val="OPCCharBase"/>
    <w:uiPriority w:val="1"/>
    <w:qFormat/>
    <w:rsid w:val="003F293C"/>
  </w:style>
  <w:style w:type="character" w:customStyle="1" w:styleId="CharSubdText">
    <w:name w:val="CharSubdText"/>
    <w:basedOn w:val="OPCCharBase"/>
    <w:uiPriority w:val="1"/>
    <w:qFormat/>
    <w:rsid w:val="003F293C"/>
  </w:style>
  <w:style w:type="paragraph" w:customStyle="1" w:styleId="CTA--">
    <w:name w:val="CTA --"/>
    <w:basedOn w:val="OPCParaBase"/>
    <w:next w:val="Normal"/>
    <w:rsid w:val="003F293C"/>
    <w:pPr>
      <w:spacing w:before="60" w:line="240" w:lineRule="atLeast"/>
      <w:ind w:left="142" w:hanging="142"/>
    </w:pPr>
    <w:rPr>
      <w:sz w:val="20"/>
    </w:rPr>
  </w:style>
  <w:style w:type="paragraph" w:customStyle="1" w:styleId="CTA-">
    <w:name w:val="CTA -"/>
    <w:basedOn w:val="OPCParaBase"/>
    <w:rsid w:val="003F293C"/>
    <w:pPr>
      <w:spacing w:before="60" w:line="240" w:lineRule="atLeast"/>
      <w:ind w:left="85" w:hanging="85"/>
    </w:pPr>
    <w:rPr>
      <w:sz w:val="20"/>
    </w:rPr>
  </w:style>
  <w:style w:type="paragraph" w:customStyle="1" w:styleId="CTA---">
    <w:name w:val="CTA ---"/>
    <w:basedOn w:val="OPCParaBase"/>
    <w:next w:val="Normal"/>
    <w:rsid w:val="003F293C"/>
    <w:pPr>
      <w:spacing w:before="60" w:line="240" w:lineRule="atLeast"/>
      <w:ind w:left="198" w:hanging="198"/>
    </w:pPr>
    <w:rPr>
      <w:sz w:val="20"/>
    </w:rPr>
  </w:style>
  <w:style w:type="paragraph" w:customStyle="1" w:styleId="CTA----">
    <w:name w:val="CTA ----"/>
    <w:basedOn w:val="OPCParaBase"/>
    <w:next w:val="Normal"/>
    <w:rsid w:val="003F293C"/>
    <w:pPr>
      <w:spacing w:before="60" w:line="240" w:lineRule="atLeast"/>
      <w:ind w:left="255" w:hanging="255"/>
    </w:pPr>
    <w:rPr>
      <w:sz w:val="20"/>
    </w:rPr>
  </w:style>
  <w:style w:type="paragraph" w:customStyle="1" w:styleId="CTA1a">
    <w:name w:val="CTA 1(a)"/>
    <w:basedOn w:val="OPCParaBase"/>
    <w:rsid w:val="003F293C"/>
    <w:pPr>
      <w:tabs>
        <w:tab w:val="right" w:pos="414"/>
      </w:tabs>
      <w:spacing w:before="40" w:line="240" w:lineRule="atLeast"/>
      <w:ind w:left="675" w:hanging="675"/>
    </w:pPr>
    <w:rPr>
      <w:sz w:val="20"/>
    </w:rPr>
  </w:style>
  <w:style w:type="paragraph" w:customStyle="1" w:styleId="CTA1ai">
    <w:name w:val="CTA 1(a)(i)"/>
    <w:basedOn w:val="OPCParaBase"/>
    <w:rsid w:val="003F293C"/>
    <w:pPr>
      <w:tabs>
        <w:tab w:val="right" w:pos="1004"/>
      </w:tabs>
      <w:spacing w:before="40" w:line="240" w:lineRule="atLeast"/>
      <w:ind w:left="1253" w:hanging="1253"/>
    </w:pPr>
    <w:rPr>
      <w:sz w:val="20"/>
    </w:rPr>
  </w:style>
  <w:style w:type="paragraph" w:customStyle="1" w:styleId="CTA2a">
    <w:name w:val="CTA 2(a)"/>
    <w:basedOn w:val="OPCParaBase"/>
    <w:rsid w:val="003F293C"/>
    <w:pPr>
      <w:tabs>
        <w:tab w:val="right" w:pos="482"/>
      </w:tabs>
      <w:spacing w:before="40" w:line="240" w:lineRule="atLeast"/>
      <w:ind w:left="748" w:hanging="748"/>
    </w:pPr>
    <w:rPr>
      <w:sz w:val="20"/>
    </w:rPr>
  </w:style>
  <w:style w:type="paragraph" w:customStyle="1" w:styleId="CTA2ai">
    <w:name w:val="CTA 2(a)(i)"/>
    <w:basedOn w:val="OPCParaBase"/>
    <w:rsid w:val="003F293C"/>
    <w:pPr>
      <w:tabs>
        <w:tab w:val="right" w:pos="1089"/>
      </w:tabs>
      <w:spacing w:before="40" w:line="240" w:lineRule="atLeast"/>
      <w:ind w:left="1327" w:hanging="1327"/>
    </w:pPr>
    <w:rPr>
      <w:sz w:val="20"/>
    </w:rPr>
  </w:style>
  <w:style w:type="paragraph" w:customStyle="1" w:styleId="CTA3a">
    <w:name w:val="CTA 3(a)"/>
    <w:basedOn w:val="OPCParaBase"/>
    <w:rsid w:val="003F293C"/>
    <w:pPr>
      <w:tabs>
        <w:tab w:val="right" w:pos="556"/>
      </w:tabs>
      <w:spacing w:before="40" w:line="240" w:lineRule="atLeast"/>
      <w:ind w:left="805" w:hanging="805"/>
    </w:pPr>
    <w:rPr>
      <w:sz w:val="20"/>
    </w:rPr>
  </w:style>
  <w:style w:type="paragraph" w:customStyle="1" w:styleId="CTA3ai">
    <w:name w:val="CTA 3(a)(i)"/>
    <w:basedOn w:val="OPCParaBase"/>
    <w:rsid w:val="003F293C"/>
    <w:pPr>
      <w:tabs>
        <w:tab w:val="right" w:pos="1140"/>
      </w:tabs>
      <w:spacing w:before="40" w:line="240" w:lineRule="atLeast"/>
      <w:ind w:left="1361" w:hanging="1361"/>
    </w:pPr>
    <w:rPr>
      <w:sz w:val="20"/>
    </w:rPr>
  </w:style>
  <w:style w:type="paragraph" w:customStyle="1" w:styleId="CTA4a">
    <w:name w:val="CTA 4(a)"/>
    <w:basedOn w:val="OPCParaBase"/>
    <w:rsid w:val="003F293C"/>
    <w:pPr>
      <w:tabs>
        <w:tab w:val="right" w:pos="624"/>
      </w:tabs>
      <w:spacing w:before="40" w:line="240" w:lineRule="atLeast"/>
      <w:ind w:left="873" w:hanging="873"/>
    </w:pPr>
    <w:rPr>
      <w:sz w:val="20"/>
    </w:rPr>
  </w:style>
  <w:style w:type="paragraph" w:customStyle="1" w:styleId="CTA4ai">
    <w:name w:val="CTA 4(a)(i)"/>
    <w:basedOn w:val="OPCParaBase"/>
    <w:rsid w:val="003F293C"/>
    <w:pPr>
      <w:tabs>
        <w:tab w:val="right" w:pos="1213"/>
      </w:tabs>
      <w:spacing w:before="40" w:line="240" w:lineRule="atLeast"/>
      <w:ind w:left="1452" w:hanging="1452"/>
    </w:pPr>
    <w:rPr>
      <w:sz w:val="20"/>
    </w:rPr>
  </w:style>
  <w:style w:type="paragraph" w:customStyle="1" w:styleId="CTACAPS">
    <w:name w:val="CTA CAPS"/>
    <w:basedOn w:val="OPCParaBase"/>
    <w:rsid w:val="003F293C"/>
    <w:pPr>
      <w:spacing w:before="60" w:line="240" w:lineRule="atLeast"/>
    </w:pPr>
    <w:rPr>
      <w:sz w:val="20"/>
    </w:rPr>
  </w:style>
  <w:style w:type="paragraph" w:customStyle="1" w:styleId="CTAright">
    <w:name w:val="CTA right"/>
    <w:basedOn w:val="OPCParaBase"/>
    <w:rsid w:val="003F293C"/>
    <w:pPr>
      <w:spacing w:before="60" w:line="240" w:lineRule="auto"/>
      <w:jc w:val="right"/>
    </w:pPr>
    <w:rPr>
      <w:sz w:val="20"/>
    </w:rPr>
  </w:style>
  <w:style w:type="paragraph" w:customStyle="1" w:styleId="subsection">
    <w:name w:val="subsection"/>
    <w:aliases w:val="ss,Subsection,t_Main"/>
    <w:basedOn w:val="OPCParaBase"/>
    <w:link w:val="subsectionChar"/>
    <w:rsid w:val="003F293C"/>
    <w:pPr>
      <w:tabs>
        <w:tab w:val="right" w:pos="1021"/>
      </w:tabs>
      <w:spacing w:before="180" w:line="240" w:lineRule="auto"/>
      <w:ind w:left="1134" w:hanging="1134"/>
    </w:pPr>
  </w:style>
  <w:style w:type="paragraph" w:customStyle="1" w:styleId="Definition">
    <w:name w:val="Definition"/>
    <w:aliases w:val="dd,t_Defn"/>
    <w:basedOn w:val="OPCParaBase"/>
    <w:rsid w:val="003F293C"/>
    <w:pPr>
      <w:spacing w:before="180" w:line="240" w:lineRule="auto"/>
      <w:ind w:left="1134"/>
    </w:pPr>
  </w:style>
  <w:style w:type="paragraph" w:customStyle="1" w:styleId="ETAsubitem">
    <w:name w:val="ETA(subitem)"/>
    <w:basedOn w:val="OPCParaBase"/>
    <w:rsid w:val="003F293C"/>
    <w:pPr>
      <w:tabs>
        <w:tab w:val="right" w:pos="340"/>
      </w:tabs>
      <w:spacing w:before="60" w:line="240" w:lineRule="auto"/>
      <w:ind w:left="454" w:hanging="454"/>
    </w:pPr>
    <w:rPr>
      <w:sz w:val="20"/>
    </w:rPr>
  </w:style>
  <w:style w:type="paragraph" w:customStyle="1" w:styleId="ETApara">
    <w:name w:val="ETA(para)"/>
    <w:basedOn w:val="OPCParaBase"/>
    <w:rsid w:val="003F293C"/>
    <w:pPr>
      <w:tabs>
        <w:tab w:val="right" w:pos="754"/>
      </w:tabs>
      <w:spacing w:before="60" w:line="240" w:lineRule="auto"/>
      <w:ind w:left="828" w:hanging="828"/>
    </w:pPr>
    <w:rPr>
      <w:sz w:val="20"/>
    </w:rPr>
  </w:style>
  <w:style w:type="paragraph" w:customStyle="1" w:styleId="ETAsubpara">
    <w:name w:val="ETA(subpara)"/>
    <w:basedOn w:val="OPCParaBase"/>
    <w:rsid w:val="003F293C"/>
    <w:pPr>
      <w:tabs>
        <w:tab w:val="right" w:pos="1083"/>
      </w:tabs>
      <w:spacing w:before="60" w:line="240" w:lineRule="auto"/>
      <w:ind w:left="1191" w:hanging="1191"/>
    </w:pPr>
    <w:rPr>
      <w:sz w:val="20"/>
    </w:rPr>
  </w:style>
  <w:style w:type="paragraph" w:customStyle="1" w:styleId="ETAsub-subpara">
    <w:name w:val="ETA(sub-subpara)"/>
    <w:basedOn w:val="OPCParaBase"/>
    <w:rsid w:val="003F293C"/>
    <w:pPr>
      <w:tabs>
        <w:tab w:val="right" w:pos="1412"/>
      </w:tabs>
      <w:spacing w:before="60" w:line="240" w:lineRule="auto"/>
      <w:ind w:left="1525" w:hanging="1525"/>
    </w:pPr>
    <w:rPr>
      <w:sz w:val="20"/>
    </w:rPr>
  </w:style>
  <w:style w:type="paragraph" w:customStyle="1" w:styleId="Formula">
    <w:name w:val="Formula"/>
    <w:basedOn w:val="OPCParaBase"/>
    <w:rsid w:val="003F293C"/>
    <w:pPr>
      <w:spacing w:line="240" w:lineRule="auto"/>
      <w:ind w:left="1134"/>
    </w:pPr>
    <w:rPr>
      <w:sz w:val="20"/>
    </w:rPr>
  </w:style>
  <w:style w:type="paragraph" w:styleId="Header">
    <w:name w:val="header"/>
    <w:basedOn w:val="OPCParaBase"/>
    <w:link w:val="HeaderChar"/>
    <w:unhideWhenUsed/>
    <w:rsid w:val="003F293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F293C"/>
    <w:rPr>
      <w:rFonts w:eastAsia="Times New Roman" w:cs="Times New Roman"/>
      <w:sz w:val="16"/>
      <w:lang w:eastAsia="en-AU"/>
    </w:rPr>
  </w:style>
  <w:style w:type="paragraph" w:customStyle="1" w:styleId="House">
    <w:name w:val="House"/>
    <w:basedOn w:val="OPCParaBase"/>
    <w:rsid w:val="003F293C"/>
    <w:pPr>
      <w:spacing w:line="240" w:lineRule="auto"/>
    </w:pPr>
    <w:rPr>
      <w:sz w:val="28"/>
    </w:rPr>
  </w:style>
  <w:style w:type="paragraph" w:customStyle="1" w:styleId="Item">
    <w:name w:val="Item"/>
    <w:aliases w:val="i"/>
    <w:basedOn w:val="OPCParaBase"/>
    <w:next w:val="ItemHead"/>
    <w:rsid w:val="003F293C"/>
    <w:pPr>
      <w:keepLines/>
      <w:spacing w:before="80" w:line="240" w:lineRule="auto"/>
      <w:ind w:left="709"/>
    </w:pPr>
  </w:style>
  <w:style w:type="paragraph" w:customStyle="1" w:styleId="ItemHead">
    <w:name w:val="ItemHead"/>
    <w:aliases w:val="ih"/>
    <w:basedOn w:val="OPCParaBase"/>
    <w:next w:val="Item"/>
    <w:rsid w:val="003F293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F293C"/>
    <w:pPr>
      <w:spacing w:line="240" w:lineRule="auto"/>
    </w:pPr>
    <w:rPr>
      <w:b/>
      <w:sz w:val="32"/>
    </w:rPr>
  </w:style>
  <w:style w:type="paragraph" w:customStyle="1" w:styleId="notedraft">
    <w:name w:val="note(draft)"/>
    <w:aliases w:val="nd"/>
    <w:basedOn w:val="OPCParaBase"/>
    <w:rsid w:val="003F293C"/>
    <w:pPr>
      <w:spacing w:before="240" w:line="240" w:lineRule="auto"/>
      <w:ind w:left="284" w:hanging="284"/>
    </w:pPr>
    <w:rPr>
      <w:i/>
      <w:sz w:val="24"/>
    </w:rPr>
  </w:style>
  <w:style w:type="paragraph" w:customStyle="1" w:styleId="notemargin">
    <w:name w:val="note(margin)"/>
    <w:aliases w:val="nm"/>
    <w:basedOn w:val="OPCParaBase"/>
    <w:rsid w:val="003F293C"/>
    <w:pPr>
      <w:tabs>
        <w:tab w:val="left" w:pos="709"/>
      </w:tabs>
      <w:spacing w:before="122" w:line="198" w:lineRule="exact"/>
      <w:ind w:left="709" w:hanging="709"/>
    </w:pPr>
    <w:rPr>
      <w:sz w:val="18"/>
    </w:rPr>
  </w:style>
  <w:style w:type="paragraph" w:customStyle="1" w:styleId="noteToPara">
    <w:name w:val="noteToPara"/>
    <w:aliases w:val="ntp"/>
    <w:basedOn w:val="OPCParaBase"/>
    <w:rsid w:val="003F293C"/>
    <w:pPr>
      <w:spacing w:before="122" w:line="198" w:lineRule="exact"/>
      <w:ind w:left="2353" w:hanging="709"/>
    </w:pPr>
    <w:rPr>
      <w:sz w:val="18"/>
    </w:rPr>
  </w:style>
  <w:style w:type="paragraph" w:customStyle="1" w:styleId="noteParlAmend">
    <w:name w:val="note(ParlAmend)"/>
    <w:aliases w:val="npp"/>
    <w:basedOn w:val="OPCParaBase"/>
    <w:next w:val="ParlAmend"/>
    <w:rsid w:val="003F293C"/>
    <w:pPr>
      <w:spacing w:line="240" w:lineRule="auto"/>
      <w:jc w:val="right"/>
    </w:pPr>
    <w:rPr>
      <w:rFonts w:ascii="Arial" w:hAnsi="Arial"/>
      <w:b/>
      <w:i/>
    </w:rPr>
  </w:style>
  <w:style w:type="paragraph" w:customStyle="1" w:styleId="Page1">
    <w:name w:val="Page1"/>
    <w:basedOn w:val="OPCParaBase"/>
    <w:rsid w:val="003F293C"/>
    <w:pPr>
      <w:spacing w:before="5600" w:line="240" w:lineRule="auto"/>
    </w:pPr>
    <w:rPr>
      <w:b/>
      <w:sz w:val="32"/>
    </w:rPr>
  </w:style>
  <w:style w:type="paragraph" w:customStyle="1" w:styleId="PageBreak">
    <w:name w:val="PageBreak"/>
    <w:aliases w:val="pb"/>
    <w:basedOn w:val="OPCParaBase"/>
    <w:rsid w:val="003F293C"/>
    <w:pPr>
      <w:spacing w:line="240" w:lineRule="auto"/>
    </w:pPr>
    <w:rPr>
      <w:sz w:val="20"/>
    </w:rPr>
  </w:style>
  <w:style w:type="paragraph" w:customStyle="1" w:styleId="paragraphsub">
    <w:name w:val="paragraph(sub)"/>
    <w:aliases w:val="aa"/>
    <w:basedOn w:val="OPCParaBase"/>
    <w:rsid w:val="003F293C"/>
    <w:pPr>
      <w:tabs>
        <w:tab w:val="right" w:pos="1985"/>
      </w:tabs>
      <w:spacing w:before="40" w:line="240" w:lineRule="auto"/>
      <w:ind w:left="2098" w:hanging="2098"/>
    </w:pPr>
  </w:style>
  <w:style w:type="paragraph" w:customStyle="1" w:styleId="paragraphsub-sub">
    <w:name w:val="paragraph(sub-sub)"/>
    <w:aliases w:val="aaa"/>
    <w:basedOn w:val="OPCParaBase"/>
    <w:rsid w:val="003F293C"/>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3F293C"/>
    <w:pPr>
      <w:tabs>
        <w:tab w:val="right" w:pos="1531"/>
      </w:tabs>
      <w:spacing w:before="40" w:line="240" w:lineRule="auto"/>
      <w:ind w:left="1644" w:hanging="1644"/>
    </w:pPr>
  </w:style>
  <w:style w:type="paragraph" w:customStyle="1" w:styleId="ParlAmend">
    <w:name w:val="ParlAmend"/>
    <w:aliases w:val="pp"/>
    <w:basedOn w:val="OPCParaBase"/>
    <w:rsid w:val="003F293C"/>
    <w:pPr>
      <w:spacing w:before="240" w:line="240" w:lineRule="atLeast"/>
      <w:ind w:hanging="567"/>
    </w:pPr>
    <w:rPr>
      <w:sz w:val="24"/>
    </w:rPr>
  </w:style>
  <w:style w:type="paragraph" w:customStyle="1" w:styleId="Penalty">
    <w:name w:val="Penalty"/>
    <w:basedOn w:val="OPCParaBase"/>
    <w:rsid w:val="003F293C"/>
    <w:pPr>
      <w:tabs>
        <w:tab w:val="left" w:pos="2977"/>
      </w:tabs>
      <w:spacing w:before="180" w:line="240" w:lineRule="auto"/>
      <w:ind w:left="1985" w:hanging="851"/>
    </w:pPr>
  </w:style>
  <w:style w:type="paragraph" w:customStyle="1" w:styleId="Portfolio">
    <w:name w:val="Portfolio"/>
    <w:basedOn w:val="OPCParaBase"/>
    <w:rsid w:val="003F293C"/>
    <w:pPr>
      <w:spacing w:line="240" w:lineRule="auto"/>
    </w:pPr>
    <w:rPr>
      <w:i/>
      <w:sz w:val="20"/>
    </w:rPr>
  </w:style>
  <w:style w:type="paragraph" w:customStyle="1" w:styleId="Preamble">
    <w:name w:val="Preamble"/>
    <w:basedOn w:val="OPCParaBase"/>
    <w:next w:val="Normal"/>
    <w:rsid w:val="003F293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293C"/>
    <w:pPr>
      <w:spacing w:line="240" w:lineRule="auto"/>
    </w:pPr>
    <w:rPr>
      <w:i/>
      <w:sz w:val="20"/>
    </w:rPr>
  </w:style>
  <w:style w:type="paragraph" w:customStyle="1" w:styleId="Session">
    <w:name w:val="Session"/>
    <w:basedOn w:val="OPCParaBase"/>
    <w:rsid w:val="003F293C"/>
    <w:pPr>
      <w:spacing w:line="240" w:lineRule="auto"/>
    </w:pPr>
    <w:rPr>
      <w:sz w:val="28"/>
    </w:rPr>
  </w:style>
  <w:style w:type="paragraph" w:customStyle="1" w:styleId="Sponsor">
    <w:name w:val="Sponsor"/>
    <w:basedOn w:val="OPCParaBase"/>
    <w:rsid w:val="003F293C"/>
    <w:pPr>
      <w:spacing w:line="240" w:lineRule="auto"/>
    </w:pPr>
    <w:rPr>
      <w:i/>
    </w:rPr>
  </w:style>
  <w:style w:type="paragraph" w:customStyle="1" w:styleId="Subitem">
    <w:name w:val="Subitem"/>
    <w:aliases w:val="iss"/>
    <w:basedOn w:val="OPCParaBase"/>
    <w:rsid w:val="003F293C"/>
    <w:pPr>
      <w:spacing w:before="180" w:line="240" w:lineRule="auto"/>
      <w:ind w:left="709" w:hanging="709"/>
    </w:pPr>
  </w:style>
  <w:style w:type="paragraph" w:customStyle="1" w:styleId="SubitemHead">
    <w:name w:val="SubitemHead"/>
    <w:aliases w:val="issh"/>
    <w:basedOn w:val="OPCParaBase"/>
    <w:rsid w:val="003F293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293C"/>
    <w:pPr>
      <w:spacing w:before="40" w:line="240" w:lineRule="auto"/>
      <w:ind w:left="1134"/>
    </w:pPr>
  </w:style>
  <w:style w:type="paragraph" w:customStyle="1" w:styleId="SubsectionHead">
    <w:name w:val="SubsectionHead"/>
    <w:aliases w:val="ssh"/>
    <w:basedOn w:val="OPCParaBase"/>
    <w:next w:val="subsection"/>
    <w:rsid w:val="003F293C"/>
    <w:pPr>
      <w:keepNext/>
      <w:keepLines/>
      <w:spacing w:before="240" w:line="240" w:lineRule="auto"/>
      <w:ind w:left="1134"/>
    </w:pPr>
    <w:rPr>
      <w:i/>
    </w:rPr>
  </w:style>
  <w:style w:type="paragraph" w:customStyle="1" w:styleId="Tablea">
    <w:name w:val="Table(a)"/>
    <w:aliases w:val="ta"/>
    <w:basedOn w:val="OPCParaBase"/>
    <w:rsid w:val="003F293C"/>
    <w:pPr>
      <w:spacing w:before="60" w:line="240" w:lineRule="auto"/>
      <w:ind w:left="284" w:hanging="284"/>
    </w:pPr>
    <w:rPr>
      <w:sz w:val="20"/>
    </w:rPr>
  </w:style>
  <w:style w:type="paragraph" w:customStyle="1" w:styleId="TableAA">
    <w:name w:val="Table(AA)"/>
    <w:aliases w:val="taaa"/>
    <w:basedOn w:val="OPCParaBase"/>
    <w:rsid w:val="003F293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F293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F293C"/>
    <w:pPr>
      <w:spacing w:before="60" w:line="240" w:lineRule="atLeast"/>
    </w:pPr>
    <w:rPr>
      <w:sz w:val="20"/>
    </w:rPr>
  </w:style>
  <w:style w:type="paragraph" w:customStyle="1" w:styleId="TLPBoxTextnote">
    <w:name w:val="TLPBoxText(note"/>
    <w:aliases w:val="right)"/>
    <w:basedOn w:val="OPCParaBase"/>
    <w:rsid w:val="003F293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293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293C"/>
    <w:pPr>
      <w:spacing w:before="122" w:line="198" w:lineRule="exact"/>
      <w:ind w:left="1985" w:hanging="851"/>
      <w:jc w:val="right"/>
    </w:pPr>
    <w:rPr>
      <w:sz w:val="18"/>
    </w:rPr>
  </w:style>
  <w:style w:type="paragraph" w:customStyle="1" w:styleId="TLPTableBullet">
    <w:name w:val="TLPTableBullet"/>
    <w:aliases w:val="ttb"/>
    <w:basedOn w:val="OPCParaBase"/>
    <w:rsid w:val="003F293C"/>
    <w:pPr>
      <w:spacing w:line="240" w:lineRule="exact"/>
      <w:ind w:left="284" w:hanging="284"/>
    </w:pPr>
    <w:rPr>
      <w:sz w:val="20"/>
    </w:rPr>
  </w:style>
  <w:style w:type="paragraph" w:styleId="TOC1">
    <w:name w:val="toc 1"/>
    <w:basedOn w:val="Normal"/>
    <w:next w:val="Normal"/>
    <w:uiPriority w:val="39"/>
    <w:unhideWhenUsed/>
    <w:rsid w:val="003F293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F293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F293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F293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F293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F293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F293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F293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F293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F293C"/>
    <w:pPr>
      <w:keepLines/>
      <w:spacing w:before="240" w:after="120" w:line="240" w:lineRule="auto"/>
      <w:ind w:left="794"/>
    </w:pPr>
    <w:rPr>
      <w:b/>
      <w:kern w:val="28"/>
      <w:sz w:val="20"/>
    </w:rPr>
  </w:style>
  <w:style w:type="paragraph" w:customStyle="1" w:styleId="TofSectsHeading">
    <w:name w:val="TofSects(Heading)"/>
    <w:basedOn w:val="OPCParaBase"/>
    <w:rsid w:val="003F293C"/>
    <w:pPr>
      <w:spacing w:before="240" w:after="120" w:line="240" w:lineRule="auto"/>
    </w:pPr>
    <w:rPr>
      <w:b/>
      <w:sz w:val="24"/>
    </w:rPr>
  </w:style>
  <w:style w:type="paragraph" w:customStyle="1" w:styleId="TofSectsSection">
    <w:name w:val="TofSects(Section)"/>
    <w:basedOn w:val="OPCParaBase"/>
    <w:rsid w:val="003F293C"/>
    <w:pPr>
      <w:keepLines/>
      <w:spacing w:before="40" w:line="240" w:lineRule="auto"/>
      <w:ind w:left="1588" w:hanging="794"/>
    </w:pPr>
    <w:rPr>
      <w:kern w:val="28"/>
      <w:sz w:val="18"/>
    </w:rPr>
  </w:style>
  <w:style w:type="paragraph" w:customStyle="1" w:styleId="TofSectsSubdiv">
    <w:name w:val="TofSects(Subdiv)"/>
    <w:basedOn w:val="OPCParaBase"/>
    <w:rsid w:val="003F293C"/>
    <w:pPr>
      <w:keepLines/>
      <w:spacing w:before="80" w:line="240" w:lineRule="auto"/>
      <w:ind w:left="1588" w:hanging="794"/>
    </w:pPr>
    <w:rPr>
      <w:kern w:val="28"/>
    </w:rPr>
  </w:style>
  <w:style w:type="paragraph" w:customStyle="1" w:styleId="WRStyle">
    <w:name w:val="WR Style"/>
    <w:aliases w:val="WR"/>
    <w:basedOn w:val="OPCParaBase"/>
    <w:rsid w:val="003F293C"/>
    <w:pPr>
      <w:spacing w:before="240" w:line="240" w:lineRule="auto"/>
      <w:ind w:left="284" w:hanging="284"/>
    </w:pPr>
    <w:rPr>
      <w:b/>
      <w:i/>
      <w:kern w:val="28"/>
      <w:sz w:val="24"/>
    </w:rPr>
  </w:style>
  <w:style w:type="paragraph" w:customStyle="1" w:styleId="notepara">
    <w:name w:val="note(para)"/>
    <w:aliases w:val="na"/>
    <w:basedOn w:val="OPCParaBase"/>
    <w:rsid w:val="003F293C"/>
    <w:pPr>
      <w:spacing w:before="40" w:line="198" w:lineRule="exact"/>
      <w:ind w:left="2354" w:hanging="369"/>
    </w:pPr>
    <w:rPr>
      <w:sz w:val="18"/>
    </w:rPr>
  </w:style>
  <w:style w:type="paragraph" w:styleId="Footer">
    <w:name w:val="footer"/>
    <w:link w:val="FooterChar"/>
    <w:rsid w:val="003F293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F293C"/>
    <w:rPr>
      <w:rFonts w:eastAsia="Times New Roman" w:cs="Times New Roman"/>
      <w:sz w:val="22"/>
      <w:szCs w:val="24"/>
      <w:lang w:eastAsia="en-AU"/>
    </w:rPr>
  </w:style>
  <w:style w:type="character" w:styleId="LineNumber">
    <w:name w:val="line number"/>
    <w:basedOn w:val="OPCCharBase"/>
    <w:uiPriority w:val="99"/>
    <w:unhideWhenUsed/>
    <w:rsid w:val="003F293C"/>
    <w:rPr>
      <w:sz w:val="16"/>
    </w:rPr>
  </w:style>
  <w:style w:type="table" w:customStyle="1" w:styleId="CFlag">
    <w:name w:val="CFlag"/>
    <w:basedOn w:val="TableNormal"/>
    <w:uiPriority w:val="99"/>
    <w:rsid w:val="003F293C"/>
    <w:rPr>
      <w:rFonts w:eastAsia="Times New Roman" w:cs="Times New Roman"/>
      <w:lang w:eastAsia="en-AU"/>
    </w:rPr>
    <w:tblPr/>
  </w:style>
  <w:style w:type="paragraph" w:styleId="BalloonText">
    <w:name w:val="Balloon Text"/>
    <w:basedOn w:val="Normal"/>
    <w:link w:val="BalloonTextChar"/>
    <w:uiPriority w:val="99"/>
    <w:unhideWhenUsed/>
    <w:rsid w:val="003F29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293C"/>
    <w:rPr>
      <w:rFonts w:ascii="Tahoma" w:hAnsi="Tahoma" w:cs="Tahoma"/>
      <w:sz w:val="16"/>
      <w:szCs w:val="16"/>
    </w:rPr>
  </w:style>
  <w:style w:type="table" w:styleId="TableGrid">
    <w:name w:val="Table Grid"/>
    <w:basedOn w:val="TableNormal"/>
    <w:uiPriority w:val="59"/>
    <w:rsid w:val="003F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F293C"/>
    <w:rPr>
      <w:b/>
      <w:sz w:val="28"/>
      <w:szCs w:val="32"/>
    </w:rPr>
  </w:style>
  <w:style w:type="paragraph" w:customStyle="1" w:styleId="LegislationMadeUnder">
    <w:name w:val="LegislationMadeUnder"/>
    <w:basedOn w:val="OPCParaBase"/>
    <w:next w:val="Normal"/>
    <w:rsid w:val="003F293C"/>
    <w:rPr>
      <w:i/>
      <w:sz w:val="32"/>
      <w:szCs w:val="32"/>
    </w:rPr>
  </w:style>
  <w:style w:type="paragraph" w:customStyle="1" w:styleId="SignCoverPageEnd">
    <w:name w:val="SignCoverPageEnd"/>
    <w:basedOn w:val="OPCParaBase"/>
    <w:next w:val="Normal"/>
    <w:rsid w:val="003F293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293C"/>
    <w:pPr>
      <w:pBdr>
        <w:top w:val="single" w:sz="4" w:space="1" w:color="auto"/>
      </w:pBdr>
      <w:spacing w:before="360"/>
      <w:ind w:right="397"/>
      <w:jc w:val="both"/>
    </w:pPr>
  </w:style>
  <w:style w:type="paragraph" w:customStyle="1" w:styleId="NotesHeading1">
    <w:name w:val="NotesHeading 1"/>
    <w:basedOn w:val="OPCParaBase"/>
    <w:next w:val="Normal"/>
    <w:rsid w:val="003F293C"/>
    <w:rPr>
      <w:b/>
      <w:sz w:val="28"/>
      <w:szCs w:val="28"/>
    </w:rPr>
  </w:style>
  <w:style w:type="paragraph" w:customStyle="1" w:styleId="NotesHeading2">
    <w:name w:val="NotesHeading 2"/>
    <w:basedOn w:val="OPCParaBase"/>
    <w:next w:val="Normal"/>
    <w:rsid w:val="003F293C"/>
    <w:rPr>
      <w:b/>
      <w:sz w:val="28"/>
      <w:szCs w:val="28"/>
    </w:rPr>
  </w:style>
  <w:style w:type="paragraph" w:customStyle="1" w:styleId="ENotesText">
    <w:name w:val="ENotesText"/>
    <w:aliases w:val="Ent"/>
    <w:basedOn w:val="OPCParaBase"/>
    <w:next w:val="Normal"/>
    <w:rsid w:val="003F293C"/>
    <w:pPr>
      <w:spacing w:before="120"/>
    </w:pPr>
  </w:style>
  <w:style w:type="paragraph" w:customStyle="1" w:styleId="CompiledActNo">
    <w:name w:val="CompiledActNo"/>
    <w:basedOn w:val="OPCParaBase"/>
    <w:next w:val="Normal"/>
    <w:rsid w:val="003F293C"/>
    <w:rPr>
      <w:b/>
      <w:sz w:val="24"/>
      <w:szCs w:val="24"/>
    </w:rPr>
  </w:style>
  <w:style w:type="paragraph" w:customStyle="1" w:styleId="CompiledMadeUnder">
    <w:name w:val="CompiledMadeUnder"/>
    <w:basedOn w:val="OPCParaBase"/>
    <w:next w:val="Normal"/>
    <w:rsid w:val="003F293C"/>
    <w:rPr>
      <w:i/>
      <w:sz w:val="24"/>
      <w:szCs w:val="24"/>
    </w:rPr>
  </w:style>
  <w:style w:type="paragraph" w:customStyle="1" w:styleId="Paragraphsub-sub-sub">
    <w:name w:val="Paragraph(sub-sub-sub)"/>
    <w:aliases w:val="aaaa"/>
    <w:basedOn w:val="OPCParaBase"/>
    <w:rsid w:val="003F293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F293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293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293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293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F293C"/>
    <w:pPr>
      <w:spacing w:before="60" w:line="240" w:lineRule="auto"/>
    </w:pPr>
    <w:rPr>
      <w:rFonts w:cs="Arial"/>
      <w:sz w:val="20"/>
      <w:szCs w:val="22"/>
    </w:rPr>
  </w:style>
  <w:style w:type="paragraph" w:customStyle="1" w:styleId="NoteToSubpara">
    <w:name w:val="NoteToSubpara"/>
    <w:aliases w:val="nts"/>
    <w:basedOn w:val="OPCParaBase"/>
    <w:rsid w:val="003F293C"/>
    <w:pPr>
      <w:spacing w:before="40" w:line="198" w:lineRule="exact"/>
      <w:ind w:left="2835" w:hanging="709"/>
    </w:pPr>
    <w:rPr>
      <w:sz w:val="18"/>
    </w:rPr>
  </w:style>
  <w:style w:type="paragraph" w:customStyle="1" w:styleId="ENoteTableHeading">
    <w:name w:val="ENoteTableHeading"/>
    <w:aliases w:val="enth"/>
    <w:basedOn w:val="OPCParaBase"/>
    <w:rsid w:val="003F293C"/>
    <w:pPr>
      <w:keepNext/>
      <w:spacing w:before="60" w:line="240" w:lineRule="atLeast"/>
    </w:pPr>
    <w:rPr>
      <w:rFonts w:ascii="Arial" w:hAnsi="Arial"/>
      <w:b/>
      <w:sz w:val="16"/>
    </w:rPr>
  </w:style>
  <w:style w:type="paragraph" w:customStyle="1" w:styleId="ENoteTTi">
    <w:name w:val="ENoteTTi"/>
    <w:aliases w:val="entti"/>
    <w:basedOn w:val="OPCParaBase"/>
    <w:rsid w:val="003F293C"/>
    <w:pPr>
      <w:keepNext/>
      <w:spacing w:before="60" w:line="240" w:lineRule="atLeast"/>
      <w:ind w:left="170"/>
    </w:pPr>
    <w:rPr>
      <w:sz w:val="16"/>
    </w:rPr>
  </w:style>
  <w:style w:type="paragraph" w:customStyle="1" w:styleId="ENotesHeading1">
    <w:name w:val="ENotesHeading 1"/>
    <w:aliases w:val="Enh1"/>
    <w:basedOn w:val="OPCParaBase"/>
    <w:next w:val="Normal"/>
    <w:rsid w:val="003F293C"/>
    <w:pPr>
      <w:spacing w:before="120"/>
      <w:outlineLvl w:val="1"/>
    </w:pPr>
    <w:rPr>
      <w:b/>
      <w:sz w:val="28"/>
      <w:szCs w:val="28"/>
    </w:rPr>
  </w:style>
  <w:style w:type="paragraph" w:customStyle="1" w:styleId="ENotesHeading2">
    <w:name w:val="ENotesHeading 2"/>
    <w:aliases w:val="Enh2"/>
    <w:basedOn w:val="OPCParaBase"/>
    <w:next w:val="Normal"/>
    <w:rsid w:val="003F293C"/>
    <w:pPr>
      <w:spacing w:before="120" w:after="120"/>
      <w:outlineLvl w:val="2"/>
    </w:pPr>
    <w:rPr>
      <w:b/>
      <w:sz w:val="24"/>
      <w:szCs w:val="28"/>
    </w:rPr>
  </w:style>
  <w:style w:type="paragraph" w:customStyle="1" w:styleId="ENoteTTIndentHeading">
    <w:name w:val="ENoteTTIndentHeading"/>
    <w:aliases w:val="enTTHi"/>
    <w:basedOn w:val="OPCParaBase"/>
    <w:rsid w:val="003F293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293C"/>
    <w:pPr>
      <w:spacing w:before="60" w:line="240" w:lineRule="atLeast"/>
    </w:pPr>
    <w:rPr>
      <w:sz w:val="16"/>
    </w:rPr>
  </w:style>
  <w:style w:type="paragraph" w:customStyle="1" w:styleId="MadeunderText">
    <w:name w:val="MadeunderText"/>
    <w:basedOn w:val="OPCParaBase"/>
    <w:next w:val="Normal"/>
    <w:rsid w:val="003F293C"/>
    <w:pPr>
      <w:spacing w:before="240"/>
    </w:pPr>
    <w:rPr>
      <w:sz w:val="24"/>
      <w:szCs w:val="24"/>
    </w:rPr>
  </w:style>
  <w:style w:type="paragraph" w:customStyle="1" w:styleId="ENotesHeading3">
    <w:name w:val="ENotesHeading 3"/>
    <w:aliases w:val="Enh3"/>
    <w:basedOn w:val="OPCParaBase"/>
    <w:next w:val="Normal"/>
    <w:rsid w:val="003F293C"/>
    <w:pPr>
      <w:keepNext/>
      <w:spacing w:before="120" w:line="240" w:lineRule="auto"/>
      <w:outlineLvl w:val="4"/>
    </w:pPr>
    <w:rPr>
      <w:b/>
      <w:szCs w:val="24"/>
    </w:rPr>
  </w:style>
  <w:style w:type="character" w:customStyle="1" w:styleId="CharSubPartTextCASA">
    <w:name w:val="CharSubPartText(CASA)"/>
    <w:basedOn w:val="OPCCharBase"/>
    <w:uiPriority w:val="1"/>
    <w:rsid w:val="003F293C"/>
  </w:style>
  <w:style w:type="character" w:customStyle="1" w:styleId="CharSubPartNoCASA">
    <w:name w:val="CharSubPartNo(CASA)"/>
    <w:basedOn w:val="OPCCharBase"/>
    <w:uiPriority w:val="1"/>
    <w:rsid w:val="003F293C"/>
  </w:style>
  <w:style w:type="paragraph" w:customStyle="1" w:styleId="ENoteTTIndentHeadingSub">
    <w:name w:val="ENoteTTIndentHeadingSub"/>
    <w:aliases w:val="enTTHis"/>
    <w:basedOn w:val="OPCParaBase"/>
    <w:rsid w:val="003F293C"/>
    <w:pPr>
      <w:keepNext/>
      <w:spacing w:before="60" w:line="240" w:lineRule="atLeast"/>
      <w:ind w:left="340"/>
    </w:pPr>
    <w:rPr>
      <w:b/>
      <w:sz w:val="16"/>
    </w:rPr>
  </w:style>
  <w:style w:type="paragraph" w:customStyle="1" w:styleId="ENoteTTiSub">
    <w:name w:val="ENoteTTiSub"/>
    <w:aliases w:val="enttis"/>
    <w:basedOn w:val="OPCParaBase"/>
    <w:rsid w:val="003F293C"/>
    <w:pPr>
      <w:keepNext/>
      <w:spacing w:before="60" w:line="240" w:lineRule="atLeast"/>
      <w:ind w:left="340"/>
    </w:pPr>
    <w:rPr>
      <w:sz w:val="16"/>
    </w:rPr>
  </w:style>
  <w:style w:type="paragraph" w:customStyle="1" w:styleId="SubDivisionMigration">
    <w:name w:val="SubDivisionMigration"/>
    <w:aliases w:val="sdm"/>
    <w:basedOn w:val="OPCParaBase"/>
    <w:rsid w:val="003F293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293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F293C"/>
    <w:pPr>
      <w:spacing w:before="122" w:line="240" w:lineRule="auto"/>
      <w:ind w:left="1985" w:hanging="851"/>
    </w:pPr>
    <w:rPr>
      <w:sz w:val="18"/>
    </w:rPr>
  </w:style>
  <w:style w:type="paragraph" w:customStyle="1" w:styleId="FreeForm">
    <w:name w:val="FreeForm"/>
    <w:rsid w:val="003F293C"/>
    <w:rPr>
      <w:rFonts w:ascii="Arial" w:hAnsi="Arial"/>
      <w:sz w:val="22"/>
    </w:rPr>
  </w:style>
  <w:style w:type="paragraph" w:customStyle="1" w:styleId="SOText">
    <w:name w:val="SO Text"/>
    <w:aliases w:val="sot"/>
    <w:link w:val="SOTextChar"/>
    <w:rsid w:val="003F293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F293C"/>
    <w:rPr>
      <w:sz w:val="22"/>
    </w:rPr>
  </w:style>
  <w:style w:type="paragraph" w:customStyle="1" w:styleId="SOTextNote">
    <w:name w:val="SO TextNote"/>
    <w:aliases w:val="sont"/>
    <w:basedOn w:val="SOText"/>
    <w:qFormat/>
    <w:rsid w:val="003F293C"/>
    <w:pPr>
      <w:spacing w:before="122" w:line="198" w:lineRule="exact"/>
      <w:ind w:left="1843" w:hanging="709"/>
    </w:pPr>
    <w:rPr>
      <w:sz w:val="18"/>
    </w:rPr>
  </w:style>
  <w:style w:type="paragraph" w:customStyle="1" w:styleId="SOPara">
    <w:name w:val="SO Para"/>
    <w:aliases w:val="soa"/>
    <w:basedOn w:val="SOText"/>
    <w:link w:val="SOParaChar"/>
    <w:qFormat/>
    <w:rsid w:val="003F293C"/>
    <w:pPr>
      <w:tabs>
        <w:tab w:val="right" w:pos="1786"/>
      </w:tabs>
      <w:spacing w:before="40"/>
      <w:ind w:left="2070" w:hanging="936"/>
    </w:pPr>
  </w:style>
  <w:style w:type="character" w:customStyle="1" w:styleId="SOParaChar">
    <w:name w:val="SO Para Char"/>
    <w:aliases w:val="soa Char"/>
    <w:basedOn w:val="DefaultParagraphFont"/>
    <w:link w:val="SOPara"/>
    <w:rsid w:val="003F293C"/>
    <w:rPr>
      <w:sz w:val="22"/>
    </w:rPr>
  </w:style>
  <w:style w:type="paragraph" w:customStyle="1" w:styleId="FileName">
    <w:name w:val="FileName"/>
    <w:basedOn w:val="Normal"/>
    <w:rsid w:val="003F293C"/>
  </w:style>
  <w:style w:type="paragraph" w:customStyle="1" w:styleId="TableHeading">
    <w:name w:val="TableHeading"/>
    <w:aliases w:val="th"/>
    <w:basedOn w:val="OPCParaBase"/>
    <w:next w:val="Tabletext"/>
    <w:rsid w:val="003F293C"/>
    <w:pPr>
      <w:keepNext/>
      <w:spacing w:before="60" w:line="240" w:lineRule="atLeast"/>
    </w:pPr>
    <w:rPr>
      <w:b/>
      <w:sz w:val="20"/>
    </w:rPr>
  </w:style>
  <w:style w:type="paragraph" w:customStyle="1" w:styleId="SOHeadBold">
    <w:name w:val="SO HeadBold"/>
    <w:aliases w:val="sohb"/>
    <w:basedOn w:val="SOText"/>
    <w:next w:val="SOText"/>
    <w:link w:val="SOHeadBoldChar"/>
    <w:qFormat/>
    <w:rsid w:val="003F293C"/>
    <w:rPr>
      <w:b/>
    </w:rPr>
  </w:style>
  <w:style w:type="character" w:customStyle="1" w:styleId="SOHeadBoldChar">
    <w:name w:val="SO HeadBold Char"/>
    <w:aliases w:val="sohb Char"/>
    <w:basedOn w:val="DefaultParagraphFont"/>
    <w:link w:val="SOHeadBold"/>
    <w:rsid w:val="003F293C"/>
    <w:rPr>
      <w:b/>
      <w:sz w:val="22"/>
    </w:rPr>
  </w:style>
  <w:style w:type="paragraph" w:customStyle="1" w:styleId="SOHeadItalic">
    <w:name w:val="SO HeadItalic"/>
    <w:aliases w:val="sohi"/>
    <w:basedOn w:val="SOText"/>
    <w:next w:val="SOText"/>
    <w:link w:val="SOHeadItalicChar"/>
    <w:qFormat/>
    <w:rsid w:val="003F293C"/>
    <w:rPr>
      <w:i/>
    </w:rPr>
  </w:style>
  <w:style w:type="character" w:customStyle="1" w:styleId="SOHeadItalicChar">
    <w:name w:val="SO HeadItalic Char"/>
    <w:aliases w:val="sohi Char"/>
    <w:basedOn w:val="DefaultParagraphFont"/>
    <w:link w:val="SOHeadItalic"/>
    <w:rsid w:val="003F293C"/>
    <w:rPr>
      <w:i/>
      <w:sz w:val="22"/>
    </w:rPr>
  </w:style>
  <w:style w:type="paragraph" w:customStyle="1" w:styleId="SOBullet">
    <w:name w:val="SO Bullet"/>
    <w:aliases w:val="sotb"/>
    <w:basedOn w:val="SOText"/>
    <w:link w:val="SOBulletChar"/>
    <w:qFormat/>
    <w:rsid w:val="003F293C"/>
    <w:pPr>
      <w:ind w:left="1559" w:hanging="425"/>
    </w:pPr>
  </w:style>
  <w:style w:type="character" w:customStyle="1" w:styleId="SOBulletChar">
    <w:name w:val="SO Bullet Char"/>
    <w:aliases w:val="sotb Char"/>
    <w:basedOn w:val="DefaultParagraphFont"/>
    <w:link w:val="SOBullet"/>
    <w:rsid w:val="003F293C"/>
    <w:rPr>
      <w:sz w:val="22"/>
    </w:rPr>
  </w:style>
  <w:style w:type="paragraph" w:customStyle="1" w:styleId="SOBulletNote">
    <w:name w:val="SO BulletNote"/>
    <w:aliases w:val="sonb"/>
    <w:basedOn w:val="SOTextNote"/>
    <w:link w:val="SOBulletNoteChar"/>
    <w:qFormat/>
    <w:rsid w:val="003F293C"/>
    <w:pPr>
      <w:tabs>
        <w:tab w:val="left" w:pos="1560"/>
      </w:tabs>
      <w:ind w:left="2268" w:hanging="1134"/>
    </w:pPr>
  </w:style>
  <w:style w:type="character" w:customStyle="1" w:styleId="SOBulletNoteChar">
    <w:name w:val="SO BulletNote Char"/>
    <w:aliases w:val="sonb Char"/>
    <w:basedOn w:val="DefaultParagraphFont"/>
    <w:link w:val="SOBulletNote"/>
    <w:rsid w:val="003F293C"/>
    <w:rPr>
      <w:sz w:val="18"/>
    </w:rPr>
  </w:style>
  <w:style w:type="paragraph" w:customStyle="1" w:styleId="SOText2">
    <w:name w:val="SO Text2"/>
    <w:aliases w:val="sot2"/>
    <w:basedOn w:val="Normal"/>
    <w:next w:val="SOText"/>
    <w:link w:val="SOText2Char"/>
    <w:rsid w:val="003F293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F293C"/>
    <w:rPr>
      <w:sz w:val="22"/>
    </w:rPr>
  </w:style>
  <w:style w:type="paragraph" w:customStyle="1" w:styleId="SubPartCASA">
    <w:name w:val="SubPart(CASA)"/>
    <w:aliases w:val="csp"/>
    <w:basedOn w:val="OPCParaBase"/>
    <w:next w:val="ActHead3"/>
    <w:rsid w:val="003F293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F293C"/>
    <w:rPr>
      <w:rFonts w:eastAsia="Times New Roman" w:cs="Times New Roman"/>
      <w:sz w:val="22"/>
      <w:lang w:eastAsia="en-AU"/>
    </w:rPr>
  </w:style>
  <w:style w:type="character" w:customStyle="1" w:styleId="notetextChar">
    <w:name w:val="note(text) Char"/>
    <w:aliases w:val="n Char"/>
    <w:basedOn w:val="DefaultParagraphFont"/>
    <w:link w:val="notetext"/>
    <w:rsid w:val="003F293C"/>
    <w:rPr>
      <w:rFonts w:eastAsia="Times New Roman" w:cs="Times New Roman"/>
      <w:sz w:val="18"/>
      <w:lang w:eastAsia="en-AU"/>
    </w:rPr>
  </w:style>
  <w:style w:type="character" w:customStyle="1" w:styleId="Heading1Char">
    <w:name w:val="Heading 1 Char"/>
    <w:basedOn w:val="DefaultParagraphFont"/>
    <w:link w:val="Heading1"/>
    <w:uiPriority w:val="9"/>
    <w:rsid w:val="003F29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9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293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F293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F293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F293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F293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F29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F293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F293C"/>
  </w:style>
  <w:style w:type="character" w:customStyle="1" w:styleId="charlegsubtitle1">
    <w:name w:val="charlegsubtitle1"/>
    <w:basedOn w:val="DefaultParagraphFont"/>
    <w:rsid w:val="003F293C"/>
    <w:rPr>
      <w:rFonts w:ascii="Arial" w:hAnsi="Arial" w:cs="Arial" w:hint="default"/>
      <w:b/>
      <w:bCs/>
      <w:sz w:val="28"/>
      <w:szCs w:val="28"/>
    </w:rPr>
  </w:style>
  <w:style w:type="paragraph" w:styleId="Index1">
    <w:name w:val="index 1"/>
    <w:basedOn w:val="Normal"/>
    <w:next w:val="Normal"/>
    <w:autoRedefine/>
    <w:rsid w:val="003F293C"/>
    <w:pPr>
      <w:ind w:left="240" w:hanging="240"/>
    </w:pPr>
  </w:style>
  <w:style w:type="paragraph" w:styleId="Index2">
    <w:name w:val="index 2"/>
    <w:basedOn w:val="Normal"/>
    <w:next w:val="Normal"/>
    <w:autoRedefine/>
    <w:rsid w:val="003F293C"/>
    <w:pPr>
      <w:ind w:left="480" w:hanging="240"/>
    </w:pPr>
  </w:style>
  <w:style w:type="paragraph" w:styleId="Index3">
    <w:name w:val="index 3"/>
    <w:basedOn w:val="Normal"/>
    <w:next w:val="Normal"/>
    <w:autoRedefine/>
    <w:rsid w:val="003F293C"/>
    <w:pPr>
      <w:ind w:left="720" w:hanging="240"/>
    </w:pPr>
  </w:style>
  <w:style w:type="paragraph" w:styleId="Index4">
    <w:name w:val="index 4"/>
    <w:basedOn w:val="Normal"/>
    <w:next w:val="Normal"/>
    <w:autoRedefine/>
    <w:rsid w:val="003F293C"/>
    <w:pPr>
      <w:ind w:left="960" w:hanging="240"/>
    </w:pPr>
  </w:style>
  <w:style w:type="paragraph" w:styleId="Index5">
    <w:name w:val="index 5"/>
    <w:basedOn w:val="Normal"/>
    <w:next w:val="Normal"/>
    <w:autoRedefine/>
    <w:rsid w:val="003F293C"/>
    <w:pPr>
      <w:ind w:left="1200" w:hanging="240"/>
    </w:pPr>
  </w:style>
  <w:style w:type="paragraph" w:styleId="Index6">
    <w:name w:val="index 6"/>
    <w:basedOn w:val="Normal"/>
    <w:next w:val="Normal"/>
    <w:autoRedefine/>
    <w:rsid w:val="003F293C"/>
    <w:pPr>
      <w:ind w:left="1440" w:hanging="240"/>
    </w:pPr>
  </w:style>
  <w:style w:type="paragraph" w:styleId="Index7">
    <w:name w:val="index 7"/>
    <w:basedOn w:val="Normal"/>
    <w:next w:val="Normal"/>
    <w:autoRedefine/>
    <w:rsid w:val="003F293C"/>
    <w:pPr>
      <w:ind w:left="1680" w:hanging="240"/>
    </w:pPr>
  </w:style>
  <w:style w:type="paragraph" w:styleId="Index8">
    <w:name w:val="index 8"/>
    <w:basedOn w:val="Normal"/>
    <w:next w:val="Normal"/>
    <w:autoRedefine/>
    <w:rsid w:val="003F293C"/>
    <w:pPr>
      <w:ind w:left="1920" w:hanging="240"/>
    </w:pPr>
  </w:style>
  <w:style w:type="paragraph" w:styleId="Index9">
    <w:name w:val="index 9"/>
    <w:basedOn w:val="Normal"/>
    <w:next w:val="Normal"/>
    <w:autoRedefine/>
    <w:rsid w:val="003F293C"/>
    <w:pPr>
      <w:ind w:left="2160" w:hanging="240"/>
    </w:pPr>
  </w:style>
  <w:style w:type="paragraph" w:styleId="NormalIndent">
    <w:name w:val="Normal Indent"/>
    <w:basedOn w:val="Normal"/>
    <w:rsid w:val="003F293C"/>
    <w:pPr>
      <w:ind w:left="720"/>
    </w:pPr>
  </w:style>
  <w:style w:type="paragraph" w:styleId="FootnoteText">
    <w:name w:val="footnote text"/>
    <w:basedOn w:val="Normal"/>
    <w:link w:val="FootnoteTextChar"/>
    <w:rsid w:val="003F293C"/>
    <w:rPr>
      <w:sz w:val="20"/>
    </w:rPr>
  </w:style>
  <w:style w:type="character" w:customStyle="1" w:styleId="FootnoteTextChar">
    <w:name w:val="Footnote Text Char"/>
    <w:basedOn w:val="DefaultParagraphFont"/>
    <w:link w:val="FootnoteText"/>
    <w:rsid w:val="003F293C"/>
  </w:style>
  <w:style w:type="paragraph" w:styleId="CommentText">
    <w:name w:val="annotation text"/>
    <w:basedOn w:val="Normal"/>
    <w:link w:val="CommentTextChar"/>
    <w:rsid w:val="003F293C"/>
    <w:rPr>
      <w:sz w:val="20"/>
    </w:rPr>
  </w:style>
  <w:style w:type="character" w:customStyle="1" w:styleId="CommentTextChar">
    <w:name w:val="Comment Text Char"/>
    <w:basedOn w:val="DefaultParagraphFont"/>
    <w:link w:val="CommentText"/>
    <w:rsid w:val="003F293C"/>
  </w:style>
  <w:style w:type="paragraph" w:styleId="IndexHeading">
    <w:name w:val="index heading"/>
    <w:basedOn w:val="Normal"/>
    <w:next w:val="Index1"/>
    <w:rsid w:val="003F293C"/>
    <w:rPr>
      <w:rFonts w:ascii="Arial" w:hAnsi="Arial" w:cs="Arial"/>
      <w:b/>
      <w:bCs/>
    </w:rPr>
  </w:style>
  <w:style w:type="paragraph" w:styleId="Caption">
    <w:name w:val="caption"/>
    <w:basedOn w:val="Normal"/>
    <w:next w:val="Normal"/>
    <w:qFormat/>
    <w:rsid w:val="003F293C"/>
    <w:pPr>
      <w:spacing w:before="120" w:after="120"/>
    </w:pPr>
    <w:rPr>
      <w:b/>
      <w:bCs/>
      <w:sz w:val="20"/>
    </w:rPr>
  </w:style>
  <w:style w:type="paragraph" w:styleId="TableofFigures">
    <w:name w:val="table of figures"/>
    <w:basedOn w:val="Normal"/>
    <w:next w:val="Normal"/>
    <w:rsid w:val="003F293C"/>
    <w:pPr>
      <w:ind w:left="480" w:hanging="480"/>
    </w:pPr>
  </w:style>
  <w:style w:type="paragraph" w:styleId="EnvelopeAddress">
    <w:name w:val="envelope address"/>
    <w:basedOn w:val="Normal"/>
    <w:rsid w:val="003F293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293C"/>
    <w:rPr>
      <w:rFonts w:ascii="Arial" w:hAnsi="Arial" w:cs="Arial"/>
      <w:sz w:val="20"/>
    </w:rPr>
  </w:style>
  <w:style w:type="character" w:styleId="FootnoteReference">
    <w:name w:val="footnote reference"/>
    <w:basedOn w:val="DefaultParagraphFont"/>
    <w:rsid w:val="003F293C"/>
    <w:rPr>
      <w:rFonts w:ascii="Times New Roman" w:hAnsi="Times New Roman"/>
      <w:sz w:val="20"/>
      <w:vertAlign w:val="superscript"/>
    </w:rPr>
  </w:style>
  <w:style w:type="character" w:styleId="CommentReference">
    <w:name w:val="annotation reference"/>
    <w:basedOn w:val="DefaultParagraphFont"/>
    <w:rsid w:val="003F293C"/>
    <w:rPr>
      <w:sz w:val="16"/>
      <w:szCs w:val="16"/>
    </w:rPr>
  </w:style>
  <w:style w:type="character" w:styleId="PageNumber">
    <w:name w:val="page number"/>
    <w:basedOn w:val="DefaultParagraphFont"/>
    <w:rsid w:val="003F293C"/>
  </w:style>
  <w:style w:type="character" w:styleId="EndnoteReference">
    <w:name w:val="endnote reference"/>
    <w:basedOn w:val="DefaultParagraphFont"/>
    <w:rsid w:val="003F293C"/>
    <w:rPr>
      <w:vertAlign w:val="superscript"/>
    </w:rPr>
  </w:style>
  <w:style w:type="paragraph" w:styleId="EndnoteText">
    <w:name w:val="endnote text"/>
    <w:basedOn w:val="Normal"/>
    <w:link w:val="EndnoteTextChar"/>
    <w:rsid w:val="003F293C"/>
    <w:rPr>
      <w:sz w:val="20"/>
    </w:rPr>
  </w:style>
  <w:style w:type="character" w:customStyle="1" w:styleId="EndnoteTextChar">
    <w:name w:val="Endnote Text Char"/>
    <w:basedOn w:val="DefaultParagraphFont"/>
    <w:link w:val="EndnoteText"/>
    <w:rsid w:val="003F293C"/>
  </w:style>
  <w:style w:type="paragraph" w:styleId="TableofAuthorities">
    <w:name w:val="table of authorities"/>
    <w:basedOn w:val="Normal"/>
    <w:next w:val="Normal"/>
    <w:rsid w:val="003F293C"/>
    <w:pPr>
      <w:ind w:left="240" w:hanging="240"/>
    </w:pPr>
  </w:style>
  <w:style w:type="paragraph" w:styleId="MacroText">
    <w:name w:val="macro"/>
    <w:link w:val="MacroTextChar"/>
    <w:rsid w:val="003F293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F293C"/>
    <w:rPr>
      <w:rFonts w:ascii="Courier New" w:eastAsia="Times New Roman" w:hAnsi="Courier New" w:cs="Courier New"/>
      <w:lang w:eastAsia="en-AU"/>
    </w:rPr>
  </w:style>
  <w:style w:type="paragraph" w:styleId="TOAHeading">
    <w:name w:val="toa heading"/>
    <w:basedOn w:val="Normal"/>
    <w:next w:val="Normal"/>
    <w:rsid w:val="003F293C"/>
    <w:pPr>
      <w:spacing w:before="120"/>
    </w:pPr>
    <w:rPr>
      <w:rFonts w:ascii="Arial" w:hAnsi="Arial" w:cs="Arial"/>
      <w:b/>
      <w:bCs/>
    </w:rPr>
  </w:style>
  <w:style w:type="paragraph" w:styleId="List">
    <w:name w:val="List"/>
    <w:basedOn w:val="Normal"/>
    <w:rsid w:val="003F293C"/>
    <w:pPr>
      <w:ind w:left="283" w:hanging="283"/>
    </w:pPr>
  </w:style>
  <w:style w:type="paragraph" w:styleId="ListBullet">
    <w:name w:val="List Bullet"/>
    <w:basedOn w:val="Normal"/>
    <w:autoRedefine/>
    <w:rsid w:val="003F293C"/>
    <w:pPr>
      <w:tabs>
        <w:tab w:val="num" w:pos="360"/>
      </w:tabs>
      <w:ind w:left="360" w:hanging="360"/>
    </w:pPr>
  </w:style>
  <w:style w:type="paragraph" w:styleId="ListNumber">
    <w:name w:val="List Number"/>
    <w:basedOn w:val="Normal"/>
    <w:rsid w:val="003F293C"/>
    <w:pPr>
      <w:tabs>
        <w:tab w:val="num" w:pos="360"/>
      </w:tabs>
      <w:ind w:left="360" w:hanging="360"/>
    </w:pPr>
  </w:style>
  <w:style w:type="paragraph" w:styleId="List2">
    <w:name w:val="List 2"/>
    <w:basedOn w:val="Normal"/>
    <w:rsid w:val="003F293C"/>
    <w:pPr>
      <w:ind w:left="566" w:hanging="283"/>
    </w:pPr>
  </w:style>
  <w:style w:type="paragraph" w:styleId="List3">
    <w:name w:val="List 3"/>
    <w:basedOn w:val="Normal"/>
    <w:rsid w:val="003F293C"/>
    <w:pPr>
      <w:ind w:left="849" w:hanging="283"/>
    </w:pPr>
  </w:style>
  <w:style w:type="paragraph" w:styleId="List4">
    <w:name w:val="List 4"/>
    <w:basedOn w:val="Normal"/>
    <w:rsid w:val="003F293C"/>
    <w:pPr>
      <w:ind w:left="1132" w:hanging="283"/>
    </w:pPr>
  </w:style>
  <w:style w:type="paragraph" w:styleId="List5">
    <w:name w:val="List 5"/>
    <w:basedOn w:val="Normal"/>
    <w:rsid w:val="003F293C"/>
    <w:pPr>
      <w:ind w:left="1415" w:hanging="283"/>
    </w:pPr>
  </w:style>
  <w:style w:type="paragraph" w:styleId="ListBullet2">
    <w:name w:val="List Bullet 2"/>
    <w:basedOn w:val="Normal"/>
    <w:autoRedefine/>
    <w:rsid w:val="003F293C"/>
    <w:pPr>
      <w:tabs>
        <w:tab w:val="num" w:pos="360"/>
      </w:tabs>
    </w:pPr>
  </w:style>
  <w:style w:type="paragraph" w:styleId="ListBullet3">
    <w:name w:val="List Bullet 3"/>
    <w:basedOn w:val="Normal"/>
    <w:autoRedefine/>
    <w:rsid w:val="003F293C"/>
    <w:pPr>
      <w:tabs>
        <w:tab w:val="num" w:pos="926"/>
      </w:tabs>
      <w:ind w:left="926" w:hanging="360"/>
    </w:pPr>
  </w:style>
  <w:style w:type="paragraph" w:styleId="ListBullet4">
    <w:name w:val="List Bullet 4"/>
    <w:basedOn w:val="Normal"/>
    <w:autoRedefine/>
    <w:rsid w:val="003F293C"/>
    <w:pPr>
      <w:tabs>
        <w:tab w:val="num" w:pos="1209"/>
      </w:tabs>
      <w:ind w:left="1209" w:hanging="360"/>
    </w:pPr>
  </w:style>
  <w:style w:type="paragraph" w:styleId="ListBullet5">
    <w:name w:val="List Bullet 5"/>
    <w:basedOn w:val="Normal"/>
    <w:autoRedefine/>
    <w:rsid w:val="003F293C"/>
    <w:pPr>
      <w:tabs>
        <w:tab w:val="num" w:pos="1492"/>
      </w:tabs>
      <w:ind w:left="1492" w:hanging="360"/>
    </w:pPr>
  </w:style>
  <w:style w:type="paragraph" w:styleId="ListNumber2">
    <w:name w:val="List Number 2"/>
    <w:basedOn w:val="Normal"/>
    <w:rsid w:val="003F293C"/>
    <w:pPr>
      <w:tabs>
        <w:tab w:val="num" w:pos="643"/>
      </w:tabs>
      <w:ind w:left="643" w:hanging="360"/>
    </w:pPr>
  </w:style>
  <w:style w:type="paragraph" w:styleId="ListNumber3">
    <w:name w:val="List Number 3"/>
    <w:basedOn w:val="Normal"/>
    <w:rsid w:val="003F293C"/>
    <w:pPr>
      <w:tabs>
        <w:tab w:val="num" w:pos="926"/>
      </w:tabs>
      <w:ind w:left="926" w:hanging="360"/>
    </w:pPr>
  </w:style>
  <w:style w:type="paragraph" w:styleId="ListNumber4">
    <w:name w:val="List Number 4"/>
    <w:basedOn w:val="Normal"/>
    <w:rsid w:val="003F293C"/>
    <w:pPr>
      <w:tabs>
        <w:tab w:val="num" w:pos="1209"/>
      </w:tabs>
      <w:ind w:left="1209" w:hanging="360"/>
    </w:pPr>
  </w:style>
  <w:style w:type="paragraph" w:styleId="ListNumber5">
    <w:name w:val="List Number 5"/>
    <w:basedOn w:val="Normal"/>
    <w:rsid w:val="003F293C"/>
    <w:pPr>
      <w:tabs>
        <w:tab w:val="num" w:pos="1492"/>
      </w:tabs>
      <w:ind w:left="1492" w:hanging="360"/>
    </w:pPr>
  </w:style>
  <w:style w:type="paragraph" w:styleId="Title">
    <w:name w:val="Title"/>
    <w:basedOn w:val="Normal"/>
    <w:link w:val="TitleChar"/>
    <w:qFormat/>
    <w:rsid w:val="003F293C"/>
    <w:pPr>
      <w:spacing w:before="240" w:after="60"/>
    </w:pPr>
    <w:rPr>
      <w:rFonts w:ascii="Arial" w:hAnsi="Arial" w:cs="Arial"/>
      <w:b/>
      <w:bCs/>
      <w:sz w:val="40"/>
      <w:szCs w:val="40"/>
    </w:rPr>
  </w:style>
  <w:style w:type="character" w:customStyle="1" w:styleId="TitleChar">
    <w:name w:val="Title Char"/>
    <w:basedOn w:val="DefaultParagraphFont"/>
    <w:link w:val="Title"/>
    <w:rsid w:val="003F293C"/>
    <w:rPr>
      <w:rFonts w:ascii="Arial" w:hAnsi="Arial" w:cs="Arial"/>
      <w:b/>
      <w:bCs/>
      <w:sz w:val="40"/>
      <w:szCs w:val="40"/>
    </w:rPr>
  </w:style>
  <w:style w:type="paragraph" w:styleId="Closing">
    <w:name w:val="Closing"/>
    <w:basedOn w:val="Normal"/>
    <w:link w:val="ClosingChar"/>
    <w:rsid w:val="003F293C"/>
    <w:pPr>
      <w:ind w:left="4252"/>
    </w:pPr>
  </w:style>
  <w:style w:type="character" w:customStyle="1" w:styleId="ClosingChar">
    <w:name w:val="Closing Char"/>
    <w:basedOn w:val="DefaultParagraphFont"/>
    <w:link w:val="Closing"/>
    <w:rsid w:val="003F293C"/>
    <w:rPr>
      <w:sz w:val="22"/>
    </w:rPr>
  </w:style>
  <w:style w:type="paragraph" w:styleId="Signature">
    <w:name w:val="Signature"/>
    <w:basedOn w:val="Normal"/>
    <w:link w:val="SignatureChar"/>
    <w:rsid w:val="003F293C"/>
    <w:pPr>
      <w:ind w:left="4252"/>
    </w:pPr>
  </w:style>
  <w:style w:type="character" w:customStyle="1" w:styleId="SignatureChar">
    <w:name w:val="Signature Char"/>
    <w:basedOn w:val="DefaultParagraphFont"/>
    <w:link w:val="Signature"/>
    <w:rsid w:val="003F293C"/>
    <w:rPr>
      <w:sz w:val="22"/>
    </w:rPr>
  </w:style>
  <w:style w:type="paragraph" w:styleId="BodyText">
    <w:name w:val="Body Text"/>
    <w:basedOn w:val="Normal"/>
    <w:link w:val="BodyTextChar"/>
    <w:rsid w:val="003F293C"/>
    <w:pPr>
      <w:spacing w:after="120"/>
    </w:pPr>
  </w:style>
  <w:style w:type="character" w:customStyle="1" w:styleId="BodyTextChar">
    <w:name w:val="Body Text Char"/>
    <w:basedOn w:val="DefaultParagraphFont"/>
    <w:link w:val="BodyText"/>
    <w:rsid w:val="003F293C"/>
    <w:rPr>
      <w:sz w:val="22"/>
    </w:rPr>
  </w:style>
  <w:style w:type="paragraph" w:styleId="BodyTextIndent">
    <w:name w:val="Body Text Indent"/>
    <w:basedOn w:val="Normal"/>
    <w:link w:val="BodyTextIndentChar"/>
    <w:rsid w:val="003F293C"/>
    <w:pPr>
      <w:spacing w:after="120"/>
      <w:ind w:left="283"/>
    </w:pPr>
  </w:style>
  <w:style w:type="character" w:customStyle="1" w:styleId="BodyTextIndentChar">
    <w:name w:val="Body Text Indent Char"/>
    <w:basedOn w:val="DefaultParagraphFont"/>
    <w:link w:val="BodyTextIndent"/>
    <w:rsid w:val="003F293C"/>
    <w:rPr>
      <w:sz w:val="22"/>
    </w:rPr>
  </w:style>
  <w:style w:type="paragraph" w:styleId="ListContinue">
    <w:name w:val="List Continue"/>
    <w:basedOn w:val="Normal"/>
    <w:rsid w:val="003F293C"/>
    <w:pPr>
      <w:spacing w:after="120"/>
      <w:ind w:left="283"/>
    </w:pPr>
  </w:style>
  <w:style w:type="paragraph" w:styleId="ListContinue2">
    <w:name w:val="List Continue 2"/>
    <w:basedOn w:val="Normal"/>
    <w:rsid w:val="003F293C"/>
    <w:pPr>
      <w:spacing w:after="120"/>
      <w:ind w:left="566"/>
    </w:pPr>
  </w:style>
  <w:style w:type="paragraph" w:styleId="ListContinue3">
    <w:name w:val="List Continue 3"/>
    <w:basedOn w:val="Normal"/>
    <w:rsid w:val="003F293C"/>
    <w:pPr>
      <w:spacing w:after="120"/>
      <w:ind w:left="849"/>
    </w:pPr>
  </w:style>
  <w:style w:type="paragraph" w:styleId="ListContinue4">
    <w:name w:val="List Continue 4"/>
    <w:basedOn w:val="Normal"/>
    <w:rsid w:val="003F293C"/>
    <w:pPr>
      <w:spacing w:after="120"/>
      <w:ind w:left="1132"/>
    </w:pPr>
  </w:style>
  <w:style w:type="paragraph" w:styleId="ListContinue5">
    <w:name w:val="List Continue 5"/>
    <w:basedOn w:val="Normal"/>
    <w:rsid w:val="003F293C"/>
    <w:pPr>
      <w:spacing w:after="120"/>
      <w:ind w:left="1415"/>
    </w:pPr>
  </w:style>
  <w:style w:type="paragraph" w:styleId="MessageHeader">
    <w:name w:val="Message Header"/>
    <w:basedOn w:val="Normal"/>
    <w:link w:val="MessageHeaderChar"/>
    <w:rsid w:val="003F293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F293C"/>
    <w:rPr>
      <w:rFonts w:ascii="Arial" w:hAnsi="Arial" w:cs="Arial"/>
      <w:sz w:val="22"/>
      <w:shd w:val="pct20" w:color="auto" w:fill="auto"/>
    </w:rPr>
  </w:style>
  <w:style w:type="paragraph" w:styleId="Subtitle">
    <w:name w:val="Subtitle"/>
    <w:basedOn w:val="Normal"/>
    <w:link w:val="SubtitleChar"/>
    <w:qFormat/>
    <w:rsid w:val="003F293C"/>
    <w:pPr>
      <w:spacing w:after="60"/>
      <w:jc w:val="center"/>
      <w:outlineLvl w:val="1"/>
    </w:pPr>
    <w:rPr>
      <w:rFonts w:ascii="Arial" w:hAnsi="Arial" w:cs="Arial"/>
    </w:rPr>
  </w:style>
  <w:style w:type="character" w:customStyle="1" w:styleId="SubtitleChar">
    <w:name w:val="Subtitle Char"/>
    <w:basedOn w:val="DefaultParagraphFont"/>
    <w:link w:val="Subtitle"/>
    <w:rsid w:val="003F293C"/>
    <w:rPr>
      <w:rFonts w:ascii="Arial" w:hAnsi="Arial" w:cs="Arial"/>
      <w:sz w:val="22"/>
    </w:rPr>
  </w:style>
  <w:style w:type="paragraph" w:styleId="Salutation">
    <w:name w:val="Salutation"/>
    <w:basedOn w:val="Normal"/>
    <w:next w:val="Normal"/>
    <w:link w:val="SalutationChar"/>
    <w:rsid w:val="003F293C"/>
  </w:style>
  <w:style w:type="character" w:customStyle="1" w:styleId="SalutationChar">
    <w:name w:val="Salutation Char"/>
    <w:basedOn w:val="DefaultParagraphFont"/>
    <w:link w:val="Salutation"/>
    <w:rsid w:val="003F293C"/>
    <w:rPr>
      <w:sz w:val="22"/>
    </w:rPr>
  </w:style>
  <w:style w:type="paragraph" w:styleId="Date">
    <w:name w:val="Date"/>
    <w:basedOn w:val="Normal"/>
    <w:next w:val="Normal"/>
    <w:link w:val="DateChar"/>
    <w:rsid w:val="003F293C"/>
  </w:style>
  <w:style w:type="character" w:customStyle="1" w:styleId="DateChar">
    <w:name w:val="Date Char"/>
    <w:basedOn w:val="DefaultParagraphFont"/>
    <w:link w:val="Date"/>
    <w:rsid w:val="003F293C"/>
    <w:rPr>
      <w:sz w:val="22"/>
    </w:rPr>
  </w:style>
  <w:style w:type="paragraph" w:styleId="BodyTextFirstIndent">
    <w:name w:val="Body Text First Indent"/>
    <w:basedOn w:val="BodyText"/>
    <w:link w:val="BodyTextFirstIndentChar"/>
    <w:rsid w:val="003F293C"/>
    <w:pPr>
      <w:ind w:firstLine="210"/>
    </w:pPr>
  </w:style>
  <w:style w:type="character" w:customStyle="1" w:styleId="BodyTextFirstIndentChar">
    <w:name w:val="Body Text First Indent Char"/>
    <w:basedOn w:val="BodyTextChar"/>
    <w:link w:val="BodyTextFirstIndent"/>
    <w:rsid w:val="003F293C"/>
    <w:rPr>
      <w:sz w:val="22"/>
    </w:rPr>
  </w:style>
  <w:style w:type="paragraph" w:styleId="BodyTextFirstIndent2">
    <w:name w:val="Body Text First Indent 2"/>
    <w:basedOn w:val="BodyTextIndent"/>
    <w:link w:val="BodyTextFirstIndent2Char"/>
    <w:rsid w:val="003F293C"/>
    <w:pPr>
      <w:ind w:firstLine="210"/>
    </w:pPr>
  </w:style>
  <w:style w:type="character" w:customStyle="1" w:styleId="BodyTextFirstIndent2Char">
    <w:name w:val="Body Text First Indent 2 Char"/>
    <w:basedOn w:val="BodyTextIndentChar"/>
    <w:link w:val="BodyTextFirstIndent2"/>
    <w:rsid w:val="003F293C"/>
    <w:rPr>
      <w:sz w:val="22"/>
    </w:rPr>
  </w:style>
  <w:style w:type="paragraph" w:styleId="BodyText2">
    <w:name w:val="Body Text 2"/>
    <w:basedOn w:val="Normal"/>
    <w:link w:val="BodyText2Char"/>
    <w:rsid w:val="003F293C"/>
    <w:pPr>
      <w:spacing w:after="120" w:line="480" w:lineRule="auto"/>
    </w:pPr>
  </w:style>
  <w:style w:type="character" w:customStyle="1" w:styleId="BodyText2Char">
    <w:name w:val="Body Text 2 Char"/>
    <w:basedOn w:val="DefaultParagraphFont"/>
    <w:link w:val="BodyText2"/>
    <w:rsid w:val="003F293C"/>
    <w:rPr>
      <w:sz w:val="22"/>
    </w:rPr>
  </w:style>
  <w:style w:type="paragraph" w:styleId="BodyText3">
    <w:name w:val="Body Text 3"/>
    <w:basedOn w:val="Normal"/>
    <w:link w:val="BodyText3Char"/>
    <w:rsid w:val="003F293C"/>
    <w:pPr>
      <w:spacing w:after="120"/>
    </w:pPr>
    <w:rPr>
      <w:sz w:val="16"/>
      <w:szCs w:val="16"/>
    </w:rPr>
  </w:style>
  <w:style w:type="character" w:customStyle="1" w:styleId="BodyText3Char">
    <w:name w:val="Body Text 3 Char"/>
    <w:basedOn w:val="DefaultParagraphFont"/>
    <w:link w:val="BodyText3"/>
    <w:rsid w:val="003F293C"/>
    <w:rPr>
      <w:sz w:val="16"/>
      <w:szCs w:val="16"/>
    </w:rPr>
  </w:style>
  <w:style w:type="paragraph" w:styleId="BodyTextIndent2">
    <w:name w:val="Body Text Indent 2"/>
    <w:basedOn w:val="Normal"/>
    <w:link w:val="BodyTextIndent2Char"/>
    <w:rsid w:val="003F293C"/>
    <w:pPr>
      <w:spacing w:after="120" w:line="480" w:lineRule="auto"/>
      <w:ind w:left="283"/>
    </w:pPr>
  </w:style>
  <w:style w:type="character" w:customStyle="1" w:styleId="BodyTextIndent2Char">
    <w:name w:val="Body Text Indent 2 Char"/>
    <w:basedOn w:val="DefaultParagraphFont"/>
    <w:link w:val="BodyTextIndent2"/>
    <w:rsid w:val="003F293C"/>
    <w:rPr>
      <w:sz w:val="22"/>
    </w:rPr>
  </w:style>
  <w:style w:type="paragraph" w:styleId="BodyTextIndent3">
    <w:name w:val="Body Text Indent 3"/>
    <w:basedOn w:val="Normal"/>
    <w:link w:val="BodyTextIndent3Char"/>
    <w:rsid w:val="003F293C"/>
    <w:pPr>
      <w:spacing w:after="120"/>
      <w:ind w:left="283"/>
    </w:pPr>
    <w:rPr>
      <w:sz w:val="16"/>
      <w:szCs w:val="16"/>
    </w:rPr>
  </w:style>
  <w:style w:type="character" w:customStyle="1" w:styleId="BodyTextIndent3Char">
    <w:name w:val="Body Text Indent 3 Char"/>
    <w:basedOn w:val="DefaultParagraphFont"/>
    <w:link w:val="BodyTextIndent3"/>
    <w:rsid w:val="003F293C"/>
    <w:rPr>
      <w:sz w:val="16"/>
      <w:szCs w:val="16"/>
    </w:rPr>
  </w:style>
  <w:style w:type="paragraph" w:styleId="BlockText">
    <w:name w:val="Block Text"/>
    <w:basedOn w:val="Normal"/>
    <w:rsid w:val="003F293C"/>
    <w:pPr>
      <w:spacing w:after="120"/>
      <w:ind w:left="1440" w:right="1440"/>
    </w:pPr>
  </w:style>
  <w:style w:type="character" w:styleId="Hyperlink">
    <w:name w:val="Hyperlink"/>
    <w:basedOn w:val="DefaultParagraphFont"/>
    <w:rsid w:val="003F293C"/>
    <w:rPr>
      <w:color w:val="0000FF"/>
      <w:u w:val="single"/>
    </w:rPr>
  </w:style>
  <w:style w:type="character" w:styleId="FollowedHyperlink">
    <w:name w:val="FollowedHyperlink"/>
    <w:basedOn w:val="DefaultParagraphFont"/>
    <w:rsid w:val="003F293C"/>
    <w:rPr>
      <w:color w:val="800080"/>
      <w:u w:val="single"/>
    </w:rPr>
  </w:style>
  <w:style w:type="character" w:styleId="Strong">
    <w:name w:val="Strong"/>
    <w:basedOn w:val="DefaultParagraphFont"/>
    <w:qFormat/>
    <w:rsid w:val="003F293C"/>
    <w:rPr>
      <w:b/>
      <w:bCs/>
    </w:rPr>
  </w:style>
  <w:style w:type="character" w:styleId="Emphasis">
    <w:name w:val="Emphasis"/>
    <w:basedOn w:val="DefaultParagraphFont"/>
    <w:qFormat/>
    <w:rsid w:val="003F293C"/>
    <w:rPr>
      <w:i/>
      <w:iCs/>
    </w:rPr>
  </w:style>
  <w:style w:type="paragraph" w:styleId="DocumentMap">
    <w:name w:val="Document Map"/>
    <w:basedOn w:val="Normal"/>
    <w:link w:val="DocumentMapChar"/>
    <w:rsid w:val="003F293C"/>
    <w:pPr>
      <w:shd w:val="clear" w:color="auto" w:fill="000080"/>
    </w:pPr>
    <w:rPr>
      <w:rFonts w:ascii="Tahoma" w:hAnsi="Tahoma" w:cs="Tahoma"/>
    </w:rPr>
  </w:style>
  <w:style w:type="character" w:customStyle="1" w:styleId="DocumentMapChar">
    <w:name w:val="Document Map Char"/>
    <w:basedOn w:val="DefaultParagraphFont"/>
    <w:link w:val="DocumentMap"/>
    <w:rsid w:val="003F293C"/>
    <w:rPr>
      <w:rFonts w:ascii="Tahoma" w:hAnsi="Tahoma" w:cs="Tahoma"/>
      <w:sz w:val="22"/>
      <w:shd w:val="clear" w:color="auto" w:fill="000080"/>
    </w:rPr>
  </w:style>
  <w:style w:type="paragraph" w:styleId="PlainText">
    <w:name w:val="Plain Text"/>
    <w:basedOn w:val="Normal"/>
    <w:link w:val="PlainTextChar"/>
    <w:rsid w:val="003F293C"/>
    <w:rPr>
      <w:rFonts w:ascii="Courier New" w:hAnsi="Courier New" w:cs="Courier New"/>
      <w:sz w:val="20"/>
    </w:rPr>
  </w:style>
  <w:style w:type="character" w:customStyle="1" w:styleId="PlainTextChar">
    <w:name w:val="Plain Text Char"/>
    <w:basedOn w:val="DefaultParagraphFont"/>
    <w:link w:val="PlainText"/>
    <w:rsid w:val="003F293C"/>
    <w:rPr>
      <w:rFonts w:ascii="Courier New" w:hAnsi="Courier New" w:cs="Courier New"/>
    </w:rPr>
  </w:style>
  <w:style w:type="paragraph" w:styleId="E-mailSignature">
    <w:name w:val="E-mail Signature"/>
    <w:basedOn w:val="Normal"/>
    <w:link w:val="E-mailSignatureChar"/>
    <w:rsid w:val="003F293C"/>
  </w:style>
  <w:style w:type="character" w:customStyle="1" w:styleId="E-mailSignatureChar">
    <w:name w:val="E-mail Signature Char"/>
    <w:basedOn w:val="DefaultParagraphFont"/>
    <w:link w:val="E-mailSignature"/>
    <w:rsid w:val="003F293C"/>
    <w:rPr>
      <w:sz w:val="22"/>
    </w:rPr>
  </w:style>
  <w:style w:type="paragraph" w:styleId="NormalWeb">
    <w:name w:val="Normal (Web)"/>
    <w:basedOn w:val="Normal"/>
    <w:rsid w:val="003F293C"/>
  </w:style>
  <w:style w:type="character" w:styleId="HTMLAcronym">
    <w:name w:val="HTML Acronym"/>
    <w:basedOn w:val="DefaultParagraphFont"/>
    <w:rsid w:val="003F293C"/>
  </w:style>
  <w:style w:type="paragraph" w:styleId="HTMLAddress">
    <w:name w:val="HTML Address"/>
    <w:basedOn w:val="Normal"/>
    <w:link w:val="HTMLAddressChar"/>
    <w:rsid w:val="003F293C"/>
    <w:rPr>
      <w:i/>
      <w:iCs/>
    </w:rPr>
  </w:style>
  <w:style w:type="character" w:customStyle="1" w:styleId="HTMLAddressChar">
    <w:name w:val="HTML Address Char"/>
    <w:basedOn w:val="DefaultParagraphFont"/>
    <w:link w:val="HTMLAddress"/>
    <w:rsid w:val="003F293C"/>
    <w:rPr>
      <w:i/>
      <w:iCs/>
      <w:sz w:val="22"/>
    </w:rPr>
  </w:style>
  <w:style w:type="character" w:styleId="HTMLCite">
    <w:name w:val="HTML Cite"/>
    <w:basedOn w:val="DefaultParagraphFont"/>
    <w:rsid w:val="003F293C"/>
    <w:rPr>
      <w:i/>
      <w:iCs/>
    </w:rPr>
  </w:style>
  <w:style w:type="character" w:styleId="HTMLCode">
    <w:name w:val="HTML Code"/>
    <w:basedOn w:val="DefaultParagraphFont"/>
    <w:rsid w:val="003F293C"/>
    <w:rPr>
      <w:rFonts w:ascii="Courier New" w:hAnsi="Courier New" w:cs="Courier New"/>
      <w:sz w:val="20"/>
      <w:szCs w:val="20"/>
    </w:rPr>
  </w:style>
  <w:style w:type="character" w:styleId="HTMLDefinition">
    <w:name w:val="HTML Definition"/>
    <w:basedOn w:val="DefaultParagraphFont"/>
    <w:rsid w:val="003F293C"/>
    <w:rPr>
      <w:i/>
      <w:iCs/>
    </w:rPr>
  </w:style>
  <w:style w:type="character" w:styleId="HTMLKeyboard">
    <w:name w:val="HTML Keyboard"/>
    <w:basedOn w:val="DefaultParagraphFont"/>
    <w:rsid w:val="003F293C"/>
    <w:rPr>
      <w:rFonts w:ascii="Courier New" w:hAnsi="Courier New" w:cs="Courier New"/>
      <w:sz w:val="20"/>
      <w:szCs w:val="20"/>
    </w:rPr>
  </w:style>
  <w:style w:type="paragraph" w:styleId="HTMLPreformatted">
    <w:name w:val="HTML Preformatted"/>
    <w:basedOn w:val="Normal"/>
    <w:link w:val="HTMLPreformattedChar"/>
    <w:rsid w:val="003F293C"/>
    <w:rPr>
      <w:rFonts w:ascii="Courier New" w:hAnsi="Courier New" w:cs="Courier New"/>
      <w:sz w:val="20"/>
    </w:rPr>
  </w:style>
  <w:style w:type="character" w:customStyle="1" w:styleId="HTMLPreformattedChar">
    <w:name w:val="HTML Preformatted Char"/>
    <w:basedOn w:val="DefaultParagraphFont"/>
    <w:link w:val="HTMLPreformatted"/>
    <w:rsid w:val="003F293C"/>
    <w:rPr>
      <w:rFonts w:ascii="Courier New" w:hAnsi="Courier New" w:cs="Courier New"/>
    </w:rPr>
  </w:style>
  <w:style w:type="character" w:styleId="HTMLSample">
    <w:name w:val="HTML Sample"/>
    <w:basedOn w:val="DefaultParagraphFont"/>
    <w:rsid w:val="003F293C"/>
    <w:rPr>
      <w:rFonts w:ascii="Courier New" w:hAnsi="Courier New" w:cs="Courier New"/>
    </w:rPr>
  </w:style>
  <w:style w:type="character" w:styleId="HTMLTypewriter">
    <w:name w:val="HTML Typewriter"/>
    <w:basedOn w:val="DefaultParagraphFont"/>
    <w:rsid w:val="003F293C"/>
    <w:rPr>
      <w:rFonts w:ascii="Courier New" w:hAnsi="Courier New" w:cs="Courier New"/>
      <w:sz w:val="20"/>
      <w:szCs w:val="20"/>
    </w:rPr>
  </w:style>
  <w:style w:type="character" w:styleId="HTMLVariable">
    <w:name w:val="HTML Variable"/>
    <w:basedOn w:val="DefaultParagraphFont"/>
    <w:rsid w:val="003F293C"/>
    <w:rPr>
      <w:i/>
      <w:iCs/>
    </w:rPr>
  </w:style>
  <w:style w:type="paragraph" w:styleId="CommentSubject">
    <w:name w:val="annotation subject"/>
    <w:basedOn w:val="CommentText"/>
    <w:next w:val="CommentText"/>
    <w:link w:val="CommentSubjectChar"/>
    <w:rsid w:val="003F293C"/>
    <w:rPr>
      <w:b/>
      <w:bCs/>
    </w:rPr>
  </w:style>
  <w:style w:type="character" w:customStyle="1" w:styleId="CommentSubjectChar">
    <w:name w:val="Comment Subject Char"/>
    <w:basedOn w:val="CommentTextChar"/>
    <w:link w:val="CommentSubject"/>
    <w:rsid w:val="003F293C"/>
    <w:rPr>
      <w:b/>
      <w:bCs/>
    </w:rPr>
  </w:style>
  <w:style w:type="numbering" w:styleId="1ai">
    <w:name w:val="Outline List 1"/>
    <w:basedOn w:val="NoList"/>
    <w:rsid w:val="003F293C"/>
    <w:pPr>
      <w:numPr>
        <w:numId w:val="14"/>
      </w:numPr>
    </w:pPr>
  </w:style>
  <w:style w:type="numbering" w:styleId="111111">
    <w:name w:val="Outline List 2"/>
    <w:basedOn w:val="NoList"/>
    <w:rsid w:val="003F293C"/>
    <w:pPr>
      <w:numPr>
        <w:numId w:val="15"/>
      </w:numPr>
    </w:pPr>
  </w:style>
  <w:style w:type="numbering" w:styleId="ArticleSection">
    <w:name w:val="Outline List 3"/>
    <w:basedOn w:val="NoList"/>
    <w:rsid w:val="003F293C"/>
    <w:pPr>
      <w:numPr>
        <w:numId w:val="17"/>
      </w:numPr>
    </w:pPr>
  </w:style>
  <w:style w:type="table" w:styleId="TableSimple1">
    <w:name w:val="Table Simple 1"/>
    <w:basedOn w:val="TableNormal"/>
    <w:rsid w:val="003F293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293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293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F293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293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293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293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293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293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293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293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293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293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293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293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F293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293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293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293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293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293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293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293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293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293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293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293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293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293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293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293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F293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293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293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F293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293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F293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293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293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F293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293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293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F293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F293C"/>
    <w:rPr>
      <w:rFonts w:eastAsia="Times New Roman" w:cs="Times New Roman"/>
      <w:b/>
      <w:kern w:val="28"/>
      <w:sz w:val="24"/>
      <w:lang w:eastAsia="en-AU"/>
    </w:rPr>
  </w:style>
  <w:style w:type="paragraph" w:customStyle="1" w:styleId="paragraphsub0">
    <w:name w:val="paragraphsub"/>
    <w:basedOn w:val="Normal"/>
    <w:rsid w:val="003329F1"/>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basedOn w:val="DefaultParagraphFont"/>
    <w:link w:val="paragraph"/>
    <w:locked/>
    <w:rsid w:val="001020F0"/>
    <w:rPr>
      <w:rFonts w:eastAsia="Times New Roman" w:cs="Times New Roman"/>
      <w:sz w:val="22"/>
      <w:lang w:eastAsia="en-AU"/>
    </w:rPr>
  </w:style>
  <w:style w:type="paragraph" w:customStyle="1" w:styleId="subsectionhead0">
    <w:name w:val="subsectionhead"/>
    <w:basedOn w:val="Normal"/>
    <w:rsid w:val="00252BE1"/>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7420">
      <w:bodyDiv w:val="1"/>
      <w:marLeft w:val="0"/>
      <w:marRight w:val="0"/>
      <w:marTop w:val="0"/>
      <w:marBottom w:val="0"/>
      <w:divBdr>
        <w:top w:val="none" w:sz="0" w:space="0" w:color="auto"/>
        <w:left w:val="none" w:sz="0" w:space="0" w:color="auto"/>
        <w:bottom w:val="none" w:sz="0" w:space="0" w:color="auto"/>
        <w:right w:val="none" w:sz="0" w:space="0" w:color="auto"/>
      </w:divBdr>
    </w:div>
    <w:div w:id="300235515">
      <w:bodyDiv w:val="1"/>
      <w:marLeft w:val="0"/>
      <w:marRight w:val="0"/>
      <w:marTop w:val="0"/>
      <w:marBottom w:val="0"/>
      <w:divBdr>
        <w:top w:val="none" w:sz="0" w:space="0" w:color="auto"/>
        <w:left w:val="none" w:sz="0" w:space="0" w:color="auto"/>
        <w:bottom w:val="none" w:sz="0" w:space="0" w:color="auto"/>
        <w:right w:val="none" w:sz="0" w:space="0" w:color="auto"/>
      </w:divBdr>
    </w:div>
    <w:div w:id="700012648">
      <w:bodyDiv w:val="1"/>
      <w:marLeft w:val="0"/>
      <w:marRight w:val="0"/>
      <w:marTop w:val="0"/>
      <w:marBottom w:val="0"/>
      <w:divBdr>
        <w:top w:val="none" w:sz="0" w:space="0" w:color="auto"/>
        <w:left w:val="none" w:sz="0" w:space="0" w:color="auto"/>
        <w:bottom w:val="none" w:sz="0" w:space="0" w:color="auto"/>
        <w:right w:val="none" w:sz="0" w:space="0" w:color="auto"/>
      </w:divBdr>
    </w:div>
    <w:div w:id="916792096">
      <w:bodyDiv w:val="1"/>
      <w:marLeft w:val="0"/>
      <w:marRight w:val="0"/>
      <w:marTop w:val="0"/>
      <w:marBottom w:val="0"/>
      <w:divBdr>
        <w:top w:val="none" w:sz="0" w:space="0" w:color="auto"/>
        <w:left w:val="none" w:sz="0" w:space="0" w:color="auto"/>
        <w:bottom w:val="none" w:sz="0" w:space="0" w:color="auto"/>
        <w:right w:val="none" w:sz="0" w:space="0" w:color="auto"/>
      </w:divBdr>
    </w:div>
    <w:div w:id="1408989593">
      <w:bodyDiv w:val="1"/>
      <w:marLeft w:val="0"/>
      <w:marRight w:val="0"/>
      <w:marTop w:val="0"/>
      <w:marBottom w:val="0"/>
      <w:divBdr>
        <w:top w:val="none" w:sz="0" w:space="0" w:color="auto"/>
        <w:left w:val="none" w:sz="0" w:space="0" w:color="auto"/>
        <w:bottom w:val="none" w:sz="0" w:space="0" w:color="auto"/>
        <w:right w:val="none" w:sz="0" w:space="0" w:color="auto"/>
      </w:divBdr>
    </w:div>
    <w:div w:id="1563952081">
      <w:bodyDiv w:val="1"/>
      <w:marLeft w:val="0"/>
      <w:marRight w:val="0"/>
      <w:marTop w:val="0"/>
      <w:marBottom w:val="0"/>
      <w:divBdr>
        <w:top w:val="none" w:sz="0" w:space="0" w:color="auto"/>
        <w:left w:val="none" w:sz="0" w:space="0" w:color="auto"/>
        <w:bottom w:val="none" w:sz="0" w:space="0" w:color="auto"/>
        <w:right w:val="none" w:sz="0" w:space="0" w:color="auto"/>
      </w:divBdr>
    </w:div>
    <w:div w:id="18628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i6880fa62fd2465ea894b48b45824d1c xmlns="9f7bc583-7cbe-45b9-a2bd-8bbb6543b37e">
      <Terms xmlns="http://schemas.microsoft.com/office/infopath/2007/PartnerControls"/>
    </i6880fa62fd2465ea894b48b45824d1c>
    <_dlc_DocId xmlns="0f563589-9cf9-4143-b1eb-fb0534803d38">2022RG-111-25547</_dlc_DocId>
    <_dlc_DocIdUrl xmlns="0f563589-9cf9-4143-b1eb-fb0534803d38">
      <Url>http://tweb/sites/rg/ldp/lmu/_layouts/15/DocIdRedir.aspx?ID=2022RG-111-25547</Url>
      <Description>2022RG-111-25547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9914" ma:contentTypeDescription=" " ma:contentTypeScope="" ma:versionID="65bd7c7681b6d1579f424028dbbbcaec">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D3036-411B-4B19-BF31-230B356261BE}">
  <ds:schemaRefs>
    <ds:schemaRef ds:uri="office.server.policy"/>
  </ds:schemaRefs>
</ds:datastoreItem>
</file>

<file path=customXml/itemProps2.xml><?xml version="1.0" encoding="utf-8"?>
<ds:datastoreItem xmlns:ds="http://schemas.openxmlformats.org/officeDocument/2006/customXml" ds:itemID="{64134DCE-55C8-40DC-9484-C4E51FC86C20}">
  <ds:schemaRefs>
    <ds:schemaRef ds:uri="http://schemas.microsoft.com/sharepoint/events"/>
  </ds:schemaRefs>
</ds:datastoreItem>
</file>

<file path=customXml/itemProps3.xml><?xml version="1.0" encoding="utf-8"?>
<ds:datastoreItem xmlns:ds="http://schemas.openxmlformats.org/officeDocument/2006/customXml" ds:itemID="{91079072-BD31-4C40-A497-AAA2E6F674C3}">
  <ds:schemaRefs>
    <ds:schemaRef ds:uri="http://purl.org/dc/elements/1.1/"/>
    <ds:schemaRef ds:uri="9f7bc583-7cbe-45b9-a2bd-8bbb6543b37e"/>
    <ds:schemaRef ds:uri="http://schemas.openxmlformats.org/package/2006/metadata/core-properties"/>
    <ds:schemaRef ds:uri="http://schemas.microsoft.com/office/infopath/2007/PartnerControls"/>
    <ds:schemaRef ds:uri="http://purl.org/dc/terms/"/>
    <ds:schemaRef ds:uri="http://schemas.microsoft.com/sharepoint/v4"/>
    <ds:schemaRef ds:uri="0f563589-9cf9-4143-b1eb-fb0534803d38"/>
    <ds:schemaRef ds:uri="http://schemas.microsoft.com/office/2006/documentManagement/types"/>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BCB2BCC-2AE9-4CEF-91B5-3F1C655B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D9C7CC-C505-4D7F-B8B0-D6ECBC622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9</Pages>
  <Words>1465</Words>
  <Characters>8322</Characters>
  <Application>Microsoft Office Word</Application>
  <DocSecurity>0</DocSecurity>
  <PresentationFormat/>
  <Lines>320</Lines>
  <Paragraphs>287</Paragraphs>
  <ScaleCrop>false</ScaleCrop>
  <HeadingPairs>
    <vt:vector size="2" baseType="variant">
      <vt:variant>
        <vt:lpstr>Title</vt:lpstr>
      </vt:variant>
      <vt:variant>
        <vt:i4>1</vt:i4>
      </vt:variant>
    </vt:vector>
  </HeadingPairs>
  <TitlesOfParts>
    <vt:vector size="1" baseType="lpstr">
      <vt:lpstr>Final Instrument RFHBG - I22QH151</vt:lpstr>
    </vt:vector>
  </TitlesOfParts>
  <Manager/>
  <Company/>
  <LinksUpToDate>false</LinksUpToDate>
  <CharactersWithSpaces>9500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Instrument RFHBG - I22QH151</dc:title>
  <dc:subject/>
  <dc:creator/>
  <cp:keywords/>
  <dc:description/>
  <cp:lastModifiedBy/>
  <cp:revision>1</cp:revision>
  <cp:lastPrinted>2022-08-21T23:37:00Z</cp:lastPrinted>
  <dcterms:created xsi:type="dcterms:W3CDTF">2022-10-05T03:41:00Z</dcterms:created>
  <dcterms:modified xsi:type="dcterms:W3CDTF">2022-10-05T03:46:00Z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Housing Finance and Investment Corporation Investment Mandate Amendment (Regional First Home Buyer Guarantee) Direction 2022</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OPC66087</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0x01010036BB8DE7EC542E42A8B2E98CC20CB69700D5C18F41BA18FB44827A222ACD6776F5</vt:lpwstr>
  </property>
  <property fmtid="{D5CDD505-2E9C-101B-9397-08002B2CF9AE}" pid="18" name="_dlc_DocIdItemGuid">
    <vt:lpwstr>3a07d9c5-512c-461e-8ac4-8ec745db6313</vt:lpwstr>
  </property>
  <property fmtid="{D5CDD505-2E9C-101B-9397-08002B2CF9AE}" pid="19" name="TSYTopic">
    <vt:lpwstr/>
  </property>
  <property fmtid="{D5CDD505-2E9C-101B-9397-08002B2CF9AE}" pid="20" name="TSYRecordClass">
    <vt:lpwstr>11;#TSY RA-9237 - Destroy 5 years after action completed|9f1a030e-81bf-44c5-98eb-4d5d869a40d5</vt:lpwstr>
  </property>
  <property fmtid="{D5CDD505-2E9C-101B-9397-08002B2CF9AE}" pid="21" name="Order">
    <vt:r8>2549200</vt:r8>
  </property>
  <property fmtid="{D5CDD505-2E9C-101B-9397-08002B2CF9AE}" pid="22" name="oae75e2df9d943898d59cb03ca0993c5">
    <vt:lpwstr/>
  </property>
  <property fmtid="{D5CDD505-2E9C-101B-9397-08002B2CF9AE}" pid="23" name="Topics">
    <vt:lpwstr/>
  </property>
</Properties>
</file>