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1E8D" w14:textId="77777777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EXPLANATORY STATEMENT</w:t>
      </w:r>
    </w:p>
    <w:p w14:paraId="595DF18B" w14:textId="77777777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408581D" w14:textId="6F9FA13D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Issued by the authority of the </w:t>
      </w:r>
      <w:r w:rsidR="00D24280"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Secretary for Health and Aged Care</w:t>
      </w:r>
    </w:p>
    <w:p w14:paraId="4F28F241" w14:textId="77777777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14:paraId="70E27769" w14:textId="7C27215E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Aged Care</w:t>
      </w:r>
      <w:r w:rsidR="00D24280"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 (Transitional Provisions)</w:t>
      </w:r>
      <w:r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 xml:space="preserve"> Act 1997</w:t>
      </w:r>
    </w:p>
    <w:p w14:paraId="3B0BE225" w14:textId="77777777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</w:pPr>
    </w:p>
    <w:p w14:paraId="51EF679A" w14:textId="322323ED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</w:pPr>
      <w:bookmarkStart w:id="0" w:name="_Hlk105153368"/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Aged Care </w:t>
      </w:r>
      <w:r w:rsidR="00D24280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(Transitional Provisions) </w:t>
      </w:r>
      <w:r w:rsidR="00441178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(</w:t>
      </w:r>
      <w:r w:rsidR="00D24280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Residential Care Subsidy) Amendment</w:t>
      </w: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(</w:t>
      </w:r>
      <w:r w:rsidR="002A1D8E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Residential Aged Care Funding</w:t>
      </w: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) </w:t>
      </w:r>
      <w:r w:rsidR="00D24280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Determination</w:t>
      </w: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2022</w:t>
      </w:r>
      <w:bookmarkEnd w:id="0"/>
    </w:p>
    <w:p w14:paraId="686667B1" w14:textId="77777777" w:rsidR="00AA3E14" w:rsidRPr="00613607" w:rsidRDefault="00AA3E14" w:rsidP="003D3EC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</w:pPr>
    </w:p>
    <w:p w14:paraId="3BA4EEF5" w14:textId="4797BF5E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</w:t>
      </w:r>
      <w:r w:rsidR="00594CE7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Aged Care Act 1997 </w:t>
      </w:r>
      <w:r w:rsidR="00594CE7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(Aged Care Act)</w:t>
      </w:r>
      <w:r w:rsidR="009539D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, the</w:t>
      </w:r>
      <w:r w:rsidR="00594CE7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Aged Care </w:t>
      </w:r>
      <w:r w:rsidR="00D24280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(Transitional Provisions) 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>Act 1997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(</w:t>
      </w:r>
      <w:r w:rsidR="004411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Transitional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="0042623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Provisions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Act)</w:t>
      </w:r>
      <w:r w:rsidR="00F145B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and the </w:t>
      </w:r>
      <w:r w:rsidR="00F145B9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Aged Care Quality and Safety Commission Act 2018 </w:t>
      </w:r>
      <w:r w:rsidR="00F145B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(ACQSC Act)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provide for the regulation and funding of </w:t>
      </w:r>
      <w:r w:rsidR="006C5E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approved providers of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aged care services</w:t>
      </w:r>
      <w:r w:rsidR="006C5E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, including in respect of continuing care recipients (that is, persons who entered an aged care service before 1 July 2014 and meet certain other criteria)</w:t>
      </w:r>
      <w:r w:rsidR="00594CE7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  <w:r w:rsidR="00F645D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Persons who are approved under the</w:t>
      </w:r>
      <w:r w:rsidR="00594CE7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ACQSC</w:t>
      </w:r>
      <w:r w:rsidR="004411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Act to provide aged care services (approved providers) can be eligible to receive subsidy 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including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supplement payments</w:t>
      </w:r>
      <w:r w:rsidR="00F645D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under the Transitional </w:t>
      </w:r>
      <w:r w:rsidR="0071126B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Provisions </w:t>
      </w:r>
      <w:r w:rsidR="00F645D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Act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in respect of the care they provide to </w:t>
      </w:r>
      <w:r w:rsidR="00F645D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continuing</w:t>
      </w:r>
      <w:r w:rsidR="00594CE7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care recipients</w:t>
      </w:r>
      <w:r w:rsidR="00F645D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. 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</w:p>
    <w:p w14:paraId="416FF7EF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7F8757DF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Purpose</w:t>
      </w:r>
    </w:p>
    <w:p w14:paraId="545842E9" w14:textId="5678ED17" w:rsidR="007C15EA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The</w:t>
      </w:r>
      <w:r w:rsidR="002A1D8E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</w:t>
      </w:r>
      <w:r w:rsidR="00E62ED3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Aged Care (Transitional Provisions) </w:t>
      </w:r>
      <w:r w:rsidR="00441178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(</w:t>
      </w:r>
      <w:r w:rsidR="00E62ED3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Residential Care Subsidy) Amendment (Residential Aged Care Funding) Determination 2022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(the Amending </w:t>
      </w:r>
      <w:r w:rsidR="0052525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Determination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) amends 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</w:t>
      </w:r>
      <w:r w:rsidR="002A1D8E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>Aged Care (Transitional Provisions)</w:t>
      </w:r>
      <w:r w:rsidR="00E62ED3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 (Residential Care Subsidy) Determination 2014 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(the</w:t>
      </w:r>
      <w:r w:rsidR="00E62ED3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 </w:t>
      </w:r>
      <w:r w:rsidR="00F20A1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Principal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="0052525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Determination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) made by the Secretary under the </w:t>
      </w:r>
      <w:r w:rsidR="004411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Transitional </w:t>
      </w:r>
      <w:r w:rsidR="006C5E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Provisions </w:t>
      </w:r>
      <w:r w:rsidR="00E62ED3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Act</w:t>
      </w:r>
      <w:r w:rsidR="0052525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. </w:t>
      </w:r>
    </w:p>
    <w:p w14:paraId="15C43EEB" w14:textId="77777777" w:rsidR="007C15EA" w:rsidRPr="00613607" w:rsidRDefault="007C15EA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17F852A6" w14:textId="5D801AD0" w:rsidR="008047F6" w:rsidRPr="00613607" w:rsidRDefault="00525255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These amendments </w:t>
      </w:r>
      <w:r w:rsidR="009423C1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are consequential to amendments made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in Schedule 1 to the 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Aged Care and Other Legislation Amendment (Royal Commission Response) Act 2022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(R</w:t>
      </w:r>
      <w:r w:rsidR="00696F56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oyal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="00696F56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ommission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R</w:t>
      </w:r>
      <w:r w:rsidR="00696F56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esponse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Act) </w:t>
      </w:r>
      <w:r w:rsidR="009423C1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and Schedule 2 to the </w:t>
      </w:r>
      <w:r w:rsidR="009423C1"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>Aged Care Legislation Amendment (Residential Aged Care Funding) Instrument 2022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(Amending Instrument)</w:t>
      </w:r>
      <w:r w:rsidR="002A1D8E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  <w:r w:rsidR="008047F6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</w:p>
    <w:p w14:paraId="05253DFC" w14:textId="77777777" w:rsidR="00A96251" w:rsidRPr="00613607" w:rsidRDefault="00A96251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1D027516" w14:textId="344202C8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The Amending </w:t>
      </w:r>
      <w:r w:rsidR="00E44EB8" w:rsidRPr="0061360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Determination </w:t>
      </w:r>
      <w:r w:rsidRPr="0061360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is a legislative instrument for the purposes of the </w:t>
      </w:r>
      <w:r w:rsidRPr="00613607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</w:rPr>
        <w:t>Legislation Act 2003.</w:t>
      </w:r>
    </w:p>
    <w:p w14:paraId="0252880A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3339A034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Authority</w:t>
      </w:r>
    </w:p>
    <w:p w14:paraId="6346E93B" w14:textId="709FE71A" w:rsidR="00AA3E14" w:rsidRPr="00613607" w:rsidRDefault="00C64DB7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Section </w:t>
      </w:r>
      <w:r w:rsidR="00F20A1F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44-5B </w:t>
      </w:r>
      <w:r w:rsidR="00AA3E14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of the </w:t>
      </w:r>
      <w:r w:rsidR="0044117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Transitional</w:t>
      </w:r>
      <w:r w:rsidR="00426235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Provisions</w:t>
      </w:r>
      <w:r w:rsidR="0044117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</w:t>
      </w:r>
      <w:r w:rsidR="00AA3E14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Act</w:t>
      </w: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sets out the meaning of a supported resident. As part of the definition, paragraph 44-5B(1)(c) allows the Secretary to determine, by legislative instrument, an amount against which the value of a person’s assets is assessed.  </w:t>
      </w:r>
    </w:p>
    <w:p w14:paraId="326E6615" w14:textId="53D66B4B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</w:pPr>
    </w:p>
    <w:p w14:paraId="1CADA7F8" w14:textId="0CF5BEA4" w:rsidR="00FC3ADD" w:rsidRPr="00613607" w:rsidRDefault="00977D76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Section 44-29 of the </w:t>
      </w:r>
      <w:r w:rsidR="0044117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Transitional</w:t>
      </w:r>
      <w:r w:rsidR="000358AA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Provisions</w:t>
      </w:r>
      <w:r w:rsidR="0044117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Act</w:t>
      </w:r>
      <w:r w:rsidR="0044117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deal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s</w:t>
      </w:r>
      <w:r w:rsidR="0044117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with the viability supplement,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and in particular, subsection 44-29(2) provides that the Secretary may </w:t>
      </w:r>
      <w:proofErr w:type="gramStart"/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make a determination</w:t>
      </w:r>
      <w:proofErr w:type="gramEnd"/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by legislative instrument in respect of a residential care service for the purpose of working out the amount of the viability supplement under subsection</w:t>
      </w:r>
      <w:r w:rsidR="00062E8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 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44</w:t>
      </w:r>
      <w:r w:rsidR="00062E88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noBreakHyphen/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29(1). The viability supplement</w:t>
      </w: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is </w:t>
      </w: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repealed 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by Schedule 1 to the R</w:t>
      </w:r>
      <w:r w:rsidR="00696F56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oyal 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C</w:t>
      </w:r>
      <w:r w:rsidR="00696F56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ommission 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R</w:t>
      </w:r>
      <w:r w:rsidR="00733BD5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esponse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 Act, which commences 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on </w:t>
      </w:r>
      <w:r w:rsidR="00805B6C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1 October 2022</w:t>
      </w:r>
      <w:r w:rsidR="00EE518D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, but was still in effect at the making of the Amending Determination</w:t>
      </w:r>
      <w:r w:rsidR="00FC3ADD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 xml:space="preserve">. </w:t>
      </w:r>
    </w:p>
    <w:p w14:paraId="22AC06FE" w14:textId="77777777" w:rsidR="009539DD" w:rsidRPr="00613607" w:rsidRDefault="009539DD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504F11D0" w14:textId="4A39B39A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lastRenderedPageBreak/>
        <w:t xml:space="preserve">Reliance on subsection 33(3) of the </w:t>
      </w:r>
      <w:r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en-US"/>
        </w:rPr>
        <w:t>Acts Interpretation Act 1901</w:t>
      </w:r>
    </w:p>
    <w:p w14:paraId="046B3EC5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Under subsection 33(3) of the </w:t>
      </w:r>
      <w:r w:rsidRPr="00613607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/>
        </w:rPr>
        <w:t>Acts Interpretation Act 1901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, where an Act confers a power to make, grant or issue any instrument of a legislative or administrative character (including rules, </w:t>
      </w:r>
      <w:proofErr w:type="gramStart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regulations</w:t>
      </w:r>
      <w:proofErr w:type="gramEnd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or by-laws), the power shall be construed as including a power exercisable in the like manner and subject to the like conditions (if any) to repeal, rescind, revoke, amend, or vary any such instrument.</w:t>
      </w:r>
    </w:p>
    <w:p w14:paraId="2153B5C1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23706AB5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Commencement</w:t>
      </w:r>
    </w:p>
    <w:p w14:paraId="2ABA6112" w14:textId="54D13800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Amending </w:t>
      </w:r>
      <w:r w:rsidR="00E44EB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Determination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commences </w:t>
      </w:r>
      <w:r w:rsidR="00FF735C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on 1 October 2022.</w:t>
      </w:r>
    </w:p>
    <w:p w14:paraId="4B2AB5AC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408861EC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Consultation</w:t>
      </w:r>
    </w:p>
    <w:p w14:paraId="4B217DCA" w14:textId="07E01D8A" w:rsidR="00AA3E14" w:rsidRPr="00613607" w:rsidRDefault="00AA3E14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aged care sector and the </w:t>
      </w:r>
      <w:proofErr w:type="gramStart"/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general public</w:t>
      </w:r>
      <w:proofErr w:type="gramEnd"/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FD164F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have been </w:t>
      </w: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consulted extensively between 2017 and 2020 on the development of th</w:t>
      </w:r>
      <w:r w:rsidR="00A50555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 new </w:t>
      </w:r>
      <w:r w:rsidR="009539DD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Australian National Aged Care Classification (AN-ACC) </w:t>
      </w:r>
      <w:r w:rsidR="00A50555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residential aged care funding </w:t>
      </w:r>
      <w:r w:rsidR="009539DD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model </w:t>
      </w:r>
      <w:r w:rsidR="00A50555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arrangements and related measures</w:t>
      </w:r>
      <w:r w:rsidR="00E44EB8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, of which the Amending Determination is a part</w:t>
      </w:r>
      <w:r w:rsidR="00A50555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9539DD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AN-ACC </w:t>
      </w:r>
      <w:r w:rsidR="0071126B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funding </w:t>
      </w:r>
      <w:r w:rsidR="009539DD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model and the new </w:t>
      </w:r>
      <w:r w:rsidR="00A50555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arrangements are </w:t>
      </w: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consistent with Recommendation 120 (</w:t>
      </w:r>
      <w:proofErr w:type="spellStart"/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Casemix</w:t>
      </w:r>
      <w:proofErr w:type="spellEnd"/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-adjusted activity</w:t>
      </w:r>
      <w:r w:rsidR="009B1A85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based funding in residential aged care) of the</w:t>
      </w:r>
      <w:r w:rsidR="00FD164F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613607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Final Report</w:t>
      </w: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Royal Commission into Aged Care Quality and Safety</w:t>
      </w:r>
      <w:r w:rsidR="009539DD"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, tabled on 1 March 2021</w:t>
      </w:r>
      <w:r w:rsidRPr="0061360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3014742E" w14:textId="77777777" w:rsidR="009A5612" w:rsidRPr="00613607" w:rsidRDefault="009A5612" w:rsidP="00062E88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7FBAE368" w14:textId="3B9DCED4" w:rsidR="00AA3E14" w:rsidRPr="00613607" w:rsidRDefault="00AA3E14" w:rsidP="00062E88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Regulation Impact Statement (RIS)</w:t>
      </w:r>
    </w:p>
    <w:p w14:paraId="3FB31A19" w14:textId="46FCB710" w:rsidR="00AA3E14" w:rsidRPr="00613607" w:rsidRDefault="00AA3E14" w:rsidP="00062E88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The Office of Best Practice Regulation (OBPR) was consulted during development of the </w:t>
      </w:r>
      <w:r w:rsidR="009B1A85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Royal Commission Response Act </w:t>
      </w: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on the regulatory costs of implementing the </w:t>
      </w:r>
      <w:r w:rsidR="00FD164F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new funding arrangements </w:t>
      </w:r>
      <w:r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that these Amending Principles will further enable. OBPR advised that a RIS was not required (OBPR ID 25927). </w:t>
      </w:r>
      <w:r w:rsidR="00233C30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The certification and list of reviews are available on the Office of Best Practice Regulation’s website: </w:t>
      </w:r>
      <w:hyperlink r:id="rId8" w:history="1">
        <w:r w:rsidR="00233C30" w:rsidRPr="00613607">
          <w:rPr>
            <w:rStyle w:val="Hyperlink"/>
            <w:rFonts w:ascii="Times New Roman" w:eastAsia="Times New Roman" w:hAnsi="Times New Roman" w:cs="Times New Roman"/>
            <w:bCs/>
            <w:snapToGrid w:val="0"/>
            <w:sz w:val="24"/>
            <w:szCs w:val="24"/>
          </w:rPr>
          <w:t>https://obpr.pmc.gov.au/published-impact-analyses-and-reports/aged-care-reforms</w:t>
        </w:r>
      </w:hyperlink>
      <w:r w:rsidR="00233C30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. </w:t>
      </w:r>
    </w:p>
    <w:p w14:paraId="54FCFABC" w14:textId="77777777" w:rsidR="00AA3E14" w:rsidRPr="00613607" w:rsidRDefault="00AA3E14" w:rsidP="00062E88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14:paraId="082BED58" w14:textId="72DFEA5F" w:rsidR="00AA3E14" w:rsidRPr="00613607" w:rsidRDefault="00AA3E14" w:rsidP="00062E88">
      <w:pPr>
        <w:spacing w:after="0" w:line="240" w:lineRule="auto"/>
        <w:ind w:left="3828" w:hanging="137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br w:type="page"/>
      </w:r>
      <w:r w:rsidR="009A5612"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lastRenderedPageBreak/>
        <w:t>ATTACHMENT</w:t>
      </w:r>
    </w:p>
    <w:p w14:paraId="183D03CA" w14:textId="77777777" w:rsidR="00AA3E14" w:rsidRPr="00613607" w:rsidRDefault="00AA3E14" w:rsidP="00062E88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77C72669" w14:textId="428E8B4F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  <w:lang w:val="en-US"/>
        </w:rPr>
      </w:pPr>
      <w:r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  <w:lang w:val="en-US"/>
        </w:rPr>
        <w:t>Details of the</w:t>
      </w:r>
      <w:r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</w:rPr>
        <w:t xml:space="preserve"> </w:t>
      </w:r>
      <w:bookmarkStart w:id="1" w:name="_Hlk105138798"/>
      <w:r w:rsidR="00FF735C"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</w:rPr>
        <w:t>Aged Care (Transitional Provisions) Residential Care Subsidy) Amendment (Residential Aged Care Funding) Determination 2022</w:t>
      </w:r>
    </w:p>
    <w:bookmarkEnd w:id="1"/>
    <w:p w14:paraId="2E1975AB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21C3EDC6" w14:textId="1EB0FC5A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Section 1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states that the name of the instrument is the </w:t>
      </w:r>
      <w:r w:rsidR="00D43AE0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Aged Care (Transitional Provisions) </w:t>
      </w:r>
      <w:r w:rsidR="0071126B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(</w:t>
      </w:r>
      <w:r w:rsidR="00D43AE0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Residential Care Subsidy) Amendment (Residential Aged Care Funding) Determination 2022</w:t>
      </w:r>
      <w:r w:rsidR="009B1A85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.</w:t>
      </w:r>
    </w:p>
    <w:p w14:paraId="748597CC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441D6944" w14:textId="77AEAD1F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Section 2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states that the</w:t>
      </w:r>
      <w:r w:rsidR="002F17F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whole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instrument commences on</w:t>
      </w:r>
      <w:r w:rsidR="00D43AE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1 October 2022</w:t>
      </w:r>
      <w:r w:rsidR="00EE518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 This coincides with</w:t>
      </w:r>
      <w:r w:rsidR="00D43AE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the </w:t>
      </w:r>
      <w:r w:rsidR="00EE518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commencement of </w:t>
      </w:r>
      <w:r w:rsidR="00D43AE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amendments in Schedule 1 </w:t>
      </w:r>
      <w:r w:rsidR="00EE518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to </w:t>
      </w:r>
      <w:r w:rsidR="00D43AE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</w:t>
      </w:r>
      <w:r w:rsidR="00FC3ADD" w:rsidRPr="006136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Royal Commission Response Act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375C2ECB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667BFA76" w14:textId="0DA32044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Section 3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provides that the authority for the making of the instrument </w:t>
      </w:r>
      <w:r w:rsidR="00D43AE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is</w:t>
      </w:r>
      <w:r w:rsidR="0048779B" w:rsidRPr="0061360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/>
        </w:rPr>
        <w:t xml:space="preserve"> th</w:t>
      </w:r>
      <w:r w:rsidR="00F84FC8" w:rsidRPr="0061360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/>
        </w:rPr>
        <w:t xml:space="preserve">e Transitional </w:t>
      </w:r>
      <w:r w:rsidR="002F17FD" w:rsidRPr="0061360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/>
        </w:rPr>
        <w:t xml:space="preserve">Provisions </w:t>
      </w:r>
      <w:r w:rsidR="00F84FC8" w:rsidRPr="0061360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/>
        </w:rPr>
        <w:t>Act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3D445D1B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02B49F4B" w14:textId="03347F98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Section 4 </w:t>
      </w:r>
      <w:r w:rsidRPr="00613607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val="en-US"/>
        </w:rPr>
        <w:t xml:space="preserve">provides that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each instrument that is specified in a Schedule to th</w:t>
      </w:r>
      <w:r w:rsidR="0048779B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Amending </w:t>
      </w:r>
      <w:r w:rsidR="00733BD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Determination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is amended or repealed as set out in the applicable items in the Schedule concerned, and any other item in a Schedule to th</w:t>
      </w:r>
      <w:r w:rsidR="0048779B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instrument has effect according to its terms.</w:t>
      </w:r>
    </w:p>
    <w:p w14:paraId="664FA27C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/>
        </w:rPr>
      </w:pPr>
    </w:p>
    <w:p w14:paraId="18196FA1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Schedule 1 – Amendments</w:t>
      </w:r>
    </w:p>
    <w:p w14:paraId="22DC3248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7481AFDF" w14:textId="0C5B6F94" w:rsidR="00AA3E14" w:rsidRPr="00613607" w:rsidRDefault="00D43AE0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en-US"/>
        </w:rPr>
        <w:t>Aged Care (Transitional Provisions) (Residential Care Subsidy) Determination</w:t>
      </w:r>
      <w:r w:rsidR="00AA3E14" w:rsidRPr="0061360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val="en-US"/>
        </w:rPr>
        <w:t xml:space="preserve"> 2014</w:t>
      </w:r>
    </w:p>
    <w:p w14:paraId="2E44F54D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14FC8812" w14:textId="69EC5EE3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Item 1 – </w:t>
      </w:r>
      <w:r w:rsidR="00D43AE0"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Section 3</w:t>
      </w:r>
    </w:p>
    <w:p w14:paraId="1E8BDDB1" w14:textId="6903F4DB" w:rsidR="00AA3E14" w:rsidRPr="00613607" w:rsidRDefault="00AA3E14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This item </w:t>
      </w:r>
      <w:r w:rsidR="009B1A8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omits 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 </w:t>
      </w:r>
      <w:r w:rsidR="003C6E22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reference 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in section 3 </w:t>
      </w:r>
      <w:r w:rsidR="00EE518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of the Principal Determination </w:t>
      </w:r>
      <w:r w:rsidR="003C6E22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to 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subsection</w:t>
      </w:r>
      <w:r w:rsidR="000101C1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 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44-29(2) of the Transitional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Provisions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Act</w:t>
      </w:r>
      <w:r w:rsidR="00EE518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. This is because section 44-29 of the Transitional Provisions Act </w:t>
      </w:r>
      <w:r w:rsidR="009535D6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will be </w:t>
      </w:r>
      <w:r w:rsidR="003C6E22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repealed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on 1 October 2022 by </w:t>
      </w:r>
      <w:r w:rsidR="00D448C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i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tem 77 of Schedule 1 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to</w:t>
      </w:r>
      <w:r w:rsidR="00FD164F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th</w:t>
      </w:r>
      <w:r w:rsidR="00FC3AD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 Royal Commission Response Act</w:t>
      </w:r>
      <w:r w:rsidR="003C6E22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76C4980E" w14:textId="77777777" w:rsidR="00AA3E14" w:rsidRPr="00613607" w:rsidRDefault="00AA3E14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4923B630" w14:textId="0AD1EDC4" w:rsidR="00D5024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Item 2 – </w:t>
      </w:r>
      <w:r w:rsidR="003C6E22"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Sections 5 and 6</w:t>
      </w:r>
    </w:p>
    <w:p w14:paraId="312CF926" w14:textId="4DA5FCD1" w:rsidR="003D2D22" w:rsidRPr="00613607" w:rsidRDefault="00FD164F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This item repeals section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5 and 6 </w:t>
      </w:r>
      <w:r w:rsidR="00EE518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of the Principal Determination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and substitutes a new section 5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–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“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Amount of asset threshold for support</w:t>
      </w:r>
      <w:r w:rsidR="003D2D22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ed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residents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”</w:t>
      </w:r>
      <w:r w:rsidR="003D2D22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0FE6D105" w14:textId="77777777" w:rsidR="00C97DBD" w:rsidRPr="00613607" w:rsidRDefault="00C97DBD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057C68DF" w14:textId="433D2618" w:rsidR="00C97DBD" w:rsidRPr="00613607" w:rsidRDefault="00C97DBD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Section 6 dealt with the Secretary’s determination of the viability supplement in relation to eligible residential care services under subsection 44-29(2) of the Transitional Provisions Act. This section is repealed as a consequential amendment to amendments made by item 77 of Schedule 1 to the R</w:t>
      </w:r>
      <w:r w:rsidR="00733BD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oyal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="00733BD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ommission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R</w:t>
      </w:r>
      <w:r w:rsidR="00733BD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esponse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Act, which repeals the viability supplement.</w:t>
      </w:r>
    </w:p>
    <w:p w14:paraId="495AC398" w14:textId="2D6B6DE0" w:rsidR="003D2D22" w:rsidRPr="00613607" w:rsidRDefault="003D2D22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4C4C4617" w14:textId="5166415C" w:rsidR="00371459" w:rsidRPr="00613607" w:rsidRDefault="00C97DBD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N</w:t>
      </w:r>
      <w:r w:rsidR="0037145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ew section 5 is made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for the purposes of </w:t>
      </w:r>
      <w:r w:rsidR="0037145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paragraph 44-5B(1)(c) of the Transitional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Provisions</w:t>
      </w:r>
      <w:r w:rsidR="0037145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Act and specifies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that</w:t>
      </w:r>
      <w:r w:rsidR="0037145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the amount of the asset threshold for supported residents</w:t>
      </w:r>
      <w:r w:rsidR="00D448C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is worked </w:t>
      </w:r>
      <w:r w:rsidR="00FC3ADD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out </w:t>
      </w:r>
      <w:r w:rsidR="00FC0EB4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using</w:t>
      </w:r>
      <w:r w:rsidR="00D448C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the following formula: </w:t>
      </w:r>
      <w:r w:rsidR="00371459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</w:p>
    <w:p w14:paraId="4349DB8E" w14:textId="26A9AE6B" w:rsidR="00D448C0" w:rsidRPr="00613607" w:rsidRDefault="00D448C0" w:rsidP="00062E88">
      <w:pPr>
        <w:pStyle w:val="subsection"/>
        <w:jc w:val="both"/>
      </w:pPr>
      <w:r w:rsidRPr="00613607">
        <w:tab/>
      </w:r>
      <w:r w:rsidR="00BA68AA" w:rsidRPr="00613607">
        <w:rPr>
          <w:position w:val="-24"/>
        </w:rPr>
        <w:object w:dxaOrig="4380" w:dyaOrig="580" w14:anchorId="13A9E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open bracket Applicable amount times 2080 close bracket plus Lower asset threshold end formula" style="width:219.35pt;height:28.45pt;mso-position-horizontal:absolute" o:ole="">
            <v:imagedata r:id="rId9" o:title=""/>
          </v:shape>
          <o:OLEObject Type="Embed" ProgID="Equation.DSMT4" ShapeID="_x0000_i1025" DrawAspect="Content" ObjectID="_1725953130" r:id="rId10"/>
        </w:object>
      </w:r>
    </w:p>
    <w:p w14:paraId="7611A4F9" w14:textId="77777777" w:rsidR="00FC0EB4" w:rsidRPr="00613607" w:rsidRDefault="00FC0EB4" w:rsidP="00062E88">
      <w:pPr>
        <w:pStyle w:val="Definition"/>
        <w:spacing w:before="0"/>
        <w:ind w:left="0"/>
        <w:jc w:val="both"/>
        <w:rPr>
          <w:b/>
          <w:i/>
          <w:sz w:val="24"/>
          <w:szCs w:val="24"/>
        </w:rPr>
      </w:pPr>
    </w:p>
    <w:p w14:paraId="4A5C9D04" w14:textId="7675FBDC" w:rsidR="00D448C0" w:rsidRPr="00613607" w:rsidRDefault="00D448C0" w:rsidP="00062E88">
      <w:pPr>
        <w:pStyle w:val="Definition"/>
        <w:spacing w:before="0"/>
        <w:ind w:left="0"/>
        <w:jc w:val="both"/>
        <w:rPr>
          <w:sz w:val="24"/>
          <w:szCs w:val="24"/>
        </w:rPr>
      </w:pPr>
      <w:r w:rsidRPr="00613607">
        <w:rPr>
          <w:b/>
          <w:i/>
          <w:sz w:val="24"/>
          <w:szCs w:val="24"/>
        </w:rPr>
        <w:lastRenderedPageBreak/>
        <w:t>applicable amount</w:t>
      </w:r>
      <w:r w:rsidRPr="00613607">
        <w:rPr>
          <w:sz w:val="24"/>
          <w:szCs w:val="24"/>
        </w:rPr>
        <w:t xml:space="preserve"> means the applicable amount for the day for the person within the meaning of section </w:t>
      </w:r>
      <w:r w:rsidR="0088732A" w:rsidRPr="00613607">
        <w:rPr>
          <w:sz w:val="24"/>
          <w:szCs w:val="24"/>
        </w:rPr>
        <w:t>82</w:t>
      </w:r>
      <w:r w:rsidRPr="00613607">
        <w:rPr>
          <w:sz w:val="24"/>
          <w:szCs w:val="24"/>
        </w:rPr>
        <w:t xml:space="preserve"> of th</w:t>
      </w:r>
      <w:r w:rsidR="00FC3ADD" w:rsidRPr="00613607">
        <w:rPr>
          <w:sz w:val="24"/>
          <w:szCs w:val="24"/>
        </w:rPr>
        <w:t xml:space="preserve">e </w:t>
      </w:r>
      <w:r w:rsidR="00F84FC8" w:rsidRPr="00613607">
        <w:rPr>
          <w:i/>
          <w:iCs/>
          <w:sz w:val="24"/>
          <w:szCs w:val="24"/>
        </w:rPr>
        <w:t>Aged Care (Transitional Provisions) (Subsidy and Other Measures) Determination 201</w:t>
      </w:r>
      <w:r w:rsidR="000101C1" w:rsidRPr="00613607">
        <w:rPr>
          <w:i/>
          <w:iCs/>
          <w:sz w:val="24"/>
          <w:szCs w:val="24"/>
        </w:rPr>
        <w:t>4</w:t>
      </w:r>
      <w:r w:rsidRPr="00613607">
        <w:rPr>
          <w:sz w:val="24"/>
          <w:szCs w:val="24"/>
        </w:rPr>
        <w:t>.</w:t>
      </w:r>
    </w:p>
    <w:p w14:paraId="62880E3B" w14:textId="77777777" w:rsidR="0088732A" w:rsidRPr="00613607" w:rsidRDefault="0088732A" w:rsidP="00062E88">
      <w:pPr>
        <w:pStyle w:val="Definition"/>
        <w:spacing w:before="0"/>
        <w:ind w:left="0"/>
        <w:jc w:val="both"/>
        <w:rPr>
          <w:b/>
          <w:i/>
          <w:sz w:val="24"/>
          <w:szCs w:val="24"/>
        </w:rPr>
      </w:pPr>
    </w:p>
    <w:p w14:paraId="5E008342" w14:textId="625742E5" w:rsidR="00D448C0" w:rsidRPr="00613607" w:rsidRDefault="00D448C0" w:rsidP="00062E88">
      <w:pPr>
        <w:pStyle w:val="Definition"/>
        <w:spacing w:before="0"/>
        <w:ind w:left="0"/>
        <w:jc w:val="both"/>
        <w:rPr>
          <w:sz w:val="24"/>
          <w:szCs w:val="24"/>
        </w:rPr>
      </w:pPr>
      <w:r w:rsidRPr="00613607">
        <w:rPr>
          <w:b/>
          <w:i/>
          <w:sz w:val="24"/>
          <w:szCs w:val="24"/>
        </w:rPr>
        <w:t>lower asset threshold</w:t>
      </w:r>
      <w:r w:rsidRPr="00613607">
        <w:rPr>
          <w:sz w:val="24"/>
          <w:szCs w:val="24"/>
        </w:rPr>
        <w:t xml:space="preserve"> means the amount worked out by rounding to the nearest $500 (rounding up in the case of $250 or more) the amount equal to 2.5 times the basic age pension amount (within the meaning of the Transitional</w:t>
      </w:r>
      <w:r w:rsidR="00FC0EB4" w:rsidRPr="00613607">
        <w:rPr>
          <w:sz w:val="24"/>
          <w:szCs w:val="24"/>
        </w:rPr>
        <w:t xml:space="preserve"> Provisions</w:t>
      </w:r>
      <w:r w:rsidRPr="00613607">
        <w:rPr>
          <w:sz w:val="24"/>
          <w:szCs w:val="24"/>
        </w:rPr>
        <w:t xml:space="preserve"> Act) at the time that applies under section 43 of the </w:t>
      </w:r>
      <w:r w:rsidRPr="00613607">
        <w:rPr>
          <w:i/>
          <w:sz w:val="24"/>
          <w:szCs w:val="24"/>
        </w:rPr>
        <w:t>Aged Care (Transitional Provisions) Principles 2014</w:t>
      </w:r>
      <w:r w:rsidRPr="00613607">
        <w:rPr>
          <w:sz w:val="24"/>
          <w:szCs w:val="24"/>
        </w:rPr>
        <w:t xml:space="preserve"> in relation to the person.</w:t>
      </w:r>
    </w:p>
    <w:p w14:paraId="6A4F6237" w14:textId="77777777" w:rsidR="00D448C0" w:rsidRPr="00613607" w:rsidRDefault="00D448C0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3B53F98B" w14:textId="1934C96C" w:rsidR="003D3EC4" w:rsidRPr="00613607" w:rsidRDefault="00C97DBD" w:rsidP="00062E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These amendments aim to clarify the provision by removing existing subsection 5(1) of the Principal Determination and </w:t>
      </w:r>
      <w:r w:rsidR="004F182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amending the definition of lower asset threshold. The amendment</w:t>
      </w:r>
      <w:r w:rsidR="00DB5D7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 to the definition of applicable amount</w:t>
      </w:r>
      <w:r w:rsidR="004F182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are otherwise consequential to amendments made in Schedule 2 to the Amending Instrument to ensure that </w:t>
      </w:r>
      <w:r w:rsidR="00EC277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basis for calculating the amount of </w:t>
      </w:r>
      <w:r w:rsidR="00D448C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</w:t>
      </w:r>
      <w:r w:rsidR="00EC277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asset threshold for support</w:t>
      </w:r>
      <w:r w:rsidR="009B1A8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ed</w:t>
      </w:r>
      <w:r w:rsidR="00EC277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residents on a day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will remain</w:t>
      </w:r>
      <w:r w:rsidR="004F182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the same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on and after 1 October 2022</w:t>
      </w:r>
      <w:r w:rsidR="00EC2770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553C3F55" w14:textId="77777777" w:rsidR="00AA3E14" w:rsidRPr="00613607" w:rsidRDefault="00AA3E14" w:rsidP="00062E88">
      <w:pPr>
        <w:spacing w:after="20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br w:type="page"/>
      </w:r>
    </w:p>
    <w:p w14:paraId="03567B12" w14:textId="77777777" w:rsidR="00AA3E14" w:rsidRPr="00613607" w:rsidRDefault="00AA3E14" w:rsidP="00AA3E1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Cs w:val="20"/>
          <w:lang w:val="en-US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8"/>
          <w:lang w:val="en-US"/>
        </w:rPr>
        <w:lastRenderedPageBreak/>
        <w:t>Statement of Compatibility with Human Rights</w:t>
      </w:r>
    </w:p>
    <w:p w14:paraId="27BC1731" w14:textId="77777777" w:rsidR="00AA3E14" w:rsidRPr="00613607" w:rsidRDefault="00AA3E14" w:rsidP="00AA3E1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</w:pPr>
      <w:r w:rsidRPr="00613607"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  <w:t>Prepared in accordance with Part 3 of the Humans Rights (Parliamentary Scrutiny) Act 2011</w:t>
      </w:r>
    </w:p>
    <w:p w14:paraId="75D2685F" w14:textId="77777777" w:rsidR="00AA3E14" w:rsidRPr="00613607" w:rsidRDefault="00AA3E14" w:rsidP="00AA3E1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</w:p>
    <w:p w14:paraId="40EB7431" w14:textId="77777777" w:rsidR="00B31745" w:rsidRPr="00613607" w:rsidRDefault="00B31745" w:rsidP="00B31745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Aged Care (Transitional Provisions) Residential Care Subsidy) Amendment (Residential Aged Care Funding) Determination 2022</w:t>
      </w:r>
    </w:p>
    <w:p w14:paraId="6158C71B" w14:textId="77777777" w:rsidR="00601EBD" w:rsidRPr="00613607" w:rsidRDefault="00601EBD" w:rsidP="00AA3E1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0143869" w14:textId="4D6DCC34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bookmarkStart w:id="2" w:name="_Hlk112749659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 </w:t>
      </w:r>
      <w:r w:rsidR="00B31745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Aged Care (Transitional Provisions) Residential Care Subsidy) Amendment (Residential Aged Care Funding) Determination 2022</w:t>
      </w:r>
      <w:r w:rsidR="00601EBD"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</w:t>
      </w:r>
      <w:bookmarkEnd w:id="2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is compatible with the human rights and freedoms </w:t>
      </w:r>
      <w:proofErr w:type="spellStart"/>
      <w:r w:rsidR="00B3174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recogni</w:t>
      </w:r>
      <w:r w:rsidR="00F84FC8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="00B31745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ed</w:t>
      </w:r>
      <w:proofErr w:type="spellEnd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or declared in the international instruments listed in section 3 of the </w:t>
      </w:r>
      <w:r w:rsidRPr="00613607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/>
        </w:rPr>
        <w:t>Human Rights (Parliamentary Scrutiny Act) Act 2011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22C4C1EE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1507A43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Overview of the legislative instrument</w:t>
      </w:r>
    </w:p>
    <w:p w14:paraId="156BD597" w14:textId="77777777" w:rsidR="007C15EA" w:rsidRPr="00613607" w:rsidRDefault="007C15EA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The</w:t>
      </w: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Aged Care (Transitional Provisions) (Residential Care Subsidy) Amendment (Residential Aged Care Funding) Determination 2022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(the Amending Determination) amends the 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Aged Care (Transitional Provisions) (Residential Care Subsidy) Determination 2014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(the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 xml:space="preserve">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Principal Determination) made by the Secretary under the Transitional Provisions Act. </w:t>
      </w:r>
    </w:p>
    <w:p w14:paraId="64EDC224" w14:textId="77777777" w:rsidR="007C15EA" w:rsidRPr="00613607" w:rsidRDefault="007C15EA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103DD970" w14:textId="175D369C" w:rsidR="007C15EA" w:rsidRPr="00613607" w:rsidRDefault="007C15EA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These amendments are consequential to amendments made under the Transitional Provisions Act in Schedule 1 to the 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>Aged Care and Other Legislation Amendment (Royal Commission Response) Act 2022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and Schedule 2 to the </w:t>
      </w:r>
      <w:r w:rsidRPr="00613607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val="en-US"/>
        </w:rPr>
        <w:t>Aged Care Legislation Amendment (Residential Aged Care Funding) Instrument 2022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. </w:t>
      </w:r>
    </w:p>
    <w:p w14:paraId="176B1466" w14:textId="77777777" w:rsidR="00F84FC8" w:rsidRPr="00613607" w:rsidRDefault="00F84FC8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8FE786F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Human rights implications</w:t>
      </w:r>
    </w:p>
    <w:p w14:paraId="153D8505" w14:textId="6D5DF4FA" w:rsidR="00875964" w:rsidRPr="00613607" w:rsidRDefault="0087596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The Amending </w:t>
      </w:r>
      <w:r w:rsidR="007C15EA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Determination 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engages the right</w:t>
      </w:r>
      <w:r w:rsidR="001A11A6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to an adequate standard of living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</w:t>
      </w:r>
      <w:r w:rsidR="001A11A6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and the right 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to health in </w:t>
      </w:r>
      <w:r w:rsidR="00DE039D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as contained in article 11 and 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article 12 of the </w:t>
      </w: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val="en-US"/>
        </w:rPr>
        <w:t>International Covenant on Economic, Social and Cultural Rights</w:t>
      </w:r>
      <w:r w:rsidR="001A11A6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,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and article 2</w:t>
      </w:r>
      <w:r w:rsidR="001A11A6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5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and 2</w:t>
      </w:r>
      <w:r w:rsidR="001A11A6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8 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of the </w:t>
      </w:r>
      <w:r w:rsidRPr="00613607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val="en-US"/>
        </w:rPr>
        <w:t>Convention on the Rights of Persons with Disabilities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.</w:t>
      </w:r>
    </w:p>
    <w:p w14:paraId="5A701D40" w14:textId="77777777" w:rsidR="00875964" w:rsidRPr="00613607" w:rsidRDefault="0087596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</w:pPr>
    </w:p>
    <w:p w14:paraId="49A63AE7" w14:textId="3D1A7674" w:rsidR="00875964" w:rsidRPr="00613607" w:rsidRDefault="0087596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The Amending </w:t>
      </w:r>
      <w:r w:rsidR="007C15EA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Determination 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promotes the right to health by providing for matters related to the </w:t>
      </w:r>
      <w:proofErr w:type="spellStart"/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subsidised</w:t>
      </w:r>
      <w:proofErr w:type="spellEnd"/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provision of aged care accommodation and services </w:t>
      </w:r>
      <w:proofErr w:type="gramStart"/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on the basis of</w:t>
      </w:r>
      <w:proofErr w:type="gramEnd"/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need. The </w:t>
      </w:r>
      <w:proofErr w:type="spellStart"/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subsidisation</w:t>
      </w:r>
      <w:proofErr w:type="spellEnd"/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of aged care services will ensure </w:t>
      </w:r>
      <w:r w:rsidR="007C15EA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care recipients 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are able to access health facilities and goods</w:t>
      </w:r>
      <w:r w:rsidR="00DE039D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through their </w:t>
      </w:r>
      <w:r w:rsidR="007C15EA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approved </w:t>
      </w:r>
      <w:r w:rsidR="00DE039D"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provider</w:t>
      </w:r>
      <w:r w:rsidRPr="00613607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>, including essential medications and other health services.</w:t>
      </w:r>
    </w:p>
    <w:p w14:paraId="0FA9BCE0" w14:textId="7DBF9053" w:rsidR="00DE039D" w:rsidRPr="00613607" w:rsidRDefault="00DE039D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</w:pPr>
    </w:p>
    <w:p w14:paraId="3910ADC6" w14:textId="3B3F0334" w:rsidR="00DE039D" w:rsidRPr="00613607" w:rsidRDefault="00DE039D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eastAsia="en-AU"/>
        </w:rPr>
        <w:t xml:space="preserve">The Amending </w:t>
      </w:r>
      <w:r w:rsidR="007C15EA"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eastAsia="en-AU"/>
        </w:rPr>
        <w:t xml:space="preserve">Determination 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eastAsia="en-AU"/>
        </w:rPr>
        <w:t xml:space="preserve">promotes the right of those receiving care to an adequate standard of living by providing for the subsidised provision of aged care accommodation and services </w:t>
      </w:r>
      <w:proofErr w:type="gramStart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eastAsia="en-AU"/>
        </w:rPr>
        <w:t>on the basis of</w:t>
      </w:r>
      <w:proofErr w:type="gramEnd"/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  <w:lang w:eastAsia="en-AU"/>
        </w:rPr>
        <w:t xml:space="preserve"> need. This includes ensuring higher subsidies are paid in respect of the costs of aged care accommodation for those with less assets and or lower incomes.</w:t>
      </w:r>
    </w:p>
    <w:p w14:paraId="09141DCF" w14:textId="77777777" w:rsidR="00AA3E14" w:rsidRPr="00613607" w:rsidRDefault="00AA3E14" w:rsidP="00062E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63C8317D" w14:textId="77777777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Conclusion </w:t>
      </w:r>
    </w:p>
    <w:p w14:paraId="121F7775" w14:textId="46358330" w:rsidR="00AA3E14" w:rsidRPr="00613607" w:rsidRDefault="00AA3E14" w:rsidP="00062E88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</w:rPr>
        <w:t>The Amending Determination is compatible with human rights as it</w:t>
      </w:r>
      <w:r w:rsidR="00DE039D" w:rsidRPr="0061360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positively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promotes the human right to</w:t>
      </w:r>
      <w:r w:rsidR="00DE039D" w:rsidRPr="0061360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an adequate standard of living, and to attain</w:t>
      </w:r>
      <w:r w:rsidRPr="0061360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the highest standard of physical and mental health.</w:t>
      </w:r>
    </w:p>
    <w:p w14:paraId="5C367E52" w14:textId="77777777" w:rsidR="00AA3E14" w:rsidRPr="00613607" w:rsidRDefault="00AA3E14" w:rsidP="00AA3E14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199002F" w14:textId="77777777" w:rsidR="00AA3E14" w:rsidRPr="00613607" w:rsidRDefault="00AA3E14" w:rsidP="00AA3E14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8495A60" w14:textId="444B706F" w:rsidR="00AA3E14" w:rsidRPr="00613607" w:rsidRDefault="00FC3E3E" w:rsidP="00AA3E1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Professor</w:t>
      </w:r>
      <w:r w:rsidR="00FE0937" w:rsidRPr="0061360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Brendan Murphy</w:t>
      </w:r>
      <w:r w:rsidR="00875964" w:rsidRPr="0061360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AC</w:t>
      </w:r>
    </w:p>
    <w:p w14:paraId="3BCFE83C" w14:textId="39B2ECB4" w:rsidR="00523A14" w:rsidRPr="00875964" w:rsidRDefault="00FE0937" w:rsidP="00875964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1360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Secretary Department of Health and Aged Care</w:t>
      </w:r>
    </w:p>
    <w:sectPr w:rsidR="00523A14" w:rsidRPr="00875964" w:rsidSect="00601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093" w:right="1797" w:bottom="1440" w:left="1797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4763" w14:textId="77777777" w:rsidR="00C44AB3" w:rsidRDefault="00C44AB3" w:rsidP="001F481A">
      <w:pPr>
        <w:spacing w:after="0" w:line="240" w:lineRule="auto"/>
      </w:pPr>
      <w:r>
        <w:separator/>
      </w:r>
    </w:p>
  </w:endnote>
  <w:endnote w:type="continuationSeparator" w:id="0">
    <w:p w14:paraId="7A2545CF" w14:textId="77777777" w:rsidR="00C44AB3" w:rsidRDefault="00C44AB3" w:rsidP="001F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8A7C" w14:textId="77777777" w:rsidR="00A96251" w:rsidRPr="00E33C1C" w:rsidRDefault="00A96251" w:rsidP="00A962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519A6C" wp14:editId="4F9DFCA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B6D6BE" w14:textId="6DFA01DC" w:rsidR="00A96251" w:rsidRPr="00190BA1" w:rsidRDefault="00A96251" w:rsidP="00A962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439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19A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K0bXuBeAgAAvwQAAA4AAAAAAAAAAAAAAAAALgIAAGRycy9lMm9Eb2MueG1s&#10;UEsBAi0AFAAGAAgAAAAhAGxSxpzaAAAABAEAAA8AAAAAAAAAAAAAAAAAuAQAAGRycy9kb3ducmV2&#10;LnhtbFBLBQYAAAAABAAEAPMAAAC/BQAAAAA=&#10;" stroked="f" strokeweight=".5pt">
              <v:path arrowok="t"/>
              <v:textbox>
                <w:txbxContent>
                  <w:p w14:paraId="07B6D6BE" w14:textId="6DFA01DC" w:rsidR="00A96251" w:rsidRPr="00190BA1" w:rsidRDefault="00A96251" w:rsidP="00A9625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439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43955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96251" w14:paraId="48F137D9" w14:textId="77777777" w:rsidTr="00A962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666786" w14:textId="77777777" w:rsidR="00A96251" w:rsidRDefault="00A96251" w:rsidP="00A962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9E6D86" w14:textId="016E722F" w:rsidR="00A96251" w:rsidRDefault="00A96251" w:rsidP="00A962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395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DC929C" w14:textId="77777777" w:rsidR="00A96251" w:rsidRDefault="00A96251" w:rsidP="00A96251">
          <w:pPr>
            <w:spacing w:line="0" w:lineRule="atLeast"/>
            <w:jc w:val="right"/>
            <w:rPr>
              <w:sz w:val="18"/>
            </w:rPr>
          </w:pPr>
        </w:p>
      </w:tc>
    </w:tr>
    <w:tr w:rsidR="00A96251" w14:paraId="1B192736" w14:textId="77777777" w:rsidTr="00A9625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F85D1E" w14:textId="77777777" w:rsidR="00A96251" w:rsidRDefault="00A96251" w:rsidP="00A96251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I21ZB165.v16.docx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16/4/2022 5:30 PM</w:t>
          </w:r>
        </w:p>
      </w:tc>
    </w:tr>
  </w:tbl>
  <w:p w14:paraId="2F01F7E4" w14:textId="77777777" w:rsidR="00A96251" w:rsidRPr="00ED79B6" w:rsidRDefault="00A96251" w:rsidP="00A96251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E20" w14:textId="77777777" w:rsidR="002146F0" w:rsidRDefault="00214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BFA0" w14:textId="77777777" w:rsidR="002146F0" w:rsidRDefault="0021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C6CB" w14:textId="77777777" w:rsidR="00C44AB3" w:rsidRDefault="00C44AB3" w:rsidP="001F481A">
      <w:pPr>
        <w:spacing w:after="0" w:line="240" w:lineRule="auto"/>
      </w:pPr>
      <w:r>
        <w:separator/>
      </w:r>
    </w:p>
  </w:footnote>
  <w:footnote w:type="continuationSeparator" w:id="0">
    <w:p w14:paraId="7735B76A" w14:textId="77777777" w:rsidR="00C44AB3" w:rsidRDefault="00C44AB3" w:rsidP="001F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2675" w14:textId="77777777" w:rsidR="00A96251" w:rsidRPr="00ED79B6" w:rsidRDefault="00A96251" w:rsidP="00A96251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045D14" wp14:editId="4C738EF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6BD1E2" w14:textId="4B2C00F0" w:rsidR="00A96251" w:rsidRPr="00190BA1" w:rsidRDefault="00A96251" w:rsidP="00A962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439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45D1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Sec-even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" stroked="f" strokeweight=".5pt">
              <v:path arrowok="t"/>
              <v:textbox>
                <w:txbxContent>
                  <w:p w14:paraId="486BD1E2" w14:textId="4B2C00F0" w:rsidR="00A96251" w:rsidRPr="00190BA1" w:rsidRDefault="00A96251" w:rsidP="00A9625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439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43955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9E8C" w14:textId="7B113CDE" w:rsidR="002146F0" w:rsidRDefault="00214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7524" w14:textId="77777777" w:rsidR="00A96251" w:rsidRPr="00ED79B6" w:rsidRDefault="00A96251" w:rsidP="00A962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558F60" wp14:editId="6F6A58B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B75023" w14:textId="78943E0B" w:rsidR="00A96251" w:rsidRPr="00190BA1" w:rsidRDefault="00A96251" w:rsidP="00A962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439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43955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58F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B7UsLrXgIAAL4EAAAOAAAAAAAAAAAAAAAAAC4CAABkcnMvZTJvRG9jLnht&#10;bFBLAQItABQABgAIAAAAIQB0YpYu2wAAAAcBAAAPAAAAAAAAAAAAAAAAALgEAABkcnMvZG93bnJl&#10;di54bWxQSwUGAAAAAAQABADzAAAAwAUAAAAA&#10;" stroked="f" strokeweight=".5pt">
              <v:path arrowok="t"/>
              <v:textbox>
                <w:txbxContent>
                  <w:p w14:paraId="5BB75023" w14:textId="78943E0B" w:rsidR="00A96251" w:rsidRPr="00190BA1" w:rsidRDefault="00A96251" w:rsidP="00A9625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3955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439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43955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BE6"/>
    <w:multiLevelType w:val="hybridMultilevel"/>
    <w:tmpl w:val="465A7F70"/>
    <w:lvl w:ilvl="0" w:tplc="44A862C2">
      <w:start w:val="1"/>
      <w:numFmt w:val="lowerLetter"/>
      <w:lvlText w:val="(%1)"/>
      <w:lvlJc w:val="left"/>
      <w:pPr>
        <w:ind w:left="1883" w:hanging="465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6043A0"/>
    <w:multiLevelType w:val="hybridMultilevel"/>
    <w:tmpl w:val="423A2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80C8D"/>
    <w:multiLevelType w:val="hybridMultilevel"/>
    <w:tmpl w:val="EC2AC8C2"/>
    <w:lvl w:ilvl="0" w:tplc="E0E43A5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57B44C7"/>
    <w:multiLevelType w:val="hybridMultilevel"/>
    <w:tmpl w:val="AC4665B0"/>
    <w:lvl w:ilvl="0" w:tplc="EB84C7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18CB"/>
    <w:multiLevelType w:val="hybridMultilevel"/>
    <w:tmpl w:val="391C5424"/>
    <w:lvl w:ilvl="0" w:tplc="914207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1774"/>
    <w:multiLevelType w:val="hybridMultilevel"/>
    <w:tmpl w:val="F286B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E07C5"/>
    <w:multiLevelType w:val="hybridMultilevel"/>
    <w:tmpl w:val="6E9EFF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61F63"/>
    <w:multiLevelType w:val="hybridMultilevel"/>
    <w:tmpl w:val="ACE44360"/>
    <w:lvl w:ilvl="0" w:tplc="0C09000F">
      <w:start w:val="1"/>
      <w:numFmt w:val="decimal"/>
      <w:lvlText w:val="%1."/>
      <w:lvlJc w:val="left"/>
      <w:pPr>
        <w:ind w:left="1850" w:hanging="360"/>
      </w:p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9D"/>
    <w:rsid w:val="000101C1"/>
    <w:rsid w:val="000358AA"/>
    <w:rsid w:val="00062E88"/>
    <w:rsid w:val="00143955"/>
    <w:rsid w:val="00164372"/>
    <w:rsid w:val="001A11A6"/>
    <w:rsid w:val="001C555F"/>
    <w:rsid w:val="001F481A"/>
    <w:rsid w:val="002146F0"/>
    <w:rsid w:val="00233C30"/>
    <w:rsid w:val="00244D12"/>
    <w:rsid w:val="00275ADB"/>
    <w:rsid w:val="00284633"/>
    <w:rsid w:val="002A1D8E"/>
    <w:rsid w:val="002F17FD"/>
    <w:rsid w:val="00316BD5"/>
    <w:rsid w:val="00335045"/>
    <w:rsid w:val="0033606B"/>
    <w:rsid w:val="00371459"/>
    <w:rsid w:val="003736F9"/>
    <w:rsid w:val="003C6E22"/>
    <w:rsid w:val="003D2D22"/>
    <w:rsid w:val="003D3EC4"/>
    <w:rsid w:val="004011B4"/>
    <w:rsid w:val="00426235"/>
    <w:rsid w:val="00441178"/>
    <w:rsid w:val="0046084D"/>
    <w:rsid w:val="004848DD"/>
    <w:rsid w:val="0048779B"/>
    <w:rsid w:val="004A0B51"/>
    <w:rsid w:val="004C39C4"/>
    <w:rsid w:val="004F182A"/>
    <w:rsid w:val="00523A14"/>
    <w:rsid w:val="00525255"/>
    <w:rsid w:val="00531B90"/>
    <w:rsid w:val="00594557"/>
    <w:rsid w:val="00594CE7"/>
    <w:rsid w:val="005C2424"/>
    <w:rsid w:val="005F3EE6"/>
    <w:rsid w:val="00601EBD"/>
    <w:rsid w:val="00613607"/>
    <w:rsid w:val="006344B6"/>
    <w:rsid w:val="00696F56"/>
    <w:rsid w:val="006C0E2A"/>
    <w:rsid w:val="006C5E78"/>
    <w:rsid w:val="007074F6"/>
    <w:rsid w:val="0071126B"/>
    <w:rsid w:val="00733BD5"/>
    <w:rsid w:val="00752B7F"/>
    <w:rsid w:val="007C15EA"/>
    <w:rsid w:val="008047F6"/>
    <w:rsid w:val="00805B6C"/>
    <w:rsid w:val="008711FF"/>
    <w:rsid w:val="0087338F"/>
    <w:rsid w:val="00875964"/>
    <w:rsid w:val="0088732A"/>
    <w:rsid w:val="008D6CBB"/>
    <w:rsid w:val="009423C1"/>
    <w:rsid w:val="009535D6"/>
    <w:rsid w:val="009539DD"/>
    <w:rsid w:val="00963F15"/>
    <w:rsid w:val="00977D76"/>
    <w:rsid w:val="009A5612"/>
    <w:rsid w:val="009B1A85"/>
    <w:rsid w:val="009E5AFB"/>
    <w:rsid w:val="00A226D9"/>
    <w:rsid w:val="00A337CF"/>
    <w:rsid w:val="00A50555"/>
    <w:rsid w:val="00A75F6D"/>
    <w:rsid w:val="00A96251"/>
    <w:rsid w:val="00AA3E14"/>
    <w:rsid w:val="00B02D36"/>
    <w:rsid w:val="00B142E6"/>
    <w:rsid w:val="00B23E4C"/>
    <w:rsid w:val="00B26FBA"/>
    <w:rsid w:val="00B31745"/>
    <w:rsid w:val="00B31D30"/>
    <w:rsid w:val="00BA0F9F"/>
    <w:rsid w:val="00BA68AA"/>
    <w:rsid w:val="00BA70D4"/>
    <w:rsid w:val="00C44AB3"/>
    <w:rsid w:val="00C5789D"/>
    <w:rsid w:val="00C61BD0"/>
    <w:rsid w:val="00C64DB7"/>
    <w:rsid w:val="00C97DBD"/>
    <w:rsid w:val="00CD6AE0"/>
    <w:rsid w:val="00D03467"/>
    <w:rsid w:val="00D239C5"/>
    <w:rsid w:val="00D24280"/>
    <w:rsid w:val="00D43AE0"/>
    <w:rsid w:val="00D448C0"/>
    <w:rsid w:val="00D50244"/>
    <w:rsid w:val="00DB5D78"/>
    <w:rsid w:val="00DE039D"/>
    <w:rsid w:val="00E131B4"/>
    <w:rsid w:val="00E31D16"/>
    <w:rsid w:val="00E44EB8"/>
    <w:rsid w:val="00E62ED3"/>
    <w:rsid w:val="00EC2770"/>
    <w:rsid w:val="00EE518D"/>
    <w:rsid w:val="00F128A5"/>
    <w:rsid w:val="00F145B9"/>
    <w:rsid w:val="00F20A1F"/>
    <w:rsid w:val="00F26051"/>
    <w:rsid w:val="00F6086A"/>
    <w:rsid w:val="00F645DA"/>
    <w:rsid w:val="00F72F32"/>
    <w:rsid w:val="00F737C3"/>
    <w:rsid w:val="00F84FC8"/>
    <w:rsid w:val="00F87F60"/>
    <w:rsid w:val="00FB4FAC"/>
    <w:rsid w:val="00FC0EB4"/>
    <w:rsid w:val="00FC3ADD"/>
    <w:rsid w:val="00FC3E3E"/>
    <w:rsid w:val="00FD164F"/>
    <w:rsid w:val="00FD3198"/>
    <w:rsid w:val="00FE0937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05238"/>
  <w15:chartTrackingRefBased/>
  <w15:docId w15:val="{E6DA00A9-9915-4568-B6CC-1B5A7A97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9D"/>
  </w:style>
  <w:style w:type="paragraph" w:styleId="Footer">
    <w:name w:val="footer"/>
    <w:basedOn w:val="Normal"/>
    <w:link w:val="FooterChar"/>
    <w:uiPriority w:val="99"/>
    <w:unhideWhenUsed/>
    <w:rsid w:val="00C57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9D"/>
  </w:style>
  <w:style w:type="table" w:styleId="TableGrid">
    <w:name w:val="Table Grid"/>
    <w:basedOn w:val="TableNormal"/>
    <w:uiPriority w:val="59"/>
    <w:rsid w:val="00C5789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8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1B4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B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3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E5AF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E5AF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E5AFB"/>
    <w:pPr>
      <w:spacing w:after="100"/>
      <w:ind w:left="440"/>
    </w:p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D448C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D448C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Normal"/>
    <w:rsid w:val="00D448C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D448C0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D448C0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48C0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D448C0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3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pr.pmc.gov.au/published-impact-analyses-and-reports/aged-care-refor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76CA-8728-4161-9C60-1ADCACFC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KILDEA, Brian</dc:creator>
  <cp:keywords/>
  <dc:description/>
  <cp:lastModifiedBy>GARNHAM, Katherine</cp:lastModifiedBy>
  <cp:revision>3</cp:revision>
  <cp:lastPrinted>2022-08-30T06:36:00Z</cp:lastPrinted>
  <dcterms:created xsi:type="dcterms:W3CDTF">2022-09-29T00:39:00Z</dcterms:created>
  <dcterms:modified xsi:type="dcterms:W3CDTF">2022-09-29T00:39:00Z</dcterms:modified>
</cp:coreProperties>
</file>