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E389A" w14:textId="77777777" w:rsidR="007A37A6" w:rsidRPr="00B761C1" w:rsidRDefault="007A37A6" w:rsidP="007A37A6">
      <w:pPr>
        <w:shd w:val="clear" w:color="auto" w:fill="FFFFFF"/>
        <w:spacing w:after="120" w:line="240" w:lineRule="auto"/>
        <w:jc w:val="center"/>
        <w:rPr>
          <w:rFonts w:eastAsia="Times New Roman"/>
          <w:color w:val="000000"/>
          <w:sz w:val="20"/>
          <w:szCs w:val="20"/>
          <w:lang w:eastAsia="en-AU"/>
        </w:rPr>
      </w:pPr>
      <w:r w:rsidRPr="00B761C1">
        <w:rPr>
          <w:rFonts w:eastAsia="Times New Roman"/>
          <w:b/>
          <w:bCs/>
          <w:color w:val="000000"/>
          <w:sz w:val="22"/>
          <w:szCs w:val="22"/>
          <w:lang w:eastAsia="en-AU"/>
        </w:rPr>
        <w:t>EXPLANATORY STATEMENT</w:t>
      </w:r>
    </w:p>
    <w:p w14:paraId="4C7E25A4" w14:textId="00DAF206" w:rsidR="007A37A6" w:rsidRPr="00B761C1" w:rsidRDefault="007A37A6" w:rsidP="007A37A6">
      <w:pPr>
        <w:shd w:val="clear" w:color="auto" w:fill="FFFFFF"/>
        <w:spacing w:before="240" w:after="0" w:line="240" w:lineRule="auto"/>
        <w:jc w:val="center"/>
        <w:rPr>
          <w:rFonts w:eastAsia="Times New Roman"/>
          <w:color w:val="000000"/>
          <w:sz w:val="20"/>
          <w:szCs w:val="20"/>
          <w:lang w:eastAsia="en-AU"/>
        </w:rPr>
      </w:pPr>
      <w:r w:rsidRPr="00B761C1">
        <w:rPr>
          <w:rFonts w:eastAsia="Times New Roman"/>
          <w:i/>
          <w:iCs/>
          <w:color w:val="000000"/>
          <w:sz w:val="22"/>
          <w:szCs w:val="22"/>
          <w:lang w:eastAsia="en-AU"/>
        </w:rPr>
        <w:t>N</w:t>
      </w:r>
      <w:r w:rsidR="00B02BBB" w:rsidRPr="00B761C1">
        <w:rPr>
          <w:rFonts w:eastAsia="Times New Roman"/>
          <w:i/>
          <w:iCs/>
          <w:color w:val="000000"/>
          <w:sz w:val="22"/>
          <w:szCs w:val="22"/>
          <w:lang w:eastAsia="en-AU"/>
        </w:rPr>
        <w:t>ational Health Act</w:t>
      </w:r>
      <w:r w:rsidRPr="00B761C1">
        <w:rPr>
          <w:rFonts w:eastAsia="Times New Roman"/>
          <w:i/>
          <w:iCs/>
          <w:color w:val="000000"/>
          <w:sz w:val="22"/>
          <w:szCs w:val="22"/>
          <w:lang w:eastAsia="en-AU"/>
        </w:rPr>
        <w:t xml:space="preserve"> 1953</w:t>
      </w:r>
    </w:p>
    <w:p w14:paraId="1E76D92D" w14:textId="565C8EF0" w:rsidR="007A37A6" w:rsidRPr="00B761C1" w:rsidRDefault="007A37A6" w:rsidP="007A37A6">
      <w:pPr>
        <w:shd w:val="clear" w:color="auto" w:fill="FFFFFF"/>
        <w:spacing w:before="240" w:after="120" w:line="240" w:lineRule="auto"/>
        <w:jc w:val="center"/>
        <w:rPr>
          <w:rFonts w:eastAsia="Times New Roman"/>
          <w:color w:val="000000"/>
          <w:sz w:val="20"/>
          <w:szCs w:val="20"/>
          <w:lang w:eastAsia="en-AU"/>
        </w:rPr>
      </w:pPr>
      <w:r w:rsidRPr="00B761C1">
        <w:rPr>
          <w:rFonts w:eastAsia="Times New Roman"/>
          <w:i/>
          <w:iCs/>
          <w:color w:val="000000"/>
          <w:sz w:val="22"/>
          <w:szCs w:val="22"/>
          <w:lang w:eastAsia="en-AU"/>
        </w:rPr>
        <w:t>N</w:t>
      </w:r>
      <w:r w:rsidR="00F12A41" w:rsidRPr="00B761C1">
        <w:rPr>
          <w:rFonts w:eastAsia="Times New Roman"/>
          <w:i/>
          <w:iCs/>
          <w:color w:val="000000"/>
          <w:sz w:val="22"/>
          <w:szCs w:val="22"/>
          <w:lang w:eastAsia="en-AU"/>
        </w:rPr>
        <w:t>ational Health (Growth Hormone Program) Special Arrangement Amendment (</w:t>
      </w:r>
      <w:r w:rsidR="00356BE9" w:rsidRPr="00B761C1">
        <w:rPr>
          <w:rFonts w:eastAsia="Times New Roman"/>
          <w:i/>
          <w:iCs/>
          <w:color w:val="000000"/>
          <w:sz w:val="22"/>
          <w:szCs w:val="22"/>
          <w:lang w:eastAsia="en-AU"/>
        </w:rPr>
        <w:t>M</w:t>
      </w:r>
      <w:r w:rsidR="00F12A41" w:rsidRPr="00B761C1">
        <w:rPr>
          <w:rFonts w:eastAsia="Times New Roman"/>
          <w:i/>
          <w:iCs/>
          <w:color w:val="000000"/>
          <w:sz w:val="22"/>
          <w:szCs w:val="22"/>
          <w:lang w:eastAsia="en-AU"/>
        </w:rPr>
        <w:t xml:space="preserve">ecasermin and </w:t>
      </w:r>
      <w:r w:rsidR="00356BE9" w:rsidRPr="00B761C1">
        <w:rPr>
          <w:rFonts w:eastAsia="Times New Roman"/>
          <w:i/>
          <w:iCs/>
          <w:color w:val="000000"/>
          <w:sz w:val="22"/>
          <w:szCs w:val="22"/>
          <w:lang w:eastAsia="en-AU"/>
        </w:rPr>
        <w:t>S</w:t>
      </w:r>
      <w:r w:rsidR="00F12A41" w:rsidRPr="00B761C1">
        <w:rPr>
          <w:rFonts w:eastAsia="Times New Roman"/>
          <w:i/>
          <w:iCs/>
          <w:color w:val="000000"/>
          <w:sz w:val="22"/>
          <w:szCs w:val="22"/>
          <w:lang w:eastAsia="en-AU"/>
        </w:rPr>
        <w:t>omatrogon) Instrument 2022</w:t>
      </w:r>
    </w:p>
    <w:p w14:paraId="50764998" w14:textId="6895FB35" w:rsidR="007A37A6" w:rsidRPr="00B761C1" w:rsidRDefault="006440AA" w:rsidP="007A37A6">
      <w:pPr>
        <w:shd w:val="clear" w:color="auto" w:fill="FFFFFF"/>
        <w:spacing w:before="120" w:after="120" w:line="240" w:lineRule="auto"/>
        <w:jc w:val="center"/>
        <w:rPr>
          <w:rFonts w:eastAsia="Times New Roman"/>
          <w:color w:val="000000"/>
          <w:sz w:val="20"/>
          <w:szCs w:val="20"/>
          <w:lang w:eastAsia="en-AU"/>
        </w:rPr>
      </w:pPr>
      <w:r w:rsidRPr="00B761C1">
        <w:rPr>
          <w:rFonts w:eastAsia="Times New Roman"/>
          <w:color w:val="000000"/>
          <w:sz w:val="22"/>
          <w:szCs w:val="22"/>
          <w:lang w:eastAsia="en-AU"/>
        </w:rPr>
        <w:t xml:space="preserve">PB </w:t>
      </w:r>
      <w:r w:rsidR="00356BE9" w:rsidRPr="00B761C1">
        <w:rPr>
          <w:rFonts w:eastAsia="Times New Roman"/>
          <w:color w:val="000000"/>
          <w:sz w:val="22"/>
          <w:szCs w:val="22"/>
          <w:lang w:eastAsia="en-AU"/>
        </w:rPr>
        <w:t>92</w:t>
      </w:r>
      <w:r w:rsidRPr="00B761C1">
        <w:rPr>
          <w:rFonts w:eastAsia="Times New Roman"/>
          <w:color w:val="000000"/>
          <w:sz w:val="22"/>
          <w:szCs w:val="22"/>
          <w:lang w:eastAsia="en-AU"/>
        </w:rPr>
        <w:t xml:space="preserve"> of 20</w:t>
      </w:r>
      <w:r w:rsidR="0049694A" w:rsidRPr="00B761C1">
        <w:rPr>
          <w:rFonts w:eastAsia="Times New Roman"/>
          <w:color w:val="000000"/>
          <w:sz w:val="22"/>
          <w:szCs w:val="22"/>
          <w:lang w:eastAsia="en-AU"/>
        </w:rPr>
        <w:t>22</w:t>
      </w:r>
    </w:p>
    <w:p w14:paraId="3B963D7F" w14:textId="0F5D5258" w:rsidR="007A37A6" w:rsidRPr="00B761C1" w:rsidRDefault="007A37A6" w:rsidP="003E0592">
      <w:pPr>
        <w:shd w:val="clear" w:color="auto" w:fill="FFFFFF"/>
        <w:spacing w:before="120" w:after="0" w:line="240" w:lineRule="auto"/>
        <w:rPr>
          <w:rFonts w:eastAsia="Times New Roman"/>
          <w:b/>
          <w:color w:val="000000"/>
          <w:sz w:val="20"/>
          <w:szCs w:val="20"/>
          <w:lang w:eastAsia="en-AU"/>
        </w:rPr>
      </w:pPr>
      <w:r w:rsidRPr="00B761C1">
        <w:rPr>
          <w:rFonts w:eastAsia="Times New Roman"/>
          <w:b/>
          <w:color w:val="000000"/>
          <w:sz w:val="22"/>
          <w:szCs w:val="22"/>
          <w:lang w:eastAsia="en-AU"/>
        </w:rPr>
        <w:t>Authority</w:t>
      </w:r>
    </w:p>
    <w:p w14:paraId="4D0E36C6" w14:textId="54D45BDD" w:rsidR="008B06C1" w:rsidRPr="00B761C1" w:rsidRDefault="008B06C1" w:rsidP="00CE1098">
      <w:pPr>
        <w:spacing w:after="120" w:line="240" w:lineRule="auto"/>
        <w:rPr>
          <w:sz w:val="22"/>
          <w:szCs w:val="22"/>
        </w:rPr>
      </w:pPr>
      <w:r w:rsidRPr="00B761C1">
        <w:rPr>
          <w:sz w:val="22"/>
          <w:szCs w:val="22"/>
        </w:rPr>
        <w:t xml:space="preserve">The Pharmaceutical Benefits Scheme (PBS) is established under the </w:t>
      </w:r>
      <w:r w:rsidRPr="00B761C1">
        <w:rPr>
          <w:i/>
          <w:iCs/>
          <w:sz w:val="22"/>
          <w:szCs w:val="22"/>
        </w:rPr>
        <w:t>National Health Act 1953</w:t>
      </w:r>
      <w:r w:rsidRPr="00B761C1">
        <w:rPr>
          <w:sz w:val="22"/>
          <w:szCs w:val="22"/>
        </w:rPr>
        <w:t xml:space="preserve"> (the Act) and provides Australians with timely, reliable and affordable access to necessary and cost</w:t>
      </w:r>
      <w:r w:rsidR="00CE1098" w:rsidRPr="00B761C1">
        <w:rPr>
          <w:sz w:val="22"/>
          <w:szCs w:val="22"/>
        </w:rPr>
        <w:noBreakHyphen/>
      </w:r>
      <w:r w:rsidRPr="00B761C1">
        <w:rPr>
          <w:sz w:val="22"/>
          <w:szCs w:val="22"/>
        </w:rPr>
        <w:t>effective medicines.  The Act regulates the listing, pricing, prescribing, supply, and claiming and payment of subsidies for supply of drugs and medicinal preparations as pharmaceutical benefits.</w:t>
      </w:r>
    </w:p>
    <w:p w14:paraId="127AC191" w14:textId="77777777" w:rsidR="008B06C1" w:rsidRPr="00B761C1" w:rsidRDefault="008B06C1" w:rsidP="00CE1098">
      <w:pPr>
        <w:spacing w:after="120" w:line="240" w:lineRule="auto"/>
        <w:rPr>
          <w:sz w:val="22"/>
          <w:szCs w:val="22"/>
        </w:rPr>
      </w:pPr>
      <w:r w:rsidRPr="00B761C1">
        <w:rPr>
          <w:sz w:val="22"/>
          <w:szCs w:val="22"/>
        </w:rPr>
        <w:t>Subsection 100(1) of the Act provides that the Minister may make special arrangements for, or in relation to, providing that an adequate supply of pharmaceutical benefits will be available to certain persons.  These are persons: who are living in isolated areas; or who are receiving treatment in circumstances in which pharmaceutical benefits are inadequate for that treatment; or if the pharmaceutical benefits covered by the arrangements can be more conveniently or efficiently supplied under the arrangements.</w:t>
      </w:r>
    </w:p>
    <w:p w14:paraId="376D8A52" w14:textId="77777777" w:rsidR="008B06C1" w:rsidRPr="00B761C1" w:rsidRDefault="008B06C1" w:rsidP="00CE1098">
      <w:pPr>
        <w:spacing w:after="120" w:line="240" w:lineRule="auto"/>
        <w:rPr>
          <w:sz w:val="22"/>
          <w:szCs w:val="22"/>
        </w:rPr>
      </w:pPr>
      <w:r w:rsidRPr="00B761C1">
        <w:rPr>
          <w:sz w:val="22"/>
          <w:szCs w:val="22"/>
        </w:rPr>
        <w:t>Subsection 100(2) of the Act provides that the Minister may vary or revoke a special arrangement made under subsection 100(1).</w:t>
      </w:r>
    </w:p>
    <w:p w14:paraId="06455B38" w14:textId="77777777" w:rsidR="008B06C1" w:rsidRPr="00B761C1" w:rsidRDefault="008B06C1" w:rsidP="00CE1098">
      <w:pPr>
        <w:spacing w:after="120" w:line="240" w:lineRule="auto"/>
        <w:rPr>
          <w:sz w:val="22"/>
          <w:szCs w:val="22"/>
        </w:rPr>
      </w:pPr>
      <w:r w:rsidRPr="00B761C1">
        <w:rPr>
          <w:sz w:val="22"/>
          <w:szCs w:val="22"/>
        </w:rPr>
        <w:t>Subsection 100(3) of the Act provides that Part VII of the Act, and instruments made for the purposes of Part VII, have effect subject to a special arrangement made under subsection 100(1).</w:t>
      </w:r>
    </w:p>
    <w:p w14:paraId="5A8A2891" w14:textId="77777777" w:rsidR="007A37A6" w:rsidRPr="00B761C1" w:rsidRDefault="007A37A6" w:rsidP="006D140A">
      <w:pPr>
        <w:shd w:val="clear" w:color="auto" w:fill="FFFFFF"/>
        <w:spacing w:after="120" w:line="240" w:lineRule="auto"/>
        <w:jc w:val="both"/>
        <w:rPr>
          <w:rFonts w:eastAsia="Times New Roman"/>
          <w:b/>
          <w:color w:val="000000"/>
          <w:sz w:val="22"/>
          <w:szCs w:val="22"/>
          <w:lang w:eastAsia="en-AU"/>
        </w:rPr>
      </w:pPr>
      <w:r w:rsidRPr="00B761C1">
        <w:rPr>
          <w:rFonts w:eastAsia="Times New Roman"/>
          <w:b/>
          <w:color w:val="000000"/>
          <w:sz w:val="22"/>
          <w:szCs w:val="22"/>
          <w:lang w:eastAsia="en-AU"/>
        </w:rPr>
        <w:t>Purpose</w:t>
      </w:r>
    </w:p>
    <w:p w14:paraId="734FAB73" w14:textId="402D20FC" w:rsidR="008B06C1" w:rsidRPr="00B761C1" w:rsidRDefault="007A37A6" w:rsidP="003C2E08">
      <w:pPr>
        <w:spacing w:after="120" w:line="240" w:lineRule="auto"/>
        <w:rPr>
          <w:sz w:val="22"/>
          <w:szCs w:val="22"/>
        </w:rPr>
      </w:pPr>
      <w:r w:rsidRPr="00B761C1">
        <w:rPr>
          <w:rFonts w:eastAsia="Times New Roman"/>
          <w:color w:val="000000"/>
          <w:sz w:val="22"/>
          <w:szCs w:val="22"/>
          <w:lang w:eastAsia="en-AU"/>
        </w:rPr>
        <w:t xml:space="preserve">The </w:t>
      </w:r>
      <w:r w:rsidR="00195D01" w:rsidRPr="00B761C1">
        <w:rPr>
          <w:rFonts w:eastAsia="Times New Roman"/>
          <w:i/>
          <w:iCs/>
          <w:color w:val="000000"/>
          <w:sz w:val="22"/>
          <w:szCs w:val="22"/>
          <w:lang w:eastAsia="en-AU"/>
        </w:rPr>
        <w:t xml:space="preserve">National Health (Growth Hormone Program) Special Arrangement Amendment </w:t>
      </w:r>
      <w:r w:rsidR="008708B1" w:rsidRPr="00B761C1">
        <w:rPr>
          <w:rFonts w:eastAsia="Times New Roman"/>
          <w:i/>
          <w:iCs/>
          <w:color w:val="000000"/>
          <w:sz w:val="22"/>
          <w:szCs w:val="22"/>
          <w:lang w:eastAsia="en-AU"/>
        </w:rPr>
        <w:t xml:space="preserve">(Mecasermin and Somatrogon) </w:t>
      </w:r>
      <w:r w:rsidR="00195D01" w:rsidRPr="00B761C1">
        <w:rPr>
          <w:rFonts w:eastAsia="Times New Roman"/>
          <w:i/>
          <w:iCs/>
          <w:color w:val="000000"/>
          <w:sz w:val="22"/>
          <w:szCs w:val="22"/>
          <w:lang w:eastAsia="en-AU"/>
        </w:rPr>
        <w:t>Instrument 20</w:t>
      </w:r>
      <w:r w:rsidR="00EA3B8E" w:rsidRPr="00B761C1">
        <w:rPr>
          <w:rFonts w:eastAsia="Times New Roman"/>
          <w:i/>
          <w:iCs/>
          <w:color w:val="000000"/>
          <w:sz w:val="22"/>
          <w:szCs w:val="22"/>
          <w:lang w:eastAsia="en-AU"/>
        </w:rPr>
        <w:t>22</w:t>
      </w:r>
      <w:r w:rsidR="00195D01" w:rsidRPr="00B761C1">
        <w:rPr>
          <w:rFonts w:eastAsia="Times New Roman"/>
          <w:color w:val="000000"/>
          <w:sz w:val="22"/>
          <w:szCs w:val="22"/>
          <w:lang w:eastAsia="en-AU"/>
        </w:rPr>
        <w:t> (</w:t>
      </w:r>
      <w:r w:rsidRPr="00B761C1">
        <w:rPr>
          <w:rFonts w:eastAsia="Times New Roman"/>
          <w:color w:val="000000"/>
          <w:sz w:val="22"/>
          <w:szCs w:val="22"/>
          <w:lang w:eastAsia="en-AU"/>
        </w:rPr>
        <w:t>th</w:t>
      </w:r>
      <w:r w:rsidR="00195D01" w:rsidRPr="00B761C1">
        <w:rPr>
          <w:rFonts w:eastAsia="Times New Roman"/>
          <w:color w:val="000000"/>
          <w:sz w:val="22"/>
          <w:szCs w:val="22"/>
          <w:lang w:eastAsia="en-AU"/>
        </w:rPr>
        <w:t>e Amendment</w:t>
      </w:r>
      <w:r w:rsidRPr="00B761C1">
        <w:rPr>
          <w:rFonts w:eastAsia="Times New Roman"/>
          <w:color w:val="000000"/>
          <w:sz w:val="22"/>
          <w:szCs w:val="22"/>
          <w:lang w:eastAsia="en-AU"/>
        </w:rPr>
        <w:t xml:space="preserve"> Instrument</w:t>
      </w:r>
      <w:r w:rsidR="006474AD" w:rsidRPr="00B761C1">
        <w:rPr>
          <w:rFonts w:eastAsia="Times New Roman"/>
          <w:color w:val="000000"/>
          <w:sz w:val="22"/>
          <w:szCs w:val="22"/>
          <w:lang w:eastAsia="en-AU"/>
        </w:rPr>
        <w:t>)</w:t>
      </w:r>
      <w:r w:rsidRPr="00B761C1">
        <w:rPr>
          <w:rFonts w:eastAsia="Times New Roman"/>
          <w:color w:val="000000"/>
          <w:sz w:val="22"/>
          <w:szCs w:val="22"/>
          <w:lang w:eastAsia="en-AU"/>
        </w:rPr>
        <w:t xml:space="preserve"> amend</w:t>
      </w:r>
      <w:r w:rsidR="008B06C1" w:rsidRPr="00B761C1">
        <w:rPr>
          <w:rFonts w:eastAsia="Times New Roman"/>
          <w:color w:val="000000"/>
          <w:sz w:val="22"/>
          <w:szCs w:val="22"/>
          <w:lang w:eastAsia="en-AU"/>
        </w:rPr>
        <w:t>s</w:t>
      </w:r>
      <w:r w:rsidRPr="00B761C1">
        <w:rPr>
          <w:rFonts w:eastAsia="Times New Roman"/>
          <w:color w:val="000000"/>
          <w:sz w:val="22"/>
          <w:szCs w:val="22"/>
          <w:lang w:eastAsia="en-AU"/>
        </w:rPr>
        <w:t xml:space="preserve"> the </w:t>
      </w:r>
      <w:r w:rsidRPr="00B761C1">
        <w:rPr>
          <w:rFonts w:eastAsia="Times New Roman"/>
          <w:i/>
          <w:iCs/>
          <w:color w:val="000000"/>
          <w:sz w:val="22"/>
          <w:szCs w:val="22"/>
          <w:lang w:eastAsia="en-AU"/>
        </w:rPr>
        <w:t>National Health (Growth Hormone Program) Special Arrangement 2015</w:t>
      </w:r>
      <w:r w:rsidRPr="00B761C1">
        <w:rPr>
          <w:rFonts w:eastAsia="Times New Roman"/>
          <w:color w:val="000000"/>
          <w:sz w:val="22"/>
          <w:szCs w:val="22"/>
          <w:lang w:eastAsia="en-AU"/>
        </w:rPr>
        <w:t xml:space="preserve"> (PB 85 of 2015) (the </w:t>
      </w:r>
      <w:r w:rsidR="00841A8C" w:rsidRPr="00B761C1">
        <w:rPr>
          <w:rFonts w:eastAsia="Times New Roman"/>
          <w:color w:val="000000"/>
          <w:sz w:val="22"/>
          <w:szCs w:val="22"/>
          <w:lang w:eastAsia="en-AU"/>
        </w:rPr>
        <w:t>Growth Hormone Special Arrangement</w:t>
      </w:r>
      <w:r w:rsidR="00195D01" w:rsidRPr="00B761C1">
        <w:rPr>
          <w:rFonts w:eastAsia="Times New Roman"/>
          <w:color w:val="000000"/>
          <w:sz w:val="22"/>
          <w:szCs w:val="22"/>
          <w:lang w:eastAsia="en-AU"/>
        </w:rPr>
        <w:t>)</w:t>
      </w:r>
      <w:r w:rsidR="00BA1FDA" w:rsidRPr="00B761C1">
        <w:rPr>
          <w:rFonts w:eastAsia="Times New Roman"/>
          <w:color w:val="000000"/>
          <w:sz w:val="22"/>
          <w:szCs w:val="22"/>
          <w:lang w:eastAsia="en-AU"/>
        </w:rPr>
        <w:t>. The purpose of the amendments is</w:t>
      </w:r>
      <w:r w:rsidR="00150D57" w:rsidRPr="00B761C1">
        <w:rPr>
          <w:rFonts w:eastAsia="Times New Roman"/>
          <w:color w:val="000000"/>
          <w:sz w:val="22"/>
          <w:szCs w:val="22"/>
          <w:lang w:eastAsia="en-AU"/>
        </w:rPr>
        <w:t xml:space="preserve"> </w:t>
      </w:r>
      <w:r w:rsidRPr="00B761C1">
        <w:rPr>
          <w:rFonts w:eastAsia="Times New Roman"/>
          <w:color w:val="000000"/>
          <w:sz w:val="22"/>
          <w:szCs w:val="22"/>
          <w:lang w:eastAsia="en-AU"/>
        </w:rPr>
        <w:t xml:space="preserve">to </w:t>
      </w:r>
      <w:r w:rsidR="00841A8C" w:rsidRPr="00B761C1">
        <w:rPr>
          <w:rFonts w:eastAsia="Times New Roman"/>
          <w:color w:val="000000"/>
          <w:sz w:val="22"/>
          <w:szCs w:val="22"/>
          <w:lang w:eastAsia="en-AU"/>
        </w:rPr>
        <w:t xml:space="preserve">include provision for the supply of </w:t>
      </w:r>
      <w:r w:rsidR="00FC2D32" w:rsidRPr="00B761C1">
        <w:rPr>
          <w:rFonts w:eastAsia="Times New Roman"/>
          <w:color w:val="000000"/>
          <w:sz w:val="22"/>
          <w:szCs w:val="22"/>
          <w:lang w:eastAsia="en-AU"/>
        </w:rPr>
        <w:t>two new medicines</w:t>
      </w:r>
      <w:r w:rsidR="00BA1FDA" w:rsidRPr="00B761C1">
        <w:rPr>
          <w:rFonts w:eastAsia="Times New Roman"/>
          <w:color w:val="000000"/>
          <w:sz w:val="22"/>
          <w:szCs w:val="22"/>
          <w:lang w:eastAsia="en-AU"/>
        </w:rPr>
        <w:t xml:space="preserve"> </w:t>
      </w:r>
      <w:r w:rsidR="003C2E08" w:rsidRPr="00B761C1">
        <w:rPr>
          <w:rFonts w:eastAsia="Times New Roman"/>
          <w:color w:val="000000"/>
          <w:sz w:val="22"/>
          <w:szCs w:val="22"/>
          <w:lang w:eastAsia="en-AU"/>
        </w:rPr>
        <w:t>(</w:t>
      </w:r>
      <w:r w:rsidR="003C2E08" w:rsidRPr="00B761C1">
        <w:rPr>
          <w:sz w:val="22"/>
          <w:szCs w:val="22"/>
        </w:rPr>
        <w:t>mecasermin</w:t>
      </w:r>
      <w:r w:rsidR="003C2E08" w:rsidRPr="00B761C1">
        <w:rPr>
          <w:rFonts w:eastAsia="Times New Roman"/>
          <w:color w:val="000000"/>
          <w:sz w:val="22"/>
          <w:szCs w:val="22"/>
          <w:lang w:eastAsia="en-AU"/>
        </w:rPr>
        <w:t xml:space="preserve"> and </w:t>
      </w:r>
      <w:r w:rsidR="00BA1FDA" w:rsidRPr="00B761C1">
        <w:rPr>
          <w:sz w:val="22"/>
          <w:szCs w:val="22"/>
        </w:rPr>
        <w:t>somatrogon) for the treatment of children with particular conditions,</w:t>
      </w:r>
      <w:r w:rsidR="00FC2D32" w:rsidRPr="00B761C1">
        <w:rPr>
          <w:rFonts w:eastAsia="Times New Roman"/>
          <w:color w:val="000000"/>
          <w:sz w:val="22"/>
          <w:szCs w:val="22"/>
          <w:lang w:eastAsia="en-AU"/>
        </w:rPr>
        <w:t xml:space="preserve"> </w:t>
      </w:r>
      <w:r w:rsidR="008B06C1" w:rsidRPr="00B761C1">
        <w:rPr>
          <w:sz w:val="22"/>
          <w:szCs w:val="22"/>
        </w:rPr>
        <w:t>consistent with recommendations of the Pharmaceutical Benefits Advisory Committee (PBAC) made in March 2022.</w:t>
      </w:r>
    </w:p>
    <w:p w14:paraId="4C8E2CD4" w14:textId="1E572975" w:rsidR="004256A7" w:rsidRPr="00B761C1" w:rsidRDefault="004256A7" w:rsidP="003C2E08">
      <w:pPr>
        <w:spacing w:after="120" w:line="240" w:lineRule="auto"/>
        <w:rPr>
          <w:sz w:val="22"/>
          <w:szCs w:val="22"/>
        </w:rPr>
      </w:pPr>
      <w:bookmarkStart w:id="0" w:name="_Hlk111625385"/>
      <w:r w:rsidRPr="00B761C1">
        <w:rPr>
          <w:sz w:val="22"/>
          <w:szCs w:val="22"/>
        </w:rPr>
        <w:t>The </w:t>
      </w:r>
      <w:r w:rsidR="005D0E86" w:rsidRPr="00B761C1">
        <w:rPr>
          <w:sz w:val="22"/>
          <w:szCs w:val="22"/>
        </w:rPr>
        <w:t xml:space="preserve">Amendment </w:t>
      </w:r>
      <w:r w:rsidRPr="00B761C1">
        <w:rPr>
          <w:sz w:val="22"/>
          <w:szCs w:val="22"/>
        </w:rPr>
        <w:t xml:space="preserve">Instrument </w:t>
      </w:r>
      <w:r w:rsidR="00D5063A" w:rsidRPr="00B761C1">
        <w:rPr>
          <w:sz w:val="22"/>
          <w:szCs w:val="22"/>
        </w:rPr>
        <w:t xml:space="preserve">provides for </w:t>
      </w:r>
      <w:r w:rsidRPr="00B761C1">
        <w:rPr>
          <w:sz w:val="22"/>
          <w:szCs w:val="22"/>
        </w:rPr>
        <w:t>the following changes:</w:t>
      </w:r>
      <w:bookmarkEnd w:id="0"/>
    </w:p>
    <w:p w14:paraId="055A9AA2" w14:textId="5A25F94B" w:rsidR="004256A7" w:rsidRPr="00B761C1" w:rsidRDefault="004256A7" w:rsidP="003C2E08">
      <w:pPr>
        <w:numPr>
          <w:ilvl w:val="0"/>
          <w:numId w:val="16"/>
        </w:numPr>
        <w:spacing w:after="120" w:line="240" w:lineRule="auto"/>
        <w:ind w:left="567" w:hanging="210"/>
        <w:rPr>
          <w:sz w:val="22"/>
          <w:szCs w:val="22"/>
        </w:rPr>
      </w:pPr>
      <w:r w:rsidRPr="00B761C1">
        <w:rPr>
          <w:sz w:val="22"/>
          <w:szCs w:val="22"/>
        </w:rPr>
        <w:t xml:space="preserve">the </w:t>
      </w:r>
      <w:r w:rsidR="002C7A54" w:rsidRPr="00B761C1">
        <w:rPr>
          <w:sz w:val="22"/>
          <w:szCs w:val="22"/>
        </w:rPr>
        <w:t>addition</w:t>
      </w:r>
      <w:r w:rsidRPr="00B761C1">
        <w:rPr>
          <w:sz w:val="22"/>
          <w:szCs w:val="22"/>
        </w:rPr>
        <w:t xml:space="preserve"> of </w:t>
      </w:r>
      <w:r w:rsidR="002C7A54" w:rsidRPr="00B761C1">
        <w:rPr>
          <w:sz w:val="22"/>
          <w:szCs w:val="22"/>
        </w:rPr>
        <w:t>two n</w:t>
      </w:r>
      <w:r w:rsidRPr="00B761C1">
        <w:rPr>
          <w:sz w:val="22"/>
          <w:szCs w:val="22"/>
        </w:rPr>
        <w:t>ew definition</w:t>
      </w:r>
      <w:r w:rsidR="002C7A54" w:rsidRPr="00B761C1">
        <w:rPr>
          <w:sz w:val="22"/>
          <w:szCs w:val="22"/>
        </w:rPr>
        <w:t>s</w:t>
      </w:r>
      <w:r w:rsidRPr="00B761C1">
        <w:rPr>
          <w:sz w:val="22"/>
          <w:szCs w:val="22"/>
        </w:rPr>
        <w:t xml:space="preserve"> in section </w:t>
      </w:r>
      <w:r w:rsidR="002C7A54" w:rsidRPr="00B761C1">
        <w:rPr>
          <w:sz w:val="22"/>
          <w:szCs w:val="22"/>
        </w:rPr>
        <w:t>4</w:t>
      </w:r>
      <w:r w:rsidRPr="00B761C1">
        <w:rPr>
          <w:sz w:val="22"/>
          <w:szCs w:val="22"/>
        </w:rPr>
        <w:t xml:space="preserve"> of the </w:t>
      </w:r>
      <w:r w:rsidR="002C7A54" w:rsidRPr="00B761C1">
        <w:rPr>
          <w:sz w:val="22"/>
          <w:szCs w:val="22"/>
        </w:rPr>
        <w:t>Growth Hormone</w:t>
      </w:r>
      <w:r w:rsidRPr="00B761C1">
        <w:rPr>
          <w:sz w:val="22"/>
          <w:szCs w:val="22"/>
        </w:rPr>
        <w:t> Special Arrangement for an ‘</w:t>
      </w:r>
      <w:r w:rsidR="002C7A54" w:rsidRPr="00B761C1">
        <w:rPr>
          <w:i/>
          <w:iCs/>
          <w:sz w:val="22"/>
          <w:szCs w:val="22"/>
        </w:rPr>
        <w:t>authorised prescriber</w:t>
      </w:r>
      <w:r w:rsidR="002C7A54" w:rsidRPr="00B761C1">
        <w:rPr>
          <w:sz w:val="22"/>
          <w:szCs w:val="22"/>
        </w:rPr>
        <w:t xml:space="preserve">’ to account for the two new treatment </w:t>
      </w:r>
      <w:r w:rsidR="00AF1289" w:rsidRPr="00B761C1">
        <w:rPr>
          <w:sz w:val="22"/>
          <w:szCs w:val="22"/>
        </w:rPr>
        <w:t>phases</w:t>
      </w:r>
      <w:r w:rsidR="002C7A54" w:rsidRPr="00B761C1">
        <w:rPr>
          <w:sz w:val="22"/>
          <w:szCs w:val="22"/>
        </w:rPr>
        <w:t xml:space="preserve"> for somatrogon</w:t>
      </w:r>
      <w:r w:rsidR="00D5063A" w:rsidRPr="00B761C1">
        <w:rPr>
          <w:sz w:val="22"/>
          <w:szCs w:val="22"/>
        </w:rPr>
        <w:t>, somatropin</w:t>
      </w:r>
      <w:r w:rsidR="00841A8C" w:rsidRPr="00B761C1">
        <w:rPr>
          <w:sz w:val="22"/>
          <w:szCs w:val="22"/>
        </w:rPr>
        <w:t xml:space="preserve"> and mecasermin</w:t>
      </w:r>
      <w:r w:rsidR="002C7A54" w:rsidRPr="00B761C1">
        <w:rPr>
          <w:sz w:val="22"/>
          <w:szCs w:val="22"/>
        </w:rPr>
        <w:t>;</w:t>
      </w:r>
    </w:p>
    <w:p w14:paraId="367D6B5C" w14:textId="4CE25989" w:rsidR="00126804" w:rsidRPr="00B761C1" w:rsidRDefault="00126804" w:rsidP="003C2E08">
      <w:pPr>
        <w:numPr>
          <w:ilvl w:val="0"/>
          <w:numId w:val="16"/>
        </w:numPr>
        <w:spacing w:after="120" w:line="240" w:lineRule="auto"/>
        <w:ind w:left="567" w:hanging="210"/>
        <w:rPr>
          <w:sz w:val="22"/>
          <w:szCs w:val="22"/>
        </w:rPr>
      </w:pPr>
      <w:r w:rsidRPr="00B761C1">
        <w:rPr>
          <w:sz w:val="22"/>
          <w:szCs w:val="22"/>
        </w:rPr>
        <w:t>the addition of a new definition for ‘</w:t>
      </w:r>
      <w:r w:rsidRPr="00B761C1">
        <w:rPr>
          <w:i/>
          <w:iCs/>
          <w:sz w:val="22"/>
          <w:szCs w:val="22"/>
        </w:rPr>
        <w:t>changing drug treatment phase for a child’</w:t>
      </w:r>
      <w:r w:rsidRPr="00B761C1">
        <w:rPr>
          <w:sz w:val="22"/>
          <w:szCs w:val="22"/>
        </w:rPr>
        <w:t xml:space="preserve"> to allow patients to move from somatropin to somatrogon and somatrogon to somatropin</w:t>
      </w:r>
      <w:r w:rsidR="007E207F" w:rsidRPr="00B761C1">
        <w:rPr>
          <w:sz w:val="22"/>
          <w:szCs w:val="22"/>
        </w:rPr>
        <w:t>, where being prescribed for a common indication</w:t>
      </w:r>
      <w:r w:rsidRPr="00B761C1">
        <w:rPr>
          <w:sz w:val="22"/>
          <w:szCs w:val="22"/>
        </w:rPr>
        <w:t>;</w:t>
      </w:r>
    </w:p>
    <w:p w14:paraId="0CCF005B" w14:textId="08D319D5" w:rsidR="00770840" w:rsidRPr="00B761C1" w:rsidRDefault="002C7A54" w:rsidP="00CE1098">
      <w:pPr>
        <w:pStyle w:val="Definition"/>
        <w:numPr>
          <w:ilvl w:val="0"/>
          <w:numId w:val="16"/>
        </w:numPr>
        <w:spacing w:before="0" w:after="120"/>
        <w:ind w:left="567" w:hanging="210"/>
      </w:pPr>
      <w:r w:rsidRPr="00B761C1">
        <w:rPr>
          <w:bCs/>
          <w:iCs/>
        </w:rPr>
        <w:t>the addition of a new definition</w:t>
      </w:r>
      <w:r w:rsidRPr="00B761C1">
        <w:rPr>
          <w:bCs/>
          <w:i/>
        </w:rPr>
        <w:t xml:space="preserve"> </w:t>
      </w:r>
      <w:r w:rsidRPr="00B761C1">
        <w:rPr>
          <w:bCs/>
          <w:iCs/>
        </w:rPr>
        <w:t>for</w:t>
      </w:r>
      <w:r w:rsidRPr="00B761C1">
        <w:rPr>
          <w:bCs/>
          <w:i/>
        </w:rPr>
        <w:t xml:space="preserve"> ‘pharmaceutical benefit has a drug</w:t>
      </w:r>
      <w:r w:rsidR="00D427A8" w:rsidRPr="00B761C1">
        <w:rPr>
          <w:bCs/>
          <w:i/>
        </w:rPr>
        <w:t>’</w:t>
      </w:r>
      <w:r w:rsidRPr="00B761C1">
        <w:t xml:space="preserve"> for ease </w:t>
      </w:r>
      <w:r w:rsidR="00770840" w:rsidRPr="00B761C1">
        <w:t xml:space="preserve">when applying to particular drugs without having to refer to table items in Schedule </w:t>
      </w:r>
      <w:proofErr w:type="gramStart"/>
      <w:r w:rsidR="00770840" w:rsidRPr="00B761C1">
        <w:t>1;</w:t>
      </w:r>
      <w:proofErr w:type="gramEnd"/>
      <w:r w:rsidR="00126804" w:rsidRPr="00B761C1">
        <w:t xml:space="preserve"> </w:t>
      </w:r>
    </w:p>
    <w:p w14:paraId="1529C201" w14:textId="03508F82" w:rsidR="00770840" w:rsidRPr="00B761C1" w:rsidRDefault="00770840" w:rsidP="00CE1098">
      <w:pPr>
        <w:numPr>
          <w:ilvl w:val="0"/>
          <w:numId w:val="16"/>
        </w:numPr>
        <w:spacing w:after="120" w:line="240" w:lineRule="auto"/>
        <w:ind w:left="567" w:hanging="207"/>
        <w:rPr>
          <w:sz w:val="22"/>
          <w:szCs w:val="22"/>
        </w:rPr>
      </w:pPr>
      <w:r w:rsidRPr="00B761C1">
        <w:rPr>
          <w:sz w:val="22"/>
          <w:szCs w:val="22"/>
        </w:rPr>
        <w:t>specific references to mecasermin, somatrogon and somatropin</w:t>
      </w:r>
      <w:r w:rsidR="00D9413E" w:rsidRPr="00B761C1">
        <w:rPr>
          <w:sz w:val="22"/>
          <w:szCs w:val="22"/>
        </w:rPr>
        <w:t>, to clarify which treatment phases, dosing regimens, maximum quantities and maximum number of repeats apply to a particular pharmaceutical benefit</w:t>
      </w:r>
      <w:r w:rsidR="00DF2872" w:rsidRPr="00B761C1">
        <w:rPr>
          <w:sz w:val="22"/>
          <w:szCs w:val="22"/>
        </w:rPr>
        <w:t xml:space="preserve"> that has these drugs</w:t>
      </w:r>
      <w:r w:rsidRPr="00B761C1">
        <w:rPr>
          <w:sz w:val="22"/>
          <w:szCs w:val="22"/>
        </w:rPr>
        <w:t xml:space="preserve">. </w:t>
      </w:r>
      <w:r w:rsidR="000578DF" w:rsidRPr="00B761C1">
        <w:rPr>
          <w:sz w:val="22"/>
          <w:szCs w:val="22"/>
        </w:rPr>
        <w:t>Currently t</w:t>
      </w:r>
      <w:r w:rsidRPr="00B761C1">
        <w:rPr>
          <w:sz w:val="22"/>
          <w:szCs w:val="22"/>
        </w:rPr>
        <w:t xml:space="preserve">he </w:t>
      </w:r>
      <w:r w:rsidR="009B7BD5" w:rsidRPr="00B761C1">
        <w:rPr>
          <w:sz w:val="22"/>
          <w:szCs w:val="22"/>
        </w:rPr>
        <w:t>Growth Hormone Special Arrangement</w:t>
      </w:r>
      <w:r w:rsidR="000578DF" w:rsidRPr="00B761C1">
        <w:rPr>
          <w:sz w:val="22"/>
          <w:szCs w:val="22"/>
        </w:rPr>
        <w:t xml:space="preserve"> operates so that</w:t>
      </w:r>
      <w:r w:rsidR="009B7BD5" w:rsidRPr="00B761C1">
        <w:rPr>
          <w:sz w:val="22"/>
          <w:szCs w:val="22"/>
        </w:rPr>
        <w:t xml:space="preserve"> </w:t>
      </w:r>
      <w:r w:rsidR="000578DF" w:rsidRPr="00B761C1">
        <w:rPr>
          <w:sz w:val="22"/>
          <w:szCs w:val="22"/>
        </w:rPr>
        <w:t xml:space="preserve">only </w:t>
      </w:r>
      <w:r w:rsidRPr="00B761C1">
        <w:rPr>
          <w:sz w:val="22"/>
          <w:szCs w:val="22"/>
        </w:rPr>
        <w:t>somatropin</w:t>
      </w:r>
      <w:r w:rsidR="000578DF" w:rsidRPr="00B761C1">
        <w:rPr>
          <w:sz w:val="22"/>
          <w:szCs w:val="22"/>
        </w:rPr>
        <w:t xml:space="preserve"> can be prescribed.</w:t>
      </w:r>
      <w:r w:rsidRPr="00B761C1">
        <w:rPr>
          <w:sz w:val="22"/>
          <w:szCs w:val="22"/>
        </w:rPr>
        <w:t xml:space="preserve"> </w:t>
      </w:r>
    </w:p>
    <w:p w14:paraId="6687797F" w14:textId="55006A62" w:rsidR="004256A7" w:rsidRPr="00B761C1" w:rsidRDefault="00BB4190" w:rsidP="00CE1098">
      <w:pPr>
        <w:numPr>
          <w:ilvl w:val="0"/>
          <w:numId w:val="16"/>
        </w:numPr>
        <w:spacing w:after="120" w:line="240" w:lineRule="auto"/>
        <w:ind w:left="567" w:hanging="207"/>
        <w:rPr>
          <w:rFonts w:eastAsia="Times New Roman"/>
          <w:color w:val="000000"/>
          <w:sz w:val="22"/>
          <w:szCs w:val="22"/>
          <w:lang w:eastAsia="en-AU"/>
        </w:rPr>
      </w:pPr>
      <w:r w:rsidRPr="00B761C1">
        <w:rPr>
          <w:sz w:val="22"/>
          <w:szCs w:val="22"/>
        </w:rPr>
        <w:t>t</w:t>
      </w:r>
      <w:r w:rsidR="00770840" w:rsidRPr="00B761C1">
        <w:rPr>
          <w:sz w:val="22"/>
          <w:szCs w:val="22"/>
        </w:rPr>
        <w:t>he</w:t>
      </w:r>
      <w:r w:rsidR="00D9413E" w:rsidRPr="00B761C1">
        <w:rPr>
          <w:sz w:val="22"/>
          <w:szCs w:val="22"/>
        </w:rPr>
        <w:t xml:space="preserve"> </w:t>
      </w:r>
      <w:r w:rsidRPr="00B761C1">
        <w:rPr>
          <w:sz w:val="22"/>
          <w:szCs w:val="22"/>
        </w:rPr>
        <w:t>repeal and substitution</w:t>
      </w:r>
      <w:r w:rsidR="00770840" w:rsidRPr="00B761C1">
        <w:rPr>
          <w:sz w:val="22"/>
          <w:szCs w:val="22"/>
        </w:rPr>
        <w:t xml:space="preserve"> of Section 11 to remove duplication as well as including a new </w:t>
      </w:r>
      <w:r w:rsidRPr="00B761C1">
        <w:rPr>
          <w:sz w:val="22"/>
          <w:szCs w:val="22"/>
        </w:rPr>
        <w:t>t</w:t>
      </w:r>
      <w:r w:rsidR="00770840" w:rsidRPr="00B761C1">
        <w:rPr>
          <w:sz w:val="22"/>
          <w:szCs w:val="22"/>
        </w:rPr>
        <w:t>able to incorporate</w:t>
      </w:r>
      <w:r w:rsidRPr="00B761C1">
        <w:rPr>
          <w:sz w:val="22"/>
          <w:szCs w:val="22"/>
        </w:rPr>
        <w:t xml:space="preserve"> the dosing restrictions that authorised prescribers must comply with when prescribing </w:t>
      </w:r>
      <w:r w:rsidR="00770840" w:rsidRPr="00B761C1">
        <w:rPr>
          <w:sz w:val="22"/>
          <w:szCs w:val="22"/>
        </w:rPr>
        <w:t>mecasermin and somatrogon.</w:t>
      </w:r>
    </w:p>
    <w:p w14:paraId="3758CFB0" w14:textId="77777777" w:rsidR="003C2E08" w:rsidRPr="00B761C1" w:rsidRDefault="003C2E08">
      <w:pPr>
        <w:rPr>
          <w:sz w:val="22"/>
          <w:szCs w:val="22"/>
        </w:rPr>
      </w:pPr>
      <w:r w:rsidRPr="00B761C1">
        <w:rPr>
          <w:sz w:val="22"/>
          <w:szCs w:val="22"/>
        </w:rPr>
        <w:br w:type="page"/>
      </w:r>
    </w:p>
    <w:p w14:paraId="685C3953" w14:textId="6739C2E0" w:rsidR="008B06C1" w:rsidRPr="00B761C1" w:rsidRDefault="008B06C1" w:rsidP="00CE1098">
      <w:pPr>
        <w:spacing w:after="120" w:line="240" w:lineRule="auto"/>
        <w:rPr>
          <w:sz w:val="22"/>
          <w:szCs w:val="22"/>
        </w:rPr>
      </w:pPr>
      <w:r w:rsidRPr="00B761C1">
        <w:rPr>
          <w:sz w:val="22"/>
          <w:szCs w:val="22"/>
        </w:rPr>
        <w:lastRenderedPageBreak/>
        <w:t>The amendments made by the </w:t>
      </w:r>
      <w:r w:rsidR="005D0E86" w:rsidRPr="00B761C1">
        <w:rPr>
          <w:sz w:val="22"/>
          <w:szCs w:val="22"/>
        </w:rPr>
        <w:t xml:space="preserve">Amendment </w:t>
      </w:r>
      <w:r w:rsidRPr="00B761C1">
        <w:rPr>
          <w:sz w:val="22"/>
          <w:szCs w:val="22"/>
        </w:rPr>
        <w:t xml:space="preserve">Instrument are consistent with amendments to the </w:t>
      </w:r>
      <w:r w:rsidR="000218C2" w:rsidRPr="00B761C1">
        <w:rPr>
          <w:i/>
          <w:iCs/>
          <w:sz w:val="22"/>
          <w:szCs w:val="22"/>
        </w:rPr>
        <w:t>National Health (Listing of Pharmaceutical Benefits) Instrument 2012</w:t>
      </w:r>
      <w:r w:rsidR="000218C2" w:rsidRPr="00B761C1" w:rsidDel="000218C2">
        <w:rPr>
          <w:i/>
          <w:iCs/>
          <w:sz w:val="22"/>
          <w:szCs w:val="22"/>
        </w:rPr>
        <w:t xml:space="preserve"> </w:t>
      </w:r>
      <w:r w:rsidRPr="00B761C1">
        <w:rPr>
          <w:sz w:val="22"/>
          <w:szCs w:val="22"/>
        </w:rPr>
        <w:t>(the Listing Instrument)</w:t>
      </w:r>
      <w:r w:rsidR="0028217E" w:rsidRPr="00B761C1">
        <w:rPr>
          <w:sz w:val="22"/>
          <w:szCs w:val="22"/>
        </w:rPr>
        <w:t xml:space="preserve">, which provides for the addition of </w:t>
      </w:r>
      <w:r w:rsidR="0014707D" w:rsidRPr="00B761C1">
        <w:rPr>
          <w:sz w:val="22"/>
          <w:szCs w:val="22"/>
        </w:rPr>
        <w:t xml:space="preserve">pharmaceutical benefits containing </w:t>
      </w:r>
      <w:r w:rsidR="0028217E" w:rsidRPr="00B761C1">
        <w:rPr>
          <w:sz w:val="22"/>
          <w:szCs w:val="22"/>
        </w:rPr>
        <w:t>the drugs</w:t>
      </w:r>
      <w:r w:rsidRPr="00B761C1">
        <w:rPr>
          <w:sz w:val="22"/>
          <w:szCs w:val="22"/>
        </w:rPr>
        <w:t xml:space="preserve"> </w:t>
      </w:r>
      <w:r w:rsidR="00D6247B" w:rsidRPr="00B761C1">
        <w:rPr>
          <w:sz w:val="22"/>
          <w:szCs w:val="22"/>
        </w:rPr>
        <w:t>mecasermin</w:t>
      </w:r>
      <w:r w:rsidR="0028217E" w:rsidRPr="00B761C1">
        <w:rPr>
          <w:sz w:val="22"/>
          <w:szCs w:val="22"/>
        </w:rPr>
        <w:t>,</w:t>
      </w:r>
      <w:r w:rsidR="00D6247B" w:rsidRPr="00B761C1">
        <w:rPr>
          <w:sz w:val="22"/>
          <w:szCs w:val="22"/>
        </w:rPr>
        <w:t xml:space="preserve"> and somatrogon</w:t>
      </w:r>
      <w:r w:rsidRPr="00B761C1">
        <w:rPr>
          <w:sz w:val="22"/>
          <w:szCs w:val="22"/>
        </w:rPr>
        <w:t>, which commence on the same day. The Listing Instrument is made under sections 84AF, 84AK, 85, 85A, 88 and 101 of the Act.</w:t>
      </w:r>
      <w:r w:rsidR="0028217E" w:rsidRPr="00B761C1">
        <w:rPr>
          <w:sz w:val="22"/>
          <w:szCs w:val="22"/>
        </w:rPr>
        <w:t xml:space="preserve"> </w:t>
      </w:r>
    </w:p>
    <w:p w14:paraId="6E9C6FFA" w14:textId="0C8C8E87" w:rsidR="000218C2" w:rsidRPr="00B761C1" w:rsidRDefault="000218C2" w:rsidP="000218C2">
      <w:pPr>
        <w:rPr>
          <w:sz w:val="22"/>
          <w:szCs w:val="22"/>
        </w:rPr>
      </w:pPr>
      <w:bookmarkStart w:id="1" w:name="_Hlk114575849"/>
      <w:r w:rsidRPr="00B761C1">
        <w:rPr>
          <w:sz w:val="22"/>
          <w:szCs w:val="22"/>
        </w:rPr>
        <w:t xml:space="preserve">Separate amendments to the </w:t>
      </w:r>
      <w:r w:rsidRPr="00B761C1">
        <w:rPr>
          <w:i/>
          <w:iCs/>
          <w:sz w:val="22"/>
          <w:szCs w:val="22"/>
        </w:rPr>
        <w:t>National Health (Growth Hormone Program) Special Arrangement 2015</w:t>
      </w:r>
      <w:r w:rsidRPr="00B761C1">
        <w:rPr>
          <w:sz w:val="22"/>
          <w:szCs w:val="22"/>
        </w:rPr>
        <w:t xml:space="preserve"> to include the addition of the two new drugs to Schedule 1, </w:t>
      </w:r>
      <w:r w:rsidR="0028217E" w:rsidRPr="00B761C1">
        <w:rPr>
          <w:sz w:val="22"/>
          <w:szCs w:val="22"/>
        </w:rPr>
        <w:t>and</w:t>
      </w:r>
      <w:r w:rsidRPr="00B761C1">
        <w:rPr>
          <w:sz w:val="22"/>
          <w:szCs w:val="22"/>
        </w:rPr>
        <w:t xml:space="preserve"> the amendments being made to list</w:t>
      </w:r>
      <w:r w:rsidR="0014707D" w:rsidRPr="00B761C1">
        <w:rPr>
          <w:sz w:val="22"/>
          <w:szCs w:val="22"/>
        </w:rPr>
        <w:t xml:space="preserve"> pharmaceutical benefits containing</w:t>
      </w:r>
      <w:r w:rsidRPr="00B761C1">
        <w:rPr>
          <w:sz w:val="22"/>
          <w:szCs w:val="22"/>
        </w:rPr>
        <w:t xml:space="preserve"> the two new </w:t>
      </w:r>
      <w:r w:rsidR="0028217E" w:rsidRPr="00B761C1">
        <w:rPr>
          <w:sz w:val="22"/>
          <w:szCs w:val="22"/>
        </w:rPr>
        <w:t xml:space="preserve">drugs </w:t>
      </w:r>
      <w:r w:rsidRPr="00B761C1">
        <w:rPr>
          <w:sz w:val="22"/>
          <w:szCs w:val="22"/>
        </w:rPr>
        <w:t>in the Listing Instrument</w:t>
      </w:r>
      <w:r w:rsidR="0028217E" w:rsidRPr="00B761C1">
        <w:rPr>
          <w:sz w:val="22"/>
          <w:szCs w:val="22"/>
        </w:rPr>
        <w:t>,</w:t>
      </w:r>
      <w:r w:rsidRPr="00B761C1">
        <w:rPr>
          <w:sz w:val="22"/>
          <w:szCs w:val="22"/>
        </w:rPr>
        <w:t xml:space="preserve"> has been undertaken and these amending instruments will be registered to commence on 1 October 2022.</w:t>
      </w:r>
    </w:p>
    <w:bookmarkEnd w:id="1"/>
    <w:p w14:paraId="0501BF4C" w14:textId="79BF31FF" w:rsidR="00DF4F70" w:rsidRPr="00B761C1" w:rsidRDefault="00DF4F70" w:rsidP="00956497">
      <w:pPr>
        <w:shd w:val="clear" w:color="auto" w:fill="FFFFFF"/>
        <w:spacing w:after="120" w:line="240" w:lineRule="auto"/>
        <w:jc w:val="both"/>
        <w:rPr>
          <w:rFonts w:eastAsia="Times New Roman"/>
          <w:b/>
          <w:color w:val="000000"/>
          <w:sz w:val="22"/>
          <w:szCs w:val="22"/>
          <w:lang w:eastAsia="en-AU"/>
        </w:rPr>
      </w:pPr>
      <w:r w:rsidRPr="00B761C1">
        <w:rPr>
          <w:rFonts w:eastAsia="Times New Roman"/>
          <w:b/>
          <w:color w:val="000000"/>
          <w:sz w:val="22"/>
          <w:szCs w:val="22"/>
          <w:lang w:eastAsia="en-AU"/>
        </w:rPr>
        <w:t>Background</w:t>
      </w:r>
    </w:p>
    <w:p w14:paraId="616D0927" w14:textId="36EDF142" w:rsidR="00D935E7" w:rsidRPr="00B761C1" w:rsidRDefault="00DF4F70" w:rsidP="00CE1098">
      <w:pPr>
        <w:shd w:val="clear" w:color="auto" w:fill="FFFFFF"/>
        <w:spacing w:after="120" w:line="240" w:lineRule="auto"/>
        <w:rPr>
          <w:sz w:val="22"/>
          <w:szCs w:val="22"/>
        </w:rPr>
      </w:pPr>
      <w:r w:rsidRPr="00B761C1">
        <w:rPr>
          <w:sz w:val="22"/>
          <w:szCs w:val="22"/>
        </w:rPr>
        <w:t xml:space="preserve">Somatropin </w:t>
      </w:r>
      <w:r w:rsidR="00D935E7" w:rsidRPr="00B761C1">
        <w:rPr>
          <w:sz w:val="22"/>
          <w:szCs w:val="22"/>
        </w:rPr>
        <w:t xml:space="preserve">is currently the only medicine </w:t>
      </w:r>
      <w:r w:rsidR="0090069D" w:rsidRPr="00B761C1">
        <w:rPr>
          <w:sz w:val="22"/>
          <w:szCs w:val="22"/>
        </w:rPr>
        <w:t xml:space="preserve">available for supply under the </w:t>
      </w:r>
      <w:r w:rsidRPr="00B761C1">
        <w:rPr>
          <w:sz w:val="22"/>
          <w:szCs w:val="22"/>
        </w:rPr>
        <w:t>Pharmaceutical Benefits Scheme (PBS) Growth Hormone Program</w:t>
      </w:r>
      <w:r w:rsidR="0090069D" w:rsidRPr="00B761C1">
        <w:rPr>
          <w:sz w:val="22"/>
          <w:szCs w:val="22"/>
        </w:rPr>
        <w:t xml:space="preserve"> </w:t>
      </w:r>
      <w:r w:rsidRPr="00B761C1">
        <w:rPr>
          <w:sz w:val="22"/>
          <w:szCs w:val="22"/>
        </w:rPr>
        <w:t xml:space="preserve">for the treatment of a range of paediatric </w:t>
      </w:r>
      <w:r w:rsidR="00D935E7" w:rsidRPr="00B761C1">
        <w:rPr>
          <w:sz w:val="22"/>
          <w:szCs w:val="22"/>
        </w:rPr>
        <w:t xml:space="preserve">and adult </w:t>
      </w:r>
      <w:r w:rsidR="00B158EF" w:rsidRPr="00B761C1">
        <w:rPr>
          <w:sz w:val="22"/>
          <w:szCs w:val="22"/>
        </w:rPr>
        <w:t xml:space="preserve">growth hormone deficiency (GHD) </w:t>
      </w:r>
      <w:r w:rsidRPr="00B761C1">
        <w:rPr>
          <w:sz w:val="22"/>
          <w:szCs w:val="22"/>
        </w:rPr>
        <w:t>conditions.</w:t>
      </w:r>
    </w:p>
    <w:p w14:paraId="2A6852FC" w14:textId="213579DB" w:rsidR="00AC26DC" w:rsidRPr="00B761C1" w:rsidRDefault="00460C5A" w:rsidP="00CE1098">
      <w:pPr>
        <w:autoSpaceDE w:val="0"/>
        <w:autoSpaceDN w:val="0"/>
        <w:adjustRightInd w:val="0"/>
        <w:spacing w:before="120" w:after="120"/>
        <w:rPr>
          <w:sz w:val="22"/>
          <w:szCs w:val="22"/>
        </w:rPr>
      </w:pPr>
      <w:r w:rsidRPr="00B761C1">
        <w:rPr>
          <w:sz w:val="22"/>
          <w:szCs w:val="22"/>
        </w:rPr>
        <w:t xml:space="preserve">At its </w:t>
      </w:r>
      <w:r w:rsidR="00D935E7" w:rsidRPr="00B761C1">
        <w:rPr>
          <w:sz w:val="22"/>
          <w:szCs w:val="22"/>
        </w:rPr>
        <w:t>March 2022</w:t>
      </w:r>
      <w:r w:rsidRPr="00B761C1">
        <w:rPr>
          <w:sz w:val="22"/>
          <w:szCs w:val="22"/>
        </w:rPr>
        <w:t xml:space="preserve"> meeting, the Pharmaceutical Benefits Advisory Committee (PBAC) recommended </w:t>
      </w:r>
      <w:r w:rsidR="00EC357B" w:rsidRPr="00B761C1">
        <w:rPr>
          <w:sz w:val="22"/>
          <w:szCs w:val="22"/>
        </w:rPr>
        <w:t xml:space="preserve">two </w:t>
      </w:r>
      <w:r w:rsidR="00D935E7" w:rsidRPr="00B761C1">
        <w:rPr>
          <w:sz w:val="22"/>
          <w:szCs w:val="22"/>
        </w:rPr>
        <w:t xml:space="preserve">new medicines be made available </w:t>
      </w:r>
      <w:r w:rsidR="005F192B" w:rsidRPr="00B761C1">
        <w:rPr>
          <w:sz w:val="22"/>
          <w:szCs w:val="22"/>
        </w:rPr>
        <w:t xml:space="preserve">on the Growth Hormone Program </w:t>
      </w:r>
      <w:r w:rsidR="00D935E7" w:rsidRPr="00B761C1">
        <w:rPr>
          <w:sz w:val="22"/>
          <w:szCs w:val="22"/>
        </w:rPr>
        <w:t xml:space="preserve">to paediatric and adolescent patients </w:t>
      </w:r>
      <w:r w:rsidR="00AC26DC" w:rsidRPr="00B761C1">
        <w:rPr>
          <w:sz w:val="22"/>
          <w:szCs w:val="22"/>
        </w:rPr>
        <w:t xml:space="preserve">– </w:t>
      </w:r>
      <w:r w:rsidR="003C2E08" w:rsidRPr="00B761C1">
        <w:rPr>
          <w:sz w:val="22"/>
          <w:szCs w:val="22"/>
        </w:rPr>
        <w:t xml:space="preserve">mecasermin (Increlex®) and </w:t>
      </w:r>
      <w:r w:rsidR="00AC26DC" w:rsidRPr="00B761C1">
        <w:rPr>
          <w:sz w:val="22"/>
          <w:szCs w:val="22"/>
        </w:rPr>
        <w:t>somatrogon (Ngenla®).</w:t>
      </w:r>
      <w:r w:rsidR="009A6614" w:rsidRPr="00B761C1">
        <w:rPr>
          <w:sz w:val="22"/>
          <w:szCs w:val="22"/>
        </w:rPr>
        <w:t xml:space="preserve"> </w:t>
      </w:r>
    </w:p>
    <w:p w14:paraId="5898EE39" w14:textId="794F8F8F" w:rsidR="001B6983" w:rsidRPr="00B761C1" w:rsidRDefault="001B6983" w:rsidP="00CE1098">
      <w:pPr>
        <w:rPr>
          <w:sz w:val="22"/>
          <w:szCs w:val="22"/>
        </w:rPr>
      </w:pPr>
      <w:r w:rsidRPr="00B761C1">
        <w:rPr>
          <w:sz w:val="22"/>
          <w:szCs w:val="22"/>
        </w:rPr>
        <w:t xml:space="preserve">The </w:t>
      </w:r>
      <w:r w:rsidR="009B7BD5" w:rsidRPr="00B761C1">
        <w:rPr>
          <w:sz w:val="22"/>
          <w:szCs w:val="22"/>
        </w:rPr>
        <w:t xml:space="preserve">Growth Hormone Special Arrangement </w:t>
      </w:r>
      <w:r w:rsidRPr="00B761C1">
        <w:rPr>
          <w:sz w:val="22"/>
          <w:szCs w:val="22"/>
        </w:rPr>
        <w:t xml:space="preserve">details the dose restrictions for children and adults that authorised prescribers must comply with when prescribing the pharmaceutical benefit for each condition during the </w:t>
      </w:r>
      <w:r w:rsidR="00300D55" w:rsidRPr="00B761C1">
        <w:rPr>
          <w:sz w:val="22"/>
          <w:szCs w:val="22"/>
        </w:rPr>
        <w:t xml:space="preserve">various </w:t>
      </w:r>
      <w:r w:rsidRPr="00B761C1">
        <w:rPr>
          <w:sz w:val="22"/>
          <w:szCs w:val="22"/>
        </w:rPr>
        <w:t>treatment phases. Currently, these dosing restrictions apply to somatropin only.</w:t>
      </w:r>
    </w:p>
    <w:p w14:paraId="7DF7F032" w14:textId="41EB838F" w:rsidR="001B6983" w:rsidRPr="00B761C1" w:rsidRDefault="001B6983" w:rsidP="00CE1098">
      <w:pPr>
        <w:rPr>
          <w:sz w:val="22"/>
          <w:szCs w:val="22"/>
        </w:rPr>
      </w:pPr>
      <w:r w:rsidRPr="00B761C1">
        <w:rPr>
          <w:sz w:val="22"/>
          <w:szCs w:val="22"/>
        </w:rPr>
        <w:t xml:space="preserve">Both </w:t>
      </w:r>
      <w:r w:rsidR="003C2E08" w:rsidRPr="00B761C1">
        <w:rPr>
          <w:sz w:val="22"/>
          <w:szCs w:val="22"/>
        </w:rPr>
        <w:t xml:space="preserve">mecasermin and </w:t>
      </w:r>
      <w:r w:rsidRPr="00B761C1">
        <w:rPr>
          <w:sz w:val="22"/>
          <w:szCs w:val="22"/>
        </w:rPr>
        <w:t>somatrogon have different upper dosing limits/requirements to the already listed somatropin</w:t>
      </w:r>
      <w:r w:rsidR="00AD0C63" w:rsidRPr="00B761C1">
        <w:rPr>
          <w:sz w:val="22"/>
          <w:szCs w:val="22"/>
        </w:rPr>
        <w:t>,</w:t>
      </w:r>
      <w:r w:rsidRPr="00B761C1">
        <w:rPr>
          <w:sz w:val="22"/>
          <w:szCs w:val="22"/>
        </w:rPr>
        <w:t xml:space="preserve"> for children. </w:t>
      </w:r>
    </w:p>
    <w:p w14:paraId="7B6AB339" w14:textId="39D00D59" w:rsidR="00AC26DC" w:rsidRPr="00B761C1" w:rsidRDefault="00AC26DC" w:rsidP="00CE1098">
      <w:pPr>
        <w:autoSpaceDE w:val="0"/>
        <w:autoSpaceDN w:val="0"/>
        <w:adjustRightInd w:val="0"/>
        <w:spacing w:before="120" w:after="120"/>
        <w:rPr>
          <w:rFonts w:eastAsia="Calibri"/>
          <w:sz w:val="22"/>
          <w:szCs w:val="22"/>
          <w:u w:val="single"/>
          <w:lang w:eastAsia="en-AU"/>
        </w:rPr>
      </w:pPr>
      <w:r w:rsidRPr="00B761C1">
        <w:rPr>
          <w:rFonts w:eastAsia="Calibri"/>
          <w:sz w:val="22"/>
          <w:szCs w:val="22"/>
          <w:u w:val="single"/>
          <w:lang w:eastAsia="en-AU"/>
        </w:rPr>
        <w:t xml:space="preserve">Somatrogon </w:t>
      </w:r>
    </w:p>
    <w:p w14:paraId="6F75CC61" w14:textId="2F40391B" w:rsidR="0004202C" w:rsidRPr="00B761C1" w:rsidRDefault="00041218" w:rsidP="00CE1098">
      <w:pPr>
        <w:widowControl w:val="0"/>
        <w:spacing w:before="120" w:after="0" w:line="240" w:lineRule="auto"/>
        <w:rPr>
          <w:rFonts w:eastAsia="Times New Roman"/>
          <w:color w:val="000000"/>
          <w:sz w:val="22"/>
          <w:szCs w:val="22"/>
          <w:lang w:eastAsia="en-AU"/>
        </w:rPr>
      </w:pPr>
      <w:r w:rsidRPr="00B761C1">
        <w:rPr>
          <w:rFonts w:eastAsia="Times New Roman"/>
          <w:color w:val="000000"/>
          <w:sz w:val="22"/>
          <w:szCs w:val="22"/>
          <w:lang w:eastAsia="en-AU"/>
        </w:rPr>
        <w:t xml:space="preserve">The PBAC recommended the listing of somatrogon for the treatment of paediatric patients with </w:t>
      </w:r>
      <w:r w:rsidR="0088521E" w:rsidRPr="00B761C1">
        <w:rPr>
          <w:rFonts w:eastAsia="Times New Roman"/>
          <w:color w:val="000000"/>
          <w:sz w:val="22"/>
          <w:szCs w:val="22"/>
          <w:lang w:eastAsia="en-AU"/>
        </w:rPr>
        <w:t xml:space="preserve">(1) </w:t>
      </w:r>
      <w:r w:rsidRPr="00B761C1">
        <w:rPr>
          <w:rFonts w:eastAsia="Times New Roman"/>
          <w:color w:val="000000"/>
          <w:sz w:val="22"/>
          <w:szCs w:val="22"/>
          <w:lang w:eastAsia="en-AU"/>
        </w:rPr>
        <w:t>short stature associated with biochemical growth hormone deficiency</w:t>
      </w:r>
      <w:r w:rsidR="0088521E" w:rsidRPr="00B761C1">
        <w:rPr>
          <w:rFonts w:eastAsia="Times New Roman"/>
          <w:color w:val="000000"/>
          <w:sz w:val="22"/>
          <w:szCs w:val="22"/>
          <w:lang w:eastAsia="en-AU"/>
        </w:rPr>
        <w:t xml:space="preserve">, or (2) </w:t>
      </w:r>
      <w:r w:rsidRPr="00B761C1">
        <w:rPr>
          <w:rFonts w:eastAsia="Times New Roman"/>
          <w:color w:val="000000"/>
          <w:sz w:val="22"/>
          <w:szCs w:val="22"/>
          <w:lang w:eastAsia="en-AU"/>
        </w:rPr>
        <w:t xml:space="preserve">short stature and slow growth. </w:t>
      </w:r>
      <w:r w:rsidR="0004202C" w:rsidRPr="00B761C1">
        <w:rPr>
          <w:rFonts w:eastAsia="Times New Roman"/>
          <w:color w:val="000000"/>
          <w:sz w:val="22"/>
          <w:szCs w:val="22"/>
          <w:lang w:eastAsia="en-AU"/>
        </w:rPr>
        <w:t>The PBS restriction</w:t>
      </w:r>
      <w:r w:rsidR="0088521E" w:rsidRPr="00B761C1">
        <w:rPr>
          <w:rFonts w:eastAsia="Times New Roman"/>
          <w:color w:val="000000"/>
          <w:sz w:val="22"/>
          <w:szCs w:val="22"/>
          <w:lang w:eastAsia="en-AU"/>
        </w:rPr>
        <w:t>s</w:t>
      </w:r>
      <w:r w:rsidR="0004202C" w:rsidRPr="00B761C1">
        <w:rPr>
          <w:rFonts w:eastAsia="Times New Roman"/>
          <w:color w:val="000000"/>
          <w:sz w:val="22"/>
          <w:szCs w:val="22"/>
          <w:lang w:eastAsia="en-AU"/>
        </w:rPr>
        <w:t xml:space="preserve"> for somatrogon </w:t>
      </w:r>
      <w:r w:rsidR="0088521E" w:rsidRPr="00B761C1">
        <w:rPr>
          <w:rFonts w:eastAsia="Times New Roman"/>
          <w:color w:val="000000"/>
          <w:sz w:val="22"/>
          <w:szCs w:val="22"/>
          <w:lang w:eastAsia="en-AU"/>
        </w:rPr>
        <w:t>are</w:t>
      </w:r>
      <w:r w:rsidR="00D55850" w:rsidRPr="00B761C1">
        <w:rPr>
          <w:rFonts w:eastAsia="Times New Roman"/>
          <w:color w:val="000000"/>
          <w:sz w:val="22"/>
          <w:szCs w:val="22"/>
          <w:lang w:eastAsia="en-AU"/>
        </w:rPr>
        <w:t xml:space="preserve"> </w:t>
      </w:r>
      <w:r w:rsidR="0004202C" w:rsidRPr="00B761C1">
        <w:rPr>
          <w:rFonts w:eastAsia="Times New Roman"/>
          <w:color w:val="000000"/>
          <w:sz w:val="22"/>
          <w:szCs w:val="22"/>
          <w:lang w:eastAsia="en-AU"/>
        </w:rPr>
        <w:t>consistent with the current restrictions for the somatropin brand Genotropin</w:t>
      </w:r>
      <w:r w:rsidR="00D427A8" w:rsidRPr="00B761C1">
        <w:rPr>
          <w:rFonts w:eastAsia="Times New Roman"/>
          <w:color w:val="000000"/>
          <w:sz w:val="22"/>
          <w:szCs w:val="22"/>
          <w:lang w:eastAsia="en-AU"/>
        </w:rPr>
        <w:t xml:space="preserve"> ®</w:t>
      </w:r>
      <w:r w:rsidR="00AB3391" w:rsidRPr="00B761C1">
        <w:rPr>
          <w:rFonts w:eastAsia="Times New Roman"/>
          <w:color w:val="000000"/>
          <w:sz w:val="22"/>
          <w:szCs w:val="22"/>
          <w:lang w:eastAsia="en-AU"/>
        </w:rPr>
        <w:t xml:space="preserve"> (currently five treatment </w:t>
      </w:r>
      <w:r w:rsidR="00613EEE" w:rsidRPr="00B761C1">
        <w:rPr>
          <w:rFonts w:eastAsia="Times New Roman"/>
          <w:color w:val="000000"/>
          <w:sz w:val="22"/>
          <w:szCs w:val="22"/>
          <w:lang w:eastAsia="en-AU"/>
        </w:rPr>
        <w:t>phases</w:t>
      </w:r>
      <w:r w:rsidR="00AB3391" w:rsidRPr="00B761C1">
        <w:rPr>
          <w:rFonts w:eastAsia="Times New Roman"/>
          <w:color w:val="000000"/>
          <w:sz w:val="22"/>
          <w:szCs w:val="22"/>
          <w:lang w:eastAsia="en-AU"/>
        </w:rPr>
        <w:t>)</w:t>
      </w:r>
      <w:r w:rsidR="0088521E" w:rsidRPr="00B761C1">
        <w:rPr>
          <w:rFonts w:eastAsia="Times New Roman"/>
          <w:color w:val="000000"/>
          <w:sz w:val="22"/>
          <w:szCs w:val="22"/>
          <w:lang w:eastAsia="en-AU"/>
        </w:rPr>
        <w:t xml:space="preserve"> where the stated PBS indication is in common</w:t>
      </w:r>
      <w:r w:rsidR="0004202C" w:rsidRPr="00B761C1">
        <w:rPr>
          <w:rFonts w:eastAsia="Times New Roman"/>
          <w:color w:val="000000"/>
          <w:sz w:val="22"/>
          <w:szCs w:val="22"/>
          <w:lang w:eastAsia="en-AU"/>
        </w:rPr>
        <w:t xml:space="preserve">, however it includes two new treatment </w:t>
      </w:r>
      <w:r w:rsidR="00613EEE" w:rsidRPr="00B761C1">
        <w:rPr>
          <w:rFonts w:eastAsia="Times New Roman"/>
          <w:color w:val="000000"/>
          <w:sz w:val="22"/>
          <w:szCs w:val="22"/>
          <w:lang w:eastAsia="en-AU"/>
        </w:rPr>
        <w:t>phases</w:t>
      </w:r>
      <w:r w:rsidR="0004202C" w:rsidRPr="00B761C1">
        <w:rPr>
          <w:rFonts w:eastAsia="Times New Roman"/>
          <w:color w:val="000000"/>
          <w:sz w:val="22"/>
          <w:szCs w:val="22"/>
          <w:lang w:eastAsia="en-AU"/>
        </w:rPr>
        <w:t>:</w:t>
      </w:r>
    </w:p>
    <w:p w14:paraId="59F2C14A" w14:textId="33AF47AE" w:rsidR="0004202C" w:rsidRPr="00B761C1" w:rsidRDefault="0004202C" w:rsidP="00CE1098">
      <w:pPr>
        <w:pStyle w:val="ListParagraph"/>
        <w:numPr>
          <w:ilvl w:val="0"/>
          <w:numId w:val="12"/>
        </w:numPr>
        <w:spacing w:before="120"/>
        <w:ind w:left="284" w:hanging="284"/>
        <w:jc w:val="left"/>
        <w:rPr>
          <w:rFonts w:ascii="Times New Roman" w:hAnsi="Times New Roman" w:cs="Times New Roman"/>
          <w:snapToGrid/>
          <w:color w:val="000000"/>
          <w:szCs w:val="22"/>
          <w:lang w:eastAsia="en-AU"/>
        </w:rPr>
      </w:pPr>
      <w:r w:rsidRPr="00B761C1">
        <w:rPr>
          <w:rFonts w:ascii="Times New Roman" w:hAnsi="Times New Roman" w:cs="Times New Roman"/>
          <w:snapToGrid/>
          <w:color w:val="000000"/>
          <w:szCs w:val="22"/>
          <w:lang w:eastAsia="en-AU"/>
        </w:rPr>
        <w:t>changing drug treatment phase; and</w:t>
      </w:r>
    </w:p>
    <w:p w14:paraId="665DAB63" w14:textId="04A3D6BB" w:rsidR="0004202C" w:rsidRPr="00B761C1" w:rsidRDefault="00613EEE" w:rsidP="00CE1098">
      <w:pPr>
        <w:pStyle w:val="ListParagraph"/>
        <w:numPr>
          <w:ilvl w:val="0"/>
          <w:numId w:val="12"/>
        </w:numPr>
        <w:spacing w:before="120"/>
        <w:ind w:left="284" w:hanging="284"/>
        <w:jc w:val="left"/>
        <w:rPr>
          <w:rFonts w:ascii="Times New Roman" w:hAnsi="Times New Roman" w:cs="Times New Roman"/>
          <w:snapToGrid/>
          <w:color w:val="000000"/>
          <w:szCs w:val="22"/>
          <w:lang w:eastAsia="en-AU"/>
        </w:rPr>
      </w:pPr>
      <w:r w:rsidRPr="00B761C1">
        <w:rPr>
          <w:rFonts w:ascii="Times New Roman" w:hAnsi="Times New Roman" w:cs="Times New Roman"/>
          <w:snapToGrid/>
          <w:color w:val="000000"/>
          <w:szCs w:val="22"/>
          <w:lang w:eastAsia="en-AU"/>
        </w:rPr>
        <w:t>non</w:t>
      </w:r>
      <w:r w:rsidRPr="00B761C1">
        <w:rPr>
          <w:rFonts w:ascii="Times New Roman" w:hAnsi="Times New Roman" w:cs="Times New Roman"/>
          <w:snapToGrid/>
          <w:color w:val="000000"/>
          <w:szCs w:val="22"/>
          <w:lang w:eastAsia="en-AU"/>
        </w:rPr>
        <w:noBreakHyphen/>
        <w:t>PBS subsidised to PBS subsidised supply treatment phase</w:t>
      </w:r>
      <w:r w:rsidR="003343C4" w:rsidRPr="00B761C1">
        <w:rPr>
          <w:rFonts w:ascii="Times New Roman" w:hAnsi="Times New Roman" w:cs="Times New Roman"/>
          <w:snapToGrid/>
          <w:color w:val="000000"/>
          <w:szCs w:val="22"/>
          <w:lang w:eastAsia="en-AU"/>
        </w:rPr>
        <w:t>.</w:t>
      </w:r>
    </w:p>
    <w:p w14:paraId="6D06AC8D" w14:textId="152E9CD4" w:rsidR="00DF3772" w:rsidRPr="00B761C1" w:rsidRDefault="00DF3772" w:rsidP="00CE1098">
      <w:pPr>
        <w:widowControl w:val="0"/>
        <w:spacing w:before="120" w:after="0" w:line="240" w:lineRule="auto"/>
        <w:rPr>
          <w:rFonts w:eastAsia="Times New Roman"/>
          <w:color w:val="000000"/>
          <w:sz w:val="22"/>
          <w:szCs w:val="22"/>
          <w:lang w:eastAsia="en-AU"/>
        </w:rPr>
      </w:pPr>
      <w:r w:rsidRPr="00B761C1">
        <w:rPr>
          <w:rFonts w:eastAsia="Times New Roman"/>
          <w:color w:val="000000"/>
          <w:sz w:val="22"/>
          <w:szCs w:val="22"/>
          <w:lang w:eastAsia="en-AU"/>
        </w:rPr>
        <w:t>The PBAC noted the consumer comments which noted the improved patient satisfaction and treatment convenience of weekly dosing with somatrogon compared to daily dosing with somatropin. The PBAC agreed with the consumer comments that there is clinical need for a once-weekly growth hormone treatment for patients with paediatric GHD.</w:t>
      </w:r>
      <w:r w:rsidR="00440B91" w:rsidRPr="00B761C1">
        <w:rPr>
          <w:rFonts w:eastAsia="Times New Roman"/>
          <w:color w:val="000000"/>
          <w:sz w:val="22"/>
          <w:szCs w:val="22"/>
          <w:lang w:eastAsia="en-AU"/>
        </w:rPr>
        <w:t xml:space="preserve">  </w:t>
      </w:r>
    </w:p>
    <w:p w14:paraId="5152B56B" w14:textId="14F22320" w:rsidR="00DF3772" w:rsidRPr="00B761C1" w:rsidRDefault="00EF1573" w:rsidP="00CE1098">
      <w:pPr>
        <w:autoSpaceDE w:val="0"/>
        <w:autoSpaceDN w:val="0"/>
        <w:adjustRightInd w:val="0"/>
        <w:spacing w:before="120" w:after="120"/>
        <w:rPr>
          <w:rFonts w:eastAsia="Calibri"/>
          <w:sz w:val="22"/>
          <w:szCs w:val="22"/>
          <w:u w:val="single"/>
          <w:lang w:eastAsia="en-AU"/>
        </w:rPr>
      </w:pPr>
      <w:r w:rsidRPr="00B761C1">
        <w:rPr>
          <w:rFonts w:eastAsia="Calibri"/>
          <w:sz w:val="22"/>
          <w:szCs w:val="22"/>
          <w:u w:val="single"/>
          <w:lang w:eastAsia="en-AU"/>
        </w:rPr>
        <w:t>Mecasermin</w:t>
      </w:r>
    </w:p>
    <w:p w14:paraId="43119366" w14:textId="48720EAF" w:rsidR="00EF1573" w:rsidRPr="00B761C1" w:rsidRDefault="00041218" w:rsidP="00CE1098">
      <w:pPr>
        <w:pStyle w:val="3Bodytext"/>
        <w:widowControl w:val="0"/>
        <w:ind w:left="0" w:firstLine="0"/>
        <w:jc w:val="left"/>
        <w:rPr>
          <w:rFonts w:ascii="Times New Roman" w:eastAsia="Calibri" w:hAnsi="Times New Roman" w:cs="Times New Roman"/>
          <w:sz w:val="22"/>
        </w:rPr>
      </w:pPr>
      <w:r w:rsidRPr="00B761C1">
        <w:rPr>
          <w:rFonts w:ascii="Times New Roman" w:eastAsia="Times New Roman" w:hAnsi="Times New Roman" w:cs="Times New Roman"/>
          <w:color w:val="000000"/>
          <w:sz w:val="22"/>
        </w:rPr>
        <w:t xml:space="preserve">The PBAC recommended the listing of mecasermin for the long-term treatment of growth failure in children and adolescents from 2 </w:t>
      </w:r>
      <w:r w:rsidR="00D427A8" w:rsidRPr="00B761C1">
        <w:rPr>
          <w:rFonts w:ascii="Times New Roman" w:eastAsia="Times New Roman" w:hAnsi="Times New Roman" w:cs="Times New Roman"/>
          <w:color w:val="000000"/>
          <w:sz w:val="22"/>
        </w:rPr>
        <w:t xml:space="preserve">years </w:t>
      </w:r>
      <w:r w:rsidRPr="00B761C1">
        <w:rPr>
          <w:rFonts w:ascii="Times New Roman" w:eastAsia="Times New Roman" w:hAnsi="Times New Roman" w:cs="Times New Roman"/>
          <w:color w:val="000000"/>
          <w:sz w:val="22"/>
        </w:rPr>
        <w:t xml:space="preserve">to 18 years with severe primary insulin-like growth factor 1 deficiency (Primary IGFD). </w:t>
      </w:r>
      <w:r w:rsidR="007F3E0C" w:rsidRPr="00B761C1">
        <w:rPr>
          <w:rFonts w:ascii="Times New Roman" w:eastAsia="Times New Roman" w:hAnsi="Times New Roman" w:cs="Times New Roman"/>
          <w:color w:val="000000"/>
          <w:sz w:val="22"/>
        </w:rPr>
        <w:t xml:space="preserve">This is a genetic </w:t>
      </w:r>
      <w:r w:rsidR="00D427A8" w:rsidRPr="00B761C1">
        <w:rPr>
          <w:rFonts w:ascii="Times New Roman" w:eastAsia="Times New Roman" w:hAnsi="Times New Roman" w:cs="Times New Roman"/>
          <w:color w:val="000000"/>
          <w:sz w:val="22"/>
        </w:rPr>
        <w:t>condition</w:t>
      </w:r>
      <w:r w:rsidR="001A2047" w:rsidRPr="00B761C1">
        <w:rPr>
          <w:rFonts w:ascii="Times New Roman" w:eastAsia="Times New Roman" w:hAnsi="Times New Roman" w:cs="Times New Roman"/>
          <w:color w:val="000000"/>
          <w:sz w:val="22"/>
        </w:rPr>
        <w:t xml:space="preserve">. </w:t>
      </w:r>
      <w:r w:rsidR="007F3E0C" w:rsidRPr="00B761C1">
        <w:rPr>
          <w:rFonts w:ascii="Times New Roman" w:eastAsia="Times New Roman" w:hAnsi="Times New Roman" w:cs="Times New Roman"/>
          <w:color w:val="000000"/>
          <w:sz w:val="22"/>
        </w:rPr>
        <w:t>Mecasermin is administered via subcutaneous injection.</w:t>
      </w:r>
      <w:r w:rsidR="00BD7B00" w:rsidRPr="00B761C1">
        <w:rPr>
          <w:rFonts w:ascii="Times New Roman" w:eastAsia="Calibri" w:hAnsi="Times New Roman" w:cs="Times New Roman"/>
          <w:sz w:val="22"/>
        </w:rPr>
        <w:t xml:space="preserve"> Mecasermin is available for three treatment phases (initial treatment phase, continuing treatment phase and non-PBS subsidised to PBS subsidised supply treatment phase).</w:t>
      </w:r>
      <w:r w:rsidR="007F3E0C" w:rsidRPr="00B761C1">
        <w:rPr>
          <w:rFonts w:ascii="Times New Roman" w:eastAsia="Times New Roman" w:hAnsi="Times New Roman" w:cs="Times New Roman"/>
          <w:color w:val="000000"/>
          <w:sz w:val="22"/>
        </w:rPr>
        <w:t xml:space="preserve"> </w:t>
      </w:r>
      <w:r w:rsidR="00EF1573" w:rsidRPr="00B761C1">
        <w:rPr>
          <w:rFonts w:ascii="Times New Roman" w:eastAsia="Times New Roman" w:hAnsi="Times New Roman" w:cs="Times New Roman"/>
          <w:color w:val="000000"/>
          <w:sz w:val="22"/>
        </w:rPr>
        <w:t>The</w:t>
      </w:r>
      <w:r w:rsidR="00EF1573" w:rsidRPr="00B761C1">
        <w:rPr>
          <w:rFonts w:ascii="Times New Roman" w:eastAsia="Calibri" w:hAnsi="Times New Roman" w:cs="Times New Roman"/>
          <w:sz w:val="22"/>
        </w:rPr>
        <w:t xml:space="preserve"> PBAC considered that mecasermin would address a high and urgent unmet clinical need, as there are no other reimbursed or Therapeutic Goods Administration (TGA) registered options for this patient population.</w:t>
      </w:r>
      <w:r w:rsidR="00BD7B00" w:rsidRPr="00B761C1">
        <w:rPr>
          <w:rFonts w:ascii="Times New Roman" w:eastAsia="Calibri" w:hAnsi="Times New Roman" w:cs="Times New Roman"/>
          <w:sz w:val="22"/>
        </w:rPr>
        <w:t xml:space="preserve"> </w:t>
      </w:r>
    </w:p>
    <w:p w14:paraId="5D0E4A3D" w14:textId="77777777" w:rsidR="005A7999" w:rsidRPr="00B761C1" w:rsidRDefault="005A7999">
      <w:pPr>
        <w:rPr>
          <w:b/>
          <w:bCs/>
          <w:sz w:val="22"/>
          <w:szCs w:val="22"/>
        </w:rPr>
      </w:pPr>
      <w:r w:rsidRPr="00B761C1">
        <w:rPr>
          <w:b/>
          <w:bCs/>
          <w:sz w:val="22"/>
          <w:szCs w:val="22"/>
        </w:rPr>
        <w:br w:type="page"/>
      </w:r>
    </w:p>
    <w:p w14:paraId="5B81153F" w14:textId="353C156A" w:rsidR="006D140A" w:rsidRPr="00B761C1" w:rsidRDefault="006D140A" w:rsidP="00CE1098">
      <w:pPr>
        <w:spacing w:after="120" w:line="240" w:lineRule="auto"/>
        <w:rPr>
          <w:b/>
          <w:bCs/>
          <w:sz w:val="22"/>
          <w:szCs w:val="22"/>
        </w:rPr>
      </w:pPr>
      <w:r w:rsidRPr="00B761C1">
        <w:rPr>
          <w:b/>
          <w:bCs/>
          <w:sz w:val="22"/>
          <w:szCs w:val="22"/>
        </w:rPr>
        <w:lastRenderedPageBreak/>
        <w:t>Consultation</w:t>
      </w:r>
    </w:p>
    <w:p w14:paraId="20C0D5C1" w14:textId="4284CA9C" w:rsidR="006D140A" w:rsidRPr="00B761C1" w:rsidRDefault="007A37A6" w:rsidP="00CE1098">
      <w:pPr>
        <w:shd w:val="clear" w:color="auto" w:fill="FFFFFF"/>
        <w:spacing w:after="120" w:line="240" w:lineRule="auto"/>
        <w:rPr>
          <w:rFonts w:eastAsia="Times New Roman"/>
          <w:color w:val="000000"/>
          <w:sz w:val="22"/>
          <w:szCs w:val="22"/>
          <w:lang w:eastAsia="en-AU"/>
        </w:rPr>
      </w:pPr>
      <w:r w:rsidRPr="00B761C1">
        <w:rPr>
          <w:rFonts w:eastAsia="Times New Roman"/>
          <w:color w:val="000000"/>
          <w:sz w:val="22"/>
          <w:szCs w:val="22"/>
          <w:lang w:eastAsia="en-AU"/>
        </w:rPr>
        <w:t>The amendments</w:t>
      </w:r>
      <w:r w:rsidR="0011591E" w:rsidRPr="00B761C1">
        <w:rPr>
          <w:rFonts w:eastAsia="Times New Roman"/>
          <w:color w:val="000000"/>
          <w:sz w:val="22"/>
          <w:szCs w:val="22"/>
          <w:lang w:eastAsia="en-AU"/>
        </w:rPr>
        <w:t xml:space="preserve"> </w:t>
      </w:r>
      <w:r w:rsidRPr="00B761C1">
        <w:rPr>
          <w:rFonts w:eastAsia="Times New Roman"/>
          <w:color w:val="000000"/>
          <w:sz w:val="22"/>
          <w:szCs w:val="22"/>
          <w:lang w:eastAsia="en-AU"/>
        </w:rPr>
        <w:t xml:space="preserve">accord </w:t>
      </w:r>
      <w:r w:rsidR="00F709B9" w:rsidRPr="00B761C1">
        <w:rPr>
          <w:rFonts w:eastAsia="Times New Roman"/>
          <w:color w:val="000000"/>
          <w:sz w:val="22"/>
          <w:szCs w:val="22"/>
          <w:lang w:eastAsia="en-AU"/>
        </w:rPr>
        <w:t>with recommendations</w:t>
      </w:r>
      <w:r w:rsidRPr="00B761C1">
        <w:rPr>
          <w:rFonts w:eastAsia="Times New Roman"/>
          <w:color w:val="000000"/>
          <w:sz w:val="22"/>
          <w:szCs w:val="22"/>
          <w:lang w:eastAsia="en-AU"/>
        </w:rPr>
        <w:t xml:space="preserve"> made by the PBAC.</w:t>
      </w:r>
    </w:p>
    <w:p w14:paraId="3222CDB1" w14:textId="77777777" w:rsidR="00BD291B" w:rsidRPr="00B761C1" w:rsidRDefault="00F709B9" w:rsidP="00BD291B">
      <w:pPr>
        <w:pStyle w:val="NormalWeb"/>
        <w:spacing w:before="0" w:beforeAutospacing="0" w:after="0" w:afterAutospacing="0"/>
        <w:rPr>
          <w:color w:val="000000"/>
          <w:sz w:val="22"/>
          <w:szCs w:val="22"/>
        </w:rPr>
      </w:pPr>
      <w:r w:rsidRPr="00B761C1">
        <w:rPr>
          <w:color w:val="000000"/>
          <w:sz w:val="22"/>
          <w:szCs w:val="22"/>
        </w:rPr>
        <w:t xml:space="preserve">The PBAC </w:t>
      </w:r>
      <w:r w:rsidR="00E76355" w:rsidRPr="00B761C1">
        <w:rPr>
          <w:color w:val="000000"/>
          <w:sz w:val="22"/>
          <w:szCs w:val="22"/>
        </w:rPr>
        <w:t xml:space="preserve">conducted targeted consultation </w:t>
      </w:r>
      <w:r w:rsidR="00F00FE8" w:rsidRPr="00B761C1">
        <w:rPr>
          <w:color w:val="000000"/>
          <w:sz w:val="22"/>
          <w:szCs w:val="22"/>
        </w:rPr>
        <w:t>with</w:t>
      </w:r>
      <w:r w:rsidR="00E76355" w:rsidRPr="00B761C1">
        <w:rPr>
          <w:color w:val="000000"/>
          <w:sz w:val="22"/>
          <w:szCs w:val="22"/>
        </w:rPr>
        <w:t xml:space="preserve"> members of the Endocrine Society of Australia </w:t>
      </w:r>
      <w:r w:rsidR="00DF3772" w:rsidRPr="00B761C1">
        <w:rPr>
          <w:color w:val="000000"/>
          <w:sz w:val="22"/>
          <w:szCs w:val="22"/>
        </w:rPr>
        <w:t xml:space="preserve">and the </w:t>
      </w:r>
      <w:r w:rsidR="00BD291B" w:rsidRPr="00B761C1">
        <w:rPr>
          <w:sz w:val="22"/>
          <w:szCs w:val="22"/>
        </w:rPr>
        <w:t>Australasian Paediatric Endocrine Group</w:t>
      </w:r>
      <w:r w:rsidR="00BD291B" w:rsidRPr="00B761C1">
        <w:t xml:space="preserve"> (</w:t>
      </w:r>
      <w:r w:rsidR="00041218" w:rsidRPr="00B761C1">
        <w:rPr>
          <w:color w:val="000000"/>
          <w:sz w:val="22"/>
          <w:szCs w:val="22"/>
        </w:rPr>
        <w:t>APEG</w:t>
      </w:r>
      <w:r w:rsidR="00BD291B" w:rsidRPr="00B761C1">
        <w:rPr>
          <w:color w:val="000000"/>
          <w:sz w:val="22"/>
          <w:szCs w:val="22"/>
        </w:rPr>
        <w:t>)</w:t>
      </w:r>
      <w:r w:rsidR="00DF3772" w:rsidRPr="00B761C1">
        <w:rPr>
          <w:color w:val="000000"/>
          <w:sz w:val="22"/>
          <w:szCs w:val="22"/>
        </w:rPr>
        <w:t xml:space="preserve"> </w:t>
      </w:r>
      <w:r w:rsidR="00E76355" w:rsidRPr="00B761C1">
        <w:rPr>
          <w:color w:val="000000"/>
          <w:sz w:val="22"/>
          <w:szCs w:val="22"/>
        </w:rPr>
        <w:t>regarding eligibility criteria</w:t>
      </w:r>
      <w:r w:rsidR="00041218" w:rsidRPr="00B761C1">
        <w:rPr>
          <w:color w:val="000000"/>
          <w:sz w:val="22"/>
          <w:szCs w:val="22"/>
        </w:rPr>
        <w:t>,</w:t>
      </w:r>
      <w:r w:rsidR="00E00060" w:rsidRPr="00B761C1">
        <w:rPr>
          <w:color w:val="000000"/>
          <w:sz w:val="22"/>
          <w:szCs w:val="22"/>
        </w:rPr>
        <w:t xml:space="preserve"> dosage regimes </w:t>
      </w:r>
      <w:r w:rsidR="00041218" w:rsidRPr="00B761C1">
        <w:rPr>
          <w:color w:val="000000"/>
          <w:sz w:val="22"/>
          <w:szCs w:val="22"/>
        </w:rPr>
        <w:t xml:space="preserve">and authorised prescribers for </w:t>
      </w:r>
      <w:r w:rsidR="00E76355" w:rsidRPr="00B761C1">
        <w:rPr>
          <w:color w:val="000000"/>
          <w:sz w:val="22"/>
          <w:szCs w:val="22"/>
        </w:rPr>
        <w:t>access to</w:t>
      </w:r>
      <w:r w:rsidR="00041218" w:rsidRPr="00B761C1">
        <w:rPr>
          <w:color w:val="000000"/>
          <w:sz w:val="22"/>
          <w:szCs w:val="22"/>
        </w:rPr>
        <w:t xml:space="preserve"> somatrogon and mecasermin.</w:t>
      </w:r>
      <w:r w:rsidR="00BD291B" w:rsidRPr="00B761C1">
        <w:rPr>
          <w:color w:val="000000"/>
          <w:sz w:val="22"/>
          <w:szCs w:val="22"/>
        </w:rPr>
        <w:t xml:space="preserve"> </w:t>
      </w:r>
    </w:p>
    <w:p w14:paraId="4E413A4F" w14:textId="77777777" w:rsidR="00BD291B" w:rsidRPr="00B761C1" w:rsidRDefault="00BD291B" w:rsidP="00BD291B">
      <w:pPr>
        <w:pStyle w:val="NormalWeb"/>
        <w:spacing w:before="0" w:beforeAutospacing="0" w:after="0" w:afterAutospacing="0"/>
        <w:rPr>
          <w:color w:val="000000"/>
          <w:sz w:val="22"/>
          <w:szCs w:val="22"/>
        </w:rPr>
      </w:pPr>
    </w:p>
    <w:p w14:paraId="3008B7C8" w14:textId="3766B5A7" w:rsidR="006D140A" w:rsidRPr="00B761C1" w:rsidRDefault="006D140A" w:rsidP="00BD291B">
      <w:pPr>
        <w:pStyle w:val="NormalWeb"/>
        <w:spacing w:before="0" w:beforeAutospacing="0" w:after="0" w:afterAutospacing="0"/>
        <w:rPr>
          <w:sz w:val="22"/>
          <w:szCs w:val="22"/>
        </w:rPr>
      </w:pPr>
      <w:r w:rsidRPr="00B761C1">
        <w:rPr>
          <w:sz w:val="22"/>
          <w:szCs w:val="22"/>
        </w:rPr>
        <w:t>The involvement of interested parties through the membership of the PBAC constitutes a formal and ongoing process of consultation in relation to matters relevant to the Growth Hormone Special Arrangement.</w:t>
      </w:r>
    </w:p>
    <w:p w14:paraId="7A53900C" w14:textId="77777777" w:rsidR="00BD291B" w:rsidRPr="00B761C1" w:rsidRDefault="00BD291B" w:rsidP="00BD291B">
      <w:pPr>
        <w:pStyle w:val="NormalWeb"/>
        <w:spacing w:before="0" w:beforeAutospacing="0" w:after="0" w:afterAutospacing="0"/>
        <w:rPr>
          <w:sz w:val="22"/>
          <w:szCs w:val="22"/>
        </w:rPr>
      </w:pPr>
    </w:p>
    <w:p w14:paraId="7F2F67F5" w14:textId="77777777" w:rsidR="006D140A" w:rsidRPr="00B761C1" w:rsidRDefault="006D140A" w:rsidP="00CE1098">
      <w:pPr>
        <w:spacing w:after="120" w:line="240" w:lineRule="auto"/>
        <w:rPr>
          <w:sz w:val="22"/>
          <w:szCs w:val="22"/>
        </w:rPr>
      </w:pPr>
      <w:r w:rsidRPr="00B761C1">
        <w:rPr>
          <w:sz w:val="22"/>
          <w:szCs w:val="22"/>
        </w:rPr>
        <w:t>The PBAC is an independent expert body, established by section 100A of the Act, which makes recommendations to the Minister about which drugs and medicinal preparations should be available to Australians as pharmaceutical benefits.</w:t>
      </w:r>
    </w:p>
    <w:p w14:paraId="125D33E6" w14:textId="039FC225" w:rsidR="006D140A" w:rsidRPr="00B761C1" w:rsidRDefault="006D140A" w:rsidP="00CE1098">
      <w:pPr>
        <w:rPr>
          <w:sz w:val="22"/>
          <w:szCs w:val="22"/>
        </w:rPr>
      </w:pPr>
      <w:r w:rsidRPr="00B761C1">
        <w:rPr>
          <w:sz w:val="22"/>
          <w:szCs w:val="22"/>
        </w:rPr>
        <w:t>PBAC members are appointed following nomination by prescribed organisations and associations from consumers,</w:t>
      </w:r>
      <w:r w:rsidR="001A2047" w:rsidRPr="00B761C1">
        <w:rPr>
          <w:sz w:val="22"/>
          <w:szCs w:val="22"/>
        </w:rPr>
        <w:t xml:space="preserve"> </w:t>
      </w:r>
      <w:r w:rsidRPr="00B761C1">
        <w:rPr>
          <w:sz w:val="22"/>
          <w:szCs w:val="22"/>
        </w:rPr>
        <w:t>health economists, practising community pharmacists, general practitioners, clinical pharmacologists and specialists, with at least one member selected from each of these interests or professions.  Remaining members are persons whom the Minister is satisfied have qualifications and experience in a field relevant to the functions of the PBAC, and that would enable them to contribute meaningfully to the deliberations of the PBAC.  In addition, an industry nominee has been appointed to the PBAC membership under the PBS Access and Sustainability Package of reforms announced in May 2015.  When recommending the listing of a medicine on the PBS, the PBAC takes into account the medical condition for which listing is sought and the medicine’s clinical effectiveness, safety and cost-effectiveness compared with other treatments.  Pharmaceutical companies are consulted throughout the process of the listing of their medicines on the PBS and in relation to changes to those listings.  This includes consultation through the PBAC process.</w:t>
      </w:r>
    </w:p>
    <w:p w14:paraId="62D2A56D" w14:textId="0860DDD2" w:rsidR="006D140A" w:rsidRPr="00B761C1" w:rsidRDefault="006D140A" w:rsidP="00CE1098">
      <w:pPr>
        <w:rPr>
          <w:sz w:val="22"/>
          <w:szCs w:val="22"/>
        </w:rPr>
      </w:pPr>
      <w:r w:rsidRPr="00B761C1">
        <w:rPr>
          <w:sz w:val="22"/>
          <w:szCs w:val="22"/>
        </w:rPr>
        <w:t>Further consultation on the </w:t>
      </w:r>
      <w:r w:rsidR="00994842" w:rsidRPr="00B761C1">
        <w:rPr>
          <w:sz w:val="22"/>
          <w:szCs w:val="22"/>
        </w:rPr>
        <w:t xml:space="preserve">Amendment </w:t>
      </w:r>
      <w:r w:rsidRPr="00B761C1">
        <w:rPr>
          <w:sz w:val="22"/>
          <w:szCs w:val="22"/>
        </w:rPr>
        <w:t>Instrument was considered unnecessary due to the nature of the consultation that had already taken place throughout the listing process.</w:t>
      </w:r>
    </w:p>
    <w:p w14:paraId="2B857628" w14:textId="56E09CB1" w:rsidR="006D140A" w:rsidRPr="00B761C1" w:rsidRDefault="006D140A" w:rsidP="00CE1098">
      <w:pPr>
        <w:rPr>
          <w:sz w:val="22"/>
          <w:szCs w:val="22"/>
        </w:rPr>
      </w:pPr>
      <w:r w:rsidRPr="00B761C1">
        <w:rPr>
          <w:sz w:val="22"/>
          <w:szCs w:val="22"/>
        </w:rPr>
        <w:t>This instrument commences on 1 October 2022.</w:t>
      </w:r>
    </w:p>
    <w:p w14:paraId="76731FA7" w14:textId="77777777" w:rsidR="006D140A" w:rsidRPr="00B761C1" w:rsidRDefault="006D140A" w:rsidP="00CE1098">
      <w:pPr>
        <w:rPr>
          <w:iCs/>
          <w:sz w:val="22"/>
          <w:szCs w:val="22"/>
        </w:rPr>
      </w:pPr>
      <w:r w:rsidRPr="00B761C1">
        <w:rPr>
          <w:sz w:val="22"/>
          <w:szCs w:val="22"/>
        </w:rPr>
        <w:t xml:space="preserve">This instrument is a legislative instrument for the purposes of the </w:t>
      </w:r>
      <w:r w:rsidRPr="00B761C1">
        <w:rPr>
          <w:i/>
          <w:sz w:val="22"/>
          <w:szCs w:val="22"/>
        </w:rPr>
        <w:t>Legislation Act 2003.</w:t>
      </w:r>
    </w:p>
    <w:p w14:paraId="710CB6AB" w14:textId="77777777" w:rsidR="0051759E" w:rsidRPr="00B761C1" w:rsidRDefault="006D140A" w:rsidP="00CE1098">
      <w:pPr>
        <w:rPr>
          <w:u w:val="single"/>
        </w:rPr>
      </w:pPr>
      <w:r w:rsidRPr="00B761C1">
        <w:rPr>
          <w:sz w:val="22"/>
          <w:szCs w:val="22"/>
        </w:rPr>
        <w:t>Details of this instrument are set out in the Attachment.</w:t>
      </w:r>
      <w:r w:rsidRPr="00B761C1">
        <w:rPr>
          <w:u w:val="single"/>
        </w:rPr>
        <w:br w:type="page"/>
      </w:r>
    </w:p>
    <w:p w14:paraId="091E5B8C" w14:textId="0FC8B689" w:rsidR="00F709B9" w:rsidRPr="00B761C1" w:rsidRDefault="00F709B9" w:rsidP="0051759E">
      <w:pPr>
        <w:jc w:val="right"/>
        <w:rPr>
          <w:rFonts w:asciiTheme="minorHAnsi" w:eastAsia="Times New Roman" w:hAnsiTheme="minorHAnsi" w:cstheme="minorHAnsi"/>
          <w:color w:val="000000"/>
          <w:sz w:val="20"/>
          <w:szCs w:val="20"/>
          <w:lang w:eastAsia="en-AU"/>
        </w:rPr>
      </w:pPr>
      <w:r w:rsidRPr="00B761C1">
        <w:rPr>
          <w:rFonts w:asciiTheme="minorHAnsi" w:eastAsia="Times New Roman" w:hAnsiTheme="minorHAnsi" w:cstheme="minorHAnsi"/>
          <w:b/>
          <w:bCs/>
          <w:color w:val="000000"/>
          <w:sz w:val="22"/>
          <w:szCs w:val="22"/>
          <w:lang w:eastAsia="en-AU"/>
        </w:rPr>
        <w:lastRenderedPageBreak/>
        <w:t>ATTACHMENT</w:t>
      </w:r>
    </w:p>
    <w:p w14:paraId="6CAAB876" w14:textId="654DABE4" w:rsidR="00F709B9" w:rsidRPr="00B761C1" w:rsidRDefault="00DF4F70" w:rsidP="00F709B9">
      <w:pPr>
        <w:shd w:val="clear" w:color="auto" w:fill="FFFFFF"/>
        <w:spacing w:before="360" w:after="120" w:line="240" w:lineRule="auto"/>
        <w:rPr>
          <w:rFonts w:eastAsia="Times New Roman"/>
          <w:b/>
          <w:i/>
          <w:color w:val="000000"/>
          <w:sz w:val="22"/>
          <w:szCs w:val="22"/>
          <w:lang w:eastAsia="en-AU"/>
        </w:rPr>
      </w:pPr>
      <w:r w:rsidRPr="00B761C1">
        <w:rPr>
          <w:rFonts w:eastAsia="Times New Roman"/>
          <w:b/>
          <w:bCs/>
          <w:i/>
          <w:color w:val="000000"/>
          <w:sz w:val="22"/>
          <w:szCs w:val="22"/>
          <w:lang w:eastAsia="en-AU"/>
        </w:rPr>
        <w:t xml:space="preserve">DETAILS OF THE </w:t>
      </w:r>
      <w:r w:rsidR="00F709B9" w:rsidRPr="00B761C1">
        <w:rPr>
          <w:rFonts w:eastAsia="Times New Roman"/>
          <w:b/>
          <w:bCs/>
          <w:i/>
          <w:iCs/>
          <w:color w:val="000000"/>
          <w:sz w:val="22"/>
          <w:szCs w:val="22"/>
          <w:lang w:eastAsia="en-AU"/>
        </w:rPr>
        <w:t>NATIONAL HEALTH (GROWTH HORMONE PROGRAM) SPECIAL ARRAN</w:t>
      </w:r>
      <w:r w:rsidR="00F00FE8" w:rsidRPr="00B761C1">
        <w:rPr>
          <w:rFonts w:eastAsia="Times New Roman"/>
          <w:b/>
          <w:bCs/>
          <w:i/>
          <w:iCs/>
          <w:color w:val="000000"/>
          <w:sz w:val="22"/>
          <w:szCs w:val="22"/>
          <w:lang w:eastAsia="en-AU"/>
        </w:rPr>
        <w:t xml:space="preserve">GEMENT AMENDMENT </w:t>
      </w:r>
      <w:r w:rsidR="008708B1" w:rsidRPr="00B761C1">
        <w:rPr>
          <w:rFonts w:eastAsia="Times New Roman"/>
          <w:b/>
          <w:bCs/>
          <w:i/>
          <w:iCs/>
          <w:color w:val="000000"/>
          <w:sz w:val="22"/>
          <w:szCs w:val="22"/>
          <w:lang w:eastAsia="en-AU"/>
        </w:rPr>
        <w:t xml:space="preserve">(MECASERMIN AND SOMATROGON) </w:t>
      </w:r>
      <w:r w:rsidR="00F00FE8" w:rsidRPr="00B761C1">
        <w:rPr>
          <w:rFonts w:eastAsia="Times New Roman"/>
          <w:b/>
          <w:bCs/>
          <w:i/>
          <w:iCs/>
          <w:color w:val="000000"/>
          <w:sz w:val="22"/>
          <w:szCs w:val="22"/>
          <w:lang w:eastAsia="en-AU"/>
        </w:rPr>
        <w:t>INSTRUMENT 20</w:t>
      </w:r>
      <w:r w:rsidR="0016369B" w:rsidRPr="00B761C1">
        <w:rPr>
          <w:rFonts w:eastAsia="Times New Roman"/>
          <w:b/>
          <w:bCs/>
          <w:i/>
          <w:iCs/>
          <w:color w:val="000000"/>
          <w:sz w:val="22"/>
          <w:szCs w:val="22"/>
          <w:lang w:eastAsia="en-AU"/>
        </w:rPr>
        <w:t>22</w:t>
      </w:r>
      <w:r w:rsidR="00F709B9" w:rsidRPr="00B761C1">
        <w:rPr>
          <w:rFonts w:eastAsia="Times New Roman"/>
          <w:b/>
          <w:bCs/>
          <w:i/>
          <w:iCs/>
          <w:color w:val="000000"/>
          <w:sz w:val="22"/>
          <w:szCs w:val="22"/>
          <w:lang w:eastAsia="en-AU"/>
        </w:rPr>
        <w:t xml:space="preserve"> </w:t>
      </w:r>
    </w:p>
    <w:p w14:paraId="6C738651" w14:textId="77777777" w:rsidR="00F709B9" w:rsidRPr="00B761C1" w:rsidRDefault="00F709B9" w:rsidP="00CE1098">
      <w:pPr>
        <w:shd w:val="clear" w:color="auto" w:fill="FFFFFF"/>
        <w:spacing w:before="240" w:after="0" w:line="240" w:lineRule="auto"/>
        <w:rPr>
          <w:rFonts w:eastAsia="Times New Roman"/>
          <w:color w:val="000000"/>
          <w:sz w:val="22"/>
          <w:szCs w:val="22"/>
          <w:lang w:eastAsia="en-AU"/>
        </w:rPr>
      </w:pPr>
      <w:r w:rsidRPr="00B761C1">
        <w:rPr>
          <w:rFonts w:eastAsia="Times New Roman"/>
          <w:b/>
          <w:bCs/>
          <w:color w:val="000000"/>
          <w:sz w:val="22"/>
          <w:szCs w:val="22"/>
          <w:lang w:eastAsia="en-AU"/>
        </w:rPr>
        <w:t xml:space="preserve">Section 1    Name </w:t>
      </w:r>
    </w:p>
    <w:p w14:paraId="26F4D095" w14:textId="3002A6D9" w:rsidR="00541DD7" w:rsidRPr="00B761C1" w:rsidRDefault="006440AA" w:rsidP="00CE1098">
      <w:pPr>
        <w:shd w:val="clear" w:color="auto" w:fill="FFFFFF"/>
        <w:spacing w:before="120" w:after="0" w:line="240" w:lineRule="auto"/>
        <w:rPr>
          <w:rFonts w:eastAsia="Times New Roman"/>
          <w:color w:val="000000"/>
          <w:sz w:val="22"/>
          <w:szCs w:val="22"/>
          <w:lang w:eastAsia="en-AU"/>
        </w:rPr>
      </w:pPr>
      <w:r w:rsidRPr="00B761C1">
        <w:rPr>
          <w:rFonts w:eastAsia="Times New Roman"/>
          <w:color w:val="000000"/>
          <w:sz w:val="22"/>
          <w:szCs w:val="22"/>
          <w:lang w:eastAsia="en-AU"/>
        </w:rPr>
        <w:t>This section</w:t>
      </w:r>
      <w:r w:rsidR="00F709B9" w:rsidRPr="00B761C1">
        <w:rPr>
          <w:rFonts w:eastAsia="Times New Roman"/>
          <w:color w:val="000000"/>
          <w:sz w:val="22"/>
          <w:szCs w:val="22"/>
          <w:lang w:eastAsia="en-AU"/>
        </w:rPr>
        <w:t xml:space="preserve"> provides the name of </w:t>
      </w:r>
      <w:r w:rsidR="00DF4F70" w:rsidRPr="00B761C1">
        <w:rPr>
          <w:rFonts w:eastAsia="Times New Roman"/>
          <w:color w:val="000000"/>
          <w:sz w:val="22"/>
          <w:szCs w:val="22"/>
          <w:lang w:eastAsia="en-AU"/>
        </w:rPr>
        <w:t>the</w:t>
      </w:r>
      <w:r w:rsidR="00F709B9" w:rsidRPr="00B761C1">
        <w:rPr>
          <w:rFonts w:eastAsia="Times New Roman"/>
          <w:color w:val="000000"/>
          <w:sz w:val="22"/>
          <w:szCs w:val="22"/>
          <w:lang w:eastAsia="en-AU"/>
        </w:rPr>
        <w:t xml:space="preserve"> instrument </w:t>
      </w:r>
      <w:r w:rsidR="00DF4F70" w:rsidRPr="00B761C1">
        <w:rPr>
          <w:rFonts w:eastAsia="Times New Roman"/>
          <w:color w:val="000000"/>
          <w:sz w:val="22"/>
          <w:szCs w:val="22"/>
          <w:lang w:eastAsia="en-AU"/>
        </w:rPr>
        <w:t>is</w:t>
      </w:r>
      <w:r w:rsidR="00F709B9" w:rsidRPr="00B761C1">
        <w:rPr>
          <w:rFonts w:eastAsia="Times New Roman"/>
          <w:color w:val="000000"/>
          <w:sz w:val="22"/>
          <w:szCs w:val="22"/>
          <w:lang w:eastAsia="en-AU"/>
        </w:rPr>
        <w:t xml:space="preserve"> the </w:t>
      </w:r>
      <w:r w:rsidR="00F709B9" w:rsidRPr="00B761C1">
        <w:rPr>
          <w:rFonts w:eastAsia="Times New Roman"/>
          <w:i/>
          <w:iCs/>
          <w:color w:val="000000"/>
          <w:sz w:val="22"/>
          <w:szCs w:val="22"/>
          <w:lang w:eastAsia="en-AU"/>
        </w:rPr>
        <w:t>National Health (Growth Hormone Program) Special Arran</w:t>
      </w:r>
      <w:r w:rsidRPr="00B761C1">
        <w:rPr>
          <w:rFonts w:eastAsia="Times New Roman"/>
          <w:i/>
          <w:iCs/>
          <w:color w:val="000000"/>
          <w:sz w:val="22"/>
          <w:szCs w:val="22"/>
          <w:lang w:eastAsia="en-AU"/>
        </w:rPr>
        <w:t xml:space="preserve">gement Amendment </w:t>
      </w:r>
      <w:r w:rsidR="008708B1" w:rsidRPr="00B761C1">
        <w:rPr>
          <w:rFonts w:eastAsia="Times New Roman"/>
          <w:i/>
          <w:iCs/>
          <w:color w:val="000000"/>
          <w:sz w:val="22"/>
          <w:szCs w:val="22"/>
          <w:lang w:eastAsia="en-AU"/>
        </w:rPr>
        <w:t xml:space="preserve">(Mecasermin and Somatrogon) </w:t>
      </w:r>
      <w:r w:rsidRPr="00B761C1">
        <w:rPr>
          <w:rFonts w:eastAsia="Times New Roman"/>
          <w:i/>
          <w:iCs/>
          <w:color w:val="000000"/>
          <w:sz w:val="22"/>
          <w:szCs w:val="22"/>
          <w:lang w:eastAsia="en-AU"/>
        </w:rPr>
        <w:t>Instrument 20</w:t>
      </w:r>
      <w:r w:rsidR="0016369B" w:rsidRPr="00B761C1">
        <w:rPr>
          <w:rFonts w:eastAsia="Times New Roman"/>
          <w:i/>
          <w:iCs/>
          <w:color w:val="000000"/>
          <w:sz w:val="22"/>
          <w:szCs w:val="22"/>
          <w:lang w:eastAsia="en-AU"/>
        </w:rPr>
        <w:t>22</w:t>
      </w:r>
      <w:r w:rsidRPr="00B761C1">
        <w:rPr>
          <w:rFonts w:eastAsia="Times New Roman"/>
          <w:color w:val="000000"/>
          <w:sz w:val="22"/>
          <w:szCs w:val="22"/>
          <w:lang w:eastAsia="en-AU"/>
        </w:rPr>
        <w:t xml:space="preserve">. It can also be cited as PB </w:t>
      </w:r>
      <w:r w:rsidR="00613EEE" w:rsidRPr="00B761C1">
        <w:rPr>
          <w:rFonts w:eastAsia="Times New Roman"/>
          <w:color w:val="000000"/>
          <w:sz w:val="22"/>
          <w:szCs w:val="22"/>
          <w:lang w:eastAsia="en-AU"/>
        </w:rPr>
        <w:t>92</w:t>
      </w:r>
      <w:r w:rsidRPr="00B761C1">
        <w:rPr>
          <w:rFonts w:eastAsia="Times New Roman"/>
          <w:color w:val="000000"/>
          <w:sz w:val="22"/>
          <w:szCs w:val="22"/>
          <w:lang w:eastAsia="en-AU"/>
        </w:rPr>
        <w:t xml:space="preserve"> of 20</w:t>
      </w:r>
      <w:r w:rsidR="0016369B" w:rsidRPr="00B761C1">
        <w:rPr>
          <w:rFonts w:eastAsia="Times New Roman"/>
          <w:color w:val="000000"/>
          <w:sz w:val="22"/>
          <w:szCs w:val="22"/>
          <w:lang w:eastAsia="en-AU"/>
        </w:rPr>
        <w:t>22</w:t>
      </w:r>
      <w:r w:rsidR="00F709B9" w:rsidRPr="00B761C1">
        <w:rPr>
          <w:rFonts w:eastAsia="Times New Roman"/>
          <w:color w:val="000000"/>
          <w:sz w:val="22"/>
          <w:szCs w:val="22"/>
          <w:lang w:eastAsia="en-AU"/>
        </w:rPr>
        <w:t>.</w:t>
      </w:r>
    </w:p>
    <w:p w14:paraId="18F2A10C" w14:textId="77777777" w:rsidR="00F709B9" w:rsidRPr="00B761C1" w:rsidRDefault="00F709B9" w:rsidP="00CE1098">
      <w:pPr>
        <w:shd w:val="clear" w:color="auto" w:fill="FFFFFF"/>
        <w:spacing w:before="120" w:after="0" w:line="240" w:lineRule="auto"/>
        <w:rPr>
          <w:rFonts w:eastAsia="Times New Roman"/>
          <w:color w:val="000000"/>
          <w:sz w:val="22"/>
          <w:szCs w:val="22"/>
          <w:lang w:eastAsia="en-AU"/>
        </w:rPr>
      </w:pPr>
      <w:r w:rsidRPr="00B761C1">
        <w:rPr>
          <w:rFonts w:eastAsia="Times New Roman"/>
          <w:b/>
          <w:bCs/>
          <w:color w:val="000000"/>
          <w:sz w:val="22"/>
          <w:szCs w:val="22"/>
          <w:lang w:eastAsia="en-AU"/>
        </w:rPr>
        <w:t>Section 2    Commencement</w:t>
      </w:r>
    </w:p>
    <w:p w14:paraId="2F1916B0" w14:textId="550CAC39" w:rsidR="00541DD7" w:rsidRPr="00B761C1" w:rsidRDefault="006440AA" w:rsidP="00CE1098">
      <w:pPr>
        <w:shd w:val="clear" w:color="auto" w:fill="FFFFFF"/>
        <w:spacing w:before="120" w:after="0" w:line="240" w:lineRule="auto"/>
        <w:rPr>
          <w:rFonts w:eastAsia="Times New Roman"/>
          <w:color w:val="000000"/>
          <w:sz w:val="22"/>
          <w:szCs w:val="22"/>
          <w:lang w:eastAsia="en-AU"/>
        </w:rPr>
      </w:pPr>
      <w:r w:rsidRPr="00B761C1">
        <w:rPr>
          <w:rFonts w:eastAsia="Times New Roman"/>
          <w:color w:val="000000"/>
          <w:sz w:val="22"/>
          <w:szCs w:val="22"/>
          <w:lang w:eastAsia="en-AU"/>
        </w:rPr>
        <w:t xml:space="preserve">This section provides </w:t>
      </w:r>
      <w:r w:rsidR="0011591E" w:rsidRPr="00B761C1">
        <w:rPr>
          <w:rFonts w:eastAsia="Times New Roman"/>
          <w:color w:val="000000"/>
          <w:sz w:val="22"/>
          <w:szCs w:val="22"/>
          <w:lang w:eastAsia="en-AU"/>
        </w:rPr>
        <w:t xml:space="preserve">that </w:t>
      </w:r>
      <w:r w:rsidRPr="00B761C1">
        <w:rPr>
          <w:rFonts w:eastAsia="Times New Roman"/>
          <w:color w:val="000000"/>
          <w:sz w:val="22"/>
          <w:szCs w:val="22"/>
          <w:lang w:eastAsia="en-AU"/>
        </w:rPr>
        <w:t>the</w:t>
      </w:r>
      <w:r w:rsidR="00994842" w:rsidRPr="00B761C1">
        <w:rPr>
          <w:rFonts w:eastAsia="Times New Roman"/>
          <w:color w:val="000000"/>
          <w:sz w:val="22"/>
          <w:szCs w:val="22"/>
          <w:lang w:eastAsia="en-AU"/>
        </w:rPr>
        <w:t xml:space="preserve"> Amendment</w:t>
      </w:r>
      <w:r w:rsidRPr="00B761C1">
        <w:rPr>
          <w:rFonts w:eastAsia="Times New Roman"/>
          <w:color w:val="000000"/>
          <w:sz w:val="22"/>
          <w:szCs w:val="22"/>
          <w:lang w:eastAsia="en-AU"/>
        </w:rPr>
        <w:t xml:space="preserve"> I</w:t>
      </w:r>
      <w:r w:rsidR="00F709B9" w:rsidRPr="00B761C1">
        <w:rPr>
          <w:rFonts w:eastAsia="Times New Roman"/>
          <w:color w:val="000000"/>
          <w:sz w:val="22"/>
          <w:szCs w:val="22"/>
          <w:lang w:eastAsia="en-AU"/>
        </w:rPr>
        <w:t>nstrument commences on 1 </w:t>
      </w:r>
      <w:r w:rsidR="0016369B" w:rsidRPr="00B761C1">
        <w:rPr>
          <w:rFonts w:eastAsia="Times New Roman"/>
          <w:color w:val="000000"/>
          <w:sz w:val="22"/>
          <w:szCs w:val="22"/>
          <w:lang w:eastAsia="en-AU"/>
        </w:rPr>
        <w:t>October</w:t>
      </w:r>
      <w:r w:rsidR="00195F39" w:rsidRPr="00B761C1">
        <w:rPr>
          <w:rFonts w:eastAsia="Times New Roman"/>
          <w:color w:val="000000"/>
          <w:sz w:val="22"/>
          <w:szCs w:val="22"/>
          <w:lang w:eastAsia="en-AU"/>
        </w:rPr>
        <w:t xml:space="preserve"> 202</w:t>
      </w:r>
      <w:r w:rsidR="0016369B" w:rsidRPr="00B761C1">
        <w:rPr>
          <w:rFonts w:eastAsia="Times New Roman"/>
          <w:color w:val="000000"/>
          <w:sz w:val="22"/>
          <w:szCs w:val="22"/>
          <w:lang w:eastAsia="en-AU"/>
        </w:rPr>
        <w:t>2</w:t>
      </w:r>
      <w:r w:rsidR="00F709B9" w:rsidRPr="00B761C1">
        <w:rPr>
          <w:rFonts w:eastAsia="Times New Roman"/>
          <w:color w:val="000000"/>
          <w:sz w:val="22"/>
          <w:szCs w:val="22"/>
          <w:lang w:eastAsia="en-AU"/>
        </w:rPr>
        <w:t>.</w:t>
      </w:r>
    </w:p>
    <w:p w14:paraId="708822CB" w14:textId="77777777" w:rsidR="00195F39" w:rsidRPr="00B761C1" w:rsidRDefault="00195F39" w:rsidP="00CE1098">
      <w:pPr>
        <w:shd w:val="clear" w:color="auto" w:fill="FFFFFF"/>
        <w:spacing w:before="120" w:after="0" w:line="240" w:lineRule="auto"/>
        <w:rPr>
          <w:b/>
          <w:bCs/>
          <w:color w:val="000000"/>
          <w:sz w:val="22"/>
          <w:szCs w:val="22"/>
          <w:shd w:val="clear" w:color="auto" w:fill="FFFFFF"/>
        </w:rPr>
      </w:pPr>
      <w:r w:rsidRPr="00B761C1">
        <w:rPr>
          <w:b/>
          <w:bCs/>
          <w:color w:val="000000"/>
          <w:sz w:val="22"/>
          <w:szCs w:val="22"/>
          <w:shd w:val="clear" w:color="auto" w:fill="FFFFFF"/>
        </w:rPr>
        <w:t xml:space="preserve">Section 3    </w:t>
      </w:r>
      <w:r w:rsidR="002D6D7C" w:rsidRPr="00B761C1">
        <w:rPr>
          <w:b/>
          <w:bCs/>
          <w:color w:val="000000"/>
          <w:sz w:val="22"/>
          <w:szCs w:val="22"/>
          <w:shd w:val="clear" w:color="auto" w:fill="FFFFFF"/>
        </w:rPr>
        <w:t xml:space="preserve">Authority </w:t>
      </w:r>
    </w:p>
    <w:p w14:paraId="31ABC32D" w14:textId="3B1BFE77" w:rsidR="00F00FE8" w:rsidRPr="00B761C1" w:rsidRDefault="00F00FE8" w:rsidP="00CE1098">
      <w:pPr>
        <w:rPr>
          <w:sz w:val="22"/>
          <w:szCs w:val="22"/>
        </w:rPr>
      </w:pPr>
      <w:r w:rsidRPr="00B761C1">
        <w:rPr>
          <w:sz w:val="22"/>
          <w:szCs w:val="22"/>
        </w:rPr>
        <w:t xml:space="preserve">This section provides that the </w:t>
      </w:r>
      <w:r w:rsidR="00994842" w:rsidRPr="00B761C1">
        <w:rPr>
          <w:sz w:val="22"/>
          <w:szCs w:val="22"/>
        </w:rPr>
        <w:t xml:space="preserve">Amendment </w:t>
      </w:r>
      <w:r w:rsidRPr="00B761C1">
        <w:rPr>
          <w:sz w:val="22"/>
          <w:szCs w:val="22"/>
        </w:rPr>
        <w:t>Instrument is made under s</w:t>
      </w:r>
      <w:r w:rsidR="00994842" w:rsidRPr="00B761C1">
        <w:rPr>
          <w:sz w:val="22"/>
          <w:szCs w:val="22"/>
        </w:rPr>
        <w:t>ubs</w:t>
      </w:r>
      <w:r w:rsidRPr="00B761C1">
        <w:rPr>
          <w:sz w:val="22"/>
          <w:szCs w:val="22"/>
        </w:rPr>
        <w:t>ection 100</w:t>
      </w:r>
      <w:r w:rsidR="00956497" w:rsidRPr="00B761C1">
        <w:rPr>
          <w:sz w:val="22"/>
          <w:szCs w:val="22"/>
        </w:rPr>
        <w:t>(2)</w:t>
      </w:r>
      <w:r w:rsidRPr="00B761C1">
        <w:rPr>
          <w:sz w:val="22"/>
          <w:szCs w:val="22"/>
        </w:rPr>
        <w:t xml:space="preserve"> of the </w:t>
      </w:r>
      <w:r w:rsidRPr="00B761C1">
        <w:rPr>
          <w:i/>
          <w:sz w:val="22"/>
          <w:szCs w:val="22"/>
        </w:rPr>
        <w:t>National Health Act 1953</w:t>
      </w:r>
      <w:r w:rsidR="00956497" w:rsidRPr="00B761C1">
        <w:rPr>
          <w:i/>
          <w:sz w:val="22"/>
          <w:szCs w:val="22"/>
        </w:rPr>
        <w:t xml:space="preserve"> </w:t>
      </w:r>
      <w:r w:rsidR="00956497" w:rsidRPr="00B761C1">
        <w:rPr>
          <w:iCs/>
          <w:sz w:val="22"/>
          <w:szCs w:val="22"/>
        </w:rPr>
        <w:t>(the Act)</w:t>
      </w:r>
      <w:r w:rsidRPr="00B761C1">
        <w:rPr>
          <w:iCs/>
          <w:sz w:val="22"/>
          <w:szCs w:val="22"/>
        </w:rPr>
        <w:t>.</w:t>
      </w:r>
    </w:p>
    <w:p w14:paraId="256B71E3" w14:textId="7F258BA9" w:rsidR="00541DD7" w:rsidRPr="00B761C1" w:rsidRDefault="00541DD7" w:rsidP="00CE1098">
      <w:pPr>
        <w:shd w:val="clear" w:color="auto" w:fill="FFFFFF"/>
        <w:spacing w:before="120" w:after="0" w:line="240" w:lineRule="auto"/>
        <w:rPr>
          <w:b/>
          <w:bCs/>
          <w:color w:val="000000"/>
          <w:sz w:val="22"/>
          <w:szCs w:val="22"/>
          <w:shd w:val="clear" w:color="auto" w:fill="FFFFFF"/>
        </w:rPr>
      </w:pPr>
      <w:r w:rsidRPr="00B761C1">
        <w:rPr>
          <w:b/>
          <w:bCs/>
          <w:color w:val="000000"/>
          <w:sz w:val="22"/>
          <w:szCs w:val="22"/>
          <w:shd w:val="clear" w:color="auto" w:fill="FFFFFF"/>
        </w:rPr>
        <w:t>Section 4</w:t>
      </w:r>
      <w:r w:rsidR="00F80C13" w:rsidRPr="00B761C1">
        <w:rPr>
          <w:b/>
          <w:bCs/>
          <w:color w:val="000000"/>
          <w:sz w:val="22"/>
          <w:szCs w:val="22"/>
          <w:shd w:val="clear" w:color="auto" w:fill="FFFFFF"/>
        </w:rPr>
        <w:t xml:space="preserve">    </w:t>
      </w:r>
      <w:r w:rsidR="002D6D7C" w:rsidRPr="00B761C1">
        <w:rPr>
          <w:b/>
          <w:bCs/>
          <w:color w:val="000000"/>
          <w:sz w:val="22"/>
          <w:szCs w:val="22"/>
          <w:shd w:val="clear" w:color="auto" w:fill="FFFFFF"/>
        </w:rPr>
        <w:t>Schedule</w:t>
      </w:r>
      <w:r w:rsidR="00956497" w:rsidRPr="00B761C1">
        <w:rPr>
          <w:b/>
          <w:bCs/>
          <w:color w:val="000000"/>
          <w:sz w:val="22"/>
          <w:szCs w:val="22"/>
          <w:shd w:val="clear" w:color="auto" w:fill="FFFFFF"/>
        </w:rPr>
        <w:t>s</w:t>
      </w:r>
    </w:p>
    <w:p w14:paraId="5E6E589F" w14:textId="34B75E1C" w:rsidR="00956497" w:rsidRPr="00B761C1" w:rsidRDefault="00956497" w:rsidP="00527084">
      <w:pPr>
        <w:spacing w:after="120" w:line="240" w:lineRule="auto"/>
        <w:rPr>
          <w:sz w:val="22"/>
          <w:szCs w:val="22"/>
        </w:rPr>
      </w:pPr>
      <w:r w:rsidRPr="00B761C1">
        <w:rPr>
          <w:sz w:val="22"/>
          <w:szCs w:val="22"/>
        </w:rPr>
        <w:t>This section provides that each instrument that is specified in a Schedule to the </w:t>
      </w:r>
      <w:r w:rsidR="00994842" w:rsidRPr="00B761C1">
        <w:rPr>
          <w:sz w:val="22"/>
          <w:szCs w:val="22"/>
        </w:rPr>
        <w:t xml:space="preserve">Amendment </w:t>
      </w:r>
      <w:r w:rsidRPr="00B761C1">
        <w:rPr>
          <w:sz w:val="22"/>
          <w:szCs w:val="22"/>
        </w:rPr>
        <w:t>Instrument is amended or repealed as set out in the applicable items in the Schedule concerned, and any other item in a Schedule to the </w:t>
      </w:r>
      <w:r w:rsidR="00994842" w:rsidRPr="00B761C1">
        <w:rPr>
          <w:sz w:val="22"/>
          <w:szCs w:val="22"/>
        </w:rPr>
        <w:t xml:space="preserve">Amendment </w:t>
      </w:r>
      <w:r w:rsidRPr="00B761C1">
        <w:rPr>
          <w:sz w:val="22"/>
          <w:szCs w:val="22"/>
        </w:rPr>
        <w:t>Instrument has effect according to its terms.</w:t>
      </w:r>
    </w:p>
    <w:p w14:paraId="6EFC2D9F" w14:textId="77777777" w:rsidR="00BC0BA1" w:rsidRPr="00B761C1" w:rsidRDefault="00541DD7" w:rsidP="00527084">
      <w:pPr>
        <w:shd w:val="clear" w:color="auto" w:fill="FFFFFF"/>
        <w:spacing w:after="120" w:line="240" w:lineRule="auto"/>
        <w:rPr>
          <w:b/>
          <w:bCs/>
          <w:color w:val="000000"/>
          <w:sz w:val="22"/>
          <w:szCs w:val="22"/>
          <w:shd w:val="clear" w:color="auto" w:fill="FFFFFF"/>
        </w:rPr>
      </w:pPr>
      <w:r w:rsidRPr="00B761C1">
        <w:rPr>
          <w:b/>
          <w:bCs/>
          <w:color w:val="000000"/>
          <w:sz w:val="22"/>
          <w:szCs w:val="22"/>
          <w:shd w:val="clear" w:color="auto" w:fill="FFFFFF"/>
        </w:rPr>
        <w:t>Schedule 1 – Amendments</w:t>
      </w:r>
    </w:p>
    <w:p w14:paraId="68F10F89" w14:textId="119C62F5" w:rsidR="00956497" w:rsidRPr="00B761C1" w:rsidRDefault="00956497" w:rsidP="00527084">
      <w:pPr>
        <w:spacing w:after="120" w:line="240" w:lineRule="auto"/>
        <w:rPr>
          <w:sz w:val="22"/>
          <w:szCs w:val="22"/>
        </w:rPr>
      </w:pPr>
      <w:r w:rsidRPr="00B761C1">
        <w:rPr>
          <w:sz w:val="22"/>
          <w:szCs w:val="22"/>
        </w:rPr>
        <w:t xml:space="preserve">Schedule 1 sets out the amendments to the </w:t>
      </w:r>
      <w:r w:rsidRPr="00B761C1">
        <w:rPr>
          <w:i/>
          <w:iCs/>
          <w:sz w:val="22"/>
          <w:szCs w:val="22"/>
        </w:rPr>
        <w:t xml:space="preserve">National Health (Growth Hormone Program) Special Arrangement 2015 </w:t>
      </w:r>
      <w:r w:rsidRPr="00B761C1">
        <w:rPr>
          <w:sz w:val="22"/>
          <w:szCs w:val="22"/>
        </w:rPr>
        <w:t>(the Growth Hormone Special Arrangement) made by the </w:t>
      </w:r>
      <w:r w:rsidR="009B7BD5" w:rsidRPr="00B761C1">
        <w:rPr>
          <w:sz w:val="22"/>
          <w:szCs w:val="22"/>
        </w:rPr>
        <w:t xml:space="preserve">Amendment </w:t>
      </w:r>
      <w:r w:rsidRPr="00B761C1">
        <w:rPr>
          <w:sz w:val="22"/>
          <w:szCs w:val="22"/>
        </w:rPr>
        <w:t>Instrument.</w:t>
      </w:r>
    </w:p>
    <w:p w14:paraId="0028E451" w14:textId="0B911ABD" w:rsidR="00956497" w:rsidRPr="00B761C1" w:rsidRDefault="00956497" w:rsidP="00527084">
      <w:pPr>
        <w:spacing w:after="120" w:line="240" w:lineRule="auto"/>
        <w:rPr>
          <w:sz w:val="22"/>
          <w:szCs w:val="22"/>
        </w:rPr>
      </w:pPr>
      <w:r w:rsidRPr="00B761C1">
        <w:rPr>
          <w:sz w:val="22"/>
          <w:szCs w:val="22"/>
          <w:u w:val="single"/>
        </w:rPr>
        <w:t>Item</w:t>
      </w:r>
      <w:r w:rsidR="00994842" w:rsidRPr="00B761C1">
        <w:rPr>
          <w:sz w:val="22"/>
          <w:szCs w:val="22"/>
          <w:u w:val="single"/>
        </w:rPr>
        <w:t>s</w:t>
      </w:r>
      <w:r w:rsidRPr="00B761C1">
        <w:rPr>
          <w:sz w:val="22"/>
          <w:szCs w:val="22"/>
          <w:u w:val="single"/>
        </w:rPr>
        <w:t> 1</w:t>
      </w:r>
      <w:r w:rsidR="00994842" w:rsidRPr="00B761C1">
        <w:rPr>
          <w:sz w:val="22"/>
          <w:szCs w:val="22"/>
          <w:u w:val="single"/>
        </w:rPr>
        <w:t>- 3</w:t>
      </w:r>
      <w:r w:rsidRPr="00B761C1">
        <w:rPr>
          <w:sz w:val="22"/>
          <w:szCs w:val="22"/>
          <w:u w:val="single"/>
        </w:rPr>
        <w:t xml:space="preserve"> – S</w:t>
      </w:r>
      <w:r w:rsidR="009B7BD5" w:rsidRPr="00B761C1">
        <w:rPr>
          <w:sz w:val="22"/>
          <w:szCs w:val="22"/>
          <w:u w:val="single"/>
        </w:rPr>
        <w:t>ubs</w:t>
      </w:r>
      <w:r w:rsidRPr="00B761C1">
        <w:rPr>
          <w:sz w:val="22"/>
          <w:szCs w:val="22"/>
          <w:u w:val="single"/>
        </w:rPr>
        <w:t>ection </w:t>
      </w:r>
      <w:r w:rsidR="00591C2E" w:rsidRPr="00B761C1">
        <w:rPr>
          <w:sz w:val="22"/>
          <w:szCs w:val="22"/>
          <w:u w:val="single"/>
        </w:rPr>
        <w:t>4(1) Definitions</w:t>
      </w:r>
    </w:p>
    <w:p w14:paraId="3BCBA92E" w14:textId="192AE851" w:rsidR="00956497" w:rsidRPr="00B761C1" w:rsidRDefault="00956497" w:rsidP="00527084">
      <w:pPr>
        <w:pStyle w:val="Definition"/>
        <w:spacing w:before="0" w:after="120"/>
        <w:ind w:left="0"/>
        <w:rPr>
          <w:color w:val="000000"/>
          <w:szCs w:val="22"/>
        </w:rPr>
      </w:pPr>
      <w:r w:rsidRPr="00B761C1">
        <w:rPr>
          <w:color w:val="000000"/>
          <w:szCs w:val="22"/>
        </w:rPr>
        <w:t xml:space="preserve">Item 1 </w:t>
      </w:r>
      <w:r w:rsidR="00591C2E" w:rsidRPr="00B761C1">
        <w:rPr>
          <w:color w:val="000000"/>
          <w:szCs w:val="22"/>
        </w:rPr>
        <w:t xml:space="preserve">inserts </w:t>
      </w:r>
      <w:r w:rsidR="00D01423" w:rsidRPr="00B761C1">
        <w:rPr>
          <w:color w:val="000000"/>
          <w:szCs w:val="22"/>
        </w:rPr>
        <w:t xml:space="preserve">two </w:t>
      </w:r>
      <w:r w:rsidR="00591C2E" w:rsidRPr="00B761C1">
        <w:rPr>
          <w:color w:val="000000"/>
          <w:szCs w:val="22"/>
        </w:rPr>
        <w:t>new definition</w:t>
      </w:r>
      <w:r w:rsidR="00D01423" w:rsidRPr="00B761C1">
        <w:rPr>
          <w:color w:val="000000"/>
          <w:szCs w:val="22"/>
        </w:rPr>
        <w:t>s</w:t>
      </w:r>
      <w:r w:rsidR="00591C2E" w:rsidRPr="00B761C1">
        <w:rPr>
          <w:color w:val="000000"/>
          <w:szCs w:val="22"/>
        </w:rPr>
        <w:t xml:space="preserve"> of “authorised prescriber” in subsection 4(1) of the </w:t>
      </w:r>
      <w:r w:rsidR="009B7BD5" w:rsidRPr="00B761C1">
        <w:rPr>
          <w:szCs w:val="22"/>
        </w:rPr>
        <w:t>Growth Hormone Special Arrangement</w:t>
      </w:r>
      <w:r w:rsidR="00591C2E" w:rsidRPr="00B761C1">
        <w:rPr>
          <w:color w:val="000000"/>
          <w:szCs w:val="22"/>
        </w:rPr>
        <w:t xml:space="preserve">. This reflects the implementation of </w:t>
      </w:r>
      <w:r w:rsidR="00D01423" w:rsidRPr="00B761C1">
        <w:rPr>
          <w:color w:val="000000"/>
          <w:szCs w:val="22"/>
        </w:rPr>
        <w:t>two</w:t>
      </w:r>
      <w:r w:rsidR="00591C2E" w:rsidRPr="00B761C1">
        <w:rPr>
          <w:color w:val="000000"/>
          <w:szCs w:val="22"/>
        </w:rPr>
        <w:t xml:space="preserve"> new treatment </w:t>
      </w:r>
      <w:r w:rsidR="00D22219" w:rsidRPr="00B761C1">
        <w:rPr>
          <w:color w:val="000000"/>
          <w:szCs w:val="22"/>
        </w:rPr>
        <w:t>phases</w:t>
      </w:r>
      <w:r w:rsidR="00D01423" w:rsidRPr="00B761C1">
        <w:rPr>
          <w:color w:val="000000"/>
          <w:szCs w:val="22"/>
        </w:rPr>
        <w:t>:</w:t>
      </w:r>
      <w:r w:rsidR="00591C2E" w:rsidRPr="00B761C1">
        <w:rPr>
          <w:color w:val="000000"/>
          <w:szCs w:val="22"/>
        </w:rPr>
        <w:t xml:space="preserve"> </w:t>
      </w:r>
      <w:r w:rsidR="00D01423" w:rsidRPr="00B761C1">
        <w:rPr>
          <w:color w:val="000000"/>
          <w:szCs w:val="22"/>
        </w:rPr>
        <w:t xml:space="preserve">(ca) </w:t>
      </w:r>
      <w:r w:rsidR="00591C2E" w:rsidRPr="00B761C1">
        <w:rPr>
          <w:color w:val="000000"/>
          <w:szCs w:val="22"/>
        </w:rPr>
        <w:t>‘</w:t>
      </w:r>
      <w:r w:rsidR="00591C2E" w:rsidRPr="00B761C1">
        <w:rPr>
          <w:i/>
          <w:iCs/>
          <w:color w:val="000000"/>
          <w:szCs w:val="22"/>
        </w:rPr>
        <w:t>changing drug treatment phase</w:t>
      </w:r>
      <w:r w:rsidR="00591C2E" w:rsidRPr="00B761C1">
        <w:rPr>
          <w:color w:val="000000"/>
          <w:szCs w:val="22"/>
        </w:rPr>
        <w:t>’</w:t>
      </w:r>
      <w:r w:rsidR="00D01423" w:rsidRPr="00B761C1">
        <w:rPr>
          <w:color w:val="000000"/>
          <w:szCs w:val="22"/>
        </w:rPr>
        <w:t xml:space="preserve"> and (cb) ‘</w:t>
      </w:r>
      <w:r w:rsidR="00D22219" w:rsidRPr="00B761C1">
        <w:rPr>
          <w:i/>
          <w:iCs/>
          <w:color w:val="000000"/>
          <w:szCs w:val="22"/>
        </w:rPr>
        <w:t>non</w:t>
      </w:r>
      <w:r w:rsidR="00D22219" w:rsidRPr="00B761C1">
        <w:rPr>
          <w:i/>
          <w:iCs/>
          <w:color w:val="000000"/>
          <w:szCs w:val="22"/>
        </w:rPr>
        <w:noBreakHyphen/>
        <w:t>PBS subsidised to PBS subsidised supply treatment phase</w:t>
      </w:r>
      <w:r w:rsidR="00D22219" w:rsidRPr="00B761C1">
        <w:rPr>
          <w:color w:val="000000"/>
          <w:szCs w:val="22"/>
        </w:rPr>
        <w:t>’.</w:t>
      </w:r>
      <w:r w:rsidR="00D01423" w:rsidRPr="00B761C1">
        <w:rPr>
          <w:color w:val="000000"/>
          <w:szCs w:val="22"/>
        </w:rPr>
        <w:t xml:space="preserve"> </w:t>
      </w:r>
      <w:r w:rsidR="001B0085" w:rsidRPr="00B761C1">
        <w:rPr>
          <w:color w:val="000000"/>
          <w:szCs w:val="22"/>
        </w:rPr>
        <w:t xml:space="preserve">The changing drug treatment phase applies to somatrogon or somatropin (see item 2).  The non-PBS subsidised to PBS subsidised supply treatment phase applies to mecasermin or somatrogon. </w:t>
      </w:r>
    </w:p>
    <w:p w14:paraId="0198FFC4" w14:textId="49660A37" w:rsidR="00D22219" w:rsidRPr="00B761C1" w:rsidRDefault="00D22219" w:rsidP="00527084">
      <w:pPr>
        <w:pStyle w:val="Definition"/>
        <w:spacing w:before="0" w:after="120"/>
        <w:ind w:left="0"/>
      </w:pPr>
      <w:r w:rsidRPr="00B761C1">
        <w:rPr>
          <w:color w:val="000000"/>
          <w:szCs w:val="22"/>
        </w:rPr>
        <w:t>Item 2 inserts a new definition of ‘</w:t>
      </w:r>
      <w:r w:rsidRPr="00B761C1">
        <w:rPr>
          <w:i/>
        </w:rPr>
        <w:t>changing drug treatment phase for a child’</w:t>
      </w:r>
      <w:r w:rsidRPr="00B761C1">
        <w:t xml:space="preserve"> to allow for a child to </w:t>
      </w:r>
      <w:r w:rsidRPr="00B761C1">
        <w:rPr>
          <w:szCs w:val="22"/>
        </w:rPr>
        <w:t xml:space="preserve">move from somatropin to somatrogon and somatrogon to somatropin. Allowing a child to move from somatropin to somatrogon </w:t>
      </w:r>
      <w:r w:rsidR="00527084" w:rsidRPr="00B761C1">
        <w:rPr>
          <w:szCs w:val="22"/>
        </w:rPr>
        <w:t>means that instead of having daily injections (somatropin) they can have weekly injections (somatrogon).</w:t>
      </w:r>
    </w:p>
    <w:p w14:paraId="7F4683CE" w14:textId="6D2FB5A8" w:rsidR="000B038F" w:rsidRPr="00B761C1" w:rsidRDefault="004A1C25" w:rsidP="00527084">
      <w:pPr>
        <w:pStyle w:val="Definition"/>
        <w:spacing w:before="0" w:after="120"/>
        <w:ind w:left="0"/>
      </w:pPr>
      <w:r w:rsidRPr="00B761C1">
        <w:rPr>
          <w:color w:val="000000"/>
          <w:szCs w:val="22"/>
        </w:rPr>
        <w:t xml:space="preserve">Item </w:t>
      </w:r>
      <w:r w:rsidR="00527084" w:rsidRPr="00B761C1">
        <w:rPr>
          <w:color w:val="000000"/>
          <w:szCs w:val="22"/>
        </w:rPr>
        <w:t>3</w:t>
      </w:r>
      <w:r w:rsidRPr="00B761C1">
        <w:rPr>
          <w:color w:val="000000"/>
          <w:szCs w:val="22"/>
        </w:rPr>
        <w:t xml:space="preserve"> in</w:t>
      </w:r>
      <w:r w:rsidR="00595A74" w:rsidRPr="00B761C1">
        <w:rPr>
          <w:color w:val="000000"/>
          <w:szCs w:val="22"/>
        </w:rPr>
        <w:t>serts</w:t>
      </w:r>
      <w:r w:rsidRPr="00B761C1">
        <w:rPr>
          <w:color w:val="000000"/>
          <w:szCs w:val="22"/>
        </w:rPr>
        <w:t xml:space="preserve"> the definition of “</w:t>
      </w:r>
      <w:r w:rsidRPr="00B761C1">
        <w:rPr>
          <w:bCs/>
          <w:i/>
        </w:rPr>
        <w:t>pharmaceutical benefit has a drug”</w:t>
      </w:r>
      <w:r w:rsidRPr="00B761C1">
        <w:t xml:space="preserve"> to state that it has the same meaning as in Part VII of the Act.</w:t>
      </w:r>
      <w:r w:rsidR="00324663" w:rsidRPr="00B761C1">
        <w:t xml:space="preserve"> It is </w:t>
      </w:r>
      <w:r w:rsidR="000B038F" w:rsidRPr="00B761C1">
        <w:t xml:space="preserve">included so that provisions of the instrument can be limited in their application to particular drugs without referring to table items of Schedule 1 </w:t>
      </w:r>
      <w:r w:rsidR="00324663" w:rsidRPr="00B761C1">
        <w:t xml:space="preserve">- as </w:t>
      </w:r>
      <w:r w:rsidR="000B038F" w:rsidRPr="00B761C1">
        <w:t xml:space="preserve">Schedule 1 </w:t>
      </w:r>
      <w:r w:rsidR="00324663" w:rsidRPr="00B761C1">
        <w:t xml:space="preserve">does not include </w:t>
      </w:r>
      <w:r w:rsidR="000B038F" w:rsidRPr="00B761C1">
        <w:t xml:space="preserve">numbered table items by which </w:t>
      </w:r>
      <w:r w:rsidR="00324663" w:rsidRPr="00B761C1">
        <w:t xml:space="preserve">the reader </w:t>
      </w:r>
      <w:r w:rsidR="000B038F" w:rsidRPr="00B761C1">
        <w:t>could cross</w:t>
      </w:r>
      <w:r w:rsidR="000B038F" w:rsidRPr="00B761C1">
        <w:noBreakHyphen/>
        <w:t>refer to particular drugs without naming them.</w:t>
      </w:r>
    </w:p>
    <w:p w14:paraId="36FF07F3" w14:textId="2E1F9304" w:rsidR="00527084" w:rsidRPr="00B761C1" w:rsidRDefault="00550634" w:rsidP="00527084">
      <w:pPr>
        <w:pStyle w:val="Definition"/>
        <w:spacing w:before="0" w:after="120"/>
        <w:ind w:left="0"/>
        <w:rPr>
          <w:u w:val="single"/>
        </w:rPr>
      </w:pPr>
      <w:r w:rsidRPr="00B761C1">
        <w:rPr>
          <w:u w:val="single"/>
        </w:rPr>
        <w:t xml:space="preserve">Item </w:t>
      </w:r>
      <w:r w:rsidR="00527084" w:rsidRPr="00B761C1">
        <w:rPr>
          <w:u w:val="single"/>
        </w:rPr>
        <w:t>4</w:t>
      </w:r>
      <w:r w:rsidRPr="00B761C1">
        <w:rPr>
          <w:u w:val="single"/>
        </w:rPr>
        <w:t xml:space="preserve"> – Section</w:t>
      </w:r>
      <w:r w:rsidR="00780D16" w:rsidRPr="00B761C1">
        <w:rPr>
          <w:u w:val="single"/>
        </w:rPr>
        <w:t>s</w:t>
      </w:r>
      <w:r w:rsidRPr="00B761C1">
        <w:rPr>
          <w:u w:val="single"/>
        </w:rPr>
        <w:t xml:space="preserve"> 8</w:t>
      </w:r>
      <w:r w:rsidR="00780D16" w:rsidRPr="00B761C1">
        <w:rPr>
          <w:u w:val="single"/>
        </w:rPr>
        <w:t xml:space="preserve"> and 9</w:t>
      </w:r>
    </w:p>
    <w:p w14:paraId="141D636B" w14:textId="31680E91" w:rsidR="003947AB" w:rsidRPr="00B761C1" w:rsidRDefault="00550634" w:rsidP="00527084">
      <w:pPr>
        <w:pStyle w:val="Definition"/>
        <w:spacing w:before="0" w:after="120"/>
        <w:ind w:left="0"/>
      </w:pPr>
      <w:r w:rsidRPr="00B761C1">
        <w:rPr>
          <w:iCs/>
        </w:rPr>
        <w:t xml:space="preserve">Item </w:t>
      </w:r>
      <w:r w:rsidR="00527084" w:rsidRPr="00B761C1">
        <w:t>4</w:t>
      </w:r>
      <w:r w:rsidRPr="00B761C1">
        <w:t xml:space="preserve"> </w:t>
      </w:r>
      <w:r w:rsidR="001B0085" w:rsidRPr="00B761C1">
        <w:t xml:space="preserve">repeals and substitutes </w:t>
      </w:r>
      <w:r w:rsidR="00356BE9" w:rsidRPr="00B761C1">
        <w:t>Section</w:t>
      </w:r>
      <w:r w:rsidR="00780D16" w:rsidRPr="00B761C1">
        <w:t>s</w:t>
      </w:r>
      <w:r w:rsidR="00356BE9" w:rsidRPr="00B761C1">
        <w:t xml:space="preserve"> 8</w:t>
      </w:r>
      <w:r w:rsidR="00780D16" w:rsidRPr="00B761C1">
        <w:t xml:space="preserve"> and 9</w:t>
      </w:r>
      <w:r w:rsidR="00E01920" w:rsidRPr="00B761C1">
        <w:t>. Section 8 is repealed and substituted</w:t>
      </w:r>
      <w:r w:rsidR="00356BE9" w:rsidRPr="00B761C1">
        <w:t xml:space="preserve"> </w:t>
      </w:r>
      <w:r w:rsidR="00C6067E" w:rsidRPr="00B761C1">
        <w:t>in order</w:t>
      </w:r>
      <w:r w:rsidR="00356BE9" w:rsidRPr="00B761C1">
        <w:t xml:space="preserve"> to </w:t>
      </w:r>
      <w:r w:rsidR="00C6067E" w:rsidRPr="00B761C1">
        <w:t xml:space="preserve">specify </w:t>
      </w:r>
      <w:r w:rsidR="00527084" w:rsidRPr="00B761C1">
        <w:t xml:space="preserve">the maximum quantity </w:t>
      </w:r>
      <w:r w:rsidR="005B55D8" w:rsidRPr="00B761C1">
        <w:t>o</w:t>
      </w:r>
      <w:r w:rsidR="005B55D8" w:rsidRPr="00B761C1">
        <w:rPr>
          <w:color w:val="000000"/>
          <w:shd w:val="clear" w:color="auto" w:fill="FFFFFF"/>
        </w:rPr>
        <w:t xml:space="preserve">r number of units of the pharmaceutical benefit that may be directed to be supplied </w:t>
      </w:r>
      <w:r w:rsidR="005B55D8" w:rsidRPr="00B761C1">
        <w:t>by</w:t>
      </w:r>
      <w:r w:rsidR="00527084" w:rsidRPr="00B761C1">
        <w:t xml:space="preserve"> an authorised prescriber when treating a </w:t>
      </w:r>
      <w:r w:rsidR="000F2E15" w:rsidRPr="00B761C1">
        <w:t xml:space="preserve">child </w:t>
      </w:r>
      <w:r w:rsidR="00527084" w:rsidRPr="00B761C1">
        <w:t xml:space="preserve">with somatropin, somatrogon </w:t>
      </w:r>
      <w:r w:rsidR="0088521E" w:rsidRPr="00B761C1">
        <w:t xml:space="preserve">or </w:t>
      </w:r>
      <w:r w:rsidR="00527084" w:rsidRPr="00B761C1">
        <w:t>mecasermin</w:t>
      </w:r>
      <w:r w:rsidR="00356BE9" w:rsidRPr="00B761C1">
        <w:t xml:space="preserve"> during the different treatment phases</w:t>
      </w:r>
      <w:r w:rsidR="00527084" w:rsidRPr="00B761C1">
        <w:t xml:space="preserve">. </w:t>
      </w:r>
    </w:p>
    <w:p w14:paraId="3225712E" w14:textId="1ED5F40D" w:rsidR="003947AB" w:rsidRPr="00B761C1" w:rsidRDefault="007E48BF" w:rsidP="00527084">
      <w:pPr>
        <w:pStyle w:val="Definition"/>
        <w:spacing w:before="0" w:after="120"/>
        <w:ind w:left="0"/>
        <w:rPr>
          <w:iCs/>
        </w:rPr>
      </w:pPr>
      <w:r w:rsidRPr="00B761C1">
        <w:rPr>
          <w:iCs/>
        </w:rPr>
        <w:t>S</w:t>
      </w:r>
      <w:r w:rsidR="00550634" w:rsidRPr="00B761C1">
        <w:rPr>
          <w:iCs/>
        </w:rPr>
        <w:t>ubsection</w:t>
      </w:r>
      <w:r w:rsidR="00356BE9" w:rsidRPr="00B761C1">
        <w:rPr>
          <w:iCs/>
        </w:rPr>
        <w:t>s</w:t>
      </w:r>
      <w:r w:rsidR="00550634" w:rsidRPr="00B761C1">
        <w:rPr>
          <w:iCs/>
        </w:rPr>
        <w:t xml:space="preserve"> 8(1)</w:t>
      </w:r>
      <w:r w:rsidR="00356BE9" w:rsidRPr="00B761C1">
        <w:rPr>
          <w:iCs/>
        </w:rPr>
        <w:t xml:space="preserve"> to 8(</w:t>
      </w:r>
      <w:r w:rsidR="00963340" w:rsidRPr="00B761C1">
        <w:rPr>
          <w:iCs/>
        </w:rPr>
        <w:t>4</w:t>
      </w:r>
      <w:r w:rsidR="00356BE9" w:rsidRPr="00B761C1">
        <w:rPr>
          <w:iCs/>
        </w:rPr>
        <w:t>)</w:t>
      </w:r>
      <w:r w:rsidRPr="00B761C1">
        <w:rPr>
          <w:iCs/>
        </w:rPr>
        <w:t xml:space="preserve"> apply to somatrogon and somatropin</w:t>
      </w:r>
      <w:r w:rsidR="007236B3" w:rsidRPr="00B761C1">
        <w:rPr>
          <w:iCs/>
        </w:rPr>
        <w:t xml:space="preserve">. </w:t>
      </w:r>
      <w:r w:rsidR="003947AB" w:rsidRPr="00B761C1">
        <w:rPr>
          <w:iCs/>
        </w:rPr>
        <w:t>F</w:t>
      </w:r>
      <w:r w:rsidR="005B55D8" w:rsidRPr="00B761C1">
        <w:rPr>
          <w:iCs/>
        </w:rPr>
        <w:t xml:space="preserve">or somatrogon and somatropin </w:t>
      </w:r>
      <w:r w:rsidR="00963340" w:rsidRPr="00B761C1">
        <w:rPr>
          <w:iCs/>
        </w:rPr>
        <w:t xml:space="preserve">the maximum quantity </w:t>
      </w:r>
      <w:r w:rsidR="00596E2D" w:rsidRPr="00B761C1">
        <w:rPr>
          <w:iCs/>
        </w:rPr>
        <w:t xml:space="preserve">that may be directed to be supplied in one prescription for a child </w:t>
      </w:r>
      <w:r w:rsidR="005B55D8" w:rsidRPr="00B761C1">
        <w:rPr>
          <w:iCs/>
        </w:rPr>
        <w:t xml:space="preserve">is </w:t>
      </w:r>
      <w:r w:rsidR="00596E2D" w:rsidRPr="00B761C1">
        <w:rPr>
          <w:iCs/>
        </w:rPr>
        <w:t xml:space="preserve">an amount that is sufficient for </w:t>
      </w:r>
      <w:r w:rsidR="005B55D8" w:rsidRPr="00B761C1">
        <w:rPr>
          <w:iCs/>
        </w:rPr>
        <w:t>either 13 or 16 weeks</w:t>
      </w:r>
      <w:r w:rsidR="00AD0C63" w:rsidRPr="00B761C1">
        <w:rPr>
          <w:iCs/>
        </w:rPr>
        <w:t xml:space="preserve"> depending on the treatment phase</w:t>
      </w:r>
      <w:r w:rsidRPr="00B761C1">
        <w:rPr>
          <w:iCs/>
        </w:rPr>
        <w:t xml:space="preserve">. Subsections 8(1) to (4) read in conjunction with section 9, which allows for a maximum of one repeat, </w:t>
      </w:r>
      <w:r w:rsidR="001B0085" w:rsidRPr="00B761C1">
        <w:rPr>
          <w:iCs/>
        </w:rPr>
        <w:t xml:space="preserve">provides </w:t>
      </w:r>
      <w:r w:rsidR="008C1B90" w:rsidRPr="00B761C1">
        <w:rPr>
          <w:iCs/>
        </w:rPr>
        <w:t>that the</w:t>
      </w:r>
      <w:r w:rsidRPr="00B761C1">
        <w:rPr>
          <w:iCs/>
        </w:rPr>
        <w:t xml:space="preserve"> total</w:t>
      </w:r>
      <w:r w:rsidR="008C1B90" w:rsidRPr="00B761C1">
        <w:rPr>
          <w:iCs/>
        </w:rPr>
        <w:t xml:space="preserve"> quantity of somatrogon and somatropin that an authorised prescriber may prescribe is up to 26 </w:t>
      </w:r>
      <w:r w:rsidR="00D427A8" w:rsidRPr="00B761C1">
        <w:rPr>
          <w:iCs/>
        </w:rPr>
        <w:t xml:space="preserve">weeks </w:t>
      </w:r>
      <w:r w:rsidR="008C1B90" w:rsidRPr="00B761C1">
        <w:rPr>
          <w:iCs/>
        </w:rPr>
        <w:t>or 32 weeks</w:t>
      </w:r>
      <w:r w:rsidRPr="00B761C1">
        <w:rPr>
          <w:iCs/>
        </w:rPr>
        <w:t xml:space="preserve"> for each treatment phase</w:t>
      </w:r>
      <w:r w:rsidR="008C1B90" w:rsidRPr="00B761C1">
        <w:rPr>
          <w:iCs/>
        </w:rPr>
        <w:t>.</w:t>
      </w:r>
      <w:r w:rsidR="0030102F" w:rsidRPr="00B761C1">
        <w:rPr>
          <w:iCs/>
        </w:rPr>
        <w:t xml:space="preserve"> </w:t>
      </w:r>
    </w:p>
    <w:p w14:paraId="0266943C" w14:textId="31899DE0" w:rsidR="00550634" w:rsidRPr="00B761C1" w:rsidRDefault="003947AB" w:rsidP="00527084">
      <w:pPr>
        <w:pStyle w:val="Definition"/>
        <w:spacing w:before="0" w:after="120"/>
        <w:ind w:left="0"/>
        <w:rPr>
          <w:i/>
          <w:iCs/>
        </w:rPr>
      </w:pPr>
      <w:r w:rsidRPr="00B761C1">
        <w:rPr>
          <w:iCs/>
        </w:rPr>
        <w:lastRenderedPageBreak/>
        <w:t xml:space="preserve">Subsection 8(5) applies to mecasermin. </w:t>
      </w:r>
      <w:r w:rsidR="00596E2D" w:rsidRPr="00B761C1">
        <w:rPr>
          <w:iCs/>
        </w:rPr>
        <w:t>T</w:t>
      </w:r>
      <w:r w:rsidR="0030102F" w:rsidRPr="00B761C1">
        <w:rPr>
          <w:iCs/>
        </w:rPr>
        <w:t xml:space="preserve">he maximum quantity that an authorised prescriber can prescribe for </w:t>
      </w:r>
      <w:r w:rsidRPr="00B761C1">
        <w:rPr>
          <w:iCs/>
        </w:rPr>
        <w:t xml:space="preserve">a </w:t>
      </w:r>
      <w:r w:rsidR="0030102F" w:rsidRPr="00B761C1">
        <w:rPr>
          <w:iCs/>
        </w:rPr>
        <w:t xml:space="preserve">pharmaceutical benefit </w:t>
      </w:r>
      <w:r w:rsidRPr="00B761C1">
        <w:rPr>
          <w:iCs/>
        </w:rPr>
        <w:t xml:space="preserve">that has the drug </w:t>
      </w:r>
      <w:r w:rsidR="00C6067E" w:rsidRPr="00B761C1">
        <w:rPr>
          <w:iCs/>
        </w:rPr>
        <w:t>m</w:t>
      </w:r>
      <w:r w:rsidR="0030102F" w:rsidRPr="00B761C1">
        <w:rPr>
          <w:iCs/>
        </w:rPr>
        <w:t>ecasermin</w:t>
      </w:r>
      <w:r w:rsidR="00596E2D" w:rsidRPr="00B761C1">
        <w:rPr>
          <w:iCs/>
        </w:rPr>
        <w:t xml:space="preserve"> </w:t>
      </w:r>
      <w:r w:rsidRPr="00B761C1">
        <w:rPr>
          <w:iCs/>
        </w:rPr>
        <w:t xml:space="preserve">in any </w:t>
      </w:r>
      <w:r w:rsidR="00596E2D" w:rsidRPr="00B761C1">
        <w:rPr>
          <w:iCs/>
        </w:rPr>
        <w:t>treatment phase is an amount sufficient for one month of treatment (see section 9 for maximum number of repeats)</w:t>
      </w:r>
      <w:r w:rsidR="0030102F" w:rsidRPr="00B761C1">
        <w:rPr>
          <w:iCs/>
        </w:rPr>
        <w:t xml:space="preserve">. </w:t>
      </w:r>
    </w:p>
    <w:p w14:paraId="7E0D1BB6" w14:textId="0A741AA5" w:rsidR="00B86EBF" w:rsidRPr="00B761C1" w:rsidRDefault="000629B4" w:rsidP="00CE1098">
      <w:pPr>
        <w:pStyle w:val="Definition"/>
        <w:spacing w:before="0" w:after="120"/>
        <w:ind w:left="0"/>
        <w:rPr>
          <w:color w:val="000000"/>
          <w:szCs w:val="22"/>
        </w:rPr>
      </w:pPr>
      <w:r w:rsidRPr="00B761C1">
        <w:rPr>
          <w:szCs w:val="22"/>
        </w:rPr>
        <w:t xml:space="preserve">Item </w:t>
      </w:r>
      <w:r w:rsidR="00E01920" w:rsidRPr="00B761C1">
        <w:rPr>
          <w:szCs w:val="22"/>
        </w:rPr>
        <w:t>4</w:t>
      </w:r>
      <w:r w:rsidR="00596E2D" w:rsidRPr="00B761C1">
        <w:rPr>
          <w:szCs w:val="22"/>
        </w:rPr>
        <w:t xml:space="preserve"> </w:t>
      </w:r>
      <w:r w:rsidR="00E01920" w:rsidRPr="00B761C1">
        <w:rPr>
          <w:szCs w:val="22"/>
        </w:rPr>
        <w:t xml:space="preserve">also </w:t>
      </w:r>
      <w:r w:rsidR="00CC0C0A" w:rsidRPr="00B761C1">
        <w:rPr>
          <w:szCs w:val="22"/>
        </w:rPr>
        <w:t>repeals</w:t>
      </w:r>
      <w:r w:rsidR="00E01920" w:rsidRPr="00B761C1">
        <w:rPr>
          <w:szCs w:val="22"/>
        </w:rPr>
        <w:t xml:space="preserve"> and substitutes</w:t>
      </w:r>
      <w:r w:rsidR="00CC0C0A" w:rsidRPr="00B761C1">
        <w:rPr>
          <w:szCs w:val="22"/>
        </w:rPr>
        <w:t xml:space="preserve"> section 9</w:t>
      </w:r>
      <w:r w:rsidR="005D70B4" w:rsidRPr="00B761C1">
        <w:rPr>
          <w:szCs w:val="22"/>
        </w:rPr>
        <w:t xml:space="preserve"> </w:t>
      </w:r>
      <w:r w:rsidR="00596E2D" w:rsidRPr="00B761C1">
        <w:rPr>
          <w:szCs w:val="22"/>
        </w:rPr>
        <w:t xml:space="preserve">in order to specify </w:t>
      </w:r>
      <w:r w:rsidR="009437C7" w:rsidRPr="00B761C1">
        <w:rPr>
          <w:color w:val="000000"/>
          <w:szCs w:val="22"/>
        </w:rPr>
        <w:t xml:space="preserve">the maximum </w:t>
      </w:r>
      <w:r w:rsidR="0030102F" w:rsidRPr="00B761C1">
        <w:rPr>
          <w:color w:val="000000"/>
          <w:szCs w:val="22"/>
        </w:rPr>
        <w:t xml:space="preserve">number of repeats that </w:t>
      </w:r>
      <w:r w:rsidR="00596E2D" w:rsidRPr="00B761C1">
        <w:rPr>
          <w:color w:val="000000"/>
          <w:szCs w:val="22"/>
        </w:rPr>
        <w:t xml:space="preserve">an authorised prescriber </w:t>
      </w:r>
      <w:r w:rsidR="002153B8" w:rsidRPr="00B761C1">
        <w:rPr>
          <w:color w:val="000000"/>
          <w:szCs w:val="22"/>
        </w:rPr>
        <w:t xml:space="preserve">may </w:t>
      </w:r>
      <w:r w:rsidR="007236B3" w:rsidRPr="00B761C1">
        <w:rPr>
          <w:color w:val="000000"/>
          <w:szCs w:val="22"/>
        </w:rPr>
        <w:t xml:space="preserve">include on the prescription when </w:t>
      </w:r>
      <w:r w:rsidR="00C24089" w:rsidRPr="00B761C1">
        <w:rPr>
          <w:color w:val="000000"/>
          <w:szCs w:val="22"/>
        </w:rPr>
        <w:t xml:space="preserve">treating </w:t>
      </w:r>
      <w:r w:rsidR="009437C7" w:rsidRPr="00B761C1">
        <w:rPr>
          <w:color w:val="000000"/>
          <w:szCs w:val="22"/>
        </w:rPr>
        <w:t xml:space="preserve">a child </w:t>
      </w:r>
      <w:r w:rsidR="007236B3" w:rsidRPr="00B761C1">
        <w:rPr>
          <w:color w:val="000000"/>
          <w:szCs w:val="22"/>
        </w:rPr>
        <w:t xml:space="preserve">for the different treatment phases of </w:t>
      </w:r>
      <w:r w:rsidR="00356BE9" w:rsidRPr="00B761C1">
        <w:rPr>
          <w:color w:val="000000"/>
          <w:szCs w:val="22"/>
        </w:rPr>
        <w:t>somatropin</w:t>
      </w:r>
      <w:r w:rsidR="0030102F" w:rsidRPr="00B761C1">
        <w:rPr>
          <w:color w:val="000000"/>
          <w:szCs w:val="22"/>
        </w:rPr>
        <w:t xml:space="preserve"> and </w:t>
      </w:r>
      <w:r w:rsidR="00356BE9" w:rsidRPr="00B761C1">
        <w:rPr>
          <w:color w:val="000000"/>
          <w:szCs w:val="22"/>
        </w:rPr>
        <w:t>somatrogon</w:t>
      </w:r>
      <w:r w:rsidR="0030102F" w:rsidRPr="00B761C1">
        <w:rPr>
          <w:color w:val="000000"/>
          <w:szCs w:val="22"/>
        </w:rPr>
        <w:t xml:space="preserve"> </w:t>
      </w:r>
      <w:r w:rsidR="00087236" w:rsidRPr="00B761C1">
        <w:rPr>
          <w:color w:val="000000"/>
          <w:szCs w:val="22"/>
        </w:rPr>
        <w:t xml:space="preserve">(subsection </w:t>
      </w:r>
      <w:r w:rsidR="0030102F" w:rsidRPr="00B761C1">
        <w:rPr>
          <w:color w:val="000000"/>
          <w:szCs w:val="22"/>
        </w:rPr>
        <w:t>9(1)</w:t>
      </w:r>
      <w:r w:rsidR="00087236" w:rsidRPr="00B761C1">
        <w:rPr>
          <w:color w:val="000000"/>
          <w:szCs w:val="22"/>
        </w:rPr>
        <w:t>)</w:t>
      </w:r>
      <w:r w:rsidR="00356BE9" w:rsidRPr="00B761C1">
        <w:rPr>
          <w:color w:val="000000"/>
          <w:szCs w:val="22"/>
        </w:rPr>
        <w:t xml:space="preserve"> and </w:t>
      </w:r>
      <w:r w:rsidR="009437C7" w:rsidRPr="00B761C1">
        <w:rPr>
          <w:color w:val="000000"/>
          <w:szCs w:val="22"/>
        </w:rPr>
        <w:t>mecasermin</w:t>
      </w:r>
      <w:r w:rsidR="0030102F" w:rsidRPr="00B761C1">
        <w:rPr>
          <w:color w:val="000000"/>
          <w:szCs w:val="22"/>
        </w:rPr>
        <w:t xml:space="preserve"> </w:t>
      </w:r>
      <w:r w:rsidR="00E223EB" w:rsidRPr="00B761C1">
        <w:rPr>
          <w:color w:val="000000"/>
          <w:szCs w:val="22"/>
        </w:rPr>
        <w:t xml:space="preserve">(subsection </w:t>
      </w:r>
      <w:r w:rsidR="0030102F" w:rsidRPr="00B761C1">
        <w:rPr>
          <w:color w:val="000000"/>
          <w:szCs w:val="22"/>
        </w:rPr>
        <w:t>9(2)</w:t>
      </w:r>
      <w:r w:rsidR="00E223EB" w:rsidRPr="00B761C1">
        <w:rPr>
          <w:color w:val="000000"/>
          <w:szCs w:val="22"/>
        </w:rPr>
        <w:t>)</w:t>
      </w:r>
      <w:r w:rsidR="009437C7" w:rsidRPr="00B761C1">
        <w:rPr>
          <w:color w:val="000000"/>
          <w:szCs w:val="22"/>
        </w:rPr>
        <w:t>.</w:t>
      </w:r>
      <w:r w:rsidR="0030102F" w:rsidRPr="00B761C1">
        <w:rPr>
          <w:color w:val="000000"/>
          <w:szCs w:val="22"/>
        </w:rPr>
        <w:t xml:space="preserve"> </w:t>
      </w:r>
    </w:p>
    <w:p w14:paraId="3E3FAD19" w14:textId="6F4F0446" w:rsidR="00DC46C5" w:rsidRPr="00B761C1" w:rsidRDefault="00DC46C5" w:rsidP="00CE1098">
      <w:pPr>
        <w:spacing w:after="120" w:line="240" w:lineRule="auto"/>
        <w:rPr>
          <w:rFonts w:eastAsia="Times New Roman"/>
          <w:color w:val="000000"/>
          <w:sz w:val="22"/>
          <w:szCs w:val="22"/>
          <w:u w:val="single"/>
          <w:lang w:eastAsia="en-AU"/>
        </w:rPr>
      </w:pPr>
      <w:r w:rsidRPr="00B761C1">
        <w:rPr>
          <w:rFonts w:eastAsia="Times New Roman"/>
          <w:color w:val="000000"/>
          <w:sz w:val="22"/>
          <w:szCs w:val="22"/>
          <w:u w:val="single"/>
          <w:lang w:eastAsia="en-AU"/>
        </w:rPr>
        <w:t xml:space="preserve">Item </w:t>
      </w:r>
      <w:r w:rsidR="00E84CF3" w:rsidRPr="00B761C1">
        <w:rPr>
          <w:rFonts w:eastAsia="Times New Roman"/>
          <w:color w:val="000000"/>
          <w:sz w:val="22"/>
          <w:szCs w:val="22"/>
          <w:u w:val="single"/>
          <w:lang w:eastAsia="en-AU"/>
        </w:rPr>
        <w:t>5</w:t>
      </w:r>
      <w:r w:rsidR="000A7BD9" w:rsidRPr="00B761C1">
        <w:rPr>
          <w:rFonts w:eastAsia="Times New Roman"/>
          <w:color w:val="000000"/>
          <w:sz w:val="22"/>
          <w:szCs w:val="22"/>
          <w:u w:val="single"/>
          <w:lang w:eastAsia="en-AU"/>
        </w:rPr>
        <w:t xml:space="preserve"> </w:t>
      </w:r>
      <w:r w:rsidR="00D01423" w:rsidRPr="00B761C1">
        <w:rPr>
          <w:rFonts w:eastAsia="Times New Roman"/>
          <w:color w:val="000000"/>
          <w:sz w:val="22"/>
          <w:szCs w:val="22"/>
          <w:u w:val="single"/>
          <w:lang w:eastAsia="en-AU"/>
        </w:rPr>
        <w:t>–</w:t>
      </w:r>
      <w:r w:rsidRPr="00B761C1">
        <w:rPr>
          <w:rFonts w:eastAsia="Times New Roman"/>
          <w:color w:val="000000"/>
          <w:sz w:val="22"/>
          <w:szCs w:val="22"/>
          <w:u w:val="single"/>
          <w:lang w:eastAsia="en-AU"/>
        </w:rPr>
        <w:t xml:space="preserve"> </w:t>
      </w:r>
      <w:r w:rsidR="00D01423" w:rsidRPr="00B761C1">
        <w:rPr>
          <w:rFonts w:eastAsia="Times New Roman"/>
          <w:color w:val="000000"/>
          <w:sz w:val="22"/>
          <w:szCs w:val="22"/>
          <w:u w:val="single"/>
          <w:lang w:eastAsia="en-AU"/>
        </w:rPr>
        <w:t>Section 10</w:t>
      </w:r>
      <w:r w:rsidR="00597891" w:rsidRPr="00B761C1">
        <w:rPr>
          <w:rFonts w:eastAsia="Times New Roman"/>
          <w:color w:val="000000"/>
          <w:sz w:val="22"/>
          <w:szCs w:val="22"/>
          <w:u w:val="single"/>
          <w:lang w:eastAsia="en-AU"/>
        </w:rPr>
        <w:t xml:space="preserve"> (heading)</w:t>
      </w:r>
    </w:p>
    <w:p w14:paraId="546BBBF3" w14:textId="496FA33F" w:rsidR="00D01423" w:rsidRPr="00B761C1" w:rsidRDefault="00FA0330" w:rsidP="00CE1098">
      <w:pPr>
        <w:spacing w:after="120" w:line="240" w:lineRule="auto"/>
        <w:rPr>
          <w:rFonts w:eastAsia="Times New Roman"/>
          <w:color w:val="000000"/>
          <w:sz w:val="22"/>
          <w:szCs w:val="22"/>
          <w:lang w:eastAsia="en-AU"/>
        </w:rPr>
      </w:pPr>
      <w:r w:rsidRPr="00B761C1">
        <w:rPr>
          <w:rFonts w:eastAsia="Times New Roman"/>
          <w:color w:val="000000"/>
          <w:sz w:val="22"/>
          <w:szCs w:val="22"/>
          <w:lang w:eastAsia="en-AU"/>
        </w:rPr>
        <w:t xml:space="preserve">Item </w:t>
      </w:r>
      <w:r w:rsidR="00E84CF3" w:rsidRPr="00B761C1">
        <w:rPr>
          <w:rFonts w:eastAsia="Times New Roman"/>
          <w:color w:val="000000"/>
          <w:sz w:val="22"/>
          <w:szCs w:val="22"/>
          <w:lang w:eastAsia="en-AU"/>
        </w:rPr>
        <w:t>5</w:t>
      </w:r>
      <w:r w:rsidR="00D01423" w:rsidRPr="00B761C1">
        <w:rPr>
          <w:rFonts w:eastAsia="Times New Roman"/>
          <w:color w:val="000000"/>
          <w:sz w:val="22"/>
          <w:szCs w:val="22"/>
          <w:lang w:eastAsia="en-AU"/>
        </w:rPr>
        <w:t xml:space="preserve"> removes the current heading ‘Definition</w:t>
      </w:r>
      <w:r w:rsidR="00597891" w:rsidRPr="00B761C1">
        <w:rPr>
          <w:rFonts w:eastAsia="Times New Roman"/>
          <w:color w:val="000000"/>
          <w:sz w:val="22"/>
          <w:szCs w:val="22"/>
          <w:lang w:eastAsia="en-AU"/>
        </w:rPr>
        <w:t>s</w:t>
      </w:r>
      <w:r w:rsidR="00D01423" w:rsidRPr="00B761C1">
        <w:rPr>
          <w:rFonts w:eastAsia="Times New Roman"/>
          <w:color w:val="000000"/>
          <w:sz w:val="22"/>
          <w:szCs w:val="22"/>
          <w:lang w:eastAsia="en-AU"/>
        </w:rPr>
        <w:t>’ to avoid confusion around the different dosing regimens for mecasermin, somatrogon and somatropin when an authorised prescriber is treating children.</w:t>
      </w:r>
      <w:r w:rsidR="00971D28" w:rsidRPr="00B761C1">
        <w:rPr>
          <w:rFonts w:eastAsia="Times New Roman"/>
          <w:color w:val="000000"/>
          <w:sz w:val="22"/>
          <w:szCs w:val="22"/>
          <w:lang w:eastAsia="en-AU"/>
        </w:rPr>
        <w:t xml:space="preserve"> It is substituted with the new heading ‘</w:t>
      </w:r>
      <w:r w:rsidR="00971D28" w:rsidRPr="00B761C1">
        <w:rPr>
          <w:sz w:val="22"/>
          <w:szCs w:val="22"/>
        </w:rPr>
        <w:t xml:space="preserve">Definitions relating to doses of somatropin’ to clearly </w:t>
      </w:r>
      <w:r w:rsidR="00E223EB" w:rsidRPr="00B761C1">
        <w:rPr>
          <w:sz w:val="22"/>
          <w:szCs w:val="22"/>
        </w:rPr>
        <w:t xml:space="preserve">specify </w:t>
      </w:r>
      <w:r w:rsidR="009204FF" w:rsidRPr="00B761C1">
        <w:rPr>
          <w:sz w:val="22"/>
          <w:szCs w:val="22"/>
        </w:rPr>
        <w:t xml:space="preserve">to authorised prescribers that the </w:t>
      </w:r>
      <w:r w:rsidR="00CC0C0A" w:rsidRPr="00B761C1">
        <w:rPr>
          <w:sz w:val="22"/>
          <w:szCs w:val="22"/>
        </w:rPr>
        <w:t xml:space="preserve">definitions are </w:t>
      </w:r>
      <w:r w:rsidR="009204FF" w:rsidRPr="00B761C1">
        <w:rPr>
          <w:sz w:val="22"/>
          <w:szCs w:val="22"/>
        </w:rPr>
        <w:t>specific to somatropin only.</w:t>
      </w:r>
    </w:p>
    <w:p w14:paraId="109372F4" w14:textId="5AD67DFA" w:rsidR="00D01423" w:rsidRPr="00B761C1" w:rsidRDefault="00D01423" w:rsidP="00CE1098">
      <w:pPr>
        <w:spacing w:after="120" w:line="240" w:lineRule="auto"/>
        <w:rPr>
          <w:rFonts w:eastAsia="Times New Roman"/>
          <w:color w:val="000000"/>
          <w:sz w:val="22"/>
          <w:szCs w:val="22"/>
          <w:u w:val="single"/>
          <w:lang w:eastAsia="en-AU"/>
        </w:rPr>
      </w:pPr>
      <w:r w:rsidRPr="00B761C1">
        <w:rPr>
          <w:rFonts w:eastAsia="Times New Roman"/>
          <w:color w:val="000000"/>
          <w:sz w:val="22"/>
          <w:szCs w:val="22"/>
          <w:u w:val="single"/>
          <w:lang w:eastAsia="en-AU"/>
        </w:rPr>
        <w:t xml:space="preserve">Item </w:t>
      </w:r>
      <w:r w:rsidR="00E84CF3" w:rsidRPr="00B761C1">
        <w:rPr>
          <w:rFonts w:eastAsia="Times New Roman"/>
          <w:color w:val="000000"/>
          <w:sz w:val="22"/>
          <w:szCs w:val="22"/>
          <w:u w:val="single"/>
          <w:lang w:eastAsia="en-AU"/>
        </w:rPr>
        <w:t>6</w:t>
      </w:r>
      <w:r w:rsidRPr="00B761C1">
        <w:rPr>
          <w:rFonts w:eastAsia="Times New Roman"/>
          <w:color w:val="000000"/>
          <w:sz w:val="22"/>
          <w:szCs w:val="22"/>
          <w:u w:val="single"/>
          <w:lang w:eastAsia="en-AU"/>
        </w:rPr>
        <w:t xml:space="preserve"> – S</w:t>
      </w:r>
      <w:r w:rsidR="00E223EB" w:rsidRPr="00B761C1">
        <w:rPr>
          <w:rFonts w:eastAsia="Times New Roman"/>
          <w:color w:val="000000"/>
          <w:sz w:val="22"/>
          <w:szCs w:val="22"/>
          <w:u w:val="single"/>
          <w:lang w:eastAsia="en-AU"/>
        </w:rPr>
        <w:t>ubs</w:t>
      </w:r>
      <w:r w:rsidRPr="00B761C1">
        <w:rPr>
          <w:rFonts w:eastAsia="Times New Roman"/>
          <w:color w:val="000000"/>
          <w:sz w:val="22"/>
          <w:szCs w:val="22"/>
          <w:u w:val="single"/>
          <w:lang w:eastAsia="en-AU"/>
        </w:rPr>
        <w:t>ection 10</w:t>
      </w:r>
      <w:r w:rsidR="00597891" w:rsidRPr="00B761C1">
        <w:rPr>
          <w:rFonts w:eastAsia="Times New Roman"/>
          <w:color w:val="000000"/>
          <w:sz w:val="22"/>
          <w:szCs w:val="22"/>
          <w:u w:val="single"/>
          <w:lang w:eastAsia="en-AU"/>
        </w:rPr>
        <w:t>(1)</w:t>
      </w:r>
    </w:p>
    <w:p w14:paraId="455B06F4" w14:textId="311D6A2C" w:rsidR="00597891" w:rsidRPr="00B761C1" w:rsidRDefault="00597891" w:rsidP="00CE1098">
      <w:pPr>
        <w:spacing w:after="120" w:line="240" w:lineRule="auto"/>
        <w:rPr>
          <w:sz w:val="22"/>
          <w:szCs w:val="22"/>
        </w:rPr>
      </w:pPr>
      <w:r w:rsidRPr="00B761C1">
        <w:rPr>
          <w:rFonts w:eastAsia="Times New Roman"/>
          <w:color w:val="000000"/>
          <w:sz w:val="22"/>
          <w:szCs w:val="22"/>
          <w:lang w:eastAsia="en-AU"/>
        </w:rPr>
        <w:t xml:space="preserve">Item </w:t>
      </w:r>
      <w:r w:rsidR="00E84CF3" w:rsidRPr="00B761C1">
        <w:rPr>
          <w:rFonts w:eastAsia="Times New Roman"/>
          <w:color w:val="000000"/>
          <w:sz w:val="22"/>
          <w:szCs w:val="22"/>
          <w:lang w:eastAsia="en-AU"/>
        </w:rPr>
        <w:t>6</w:t>
      </w:r>
      <w:r w:rsidRPr="00B761C1">
        <w:rPr>
          <w:rFonts w:eastAsia="Times New Roman"/>
          <w:color w:val="000000"/>
          <w:sz w:val="22"/>
          <w:szCs w:val="22"/>
          <w:lang w:eastAsia="en-AU"/>
        </w:rPr>
        <w:t xml:space="preserve"> removes the words </w:t>
      </w:r>
      <w:r w:rsidRPr="00B761C1">
        <w:rPr>
          <w:sz w:val="22"/>
          <w:szCs w:val="22"/>
        </w:rPr>
        <w:t xml:space="preserve">“In this Part” and replaces them with “For the purposes of table items 1 to 4 of the table in section 11”. This limits the application of </w:t>
      </w:r>
      <w:r w:rsidR="006A514B" w:rsidRPr="00B761C1">
        <w:rPr>
          <w:sz w:val="22"/>
          <w:szCs w:val="22"/>
        </w:rPr>
        <w:t xml:space="preserve">the definition of ‘dose’ in </w:t>
      </w:r>
      <w:r w:rsidRPr="00B761C1">
        <w:rPr>
          <w:sz w:val="22"/>
          <w:szCs w:val="22"/>
        </w:rPr>
        <w:t>subsection 10(1) to somatropin</w:t>
      </w:r>
      <w:r w:rsidR="00E223EB" w:rsidRPr="00B761C1">
        <w:rPr>
          <w:sz w:val="22"/>
          <w:szCs w:val="22"/>
        </w:rPr>
        <w:t>.</w:t>
      </w:r>
      <w:r w:rsidR="002A5D88" w:rsidRPr="00B761C1">
        <w:rPr>
          <w:sz w:val="22"/>
          <w:szCs w:val="22"/>
        </w:rPr>
        <w:t xml:space="preserve"> </w:t>
      </w:r>
    </w:p>
    <w:p w14:paraId="67F61B0D" w14:textId="507EDCF8" w:rsidR="002A5D88" w:rsidRPr="00B761C1" w:rsidRDefault="002A5D88" w:rsidP="00CE1098">
      <w:pPr>
        <w:pStyle w:val="Item"/>
        <w:spacing w:before="0" w:after="120"/>
        <w:ind w:left="0"/>
        <w:rPr>
          <w:u w:val="single"/>
        </w:rPr>
      </w:pPr>
      <w:r w:rsidRPr="00B761C1">
        <w:rPr>
          <w:u w:val="single"/>
        </w:rPr>
        <w:t xml:space="preserve">Item </w:t>
      </w:r>
      <w:r w:rsidR="00E84CF3" w:rsidRPr="00B761C1">
        <w:rPr>
          <w:u w:val="single"/>
        </w:rPr>
        <w:t>7</w:t>
      </w:r>
      <w:r w:rsidRPr="00B761C1">
        <w:rPr>
          <w:u w:val="single"/>
        </w:rPr>
        <w:t xml:space="preserve"> - S</w:t>
      </w:r>
      <w:r w:rsidR="00E223EB" w:rsidRPr="00B761C1">
        <w:rPr>
          <w:u w:val="single"/>
        </w:rPr>
        <w:t>ubs</w:t>
      </w:r>
      <w:r w:rsidRPr="00B761C1">
        <w:rPr>
          <w:u w:val="single"/>
        </w:rPr>
        <w:t>ection 10(2)</w:t>
      </w:r>
    </w:p>
    <w:p w14:paraId="20134FD7" w14:textId="1DFE0CD1" w:rsidR="002A5D88" w:rsidRPr="00B761C1" w:rsidRDefault="002A5D88" w:rsidP="00CE1098">
      <w:pPr>
        <w:pStyle w:val="Item"/>
        <w:spacing w:before="0" w:after="120"/>
        <w:ind w:left="0"/>
      </w:pPr>
      <w:r w:rsidRPr="00B761C1">
        <w:t xml:space="preserve">Item </w:t>
      </w:r>
      <w:r w:rsidR="00E84CF3" w:rsidRPr="00B761C1">
        <w:t>7</w:t>
      </w:r>
      <w:r w:rsidRPr="00B761C1">
        <w:t xml:space="preserve"> </w:t>
      </w:r>
      <w:r w:rsidR="00011FB6" w:rsidRPr="00B761C1">
        <w:t xml:space="preserve">removes the word </w:t>
      </w:r>
      <w:r w:rsidRPr="00B761C1">
        <w:t>“The”</w:t>
      </w:r>
      <w:r w:rsidR="00011FB6" w:rsidRPr="00B761C1">
        <w:t xml:space="preserve"> and replaces it with </w:t>
      </w:r>
      <w:r w:rsidRPr="00B761C1">
        <w:t>“For the purposes of table items 1 to 3 of the table in section 11</w:t>
      </w:r>
      <w:r w:rsidR="00856DCB" w:rsidRPr="00B761C1">
        <w:t>, the”</w:t>
      </w:r>
      <w:r w:rsidR="005D70B4" w:rsidRPr="00B761C1">
        <w:t xml:space="preserve">. </w:t>
      </w:r>
      <w:r w:rsidR="00011FB6" w:rsidRPr="00B761C1">
        <w:t xml:space="preserve">This </w:t>
      </w:r>
      <w:r w:rsidR="00E223EB" w:rsidRPr="00B761C1">
        <w:t xml:space="preserve">clarifies that the measurement defined in subsection 10(2) only relates to the doses of somatropin for the particular conditions listed in table items 1 to 3 in Section 11. </w:t>
      </w:r>
      <w:r w:rsidR="00011FB6" w:rsidRPr="00B761C1">
        <w:t>The table in Section 11 has been completely redrafted to include the two new pharmaceutical benefits - mecasermin and somatrogon</w:t>
      </w:r>
      <w:r w:rsidR="006A514B" w:rsidRPr="00B761C1">
        <w:t xml:space="preserve"> (see item </w:t>
      </w:r>
      <w:r w:rsidR="00856DCB" w:rsidRPr="00B761C1">
        <w:t>9</w:t>
      </w:r>
      <w:r w:rsidR="006A514B" w:rsidRPr="00B761C1">
        <w:t>)</w:t>
      </w:r>
      <w:r w:rsidR="00011FB6" w:rsidRPr="00B761C1">
        <w:t>.</w:t>
      </w:r>
    </w:p>
    <w:p w14:paraId="4B24E697" w14:textId="7CEA3327" w:rsidR="00011FB6" w:rsidRPr="00B761C1" w:rsidRDefault="00011FB6" w:rsidP="00CE1098">
      <w:pPr>
        <w:spacing w:after="120" w:line="240" w:lineRule="auto"/>
        <w:rPr>
          <w:rFonts w:eastAsia="Times New Roman"/>
          <w:color w:val="000000"/>
          <w:sz w:val="22"/>
          <w:szCs w:val="22"/>
          <w:u w:val="single"/>
          <w:lang w:eastAsia="en-AU"/>
        </w:rPr>
      </w:pPr>
      <w:r w:rsidRPr="00B761C1">
        <w:rPr>
          <w:rFonts w:eastAsia="Times New Roman"/>
          <w:color w:val="000000"/>
          <w:sz w:val="22"/>
          <w:szCs w:val="22"/>
          <w:u w:val="single"/>
          <w:lang w:eastAsia="en-AU"/>
        </w:rPr>
        <w:t xml:space="preserve">Item </w:t>
      </w:r>
      <w:r w:rsidR="00E84CF3" w:rsidRPr="00B761C1">
        <w:rPr>
          <w:rFonts w:eastAsia="Times New Roman"/>
          <w:color w:val="000000"/>
          <w:sz w:val="22"/>
          <w:szCs w:val="22"/>
          <w:u w:val="single"/>
          <w:lang w:eastAsia="en-AU"/>
        </w:rPr>
        <w:t>8</w:t>
      </w:r>
      <w:r w:rsidRPr="00B761C1">
        <w:rPr>
          <w:rFonts w:eastAsia="Times New Roman"/>
          <w:color w:val="000000"/>
          <w:sz w:val="22"/>
          <w:szCs w:val="22"/>
          <w:u w:val="single"/>
          <w:lang w:eastAsia="en-AU"/>
        </w:rPr>
        <w:t xml:space="preserve"> – Section 10(3)</w:t>
      </w:r>
    </w:p>
    <w:p w14:paraId="11EEF196" w14:textId="4C2FA51A" w:rsidR="00011FB6" w:rsidRPr="00B761C1" w:rsidRDefault="00D01423" w:rsidP="00CE1098">
      <w:pPr>
        <w:spacing w:after="120" w:line="240" w:lineRule="auto"/>
        <w:rPr>
          <w:rFonts w:eastAsia="Times New Roman"/>
          <w:color w:val="000000"/>
          <w:sz w:val="22"/>
          <w:szCs w:val="22"/>
          <w:u w:val="single"/>
          <w:lang w:eastAsia="en-AU"/>
        </w:rPr>
      </w:pPr>
      <w:r w:rsidRPr="00B761C1">
        <w:rPr>
          <w:rFonts w:eastAsia="Times New Roman"/>
          <w:color w:val="000000"/>
          <w:sz w:val="22"/>
          <w:szCs w:val="22"/>
          <w:lang w:eastAsia="en-AU"/>
        </w:rPr>
        <w:t xml:space="preserve">Item </w:t>
      </w:r>
      <w:r w:rsidR="00E84CF3" w:rsidRPr="00B761C1">
        <w:rPr>
          <w:rFonts w:eastAsia="Times New Roman"/>
          <w:color w:val="000000"/>
          <w:sz w:val="22"/>
          <w:szCs w:val="22"/>
          <w:lang w:eastAsia="en-AU"/>
        </w:rPr>
        <w:t>8</w:t>
      </w:r>
      <w:r w:rsidR="00011FB6" w:rsidRPr="00B761C1">
        <w:rPr>
          <w:rFonts w:eastAsia="Times New Roman"/>
          <w:color w:val="000000"/>
          <w:sz w:val="22"/>
          <w:szCs w:val="22"/>
          <w:lang w:eastAsia="en-AU"/>
        </w:rPr>
        <w:t xml:space="preserve"> removes the word </w:t>
      </w:r>
      <w:r w:rsidR="00011FB6" w:rsidRPr="00B761C1">
        <w:rPr>
          <w:sz w:val="22"/>
          <w:szCs w:val="22"/>
        </w:rPr>
        <w:t xml:space="preserve">“The” and replaces it with “For the purposes of table item 4 </w:t>
      </w:r>
      <w:r w:rsidR="008671E3" w:rsidRPr="00B761C1">
        <w:rPr>
          <w:sz w:val="22"/>
          <w:szCs w:val="22"/>
        </w:rPr>
        <w:t xml:space="preserve">(‘somatropin’) </w:t>
      </w:r>
      <w:r w:rsidR="00011FB6" w:rsidRPr="00B761C1">
        <w:rPr>
          <w:sz w:val="22"/>
          <w:szCs w:val="22"/>
        </w:rPr>
        <w:t>of the table in section 11</w:t>
      </w:r>
      <w:r w:rsidR="00856DCB" w:rsidRPr="00B761C1">
        <w:rPr>
          <w:sz w:val="22"/>
          <w:szCs w:val="22"/>
        </w:rPr>
        <w:t>, the”</w:t>
      </w:r>
      <w:r w:rsidR="005D70B4" w:rsidRPr="00B761C1">
        <w:rPr>
          <w:sz w:val="22"/>
          <w:szCs w:val="22"/>
        </w:rPr>
        <w:t xml:space="preserve">. </w:t>
      </w:r>
      <w:r w:rsidR="00011FB6" w:rsidRPr="00B761C1">
        <w:rPr>
          <w:sz w:val="22"/>
          <w:szCs w:val="22"/>
        </w:rPr>
        <w:t xml:space="preserve">This </w:t>
      </w:r>
      <w:r w:rsidR="00BA789C" w:rsidRPr="00B761C1">
        <w:rPr>
          <w:sz w:val="22"/>
          <w:szCs w:val="22"/>
        </w:rPr>
        <w:t xml:space="preserve">clarifies that the measurement ‘kg’ defined in subsection 10(3) only relates to the doses of somatropin for the particular condition listed in table item 4 in Section 11. </w:t>
      </w:r>
    </w:p>
    <w:p w14:paraId="53A0BCCB" w14:textId="3227AC6D" w:rsidR="008E4E51" w:rsidRPr="00B761C1" w:rsidRDefault="008E4E51" w:rsidP="00CE1098">
      <w:pPr>
        <w:spacing w:after="120" w:line="240" w:lineRule="auto"/>
        <w:rPr>
          <w:rFonts w:eastAsia="Times New Roman"/>
          <w:color w:val="000000"/>
          <w:sz w:val="22"/>
          <w:szCs w:val="22"/>
          <w:u w:val="single"/>
          <w:lang w:eastAsia="en-AU"/>
        </w:rPr>
      </w:pPr>
      <w:r w:rsidRPr="00B761C1">
        <w:rPr>
          <w:rFonts w:eastAsia="Times New Roman"/>
          <w:color w:val="000000"/>
          <w:sz w:val="22"/>
          <w:szCs w:val="22"/>
          <w:u w:val="single"/>
          <w:lang w:eastAsia="en-AU"/>
        </w:rPr>
        <w:t xml:space="preserve">Item </w:t>
      </w:r>
      <w:r w:rsidR="00E84CF3" w:rsidRPr="00B761C1">
        <w:rPr>
          <w:rFonts w:eastAsia="Times New Roman"/>
          <w:color w:val="000000"/>
          <w:sz w:val="22"/>
          <w:szCs w:val="22"/>
          <w:u w:val="single"/>
          <w:lang w:eastAsia="en-AU"/>
        </w:rPr>
        <w:t>9</w:t>
      </w:r>
      <w:r w:rsidRPr="00B761C1">
        <w:rPr>
          <w:rFonts w:eastAsia="Times New Roman"/>
          <w:color w:val="000000"/>
          <w:sz w:val="22"/>
          <w:szCs w:val="22"/>
          <w:u w:val="single"/>
          <w:lang w:eastAsia="en-AU"/>
        </w:rPr>
        <w:t xml:space="preserve"> – Section 11</w:t>
      </w:r>
    </w:p>
    <w:p w14:paraId="7C31B9DA" w14:textId="15C6D74B" w:rsidR="008357BB" w:rsidRPr="00B761C1" w:rsidRDefault="008E4E51" w:rsidP="00CE1098">
      <w:pPr>
        <w:spacing w:after="120" w:line="240" w:lineRule="auto"/>
        <w:rPr>
          <w:rFonts w:eastAsia="Times New Roman"/>
          <w:color w:val="000000"/>
          <w:sz w:val="22"/>
          <w:szCs w:val="22"/>
          <w:lang w:eastAsia="en-AU"/>
        </w:rPr>
      </w:pPr>
      <w:r w:rsidRPr="00B761C1">
        <w:rPr>
          <w:rFonts w:eastAsia="Times New Roman"/>
          <w:color w:val="000000"/>
          <w:sz w:val="22"/>
          <w:szCs w:val="22"/>
          <w:lang w:eastAsia="en-AU"/>
        </w:rPr>
        <w:t xml:space="preserve">Item </w:t>
      </w:r>
      <w:r w:rsidR="00E84CF3" w:rsidRPr="00B761C1">
        <w:rPr>
          <w:rFonts w:eastAsia="Times New Roman"/>
          <w:color w:val="000000"/>
          <w:sz w:val="22"/>
          <w:szCs w:val="22"/>
          <w:lang w:eastAsia="en-AU"/>
        </w:rPr>
        <w:t>9</w:t>
      </w:r>
      <w:r w:rsidRPr="00B761C1">
        <w:rPr>
          <w:rFonts w:eastAsia="Times New Roman"/>
          <w:color w:val="000000"/>
          <w:sz w:val="22"/>
          <w:szCs w:val="22"/>
          <w:lang w:eastAsia="en-AU"/>
        </w:rPr>
        <w:t xml:space="preserve"> </w:t>
      </w:r>
      <w:r w:rsidR="006A514B" w:rsidRPr="00B761C1">
        <w:rPr>
          <w:rFonts w:eastAsia="Times New Roman"/>
          <w:color w:val="000000"/>
          <w:sz w:val="22"/>
          <w:szCs w:val="22"/>
          <w:lang w:eastAsia="en-AU"/>
        </w:rPr>
        <w:t xml:space="preserve">repeals and substitutes </w:t>
      </w:r>
      <w:r w:rsidRPr="00B761C1">
        <w:rPr>
          <w:rFonts w:eastAsia="Times New Roman"/>
          <w:color w:val="000000"/>
          <w:sz w:val="22"/>
          <w:szCs w:val="22"/>
          <w:lang w:eastAsia="en-AU"/>
        </w:rPr>
        <w:t>Section 11</w:t>
      </w:r>
      <w:r w:rsidR="006A514B" w:rsidRPr="00B761C1">
        <w:rPr>
          <w:rFonts w:eastAsia="Times New Roman"/>
          <w:color w:val="000000"/>
          <w:sz w:val="22"/>
          <w:szCs w:val="22"/>
          <w:lang w:eastAsia="en-AU"/>
        </w:rPr>
        <w:t>,</w:t>
      </w:r>
      <w:r w:rsidRPr="00B761C1">
        <w:rPr>
          <w:rFonts w:eastAsia="Times New Roman"/>
          <w:color w:val="000000"/>
          <w:sz w:val="22"/>
          <w:szCs w:val="22"/>
          <w:lang w:eastAsia="en-AU"/>
        </w:rPr>
        <w:t xml:space="preserve"> </w:t>
      </w:r>
      <w:r w:rsidR="00BA789C" w:rsidRPr="00B761C1">
        <w:rPr>
          <w:rFonts w:eastAsia="Times New Roman"/>
          <w:color w:val="000000"/>
          <w:sz w:val="22"/>
          <w:szCs w:val="22"/>
          <w:lang w:eastAsia="en-AU"/>
        </w:rPr>
        <w:t xml:space="preserve">which </w:t>
      </w:r>
      <w:r w:rsidR="00BA789C" w:rsidRPr="00B761C1">
        <w:t>d</w:t>
      </w:r>
      <w:r w:rsidR="00BA789C" w:rsidRPr="00B761C1">
        <w:rPr>
          <w:rFonts w:eastAsia="Times New Roman"/>
          <w:color w:val="000000"/>
          <w:sz w:val="22"/>
          <w:szCs w:val="22"/>
          <w:lang w:eastAsia="en-AU"/>
        </w:rPr>
        <w:t>etails the dose restrictions that authorised prescribers must comply with when prescribing the pharmaceutical benefit for each condition during the relevant treatment phase</w:t>
      </w:r>
      <w:r w:rsidR="008357BB" w:rsidRPr="00B761C1">
        <w:rPr>
          <w:rFonts w:eastAsia="Times New Roman"/>
          <w:color w:val="000000"/>
          <w:sz w:val="22"/>
          <w:szCs w:val="22"/>
          <w:lang w:eastAsia="en-AU"/>
        </w:rPr>
        <w:t>.</w:t>
      </w:r>
      <w:r w:rsidR="005D70B4" w:rsidRPr="00B761C1">
        <w:rPr>
          <w:rFonts w:eastAsia="Times New Roman"/>
          <w:color w:val="000000"/>
          <w:sz w:val="22"/>
          <w:szCs w:val="22"/>
          <w:lang w:eastAsia="en-AU"/>
        </w:rPr>
        <w:t xml:space="preserve"> </w:t>
      </w:r>
      <w:r w:rsidR="008357BB" w:rsidRPr="00B761C1">
        <w:rPr>
          <w:rFonts w:eastAsia="Times New Roman"/>
          <w:color w:val="000000"/>
          <w:sz w:val="22"/>
          <w:szCs w:val="22"/>
          <w:lang w:eastAsia="en-AU"/>
        </w:rPr>
        <w:t xml:space="preserve">The table in Section 11 includes the two new dosing </w:t>
      </w:r>
      <w:r w:rsidR="00BA789C" w:rsidRPr="00B761C1">
        <w:rPr>
          <w:rFonts w:eastAsia="Times New Roman"/>
          <w:color w:val="000000"/>
          <w:sz w:val="22"/>
          <w:szCs w:val="22"/>
          <w:lang w:eastAsia="en-AU"/>
        </w:rPr>
        <w:t xml:space="preserve">restrictions </w:t>
      </w:r>
      <w:r w:rsidR="008357BB" w:rsidRPr="00B761C1">
        <w:rPr>
          <w:rFonts w:eastAsia="Times New Roman"/>
          <w:color w:val="000000"/>
          <w:sz w:val="22"/>
          <w:szCs w:val="22"/>
          <w:lang w:eastAsia="en-AU"/>
        </w:rPr>
        <w:t xml:space="preserve">for mecasermin and somatrogon. </w:t>
      </w:r>
      <w:r w:rsidR="006A514B" w:rsidRPr="00B761C1">
        <w:rPr>
          <w:rFonts w:eastAsia="Times New Roman"/>
          <w:color w:val="000000"/>
          <w:sz w:val="22"/>
          <w:szCs w:val="22"/>
          <w:lang w:eastAsia="en-AU"/>
        </w:rPr>
        <w:t>A</w:t>
      </w:r>
      <w:r w:rsidR="009D787E" w:rsidRPr="00B761C1">
        <w:rPr>
          <w:rFonts w:eastAsia="Times New Roman"/>
          <w:color w:val="000000"/>
          <w:sz w:val="22"/>
          <w:szCs w:val="22"/>
          <w:lang w:eastAsia="en-AU"/>
        </w:rPr>
        <w:t xml:space="preserve"> new column titled ‘Drug’ has been added to the table in Section 11 to </w:t>
      </w:r>
      <w:r w:rsidR="006A514B" w:rsidRPr="00B761C1">
        <w:rPr>
          <w:rFonts w:eastAsia="Times New Roman"/>
          <w:color w:val="000000"/>
          <w:sz w:val="22"/>
          <w:szCs w:val="22"/>
          <w:lang w:eastAsia="en-AU"/>
        </w:rPr>
        <w:t>identify which</w:t>
      </w:r>
      <w:r w:rsidR="009D787E" w:rsidRPr="00B761C1">
        <w:rPr>
          <w:rFonts w:eastAsia="Times New Roman"/>
          <w:color w:val="000000"/>
          <w:sz w:val="22"/>
          <w:szCs w:val="22"/>
          <w:lang w:eastAsia="en-AU"/>
        </w:rPr>
        <w:t xml:space="preserve"> dosing requirements </w:t>
      </w:r>
      <w:r w:rsidR="006A514B" w:rsidRPr="00B761C1">
        <w:rPr>
          <w:rFonts w:eastAsia="Times New Roman"/>
          <w:color w:val="000000"/>
          <w:sz w:val="22"/>
          <w:szCs w:val="22"/>
          <w:lang w:eastAsia="en-AU"/>
        </w:rPr>
        <w:t xml:space="preserve">apply </w:t>
      </w:r>
      <w:r w:rsidR="005D70B4" w:rsidRPr="00B761C1">
        <w:rPr>
          <w:rFonts w:eastAsia="Times New Roman"/>
          <w:color w:val="000000"/>
          <w:sz w:val="22"/>
          <w:szCs w:val="22"/>
          <w:lang w:eastAsia="en-AU"/>
        </w:rPr>
        <w:t xml:space="preserve">to </w:t>
      </w:r>
      <w:r w:rsidR="009D787E" w:rsidRPr="00B761C1">
        <w:rPr>
          <w:rFonts w:eastAsia="Times New Roman"/>
          <w:color w:val="000000"/>
          <w:sz w:val="22"/>
          <w:szCs w:val="22"/>
          <w:lang w:eastAsia="en-AU"/>
        </w:rPr>
        <w:t>pharmaceutical benefit</w:t>
      </w:r>
      <w:r w:rsidR="006A514B" w:rsidRPr="00B761C1">
        <w:rPr>
          <w:rFonts w:eastAsia="Times New Roman"/>
          <w:color w:val="000000"/>
          <w:sz w:val="22"/>
          <w:szCs w:val="22"/>
          <w:lang w:eastAsia="en-AU"/>
        </w:rPr>
        <w:t>s containing each drug. Subsection 11(4) has been removed as it was a duplication of 10(2)(b) and 10(3)(b).</w:t>
      </w:r>
    </w:p>
    <w:p w14:paraId="72C4F801" w14:textId="77777777" w:rsidR="008671E3" w:rsidRPr="00B761C1" w:rsidRDefault="008671E3" w:rsidP="00311C2C">
      <w:pPr>
        <w:spacing w:before="120"/>
        <w:jc w:val="center"/>
        <w:rPr>
          <w:b/>
          <w:sz w:val="26"/>
          <w:szCs w:val="26"/>
        </w:rPr>
      </w:pPr>
    </w:p>
    <w:p w14:paraId="70C2F08C" w14:textId="083E0488" w:rsidR="005D70B4" w:rsidRPr="00B761C1" w:rsidRDefault="005D70B4">
      <w:pPr>
        <w:rPr>
          <w:b/>
          <w:sz w:val="26"/>
          <w:szCs w:val="26"/>
        </w:rPr>
      </w:pPr>
      <w:r w:rsidRPr="00B761C1">
        <w:rPr>
          <w:b/>
          <w:sz w:val="26"/>
          <w:szCs w:val="26"/>
        </w:rPr>
        <w:br w:type="page"/>
      </w:r>
    </w:p>
    <w:p w14:paraId="779B9F7F" w14:textId="45DA6B09" w:rsidR="00311C2C" w:rsidRPr="00B761C1" w:rsidRDefault="00311C2C" w:rsidP="00311C2C">
      <w:pPr>
        <w:spacing w:before="120"/>
        <w:jc w:val="center"/>
        <w:rPr>
          <w:b/>
          <w:sz w:val="26"/>
          <w:szCs w:val="26"/>
        </w:rPr>
      </w:pPr>
      <w:r w:rsidRPr="00B761C1">
        <w:rPr>
          <w:b/>
          <w:sz w:val="26"/>
          <w:szCs w:val="26"/>
        </w:rPr>
        <w:lastRenderedPageBreak/>
        <w:t>Statement of Compatibility with Human Rights</w:t>
      </w:r>
    </w:p>
    <w:p w14:paraId="2842D48F" w14:textId="77777777" w:rsidR="00311C2C" w:rsidRPr="00B761C1" w:rsidRDefault="00311C2C" w:rsidP="00311C2C">
      <w:pPr>
        <w:spacing w:before="120"/>
        <w:jc w:val="center"/>
        <w:rPr>
          <w:i/>
          <w:sz w:val="18"/>
          <w:szCs w:val="18"/>
        </w:rPr>
      </w:pPr>
      <w:r w:rsidRPr="00B761C1">
        <w:rPr>
          <w:i/>
          <w:sz w:val="18"/>
          <w:szCs w:val="18"/>
        </w:rPr>
        <w:t>Prepared in accordance with Part 3 of the Human Rights (Parliamentary Scrutiny) Act 2011</w:t>
      </w:r>
    </w:p>
    <w:p w14:paraId="26E12A86" w14:textId="6D1A138A" w:rsidR="00311C2C" w:rsidRPr="00B761C1" w:rsidRDefault="00311C2C" w:rsidP="00311C2C">
      <w:pPr>
        <w:pStyle w:val="Heading4"/>
        <w:spacing w:after="0"/>
        <w:rPr>
          <w:i/>
          <w:iCs/>
          <w:color w:val="000000"/>
          <w:sz w:val="22"/>
          <w:szCs w:val="22"/>
        </w:rPr>
      </w:pPr>
      <w:r w:rsidRPr="00B761C1">
        <w:rPr>
          <w:i/>
          <w:iCs/>
          <w:color w:val="000000"/>
          <w:sz w:val="22"/>
          <w:szCs w:val="22"/>
        </w:rPr>
        <w:t xml:space="preserve">National Health (Growth Hormone Program) Special Arrangement Amendment (Mecasermin and Somatrogon) Instrument 2022 </w:t>
      </w:r>
    </w:p>
    <w:p w14:paraId="27290F7A" w14:textId="77777777" w:rsidR="00311C2C" w:rsidRPr="00B761C1" w:rsidRDefault="00311C2C" w:rsidP="00311C2C">
      <w:pPr>
        <w:spacing w:before="120" w:after="0"/>
        <w:jc w:val="both"/>
        <w:rPr>
          <w:sz w:val="22"/>
          <w:szCs w:val="22"/>
        </w:rPr>
      </w:pPr>
      <w:r w:rsidRPr="00B761C1">
        <w:rPr>
          <w:sz w:val="22"/>
          <w:szCs w:val="22"/>
        </w:rPr>
        <w:t xml:space="preserve">This Legislative Instrument is compatible with the human rights and freedoms recognised or declared in the international instruments listed in section 3 of the </w:t>
      </w:r>
      <w:r w:rsidRPr="00B761C1">
        <w:rPr>
          <w:i/>
          <w:sz w:val="22"/>
          <w:szCs w:val="22"/>
        </w:rPr>
        <w:t>Human Rights (Parliamentary Scrutiny) Act 2011</w:t>
      </w:r>
      <w:r w:rsidRPr="00B761C1">
        <w:rPr>
          <w:sz w:val="22"/>
          <w:szCs w:val="22"/>
        </w:rPr>
        <w:t>.</w:t>
      </w:r>
    </w:p>
    <w:p w14:paraId="6D438905" w14:textId="77777777" w:rsidR="00311C2C" w:rsidRPr="00B761C1" w:rsidRDefault="00311C2C" w:rsidP="00311C2C">
      <w:pPr>
        <w:spacing w:before="120" w:after="120"/>
        <w:jc w:val="both"/>
        <w:rPr>
          <w:b/>
          <w:sz w:val="22"/>
          <w:szCs w:val="22"/>
        </w:rPr>
      </w:pPr>
      <w:r w:rsidRPr="00B761C1">
        <w:rPr>
          <w:b/>
          <w:sz w:val="22"/>
          <w:szCs w:val="22"/>
        </w:rPr>
        <w:t>Overview of the Legislative Instrument</w:t>
      </w:r>
    </w:p>
    <w:p w14:paraId="52EC6C84" w14:textId="7E72A2F1" w:rsidR="00311C2C" w:rsidRPr="00B761C1" w:rsidRDefault="00311C2C" w:rsidP="00CE1098">
      <w:pPr>
        <w:spacing w:after="120" w:line="240" w:lineRule="auto"/>
        <w:rPr>
          <w:sz w:val="22"/>
          <w:szCs w:val="22"/>
        </w:rPr>
      </w:pPr>
      <w:r w:rsidRPr="00B761C1">
        <w:rPr>
          <w:rFonts w:eastAsia="Times New Roman"/>
          <w:color w:val="000000"/>
          <w:sz w:val="22"/>
          <w:szCs w:val="22"/>
          <w:lang w:eastAsia="en-AU"/>
        </w:rPr>
        <w:t xml:space="preserve">The </w:t>
      </w:r>
      <w:r w:rsidRPr="00B761C1">
        <w:rPr>
          <w:rFonts w:eastAsia="Times New Roman"/>
          <w:i/>
          <w:iCs/>
          <w:color w:val="000000"/>
          <w:sz w:val="22"/>
          <w:szCs w:val="22"/>
          <w:lang w:eastAsia="en-AU"/>
        </w:rPr>
        <w:t xml:space="preserve">National Health (Growth Hormone Program) Special Arrangement Amendment (Mecasermin and Somatrogon) Instrument 2022 </w:t>
      </w:r>
      <w:r w:rsidR="0025498A" w:rsidRPr="00B761C1">
        <w:rPr>
          <w:rFonts w:eastAsia="Times New Roman"/>
          <w:color w:val="000000"/>
          <w:sz w:val="22"/>
          <w:szCs w:val="22"/>
          <w:lang w:eastAsia="en-AU"/>
        </w:rPr>
        <w:t>(PB 92 of 2022)</w:t>
      </w:r>
      <w:r w:rsidRPr="00B761C1">
        <w:rPr>
          <w:rFonts w:eastAsia="Times New Roman"/>
          <w:color w:val="000000"/>
          <w:sz w:val="22"/>
          <w:szCs w:val="22"/>
          <w:lang w:eastAsia="en-AU"/>
        </w:rPr>
        <w:t> (the Amendment Instrument) amends the </w:t>
      </w:r>
      <w:r w:rsidRPr="00B761C1">
        <w:rPr>
          <w:rFonts w:eastAsia="Times New Roman"/>
          <w:i/>
          <w:iCs/>
          <w:color w:val="000000"/>
          <w:sz w:val="22"/>
          <w:szCs w:val="22"/>
          <w:lang w:eastAsia="en-AU"/>
        </w:rPr>
        <w:t>National Health (Growth Hormone Program) Special Arrangement 2015</w:t>
      </w:r>
      <w:r w:rsidRPr="00B761C1">
        <w:rPr>
          <w:rFonts w:eastAsia="Times New Roman"/>
          <w:color w:val="000000"/>
          <w:sz w:val="22"/>
          <w:szCs w:val="22"/>
          <w:lang w:eastAsia="en-AU"/>
        </w:rPr>
        <w:t> (PB 85 of 2015) (</w:t>
      </w:r>
      <w:r w:rsidR="00BA789C" w:rsidRPr="00B761C1">
        <w:rPr>
          <w:rFonts w:eastAsia="Times New Roman"/>
          <w:color w:val="000000"/>
          <w:sz w:val="22"/>
          <w:szCs w:val="22"/>
          <w:lang w:eastAsia="en-AU"/>
        </w:rPr>
        <w:t>Growth Hormone Special Arrangement</w:t>
      </w:r>
      <w:r w:rsidRPr="00B761C1">
        <w:rPr>
          <w:rFonts w:eastAsia="Times New Roman"/>
          <w:color w:val="000000"/>
          <w:sz w:val="22"/>
          <w:szCs w:val="22"/>
          <w:lang w:eastAsia="en-AU"/>
        </w:rPr>
        <w:t>)</w:t>
      </w:r>
      <w:r w:rsidR="002153B8" w:rsidRPr="00B761C1">
        <w:rPr>
          <w:rFonts w:eastAsia="Times New Roman"/>
          <w:color w:val="000000"/>
          <w:sz w:val="22"/>
          <w:szCs w:val="22"/>
          <w:lang w:eastAsia="en-AU"/>
        </w:rPr>
        <w:t xml:space="preserve">. </w:t>
      </w:r>
      <w:r w:rsidR="002153B8" w:rsidRPr="00B761C1">
        <w:rPr>
          <w:color w:val="000000"/>
          <w:sz w:val="22"/>
          <w:szCs w:val="22"/>
        </w:rPr>
        <w:t>The purpose of the amendments is to include provision for the supply of</w:t>
      </w:r>
      <w:r w:rsidRPr="00B761C1">
        <w:rPr>
          <w:rFonts w:eastAsia="Times New Roman"/>
          <w:color w:val="000000"/>
          <w:sz w:val="22"/>
          <w:szCs w:val="22"/>
          <w:lang w:eastAsia="en-AU"/>
        </w:rPr>
        <w:t xml:space="preserve"> two new medicines </w:t>
      </w:r>
      <w:r w:rsidR="002153B8" w:rsidRPr="00B761C1">
        <w:rPr>
          <w:color w:val="000000"/>
          <w:sz w:val="22"/>
          <w:szCs w:val="22"/>
        </w:rPr>
        <w:t>(</w:t>
      </w:r>
      <w:r w:rsidR="005D70B4" w:rsidRPr="00B761C1">
        <w:rPr>
          <w:color w:val="000000"/>
          <w:sz w:val="22"/>
          <w:szCs w:val="22"/>
        </w:rPr>
        <w:t xml:space="preserve">mecasermin and </w:t>
      </w:r>
      <w:r w:rsidR="002153B8" w:rsidRPr="00B761C1">
        <w:rPr>
          <w:color w:val="000000"/>
          <w:sz w:val="22"/>
          <w:szCs w:val="22"/>
        </w:rPr>
        <w:t xml:space="preserve">somatrogon) for the treatment of children with particular conditions, </w:t>
      </w:r>
      <w:r w:rsidRPr="00B761C1">
        <w:rPr>
          <w:sz w:val="22"/>
          <w:szCs w:val="22"/>
        </w:rPr>
        <w:t>consistent with recommendations of the Pharmaceutical Benefits Advisory Committee (PBAC) made in March 2022.</w:t>
      </w:r>
    </w:p>
    <w:p w14:paraId="0DC41EB7" w14:textId="790470BF" w:rsidR="007C212F" w:rsidRPr="00B761C1" w:rsidRDefault="007C212F" w:rsidP="007C212F">
      <w:pPr>
        <w:rPr>
          <w:sz w:val="22"/>
          <w:szCs w:val="22"/>
        </w:rPr>
      </w:pPr>
      <w:r w:rsidRPr="00B761C1">
        <w:rPr>
          <w:sz w:val="22"/>
          <w:szCs w:val="22"/>
        </w:rPr>
        <w:t xml:space="preserve">The purpose of this instrument is to enable subsidised access to two specific drugs for children, with the drugs </w:t>
      </w:r>
      <w:r w:rsidR="00D83DDE" w:rsidRPr="00B761C1">
        <w:rPr>
          <w:sz w:val="22"/>
          <w:szCs w:val="22"/>
        </w:rPr>
        <w:t xml:space="preserve">promoting growth </w:t>
      </w:r>
      <w:r w:rsidR="00857EF7" w:rsidRPr="00B761C1">
        <w:rPr>
          <w:sz w:val="22"/>
          <w:szCs w:val="22"/>
        </w:rPr>
        <w:t xml:space="preserve">in height </w:t>
      </w:r>
      <w:r w:rsidRPr="00B761C1">
        <w:rPr>
          <w:sz w:val="22"/>
          <w:szCs w:val="22"/>
        </w:rPr>
        <w:t>and not any non-gender affirming hormones.</w:t>
      </w:r>
    </w:p>
    <w:p w14:paraId="55019F15" w14:textId="77777777" w:rsidR="002B3890" w:rsidRPr="00B761C1" w:rsidRDefault="002B3890" w:rsidP="002B3890">
      <w:pPr>
        <w:spacing w:after="120" w:line="240" w:lineRule="auto"/>
        <w:rPr>
          <w:rFonts w:eastAsia="Times New Roman"/>
          <w:color w:val="222222"/>
          <w:sz w:val="22"/>
          <w:szCs w:val="22"/>
          <w:lang w:eastAsia="en-AU"/>
        </w:rPr>
      </w:pPr>
      <w:r w:rsidRPr="00B761C1">
        <w:rPr>
          <w:rFonts w:eastAsia="Times New Roman"/>
          <w:color w:val="222222"/>
          <w:sz w:val="22"/>
          <w:szCs w:val="22"/>
          <w:lang w:eastAsia="en-AU"/>
        </w:rPr>
        <w:t>Growth hormone is produced by our brain’s pituitary gland and governs our height, bone length and muscle growth. Our b</w:t>
      </w:r>
      <w:r w:rsidRPr="00B761C1">
        <w:rPr>
          <w:color w:val="222222"/>
          <w:sz w:val="22"/>
          <w:szCs w:val="22"/>
          <w:shd w:val="clear" w:color="auto" w:fill="FFFFFF"/>
        </w:rPr>
        <w:t>ones need enough growth hormone during our childhood and adolescence in order to lengthen to adult proportions. Growth hormone prompts our liver to make a substance called insulin-like growth factor (IGF-1). This and other similar compounds are involved in bone growth. Taking synthesised growth hormone can help people reach their full height.</w:t>
      </w:r>
    </w:p>
    <w:p w14:paraId="3A66489F" w14:textId="3F1F42AE" w:rsidR="002B3890" w:rsidRPr="00B761C1" w:rsidRDefault="002B3890" w:rsidP="002B3890">
      <w:pPr>
        <w:shd w:val="clear" w:color="auto" w:fill="FFFFFF"/>
        <w:spacing w:after="120" w:line="240" w:lineRule="auto"/>
        <w:rPr>
          <w:sz w:val="22"/>
          <w:szCs w:val="22"/>
        </w:rPr>
      </w:pPr>
      <w:r w:rsidRPr="00B761C1">
        <w:rPr>
          <w:rFonts w:eastAsia="Times New Roman"/>
          <w:color w:val="000000"/>
          <w:sz w:val="22"/>
          <w:szCs w:val="22"/>
          <w:lang w:eastAsia="en-AU"/>
        </w:rPr>
        <w:t>A person’s age, sex, body weight and skeletal maturity are some of the factors taken into consideration when prescribing growth hormone medicines and determining correct dosage. The Growth Hormone Special Arrangement defines these terms for the purposes of patient eligibility based on clinical evidence and the expert opinion of the PBAC.</w:t>
      </w:r>
    </w:p>
    <w:p w14:paraId="37DAFE3D" w14:textId="0EE205FE" w:rsidR="007C212F" w:rsidRPr="00B761C1" w:rsidRDefault="007C212F" w:rsidP="007C212F">
      <w:pPr>
        <w:rPr>
          <w:rFonts w:eastAsia="Times New Roman"/>
          <w:sz w:val="22"/>
          <w:szCs w:val="22"/>
        </w:rPr>
      </w:pPr>
      <w:r w:rsidRPr="00B761C1">
        <w:rPr>
          <w:sz w:val="22"/>
          <w:szCs w:val="22"/>
        </w:rPr>
        <w:t xml:space="preserve">There are checks and balances on provision of the drugs to prevent harmful effects on children </w:t>
      </w:r>
      <w:r w:rsidR="00BA789C" w:rsidRPr="00B761C1">
        <w:rPr>
          <w:sz w:val="22"/>
          <w:szCs w:val="22"/>
        </w:rPr>
        <w:t xml:space="preserve">by restricting who can be an authorised prescriber </w:t>
      </w:r>
      <w:r w:rsidRPr="00B761C1">
        <w:rPr>
          <w:sz w:val="22"/>
          <w:szCs w:val="22"/>
        </w:rPr>
        <w:t xml:space="preserve">and providing for </w:t>
      </w:r>
      <w:r w:rsidR="00BA789C" w:rsidRPr="00B761C1">
        <w:rPr>
          <w:sz w:val="22"/>
          <w:szCs w:val="22"/>
        </w:rPr>
        <w:t>a maximum dosage for each pharmaceutical benefit.</w:t>
      </w:r>
    </w:p>
    <w:p w14:paraId="0DC0DA20" w14:textId="11005464" w:rsidR="00283314" w:rsidRPr="00B761C1" w:rsidRDefault="00311C2C" w:rsidP="00CE1098">
      <w:pPr>
        <w:spacing w:after="120" w:line="240" w:lineRule="auto"/>
        <w:rPr>
          <w:sz w:val="22"/>
          <w:szCs w:val="22"/>
        </w:rPr>
      </w:pPr>
      <w:r w:rsidRPr="00B761C1">
        <w:rPr>
          <w:rFonts w:eastAsia="Times New Roman"/>
          <w:color w:val="000000"/>
          <w:sz w:val="22"/>
          <w:szCs w:val="22"/>
          <w:lang w:eastAsia="en-AU"/>
        </w:rPr>
        <w:t xml:space="preserve">The amendments will ensure that the appropriate pharmaceutical benefits listed in Schedule 1 to the </w:t>
      </w:r>
      <w:r w:rsidR="00B86EBF" w:rsidRPr="00B761C1">
        <w:rPr>
          <w:sz w:val="22"/>
          <w:szCs w:val="22"/>
        </w:rPr>
        <w:t xml:space="preserve">Growth Hormone Special Arrangement </w:t>
      </w:r>
      <w:r w:rsidRPr="00B761C1">
        <w:rPr>
          <w:rFonts w:eastAsia="Times New Roman"/>
          <w:color w:val="000000"/>
          <w:sz w:val="22"/>
          <w:szCs w:val="22"/>
          <w:lang w:eastAsia="en-AU"/>
        </w:rPr>
        <w:t xml:space="preserve">are available for eligible patients who require treatment with </w:t>
      </w:r>
      <w:r w:rsidR="005D70B4" w:rsidRPr="00B761C1">
        <w:rPr>
          <w:rFonts w:eastAsia="Times New Roman"/>
          <w:color w:val="000000"/>
          <w:sz w:val="22"/>
          <w:szCs w:val="22"/>
          <w:lang w:eastAsia="en-AU"/>
        </w:rPr>
        <w:t xml:space="preserve">mecasermin or </w:t>
      </w:r>
      <w:r w:rsidRPr="00B761C1">
        <w:rPr>
          <w:rFonts w:eastAsia="Times New Roman"/>
          <w:color w:val="000000"/>
          <w:sz w:val="22"/>
          <w:szCs w:val="22"/>
          <w:lang w:eastAsia="en-AU"/>
        </w:rPr>
        <w:t>somatrogon in line with their diagnosis</w:t>
      </w:r>
      <w:r w:rsidR="00D55850" w:rsidRPr="00B761C1">
        <w:rPr>
          <w:rFonts w:eastAsia="Times New Roman"/>
          <w:color w:val="000000"/>
          <w:sz w:val="22"/>
          <w:szCs w:val="22"/>
          <w:lang w:eastAsia="en-AU"/>
        </w:rPr>
        <w:t xml:space="preserve"> </w:t>
      </w:r>
      <w:r w:rsidR="00857EF7" w:rsidRPr="00B761C1">
        <w:rPr>
          <w:rFonts w:eastAsia="Times New Roman"/>
          <w:color w:val="000000"/>
          <w:sz w:val="22"/>
          <w:szCs w:val="22"/>
          <w:lang w:eastAsia="en-AU"/>
        </w:rPr>
        <w:t>and clinical circumstances.</w:t>
      </w:r>
      <w:r w:rsidR="001632C0" w:rsidRPr="00B761C1">
        <w:rPr>
          <w:rFonts w:eastAsia="Times New Roman"/>
          <w:color w:val="000000"/>
          <w:sz w:val="22"/>
          <w:szCs w:val="22"/>
          <w:lang w:eastAsia="en-AU"/>
        </w:rPr>
        <w:t xml:space="preserve"> </w:t>
      </w:r>
      <w:r w:rsidR="00283314" w:rsidRPr="00B761C1">
        <w:rPr>
          <w:sz w:val="22"/>
          <w:szCs w:val="22"/>
        </w:rPr>
        <w:t>The amendments made by the </w:t>
      </w:r>
      <w:r w:rsidR="00392441" w:rsidRPr="00B761C1">
        <w:rPr>
          <w:sz w:val="22"/>
          <w:szCs w:val="22"/>
        </w:rPr>
        <w:t xml:space="preserve">Amendment </w:t>
      </w:r>
      <w:r w:rsidR="00283314" w:rsidRPr="00B761C1">
        <w:rPr>
          <w:sz w:val="22"/>
          <w:szCs w:val="22"/>
        </w:rPr>
        <w:t xml:space="preserve">Instrument are consistent with amendments to the </w:t>
      </w:r>
      <w:r w:rsidR="002B3890" w:rsidRPr="00B761C1">
        <w:rPr>
          <w:i/>
          <w:iCs/>
          <w:sz w:val="22"/>
          <w:szCs w:val="22"/>
        </w:rPr>
        <w:t>National Health (Listing of Pharmaceutical Benefits) Instrument 2012</w:t>
      </w:r>
      <w:r w:rsidR="002B3890" w:rsidRPr="00B761C1">
        <w:rPr>
          <w:sz w:val="22"/>
          <w:szCs w:val="22"/>
        </w:rPr>
        <w:t xml:space="preserve"> (PB 71 of 2012</w:t>
      </w:r>
      <w:r w:rsidR="00D427A8" w:rsidRPr="00B761C1">
        <w:rPr>
          <w:sz w:val="22"/>
          <w:szCs w:val="22"/>
        </w:rPr>
        <w:t>)</w:t>
      </w:r>
      <w:r w:rsidR="00283314" w:rsidRPr="00B761C1">
        <w:rPr>
          <w:sz w:val="22"/>
          <w:szCs w:val="22"/>
        </w:rPr>
        <w:t xml:space="preserve"> (the Listing Instrument) concerning </w:t>
      </w:r>
      <w:r w:rsidR="00E94AA1" w:rsidRPr="00B761C1">
        <w:rPr>
          <w:sz w:val="22"/>
          <w:szCs w:val="22"/>
        </w:rPr>
        <w:t>mecasermin and somatrogon</w:t>
      </w:r>
      <w:r w:rsidR="00283314" w:rsidRPr="00B761C1">
        <w:rPr>
          <w:sz w:val="22"/>
          <w:szCs w:val="22"/>
        </w:rPr>
        <w:t>, which commence on the same day.  The Listing Instrument is made under sections 84AF, 84AK, 85, 85A, 88 and 101 of the Act.</w:t>
      </w:r>
    </w:p>
    <w:p w14:paraId="3BC34D43" w14:textId="31AF583B" w:rsidR="00283314" w:rsidRPr="00B761C1" w:rsidRDefault="00283314" w:rsidP="00392441">
      <w:pPr>
        <w:shd w:val="clear" w:color="auto" w:fill="FFFFFF"/>
        <w:spacing w:after="120" w:line="240" w:lineRule="auto"/>
        <w:rPr>
          <w:rFonts w:eastAsia="Times New Roman"/>
          <w:color w:val="000000"/>
          <w:sz w:val="22"/>
          <w:szCs w:val="22"/>
          <w:lang w:eastAsia="en-AU"/>
        </w:rPr>
      </w:pPr>
      <w:r w:rsidRPr="00B761C1">
        <w:rPr>
          <w:b/>
          <w:sz w:val="22"/>
          <w:szCs w:val="22"/>
        </w:rPr>
        <w:t>Human Rights Implications</w:t>
      </w:r>
    </w:p>
    <w:p w14:paraId="4E77CB28" w14:textId="1E5BDA3A" w:rsidR="00283314" w:rsidRPr="00B761C1" w:rsidRDefault="00283314" w:rsidP="00CE1098">
      <w:pPr>
        <w:spacing w:after="120" w:line="240" w:lineRule="auto"/>
        <w:rPr>
          <w:sz w:val="22"/>
          <w:szCs w:val="22"/>
        </w:rPr>
      </w:pPr>
      <w:r w:rsidRPr="00B761C1">
        <w:rPr>
          <w:sz w:val="22"/>
          <w:szCs w:val="22"/>
        </w:rPr>
        <w:t>This Legislative Instrument engages Article</w:t>
      </w:r>
      <w:r w:rsidR="003A04BD" w:rsidRPr="00B761C1">
        <w:rPr>
          <w:sz w:val="22"/>
          <w:szCs w:val="22"/>
        </w:rPr>
        <w:t>s</w:t>
      </w:r>
      <w:r w:rsidR="00B45418" w:rsidRPr="00B761C1">
        <w:rPr>
          <w:sz w:val="22"/>
          <w:szCs w:val="22"/>
        </w:rPr>
        <w:t xml:space="preserve"> </w:t>
      </w:r>
      <w:r w:rsidR="003A04BD" w:rsidRPr="00B761C1">
        <w:rPr>
          <w:sz w:val="22"/>
          <w:szCs w:val="22"/>
        </w:rPr>
        <w:t>9 and</w:t>
      </w:r>
      <w:r w:rsidRPr="00B761C1">
        <w:rPr>
          <w:sz w:val="22"/>
          <w:szCs w:val="22"/>
        </w:rPr>
        <w:t xml:space="preserve"> 12 of the International Covenant on Economic, Social and Cultural Rights (ICESCR) by assisting with the progressive realisation by all appropriate means of the right of everyone </w:t>
      </w:r>
      <w:r w:rsidR="00FD5C9B" w:rsidRPr="00B761C1">
        <w:rPr>
          <w:sz w:val="22"/>
          <w:szCs w:val="22"/>
        </w:rPr>
        <w:t xml:space="preserve">to social security and </w:t>
      </w:r>
      <w:r w:rsidRPr="00B761C1">
        <w:rPr>
          <w:sz w:val="22"/>
          <w:szCs w:val="22"/>
        </w:rPr>
        <w:t>to the enjoyment of the highest attainable standard of physical and mental health.</w:t>
      </w:r>
      <w:r w:rsidR="007C212F" w:rsidRPr="00B761C1">
        <w:rPr>
          <w:sz w:val="22"/>
          <w:szCs w:val="22"/>
        </w:rPr>
        <w:t xml:space="preserve"> It also engages Article 24 of the Convention on the Rights of the Child. Article 24(1) relevantly provides for the right of the child to the highest attainable standard of health and ensuring no child is deprived of his or her right to access to such health care services. Article 24(2) goes on to provide that States Parties to the Convention shall take appropriate measures to (b) ensure the provision of necessary medical assistance and health care to all children.</w:t>
      </w:r>
    </w:p>
    <w:p w14:paraId="64B9AE85" w14:textId="4AB98DD5" w:rsidR="00283314" w:rsidRPr="00B761C1" w:rsidRDefault="00283314" w:rsidP="00CE1098">
      <w:pPr>
        <w:spacing w:after="0"/>
        <w:rPr>
          <w:sz w:val="22"/>
          <w:szCs w:val="22"/>
        </w:rPr>
      </w:pPr>
      <w:r w:rsidRPr="00B761C1">
        <w:rPr>
          <w:sz w:val="22"/>
          <w:szCs w:val="22"/>
        </w:rPr>
        <w:t xml:space="preserve">This </w:t>
      </w:r>
      <w:r w:rsidR="002B3890" w:rsidRPr="00B761C1">
        <w:rPr>
          <w:sz w:val="22"/>
          <w:szCs w:val="22"/>
        </w:rPr>
        <w:t xml:space="preserve">Legislative </w:t>
      </w:r>
      <w:r w:rsidRPr="00B761C1">
        <w:rPr>
          <w:sz w:val="22"/>
          <w:szCs w:val="22"/>
        </w:rPr>
        <w:t>Instrument assists with the advancement of th</w:t>
      </w:r>
      <w:r w:rsidR="00FD5C9B" w:rsidRPr="00B761C1">
        <w:rPr>
          <w:sz w:val="22"/>
          <w:szCs w:val="22"/>
        </w:rPr>
        <w:t>e</w:t>
      </w:r>
      <w:r w:rsidRPr="00B761C1">
        <w:rPr>
          <w:sz w:val="22"/>
          <w:szCs w:val="22"/>
        </w:rPr>
        <w:t>s</w:t>
      </w:r>
      <w:r w:rsidR="00FD5C9B" w:rsidRPr="00B761C1">
        <w:rPr>
          <w:sz w:val="22"/>
          <w:szCs w:val="22"/>
        </w:rPr>
        <w:t>e</w:t>
      </w:r>
      <w:r w:rsidRPr="00B761C1">
        <w:rPr>
          <w:sz w:val="22"/>
          <w:szCs w:val="22"/>
        </w:rPr>
        <w:t xml:space="preserve"> right</w:t>
      </w:r>
      <w:r w:rsidR="00FD5C9B" w:rsidRPr="00B761C1">
        <w:rPr>
          <w:sz w:val="22"/>
          <w:szCs w:val="22"/>
        </w:rPr>
        <w:t>s</w:t>
      </w:r>
      <w:r w:rsidRPr="00B761C1">
        <w:rPr>
          <w:sz w:val="22"/>
          <w:szCs w:val="22"/>
        </w:rPr>
        <w:t xml:space="preserve"> by ensuring access to PBS subsidised </w:t>
      </w:r>
      <w:r w:rsidR="005D70B4" w:rsidRPr="00B761C1">
        <w:rPr>
          <w:sz w:val="22"/>
          <w:szCs w:val="22"/>
        </w:rPr>
        <w:t>mecasermin and s</w:t>
      </w:r>
      <w:r w:rsidRPr="00B761C1">
        <w:rPr>
          <w:sz w:val="22"/>
          <w:szCs w:val="22"/>
        </w:rPr>
        <w:t>omatrogon (growth hormone) treatment for paediatric patients in line with their diagnosis and appropriate age measure.</w:t>
      </w:r>
    </w:p>
    <w:p w14:paraId="42692139" w14:textId="77777777" w:rsidR="00283314" w:rsidRPr="00B761C1" w:rsidRDefault="00283314" w:rsidP="00CE1098">
      <w:pPr>
        <w:spacing w:before="120" w:after="120"/>
        <w:rPr>
          <w:sz w:val="22"/>
          <w:szCs w:val="22"/>
        </w:rPr>
      </w:pPr>
      <w:r w:rsidRPr="00B761C1">
        <w:rPr>
          <w:b/>
          <w:sz w:val="22"/>
          <w:szCs w:val="22"/>
        </w:rPr>
        <w:lastRenderedPageBreak/>
        <w:t>Conclusion</w:t>
      </w:r>
    </w:p>
    <w:p w14:paraId="562C59AD" w14:textId="55D6481C" w:rsidR="00283314" w:rsidRPr="00B761C1" w:rsidRDefault="00283314" w:rsidP="00CE1098">
      <w:pPr>
        <w:spacing w:before="120" w:after="120"/>
        <w:rPr>
          <w:sz w:val="22"/>
          <w:szCs w:val="22"/>
        </w:rPr>
      </w:pPr>
      <w:r w:rsidRPr="00B761C1">
        <w:rPr>
          <w:sz w:val="22"/>
          <w:szCs w:val="22"/>
        </w:rPr>
        <w:t xml:space="preserve">This Legislative Instrument is compatible with human rights because it </w:t>
      </w:r>
      <w:r w:rsidR="002B3890" w:rsidRPr="00B761C1">
        <w:rPr>
          <w:sz w:val="22"/>
          <w:szCs w:val="22"/>
        </w:rPr>
        <w:t xml:space="preserve">promotes </w:t>
      </w:r>
      <w:r w:rsidRPr="00B761C1">
        <w:rPr>
          <w:sz w:val="22"/>
          <w:szCs w:val="22"/>
        </w:rPr>
        <w:t>the protection of human rights.</w:t>
      </w:r>
    </w:p>
    <w:p w14:paraId="7E79371B" w14:textId="77777777" w:rsidR="00283314" w:rsidRPr="00B761C1" w:rsidRDefault="00283314" w:rsidP="00283314">
      <w:pPr>
        <w:spacing w:after="120"/>
        <w:jc w:val="both"/>
        <w:rPr>
          <w:sz w:val="22"/>
          <w:szCs w:val="22"/>
        </w:rPr>
      </w:pPr>
      <w:r w:rsidRPr="00B761C1">
        <w:rPr>
          <w:sz w:val="22"/>
          <w:szCs w:val="22"/>
        </w:rPr>
        <w:t>.</w:t>
      </w:r>
    </w:p>
    <w:p w14:paraId="0B441148" w14:textId="77777777" w:rsidR="00283314" w:rsidRPr="00B761C1" w:rsidRDefault="00283314" w:rsidP="00283314">
      <w:pPr>
        <w:widowControl w:val="0"/>
        <w:tabs>
          <w:tab w:val="left" w:pos="3119"/>
        </w:tabs>
        <w:spacing w:after="0" w:line="300" w:lineRule="atLeast"/>
        <w:jc w:val="center"/>
        <w:rPr>
          <w:b/>
          <w:sz w:val="22"/>
          <w:szCs w:val="22"/>
        </w:rPr>
      </w:pPr>
      <w:r w:rsidRPr="00B761C1">
        <w:rPr>
          <w:b/>
          <w:sz w:val="22"/>
          <w:szCs w:val="22"/>
        </w:rPr>
        <w:t>David Laffan</w:t>
      </w:r>
    </w:p>
    <w:p w14:paraId="4D579E0B" w14:textId="77777777" w:rsidR="00283314" w:rsidRPr="00B761C1" w:rsidRDefault="00283314" w:rsidP="00283314">
      <w:pPr>
        <w:widowControl w:val="0"/>
        <w:tabs>
          <w:tab w:val="left" w:pos="3119"/>
        </w:tabs>
        <w:spacing w:after="0" w:line="300" w:lineRule="atLeast"/>
        <w:jc w:val="center"/>
        <w:rPr>
          <w:b/>
          <w:sz w:val="22"/>
          <w:szCs w:val="22"/>
        </w:rPr>
      </w:pPr>
      <w:r w:rsidRPr="00B761C1">
        <w:rPr>
          <w:b/>
          <w:sz w:val="22"/>
          <w:szCs w:val="22"/>
        </w:rPr>
        <w:t>Assistant Secretary, Pharmacy Branch</w:t>
      </w:r>
    </w:p>
    <w:p w14:paraId="69446D93" w14:textId="04EA1AB3" w:rsidR="00D377A8" w:rsidRPr="00F00FE8" w:rsidRDefault="00283314" w:rsidP="00CE1098">
      <w:pPr>
        <w:widowControl w:val="0"/>
        <w:tabs>
          <w:tab w:val="left" w:pos="3119"/>
        </w:tabs>
        <w:spacing w:after="0" w:line="300" w:lineRule="atLeast"/>
        <w:jc w:val="center"/>
        <w:rPr>
          <w:rFonts w:asciiTheme="minorHAnsi" w:eastAsia="Times New Roman" w:hAnsiTheme="minorHAnsi" w:cstheme="minorHAnsi"/>
          <w:color w:val="000000"/>
          <w:sz w:val="22"/>
          <w:szCs w:val="22"/>
          <w:lang w:eastAsia="en-AU"/>
        </w:rPr>
      </w:pPr>
      <w:r w:rsidRPr="00B761C1">
        <w:rPr>
          <w:b/>
          <w:sz w:val="22"/>
          <w:szCs w:val="22"/>
        </w:rPr>
        <w:t>Department of Health and Aged Care</w:t>
      </w:r>
    </w:p>
    <w:sectPr w:rsidR="00D377A8" w:rsidRPr="00F00FE8" w:rsidSect="001A2047">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4686"/>
    <w:multiLevelType w:val="hybridMultilevel"/>
    <w:tmpl w:val="DF80E712"/>
    <w:lvl w:ilvl="0" w:tplc="7F72CDE2">
      <w:start w:val="20"/>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AAA5D85"/>
    <w:multiLevelType w:val="hybridMultilevel"/>
    <w:tmpl w:val="E5DA9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5239E4"/>
    <w:multiLevelType w:val="hybridMultilevel"/>
    <w:tmpl w:val="567C372C"/>
    <w:lvl w:ilvl="0" w:tplc="9394035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137FEF"/>
    <w:multiLevelType w:val="hybridMultilevel"/>
    <w:tmpl w:val="99C6B9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B44328"/>
    <w:multiLevelType w:val="hybridMultilevel"/>
    <w:tmpl w:val="3A58CD38"/>
    <w:lvl w:ilvl="0" w:tplc="34B0C670">
      <w:numFmt w:val="bullet"/>
      <w:lvlText w:val="-"/>
      <w:lvlJc w:val="left"/>
      <w:pPr>
        <w:ind w:left="786" w:hanging="360"/>
      </w:pPr>
      <w:rPr>
        <w:rFonts w:ascii="Times New Roman" w:eastAsiaTheme="minorHAnsi" w:hAnsi="Times New Roman" w:cs="Times New Roman"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 w15:restartNumberingAfterBreak="0">
    <w:nsid w:val="2C101E3B"/>
    <w:multiLevelType w:val="multilevel"/>
    <w:tmpl w:val="F60C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59033B"/>
    <w:multiLevelType w:val="hybridMultilevel"/>
    <w:tmpl w:val="AFAA8A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FFF5B19"/>
    <w:multiLevelType w:val="hybridMultilevel"/>
    <w:tmpl w:val="34D64D1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8" w15:restartNumberingAfterBreak="0">
    <w:nsid w:val="46BE2A4A"/>
    <w:multiLevelType w:val="hybridMultilevel"/>
    <w:tmpl w:val="37423FBA"/>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9" w15:restartNumberingAfterBreak="0">
    <w:nsid w:val="4763751D"/>
    <w:multiLevelType w:val="hybridMultilevel"/>
    <w:tmpl w:val="A0A45516"/>
    <w:lvl w:ilvl="0" w:tplc="C682FF8E">
      <w:start w:val="2"/>
      <w:numFmt w:val="bullet"/>
      <w:lvlText w:val="-"/>
      <w:lvlJc w:val="left"/>
      <w:pPr>
        <w:ind w:left="420" w:hanging="360"/>
      </w:pPr>
      <w:rPr>
        <w:rFonts w:ascii="Times New Roman" w:eastAsia="Times New Roman"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0" w15:restartNumberingAfterBreak="0">
    <w:nsid w:val="4E9D2B35"/>
    <w:multiLevelType w:val="hybridMultilevel"/>
    <w:tmpl w:val="FF2834D6"/>
    <w:lvl w:ilvl="0" w:tplc="FF62E7CC">
      <w:numFmt w:val="bullet"/>
      <w:lvlText w:val="-"/>
      <w:lvlJc w:val="left"/>
      <w:pPr>
        <w:ind w:left="420" w:hanging="360"/>
      </w:pPr>
      <w:rPr>
        <w:rFonts w:ascii="Times New Roman" w:eastAsia="Calibri" w:hAnsi="Times New Roman" w:cs="Times New Roman" w:hint="default"/>
        <w:color w:val="auto"/>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1" w15:restartNumberingAfterBreak="0">
    <w:nsid w:val="4F3B62C1"/>
    <w:multiLevelType w:val="hybridMultilevel"/>
    <w:tmpl w:val="8CB202FC"/>
    <w:lvl w:ilvl="0" w:tplc="D10C3738">
      <w:start w:val="1"/>
      <w:numFmt w:val="decimal"/>
      <w:lvlText w:val="%1."/>
      <w:lvlJc w:val="left"/>
      <w:pPr>
        <w:ind w:left="360" w:hanging="360"/>
      </w:pPr>
      <w:rPr>
        <w:b w:val="0"/>
        <w:bCs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F087BEF"/>
    <w:multiLevelType w:val="hybridMultilevel"/>
    <w:tmpl w:val="A92A28C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FCA1D06"/>
    <w:multiLevelType w:val="hybridMultilevel"/>
    <w:tmpl w:val="39085C9E"/>
    <w:lvl w:ilvl="0" w:tplc="0C090003">
      <w:start w:val="1"/>
      <w:numFmt w:val="bullet"/>
      <w:lvlText w:val="o"/>
      <w:lvlJc w:val="left"/>
      <w:pPr>
        <w:ind w:left="1145" w:hanging="360"/>
      </w:pPr>
      <w:rPr>
        <w:rFonts w:ascii="Courier New" w:hAnsi="Courier New" w:cs="Courier New"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4" w15:restartNumberingAfterBreak="0">
    <w:nsid w:val="68235F2D"/>
    <w:multiLevelType w:val="hybridMultilevel"/>
    <w:tmpl w:val="5D227A22"/>
    <w:lvl w:ilvl="0" w:tplc="2282382C">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D860C87"/>
    <w:multiLevelType w:val="hybridMultilevel"/>
    <w:tmpl w:val="EDCEB0B8"/>
    <w:lvl w:ilvl="0" w:tplc="85966826">
      <w:numFmt w:val="bullet"/>
      <w:lvlText w:val="-"/>
      <w:lvlJc w:val="left"/>
      <w:pPr>
        <w:ind w:left="410" w:hanging="360"/>
      </w:pPr>
      <w:rPr>
        <w:rFonts w:ascii="Times New Roman" w:eastAsiaTheme="minorHAnsi" w:hAnsi="Times New Roman" w:cs="Times New Roman" w:hint="default"/>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7" w15:restartNumberingAfterBreak="0">
    <w:nsid w:val="710C2925"/>
    <w:multiLevelType w:val="hybridMultilevel"/>
    <w:tmpl w:val="3334E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CF5CD7"/>
    <w:multiLevelType w:val="multilevel"/>
    <w:tmpl w:val="00AACCFE"/>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15:restartNumberingAfterBreak="0">
    <w:nsid w:val="784D033C"/>
    <w:multiLevelType w:val="multilevel"/>
    <w:tmpl w:val="672EE20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9B612BA"/>
    <w:multiLevelType w:val="hybridMultilevel"/>
    <w:tmpl w:val="279E1DD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B484CF2"/>
    <w:multiLevelType w:val="hybridMultilevel"/>
    <w:tmpl w:val="EE4A3B38"/>
    <w:lvl w:ilvl="0" w:tplc="D7ECFFC0">
      <w:numFmt w:val="bullet"/>
      <w:lvlText w:val="-"/>
      <w:lvlJc w:val="left"/>
      <w:pPr>
        <w:ind w:left="420" w:hanging="360"/>
      </w:pPr>
      <w:rPr>
        <w:rFonts w:ascii="Times New Roman" w:eastAsiaTheme="minorHAnsi" w:hAnsi="Times New Roman" w:cs="Times New Roman"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abstractNumId w:val="20"/>
  </w:num>
  <w:num w:numId="2">
    <w:abstractNumId w:val="19"/>
  </w:num>
  <w:num w:numId="3">
    <w:abstractNumId w:val="6"/>
  </w:num>
  <w:num w:numId="4">
    <w:abstractNumId w:val="9"/>
  </w:num>
  <w:num w:numId="5">
    <w:abstractNumId w:val="17"/>
  </w:num>
  <w:num w:numId="6">
    <w:abstractNumId w:val="15"/>
  </w:num>
  <w:num w:numId="7">
    <w:abstractNumId w:val="18"/>
  </w:num>
  <w:num w:numId="8">
    <w:abstractNumId w:val="11"/>
  </w:num>
  <w:num w:numId="9">
    <w:abstractNumId w:val="3"/>
  </w:num>
  <w:num w:numId="10">
    <w:abstractNumId w:val="12"/>
  </w:num>
  <w:num w:numId="11">
    <w:abstractNumId w:val="0"/>
  </w:num>
  <w:num w:numId="12">
    <w:abstractNumId w:val="1"/>
  </w:num>
  <w:num w:numId="13">
    <w:abstractNumId w:val="8"/>
  </w:num>
  <w:num w:numId="14">
    <w:abstractNumId w:val="13"/>
  </w:num>
  <w:num w:numId="15">
    <w:abstractNumId w:val="10"/>
  </w:num>
  <w:num w:numId="16">
    <w:abstractNumId w:val="2"/>
  </w:num>
  <w:num w:numId="17">
    <w:abstractNumId w:val="5"/>
  </w:num>
  <w:num w:numId="18">
    <w:abstractNumId w:val="7"/>
  </w:num>
  <w:num w:numId="19">
    <w:abstractNumId w:val="14"/>
  </w:num>
  <w:num w:numId="20">
    <w:abstractNumId w:val="16"/>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A6"/>
    <w:rsid w:val="00003ED9"/>
    <w:rsid w:val="00007B91"/>
    <w:rsid w:val="00011FB6"/>
    <w:rsid w:val="000121C3"/>
    <w:rsid w:val="0001589F"/>
    <w:rsid w:val="000203F7"/>
    <w:rsid w:val="000218C2"/>
    <w:rsid w:val="00041218"/>
    <w:rsid w:val="0004202C"/>
    <w:rsid w:val="0004792E"/>
    <w:rsid w:val="00056EC9"/>
    <w:rsid w:val="000578DF"/>
    <w:rsid w:val="000629B4"/>
    <w:rsid w:val="0006314D"/>
    <w:rsid w:val="00086B1A"/>
    <w:rsid w:val="00087236"/>
    <w:rsid w:val="00091BD8"/>
    <w:rsid w:val="000A7BD9"/>
    <w:rsid w:val="000B038F"/>
    <w:rsid w:val="000B7317"/>
    <w:rsid w:val="000D556C"/>
    <w:rsid w:val="000D5E14"/>
    <w:rsid w:val="000F2E15"/>
    <w:rsid w:val="00113F44"/>
    <w:rsid w:val="0011591E"/>
    <w:rsid w:val="00125E93"/>
    <w:rsid w:val="00126804"/>
    <w:rsid w:val="0013488C"/>
    <w:rsid w:val="0014707D"/>
    <w:rsid w:val="00150D57"/>
    <w:rsid w:val="00151730"/>
    <w:rsid w:val="001632C0"/>
    <w:rsid w:val="0016369B"/>
    <w:rsid w:val="00175C56"/>
    <w:rsid w:val="00180782"/>
    <w:rsid w:val="0019016E"/>
    <w:rsid w:val="00195D01"/>
    <w:rsid w:val="00195F39"/>
    <w:rsid w:val="001A2047"/>
    <w:rsid w:val="001B0085"/>
    <w:rsid w:val="001B6983"/>
    <w:rsid w:val="001D1C68"/>
    <w:rsid w:val="001D4064"/>
    <w:rsid w:val="001E2084"/>
    <w:rsid w:val="002153B8"/>
    <w:rsid w:val="00230BDD"/>
    <w:rsid w:val="00237A51"/>
    <w:rsid w:val="0025025D"/>
    <w:rsid w:val="0025498A"/>
    <w:rsid w:val="00260906"/>
    <w:rsid w:val="00280050"/>
    <w:rsid w:val="0028217E"/>
    <w:rsid w:val="00283314"/>
    <w:rsid w:val="00297171"/>
    <w:rsid w:val="002A5D88"/>
    <w:rsid w:val="002B0DA1"/>
    <w:rsid w:val="002B3890"/>
    <w:rsid w:val="002C7A54"/>
    <w:rsid w:val="002D6D7C"/>
    <w:rsid w:val="002E498D"/>
    <w:rsid w:val="00300D55"/>
    <w:rsid w:val="0030102F"/>
    <w:rsid w:val="00311C2C"/>
    <w:rsid w:val="0032047D"/>
    <w:rsid w:val="003210F9"/>
    <w:rsid w:val="00324663"/>
    <w:rsid w:val="003343C4"/>
    <w:rsid w:val="00353F3E"/>
    <w:rsid w:val="00354188"/>
    <w:rsid w:val="003561E2"/>
    <w:rsid w:val="00356BE9"/>
    <w:rsid w:val="00373D0A"/>
    <w:rsid w:val="00392441"/>
    <w:rsid w:val="003947AB"/>
    <w:rsid w:val="003A04BD"/>
    <w:rsid w:val="003A3FC6"/>
    <w:rsid w:val="003C2E08"/>
    <w:rsid w:val="003E0592"/>
    <w:rsid w:val="003F3AE6"/>
    <w:rsid w:val="00400B14"/>
    <w:rsid w:val="0041394B"/>
    <w:rsid w:val="004256A7"/>
    <w:rsid w:val="00440B91"/>
    <w:rsid w:val="00460C5A"/>
    <w:rsid w:val="00471D8E"/>
    <w:rsid w:val="00474013"/>
    <w:rsid w:val="004767F3"/>
    <w:rsid w:val="0049694A"/>
    <w:rsid w:val="004A1C25"/>
    <w:rsid w:val="004A6D40"/>
    <w:rsid w:val="004B09E0"/>
    <w:rsid w:val="004B4487"/>
    <w:rsid w:val="004F0E07"/>
    <w:rsid w:val="004F4CDD"/>
    <w:rsid w:val="0050266C"/>
    <w:rsid w:val="0051759E"/>
    <w:rsid w:val="00527084"/>
    <w:rsid w:val="00541DD7"/>
    <w:rsid w:val="00546667"/>
    <w:rsid w:val="00550634"/>
    <w:rsid w:val="00580E92"/>
    <w:rsid w:val="00591C2E"/>
    <w:rsid w:val="005930EE"/>
    <w:rsid w:val="00595A74"/>
    <w:rsid w:val="00596E2D"/>
    <w:rsid w:val="00597891"/>
    <w:rsid w:val="005A491B"/>
    <w:rsid w:val="005A7999"/>
    <w:rsid w:val="005B55D8"/>
    <w:rsid w:val="005D0E86"/>
    <w:rsid w:val="005D70B4"/>
    <w:rsid w:val="005E3421"/>
    <w:rsid w:val="005F192B"/>
    <w:rsid w:val="00613EEE"/>
    <w:rsid w:val="00614FD6"/>
    <w:rsid w:val="00622E73"/>
    <w:rsid w:val="00623421"/>
    <w:rsid w:val="0062349B"/>
    <w:rsid w:val="00640521"/>
    <w:rsid w:val="006440AA"/>
    <w:rsid w:val="006474AD"/>
    <w:rsid w:val="00652056"/>
    <w:rsid w:val="00673517"/>
    <w:rsid w:val="00695C4C"/>
    <w:rsid w:val="006A514B"/>
    <w:rsid w:val="006D140A"/>
    <w:rsid w:val="006D4AC4"/>
    <w:rsid w:val="006D7FC9"/>
    <w:rsid w:val="006E6427"/>
    <w:rsid w:val="006F0EF5"/>
    <w:rsid w:val="006F34DA"/>
    <w:rsid w:val="00702D27"/>
    <w:rsid w:val="0071005B"/>
    <w:rsid w:val="007236B3"/>
    <w:rsid w:val="0073059E"/>
    <w:rsid w:val="007516FC"/>
    <w:rsid w:val="00765503"/>
    <w:rsid w:val="00766342"/>
    <w:rsid w:val="007677CA"/>
    <w:rsid w:val="00770840"/>
    <w:rsid w:val="00780D16"/>
    <w:rsid w:val="007A1714"/>
    <w:rsid w:val="007A37A6"/>
    <w:rsid w:val="007A7C7C"/>
    <w:rsid w:val="007B348B"/>
    <w:rsid w:val="007B4B1E"/>
    <w:rsid w:val="007C212F"/>
    <w:rsid w:val="007D1C1C"/>
    <w:rsid w:val="007E207F"/>
    <w:rsid w:val="007E48BF"/>
    <w:rsid w:val="007E6276"/>
    <w:rsid w:val="007F3E0C"/>
    <w:rsid w:val="00831C2F"/>
    <w:rsid w:val="00833B97"/>
    <w:rsid w:val="008357BB"/>
    <w:rsid w:val="00841A8C"/>
    <w:rsid w:val="00856DCB"/>
    <w:rsid w:val="00857EF7"/>
    <w:rsid w:val="008671E3"/>
    <w:rsid w:val="008708B1"/>
    <w:rsid w:val="008717BB"/>
    <w:rsid w:val="0087729B"/>
    <w:rsid w:val="0088521E"/>
    <w:rsid w:val="008A4155"/>
    <w:rsid w:val="008B06C1"/>
    <w:rsid w:val="008B0F85"/>
    <w:rsid w:val="008C1B90"/>
    <w:rsid w:val="008D7520"/>
    <w:rsid w:val="008E4E51"/>
    <w:rsid w:val="008E5DD1"/>
    <w:rsid w:val="0090069D"/>
    <w:rsid w:val="0091407F"/>
    <w:rsid w:val="009204FF"/>
    <w:rsid w:val="00932A8C"/>
    <w:rsid w:val="009437C7"/>
    <w:rsid w:val="00952A36"/>
    <w:rsid w:val="00956497"/>
    <w:rsid w:val="009615FD"/>
    <w:rsid w:val="00963340"/>
    <w:rsid w:val="009705A3"/>
    <w:rsid w:val="00971D28"/>
    <w:rsid w:val="00975DA9"/>
    <w:rsid w:val="00994842"/>
    <w:rsid w:val="009A6614"/>
    <w:rsid w:val="009B3DD1"/>
    <w:rsid w:val="009B7BD5"/>
    <w:rsid w:val="009D787E"/>
    <w:rsid w:val="00A07BB5"/>
    <w:rsid w:val="00A26908"/>
    <w:rsid w:val="00A51756"/>
    <w:rsid w:val="00A574B7"/>
    <w:rsid w:val="00A6730E"/>
    <w:rsid w:val="00A72635"/>
    <w:rsid w:val="00A76C98"/>
    <w:rsid w:val="00A87F2B"/>
    <w:rsid w:val="00A97E1B"/>
    <w:rsid w:val="00AB3391"/>
    <w:rsid w:val="00AC0E89"/>
    <w:rsid w:val="00AC26DC"/>
    <w:rsid w:val="00AD0C63"/>
    <w:rsid w:val="00AE169F"/>
    <w:rsid w:val="00AE4737"/>
    <w:rsid w:val="00AF1289"/>
    <w:rsid w:val="00B02BBB"/>
    <w:rsid w:val="00B07540"/>
    <w:rsid w:val="00B12A7E"/>
    <w:rsid w:val="00B1375D"/>
    <w:rsid w:val="00B158EF"/>
    <w:rsid w:val="00B22794"/>
    <w:rsid w:val="00B30314"/>
    <w:rsid w:val="00B333F3"/>
    <w:rsid w:val="00B36C69"/>
    <w:rsid w:val="00B45334"/>
    <w:rsid w:val="00B45418"/>
    <w:rsid w:val="00B761C1"/>
    <w:rsid w:val="00B82616"/>
    <w:rsid w:val="00B84D0C"/>
    <w:rsid w:val="00B86EBF"/>
    <w:rsid w:val="00BA1FDA"/>
    <w:rsid w:val="00BA789C"/>
    <w:rsid w:val="00BB083B"/>
    <w:rsid w:val="00BB4190"/>
    <w:rsid w:val="00BC0BA1"/>
    <w:rsid w:val="00BD291B"/>
    <w:rsid w:val="00BD7B00"/>
    <w:rsid w:val="00BE188D"/>
    <w:rsid w:val="00BF0B14"/>
    <w:rsid w:val="00C11F3F"/>
    <w:rsid w:val="00C24089"/>
    <w:rsid w:val="00C32414"/>
    <w:rsid w:val="00C55278"/>
    <w:rsid w:val="00C561DC"/>
    <w:rsid w:val="00C6067E"/>
    <w:rsid w:val="00C85141"/>
    <w:rsid w:val="00C96F52"/>
    <w:rsid w:val="00CC0C0A"/>
    <w:rsid w:val="00CC5730"/>
    <w:rsid w:val="00CE1098"/>
    <w:rsid w:val="00D01423"/>
    <w:rsid w:val="00D03169"/>
    <w:rsid w:val="00D10D10"/>
    <w:rsid w:val="00D22219"/>
    <w:rsid w:val="00D35416"/>
    <w:rsid w:val="00D377A8"/>
    <w:rsid w:val="00D427A8"/>
    <w:rsid w:val="00D46D76"/>
    <w:rsid w:val="00D5063A"/>
    <w:rsid w:val="00D55850"/>
    <w:rsid w:val="00D60B6C"/>
    <w:rsid w:val="00D6247B"/>
    <w:rsid w:val="00D83DDE"/>
    <w:rsid w:val="00D935E7"/>
    <w:rsid w:val="00D9413E"/>
    <w:rsid w:val="00DA2950"/>
    <w:rsid w:val="00DB7E38"/>
    <w:rsid w:val="00DC33A7"/>
    <w:rsid w:val="00DC46C5"/>
    <w:rsid w:val="00DF2872"/>
    <w:rsid w:val="00DF3772"/>
    <w:rsid w:val="00DF4F70"/>
    <w:rsid w:val="00DF6672"/>
    <w:rsid w:val="00E00060"/>
    <w:rsid w:val="00E01920"/>
    <w:rsid w:val="00E0325C"/>
    <w:rsid w:val="00E11B50"/>
    <w:rsid w:val="00E177CD"/>
    <w:rsid w:val="00E20F31"/>
    <w:rsid w:val="00E223EB"/>
    <w:rsid w:val="00E76355"/>
    <w:rsid w:val="00E84CF3"/>
    <w:rsid w:val="00E94AA1"/>
    <w:rsid w:val="00EA3B8E"/>
    <w:rsid w:val="00EC357B"/>
    <w:rsid w:val="00ED3382"/>
    <w:rsid w:val="00EE7677"/>
    <w:rsid w:val="00EF1573"/>
    <w:rsid w:val="00EF7CAC"/>
    <w:rsid w:val="00F00FE8"/>
    <w:rsid w:val="00F050DC"/>
    <w:rsid w:val="00F12A41"/>
    <w:rsid w:val="00F14D6C"/>
    <w:rsid w:val="00F154A0"/>
    <w:rsid w:val="00F23E49"/>
    <w:rsid w:val="00F2454A"/>
    <w:rsid w:val="00F34C23"/>
    <w:rsid w:val="00F709B9"/>
    <w:rsid w:val="00F76A72"/>
    <w:rsid w:val="00F80C13"/>
    <w:rsid w:val="00F950EA"/>
    <w:rsid w:val="00FA0330"/>
    <w:rsid w:val="00FC2D32"/>
    <w:rsid w:val="00FC76C4"/>
    <w:rsid w:val="00FD5C9B"/>
    <w:rsid w:val="00FD7198"/>
    <w:rsid w:val="00FE5E30"/>
    <w:rsid w:val="00FF03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F86E6"/>
  <w15:chartTrackingRefBased/>
  <w15:docId w15:val="{CD946FDD-57B2-4B9E-8F1D-9F755F47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91BD8"/>
    <w:pPr>
      <w:spacing w:before="100" w:beforeAutospacing="1" w:after="100" w:afterAutospacing="1" w:line="240" w:lineRule="auto"/>
      <w:outlineLvl w:val="1"/>
    </w:pPr>
    <w:rPr>
      <w:rFonts w:eastAsia="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form">
    <w:name w:val="TableText form"/>
    <w:basedOn w:val="Normal"/>
    <w:qFormat/>
    <w:rsid w:val="00766342"/>
    <w:pPr>
      <w:spacing w:before="40" w:after="240" w:line="240" w:lineRule="auto"/>
    </w:pPr>
    <w:rPr>
      <w:rFonts w:ascii="Arial" w:eastAsiaTheme="majorEastAsia" w:hAnsi="Arial" w:cs="Arial"/>
      <w:bCs/>
      <w:sz w:val="20"/>
      <w:szCs w:val="20"/>
    </w:rPr>
  </w:style>
  <w:style w:type="paragraph" w:styleId="ListParagraph">
    <w:name w:val="List Paragraph"/>
    <w:aliases w:val="BulletPoints,Footnote,Bullet point,List Paragraph1,List Paragraph11,Recommendation,standard lewis,Bullet List Paragraph,L,CV text,F5 List Paragraph,Dot pt,Colorful List - Accent 11,No Spacing1,List Paragraph Char Char Char,列,Figure_name"/>
    <w:basedOn w:val="Normal"/>
    <w:link w:val="ListParagraphChar"/>
    <w:uiPriority w:val="34"/>
    <w:qFormat/>
    <w:rsid w:val="00D03169"/>
    <w:pPr>
      <w:widowControl w:val="0"/>
      <w:spacing w:after="0" w:line="240" w:lineRule="auto"/>
      <w:ind w:left="720"/>
      <w:contextualSpacing/>
      <w:jc w:val="both"/>
    </w:pPr>
    <w:rPr>
      <w:rFonts w:ascii="Arial" w:eastAsia="Times New Roman" w:hAnsi="Arial" w:cs="Arial"/>
      <w:snapToGrid w:val="0"/>
      <w:sz w:val="22"/>
      <w:szCs w:val="20"/>
    </w:rPr>
  </w:style>
  <w:style w:type="character" w:customStyle="1" w:styleId="ListParagraphChar">
    <w:name w:val="List Paragraph Char"/>
    <w:aliases w:val="BulletPoints Char,Footnote Char,Bullet point Char,List Paragraph1 Char,List Paragraph11 Char,Recommendation Char,standard lewis Char,Bullet List Paragraph Char,L Char,CV text Char,F5 List Paragraph Char,Dot pt Char,No Spacing1 Char"/>
    <w:basedOn w:val="DefaultParagraphFont"/>
    <w:link w:val="ListParagraph"/>
    <w:uiPriority w:val="34"/>
    <w:qFormat/>
    <w:rsid w:val="00D03169"/>
    <w:rPr>
      <w:rFonts w:ascii="Arial" w:eastAsia="Times New Roman" w:hAnsi="Arial" w:cs="Arial"/>
      <w:snapToGrid w:val="0"/>
      <w:sz w:val="22"/>
      <w:szCs w:val="20"/>
    </w:rPr>
  </w:style>
  <w:style w:type="paragraph" w:customStyle="1" w:styleId="PBACHeading1">
    <w:name w:val="PBAC Heading 1"/>
    <w:qFormat/>
    <w:rsid w:val="00D03169"/>
    <w:pPr>
      <w:numPr>
        <w:numId w:val="2"/>
      </w:numPr>
      <w:spacing w:after="0" w:line="240" w:lineRule="auto"/>
      <w:outlineLvl w:val="0"/>
    </w:pPr>
    <w:rPr>
      <w:rFonts w:ascii="Arial" w:eastAsia="Times New Roman" w:hAnsi="Arial" w:cs="Arial"/>
      <w:b/>
      <w:snapToGrid w:val="0"/>
      <w:sz w:val="22"/>
      <w:szCs w:val="22"/>
    </w:rPr>
  </w:style>
  <w:style w:type="character" w:customStyle="1" w:styleId="Heading2Char">
    <w:name w:val="Heading 2 Char"/>
    <w:basedOn w:val="DefaultParagraphFont"/>
    <w:link w:val="Heading2"/>
    <w:uiPriority w:val="9"/>
    <w:rsid w:val="00091BD8"/>
    <w:rPr>
      <w:rFonts w:eastAsia="Times New Roman"/>
      <w:b/>
      <w:bCs/>
      <w:sz w:val="36"/>
      <w:szCs w:val="36"/>
      <w:lang w:eastAsia="en-AU"/>
    </w:rPr>
  </w:style>
  <w:style w:type="paragraph" w:customStyle="1" w:styleId="Heading4">
    <w:name w:val="Heading4"/>
    <w:basedOn w:val="Normal"/>
    <w:rsid w:val="00A87F2B"/>
    <w:pPr>
      <w:keepNext/>
      <w:keepLines/>
      <w:suppressAutoHyphens/>
      <w:spacing w:after="120" w:line="240" w:lineRule="auto"/>
      <w:jc w:val="center"/>
    </w:pPr>
    <w:rPr>
      <w:rFonts w:eastAsia="Times New Roman"/>
      <w:b/>
      <w:sz w:val="20"/>
      <w:szCs w:val="20"/>
      <w:lang w:eastAsia="en-AU"/>
    </w:rPr>
  </w:style>
  <w:style w:type="paragraph" w:styleId="BalloonText">
    <w:name w:val="Balloon Text"/>
    <w:basedOn w:val="Normal"/>
    <w:link w:val="BalloonTextChar"/>
    <w:uiPriority w:val="99"/>
    <w:semiHidden/>
    <w:unhideWhenUsed/>
    <w:rsid w:val="00502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66C"/>
    <w:rPr>
      <w:rFonts w:ascii="Segoe UI" w:hAnsi="Segoe UI" w:cs="Segoe UI"/>
      <w:sz w:val="18"/>
      <w:szCs w:val="18"/>
    </w:rPr>
  </w:style>
  <w:style w:type="character" w:styleId="CommentReference">
    <w:name w:val="annotation reference"/>
    <w:basedOn w:val="DefaultParagraphFont"/>
    <w:uiPriority w:val="99"/>
    <w:semiHidden/>
    <w:unhideWhenUsed/>
    <w:rsid w:val="008717BB"/>
    <w:rPr>
      <w:sz w:val="16"/>
      <w:szCs w:val="16"/>
    </w:rPr>
  </w:style>
  <w:style w:type="paragraph" w:styleId="CommentText">
    <w:name w:val="annotation text"/>
    <w:basedOn w:val="Normal"/>
    <w:link w:val="CommentTextChar"/>
    <w:uiPriority w:val="99"/>
    <w:unhideWhenUsed/>
    <w:rsid w:val="008717BB"/>
    <w:pPr>
      <w:spacing w:line="240" w:lineRule="auto"/>
    </w:pPr>
    <w:rPr>
      <w:sz w:val="20"/>
      <w:szCs w:val="20"/>
    </w:rPr>
  </w:style>
  <w:style w:type="character" w:customStyle="1" w:styleId="CommentTextChar">
    <w:name w:val="Comment Text Char"/>
    <w:basedOn w:val="DefaultParagraphFont"/>
    <w:link w:val="CommentText"/>
    <w:uiPriority w:val="99"/>
    <w:rsid w:val="008717BB"/>
    <w:rPr>
      <w:sz w:val="20"/>
      <w:szCs w:val="20"/>
    </w:rPr>
  </w:style>
  <w:style w:type="paragraph" w:styleId="CommentSubject">
    <w:name w:val="annotation subject"/>
    <w:basedOn w:val="CommentText"/>
    <w:next w:val="CommentText"/>
    <w:link w:val="CommentSubjectChar"/>
    <w:uiPriority w:val="99"/>
    <w:semiHidden/>
    <w:unhideWhenUsed/>
    <w:rsid w:val="008717BB"/>
    <w:rPr>
      <w:b/>
      <w:bCs/>
    </w:rPr>
  </w:style>
  <w:style w:type="character" w:customStyle="1" w:styleId="CommentSubjectChar">
    <w:name w:val="Comment Subject Char"/>
    <w:basedOn w:val="CommentTextChar"/>
    <w:link w:val="CommentSubject"/>
    <w:uiPriority w:val="99"/>
    <w:semiHidden/>
    <w:rsid w:val="008717BB"/>
    <w:rPr>
      <w:b/>
      <w:bCs/>
      <w:sz w:val="20"/>
      <w:szCs w:val="20"/>
    </w:rPr>
  </w:style>
  <w:style w:type="paragraph" w:styleId="Revision">
    <w:name w:val="Revision"/>
    <w:hidden/>
    <w:uiPriority w:val="99"/>
    <w:semiHidden/>
    <w:rsid w:val="00B36C69"/>
    <w:pPr>
      <w:spacing w:after="0" w:line="240" w:lineRule="auto"/>
    </w:pPr>
  </w:style>
  <w:style w:type="paragraph" w:customStyle="1" w:styleId="2-SectionHeading">
    <w:name w:val="2-Section Heading"/>
    <w:qFormat/>
    <w:rsid w:val="00DF3772"/>
    <w:pPr>
      <w:keepNext/>
      <w:spacing w:before="240" w:after="120" w:line="240" w:lineRule="auto"/>
      <w:ind w:left="720" w:hanging="720"/>
      <w:outlineLvl w:val="0"/>
    </w:pPr>
    <w:rPr>
      <w:rFonts w:asciiTheme="minorHAnsi" w:eastAsia="Times New Roman" w:hAnsiTheme="minorHAnsi" w:cs="Arial"/>
      <w:b/>
      <w:snapToGrid w:val="0"/>
      <w:sz w:val="32"/>
      <w:szCs w:val="32"/>
      <w:lang w:eastAsia="en-AU"/>
    </w:rPr>
  </w:style>
  <w:style w:type="paragraph" w:customStyle="1" w:styleId="3-BodyText">
    <w:name w:val="3-Body Text"/>
    <w:qFormat/>
    <w:rsid w:val="00DF3772"/>
    <w:pPr>
      <w:spacing w:after="120" w:line="240" w:lineRule="auto"/>
      <w:ind w:left="720" w:hanging="720"/>
      <w:jc w:val="both"/>
    </w:pPr>
    <w:rPr>
      <w:rFonts w:asciiTheme="minorHAnsi" w:hAnsiTheme="minorHAnsi" w:cstheme="minorBidi"/>
      <w:szCs w:val="22"/>
      <w:lang w:eastAsia="en-AU"/>
    </w:rPr>
  </w:style>
  <w:style w:type="paragraph" w:customStyle="1" w:styleId="3Bodytext">
    <w:name w:val="3. Body text"/>
    <w:basedOn w:val="ListParagraph"/>
    <w:link w:val="3BodytextChar"/>
    <w:qFormat/>
    <w:rsid w:val="00EF1573"/>
    <w:pPr>
      <w:widowControl/>
      <w:spacing w:after="120"/>
      <w:ind w:hanging="720"/>
      <w:contextualSpacing w:val="0"/>
    </w:pPr>
    <w:rPr>
      <w:rFonts w:asciiTheme="minorHAnsi" w:eastAsiaTheme="minorHAnsi" w:hAnsiTheme="minorHAnsi" w:cstheme="minorBidi"/>
      <w:snapToGrid/>
      <w:sz w:val="24"/>
      <w:szCs w:val="22"/>
      <w:lang w:eastAsia="en-AU"/>
    </w:rPr>
  </w:style>
  <w:style w:type="character" w:customStyle="1" w:styleId="3BodytextChar">
    <w:name w:val="3. Body text Char"/>
    <w:basedOn w:val="DefaultParagraphFont"/>
    <w:link w:val="3Bodytext"/>
    <w:rsid w:val="00EF1573"/>
    <w:rPr>
      <w:rFonts w:asciiTheme="minorHAnsi" w:hAnsiTheme="minorHAnsi" w:cstheme="minorBidi"/>
      <w:szCs w:val="22"/>
      <w:lang w:eastAsia="en-AU"/>
    </w:rPr>
  </w:style>
  <w:style w:type="paragraph" w:customStyle="1" w:styleId="Definition">
    <w:name w:val="Definition"/>
    <w:aliases w:val="dd"/>
    <w:basedOn w:val="Normal"/>
    <w:rsid w:val="004A1C25"/>
    <w:pPr>
      <w:spacing w:before="180" w:after="0" w:line="240" w:lineRule="auto"/>
      <w:ind w:left="1134"/>
    </w:pPr>
    <w:rPr>
      <w:rFonts w:eastAsia="Times New Roman"/>
      <w:sz w:val="22"/>
      <w:szCs w:val="20"/>
      <w:lang w:eastAsia="en-AU"/>
    </w:rPr>
  </w:style>
  <w:style w:type="paragraph" w:customStyle="1" w:styleId="notedraft">
    <w:name w:val="note(draft)"/>
    <w:aliases w:val="nd"/>
    <w:basedOn w:val="Normal"/>
    <w:rsid w:val="000B038F"/>
    <w:pPr>
      <w:spacing w:before="240" w:after="0" w:line="240" w:lineRule="auto"/>
      <w:ind w:left="284" w:hanging="284"/>
    </w:pPr>
    <w:rPr>
      <w:rFonts w:eastAsia="Times New Roman"/>
      <w:i/>
      <w:szCs w:val="20"/>
      <w:lang w:eastAsia="en-AU"/>
    </w:rPr>
  </w:style>
  <w:style w:type="paragraph" w:customStyle="1" w:styleId="CharCharCharChar">
    <w:name w:val="Char Char Char Char"/>
    <w:basedOn w:val="Normal"/>
    <w:rsid w:val="008B06C1"/>
    <w:pPr>
      <w:spacing w:after="0" w:line="240" w:lineRule="auto"/>
    </w:pPr>
    <w:rPr>
      <w:rFonts w:ascii="Arial" w:eastAsia="Times New Roman" w:hAnsi="Arial" w:cs="Arial"/>
      <w:sz w:val="22"/>
      <w:szCs w:val="22"/>
    </w:rPr>
  </w:style>
  <w:style w:type="paragraph" w:customStyle="1" w:styleId="subsection">
    <w:name w:val="subsection"/>
    <w:aliases w:val="ss,Subsection,t_Main"/>
    <w:basedOn w:val="Normal"/>
    <w:link w:val="subsectionChar"/>
    <w:rsid w:val="00550634"/>
    <w:pPr>
      <w:tabs>
        <w:tab w:val="right" w:pos="1021"/>
      </w:tabs>
      <w:spacing w:before="180" w:after="0" w:line="240" w:lineRule="auto"/>
      <w:ind w:left="1134" w:hanging="1134"/>
    </w:pPr>
    <w:rPr>
      <w:rFonts w:eastAsia="Times New Roman"/>
      <w:sz w:val="22"/>
      <w:szCs w:val="20"/>
      <w:lang w:eastAsia="en-AU"/>
    </w:rPr>
  </w:style>
  <w:style w:type="paragraph" w:customStyle="1" w:styleId="Item">
    <w:name w:val="Item"/>
    <w:aliases w:val="i"/>
    <w:basedOn w:val="Normal"/>
    <w:next w:val="ItemHead"/>
    <w:rsid w:val="00550634"/>
    <w:pPr>
      <w:keepLines/>
      <w:spacing w:before="80" w:after="0" w:line="240" w:lineRule="auto"/>
      <w:ind w:left="709"/>
    </w:pPr>
    <w:rPr>
      <w:rFonts w:eastAsia="Times New Roman"/>
      <w:sz w:val="22"/>
      <w:szCs w:val="20"/>
      <w:lang w:eastAsia="en-AU"/>
    </w:rPr>
  </w:style>
  <w:style w:type="paragraph" w:customStyle="1" w:styleId="ItemHead">
    <w:name w:val="ItemHead"/>
    <w:aliases w:val="ih"/>
    <w:basedOn w:val="Normal"/>
    <w:next w:val="Item"/>
    <w:rsid w:val="00550634"/>
    <w:pPr>
      <w:keepNext/>
      <w:keepLines/>
      <w:spacing w:before="220" w:after="0" w:line="240" w:lineRule="auto"/>
      <w:ind w:left="709" w:hanging="709"/>
    </w:pPr>
    <w:rPr>
      <w:rFonts w:ascii="Arial" w:eastAsia="Times New Roman" w:hAnsi="Arial"/>
      <w:b/>
      <w:kern w:val="28"/>
      <w:szCs w:val="20"/>
      <w:lang w:eastAsia="en-AU"/>
    </w:rPr>
  </w:style>
  <w:style w:type="paragraph" w:customStyle="1" w:styleId="paragraph">
    <w:name w:val="paragraph"/>
    <w:aliases w:val="a"/>
    <w:basedOn w:val="Normal"/>
    <w:rsid w:val="00550634"/>
    <w:pPr>
      <w:tabs>
        <w:tab w:val="right" w:pos="1531"/>
      </w:tabs>
      <w:spacing w:before="40" w:after="0" w:line="240" w:lineRule="auto"/>
      <w:ind w:left="1644" w:hanging="1644"/>
    </w:pPr>
    <w:rPr>
      <w:rFonts w:eastAsia="Times New Roman"/>
      <w:sz w:val="22"/>
      <w:szCs w:val="20"/>
      <w:lang w:eastAsia="en-AU"/>
    </w:rPr>
  </w:style>
  <w:style w:type="paragraph" w:customStyle="1" w:styleId="SubsectionHead">
    <w:name w:val="SubsectionHead"/>
    <w:aliases w:val="ssh"/>
    <w:basedOn w:val="Normal"/>
    <w:next w:val="subsection"/>
    <w:rsid w:val="00550634"/>
    <w:pPr>
      <w:keepNext/>
      <w:keepLines/>
      <w:spacing w:before="240" w:after="0" w:line="240" w:lineRule="auto"/>
      <w:ind w:left="1134"/>
    </w:pPr>
    <w:rPr>
      <w:rFonts w:eastAsia="Times New Roman"/>
      <w:i/>
      <w:sz w:val="22"/>
      <w:szCs w:val="20"/>
      <w:lang w:eastAsia="en-AU"/>
    </w:rPr>
  </w:style>
  <w:style w:type="character" w:customStyle="1" w:styleId="subsectionChar">
    <w:name w:val="subsection Char"/>
    <w:aliases w:val="ss Char"/>
    <w:basedOn w:val="DefaultParagraphFont"/>
    <w:link w:val="subsection"/>
    <w:locked/>
    <w:rsid w:val="00550634"/>
    <w:rPr>
      <w:rFonts w:eastAsia="Times New Roman"/>
      <w:sz w:val="22"/>
      <w:szCs w:val="20"/>
      <w:lang w:eastAsia="en-AU"/>
    </w:rPr>
  </w:style>
  <w:style w:type="character" w:styleId="Hyperlink">
    <w:name w:val="Hyperlink"/>
    <w:basedOn w:val="DefaultParagraphFont"/>
    <w:uiPriority w:val="99"/>
    <w:semiHidden/>
    <w:unhideWhenUsed/>
    <w:rsid w:val="00392441"/>
    <w:rPr>
      <w:color w:val="0000FF"/>
      <w:u w:val="single"/>
    </w:rPr>
  </w:style>
  <w:style w:type="paragraph" w:styleId="NormalWeb">
    <w:name w:val="Normal (Web)"/>
    <w:basedOn w:val="Normal"/>
    <w:uiPriority w:val="99"/>
    <w:unhideWhenUsed/>
    <w:rsid w:val="00BD291B"/>
    <w:pPr>
      <w:spacing w:before="100" w:beforeAutospacing="1" w:after="100" w:afterAutospacing="1" w:line="240" w:lineRule="auto"/>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34205">
      <w:bodyDiv w:val="1"/>
      <w:marLeft w:val="0"/>
      <w:marRight w:val="0"/>
      <w:marTop w:val="0"/>
      <w:marBottom w:val="0"/>
      <w:divBdr>
        <w:top w:val="none" w:sz="0" w:space="0" w:color="auto"/>
        <w:left w:val="none" w:sz="0" w:space="0" w:color="auto"/>
        <w:bottom w:val="none" w:sz="0" w:space="0" w:color="auto"/>
        <w:right w:val="none" w:sz="0" w:space="0" w:color="auto"/>
      </w:divBdr>
    </w:div>
    <w:div w:id="198977312">
      <w:bodyDiv w:val="1"/>
      <w:marLeft w:val="0"/>
      <w:marRight w:val="0"/>
      <w:marTop w:val="0"/>
      <w:marBottom w:val="0"/>
      <w:divBdr>
        <w:top w:val="none" w:sz="0" w:space="0" w:color="auto"/>
        <w:left w:val="none" w:sz="0" w:space="0" w:color="auto"/>
        <w:bottom w:val="none" w:sz="0" w:space="0" w:color="auto"/>
        <w:right w:val="none" w:sz="0" w:space="0" w:color="auto"/>
      </w:divBdr>
    </w:div>
    <w:div w:id="334040314">
      <w:bodyDiv w:val="1"/>
      <w:marLeft w:val="0"/>
      <w:marRight w:val="0"/>
      <w:marTop w:val="0"/>
      <w:marBottom w:val="0"/>
      <w:divBdr>
        <w:top w:val="none" w:sz="0" w:space="0" w:color="auto"/>
        <w:left w:val="none" w:sz="0" w:space="0" w:color="auto"/>
        <w:bottom w:val="none" w:sz="0" w:space="0" w:color="auto"/>
        <w:right w:val="none" w:sz="0" w:space="0" w:color="auto"/>
      </w:divBdr>
    </w:div>
    <w:div w:id="409427425">
      <w:bodyDiv w:val="1"/>
      <w:marLeft w:val="0"/>
      <w:marRight w:val="0"/>
      <w:marTop w:val="0"/>
      <w:marBottom w:val="0"/>
      <w:divBdr>
        <w:top w:val="none" w:sz="0" w:space="0" w:color="auto"/>
        <w:left w:val="none" w:sz="0" w:space="0" w:color="auto"/>
        <w:bottom w:val="none" w:sz="0" w:space="0" w:color="auto"/>
        <w:right w:val="none" w:sz="0" w:space="0" w:color="auto"/>
      </w:divBdr>
    </w:div>
    <w:div w:id="570769198">
      <w:bodyDiv w:val="1"/>
      <w:marLeft w:val="0"/>
      <w:marRight w:val="0"/>
      <w:marTop w:val="0"/>
      <w:marBottom w:val="0"/>
      <w:divBdr>
        <w:top w:val="none" w:sz="0" w:space="0" w:color="auto"/>
        <w:left w:val="none" w:sz="0" w:space="0" w:color="auto"/>
        <w:bottom w:val="none" w:sz="0" w:space="0" w:color="auto"/>
        <w:right w:val="none" w:sz="0" w:space="0" w:color="auto"/>
      </w:divBdr>
    </w:div>
    <w:div w:id="584803881">
      <w:bodyDiv w:val="1"/>
      <w:marLeft w:val="0"/>
      <w:marRight w:val="0"/>
      <w:marTop w:val="0"/>
      <w:marBottom w:val="0"/>
      <w:divBdr>
        <w:top w:val="none" w:sz="0" w:space="0" w:color="auto"/>
        <w:left w:val="none" w:sz="0" w:space="0" w:color="auto"/>
        <w:bottom w:val="none" w:sz="0" w:space="0" w:color="auto"/>
        <w:right w:val="none" w:sz="0" w:space="0" w:color="auto"/>
      </w:divBdr>
    </w:div>
    <w:div w:id="785975824">
      <w:bodyDiv w:val="1"/>
      <w:marLeft w:val="0"/>
      <w:marRight w:val="0"/>
      <w:marTop w:val="0"/>
      <w:marBottom w:val="0"/>
      <w:divBdr>
        <w:top w:val="none" w:sz="0" w:space="0" w:color="auto"/>
        <w:left w:val="none" w:sz="0" w:space="0" w:color="auto"/>
        <w:bottom w:val="none" w:sz="0" w:space="0" w:color="auto"/>
        <w:right w:val="none" w:sz="0" w:space="0" w:color="auto"/>
      </w:divBdr>
    </w:div>
    <w:div w:id="963274739">
      <w:bodyDiv w:val="1"/>
      <w:marLeft w:val="0"/>
      <w:marRight w:val="0"/>
      <w:marTop w:val="0"/>
      <w:marBottom w:val="0"/>
      <w:divBdr>
        <w:top w:val="none" w:sz="0" w:space="0" w:color="auto"/>
        <w:left w:val="none" w:sz="0" w:space="0" w:color="auto"/>
        <w:bottom w:val="none" w:sz="0" w:space="0" w:color="auto"/>
        <w:right w:val="none" w:sz="0" w:space="0" w:color="auto"/>
      </w:divBdr>
    </w:div>
    <w:div w:id="1166554229">
      <w:bodyDiv w:val="1"/>
      <w:marLeft w:val="0"/>
      <w:marRight w:val="0"/>
      <w:marTop w:val="0"/>
      <w:marBottom w:val="0"/>
      <w:divBdr>
        <w:top w:val="none" w:sz="0" w:space="0" w:color="auto"/>
        <w:left w:val="none" w:sz="0" w:space="0" w:color="auto"/>
        <w:bottom w:val="none" w:sz="0" w:space="0" w:color="auto"/>
        <w:right w:val="none" w:sz="0" w:space="0" w:color="auto"/>
      </w:divBdr>
    </w:div>
    <w:div w:id="1176310031">
      <w:bodyDiv w:val="1"/>
      <w:marLeft w:val="0"/>
      <w:marRight w:val="0"/>
      <w:marTop w:val="0"/>
      <w:marBottom w:val="0"/>
      <w:divBdr>
        <w:top w:val="none" w:sz="0" w:space="0" w:color="auto"/>
        <w:left w:val="none" w:sz="0" w:space="0" w:color="auto"/>
        <w:bottom w:val="none" w:sz="0" w:space="0" w:color="auto"/>
        <w:right w:val="none" w:sz="0" w:space="0" w:color="auto"/>
      </w:divBdr>
    </w:div>
    <w:div w:id="1206412678">
      <w:bodyDiv w:val="1"/>
      <w:marLeft w:val="0"/>
      <w:marRight w:val="0"/>
      <w:marTop w:val="0"/>
      <w:marBottom w:val="0"/>
      <w:divBdr>
        <w:top w:val="none" w:sz="0" w:space="0" w:color="auto"/>
        <w:left w:val="none" w:sz="0" w:space="0" w:color="auto"/>
        <w:bottom w:val="none" w:sz="0" w:space="0" w:color="auto"/>
        <w:right w:val="none" w:sz="0" w:space="0" w:color="auto"/>
      </w:divBdr>
    </w:div>
    <w:div w:id="1301500710">
      <w:bodyDiv w:val="1"/>
      <w:marLeft w:val="0"/>
      <w:marRight w:val="0"/>
      <w:marTop w:val="0"/>
      <w:marBottom w:val="0"/>
      <w:divBdr>
        <w:top w:val="none" w:sz="0" w:space="0" w:color="auto"/>
        <w:left w:val="none" w:sz="0" w:space="0" w:color="auto"/>
        <w:bottom w:val="none" w:sz="0" w:space="0" w:color="auto"/>
        <w:right w:val="none" w:sz="0" w:space="0" w:color="auto"/>
      </w:divBdr>
    </w:div>
    <w:div w:id="1391732534">
      <w:bodyDiv w:val="1"/>
      <w:marLeft w:val="0"/>
      <w:marRight w:val="0"/>
      <w:marTop w:val="0"/>
      <w:marBottom w:val="0"/>
      <w:divBdr>
        <w:top w:val="none" w:sz="0" w:space="0" w:color="auto"/>
        <w:left w:val="none" w:sz="0" w:space="0" w:color="auto"/>
        <w:bottom w:val="none" w:sz="0" w:space="0" w:color="auto"/>
        <w:right w:val="none" w:sz="0" w:space="0" w:color="auto"/>
      </w:divBdr>
    </w:div>
    <w:div w:id="188201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DEEB8-1203-41AE-981E-FB0F3918D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2827</Words>
  <Characters>16116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Buckingham, Kirsten</dc:creator>
  <cp:keywords/>
  <dc:description/>
  <cp:lastModifiedBy>GARNHAM, Katherine</cp:lastModifiedBy>
  <cp:revision>3</cp:revision>
  <cp:lastPrinted>2019-12-09T00:45:00Z</cp:lastPrinted>
  <dcterms:created xsi:type="dcterms:W3CDTF">2022-09-21T04:13:00Z</dcterms:created>
  <dcterms:modified xsi:type="dcterms:W3CDTF">2022-09-23T02:38:00Z</dcterms:modified>
</cp:coreProperties>
</file>