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1634" w14:textId="77777777" w:rsidR="001E51F5" w:rsidRPr="00C8733B" w:rsidRDefault="001E51F5" w:rsidP="001E51F5">
      <w:pPr>
        <w:spacing w:after="0" w:line="240" w:lineRule="auto"/>
        <w:jc w:val="center"/>
        <w:rPr>
          <w:rFonts w:eastAsia="Times New Roman"/>
          <w:b/>
          <w:sz w:val="22"/>
          <w:szCs w:val="22"/>
          <w:u w:val="single"/>
          <w:lang w:eastAsia="en-AU"/>
        </w:rPr>
      </w:pPr>
      <w:r w:rsidRPr="00C8733B">
        <w:rPr>
          <w:rFonts w:eastAsia="Times New Roman"/>
          <w:b/>
          <w:sz w:val="22"/>
          <w:szCs w:val="22"/>
          <w:u w:val="single"/>
          <w:lang w:eastAsia="en-AU"/>
        </w:rPr>
        <w:t>EXPLANATORY STATEMENT</w:t>
      </w:r>
    </w:p>
    <w:p w14:paraId="211EA175" w14:textId="77777777" w:rsidR="001E51F5" w:rsidRPr="00C8733B" w:rsidRDefault="001E51F5" w:rsidP="001E51F5">
      <w:pPr>
        <w:spacing w:after="0" w:line="240" w:lineRule="auto"/>
        <w:jc w:val="center"/>
        <w:rPr>
          <w:rFonts w:eastAsia="Times New Roman"/>
          <w:b/>
          <w:sz w:val="22"/>
          <w:szCs w:val="22"/>
          <w:lang w:eastAsia="en-AU"/>
        </w:rPr>
      </w:pPr>
    </w:p>
    <w:p w14:paraId="2F24D3CE" w14:textId="77777777" w:rsidR="001E51F5" w:rsidRPr="00C8733B" w:rsidRDefault="001E51F5" w:rsidP="001E51F5">
      <w:pPr>
        <w:spacing w:after="0" w:line="240" w:lineRule="auto"/>
        <w:jc w:val="center"/>
        <w:rPr>
          <w:rFonts w:eastAsia="Times New Roman"/>
          <w:sz w:val="22"/>
          <w:szCs w:val="22"/>
          <w:u w:val="single"/>
          <w:lang w:eastAsia="en-AU"/>
        </w:rPr>
      </w:pPr>
      <w:r w:rsidRPr="00C8733B">
        <w:rPr>
          <w:rFonts w:eastAsia="Times New Roman"/>
          <w:i/>
          <w:sz w:val="22"/>
          <w:szCs w:val="22"/>
          <w:lang w:eastAsia="en-AU"/>
        </w:rPr>
        <w:t>Therapeutic Goods Act 1989</w:t>
      </w:r>
    </w:p>
    <w:p w14:paraId="32DE588F" w14:textId="77777777" w:rsidR="001E51F5" w:rsidRPr="00C8733B" w:rsidRDefault="001E51F5" w:rsidP="001E51F5">
      <w:pPr>
        <w:spacing w:after="0" w:line="240" w:lineRule="auto"/>
        <w:jc w:val="center"/>
        <w:rPr>
          <w:rFonts w:eastAsia="Times New Roman"/>
          <w:sz w:val="22"/>
          <w:szCs w:val="22"/>
          <w:u w:val="single"/>
          <w:lang w:eastAsia="en-AU"/>
        </w:rPr>
      </w:pPr>
    </w:p>
    <w:p w14:paraId="16F82DCF" w14:textId="36848F2A" w:rsidR="001E51F5" w:rsidRPr="00C8733B" w:rsidRDefault="007F2274" w:rsidP="001E51F5">
      <w:pPr>
        <w:spacing w:after="0" w:line="240" w:lineRule="auto"/>
        <w:jc w:val="center"/>
        <w:rPr>
          <w:rFonts w:eastAsia="Times New Roman"/>
          <w:i/>
          <w:sz w:val="22"/>
          <w:szCs w:val="22"/>
          <w:lang w:eastAsia="en-AU"/>
        </w:rPr>
      </w:pPr>
      <w:r w:rsidRPr="00C8733B">
        <w:rPr>
          <w:rFonts w:eastAsia="Times New Roman"/>
          <w:i/>
          <w:sz w:val="22"/>
          <w:szCs w:val="22"/>
          <w:lang w:eastAsia="en-AU"/>
        </w:rPr>
        <w:t xml:space="preserve">Therapeutic Goods (Medical Devices—Information that Must Accompany Application for Inclusion) Amendment </w:t>
      </w:r>
      <w:r w:rsidR="00C06DFE" w:rsidRPr="00C8733B">
        <w:rPr>
          <w:rFonts w:eastAsia="Times New Roman"/>
          <w:i/>
          <w:sz w:val="22"/>
          <w:szCs w:val="22"/>
          <w:lang w:eastAsia="en-AU"/>
        </w:rPr>
        <w:t>(</w:t>
      </w:r>
      <w:r w:rsidR="002E7F12" w:rsidRPr="00C8733B">
        <w:rPr>
          <w:rFonts w:eastAsia="Times New Roman"/>
          <w:i/>
          <w:sz w:val="22"/>
          <w:szCs w:val="22"/>
          <w:lang w:eastAsia="en-AU"/>
        </w:rPr>
        <w:t>Singapore</w:t>
      </w:r>
      <w:r w:rsidR="00C06DFE" w:rsidRPr="00C8733B">
        <w:rPr>
          <w:rFonts w:eastAsia="Times New Roman"/>
          <w:i/>
          <w:sz w:val="22"/>
          <w:szCs w:val="22"/>
          <w:lang w:eastAsia="en-AU"/>
        </w:rPr>
        <w:t xml:space="preserve">) </w:t>
      </w:r>
      <w:r w:rsidR="001A65B1" w:rsidRPr="00C8733B">
        <w:rPr>
          <w:rFonts w:eastAsia="Times New Roman"/>
          <w:bCs/>
          <w:i/>
          <w:sz w:val="22"/>
          <w:szCs w:val="22"/>
          <w:lang w:eastAsia="en-AU"/>
        </w:rPr>
        <w:t>Determination</w:t>
      </w:r>
      <w:r w:rsidR="001A65B1" w:rsidRPr="00C8733B">
        <w:rPr>
          <w:rFonts w:eastAsia="Times New Roman"/>
          <w:b/>
          <w:bCs/>
          <w:i/>
          <w:sz w:val="22"/>
          <w:szCs w:val="22"/>
          <w:lang w:eastAsia="en-AU"/>
        </w:rPr>
        <w:t xml:space="preserve"> </w:t>
      </w:r>
      <w:r w:rsidR="00CA2BF2" w:rsidRPr="00C8733B">
        <w:rPr>
          <w:rFonts w:eastAsia="Times New Roman"/>
          <w:i/>
          <w:sz w:val="22"/>
          <w:szCs w:val="22"/>
          <w:lang w:eastAsia="en-AU"/>
        </w:rPr>
        <w:t>202</w:t>
      </w:r>
      <w:r w:rsidR="00C36221" w:rsidRPr="00C8733B">
        <w:rPr>
          <w:rFonts w:eastAsia="Times New Roman"/>
          <w:i/>
          <w:sz w:val="22"/>
          <w:szCs w:val="22"/>
          <w:lang w:eastAsia="en-AU"/>
        </w:rPr>
        <w:t>2</w:t>
      </w:r>
    </w:p>
    <w:p w14:paraId="4A021918" w14:textId="77777777" w:rsidR="001E51F5" w:rsidRPr="00C8733B" w:rsidRDefault="001E51F5" w:rsidP="001E51F5">
      <w:pPr>
        <w:autoSpaceDE w:val="0"/>
        <w:autoSpaceDN w:val="0"/>
        <w:adjustRightInd w:val="0"/>
        <w:spacing w:after="0" w:line="240" w:lineRule="auto"/>
        <w:jc w:val="center"/>
        <w:rPr>
          <w:rFonts w:eastAsia="Times New Roman"/>
          <w:sz w:val="22"/>
          <w:szCs w:val="22"/>
          <w:lang w:eastAsia="en-AU"/>
        </w:rPr>
      </w:pPr>
    </w:p>
    <w:p w14:paraId="4D897EB7" w14:textId="7D8A0EF7" w:rsidR="001E51F5" w:rsidRPr="00C8733B" w:rsidRDefault="001E51F5" w:rsidP="001E51F5">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 xml:space="preserve">The </w:t>
      </w:r>
      <w:r w:rsidRPr="00C8733B">
        <w:rPr>
          <w:rFonts w:eastAsia="Times New Roman"/>
          <w:i/>
          <w:sz w:val="22"/>
          <w:szCs w:val="22"/>
          <w:lang w:eastAsia="en-AU"/>
        </w:rPr>
        <w:t>Therapeutic Goods Act 1989</w:t>
      </w:r>
      <w:r w:rsidRPr="00C8733B">
        <w:rPr>
          <w:rFonts w:eastAsia="Times New Roman"/>
          <w:sz w:val="22"/>
          <w:szCs w:val="22"/>
          <w:lang w:eastAsia="en-AU"/>
        </w:rPr>
        <w:t xml:space="preserve"> (“the Act”) provides for the establishment and maintenance of a national system of controls for the quality, safety, </w:t>
      </w:r>
      <w:proofErr w:type="gramStart"/>
      <w:r w:rsidRPr="00C8733B">
        <w:rPr>
          <w:rFonts w:eastAsia="Times New Roman"/>
          <w:sz w:val="22"/>
          <w:szCs w:val="22"/>
          <w:lang w:eastAsia="en-AU"/>
        </w:rPr>
        <w:t>efficacy</w:t>
      </w:r>
      <w:proofErr w:type="gramEnd"/>
      <w:r w:rsidRPr="00C8733B">
        <w:rPr>
          <w:rFonts w:eastAsia="Times New Roman"/>
          <w:sz w:val="22"/>
          <w:szCs w:val="22"/>
          <w:lang w:eastAsia="en-AU"/>
        </w:rPr>
        <w:t xml:space="preserve"> and timely availability of therapeutic goods that are used in, or exported from, Australia.  The Act is administered by the Therapeutic Goods Administration (“the TGA”) within the Australian Government Department of Health</w:t>
      </w:r>
      <w:r w:rsidR="004E54A9">
        <w:rPr>
          <w:rFonts w:eastAsia="Times New Roman"/>
          <w:sz w:val="22"/>
          <w:szCs w:val="22"/>
          <w:lang w:eastAsia="en-AU"/>
        </w:rPr>
        <w:t xml:space="preserve"> and Aged Care</w:t>
      </w:r>
      <w:r w:rsidR="002A2472" w:rsidRPr="00C8733B">
        <w:rPr>
          <w:rFonts w:eastAsia="Times New Roman"/>
          <w:sz w:val="22"/>
          <w:szCs w:val="22"/>
          <w:lang w:eastAsia="en-AU"/>
        </w:rPr>
        <w:t xml:space="preserve"> (“the Department”)</w:t>
      </w:r>
      <w:r w:rsidRPr="00C8733B">
        <w:rPr>
          <w:rFonts w:eastAsia="Times New Roman"/>
          <w:sz w:val="22"/>
          <w:szCs w:val="22"/>
          <w:lang w:eastAsia="en-AU"/>
        </w:rPr>
        <w:t>.</w:t>
      </w:r>
    </w:p>
    <w:p w14:paraId="2ECF19E2" w14:textId="77777777" w:rsidR="001E51F5" w:rsidRPr="00C8733B" w:rsidRDefault="001E51F5" w:rsidP="001E51F5">
      <w:pPr>
        <w:autoSpaceDE w:val="0"/>
        <w:autoSpaceDN w:val="0"/>
        <w:adjustRightInd w:val="0"/>
        <w:spacing w:after="0" w:line="240" w:lineRule="auto"/>
        <w:rPr>
          <w:rFonts w:eastAsia="Times New Roman"/>
          <w:sz w:val="22"/>
          <w:szCs w:val="22"/>
          <w:lang w:eastAsia="en-AU"/>
        </w:rPr>
      </w:pPr>
    </w:p>
    <w:p w14:paraId="5A20C00D" w14:textId="77777777" w:rsidR="000F38EB" w:rsidRPr="00C8733B" w:rsidRDefault="000F38EB" w:rsidP="001E51F5">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 xml:space="preserve">Section 41FDB of the Act sets out preliminary assessment requirements in relation to an application to the Secretary for a kind of medical device to be included in the </w:t>
      </w:r>
      <w:r w:rsidR="001760F0" w:rsidRPr="00C8733B">
        <w:rPr>
          <w:rFonts w:eastAsia="Times New Roman"/>
          <w:sz w:val="22"/>
          <w:szCs w:val="22"/>
          <w:lang w:eastAsia="en-AU"/>
        </w:rPr>
        <w:t xml:space="preserve">Australian </w:t>
      </w:r>
      <w:r w:rsidRPr="00C8733B">
        <w:rPr>
          <w:rFonts w:eastAsia="Times New Roman"/>
          <w:sz w:val="22"/>
          <w:szCs w:val="22"/>
          <w:lang w:eastAsia="en-AU"/>
        </w:rPr>
        <w:t>Register</w:t>
      </w:r>
      <w:r w:rsidR="001760F0" w:rsidRPr="00C8733B">
        <w:rPr>
          <w:rFonts w:eastAsia="Times New Roman"/>
          <w:sz w:val="22"/>
          <w:szCs w:val="22"/>
          <w:lang w:eastAsia="en-AU"/>
        </w:rPr>
        <w:t xml:space="preserve"> of Therapeutic Goods (“the Register”)</w:t>
      </w:r>
      <w:r w:rsidRPr="00C8733B">
        <w:rPr>
          <w:rFonts w:eastAsia="Times New Roman"/>
          <w:sz w:val="22"/>
          <w:szCs w:val="22"/>
          <w:lang w:eastAsia="en-AU"/>
        </w:rPr>
        <w:t xml:space="preserve">.  These include </w:t>
      </w:r>
      <w:r w:rsidR="00573284" w:rsidRPr="00C8733B">
        <w:rPr>
          <w:rFonts w:eastAsia="Times New Roman"/>
          <w:sz w:val="22"/>
          <w:szCs w:val="22"/>
          <w:lang w:eastAsia="en-AU"/>
        </w:rPr>
        <w:t xml:space="preserve">the </w:t>
      </w:r>
      <w:r w:rsidRPr="00C8733B">
        <w:rPr>
          <w:rFonts w:eastAsia="Times New Roman"/>
          <w:sz w:val="22"/>
          <w:szCs w:val="22"/>
          <w:lang w:eastAsia="en-AU"/>
        </w:rPr>
        <w:t>requirements that an application be accompanied by information that is of a kind determined under subsection 41</w:t>
      </w:r>
      <w:proofErr w:type="gramStart"/>
      <w:r w:rsidRPr="00C8733B">
        <w:rPr>
          <w:rFonts w:eastAsia="Times New Roman"/>
          <w:sz w:val="22"/>
          <w:szCs w:val="22"/>
          <w:lang w:eastAsia="en-AU"/>
        </w:rPr>
        <w:t>FDB(</w:t>
      </w:r>
      <w:proofErr w:type="gramEnd"/>
      <w:r w:rsidRPr="00C8733B">
        <w:rPr>
          <w:rFonts w:eastAsia="Times New Roman"/>
          <w:sz w:val="22"/>
          <w:szCs w:val="22"/>
          <w:lang w:eastAsia="en-AU"/>
        </w:rPr>
        <w:t>7)</w:t>
      </w:r>
      <w:r w:rsidR="00573284" w:rsidRPr="00C8733B">
        <w:rPr>
          <w:rFonts w:eastAsia="Times New Roman"/>
          <w:sz w:val="22"/>
          <w:szCs w:val="22"/>
          <w:lang w:eastAsia="en-AU"/>
        </w:rPr>
        <w:t>,</w:t>
      </w:r>
      <w:r w:rsidRPr="00C8733B">
        <w:rPr>
          <w:rFonts w:eastAsia="Times New Roman"/>
          <w:sz w:val="22"/>
          <w:szCs w:val="22"/>
          <w:lang w:eastAsia="en-AU"/>
        </w:rPr>
        <w:t xml:space="preserve"> in a form determined under subsection 41FDB(8), for the relevant classification of medical device</w:t>
      </w:r>
      <w:r w:rsidR="0091430D" w:rsidRPr="00C8733B">
        <w:rPr>
          <w:rFonts w:eastAsia="Times New Roman"/>
          <w:sz w:val="22"/>
          <w:szCs w:val="22"/>
          <w:lang w:eastAsia="en-AU"/>
        </w:rPr>
        <w:t xml:space="preserve"> (subparagraphs 41FDB(2)(d)(</w:t>
      </w:r>
      <w:proofErr w:type="spellStart"/>
      <w:r w:rsidR="0091430D" w:rsidRPr="00C8733B">
        <w:rPr>
          <w:rFonts w:eastAsia="Times New Roman"/>
          <w:sz w:val="22"/>
          <w:szCs w:val="22"/>
          <w:lang w:eastAsia="en-AU"/>
        </w:rPr>
        <w:t>i</w:t>
      </w:r>
      <w:proofErr w:type="spellEnd"/>
      <w:r w:rsidR="0091430D" w:rsidRPr="00C8733B">
        <w:rPr>
          <w:rFonts w:eastAsia="Times New Roman"/>
          <w:sz w:val="22"/>
          <w:szCs w:val="22"/>
          <w:lang w:eastAsia="en-AU"/>
        </w:rPr>
        <w:t>) and (ii) refer)</w:t>
      </w:r>
      <w:r w:rsidRPr="00C8733B">
        <w:rPr>
          <w:rFonts w:eastAsia="Times New Roman"/>
          <w:sz w:val="22"/>
          <w:szCs w:val="22"/>
          <w:lang w:eastAsia="en-AU"/>
        </w:rPr>
        <w:t>.</w:t>
      </w:r>
    </w:p>
    <w:p w14:paraId="3574A178" w14:textId="77777777" w:rsidR="000F38EB" w:rsidRPr="00C8733B" w:rsidRDefault="000F38EB" w:rsidP="001E51F5">
      <w:pPr>
        <w:autoSpaceDE w:val="0"/>
        <w:autoSpaceDN w:val="0"/>
        <w:adjustRightInd w:val="0"/>
        <w:spacing w:after="0" w:line="240" w:lineRule="auto"/>
        <w:rPr>
          <w:rFonts w:eastAsia="Times New Roman"/>
          <w:sz w:val="22"/>
          <w:szCs w:val="22"/>
          <w:lang w:eastAsia="en-AU"/>
        </w:rPr>
      </w:pPr>
    </w:p>
    <w:p w14:paraId="56633DE7" w14:textId="77777777" w:rsidR="000F38EB" w:rsidRPr="00C8733B" w:rsidRDefault="000F38EB" w:rsidP="001E51F5">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Relevantly, subsections 41</w:t>
      </w:r>
      <w:proofErr w:type="gramStart"/>
      <w:r w:rsidRPr="00C8733B">
        <w:rPr>
          <w:rFonts w:eastAsia="Times New Roman"/>
          <w:sz w:val="22"/>
          <w:szCs w:val="22"/>
          <w:lang w:eastAsia="en-AU"/>
        </w:rPr>
        <w:t>FDB(</w:t>
      </w:r>
      <w:proofErr w:type="gramEnd"/>
      <w:r w:rsidRPr="00C8733B">
        <w:rPr>
          <w:rFonts w:eastAsia="Times New Roman"/>
          <w:sz w:val="22"/>
          <w:szCs w:val="22"/>
          <w:lang w:eastAsia="en-AU"/>
        </w:rPr>
        <w:t>7) and (8)</w:t>
      </w:r>
      <w:r w:rsidR="0091430D" w:rsidRPr="00C8733B">
        <w:rPr>
          <w:rFonts w:eastAsia="Times New Roman"/>
          <w:sz w:val="22"/>
          <w:szCs w:val="22"/>
          <w:lang w:eastAsia="en-AU"/>
        </w:rPr>
        <w:t xml:space="preserve"> of the Act</w:t>
      </w:r>
      <w:r w:rsidRPr="00C8733B">
        <w:rPr>
          <w:rFonts w:eastAsia="Times New Roman"/>
          <w:sz w:val="22"/>
          <w:szCs w:val="22"/>
          <w:lang w:eastAsia="en-AU"/>
        </w:rPr>
        <w:t xml:space="preserve"> provide that the Secretary may, by legislative instrument, determine a kind and form of information respectively for the purposes of an application mentioned </w:t>
      </w:r>
      <w:r w:rsidR="0091430D" w:rsidRPr="00C8733B">
        <w:rPr>
          <w:rFonts w:eastAsia="Times New Roman"/>
          <w:sz w:val="22"/>
          <w:szCs w:val="22"/>
          <w:lang w:eastAsia="en-AU"/>
        </w:rPr>
        <w:t>in subparagraphs 41FDB(2)(d)(</w:t>
      </w:r>
      <w:proofErr w:type="spellStart"/>
      <w:r w:rsidR="0091430D" w:rsidRPr="00C8733B">
        <w:rPr>
          <w:rFonts w:eastAsia="Times New Roman"/>
          <w:sz w:val="22"/>
          <w:szCs w:val="22"/>
          <w:lang w:eastAsia="en-AU"/>
        </w:rPr>
        <w:t>i</w:t>
      </w:r>
      <w:proofErr w:type="spellEnd"/>
      <w:r w:rsidR="0091430D" w:rsidRPr="00C8733B">
        <w:rPr>
          <w:rFonts w:eastAsia="Times New Roman"/>
          <w:sz w:val="22"/>
          <w:szCs w:val="22"/>
          <w:lang w:eastAsia="en-AU"/>
        </w:rPr>
        <w:t>) and</w:t>
      </w:r>
      <w:r w:rsidR="00F7394F" w:rsidRPr="00C8733B">
        <w:rPr>
          <w:rFonts w:eastAsia="Times New Roman"/>
          <w:sz w:val="22"/>
          <w:szCs w:val="22"/>
          <w:lang w:eastAsia="en-AU"/>
        </w:rPr>
        <w:t xml:space="preserve"> </w:t>
      </w:r>
      <w:r w:rsidR="0091430D" w:rsidRPr="00C8733B">
        <w:rPr>
          <w:rFonts w:eastAsia="Times New Roman"/>
          <w:sz w:val="22"/>
          <w:szCs w:val="22"/>
          <w:lang w:eastAsia="en-AU"/>
        </w:rPr>
        <w:t>(ii) of the Act in relation to medical devices of a particular classification.</w:t>
      </w:r>
    </w:p>
    <w:p w14:paraId="384AA16F" w14:textId="77777777" w:rsidR="0091430D" w:rsidRPr="00C8733B" w:rsidRDefault="0091430D" w:rsidP="00E47491">
      <w:pPr>
        <w:autoSpaceDE w:val="0"/>
        <w:autoSpaceDN w:val="0"/>
        <w:adjustRightInd w:val="0"/>
        <w:spacing w:after="0" w:line="240" w:lineRule="auto"/>
        <w:rPr>
          <w:rFonts w:eastAsia="Times New Roman"/>
          <w:sz w:val="22"/>
          <w:szCs w:val="22"/>
          <w:lang w:eastAsia="en-AU"/>
        </w:rPr>
      </w:pPr>
    </w:p>
    <w:p w14:paraId="221FE2FD" w14:textId="77777777" w:rsidR="0091430D" w:rsidRPr="00C8733B" w:rsidRDefault="0091430D" w:rsidP="00E47491">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 xml:space="preserve">The </w:t>
      </w:r>
      <w:r w:rsidRPr="00C8733B">
        <w:rPr>
          <w:rFonts w:eastAsia="Times New Roman"/>
          <w:i/>
          <w:iCs/>
          <w:sz w:val="22"/>
          <w:szCs w:val="22"/>
          <w:lang w:eastAsia="en-AU"/>
        </w:rPr>
        <w:t>Therapeutic Goods (Medical Devices—Information that Must Accompany Application for Inclusion) Determination 2018</w:t>
      </w:r>
      <w:r w:rsidRPr="00C8733B">
        <w:rPr>
          <w:rFonts w:eastAsia="Times New Roman"/>
          <w:sz w:val="22"/>
          <w:szCs w:val="22"/>
          <w:lang w:eastAsia="en-AU"/>
        </w:rPr>
        <w:t xml:space="preserve"> (“</w:t>
      </w:r>
      <w:r w:rsidR="001760F0" w:rsidRPr="00C8733B">
        <w:rPr>
          <w:rFonts w:eastAsia="Times New Roman"/>
          <w:sz w:val="22"/>
          <w:szCs w:val="22"/>
          <w:lang w:eastAsia="en-AU"/>
        </w:rPr>
        <w:t xml:space="preserve">the </w:t>
      </w:r>
      <w:r w:rsidRPr="00C8733B">
        <w:rPr>
          <w:rFonts w:eastAsia="Times New Roman"/>
          <w:sz w:val="22"/>
          <w:szCs w:val="22"/>
          <w:lang w:eastAsia="en-AU"/>
        </w:rPr>
        <w:t xml:space="preserve">Principal Determination”) </w:t>
      </w:r>
      <w:r w:rsidR="001760F0" w:rsidRPr="00C8733B">
        <w:rPr>
          <w:rFonts w:eastAsia="Times New Roman"/>
          <w:sz w:val="22"/>
          <w:szCs w:val="22"/>
          <w:lang w:eastAsia="en-AU"/>
        </w:rPr>
        <w:t xml:space="preserve">is </w:t>
      </w:r>
      <w:r w:rsidRPr="00C8733B">
        <w:rPr>
          <w:rFonts w:eastAsia="Times New Roman"/>
          <w:sz w:val="22"/>
          <w:szCs w:val="22"/>
          <w:lang w:eastAsia="en-AU"/>
        </w:rPr>
        <w:t>made under</w:t>
      </w:r>
      <w:r w:rsidR="00F7394F" w:rsidRPr="00C8733B">
        <w:rPr>
          <w:rFonts w:eastAsia="Times New Roman"/>
          <w:sz w:val="22"/>
          <w:szCs w:val="22"/>
          <w:lang w:eastAsia="en-AU"/>
        </w:rPr>
        <w:t xml:space="preserve"> subsections 41</w:t>
      </w:r>
      <w:proofErr w:type="gramStart"/>
      <w:r w:rsidR="00F7394F" w:rsidRPr="00C8733B">
        <w:rPr>
          <w:rFonts w:eastAsia="Times New Roman"/>
          <w:sz w:val="22"/>
          <w:szCs w:val="22"/>
          <w:lang w:eastAsia="en-AU"/>
        </w:rPr>
        <w:t>FDB(</w:t>
      </w:r>
      <w:proofErr w:type="gramEnd"/>
      <w:r w:rsidR="00F7394F" w:rsidRPr="00C8733B">
        <w:rPr>
          <w:rFonts w:eastAsia="Times New Roman"/>
          <w:sz w:val="22"/>
          <w:szCs w:val="22"/>
          <w:lang w:eastAsia="en-AU"/>
        </w:rPr>
        <w:t xml:space="preserve">7) and </w:t>
      </w:r>
      <w:r w:rsidRPr="00C8733B">
        <w:rPr>
          <w:rFonts w:eastAsia="Times New Roman"/>
          <w:sz w:val="22"/>
          <w:szCs w:val="22"/>
          <w:lang w:eastAsia="en-AU"/>
        </w:rPr>
        <w:t>(8) of the Act.  The Principal Determination determines the kind and form of information that must accompany an application for kinds of medical devices of a particular classification to be included in the Register.</w:t>
      </w:r>
    </w:p>
    <w:p w14:paraId="3C53B836" w14:textId="77777777" w:rsidR="0091430D" w:rsidRPr="00C8733B" w:rsidRDefault="0091430D" w:rsidP="00E47491">
      <w:pPr>
        <w:autoSpaceDE w:val="0"/>
        <w:autoSpaceDN w:val="0"/>
        <w:adjustRightInd w:val="0"/>
        <w:spacing w:after="0" w:line="240" w:lineRule="auto"/>
        <w:rPr>
          <w:rFonts w:eastAsia="Times New Roman"/>
          <w:sz w:val="22"/>
          <w:szCs w:val="22"/>
          <w:lang w:eastAsia="en-AU"/>
        </w:rPr>
      </w:pPr>
    </w:p>
    <w:p w14:paraId="72CEC136" w14:textId="5CA6D46F" w:rsidR="0091430D" w:rsidRPr="00C8733B" w:rsidRDefault="001760F0" w:rsidP="00E47491">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 xml:space="preserve">The kinds of information specified in the Principal Determination relate to the conformity assessment documents that are required to demonstrate that appropriate conformity assessment procedures have been applied by the manufacturer to its quality management system and the </w:t>
      </w:r>
      <w:proofErr w:type="gramStart"/>
      <w:r w:rsidRPr="00C8733B">
        <w:rPr>
          <w:rFonts w:eastAsia="Times New Roman"/>
          <w:sz w:val="22"/>
          <w:szCs w:val="22"/>
          <w:lang w:eastAsia="en-AU"/>
        </w:rPr>
        <w:t>particular kind</w:t>
      </w:r>
      <w:r w:rsidR="0035032F" w:rsidRPr="00C8733B">
        <w:rPr>
          <w:rFonts w:eastAsia="Times New Roman"/>
          <w:sz w:val="22"/>
          <w:szCs w:val="22"/>
          <w:lang w:eastAsia="en-AU"/>
        </w:rPr>
        <w:t>s</w:t>
      </w:r>
      <w:proofErr w:type="gramEnd"/>
      <w:r w:rsidRPr="00C8733B">
        <w:rPr>
          <w:rFonts w:eastAsia="Times New Roman"/>
          <w:sz w:val="22"/>
          <w:szCs w:val="22"/>
          <w:lang w:eastAsia="en-AU"/>
        </w:rPr>
        <w:t xml:space="preserve"> of medical device</w:t>
      </w:r>
      <w:r w:rsidR="0035032F" w:rsidRPr="00C8733B">
        <w:rPr>
          <w:rFonts w:eastAsia="Times New Roman"/>
          <w:sz w:val="22"/>
          <w:szCs w:val="22"/>
          <w:lang w:eastAsia="en-AU"/>
        </w:rPr>
        <w:t>s</w:t>
      </w:r>
      <w:r w:rsidRPr="00C8733B">
        <w:rPr>
          <w:rFonts w:eastAsia="Times New Roman"/>
          <w:sz w:val="22"/>
          <w:szCs w:val="22"/>
          <w:lang w:eastAsia="en-AU"/>
        </w:rPr>
        <w:t xml:space="preserve">.  The conformity assessment documents include certificates and other documents </w:t>
      </w:r>
      <w:r w:rsidR="00593743" w:rsidRPr="00C8733B">
        <w:rPr>
          <w:rFonts w:eastAsia="Times New Roman"/>
          <w:sz w:val="22"/>
          <w:szCs w:val="22"/>
          <w:lang w:eastAsia="en-AU"/>
        </w:rPr>
        <w:t xml:space="preserve">that </w:t>
      </w:r>
      <w:r w:rsidRPr="00C8733B">
        <w:rPr>
          <w:rFonts w:eastAsia="Times New Roman"/>
          <w:sz w:val="22"/>
          <w:szCs w:val="22"/>
          <w:lang w:eastAsia="en-AU"/>
        </w:rPr>
        <w:t xml:space="preserve">have been issued or recognised by the Secretary </w:t>
      </w:r>
      <w:r w:rsidR="00683BE0" w:rsidRPr="00C8733B">
        <w:rPr>
          <w:rFonts w:eastAsia="Times New Roman"/>
          <w:sz w:val="22"/>
          <w:szCs w:val="22"/>
          <w:lang w:eastAsia="en-AU"/>
        </w:rPr>
        <w:t xml:space="preserve">or </w:t>
      </w:r>
      <w:r w:rsidRPr="00C8733B">
        <w:rPr>
          <w:rFonts w:eastAsia="Times New Roman"/>
          <w:sz w:val="22"/>
          <w:szCs w:val="22"/>
          <w:lang w:eastAsia="en-AU"/>
        </w:rPr>
        <w:t xml:space="preserve">comparable overseas regulators </w:t>
      </w:r>
      <w:r w:rsidR="00683BE0" w:rsidRPr="00C8733B">
        <w:rPr>
          <w:rFonts w:eastAsia="Times New Roman"/>
          <w:sz w:val="22"/>
          <w:szCs w:val="22"/>
          <w:lang w:eastAsia="en-AU"/>
        </w:rPr>
        <w:t xml:space="preserve">within the meaning of </w:t>
      </w:r>
      <w:r w:rsidRPr="00C8733B">
        <w:rPr>
          <w:rFonts w:eastAsia="Times New Roman"/>
          <w:sz w:val="22"/>
          <w:szCs w:val="22"/>
          <w:lang w:eastAsia="en-AU"/>
        </w:rPr>
        <w:t>section 41BIB of the Act.</w:t>
      </w:r>
    </w:p>
    <w:p w14:paraId="00D72D68" w14:textId="77777777" w:rsidR="001760F0" w:rsidRPr="00C8733B" w:rsidRDefault="001760F0" w:rsidP="00E47491">
      <w:pPr>
        <w:autoSpaceDE w:val="0"/>
        <w:autoSpaceDN w:val="0"/>
        <w:adjustRightInd w:val="0"/>
        <w:spacing w:after="0" w:line="240" w:lineRule="auto"/>
        <w:rPr>
          <w:rFonts w:eastAsia="Times New Roman"/>
          <w:sz w:val="22"/>
          <w:szCs w:val="22"/>
          <w:lang w:eastAsia="en-AU"/>
        </w:rPr>
      </w:pPr>
    </w:p>
    <w:p w14:paraId="454AFF5D" w14:textId="66B0513C" w:rsidR="007E513E" w:rsidRPr="00C8733B" w:rsidRDefault="001760F0" w:rsidP="002E7F12">
      <w:pPr>
        <w:spacing w:after="0" w:line="240" w:lineRule="auto"/>
        <w:rPr>
          <w:rFonts w:eastAsia="Times New Roman"/>
          <w:sz w:val="22"/>
          <w:szCs w:val="22"/>
          <w:lang w:eastAsia="en-AU"/>
        </w:rPr>
      </w:pPr>
      <w:r w:rsidRPr="00C8733B">
        <w:rPr>
          <w:rFonts w:eastAsia="Times New Roman"/>
          <w:sz w:val="22"/>
          <w:szCs w:val="22"/>
          <w:lang w:eastAsia="en-AU"/>
        </w:rPr>
        <w:t xml:space="preserve">The </w:t>
      </w:r>
      <w:r w:rsidR="002E7F12" w:rsidRPr="00C8733B">
        <w:rPr>
          <w:rFonts w:eastAsia="Times New Roman"/>
          <w:i/>
          <w:sz w:val="22"/>
          <w:szCs w:val="22"/>
          <w:lang w:eastAsia="en-AU"/>
        </w:rPr>
        <w:t xml:space="preserve">Therapeutic Goods (Medical Devices—Information that Must Accompany Application for Inclusion) Amendment (Singapore) </w:t>
      </w:r>
      <w:r w:rsidR="002E7F12" w:rsidRPr="00C8733B">
        <w:rPr>
          <w:rFonts w:eastAsia="Times New Roman"/>
          <w:bCs/>
          <w:i/>
          <w:sz w:val="22"/>
          <w:szCs w:val="22"/>
          <w:lang w:eastAsia="en-AU"/>
        </w:rPr>
        <w:t>Determination</w:t>
      </w:r>
      <w:r w:rsidR="002E7F12" w:rsidRPr="00C8733B">
        <w:rPr>
          <w:rFonts w:eastAsia="Times New Roman"/>
          <w:b/>
          <w:bCs/>
          <w:i/>
          <w:sz w:val="22"/>
          <w:szCs w:val="22"/>
          <w:lang w:eastAsia="en-AU"/>
        </w:rPr>
        <w:t xml:space="preserve"> </w:t>
      </w:r>
      <w:r w:rsidR="002E7F12" w:rsidRPr="00C8733B">
        <w:rPr>
          <w:rFonts w:eastAsia="Times New Roman"/>
          <w:i/>
          <w:sz w:val="22"/>
          <w:szCs w:val="22"/>
          <w:lang w:eastAsia="en-AU"/>
        </w:rPr>
        <w:t>202</w:t>
      </w:r>
      <w:r w:rsidR="00E517B4" w:rsidRPr="00C8733B">
        <w:rPr>
          <w:rFonts w:eastAsia="Times New Roman"/>
          <w:i/>
          <w:sz w:val="22"/>
          <w:szCs w:val="22"/>
          <w:lang w:eastAsia="en-AU"/>
        </w:rPr>
        <w:t>2</w:t>
      </w:r>
      <w:r w:rsidR="002E7F12" w:rsidRPr="00C8733B">
        <w:rPr>
          <w:rFonts w:eastAsia="Times New Roman"/>
          <w:i/>
          <w:sz w:val="22"/>
          <w:szCs w:val="22"/>
          <w:lang w:eastAsia="en-AU"/>
        </w:rPr>
        <w:t xml:space="preserve"> </w:t>
      </w:r>
      <w:r w:rsidRPr="00C8733B">
        <w:rPr>
          <w:rFonts w:eastAsia="Times New Roman"/>
          <w:sz w:val="22"/>
          <w:szCs w:val="22"/>
          <w:lang w:eastAsia="en-AU"/>
        </w:rPr>
        <w:t>(“the Amendment Determination”) is made under subsection 41</w:t>
      </w:r>
      <w:proofErr w:type="gramStart"/>
      <w:r w:rsidRPr="00C8733B">
        <w:rPr>
          <w:rFonts w:eastAsia="Times New Roman"/>
          <w:sz w:val="22"/>
          <w:szCs w:val="22"/>
          <w:lang w:eastAsia="en-AU"/>
        </w:rPr>
        <w:t>FDB(</w:t>
      </w:r>
      <w:proofErr w:type="gramEnd"/>
      <w:r w:rsidRPr="00C8733B">
        <w:rPr>
          <w:rFonts w:eastAsia="Times New Roman"/>
          <w:sz w:val="22"/>
          <w:szCs w:val="22"/>
          <w:lang w:eastAsia="en-AU"/>
        </w:rPr>
        <w:t xml:space="preserve">7) of the Act, read together with subsection 33(3) of the </w:t>
      </w:r>
      <w:r w:rsidRPr="00C8733B">
        <w:rPr>
          <w:rFonts w:eastAsia="Times New Roman"/>
          <w:i/>
          <w:iCs/>
          <w:sz w:val="22"/>
          <w:szCs w:val="22"/>
          <w:lang w:eastAsia="en-AU"/>
        </w:rPr>
        <w:t>Acts Interpretation Act 1901</w:t>
      </w:r>
      <w:r w:rsidRPr="00C8733B">
        <w:rPr>
          <w:rFonts w:eastAsia="Times New Roman"/>
          <w:sz w:val="22"/>
          <w:szCs w:val="22"/>
          <w:lang w:eastAsia="en-AU"/>
        </w:rPr>
        <w:t>.</w:t>
      </w:r>
    </w:p>
    <w:p w14:paraId="744B4E43" w14:textId="77777777" w:rsidR="007E513E" w:rsidRPr="00C8733B" w:rsidRDefault="007E513E" w:rsidP="002E7F12">
      <w:pPr>
        <w:spacing w:after="0" w:line="240" w:lineRule="auto"/>
        <w:rPr>
          <w:rFonts w:eastAsia="Times New Roman"/>
          <w:sz w:val="22"/>
          <w:szCs w:val="22"/>
          <w:lang w:eastAsia="en-AU"/>
        </w:rPr>
      </w:pPr>
    </w:p>
    <w:p w14:paraId="7B65B384" w14:textId="6B73C7A2" w:rsidR="00925699" w:rsidRPr="00C8733B" w:rsidRDefault="00817568" w:rsidP="002E7F12">
      <w:pPr>
        <w:spacing w:after="0" w:line="240" w:lineRule="auto"/>
        <w:rPr>
          <w:rFonts w:eastAsia="Times New Roman"/>
          <w:sz w:val="22"/>
          <w:szCs w:val="22"/>
          <w:lang w:eastAsia="en-AU"/>
        </w:rPr>
      </w:pPr>
      <w:r w:rsidRPr="00C8733B">
        <w:rPr>
          <w:rFonts w:eastAsia="Times New Roman"/>
          <w:sz w:val="22"/>
          <w:szCs w:val="22"/>
          <w:lang w:eastAsia="en-AU"/>
        </w:rPr>
        <w:t>The Amendment Determination amends the Principal Determination</w:t>
      </w:r>
      <w:r w:rsidR="0035032F" w:rsidRPr="00C8733B">
        <w:rPr>
          <w:rFonts w:eastAsia="Times New Roman"/>
          <w:sz w:val="22"/>
          <w:szCs w:val="22"/>
          <w:lang w:eastAsia="en-AU"/>
        </w:rPr>
        <w:t>,</w:t>
      </w:r>
      <w:r w:rsidRPr="00C8733B">
        <w:rPr>
          <w:rFonts w:eastAsia="Times New Roman"/>
          <w:sz w:val="22"/>
          <w:szCs w:val="22"/>
          <w:lang w:eastAsia="en-AU"/>
        </w:rPr>
        <w:t xml:space="preserve"> principally to </w:t>
      </w:r>
      <w:r w:rsidRPr="00C8733B">
        <w:rPr>
          <w:rFonts w:eastAsia="Times New Roman"/>
          <w:iCs/>
          <w:sz w:val="22"/>
          <w:szCs w:val="22"/>
          <w:lang w:eastAsia="en-AU"/>
        </w:rPr>
        <w:t>specify</w:t>
      </w:r>
      <w:r w:rsidRPr="00C8733B">
        <w:rPr>
          <w:rFonts w:eastAsia="Times New Roman"/>
          <w:sz w:val="22"/>
          <w:szCs w:val="22"/>
          <w:lang w:eastAsia="en-AU"/>
        </w:rPr>
        <w:t xml:space="preserve"> </w:t>
      </w:r>
      <w:r w:rsidR="00FC6778" w:rsidRPr="00C8733B">
        <w:rPr>
          <w:rFonts w:eastAsia="Times New Roman"/>
          <w:sz w:val="22"/>
          <w:szCs w:val="22"/>
          <w:lang w:eastAsia="en-AU"/>
        </w:rPr>
        <w:t xml:space="preserve">that </w:t>
      </w:r>
      <w:r w:rsidR="00C626A1" w:rsidRPr="00C8733B">
        <w:rPr>
          <w:sz w:val="22"/>
          <w:szCs w:val="22"/>
        </w:rPr>
        <w:t>an extract from, or copy of, the entry in the Singapore Register of Health Products</w:t>
      </w:r>
      <w:r w:rsidR="00925699" w:rsidRPr="00C8733B">
        <w:rPr>
          <w:rFonts w:eastAsia="Times New Roman"/>
          <w:sz w:val="22"/>
          <w:szCs w:val="22"/>
          <w:lang w:eastAsia="en-AU"/>
        </w:rPr>
        <w:t xml:space="preserve">, may accompany an application for the inclusion in the Register of a Class </w:t>
      </w:r>
      <w:proofErr w:type="spellStart"/>
      <w:r w:rsidR="00925699" w:rsidRPr="00C8733B">
        <w:rPr>
          <w:rFonts w:eastAsia="Times New Roman"/>
          <w:sz w:val="22"/>
          <w:szCs w:val="22"/>
          <w:lang w:eastAsia="en-AU"/>
        </w:rPr>
        <w:t>IIa</w:t>
      </w:r>
      <w:proofErr w:type="spellEnd"/>
      <w:r w:rsidR="00925699" w:rsidRPr="00C8733B">
        <w:rPr>
          <w:rFonts w:eastAsia="Times New Roman"/>
          <w:sz w:val="22"/>
          <w:szCs w:val="22"/>
          <w:lang w:eastAsia="en-AU"/>
        </w:rPr>
        <w:t>, Class IIb, Class III or Class AIMD medical device</w:t>
      </w:r>
      <w:r w:rsidR="00C626A1" w:rsidRPr="00C8733B">
        <w:rPr>
          <w:rFonts w:eastAsia="Times New Roman"/>
          <w:sz w:val="22"/>
          <w:szCs w:val="22"/>
          <w:lang w:eastAsia="en-AU"/>
        </w:rPr>
        <w:t xml:space="preserve">, </w:t>
      </w:r>
      <w:r w:rsidR="00B12C23" w:rsidRPr="00C8733B">
        <w:rPr>
          <w:rFonts w:eastAsia="Times New Roman"/>
          <w:sz w:val="22"/>
          <w:szCs w:val="22"/>
          <w:lang w:eastAsia="en-AU"/>
        </w:rPr>
        <w:t>or</w:t>
      </w:r>
      <w:r w:rsidR="00AA4A37" w:rsidRPr="00C8733B">
        <w:rPr>
          <w:rFonts w:eastAsia="Times New Roman"/>
          <w:sz w:val="22"/>
          <w:szCs w:val="22"/>
          <w:lang w:eastAsia="en-AU"/>
        </w:rPr>
        <w:t xml:space="preserve"> a</w:t>
      </w:r>
      <w:r w:rsidR="00C626A1" w:rsidRPr="00C8733B">
        <w:rPr>
          <w:rFonts w:eastAsia="Times New Roman"/>
          <w:sz w:val="22"/>
          <w:szCs w:val="22"/>
          <w:lang w:eastAsia="en-AU"/>
        </w:rPr>
        <w:t xml:space="preserve"> </w:t>
      </w:r>
      <w:r w:rsidR="00AA4A37" w:rsidRPr="00C8733B">
        <w:rPr>
          <w:rFonts w:eastAsia="Times New Roman"/>
          <w:sz w:val="22"/>
          <w:szCs w:val="22"/>
          <w:lang w:eastAsia="en-AU"/>
        </w:rPr>
        <w:t>C</w:t>
      </w:r>
      <w:r w:rsidR="00C626A1" w:rsidRPr="00C8733B">
        <w:rPr>
          <w:rFonts w:eastAsia="Times New Roman"/>
          <w:sz w:val="22"/>
          <w:szCs w:val="22"/>
          <w:lang w:eastAsia="en-AU"/>
        </w:rPr>
        <w:t>lass 2</w:t>
      </w:r>
      <w:r w:rsidR="00816345">
        <w:rPr>
          <w:rFonts w:eastAsia="Times New Roman"/>
          <w:sz w:val="22"/>
          <w:szCs w:val="22"/>
          <w:lang w:eastAsia="en-AU"/>
        </w:rPr>
        <w:t xml:space="preserve"> IVD</w:t>
      </w:r>
      <w:r w:rsidR="00C626A1" w:rsidRPr="00C8733B">
        <w:rPr>
          <w:rFonts w:eastAsia="Times New Roman"/>
          <w:sz w:val="22"/>
          <w:szCs w:val="22"/>
          <w:lang w:eastAsia="en-AU"/>
        </w:rPr>
        <w:t xml:space="preserve"> </w:t>
      </w:r>
      <w:r w:rsidR="00AA4A37" w:rsidRPr="00C8733B">
        <w:rPr>
          <w:rFonts w:eastAsia="Times New Roman"/>
          <w:sz w:val="22"/>
          <w:szCs w:val="22"/>
          <w:lang w:eastAsia="en-AU"/>
        </w:rPr>
        <w:t xml:space="preserve">or Class 3 </w:t>
      </w:r>
      <w:r w:rsidR="00C626A1" w:rsidRPr="00C8733B">
        <w:rPr>
          <w:rFonts w:eastAsia="Times New Roman"/>
          <w:sz w:val="22"/>
          <w:szCs w:val="22"/>
          <w:lang w:eastAsia="en-AU"/>
        </w:rPr>
        <w:t xml:space="preserve">IVD </w:t>
      </w:r>
      <w:r w:rsidR="00AA4A37" w:rsidRPr="00C8733B">
        <w:rPr>
          <w:rFonts w:eastAsia="Times New Roman"/>
          <w:sz w:val="22"/>
          <w:szCs w:val="22"/>
          <w:lang w:eastAsia="en-AU"/>
        </w:rPr>
        <w:t>medical device</w:t>
      </w:r>
      <w:r w:rsidR="007E513E" w:rsidRPr="00C8733B">
        <w:rPr>
          <w:rFonts w:eastAsia="Times New Roman"/>
          <w:sz w:val="22"/>
          <w:szCs w:val="22"/>
          <w:lang w:eastAsia="en-AU"/>
        </w:rPr>
        <w:t xml:space="preserve">. This has the effect that such </w:t>
      </w:r>
      <w:r w:rsidR="00C626A1" w:rsidRPr="00C8733B">
        <w:rPr>
          <w:rFonts w:eastAsia="Times New Roman"/>
          <w:sz w:val="22"/>
          <w:szCs w:val="22"/>
          <w:lang w:eastAsia="en-AU"/>
        </w:rPr>
        <w:t xml:space="preserve">a document </w:t>
      </w:r>
      <w:r w:rsidR="007E513E" w:rsidRPr="00C8733B">
        <w:rPr>
          <w:rFonts w:eastAsia="Times New Roman"/>
          <w:sz w:val="22"/>
          <w:szCs w:val="22"/>
          <w:lang w:eastAsia="en-AU"/>
        </w:rPr>
        <w:t>will be accepted by the TGA in support of an application for inclusion in the Register for kinds of medical devices with those classifications, as an alternative to the existing conformity assessment documents specified for such kinds of devices in the Principal Determination.</w:t>
      </w:r>
    </w:p>
    <w:p w14:paraId="5A77EE96" w14:textId="77777777" w:rsidR="00925699" w:rsidRPr="00C8733B" w:rsidRDefault="00925699" w:rsidP="002E7F12">
      <w:pPr>
        <w:spacing w:after="0" w:line="240" w:lineRule="auto"/>
        <w:rPr>
          <w:rFonts w:eastAsia="Times New Roman"/>
          <w:sz w:val="22"/>
          <w:szCs w:val="22"/>
          <w:lang w:eastAsia="en-AU"/>
        </w:rPr>
      </w:pPr>
    </w:p>
    <w:p w14:paraId="36A28B81" w14:textId="30329D69" w:rsidR="007E513E" w:rsidRPr="00C8733B" w:rsidRDefault="007E513E" w:rsidP="00817568">
      <w:pPr>
        <w:autoSpaceDE w:val="0"/>
        <w:autoSpaceDN w:val="0"/>
        <w:adjustRightInd w:val="0"/>
        <w:spacing w:after="0" w:line="240" w:lineRule="auto"/>
        <w:rPr>
          <w:rFonts w:eastAsia="Times New Roman"/>
          <w:sz w:val="22"/>
          <w:szCs w:val="22"/>
          <w:lang w:eastAsia="en-AU"/>
        </w:rPr>
      </w:pPr>
      <w:bookmarkStart w:id="0" w:name="_Hlk79495887"/>
      <w:r w:rsidRPr="00C8733B">
        <w:rPr>
          <w:rFonts w:eastAsia="Times New Roman"/>
          <w:sz w:val="22"/>
          <w:szCs w:val="22"/>
          <w:lang w:eastAsia="en-AU"/>
        </w:rPr>
        <w:t xml:space="preserve">The Amendment Determination reflects related amendments made to the </w:t>
      </w:r>
      <w:r w:rsidRPr="00C8733B">
        <w:rPr>
          <w:rFonts w:eastAsia="Times New Roman"/>
          <w:i/>
          <w:iCs/>
          <w:sz w:val="22"/>
          <w:szCs w:val="22"/>
          <w:lang w:eastAsia="en-AU"/>
        </w:rPr>
        <w:t>Therapeutic Goods (Overseas Regulators) Determination 2018</w:t>
      </w:r>
      <w:r w:rsidRPr="00C8733B">
        <w:rPr>
          <w:rFonts w:eastAsia="Times New Roman"/>
          <w:sz w:val="22"/>
          <w:szCs w:val="22"/>
          <w:lang w:eastAsia="en-AU"/>
        </w:rPr>
        <w:t xml:space="preserve"> by the </w:t>
      </w:r>
      <w:r w:rsidRPr="00C8733B">
        <w:rPr>
          <w:rFonts w:eastAsia="Times New Roman"/>
          <w:i/>
          <w:iCs/>
          <w:sz w:val="22"/>
          <w:szCs w:val="22"/>
          <w:lang w:eastAsia="en-AU"/>
        </w:rPr>
        <w:t xml:space="preserve">Therapeutic Goods (Overseas Regulators) </w:t>
      </w:r>
      <w:r w:rsidR="00AA4A37" w:rsidRPr="00C8733B">
        <w:rPr>
          <w:rFonts w:eastAsia="Times New Roman"/>
          <w:i/>
          <w:iCs/>
          <w:sz w:val="22"/>
          <w:szCs w:val="22"/>
          <w:lang w:eastAsia="en-AU"/>
        </w:rPr>
        <w:t xml:space="preserve">Amendment (Singapore) </w:t>
      </w:r>
      <w:r w:rsidRPr="00C8733B">
        <w:rPr>
          <w:rFonts w:eastAsia="Times New Roman"/>
          <w:i/>
          <w:iCs/>
          <w:sz w:val="22"/>
          <w:szCs w:val="22"/>
          <w:lang w:eastAsia="en-AU"/>
        </w:rPr>
        <w:t>Determination 202</w:t>
      </w:r>
      <w:r w:rsidR="00AA4A37" w:rsidRPr="00C8733B">
        <w:rPr>
          <w:rFonts w:eastAsia="Times New Roman"/>
          <w:i/>
          <w:iCs/>
          <w:sz w:val="22"/>
          <w:szCs w:val="22"/>
          <w:lang w:eastAsia="en-AU"/>
        </w:rPr>
        <w:t>2</w:t>
      </w:r>
      <w:r w:rsidRPr="00C8733B">
        <w:rPr>
          <w:rFonts w:eastAsia="Times New Roman"/>
          <w:sz w:val="22"/>
          <w:szCs w:val="22"/>
          <w:lang w:eastAsia="en-AU"/>
        </w:rPr>
        <w:t xml:space="preserve">, to </w:t>
      </w:r>
      <w:r w:rsidR="00C713D7" w:rsidRPr="00C8733B">
        <w:rPr>
          <w:rFonts w:eastAsia="Times New Roman"/>
          <w:sz w:val="22"/>
          <w:szCs w:val="22"/>
          <w:lang w:eastAsia="en-AU"/>
        </w:rPr>
        <w:t xml:space="preserve">determine </w:t>
      </w:r>
      <w:r w:rsidRPr="00C8733B">
        <w:rPr>
          <w:rFonts w:eastAsia="Times New Roman"/>
          <w:sz w:val="22"/>
          <w:szCs w:val="22"/>
          <w:lang w:eastAsia="en-AU"/>
        </w:rPr>
        <w:t xml:space="preserve">the Health Sciences Authority of Singapore </w:t>
      </w:r>
      <w:r w:rsidR="00F96B4F" w:rsidRPr="00C8733B">
        <w:rPr>
          <w:rFonts w:eastAsia="Times New Roman"/>
          <w:sz w:val="22"/>
          <w:szCs w:val="22"/>
          <w:lang w:eastAsia="en-AU"/>
        </w:rPr>
        <w:t>as a</w:t>
      </w:r>
      <w:r w:rsidRPr="00C8733B">
        <w:rPr>
          <w:rFonts w:eastAsia="Times New Roman"/>
          <w:sz w:val="22"/>
          <w:szCs w:val="22"/>
          <w:lang w:eastAsia="en-AU"/>
        </w:rPr>
        <w:t xml:space="preserve"> (comparable) overseas regulator for the purposes of section 41BIB of the Act.</w:t>
      </w:r>
    </w:p>
    <w:p w14:paraId="5701CE89" w14:textId="77777777" w:rsidR="007E513E" w:rsidRPr="00C8733B" w:rsidRDefault="007E513E" w:rsidP="00817568">
      <w:pPr>
        <w:autoSpaceDE w:val="0"/>
        <w:autoSpaceDN w:val="0"/>
        <w:adjustRightInd w:val="0"/>
        <w:spacing w:after="0" w:line="240" w:lineRule="auto"/>
        <w:rPr>
          <w:rFonts w:eastAsia="Times New Roman"/>
          <w:sz w:val="22"/>
          <w:szCs w:val="22"/>
          <w:lang w:eastAsia="en-AU"/>
        </w:rPr>
      </w:pPr>
    </w:p>
    <w:p w14:paraId="3CC89FED" w14:textId="260C808A" w:rsidR="00DB4162" w:rsidRPr="00C8733B" w:rsidRDefault="00C43CDC" w:rsidP="00817568">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Th</w:t>
      </w:r>
      <w:r w:rsidR="00957610" w:rsidRPr="00C8733B">
        <w:rPr>
          <w:rFonts w:eastAsia="Times New Roman"/>
          <w:sz w:val="22"/>
          <w:szCs w:val="22"/>
          <w:lang w:eastAsia="en-AU"/>
        </w:rPr>
        <w:t xml:space="preserve">e effect of the Amendment Determination, together with the </w:t>
      </w:r>
      <w:r w:rsidR="00F96B4F" w:rsidRPr="00C8733B">
        <w:rPr>
          <w:rFonts w:eastAsia="Times New Roman"/>
          <w:sz w:val="22"/>
          <w:szCs w:val="22"/>
          <w:lang w:eastAsia="en-AU"/>
        </w:rPr>
        <w:t xml:space="preserve">determination </w:t>
      </w:r>
      <w:r w:rsidR="00957610" w:rsidRPr="00C8733B">
        <w:rPr>
          <w:rFonts w:eastAsia="Times New Roman"/>
          <w:sz w:val="22"/>
          <w:szCs w:val="22"/>
          <w:lang w:eastAsia="en-AU"/>
        </w:rPr>
        <w:t>of the Health Sciences Authority of Singapore</w:t>
      </w:r>
      <w:r w:rsidR="00C853A9" w:rsidRPr="00C8733B">
        <w:rPr>
          <w:rFonts w:eastAsia="Times New Roman"/>
          <w:sz w:val="22"/>
          <w:szCs w:val="22"/>
          <w:lang w:eastAsia="en-AU"/>
        </w:rPr>
        <w:t xml:space="preserve"> as an overseas regulator</w:t>
      </w:r>
      <w:r w:rsidR="00957610" w:rsidRPr="00C8733B">
        <w:rPr>
          <w:rFonts w:eastAsia="Times New Roman"/>
          <w:sz w:val="22"/>
          <w:szCs w:val="22"/>
          <w:lang w:eastAsia="en-AU"/>
        </w:rPr>
        <w:t xml:space="preserve">, </w:t>
      </w:r>
      <w:r w:rsidRPr="00C8733B">
        <w:rPr>
          <w:rFonts w:eastAsia="Times New Roman"/>
          <w:sz w:val="22"/>
          <w:szCs w:val="22"/>
          <w:lang w:eastAsia="en-AU"/>
        </w:rPr>
        <w:t>will</w:t>
      </w:r>
      <w:r w:rsidR="00C853A9" w:rsidRPr="00C8733B">
        <w:rPr>
          <w:rFonts w:eastAsia="Times New Roman"/>
          <w:sz w:val="22"/>
          <w:szCs w:val="22"/>
          <w:lang w:eastAsia="en-AU"/>
        </w:rPr>
        <w:t xml:space="preserve"> be to</w:t>
      </w:r>
      <w:r w:rsidRPr="00C8733B">
        <w:rPr>
          <w:rFonts w:eastAsia="Times New Roman"/>
          <w:sz w:val="22"/>
          <w:szCs w:val="22"/>
          <w:lang w:eastAsia="en-AU"/>
        </w:rPr>
        <w:t xml:space="preserve"> provide </w:t>
      </w:r>
      <w:r w:rsidR="00B9414F" w:rsidRPr="00C8733B">
        <w:rPr>
          <w:rFonts w:eastAsia="Times New Roman"/>
          <w:sz w:val="22"/>
          <w:szCs w:val="22"/>
          <w:lang w:eastAsia="en-AU"/>
        </w:rPr>
        <w:t>greater flexibility</w:t>
      </w:r>
      <w:r w:rsidRPr="00C8733B">
        <w:rPr>
          <w:rFonts w:eastAsia="Times New Roman"/>
          <w:sz w:val="22"/>
          <w:szCs w:val="22"/>
          <w:lang w:eastAsia="en-AU"/>
        </w:rPr>
        <w:t xml:space="preserve"> for sponsors and manufacturers of </w:t>
      </w:r>
      <w:r w:rsidR="00A20C06" w:rsidRPr="00C8733B">
        <w:rPr>
          <w:rFonts w:eastAsia="Times New Roman"/>
          <w:sz w:val="22"/>
          <w:szCs w:val="22"/>
          <w:lang w:eastAsia="en-AU"/>
        </w:rPr>
        <w:t xml:space="preserve">Class </w:t>
      </w:r>
      <w:proofErr w:type="spellStart"/>
      <w:r w:rsidR="00A20C06" w:rsidRPr="00C8733B">
        <w:rPr>
          <w:rFonts w:eastAsia="Times New Roman"/>
          <w:sz w:val="22"/>
          <w:szCs w:val="22"/>
          <w:lang w:eastAsia="en-AU"/>
        </w:rPr>
        <w:t>IIa</w:t>
      </w:r>
      <w:proofErr w:type="spellEnd"/>
      <w:r w:rsidR="00A20C06" w:rsidRPr="00C8733B">
        <w:rPr>
          <w:rFonts w:eastAsia="Times New Roman"/>
          <w:sz w:val="22"/>
          <w:szCs w:val="22"/>
          <w:lang w:eastAsia="en-AU"/>
        </w:rPr>
        <w:t>, Class IIb, Class III and Class AIMD</w:t>
      </w:r>
      <w:r w:rsidRPr="00C8733B">
        <w:rPr>
          <w:rFonts w:eastAsia="Times New Roman"/>
          <w:sz w:val="22"/>
          <w:szCs w:val="22"/>
          <w:lang w:eastAsia="en-AU"/>
        </w:rPr>
        <w:t xml:space="preserve"> medical devices</w:t>
      </w:r>
      <w:r w:rsidR="00C853A9" w:rsidRPr="00C8733B">
        <w:rPr>
          <w:rFonts w:eastAsia="Times New Roman"/>
          <w:sz w:val="22"/>
          <w:szCs w:val="22"/>
          <w:lang w:eastAsia="en-AU"/>
        </w:rPr>
        <w:t xml:space="preserve">, </w:t>
      </w:r>
      <w:r w:rsidR="00C33A0C" w:rsidRPr="00C8733B">
        <w:rPr>
          <w:rFonts w:eastAsia="Times New Roman"/>
          <w:sz w:val="22"/>
          <w:szCs w:val="22"/>
          <w:lang w:eastAsia="en-AU"/>
        </w:rPr>
        <w:t>and</w:t>
      </w:r>
      <w:r w:rsidR="00C853A9" w:rsidRPr="00C8733B">
        <w:rPr>
          <w:rFonts w:eastAsia="Times New Roman"/>
          <w:sz w:val="22"/>
          <w:szCs w:val="22"/>
          <w:lang w:eastAsia="en-AU"/>
        </w:rPr>
        <w:t xml:space="preserve"> Class 2 IVD and Class 3 IVD medical devices,</w:t>
      </w:r>
      <w:r w:rsidR="00B9414F" w:rsidRPr="00C8733B">
        <w:rPr>
          <w:rFonts w:eastAsia="Times New Roman"/>
          <w:sz w:val="22"/>
          <w:szCs w:val="22"/>
          <w:lang w:eastAsia="en-AU"/>
        </w:rPr>
        <w:t xml:space="preserve"> </w:t>
      </w:r>
      <w:r w:rsidR="00C80DB1" w:rsidRPr="00C8733B">
        <w:rPr>
          <w:rFonts w:eastAsia="Times New Roman"/>
          <w:sz w:val="22"/>
          <w:szCs w:val="22"/>
          <w:lang w:eastAsia="en-AU"/>
        </w:rPr>
        <w:t xml:space="preserve">regarding </w:t>
      </w:r>
      <w:r w:rsidR="00B9414F" w:rsidRPr="00C8733B">
        <w:rPr>
          <w:rFonts w:eastAsia="Times New Roman"/>
          <w:sz w:val="22"/>
          <w:szCs w:val="22"/>
          <w:lang w:eastAsia="en-AU"/>
        </w:rPr>
        <w:t xml:space="preserve">the </w:t>
      </w:r>
      <w:r w:rsidR="00C80DB1" w:rsidRPr="00C8733B">
        <w:rPr>
          <w:rFonts w:eastAsia="Times New Roman"/>
          <w:sz w:val="22"/>
          <w:szCs w:val="22"/>
          <w:lang w:eastAsia="en-AU"/>
        </w:rPr>
        <w:t xml:space="preserve">kinds of </w:t>
      </w:r>
      <w:r w:rsidR="00B9414F" w:rsidRPr="00C8733B">
        <w:rPr>
          <w:rFonts w:eastAsia="Times New Roman"/>
          <w:sz w:val="22"/>
          <w:szCs w:val="22"/>
          <w:lang w:eastAsia="en-AU"/>
        </w:rPr>
        <w:t>conformity assessment document</w:t>
      </w:r>
      <w:r w:rsidR="00C80DB1" w:rsidRPr="00C8733B">
        <w:rPr>
          <w:rFonts w:eastAsia="Times New Roman"/>
          <w:sz w:val="22"/>
          <w:szCs w:val="22"/>
          <w:lang w:eastAsia="en-AU"/>
        </w:rPr>
        <w:t>s</w:t>
      </w:r>
      <w:r w:rsidR="00B9414F" w:rsidRPr="00C8733B">
        <w:rPr>
          <w:rFonts w:eastAsia="Times New Roman"/>
          <w:sz w:val="22"/>
          <w:szCs w:val="22"/>
          <w:lang w:eastAsia="en-AU"/>
        </w:rPr>
        <w:t xml:space="preserve"> </w:t>
      </w:r>
      <w:r w:rsidR="00C80DB1" w:rsidRPr="00C8733B">
        <w:rPr>
          <w:rFonts w:eastAsia="Times New Roman"/>
          <w:sz w:val="22"/>
          <w:szCs w:val="22"/>
          <w:lang w:eastAsia="en-AU"/>
        </w:rPr>
        <w:t>that may be provided with an</w:t>
      </w:r>
      <w:r w:rsidR="00B9414F" w:rsidRPr="00C8733B">
        <w:rPr>
          <w:rFonts w:eastAsia="Times New Roman"/>
          <w:sz w:val="22"/>
          <w:szCs w:val="22"/>
          <w:lang w:eastAsia="en-AU"/>
        </w:rPr>
        <w:t xml:space="preserve"> application</w:t>
      </w:r>
      <w:r w:rsidR="00C80DB1" w:rsidRPr="00C8733B">
        <w:rPr>
          <w:rFonts w:eastAsia="Times New Roman"/>
          <w:sz w:val="22"/>
          <w:szCs w:val="22"/>
          <w:lang w:eastAsia="en-AU"/>
        </w:rPr>
        <w:t xml:space="preserve"> for inclusion</w:t>
      </w:r>
      <w:r w:rsidR="00DD6BCC" w:rsidRPr="00C8733B">
        <w:rPr>
          <w:rFonts w:eastAsia="Times New Roman"/>
          <w:sz w:val="22"/>
          <w:szCs w:val="22"/>
          <w:lang w:eastAsia="en-AU"/>
        </w:rPr>
        <w:t xml:space="preserve">. </w:t>
      </w:r>
      <w:r w:rsidR="00B952F9" w:rsidRPr="00C8733B">
        <w:rPr>
          <w:rFonts w:eastAsia="Times New Roman"/>
          <w:sz w:val="22"/>
          <w:szCs w:val="22"/>
          <w:lang w:eastAsia="en-AU"/>
        </w:rPr>
        <w:t xml:space="preserve"> </w:t>
      </w:r>
      <w:r w:rsidR="00DD6BCC" w:rsidRPr="00C8733B">
        <w:rPr>
          <w:rFonts w:eastAsia="Times New Roman"/>
          <w:sz w:val="22"/>
          <w:szCs w:val="22"/>
          <w:lang w:eastAsia="en-AU"/>
        </w:rPr>
        <w:t xml:space="preserve">Additional </w:t>
      </w:r>
      <w:r w:rsidR="00A81460" w:rsidRPr="00C8733B">
        <w:rPr>
          <w:rFonts w:eastAsia="Times New Roman"/>
          <w:sz w:val="22"/>
          <w:szCs w:val="22"/>
          <w:lang w:eastAsia="en-AU"/>
        </w:rPr>
        <w:t xml:space="preserve">administrative </w:t>
      </w:r>
      <w:r w:rsidR="00DD6BCC" w:rsidRPr="00C8733B">
        <w:rPr>
          <w:rFonts w:eastAsia="Times New Roman"/>
          <w:sz w:val="22"/>
          <w:szCs w:val="22"/>
          <w:lang w:eastAsia="en-AU"/>
        </w:rPr>
        <w:t xml:space="preserve">measures </w:t>
      </w:r>
      <w:r w:rsidR="00A81460" w:rsidRPr="00C8733B">
        <w:rPr>
          <w:rFonts w:eastAsia="Times New Roman"/>
          <w:sz w:val="22"/>
          <w:szCs w:val="22"/>
          <w:lang w:eastAsia="en-AU"/>
        </w:rPr>
        <w:t xml:space="preserve">have also been established </w:t>
      </w:r>
      <w:r w:rsidR="00DD6BCC" w:rsidRPr="00C8733B">
        <w:rPr>
          <w:rFonts w:eastAsia="Times New Roman"/>
          <w:sz w:val="22"/>
          <w:szCs w:val="22"/>
          <w:lang w:eastAsia="en-AU"/>
        </w:rPr>
        <w:t xml:space="preserve">to ensure such applications </w:t>
      </w:r>
      <w:r w:rsidR="00A81460" w:rsidRPr="00C8733B">
        <w:rPr>
          <w:rFonts w:eastAsia="Times New Roman"/>
          <w:sz w:val="22"/>
          <w:szCs w:val="22"/>
          <w:lang w:eastAsia="en-AU"/>
        </w:rPr>
        <w:t xml:space="preserve">may </w:t>
      </w:r>
      <w:r w:rsidR="00DD6BCC" w:rsidRPr="00C8733B">
        <w:rPr>
          <w:rFonts w:eastAsia="Times New Roman"/>
          <w:sz w:val="22"/>
          <w:szCs w:val="22"/>
          <w:lang w:eastAsia="en-AU"/>
        </w:rPr>
        <w:t>be selected for audit</w:t>
      </w:r>
      <w:r w:rsidR="00F039B9" w:rsidRPr="00C8733B">
        <w:rPr>
          <w:rFonts w:eastAsia="Times New Roman"/>
          <w:sz w:val="22"/>
          <w:szCs w:val="22"/>
          <w:lang w:eastAsia="en-AU"/>
        </w:rPr>
        <w:t xml:space="preserve"> </w:t>
      </w:r>
      <w:r w:rsidR="00A81460" w:rsidRPr="00C8733B">
        <w:rPr>
          <w:rFonts w:eastAsia="Times New Roman"/>
          <w:sz w:val="22"/>
          <w:szCs w:val="22"/>
          <w:lang w:eastAsia="en-AU"/>
        </w:rPr>
        <w:t xml:space="preserve">in relation to the </w:t>
      </w:r>
      <w:r w:rsidR="00B93DFD" w:rsidRPr="00C8733B">
        <w:rPr>
          <w:rFonts w:eastAsia="Times New Roman"/>
          <w:sz w:val="22"/>
          <w:szCs w:val="22"/>
          <w:lang w:eastAsia="en-AU"/>
        </w:rPr>
        <w:t xml:space="preserve">documentary evidence </w:t>
      </w:r>
      <w:r w:rsidR="00A81460" w:rsidRPr="00C8733B">
        <w:rPr>
          <w:rFonts w:eastAsia="Times New Roman"/>
          <w:sz w:val="22"/>
          <w:szCs w:val="22"/>
          <w:lang w:eastAsia="en-AU"/>
        </w:rPr>
        <w:t xml:space="preserve">provided </w:t>
      </w:r>
      <w:r w:rsidR="00B93DFD" w:rsidRPr="00C8733B">
        <w:rPr>
          <w:rFonts w:eastAsia="Times New Roman"/>
          <w:sz w:val="22"/>
          <w:szCs w:val="22"/>
          <w:lang w:eastAsia="en-AU"/>
        </w:rPr>
        <w:t xml:space="preserve">to </w:t>
      </w:r>
      <w:r w:rsidR="00A81460" w:rsidRPr="00C8733B">
        <w:rPr>
          <w:rFonts w:eastAsia="Times New Roman"/>
          <w:sz w:val="22"/>
          <w:szCs w:val="22"/>
          <w:lang w:eastAsia="en-AU"/>
        </w:rPr>
        <w:t>substantiate</w:t>
      </w:r>
      <w:r w:rsidR="00B93DFD" w:rsidRPr="00C8733B">
        <w:rPr>
          <w:rFonts w:eastAsia="Times New Roman"/>
          <w:sz w:val="22"/>
          <w:szCs w:val="22"/>
          <w:lang w:eastAsia="en-AU"/>
        </w:rPr>
        <w:t xml:space="preserve"> the safety and quality of the device, prior to </w:t>
      </w:r>
      <w:r w:rsidR="00A81460" w:rsidRPr="00C8733B">
        <w:rPr>
          <w:rFonts w:eastAsia="Times New Roman"/>
          <w:sz w:val="22"/>
          <w:szCs w:val="22"/>
          <w:lang w:eastAsia="en-AU"/>
        </w:rPr>
        <w:t xml:space="preserve">the device’s </w:t>
      </w:r>
      <w:r w:rsidR="00B93DFD" w:rsidRPr="00C8733B">
        <w:rPr>
          <w:rFonts w:eastAsia="Times New Roman"/>
          <w:sz w:val="22"/>
          <w:szCs w:val="22"/>
          <w:lang w:eastAsia="en-AU"/>
        </w:rPr>
        <w:t xml:space="preserve">inclusion in the </w:t>
      </w:r>
      <w:r w:rsidR="00A81460" w:rsidRPr="00C8733B">
        <w:rPr>
          <w:rFonts w:eastAsia="Times New Roman"/>
          <w:sz w:val="22"/>
          <w:szCs w:val="22"/>
          <w:lang w:eastAsia="en-AU"/>
        </w:rPr>
        <w:t>Register</w:t>
      </w:r>
      <w:r w:rsidR="00112A71" w:rsidRPr="00C8733B">
        <w:rPr>
          <w:rFonts w:eastAsia="Times New Roman"/>
          <w:sz w:val="22"/>
          <w:szCs w:val="22"/>
          <w:lang w:eastAsia="en-AU"/>
        </w:rPr>
        <w:t>.</w:t>
      </w:r>
    </w:p>
    <w:p w14:paraId="77AC1159" w14:textId="77777777" w:rsidR="0089471D" w:rsidRPr="00C8733B" w:rsidRDefault="0089471D" w:rsidP="00DB4162">
      <w:pPr>
        <w:autoSpaceDE w:val="0"/>
        <w:autoSpaceDN w:val="0"/>
        <w:adjustRightInd w:val="0"/>
        <w:spacing w:after="0" w:line="240" w:lineRule="auto"/>
        <w:rPr>
          <w:rFonts w:eastAsia="Times New Roman"/>
          <w:sz w:val="22"/>
          <w:szCs w:val="22"/>
          <w:lang w:eastAsia="en-AU"/>
        </w:rPr>
      </w:pPr>
    </w:p>
    <w:bookmarkEnd w:id="0"/>
    <w:p w14:paraId="1F2283C3" w14:textId="75D1689A" w:rsidR="00B83BD5" w:rsidRPr="00C8733B" w:rsidRDefault="001E51F5" w:rsidP="00B83BD5">
      <w:pPr>
        <w:spacing w:after="0" w:line="240" w:lineRule="auto"/>
        <w:rPr>
          <w:rFonts w:eastAsia="Times New Roman"/>
          <w:b/>
          <w:sz w:val="22"/>
          <w:szCs w:val="22"/>
          <w:lang w:eastAsia="en-AU"/>
        </w:rPr>
      </w:pPr>
      <w:r w:rsidRPr="00C8733B">
        <w:rPr>
          <w:rFonts w:eastAsia="Times New Roman"/>
          <w:b/>
          <w:sz w:val="22"/>
          <w:szCs w:val="22"/>
          <w:lang w:eastAsia="en-AU"/>
        </w:rPr>
        <w:t>Consultation</w:t>
      </w:r>
    </w:p>
    <w:p w14:paraId="0A259035" w14:textId="7544B5A1" w:rsidR="002A2472" w:rsidRPr="00C8733B" w:rsidRDefault="002A2472" w:rsidP="00B83BD5">
      <w:pPr>
        <w:spacing w:after="0" w:line="240" w:lineRule="auto"/>
        <w:rPr>
          <w:rFonts w:eastAsia="Times New Roman"/>
          <w:bCs/>
          <w:sz w:val="22"/>
          <w:szCs w:val="22"/>
          <w:lang w:eastAsia="en-AU"/>
        </w:rPr>
      </w:pPr>
    </w:p>
    <w:p w14:paraId="4C8D8241" w14:textId="72B280D6" w:rsidR="0086160E" w:rsidRPr="00C8733B" w:rsidRDefault="00E95480" w:rsidP="001E51F5">
      <w:pPr>
        <w:spacing w:after="0" w:line="240" w:lineRule="auto"/>
        <w:rPr>
          <w:rFonts w:eastAsia="Times New Roman"/>
          <w:bCs/>
          <w:sz w:val="22"/>
          <w:szCs w:val="22"/>
          <w:lang w:eastAsia="en-AU"/>
        </w:rPr>
      </w:pPr>
      <w:r w:rsidRPr="00C8733B">
        <w:rPr>
          <w:rFonts w:eastAsia="Times New Roman"/>
          <w:bCs/>
          <w:sz w:val="22"/>
          <w:szCs w:val="22"/>
          <w:lang w:eastAsia="en-AU"/>
        </w:rPr>
        <w:t>The r</w:t>
      </w:r>
      <w:r w:rsidR="00620F0E" w:rsidRPr="00C8733B">
        <w:rPr>
          <w:rFonts w:eastAsia="Times New Roman"/>
          <w:bCs/>
          <w:sz w:val="22"/>
          <w:szCs w:val="22"/>
          <w:lang w:eastAsia="en-AU"/>
        </w:rPr>
        <w:t xml:space="preserve">ecognition of </w:t>
      </w:r>
      <w:r w:rsidRPr="00C8733B">
        <w:rPr>
          <w:rFonts w:eastAsia="Times New Roman"/>
          <w:bCs/>
          <w:sz w:val="22"/>
          <w:szCs w:val="22"/>
          <w:lang w:eastAsia="en-AU"/>
        </w:rPr>
        <w:t xml:space="preserve">the Health Sciences Authority of </w:t>
      </w:r>
      <w:r w:rsidR="00620F0E" w:rsidRPr="00C8733B">
        <w:rPr>
          <w:rFonts w:eastAsia="Times New Roman"/>
          <w:bCs/>
          <w:sz w:val="22"/>
          <w:szCs w:val="22"/>
          <w:lang w:eastAsia="en-AU"/>
        </w:rPr>
        <w:t xml:space="preserve">Singapore as a comparable overseas regulator </w:t>
      </w:r>
      <w:r w:rsidRPr="00C8733B">
        <w:rPr>
          <w:rFonts w:eastAsia="Times New Roman"/>
          <w:bCs/>
          <w:sz w:val="22"/>
          <w:szCs w:val="22"/>
          <w:lang w:eastAsia="en-AU"/>
        </w:rPr>
        <w:t xml:space="preserve">reflects </w:t>
      </w:r>
      <w:r w:rsidR="00833006" w:rsidRPr="00C8733B">
        <w:rPr>
          <w:rFonts w:eastAsia="Times New Roman"/>
          <w:bCs/>
          <w:sz w:val="22"/>
          <w:szCs w:val="22"/>
          <w:lang w:eastAsia="en-AU"/>
        </w:rPr>
        <w:t>the request of</w:t>
      </w:r>
      <w:r w:rsidRPr="00C8733B">
        <w:rPr>
          <w:rFonts w:eastAsia="Times New Roman"/>
          <w:bCs/>
          <w:sz w:val="22"/>
          <w:szCs w:val="22"/>
          <w:lang w:eastAsia="en-AU"/>
        </w:rPr>
        <w:t>, and ongoing consultation and dialog with, the Health Sciences Authority of</w:t>
      </w:r>
      <w:r w:rsidR="00833006" w:rsidRPr="00C8733B">
        <w:rPr>
          <w:rFonts w:eastAsia="Times New Roman"/>
          <w:bCs/>
          <w:sz w:val="22"/>
          <w:szCs w:val="22"/>
          <w:lang w:eastAsia="en-AU"/>
        </w:rPr>
        <w:t xml:space="preserve"> </w:t>
      </w:r>
      <w:r w:rsidR="00620F0E" w:rsidRPr="00C8733B">
        <w:rPr>
          <w:rFonts w:eastAsia="Times New Roman"/>
          <w:bCs/>
          <w:sz w:val="22"/>
          <w:szCs w:val="22"/>
          <w:lang w:eastAsia="en-AU"/>
        </w:rPr>
        <w:t>Singapore</w:t>
      </w:r>
      <w:r w:rsidRPr="00C8733B">
        <w:rPr>
          <w:rFonts w:eastAsia="Times New Roman"/>
          <w:bCs/>
          <w:sz w:val="22"/>
          <w:szCs w:val="22"/>
          <w:lang w:eastAsia="en-AU"/>
        </w:rPr>
        <w:t xml:space="preserve"> in relation to this measure</w:t>
      </w:r>
      <w:r w:rsidR="00620F0E" w:rsidRPr="00C8733B">
        <w:rPr>
          <w:rFonts w:eastAsia="Times New Roman"/>
          <w:bCs/>
          <w:sz w:val="22"/>
          <w:szCs w:val="22"/>
          <w:lang w:eastAsia="en-AU"/>
        </w:rPr>
        <w:t>.</w:t>
      </w:r>
      <w:r w:rsidR="0086160E" w:rsidRPr="00C8733B">
        <w:rPr>
          <w:rFonts w:eastAsia="Times New Roman"/>
          <w:bCs/>
          <w:sz w:val="22"/>
          <w:szCs w:val="22"/>
          <w:lang w:eastAsia="en-AU"/>
        </w:rPr>
        <w:t xml:space="preserve"> </w:t>
      </w:r>
      <w:r w:rsidR="00620F0E" w:rsidRPr="00C8733B">
        <w:rPr>
          <w:rFonts w:eastAsia="Times New Roman"/>
          <w:bCs/>
          <w:sz w:val="22"/>
          <w:szCs w:val="22"/>
          <w:lang w:eastAsia="en-AU"/>
        </w:rPr>
        <w:t xml:space="preserve"> Industry stakeholders </w:t>
      </w:r>
      <w:r w:rsidRPr="00C8733B">
        <w:rPr>
          <w:rFonts w:eastAsia="Times New Roman"/>
          <w:bCs/>
          <w:sz w:val="22"/>
          <w:szCs w:val="22"/>
          <w:lang w:eastAsia="en-AU"/>
        </w:rPr>
        <w:t xml:space="preserve">were also alerted to this measure </w:t>
      </w:r>
      <w:r w:rsidR="00620F0E" w:rsidRPr="00C8733B">
        <w:rPr>
          <w:rFonts w:eastAsia="Times New Roman"/>
          <w:bCs/>
          <w:sz w:val="22"/>
          <w:szCs w:val="22"/>
          <w:lang w:eastAsia="en-AU"/>
        </w:rPr>
        <w:t xml:space="preserve">at the Regulatory and Technical </w:t>
      </w:r>
      <w:r w:rsidRPr="00C8733B">
        <w:rPr>
          <w:rFonts w:eastAsia="Times New Roman"/>
          <w:bCs/>
          <w:sz w:val="22"/>
          <w:szCs w:val="22"/>
          <w:lang w:eastAsia="en-AU"/>
        </w:rPr>
        <w:t xml:space="preserve">Consultative </w:t>
      </w:r>
      <w:r w:rsidR="00620F0E" w:rsidRPr="00C8733B">
        <w:rPr>
          <w:rFonts w:eastAsia="Times New Roman"/>
          <w:bCs/>
          <w:sz w:val="22"/>
          <w:szCs w:val="22"/>
          <w:lang w:eastAsia="en-AU"/>
        </w:rPr>
        <w:t xml:space="preserve">Forum </w:t>
      </w:r>
      <w:r w:rsidRPr="00C8733B">
        <w:rPr>
          <w:rFonts w:eastAsia="Times New Roman"/>
          <w:bCs/>
          <w:sz w:val="22"/>
          <w:szCs w:val="22"/>
          <w:lang w:eastAsia="en-AU"/>
        </w:rPr>
        <w:t>for medical devices (“</w:t>
      </w:r>
      <w:proofErr w:type="spellStart"/>
      <w:r w:rsidRPr="00C8733B">
        <w:rPr>
          <w:rFonts w:eastAsia="Times New Roman"/>
          <w:bCs/>
          <w:sz w:val="22"/>
          <w:szCs w:val="22"/>
          <w:lang w:eastAsia="en-AU"/>
        </w:rPr>
        <w:t>RegTech</w:t>
      </w:r>
      <w:proofErr w:type="spellEnd"/>
      <w:r w:rsidRPr="00C8733B">
        <w:rPr>
          <w:rFonts w:eastAsia="Times New Roman"/>
          <w:bCs/>
          <w:sz w:val="22"/>
          <w:szCs w:val="22"/>
          <w:lang w:eastAsia="en-AU"/>
        </w:rPr>
        <w:t xml:space="preserve">”) </w:t>
      </w:r>
      <w:r w:rsidR="00620F0E" w:rsidRPr="00C8733B">
        <w:rPr>
          <w:rFonts w:eastAsia="Times New Roman"/>
          <w:bCs/>
          <w:sz w:val="22"/>
          <w:szCs w:val="22"/>
          <w:lang w:eastAsia="en-AU"/>
        </w:rPr>
        <w:t>meeting</w:t>
      </w:r>
      <w:r w:rsidR="0086160E" w:rsidRPr="00C8733B">
        <w:rPr>
          <w:rFonts w:eastAsia="Times New Roman"/>
          <w:bCs/>
          <w:sz w:val="22"/>
          <w:szCs w:val="22"/>
          <w:lang w:eastAsia="en-AU"/>
        </w:rPr>
        <w:t xml:space="preserve"> held on 11</w:t>
      </w:r>
      <w:r w:rsidR="00FE3AE6" w:rsidRPr="00C8733B">
        <w:rPr>
          <w:rFonts w:eastAsia="Times New Roman"/>
          <w:bCs/>
          <w:sz w:val="22"/>
          <w:szCs w:val="22"/>
          <w:lang w:eastAsia="en-AU"/>
        </w:rPr>
        <w:t> </w:t>
      </w:r>
      <w:r w:rsidR="0086160E" w:rsidRPr="00C8733B">
        <w:rPr>
          <w:rFonts w:eastAsia="Times New Roman"/>
          <w:bCs/>
          <w:sz w:val="22"/>
          <w:szCs w:val="22"/>
          <w:lang w:eastAsia="en-AU"/>
        </w:rPr>
        <w:t>March 2021</w:t>
      </w:r>
      <w:r w:rsidR="00620F0E" w:rsidRPr="00C8733B">
        <w:rPr>
          <w:rFonts w:eastAsia="Times New Roman"/>
          <w:bCs/>
          <w:sz w:val="22"/>
          <w:szCs w:val="22"/>
          <w:lang w:eastAsia="en-AU"/>
        </w:rPr>
        <w:t>.</w:t>
      </w:r>
      <w:r w:rsidRPr="00C8733B">
        <w:rPr>
          <w:rFonts w:eastAsia="Times New Roman"/>
          <w:bCs/>
          <w:sz w:val="22"/>
          <w:szCs w:val="22"/>
          <w:lang w:eastAsia="en-AU"/>
        </w:rPr>
        <w:t xml:space="preserve"> </w:t>
      </w:r>
      <w:r w:rsidR="00D00192" w:rsidRPr="00C8733B">
        <w:rPr>
          <w:rFonts w:eastAsia="Times New Roman"/>
          <w:bCs/>
          <w:sz w:val="22"/>
          <w:szCs w:val="22"/>
          <w:lang w:eastAsia="en-AU"/>
        </w:rPr>
        <w:t xml:space="preserve"> </w:t>
      </w:r>
      <w:proofErr w:type="spellStart"/>
      <w:r w:rsidRPr="00C8733B">
        <w:rPr>
          <w:rFonts w:eastAsia="Times New Roman"/>
          <w:bCs/>
          <w:sz w:val="22"/>
          <w:szCs w:val="22"/>
          <w:lang w:eastAsia="en-AU"/>
        </w:rPr>
        <w:t>RegTech</w:t>
      </w:r>
      <w:proofErr w:type="spellEnd"/>
      <w:r w:rsidRPr="00C8733B">
        <w:rPr>
          <w:rFonts w:eastAsia="Times New Roman"/>
          <w:bCs/>
          <w:sz w:val="22"/>
          <w:szCs w:val="22"/>
          <w:lang w:eastAsia="en-AU"/>
        </w:rPr>
        <w:t xml:space="preserve"> is a consultative forum designed to prioritise and discuss issues of a regulatory and technical nature relating to the regulation of medical devices, both current and emerging.</w:t>
      </w:r>
      <w:r w:rsidR="00D00192" w:rsidRPr="00C8733B">
        <w:rPr>
          <w:rFonts w:eastAsia="Times New Roman"/>
          <w:bCs/>
          <w:sz w:val="22"/>
          <w:szCs w:val="22"/>
          <w:lang w:eastAsia="en-AU"/>
        </w:rPr>
        <w:t xml:space="preserve"> </w:t>
      </w:r>
      <w:r w:rsidRPr="00C8733B">
        <w:rPr>
          <w:rFonts w:eastAsia="Times New Roman"/>
          <w:bCs/>
          <w:sz w:val="22"/>
          <w:szCs w:val="22"/>
          <w:lang w:eastAsia="en-AU"/>
        </w:rPr>
        <w:t xml:space="preserve"> Its membership includes</w:t>
      </w:r>
      <w:r w:rsidR="00C15214" w:rsidRPr="00C8733B">
        <w:rPr>
          <w:rFonts w:eastAsia="Times New Roman"/>
          <w:bCs/>
          <w:sz w:val="22"/>
          <w:szCs w:val="22"/>
          <w:lang w:eastAsia="en-AU"/>
        </w:rPr>
        <w:t>, for example,</w:t>
      </w:r>
      <w:r w:rsidRPr="00C8733B">
        <w:rPr>
          <w:rFonts w:eastAsia="Times New Roman"/>
          <w:bCs/>
          <w:sz w:val="22"/>
          <w:szCs w:val="22"/>
          <w:lang w:eastAsia="en-AU"/>
        </w:rPr>
        <w:t xml:space="preserve"> the TGA, the Medical Technology Association of Australia, the Australian Dental Industry Association, </w:t>
      </w:r>
      <w:proofErr w:type="spellStart"/>
      <w:r w:rsidRPr="00C8733B">
        <w:rPr>
          <w:rFonts w:eastAsia="Times New Roman"/>
          <w:bCs/>
          <w:sz w:val="22"/>
          <w:szCs w:val="22"/>
          <w:lang w:eastAsia="en-AU"/>
        </w:rPr>
        <w:t>AusBiotech</w:t>
      </w:r>
      <w:proofErr w:type="spellEnd"/>
      <w:r w:rsidR="00C15214" w:rsidRPr="00C8733B">
        <w:rPr>
          <w:rFonts w:eastAsia="Times New Roman"/>
          <w:bCs/>
          <w:sz w:val="22"/>
          <w:szCs w:val="22"/>
          <w:lang w:eastAsia="en-AU"/>
        </w:rPr>
        <w:t xml:space="preserve"> and</w:t>
      </w:r>
      <w:r w:rsidRPr="00C8733B">
        <w:rPr>
          <w:rFonts w:eastAsia="Times New Roman"/>
          <w:bCs/>
          <w:sz w:val="22"/>
          <w:szCs w:val="22"/>
          <w:lang w:eastAsia="en-AU"/>
        </w:rPr>
        <w:t xml:space="preserve"> Pathology Technology Australia</w:t>
      </w:r>
      <w:r w:rsidR="00C15214" w:rsidRPr="00C8733B">
        <w:rPr>
          <w:rFonts w:eastAsia="Times New Roman"/>
          <w:bCs/>
          <w:sz w:val="22"/>
          <w:szCs w:val="22"/>
          <w:lang w:eastAsia="en-AU"/>
        </w:rPr>
        <w:t>.</w:t>
      </w:r>
    </w:p>
    <w:p w14:paraId="1B34C5BA" w14:textId="77777777" w:rsidR="001E51F5" w:rsidRPr="00C8733B" w:rsidRDefault="001E51F5" w:rsidP="001E51F5">
      <w:pPr>
        <w:spacing w:after="0" w:line="240" w:lineRule="auto"/>
        <w:rPr>
          <w:rFonts w:eastAsia="Times New Roman"/>
          <w:sz w:val="22"/>
          <w:szCs w:val="22"/>
          <w:lang w:eastAsia="en-AU"/>
        </w:rPr>
      </w:pPr>
    </w:p>
    <w:p w14:paraId="36C875FF" w14:textId="7D884321" w:rsidR="00E60F74" w:rsidRPr="00C8733B" w:rsidRDefault="00E60F74" w:rsidP="001E51F5">
      <w:pPr>
        <w:spacing w:after="0" w:line="240" w:lineRule="auto"/>
        <w:rPr>
          <w:rFonts w:eastAsia="Times New Roman"/>
          <w:sz w:val="22"/>
          <w:szCs w:val="22"/>
          <w:lang w:eastAsia="en-AU"/>
        </w:rPr>
      </w:pPr>
      <w:r w:rsidRPr="00C8733B">
        <w:rPr>
          <w:rFonts w:eastAsia="Times New Roman"/>
          <w:sz w:val="22"/>
          <w:szCs w:val="22"/>
          <w:lang w:eastAsia="en-AU"/>
        </w:rPr>
        <w:t xml:space="preserve">The Office of Best Practice Regulation (“OBPR”) advised that the proposal to recognise Singapore as a comparable overseas regulator, as reflected in the Amendment Determination, </w:t>
      </w:r>
      <w:r w:rsidR="000E533B" w:rsidRPr="00C8733B">
        <w:rPr>
          <w:rFonts w:eastAsia="Times New Roman"/>
          <w:sz w:val="22"/>
          <w:szCs w:val="22"/>
          <w:lang w:eastAsia="en-AU"/>
        </w:rPr>
        <w:t>is unlikely to have more than</w:t>
      </w:r>
      <w:r w:rsidR="00911889" w:rsidRPr="00C8733B">
        <w:rPr>
          <w:rFonts w:eastAsia="Times New Roman"/>
          <w:sz w:val="22"/>
          <w:szCs w:val="22"/>
          <w:lang w:eastAsia="en-AU"/>
        </w:rPr>
        <w:t xml:space="preserve"> a</w:t>
      </w:r>
      <w:r w:rsidR="000E533B" w:rsidRPr="00C8733B">
        <w:rPr>
          <w:rFonts w:eastAsia="Times New Roman"/>
          <w:sz w:val="22"/>
          <w:szCs w:val="22"/>
          <w:lang w:eastAsia="en-AU"/>
        </w:rPr>
        <w:t xml:space="preserve"> minor regulatory </w:t>
      </w:r>
      <w:proofErr w:type="gramStart"/>
      <w:r w:rsidR="000E533B" w:rsidRPr="00C8733B">
        <w:rPr>
          <w:rFonts w:eastAsia="Times New Roman"/>
          <w:sz w:val="22"/>
          <w:szCs w:val="22"/>
          <w:lang w:eastAsia="en-AU"/>
        </w:rPr>
        <w:t>impact, and</w:t>
      </w:r>
      <w:proofErr w:type="gramEnd"/>
      <w:r w:rsidR="000E533B" w:rsidRPr="00C8733B">
        <w:rPr>
          <w:rFonts w:eastAsia="Times New Roman"/>
          <w:sz w:val="22"/>
          <w:szCs w:val="22"/>
          <w:lang w:eastAsia="en-AU"/>
        </w:rPr>
        <w:t xml:space="preserve"> did not require a regulation impact statement (OBPR ID 43719).</w:t>
      </w:r>
    </w:p>
    <w:p w14:paraId="7AB94087" w14:textId="77777777" w:rsidR="00911889" w:rsidRPr="00C8733B" w:rsidRDefault="00911889" w:rsidP="00911889">
      <w:pPr>
        <w:spacing w:after="0" w:line="240" w:lineRule="auto"/>
        <w:rPr>
          <w:rFonts w:eastAsia="Times New Roman"/>
          <w:sz w:val="22"/>
          <w:szCs w:val="22"/>
          <w:lang w:eastAsia="en-AU"/>
        </w:rPr>
      </w:pPr>
    </w:p>
    <w:p w14:paraId="130B7380" w14:textId="77777777" w:rsidR="0086160E" w:rsidRPr="00C8733B" w:rsidRDefault="0086160E" w:rsidP="0086160E">
      <w:pPr>
        <w:spacing w:after="0" w:line="240" w:lineRule="auto"/>
        <w:rPr>
          <w:rFonts w:eastAsia="Times New Roman"/>
          <w:b/>
          <w:sz w:val="22"/>
          <w:szCs w:val="22"/>
          <w:lang w:eastAsia="en-AU"/>
        </w:rPr>
      </w:pPr>
      <w:r w:rsidRPr="00C8733B">
        <w:rPr>
          <w:rFonts w:eastAsia="Times New Roman"/>
          <w:b/>
          <w:sz w:val="22"/>
          <w:szCs w:val="22"/>
          <w:lang w:eastAsia="en-AU"/>
        </w:rPr>
        <w:t>Documents incorporated by reference</w:t>
      </w:r>
    </w:p>
    <w:p w14:paraId="395AAC59" w14:textId="77777777" w:rsidR="0086160E" w:rsidRPr="00C8733B" w:rsidRDefault="0086160E" w:rsidP="0086160E">
      <w:pPr>
        <w:spacing w:after="0" w:line="240" w:lineRule="auto"/>
        <w:rPr>
          <w:rFonts w:eastAsia="Times New Roman"/>
          <w:bCs/>
          <w:sz w:val="22"/>
          <w:szCs w:val="22"/>
          <w:lang w:eastAsia="en-AU"/>
        </w:rPr>
      </w:pPr>
    </w:p>
    <w:p w14:paraId="6692AAAC" w14:textId="11AC7D06" w:rsidR="0086160E" w:rsidRPr="00C8733B" w:rsidRDefault="0086160E" w:rsidP="0086160E">
      <w:pPr>
        <w:spacing w:after="0" w:line="240" w:lineRule="auto"/>
        <w:rPr>
          <w:rFonts w:eastAsia="Times New Roman"/>
          <w:bCs/>
          <w:sz w:val="22"/>
          <w:szCs w:val="22"/>
          <w:lang w:eastAsia="en-AU"/>
        </w:rPr>
      </w:pPr>
      <w:r w:rsidRPr="00C8733B">
        <w:rPr>
          <w:rFonts w:eastAsia="Times New Roman"/>
          <w:bCs/>
          <w:sz w:val="22"/>
          <w:szCs w:val="22"/>
          <w:lang w:eastAsia="en-AU"/>
        </w:rPr>
        <w:t xml:space="preserve">The primary purpose of the Amendment Determination is to specify an additional kind of information that may accompany an application for inclusion in the Register for certain classes of medical devices, being an extract from, or copy of, the entry in the Singapore Register of Health Products for the specified class of device.  This is achieved by inserting a definition of ‘Singapore Register of Health Products’ into the Principal Determination, which means the Register of Health Products kept and maintained by the Health Sciences Authority of Singapore under section 34 of the Singapore Health Products Act.  The ‘Singapore Health Products Act’ is in turn defined to mean the Health Products Act 2007 of Singapore as in force on </w:t>
      </w:r>
      <w:r w:rsidR="00C8733B" w:rsidRPr="00C8733B">
        <w:rPr>
          <w:rFonts w:eastAsia="Times New Roman"/>
          <w:bCs/>
          <w:sz w:val="22"/>
          <w:szCs w:val="22"/>
          <w:lang w:eastAsia="en-AU"/>
        </w:rPr>
        <w:t xml:space="preserve">1 </w:t>
      </w:r>
      <w:r w:rsidR="002B60E0">
        <w:rPr>
          <w:rFonts w:eastAsia="Times New Roman"/>
          <w:bCs/>
          <w:sz w:val="22"/>
          <w:szCs w:val="22"/>
          <w:lang w:eastAsia="en-AU"/>
        </w:rPr>
        <w:t>July</w:t>
      </w:r>
      <w:r w:rsidR="00427E57" w:rsidRPr="00C8733B">
        <w:rPr>
          <w:rFonts w:eastAsia="Times New Roman"/>
          <w:bCs/>
          <w:sz w:val="22"/>
          <w:szCs w:val="22"/>
          <w:lang w:eastAsia="en-AU"/>
        </w:rPr>
        <w:t xml:space="preserve"> </w:t>
      </w:r>
      <w:r w:rsidRPr="00C8733B">
        <w:rPr>
          <w:rFonts w:eastAsia="Times New Roman"/>
          <w:bCs/>
          <w:sz w:val="22"/>
          <w:szCs w:val="22"/>
          <w:lang w:eastAsia="en-AU"/>
        </w:rPr>
        <w:t>2022.</w:t>
      </w:r>
    </w:p>
    <w:p w14:paraId="23AA683F" w14:textId="77777777" w:rsidR="0086160E" w:rsidRPr="00C8733B" w:rsidRDefault="0086160E" w:rsidP="0086160E">
      <w:pPr>
        <w:spacing w:after="0" w:line="240" w:lineRule="auto"/>
        <w:rPr>
          <w:rFonts w:eastAsia="Times New Roman"/>
          <w:bCs/>
          <w:sz w:val="22"/>
          <w:szCs w:val="22"/>
          <w:lang w:eastAsia="en-AU"/>
        </w:rPr>
      </w:pPr>
    </w:p>
    <w:p w14:paraId="5B6DF19B" w14:textId="75A0AFAC" w:rsidR="0086160E" w:rsidRPr="00C8733B" w:rsidRDefault="0086160E" w:rsidP="0086160E">
      <w:pPr>
        <w:spacing w:after="0" w:line="240" w:lineRule="auto"/>
        <w:rPr>
          <w:rFonts w:eastAsia="Times New Roman"/>
          <w:bCs/>
          <w:sz w:val="22"/>
          <w:szCs w:val="22"/>
          <w:lang w:eastAsia="en-AU"/>
        </w:rPr>
      </w:pPr>
      <w:r w:rsidRPr="00C8733B">
        <w:rPr>
          <w:rFonts w:eastAsia="Times New Roman"/>
          <w:bCs/>
          <w:sz w:val="22"/>
          <w:szCs w:val="22"/>
          <w:lang w:eastAsia="en-AU"/>
        </w:rPr>
        <w:t xml:space="preserve">The Singapore Health Products Act provides the framework for a uniform approach for the registration of health products, and the regulation of the manufacture, import, supply, storage, </w:t>
      </w:r>
      <w:proofErr w:type="gramStart"/>
      <w:r w:rsidRPr="00C8733B">
        <w:rPr>
          <w:rFonts w:eastAsia="Times New Roman"/>
          <w:bCs/>
          <w:sz w:val="22"/>
          <w:szCs w:val="22"/>
          <w:lang w:eastAsia="en-AU"/>
        </w:rPr>
        <w:t>presentation</w:t>
      </w:r>
      <w:proofErr w:type="gramEnd"/>
      <w:r w:rsidRPr="00C8733B">
        <w:rPr>
          <w:rFonts w:eastAsia="Times New Roman"/>
          <w:bCs/>
          <w:sz w:val="22"/>
          <w:szCs w:val="22"/>
          <w:lang w:eastAsia="en-AU"/>
        </w:rPr>
        <w:t xml:space="preserve"> and advertisement of health products</w:t>
      </w:r>
      <w:r w:rsidR="00C15214" w:rsidRPr="00C8733B">
        <w:rPr>
          <w:rFonts w:eastAsia="Times New Roman"/>
          <w:bCs/>
          <w:sz w:val="22"/>
          <w:szCs w:val="22"/>
          <w:lang w:eastAsia="en-AU"/>
        </w:rPr>
        <w:t>, in Singapore</w:t>
      </w:r>
      <w:r w:rsidRPr="00C8733B">
        <w:rPr>
          <w:rFonts w:eastAsia="Times New Roman"/>
          <w:bCs/>
          <w:sz w:val="22"/>
          <w:szCs w:val="22"/>
          <w:lang w:eastAsia="en-AU"/>
        </w:rPr>
        <w:t xml:space="preserve">. </w:t>
      </w:r>
      <w:r w:rsidR="00D00192" w:rsidRPr="00C8733B">
        <w:rPr>
          <w:rFonts w:eastAsia="Times New Roman"/>
          <w:bCs/>
          <w:sz w:val="22"/>
          <w:szCs w:val="22"/>
          <w:lang w:eastAsia="en-AU"/>
        </w:rPr>
        <w:t xml:space="preserve"> </w:t>
      </w:r>
      <w:r w:rsidRPr="00C8733B">
        <w:rPr>
          <w:rFonts w:eastAsia="Times New Roman"/>
          <w:bCs/>
          <w:sz w:val="22"/>
          <w:szCs w:val="22"/>
          <w:lang w:eastAsia="en-AU"/>
        </w:rPr>
        <w:t>The Act may be accessed for free at: https://sso.agc.gov.sg/Act/HPA2007.</w:t>
      </w:r>
    </w:p>
    <w:p w14:paraId="23DAB468" w14:textId="77777777" w:rsidR="0086160E" w:rsidRPr="00C8733B" w:rsidRDefault="0086160E" w:rsidP="0086160E">
      <w:pPr>
        <w:spacing w:after="0" w:line="240" w:lineRule="auto"/>
        <w:rPr>
          <w:rFonts w:eastAsia="Times New Roman"/>
          <w:bCs/>
          <w:sz w:val="22"/>
          <w:szCs w:val="22"/>
          <w:lang w:eastAsia="en-AU"/>
        </w:rPr>
      </w:pPr>
    </w:p>
    <w:p w14:paraId="1847BF3E" w14:textId="2144FD0A" w:rsidR="0086160E" w:rsidRPr="00C8733B" w:rsidRDefault="0086160E" w:rsidP="0086160E">
      <w:pPr>
        <w:spacing w:after="0" w:line="240" w:lineRule="auto"/>
        <w:rPr>
          <w:rFonts w:eastAsia="Times New Roman"/>
          <w:bCs/>
          <w:sz w:val="22"/>
          <w:szCs w:val="22"/>
          <w:lang w:eastAsia="en-AU"/>
        </w:rPr>
      </w:pPr>
      <w:r w:rsidRPr="00C8733B">
        <w:rPr>
          <w:rFonts w:eastAsia="Times New Roman"/>
          <w:bCs/>
          <w:sz w:val="22"/>
          <w:szCs w:val="22"/>
          <w:lang w:eastAsia="en-AU"/>
        </w:rPr>
        <w:t xml:space="preserve">In accordance with section 14 of the </w:t>
      </w:r>
      <w:r w:rsidRPr="00C8733B">
        <w:rPr>
          <w:rFonts w:eastAsia="Times New Roman"/>
          <w:bCs/>
          <w:i/>
          <w:iCs/>
          <w:sz w:val="22"/>
          <w:szCs w:val="22"/>
          <w:lang w:eastAsia="en-AU"/>
        </w:rPr>
        <w:t>Legislation Act 2003</w:t>
      </w:r>
      <w:r w:rsidRPr="00C8733B">
        <w:rPr>
          <w:rFonts w:eastAsia="Times New Roman"/>
          <w:bCs/>
          <w:sz w:val="22"/>
          <w:szCs w:val="22"/>
          <w:lang w:eastAsia="en-AU"/>
        </w:rPr>
        <w:t xml:space="preserve">, this document is incorporated as in force </w:t>
      </w:r>
      <w:proofErr w:type="gramStart"/>
      <w:r w:rsidRPr="00C8733B">
        <w:rPr>
          <w:rFonts w:eastAsia="Times New Roman"/>
          <w:bCs/>
          <w:sz w:val="22"/>
          <w:szCs w:val="22"/>
          <w:lang w:eastAsia="en-AU"/>
        </w:rPr>
        <w:t>at</w:t>
      </w:r>
      <w:proofErr w:type="gramEnd"/>
      <w:r w:rsidRPr="00C8733B">
        <w:rPr>
          <w:rFonts w:eastAsia="Times New Roman"/>
          <w:bCs/>
          <w:sz w:val="22"/>
          <w:szCs w:val="22"/>
          <w:lang w:eastAsia="en-AU"/>
        </w:rPr>
        <w:t xml:space="preserve"> </w:t>
      </w:r>
      <w:r w:rsidR="00A45F9E" w:rsidRPr="00C8733B">
        <w:rPr>
          <w:rFonts w:eastAsia="Times New Roman"/>
          <w:bCs/>
          <w:sz w:val="22"/>
          <w:szCs w:val="22"/>
          <w:lang w:eastAsia="en-AU"/>
        </w:rPr>
        <w:t xml:space="preserve">1 </w:t>
      </w:r>
      <w:r w:rsidR="002B60E0">
        <w:rPr>
          <w:rFonts w:eastAsia="Times New Roman"/>
          <w:bCs/>
          <w:sz w:val="22"/>
          <w:szCs w:val="22"/>
          <w:lang w:eastAsia="en-AU"/>
        </w:rPr>
        <w:t>July</w:t>
      </w:r>
      <w:r w:rsidR="00427E57" w:rsidRPr="00C8733B">
        <w:rPr>
          <w:rFonts w:eastAsia="Times New Roman"/>
          <w:bCs/>
          <w:sz w:val="22"/>
          <w:szCs w:val="22"/>
          <w:lang w:eastAsia="en-AU"/>
        </w:rPr>
        <w:t xml:space="preserve"> </w:t>
      </w:r>
      <w:r w:rsidRPr="00C8733B">
        <w:rPr>
          <w:rFonts w:eastAsia="Times New Roman"/>
          <w:bCs/>
          <w:sz w:val="22"/>
          <w:szCs w:val="22"/>
          <w:lang w:eastAsia="en-AU"/>
        </w:rPr>
        <w:t>2022. This means that any subsequent changes to this document will not be automatically applied under the Determination.</w:t>
      </w:r>
    </w:p>
    <w:p w14:paraId="4BE05E8E" w14:textId="77777777" w:rsidR="0086160E" w:rsidRPr="00C8733B" w:rsidRDefault="0086160E" w:rsidP="00911889">
      <w:pPr>
        <w:spacing w:after="0" w:line="240" w:lineRule="auto"/>
        <w:rPr>
          <w:rFonts w:eastAsia="Times New Roman"/>
          <w:sz w:val="22"/>
          <w:szCs w:val="22"/>
          <w:lang w:eastAsia="en-AU"/>
        </w:rPr>
      </w:pPr>
    </w:p>
    <w:p w14:paraId="2FED7328" w14:textId="41469574" w:rsidR="00911889" w:rsidRPr="00C8733B" w:rsidRDefault="00911889" w:rsidP="00911889">
      <w:pPr>
        <w:spacing w:after="0" w:line="240" w:lineRule="auto"/>
        <w:rPr>
          <w:rFonts w:eastAsia="Times New Roman"/>
          <w:sz w:val="22"/>
          <w:szCs w:val="22"/>
          <w:lang w:eastAsia="en-AU"/>
        </w:rPr>
      </w:pPr>
      <w:r w:rsidRPr="00C8733B">
        <w:rPr>
          <w:rFonts w:eastAsia="Times New Roman"/>
          <w:sz w:val="22"/>
          <w:szCs w:val="22"/>
          <w:lang w:eastAsia="en-AU"/>
        </w:rPr>
        <w:t xml:space="preserve">Details of the Amendment Determination are set out in </w:t>
      </w:r>
      <w:r w:rsidRPr="00C8733B">
        <w:rPr>
          <w:rFonts w:eastAsia="Times New Roman"/>
          <w:b/>
          <w:sz w:val="22"/>
          <w:szCs w:val="22"/>
          <w:lang w:eastAsia="en-AU"/>
        </w:rPr>
        <w:t>Attachment A</w:t>
      </w:r>
      <w:r w:rsidRPr="00C8733B">
        <w:rPr>
          <w:rFonts w:eastAsia="Times New Roman"/>
          <w:sz w:val="22"/>
          <w:szCs w:val="22"/>
          <w:lang w:eastAsia="en-AU"/>
        </w:rPr>
        <w:t>.</w:t>
      </w:r>
    </w:p>
    <w:p w14:paraId="5E8B9E96" w14:textId="77777777" w:rsidR="00E60F74" w:rsidRPr="00C8733B" w:rsidRDefault="00E60F74" w:rsidP="001E51F5">
      <w:pPr>
        <w:spacing w:after="0" w:line="240" w:lineRule="auto"/>
        <w:rPr>
          <w:rFonts w:eastAsia="Times New Roman"/>
          <w:sz w:val="22"/>
          <w:szCs w:val="22"/>
          <w:lang w:eastAsia="en-AU"/>
        </w:rPr>
      </w:pPr>
    </w:p>
    <w:p w14:paraId="529220D3" w14:textId="43639659" w:rsidR="001E51F5" w:rsidRPr="00C8733B" w:rsidRDefault="001E51F5" w:rsidP="001E51F5">
      <w:pPr>
        <w:spacing w:after="0" w:line="240" w:lineRule="auto"/>
        <w:rPr>
          <w:rFonts w:eastAsia="Times New Roman"/>
          <w:sz w:val="22"/>
          <w:szCs w:val="22"/>
          <w:lang w:eastAsia="en-AU"/>
        </w:rPr>
      </w:pPr>
      <w:r w:rsidRPr="00C8733B">
        <w:rPr>
          <w:rFonts w:eastAsia="Times New Roman"/>
          <w:sz w:val="22"/>
          <w:szCs w:val="22"/>
          <w:lang w:eastAsia="en-AU"/>
        </w:rPr>
        <w:t xml:space="preserve">The Amendment </w:t>
      </w:r>
      <w:r w:rsidR="00D12E65" w:rsidRPr="00C8733B">
        <w:rPr>
          <w:rFonts w:eastAsia="Times New Roman"/>
          <w:sz w:val="22"/>
          <w:szCs w:val="22"/>
          <w:lang w:eastAsia="en-AU"/>
        </w:rPr>
        <w:t>Determination</w:t>
      </w:r>
      <w:r w:rsidRPr="00C8733B">
        <w:rPr>
          <w:rFonts w:eastAsia="Times New Roman"/>
          <w:sz w:val="22"/>
          <w:szCs w:val="22"/>
          <w:lang w:eastAsia="en-AU"/>
        </w:rPr>
        <w:t xml:space="preserve"> is compatible with </w:t>
      </w:r>
      <w:r w:rsidR="004B33DC" w:rsidRPr="00C8733B">
        <w:rPr>
          <w:rFonts w:eastAsia="Times New Roman"/>
          <w:sz w:val="22"/>
          <w:szCs w:val="22"/>
          <w:lang w:eastAsia="en-AU"/>
        </w:rPr>
        <w:t xml:space="preserve">the </w:t>
      </w:r>
      <w:r w:rsidRPr="00C8733B">
        <w:rPr>
          <w:rFonts w:eastAsia="Times New Roman"/>
          <w:sz w:val="22"/>
          <w:szCs w:val="22"/>
          <w:lang w:eastAsia="en-AU"/>
        </w:rPr>
        <w:t xml:space="preserve">human rights and freedoms recognised or declared under section 3 of the </w:t>
      </w:r>
      <w:r w:rsidRPr="00C8733B">
        <w:rPr>
          <w:rFonts w:eastAsia="Times New Roman"/>
          <w:i/>
          <w:sz w:val="22"/>
          <w:szCs w:val="22"/>
          <w:lang w:eastAsia="en-AU"/>
        </w:rPr>
        <w:t>Human Rights (Parliamentary Scrutiny) Act 2011</w:t>
      </w:r>
      <w:r w:rsidRPr="00C8733B">
        <w:rPr>
          <w:rFonts w:eastAsia="Times New Roman"/>
          <w:sz w:val="22"/>
          <w:szCs w:val="22"/>
          <w:lang w:eastAsia="en-AU"/>
        </w:rPr>
        <w:t xml:space="preserve">.  A full statement of compatibility is set out in </w:t>
      </w:r>
      <w:r w:rsidRPr="00C8733B">
        <w:rPr>
          <w:rFonts w:eastAsia="Times New Roman"/>
          <w:b/>
          <w:sz w:val="22"/>
          <w:szCs w:val="22"/>
          <w:lang w:eastAsia="en-AU"/>
        </w:rPr>
        <w:t>Attachment B</w:t>
      </w:r>
      <w:r w:rsidRPr="00C8733B">
        <w:rPr>
          <w:rFonts w:eastAsia="Times New Roman"/>
          <w:sz w:val="22"/>
          <w:szCs w:val="22"/>
          <w:lang w:eastAsia="en-AU"/>
        </w:rPr>
        <w:t>.</w:t>
      </w:r>
    </w:p>
    <w:p w14:paraId="4B021798" w14:textId="77777777" w:rsidR="001E51F5" w:rsidRPr="00C8733B" w:rsidRDefault="001E51F5" w:rsidP="001E51F5">
      <w:pPr>
        <w:spacing w:after="0" w:line="240" w:lineRule="auto"/>
        <w:rPr>
          <w:rFonts w:eastAsia="Times New Roman"/>
          <w:sz w:val="22"/>
          <w:szCs w:val="22"/>
          <w:lang w:eastAsia="en-AU"/>
        </w:rPr>
      </w:pPr>
    </w:p>
    <w:p w14:paraId="1C2C3404" w14:textId="77777777" w:rsidR="00C8733B" w:rsidRPr="00C8733B" w:rsidRDefault="001E51F5" w:rsidP="0090094B">
      <w:pPr>
        <w:rPr>
          <w:rFonts w:eastAsia="Times New Roman"/>
          <w:sz w:val="22"/>
          <w:szCs w:val="22"/>
          <w:lang w:eastAsia="en-AU"/>
        </w:rPr>
      </w:pPr>
      <w:r w:rsidRPr="00C8733B">
        <w:rPr>
          <w:rFonts w:eastAsia="Times New Roman"/>
          <w:sz w:val="22"/>
          <w:szCs w:val="22"/>
          <w:lang w:eastAsia="en-AU"/>
        </w:rPr>
        <w:lastRenderedPageBreak/>
        <w:t xml:space="preserve">The Amendment </w:t>
      </w:r>
      <w:r w:rsidR="00103A0E" w:rsidRPr="00C8733B">
        <w:rPr>
          <w:rFonts w:eastAsia="Times New Roman"/>
          <w:sz w:val="22"/>
          <w:szCs w:val="22"/>
          <w:lang w:eastAsia="en-AU"/>
        </w:rPr>
        <w:t>Determination</w:t>
      </w:r>
      <w:r w:rsidRPr="00C8733B">
        <w:rPr>
          <w:rFonts w:eastAsia="Times New Roman"/>
          <w:sz w:val="22"/>
          <w:szCs w:val="22"/>
          <w:lang w:eastAsia="en-AU"/>
        </w:rPr>
        <w:t xml:space="preserve"> is a disallowable legislative instrument for the purposes of the </w:t>
      </w:r>
      <w:r w:rsidRPr="00C8733B">
        <w:rPr>
          <w:rFonts w:eastAsia="Times New Roman"/>
          <w:i/>
          <w:sz w:val="22"/>
          <w:szCs w:val="22"/>
          <w:lang w:eastAsia="en-AU"/>
        </w:rPr>
        <w:t>Legislation Act</w:t>
      </w:r>
      <w:r w:rsidR="00E81D7C" w:rsidRPr="00C8733B">
        <w:rPr>
          <w:rFonts w:eastAsia="Times New Roman"/>
          <w:i/>
          <w:sz w:val="22"/>
          <w:szCs w:val="22"/>
          <w:lang w:eastAsia="en-AU"/>
        </w:rPr>
        <w:t xml:space="preserve"> 2003</w:t>
      </w:r>
      <w:r w:rsidRPr="00C8733B">
        <w:rPr>
          <w:rFonts w:eastAsia="Times New Roman"/>
          <w:i/>
          <w:sz w:val="22"/>
          <w:szCs w:val="22"/>
          <w:lang w:eastAsia="en-AU"/>
        </w:rPr>
        <w:t xml:space="preserve"> </w:t>
      </w:r>
      <w:r w:rsidRPr="00C8733B">
        <w:rPr>
          <w:rFonts w:eastAsia="Times New Roman"/>
          <w:sz w:val="22"/>
          <w:szCs w:val="22"/>
          <w:lang w:eastAsia="en-AU"/>
        </w:rPr>
        <w:t xml:space="preserve">and commences </w:t>
      </w:r>
      <w:r w:rsidR="00D00192" w:rsidRPr="00C8733B">
        <w:rPr>
          <w:rFonts w:eastAsia="Times New Roman"/>
          <w:sz w:val="22"/>
          <w:szCs w:val="22"/>
          <w:lang w:eastAsia="en-AU"/>
        </w:rPr>
        <w:t xml:space="preserve">at the same time as the </w:t>
      </w:r>
      <w:r w:rsidR="00D00192" w:rsidRPr="00C8733B">
        <w:rPr>
          <w:rFonts w:eastAsia="Times New Roman"/>
          <w:i/>
          <w:iCs/>
          <w:sz w:val="22"/>
          <w:szCs w:val="22"/>
          <w:lang w:eastAsia="en-AU"/>
        </w:rPr>
        <w:t>Therapeutic Goods (Overseas Regulators) Amendment (Singapore) Determination 2022</w:t>
      </w:r>
      <w:r w:rsidR="00D00192" w:rsidRPr="00C8733B">
        <w:rPr>
          <w:rFonts w:eastAsia="Times New Roman"/>
          <w:sz w:val="22"/>
          <w:szCs w:val="22"/>
          <w:lang w:eastAsia="en-AU"/>
        </w:rPr>
        <w:t xml:space="preserve"> commences</w:t>
      </w:r>
      <w:r w:rsidR="00C71A57" w:rsidRPr="00C8733B">
        <w:rPr>
          <w:rFonts w:eastAsia="Times New Roman"/>
          <w:sz w:val="22"/>
          <w:szCs w:val="22"/>
          <w:lang w:eastAsia="en-AU"/>
        </w:rPr>
        <w:t>.</w:t>
      </w:r>
    </w:p>
    <w:p w14:paraId="5743D71D" w14:textId="37B454F6" w:rsidR="001E51F5" w:rsidRPr="00C8733B" w:rsidRDefault="001E51F5" w:rsidP="0090094B">
      <w:pPr>
        <w:rPr>
          <w:rFonts w:eastAsia="Times New Roman"/>
          <w:sz w:val="22"/>
          <w:szCs w:val="22"/>
          <w:lang w:eastAsia="en-AU"/>
        </w:rPr>
      </w:pPr>
      <w:r w:rsidRPr="00C8733B">
        <w:rPr>
          <w:rFonts w:eastAsia="Times New Roman"/>
          <w:b/>
          <w:bCs/>
          <w:sz w:val="22"/>
          <w:szCs w:val="22"/>
          <w:lang w:eastAsia="en-AU"/>
        </w:rPr>
        <w:br w:type="page"/>
      </w:r>
    </w:p>
    <w:p w14:paraId="60A063A0" w14:textId="77777777" w:rsidR="001E51F5" w:rsidRPr="00C8733B" w:rsidRDefault="001E51F5" w:rsidP="001E51F5">
      <w:pPr>
        <w:spacing w:after="0" w:line="240" w:lineRule="auto"/>
        <w:jc w:val="right"/>
        <w:rPr>
          <w:rFonts w:eastAsia="Times New Roman"/>
          <w:b/>
          <w:bCs/>
          <w:sz w:val="22"/>
          <w:szCs w:val="22"/>
          <w:lang w:eastAsia="en-AU"/>
        </w:rPr>
      </w:pPr>
      <w:r w:rsidRPr="00C8733B">
        <w:rPr>
          <w:rFonts w:eastAsia="Times New Roman"/>
          <w:b/>
          <w:bCs/>
          <w:sz w:val="22"/>
          <w:szCs w:val="22"/>
          <w:lang w:eastAsia="en-AU"/>
        </w:rPr>
        <w:lastRenderedPageBreak/>
        <w:t>Attachment A</w:t>
      </w:r>
    </w:p>
    <w:p w14:paraId="041AE724" w14:textId="77777777" w:rsidR="001E51F5" w:rsidRPr="00C8733B" w:rsidRDefault="001E51F5" w:rsidP="001E51F5">
      <w:pPr>
        <w:spacing w:after="0" w:line="240" w:lineRule="auto"/>
        <w:rPr>
          <w:rFonts w:eastAsia="Times New Roman"/>
          <w:b/>
          <w:bCs/>
          <w:sz w:val="22"/>
          <w:szCs w:val="22"/>
          <w:lang w:eastAsia="en-AU"/>
        </w:rPr>
      </w:pPr>
    </w:p>
    <w:p w14:paraId="172206C7" w14:textId="58B99C1C" w:rsidR="001E51F5" w:rsidRPr="00C8733B" w:rsidRDefault="001E51F5" w:rsidP="001E51F5">
      <w:pPr>
        <w:spacing w:after="0" w:line="240" w:lineRule="auto"/>
        <w:rPr>
          <w:rFonts w:eastAsia="Times New Roman"/>
          <w:b/>
          <w:bCs/>
          <w:i/>
          <w:sz w:val="22"/>
          <w:szCs w:val="22"/>
          <w:lang w:eastAsia="en-AU"/>
        </w:rPr>
      </w:pPr>
      <w:r w:rsidRPr="00C8733B">
        <w:rPr>
          <w:rFonts w:eastAsia="Times New Roman"/>
          <w:b/>
          <w:bCs/>
          <w:sz w:val="22"/>
          <w:szCs w:val="22"/>
          <w:lang w:eastAsia="en-AU"/>
        </w:rPr>
        <w:t xml:space="preserve">Details of the </w:t>
      </w:r>
      <w:r w:rsidR="00D475CB" w:rsidRPr="00C8733B">
        <w:rPr>
          <w:rFonts w:eastAsia="Times New Roman"/>
          <w:b/>
          <w:bCs/>
          <w:i/>
          <w:sz w:val="22"/>
          <w:szCs w:val="22"/>
          <w:lang w:eastAsia="en-AU"/>
        </w:rPr>
        <w:t>Therapeutic Goods (Medical Devices—Information that Must Accompany Application for Inclusion) Amendment</w:t>
      </w:r>
      <w:r w:rsidR="006D3704" w:rsidRPr="00C8733B">
        <w:rPr>
          <w:rFonts w:eastAsia="Times New Roman"/>
          <w:b/>
          <w:bCs/>
          <w:i/>
          <w:sz w:val="22"/>
          <w:szCs w:val="22"/>
          <w:lang w:eastAsia="en-AU"/>
        </w:rPr>
        <w:t xml:space="preserve"> (</w:t>
      </w:r>
      <w:r w:rsidR="000E73BD" w:rsidRPr="00C8733B">
        <w:rPr>
          <w:rFonts w:eastAsia="Times New Roman"/>
          <w:b/>
          <w:bCs/>
          <w:i/>
          <w:sz w:val="22"/>
          <w:szCs w:val="22"/>
          <w:lang w:eastAsia="en-AU"/>
        </w:rPr>
        <w:t>Singapore</w:t>
      </w:r>
      <w:r w:rsidR="006D3704" w:rsidRPr="00C8733B">
        <w:rPr>
          <w:rFonts w:eastAsia="Times New Roman"/>
          <w:b/>
          <w:bCs/>
          <w:i/>
          <w:sz w:val="22"/>
          <w:szCs w:val="22"/>
          <w:lang w:eastAsia="en-AU"/>
        </w:rPr>
        <w:t xml:space="preserve">) </w:t>
      </w:r>
      <w:r w:rsidR="001A65B1" w:rsidRPr="00C8733B">
        <w:rPr>
          <w:rFonts w:eastAsia="Times New Roman"/>
          <w:b/>
          <w:bCs/>
          <w:i/>
          <w:sz w:val="22"/>
          <w:szCs w:val="22"/>
          <w:lang w:eastAsia="en-AU"/>
        </w:rPr>
        <w:t xml:space="preserve">Determination </w:t>
      </w:r>
      <w:r w:rsidR="00CF0D1D" w:rsidRPr="00C8733B">
        <w:rPr>
          <w:rFonts w:eastAsia="Times New Roman"/>
          <w:b/>
          <w:bCs/>
          <w:i/>
          <w:sz w:val="22"/>
          <w:szCs w:val="22"/>
          <w:lang w:eastAsia="en-AU"/>
        </w:rPr>
        <w:t>202</w:t>
      </w:r>
      <w:r w:rsidR="00B50E03" w:rsidRPr="00C8733B">
        <w:rPr>
          <w:rFonts w:eastAsia="Times New Roman"/>
          <w:b/>
          <w:bCs/>
          <w:i/>
          <w:sz w:val="22"/>
          <w:szCs w:val="22"/>
          <w:lang w:eastAsia="en-AU"/>
        </w:rPr>
        <w:t>2</w:t>
      </w:r>
    </w:p>
    <w:p w14:paraId="0F6ACAB3" w14:textId="77777777" w:rsidR="001E51F5" w:rsidRPr="00C8733B" w:rsidRDefault="001E51F5" w:rsidP="001E51F5">
      <w:pPr>
        <w:spacing w:after="0" w:line="240" w:lineRule="auto"/>
        <w:rPr>
          <w:rFonts w:eastAsia="Times New Roman"/>
          <w:b/>
          <w:bCs/>
          <w:i/>
          <w:sz w:val="22"/>
          <w:szCs w:val="22"/>
          <w:lang w:eastAsia="en-AU"/>
        </w:rPr>
      </w:pPr>
    </w:p>
    <w:p w14:paraId="0EEEF6AB" w14:textId="77777777" w:rsidR="001E51F5" w:rsidRPr="00C8733B" w:rsidRDefault="001E51F5" w:rsidP="001E51F5">
      <w:pPr>
        <w:spacing w:after="0" w:line="240" w:lineRule="auto"/>
        <w:rPr>
          <w:rFonts w:eastAsia="Times New Roman"/>
          <w:b/>
          <w:bCs/>
          <w:sz w:val="22"/>
          <w:szCs w:val="22"/>
          <w:lang w:eastAsia="en-AU"/>
        </w:rPr>
      </w:pPr>
      <w:r w:rsidRPr="00C8733B">
        <w:rPr>
          <w:rFonts w:eastAsia="Times New Roman"/>
          <w:b/>
          <w:bCs/>
          <w:sz w:val="22"/>
          <w:szCs w:val="22"/>
          <w:lang w:eastAsia="en-AU"/>
        </w:rPr>
        <w:t>Section 1 – Name</w:t>
      </w:r>
    </w:p>
    <w:p w14:paraId="0079B619" w14:textId="77777777" w:rsidR="001E51F5" w:rsidRPr="00C8733B" w:rsidRDefault="001E51F5" w:rsidP="001E51F5">
      <w:pPr>
        <w:spacing w:after="0" w:line="240" w:lineRule="auto"/>
        <w:rPr>
          <w:rFonts w:eastAsia="Times New Roman"/>
          <w:b/>
          <w:bCs/>
          <w:sz w:val="22"/>
          <w:szCs w:val="22"/>
          <w:lang w:eastAsia="en-AU"/>
        </w:rPr>
      </w:pPr>
    </w:p>
    <w:p w14:paraId="584B847E" w14:textId="0A22079F" w:rsidR="001E51F5" w:rsidRPr="00C8733B" w:rsidRDefault="001E51F5" w:rsidP="001E51F5">
      <w:pPr>
        <w:spacing w:after="0" w:line="240" w:lineRule="auto"/>
        <w:rPr>
          <w:rFonts w:eastAsia="Times New Roman"/>
          <w:sz w:val="22"/>
          <w:szCs w:val="22"/>
          <w:lang w:eastAsia="en-AU"/>
        </w:rPr>
      </w:pPr>
      <w:r w:rsidRPr="00C8733B">
        <w:rPr>
          <w:rFonts w:eastAsia="Times New Roman"/>
          <w:sz w:val="22"/>
          <w:szCs w:val="22"/>
          <w:lang w:eastAsia="en-AU"/>
        </w:rPr>
        <w:t xml:space="preserve">This section provides that the name of the instrument is the </w:t>
      </w:r>
      <w:bookmarkStart w:id="1" w:name="_Hlk86311533"/>
      <w:r w:rsidR="00D475CB" w:rsidRPr="00C8733B">
        <w:rPr>
          <w:rFonts w:eastAsia="Times New Roman"/>
          <w:bCs/>
          <w:i/>
          <w:sz w:val="22"/>
          <w:szCs w:val="22"/>
          <w:lang w:eastAsia="en-AU"/>
        </w:rPr>
        <w:t xml:space="preserve">Therapeutic Goods (Medical Devices—Information that Must Accompany Application for Inclusion) Amendment </w:t>
      </w:r>
      <w:r w:rsidR="006D3704" w:rsidRPr="00C8733B">
        <w:rPr>
          <w:rFonts w:eastAsia="Times New Roman"/>
          <w:bCs/>
          <w:i/>
          <w:sz w:val="22"/>
          <w:szCs w:val="22"/>
          <w:lang w:eastAsia="en-AU"/>
        </w:rPr>
        <w:t>(</w:t>
      </w:r>
      <w:r w:rsidR="000E73BD" w:rsidRPr="00C8733B">
        <w:rPr>
          <w:rFonts w:eastAsia="Times New Roman"/>
          <w:i/>
          <w:sz w:val="22"/>
          <w:szCs w:val="22"/>
          <w:lang w:eastAsia="en-AU"/>
        </w:rPr>
        <w:t>Singapore</w:t>
      </w:r>
      <w:r w:rsidR="006D3704" w:rsidRPr="00C8733B">
        <w:rPr>
          <w:rFonts w:eastAsia="Times New Roman"/>
          <w:bCs/>
          <w:i/>
          <w:sz w:val="22"/>
          <w:szCs w:val="22"/>
          <w:lang w:eastAsia="en-AU"/>
        </w:rPr>
        <w:t xml:space="preserve">) </w:t>
      </w:r>
      <w:r w:rsidR="001A65B1" w:rsidRPr="00C8733B">
        <w:rPr>
          <w:rFonts w:eastAsia="Times New Roman"/>
          <w:bCs/>
          <w:i/>
          <w:sz w:val="22"/>
          <w:szCs w:val="22"/>
          <w:lang w:eastAsia="en-AU"/>
        </w:rPr>
        <w:t xml:space="preserve">Determination </w:t>
      </w:r>
      <w:r w:rsidR="00D475CB" w:rsidRPr="00C8733B">
        <w:rPr>
          <w:rFonts w:eastAsia="Times New Roman"/>
          <w:bCs/>
          <w:i/>
          <w:sz w:val="22"/>
          <w:szCs w:val="22"/>
          <w:lang w:eastAsia="en-AU"/>
        </w:rPr>
        <w:t>202</w:t>
      </w:r>
      <w:r w:rsidR="00B50E03" w:rsidRPr="00C8733B">
        <w:rPr>
          <w:rFonts w:eastAsia="Times New Roman"/>
          <w:bCs/>
          <w:i/>
          <w:sz w:val="22"/>
          <w:szCs w:val="22"/>
          <w:lang w:eastAsia="en-AU"/>
        </w:rPr>
        <w:t>2</w:t>
      </w:r>
      <w:r w:rsidR="00D475CB" w:rsidRPr="00C8733B">
        <w:rPr>
          <w:rFonts w:eastAsia="Times New Roman"/>
          <w:bCs/>
          <w:i/>
          <w:sz w:val="22"/>
          <w:szCs w:val="22"/>
          <w:lang w:eastAsia="en-AU"/>
        </w:rPr>
        <w:t xml:space="preserve"> </w:t>
      </w:r>
      <w:bookmarkEnd w:id="1"/>
      <w:r w:rsidRPr="00C8733B">
        <w:rPr>
          <w:rFonts w:eastAsia="Times New Roman"/>
          <w:sz w:val="22"/>
          <w:szCs w:val="22"/>
          <w:lang w:eastAsia="en-AU"/>
        </w:rPr>
        <w:t xml:space="preserve">(“the Amendment </w:t>
      </w:r>
      <w:r w:rsidR="00E81D7C" w:rsidRPr="00C8733B">
        <w:rPr>
          <w:rFonts w:eastAsia="Times New Roman"/>
          <w:sz w:val="22"/>
          <w:szCs w:val="22"/>
          <w:lang w:eastAsia="en-AU"/>
        </w:rPr>
        <w:t>Determination</w:t>
      </w:r>
      <w:r w:rsidRPr="00C8733B">
        <w:rPr>
          <w:rFonts w:eastAsia="Times New Roman"/>
          <w:sz w:val="22"/>
          <w:szCs w:val="22"/>
          <w:lang w:eastAsia="en-AU"/>
        </w:rPr>
        <w:t>”).</w:t>
      </w:r>
    </w:p>
    <w:p w14:paraId="6426C471" w14:textId="77777777" w:rsidR="001E51F5" w:rsidRPr="00C8733B" w:rsidRDefault="001E51F5" w:rsidP="001E51F5">
      <w:pPr>
        <w:spacing w:after="0" w:line="240" w:lineRule="auto"/>
        <w:rPr>
          <w:rFonts w:eastAsia="Times New Roman"/>
          <w:bCs/>
          <w:sz w:val="22"/>
          <w:szCs w:val="22"/>
          <w:lang w:eastAsia="en-AU"/>
        </w:rPr>
      </w:pPr>
    </w:p>
    <w:p w14:paraId="3E4B1338" w14:textId="77777777" w:rsidR="001E51F5" w:rsidRPr="00C8733B" w:rsidRDefault="001E51F5" w:rsidP="001E51F5">
      <w:pPr>
        <w:spacing w:after="0" w:line="240" w:lineRule="auto"/>
        <w:rPr>
          <w:rFonts w:eastAsia="Times New Roman"/>
          <w:b/>
          <w:bCs/>
          <w:sz w:val="22"/>
          <w:szCs w:val="22"/>
          <w:lang w:eastAsia="en-AU"/>
        </w:rPr>
      </w:pPr>
      <w:r w:rsidRPr="00C8733B">
        <w:rPr>
          <w:rFonts w:eastAsia="Times New Roman"/>
          <w:b/>
          <w:bCs/>
          <w:sz w:val="22"/>
          <w:szCs w:val="22"/>
          <w:lang w:eastAsia="en-AU"/>
        </w:rPr>
        <w:t>Section 2 – Commencement</w:t>
      </w:r>
    </w:p>
    <w:p w14:paraId="612D21F6" w14:textId="77777777" w:rsidR="001E51F5" w:rsidRPr="00C8733B" w:rsidRDefault="001E51F5" w:rsidP="001E51F5">
      <w:pPr>
        <w:spacing w:after="0" w:line="240" w:lineRule="auto"/>
        <w:rPr>
          <w:rFonts w:eastAsia="Times New Roman"/>
          <w:bCs/>
          <w:sz w:val="22"/>
          <w:szCs w:val="22"/>
          <w:lang w:eastAsia="en-AU"/>
        </w:rPr>
      </w:pPr>
    </w:p>
    <w:p w14:paraId="1B7CB34F" w14:textId="57C5D692" w:rsidR="001E51F5" w:rsidRPr="00C8733B" w:rsidRDefault="001E51F5" w:rsidP="0027501E">
      <w:pPr>
        <w:spacing w:after="0" w:line="240" w:lineRule="auto"/>
        <w:rPr>
          <w:rFonts w:eastAsia="Times New Roman"/>
          <w:bCs/>
          <w:sz w:val="22"/>
          <w:szCs w:val="22"/>
          <w:lang w:eastAsia="en-AU"/>
        </w:rPr>
      </w:pPr>
      <w:r w:rsidRPr="00C8733B">
        <w:rPr>
          <w:rFonts w:eastAsia="Times New Roman"/>
          <w:bCs/>
          <w:sz w:val="22"/>
          <w:szCs w:val="22"/>
          <w:lang w:eastAsia="en-AU"/>
        </w:rPr>
        <w:t xml:space="preserve">This section provides that the Amendment </w:t>
      </w:r>
      <w:r w:rsidR="00E81D7C" w:rsidRPr="00C8733B">
        <w:rPr>
          <w:rFonts w:eastAsia="Times New Roman"/>
          <w:bCs/>
          <w:sz w:val="22"/>
          <w:szCs w:val="22"/>
          <w:lang w:eastAsia="en-AU"/>
        </w:rPr>
        <w:t>Determination</w:t>
      </w:r>
      <w:r w:rsidRPr="00C8733B">
        <w:rPr>
          <w:rFonts w:eastAsia="Times New Roman"/>
          <w:bCs/>
          <w:sz w:val="22"/>
          <w:szCs w:val="22"/>
          <w:lang w:eastAsia="en-AU"/>
        </w:rPr>
        <w:t xml:space="preserve"> commences </w:t>
      </w:r>
      <w:r w:rsidR="0027501E" w:rsidRPr="00C8733B">
        <w:rPr>
          <w:rFonts w:eastAsia="Times New Roman"/>
          <w:sz w:val="22"/>
          <w:szCs w:val="22"/>
          <w:lang w:eastAsia="en-AU"/>
        </w:rPr>
        <w:t xml:space="preserve">at the same time as the </w:t>
      </w:r>
      <w:r w:rsidR="0027501E" w:rsidRPr="00C8733B">
        <w:rPr>
          <w:i/>
          <w:iCs/>
          <w:sz w:val="22"/>
          <w:szCs w:val="22"/>
        </w:rPr>
        <w:t>Therapeutic Goods (Overseas Regulators) Amendment (Singapore) Determination 2022</w:t>
      </w:r>
      <w:r w:rsidR="0027501E" w:rsidRPr="00C8733B">
        <w:rPr>
          <w:rFonts w:eastAsia="Times New Roman"/>
          <w:sz w:val="22"/>
          <w:szCs w:val="22"/>
          <w:lang w:eastAsia="en-AU"/>
        </w:rPr>
        <w:t xml:space="preserve"> commences.</w:t>
      </w:r>
      <w:r w:rsidR="0027501E" w:rsidRPr="00C8733B">
        <w:rPr>
          <w:rFonts w:ascii="Arial" w:eastAsia="Times New Roman" w:hAnsi="Arial" w:cs="Arial"/>
          <w:sz w:val="22"/>
          <w:szCs w:val="22"/>
          <w:lang w:val="en-US" w:eastAsia="en-AU"/>
        </w:rPr>
        <w:t xml:space="preserve">  </w:t>
      </w:r>
      <w:r w:rsidR="0027501E" w:rsidRPr="00C8733B">
        <w:rPr>
          <w:rFonts w:eastAsia="Times New Roman"/>
          <w:sz w:val="22"/>
          <w:szCs w:val="22"/>
          <w:lang w:eastAsia="en-AU"/>
        </w:rPr>
        <w:t>However, th</w:t>
      </w:r>
      <w:r w:rsidR="00816345">
        <w:rPr>
          <w:rFonts w:eastAsia="Times New Roman"/>
          <w:sz w:val="22"/>
          <w:szCs w:val="22"/>
          <w:lang w:eastAsia="en-AU"/>
        </w:rPr>
        <w:t>e Amendment Determination</w:t>
      </w:r>
      <w:r w:rsidR="0027501E" w:rsidRPr="00C8733B">
        <w:rPr>
          <w:rFonts w:eastAsia="Times New Roman"/>
          <w:sz w:val="22"/>
          <w:szCs w:val="22"/>
          <w:lang w:eastAsia="en-AU"/>
        </w:rPr>
        <w:t xml:space="preserve"> will not commence at all if that </w:t>
      </w:r>
      <w:r w:rsidR="00816345">
        <w:rPr>
          <w:rFonts w:eastAsia="Times New Roman"/>
          <w:sz w:val="22"/>
          <w:szCs w:val="22"/>
          <w:lang w:eastAsia="en-AU"/>
        </w:rPr>
        <w:t>instrument</w:t>
      </w:r>
      <w:r w:rsidR="0027501E" w:rsidRPr="00C8733B">
        <w:rPr>
          <w:rFonts w:eastAsia="Times New Roman"/>
          <w:sz w:val="22"/>
          <w:szCs w:val="22"/>
          <w:lang w:eastAsia="en-AU"/>
        </w:rPr>
        <w:t xml:space="preserve"> does not commence</w:t>
      </w:r>
      <w:r w:rsidR="00AB3017" w:rsidRPr="00C8733B">
        <w:rPr>
          <w:rFonts w:eastAsia="Times New Roman"/>
          <w:bCs/>
          <w:sz w:val="22"/>
          <w:szCs w:val="22"/>
          <w:lang w:eastAsia="en-AU"/>
        </w:rPr>
        <w:t>.</w:t>
      </w:r>
    </w:p>
    <w:p w14:paraId="19F7A87B" w14:textId="77777777" w:rsidR="001E51F5" w:rsidRPr="00C8733B" w:rsidRDefault="001E51F5" w:rsidP="001E51F5">
      <w:pPr>
        <w:spacing w:after="0" w:line="240" w:lineRule="auto"/>
        <w:rPr>
          <w:rFonts w:eastAsia="Times New Roman"/>
          <w:bCs/>
          <w:sz w:val="22"/>
          <w:szCs w:val="22"/>
          <w:lang w:eastAsia="en-AU"/>
        </w:rPr>
      </w:pPr>
    </w:p>
    <w:p w14:paraId="4D0734CC" w14:textId="77777777" w:rsidR="001E51F5" w:rsidRPr="00C8733B" w:rsidRDefault="001E51F5" w:rsidP="001E51F5">
      <w:pPr>
        <w:spacing w:after="0" w:line="240" w:lineRule="auto"/>
        <w:rPr>
          <w:rFonts w:eastAsia="Times New Roman"/>
          <w:b/>
          <w:bCs/>
          <w:sz w:val="22"/>
          <w:szCs w:val="22"/>
          <w:lang w:eastAsia="en-AU"/>
        </w:rPr>
      </w:pPr>
      <w:r w:rsidRPr="00C8733B">
        <w:rPr>
          <w:rFonts w:eastAsia="Times New Roman"/>
          <w:b/>
          <w:bCs/>
          <w:sz w:val="22"/>
          <w:szCs w:val="22"/>
          <w:lang w:eastAsia="en-AU"/>
        </w:rPr>
        <w:t>Section 3 – Authority</w:t>
      </w:r>
    </w:p>
    <w:p w14:paraId="28816634" w14:textId="77777777" w:rsidR="001E51F5" w:rsidRPr="00C8733B" w:rsidRDefault="001E51F5" w:rsidP="001E51F5">
      <w:pPr>
        <w:spacing w:after="0" w:line="240" w:lineRule="auto"/>
        <w:rPr>
          <w:rFonts w:eastAsia="Times New Roman"/>
          <w:b/>
          <w:bCs/>
          <w:sz w:val="22"/>
          <w:szCs w:val="22"/>
          <w:lang w:eastAsia="en-AU"/>
        </w:rPr>
      </w:pPr>
    </w:p>
    <w:p w14:paraId="073AA88B" w14:textId="77777777" w:rsidR="001E51F5" w:rsidRPr="00C8733B" w:rsidRDefault="001E51F5" w:rsidP="001E51F5">
      <w:pPr>
        <w:spacing w:after="0" w:line="240" w:lineRule="auto"/>
        <w:rPr>
          <w:rFonts w:eastAsia="Times New Roman"/>
          <w:bCs/>
          <w:sz w:val="22"/>
          <w:szCs w:val="22"/>
          <w:lang w:eastAsia="en-AU"/>
        </w:rPr>
      </w:pPr>
      <w:r w:rsidRPr="00C8733B">
        <w:rPr>
          <w:rFonts w:eastAsia="Times New Roman"/>
          <w:bCs/>
          <w:sz w:val="22"/>
          <w:szCs w:val="22"/>
          <w:lang w:eastAsia="en-AU"/>
        </w:rPr>
        <w:t xml:space="preserve">This section provides that the legislative authority for making the Amendment </w:t>
      </w:r>
      <w:r w:rsidR="00E81D7C" w:rsidRPr="00C8733B">
        <w:rPr>
          <w:rFonts w:eastAsia="Times New Roman"/>
          <w:bCs/>
          <w:sz w:val="22"/>
          <w:szCs w:val="22"/>
          <w:lang w:eastAsia="en-AU"/>
        </w:rPr>
        <w:t>Determination</w:t>
      </w:r>
      <w:r w:rsidRPr="00C8733B">
        <w:rPr>
          <w:rFonts w:eastAsia="Times New Roman"/>
          <w:bCs/>
          <w:sz w:val="22"/>
          <w:szCs w:val="22"/>
          <w:lang w:eastAsia="en-AU"/>
        </w:rPr>
        <w:t xml:space="preserve"> is </w:t>
      </w:r>
      <w:r w:rsidR="00AB3017" w:rsidRPr="00C8733B">
        <w:rPr>
          <w:rFonts w:eastAsia="Times New Roman"/>
          <w:bCs/>
          <w:sz w:val="22"/>
          <w:szCs w:val="22"/>
          <w:lang w:eastAsia="en-AU"/>
        </w:rPr>
        <w:t>sub</w:t>
      </w:r>
      <w:r w:rsidRPr="00C8733B">
        <w:rPr>
          <w:rFonts w:eastAsia="Times New Roman"/>
          <w:bCs/>
          <w:sz w:val="22"/>
          <w:szCs w:val="22"/>
          <w:lang w:eastAsia="en-AU"/>
        </w:rPr>
        <w:t xml:space="preserve">section </w:t>
      </w:r>
      <w:r w:rsidR="00AB3017" w:rsidRPr="00C8733B">
        <w:rPr>
          <w:rFonts w:eastAsia="Times New Roman"/>
          <w:bCs/>
          <w:sz w:val="22"/>
          <w:szCs w:val="22"/>
          <w:lang w:eastAsia="en-AU"/>
        </w:rPr>
        <w:t>41</w:t>
      </w:r>
      <w:proofErr w:type="gramStart"/>
      <w:r w:rsidR="00AB3017" w:rsidRPr="00C8733B">
        <w:rPr>
          <w:rFonts w:eastAsia="Times New Roman"/>
          <w:bCs/>
          <w:sz w:val="22"/>
          <w:szCs w:val="22"/>
          <w:lang w:eastAsia="en-AU"/>
        </w:rPr>
        <w:t>FDB(</w:t>
      </w:r>
      <w:proofErr w:type="gramEnd"/>
      <w:r w:rsidR="00AB3017" w:rsidRPr="00C8733B">
        <w:rPr>
          <w:rFonts w:eastAsia="Times New Roman"/>
          <w:bCs/>
          <w:sz w:val="22"/>
          <w:szCs w:val="22"/>
          <w:lang w:eastAsia="en-AU"/>
        </w:rPr>
        <w:t>7)</w:t>
      </w:r>
      <w:r w:rsidRPr="00C8733B">
        <w:rPr>
          <w:rFonts w:eastAsia="Times New Roman"/>
          <w:bCs/>
          <w:sz w:val="22"/>
          <w:szCs w:val="22"/>
          <w:lang w:eastAsia="en-AU"/>
        </w:rPr>
        <w:t xml:space="preserve"> of the </w:t>
      </w:r>
      <w:r w:rsidRPr="00C8733B">
        <w:rPr>
          <w:rFonts w:eastAsia="Times New Roman"/>
          <w:bCs/>
          <w:i/>
          <w:sz w:val="22"/>
          <w:szCs w:val="22"/>
          <w:lang w:eastAsia="en-AU"/>
        </w:rPr>
        <w:t xml:space="preserve">Therapeutic Goods Act 1989 </w:t>
      </w:r>
      <w:r w:rsidRPr="00C8733B">
        <w:rPr>
          <w:rFonts w:eastAsia="Times New Roman"/>
          <w:bCs/>
          <w:sz w:val="22"/>
          <w:szCs w:val="22"/>
          <w:lang w:eastAsia="en-AU"/>
        </w:rPr>
        <w:t>(“the Act”)</w:t>
      </w:r>
      <w:r w:rsidRPr="00C8733B">
        <w:rPr>
          <w:rFonts w:eastAsia="Times New Roman"/>
          <w:bCs/>
          <w:i/>
          <w:sz w:val="22"/>
          <w:szCs w:val="22"/>
          <w:lang w:eastAsia="en-AU"/>
        </w:rPr>
        <w:t>.</w:t>
      </w:r>
    </w:p>
    <w:p w14:paraId="70609331" w14:textId="77777777" w:rsidR="001E51F5" w:rsidRPr="00C8733B" w:rsidRDefault="001E51F5" w:rsidP="001E51F5">
      <w:pPr>
        <w:spacing w:after="0" w:line="240" w:lineRule="auto"/>
        <w:rPr>
          <w:rFonts w:eastAsia="Times New Roman"/>
          <w:bCs/>
          <w:i/>
          <w:sz w:val="22"/>
          <w:szCs w:val="22"/>
          <w:lang w:eastAsia="en-AU"/>
        </w:rPr>
      </w:pPr>
    </w:p>
    <w:p w14:paraId="43FBAF91" w14:textId="77777777" w:rsidR="001E51F5" w:rsidRPr="00C8733B" w:rsidRDefault="001E51F5" w:rsidP="001E51F5">
      <w:pPr>
        <w:spacing w:after="0" w:line="240" w:lineRule="auto"/>
        <w:rPr>
          <w:rFonts w:eastAsia="Times New Roman"/>
          <w:bCs/>
          <w:sz w:val="22"/>
          <w:szCs w:val="22"/>
          <w:lang w:eastAsia="en-AU"/>
        </w:rPr>
      </w:pPr>
      <w:r w:rsidRPr="00C8733B">
        <w:rPr>
          <w:rFonts w:eastAsia="Times New Roman"/>
          <w:bCs/>
          <w:sz w:val="22"/>
          <w:szCs w:val="22"/>
          <w:lang w:eastAsia="en-AU"/>
        </w:rPr>
        <w:t xml:space="preserve">Subsection 33(3) of the </w:t>
      </w:r>
      <w:r w:rsidRPr="00C8733B">
        <w:rPr>
          <w:rFonts w:eastAsia="Times New Roman"/>
          <w:bCs/>
          <w:i/>
          <w:sz w:val="22"/>
          <w:szCs w:val="22"/>
          <w:lang w:eastAsia="en-AU"/>
        </w:rPr>
        <w:t>Acts Interpretation Act 1901</w:t>
      </w:r>
      <w:r w:rsidRPr="00C8733B">
        <w:rPr>
          <w:rFonts w:eastAsia="Times New Roman"/>
          <w:b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instrument is made in accordance with that provision.</w:t>
      </w:r>
    </w:p>
    <w:p w14:paraId="298B35C1" w14:textId="77777777" w:rsidR="001E51F5" w:rsidRPr="00C8733B" w:rsidRDefault="001E51F5" w:rsidP="001E51F5">
      <w:pPr>
        <w:spacing w:after="0" w:line="240" w:lineRule="auto"/>
        <w:rPr>
          <w:rFonts w:eastAsia="Times New Roman"/>
          <w:bCs/>
          <w:sz w:val="22"/>
          <w:szCs w:val="22"/>
          <w:lang w:eastAsia="en-AU"/>
        </w:rPr>
      </w:pPr>
    </w:p>
    <w:p w14:paraId="5C99EC0D" w14:textId="77777777" w:rsidR="001E51F5" w:rsidRPr="00C8733B" w:rsidRDefault="001E51F5" w:rsidP="001E51F5">
      <w:pPr>
        <w:spacing w:after="0" w:line="240" w:lineRule="auto"/>
        <w:rPr>
          <w:rFonts w:eastAsia="Times New Roman"/>
          <w:b/>
          <w:bCs/>
          <w:sz w:val="22"/>
          <w:szCs w:val="22"/>
          <w:lang w:eastAsia="en-AU"/>
        </w:rPr>
      </w:pPr>
      <w:r w:rsidRPr="00C8733B">
        <w:rPr>
          <w:rFonts w:eastAsia="Times New Roman"/>
          <w:b/>
          <w:bCs/>
          <w:sz w:val="22"/>
          <w:szCs w:val="22"/>
          <w:lang w:eastAsia="en-AU"/>
        </w:rPr>
        <w:t>Section 4 – Schedules</w:t>
      </w:r>
    </w:p>
    <w:p w14:paraId="18019EBE" w14:textId="77777777" w:rsidR="001E51F5" w:rsidRPr="00C8733B" w:rsidRDefault="001E51F5" w:rsidP="001E51F5">
      <w:pPr>
        <w:spacing w:after="0" w:line="240" w:lineRule="auto"/>
        <w:rPr>
          <w:rFonts w:eastAsia="Times New Roman"/>
          <w:bCs/>
          <w:sz w:val="22"/>
          <w:szCs w:val="22"/>
          <w:lang w:eastAsia="en-AU"/>
        </w:rPr>
      </w:pPr>
    </w:p>
    <w:p w14:paraId="1133A7B5" w14:textId="77777777" w:rsidR="001E51F5" w:rsidRPr="00C8733B" w:rsidRDefault="001E51F5" w:rsidP="001E51F5">
      <w:pPr>
        <w:spacing w:after="0" w:line="240" w:lineRule="auto"/>
        <w:rPr>
          <w:rFonts w:eastAsia="Times New Roman"/>
          <w:bCs/>
          <w:sz w:val="22"/>
          <w:szCs w:val="22"/>
          <w:lang w:eastAsia="en-AU"/>
        </w:rPr>
      </w:pPr>
      <w:r w:rsidRPr="00C8733B">
        <w:rPr>
          <w:rFonts w:eastAsia="Times New Roman"/>
          <w:bCs/>
          <w:sz w:val="22"/>
          <w:szCs w:val="22"/>
          <w:lang w:eastAsia="en-AU"/>
        </w:rPr>
        <w:t xml:space="preserve">This section provides that each instrument that is specified in a Schedule to the Amendment </w:t>
      </w:r>
      <w:r w:rsidR="00E81D7C" w:rsidRPr="00C8733B">
        <w:rPr>
          <w:rFonts w:eastAsia="Times New Roman"/>
          <w:bCs/>
          <w:sz w:val="22"/>
          <w:szCs w:val="22"/>
          <w:lang w:eastAsia="en-AU"/>
        </w:rPr>
        <w:t>Determination</w:t>
      </w:r>
      <w:r w:rsidRPr="00C8733B">
        <w:rPr>
          <w:rFonts w:eastAsia="Times New Roman"/>
          <w:bCs/>
          <w:sz w:val="22"/>
          <w:szCs w:val="22"/>
          <w:lang w:eastAsia="en-AU"/>
        </w:rPr>
        <w:t xml:space="preserve"> is amended or repealed as set out in the applicable items in the Schedule concerned, and any other item in a Schedule to the Amendment </w:t>
      </w:r>
      <w:r w:rsidR="00E81D7C" w:rsidRPr="00C8733B">
        <w:rPr>
          <w:rFonts w:eastAsia="Times New Roman"/>
          <w:bCs/>
          <w:sz w:val="22"/>
          <w:szCs w:val="22"/>
          <w:lang w:eastAsia="en-AU"/>
        </w:rPr>
        <w:t>Determination</w:t>
      </w:r>
      <w:r w:rsidRPr="00C8733B">
        <w:rPr>
          <w:rFonts w:eastAsia="Times New Roman"/>
          <w:bCs/>
          <w:sz w:val="22"/>
          <w:szCs w:val="22"/>
          <w:lang w:eastAsia="en-AU"/>
        </w:rPr>
        <w:t xml:space="preserve"> has effect according to its terms.</w:t>
      </w:r>
    </w:p>
    <w:p w14:paraId="05B58594" w14:textId="77777777" w:rsidR="001E51F5" w:rsidRPr="00C8733B" w:rsidRDefault="001E51F5" w:rsidP="001E51F5">
      <w:pPr>
        <w:spacing w:after="0" w:line="240" w:lineRule="auto"/>
        <w:rPr>
          <w:rFonts w:eastAsia="Times New Roman"/>
          <w:bCs/>
          <w:sz w:val="22"/>
          <w:szCs w:val="22"/>
          <w:lang w:eastAsia="en-AU"/>
        </w:rPr>
      </w:pPr>
    </w:p>
    <w:p w14:paraId="1FD2226F" w14:textId="77777777" w:rsidR="001E51F5" w:rsidRPr="00C8733B" w:rsidRDefault="001E51F5" w:rsidP="001E51F5">
      <w:pPr>
        <w:spacing w:after="0" w:line="240" w:lineRule="auto"/>
        <w:rPr>
          <w:rFonts w:eastAsia="Times New Roman"/>
          <w:b/>
          <w:bCs/>
          <w:sz w:val="22"/>
          <w:szCs w:val="22"/>
          <w:lang w:eastAsia="en-AU"/>
        </w:rPr>
      </w:pPr>
      <w:r w:rsidRPr="00C8733B">
        <w:rPr>
          <w:rFonts w:eastAsia="Times New Roman"/>
          <w:b/>
          <w:bCs/>
          <w:sz w:val="22"/>
          <w:szCs w:val="22"/>
          <w:lang w:eastAsia="en-AU"/>
        </w:rPr>
        <w:t>Schedule 1 – Amendments</w:t>
      </w:r>
    </w:p>
    <w:p w14:paraId="5B7FC17B" w14:textId="77777777" w:rsidR="001E51F5" w:rsidRPr="00C8733B" w:rsidRDefault="001E51F5" w:rsidP="001E51F5">
      <w:pPr>
        <w:spacing w:after="0" w:line="240" w:lineRule="auto"/>
        <w:rPr>
          <w:rFonts w:eastAsia="Times New Roman"/>
          <w:bCs/>
          <w:sz w:val="22"/>
          <w:szCs w:val="22"/>
          <w:lang w:eastAsia="en-AU"/>
        </w:rPr>
      </w:pPr>
    </w:p>
    <w:p w14:paraId="4F2E7E9F" w14:textId="77777777" w:rsidR="00F964B7" w:rsidRPr="00C8733B" w:rsidRDefault="00F964B7" w:rsidP="00F964B7">
      <w:pPr>
        <w:spacing w:after="0" w:line="240" w:lineRule="auto"/>
        <w:rPr>
          <w:rFonts w:eastAsia="Times New Roman"/>
          <w:bCs/>
          <w:sz w:val="22"/>
          <w:szCs w:val="22"/>
          <w:lang w:val="en-US" w:eastAsia="en-AU"/>
        </w:rPr>
      </w:pPr>
      <w:r w:rsidRPr="00C8733B">
        <w:rPr>
          <w:rFonts w:eastAsia="Times New Roman"/>
          <w:bCs/>
          <w:sz w:val="22"/>
          <w:szCs w:val="22"/>
          <w:lang w:eastAsia="en-AU"/>
        </w:rPr>
        <w:t>This Schedule amends the</w:t>
      </w:r>
      <w:r w:rsidRPr="00C8733B">
        <w:rPr>
          <w:rFonts w:eastAsia="Times New Roman"/>
          <w:i/>
          <w:iCs/>
          <w:sz w:val="22"/>
          <w:szCs w:val="22"/>
          <w:lang w:eastAsia="en-AU"/>
        </w:rPr>
        <w:t xml:space="preserve"> </w:t>
      </w:r>
      <w:r w:rsidRPr="00C8733B">
        <w:rPr>
          <w:rFonts w:eastAsia="Times New Roman"/>
          <w:bCs/>
          <w:i/>
          <w:iCs/>
          <w:sz w:val="22"/>
          <w:szCs w:val="22"/>
          <w:lang w:eastAsia="en-AU"/>
        </w:rPr>
        <w:t>Therapeutic Goods (Medical Devices—Information that Must Accompany Application for Inclusion) Determination 2018</w:t>
      </w:r>
      <w:r w:rsidRPr="00C8733B">
        <w:rPr>
          <w:rFonts w:eastAsia="Times New Roman"/>
          <w:bCs/>
          <w:sz w:val="22"/>
          <w:szCs w:val="22"/>
          <w:lang w:eastAsia="en-AU"/>
        </w:rPr>
        <w:t xml:space="preserve"> (“the Principal Determination”).</w:t>
      </w:r>
    </w:p>
    <w:p w14:paraId="45BC8C07" w14:textId="77777777" w:rsidR="00F964B7" w:rsidRPr="00C8733B" w:rsidRDefault="00F964B7" w:rsidP="00F964B7">
      <w:pPr>
        <w:spacing w:after="0" w:line="240" w:lineRule="auto"/>
        <w:rPr>
          <w:rFonts w:eastAsia="Times New Roman"/>
          <w:bCs/>
          <w:sz w:val="22"/>
          <w:szCs w:val="22"/>
          <w:lang w:eastAsia="en-AU"/>
        </w:rPr>
      </w:pPr>
    </w:p>
    <w:p w14:paraId="6D54C274" w14:textId="6EAC2266" w:rsidR="00F855EA" w:rsidRPr="00C8733B" w:rsidRDefault="00F855EA" w:rsidP="00F964B7">
      <w:pPr>
        <w:spacing w:after="0" w:line="240" w:lineRule="auto"/>
        <w:rPr>
          <w:rFonts w:eastAsia="Times New Roman"/>
          <w:bCs/>
          <w:sz w:val="22"/>
          <w:szCs w:val="22"/>
          <w:lang w:eastAsia="en-AU"/>
        </w:rPr>
      </w:pPr>
      <w:r w:rsidRPr="00C8733B">
        <w:rPr>
          <w:rFonts w:eastAsia="Times New Roman"/>
          <w:bCs/>
          <w:sz w:val="22"/>
          <w:szCs w:val="22"/>
          <w:lang w:eastAsia="en-AU"/>
        </w:rPr>
        <w:t xml:space="preserve">Item 1 of this Schedule </w:t>
      </w:r>
      <w:r w:rsidR="00F71744" w:rsidRPr="00C8733B">
        <w:rPr>
          <w:rFonts w:eastAsia="Times New Roman"/>
          <w:bCs/>
          <w:sz w:val="22"/>
          <w:szCs w:val="22"/>
          <w:lang w:eastAsia="en-AU"/>
        </w:rPr>
        <w:t>amends section 4 of the Principal Determination to introduce definition</w:t>
      </w:r>
      <w:r w:rsidR="00E527E6" w:rsidRPr="00C8733B">
        <w:rPr>
          <w:rFonts w:eastAsia="Times New Roman"/>
          <w:bCs/>
          <w:sz w:val="22"/>
          <w:szCs w:val="22"/>
          <w:lang w:eastAsia="en-AU"/>
        </w:rPr>
        <w:t>s</w:t>
      </w:r>
      <w:r w:rsidR="00F71744" w:rsidRPr="00C8733B">
        <w:rPr>
          <w:rFonts w:eastAsia="Times New Roman"/>
          <w:bCs/>
          <w:sz w:val="22"/>
          <w:szCs w:val="22"/>
          <w:lang w:eastAsia="en-AU"/>
        </w:rPr>
        <w:t xml:space="preserve"> of ‘</w:t>
      </w:r>
      <w:r w:rsidR="00E527E6" w:rsidRPr="00C8733B">
        <w:rPr>
          <w:rFonts w:eastAsia="Times New Roman"/>
          <w:bCs/>
          <w:sz w:val="22"/>
          <w:szCs w:val="22"/>
          <w:lang w:eastAsia="en-AU"/>
        </w:rPr>
        <w:t>Singapore Health Products Act</w:t>
      </w:r>
      <w:r w:rsidR="00F71744" w:rsidRPr="00C8733B">
        <w:rPr>
          <w:rFonts w:eastAsia="Times New Roman"/>
          <w:bCs/>
          <w:sz w:val="22"/>
          <w:szCs w:val="22"/>
          <w:lang w:eastAsia="en-AU"/>
        </w:rPr>
        <w:t>’</w:t>
      </w:r>
      <w:r w:rsidR="004A00C1" w:rsidRPr="00C8733B">
        <w:rPr>
          <w:rFonts w:eastAsia="Times New Roman"/>
          <w:bCs/>
          <w:sz w:val="22"/>
          <w:szCs w:val="22"/>
          <w:lang w:eastAsia="en-AU"/>
        </w:rPr>
        <w:t xml:space="preserve">, which means the Health Products Act 2007 of Singapore as in force on </w:t>
      </w:r>
      <w:r w:rsidR="00C8733B" w:rsidRPr="00C8733B">
        <w:rPr>
          <w:rFonts w:eastAsia="Times New Roman"/>
          <w:bCs/>
          <w:sz w:val="22"/>
          <w:szCs w:val="22"/>
          <w:lang w:eastAsia="en-AU"/>
        </w:rPr>
        <w:t xml:space="preserve">1 </w:t>
      </w:r>
      <w:r w:rsidR="002B60E0">
        <w:rPr>
          <w:rFonts w:eastAsia="Times New Roman"/>
          <w:bCs/>
          <w:sz w:val="22"/>
          <w:szCs w:val="22"/>
          <w:lang w:eastAsia="en-AU"/>
        </w:rPr>
        <w:t>July</w:t>
      </w:r>
      <w:r w:rsidR="00427E57" w:rsidRPr="00C8733B">
        <w:rPr>
          <w:rFonts w:eastAsia="Times New Roman"/>
          <w:bCs/>
          <w:sz w:val="22"/>
          <w:szCs w:val="22"/>
          <w:lang w:eastAsia="en-AU"/>
        </w:rPr>
        <w:t xml:space="preserve"> </w:t>
      </w:r>
      <w:r w:rsidR="004A00C1" w:rsidRPr="00C8733B">
        <w:rPr>
          <w:rFonts w:eastAsia="Times New Roman"/>
          <w:bCs/>
          <w:sz w:val="22"/>
          <w:szCs w:val="22"/>
          <w:lang w:eastAsia="en-AU"/>
        </w:rPr>
        <w:t xml:space="preserve">2022, and ‘Singapore Register of Health Products’ which is the Register of Health Products </w:t>
      </w:r>
      <w:r w:rsidR="00970B8B" w:rsidRPr="00C8733B">
        <w:rPr>
          <w:rFonts w:eastAsia="Times New Roman"/>
          <w:bCs/>
          <w:sz w:val="22"/>
          <w:szCs w:val="22"/>
          <w:lang w:eastAsia="en-AU"/>
        </w:rPr>
        <w:t>kept and maintained by the Health Sciences Authority of Singapore under section 34 of the Singapore Health Products Act.</w:t>
      </w:r>
    </w:p>
    <w:p w14:paraId="67B4DB24" w14:textId="77777777" w:rsidR="00DB135A" w:rsidRPr="00C8733B" w:rsidRDefault="00DB135A" w:rsidP="00F964B7">
      <w:pPr>
        <w:spacing w:after="0" w:line="240" w:lineRule="auto"/>
        <w:rPr>
          <w:rFonts w:eastAsia="Times New Roman"/>
          <w:bCs/>
          <w:sz w:val="22"/>
          <w:szCs w:val="22"/>
          <w:lang w:eastAsia="en-AU"/>
        </w:rPr>
      </w:pPr>
    </w:p>
    <w:p w14:paraId="5FC71273" w14:textId="3AC57CEA" w:rsidR="00F71744" w:rsidRPr="00C8733B" w:rsidRDefault="00DB135A" w:rsidP="00F964B7">
      <w:pPr>
        <w:spacing w:after="0" w:line="240" w:lineRule="auto"/>
        <w:rPr>
          <w:rFonts w:eastAsia="Times New Roman"/>
          <w:bCs/>
          <w:sz w:val="22"/>
          <w:szCs w:val="22"/>
          <w:lang w:eastAsia="en-AU"/>
        </w:rPr>
      </w:pPr>
      <w:r w:rsidRPr="00C8733B">
        <w:rPr>
          <w:rFonts w:eastAsia="Times New Roman"/>
          <w:bCs/>
          <w:sz w:val="22"/>
          <w:szCs w:val="22"/>
          <w:lang w:eastAsia="en-AU"/>
        </w:rPr>
        <w:t>Item 2 of this Schedule amend</w:t>
      </w:r>
      <w:r w:rsidR="003304A4" w:rsidRPr="00C8733B">
        <w:rPr>
          <w:rFonts w:eastAsia="Times New Roman"/>
          <w:bCs/>
          <w:sz w:val="22"/>
          <w:szCs w:val="22"/>
          <w:lang w:eastAsia="en-AU"/>
        </w:rPr>
        <w:t>s</w:t>
      </w:r>
      <w:r w:rsidRPr="00C8733B">
        <w:rPr>
          <w:rFonts w:eastAsia="Times New Roman"/>
          <w:bCs/>
          <w:sz w:val="22"/>
          <w:szCs w:val="22"/>
          <w:lang w:eastAsia="en-AU"/>
        </w:rPr>
        <w:t xml:space="preserve"> </w:t>
      </w:r>
      <w:r w:rsidR="00F71744" w:rsidRPr="00C8733B">
        <w:rPr>
          <w:rFonts w:eastAsia="Times New Roman"/>
          <w:bCs/>
          <w:sz w:val="22"/>
          <w:szCs w:val="22"/>
          <w:lang w:eastAsia="en-AU"/>
        </w:rPr>
        <w:t xml:space="preserve">Part 2 of Schedule 1 to the Principal Determination, which sets out </w:t>
      </w:r>
      <w:r w:rsidR="003620C4" w:rsidRPr="00C8733B">
        <w:rPr>
          <w:rFonts w:eastAsia="Times New Roman"/>
          <w:bCs/>
          <w:sz w:val="22"/>
          <w:szCs w:val="22"/>
          <w:lang w:eastAsia="en-AU"/>
        </w:rPr>
        <w:t xml:space="preserve">the </w:t>
      </w:r>
      <w:r w:rsidR="00F71744" w:rsidRPr="00C8733B">
        <w:rPr>
          <w:rFonts w:eastAsia="Times New Roman"/>
          <w:bCs/>
          <w:sz w:val="22"/>
          <w:szCs w:val="22"/>
          <w:lang w:eastAsia="en-AU"/>
        </w:rPr>
        <w:t xml:space="preserve">kinds of information that must accompany an application for the inclusion of a Class </w:t>
      </w:r>
      <w:proofErr w:type="spellStart"/>
      <w:r w:rsidR="00F71744" w:rsidRPr="00C8733B">
        <w:rPr>
          <w:rFonts w:eastAsia="Times New Roman"/>
          <w:bCs/>
          <w:sz w:val="22"/>
          <w:szCs w:val="22"/>
          <w:lang w:eastAsia="en-AU"/>
        </w:rPr>
        <w:t>IIa</w:t>
      </w:r>
      <w:proofErr w:type="spellEnd"/>
      <w:r w:rsidR="00F71744" w:rsidRPr="00C8733B">
        <w:rPr>
          <w:rFonts w:eastAsia="Times New Roman"/>
          <w:bCs/>
          <w:sz w:val="22"/>
          <w:szCs w:val="22"/>
          <w:lang w:eastAsia="en-AU"/>
        </w:rPr>
        <w:t xml:space="preserve"> medical device in the Australian Register of Therapeutic Goods (“the Register”)</w:t>
      </w:r>
      <w:r w:rsidR="00786218" w:rsidRPr="00C8733B">
        <w:rPr>
          <w:rFonts w:eastAsia="Times New Roman"/>
          <w:bCs/>
          <w:sz w:val="22"/>
          <w:szCs w:val="22"/>
          <w:lang w:eastAsia="en-AU"/>
        </w:rPr>
        <w:t xml:space="preserve"> for the purposes of subsection 5(3) of the Principal Determination</w:t>
      </w:r>
      <w:r w:rsidR="00F71744" w:rsidRPr="00C8733B">
        <w:rPr>
          <w:rFonts w:eastAsia="Times New Roman"/>
          <w:bCs/>
          <w:sz w:val="22"/>
          <w:szCs w:val="22"/>
          <w:lang w:eastAsia="en-AU"/>
        </w:rPr>
        <w:t xml:space="preserve">, to include (in new item 9 of the table in Part 2 of Schedule 1) </w:t>
      </w:r>
      <w:r w:rsidR="00782756" w:rsidRPr="00C8733B">
        <w:rPr>
          <w:rFonts w:eastAsia="Times New Roman"/>
          <w:bCs/>
          <w:sz w:val="22"/>
          <w:szCs w:val="22"/>
          <w:lang w:eastAsia="en-AU"/>
        </w:rPr>
        <w:t>an extract from, or copy of, the entry in the Singapore Register of Health Products as a Class B medical device</w:t>
      </w:r>
      <w:r w:rsidR="00F71744" w:rsidRPr="00C8733B">
        <w:rPr>
          <w:rFonts w:eastAsia="Times New Roman"/>
          <w:bCs/>
          <w:sz w:val="22"/>
          <w:szCs w:val="22"/>
          <w:lang w:eastAsia="en-AU"/>
        </w:rPr>
        <w:t>.</w:t>
      </w:r>
    </w:p>
    <w:p w14:paraId="02C6C797" w14:textId="77777777" w:rsidR="00A6046E" w:rsidRPr="00C8733B" w:rsidRDefault="00A6046E" w:rsidP="00F964B7">
      <w:pPr>
        <w:spacing w:after="0" w:line="240" w:lineRule="auto"/>
        <w:rPr>
          <w:rFonts w:eastAsia="Times New Roman"/>
          <w:bCs/>
          <w:sz w:val="22"/>
          <w:szCs w:val="22"/>
          <w:lang w:eastAsia="en-AU"/>
        </w:rPr>
      </w:pPr>
    </w:p>
    <w:p w14:paraId="63FA8BA0" w14:textId="4494699A" w:rsidR="00F71744" w:rsidRPr="00C8733B" w:rsidRDefault="00A6046E" w:rsidP="00F71744">
      <w:pPr>
        <w:spacing w:after="0" w:line="240" w:lineRule="auto"/>
        <w:rPr>
          <w:rFonts w:eastAsia="Times New Roman"/>
          <w:bCs/>
          <w:sz w:val="22"/>
          <w:szCs w:val="22"/>
          <w:lang w:eastAsia="en-AU"/>
        </w:rPr>
      </w:pPr>
      <w:r w:rsidRPr="00C8733B">
        <w:rPr>
          <w:rFonts w:eastAsia="Times New Roman"/>
          <w:bCs/>
          <w:sz w:val="22"/>
          <w:szCs w:val="22"/>
          <w:lang w:eastAsia="en-AU"/>
        </w:rPr>
        <w:t xml:space="preserve">Item 3 </w:t>
      </w:r>
      <w:r w:rsidR="002F252C" w:rsidRPr="00C8733B">
        <w:rPr>
          <w:rFonts w:eastAsia="Times New Roman"/>
          <w:bCs/>
          <w:sz w:val="22"/>
          <w:szCs w:val="22"/>
          <w:lang w:eastAsia="en-AU"/>
        </w:rPr>
        <w:t>of this Schedule amends</w:t>
      </w:r>
      <w:r w:rsidR="003304A4" w:rsidRPr="00C8733B">
        <w:rPr>
          <w:rFonts w:eastAsia="Times New Roman"/>
          <w:bCs/>
          <w:sz w:val="22"/>
          <w:szCs w:val="22"/>
          <w:lang w:eastAsia="en-AU"/>
        </w:rPr>
        <w:t xml:space="preserve"> </w:t>
      </w:r>
      <w:r w:rsidR="00F71744" w:rsidRPr="00C8733B">
        <w:rPr>
          <w:rFonts w:eastAsia="Times New Roman"/>
          <w:bCs/>
          <w:sz w:val="22"/>
          <w:szCs w:val="22"/>
          <w:lang w:eastAsia="en-AU"/>
        </w:rPr>
        <w:t xml:space="preserve">Part 3 of Schedule 1 to the Principal Determination, which sets out </w:t>
      </w:r>
      <w:r w:rsidR="003620C4" w:rsidRPr="00C8733B">
        <w:rPr>
          <w:rFonts w:eastAsia="Times New Roman"/>
          <w:bCs/>
          <w:sz w:val="22"/>
          <w:szCs w:val="22"/>
          <w:lang w:eastAsia="en-AU"/>
        </w:rPr>
        <w:t xml:space="preserve">the </w:t>
      </w:r>
      <w:r w:rsidR="00F71744" w:rsidRPr="00C8733B">
        <w:rPr>
          <w:rFonts w:eastAsia="Times New Roman"/>
          <w:bCs/>
          <w:sz w:val="22"/>
          <w:szCs w:val="22"/>
          <w:lang w:eastAsia="en-AU"/>
        </w:rPr>
        <w:t xml:space="preserve">kinds of information that must accompany an application for the inclusion of a Class IIb medical </w:t>
      </w:r>
      <w:r w:rsidR="00F71744" w:rsidRPr="00C8733B">
        <w:rPr>
          <w:rFonts w:eastAsia="Times New Roman"/>
          <w:bCs/>
          <w:sz w:val="22"/>
          <w:szCs w:val="22"/>
          <w:lang w:eastAsia="en-AU"/>
        </w:rPr>
        <w:lastRenderedPageBreak/>
        <w:t>device in the Register</w:t>
      </w:r>
      <w:r w:rsidR="001C2BEE" w:rsidRPr="00C8733B">
        <w:rPr>
          <w:rFonts w:eastAsia="Times New Roman"/>
          <w:bCs/>
          <w:sz w:val="22"/>
          <w:szCs w:val="22"/>
          <w:lang w:eastAsia="en-AU"/>
        </w:rPr>
        <w:t xml:space="preserve"> for the purposes of subsection 5(5) of the Principal Determination</w:t>
      </w:r>
      <w:r w:rsidR="00F71744" w:rsidRPr="00C8733B">
        <w:rPr>
          <w:rFonts w:eastAsia="Times New Roman"/>
          <w:bCs/>
          <w:sz w:val="22"/>
          <w:szCs w:val="22"/>
          <w:lang w:eastAsia="en-AU"/>
        </w:rPr>
        <w:t xml:space="preserve">, to include </w:t>
      </w:r>
      <w:r w:rsidR="00C07751" w:rsidRPr="00C8733B">
        <w:rPr>
          <w:rFonts w:eastAsia="Times New Roman"/>
          <w:bCs/>
          <w:sz w:val="22"/>
          <w:szCs w:val="22"/>
          <w:lang w:eastAsia="en-AU"/>
        </w:rPr>
        <w:t xml:space="preserve">(in new item 12 of the table in Part 3 of Schedule 1) </w:t>
      </w:r>
      <w:r w:rsidR="00F71744" w:rsidRPr="00C8733B">
        <w:rPr>
          <w:rFonts w:eastAsia="Times New Roman"/>
          <w:bCs/>
          <w:sz w:val="22"/>
          <w:szCs w:val="22"/>
          <w:lang w:eastAsia="en-AU"/>
        </w:rPr>
        <w:t>a reference to</w:t>
      </w:r>
      <w:r w:rsidR="00D011ED" w:rsidRPr="00C8733B">
        <w:rPr>
          <w:rFonts w:eastAsia="Times New Roman"/>
          <w:bCs/>
          <w:sz w:val="22"/>
          <w:szCs w:val="22"/>
          <w:lang w:eastAsia="en-AU"/>
        </w:rPr>
        <w:t xml:space="preserve"> an extract from, or copy of, the entry in the Singapore Register of Health Products as a Class C medical device</w:t>
      </w:r>
      <w:r w:rsidR="00F71744" w:rsidRPr="00C8733B">
        <w:rPr>
          <w:rFonts w:eastAsia="Times New Roman"/>
          <w:bCs/>
          <w:sz w:val="22"/>
          <w:szCs w:val="22"/>
          <w:lang w:eastAsia="en-AU"/>
        </w:rPr>
        <w:t>.</w:t>
      </w:r>
    </w:p>
    <w:p w14:paraId="1EE3AFF8" w14:textId="1DCB7356" w:rsidR="00DB135A" w:rsidRPr="00C8733B" w:rsidRDefault="00DB135A" w:rsidP="00F964B7">
      <w:pPr>
        <w:spacing w:after="0" w:line="240" w:lineRule="auto"/>
        <w:rPr>
          <w:rFonts w:eastAsia="Times New Roman"/>
          <w:bCs/>
          <w:sz w:val="22"/>
          <w:szCs w:val="22"/>
          <w:lang w:eastAsia="en-AU"/>
        </w:rPr>
      </w:pPr>
    </w:p>
    <w:p w14:paraId="1D96806C" w14:textId="50CC8454" w:rsidR="00C07751" w:rsidRPr="00C8733B" w:rsidRDefault="00A73968" w:rsidP="00C07751">
      <w:pPr>
        <w:spacing w:after="0" w:line="240" w:lineRule="auto"/>
        <w:rPr>
          <w:rFonts w:eastAsia="Times New Roman"/>
          <w:bCs/>
          <w:sz w:val="22"/>
          <w:szCs w:val="22"/>
          <w:lang w:eastAsia="en-AU"/>
        </w:rPr>
      </w:pPr>
      <w:r w:rsidRPr="00C8733B">
        <w:rPr>
          <w:rFonts w:eastAsia="Times New Roman"/>
          <w:bCs/>
          <w:sz w:val="22"/>
          <w:szCs w:val="22"/>
          <w:lang w:eastAsia="en-AU"/>
        </w:rPr>
        <w:t xml:space="preserve">Item 4 </w:t>
      </w:r>
      <w:r w:rsidR="00AC4F1C" w:rsidRPr="00C8733B">
        <w:rPr>
          <w:rFonts w:eastAsia="Times New Roman"/>
          <w:bCs/>
          <w:sz w:val="22"/>
          <w:szCs w:val="22"/>
          <w:lang w:eastAsia="en-AU"/>
        </w:rPr>
        <w:t xml:space="preserve">of this Schedule </w:t>
      </w:r>
      <w:r w:rsidR="00C07751" w:rsidRPr="00C8733B">
        <w:rPr>
          <w:rFonts w:eastAsia="Times New Roman"/>
          <w:bCs/>
          <w:sz w:val="22"/>
          <w:szCs w:val="22"/>
          <w:lang w:eastAsia="en-AU"/>
        </w:rPr>
        <w:t xml:space="preserve">amends Division 1 of Part 4 of Schedule 1 to the Principal Determination, which sets out </w:t>
      </w:r>
      <w:r w:rsidR="003620C4" w:rsidRPr="00C8733B">
        <w:rPr>
          <w:rFonts w:eastAsia="Times New Roman"/>
          <w:bCs/>
          <w:sz w:val="22"/>
          <w:szCs w:val="22"/>
          <w:lang w:eastAsia="en-AU"/>
        </w:rPr>
        <w:t xml:space="preserve">the </w:t>
      </w:r>
      <w:r w:rsidR="00C07751" w:rsidRPr="00C8733B">
        <w:rPr>
          <w:rFonts w:eastAsia="Times New Roman"/>
          <w:bCs/>
          <w:sz w:val="22"/>
          <w:szCs w:val="22"/>
          <w:lang w:eastAsia="en-AU"/>
        </w:rPr>
        <w:t>kinds of information that must accompany an application for the inclusion of a Class III medical device in the Register</w:t>
      </w:r>
      <w:r w:rsidR="000211F5" w:rsidRPr="00C8733B">
        <w:rPr>
          <w:rFonts w:eastAsia="Times New Roman"/>
          <w:bCs/>
          <w:sz w:val="22"/>
          <w:szCs w:val="22"/>
          <w:lang w:eastAsia="en-AU"/>
        </w:rPr>
        <w:t xml:space="preserve"> (other than a specified medical device as defined in the Principal Determination)</w:t>
      </w:r>
      <w:r w:rsidR="001C2BEE" w:rsidRPr="00C8733B">
        <w:rPr>
          <w:rFonts w:eastAsia="Times New Roman"/>
          <w:bCs/>
          <w:sz w:val="22"/>
          <w:szCs w:val="22"/>
          <w:lang w:eastAsia="en-AU"/>
        </w:rPr>
        <w:t xml:space="preserve"> for the purposes of subsection 5(7) of the Principal Determination</w:t>
      </w:r>
      <w:r w:rsidR="00C07751" w:rsidRPr="00C8733B">
        <w:rPr>
          <w:rFonts w:eastAsia="Times New Roman"/>
          <w:bCs/>
          <w:sz w:val="22"/>
          <w:szCs w:val="22"/>
          <w:lang w:eastAsia="en-AU"/>
        </w:rPr>
        <w:t>, to include (in new item 1</w:t>
      </w:r>
      <w:r w:rsidR="000211F5" w:rsidRPr="00C8733B">
        <w:rPr>
          <w:rFonts w:eastAsia="Times New Roman"/>
          <w:bCs/>
          <w:sz w:val="22"/>
          <w:szCs w:val="22"/>
          <w:lang w:eastAsia="en-AU"/>
        </w:rPr>
        <w:t>3</w:t>
      </w:r>
      <w:r w:rsidR="00C07751" w:rsidRPr="00C8733B">
        <w:rPr>
          <w:rFonts w:eastAsia="Times New Roman"/>
          <w:bCs/>
          <w:sz w:val="22"/>
          <w:szCs w:val="22"/>
          <w:lang w:eastAsia="en-AU"/>
        </w:rPr>
        <w:t xml:space="preserve"> of the table in </w:t>
      </w:r>
      <w:r w:rsidR="000211F5" w:rsidRPr="00C8733B">
        <w:rPr>
          <w:rFonts w:eastAsia="Times New Roman"/>
          <w:bCs/>
          <w:sz w:val="22"/>
          <w:szCs w:val="22"/>
          <w:lang w:eastAsia="en-AU"/>
        </w:rPr>
        <w:t xml:space="preserve">Division 1 of </w:t>
      </w:r>
      <w:r w:rsidR="00C07751" w:rsidRPr="00C8733B">
        <w:rPr>
          <w:rFonts w:eastAsia="Times New Roman"/>
          <w:bCs/>
          <w:sz w:val="22"/>
          <w:szCs w:val="22"/>
          <w:lang w:eastAsia="en-AU"/>
        </w:rPr>
        <w:t xml:space="preserve">Part </w:t>
      </w:r>
      <w:r w:rsidR="000211F5" w:rsidRPr="00C8733B">
        <w:rPr>
          <w:rFonts w:eastAsia="Times New Roman"/>
          <w:bCs/>
          <w:sz w:val="22"/>
          <w:szCs w:val="22"/>
          <w:lang w:eastAsia="en-AU"/>
        </w:rPr>
        <w:t>4</w:t>
      </w:r>
      <w:r w:rsidR="00C07751" w:rsidRPr="00C8733B">
        <w:rPr>
          <w:rFonts w:eastAsia="Times New Roman"/>
          <w:bCs/>
          <w:sz w:val="22"/>
          <w:szCs w:val="22"/>
          <w:lang w:eastAsia="en-AU"/>
        </w:rPr>
        <w:t xml:space="preserve"> of Schedule 1) a reference to </w:t>
      </w:r>
      <w:r w:rsidR="00D011ED" w:rsidRPr="00C8733B">
        <w:rPr>
          <w:rFonts w:eastAsia="Times New Roman"/>
          <w:bCs/>
          <w:sz w:val="22"/>
          <w:szCs w:val="22"/>
          <w:lang w:eastAsia="en-AU"/>
        </w:rPr>
        <w:t>an extract from, or copy of, the entry in the Singapore Register of Health Products as a Class D medical device</w:t>
      </w:r>
      <w:r w:rsidR="00C07751" w:rsidRPr="00C8733B">
        <w:rPr>
          <w:rFonts w:eastAsia="Times New Roman"/>
          <w:bCs/>
          <w:sz w:val="22"/>
          <w:szCs w:val="22"/>
          <w:lang w:eastAsia="en-AU"/>
        </w:rPr>
        <w:t>.</w:t>
      </w:r>
    </w:p>
    <w:p w14:paraId="4DA95258" w14:textId="31C9652F" w:rsidR="00A73968" w:rsidRPr="00C8733B" w:rsidRDefault="00A73968" w:rsidP="00F964B7">
      <w:pPr>
        <w:spacing w:after="0" w:line="240" w:lineRule="auto"/>
        <w:rPr>
          <w:rFonts w:eastAsia="Times New Roman"/>
          <w:bCs/>
          <w:sz w:val="22"/>
          <w:szCs w:val="22"/>
          <w:lang w:eastAsia="en-AU"/>
        </w:rPr>
      </w:pPr>
    </w:p>
    <w:p w14:paraId="2BF58A3A" w14:textId="7A027AD9" w:rsidR="000211F5" w:rsidRPr="00C8733B" w:rsidRDefault="00486B98" w:rsidP="000211F5">
      <w:pPr>
        <w:spacing w:after="0" w:line="240" w:lineRule="auto"/>
        <w:rPr>
          <w:rFonts w:eastAsia="Times New Roman"/>
          <w:bCs/>
          <w:sz w:val="22"/>
          <w:szCs w:val="22"/>
          <w:lang w:eastAsia="en-AU"/>
        </w:rPr>
      </w:pPr>
      <w:r w:rsidRPr="00C8733B">
        <w:rPr>
          <w:rFonts w:eastAsia="Times New Roman"/>
          <w:bCs/>
          <w:sz w:val="22"/>
          <w:szCs w:val="22"/>
          <w:lang w:eastAsia="en-AU"/>
        </w:rPr>
        <w:t>Item 5 of this Schedule</w:t>
      </w:r>
      <w:r w:rsidR="000211F5" w:rsidRPr="00C8733B">
        <w:rPr>
          <w:rFonts w:eastAsia="Times New Roman"/>
          <w:bCs/>
          <w:sz w:val="22"/>
          <w:szCs w:val="22"/>
          <w:lang w:eastAsia="en-AU"/>
        </w:rPr>
        <w:t xml:space="preserve"> amends Division 1 of Part 5 of Schedule 1 to the Principal Determination, which sets out the kinds of information that must accompany an application for the inclusion of an AIMD medical device in the Register (other than a specified medical device as defined in the Principal Determination)</w:t>
      </w:r>
      <w:r w:rsidR="001C2BEE" w:rsidRPr="00C8733B">
        <w:rPr>
          <w:rFonts w:eastAsia="Times New Roman"/>
          <w:bCs/>
          <w:sz w:val="22"/>
          <w:szCs w:val="22"/>
          <w:lang w:eastAsia="en-AU"/>
        </w:rPr>
        <w:t xml:space="preserve"> for the purposes of subsection 5(9) of the Principal Determination</w:t>
      </w:r>
      <w:r w:rsidR="000211F5" w:rsidRPr="00C8733B">
        <w:rPr>
          <w:rFonts w:eastAsia="Times New Roman"/>
          <w:bCs/>
          <w:sz w:val="22"/>
          <w:szCs w:val="22"/>
          <w:lang w:eastAsia="en-AU"/>
        </w:rPr>
        <w:t xml:space="preserve">, to include (in new item 13 of the table in Division 1 of Part </w:t>
      </w:r>
      <w:r w:rsidR="00DA5497">
        <w:rPr>
          <w:rFonts w:eastAsia="Times New Roman"/>
          <w:bCs/>
          <w:sz w:val="22"/>
          <w:szCs w:val="22"/>
          <w:lang w:eastAsia="en-AU"/>
        </w:rPr>
        <w:t>5</w:t>
      </w:r>
      <w:r w:rsidR="000211F5" w:rsidRPr="00C8733B">
        <w:rPr>
          <w:rFonts w:eastAsia="Times New Roman"/>
          <w:bCs/>
          <w:sz w:val="22"/>
          <w:szCs w:val="22"/>
          <w:lang w:eastAsia="en-AU"/>
        </w:rPr>
        <w:t xml:space="preserve"> of Schedule 1) a reference to </w:t>
      </w:r>
      <w:r w:rsidR="00D011ED" w:rsidRPr="00C8733B">
        <w:rPr>
          <w:rFonts w:eastAsia="Times New Roman"/>
          <w:bCs/>
          <w:sz w:val="22"/>
          <w:szCs w:val="22"/>
          <w:lang w:eastAsia="en-AU"/>
        </w:rPr>
        <w:t>an extract from, or copy of, the entry in the Singapore Register of Health Products as a Class D medical device</w:t>
      </w:r>
      <w:r w:rsidR="000211F5" w:rsidRPr="00C8733B">
        <w:rPr>
          <w:rFonts w:eastAsia="Times New Roman"/>
          <w:bCs/>
          <w:sz w:val="22"/>
          <w:szCs w:val="22"/>
          <w:lang w:eastAsia="en-AU"/>
        </w:rPr>
        <w:t>.</w:t>
      </w:r>
    </w:p>
    <w:p w14:paraId="78505671" w14:textId="05C4A50C" w:rsidR="00486B98" w:rsidRPr="00C8733B" w:rsidRDefault="00486B98" w:rsidP="00F964B7">
      <w:pPr>
        <w:spacing w:after="0" w:line="240" w:lineRule="auto"/>
        <w:rPr>
          <w:rFonts w:eastAsia="Times New Roman"/>
          <w:bCs/>
          <w:sz w:val="22"/>
          <w:szCs w:val="22"/>
          <w:lang w:eastAsia="en-AU"/>
        </w:rPr>
      </w:pPr>
    </w:p>
    <w:p w14:paraId="538C9031" w14:textId="1B1DE901" w:rsidR="002F252C" w:rsidRPr="00C8733B" w:rsidRDefault="002F252C" w:rsidP="002F252C">
      <w:pPr>
        <w:spacing w:after="0" w:line="240" w:lineRule="auto"/>
        <w:rPr>
          <w:rFonts w:eastAsia="Times New Roman"/>
          <w:bCs/>
          <w:sz w:val="22"/>
          <w:szCs w:val="22"/>
          <w:lang w:eastAsia="en-AU"/>
        </w:rPr>
      </w:pPr>
      <w:r w:rsidRPr="00C8733B">
        <w:rPr>
          <w:rFonts w:eastAsia="Times New Roman"/>
          <w:bCs/>
          <w:sz w:val="22"/>
          <w:szCs w:val="22"/>
          <w:lang w:eastAsia="en-AU"/>
        </w:rPr>
        <w:t>Item 6 of this Schedule amends</w:t>
      </w:r>
      <w:r w:rsidR="00786218" w:rsidRPr="00C8733B">
        <w:rPr>
          <w:rFonts w:eastAsia="Times New Roman"/>
          <w:bCs/>
          <w:sz w:val="22"/>
          <w:szCs w:val="22"/>
          <w:lang w:eastAsia="en-AU"/>
        </w:rPr>
        <w:t xml:space="preserve"> Part 1 of Schedule 2 to the Principal Determination, which sets out the kinds of information that must accompany an application for the inclusion of a Class 2 IVD medical device in the Register</w:t>
      </w:r>
      <w:r w:rsidR="001C2BEE" w:rsidRPr="00C8733B">
        <w:rPr>
          <w:rFonts w:eastAsia="Times New Roman"/>
          <w:bCs/>
          <w:sz w:val="22"/>
          <w:szCs w:val="22"/>
          <w:lang w:eastAsia="en-AU"/>
        </w:rPr>
        <w:t xml:space="preserve"> for the purposes of subsection 6(1) of the Principal Determination</w:t>
      </w:r>
      <w:r w:rsidR="00786218" w:rsidRPr="00C8733B">
        <w:rPr>
          <w:rFonts w:eastAsia="Times New Roman"/>
          <w:bCs/>
          <w:sz w:val="22"/>
          <w:szCs w:val="22"/>
          <w:lang w:eastAsia="en-AU"/>
        </w:rPr>
        <w:t xml:space="preserve">, to include (in new item </w:t>
      </w:r>
      <w:r w:rsidR="006B2884">
        <w:rPr>
          <w:rFonts w:eastAsia="Times New Roman"/>
          <w:bCs/>
          <w:sz w:val="22"/>
          <w:szCs w:val="22"/>
          <w:lang w:eastAsia="en-AU"/>
        </w:rPr>
        <w:t>9</w:t>
      </w:r>
      <w:r w:rsidR="00786218" w:rsidRPr="00C8733B">
        <w:rPr>
          <w:rFonts w:eastAsia="Times New Roman"/>
          <w:bCs/>
          <w:sz w:val="22"/>
          <w:szCs w:val="22"/>
          <w:lang w:eastAsia="en-AU"/>
        </w:rPr>
        <w:t xml:space="preserve"> of the table in Part 1 of Schedule 2) a reference</w:t>
      </w:r>
      <w:r w:rsidR="00CD37CF" w:rsidRPr="00C8733B">
        <w:rPr>
          <w:rFonts w:eastAsia="Times New Roman"/>
          <w:bCs/>
          <w:sz w:val="22"/>
          <w:szCs w:val="22"/>
          <w:lang w:eastAsia="en-AU"/>
        </w:rPr>
        <w:t xml:space="preserve"> to</w:t>
      </w:r>
      <w:r w:rsidR="00786218" w:rsidRPr="00C8733B">
        <w:rPr>
          <w:rFonts w:eastAsia="Times New Roman"/>
          <w:bCs/>
          <w:sz w:val="22"/>
          <w:szCs w:val="22"/>
          <w:lang w:eastAsia="en-AU"/>
        </w:rPr>
        <w:t xml:space="preserve"> </w:t>
      </w:r>
      <w:r w:rsidR="00D011ED" w:rsidRPr="00C8733B">
        <w:rPr>
          <w:rFonts w:eastAsia="Times New Roman"/>
          <w:bCs/>
          <w:sz w:val="22"/>
          <w:szCs w:val="22"/>
          <w:lang w:eastAsia="en-AU"/>
        </w:rPr>
        <w:t>an extract from, or copy of, the entry in the Singapore Register of Health Products as a Class B IVD</w:t>
      </w:r>
      <w:r w:rsidR="00786218" w:rsidRPr="00C8733B">
        <w:rPr>
          <w:rFonts w:eastAsia="Times New Roman"/>
          <w:bCs/>
          <w:sz w:val="22"/>
          <w:szCs w:val="22"/>
          <w:lang w:eastAsia="en-AU"/>
        </w:rPr>
        <w:t>.</w:t>
      </w:r>
    </w:p>
    <w:p w14:paraId="52848B74" w14:textId="77777777" w:rsidR="00486B98" w:rsidRPr="00C8733B" w:rsidRDefault="00486B98" w:rsidP="00F964B7">
      <w:pPr>
        <w:spacing w:after="0" w:line="240" w:lineRule="auto"/>
        <w:rPr>
          <w:rFonts w:eastAsia="Times New Roman"/>
          <w:bCs/>
          <w:sz w:val="22"/>
          <w:szCs w:val="22"/>
          <w:lang w:eastAsia="en-AU"/>
        </w:rPr>
      </w:pPr>
    </w:p>
    <w:p w14:paraId="0A56C5A7" w14:textId="65807A6B" w:rsidR="00786218" w:rsidRPr="00C8733B" w:rsidRDefault="00486B98" w:rsidP="00786218">
      <w:pPr>
        <w:spacing w:after="0" w:line="240" w:lineRule="auto"/>
        <w:rPr>
          <w:rFonts w:eastAsia="Times New Roman"/>
          <w:bCs/>
          <w:sz w:val="22"/>
          <w:szCs w:val="22"/>
          <w:lang w:eastAsia="en-AU"/>
        </w:rPr>
      </w:pPr>
      <w:r w:rsidRPr="00C8733B">
        <w:rPr>
          <w:rFonts w:eastAsia="Times New Roman"/>
          <w:bCs/>
          <w:sz w:val="22"/>
          <w:szCs w:val="22"/>
          <w:lang w:eastAsia="en-AU"/>
        </w:rPr>
        <w:t xml:space="preserve">Item 7 of this Schedule </w:t>
      </w:r>
      <w:r w:rsidR="00786218" w:rsidRPr="00C8733B">
        <w:rPr>
          <w:rFonts w:eastAsia="Times New Roman"/>
          <w:bCs/>
          <w:sz w:val="22"/>
          <w:szCs w:val="22"/>
          <w:lang w:eastAsia="en-AU"/>
        </w:rPr>
        <w:t>amends Part 2 of Schedule 2 to the Principal Determination, which sets out the kinds of information that must accompany an application for the inclusion of a Class 3 IVD medical device in the Register</w:t>
      </w:r>
      <w:r w:rsidR="001C2BEE" w:rsidRPr="00C8733B">
        <w:rPr>
          <w:rFonts w:eastAsia="Times New Roman"/>
          <w:bCs/>
          <w:sz w:val="22"/>
          <w:szCs w:val="22"/>
          <w:lang w:eastAsia="en-AU"/>
        </w:rPr>
        <w:t xml:space="preserve"> for the purposes of subsection 6(3) of the Principal Determination</w:t>
      </w:r>
      <w:r w:rsidR="00786218" w:rsidRPr="00C8733B">
        <w:rPr>
          <w:rFonts w:eastAsia="Times New Roman"/>
          <w:bCs/>
          <w:sz w:val="22"/>
          <w:szCs w:val="22"/>
          <w:lang w:eastAsia="en-AU"/>
        </w:rPr>
        <w:t>, to include (in new item 1</w:t>
      </w:r>
      <w:r w:rsidR="006B2884">
        <w:rPr>
          <w:rFonts w:eastAsia="Times New Roman"/>
          <w:bCs/>
          <w:sz w:val="22"/>
          <w:szCs w:val="22"/>
          <w:lang w:eastAsia="en-AU"/>
        </w:rPr>
        <w:t>3</w:t>
      </w:r>
      <w:r w:rsidR="00786218" w:rsidRPr="00C8733B">
        <w:rPr>
          <w:rFonts w:eastAsia="Times New Roman"/>
          <w:bCs/>
          <w:sz w:val="22"/>
          <w:szCs w:val="22"/>
          <w:lang w:eastAsia="en-AU"/>
        </w:rPr>
        <w:t xml:space="preserve"> of the table in Part </w:t>
      </w:r>
      <w:r w:rsidR="00DC6BAF">
        <w:rPr>
          <w:rFonts w:eastAsia="Times New Roman"/>
          <w:bCs/>
          <w:sz w:val="22"/>
          <w:szCs w:val="22"/>
          <w:lang w:eastAsia="en-AU"/>
        </w:rPr>
        <w:t>2</w:t>
      </w:r>
      <w:r w:rsidR="00786218" w:rsidRPr="00C8733B">
        <w:rPr>
          <w:rFonts w:eastAsia="Times New Roman"/>
          <w:bCs/>
          <w:sz w:val="22"/>
          <w:szCs w:val="22"/>
          <w:lang w:eastAsia="en-AU"/>
        </w:rPr>
        <w:t xml:space="preserve"> of Schedule 2) a reference to </w:t>
      </w:r>
      <w:r w:rsidR="00B031A8" w:rsidRPr="00C8733B">
        <w:rPr>
          <w:rFonts w:eastAsia="Times New Roman"/>
          <w:bCs/>
          <w:sz w:val="22"/>
          <w:szCs w:val="22"/>
          <w:lang w:eastAsia="en-AU"/>
        </w:rPr>
        <w:t>an extract from, or copy of, the entry in the Singapore Register of Health Products as a Class C IVD</w:t>
      </w:r>
      <w:r w:rsidR="00786218" w:rsidRPr="00C8733B">
        <w:rPr>
          <w:rFonts w:eastAsia="Times New Roman"/>
          <w:bCs/>
          <w:sz w:val="22"/>
          <w:szCs w:val="22"/>
          <w:lang w:eastAsia="en-AU"/>
        </w:rPr>
        <w:t>.</w:t>
      </w:r>
    </w:p>
    <w:p w14:paraId="3ABF0A3E" w14:textId="3DE94959" w:rsidR="006656EF" w:rsidRPr="00C8733B" w:rsidRDefault="006656EF" w:rsidP="006656EF">
      <w:pPr>
        <w:spacing w:after="0" w:line="240" w:lineRule="auto"/>
        <w:rPr>
          <w:rFonts w:eastAsia="Times New Roman"/>
          <w:bCs/>
          <w:sz w:val="22"/>
          <w:szCs w:val="22"/>
          <w:lang w:eastAsia="en-AU"/>
        </w:rPr>
      </w:pPr>
    </w:p>
    <w:p w14:paraId="270B3D61" w14:textId="5AC706EA" w:rsidR="008C6090" w:rsidRPr="00C8733B" w:rsidRDefault="006656EF" w:rsidP="006656EF">
      <w:pPr>
        <w:rPr>
          <w:rFonts w:eastAsia="Times New Roman"/>
          <w:bCs/>
          <w:sz w:val="22"/>
          <w:szCs w:val="22"/>
          <w:lang w:eastAsia="en-AU"/>
        </w:rPr>
      </w:pPr>
      <w:r w:rsidRPr="00C8733B">
        <w:rPr>
          <w:rFonts w:eastAsia="Times New Roman"/>
          <w:bCs/>
          <w:sz w:val="22"/>
          <w:szCs w:val="22"/>
          <w:lang w:eastAsia="en-AU"/>
        </w:rPr>
        <w:br w:type="page"/>
      </w:r>
    </w:p>
    <w:p w14:paraId="37F9969A" w14:textId="77777777" w:rsidR="001E51F5" w:rsidRPr="00C8733B" w:rsidRDefault="001E51F5" w:rsidP="001E51F5">
      <w:pPr>
        <w:spacing w:after="0" w:line="240" w:lineRule="auto"/>
        <w:jc w:val="right"/>
        <w:rPr>
          <w:rFonts w:eastAsia="Times New Roman"/>
          <w:b/>
          <w:bCs/>
          <w:sz w:val="22"/>
          <w:szCs w:val="22"/>
          <w:lang w:eastAsia="en-AU"/>
        </w:rPr>
      </w:pPr>
      <w:r w:rsidRPr="00C8733B">
        <w:rPr>
          <w:rFonts w:eastAsia="Times New Roman"/>
          <w:b/>
          <w:bCs/>
          <w:sz w:val="22"/>
          <w:szCs w:val="22"/>
          <w:lang w:eastAsia="en-AU"/>
        </w:rPr>
        <w:lastRenderedPageBreak/>
        <w:t>Attachment B</w:t>
      </w:r>
    </w:p>
    <w:p w14:paraId="7D1371A0" w14:textId="77777777" w:rsidR="001E51F5" w:rsidRPr="00C8733B" w:rsidRDefault="001E51F5" w:rsidP="001E51F5">
      <w:pPr>
        <w:spacing w:after="0" w:line="240" w:lineRule="auto"/>
        <w:rPr>
          <w:rFonts w:eastAsia="Times New Roman"/>
          <w:sz w:val="22"/>
          <w:szCs w:val="22"/>
          <w:lang w:eastAsia="en-AU"/>
        </w:rPr>
      </w:pPr>
    </w:p>
    <w:p w14:paraId="6DFB059A" w14:textId="77777777" w:rsidR="001E51F5" w:rsidRPr="00C8733B" w:rsidRDefault="001E51F5" w:rsidP="001E51F5">
      <w:pPr>
        <w:spacing w:after="0" w:line="240" w:lineRule="auto"/>
        <w:jc w:val="center"/>
        <w:rPr>
          <w:rFonts w:eastAsia="Times New Roman"/>
          <w:b/>
          <w:sz w:val="22"/>
          <w:szCs w:val="22"/>
          <w:lang w:val="en-US" w:eastAsia="en-AU"/>
        </w:rPr>
      </w:pPr>
      <w:r w:rsidRPr="00C8733B">
        <w:rPr>
          <w:rFonts w:eastAsia="Times New Roman"/>
          <w:b/>
          <w:sz w:val="22"/>
          <w:szCs w:val="22"/>
          <w:lang w:eastAsia="en-AU"/>
        </w:rPr>
        <w:t>Statement of Compatibility with Human Rights</w:t>
      </w:r>
    </w:p>
    <w:p w14:paraId="5212D629" w14:textId="77777777" w:rsidR="001E51F5" w:rsidRPr="00C8733B" w:rsidRDefault="001E51F5" w:rsidP="001E51F5">
      <w:pPr>
        <w:spacing w:after="0" w:line="240" w:lineRule="auto"/>
        <w:rPr>
          <w:rFonts w:eastAsia="Times New Roman"/>
          <w:sz w:val="22"/>
          <w:szCs w:val="22"/>
          <w:lang w:eastAsia="en-AU"/>
        </w:rPr>
      </w:pPr>
    </w:p>
    <w:p w14:paraId="37AECE6B" w14:textId="77777777" w:rsidR="001E51F5" w:rsidRPr="00C8733B" w:rsidRDefault="001E51F5" w:rsidP="001E51F5">
      <w:pPr>
        <w:spacing w:after="0" w:line="240" w:lineRule="auto"/>
        <w:ind w:right="-142"/>
        <w:jc w:val="center"/>
        <w:rPr>
          <w:rFonts w:eastAsia="Times New Roman"/>
          <w:i/>
          <w:sz w:val="22"/>
          <w:szCs w:val="22"/>
          <w:lang w:eastAsia="en-AU"/>
        </w:rPr>
      </w:pPr>
      <w:r w:rsidRPr="00C8733B">
        <w:rPr>
          <w:rFonts w:eastAsia="Times New Roman"/>
          <w:iCs/>
          <w:sz w:val="22"/>
          <w:szCs w:val="22"/>
          <w:lang w:eastAsia="en-AU"/>
        </w:rPr>
        <w:t xml:space="preserve">Prepared in accordance with Part 3 of the </w:t>
      </w:r>
      <w:r w:rsidRPr="00C8733B">
        <w:rPr>
          <w:rFonts w:eastAsia="Times New Roman"/>
          <w:i/>
          <w:iCs/>
          <w:sz w:val="22"/>
          <w:szCs w:val="22"/>
          <w:lang w:eastAsia="en-AU"/>
        </w:rPr>
        <w:t>Human Rights (Parliamentary Scrutiny) Act 2011</w:t>
      </w:r>
    </w:p>
    <w:p w14:paraId="4831AB73" w14:textId="77777777" w:rsidR="001E51F5" w:rsidRPr="00C8733B" w:rsidRDefault="001E51F5" w:rsidP="001E51F5">
      <w:pPr>
        <w:spacing w:after="0" w:line="240" w:lineRule="auto"/>
        <w:rPr>
          <w:rFonts w:eastAsia="Times New Roman"/>
          <w:sz w:val="22"/>
          <w:szCs w:val="22"/>
          <w:lang w:val="en-US" w:eastAsia="en-AU"/>
        </w:rPr>
      </w:pPr>
    </w:p>
    <w:p w14:paraId="5957BB20" w14:textId="288FE775" w:rsidR="001E51F5" w:rsidRPr="00C8733B" w:rsidRDefault="00D42E3C" w:rsidP="00D42E3C">
      <w:pPr>
        <w:spacing w:after="0" w:line="240" w:lineRule="auto"/>
        <w:jc w:val="center"/>
        <w:rPr>
          <w:rFonts w:eastAsia="Times New Roman"/>
          <w:sz w:val="22"/>
          <w:szCs w:val="22"/>
          <w:lang w:eastAsia="en-AU"/>
        </w:rPr>
      </w:pPr>
      <w:r w:rsidRPr="00C8733B">
        <w:rPr>
          <w:rFonts w:eastAsia="Times New Roman"/>
          <w:b/>
          <w:bCs/>
          <w:i/>
          <w:sz w:val="22"/>
          <w:szCs w:val="22"/>
          <w:lang w:eastAsia="en-AU"/>
        </w:rPr>
        <w:t>Therapeutic Goods (Medical Devices—Information that Must Accompany Application for Inclusion) Amendment (</w:t>
      </w:r>
      <w:r w:rsidRPr="00C8733B">
        <w:rPr>
          <w:rFonts w:eastAsia="Times New Roman"/>
          <w:b/>
          <w:i/>
          <w:sz w:val="22"/>
          <w:szCs w:val="22"/>
          <w:lang w:eastAsia="en-AU"/>
        </w:rPr>
        <w:t>Singapore</w:t>
      </w:r>
      <w:r w:rsidRPr="00C8733B">
        <w:rPr>
          <w:rFonts w:eastAsia="Times New Roman"/>
          <w:b/>
          <w:bCs/>
          <w:i/>
          <w:sz w:val="22"/>
          <w:szCs w:val="22"/>
          <w:lang w:eastAsia="en-AU"/>
        </w:rPr>
        <w:t>) Determination 202</w:t>
      </w:r>
      <w:r w:rsidR="0037120F" w:rsidRPr="00C8733B">
        <w:rPr>
          <w:rFonts w:eastAsia="Times New Roman"/>
          <w:b/>
          <w:bCs/>
          <w:i/>
          <w:sz w:val="22"/>
          <w:szCs w:val="22"/>
          <w:lang w:eastAsia="en-AU"/>
        </w:rPr>
        <w:t>2</w:t>
      </w:r>
    </w:p>
    <w:p w14:paraId="0A16E374" w14:textId="77777777" w:rsidR="00D42E3C" w:rsidRPr="00C8733B" w:rsidRDefault="00D42E3C" w:rsidP="001E51F5">
      <w:pPr>
        <w:spacing w:after="0" w:line="240" w:lineRule="auto"/>
        <w:rPr>
          <w:rFonts w:eastAsia="Times New Roman"/>
          <w:sz w:val="22"/>
          <w:szCs w:val="22"/>
          <w:lang w:eastAsia="en-AU"/>
        </w:rPr>
      </w:pPr>
    </w:p>
    <w:p w14:paraId="15B29345" w14:textId="506692B4" w:rsidR="001E51F5" w:rsidRPr="00C8733B" w:rsidRDefault="001E51F5" w:rsidP="001E51F5">
      <w:pPr>
        <w:spacing w:after="0" w:line="240" w:lineRule="auto"/>
        <w:rPr>
          <w:rFonts w:eastAsia="Times New Roman"/>
          <w:sz w:val="22"/>
          <w:szCs w:val="22"/>
          <w:lang w:eastAsia="en-AU"/>
        </w:rPr>
      </w:pPr>
      <w:r w:rsidRPr="00C8733B">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C8733B">
        <w:rPr>
          <w:rFonts w:eastAsia="Times New Roman"/>
          <w:i/>
          <w:sz w:val="22"/>
          <w:szCs w:val="22"/>
          <w:lang w:eastAsia="en-AU"/>
        </w:rPr>
        <w:t>Human Rights (Parliamentary Scrutiny) Act 2011</w:t>
      </w:r>
      <w:r w:rsidRPr="00C8733B">
        <w:rPr>
          <w:rFonts w:eastAsia="Times New Roman"/>
          <w:sz w:val="22"/>
          <w:szCs w:val="22"/>
          <w:lang w:eastAsia="en-AU"/>
        </w:rPr>
        <w:t>.</w:t>
      </w:r>
    </w:p>
    <w:p w14:paraId="7EC86CF8" w14:textId="77777777" w:rsidR="001E51F5" w:rsidRPr="00C8733B" w:rsidRDefault="001E51F5" w:rsidP="001E51F5">
      <w:pPr>
        <w:spacing w:after="0" w:line="240" w:lineRule="auto"/>
        <w:rPr>
          <w:rFonts w:eastAsia="Times New Roman"/>
          <w:sz w:val="22"/>
          <w:szCs w:val="22"/>
          <w:lang w:eastAsia="en-AU"/>
        </w:rPr>
      </w:pPr>
    </w:p>
    <w:p w14:paraId="6A095B0E" w14:textId="77777777" w:rsidR="001E51F5" w:rsidRPr="00C8733B" w:rsidRDefault="001E51F5" w:rsidP="001E51F5">
      <w:pPr>
        <w:spacing w:after="0" w:line="240" w:lineRule="auto"/>
        <w:rPr>
          <w:rFonts w:eastAsia="Times New Roman"/>
          <w:b/>
          <w:sz w:val="22"/>
          <w:szCs w:val="22"/>
          <w:lang w:eastAsia="en-AU"/>
        </w:rPr>
      </w:pPr>
      <w:r w:rsidRPr="00C8733B">
        <w:rPr>
          <w:rFonts w:eastAsia="Times New Roman"/>
          <w:b/>
          <w:sz w:val="22"/>
          <w:szCs w:val="22"/>
          <w:lang w:eastAsia="en-AU"/>
        </w:rPr>
        <w:t>Overview of legislative instrument</w:t>
      </w:r>
    </w:p>
    <w:p w14:paraId="03F716C2" w14:textId="77777777" w:rsidR="00D7396A" w:rsidRPr="00C8733B" w:rsidRDefault="00D7396A" w:rsidP="00D7396A">
      <w:pPr>
        <w:autoSpaceDE w:val="0"/>
        <w:autoSpaceDN w:val="0"/>
        <w:adjustRightInd w:val="0"/>
        <w:spacing w:after="0" w:line="240" w:lineRule="auto"/>
        <w:rPr>
          <w:rFonts w:eastAsia="Times New Roman"/>
          <w:sz w:val="22"/>
          <w:szCs w:val="22"/>
          <w:lang w:eastAsia="en-AU"/>
        </w:rPr>
      </w:pPr>
    </w:p>
    <w:p w14:paraId="3930CED1" w14:textId="65EF4962" w:rsidR="009B5B00" w:rsidRPr="00C8733B" w:rsidRDefault="009B5B00" w:rsidP="009B5B00">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 xml:space="preserve">The </w:t>
      </w:r>
      <w:r w:rsidRPr="00C8733B">
        <w:rPr>
          <w:rFonts w:eastAsia="Times New Roman"/>
          <w:i/>
          <w:iCs/>
          <w:sz w:val="22"/>
          <w:szCs w:val="22"/>
          <w:lang w:eastAsia="en-AU"/>
        </w:rPr>
        <w:t>Therapeutic Goods (Medical Devices—Information that Must Accompany Application for Inclusion) Determination 2018</w:t>
      </w:r>
      <w:r w:rsidRPr="00C8733B">
        <w:rPr>
          <w:rFonts w:eastAsia="Times New Roman"/>
          <w:sz w:val="22"/>
          <w:szCs w:val="22"/>
          <w:lang w:eastAsia="en-AU"/>
        </w:rPr>
        <w:t xml:space="preserve"> (“the </w:t>
      </w:r>
      <w:r w:rsidR="000E0361" w:rsidRPr="00C8733B">
        <w:rPr>
          <w:rFonts w:eastAsia="Times New Roman"/>
          <w:sz w:val="22"/>
          <w:szCs w:val="22"/>
          <w:lang w:eastAsia="en-AU"/>
        </w:rPr>
        <w:t xml:space="preserve">principal </w:t>
      </w:r>
      <w:r w:rsidR="00441219" w:rsidRPr="00C8733B">
        <w:rPr>
          <w:rFonts w:eastAsia="Times New Roman"/>
          <w:sz w:val="22"/>
          <w:szCs w:val="22"/>
          <w:lang w:eastAsia="en-AU"/>
        </w:rPr>
        <w:t>instrument</w:t>
      </w:r>
      <w:r w:rsidRPr="00C8733B">
        <w:rPr>
          <w:rFonts w:eastAsia="Times New Roman"/>
          <w:sz w:val="22"/>
          <w:szCs w:val="22"/>
          <w:lang w:eastAsia="en-AU"/>
        </w:rPr>
        <w:t>”) is made under subsections 41</w:t>
      </w:r>
      <w:proofErr w:type="gramStart"/>
      <w:r w:rsidRPr="00C8733B">
        <w:rPr>
          <w:rFonts w:eastAsia="Times New Roman"/>
          <w:sz w:val="22"/>
          <w:szCs w:val="22"/>
          <w:lang w:eastAsia="en-AU"/>
        </w:rPr>
        <w:t>FDB(</w:t>
      </w:r>
      <w:proofErr w:type="gramEnd"/>
      <w:r w:rsidRPr="00C8733B">
        <w:rPr>
          <w:rFonts w:eastAsia="Times New Roman"/>
          <w:sz w:val="22"/>
          <w:szCs w:val="22"/>
          <w:lang w:eastAsia="en-AU"/>
        </w:rPr>
        <w:t xml:space="preserve">7) and (8) of the Act.  The </w:t>
      </w:r>
      <w:r w:rsidR="000E0361" w:rsidRPr="00C8733B">
        <w:rPr>
          <w:rFonts w:eastAsia="Times New Roman"/>
          <w:sz w:val="22"/>
          <w:szCs w:val="22"/>
          <w:lang w:eastAsia="en-AU"/>
        </w:rPr>
        <w:t>p</w:t>
      </w:r>
      <w:r w:rsidRPr="00C8733B">
        <w:rPr>
          <w:rFonts w:eastAsia="Times New Roman"/>
          <w:sz w:val="22"/>
          <w:szCs w:val="22"/>
          <w:lang w:eastAsia="en-AU"/>
        </w:rPr>
        <w:t xml:space="preserve">rincipal </w:t>
      </w:r>
      <w:r w:rsidR="0037120F" w:rsidRPr="00C8733B">
        <w:rPr>
          <w:rFonts w:eastAsia="Times New Roman"/>
          <w:sz w:val="22"/>
          <w:szCs w:val="22"/>
          <w:lang w:eastAsia="en-AU"/>
        </w:rPr>
        <w:t xml:space="preserve">instrument </w:t>
      </w:r>
      <w:r w:rsidRPr="00C8733B">
        <w:rPr>
          <w:rFonts w:eastAsia="Times New Roman"/>
          <w:sz w:val="22"/>
          <w:szCs w:val="22"/>
          <w:lang w:eastAsia="en-AU"/>
        </w:rPr>
        <w:t xml:space="preserve">determines the kind and form of information that must accompany an application for kinds of medical devices of a particular classification to be included in the </w:t>
      </w:r>
      <w:r w:rsidR="00425B51" w:rsidRPr="00C8733B">
        <w:rPr>
          <w:rFonts w:eastAsia="Times New Roman"/>
          <w:sz w:val="22"/>
          <w:szCs w:val="22"/>
          <w:lang w:eastAsia="en-AU"/>
        </w:rPr>
        <w:t xml:space="preserve">Australian </w:t>
      </w:r>
      <w:r w:rsidRPr="00C8733B">
        <w:rPr>
          <w:rFonts w:eastAsia="Times New Roman"/>
          <w:sz w:val="22"/>
          <w:szCs w:val="22"/>
          <w:lang w:eastAsia="en-AU"/>
        </w:rPr>
        <w:t>Register</w:t>
      </w:r>
      <w:r w:rsidR="00425B51" w:rsidRPr="00C8733B">
        <w:rPr>
          <w:rFonts w:eastAsia="Times New Roman"/>
          <w:sz w:val="22"/>
          <w:szCs w:val="22"/>
          <w:lang w:eastAsia="en-AU"/>
        </w:rPr>
        <w:t xml:space="preserve"> of Therapeutic Goods (“the Register”)</w:t>
      </w:r>
      <w:r w:rsidRPr="00C8733B">
        <w:rPr>
          <w:rFonts w:eastAsia="Times New Roman"/>
          <w:sz w:val="22"/>
          <w:szCs w:val="22"/>
          <w:lang w:eastAsia="en-AU"/>
        </w:rPr>
        <w:t>.</w:t>
      </w:r>
    </w:p>
    <w:p w14:paraId="207B0690" w14:textId="77777777" w:rsidR="009B5B00" w:rsidRPr="00C8733B" w:rsidRDefault="009B5B00" w:rsidP="009B5B00">
      <w:pPr>
        <w:autoSpaceDE w:val="0"/>
        <w:autoSpaceDN w:val="0"/>
        <w:adjustRightInd w:val="0"/>
        <w:spacing w:after="0" w:line="240" w:lineRule="auto"/>
        <w:rPr>
          <w:rFonts w:eastAsia="Times New Roman"/>
          <w:sz w:val="22"/>
          <w:szCs w:val="22"/>
          <w:lang w:eastAsia="en-AU"/>
        </w:rPr>
      </w:pPr>
    </w:p>
    <w:p w14:paraId="2AB7859A" w14:textId="149D2396" w:rsidR="009B5B00" w:rsidRPr="00C8733B" w:rsidRDefault="009B5B00" w:rsidP="009B5B00">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 xml:space="preserve">The kinds of information specified in the </w:t>
      </w:r>
      <w:r w:rsidR="000E0361" w:rsidRPr="00C8733B">
        <w:rPr>
          <w:rFonts w:eastAsia="Times New Roman"/>
          <w:sz w:val="22"/>
          <w:szCs w:val="22"/>
          <w:lang w:eastAsia="en-AU"/>
        </w:rPr>
        <w:t>p</w:t>
      </w:r>
      <w:r w:rsidRPr="00C8733B">
        <w:rPr>
          <w:rFonts w:eastAsia="Times New Roman"/>
          <w:sz w:val="22"/>
          <w:szCs w:val="22"/>
          <w:lang w:eastAsia="en-AU"/>
        </w:rPr>
        <w:t xml:space="preserve">rincipal </w:t>
      </w:r>
      <w:r w:rsidR="00D42E3C" w:rsidRPr="00C8733B">
        <w:rPr>
          <w:rFonts w:eastAsia="Times New Roman"/>
          <w:sz w:val="22"/>
          <w:szCs w:val="22"/>
          <w:lang w:eastAsia="en-AU"/>
        </w:rPr>
        <w:t>instrument</w:t>
      </w:r>
      <w:r w:rsidRPr="00C8733B">
        <w:rPr>
          <w:rFonts w:eastAsia="Times New Roman"/>
          <w:sz w:val="22"/>
          <w:szCs w:val="22"/>
          <w:lang w:eastAsia="en-AU"/>
        </w:rPr>
        <w:t xml:space="preserve"> relate to the conformity assessment documents that are required to demonstrate that appropriate conformity assessment procedures have been applied by the manufacturer to its quality management system and the </w:t>
      </w:r>
      <w:proofErr w:type="gramStart"/>
      <w:r w:rsidRPr="00C8733B">
        <w:rPr>
          <w:rFonts w:eastAsia="Times New Roman"/>
          <w:sz w:val="22"/>
          <w:szCs w:val="22"/>
          <w:lang w:eastAsia="en-AU"/>
        </w:rPr>
        <w:t>particular kind</w:t>
      </w:r>
      <w:proofErr w:type="gramEnd"/>
      <w:r w:rsidRPr="00C8733B">
        <w:rPr>
          <w:rFonts w:eastAsia="Times New Roman"/>
          <w:sz w:val="22"/>
          <w:szCs w:val="22"/>
          <w:lang w:eastAsia="en-AU"/>
        </w:rPr>
        <w:t xml:space="preserve"> of medical device.  The conformity assessment documents include certificates and other documents that have been issued or recognised by the Secretary </w:t>
      </w:r>
      <w:r w:rsidR="00683BE0" w:rsidRPr="00C8733B">
        <w:rPr>
          <w:rFonts w:eastAsia="Times New Roman"/>
          <w:sz w:val="22"/>
          <w:szCs w:val="22"/>
          <w:lang w:eastAsia="en-AU"/>
        </w:rPr>
        <w:t xml:space="preserve">or </w:t>
      </w:r>
      <w:r w:rsidRPr="00C8733B">
        <w:rPr>
          <w:rFonts w:eastAsia="Times New Roman"/>
          <w:sz w:val="22"/>
          <w:szCs w:val="22"/>
          <w:lang w:eastAsia="en-AU"/>
        </w:rPr>
        <w:t xml:space="preserve">comparable overseas regulators </w:t>
      </w:r>
      <w:r w:rsidR="00683BE0" w:rsidRPr="00C8733B">
        <w:rPr>
          <w:rFonts w:eastAsia="Times New Roman"/>
          <w:sz w:val="22"/>
          <w:szCs w:val="22"/>
          <w:lang w:eastAsia="en-AU"/>
        </w:rPr>
        <w:t>within the meaning of</w:t>
      </w:r>
      <w:r w:rsidRPr="00C8733B">
        <w:rPr>
          <w:rFonts w:eastAsia="Times New Roman"/>
          <w:sz w:val="22"/>
          <w:szCs w:val="22"/>
          <w:lang w:eastAsia="en-AU"/>
        </w:rPr>
        <w:t xml:space="preserve"> section 41BIB of the Act.</w:t>
      </w:r>
    </w:p>
    <w:p w14:paraId="5D8D1CC4" w14:textId="77777777" w:rsidR="009B5B00" w:rsidRPr="00C8733B" w:rsidRDefault="009B5B00" w:rsidP="009B5B00">
      <w:pPr>
        <w:autoSpaceDE w:val="0"/>
        <w:autoSpaceDN w:val="0"/>
        <w:adjustRightInd w:val="0"/>
        <w:spacing w:after="0" w:line="240" w:lineRule="auto"/>
        <w:rPr>
          <w:rFonts w:eastAsia="Times New Roman"/>
          <w:sz w:val="22"/>
          <w:szCs w:val="22"/>
          <w:lang w:eastAsia="en-AU"/>
        </w:rPr>
      </w:pPr>
    </w:p>
    <w:p w14:paraId="2D90A68B" w14:textId="256FA10B" w:rsidR="00D40307" w:rsidRPr="00C8733B" w:rsidRDefault="00441219" w:rsidP="00D40307">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 xml:space="preserve">The </w:t>
      </w:r>
      <w:r w:rsidR="00D42E3C" w:rsidRPr="00C8733B">
        <w:rPr>
          <w:rFonts w:eastAsia="Times New Roman"/>
          <w:bCs/>
          <w:i/>
          <w:sz w:val="22"/>
          <w:szCs w:val="22"/>
          <w:lang w:eastAsia="en-AU"/>
        </w:rPr>
        <w:t>Therapeutic Goods (Medical Devices—Information that Must Accompany Application for Inclusion) Amendment (</w:t>
      </w:r>
      <w:r w:rsidR="00D42E3C" w:rsidRPr="00C8733B">
        <w:rPr>
          <w:rFonts w:eastAsia="Times New Roman"/>
          <w:i/>
          <w:sz w:val="22"/>
          <w:szCs w:val="22"/>
          <w:lang w:eastAsia="en-AU"/>
        </w:rPr>
        <w:t>Singapore</w:t>
      </w:r>
      <w:r w:rsidR="00D42E3C" w:rsidRPr="00C8733B">
        <w:rPr>
          <w:rFonts w:eastAsia="Times New Roman"/>
          <w:bCs/>
          <w:i/>
          <w:sz w:val="22"/>
          <w:szCs w:val="22"/>
          <w:lang w:eastAsia="en-AU"/>
        </w:rPr>
        <w:t>) Determination 202</w:t>
      </w:r>
      <w:r w:rsidR="00030B36" w:rsidRPr="00C8733B">
        <w:rPr>
          <w:rFonts w:eastAsia="Times New Roman"/>
          <w:bCs/>
          <w:i/>
          <w:sz w:val="22"/>
          <w:szCs w:val="22"/>
          <w:lang w:eastAsia="en-AU"/>
        </w:rPr>
        <w:t>2</w:t>
      </w:r>
      <w:r w:rsidR="00D42E3C" w:rsidRPr="00C8733B">
        <w:rPr>
          <w:rFonts w:eastAsia="Times New Roman"/>
          <w:bCs/>
          <w:i/>
          <w:sz w:val="22"/>
          <w:szCs w:val="22"/>
          <w:lang w:eastAsia="en-AU"/>
        </w:rPr>
        <w:t xml:space="preserve"> </w:t>
      </w:r>
      <w:r w:rsidRPr="00C8733B">
        <w:rPr>
          <w:rFonts w:eastAsia="Times New Roman"/>
          <w:sz w:val="22"/>
          <w:szCs w:val="22"/>
          <w:lang w:eastAsia="en-AU"/>
        </w:rPr>
        <w:t>(“the instrument”) is made under subsection 41</w:t>
      </w:r>
      <w:proofErr w:type="gramStart"/>
      <w:r w:rsidRPr="00C8733B">
        <w:rPr>
          <w:rFonts w:eastAsia="Times New Roman"/>
          <w:sz w:val="22"/>
          <w:szCs w:val="22"/>
          <w:lang w:eastAsia="en-AU"/>
        </w:rPr>
        <w:t>FDB(</w:t>
      </w:r>
      <w:proofErr w:type="gramEnd"/>
      <w:r w:rsidRPr="00C8733B">
        <w:rPr>
          <w:rFonts w:eastAsia="Times New Roman"/>
          <w:sz w:val="22"/>
          <w:szCs w:val="22"/>
          <w:lang w:eastAsia="en-AU"/>
        </w:rPr>
        <w:t xml:space="preserve">7) of the Act, read together with subsection 33(3) of the </w:t>
      </w:r>
      <w:r w:rsidRPr="00C8733B">
        <w:rPr>
          <w:rFonts w:eastAsia="Times New Roman"/>
          <w:i/>
          <w:iCs/>
          <w:sz w:val="22"/>
          <w:szCs w:val="22"/>
          <w:lang w:eastAsia="en-AU"/>
        </w:rPr>
        <w:t>Acts Interpretation Act 1901</w:t>
      </w:r>
      <w:r w:rsidRPr="00C8733B">
        <w:rPr>
          <w:rFonts w:eastAsia="Times New Roman"/>
          <w:sz w:val="22"/>
          <w:szCs w:val="22"/>
          <w:lang w:eastAsia="en-AU"/>
        </w:rPr>
        <w:t>.  It amends the principal instrument, principally to</w:t>
      </w:r>
      <w:r w:rsidR="00D40307" w:rsidRPr="00C8733B">
        <w:rPr>
          <w:rFonts w:eastAsia="Times New Roman"/>
          <w:sz w:val="22"/>
          <w:szCs w:val="22"/>
          <w:lang w:eastAsia="en-AU"/>
        </w:rPr>
        <w:t xml:space="preserve"> </w:t>
      </w:r>
      <w:r w:rsidR="00D40307" w:rsidRPr="00C8733B">
        <w:rPr>
          <w:rFonts w:eastAsia="Times New Roman"/>
          <w:iCs/>
          <w:sz w:val="22"/>
          <w:szCs w:val="22"/>
          <w:lang w:eastAsia="en-AU"/>
        </w:rPr>
        <w:t>specify</w:t>
      </w:r>
      <w:r w:rsidR="00D40307" w:rsidRPr="00C8733B">
        <w:rPr>
          <w:rFonts w:eastAsia="Times New Roman"/>
          <w:sz w:val="22"/>
          <w:szCs w:val="22"/>
          <w:lang w:eastAsia="en-AU"/>
        </w:rPr>
        <w:t xml:space="preserve"> that </w:t>
      </w:r>
      <w:r w:rsidR="00030B36" w:rsidRPr="00C8733B">
        <w:rPr>
          <w:rFonts w:eastAsia="Times New Roman"/>
          <w:bCs/>
          <w:sz w:val="22"/>
          <w:szCs w:val="22"/>
          <w:lang w:eastAsia="en-AU"/>
        </w:rPr>
        <w:t>an extract from, or copy of, the entry in the Singapore Register of Health Products</w:t>
      </w:r>
      <w:r w:rsidR="00D40307" w:rsidRPr="00C8733B">
        <w:rPr>
          <w:rFonts w:eastAsia="Times New Roman"/>
          <w:sz w:val="22"/>
          <w:szCs w:val="22"/>
          <w:lang w:eastAsia="en-AU"/>
        </w:rPr>
        <w:t xml:space="preserve">, may accompany an application for the inclusion in the Register of a Class </w:t>
      </w:r>
      <w:proofErr w:type="spellStart"/>
      <w:r w:rsidR="00D40307" w:rsidRPr="00C8733B">
        <w:rPr>
          <w:rFonts w:eastAsia="Times New Roman"/>
          <w:sz w:val="22"/>
          <w:szCs w:val="22"/>
          <w:lang w:eastAsia="en-AU"/>
        </w:rPr>
        <w:t>IIa</w:t>
      </w:r>
      <w:proofErr w:type="spellEnd"/>
      <w:r w:rsidR="00D40307" w:rsidRPr="00C8733B">
        <w:rPr>
          <w:rFonts w:eastAsia="Times New Roman"/>
          <w:sz w:val="22"/>
          <w:szCs w:val="22"/>
          <w:lang w:eastAsia="en-AU"/>
        </w:rPr>
        <w:t>, Class IIb, Class III or Class AIMD medical device</w:t>
      </w:r>
      <w:r w:rsidR="00030B36" w:rsidRPr="00C8733B">
        <w:rPr>
          <w:rFonts w:eastAsia="Times New Roman"/>
          <w:sz w:val="22"/>
          <w:szCs w:val="22"/>
          <w:lang w:eastAsia="en-AU"/>
        </w:rPr>
        <w:t xml:space="preserve">, or a Class 2 </w:t>
      </w:r>
      <w:r w:rsidR="0071317E">
        <w:rPr>
          <w:rFonts w:eastAsia="Times New Roman"/>
          <w:sz w:val="22"/>
          <w:szCs w:val="22"/>
          <w:lang w:eastAsia="en-AU"/>
        </w:rPr>
        <w:t xml:space="preserve">IVD </w:t>
      </w:r>
      <w:r w:rsidR="00030B36" w:rsidRPr="00C8733B">
        <w:rPr>
          <w:rFonts w:eastAsia="Times New Roman"/>
          <w:sz w:val="22"/>
          <w:szCs w:val="22"/>
          <w:lang w:eastAsia="en-AU"/>
        </w:rPr>
        <w:t>or Class 3</w:t>
      </w:r>
      <w:r w:rsidR="00425B51" w:rsidRPr="00C8733B">
        <w:rPr>
          <w:rFonts w:eastAsia="Times New Roman"/>
          <w:sz w:val="22"/>
          <w:szCs w:val="22"/>
          <w:lang w:eastAsia="en-AU"/>
        </w:rPr>
        <w:t xml:space="preserve"> </w:t>
      </w:r>
      <w:r w:rsidR="00030B36" w:rsidRPr="00C8733B">
        <w:rPr>
          <w:rFonts w:eastAsia="Times New Roman"/>
          <w:sz w:val="22"/>
          <w:szCs w:val="22"/>
          <w:lang w:eastAsia="en-AU"/>
        </w:rPr>
        <w:t>IVD medical device.</w:t>
      </w:r>
      <w:r w:rsidR="00CD37CF" w:rsidRPr="00C8733B">
        <w:rPr>
          <w:rFonts w:eastAsia="Times New Roman"/>
          <w:sz w:val="22"/>
          <w:szCs w:val="22"/>
          <w:lang w:eastAsia="en-AU"/>
        </w:rPr>
        <w:t xml:space="preserve"> </w:t>
      </w:r>
      <w:r w:rsidR="00D40307" w:rsidRPr="00C8733B">
        <w:rPr>
          <w:rFonts w:eastAsia="Times New Roman"/>
          <w:sz w:val="22"/>
          <w:szCs w:val="22"/>
          <w:lang w:eastAsia="en-AU"/>
        </w:rPr>
        <w:t xml:space="preserve"> This has the effect that such </w:t>
      </w:r>
      <w:r w:rsidR="00425B51" w:rsidRPr="00C8733B">
        <w:rPr>
          <w:rFonts w:eastAsia="Times New Roman"/>
          <w:sz w:val="22"/>
          <w:szCs w:val="22"/>
          <w:lang w:eastAsia="en-AU"/>
        </w:rPr>
        <w:t xml:space="preserve">a document </w:t>
      </w:r>
      <w:r w:rsidR="00D40307" w:rsidRPr="00C8733B">
        <w:rPr>
          <w:rFonts w:eastAsia="Times New Roman"/>
          <w:sz w:val="22"/>
          <w:szCs w:val="22"/>
          <w:lang w:eastAsia="en-AU"/>
        </w:rPr>
        <w:t>will be accepted by the T</w:t>
      </w:r>
      <w:r w:rsidR="00425B51" w:rsidRPr="00C8733B">
        <w:rPr>
          <w:rFonts w:eastAsia="Times New Roman"/>
          <w:sz w:val="22"/>
          <w:szCs w:val="22"/>
          <w:lang w:eastAsia="en-AU"/>
        </w:rPr>
        <w:t xml:space="preserve">herapeutic </w:t>
      </w:r>
      <w:r w:rsidR="00D40307" w:rsidRPr="00C8733B">
        <w:rPr>
          <w:rFonts w:eastAsia="Times New Roman"/>
          <w:sz w:val="22"/>
          <w:szCs w:val="22"/>
          <w:lang w:eastAsia="en-AU"/>
        </w:rPr>
        <w:t>G</w:t>
      </w:r>
      <w:r w:rsidR="00425B51" w:rsidRPr="00C8733B">
        <w:rPr>
          <w:rFonts w:eastAsia="Times New Roman"/>
          <w:sz w:val="22"/>
          <w:szCs w:val="22"/>
          <w:lang w:eastAsia="en-AU"/>
        </w:rPr>
        <w:t xml:space="preserve">oods </w:t>
      </w:r>
      <w:r w:rsidR="00D40307" w:rsidRPr="00C8733B">
        <w:rPr>
          <w:rFonts w:eastAsia="Times New Roman"/>
          <w:sz w:val="22"/>
          <w:szCs w:val="22"/>
          <w:lang w:eastAsia="en-AU"/>
        </w:rPr>
        <w:t>A</w:t>
      </w:r>
      <w:r w:rsidR="00425B51" w:rsidRPr="00C8733B">
        <w:rPr>
          <w:rFonts w:eastAsia="Times New Roman"/>
          <w:sz w:val="22"/>
          <w:szCs w:val="22"/>
          <w:lang w:eastAsia="en-AU"/>
        </w:rPr>
        <w:t>dministration</w:t>
      </w:r>
      <w:r w:rsidR="00F65658" w:rsidRPr="00C8733B">
        <w:rPr>
          <w:rFonts w:eastAsia="Times New Roman"/>
          <w:sz w:val="22"/>
          <w:szCs w:val="22"/>
          <w:lang w:eastAsia="en-AU"/>
        </w:rPr>
        <w:t xml:space="preserve"> (“the TGA”)</w:t>
      </w:r>
      <w:r w:rsidR="00D40307" w:rsidRPr="00C8733B">
        <w:rPr>
          <w:rFonts w:eastAsia="Times New Roman"/>
          <w:sz w:val="22"/>
          <w:szCs w:val="22"/>
          <w:lang w:eastAsia="en-AU"/>
        </w:rPr>
        <w:t xml:space="preserve"> in support of an application for inclusion in the Register for kinds of medical devices with those classifications, as an alternative to the existing conformity assessment documents specified for such kinds of devices in the </w:t>
      </w:r>
      <w:r w:rsidR="00C8665E" w:rsidRPr="00C8733B">
        <w:rPr>
          <w:rFonts w:eastAsia="Times New Roman"/>
          <w:sz w:val="22"/>
          <w:szCs w:val="22"/>
          <w:lang w:eastAsia="en-AU"/>
        </w:rPr>
        <w:t>p</w:t>
      </w:r>
      <w:r w:rsidR="00D40307" w:rsidRPr="00C8733B">
        <w:rPr>
          <w:rFonts w:eastAsia="Times New Roman"/>
          <w:sz w:val="22"/>
          <w:szCs w:val="22"/>
          <w:lang w:eastAsia="en-AU"/>
        </w:rPr>
        <w:t xml:space="preserve">rincipal </w:t>
      </w:r>
      <w:r w:rsidR="00C8665E" w:rsidRPr="00C8733B">
        <w:rPr>
          <w:rFonts w:eastAsia="Times New Roman"/>
          <w:sz w:val="22"/>
          <w:szCs w:val="22"/>
          <w:lang w:eastAsia="en-AU"/>
        </w:rPr>
        <w:t>instrument</w:t>
      </w:r>
      <w:r w:rsidR="00D40307" w:rsidRPr="00C8733B">
        <w:rPr>
          <w:rFonts w:eastAsia="Times New Roman"/>
          <w:sz w:val="22"/>
          <w:szCs w:val="22"/>
          <w:lang w:eastAsia="en-AU"/>
        </w:rPr>
        <w:t>.</w:t>
      </w:r>
    </w:p>
    <w:p w14:paraId="2151E9D4" w14:textId="77777777" w:rsidR="00D40307" w:rsidRPr="00C8733B" w:rsidRDefault="00D40307" w:rsidP="00D40307">
      <w:pPr>
        <w:spacing w:after="0" w:line="240" w:lineRule="auto"/>
        <w:rPr>
          <w:rFonts w:eastAsia="Times New Roman"/>
          <w:sz w:val="22"/>
          <w:szCs w:val="22"/>
          <w:lang w:eastAsia="en-AU"/>
        </w:rPr>
      </w:pPr>
    </w:p>
    <w:p w14:paraId="315A1EC5" w14:textId="6CE89C8F" w:rsidR="00D40307" w:rsidRPr="00C8733B" w:rsidRDefault="00D40307" w:rsidP="00D40307">
      <w:pPr>
        <w:spacing w:after="0" w:line="240" w:lineRule="auto"/>
        <w:rPr>
          <w:rFonts w:eastAsia="Times New Roman"/>
          <w:sz w:val="22"/>
          <w:szCs w:val="22"/>
          <w:lang w:eastAsia="en-AU"/>
        </w:rPr>
      </w:pPr>
      <w:r w:rsidRPr="00C8733B">
        <w:rPr>
          <w:rFonts w:eastAsia="Times New Roman"/>
          <w:sz w:val="22"/>
          <w:szCs w:val="22"/>
          <w:lang w:eastAsia="en-AU"/>
        </w:rPr>
        <w:t xml:space="preserve">The instrument reflects related amendments made to the </w:t>
      </w:r>
      <w:r w:rsidRPr="00C8733B">
        <w:rPr>
          <w:rFonts w:eastAsia="Times New Roman"/>
          <w:i/>
          <w:iCs/>
          <w:sz w:val="22"/>
          <w:szCs w:val="22"/>
          <w:lang w:eastAsia="en-AU"/>
        </w:rPr>
        <w:t>Therapeutic Goods (Overseas Regulators) Determination 2018</w:t>
      </w:r>
      <w:r w:rsidRPr="00C8733B">
        <w:rPr>
          <w:rFonts w:eastAsia="Times New Roman"/>
          <w:sz w:val="22"/>
          <w:szCs w:val="22"/>
          <w:lang w:eastAsia="en-AU"/>
        </w:rPr>
        <w:t xml:space="preserve"> by the </w:t>
      </w:r>
      <w:r w:rsidRPr="00C8733B">
        <w:rPr>
          <w:rFonts w:eastAsia="Times New Roman"/>
          <w:i/>
          <w:iCs/>
          <w:sz w:val="22"/>
          <w:szCs w:val="22"/>
          <w:lang w:eastAsia="en-AU"/>
        </w:rPr>
        <w:t xml:space="preserve">Therapeutic Goods (Overseas Regulators) </w:t>
      </w:r>
      <w:r w:rsidR="000071E9" w:rsidRPr="00C8733B">
        <w:rPr>
          <w:rFonts w:eastAsia="Times New Roman"/>
          <w:i/>
          <w:iCs/>
          <w:sz w:val="22"/>
          <w:szCs w:val="22"/>
          <w:lang w:eastAsia="en-AU"/>
        </w:rPr>
        <w:t xml:space="preserve">Amendment (Singapore) </w:t>
      </w:r>
      <w:r w:rsidRPr="00C8733B">
        <w:rPr>
          <w:rFonts w:eastAsia="Times New Roman"/>
          <w:i/>
          <w:iCs/>
          <w:sz w:val="22"/>
          <w:szCs w:val="22"/>
          <w:lang w:eastAsia="en-AU"/>
        </w:rPr>
        <w:t>Determination 202</w:t>
      </w:r>
      <w:r w:rsidR="000071E9" w:rsidRPr="00C8733B">
        <w:rPr>
          <w:rFonts w:eastAsia="Times New Roman"/>
          <w:i/>
          <w:iCs/>
          <w:sz w:val="22"/>
          <w:szCs w:val="22"/>
          <w:lang w:eastAsia="en-AU"/>
        </w:rPr>
        <w:t>2</w:t>
      </w:r>
      <w:r w:rsidRPr="00C8733B">
        <w:rPr>
          <w:rFonts w:eastAsia="Times New Roman"/>
          <w:sz w:val="22"/>
          <w:szCs w:val="22"/>
          <w:lang w:eastAsia="en-AU"/>
        </w:rPr>
        <w:t xml:space="preserve">, to </w:t>
      </w:r>
      <w:r w:rsidR="000071E9" w:rsidRPr="00C8733B">
        <w:rPr>
          <w:rFonts w:eastAsia="Times New Roman"/>
          <w:sz w:val="22"/>
          <w:szCs w:val="22"/>
          <w:lang w:eastAsia="en-AU"/>
        </w:rPr>
        <w:t xml:space="preserve">determine </w:t>
      </w:r>
      <w:r w:rsidRPr="00C8733B">
        <w:rPr>
          <w:rFonts w:eastAsia="Times New Roman"/>
          <w:sz w:val="22"/>
          <w:szCs w:val="22"/>
          <w:lang w:eastAsia="en-AU"/>
        </w:rPr>
        <w:t xml:space="preserve">the Health Sciences Authority of Singapore </w:t>
      </w:r>
      <w:r w:rsidR="000071E9" w:rsidRPr="00C8733B">
        <w:rPr>
          <w:rFonts w:eastAsia="Times New Roman"/>
          <w:sz w:val="22"/>
          <w:szCs w:val="22"/>
          <w:lang w:eastAsia="en-AU"/>
        </w:rPr>
        <w:t>as a</w:t>
      </w:r>
      <w:r w:rsidRPr="00C8733B">
        <w:rPr>
          <w:rFonts w:eastAsia="Times New Roman"/>
          <w:sz w:val="22"/>
          <w:szCs w:val="22"/>
          <w:lang w:eastAsia="en-AU"/>
        </w:rPr>
        <w:t xml:space="preserve"> (comparable) overseas regulator for the purposes of section 41BIB of the Act.</w:t>
      </w:r>
    </w:p>
    <w:p w14:paraId="695B2ABB" w14:textId="77777777" w:rsidR="00D40307" w:rsidRPr="00C8733B" w:rsidRDefault="00D40307" w:rsidP="00D40307">
      <w:pPr>
        <w:autoSpaceDE w:val="0"/>
        <w:autoSpaceDN w:val="0"/>
        <w:adjustRightInd w:val="0"/>
        <w:spacing w:after="0" w:line="240" w:lineRule="auto"/>
        <w:rPr>
          <w:rFonts w:eastAsia="Times New Roman"/>
          <w:sz w:val="22"/>
          <w:szCs w:val="22"/>
          <w:lang w:eastAsia="en-AU"/>
        </w:rPr>
      </w:pPr>
    </w:p>
    <w:p w14:paraId="6983267E" w14:textId="3B7BF5B3" w:rsidR="00D40307" w:rsidRPr="00C8733B" w:rsidRDefault="00D40307" w:rsidP="00D40307">
      <w:pPr>
        <w:autoSpaceDE w:val="0"/>
        <w:autoSpaceDN w:val="0"/>
        <w:adjustRightInd w:val="0"/>
        <w:spacing w:after="0" w:line="240" w:lineRule="auto"/>
        <w:rPr>
          <w:rFonts w:eastAsia="Times New Roman"/>
          <w:sz w:val="22"/>
          <w:szCs w:val="22"/>
          <w:lang w:eastAsia="en-AU"/>
        </w:rPr>
      </w:pPr>
      <w:r w:rsidRPr="00C8733B">
        <w:rPr>
          <w:rFonts w:eastAsia="Times New Roman"/>
          <w:sz w:val="22"/>
          <w:szCs w:val="22"/>
          <w:lang w:eastAsia="en-AU"/>
        </w:rPr>
        <w:t xml:space="preserve">The effect of the instrument, together with the </w:t>
      </w:r>
      <w:r w:rsidR="000071E9" w:rsidRPr="00C8733B">
        <w:rPr>
          <w:rFonts w:eastAsia="Times New Roman"/>
          <w:sz w:val="22"/>
          <w:szCs w:val="22"/>
          <w:lang w:eastAsia="en-AU"/>
        </w:rPr>
        <w:t xml:space="preserve">determination </w:t>
      </w:r>
      <w:r w:rsidRPr="00C8733B">
        <w:rPr>
          <w:rFonts w:eastAsia="Times New Roman"/>
          <w:sz w:val="22"/>
          <w:szCs w:val="22"/>
          <w:lang w:eastAsia="en-AU"/>
        </w:rPr>
        <w:t xml:space="preserve">of the Health Sciences Authority of Singapore </w:t>
      </w:r>
      <w:r w:rsidR="000071E9" w:rsidRPr="00C8733B">
        <w:rPr>
          <w:rFonts w:eastAsia="Times New Roman"/>
          <w:sz w:val="22"/>
          <w:szCs w:val="22"/>
          <w:lang w:eastAsia="en-AU"/>
        </w:rPr>
        <w:t xml:space="preserve">as a comparable overseas regulator, </w:t>
      </w:r>
      <w:r w:rsidRPr="00C8733B">
        <w:rPr>
          <w:rFonts w:eastAsia="Times New Roman"/>
          <w:sz w:val="22"/>
          <w:szCs w:val="22"/>
          <w:lang w:eastAsia="en-AU"/>
        </w:rPr>
        <w:t xml:space="preserve">will </w:t>
      </w:r>
      <w:r w:rsidR="00D418D6" w:rsidRPr="00C8733B">
        <w:rPr>
          <w:rFonts w:eastAsia="Times New Roman"/>
          <w:sz w:val="22"/>
          <w:szCs w:val="22"/>
          <w:lang w:eastAsia="en-AU"/>
        </w:rPr>
        <w:t xml:space="preserve">be to </w:t>
      </w:r>
      <w:r w:rsidRPr="00C8733B">
        <w:rPr>
          <w:rFonts w:eastAsia="Times New Roman"/>
          <w:sz w:val="22"/>
          <w:szCs w:val="22"/>
          <w:lang w:eastAsia="en-AU"/>
        </w:rPr>
        <w:t xml:space="preserve">provide greater flexibility for sponsors and manufacturers of Class </w:t>
      </w:r>
      <w:proofErr w:type="spellStart"/>
      <w:r w:rsidRPr="00C8733B">
        <w:rPr>
          <w:rFonts w:eastAsia="Times New Roman"/>
          <w:sz w:val="22"/>
          <w:szCs w:val="22"/>
          <w:lang w:eastAsia="en-AU"/>
        </w:rPr>
        <w:t>IIa</w:t>
      </w:r>
      <w:proofErr w:type="spellEnd"/>
      <w:r w:rsidRPr="00C8733B">
        <w:rPr>
          <w:rFonts w:eastAsia="Times New Roman"/>
          <w:sz w:val="22"/>
          <w:szCs w:val="22"/>
          <w:lang w:eastAsia="en-AU"/>
        </w:rPr>
        <w:t>, Class IIb, Class III and Class AIMD medical devices</w:t>
      </w:r>
      <w:r w:rsidR="00D418D6" w:rsidRPr="00C8733B">
        <w:rPr>
          <w:rFonts w:eastAsia="Times New Roman"/>
          <w:sz w:val="22"/>
          <w:szCs w:val="22"/>
          <w:lang w:eastAsia="en-AU"/>
        </w:rPr>
        <w:t xml:space="preserve">, and Class 2 </w:t>
      </w:r>
      <w:r w:rsidR="0071317E">
        <w:rPr>
          <w:rFonts w:eastAsia="Times New Roman"/>
          <w:sz w:val="22"/>
          <w:szCs w:val="22"/>
          <w:lang w:eastAsia="en-AU"/>
        </w:rPr>
        <w:t xml:space="preserve">IVD </w:t>
      </w:r>
      <w:r w:rsidR="00D418D6" w:rsidRPr="00C8733B">
        <w:rPr>
          <w:rFonts w:eastAsia="Times New Roman"/>
          <w:sz w:val="22"/>
          <w:szCs w:val="22"/>
          <w:lang w:eastAsia="en-AU"/>
        </w:rPr>
        <w:t>and Class 3 IVD medical devices,</w:t>
      </w:r>
      <w:r w:rsidRPr="00C8733B">
        <w:rPr>
          <w:rFonts w:eastAsia="Times New Roman"/>
          <w:sz w:val="22"/>
          <w:szCs w:val="22"/>
          <w:lang w:eastAsia="en-AU"/>
        </w:rPr>
        <w:t xml:space="preserve"> regarding the kinds of conformity assessment documents that may be provided with an application for inclusion.  Additional administrative measures have also been established to ensure such applications may be selected for audit in relation to the documentary evidence provided to substantiate the safety and quality of the device, prior to the device’s inclusion in the Register.</w:t>
      </w:r>
    </w:p>
    <w:p w14:paraId="7D762480" w14:textId="77777777" w:rsidR="00B952F9" w:rsidRPr="00C8733B" w:rsidRDefault="00B952F9" w:rsidP="00B952F9">
      <w:pPr>
        <w:autoSpaceDE w:val="0"/>
        <w:autoSpaceDN w:val="0"/>
        <w:adjustRightInd w:val="0"/>
        <w:spacing w:after="0" w:line="240" w:lineRule="auto"/>
        <w:rPr>
          <w:rFonts w:eastAsia="Times New Roman"/>
          <w:sz w:val="22"/>
          <w:szCs w:val="22"/>
          <w:lang w:eastAsia="en-AU"/>
        </w:rPr>
      </w:pPr>
    </w:p>
    <w:p w14:paraId="40A631ED" w14:textId="77777777" w:rsidR="001E51F5" w:rsidRPr="00C8733B" w:rsidRDefault="001E51F5" w:rsidP="00E20AE9">
      <w:pPr>
        <w:keepNext/>
        <w:spacing w:after="0" w:line="240" w:lineRule="auto"/>
        <w:rPr>
          <w:rFonts w:eastAsia="Times New Roman"/>
          <w:b/>
          <w:sz w:val="22"/>
          <w:szCs w:val="22"/>
          <w:lang w:eastAsia="en-AU"/>
        </w:rPr>
      </w:pPr>
      <w:r w:rsidRPr="00C8733B">
        <w:rPr>
          <w:rFonts w:eastAsia="Times New Roman"/>
          <w:b/>
          <w:sz w:val="22"/>
          <w:szCs w:val="22"/>
          <w:lang w:eastAsia="en-AU"/>
        </w:rPr>
        <w:lastRenderedPageBreak/>
        <w:t>Human rights implications</w:t>
      </w:r>
    </w:p>
    <w:p w14:paraId="42D62B76" w14:textId="77777777" w:rsidR="001E51F5" w:rsidRPr="00C8733B" w:rsidRDefault="001E51F5" w:rsidP="00E20AE9">
      <w:pPr>
        <w:keepNext/>
        <w:spacing w:after="0" w:line="240" w:lineRule="auto"/>
        <w:rPr>
          <w:rFonts w:eastAsia="Times New Roman"/>
          <w:sz w:val="22"/>
          <w:szCs w:val="22"/>
          <w:lang w:eastAsia="en-AU"/>
        </w:rPr>
      </w:pPr>
    </w:p>
    <w:p w14:paraId="2D4E29F5" w14:textId="1F15BC87" w:rsidR="001E51F5" w:rsidRPr="00C8733B" w:rsidRDefault="001E51F5" w:rsidP="001E51F5">
      <w:pPr>
        <w:spacing w:after="0" w:line="240" w:lineRule="auto"/>
        <w:rPr>
          <w:rFonts w:eastAsia="Times New Roman"/>
          <w:i/>
          <w:sz w:val="22"/>
          <w:szCs w:val="22"/>
          <w:lang w:eastAsia="en-AU"/>
        </w:rPr>
      </w:pPr>
      <w:r w:rsidRPr="00C8733B">
        <w:rPr>
          <w:rFonts w:eastAsia="Times New Roman"/>
          <w:sz w:val="22"/>
          <w:szCs w:val="22"/>
          <w:lang w:eastAsia="en-AU"/>
        </w:rPr>
        <w:t xml:space="preserve">The instrument engages the right to health in Article 12 of the International Covenant on Economic, Social and Cultural </w:t>
      </w:r>
      <w:r w:rsidR="007A15B4" w:rsidRPr="00C8733B">
        <w:rPr>
          <w:rFonts w:eastAsia="Times New Roman"/>
          <w:sz w:val="22"/>
          <w:szCs w:val="22"/>
          <w:lang w:eastAsia="en-AU"/>
        </w:rPr>
        <w:t>R</w:t>
      </w:r>
      <w:r w:rsidRPr="00C8733B">
        <w:rPr>
          <w:rFonts w:eastAsia="Times New Roman"/>
          <w:sz w:val="22"/>
          <w:szCs w:val="22"/>
          <w:lang w:eastAsia="en-AU"/>
        </w:rPr>
        <w:t>ights (“</w:t>
      </w:r>
      <w:r w:rsidR="007A15B4" w:rsidRPr="00C8733B">
        <w:rPr>
          <w:rFonts w:eastAsia="Times New Roman"/>
          <w:sz w:val="22"/>
          <w:szCs w:val="22"/>
          <w:lang w:eastAsia="en-AU"/>
        </w:rPr>
        <w:t xml:space="preserve">the </w:t>
      </w:r>
      <w:r w:rsidRPr="00C8733B">
        <w:rPr>
          <w:rFonts w:eastAsia="Times New Roman"/>
          <w:sz w:val="22"/>
          <w:szCs w:val="22"/>
          <w:lang w:eastAsia="en-AU"/>
        </w:rPr>
        <w:t>ICESCR”).</w:t>
      </w:r>
      <w:r w:rsidR="009F7505" w:rsidRPr="00C8733B">
        <w:rPr>
          <w:rFonts w:eastAsia="Times New Roman"/>
          <w:i/>
          <w:sz w:val="22"/>
          <w:szCs w:val="22"/>
          <w:lang w:eastAsia="en-AU"/>
        </w:rPr>
        <w:t xml:space="preserve">  </w:t>
      </w:r>
      <w:r w:rsidRPr="00C8733B">
        <w:rPr>
          <w:rFonts w:eastAsia="Times New Roman"/>
          <w:sz w:val="22"/>
          <w:szCs w:val="22"/>
          <w:lang w:eastAsia="en-AU"/>
        </w:rPr>
        <w:t xml:space="preserve">Article 12 of the ICESCR promotes the right of all individuals to enjoy the highest attainable standards of physical and mental health.  In </w:t>
      </w:r>
      <w:r w:rsidRPr="00C8733B">
        <w:rPr>
          <w:rFonts w:eastAsia="Times New Roman"/>
          <w:i/>
          <w:sz w:val="22"/>
          <w:szCs w:val="22"/>
          <w:lang w:eastAsia="en-AU"/>
        </w:rPr>
        <w:t>General Comment No. 14: The Right to the Highest Attainable Standard of Health (Art. 12)</w:t>
      </w:r>
      <w:r w:rsidRPr="00C8733B">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2AAC588C" w14:textId="77777777" w:rsidR="001E51F5" w:rsidRPr="00C8733B" w:rsidRDefault="001E51F5" w:rsidP="001E51F5">
      <w:pPr>
        <w:spacing w:after="0" w:line="240" w:lineRule="auto"/>
        <w:rPr>
          <w:rFonts w:eastAsia="Times New Roman"/>
          <w:sz w:val="22"/>
          <w:szCs w:val="22"/>
          <w:lang w:eastAsia="en-AU"/>
        </w:rPr>
      </w:pPr>
    </w:p>
    <w:p w14:paraId="30CDC3B5" w14:textId="6ADA8D65" w:rsidR="00441219" w:rsidRPr="00C8733B" w:rsidRDefault="00895EB3" w:rsidP="00895EB3">
      <w:pPr>
        <w:spacing w:after="0" w:line="240" w:lineRule="auto"/>
        <w:rPr>
          <w:rFonts w:eastAsia="Times New Roman"/>
          <w:sz w:val="22"/>
          <w:szCs w:val="22"/>
          <w:lang w:eastAsia="en-AU"/>
        </w:rPr>
      </w:pPr>
      <w:r w:rsidRPr="00C8733B">
        <w:rPr>
          <w:rFonts w:eastAsia="Times New Roman"/>
          <w:sz w:val="22"/>
          <w:szCs w:val="22"/>
          <w:lang w:eastAsia="en-AU"/>
        </w:rPr>
        <w:t>The instrument takes positive steps to promote the right to health by en</w:t>
      </w:r>
      <w:r w:rsidR="00D40307" w:rsidRPr="00C8733B">
        <w:rPr>
          <w:rFonts w:eastAsia="Times New Roman"/>
          <w:sz w:val="22"/>
          <w:szCs w:val="22"/>
          <w:lang w:eastAsia="en-AU"/>
        </w:rPr>
        <w:t>hancing flexibility in relation to the kinds of</w:t>
      </w:r>
      <w:r w:rsidRPr="00C8733B">
        <w:rPr>
          <w:rFonts w:eastAsia="Times New Roman"/>
          <w:sz w:val="22"/>
          <w:szCs w:val="22"/>
          <w:lang w:eastAsia="en-AU"/>
        </w:rPr>
        <w:t xml:space="preserve"> documentary evidence </w:t>
      </w:r>
      <w:r w:rsidR="00D40307" w:rsidRPr="00C8733B">
        <w:rPr>
          <w:rFonts w:eastAsia="Times New Roman"/>
          <w:sz w:val="22"/>
          <w:szCs w:val="22"/>
          <w:lang w:eastAsia="en-AU"/>
        </w:rPr>
        <w:t xml:space="preserve">that may </w:t>
      </w:r>
      <w:r w:rsidRPr="00C8733B">
        <w:rPr>
          <w:rFonts w:eastAsia="Times New Roman"/>
          <w:sz w:val="22"/>
          <w:szCs w:val="22"/>
          <w:lang w:eastAsia="en-AU"/>
        </w:rPr>
        <w:t>accompany an application for inclusion of the</w:t>
      </w:r>
      <w:r w:rsidR="00441219" w:rsidRPr="00C8733B">
        <w:rPr>
          <w:rFonts w:eastAsia="Times New Roman"/>
          <w:sz w:val="22"/>
          <w:szCs w:val="22"/>
          <w:lang w:eastAsia="en-AU"/>
        </w:rPr>
        <w:t xml:space="preserve"> </w:t>
      </w:r>
      <w:r w:rsidR="00F65658" w:rsidRPr="00C8733B">
        <w:rPr>
          <w:rFonts w:eastAsia="Times New Roman"/>
          <w:sz w:val="22"/>
          <w:szCs w:val="22"/>
          <w:lang w:eastAsia="en-AU"/>
        </w:rPr>
        <w:t xml:space="preserve">relevant </w:t>
      </w:r>
      <w:r w:rsidR="00441219" w:rsidRPr="00C8733B">
        <w:rPr>
          <w:rFonts w:eastAsia="Times New Roman"/>
          <w:sz w:val="22"/>
          <w:szCs w:val="22"/>
          <w:lang w:eastAsia="en-AU"/>
        </w:rPr>
        <w:t>kinds of</w:t>
      </w:r>
      <w:r w:rsidRPr="00C8733B">
        <w:rPr>
          <w:rFonts w:eastAsia="Times New Roman"/>
          <w:sz w:val="22"/>
          <w:szCs w:val="22"/>
          <w:lang w:eastAsia="en-AU"/>
        </w:rPr>
        <w:t xml:space="preserve"> medical devices in the Register</w:t>
      </w:r>
      <w:r w:rsidR="00441219" w:rsidRPr="00C8733B">
        <w:rPr>
          <w:rFonts w:eastAsia="Times New Roman"/>
          <w:sz w:val="22"/>
          <w:szCs w:val="22"/>
          <w:lang w:eastAsia="en-AU"/>
        </w:rPr>
        <w:t>, to demonstrate the safety and quality of the manufacturing processes used to manufacture such products</w:t>
      </w:r>
      <w:r w:rsidRPr="00C8733B">
        <w:rPr>
          <w:rFonts w:eastAsia="Times New Roman"/>
          <w:sz w:val="22"/>
          <w:szCs w:val="22"/>
          <w:lang w:eastAsia="en-AU"/>
        </w:rPr>
        <w:t>.</w:t>
      </w:r>
    </w:p>
    <w:p w14:paraId="60D9D037" w14:textId="77777777" w:rsidR="00441219" w:rsidRPr="00C8733B" w:rsidRDefault="00441219" w:rsidP="00895EB3">
      <w:pPr>
        <w:spacing w:after="0" w:line="240" w:lineRule="auto"/>
        <w:rPr>
          <w:rFonts w:eastAsia="Times New Roman"/>
          <w:sz w:val="22"/>
          <w:szCs w:val="22"/>
          <w:lang w:eastAsia="en-AU"/>
        </w:rPr>
      </w:pPr>
    </w:p>
    <w:p w14:paraId="1F15C98A" w14:textId="075D6524" w:rsidR="00E47491" w:rsidRPr="00C8733B" w:rsidRDefault="00D40307" w:rsidP="00895EB3">
      <w:pPr>
        <w:spacing w:after="0" w:line="240" w:lineRule="auto"/>
        <w:rPr>
          <w:rFonts w:eastAsia="Times New Roman"/>
          <w:sz w:val="22"/>
          <w:szCs w:val="22"/>
          <w:lang w:eastAsia="en-AU"/>
        </w:rPr>
      </w:pPr>
      <w:r w:rsidRPr="00C8733B">
        <w:rPr>
          <w:rFonts w:eastAsia="Times New Roman"/>
          <w:sz w:val="22"/>
          <w:szCs w:val="22"/>
          <w:lang w:eastAsia="en-AU"/>
        </w:rPr>
        <w:t xml:space="preserve">Expanding the kinds of </w:t>
      </w:r>
      <w:r w:rsidR="000244AC" w:rsidRPr="00C8733B">
        <w:rPr>
          <w:rFonts w:eastAsia="Times New Roman"/>
          <w:sz w:val="22"/>
          <w:szCs w:val="22"/>
          <w:lang w:eastAsia="en-AU"/>
        </w:rPr>
        <w:t xml:space="preserve">conformity assessment documents </w:t>
      </w:r>
      <w:r w:rsidR="000F2A63" w:rsidRPr="00C8733B">
        <w:rPr>
          <w:rFonts w:eastAsia="Times New Roman"/>
          <w:sz w:val="22"/>
          <w:szCs w:val="22"/>
          <w:lang w:eastAsia="en-AU"/>
        </w:rPr>
        <w:t xml:space="preserve">that </w:t>
      </w:r>
      <w:r w:rsidR="000244AC" w:rsidRPr="00C8733B">
        <w:rPr>
          <w:rFonts w:eastAsia="Times New Roman"/>
          <w:sz w:val="22"/>
          <w:szCs w:val="22"/>
          <w:lang w:eastAsia="en-AU"/>
        </w:rPr>
        <w:t>may</w:t>
      </w:r>
      <w:r w:rsidR="000F2A63" w:rsidRPr="00C8733B">
        <w:rPr>
          <w:rFonts w:eastAsia="Times New Roman"/>
          <w:sz w:val="22"/>
          <w:szCs w:val="22"/>
          <w:lang w:eastAsia="en-AU"/>
        </w:rPr>
        <w:t xml:space="preserve"> accompany application</w:t>
      </w:r>
      <w:r w:rsidR="000244AC" w:rsidRPr="00C8733B">
        <w:rPr>
          <w:rFonts w:eastAsia="Times New Roman"/>
          <w:sz w:val="22"/>
          <w:szCs w:val="22"/>
          <w:lang w:eastAsia="en-AU"/>
        </w:rPr>
        <w:t>s</w:t>
      </w:r>
      <w:r w:rsidR="000F2A63" w:rsidRPr="00C8733B">
        <w:rPr>
          <w:rFonts w:eastAsia="Times New Roman"/>
          <w:sz w:val="22"/>
          <w:szCs w:val="22"/>
          <w:lang w:eastAsia="en-AU"/>
        </w:rPr>
        <w:t xml:space="preserve"> for </w:t>
      </w:r>
      <w:r w:rsidRPr="00C8733B">
        <w:rPr>
          <w:rFonts w:eastAsia="Times New Roman"/>
          <w:sz w:val="22"/>
          <w:szCs w:val="22"/>
          <w:lang w:eastAsia="en-AU"/>
        </w:rPr>
        <w:t>Class</w:t>
      </w:r>
      <w:r w:rsidR="008E3639" w:rsidRPr="00C8733B">
        <w:rPr>
          <w:rFonts w:eastAsia="Times New Roman"/>
          <w:sz w:val="22"/>
          <w:szCs w:val="22"/>
          <w:lang w:eastAsia="en-AU"/>
        </w:rPr>
        <w:t> </w:t>
      </w:r>
      <w:proofErr w:type="spellStart"/>
      <w:r w:rsidRPr="00C8733B">
        <w:rPr>
          <w:rFonts w:eastAsia="Times New Roman"/>
          <w:sz w:val="22"/>
          <w:szCs w:val="22"/>
          <w:lang w:eastAsia="en-AU"/>
        </w:rPr>
        <w:t>IIa</w:t>
      </w:r>
      <w:proofErr w:type="spellEnd"/>
      <w:r w:rsidRPr="00C8733B">
        <w:rPr>
          <w:rFonts w:eastAsia="Times New Roman"/>
          <w:sz w:val="22"/>
          <w:szCs w:val="22"/>
          <w:lang w:eastAsia="en-AU"/>
        </w:rPr>
        <w:t>, Class IIb, Class III and Class AIMD</w:t>
      </w:r>
      <w:r w:rsidR="000F2A63" w:rsidRPr="00C8733B">
        <w:rPr>
          <w:rFonts w:eastAsia="Times New Roman"/>
          <w:sz w:val="22"/>
          <w:szCs w:val="22"/>
          <w:lang w:eastAsia="en-AU"/>
        </w:rPr>
        <w:t xml:space="preserve"> medical devices</w:t>
      </w:r>
      <w:r w:rsidR="00F65658" w:rsidRPr="00C8733B">
        <w:rPr>
          <w:rFonts w:eastAsia="Times New Roman"/>
          <w:sz w:val="22"/>
          <w:szCs w:val="22"/>
          <w:lang w:eastAsia="en-AU"/>
        </w:rPr>
        <w:t xml:space="preserve">, and Class 2 </w:t>
      </w:r>
      <w:r w:rsidR="0071317E">
        <w:rPr>
          <w:rFonts w:eastAsia="Times New Roman"/>
          <w:sz w:val="22"/>
          <w:szCs w:val="22"/>
          <w:lang w:eastAsia="en-AU"/>
        </w:rPr>
        <w:t xml:space="preserve">IVD </w:t>
      </w:r>
      <w:r w:rsidR="00F65658" w:rsidRPr="00C8733B">
        <w:rPr>
          <w:rFonts w:eastAsia="Times New Roman"/>
          <w:sz w:val="22"/>
          <w:szCs w:val="22"/>
          <w:lang w:eastAsia="en-AU"/>
        </w:rPr>
        <w:t>and Class 3 IVD medical devices,</w:t>
      </w:r>
      <w:r w:rsidR="000244AC" w:rsidRPr="00C8733B">
        <w:rPr>
          <w:rFonts w:eastAsia="Times New Roman"/>
          <w:sz w:val="22"/>
          <w:szCs w:val="22"/>
          <w:lang w:eastAsia="en-AU"/>
        </w:rPr>
        <w:t xml:space="preserve"> </w:t>
      </w:r>
      <w:proofErr w:type="gramStart"/>
      <w:r w:rsidR="000244AC" w:rsidRPr="00C8733B">
        <w:rPr>
          <w:rFonts w:eastAsia="Times New Roman"/>
          <w:sz w:val="22"/>
          <w:szCs w:val="22"/>
          <w:lang w:eastAsia="en-AU"/>
        </w:rPr>
        <w:t>as a consequence of</w:t>
      </w:r>
      <w:proofErr w:type="gramEnd"/>
      <w:r w:rsidR="000244AC" w:rsidRPr="00C8733B">
        <w:rPr>
          <w:rFonts w:eastAsia="Times New Roman"/>
          <w:sz w:val="22"/>
          <w:szCs w:val="22"/>
          <w:lang w:eastAsia="en-AU"/>
        </w:rPr>
        <w:t xml:space="preserve"> this instrument</w:t>
      </w:r>
      <w:r w:rsidR="000F2A63" w:rsidRPr="00C8733B">
        <w:rPr>
          <w:rFonts w:eastAsia="Times New Roman"/>
          <w:sz w:val="22"/>
          <w:szCs w:val="22"/>
          <w:lang w:eastAsia="en-AU"/>
        </w:rPr>
        <w:t xml:space="preserve"> </w:t>
      </w:r>
      <w:r w:rsidR="004B5595" w:rsidRPr="00C8733B">
        <w:rPr>
          <w:rFonts w:eastAsia="Times New Roman"/>
          <w:sz w:val="22"/>
          <w:szCs w:val="22"/>
          <w:lang w:eastAsia="en-AU"/>
        </w:rPr>
        <w:t xml:space="preserve">will enable the TGA to </w:t>
      </w:r>
      <w:r w:rsidR="000F2A63" w:rsidRPr="00C8733B">
        <w:rPr>
          <w:rFonts w:eastAsia="Times New Roman"/>
          <w:sz w:val="22"/>
          <w:szCs w:val="22"/>
          <w:lang w:eastAsia="en-AU"/>
        </w:rPr>
        <w:t xml:space="preserve">process </w:t>
      </w:r>
      <w:r w:rsidR="00441219" w:rsidRPr="00C8733B">
        <w:rPr>
          <w:rFonts w:eastAsia="Times New Roman"/>
          <w:sz w:val="22"/>
          <w:szCs w:val="22"/>
          <w:lang w:eastAsia="en-AU"/>
        </w:rPr>
        <w:t xml:space="preserve">such </w:t>
      </w:r>
      <w:r w:rsidR="004B5595" w:rsidRPr="00C8733B">
        <w:rPr>
          <w:rFonts w:eastAsia="Times New Roman"/>
          <w:sz w:val="22"/>
          <w:szCs w:val="22"/>
          <w:lang w:eastAsia="en-AU"/>
        </w:rPr>
        <w:t>applications</w:t>
      </w:r>
      <w:r w:rsidR="000F2A63" w:rsidRPr="00C8733B">
        <w:rPr>
          <w:rFonts w:eastAsia="Times New Roman"/>
          <w:sz w:val="22"/>
          <w:szCs w:val="22"/>
          <w:lang w:eastAsia="en-AU"/>
        </w:rPr>
        <w:t xml:space="preserve"> in a</w:t>
      </w:r>
      <w:r w:rsidR="000244AC" w:rsidRPr="00C8733B">
        <w:rPr>
          <w:rFonts w:eastAsia="Times New Roman"/>
          <w:sz w:val="22"/>
          <w:szCs w:val="22"/>
          <w:lang w:eastAsia="en-AU"/>
        </w:rPr>
        <w:t xml:space="preserve"> more</w:t>
      </w:r>
      <w:r w:rsidR="000F2A63" w:rsidRPr="00C8733B">
        <w:rPr>
          <w:rFonts w:eastAsia="Times New Roman"/>
          <w:sz w:val="22"/>
          <w:szCs w:val="22"/>
          <w:lang w:eastAsia="en-AU"/>
        </w:rPr>
        <w:t xml:space="preserve"> effective and timely manner</w:t>
      </w:r>
      <w:r w:rsidR="00E47491" w:rsidRPr="00C8733B">
        <w:rPr>
          <w:rFonts w:eastAsia="Times New Roman"/>
          <w:sz w:val="22"/>
          <w:szCs w:val="22"/>
          <w:lang w:eastAsia="en-AU"/>
        </w:rPr>
        <w:t>.</w:t>
      </w:r>
      <w:r w:rsidR="00895EB3" w:rsidRPr="00C8733B">
        <w:rPr>
          <w:rFonts w:eastAsia="Times New Roman"/>
          <w:sz w:val="22"/>
          <w:szCs w:val="22"/>
          <w:lang w:eastAsia="en-AU"/>
        </w:rPr>
        <w:t xml:space="preserve"> </w:t>
      </w:r>
      <w:r w:rsidR="000244AC" w:rsidRPr="00C8733B">
        <w:rPr>
          <w:rFonts w:eastAsia="Times New Roman"/>
          <w:sz w:val="22"/>
          <w:szCs w:val="22"/>
          <w:lang w:eastAsia="en-AU"/>
        </w:rPr>
        <w:t xml:space="preserve"> </w:t>
      </w:r>
      <w:r w:rsidR="000F2A63" w:rsidRPr="00C8733B">
        <w:rPr>
          <w:rFonts w:eastAsia="Times New Roman"/>
          <w:sz w:val="22"/>
          <w:szCs w:val="22"/>
          <w:lang w:eastAsia="en-AU"/>
        </w:rPr>
        <w:t xml:space="preserve">The information will assist in ensuring the safety and satisfactory performance of these medical devices, as well as their timely availability, in Australia. </w:t>
      </w:r>
      <w:r w:rsidR="000244AC" w:rsidRPr="00C8733B">
        <w:rPr>
          <w:rFonts w:eastAsia="Times New Roman"/>
          <w:sz w:val="22"/>
          <w:szCs w:val="22"/>
          <w:lang w:eastAsia="en-AU"/>
        </w:rPr>
        <w:t xml:space="preserve"> </w:t>
      </w:r>
      <w:r w:rsidR="00895EB3" w:rsidRPr="00C8733B">
        <w:rPr>
          <w:rFonts w:eastAsia="Times New Roman"/>
          <w:sz w:val="22"/>
          <w:szCs w:val="22"/>
          <w:lang w:eastAsia="en-AU"/>
        </w:rPr>
        <w:t xml:space="preserve">By providing more options for the type of conformity assessment document that </w:t>
      </w:r>
      <w:r w:rsidR="000244AC" w:rsidRPr="00C8733B">
        <w:rPr>
          <w:rFonts w:eastAsia="Times New Roman"/>
          <w:sz w:val="22"/>
          <w:szCs w:val="22"/>
          <w:lang w:eastAsia="en-AU"/>
        </w:rPr>
        <w:t xml:space="preserve">may be submitted with an </w:t>
      </w:r>
      <w:r w:rsidR="00895EB3" w:rsidRPr="00C8733B">
        <w:rPr>
          <w:rFonts w:eastAsia="Times New Roman"/>
          <w:sz w:val="22"/>
          <w:szCs w:val="22"/>
          <w:lang w:eastAsia="en-AU"/>
        </w:rPr>
        <w:t>application</w:t>
      </w:r>
      <w:r w:rsidR="000244AC" w:rsidRPr="00C8733B">
        <w:rPr>
          <w:rFonts w:eastAsia="Times New Roman"/>
          <w:sz w:val="22"/>
          <w:szCs w:val="22"/>
          <w:lang w:eastAsia="en-AU"/>
        </w:rPr>
        <w:t xml:space="preserve"> for inclusion</w:t>
      </w:r>
      <w:r w:rsidR="00895EB3" w:rsidRPr="00C8733B">
        <w:rPr>
          <w:rFonts w:eastAsia="Times New Roman"/>
          <w:sz w:val="22"/>
          <w:szCs w:val="22"/>
          <w:lang w:eastAsia="en-AU"/>
        </w:rPr>
        <w:t>, th</w:t>
      </w:r>
      <w:r w:rsidRPr="00C8733B">
        <w:rPr>
          <w:rFonts w:eastAsia="Times New Roman"/>
          <w:sz w:val="22"/>
          <w:szCs w:val="22"/>
          <w:lang w:eastAsia="en-AU"/>
        </w:rPr>
        <w:t>e instrument will reduce</w:t>
      </w:r>
      <w:r w:rsidR="00895EB3" w:rsidRPr="00C8733B">
        <w:rPr>
          <w:rFonts w:eastAsia="Times New Roman"/>
          <w:sz w:val="22"/>
          <w:szCs w:val="22"/>
          <w:lang w:eastAsia="en-AU"/>
        </w:rPr>
        <w:t xml:space="preserve"> delay</w:t>
      </w:r>
      <w:r w:rsidRPr="00C8733B">
        <w:rPr>
          <w:rFonts w:eastAsia="Times New Roman"/>
          <w:sz w:val="22"/>
          <w:szCs w:val="22"/>
          <w:lang w:eastAsia="en-AU"/>
        </w:rPr>
        <w:t>s</w:t>
      </w:r>
      <w:r w:rsidR="00895EB3" w:rsidRPr="00C8733B">
        <w:rPr>
          <w:rFonts w:eastAsia="Times New Roman"/>
          <w:sz w:val="22"/>
          <w:szCs w:val="22"/>
          <w:lang w:eastAsia="en-AU"/>
        </w:rPr>
        <w:t xml:space="preserve"> in </w:t>
      </w:r>
      <w:r w:rsidRPr="00C8733B">
        <w:rPr>
          <w:rFonts w:eastAsia="Times New Roman"/>
          <w:sz w:val="22"/>
          <w:szCs w:val="22"/>
          <w:lang w:eastAsia="en-AU"/>
        </w:rPr>
        <w:t xml:space="preserve">access to such </w:t>
      </w:r>
      <w:r w:rsidR="00895EB3" w:rsidRPr="00C8733B">
        <w:rPr>
          <w:rFonts w:eastAsia="Times New Roman"/>
          <w:sz w:val="22"/>
          <w:szCs w:val="22"/>
          <w:lang w:eastAsia="en-AU"/>
        </w:rPr>
        <w:t xml:space="preserve">medical devices </w:t>
      </w:r>
      <w:r w:rsidRPr="00C8733B">
        <w:rPr>
          <w:rFonts w:eastAsia="Times New Roman"/>
          <w:sz w:val="22"/>
          <w:szCs w:val="22"/>
          <w:lang w:eastAsia="en-AU"/>
        </w:rPr>
        <w:t>for Australian patients and health practitioners</w:t>
      </w:r>
      <w:r w:rsidR="00895EB3" w:rsidRPr="00C8733B">
        <w:rPr>
          <w:rFonts w:eastAsia="Times New Roman"/>
          <w:sz w:val="22"/>
          <w:szCs w:val="22"/>
          <w:lang w:eastAsia="en-AU"/>
        </w:rPr>
        <w:t>.</w:t>
      </w:r>
    </w:p>
    <w:p w14:paraId="128BCEF7" w14:textId="188F99B9" w:rsidR="00890E7D" w:rsidRPr="00C8733B" w:rsidRDefault="00890E7D" w:rsidP="00895EB3">
      <w:pPr>
        <w:spacing w:after="0" w:line="240" w:lineRule="auto"/>
        <w:rPr>
          <w:rFonts w:eastAsia="Times New Roman"/>
          <w:sz w:val="22"/>
          <w:szCs w:val="22"/>
          <w:lang w:eastAsia="en-AU"/>
        </w:rPr>
      </w:pPr>
    </w:p>
    <w:p w14:paraId="58090654" w14:textId="3E2F8C29" w:rsidR="00890E7D" w:rsidRPr="00C8733B" w:rsidRDefault="00890E7D" w:rsidP="00895EB3">
      <w:pPr>
        <w:spacing w:after="0" w:line="240" w:lineRule="auto"/>
        <w:rPr>
          <w:rFonts w:eastAsia="Times New Roman"/>
          <w:sz w:val="22"/>
          <w:szCs w:val="22"/>
          <w:lang w:eastAsia="en-AU"/>
        </w:rPr>
      </w:pPr>
      <w:r w:rsidRPr="00C8733B">
        <w:rPr>
          <w:rFonts w:eastAsia="Times New Roman"/>
          <w:sz w:val="22"/>
          <w:szCs w:val="22"/>
          <w:lang w:eastAsia="en-AU"/>
        </w:rPr>
        <w:t>The instrument also takes positive steps to promote the right to health through supporting enhanced international cooperation with Singapore in relation to the regulation and approval of higher risk medical devices.</w:t>
      </w:r>
    </w:p>
    <w:p w14:paraId="21E17AC4" w14:textId="77777777" w:rsidR="00E47491" w:rsidRPr="00C8733B" w:rsidRDefault="00E47491" w:rsidP="001E51F5">
      <w:pPr>
        <w:spacing w:after="0" w:line="240" w:lineRule="auto"/>
        <w:rPr>
          <w:rFonts w:eastAsia="Times New Roman"/>
          <w:sz w:val="22"/>
          <w:szCs w:val="22"/>
          <w:lang w:eastAsia="en-AU"/>
        </w:rPr>
      </w:pPr>
    </w:p>
    <w:p w14:paraId="622F7D8E" w14:textId="77777777" w:rsidR="001E51F5" w:rsidRPr="00C8733B" w:rsidRDefault="001E51F5" w:rsidP="001E51F5">
      <w:pPr>
        <w:spacing w:after="0" w:line="240" w:lineRule="auto"/>
        <w:rPr>
          <w:rFonts w:eastAsia="Times New Roman"/>
          <w:b/>
          <w:sz w:val="22"/>
          <w:szCs w:val="22"/>
          <w:lang w:eastAsia="en-AU"/>
        </w:rPr>
      </w:pPr>
      <w:r w:rsidRPr="00C8733B">
        <w:rPr>
          <w:rFonts w:eastAsia="Times New Roman"/>
          <w:b/>
          <w:sz w:val="22"/>
          <w:szCs w:val="22"/>
          <w:lang w:eastAsia="en-AU"/>
        </w:rPr>
        <w:t>Conclusion</w:t>
      </w:r>
    </w:p>
    <w:p w14:paraId="52F08DF2" w14:textId="77777777" w:rsidR="001E51F5" w:rsidRPr="00C8733B" w:rsidRDefault="001E51F5" w:rsidP="001E51F5">
      <w:pPr>
        <w:spacing w:after="0" w:line="240" w:lineRule="auto"/>
        <w:rPr>
          <w:rFonts w:eastAsia="Times New Roman"/>
          <w:sz w:val="22"/>
          <w:szCs w:val="22"/>
          <w:lang w:eastAsia="en-AU"/>
        </w:rPr>
      </w:pPr>
    </w:p>
    <w:p w14:paraId="71826330" w14:textId="77777777" w:rsidR="0048520F" w:rsidRPr="00D7396A" w:rsidRDefault="001E51F5" w:rsidP="00D7396A">
      <w:pPr>
        <w:spacing w:after="0" w:line="240" w:lineRule="auto"/>
        <w:rPr>
          <w:rFonts w:eastAsia="Times New Roman"/>
          <w:sz w:val="22"/>
          <w:szCs w:val="22"/>
          <w:lang w:eastAsia="en-AU"/>
        </w:rPr>
      </w:pPr>
      <w:r w:rsidRPr="00C8733B">
        <w:rPr>
          <w:rFonts w:eastAsia="Times New Roman"/>
          <w:sz w:val="22"/>
          <w:szCs w:val="22"/>
          <w:lang w:eastAsia="en-AU"/>
        </w:rPr>
        <w:t>This legislative instrument is compatible with human rights because it promotes the right to health in A</w:t>
      </w:r>
      <w:r w:rsidRPr="006C2D2C">
        <w:rPr>
          <w:rFonts w:eastAsia="Times New Roman"/>
          <w:sz w:val="22"/>
          <w:szCs w:val="22"/>
          <w:lang w:eastAsia="en-AU"/>
        </w:rPr>
        <w:t>rticle 12 of the ICESCR and otherwise does not raise any other human rights issues.</w:t>
      </w:r>
    </w:p>
    <w:sectPr w:rsidR="0048520F" w:rsidRPr="00D7396A"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88F1" w14:textId="77777777" w:rsidR="00B76B99" w:rsidRDefault="00B76B99">
      <w:pPr>
        <w:spacing w:after="0" w:line="240" w:lineRule="auto"/>
      </w:pPr>
      <w:r>
        <w:separator/>
      </w:r>
    </w:p>
  </w:endnote>
  <w:endnote w:type="continuationSeparator" w:id="0">
    <w:p w14:paraId="635BEE7C" w14:textId="77777777" w:rsidR="00B76B99" w:rsidRDefault="00B7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24A69885" w14:textId="76B190C6" w:rsidR="002F252C" w:rsidRPr="00BF658A" w:rsidRDefault="002F252C">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627599">
          <w:rPr>
            <w:noProof/>
            <w:sz w:val="22"/>
            <w:szCs w:val="22"/>
          </w:rPr>
          <w:t>10</w:t>
        </w:r>
        <w:r w:rsidRPr="00BF658A">
          <w:rPr>
            <w:noProof/>
            <w:sz w:val="22"/>
            <w:szCs w:val="22"/>
          </w:rPr>
          <w:fldChar w:fldCharType="end"/>
        </w:r>
      </w:p>
    </w:sdtContent>
  </w:sdt>
  <w:p w14:paraId="2635F345" w14:textId="77777777" w:rsidR="002F252C" w:rsidRPr="00877529" w:rsidRDefault="002F252C"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0F17" w14:textId="77777777" w:rsidR="002F252C" w:rsidRDefault="002F252C"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FC8D" w14:textId="77777777" w:rsidR="00B76B99" w:rsidRDefault="00B76B99">
      <w:pPr>
        <w:spacing w:after="0" w:line="240" w:lineRule="auto"/>
      </w:pPr>
      <w:r>
        <w:separator/>
      </w:r>
    </w:p>
  </w:footnote>
  <w:footnote w:type="continuationSeparator" w:id="0">
    <w:p w14:paraId="12B97952" w14:textId="77777777" w:rsidR="00B76B99" w:rsidRDefault="00B76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DFD6" w14:textId="77777777" w:rsidR="002F252C" w:rsidRDefault="002F252C"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5CA05" w14:textId="77777777" w:rsidR="002F252C" w:rsidRDefault="002F2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D37" w14:textId="77777777" w:rsidR="002F252C" w:rsidRDefault="002F252C"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25C88"/>
    <w:multiLevelType w:val="hybridMultilevel"/>
    <w:tmpl w:val="543265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A708F1"/>
    <w:multiLevelType w:val="hybridMultilevel"/>
    <w:tmpl w:val="E48C5F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7D014C"/>
    <w:multiLevelType w:val="hybridMultilevel"/>
    <w:tmpl w:val="DE40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886020"/>
    <w:multiLevelType w:val="hybridMultilevel"/>
    <w:tmpl w:val="086A338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E316261"/>
    <w:multiLevelType w:val="hybridMultilevel"/>
    <w:tmpl w:val="E48C5F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5F2914"/>
    <w:multiLevelType w:val="hybridMultilevel"/>
    <w:tmpl w:val="49C0B04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3"/>
  </w:num>
  <w:num w:numId="5">
    <w:abstractNumId w:val="1"/>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0853"/>
    <w:rsid w:val="000071E9"/>
    <w:rsid w:val="00015646"/>
    <w:rsid w:val="0001622B"/>
    <w:rsid w:val="000211F5"/>
    <w:rsid w:val="000244AC"/>
    <w:rsid w:val="00024D38"/>
    <w:rsid w:val="00027463"/>
    <w:rsid w:val="00030B36"/>
    <w:rsid w:val="0004561D"/>
    <w:rsid w:val="00050390"/>
    <w:rsid w:val="00052D17"/>
    <w:rsid w:val="00056AC7"/>
    <w:rsid w:val="0006049D"/>
    <w:rsid w:val="000722DC"/>
    <w:rsid w:val="00075858"/>
    <w:rsid w:val="0007764C"/>
    <w:rsid w:val="0008582F"/>
    <w:rsid w:val="00095954"/>
    <w:rsid w:val="000A6A48"/>
    <w:rsid w:val="000E0361"/>
    <w:rsid w:val="000E533B"/>
    <w:rsid w:val="000E73BD"/>
    <w:rsid w:val="000F2A63"/>
    <w:rsid w:val="000F38EB"/>
    <w:rsid w:val="000F51B5"/>
    <w:rsid w:val="00103A0E"/>
    <w:rsid w:val="00106D30"/>
    <w:rsid w:val="00112A71"/>
    <w:rsid w:val="00125CB9"/>
    <w:rsid w:val="00133D92"/>
    <w:rsid w:val="00141061"/>
    <w:rsid w:val="00143DA1"/>
    <w:rsid w:val="001445DE"/>
    <w:rsid w:val="001475CE"/>
    <w:rsid w:val="001535EC"/>
    <w:rsid w:val="0015368D"/>
    <w:rsid w:val="001760F0"/>
    <w:rsid w:val="00182073"/>
    <w:rsid w:val="00185258"/>
    <w:rsid w:val="001932BB"/>
    <w:rsid w:val="001A1272"/>
    <w:rsid w:val="001A65B1"/>
    <w:rsid w:val="001B02FC"/>
    <w:rsid w:val="001B0EB8"/>
    <w:rsid w:val="001B1E13"/>
    <w:rsid w:val="001C2BEE"/>
    <w:rsid w:val="001C5975"/>
    <w:rsid w:val="001D280F"/>
    <w:rsid w:val="001D7D3D"/>
    <w:rsid w:val="001E2F1D"/>
    <w:rsid w:val="001E3F16"/>
    <w:rsid w:val="001E51F5"/>
    <w:rsid w:val="001E5D6E"/>
    <w:rsid w:val="001F24AA"/>
    <w:rsid w:val="001F35EA"/>
    <w:rsid w:val="002151C1"/>
    <w:rsid w:val="00220824"/>
    <w:rsid w:val="00223AB0"/>
    <w:rsid w:val="00225970"/>
    <w:rsid w:val="00235D13"/>
    <w:rsid w:val="00243199"/>
    <w:rsid w:val="002442FB"/>
    <w:rsid w:val="00247480"/>
    <w:rsid w:val="0024775A"/>
    <w:rsid w:val="00247761"/>
    <w:rsid w:val="0025038A"/>
    <w:rsid w:val="00254E72"/>
    <w:rsid w:val="00274E3F"/>
    <w:rsid w:val="0027501E"/>
    <w:rsid w:val="00280050"/>
    <w:rsid w:val="00287448"/>
    <w:rsid w:val="0029364D"/>
    <w:rsid w:val="002A2472"/>
    <w:rsid w:val="002B60E0"/>
    <w:rsid w:val="002B650B"/>
    <w:rsid w:val="002C2133"/>
    <w:rsid w:val="002D168C"/>
    <w:rsid w:val="002E3F85"/>
    <w:rsid w:val="002E7F12"/>
    <w:rsid w:val="002F252C"/>
    <w:rsid w:val="00304DE4"/>
    <w:rsid w:val="00307BAF"/>
    <w:rsid w:val="00310965"/>
    <w:rsid w:val="0031629D"/>
    <w:rsid w:val="003304A4"/>
    <w:rsid w:val="00335670"/>
    <w:rsid w:val="00342B6B"/>
    <w:rsid w:val="003460A8"/>
    <w:rsid w:val="00346D3D"/>
    <w:rsid w:val="0035032F"/>
    <w:rsid w:val="003524E9"/>
    <w:rsid w:val="00360865"/>
    <w:rsid w:val="003620C4"/>
    <w:rsid w:val="0036272B"/>
    <w:rsid w:val="00364C69"/>
    <w:rsid w:val="003674D0"/>
    <w:rsid w:val="0037120F"/>
    <w:rsid w:val="00372EAF"/>
    <w:rsid w:val="00374344"/>
    <w:rsid w:val="00375F1F"/>
    <w:rsid w:val="00392271"/>
    <w:rsid w:val="003931AA"/>
    <w:rsid w:val="0039340E"/>
    <w:rsid w:val="003973AB"/>
    <w:rsid w:val="003B04D6"/>
    <w:rsid w:val="003B6BD6"/>
    <w:rsid w:val="003C0D65"/>
    <w:rsid w:val="003C36B4"/>
    <w:rsid w:val="003C56F8"/>
    <w:rsid w:val="003C68A3"/>
    <w:rsid w:val="003C6F22"/>
    <w:rsid w:val="003D07BD"/>
    <w:rsid w:val="003D10AA"/>
    <w:rsid w:val="003D3C6C"/>
    <w:rsid w:val="003E6382"/>
    <w:rsid w:val="003F40CF"/>
    <w:rsid w:val="003F623D"/>
    <w:rsid w:val="00406113"/>
    <w:rsid w:val="004078A3"/>
    <w:rsid w:val="00423D5D"/>
    <w:rsid w:val="00425B51"/>
    <w:rsid w:val="00425BCD"/>
    <w:rsid w:val="00427E57"/>
    <w:rsid w:val="00437D6F"/>
    <w:rsid w:val="00440E27"/>
    <w:rsid w:val="00441219"/>
    <w:rsid w:val="004417BE"/>
    <w:rsid w:val="00441EBB"/>
    <w:rsid w:val="00443BD5"/>
    <w:rsid w:val="00447245"/>
    <w:rsid w:val="004521BA"/>
    <w:rsid w:val="00452C85"/>
    <w:rsid w:val="0045720B"/>
    <w:rsid w:val="00462626"/>
    <w:rsid w:val="00463ACD"/>
    <w:rsid w:val="00464FC6"/>
    <w:rsid w:val="004836C5"/>
    <w:rsid w:val="00484C58"/>
    <w:rsid w:val="0048520F"/>
    <w:rsid w:val="00486B98"/>
    <w:rsid w:val="004875B7"/>
    <w:rsid w:val="004A00C1"/>
    <w:rsid w:val="004A1224"/>
    <w:rsid w:val="004A67CB"/>
    <w:rsid w:val="004B33DC"/>
    <w:rsid w:val="004B5595"/>
    <w:rsid w:val="004C7BCE"/>
    <w:rsid w:val="004E54A9"/>
    <w:rsid w:val="00505E4C"/>
    <w:rsid w:val="0051143F"/>
    <w:rsid w:val="00520250"/>
    <w:rsid w:val="0053519F"/>
    <w:rsid w:val="0054399A"/>
    <w:rsid w:val="00543FD7"/>
    <w:rsid w:val="00550BB2"/>
    <w:rsid w:val="00552232"/>
    <w:rsid w:val="00554215"/>
    <w:rsid w:val="00567F04"/>
    <w:rsid w:val="00570321"/>
    <w:rsid w:val="00573284"/>
    <w:rsid w:val="00591627"/>
    <w:rsid w:val="00593743"/>
    <w:rsid w:val="00597A8E"/>
    <w:rsid w:val="005A6C94"/>
    <w:rsid w:val="005B4179"/>
    <w:rsid w:val="005B5FF4"/>
    <w:rsid w:val="005C6E1B"/>
    <w:rsid w:val="005D6C50"/>
    <w:rsid w:val="005E1C23"/>
    <w:rsid w:val="005E2299"/>
    <w:rsid w:val="005F26C2"/>
    <w:rsid w:val="00600A78"/>
    <w:rsid w:val="00604E90"/>
    <w:rsid w:val="0061712B"/>
    <w:rsid w:val="00620F0E"/>
    <w:rsid w:val="00627599"/>
    <w:rsid w:val="006361E9"/>
    <w:rsid w:val="006569DD"/>
    <w:rsid w:val="00663CFA"/>
    <w:rsid w:val="00664C87"/>
    <w:rsid w:val="006656EF"/>
    <w:rsid w:val="00667B4D"/>
    <w:rsid w:val="0067122D"/>
    <w:rsid w:val="00683911"/>
    <w:rsid w:val="00683BE0"/>
    <w:rsid w:val="00685056"/>
    <w:rsid w:val="00685658"/>
    <w:rsid w:val="006910A9"/>
    <w:rsid w:val="00694DCC"/>
    <w:rsid w:val="00696E3E"/>
    <w:rsid w:val="006A69D0"/>
    <w:rsid w:val="006B236D"/>
    <w:rsid w:val="006B2884"/>
    <w:rsid w:val="006B3BFD"/>
    <w:rsid w:val="006C2D2C"/>
    <w:rsid w:val="006D3704"/>
    <w:rsid w:val="006D5901"/>
    <w:rsid w:val="006E108D"/>
    <w:rsid w:val="006E40E2"/>
    <w:rsid w:val="006E5EEE"/>
    <w:rsid w:val="006F455F"/>
    <w:rsid w:val="006F7543"/>
    <w:rsid w:val="007059E2"/>
    <w:rsid w:val="0071317E"/>
    <w:rsid w:val="00720B09"/>
    <w:rsid w:val="00722EE0"/>
    <w:rsid w:val="00743324"/>
    <w:rsid w:val="007436F9"/>
    <w:rsid w:val="007440EC"/>
    <w:rsid w:val="007505F0"/>
    <w:rsid w:val="00751077"/>
    <w:rsid w:val="00767E61"/>
    <w:rsid w:val="00782756"/>
    <w:rsid w:val="007839DC"/>
    <w:rsid w:val="00786218"/>
    <w:rsid w:val="0079655B"/>
    <w:rsid w:val="00796818"/>
    <w:rsid w:val="007A15B4"/>
    <w:rsid w:val="007A508D"/>
    <w:rsid w:val="007A587B"/>
    <w:rsid w:val="007B0399"/>
    <w:rsid w:val="007B1C63"/>
    <w:rsid w:val="007B30C7"/>
    <w:rsid w:val="007B758D"/>
    <w:rsid w:val="007C1A12"/>
    <w:rsid w:val="007C231E"/>
    <w:rsid w:val="007C65B6"/>
    <w:rsid w:val="007D2F1E"/>
    <w:rsid w:val="007E513E"/>
    <w:rsid w:val="007F2274"/>
    <w:rsid w:val="008056CA"/>
    <w:rsid w:val="0081149F"/>
    <w:rsid w:val="008121EF"/>
    <w:rsid w:val="0081565D"/>
    <w:rsid w:val="00816345"/>
    <w:rsid w:val="00817568"/>
    <w:rsid w:val="00821A6E"/>
    <w:rsid w:val="00833006"/>
    <w:rsid w:val="00836203"/>
    <w:rsid w:val="00843E69"/>
    <w:rsid w:val="008471F1"/>
    <w:rsid w:val="00850D88"/>
    <w:rsid w:val="00850DFF"/>
    <w:rsid w:val="008600C6"/>
    <w:rsid w:val="0086160E"/>
    <w:rsid w:val="00862B17"/>
    <w:rsid w:val="00876C93"/>
    <w:rsid w:val="00890E7D"/>
    <w:rsid w:val="008925C6"/>
    <w:rsid w:val="0089471D"/>
    <w:rsid w:val="00894B88"/>
    <w:rsid w:val="00895EB3"/>
    <w:rsid w:val="00897D90"/>
    <w:rsid w:val="008A08A2"/>
    <w:rsid w:val="008A122F"/>
    <w:rsid w:val="008A648E"/>
    <w:rsid w:val="008A76D9"/>
    <w:rsid w:val="008C6090"/>
    <w:rsid w:val="008D1B3B"/>
    <w:rsid w:val="008D28FD"/>
    <w:rsid w:val="008D600A"/>
    <w:rsid w:val="008E3639"/>
    <w:rsid w:val="008E47B2"/>
    <w:rsid w:val="008E7DC2"/>
    <w:rsid w:val="008F5647"/>
    <w:rsid w:val="008F591F"/>
    <w:rsid w:val="0090094B"/>
    <w:rsid w:val="009021F4"/>
    <w:rsid w:val="00911889"/>
    <w:rsid w:val="009119EA"/>
    <w:rsid w:val="0091430D"/>
    <w:rsid w:val="0091649D"/>
    <w:rsid w:val="00925699"/>
    <w:rsid w:val="00931474"/>
    <w:rsid w:val="009374C4"/>
    <w:rsid w:val="009376BB"/>
    <w:rsid w:val="00955D48"/>
    <w:rsid w:val="00955DF1"/>
    <w:rsid w:val="00957610"/>
    <w:rsid w:val="0095795E"/>
    <w:rsid w:val="00970B8B"/>
    <w:rsid w:val="00974BA7"/>
    <w:rsid w:val="00996764"/>
    <w:rsid w:val="009A37D7"/>
    <w:rsid w:val="009B3821"/>
    <w:rsid w:val="009B5B00"/>
    <w:rsid w:val="009C70F9"/>
    <w:rsid w:val="009D336F"/>
    <w:rsid w:val="009D440B"/>
    <w:rsid w:val="009E4732"/>
    <w:rsid w:val="009F7505"/>
    <w:rsid w:val="00A01391"/>
    <w:rsid w:val="00A1477C"/>
    <w:rsid w:val="00A20C06"/>
    <w:rsid w:val="00A2504F"/>
    <w:rsid w:val="00A3471C"/>
    <w:rsid w:val="00A45F9E"/>
    <w:rsid w:val="00A50C70"/>
    <w:rsid w:val="00A6046E"/>
    <w:rsid w:val="00A61E15"/>
    <w:rsid w:val="00A64F70"/>
    <w:rsid w:val="00A73968"/>
    <w:rsid w:val="00A81460"/>
    <w:rsid w:val="00AA0C9E"/>
    <w:rsid w:val="00AA4A37"/>
    <w:rsid w:val="00AB0218"/>
    <w:rsid w:val="00AB3017"/>
    <w:rsid w:val="00AB4485"/>
    <w:rsid w:val="00AC41AA"/>
    <w:rsid w:val="00AC4F1C"/>
    <w:rsid w:val="00AD0307"/>
    <w:rsid w:val="00AD40BA"/>
    <w:rsid w:val="00AD41A2"/>
    <w:rsid w:val="00B031A8"/>
    <w:rsid w:val="00B12C23"/>
    <w:rsid w:val="00B22A73"/>
    <w:rsid w:val="00B2663D"/>
    <w:rsid w:val="00B42CAE"/>
    <w:rsid w:val="00B44D27"/>
    <w:rsid w:val="00B50E03"/>
    <w:rsid w:val="00B527C1"/>
    <w:rsid w:val="00B5330F"/>
    <w:rsid w:val="00B5474B"/>
    <w:rsid w:val="00B60802"/>
    <w:rsid w:val="00B6399A"/>
    <w:rsid w:val="00B70609"/>
    <w:rsid w:val="00B70BA8"/>
    <w:rsid w:val="00B715DF"/>
    <w:rsid w:val="00B7352E"/>
    <w:rsid w:val="00B76B99"/>
    <w:rsid w:val="00B771B9"/>
    <w:rsid w:val="00B83BD5"/>
    <w:rsid w:val="00B93DFD"/>
    <w:rsid w:val="00B9414F"/>
    <w:rsid w:val="00B952F9"/>
    <w:rsid w:val="00BB3C81"/>
    <w:rsid w:val="00BB4D14"/>
    <w:rsid w:val="00BC7A3D"/>
    <w:rsid w:val="00BD33A7"/>
    <w:rsid w:val="00BF03D4"/>
    <w:rsid w:val="00C06DFE"/>
    <w:rsid w:val="00C070E7"/>
    <w:rsid w:val="00C07751"/>
    <w:rsid w:val="00C07B31"/>
    <w:rsid w:val="00C15214"/>
    <w:rsid w:val="00C24838"/>
    <w:rsid w:val="00C26A74"/>
    <w:rsid w:val="00C30AA2"/>
    <w:rsid w:val="00C3233D"/>
    <w:rsid w:val="00C33A0C"/>
    <w:rsid w:val="00C36221"/>
    <w:rsid w:val="00C43CDC"/>
    <w:rsid w:val="00C45394"/>
    <w:rsid w:val="00C460DD"/>
    <w:rsid w:val="00C542E4"/>
    <w:rsid w:val="00C55E2D"/>
    <w:rsid w:val="00C62256"/>
    <w:rsid w:val="00C626A1"/>
    <w:rsid w:val="00C629A9"/>
    <w:rsid w:val="00C630D5"/>
    <w:rsid w:val="00C636AF"/>
    <w:rsid w:val="00C713D7"/>
    <w:rsid w:val="00C71A57"/>
    <w:rsid w:val="00C72299"/>
    <w:rsid w:val="00C75AB3"/>
    <w:rsid w:val="00C75C51"/>
    <w:rsid w:val="00C80DB1"/>
    <w:rsid w:val="00C853A9"/>
    <w:rsid w:val="00C8665E"/>
    <w:rsid w:val="00C8733B"/>
    <w:rsid w:val="00C92B1B"/>
    <w:rsid w:val="00C9410C"/>
    <w:rsid w:val="00C94EED"/>
    <w:rsid w:val="00CA2BF2"/>
    <w:rsid w:val="00CA3768"/>
    <w:rsid w:val="00CA58A1"/>
    <w:rsid w:val="00CB51A2"/>
    <w:rsid w:val="00CC2EF0"/>
    <w:rsid w:val="00CD1B43"/>
    <w:rsid w:val="00CD37CF"/>
    <w:rsid w:val="00CE105B"/>
    <w:rsid w:val="00CF0D1D"/>
    <w:rsid w:val="00CF3BB4"/>
    <w:rsid w:val="00D00192"/>
    <w:rsid w:val="00D011ED"/>
    <w:rsid w:val="00D10FC1"/>
    <w:rsid w:val="00D11770"/>
    <w:rsid w:val="00D12E65"/>
    <w:rsid w:val="00D13852"/>
    <w:rsid w:val="00D15892"/>
    <w:rsid w:val="00D15BE6"/>
    <w:rsid w:val="00D23E9C"/>
    <w:rsid w:val="00D305E4"/>
    <w:rsid w:val="00D30B54"/>
    <w:rsid w:val="00D36D53"/>
    <w:rsid w:val="00D37032"/>
    <w:rsid w:val="00D40307"/>
    <w:rsid w:val="00D4096A"/>
    <w:rsid w:val="00D409EC"/>
    <w:rsid w:val="00D40D96"/>
    <w:rsid w:val="00D418D6"/>
    <w:rsid w:val="00D42E3C"/>
    <w:rsid w:val="00D438C2"/>
    <w:rsid w:val="00D475CB"/>
    <w:rsid w:val="00D55AFD"/>
    <w:rsid w:val="00D7396A"/>
    <w:rsid w:val="00DA5497"/>
    <w:rsid w:val="00DA68FE"/>
    <w:rsid w:val="00DB135A"/>
    <w:rsid w:val="00DB2F71"/>
    <w:rsid w:val="00DB4162"/>
    <w:rsid w:val="00DC577F"/>
    <w:rsid w:val="00DC5E2E"/>
    <w:rsid w:val="00DC6BAF"/>
    <w:rsid w:val="00DC7918"/>
    <w:rsid w:val="00DD6BCC"/>
    <w:rsid w:val="00DD71DA"/>
    <w:rsid w:val="00DE768D"/>
    <w:rsid w:val="00DF3CD4"/>
    <w:rsid w:val="00E002AF"/>
    <w:rsid w:val="00E20AE9"/>
    <w:rsid w:val="00E32DC6"/>
    <w:rsid w:val="00E47491"/>
    <w:rsid w:val="00E517B4"/>
    <w:rsid w:val="00E527E6"/>
    <w:rsid w:val="00E52BC5"/>
    <w:rsid w:val="00E60F74"/>
    <w:rsid w:val="00E7444B"/>
    <w:rsid w:val="00E81D7C"/>
    <w:rsid w:val="00E82A77"/>
    <w:rsid w:val="00E95480"/>
    <w:rsid w:val="00EA155C"/>
    <w:rsid w:val="00EC047D"/>
    <w:rsid w:val="00EE51C0"/>
    <w:rsid w:val="00F039B9"/>
    <w:rsid w:val="00F135AD"/>
    <w:rsid w:val="00F14D6C"/>
    <w:rsid w:val="00F204CA"/>
    <w:rsid w:val="00F312E1"/>
    <w:rsid w:val="00F31611"/>
    <w:rsid w:val="00F42F77"/>
    <w:rsid w:val="00F4469E"/>
    <w:rsid w:val="00F46F0B"/>
    <w:rsid w:val="00F61EF1"/>
    <w:rsid w:val="00F65658"/>
    <w:rsid w:val="00F71744"/>
    <w:rsid w:val="00F7394F"/>
    <w:rsid w:val="00F759C1"/>
    <w:rsid w:val="00F76041"/>
    <w:rsid w:val="00F855EA"/>
    <w:rsid w:val="00F85ABF"/>
    <w:rsid w:val="00F95299"/>
    <w:rsid w:val="00F964B7"/>
    <w:rsid w:val="00F96B4F"/>
    <w:rsid w:val="00F97094"/>
    <w:rsid w:val="00FA1A49"/>
    <w:rsid w:val="00FB0542"/>
    <w:rsid w:val="00FB3D54"/>
    <w:rsid w:val="00FC28EC"/>
    <w:rsid w:val="00FC4BB1"/>
    <w:rsid w:val="00FC6778"/>
    <w:rsid w:val="00FC6A0B"/>
    <w:rsid w:val="00FC6DE0"/>
    <w:rsid w:val="00FE3AE6"/>
    <w:rsid w:val="00FE4BFB"/>
    <w:rsid w:val="00FE515A"/>
    <w:rsid w:val="00FE5BFF"/>
    <w:rsid w:val="00FF2AA5"/>
    <w:rsid w:val="00FF6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3A3D"/>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semiHidden/>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semiHidden/>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character" w:styleId="Hyperlink">
    <w:name w:val="Hyperlink"/>
    <w:basedOn w:val="DefaultParagraphFont"/>
    <w:uiPriority w:val="99"/>
    <w:unhideWhenUsed/>
    <w:rsid w:val="00E47491"/>
    <w:rPr>
      <w:color w:val="0563C1" w:themeColor="hyperlink"/>
      <w:u w:val="single"/>
    </w:rPr>
  </w:style>
  <w:style w:type="paragraph" w:styleId="ListParagraph">
    <w:name w:val="List Paragraph"/>
    <w:basedOn w:val="Normal"/>
    <w:uiPriority w:val="34"/>
    <w:qFormat/>
    <w:rsid w:val="00D23E9C"/>
    <w:pPr>
      <w:ind w:left="720"/>
      <w:contextualSpacing/>
    </w:pPr>
  </w:style>
  <w:style w:type="paragraph" w:customStyle="1" w:styleId="paragraph">
    <w:name w:val="paragraph"/>
    <w:basedOn w:val="Normal"/>
    <w:rsid w:val="00DB4162"/>
    <w:pPr>
      <w:spacing w:before="100" w:beforeAutospacing="1" w:after="100" w:afterAutospacing="1" w:line="240" w:lineRule="auto"/>
    </w:pPr>
    <w:rPr>
      <w:rFonts w:eastAsia="Times New Roman"/>
      <w:lang w:eastAsia="en-AU"/>
    </w:rPr>
  </w:style>
  <w:style w:type="character" w:styleId="UnresolvedMention">
    <w:name w:val="Unresolved Mention"/>
    <w:basedOn w:val="DefaultParagraphFont"/>
    <w:uiPriority w:val="99"/>
    <w:semiHidden/>
    <w:unhideWhenUsed/>
    <w:rsid w:val="003D1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3897">
      <w:bodyDiv w:val="1"/>
      <w:marLeft w:val="0"/>
      <w:marRight w:val="0"/>
      <w:marTop w:val="0"/>
      <w:marBottom w:val="0"/>
      <w:divBdr>
        <w:top w:val="none" w:sz="0" w:space="0" w:color="auto"/>
        <w:left w:val="none" w:sz="0" w:space="0" w:color="auto"/>
        <w:bottom w:val="none" w:sz="0" w:space="0" w:color="auto"/>
        <w:right w:val="none" w:sz="0" w:space="0" w:color="auto"/>
      </w:divBdr>
      <w:divsChild>
        <w:div w:id="966395892">
          <w:marLeft w:val="0"/>
          <w:marRight w:val="0"/>
          <w:marTop w:val="0"/>
          <w:marBottom w:val="0"/>
          <w:divBdr>
            <w:top w:val="none" w:sz="0" w:space="0" w:color="auto"/>
            <w:left w:val="none" w:sz="0" w:space="0" w:color="auto"/>
            <w:bottom w:val="none" w:sz="0" w:space="0" w:color="auto"/>
            <w:right w:val="none" w:sz="0" w:space="0" w:color="auto"/>
          </w:divBdr>
          <w:divsChild>
            <w:div w:id="17825870">
              <w:marLeft w:val="0"/>
              <w:marRight w:val="0"/>
              <w:marTop w:val="0"/>
              <w:marBottom w:val="0"/>
              <w:divBdr>
                <w:top w:val="none" w:sz="0" w:space="0" w:color="auto"/>
                <w:left w:val="none" w:sz="0" w:space="0" w:color="auto"/>
                <w:bottom w:val="none" w:sz="0" w:space="0" w:color="auto"/>
                <w:right w:val="none" w:sz="0" w:space="0" w:color="auto"/>
              </w:divBdr>
              <w:divsChild>
                <w:div w:id="1688561735">
                  <w:marLeft w:val="0"/>
                  <w:marRight w:val="0"/>
                  <w:marTop w:val="0"/>
                  <w:marBottom w:val="0"/>
                  <w:divBdr>
                    <w:top w:val="none" w:sz="0" w:space="0" w:color="auto"/>
                    <w:left w:val="none" w:sz="0" w:space="0" w:color="auto"/>
                    <w:bottom w:val="none" w:sz="0" w:space="0" w:color="auto"/>
                    <w:right w:val="none" w:sz="0" w:space="0" w:color="auto"/>
                  </w:divBdr>
                  <w:divsChild>
                    <w:div w:id="718163439">
                      <w:marLeft w:val="0"/>
                      <w:marRight w:val="0"/>
                      <w:marTop w:val="0"/>
                      <w:marBottom w:val="0"/>
                      <w:divBdr>
                        <w:top w:val="none" w:sz="0" w:space="0" w:color="auto"/>
                        <w:left w:val="none" w:sz="0" w:space="0" w:color="auto"/>
                        <w:bottom w:val="none" w:sz="0" w:space="0" w:color="auto"/>
                        <w:right w:val="none" w:sz="0" w:space="0" w:color="auto"/>
                      </w:divBdr>
                      <w:divsChild>
                        <w:div w:id="1622223953">
                          <w:marLeft w:val="0"/>
                          <w:marRight w:val="0"/>
                          <w:marTop w:val="0"/>
                          <w:marBottom w:val="0"/>
                          <w:divBdr>
                            <w:top w:val="none" w:sz="0" w:space="0" w:color="auto"/>
                            <w:left w:val="none" w:sz="0" w:space="0" w:color="auto"/>
                            <w:bottom w:val="none" w:sz="0" w:space="0" w:color="auto"/>
                            <w:right w:val="none" w:sz="0" w:space="0" w:color="auto"/>
                          </w:divBdr>
                          <w:divsChild>
                            <w:div w:id="1301612243">
                              <w:marLeft w:val="0"/>
                              <w:marRight w:val="0"/>
                              <w:marTop w:val="0"/>
                              <w:marBottom w:val="0"/>
                              <w:divBdr>
                                <w:top w:val="none" w:sz="0" w:space="0" w:color="auto"/>
                                <w:left w:val="none" w:sz="0" w:space="0" w:color="auto"/>
                                <w:bottom w:val="none" w:sz="0" w:space="0" w:color="auto"/>
                                <w:right w:val="none" w:sz="0" w:space="0" w:color="auto"/>
                              </w:divBdr>
                              <w:divsChild>
                                <w:div w:id="1844202560">
                                  <w:marLeft w:val="0"/>
                                  <w:marRight w:val="0"/>
                                  <w:marTop w:val="0"/>
                                  <w:marBottom w:val="0"/>
                                  <w:divBdr>
                                    <w:top w:val="none" w:sz="0" w:space="0" w:color="auto"/>
                                    <w:left w:val="none" w:sz="0" w:space="0" w:color="auto"/>
                                    <w:bottom w:val="none" w:sz="0" w:space="0" w:color="auto"/>
                                    <w:right w:val="none" w:sz="0" w:space="0" w:color="auto"/>
                                  </w:divBdr>
                                  <w:divsChild>
                                    <w:div w:id="218980758">
                                      <w:marLeft w:val="0"/>
                                      <w:marRight w:val="0"/>
                                      <w:marTop w:val="0"/>
                                      <w:marBottom w:val="0"/>
                                      <w:divBdr>
                                        <w:top w:val="none" w:sz="0" w:space="0" w:color="auto"/>
                                        <w:left w:val="none" w:sz="0" w:space="0" w:color="auto"/>
                                        <w:bottom w:val="none" w:sz="0" w:space="0" w:color="auto"/>
                                        <w:right w:val="none" w:sz="0" w:space="0" w:color="auto"/>
                                      </w:divBdr>
                                      <w:divsChild>
                                        <w:div w:id="1223635618">
                                          <w:marLeft w:val="0"/>
                                          <w:marRight w:val="0"/>
                                          <w:marTop w:val="0"/>
                                          <w:marBottom w:val="0"/>
                                          <w:divBdr>
                                            <w:top w:val="none" w:sz="0" w:space="0" w:color="auto"/>
                                            <w:left w:val="none" w:sz="0" w:space="0" w:color="auto"/>
                                            <w:bottom w:val="none" w:sz="0" w:space="0" w:color="auto"/>
                                            <w:right w:val="none" w:sz="0" w:space="0" w:color="auto"/>
                                          </w:divBdr>
                                          <w:divsChild>
                                            <w:div w:id="383454000">
                                              <w:marLeft w:val="0"/>
                                              <w:marRight w:val="0"/>
                                              <w:marTop w:val="0"/>
                                              <w:marBottom w:val="0"/>
                                              <w:divBdr>
                                                <w:top w:val="none" w:sz="0" w:space="0" w:color="auto"/>
                                                <w:left w:val="none" w:sz="0" w:space="0" w:color="auto"/>
                                                <w:bottom w:val="none" w:sz="0" w:space="0" w:color="auto"/>
                                                <w:right w:val="none" w:sz="0" w:space="0" w:color="auto"/>
                                              </w:divBdr>
                                              <w:divsChild>
                                                <w:div w:id="1419332037">
                                                  <w:marLeft w:val="0"/>
                                                  <w:marRight w:val="0"/>
                                                  <w:marTop w:val="0"/>
                                                  <w:marBottom w:val="0"/>
                                                  <w:divBdr>
                                                    <w:top w:val="none" w:sz="0" w:space="0" w:color="auto"/>
                                                    <w:left w:val="none" w:sz="0" w:space="0" w:color="auto"/>
                                                    <w:bottom w:val="none" w:sz="0" w:space="0" w:color="auto"/>
                                                    <w:right w:val="none" w:sz="0" w:space="0" w:color="auto"/>
                                                  </w:divBdr>
                                                  <w:divsChild>
                                                    <w:div w:id="1594707615">
                                                      <w:marLeft w:val="0"/>
                                                      <w:marRight w:val="0"/>
                                                      <w:marTop w:val="0"/>
                                                      <w:marBottom w:val="0"/>
                                                      <w:divBdr>
                                                        <w:top w:val="none" w:sz="0" w:space="0" w:color="auto"/>
                                                        <w:left w:val="none" w:sz="0" w:space="0" w:color="auto"/>
                                                        <w:bottom w:val="none" w:sz="0" w:space="0" w:color="auto"/>
                                                        <w:right w:val="none" w:sz="0" w:space="0" w:color="auto"/>
                                                      </w:divBdr>
                                                      <w:divsChild>
                                                        <w:div w:id="11757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3086815">
      <w:bodyDiv w:val="1"/>
      <w:marLeft w:val="0"/>
      <w:marRight w:val="0"/>
      <w:marTop w:val="0"/>
      <w:marBottom w:val="0"/>
      <w:divBdr>
        <w:top w:val="none" w:sz="0" w:space="0" w:color="auto"/>
        <w:left w:val="none" w:sz="0" w:space="0" w:color="auto"/>
        <w:bottom w:val="none" w:sz="0" w:space="0" w:color="auto"/>
        <w:right w:val="none" w:sz="0" w:space="0" w:color="auto"/>
      </w:divBdr>
      <w:divsChild>
        <w:div w:id="1231650202">
          <w:marLeft w:val="0"/>
          <w:marRight w:val="0"/>
          <w:marTop w:val="0"/>
          <w:marBottom w:val="0"/>
          <w:divBdr>
            <w:top w:val="none" w:sz="0" w:space="0" w:color="auto"/>
            <w:left w:val="none" w:sz="0" w:space="0" w:color="auto"/>
            <w:bottom w:val="none" w:sz="0" w:space="0" w:color="auto"/>
            <w:right w:val="none" w:sz="0" w:space="0" w:color="auto"/>
          </w:divBdr>
          <w:divsChild>
            <w:div w:id="1901019659">
              <w:marLeft w:val="0"/>
              <w:marRight w:val="0"/>
              <w:marTop w:val="0"/>
              <w:marBottom w:val="0"/>
              <w:divBdr>
                <w:top w:val="none" w:sz="0" w:space="0" w:color="auto"/>
                <w:left w:val="none" w:sz="0" w:space="0" w:color="auto"/>
                <w:bottom w:val="none" w:sz="0" w:space="0" w:color="auto"/>
                <w:right w:val="none" w:sz="0" w:space="0" w:color="auto"/>
              </w:divBdr>
              <w:divsChild>
                <w:div w:id="2007974553">
                  <w:marLeft w:val="0"/>
                  <w:marRight w:val="0"/>
                  <w:marTop w:val="0"/>
                  <w:marBottom w:val="0"/>
                  <w:divBdr>
                    <w:top w:val="none" w:sz="0" w:space="0" w:color="auto"/>
                    <w:left w:val="none" w:sz="0" w:space="0" w:color="auto"/>
                    <w:bottom w:val="none" w:sz="0" w:space="0" w:color="auto"/>
                    <w:right w:val="none" w:sz="0" w:space="0" w:color="auto"/>
                  </w:divBdr>
                  <w:divsChild>
                    <w:div w:id="923490934">
                      <w:marLeft w:val="0"/>
                      <w:marRight w:val="0"/>
                      <w:marTop w:val="0"/>
                      <w:marBottom w:val="0"/>
                      <w:divBdr>
                        <w:top w:val="none" w:sz="0" w:space="0" w:color="auto"/>
                        <w:left w:val="none" w:sz="0" w:space="0" w:color="auto"/>
                        <w:bottom w:val="none" w:sz="0" w:space="0" w:color="auto"/>
                        <w:right w:val="none" w:sz="0" w:space="0" w:color="auto"/>
                      </w:divBdr>
                      <w:divsChild>
                        <w:div w:id="2019189615">
                          <w:marLeft w:val="0"/>
                          <w:marRight w:val="0"/>
                          <w:marTop w:val="0"/>
                          <w:marBottom w:val="0"/>
                          <w:divBdr>
                            <w:top w:val="none" w:sz="0" w:space="0" w:color="auto"/>
                            <w:left w:val="none" w:sz="0" w:space="0" w:color="auto"/>
                            <w:bottom w:val="none" w:sz="0" w:space="0" w:color="auto"/>
                            <w:right w:val="none" w:sz="0" w:space="0" w:color="auto"/>
                          </w:divBdr>
                          <w:divsChild>
                            <w:div w:id="351076635">
                              <w:marLeft w:val="0"/>
                              <w:marRight w:val="0"/>
                              <w:marTop w:val="0"/>
                              <w:marBottom w:val="0"/>
                              <w:divBdr>
                                <w:top w:val="none" w:sz="0" w:space="0" w:color="auto"/>
                                <w:left w:val="none" w:sz="0" w:space="0" w:color="auto"/>
                                <w:bottom w:val="none" w:sz="0" w:space="0" w:color="auto"/>
                                <w:right w:val="none" w:sz="0" w:space="0" w:color="auto"/>
                              </w:divBdr>
                              <w:divsChild>
                                <w:div w:id="282347465">
                                  <w:marLeft w:val="0"/>
                                  <w:marRight w:val="0"/>
                                  <w:marTop w:val="0"/>
                                  <w:marBottom w:val="0"/>
                                  <w:divBdr>
                                    <w:top w:val="none" w:sz="0" w:space="0" w:color="auto"/>
                                    <w:left w:val="none" w:sz="0" w:space="0" w:color="auto"/>
                                    <w:bottom w:val="none" w:sz="0" w:space="0" w:color="auto"/>
                                    <w:right w:val="none" w:sz="0" w:space="0" w:color="auto"/>
                                  </w:divBdr>
                                  <w:divsChild>
                                    <w:div w:id="759832188">
                                      <w:marLeft w:val="0"/>
                                      <w:marRight w:val="0"/>
                                      <w:marTop w:val="0"/>
                                      <w:marBottom w:val="0"/>
                                      <w:divBdr>
                                        <w:top w:val="none" w:sz="0" w:space="0" w:color="auto"/>
                                        <w:left w:val="none" w:sz="0" w:space="0" w:color="auto"/>
                                        <w:bottom w:val="none" w:sz="0" w:space="0" w:color="auto"/>
                                        <w:right w:val="none" w:sz="0" w:space="0" w:color="auto"/>
                                      </w:divBdr>
                                      <w:divsChild>
                                        <w:div w:id="610359643">
                                          <w:marLeft w:val="0"/>
                                          <w:marRight w:val="0"/>
                                          <w:marTop w:val="0"/>
                                          <w:marBottom w:val="0"/>
                                          <w:divBdr>
                                            <w:top w:val="none" w:sz="0" w:space="0" w:color="auto"/>
                                            <w:left w:val="none" w:sz="0" w:space="0" w:color="auto"/>
                                            <w:bottom w:val="none" w:sz="0" w:space="0" w:color="auto"/>
                                            <w:right w:val="none" w:sz="0" w:space="0" w:color="auto"/>
                                          </w:divBdr>
                                          <w:divsChild>
                                            <w:div w:id="1890411281">
                                              <w:marLeft w:val="0"/>
                                              <w:marRight w:val="0"/>
                                              <w:marTop w:val="0"/>
                                              <w:marBottom w:val="0"/>
                                              <w:divBdr>
                                                <w:top w:val="none" w:sz="0" w:space="0" w:color="auto"/>
                                                <w:left w:val="none" w:sz="0" w:space="0" w:color="auto"/>
                                                <w:bottom w:val="none" w:sz="0" w:space="0" w:color="auto"/>
                                                <w:right w:val="none" w:sz="0" w:space="0" w:color="auto"/>
                                              </w:divBdr>
                                              <w:divsChild>
                                                <w:div w:id="684094842">
                                                  <w:marLeft w:val="0"/>
                                                  <w:marRight w:val="0"/>
                                                  <w:marTop w:val="0"/>
                                                  <w:marBottom w:val="0"/>
                                                  <w:divBdr>
                                                    <w:top w:val="none" w:sz="0" w:space="0" w:color="auto"/>
                                                    <w:left w:val="none" w:sz="0" w:space="0" w:color="auto"/>
                                                    <w:bottom w:val="none" w:sz="0" w:space="0" w:color="auto"/>
                                                    <w:right w:val="none" w:sz="0" w:space="0" w:color="auto"/>
                                                  </w:divBdr>
                                                  <w:divsChild>
                                                    <w:div w:id="1649631373">
                                                      <w:marLeft w:val="0"/>
                                                      <w:marRight w:val="0"/>
                                                      <w:marTop w:val="0"/>
                                                      <w:marBottom w:val="0"/>
                                                      <w:divBdr>
                                                        <w:top w:val="none" w:sz="0" w:space="0" w:color="auto"/>
                                                        <w:left w:val="none" w:sz="0" w:space="0" w:color="auto"/>
                                                        <w:bottom w:val="none" w:sz="0" w:space="0" w:color="auto"/>
                                                        <w:right w:val="none" w:sz="0" w:space="0" w:color="auto"/>
                                                      </w:divBdr>
                                                      <w:divsChild>
                                                        <w:div w:id="14733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888794">
      <w:bodyDiv w:val="1"/>
      <w:marLeft w:val="0"/>
      <w:marRight w:val="0"/>
      <w:marTop w:val="0"/>
      <w:marBottom w:val="0"/>
      <w:divBdr>
        <w:top w:val="none" w:sz="0" w:space="0" w:color="auto"/>
        <w:left w:val="none" w:sz="0" w:space="0" w:color="auto"/>
        <w:bottom w:val="none" w:sz="0" w:space="0" w:color="auto"/>
        <w:right w:val="none" w:sz="0" w:space="0" w:color="auto"/>
      </w:divBdr>
    </w:div>
    <w:div w:id="1049187850">
      <w:bodyDiv w:val="1"/>
      <w:marLeft w:val="0"/>
      <w:marRight w:val="0"/>
      <w:marTop w:val="0"/>
      <w:marBottom w:val="0"/>
      <w:divBdr>
        <w:top w:val="none" w:sz="0" w:space="0" w:color="auto"/>
        <w:left w:val="none" w:sz="0" w:space="0" w:color="auto"/>
        <w:bottom w:val="none" w:sz="0" w:space="0" w:color="auto"/>
        <w:right w:val="none" w:sz="0" w:space="0" w:color="auto"/>
      </w:divBdr>
      <w:divsChild>
        <w:div w:id="1738555648">
          <w:marLeft w:val="0"/>
          <w:marRight w:val="0"/>
          <w:marTop w:val="0"/>
          <w:marBottom w:val="0"/>
          <w:divBdr>
            <w:top w:val="none" w:sz="0" w:space="0" w:color="auto"/>
            <w:left w:val="none" w:sz="0" w:space="0" w:color="auto"/>
            <w:bottom w:val="none" w:sz="0" w:space="0" w:color="auto"/>
            <w:right w:val="none" w:sz="0" w:space="0" w:color="auto"/>
          </w:divBdr>
          <w:divsChild>
            <w:div w:id="331418327">
              <w:marLeft w:val="0"/>
              <w:marRight w:val="0"/>
              <w:marTop w:val="0"/>
              <w:marBottom w:val="0"/>
              <w:divBdr>
                <w:top w:val="none" w:sz="0" w:space="0" w:color="auto"/>
                <w:left w:val="none" w:sz="0" w:space="0" w:color="auto"/>
                <w:bottom w:val="none" w:sz="0" w:space="0" w:color="auto"/>
                <w:right w:val="none" w:sz="0" w:space="0" w:color="auto"/>
              </w:divBdr>
              <w:divsChild>
                <w:div w:id="61216256">
                  <w:marLeft w:val="0"/>
                  <w:marRight w:val="0"/>
                  <w:marTop w:val="0"/>
                  <w:marBottom w:val="0"/>
                  <w:divBdr>
                    <w:top w:val="none" w:sz="0" w:space="0" w:color="auto"/>
                    <w:left w:val="none" w:sz="0" w:space="0" w:color="auto"/>
                    <w:bottom w:val="none" w:sz="0" w:space="0" w:color="auto"/>
                    <w:right w:val="none" w:sz="0" w:space="0" w:color="auto"/>
                  </w:divBdr>
                  <w:divsChild>
                    <w:div w:id="2052420272">
                      <w:marLeft w:val="0"/>
                      <w:marRight w:val="0"/>
                      <w:marTop w:val="0"/>
                      <w:marBottom w:val="0"/>
                      <w:divBdr>
                        <w:top w:val="none" w:sz="0" w:space="0" w:color="auto"/>
                        <w:left w:val="none" w:sz="0" w:space="0" w:color="auto"/>
                        <w:bottom w:val="none" w:sz="0" w:space="0" w:color="auto"/>
                        <w:right w:val="none" w:sz="0" w:space="0" w:color="auto"/>
                      </w:divBdr>
                      <w:divsChild>
                        <w:div w:id="1288004882">
                          <w:marLeft w:val="0"/>
                          <w:marRight w:val="0"/>
                          <w:marTop w:val="0"/>
                          <w:marBottom w:val="0"/>
                          <w:divBdr>
                            <w:top w:val="none" w:sz="0" w:space="0" w:color="auto"/>
                            <w:left w:val="none" w:sz="0" w:space="0" w:color="auto"/>
                            <w:bottom w:val="none" w:sz="0" w:space="0" w:color="auto"/>
                            <w:right w:val="none" w:sz="0" w:space="0" w:color="auto"/>
                          </w:divBdr>
                          <w:divsChild>
                            <w:div w:id="471866879">
                              <w:marLeft w:val="0"/>
                              <w:marRight w:val="0"/>
                              <w:marTop w:val="0"/>
                              <w:marBottom w:val="0"/>
                              <w:divBdr>
                                <w:top w:val="none" w:sz="0" w:space="0" w:color="auto"/>
                                <w:left w:val="none" w:sz="0" w:space="0" w:color="auto"/>
                                <w:bottom w:val="none" w:sz="0" w:space="0" w:color="auto"/>
                                <w:right w:val="none" w:sz="0" w:space="0" w:color="auto"/>
                              </w:divBdr>
                              <w:divsChild>
                                <w:div w:id="1262033058">
                                  <w:marLeft w:val="0"/>
                                  <w:marRight w:val="0"/>
                                  <w:marTop w:val="0"/>
                                  <w:marBottom w:val="0"/>
                                  <w:divBdr>
                                    <w:top w:val="none" w:sz="0" w:space="0" w:color="auto"/>
                                    <w:left w:val="none" w:sz="0" w:space="0" w:color="auto"/>
                                    <w:bottom w:val="none" w:sz="0" w:space="0" w:color="auto"/>
                                    <w:right w:val="none" w:sz="0" w:space="0" w:color="auto"/>
                                  </w:divBdr>
                                  <w:divsChild>
                                    <w:div w:id="716470706">
                                      <w:marLeft w:val="0"/>
                                      <w:marRight w:val="0"/>
                                      <w:marTop w:val="0"/>
                                      <w:marBottom w:val="0"/>
                                      <w:divBdr>
                                        <w:top w:val="none" w:sz="0" w:space="0" w:color="auto"/>
                                        <w:left w:val="none" w:sz="0" w:space="0" w:color="auto"/>
                                        <w:bottom w:val="none" w:sz="0" w:space="0" w:color="auto"/>
                                        <w:right w:val="none" w:sz="0" w:space="0" w:color="auto"/>
                                      </w:divBdr>
                                      <w:divsChild>
                                        <w:div w:id="1302036023">
                                          <w:marLeft w:val="0"/>
                                          <w:marRight w:val="0"/>
                                          <w:marTop w:val="0"/>
                                          <w:marBottom w:val="0"/>
                                          <w:divBdr>
                                            <w:top w:val="none" w:sz="0" w:space="0" w:color="auto"/>
                                            <w:left w:val="none" w:sz="0" w:space="0" w:color="auto"/>
                                            <w:bottom w:val="none" w:sz="0" w:space="0" w:color="auto"/>
                                            <w:right w:val="none" w:sz="0" w:space="0" w:color="auto"/>
                                          </w:divBdr>
                                          <w:divsChild>
                                            <w:div w:id="1515992173">
                                              <w:marLeft w:val="0"/>
                                              <w:marRight w:val="0"/>
                                              <w:marTop w:val="0"/>
                                              <w:marBottom w:val="0"/>
                                              <w:divBdr>
                                                <w:top w:val="none" w:sz="0" w:space="0" w:color="auto"/>
                                                <w:left w:val="none" w:sz="0" w:space="0" w:color="auto"/>
                                                <w:bottom w:val="none" w:sz="0" w:space="0" w:color="auto"/>
                                                <w:right w:val="none" w:sz="0" w:space="0" w:color="auto"/>
                                              </w:divBdr>
                                              <w:divsChild>
                                                <w:div w:id="407264872">
                                                  <w:marLeft w:val="0"/>
                                                  <w:marRight w:val="0"/>
                                                  <w:marTop w:val="0"/>
                                                  <w:marBottom w:val="0"/>
                                                  <w:divBdr>
                                                    <w:top w:val="none" w:sz="0" w:space="0" w:color="auto"/>
                                                    <w:left w:val="none" w:sz="0" w:space="0" w:color="auto"/>
                                                    <w:bottom w:val="none" w:sz="0" w:space="0" w:color="auto"/>
                                                    <w:right w:val="none" w:sz="0" w:space="0" w:color="auto"/>
                                                  </w:divBdr>
                                                  <w:divsChild>
                                                    <w:div w:id="1856797175">
                                                      <w:marLeft w:val="0"/>
                                                      <w:marRight w:val="0"/>
                                                      <w:marTop w:val="0"/>
                                                      <w:marBottom w:val="0"/>
                                                      <w:divBdr>
                                                        <w:top w:val="none" w:sz="0" w:space="0" w:color="auto"/>
                                                        <w:left w:val="none" w:sz="0" w:space="0" w:color="auto"/>
                                                        <w:bottom w:val="none" w:sz="0" w:space="0" w:color="auto"/>
                                                        <w:right w:val="none" w:sz="0" w:space="0" w:color="auto"/>
                                                      </w:divBdr>
                                                      <w:divsChild>
                                                        <w:div w:id="82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152F-97AC-42D4-A7FB-6A6C4329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ALLEN, Donna</cp:lastModifiedBy>
  <cp:revision>3</cp:revision>
  <cp:lastPrinted>2021-07-29T04:32:00Z</cp:lastPrinted>
  <dcterms:created xsi:type="dcterms:W3CDTF">2022-09-07T03:12:00Z</dcterms:created>
  <dcterms:modified xsi:type="dcterms:W3CDTF">2022-09-07T07:13:00Z</dcterms:modified>
</cp:coreProperties>
</file>