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1B4F" w14:textId="77777777" w:rsidR="001F2A16" w:rsidRPr="003D4CB9" w:rsidRDefault="001F2A16" w:rsidP="006775F6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3D4CB9">
        <w:rPr>
          <w:rFonts w:ascii="Arial" w:hAnsi="Arial" w:cs="Arial"/>
          <w:sz w:val="34"/>
          <w:szCs w:val="34"/>
        </w:rPr>
        <w:t>Explanatory Statement</w:t>
      </w:r>
    </w:p>
    <w:p w14:paraId="6B8F7B13" w14:textId="1F09EE4B" w:rsidR="009371D0" w:rsidRPr="003D4CB9" w:rsidRDefault="001D4AFA" w:rsidP="006775F6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3D4CB9">
        <w:rPr>
          <w:rFonts w:ascii="Arial" w:hAnsi="Arial" w:cs="Arial"/>
          <w:sz w:val="34"/>
          <w:szCs w:val="34"/>
        </w:rPr>
        <w:t>Taxation Administration – Single Touch Payroll – Spent Instruments Repeal Determination 2022</w:t>
      </w:r>
    </w:p>
    <w:p w14:paraId="15AC1B52" w14:textId="5B65CDA8" w:rsidR="0099555F" w:rsidRPr="003D4CB9" w:rsidRDefault="0099555F" w:rsidP="006775F6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15AC1B53" w14:textId="77777777" w:rsidR="001F2A16" w:rsidRPr="003D4CB9" w:rsidRDefault="001F2A16" w:rsidP="006775F6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15AC1B54" w14:textId="6334B6BA" w:rsidR="00486653" w:rsidRPr="003D4CB9" w:rsidRDefault="00486653" w:rsidP="006775F6">
      <w:pPr>
        <w:pStyle w:val="Heading2"/>
      </w:pPr>
      <w:r w:rsidRPr="003D4CB9">
        <w:t xml:space="preserve">General </w:t>
      </w:r>
      <w:r w:rsidR="006775F6" w:rsidRPr="003D4CB9">
        <w:t>o</w:t>
      </w:r>
      <w:r w:rsidRPr="003D4CB9">
        <w:t xml:space="preserve">utline of </w:t>
      </w:r>
      <w:r w:rsidR="006775F6" w:rsidRPr="003D4CB9">
        <w:t>i</w:t>
      </w:r>
      <w:r w:rsidRPr="003D4CB9">
        <w:t>nstrument</w:t>
      </w:r>
    </w:p>
    <w:p w14:paraId="15AC1B56" w14:textId="0E7B91C7" w:rsidR="00486653" w:rsidRPr="003D4CB9" w:rsidRDefault="00486653" w:rsidP="006775F6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A17511" w:rsidRPr="003D4CB9">
        <w:rPr>
          <w:rFonts w:ascii="Arial" w:hAnsi="Arial" w:cs="Arial"/>
          <w:sz w:val="22"/>
          <w:szCs w:val="22"/>
        </w:rPr>
        <w:t>legislative i</w:t>
      </w:r>
      <w:r w:rsidRPr="003D4CB9">
        <w:rPr>
          <w:rFonts w:ascii="Arial" w:hAnsi="Arial" w:cs="Arial"/>
          <w:sz w:val="22"/>
          <w:szCs w:val="22"/>
        </w:rPr>
        <w:t>nstrument is made under</w:t>
      </w:r>
      <w:r w:rsidR="00310052" w:rsidRPr="003D4CB9">
        <w:rPr>
          <w:rFonts w:ascii="Arial" w:hAnsi="Arial" w:cs="Arial"/>
          <w:sz w:val="22"/>
          <w:szCs w:val="22"/>
        </w:rPr>
        <w:t xml:space="preserve"> </w:t>
      </w:r>
      <w:bookmarkStart w:id="0" w:name="_Hlk94279205"/>
      <w:r w:rsidR="00310052" w:rsidRPr="003D4CB9">
        <w:rPr>
          <w:rFonts w:ascii="Arial" w:hAnsi="Arial" w:cs="Arial"/>
          <w:sz w:val="22"/>
          <w:szCs w:val="22"/>
        </w:rPr>
        <w:t xml:space="preserve">sections 16-153, 16-180 and 389-10 of Schedule 1 to the </w:t>
      </w:r>
      <w:r w:rsidR="00310052" w:rsidRPr="003D4CB9">
        <w:rPr>
          <w:rFonts w:ascii="Arial" w:hAnsi="Arial" w:cs="Arial"/>
          <w:i/>
          <w:iCs/>
          <w:sz w:val="22"/>
          <w:szCs w:val="22"/>
        </w:rPr>
        <w:t>Taxation Administration Act 1953.</w:t>
      </w:r>
      <w:bookmarkEnd w:id="0"/>
    </w:p>
    <w:p w14:paraId="41F2409B" w14:textId="516E15E1" w:rsidR="006775F6" w:rsidRPr="003D4CB9" w:rsidRDefault="001D4AFA" w:rsidP="006775F6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A17511" w:rsidRPr="003D4CB9">
        <w:rPr>
          <w:rFonts w:ascii="Arial" w:hAnsi="Arial" w:cs="Arial"/>
          <w:sz w:val="22"/>
          <w:szCs w:val="22"/>
        </w:rPr>
        <w:t>i</w:t>
      </w:r>
      <w:r w:rsidRPr="003D4CB9">
        <w:rPr>
          <w:rFonts w:ascii="Arial" w:hAnsi="Arial" w:cs="Arial"/>
          <w:sz w:val="22"/>
          <w:szCs w:val="22"/>
        </w:rPr>
        <w:t xml:space="preserve">nstrument repeals six legislative instruments relating to Single Touch Payroll (STP) reporting that are no longer required as </w:t>
      </w:r>
      <w:r w:rsidR="006C2AB8" w:rsidRPr="003D4CB9">
        <w:rPr>
          <w:rFonts w:ascii="Arial" w:hAnsi="Arial" w:cs="Arial"/>
          <w:sz w:val="22"/>
          <w:szCs w:val="22"/>
        </w:rPr>
        <w:t>they have no ongoing operation</w:t>
      </w:r>
      <w:r w:rsidRPr="003D4CB9">
        <w:rPr>
          <w:rFonts w:ascii="Arial" w:hAnsi="Arial" w:cs="Arial"/>
          <w:sz w:val="22"/>
          <w:szCs w:val="22"/>
        </w:rPr>
        <w:t>.</w:t>
      </w:r>
    </w:p>
    <w:p w14:paraId="15AC1B5F" w14:textId="074A3DD2" w:rsidR="00486653" w:rsidRPr="003D4CB9" w:rsidRDefault="00486653" w:rsidP="006775F6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The </w:t>
      </w:r>
      <w:r w:rsidR="00A17511" w:rsidRPr="003D4CB9">
        <w:rPr>
          <w:rFonts w:ascii="Arial" w:hAnsi="Arial" w:cs="Arial"/>
          <w:sz w:val="22"/>
          <w:szCs w:val="22"/>
        </w:rPr>
        <w:t>i</w:t>
      </w:r>
      <w:r w:rsidRPr="003D4CB9">
        <w:rPr>
          <w:rFonts w:ascii="Arial" w:hAnsi="Arial" w:cs="Arial"/>
          <w:sz w:val="22"/>
          <w:szCs w:val="22"/>
        </w:rPr>
        <w:t xml:space="preserve">nstrument is a legislative instrument for the purposes of the </w:t>
      </w:r>
      <w:r w:rsidR="00C4143E" w:rsidRPr="003D4CB9">
        <w:rPr>
          <w:rFonts w:ascii="Arial" w:hAnsi="Arial" w:cs="Arial"/>
          <w:i/>
          <w:sz w:val="22"/>
          <w:szCs w:val="22"/>
        </w:rPr>
        <w:t xml:space="preserve">Legislation </w:t>
      </w:r>
      <w:r w:rsidRPr="003D4CB9">
        <w:rPr>
          <w:rFonts w:ascii="Arial" w:hAnsi="Arial" w:cs="Arial"/>
          <w:i/>
          <w:sz w:val="22"/>
          <w:szCs w:val="22"/>
        </w:rPr>
        <w:t>Act 2003</w:t>
      </w:r>
      <w:r w:rsidRPr="003D4CB9">
        <w:rPr>
          <w:rFonts w:ascii="Arial" w:hAnsi="Arial" w:cs="Arial"/>
          <w:sz w:val="22"/>
          <w:szCs w:val="22"/>
        </w:rPr>
        <w:t>.</w:t>
      </w:r>
    </w:p>
    <w:p w14:paraId="15AC1B61" w14:textId="3FF877D2" w:rsidR="00B31550" w:rsidRPr="003D4CB9" w:rsidRDefault="00B31550" w:rsidP="006775F6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Under subsection 33(3) of the </w:t>
      </w:r>
      <w:r w:rsidRPr="003D4CB9">
        <w:rPr>
          <w:rFonts w:ascii="Arial" w:hAnsi="Arial" w:cs="Arial"/>
          <w:i/>
          <w:sz w:val="22"/>
          <w:szCs w:val="22"/>
        </w:rPr>
        <w:t>Acts Interpretation Act 1901</w:t>
      </w:r>
      <w:r w:rsidRPr="003D4CB9">
        <w:rPr>
          <w:rFonts w:ascii="Arial" w:hAnsi="Arial" w:cs="Arial"/>
          <w:sz w:val="22"/>
          <w:szCs w:val="22"/>
        </w:rPr>
        <w:t xml:space="preserve">, where an Act confers a power to make, grant or issue any instrument of a legislative or administrative character (including rules, </w:t>
      </w:r>
      <w:proofErr w:type="gramStart"/>
      <w:r w:rsidRPr="003D4CB9">
        <w:rPr>
          <w:rFonts w:ascii="Arial" w:hAnsi="Arial" w:cs="Arial"/>
          <w:sz w:val="22"/>
          <w:szCs w:val="22"/>
        </w:rPr>
        <w:t>regulations</w:t>
      </w:r>
      <w:proofErr w:type="gramEnd"/>
      <w:r w:rsidRPr="003D4CB9">
        <w:rPr>
          <w:rFonts w:ascii="Arial" w:hAnsi="Arial" w:cs="Arial"/>
          <w:sz w:val="22"/>
          <w:szCs w:val="22"/>
        </w:rPr>
        <w:t xml:space="preserve"> or by-laws) the power shall be construed as including a power exercisable in the like manner and subject to the like conditions (if any) to repeal, rescind, revoke, amend, or vary any such instrument.</w:t>
      </w:r>
    </w:p>
    <w:p w14:paraId="15AC1B62" w14:textId="77777777" w:rsidR="006302F7" w:rsidRPr="003D4CB9" w:rsidRDefault="006302F7" w:rsidP="006775F6">
      <w:pPr>
        <w:spacing w:after="120"/>
        <w:rPr>
          <w:rFonts w:ascii="Arial" w:hAnsi="Arial" w:cs="Arial"/>
          <w:sz w:val="22"/>
          <w:szCs w:val="22"/>
        </w:rPr>
      </w:pPr>
    </w:p>
    <w:p w14:paraId="15AC1B63" w14:textId="77777777" w:rsidR="001D02E6" w:rsidRPr="003D4CB9" w:rsidRDefault="001D02E6" w:rsidP="006775F6">
      <w:pPr>
        <w:pStyle w:val="Heading2"/>
      </w:pPr>
      <w:r w:rsidRPr="003D4CB9">
        <w:t>Date of effect</w:t>
      </w:r>
    </w:p>
    <w:p w14:paraId="7842008F" w14:textId="4632560A" w:rsidR="001D4AFA" w:rsidRPr="003D4CB9" w:rsidRDefault="00222AFB" w:rsidP="006775F6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A17511" w:rsidRPr="003D4CB9">
        <w:rPr>
          <w:rFonts w:ascii="Arial" w:hAnsi="Arial" w:cs="Arial"/>
          <w:sz w:val="22"/>
          <w:szCs w:val="22"/>
        </w:rPr>
        <w:t>i</w:t>
      </w:r>
      <w:r w:rsidRPr="003D4CB9">
        <w:rPr>
          <w:rFonts w:ascii="Arial" w:hAnsi="Arial" w:cs="Arial"/>
          <w:sz w:val="22"/>
          <w:szCs w:val="22"/>
        </w:rPr>
        <w:t>nstrument commences on the day after it is registered on the Federal Register of Legislation.</w:t>
      </w:r>
    </w:p>
    <w:p w14:paraId="1F51567A" w14:textId="0E6F5ABB" w:rsidR="009C5858" w:rsidRPr="003D4CB9" w:rsidRDefault="009C5858" w:rsidP="009C5858">
      <w:pPr>
        <w:spacing w:after="120"/>
        <w:rPr>
          <w:rFonts w:ascii="Arial" w:hAnsi="Arial" w:cs="Arial"/>
          <w:sz w:val="22"/>
          <w:szCs w:val="22"/>
        </w:rPr>
      </w:pPr>
    </w:p>
    <w:p w14:paraId="60F86FF1" w14:textId="7C610E8A" w:rsidR="009C5858" w:rsidRPr="003D4CB9" w:rsidRDefault="009C5858" w:rsidP="009C5858">
      <w:pPr>
        <w:pStyle w:val="Heading2"/>
      </w:pPr>
      <w:r w:rsidRPr="003D4CB9">
        <w:t>Automatic repeal</w:t>
      </w:r>
    </w:p>
    <w:p w14:paraId="15AC1B6A" w14:textId="4CFF56E0" w:rsidR="001D02E6" w:rsidRPr="003D4CB9" w:rsidRDefault="009C5858" w:rsidP="006775F6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>This instrument will be</w:t>
      </w:r>
      <w:r w:rsidR="006C2AB8" w:rsidRPr="003D4CB9">
        <w:rPr>
          <w:rFonts w:ascii="Arial" w:hAnsi="Arial" w:cs="Arial"/>
          <w:sz w:val="22"/>
          <w:szCs w:val="22"/>
        </w:rPr>
        <w:t xml:space="preserve"> </w:t>
      </w:r>
      <w:r w:rsidRPr="003D4CB9">
        <w:rPr>
          <w:rFonts w:ascii="Arial" w:hAnsi="Arial" w:cs="Arial"/>
          <w:sz w:val="22"/>
          <w:szCs w:val="22"/>
        </w:rPr>
        <w:t xml:space="preserve">repealed by section 48A (automatic repeal of amending and repealing instruments) of the </w:t>
      </w:r>
      <w:r w:rsidRPr="003D4CB9">
        <w:rPr>
          <w:rFonts w:ascii="Arial" w:hAnsi="Arial" w:cs="Arial"/>
          <w:i/>
          <w:iCs/>
          <w:sz w:val="22"/>
          <w:szCs w:val="22"/>
        </w:rPr>
        <w:t>Legislation Act 2003</w:t>
      </w:r>
      <w:r w:rsidRPr="003D4CB9">
        <w:rPr>
          <w:rFonts w:ascii="Arial" w:hAnsi="Arial" w:cs="Arial"/>
          <w:sz w:val="22"/>
          <w:szCs w:val="22"/>
        </w:rPr>
        <w:t xml:space="preserve"> on the </w:t>
      </w:r>
      <w:r w:rsidR="00A17511" w:rsidRPr="003D4CB9">
        <w:rPr>
          <w:rFonts w:ascii="Arial" w:hAnsi="Arial" w:cs="Arial"/>
          <w:sz w:val="22"/>
          <w:szCs w:val="22"/>
        </w:rPr>
        <w:t xml:space="preserve">end of the last </w:t>
      </w:r>
      <w:r w:rsidRPr="003D4CB9">
        <w:rPr>
          <w:rFonts w:ascii="Arial" w:hAnsi="Arial" w:cs="Arial"/>
          <w:sz w:val="22"/>
          <w:szCs w:val="22"/>
        </w:rPr>
        <w:t xml:space="preserve">day this instrument </w:t>
      </w:r>
      <w:r w:rsidR="00A17511" w:rsidRPr="003D4CB9">
        <w:rPr>
          <w:rFonts w:ascii="Arial" w:hAnsi="Arial" w:cs="Arial"/>
          <w:sz w:val="22"/>
          <w:szCs w:val="22"/>
        </w:rPr>
        <w:t xml:space="preserve">may be disallowed in a House of the Parliament (see </w:t>
      </w:r>
      <w:r w:rsidRPr="003D4CB9">
        <w:rPr>
          <w:rFonts w:ascii="Arial" w:hAnsi="Arial" w:cs="Arial"/>
          <w:sz w:val="22"/>
          <w:szCs w:val="22"/>
        </w:rPr>
        <w:t xml:space="preserve">section 42 (disallowance) of the </w:t>
      </w:r>
      <w:r w:rsidRPr="003D4CB9">
        <w:rPr>
          <w:rFonts w:ascii="Arial" w:hAnsi="Arial" w:cs="Arial"/>
          <w:i/>
          <w:iCs/>
          <w:sz w:val="22"/>
          <w:szCs w:val="22"/>
        </w:rPr>
        <w:t>Legislation Act 2003</w:t>
      </w:r>
      <w:r w:rsidR="00A17511" w:rsidRPr="003D4CB9">
        <w:rPr>
          <w:rFonts w:ascii="Arial" w:hAnsi="Arial" w:cs="Arial"/>
          <w:sz w:val="22"/>
          <w:szCs w:val="22"/>
        </w:rPr>
        <w:t>)</w:t>
      </w:r>
      <w:r w:rsidR="001D02E6" w:rsidRPr="003D4CB9">
        <w:rPr>
          <w:rFonts w:ascii="Arial" w:hAnsi="Arial" w:cs="Arial"/>
          <w:sz w:val="22"/>
          <w:szCs w:val="22"/>
        </w:rPr>
        <w:t>.</w:t>
      </w:r>
    </w:p>
    <w:p w14:paraId="15AC1B6B" w14:textId="77777777" w:rsidR="00486653" w:rsidRPr="003D4CB9" w:rsidRDefault="00486653" w:rsidP="006775F6">
      <w:pPr>
        <w:spacing w:after="120"/>
        <w:rPr>
          <w:rFonts w:ascii="Arial" w:hAnsi="Arial" w:cs="Arial"/>
          <w:sz w:val="22"/>
          <w:szCs w:val="22"/>
        </w:rPr>
      </w:pPr>
    </w:p>
    <w:p w14:paraId="15AC1B6C" w14:textId="7AB4ABFC" w:rsidR="00486653" w:rsidRPr="003D4CB9" w:rsidRDefault="00A17511" w:rsidP="006775F6">
      <w:pPr>
        <w:pStyle w:val="Heading2"/>
      </w:pPr>
      <w:r w:rsidRPr="003D4CB9">
        <w:t>E</w:t>
      </w:r>
      <w:r w:rsidR="00486653" w:rsidRPr="003D4CB9">
        <w:t>ffect of this instrument</w:t>
      </w:r>
    </w:p>
    <w:p w14:paraId="15AC1B6F" w14:textId="0C534B17" w:rsidR="00486653" w:rsidRPr="003D4CB9" w:rsidRDefault="00A17511" w:rsidP="006775F6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>T</w:t>
      </w:r>
      <w:r w:rsidR="00486653" w:rsidRPr="003D4CB9">
        <w:rPr>
          <w:rFonts w:ascii="Arial" w:hAnsi="Arial" w:cs="Arial"/>
          <w:sz w:val="22"/>
          <w:szCs w:val="22"/>
        </w:rPr>
        <w:t xml:space="preserve">his </w:t>
      </w:r>
      <w:r w:rsidRPr="003D4CB9">
        <w:rPr>
          <w:rFonts w:ascii="Arial" w:hAnsi="Arial" w:cs="Arial"/>
          <w:sz w:val="22"/>
          <w:szCs w:val="22"/>
        </w:rPr>
        <w:t>i</w:t>
      </w:r>
      <w:r w:rsidR="00486653" w:rsidRPr="003D4CB9">
        <w:rPr>
          <w:rFonts w:ascii="Arial" w:hAnsi="Arial" w:cs="Arial"/>
          <w:sz w:val="22"/>
          <w:szCs w:val="22"/>
        </w:rPr>
        <w:t xml:space="preserve">nstrument </w:t>
      </w:r>
      <w:r w:rsidRPr="003D4CB9">
        <w:rPr>
          <w:rFonts w:ascii="Arial" w:hAnsi="Arial" w:cs="Arial"/>
          <w:sz w:val="22"/>
          <w:szCs w:val="22"/>
        </w:rPr>
        <w:t xml:space="preserve">will </w:t>
      </w:r>
      <w:r w:rsidR="001D4AFA" w:rsidRPr="003D4CB9">
        <w:rPr>
          <w:rFonts w:ascii="Arial" w:hAnsi="Arial" w:cs="Arial"/>
          <w:sz w:val="22"/>
          <w:szCs w:val="22"/>
        </w:rPr>
        <w:t>repeal redundant and spent legislative instruments relating to Single Touch Payroll reporting.</w:t>
      </w:r>
    </w:p>
    <w:p w14:paraId="20C9BDC7" w14:textId="77777777" w:rsidR="006775F6" w:rsidRPr="003D4CB9" w:rsidRDefault="006775F6" w:rsidP="006775F6">
      <w:pPr>
        <w:spacing w:after="120"/>
        <w:rPr>
          <w:rFonts w:ascii="Arial" w:hAnsi="Arial" w:cs="Arial"/>
          <w:sz w:val="22"/>
          <w:szCs w:val="22"/>
        </w:rPr>
      </w:pPr>
    </w:p>
    <w:p w14:paraId="3388A835" w14:textId="77777777" w:rsidR="006775F6" w:rsidRPr="003D4CB9" w:rsidRDefault="00640CC2" w:rsidP="006775F6">
      <w:pPr>
        <w:pStyle w:val="Heading2"/>
      </w:pPr>
      <w:r w:rsidRPr="003D4CB9">
        <w:t>Compliance cost assessment</w:t>
      </w:r>
    </w:p>
    <w:p w14:paraId="7385A042" w14:textId="26200D8F" w:rsidR="006775F6" w:rsidRPr="003D4CB9" w:rsidRDefault="001A72BD" w:rsidP="00425EE8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0"/>
        </w:rPr>
      </w:pPr>
      <w:r w:rsidRPr="003D4CB9">
        <w:rPr>
          <w:rFonts w:ascii="Arial" w:hAnsi="Arial" w:cs="Arial"/>
          <w:sz w:val="22"/>
          <w:szCs w:val="18"/>
        </w:rPr>
        <w:t>Compliance cost impact: Minor – There will be no additional regulatory impacts as the instrument is minor and machinery in nature.</w:t>
      </w:r>
    </w:p>
    <w:p w14:paraId="58BE191F" w14:textId="77777777" w:rsidR="001A72BD" w:rsidRPr="003D4CB9" w:rsidRDefault="001A72BD" w:rsidP="004B7FE8">
      <w:pPr>
        <w:spacing w:after="120"/>
        <w:rPr>
          <w:rFonts w:ascii="Arial" w:hAnsi="Arial" w:cs="Arial"/>
          <w:sz w:val="22"/>
          <w:szCs w:val="22"/>
        </w:rPr>
      </w:pPr>
    </w:p>
    <w:p w14:paraId="15AC1B73" w14:textId="36B4FF97" w:rsidR="00486653" w:rsidRPr="003D4CB9" w:rsidRDefault="00486653" w:rsidP="006775F6">
      <w:pPr>
        <w:pStyle w:val="Heading2"/>
      </w:pPr>
      <w:r w:rsidRPr="003D4CB9">
        <w:t>Background</w:t>
      </w:r>
    </w:p>
    <w:p w14:paraId="082DFD6C" w14:textId="288B0B98" w:rsidR="009371D0" w:rsidRPr="003D4CB9" w:rsidRDefault="001D4AFA" w:rsidP="006775F6">
      <w:pPr>
        <w:numPr>
          <w:ilvl w:val="0"/>
          <w:numId w:val="16"/>
        </w:numPr>
        <w:spacing w:after="120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hAnsi="Arial" w:cs="Arial"/>
          <w:sz w:val="22"/>
          <w:szCs w:val="22"/>
        </w:rPr>
        <w:t xml:space="preserve">Division 389 of Schedule 1 to the </w:t>
      </w:r>
      <w:r w:rsidRPr="003D4CB9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Pr="003D4CB9">
        <w:rPr>
          <w:rFonts w:ascii="Arial" w:hAnsi="Arial" w:cs="Arial"/>
          <w:sz w:val="22"/>
          <w:szCs w:val="22"/>
        </w:rPr>
        <w:t xml:space="preserve"> provides for the reporting through STP of certain payments within the Pay </w:t>
      </w:r>
      <w:proofErr w:type="gramStart"/>
      <w:r w:rsidRPr="003D4CB9">
        <w:rPr>
          <w:rFonts w:ascii="Arial" w:hAnsi="Arial" w:cs="Arial"/>
          <w:sz w:val="22"/>
          <w:szCs w:val="22"/>
        </w:rPr>
        <w:t>As</w:t>
      </w:r>
      <w:proofErr w:type="gramEnd"/>
      <w:r w:rsidRPr="003D4CB9">
        <w:rPr>
          <w:rFonts w:ascii="Arial" w:hAnsi="Arial" w:cs="Arial"/>
          <w:sz w:val="22"/>
          <w:szCs w:val="22"/>
        </w:rPr>
        <w:t xml:space="preserve"> You Go (PAYG) withholding system</w:t>
      </w:r>
      <w:r w:rsidR="00E10B37" w:rsidRPr="003D4CB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85FEBE" w14:textId="776104A2" w:rsidR="001D4AFA" w:rsidRPr="003D4CB9" w:rsidRDefault="00500DE0" w:rsidP="006775F6">
      <w:pPr>
        <w:numPr>
          <w:ilvl w:val="0"/>
          <w:numId w:val="16"/>
        </w:numPr>
        <w:spacing w:after="120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This replaced the reporting 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 xml:space="preserve">that had previously been required via 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the payment summary and annual reporting mechanism provided for by Division 16 of Schedule 1 to the </w:t>
      </w:r>
      <w:r w:rsidRPr="003D4CB9">
        <w:rPr>
          <w:rFonts w:ascii="Arial" w:eastAsia="Calibri" w:hAnsi="Arial" w:cs="Arial"/>
          <w:i/>
          <w:iCs/>
          <w:sz w:val="22"/>
          <w:szCs w:val="22"/>
          <w:lang w:eastAsia="en-US"/>
        </w:rPr>
        <w:t>Taxation Administration Act 1953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F678FA7" w14:textId="5FFBAEC4" w:rsidR="00500DE0" w:rsidRPr="003D4CB9" w:rsidRDefault="00500DE0" w:rsidP="006775F6">
      <w:pPr>
        <w:numPr>
          <w:ilvl w:val="0"/>
          <w:numId w:val="16"/>
        </w:numPr>
        <w:spacing w:after="120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Payers affected have transitioned from the previous payment summary 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 xml:space="preserve">and annual reporting 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>mechanism to STP reporting gradually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>(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>from the 2017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>18 to 2021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>22 financial years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>)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06645252" w14:textId="556C6F0B" w:rsidR="00CB25C8" w:rsidRPr="003D4CB9" w:rsidRDefault="00CB25C8" w:rsidP="00002695">
      <w:pPr>
        <w:numPr>
          <w:ilvl w:val="1"/>
          <w:numId w:val="50"/>
        </w:numPr>
        <w:spacing w:after="120"/>
        <w:ind w:left="1418" w:hanging="709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STP reporting commenced 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 xml:space="preserve">on a voluntary basis 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>for a small number of payers in the 2017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>18 financial year</w:t>
      </w:r>
    </w:p>
    <w:p w14:paraId="394ADA72" w14:textId="3BECCAAB" w:rsidR="006775F6" w:rsidRPr="003D4CB9" w:rsidRDefault="00A17511" w:rsidP="00002695">
      <w:pPr>
        <w:numPr>
          <w:ilvl w:val="1"/>
          <w:numId w:val="50"/>
        </w:numPr>
        <w:spacing w:after="120"/>
        <w:ind w:left="1418" w:hanging="709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eastAsia="Calibri" w:hAnsi="Arial" w:cs="Arial"/>
          <w:sz w:val="22"/>
          <w:szCs w:val="22"/>
          <w:lang w:eastAsia="en-US"/>
        </w:rPr>
        <w:t>m</w:t>
      </w:r>
      <w:r w:rsidR="00CB25C8" w:rsidRPr="003D4CB9">
        <w:rPr>
          <w:rFonts w:ascii="Arial" w:eastAsia="Calibri" w:hAnsi="Arial" w:cs="Arial"/>
          <w:sz w:val="22"/>
          <w:szCs w:val="22"/>
          <w:lang w:eastAsia="en-US"/>
        </w:rPr>
        <w:t xml:space="preserve">andatory reporting for substantial employers (those with 20 or more employees) 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 xml:space="preserve">generally </w:t>
      </w:r>
      <w:r w:rsidR="00CB25C8" w:rsidRPr="003D4CB9">
        <w:rPr>
          <w:rFonts w:ascii="Arial" w:eastAsia="Calibri" w:hAnsi="Arial" w:cs="Arial"/>
          <w:sz w:val="22"/>
          <w:szCs w:val="22"/>
          <w:lang w:eastAsia="en-US"/>
        </w:rPr>
        <w:t>commenced in the 2018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="00CB25C8" w:rsidRPr="003D4CB9">
        <w:rPr>
          <w:rFonts w:ascii="Arial" w:eastAsia="Calibri" w:hAnsi="Arial" w:cs="Arial"/>
          <w:sz w:val="22"/>
          <w:szCs w:val="22"/>
          <w:lang w:eastAsia="en-US"/>
        </w:rPr>
        <w:t>19 financial year</w:t>
      </w:r>
    </w:p>
    <w:p w14:paraId="394D44C9" w14:textId="421CFED1" w:rsidR="009B1207" w:rsidRPr="003D4CB9" w:rsidRDefault="00A17511" w:rsidP="00002695">
      <w:pPr>
        <w:numPr>
          <w:ilvl w:val="1"/>
          <w:numId w:val="50"/>
        </w:numPr>
        <w:spacing w:after="120"/>
        <w:ind w:left="1418" w:hanging="709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eastAsia="Calibri" w:hAnsi="Arial" w:cs="Arial"/>
          <w:sz w:val="22"/>
          <w:szCs w:val="22"/>
          <w:lang w:eastAsia="en-US"/>
        </w:rPr>
        <w:t>m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 xml:space="preserve">andatory reporting </w:t>
      </w:r>
      <w:r w:rsidR="00CB25C8" w:rsidRPr="003D4CB9">
        <w:rPr>
          <w:rFonts w:ascii="Arial" w:eastAsia="Calibri" w:hAnsi="Arial" w:cs="Arial"/>
          <w:sz w:val="22"/>
          <w:szCs w:val="22"/>
          <w:lang w:eastAsia="en-US"/>
        </w:rPr>
        <w:t>for remaining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employers 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>generally commenced</w:t>
      </w:r>
      <w:r w:rsidR="00CB25C8" w:rsidRPr="003D4CB9">
        <w:rPr>
          <w:rFonts w:ascii="Arial" w:eastAsia="Calibri" w:hAnsi="Arial" w:cs="Arial"/>
          <w:sz w:val="22"/>
          <w:szCs w:val="22"/>
          <w:lang w:eastAsia="en-US"/>
        </w:rPr>
        <w:t xml:space="preserve"> in the 2019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="00CB25C8" w:rsidRPr="003D4CB9">
        <w:rPr>
          <w:rFonts w:ascii="Arial" w:eastAsia="Calibri" w:hAnsi="Arial" w:cs="Arial"/>
          <w:sz w:val="22"/>
          <w:szCs w:val="22"/>
          <w:lang w:eastAsia="en-US"/>
        </w:rPr>
        <w:t>20 financial year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F20A35" w14:textId="1A9F6E0D" w:rsidR="00CB25C8" w:rsidRPr="003D4CB9" w:rsidRDefault="00CB25C8" w:rsidP="006775F6">
      <w:pPr>
        <w:numPr>
          <w:ilvl w:val="0"/>
          <w:numId w:val="16"/>
        </w:numPr>
        <w:spacing w:after="120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eastAsia="Calibri" w:hAnsi="Arial" w:cs="Arial"/>
          <w:sz w:val="22"/>
          <w:szCs w:val="22"/>
          <w:lang w:eastAsia="en-US"/>
        </w:rPr>
        <w:t>To support this transition, the Commissioner of Taxation prescribed certain matters by legislative instrument</w:t>
      </w:r>
      <w:r w:rsidR="009F7F1F" w:rsidRPr="003D4CB9">
        <w:rPr>
          <w:rFonts w:ascii="Arial" w:eastAsia="Calibri" w:hAnsi="Arial" w:cs="Arial"/>
          <w:sz w:val="22"/>
          <w:szCs w:val="22"/>
          <w:lang w:eastAsia="en-US"/>
        </w:rPr>
        <w:t xml:space="preserve"> in relation to </w:t>
      </w:r>
      <w:r w:rsidR="00776711" w:rsidRPr="003D4CB9">
        <w:rPr>
          <w:rFonts w:ascii="Arial" w:eastAsia="Calibri" w:hAnsi="Arial" w:cs="Arial"/>
          <w:sz w:val="22"/>
          <w:szCs w:val="22"/>
          <w:lang w:eastAsia="en-US"/>
        </w:rPr>
        <w:t>defined</w:t>
      </w:r>
      <w:r w:rsidR="009F7F1F" w:rsidRPr="003D4CB9">
        <w:rPr>
          <w:rFonts w:ascii="Arial" w:eastAsia="Calibri" w:hAnsi="Arial" w:cs="Arial"/>
          <w:sz w:val="22"/>
          <w:szCs w:val="22"/>
          <w:lang w:eastAsia="en-US"/>
        </w:rPr>
        <w:t xml:space="preserve"> financial years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 xml:space="preserve">, including additional exemptions for </w:t>
      </w:r>
      <w:r w:rsidR="00776711" w:rsidRPr="003D4CB9">
        <w:rPr>
          <w:rFonts w:ascii="Arial" w:eastAsia="Calibri" w:hAnsi="Arial" w:cs="Arial"/>
          <w:sz w:val="22"/>
          <w:szCs w:val="22"/>
          <w:lang w:eastAsia="en-US"/>
        </w:rPr>
        <w:t xml:space="preserve">various </w:t>
      </w:r>
      <w:r w:rsidR="009B1207" w:rsidRPr="003D4CB9">
        <w:rPr>
          <w:rFonts w:ascii="Arial" w:eastAsia="Calibri" w:hAnsi="Arial" w:cs="Arial"/>
          <w:sz w:val="22"/>
          <w:szCs w:val="22"/>
          <w:lang w:eastAsia="en-US"/>
        </w:rPr>
        <w:t>classes of payer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 xml:space="preserve">These legislative instruments 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are being repealed by this 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nstrument as they have </w:t>
      </w:r>
      <w:r w:rsidR="00A17511" w:rsidRPr="003D4CB9">
        <w:rPr>
          <w:rFonts w:ascii="Arial" w:eastAsia="Calibri" w:hAnsi="Arial" w:cs="Arial"/>
          <w:sz w:val="22"/>
          <w:szCs w:val="22"/>
          <w:lang w:eastAsia="en-US"/>
        </w:rPr>
        <w:t>no ongoing operation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504F1AD" w14:textId="714DB61F" w:rsidR="009F7F1F" w:rsidRPr="003D4CB9" w:rsidRDefault="009F7F1F" w:rsidP="006775F6">
      <w:pPr>
        <w:numPr>
          <w:ilvl w:val="0"/>
          <w:numId w:val="16"/>
        </w:numPr>
        <w:spacing w:after="120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The repeal of these </w:t>
      </w:r>
      <w:r w:rsidR="009C7D38" w:rsidRPr="003D4CB9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nstruments does not affect their prior operation in the relevant financial years, </w:t>
      </w:r>
      <w:r w:rsidR="0074066F" w:rsidRPr="003D4CB9">
        <w:rPr>
          <w:rFonts w:ascii="Arial" w:eastAsia="Calibri" w:hAnsi="Arial" w:cs="Arial"/>
          <w:sz w:val="22"/>
          <w:szCs w:val="22"/>
          <w:lang w:eastAsia="en-US"/>
        </w:rPr>
        <w:t xml:space="preserve">due to </w:t>
      </w:r>
      <w:r w:rsidR="00776711" w:rsidRPr="003D4CB9">
        <w:rPr>
          <w:rFonts w:ascii="Arial" w:eastAsia="Calibri" w:hAnsi="Arial" w:cs="Arial"/>
          <w:sz w:val="22"/>
          <w:szCs w:val="22"/>
          <w:lang w:eastAsia="en-US"/>
        </w:rPr>
        <w:t xml:space="preserve">the operation of </w:t>
      </w:r>
      <w:r w:rsidR="0074066F" w:rsidRPr="003D4CB9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ection 13 of the </w:t>
      </w:r>
      <w:r w:rsidRPr="003D4CB9">
        <w:rPr>
          <w:rFonts w:ascii="Arial" w:eastAsia="Calibri" w:hAnsi="Arial" w:cs="Arial"/>
          <w:i/>
          <w:iCs/>
          <w:sz w:val="22"/>
          <w:szCs w:val="22"/>
          <w:lang w:eastAsia="en-US"/>
        </w:rPr>
        <w:t>Legislation Act 2003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 and section 7 of the </w:t>
      </w:r>
      <w:r w:rsidRPr="003D4CB9">
        <w:rPr>
          <w:rFonts w:ascii="Arial" w:eastAsia="Calibri" w:hAnsi="Arial" w:cs="Arial"/>
          <w:i/>
          <w:iCs/>
          <w:sz w:val="22"/>
          <w:szCs w:val="22"/>
          <w:lang w:eastAsia="en-US"/>
        </w:rPr>
        <w:t>Acts Interpretation Act 1901</w:t>
      </w:r>
      <w:r w:rsidR="0074066F" w:rsidRPr="003D4CB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5DA7962" w14:textId="2C4DF616" w:rsidR="00CB25C8" w:rsidRPr="003D4CB9" w:rsidRDefault="00CB25C8" w:rsidP="006775F6">
      <w:pPr>
        <w:numPr>
          <w:ilvl w:val="0"/>
          <w:numId w:val="16"/>
        </w:numPr>
        <w:spacing w:after="120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The </w:t>
      </w:r>
      <w:r w:rsidR="00203717" w:rsidRPr="003D4CB9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 xml:space="preserve">nstruments being repealed by this </w:t>
      </w:r>
      <w:r w:rsidR="00203717" w:rsidRPr="003D4CB9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3D4CB9">
        <w:rPr>
          <w:rFonts w:ascii="Arial" w:eastAsia="Calibri" w:hAnsi="Arial" w:cs="Arial"/>
          <w:sz w:val="22"/>
          <w:szCs w:val="22"/>
          <w:lang w:eastAsia="en-US"/>
        </w:rPr>
        <w:t>nstrument are:</w:t>
      </w:r>
    </w:p>
    <w:p w14:paraId="4CDBEF07" w14:textId="4D01D1A1" w:rsidR="0094073B" w:rsidRPr="003D4CB9" w:rsidRDefault="00CB25C8" w:rsidP="004B7FE8">
      <w:pPr>
        <w:keepNext/>
        <w:numPr>
          <w:ilvl w:val="0"/>
          <w:numId w:val="49"/>
        </w:numPr>
        <w:spacing w:after="120"/>
        <w:ind w:left="1418" w:hanging="709"/>
        <w:rPr>
          <w:rFonts w:ascii="Arial" w:hAnsi="Arial" w:cs="Arial"/>
          <w:b/>
          <w:bCs/>
          <w:sz w:val="22"/>
          <w:szCs w:val="22"/>
        </w:rPr>
      </w:pPr>
      <w:r w:rsidRPr="003D4CB9">
        <w:rPr>
          <w:rFonts w:ascii="Arial" w:hAnsi="Arial" w:cs="Arial"/>
          <w:b/>
          <w:bCs/>
          <w:i/>
          <w:iCs/>
          <w:sz w:val="22"/>
          <w:szCs w:val="22"/>
        </w:rPr>
        <w:t xml:space="preserve">PAYG Withholding annual reporting exemptions: Single Touch Payroll optional year </w:t>
      </w:r>
      <w:r w:rsidRPr="003D4CB9">
        <w:rPr>
          <w:rFonts w:ascii="Arial" w:hAnsi="Arial" w:cs="Arial"/>
          <w:b/>
          <w:bCs/>
          <w:sz w:val="22"/>
          <w:szCs w:val="22"/>
        </w:rPr>
        <w:t>(F2018L00494)</w:t>
      </w:r>
    </w:p>
    <w:p w14:paraId="331E771E" w14:textId="6BE53B7F" w:rsidR="00AA5E42" w:rsidRPr="003D4CB9" w:rsidRDefault="004E4178" w:rsidP="006C1772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770393" w:rsidRPr="003D4CB9">
        <w:rPr>
          <w:rFonts w:ascii="Arial" w:hAnsi="Arial" w:cs="Arial"/>
          <w:sz w:val="22"/>
          <w:szCs w:val="22"/>
        </w:rPr>
        <w:t>i</w:t>
      </w:r>
      <w:r w:rsidRPr="003D4CB9">
        <w:rPr>
          <w:rFonts w:ascii="Arial" w:hAnsi="Arial" w:cs="Arial"/>
          <w:sz w:val="22"/>
          <w:szCs w:val="22"/>
        </w:rPr>
        <w:t xml:space="preserve">nstrument provided an exemption </w:t>
      </w:r>
      <w:r w:rsidR="00770393" w:rsidRPr="003D4CB9">
        <w:rPr>
          <w:rFonts w:ascii="Arial" w:hAnsi="Arial" w:cs="Arial"/>
          <w:sz w:val="22"/>
          <w:szCs w:val="22"/>
        </w:rPr>
        <w:t xml:space="preserve">for </w:t>
      </w:r>
      <w:r w:rsidR="0094073B" w:rsidRPr="003D4CB9">
        <w:rPr>
          <w:rFonts w:ascii="Arial" w:hAnsi="Arial" w:cs="Arial"/>
          <w:sz w:val="22"/>
          <w:szCs w:val="22"/>
        </w:rPr>
        <w:t xml:space="preserve">entities that were voluntary early adopters of STP reporting </w:t>
      </w:r>
      <w:r w:rsidR="00770393" w:rsidRPr="003D4CB9">
        <w:rPr>
          <w:rFonts w:ascii="Arial" w:hAnsi="Arial" w:cs="Arial"/>
          <w:sz w:val="22"/>
          <w:szCs w:val="22"/>
        </w:rPr>
        <w:t xml:space="preserve">from having to provide payment summaries and annual reports </w:t>
      </w:r>
      <w:r w:rsidR="0094073B" w:rsidRPr="003D4CB9">
        <w:rPr>
          <w:rFonts w:ascii="Arial" w:hAnsi="Arial" w:cs="Arial"/>
          <w:sz w:val="22"/>
          <w:szCs w:val="22"/>
        </w:rPr>
        <w:t>in the 2017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="0094073B" w:rsidRPr="003D4CB9">
        <w:rPr>
          <w:rFonts w:ascii="Arial" w:hAnsi="Arial" w:cs="Arial"/>
          <w:sz w:val="22"/>
          <w:szCs w:val="22"/>
        </w:rPr>
        <w:t>18 financial year</w:t>
      </w:r>
      <w:r w:rsidR="00770393" w:rsidRPr="003D4CB9">
        <w:rPr>
          <w:rFonts w:ascii="Arial" w:hAnsi="Arial" w:cs="Arial"/>
          <w:sz w:val="22"/>
          <w:szCs w:val="22"/>
        </w:rPr>
        <w:t xml:space="preserve"> only</w:t>
      </w:r>
      <w:r w:rsidR="0094073B" w:rsidRPr="003D4CB9">
        <w:rPr>
          <w:rFonts w:ascii="Arial" w:hAnsi="Arial" w:cs="Arial"/>
          <w:sz w:val="22"/>
          <w:szCs w:val="22"/>
        </w:rPr>
        <w:t>.</w:t>
      </w:r>
      <w:r w:rsidR="00770393" w:rsidRPr="003D4CB9">
        <w:rPr>
          <w:rFonts w:ascii="Arial" w:hAnsi="Arial" w:cs="Arial"/>
          <w:sz w:val="22"/>
          <w:szCs w:val="22"/>
        </w:rPr>
        <w:t xml:space="preserve"> This instrument has no ongoing operation.</w:t>
      </w:r>
      <w:r w:rsidR="0094073B" w:rsidRPr="003D4CB9">
        <w:rPr>
          <w:rFonts w:ascii="Arial" w:hAnsi="Arial" w:cs="Arial"/>
          <w:sz w:val="22"/>
          <w:szCs w:val="22"/>
        </w:rPr>
        <w:t xml:space="preserve"> </w:t>
      </w:r>
      <w:r w:rsidR="00770393" w:rsidRPr="003D4CB9">
        <w:rPr>
          <w:rFonts w:ascii="Arial" w:hAnsi="Arial" w:cs="Arial"/>
          <w:sz w:val="22"/>
          <w:szCs w:val="22"/>
        </w:rPr>
        <w:t xml:space="preserve">Under section </w:t>
      </w:r>
      <w:r w:rsidR="009F7F1F" w:rsidRPr="003D4CB9">
        <w:rPr>
          <w:rFonts w:ascii="Arial" w:hAnsi="Arial" w:cs="Arial"/>
          <w:sz w:val="22"/>
          <w:szCs w:val="22"/>
        </w:rPr>
        <w:t xml:space="preserve">389-20 of Schedule 1 to the </w:t>
      </w:r>
      <w:r w:rsidR="009F7F1F" w:rsidRPr="003D4CB9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770393" w:rsidRPr="003D4CB9">
        <w:rPr>
          <w:rFonts w:ascii="Arial" w:hAnsi="Arial" w:cs="Arial"/>
          <w:sz w:val="22"/>
          <w:szCs w:val="22"/>
        </w:rPr>
        <w:t>, an entity is not required to provide payment summaries or annual reports if they report amounts under the STP reporting framework.</w:t>
      </w:r>
    </w:p>
    <w:p w14:paraId="789AD471" w14:textId="311C362A" w:rsidR="0094073B" w:rsidRPr="003D4CB9" w:rsidRDefault="00CB25C8" w:rsidP="004B7FE8">
      <w:pPr>
        <w:keepNext/>
        <w:numPr>
          <w:ilvl w:val="0"/>
          <w:numId w:val="49"/>
        </w:numPr>
        <w:spacing w:after="120"/>
        <w:ind w:left="1418" w:hanging="709"/>
        <w:rPr>
          <w:rFonts w:ascii="Arial" w:hAnsi="Arial" w:cs="Arial"/>
          <w:i/>
          <w:iCs/>
          <w:sz w:val="22"/>
          <w:szCs w:val="22"/>
        </w:rPr>
      </w:pPr>
      <w:r w:rsidRPr="003D4CB9">
        <w:rPr>
          <w:rFonts w:ascii="Arial" w:hAnsi="Arial" w:cs="Arial"/>
          <w:b/>
          <w:bCs/>
          <w:i/>
          <w:iCs/>
          <w:sz w:val="22"/>
          <w:szCs w:val="22"/>
        </w:rPr>
        <w:t xml:space="preserve">Taxation Administration – Single Touch Payroll – Exemption for Employers from Reporting Contribution Amounts Paid to a Superannuation Fund </w:t>
      </w:r>
      <w:r w:rsidRPr="003D4CB9">
        <w:rPr>
          <w:rFonts w:ascii="Arial" w:hAnsi="Arial" w:cs="Arial"/>
          <w:b/>
          <w:bCs/>
          <w:sz w:val="22"/>
          <w:szCs w:val="22"/>
        </w:rPr>
        <w:t>(F2019L00121)</w:t>
      </w:r>
    </w:p>
    <w:p w14:paraId="0B2F7983" w14:textId="6F107934" w:rsidR="00CB25C8" w:rsidRPr="003D4CB9" w:rsidRDefault="00196A3C" w:rsidP="006C1772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As originally enacted, </w:t>
      </w:r>
      <w:r w:rsidR="0094073B" w:rsidRPr="003D4CB9">
        <w:rPr>
          <w:rFonts w:ascii="Arial" w:hAnsi="Arial" w:cs="Arial"/>
          <w:sz w:val="22"/>
          <w:szCs w:val="22"/>
        </w:rPr>
        <w:t xml:space="preserve">Division 389 of Schedule 1 to the </w:t>
      </w:r>
      <w:r w:rsidR="0094073B" w:rsidRPr="003D4CB9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94073B" w:rsidRPr="003D4CB9">
        <w:rPr>
          <w:rFonts w:ascii="Arial" w:hAnsi="Arial" w:cs="Arial"/>
          <w:sz w:val="22"/>
          <w:szCs w:val="22"/>
        </w:rPr>
        <w:t xml:space="preserve"> included a requirement to report contribution amounts paid to a superannuation fund through STP. This </w:t>
      </w:r>
      <w:r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="0094073B" w:rsidRPr="003D4CB9">
        <w:rPr>
          <w:rFonts w:ascii="Arial" w:hAnsi="Arial" w:cs="Arial"/>
          <w:sz w:val="22"/>
          <w:szCs w:val="22"/>
        </w:rPr>
        <w:t xml:space="preserve"> provided an exemption </w:t>
      </w:r>
      <w:r w:rsidRPr="003D4CB9">
        <w:rPr>
          <w:rFonts w:ascii="Arial" w:hAnsi="Arial" w:cs="Arial"/>
          <w:sz w:val="22"/>
          <w:szCs w:val="22"/>
        </w:rPr>
        <w:t xml:space="preserve">from that requirement </w:t>
      </w:r>
      <w:r w:rsidR="0094073B" w:rsidRPr="003D4CB9">
        <w:rPr>
          <w:rFonts w:ascii="Arial" w:hAnsi="Arial" w:cs="Arial"/>
          <w:sz w:val="22"/>
          <w:szCs w:val="22"/>
        </w:rPr>
        <w:t>for all employers following an announcement by Government that the requirement would be repealed</w:t>
      </w:r>
      <w:r w:rsidRPr="003D4CB9">
        <w:rPr>
          <w:rFonts w:ascii="Arial" w:hAnsi="Arial" w:cs="Arial"/>
          <w:sz w:val="22"/>
          <w:szCs w:val="22"/>
        </w:rPr>
        <w:t xml:space="preserve"> (</w:t>
      </w:r>
      <w:r w:rsidR="0094073B" w:rsidRPr="003D4CB9">
        <w:rPr>
          <w:rFonts w:ascii="Arial" w:hAnsi="Arial" w:cs="Arial"/>
          <w:sz w:val="22"/>
          <w:szCs w:val="22"/>
        </w:rPr>
        <w:t>which occurred in 2019</w:t>
      </w:r>
      <w:r w:rsidR="001C4BDF" w:rsidRPr="003D4CB9">
        <w:rPr>
          <w:rFonts w:ascii="Arial" w:hAnsi="Arial" w:cs="Arial"/>
          <w:sz w:val="22"/>
          <w:szCs w:val="22"/>
        </w:rPr>
        <w:t xml:space="preserve"> on </w:t>
      </w:r>
      <w:r w:rsidR="001D76C6" w:rsidRPr="003D4CB9">
        <w:rPr>
          <w:rFonts w:ascii="Arial" w:hAnsi="Arial" w:cs="Arial"/>
          <w:sz w:val="22"/>
          <w:szCs w:val="22"/>
        </w:rPr>
        <w:t xml:space="preserve">commencement </w:t>
      </w:r>
      <w:r w:rsidR="001C4BDF" w:rsidRPr="003D4CB9">
        <w:rPr>
          <w:rFonts w:ascii="Arial" w:hAnsi="Arial" w:cs="Arial"/>
          <w:sz w:val="22"/>
          <w:szCs w:val="22"/>
        </w:rPr>
        <w:t xml:space="preserve">of </w:t>
      </w:r>
      <w:r w:rsidR="001D76C6" w:rsidRPr="003D4CB9">
        <w:rPr>
          <w:rFonts w:ascii="Arial" w:hAnsi="Arial" w:cs="Arial"/>
          <w:sz w:val="22"/>
          <w:szCs w:val="22"/>
        </w:rPr>
        <w:t xml:space="preserve">Schedule 4 to </w:t>
      </w:r>
      <w:r w:rsidR="001C4BDF" w:rsidRPr="003D4CB9">
        <w:rPr>
          <w:rFonts w:ascii="Arial" w:hAnsi="Arial" w:cs="Arial"/>
          <w:sz w:val="22"/>
          <w:szCs w:val="22"/>
        </w:rPr>
        <w:t xml:space="preserve">the </w:t>
      </w:r>
      <w:r w:rsidR="001C4BDF" w:rsidRPr="003D4CB9">
        <w:rPr>
          <w:rFonts w:ascii="Arial" w:hAnsi="Arial" w:cs="Arial"/>
          <w:i/>
          <w:iCs/>
          <w:sz w:val="22"/>
          <w:szCs w:val="22"/>
        </w:rPr>
        <w:t>Treasury Laws Amendment (2018 Measures No.4) Act 2019</w:t>
      </w:r>
      <w:r w:rsidRPr="003D4CB9">
        <w:rPr>
          <w:rFonts w:ascii="Arial" w:hAnsi="Arial" w:cs="Arial"/>
          <w:sz w:val="22"/>
          <w:szCs w:val="22"/>
        </w:rPr>
        <w:t>)</w:t>
      </w:r>
      <w:r w:rsidR="0094073B" w:rsidRPr="003D4CB9">
        <w:rPr>
          <w:rFonts w:ascii="Arial" w:hAnsi="Arial" w:cs="Arial"/>
          <w:sz w:val="22"/>
          <w:szCs w:val="22"/>
        </w:rPr>
        <w:t>.</w:t>
      </w:r>
      <w:r w:rsidR="009B1207" w:rsidRPr="003D4CB9">
        <w:rPr>
          <w:rFonts w:ascii="Arial" w:hAnsi="Arial" w:cs="Arial"/>
          <w:sz w:val="22"/>
          <w:szCs w:val="22"/>
        </w:rPr>
        <w:t xml:space="preserve"> As the legislation</w:t>
      </w:r>
      <w:r w:rsidR="00776711" w:rsidRPr="003D4CB9">
        <w:rPr>
          <w:rFonts w:ascii="Arial" w:hAnsi="Arial" w:cs="Arial"/>
          <w:sz w:val="22"/>
          <w:szCs w:val="22"/>
        </w:rPr>
        <w:t xml:space="preserve"> imposing the obligation</w:t>
      </w:r>
      <w:r w:rsidR="009B1207" w:rsidRPr="003D4CB9">
        <w:rPr>
          <w:rFonts w:ascii="Arial" w:hAnsi="Arial" w:cs="Arial"/>
          <w:sz w:val="22"/>
          <w:szCs w:val="22"/>
        </w:rPr>
        <w:t xml:space="preserve"> has been repealed, 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="009B1207" w:rsidRPr="003D4CB9">
        <w:rPr>
          <w:rFonts w:ascii="Arial" w:hAnsi="Arial" w:cs="Arial"/>
          <w:sz w:val="22"/>
          <w:szCs w:val="22"/>
        </w:rPr>
        <w:t xml:space="preserve"> has no ongoing operation.</w:t>
      </w:r>
    </w:p>
    <w:p w14:paraId="37556078" w14:textId="6448F9A3" w:rsidR="00CB25C8" w:rsidRPr="003D4CB9" w:rsidRDefault="00CB25C8" w:rsidP="004B7FE8">
      <w:pPr>
        <w:keepNext/>
        <w:numPr>
          <w:ilvl w:val="0"/>
          <w:numId w:val="49"/>
        </w:numPr>
        <w:spacing w:after="120"/>
        <w:ind w:left="1418" w:hanging="709"/>
        <w:rPr>
          <w:rFonts w:ascii="Arial" w:hAnsi="Arial" w:cs="Arial"/>
          <w:b/>
          <w:bCs/>
          <w:i/>
          <w:iCs/>
          <w:sz w:val="22"/>
          <w:szCs w:val="22"/>
        </w:rPr>
      </w:pPr>
      <w:r w:rsidRPr="003D4CB9">
        <w:rPr>
          <w:rFonts w:ascii="Arial" w:hAnsi="Arial" w:cs="Arial"/>
          <w:b/>
          <w:bCs/>
          <w:i/>
          <w:iCs/>
          <w:sz w:val="22"/>
          <w:szCs w:val="22"/>
        </w:rPr>
        <w:t xml:space="preserve">Taxation Administration – Single Touch Payroll – Exemption for Insolvency Practitioners and Employers subject to their appointment </w:t>
      </w:r>
      <w:r w:rsidRPr="003D4CB9">
        <w:rPr>
          <w:rFonts w:ascii="Arial" w:hAnsi="Arial" w:cs="Arial"/>
          <w:b/>
          <w:bCs/>
          <w:sz w:val="22"/>
          <w:szCs w:val="22"/>
        </w:rPr>
        <w:t>(F2019L00440)</w:t>
      </w:r>
    </w:p>
    <w:p w14:paraId="5E9DC80A" w14:textId="240DE5FC" w:rsidR="0094073B" w:rsidRPr="003D4CB9" w:rsidRDefault="0094073B" w:rsidP="006C1772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BE2C5C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</w:t>
      </w:r>
      <w:r w:rsidR="00BE2C5C" w:rsidRPr="003D4CB9">
        <w:rPr>
          <w:rFonts w:ascii="Arial" w:hAnsi="Arial" w:cs="Arial"/>
          <w:sz w:val="22"/>
          <w:szCs w:val="22"/>
        </w:rPr>
        <w:t xml:space="preserve">exempted </w:t>
      </w:r>
      <w:r w:rsidRPr="003D4CB9">
        <w:rPr>
          <w:rFonts w:ascii="Arial" w:hAnsi="Arial" w:cs="Arial"/>
          <w:sz w:val="22"/>
          <w:szCs w:val="22"/>
        </w:rPr>
        <w:t xml:space="preserve">insolvency practitioners and </w:t>
      </w:r>
      <w:r w:rsidR="00BE2C5C" w:rsidRPr="003D4CB9">
        <w:rPr>
          <w:rFonts w:ascii="Arial" w:hAnsi="Arial" w:cs="Arial"/>
          <w:sz w:val="22"/>
          <w:szCs w:val="22"/>
        </w:rPr>
        <w:t xml:space="preserve">employers </w:t>
      </w:r>
      <w:r w:rsidRPr="003D4CB9">
        <w:rPr>
          <w:rFonts w:ascii="Arial" w:hAnsi="Arial" w:cs="Arial"/>
          <w:sz w:val="22"/>
          <w:szCs w:val="22"/>
        </w:rPr>
        <w:t>subject to their appointment from STP reporting for the 2018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Pr="003D4CB9">
        <w:rPr>
          <w:rFonts w:ascii="Arial" w:hAnsi="Arial" w:cs="Arial"/>
          <w:sz w:val="22"/>
          <w:szCs w:val="22"/>
        </w:rPr>
        <w:t xml:space="preserve">19 financial year only. </w:t>
      </w:r>
      <w:r w:rsidR="0074066F" w:rsidRPr="003D4CB9">
        <w:rPr>
          <w:rFonts w:ascii="Arial" w:hAnsi="Arial" w:cs="Arial"/>
          <w:sz w:val="22"/>
          <w:szCs w:val="22"/>
        </w:rPr>
        <w:t xml:space="preserve">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="0074066F" w:rsidRPr="003D4CB9">
        <w:rPr>
          <w:rFonts w:ascii="Arial" w:hAnsi="Arial" w:cs="Arial"/>
          <w:sz w:val="22"/>
          <w:szCs w:val="22"/>
        </w:rPr>
        <w:t xml:space="preserve"> has no continuing operation</w:t>
      </w:r>
      <w:r w:rsidR="00BE2C5C" w:rsidRPr="003D4CB9">
        <w:rPr>
          <w:rFonts w:ascii="Arial" w:hAnsi="Arial" w:cs="Arial"/>
          <w:sz w:val="22"/>
          <w:szCs w:val="22"/>
        </w:rPr>
        <w:t>,</w:t>
      </w:r>
      <w:r w:rsidR="0074066F" w:rsidRPr="003D4CB9">
        <w:rPr>
          <w:rFonts w:ascii="Arial" w:hAnsi="Arial" w:cs="Arial"/>
          <w:sz w:val="22"/>
          <w:szCs w:val="22"/>
        </w:rPr>
        <w:t xml:space="preserve"> and payers who were exempt from STP reporting </w:t>
      </w:r>
      <w:proofErr w:type="gramStart"/>
      <w:r w:rsidR="0074066F" w:rsidRPr="003D4CB9">
        <w:rPr>
          <w:rFonts w:ascii="Arial" w:hAnsi="Arial" w:cs="Arial"/>
          <w:sz w:val="22"/>
          <w:szCs w:val="22"/>
        </w:rPr>
        <w:t>as a result of</w:t>
      </w:r>
      <w:proofErr w:type="gramEnd"/>
      <w:r w:rsidR="0074066F" w:rsidRPr="003D4CB9">
        <w:rPr>
          <w:rFonts w:ascii="Arial" w:hAnsi="Arial" w:cs="Arial"/>
          <w:sz w:val="22"/>
          <w:szCs w:val="22"/>
        </w:rPr>
        <w:t xml:space="preserve"> this </w:t>
      </w:r>
      <w:r w:rsidR="00BE2C5C" w:rsidRPr="003D4CB9">
        <w:rPr>
          <w:rFonts w:ascii="Arial" w:hAnsi="Arial" w:cs="Arial"/>
          <w:sz w:val="22"/>
          <w:szCs w:val="22"/>
        </w:rPr>
        <w:t>i</w:t>
      </w:r>
      <w:r w:rsidR="0074066F" w:rsidRPr="003D4CB9">
        <w:rPr>
          <w:rFonts w:ascii="Arial" w:hAnsi="Arial" w:cs="Arial"/>
          <w:sz w:val="22"/>
          <w:szCs w:val="22"/>
        </w:rPr>
        <w:t>nstrument have been required to report through STP since 1 July 2019.</w:t>
      </w:r>
    </w:p>
    <w:p w14:paraId="6162B92D" w14:textId="0A704193" w:rsidR="00CB25C8" w:rsidRPr="003D4CB9" w:rsidRDefault="00CB25C8" w:rsidP="004B7FE8">
      <w:pPr>
        <w:keepNext/>
        <w:numPr>
          <w:ilvl w:val="0"/>
          <w:numId w:val="49"/>
        </w:numPr>
        <w:spacing w:after="120"/>
        <w:ind w:left="1418" w:hanging="709"/>
        <w:rPr>
          <w:rFonts w:ascii="Arial" w:hAnsi="Arial" w:cs="Arial"/>
          <w:b/>
          <w:bCs/>
          <w:i/>
          <w:iCs/>
          <w:sz w:val="22"/>
          <w:szCs w:val="22"/>
        </w:rPr>
      </w:pPr>
      <w:r w:rsidRPr="003D4CB9">
        <w:rPr>
          <w:rFonts w:ascii="Arial" w:hAnsi="Arial" w:cs="Arial"/>
          <w:b/>
          <w:bCs/>
          <w:i/>
          <w:iCs/>
          <w:sz w:val="22"/>
          <w:szCs w:val="22"/>
        </w:rPr>
        <w:t xml:space="preserve">Taxation Administration – Single Touch Payroll – Exemptions for payments made to Members by Portable Long Service Leave and Portable Redundancy Scheme Providers </w:t>
      </w:r>
      <w:r w:rsidRPr="003D4CB9">
        <w:rPr>
          <w:rFonts w:ascii="Arial" w:hAnsi="Arial" w:cs="Arial"/>
          <w:b/>
          <w:bCs/>
          <w:sz w:val="22"/>
          <w:szCs w:val="22"/>
        </w:rPr>
        <w:t>(F2019L00457)</w:t>
      </w:r>
    </w:p>
    <w:p w14:paraId="35EAEF1C" w14:textId="260397E6" w:rsidR="0074066F" w:rsidRPr="003D4CB9" w:rsidRDefault="0074066F" w:rsidP="006C1772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provided an exemption from STP reporting </w:t>
      </w:r>
      <w:r w:rsidR="00D17DAB" w:rsidRPr="003D4CB9">
        <w:rPr>
          <w:rFonts w:ascii="Arial" w:hAnsi="Arial" w:cs="Arial"/>
          <w:sz w:val="22"/>
          <w:szCs w:val="22"/>
        </w:rPr>
        <w:t xml:space="preserve">for </w:t>
      </w:r>
      <w:r w:rsidRPr="003D4CB9">
        <w:rPr>
          <w:rFonts w:ascii="Arial" w:hAnsi="Arial" w:cs="Arial"/>
          <w:sz w:val="22"/>
          <w:szCs w:val="22"/>
        </w:rPr>
        <w:t xml:space="preserve">portable long service leave and redundancy scheme providers in relation the payments made to scheme </w:t>
      </w:r>
      <w:r w:rsidRPr="003D4CB9">
        <w:rPr>
          <w:rFonts w:ascii="Arial" w:hAnsi="Arial" w:cs="Arial"/>
          <w:sz w:val="22"/>
          <w:szCs w:val="22"/>
        </w:rPr>
        <w:lastRenderedPageBreak/>
        <w:t>members during the 2018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Pr="003D4CB9">
        <w:rPr>
          <w:rFonts w:ascii="Arial" w:hAnsi="Arial" w:cs="Arial"/>
          <w:sz w:val="22"/>
          <w:szCs w:val="22"/>
        </w:rPr>
        <w:t>19 and 2019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Pr="003D4CB9">
        <w:rPr>
          <w:rFonts w:ascii="Arial" w:hAnsi="Arial" w:cs="Arial"/>
          <w:sz w:val="22"/>
          <w:szCs w:val="22"/>
        </w:rPr>
        <w:t xml:space="preserve">20 financial years only. 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has no continuing operation</w:t>
      </w:r>
      <w:r w:rsidR="0003395B">
        <w:rPr>
          <w:rFonts w:ascii="Arial" w:hAnsi="Arial" w:cs="Arial"/>
          <w:sz w:val="22"/>
          <w:szCs w:val="22"/>
        </w:rPr>
        <w:t xml:space="preserve"> as it does not apply to any subsequent financial years</w:t>
      </w:r>
      <w:r w:rsidRPr="003D4CB9">
        <w:rPr>
          <w:rFonts w:ascii="Arial" w:hAnsi="Arial" w:cs="Arial"/>
          <w:sz w:val="22"/>
          <w:szCs w:val="22"/>
        </w:rPr>
        <w:t>.</w:t>
      </w:r>
    </w:p>
    <w:p w14:paraId="2366EE88" w14:textId="2BAB9D55" w:rsidR="00CB25C8" w:rsidRPr="003D4CB9" w:rsidRDefault="00CB25C8" w:rsidP="004B7FE8">
      <w:pPr>
        <w:keepNext/>
        <w:numPr>
          <w:ilvl w:val="0"/>
          <w:numId w:val="49"/>
        </w:numPr>
        <w:spacing w:after="120"/>
        <w:ind w:left="1418" w:hanging="709"/>
        <w:rPr>
          <w:rFonts w:ascii="Arial" w:hAnsi="Arial" w:cs="Arial"/>
          <w:b/>
          <w:bCs/>
          <w:sz w:val="22"/>
          <w:szCs w:val="22"/>
        </w:rPr>
      </w:pPr>
      <w:r w:rsidRPr="003D4CB9">
        <w:rPr>
          <w:rFonts w:ascii="Arial" w:hAnsi="Arial" w:cs="Arial"/>
          <w:b/>
          <w:bCs/>
          <w:i/>
          <w:iCs/>
          <w:sz w:val="22"/>
          <w:szCs w:val="22"/>
        </w:rPr>
        <w:t>Taxation Administration – Single Touch Payroll – 2020</w:t>
      </w:r>
      <w:r w:rsidR="00FD452A" w:rsidRPr="003D4CB9">
        <w:rPr>
          <w:rFonts w:ascii="Arial" w:hAnsi="Arial" w:cs="Arial"/>
          <w:sz w:val="22"/>
          <w:szCs w:val="22"/>
        </w:rPr>
        <w:t>–</w:t>
      </w:r>
      <w:proofErr w:type="gramStart"/>
      <w:r w:rsidRPr="003D4CB9">
        <w:rPr>
          <w:rFonts w:ascii="Arial" w:hAnsi="Arial" w:cs="Arial"/>
          <w:b/>
          <w:bCs/>
          <w:i/>
          <w:iCs/>
          <w:sz w:val="22"/>
          <w:szCs w:val="22"/>
        </w:rPr>
        <w:t>21 year</w:t>
      </w:r>
      <w:proofErr w:type="gramEnd"/>
      <w:r w:rsidRPr="003D4CB9">
        <w:rPr>
          <w:rFonts w:ascii="Arial" w:hAnsi="Arial" w:cs="Arial"/>
          <w:b/>
          <w:bCs/>
          <w:i/>
          <w:iCs/>
          <w:sz w:val="22"/>
          <w:szCs w:val="22"/>
        </w:rPr>
        <w:t xml:space="preserve"> Portable Long Service Leave and Portable Redundancy Scheme Providers Exemption 2020</w:t>
      </w:r>
      <w:r w:rsidRPr="003D4CB9">
        <w:rPr>
          <w:rFonts w:ascii="Arial" w:hAnsi="Arial" w:cs="Arial"/>
          <w:b/>
          <w:bCs/>
          <w:sz w:val="22"/>
          <w:szCs w:val="22"/>
        </w:rPr>
        <w:t xml:space="preserve"> (F2020L00800)</w:t>
      </w:r>
    </w:p>
    <w:p w14:paraId="20D349E1" w14:textId="01F7BCFD" w:rsidR="0074066F" w:rsidRPr="003D4CB9" w:rsidRDefault="0074066F" w:rsidP="006C1772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provided an exemption from STP reporting to portable long service leave and redundancy scheme providers in relation the payments made to scheme members</w:t>
      </w:r>
      <w:r w:rsidR="00D17DAB" w:rsidRPr="003D4CB9">
        <w:rPr>
          <w:rFonts w:ascii="Arial" w:hAnsi="Arial" w:cs="Arial"/>
          <w:sz w:val="22"/>
          <w:szCs w:val="22"/>
        </w:rPr>
        <w:t xml:space="preserve"> for the 2020-21 financial year only</w:t>
      </w:r>
      <w:r w:rsidRPr="003D4CB9">
        <w:rPr>
          <w:rFonts w:ascii="Arial" w:hAnsi="Arial" w:cs="Arial"/>
          <w:sz w:val="22"/>
          <w:szCs w:val="22"/>
        </w:rPr>
        <w:t xml:space="preserve">. 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has no continuing operation</w:t>
      </w:r>
      <w:r w:rsidR="00D17DAB" w:rsidRPr="003D4CB9">
        <w:rPr>
          <w:rFonts w:ascii="Arial" w:hAnsi="Arial" w:cs="Arial"/>
          <w:sz w:val="22"/>
          <w:szCs w:val="22"/>
        </w:rPr>
        <w:t>,</w:t>
      </w:r>
      <w:r w:rsidRPr="003D4CB9">
        <w:rPr>
          <w:rFonts w:ascii="Arial" w:hAnsi="Arial" w:cs="Arial"/>
          <w:sz w:val="22"/>
          <w:szCs w:val="22"/>
        </w:rPr>
        <w:t xml:space="preserve"> and payers who were exempt from STP reporting </w:t>
      </w:r>
      <w:proofErr w:type="gramStart"/>
      <w:r w:rsidRPr="003D4CB9">
        <w:rPr>
          <w:rFonts w:ascii="Arial" w:hAnsi="Arial" w:cs="Arial"/>
          <w:sz w:val="22"/>
          <w:szCs w:val="22"/>
        </w:rPr>
        <w:t>as a result of</w:t>
      </w:r>
      <w:proofErr w:type="gramEnd"/>
      <w:r w:rsidRPr="003D4CB9">
        <w:rPr>
          <w:rFonts w:ascii="Arial" w:hAnsi="Arial" w:cs="Arial"/>
          <w:sz w:val="22"/>
          <w:szCs w:val="22"/>
        </w:rPr>
        <w:t xml:space="preserve"> th</w:t>
      </w:r>
      <w:r w:rsidR="00D17DAB" w:rsidRPr="003D4CB9">
        <w:rPr>
          <w:rFonts w:ascii="Arial" w:hAnsi="Arial" w:cs="Arial"/>
          <w:sz w:val="22"/>
          <w:szCs w:val="22"/>
        </w:rPr>
        <w:t>e</w:t>
      </w:r>
      <w:r w:rsidRPr="003D4CB9">
        <w:rPr>
          <w:rFonts w:ascii="Arial" w:hAnsi="Arial" w:cs="Arial"/>
          <w:sz w:val="22"/>
          <w:szCs w:val="22"/>
        </w:rPr>
        <w:t xml:space="preserve">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have been required to report through STP since</w:t>
      </w:r>
      <w:r w:rsidR="00002695" w:rsidRPr="003D4CB9">
        <w:rPr>
          <w:rFonts w:ascii="Arial" w:hAnsi="Arial" w:cs="Arial"/>
          <w:sz w:val="22"/>
          <w:szCs w:val="22"/>
        </w:rPr>
        <w:t> </w:t>
      </w:r>
      <w:r w:rsidRPr="003D4CB9">
        <w:rPr>
          <w:rFonts w:ascii="Arial" w:hAnsi="Arial" w:cs="Arial"/>
          <w:sz w:val="22"/>
          <w:szCs w:val="22"/>
        </w:rPr>
        <w:t>1 July 2021.</w:t>
      </w:r>
    </w:p>
    <w:p w14:paraId="3ED9A28F" w14:textId="1A5EE50A" w:rsidR="00CB25C8" w:rsidRPr="003D4CB9" w:rsidRDefault="00CB25C8" w:rsidP="004B7FE8">
      <w:pPr>
        <w:keepNext/>
        <w:numPr>
          <w:ilvl w:val="0"/>
          <w:numId w:val="49"/>
        </w:numPr>
        <w:spacing w:after="120"/>
        <w:ind w:left="1418" w:hanging="709"/>
        <w:rPr>
          <w:rFonts w:ascii="Arial" w:hAnsi="Arial" w:cs="Arial"/>
          <w:b/>
          <w:bCs/>
          <w:sz w:val="22"/>
          <w:szCs w:val="22"/>
        </w:rPr>
      </w:pPr>
      <w:r w:rsidRPr="003D4CB9">
        <w:rPr>
          <w:rFonts w:ascii="Arial" w:hAnsi="Arial" w:cs="Arial"/>
          <w:b/>
          <w:bCs/>
          <w:i/>
          <w:iCs/>
          <w:sz w:val="22"/>
          <w:szCs w:val="22"/>
        </w:rPr>
        <w:t>Taxation Administration – Single Touch Payroll – 2019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Pr="003D4CB9">
        <w:rPr>
          <w:rFonts w:ascii="Arial" w:hAnsi="Arial" w:cs="Arial"/>
          <w:b/>
          <w:bCs/>
          <w:i/>
          <w:iCs/>
          <w:sz w:val="22"/>
          <w:szCs w:val="22"/>
        </w:rPr>
        <w:t>20 and 2020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Pr="003D4CB9">
        <w:rPr>
          <w:rFonts w:ascii="Arial" w:hAnsi="Arial" w:cs="Arial"/>
          <w:b/>
          <w:bCs/>
          <w:i/>
          <w:iCs/>
          <w:sz w:val="22"/>
          <w:szCs w:val="22"/>
        </w:rPr>
        <w:t>21 Income Years Closely Held Payees Exemption 2021</w:t>
      </w:r>
      <w:r w:rsidRPr="003D4CB9">
        <w:rPr>
          <w:rFonts w:ascii="Arial" w:hAnsi="Arial" w:cs="Arial"/>
          <w:b/>
          <w:bCs/>
          <w:sz w:val="22"/>
          <w:szCs w:val="22"/>
        </w:rPr>
        <w:t xml:space="preserve"> (F2021L01037)</w:t>
      </w:r>
    </w:p>
    <w:p w14:paraId="2A7AD9DF" w14:textId="340FE0BA" w:rsidR="0074066F" w:rsidRPr="003D4CB9" w:rsidRDefault="0074066F" w:rsidP="006C1772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provided an exemption from STP reporting </w:t>
      </w:r>
      <w:r w:rsidR="0050641A" w:rsidRPr="003D4CB9">
        <w:rPr>
          <w:rFonts w:ascii="Arial" w:hAnsi="Arial" w:cs="Arial"/>
          <w:sz w:val="22"/>
          <w:szCs w:val="22"/>
        </w:rPr>
        <w:t xml:space="preserve">for </w:t>
      </w:r>
      <w:r w:rsidRPr="003D4CB9">
        <w:rPr>
          <w:rFonts w:ascii="Arial" w:hAnsi="Arial" w:cs="Arial"/>
          <w:sz w:val="22"/>
          <w:szCs w:val="22"/>
        </w:rPr>
        <w:t>payers with closely held payees for the 2019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Pr="003D4CB9">
        <w:rPr>
          <w:rFonts w:ascii="Arial" w:hAnsi="Arial" w:cs="Arial"/>
          <w:sz w:val="22"/>
          <w:szCs w:val="22"/>
        </w:rPr>
        <w:t>20 and 2020</w:t>
      </w:r>
      <w:r w:rsidR="00FD452A" w:rsidRPr="003D4CB9">
        <w:rPr>
          <w:rFonts w:ascii="Arial" w:hAnsi="Arial" w:cs="Arial"/>
          <w:sz w:val="22"/>
          <w:szCs w:val="22"/>
        </w:rPr>
        <w:t>–</w:t>
      </w:r>
      <w:r w:rsidRPr="003D4CB9">
        <w:rPr>
          <w:rFonts w:ascii="Arial" w:hAnsi="Arial" w:cs="Arial"/>
          <w:sz w:val="22"/>
          <w:szCs w:val="22"/>
        </w:rPr>
        <w:t xml:space="preserve">21 years only. 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has no continuing operation</w:t>
      </w:r>
      <w:r w:rsidR="0050641A" w:rsidRPr="003D4CB9">
        <w:rPr>
          <w:rFonts w:ascii="Arial" w:hAnsi="Arial" w:cs="Arial"/>
          <w:sz w:val="22"/>
          <w:szCs w:val="22"/>
        </w:rPr>
        <w:t>,</w:t>
      </w:r>
      <w:r w:rsidRPr="003D4CB9">
        <w:rPr>
          <w:rFonts w:ascii="Arial" w:hAnsi="Arial" w:cs="Arial"/>
          <w:sz w:val="22"/>
          <w:szCs w:val="22"/>
        </w:rPr>
        <w:t xml:space="preserve"> and payers who were exempt from STP reporting </w:t>
      </w:r>
      <w:proofErr w:type="gramStart"/>
      <w:r w:rsidRPr="003D4CB9">
        <w:rPr>
          <w:rFonts w:ascii="Arial" w:hAnsi="Arial" w:cs="Arial"/>
          <w:sz w:val="22"/>
          <w:szCs w:val="22"/>
        </w:rPr>
        <w:t>as a result of</w:t>
      </w:r>
      <w:proofErr w:type="gramEnd"/>
      <w:r w:rsidRPr="003D4CB9">
        <w:rPr>
          <w:rFonts w:ascii="Arial" w:hAnsi="Arial" w:cs="Arial"/>
          <w:sz w:val="22"/>
          <w:szCs w:val="22"/>
        </w:rPr>
        <w:t xml:space="preserve"> th</w:t>
      </w:r>
      <w:r w:rsidR="0050641A" w:rsidRPr="003D4CB9">
        <w:rPr>
          <w:rFonts w:ascii="Arial" w:hAnsi="Arial" w:cs="Arial"/>
          <w:sz w:val="22"/>
          <w:szCs w:val="22"/>
        </w:rPr>
        <w:t>e</w:t>
      </w:r>
      <w:r w:rsidRPr="003D4CB9">
        <w:rPr>
          <w:rFonts w:ascii="Arial" w:hAnsi="Arial" w:cs="Arial"/>
          <w:sz w:val="22"/>
          <w:szCs w:val="22"/>
        </w:rPr>
        <w:t xml:space="preserve">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="00FD452A" w:rsidRPr="003D4CB9">
        <w:rPr>
          <w:rFonts w:ascii="Arial" w:hAnsi="Arial" w:cs="Arial"/>
          <w:sz w:val="22"/>
          <w:szCs w:val="22"/>
        </w:rPr>
        <w:t>nstrument</w:t>
      </w:r>
      <w:r w:rsidRPr="003D4CB9">
        <w:rPr>
          <w:rFonts w:ascii="Arial" w:hAnsi="Arial" w:cs="Arial"/>
          <w:sz w:val="22"/>
          <w:szCs w:val="22"/>
        </w:rPr>
        <w:t xml:space="preserve"> have been required to report through STP from 1 July 2021.</w:t>
      </w:r>
    </w:p>
    <w:p w14:paraId="15AC1B76" w14:textId="28CE2A00" w:rsidR="00486653" w:rsidRPr="003D4CB9" w:rsidRDefault="00486653" w:rsidP="006775F6">
      <w:pPr>
        <w:spacing w:after="120"/>
        <w:rPr>
          <w:rFonts w:ascii="Arial" w:hAnsi="Arial" w:cs="Arial"/>
          <w:sz w:val="22"/>
          <w:szCs w:val="22"/>
        </w:rPr>
      </w:pPr>
    </w:p>
    <w:p w14:paraId="15AC1B77" w14:textId="77777777" w:rsidR="00486653" w:rsidRPr="003D4CB9" w:rsidRDefault="00E10B37" w:rsidP="006775F6">
      <w:pPr>
        <w:pStyle w:val="Heading2"/>
      </w:pPr>
      <w:r w:rsidRPr="003D4CB9">
        <w:t>Consultation</w:t>
      </w:r>
    </w:p>
    <w:p w14:paraId="6D577B9E" w14:textId="602D21F3" w:rsidR="001A72BD" w:rsidRPr="003D4CB9" w:rsidRDefault="001A72BD" w:rsidP="001A72BD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>Subsection 17(1) of the</w:t>
      </w:r>
      <w:r w:rsidR="004B7FE8" w:rsidRPr="003D4CB9">
        <w:rPr>
          <w:rFonts w:ascii="Arial" w:hAnsi="Arial" w:cs="Arial"/>
          <w:sz w:val="22"/>
          <w:szCs w:val="22"/>
        </w:rPr>
        <w:t xml:space="preserve"> </w:t>
      </w:r>
      <w:r w:rsidRPr="003D4CB9">
        <w:rPr>
          <w:rFonts w:ascii="Arial" w:hAnsi="Arial" w:cs="Arial"/>
          <w:i/>
          <w:iCs/>
          <w:sz w:val="22"/>
          <w:szCs w:val="22"/>
        </w:rPr>
        <w:t>Legislation Act 2003</w:t>
      </w:r>
      <w:r w:rsidRPr="003D4CB9">
        <w:rPr>
          <w:rFonts w:ascii="Arial" w:hAnsi="Arial" w:cs="Arial"/>
          <w:sz w:val="22"/>
          <w:szCs w:val="22"/>
        </w:rPr>
        <w:t> requires</w:t>
      </w:r>
      <w:r w:rsidR="009C7D38" w:rsidRPr="003D4CB9">
        <w:rPr>
          <w:rFonts w:ascii="Arial" w:hAnsi="Arial" w:cs="Arial"/>
          <w:sz w:val="22"/>
          <w:szCs w:val="22"/>
        </w:rPr>
        <w:t xml:space="preserve"> </w:t>
      </w:r>
      <w:r w:rsidRPr="003D4CB9">
        <w:rPr>
          <w:rFonts w:ascii="Arial" w:hAnsi="Arial" w:cs="Arial"/>
          <w:sz w:val="22"/>
          <w:szCs w:val="22"/>
        </w:rPr>
        <w:t>that the Commissioner is satisfied that appropriate and reasonably practicable consultation has been undertaken</w:t>
      </w:r>
      <w:r w:rsidR="009C7D38" w:rsidRPr="003D4CB9">
        <w:rPr>
          <w:rFonts w:ascii="Arial" w:hAnsi="Arial" w:cs="Arial"/>
          <w:sz w:val="22"/>
          <w:szCs w:val="22"/>
        </w:rPr>
        <w:t xml:space="preserve"> before </w:t>
      </w:r>
      <w:r w:rsidR="005C5467" w:rsidRPr="003D4CB9">
        <w:rPr>
          <w:rFonts w:ascii="Arial" w:hAnsi="Arial" w:cs="Arial"/>
          <w:sz w:val="22"/>
          <w:szCs w:val="22"/>
        </w:rPr>
        <w:t>a legislative instrument is made</w:t>
      </w:r>
      <w:r w:rsidRPr="003D4CB9">
        <w:rPr>
          <w:rFonts w:ascii="Arial" w:hAnsi="Arial" w:cs="Arial"/>
          <w:sz w:val="22"/>
          <w:szCs w:val="22"/>
        </w:rPr>
        <w:t>.</w:t>
      </w:r>
    </w:p>
    <w:p w14:paraId="502E40BA" w14:textId="3E7C5413" w:rsidR="001A72BD" w:rsidRPr="003D4CB9" w:rsidRDefault="001A72BD" w:rsidP="001A72BD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>The draft determination and draft explanatory statement were published on the ATO Legal Database seeking feedback and comments on 1 March 2022 for a period of four weeks. Notice of the draft determination was also published on ato.gov.au and subscription alerts</w:t>
      </w:r>
      <w:r w:rsidR="005C5467" w:rsidRPr="003D4CB9">
        <w:rPr>
          <w:rFonts w:ascii="Arial" w:hAnsi="Arial" w:cs="Arial"/>
          <w:sz w:val="22"/>
          <w:szCs w:val="22"/>
        </w:rPr>
        <w:t xml:space="preserve"> were</w:t>
      </w:r>
      <w:r w:rsidRPr="003D4CB9">
        <w:rPr>
          <w:rFonts w:ascii="Arial" w:hAnsi="Arial" w:cs="Arial"/>
          <w:sz w:val="22"/>
          <w:szCs w:val="22"/>
        </w:rPr>
        <w:t xml:space="preserve"> issued.</w:t>
      </w:r>
    </w:p>
    <w:p w14:paraId="197601CE" w14:textId="5FD0EAAA" w:rsidR="001A72BD" w:rsidRPr="003D4CB9" w:rsidRDefault="001A72BD" w:rsidP="001A72BD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>Tax professionals and tax associations regularly review both the Legal database and ato.gov.au and further promulgate advice of new drafts issued in their internal news bulletins.</w:t>
      </w:r>
    </w:p>
    <w:p w14:paraId="4DBD3912" w14:textId="542860EF" w:rsidR="001A72BD" w:rsidRPr="003D4CB9" w:rsidRDefault="001A72BD" w:rsidP="001A72BD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The major legal publishers also publish news of the drafts in their key tax alerting services – such as the Weekly Tax Bulletin (published by Thomson Reuters Australia) and Tax Tracker and </w:t>
      </w:r>
      <w:proofErr w:type="spellStart"/>
      <w:r w:rsidRPr="003D4CB9">
        <w:rPr>
          <w:rFonts w:ascii="Arial" w:hAnsi="Arial" w:cs="Arial"/>
          <w:sz w:val="22"/>
          <w:szCs w:val="22"/>
        </w:rPr>
        <w:t>TaxWeek</w:t>
      </w:r>
      <w:proofErr w:type="spellEnd"/>
      <w:r w:rsidRPr="003D4CB9">
        <w:rPr>
          <w:rFonts w:ascii="Arial" w:hAnsi="Arial" w:cs="Arial"/>
          <w:sz w:val="22"/>
          <w:szCs w:val="22"/>
        </w:rPr>
        <w:t xml:space="preserve"> (published by CCH Australia).</w:t>
      </w:r>
    </w:p>
    <w:p w14:paraId="6F43395C" w14:textId="65443FE4" w:rsidR="001A72BD" w:rsidRPr="003D4CB9" w:rsidRDefault="001A72BD" w:rsidP="001A72BD">
      <w:pPr>
        <w:numPr>
          <w:ilvl w:val="0"/>
          <w:numId w:val="16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>No submissions on the draft determination and explanatory statement were received.</w:t>
      </w:r>
    </w:p>
    <w:p w14:paraId="540D5FF0" w14:textId="566C1173" w:rsidR="00910595" w:rsidRPr="003D4CB9" w:rsidRDefault="00910595" w:rsidP="006775F6">
      <w:pPr>
        <w:spacing w:after="120"/>
        <w:rPr>
          <w:rFonts w:ascii="Arial" w:hAnsi="Arial" w:cs="Arial"/>
          <w:sz w:val="22"/>
          <w:szCs w:val="22"/>
        </w:rPr>
      </w:pPr>
    </w:p>
    <w:p w14:paraId="0AE64039" w14:textId="77777777" w:rsidR="006775F6" w:rsidRPr="003D4CB9" w:rsidRDefault="006775F6" w:rsidP="006775F6">
      <w:pPr>
        <w:spacing w:after="120"/>
        <w:rPr>
          <w:rFonts w:ascii="Arial" w:hAnsi="Arial" w:cs="Arial"/>
          <w:sz w:val="22"/>
          <w:szCs w:val="22"/>
        </w:rPr>
      </w:pPr>
    </w:p>
    <w:p w14:paraId="69FE8C27" w14:textId="77777777" w:rsidR="009371D0" w:rsidRPr="003D4CB9" w:rsidRDefault="007E0A01" w:rsidP="006775F6">
      <w:pPr>
        <w:pStyle w:val="Heading3"/>
        <w:rPr>
          <w:i/>
          <w:sz w:val="20"/>
          <w:szCs w:val="20"/>
        </w:rPr>
      </w:pPr>
      <w:r w:rsidRPr="003D4CB9">
        <w:rPr>
          <w:i/>
          <w:sz w:val="20"/>
          <w:szCs w:val="20"/>
        </w:rPr>
        <w:t>Legislative references</w:t>
      </w:r>
    </w:p>
    <w:p w14:paraId="15AC1B98" w14:textId="39DA0487" w:rsidR="0076271C" w:rsidRPr="003D4CB9" w:rsidRDefault="0076271C" w:rsidP="006775F6">
      <w:pPr>
        <w:rPr>
          <w:rFonts w:ascii="Arial" w:hAnsi="Arial" w:cs="Arial"/>
          <w:i/>
          <w:sz w:val="20"/>
        </w:rPr>
      </w:pPr>
      <w:r w:rsidRPr="003D4CB9">
        <w:rPr>
          <w:rFonts w:ascii="Arial" w:hAnsi="Arial" w:cs="Arial"/>
          <w:i/>
          <w:sz w:val="20"/>
        </w:rPr>
        <w:t>Acts Interpretation Act 1901</w:t>
      </w:r>
    </w:p>
    <w:p w14:paraId="7BEC6EF4" w14:textId="60F6D453" w:rsidR="00085821" w:rsidRPr="003D4CB9" w:rsidRDefault="00085821" w:rsidP="006775F6">
      <w:pPr>
        <w:rPr>
          <w:rFonts w:ascii="Arial" w:hAnsi="Arial" w:cs="Arial"/>
          <w:i/>
          <w:sz w:val="20"/>
        </w:rPr>
      </w:pPr>
      <w:r w:rsidRPr="003D4CB9">
        <w:rPr>
          <w:rFonts w:ascii="Arial" w:hAnsi="Arial" w:cs="Arial"/>
          <w:i/>
          <w:sz w:val="20"/>
        </w:rPr>
        <w:t>Human Rights (Parliamentary Scrutiny) Act 2011</w:t>
      </w:r>
    </w:p>
    <w:p w14:paraId="2A168E8D" w14:textId="77777777" w:rsidR="00910595" w:rsidRPr="003D4CB9" w:rsidRDefault="0076271C" w:rsidP="006775F6">
      <w:pPr>
        <w:rPr>
          <w:rFonts w:ascii="Arial" w:hAnsi="Arial" w:cs="Arial"/>
          <w:i/>
          <w:sz w:val="20"/>
        </w:rPr>
      </w:pPr>
      <w:r w:rsidRPr="003D4CB9">
        <w:rPr>
          <w:rFonts w:ascii="Arial" w:hAnsi="Arial" w:cs="Arial"/>
          <w:i/>
          <w:sz w:val="20"/>
        </w:rPr>
        <w:t>Legislation Act 2003</w:t>
      </w:r>
    </w:p>
    <w:p w14:paraId="153AD068" w14:textId="708B48C3" w:rsidR="00910595" w:rsidRPr="003D4CB9" w:rsidRDefault="007E0A01" w:rsidP="006775F6">
      <w:pPr>
        <w:rPr>
          <w:rFonts w:ascii="Arial" w:hAnsi="Arial" w:cs="Arial"/>
          <w:i/>
          <w:sz w:val="20"/>
        </w:rPr>
      </w:pPr>
      <w:r w:rsidRPr="003D4CB9">
        <w:rPr>
          <w:rFonts w:ascii="Arial" w:hAnsi="Arial" w:cs="Arial"/>
          <w:i/>
          <w:sz w:val="20"/>
        </w:rPr>
        <w:t>Taxation Administration Act 1953</w:t>
      </w:r>
    </w:p>
    <w:p w14:paraId="2A735DD2" w14:textId="46079651" w:rsidR="001C4BDF" w:rsidRPr="003D4CB9" w:rsidRDefault="001C4BDF" w:rsidP="006775F6">
      <w:pPr>
        <w:rPr>
          <w:rFonts w:ascii="Arial" w:hAnsi="Arial" w:cs="Arial"/>
          <w:i/>
          <w:sz w:val="20"/>
        </w:rPr>
      </w:pPr>
      <w:r w:rsidRPr="003D4CB9">
        <w:rPr>
          <w:rFonts w:ascii="Arial" w:hAnsi="Arial" w:cs="Arial"/>
          <w:i/>
          <w:sz w:val="20"/>
        </w:rPr>
        <w:t>Treasury Laws Amendment (2018 Measures No.4) Act 2019</w:t>
      </w:r>
    </w:p>
    <w:p w14:paraId="15AC1BA6" w14:textId="071C8BC4" w:rsidR="00101CD5" w:rsidRPr="003D4CB9" w:rsidRDefault="00101CD5" w:rsidP="006775F6">
      <w:pPr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br w:type="page"/>
      </w:r>
    </w:p>
    <w:p w14:paraId="15AC1BAC" w14:textId="6B4B8273" w:rsidR="00333567" w:rsidRPr="003D4CB9" w:rsidRDefault="00E53399" w:rsidP="006775F6">
      <w:pPr>
        <w:pStyle w:val="Heading3"/>
        <w:spacing w:before="0" w:after="120"/>
        <w:jc w:val="center"/>
        <w:rPr>
          <w:sz w:val="24"/>
        </w:rPr>
      </w:pPr>
      <w:r w:rsidRPr="003D4CB9">
        <w:rPr>
          <w:sz w:val="24"/>
        </w:rPr>
        <w:lastRenderedPageBreak/>
        <w:t xml:space="preserve">Statement of compatibility </w:t>
      </w:r>
      <w:r w:rsidR="00C11D03" w:rsidRPr="003D4CB9">
        <w:rPr>
          <w:sz w:val="24"/>
        </w:rPr>
        <w:t>with Human Rights</w:t>
      </w:r>
    </w:p>
    <w:p w14:paraId="15AC1BAD" w14:textId="4AD858FB" w:rsidR="00E53399" w:rsidRPr="003D4CB9" w:rsidRDefault="004F5EB1" w:rsidP="00002695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D4CB9">
        <w:rPr>
          <w:rFonts w:ascii="Arial" w:hAnsi="Arial" w:cs="Arial"/>
          <w:sz w:val="22"/>
        </w:rPr>
        <w:t>P</w:t>
      </w:r>
      <w:r w:rsidR="00E53399" w:rsidRPr="003D4CB9">
        <w:rPr>
          <w:rFonts w:ascii="Arial" w:hAnsi="Arial" w:cs="Arial"/>
          <w:sz w:val="22"/>
        </w:rPr>
        <w:t xml:space="preserve">repared in accordance with Part 3 of the </w:t>
      </w:r>
      <w:bookmarkStart w:id="1" w:name="_Hlk96419231"/>
      <w:r w:rsidR="00E53399" w:rsidRPr="003D4CB9">
        <w:rPr>
          <w:rFonts w:ascii="Arial" w:hAnsi="Arial" w:cs="Arial"/>
          <w:i/>
          <w:sz w:val="22"/>
        </w:rPr>
        <w:t>Human Rights (Parliamentary Scrutiny) Act 2011</w:t>
      </w:r>
      <w:bookmarkEnd w:id="1"/>
    </w:p>
    <w:p w14:paraId="15AC1BAE" w14:textId="68DA81E7" w:rsidR="00D77015" w:rsidRPr="003D4CB9" w:rsidRDefault="00D77015" w:rsidP="006775F6">
      <w:pPr>
        <w:spacing w:after="120"/>
        <w:rPr>
          <w:rFonts w:ascii="Arial" w:hAnsi="Arial" w:cs="Arial"/>
          <w:sz w:val="22"/>
          <w:szCs w:val="22"/>
        </w:rPr>
      </w:pPr>
    </w:p>
    <w:p w14:paraId="15AC1BAF" w14:textId="2549DB6A" w:rsidR="002A26FE" w:rsidRPr="003D4CB9" w:rsidRDefault="00310052" w:rsidP="006775F6">
      <w:pPr>
        <w:pStyle w:val="Heading2"/>
        <w:jc w:val="center"/>
        <w:rPr>
          <w:i/>
          <w:iCs/>
        </w:rPr>
      </w:pPr>
      <w:r w:rsidRPr="003D4CB9">
        <w:rPr>
          <w:i/>
          <w:iCs/>
        </w:rPr>
        <w:t xml:space="preserve">Taxation Administration – Single Touch Payroll – Spent Instruments </w:t>
      </w:r>
      <w:r w:rsidR="006775F6" w:rsidRPr="003D4CB9">
        <w:rPr>
          <w:i/>
          <w:iCs/>
        </w:rPr>
        <w:br/>
      </w:r>
      <w:r w:rsidRPr="003D4CB9">
        <w:rPr>
          <w:i/>
          <w:iCs/>
        </w:rPr>
        <w:t>Repeal Determination 2022</w:t>
      </w:r>
    </w:p>
    <w:p w14:paraId="54F9AC2D" w14:textId="486F79C4" w:rsidR="009371D0" w:rsidRPr="003D4CB9" w:rsidRDefault="00075B58" w:rsidP="006775F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</w:rPr>
      </w:pPr>
      <w:r w:rsidRPr="003D4CB9">
        <w:rPr>
          <w:rFonts w:ascii="Arial" w:hAnsi="Arial" w:cs="Arial"/>
          <w:sz w:val="22"/>
        </w:rPr>
        <w:t xml:space="preserve">This </w:t>
      </w:r>
      <w:r w:rsidR="00203717" w:rsidRPr="003D4CB9">
        <w:rPr>
          <w:rFonts w:ascii="Arial" w:hAnsi="Arial" w:cs="Arial"/>
          <w:sz w:val="22"/>
        </w:rPr>
        <w:t>l</w:t>
      </w:r>
      <w:r w:rsidRPr="003D4CB9">
        <w:rPr>
          <w:rFonts w:ascii="Arial" w:hAnsi="Arial" w:cs="Arial"/>
          <w:sz w:val="22"/>
        </w:rPr>
        <w:t xml:space="preserve">egislative </w:t>
      </w:r>
      <w:r w:rsidR="00203717" w:rsidRPr="003D4CB9">
        <w:rPr>
          <w:rFonts w:ascii="Arial" w:hAnsi="Arial" w:cs="Arial"/>
          <w:sz w:val="22"/>
        </w:rPr>
        <w:t>i</w:t>
      </w:r>
      <w:r w:rsidRPr="003D4CB9">
        <w:rPr>
          <w:rFonts w:ascii="Arial" w:hAnsi="Arial" w:cs="Arial"/>
          <w:sz w:val="22"/>
        </w:rPr>
        <w:t xml:space="preserve">nstrument is compatible with the human rights and freedoms recognised or declared in the international instruments listed in section 3 of the </w:t>
      </w:r>
      <w:r w:rsidRPr="003D4CB9">
        <w:rPr>
          <w:rFonts w:ascii="Arial" w:hAnsi="Arial" w:cs="Arial"/>
          <w:i/>
          <w:sz w:val="22"/>
        </w:rPr>
        <w:t>Human Righ</w:t>
      </w:r>
      <w:r w:rsidR="00101CD5" w:rsidRPr="003D4CB9">
        <w:rPr>
          <w:rFonts w:ascii="Arial" w:hAnsi="Arial" w:cs="Arial"/>
          <w:i/>
          <w:sz w:val="22"/>
        </w:rPr>
        <w:t>ts (Parliamentary Scrutiny) Act </w:t>
      </w:r>
      <w:r w:rsidRPr="003D4CB9">
        <w:rPr>
          <w:rFonts w:ascii="Arial" w:hAnsi="Arial" w:cs="Arial"/>
          <w:i/>
          <w:sz w:val="22"/>
        </w:rPr>
        <w:t>2011.</w:t>
      </w:r>
    </w:p>
    <w:p w14:paraId="15AC1BB2" w14:textId="6553A54F" w:rsidR="00075B58" w:rsidRPr="003D4CB9" w:rsidRDefault="00075B58" w:rsidP="006775F6">
      <w:pPr>
        <w:spacing w:after="120"/>
        <w:rPr>
          <w:rFonts w:ascii="Arial" w:hAnsi="Arial" w:cs="Arial"/>
          <w:sz w:val="22"/>
          <w:szCs w:val="22"/>
        </w:rPr>
      </w:pPr>
    </w:p>
    <w:p w14:paraId="15AC1BB3" w14:textId="31AD628C" w:rsidR="00075B58" w:rsidRPr="003D4CB9" w:rsidRDefault="00075B58" w:rsidP="006775F6">
      <w:pPr>
        <w:pStyle w:val="Heading2"/>
      </w:pPr>
      <w:r w:rsidRPr="003D4CB9">
        <w:t xml:space="preserve">Overview of </w:t>
      </w:r>
      <w:r w:rsidR="007E0A01" w:rsidRPr="003D4CB9">
        <w:t xml:space="preserve">the </w:t>
      </w:r>
      <w:r w:rsidR="00203717" w:rsidRPr="003D4CB9">
        <w:t>l</w:t>
      </w:r>
      <w:r w:rsidRPr="003D4CB9">
        <w:t xml:space="preserve">egislative </w:t>
      </w:r>
      <w:r w:rsidR="00203717" w:rsidRPr="003D4CB9">
        <w:t>i</w:t>
      </w:r>
      <w:r w:rsidRPr="003D4CB9">
        <w:t>nstrument</w:t>
      </w:r>
    </w:p>
    <w:p w14:paraId="15AC1BB5" w14:textId="1AF5AB41" w:rsidR="00075B58" w:rsidRPr="003D4CB9" w:rsidRDefault="00310052" w:rsidP="006775F6">
      <w:pPr>
        <w:spacing w:after="12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Pr="003D4CB9">
        <w:rPr>
          <w:rFonts w:ascii="Arial" w:hAnsi="Arial" w:cs="Arial"/>
          <w:sz w:val="22"/>
          <w:szCs w:val="22"/>
        </w:rPr>
        <w:t xml:space="preserve">nstrument repeals six legislative instruments relating to Single Touch Payroll reporting that are no longer required as </w:t>
      </w:r>
      <w:r w:rsidR="005C5467" w:rsidRPr="003D4CB9">
        <w:rPr>
          <w:rFonts w:ascii="Arial" w:hAnsi="Arial" w:cs="Arial"/>
          <w:sz w:val="22"/>
          <w:szCs w:val="22"/>
        </w:rPr>
        <w:t>they have no ongoing operation</w:t>
      </w:r>
      <w:r w:rsidRPr="003D4CB9">
        <w:rPr>
          <w:rFonts w:ascii="Arial" w:hAnsi="Arial" w:cs="Arial"/>
          <w:sz w:val="22"/>
          <w:szCs w:val="22"/>
        </w:rPr>
        <w:t>.</w:t>
      </w:r>
    </w:p>
    <w:p w14:paraId="318CA766" w14:textId="77777777" w:rsidR="006C1772" w:rsidRPr="003D4CB9" w:rsidRDefault="006C1772" w:rsidP="006775F6">
      <w:pPr>
        <w:spacing w:after="120"/>
        <w:rPr>
          <w:rFonts w:ascii="Arial" w:hAnsi="Arial" w:cs="Arial"/>
          <w:sz w:val="22"/>
          <w:szCs w:val="22"/>
        </w:rPr>
      </w:pPr>
    </w:p>
    <w:p w14:paraId="15AC1BB6" w14:textId="77777777" w:rsidR="00075B58" w:rsidRPr="003D4CB9" w:rsidRDefault="00075B58" w:rsidP="006775F6">
      <w:pPr>
        <w:pStyle w:val="Heading2"/>
      </w:pPr>
      <w:r w:rsidRPr="003D4CB9">
        <w:t>Human rights implications</w:t>
      </w:r>
    </w:p>
    <w:p w14:paraId="15AC1BB8" w14:textId="6A5E2324" w:rsidR="00075B58" w:rsidRPr="003D4CB9" w:rsidRDefault="00075B58" w:rsidP="006775F6">
      <w:pPr>
        <w:spacing w:after="120"/>
        <w:rPr>
          <w:rFonts w:ascii="Arial" w:hAnsi="Arial" w:cs="Arial"/>
          <w:sz w:val="22"/>
        </w:rPr>
      </w:pPr>
      <w:r w:rsidRPr="003D4CB9">
        <w:rPr>
          <w:rFonts w:ascii="Arial" w:hAnsi="Arial" w:cs="Arial"/>
          <w:sz w:val="22"/>
        </w:rPr>
        <w:t xml:space="preserve">This </w:t>
      </w:r>
      <w:r w:rsidR="00203717" w:rsidRPr="003D4CB9">
        <w:rPr>
          <w:rFonts w:ascii="Arial" w:hAnsi="Arial" w:cs="Arial"/>
          <w:sz w:val="22"/>
        </w:rPr>
        <w:t>l</w:t>
      </w:r>
      <w:r w:rsidRPr="003D4CB9">
        <w:rPr>
          <w:rFonts w:ascii="Arial" w:hAnsi="Arial" w:cs="Arial"/>
          <w:sz w:val="22"/>
        </w:rPr>
        <w:t xml:space="preserve">egislative </w:t>
      </w:r>
      <w:r w:rsidR="00203717" w:rsidRPr="003D4CB9">
        <w:rPr>
          <w:rFonts w:ascii="Arial" w:hAnsi="Arial" w:cs="Arial"/>
          <w:sz w:val="22"/>
        </w:rPr>
        <w:t>i</w:t>
      </w:r>
      <w:r w:rsidRPr="003D4CB9">
        <w:rPr>
          <w:rFonts w:ascii="Arial" w:hAnsi="Arial" w:cs="Arial"/>
          <w:sz w:val="22"/>
        </w:rPr>
        <w:t>nstrument does not engage any of the applicable rights or freedoms</w:t>
      </w:r>
      <w:r w:rsidR="00310052" w:rsidRPr="003D4CB9">
        <w:rPr>
          <w:rFonts w:ascii="Arial" w:hAnsi="Arial" w:cs="Arial"/>
          <w:sz w:val="22"/>
        </w:rPr>
        <w:t xml:space="preserve"> as it only operates to repeal existing instruments relating to Single Touch Payroll reporting which are redundant or spent.</w:t>
      </w:r>
    </w:p>
    <w:p w14:paraId="79E59395" w14:textId="77777777" w:rsidR="006C1772" w:rsidRPr="003D4CB9" w:rsidRDefault="006C1772" w:rsidP="006775F6">
      <w:pPr>
        <w:spacing w:after="120"/>
        <w:rPr>
          <w:rFonts w:ascii="Arial" w:hAnsi="Arial" w:cs="Arial"/>
          <w:bCs/>
          <w:sz w:val="22"/>
          <w:szCs w:val="22"/>
        </w:rPr>
      </w:pPr>
    </w:p>
    <w:p w14:paraId="15AC1BB9" w14:textId="77777777" w:rsidR="00075B58" w:rsidRPr="003D4CB9" w:rsidRDefault="00075B58" w:rsidP="006775F6">
      <w:pPr>
        <w:pStyle w:val="Heading2"/>
      </w:pPr>
      <w:r w:rsidRPr="003D4CB9">
        <w:t>Conclusion</w:t>
      </w:r>
    </w:p>
    <w:p w14:paraId="15AC1BBA" w14:textId="48F870B2" w:rsidR="00075B58" w:rsidRPr="003D4CB9" w:rsidRDefault="00075B58" w:rsidP="006775F6">
      <w:pPr>
        <w:spacing w:after="120"/>
        <w:rPr>
          <w:rFonts w:ascii="Arial" w:hAnsi="Arial" w:cs="Arial"/>
          <w:sz w:val="22"/>
          <w:szCs w:val="22"/>
        </w:rPr>
      </w:pPr>
      <w:r w:rsidRPr="003D4CB9">
        <w:rPr>
          <w:rFonts w:ascii="Arial" w:hAnsi="Arial" w:cs="Arial"/>
          <w:sz w:val="22"/>
          <w:szCs w:val="22"/>
        </w:rPr>
        <w:t xml:space="preserve">This </w:t>
      </w:r>
      <w:r w:rsidR="00203717" w:rsidRPr="003D4CB9">
        <w:rPr>
          <w:rFonts w:ascii="Arial" w:hAnsi="Arial" w:cs="Arial"/>
          <w:sz w:val="22"/>
          <w:szCs w:val="22"/>
        </w:rPr>
        <w:t>l</w:t>
      </w:r>
      <w:r w:rsidRPr="003D4CB9">
        <w:rPr>
          <w:rFonts w:ascii="Arial" w:hAnsi="Arial" w:cs="Arial"/>
          <w:sz w:val="22"/>
          <w:szCs w:val="22"/>
        </w:rPr>
        <w:t xml:space="preserve">egislative </w:t>
      </w:r>
      <w:r w:rsidR="00203717" w:rsidRPr="003D4CB9">
        <w:rPr>
          <w:rFonts w:ascii="Arial" w:hAnsi="Arial" w:cs="Arial"/>
          <w:sz w:val="22"/>
          <w:szCs w:val="22"/>
        </w:rPr>
        <w:t>i</w:t>
      </w:r>
      <w:r w:rsidRPr="003D4CB9">
        <w:rPr>
          <w:rFonts w:ascii="Arial" w:hAnsi="Arial" w:cs="Arial"/>
          <w:sz w:val="22"/>
          <w:szCs w:val="22"/>
        </w:rPr>
        <w:t>nstrument is compatible with human rights as it does not raise any human rights issues.</w:t>
      </w:r>
    </w:p>
    <w:sectPr w:rsidR="00075B58" w:rsidRPr="003D4CB9" w:rsidSect="00081520">
      <w:headerReference w:type="even" r:id="rId8"/>
      <w:headerReference w:type="default" r:id="rId9"/>
      <w:headerReference w:type="first" r:id="rId10"/>
      <w:pgSz w:w="11906" w:h="16838" w:code="9"/>
      <w:pgMar w:top="1440" w:right="1133" w:bottom="1358" w:left="993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E430" w14:textId="77777777" w:rsidR="00A044C3" w:rsidRDefault="00A044C3">
      <w:r>
        <w:separator/>
      </w:r>
    </w:p>
  </w:endnote>
  <w:endnote w:type="continuationSeparator" w:id="0">
    <w:p w14:paraId="74AFB7B0" w14:textId="77777777" w:rsidR="00A044C3" w:rsidRDefault="00A0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A844" w14:textId="77777777" w:rsidR="00A044C3" w:rsidRDefault="00A044C3">
      <w:r>
        <w:separator/>
      </w:r>
    </w:p>
  </w:footnote>
  <w:footnote w:type="continuationSeparator" w:id="0">
    <w:p w14:paraId="003AE380" w14:textId="77777777" w:rsidR="00A044C3" w:rsidRDefault="00A0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BCA" w14:textId="7BB9FE04" w:rsidR="00587C50" w:rsidRPr="0067541C" w:rsidRDefault="00A044C3">
    <w:pPr>
      <w:pStyle w:val="Header"/>
      <w:rPr>
        <w:rFonts w:ascii="Arial" w:hAnsi="Arial" w:cs="Arial"/>
        <w:sz w:val="52"/>
      </w:rPr>
    </w:pPr>
    <w:r>
      <w:rPr>
        <w:noProof/>
      </w:rPr>
      <w:pict w14:anchorId="12D475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59672" o:spid="_x0000_s2050" type="#_x0000_t136" style="position:absolute;margin-left:0;margin-top:0;width:492.45pt;height:196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587C50" w:rsidRPr="0067541C">
      <w:rPr>
        <w:rFonts w:ascii="Arial" w:hAnsi="Arial" w:cs="Arial"/>
        <w:sz w:val="20"/>
      </w:rPr>
      <w:t>Taxation Determination</w:t>
    </w:r>
  </w:p>
  <w:p w14:paraId="15AC1BCB" w14:textId="77777777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  <w:r w:rsidRPr="0067541C">
      <w:rPr>
        <w:rFonts w:ascii="Arial" w:hAnsi="Arial" w:cs="Arial"/>
        <w:sz w:val="52"/>
      </w:rPr>
      <w:fldChar w:fldCharType="begin"/>
    </w:r>
    <w:r w:rsidRPr="0067541C">
      <w:rPr>
        <w:rFonts w:ascii="Arial" w:hAnsi="Arial" w:cs="Arial"/>
        <w:sz w:val="52"/>
      </w:rPr>
      <w:instrText xml:space="preserve"> REF CDocNum </w:instrText>
    </w:r>
    <w:r>
      <w:rPr>
        <w:rFonts w:ascii="Arial" w:hAnsi="Arial" w:cs="Arial"/>
        <w:sz w:val="52"/>
      </w:rPr>
      <w:instrText xml:space="preserve"> \* MERGEFORMAT </w:instrText>
    </w:r>
    <w:r w:rsidRPr="0067541C">
      <w:rPr>
        <w:rFonts w:ascii="Arial" w:hAnsi="Arial" w:cs="Arial"/>
        <w:sz w:val="52"/>
      </w:rPr>
      <w:fldChar w:fldCharType="end"/>
    </w:r>
  </w:p>
  <w:p w14:paraId="15AC1BCC" w14:textId="48532CE0" w:rsidR="00587C50" w:rsidRPr="0067541C" w:rsidRDefault="00587C50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45590D">
      <w:rPr>
        <w:rFonts w:ascii="Arial" w:hAnsi="Arial" w:cs="Arial"/>
        <w:noProof/>
        <w:snapToGrid w:val="0"/>
        <w:sz w:val="20"/>
        <w:lang w:eastAsia="en-US"/>
      </w:rPr>
      <w:t>5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>FOI status:</w:t>
    </w:r>
    <w:r w:rsidR="006775F6">
      <w:rPr>
        <w:rFonts w:ascii="Arial" w:hAnsi="Arial" w:cs="Arial"/>
        <w:sz w:val="20"/>
      </w:rPr>
      <w:t xml:space="preserve">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BCD" w14:textId="7AE6070F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BCE" w14:textId="7AED4110" w:rsidR="00146ED8" w:rsidRPr="00767CE8" w:rsidRDefault="00146ED8" w:rsidP="00767CE8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1D4AFA">
      <w:rPr>
        <w:rFonts w:ascii="Arial" w:hAnsi="Arial" w:cs="Arial"/>
        <w:b/>
        <w:sz w:val="22"/>
        <w:szCs w:val="22"/>
      </w:rPr>
      <w:t>2022</w:t>
    </w:r>
    <w:r w:rsidRPr="00767CE8">
      <w:rPr>
        <w:rFonts w:ascii="Arial" w:hAnsi="Arial" w:cs="Arial"/>
        <w:b/>
        <w:sz w:val="22"/>
        <w:szCs w:val="22"/>
      </w:rPr>
      <w:t>/</w:t>
    </w:r>
    <w:r w:rsidR="001D4AFA">
      <w:rPr>
        <w:rFonts w:ascii="Arial" w:hAnsi="Arial" w:cs="Arial"/>
        <w:b/>
        <w:sz w:val="22"/>
        <w:szCs w:val="22"/>
      </w:rPr>
      <w:t>SEO</w:t>
    </w:r>
    <w:r w:rsidRPr="00767CE8">
      <w:rPr>
        <w:rFonts w:ascii="Arial" w:hAnsi="Arial" w:cs="Arial"/>
        <w:b/>
        <w:sz w:val="22"/>
        <w:szCs w:val="22"/>
      </w:rPr>
      <w:t>/</w:t>
    </w:r>
    <w:r w:rsidR="00273B8F">
      <w:rPr>
        <w:rFonts w:ascii="Arial" w:hAnsi="Arial" w:cs="Arial"/>
        <w:b/>
        <w:sz w:val="22"/>
        <w:szCs w:val="22"/>
      </w:rPr>
      <w:t>0009</w:t>
    </w:r>
  </w:p>
  <w:p w14:paraId="15AC1BCF" w14:textId="77777777" w:rsidR="00587C50" w:rsidRDefault="003D0CBA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15AC1BD1" wp14:editId="13D7732A">
          <wp:extent cx="2413635" cy="701675"/>
          <wp:effectExtent l="0" t="0" r="5715" b="3175"/>
          <wp:docPr id="3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C1BD0" w14:textId="77777777" w:rsidR="00CC1833" w:rsidRPr="001A6644" w:rsidRDefault="00CC1833" w:rsidP="00767CE8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555A7"/>
    <w:multiLevelType w:val="hybridMultilevel"/>
    <w:tmpl w:val="53F4446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EC8BD2">
      <w:start w:val="1"/>
      <w:numFmt w:val="decimal"/>
      <w:lvlText w:val="(%4)"/>
      <w:lvlJc w:val="left"/>
      <w:pPr>
        <w:ind w:left="786" w:hanging="360"/>
      </w:pPr>
      <w:rPr>
        <w:rFonts w:hint="default"/>
        <w:b w:val="0"/>
        <w:i w:val="0"/>
      </w:rPr>
    </w:lvl>
    <w:lvl w:ilvl="4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2AD9"/>
    <w:multiLevelType w:val="hybridMultilevel"/>
    <w:tmpl w:val="F6A0E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674AFC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 w15:restartNumberingAfterBreak="0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864620"/>
    <w:multiLevelType w:val="hybridMultilevel"/>
    <w:tmpl w:val="FD22C25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 w15:restartNumberingAfterBreak="0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D4C35"/>
    <w:multiLevelType w:val="hybridMultilevel"/>
    <w:tmpl w:val="11983F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1B">
      <w:start w:val="1"/>
      <w:numFmt w:val="lowerRoman"/>
      <w:lvlText w:val="%4."/>
      <w:lvlJc w:val="right"/>
      <w:pPr>
        <w:ind w:left="786" w:hanging="360"/>
      </w:pPr>
      <w:rPr>
        <w:rFonts w:hint="default"/>
        <w:b w:val="0"/>
        <w:i w:val="0"/>
      </w:rPr>
    </w:lvl>
    <w:lvl w:ilvl="4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C6F16"/>
    <w:multiLevelType w:val="hybridMultilevel"/>
    <w:tmpl w:val="BBC64A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C3903"/>
    <w:multiLevelType w:val="multilevel"/>
    <w:tmpl w:val="D7C8B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5B30B7"/>
    <w:multiLevelType w:val="hybridMultilevel"/>
    <w:tmpl w:val="470858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8178D"/>
    <w:multiLevelType w:val="hybridMultilevel"/>
    <w:tmpl w:val="768C5DE4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B3312"/>
    <w:multiLevelType w:val="multilevel"/>
    <w:tmpl w:val="125A7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F7099B"/>
    <w:multiLevelType w:val="hybridMultilevel"/>
    <w:tmpl w:val="3DB8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37" w15:restartNumberingAfterBreak="0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4236B94"/>
    <w:multiLevelType w:val="multilevel"/>
    <w:tmpl w:val="7FD2436E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45"/>
  </w:num>
  <w:num w:numId="5">
    <w:abstractNumId w:val="6"/>
  </w:num>
  <w:num w:numId="6">
    <w:abstractNumId w:val="14"/>
  </w:num>
  <w:num w:numId="7">
    <w:abstractNumId w:val="39"/>
  </w:num>
  <w:num w:numId="8">
    <w:abstractNumId w:val="38"/>
  </w:num>
  <w:num w:numId="9">
    <w:abstractNumId w:val="29"/>
  </w:num>
  <w:num w:numId="10">
    <w:abstractNumId w:val="24"/>
  </w:num>
  <w:num w:numId="11">
    <w:abstractNumId w:val="47"/>
  </w:num>
  <w:num w:numId="12">
    <w:abstractNumId w:val="40"/>
  </w:num>
  <w:num w:numId="13">
    <w:abstractNumId w:val="44"/>
  </w:num>
  <w:num w:numId="14">
    <w:abstractNumId w:val="43"/>
  </w:num>
  <w:num w:numId="15">
    <w:abstractNumId w:val="22"/>
  </w:num>
  <w:num w:numId="16">
    <w:abstractNumId w:val="26"/>
  </w:num>
  <w:num w:numId="17">
    <w:abstractNumId w:val="11"/>
  </w:num>
  <w:num w:numId="18">
    <w:abstractNumId w:val="17"/>
  </w:num>
  <w:num w:numId="19">
    <w:abstractNumId w:val="3"/>
  </w:num>
  <w:num w:numId="20">
    <w:abstractNumId w:val="1"/>
  </w:num>
  <w:num w:numId="21">
    <w:abstractNumId w:val="13"/>
  </w:num>
  <w:num w:numId="22">
    <w:abstractNumId w:val="36"/>
  </w:num>
  <w:num w:numId="23">
    <w:abstractNumId w:val="10"/>
  </w:num>
  <w:num w:numId="24">
    <w:abstractNumId w:val="21"/>
  </w:num>
  <w:num w:numId="25">
    <w:abstractNumId w:val="33"/>
  </w:num>
  <w:num w:numId="26">
    <w:abstractNumId w:val="32"/>
  </w:num>
  <w:num w:numId="27">
    <w:abstractNumId w:val="9"/>
  </w:num>
  <w:num w:numId="28">
    <w:abstractNumId w:val="37"/>
  </w:num>
  <w:num w:numId="29">
    <w:abstractNumId w:val="20"/>
  </w:num>
  <w:num w:numId="30">
    <w:abstractNumId w:val="15"/>
  </w:num>
  <w:num w:numId="31">
    <w:abstractNumId w:val="7"/>
  </w:num>
  <w:num w:numId="32">
    <w:abstractNumId w:val="0"/>
  </w:num>
  <w:num w:numId="33">
    <w:abstractNumId w:val="8"/>
  </w:num>
  <w:num w:numId="34">
    <w:abstractNumId w:val="28"/>
  </w:num>
  <w:num w:numId="35">
    <w:abstractNumId w:val="41"/>
  </w:num>
  <w:num w:numId="36">
    <w:abstractNumId w:val="19"/>
  </w:num>
  <w:num w:numId="37">
    <w:abstractNumId w:val="12"/>
  </w:num>
  <w:num w:numId="38">
    <w:abstractNumId w:val="23"/>
  </w:num>
  <w:num w:numId="39">
    <w:abstractNumId w:val="2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1"/>
  </w:num>
  <w:num w:numId="43">
    <w:abstractNumId w:val="2"/>
  </w:num>
  <w:num w:numId="44">
    <w:abstractNumId w:val="5"/>
  </w:num>
  <w:num w:numId="45">
    <w:abstractNumId w:val="35"/>
  </w:num>
  <w:num w:numId="46">
    <w:abstractNumId w:val="30"/>
  </w:num>
  <w:num w:numId="47">
    <w:abstractNumId w:val="46"/>
  </w:num>
  <w:num w:numId="48">
    <w:abstractNumId w:val="18"/>
  </w:num>
  <w:num w:numId="49">
    <w:abstractNumId w:val="4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18"/>
    <w:rsid w:val="00002695"/>
    <w:rsid w:val="000117B2"/>
    <w:rsid w:val="0001796D"/>
    <w:rsid w:val="00017BF0"/>
    <w:rsid w:val="0002568B"/>
    <w:rsid w:val="0003395B"/>
    <w:rsid w:val="00043FA7"/>
    <w:rsid w:val="000552E8"/>
    <w:rsid w:val="00056585"/>
    <w:rsid w:val="0005674F"/>
    <w:rsid w:val="00065C6E"/>
    <w:rsid w:val="00072E6E"/>
    <w:rsid w:val="00073F1B"/>
    <w:rsid w:val="00075B58"/>
    <w:rsid w:val="00081520"/>
    <w:rsid w:val="00085821"/>
    <w:rsid w:val="000B11DD"/>
    <w:rsid w:val="000B1785"/>
    <w:rsid w:val="000B771B"/>
    <w:rsid w:val="000C390A"/>
    <w:rsid w:val="000C77DD"/>
    <w:rsid w:val="000E295B"/>
    <w:rsid w:val="000E45A0"/>
    <w:rsid w:val="00101CD5"/>
    <w:rsid w:val="00107460"/>
    <w:rsid w:val="00112415"/>
    <w:rsid w:val="0013678D"/>
    <w:rsid w:val="00140A34"/>
    <w:rsid w:val="00146ED8"/>
    <w:rsid w:val="00167202"/>
    <w:rsid w:val="00176264"/>
    <w:rsid w:val="001828A4"/>
    <w:rsid w:val="00196A3C"/>
    <w:rsid w:val="001A3BE2"/>
    <w:rsid w:val="001A72BD"/>
    <w:rsid w:val="001C35E7"/>
    <w:rsid w:val="001C4578"/>
    <w:rsid w:val="001C4BDF"/>
    <w:rsid w:val="001D02E6"/>
    <w:rsid w:val="001D4AFA"/>
    <w:rsid w:val="001D5D11"/>
    <w:rsid w:val="001D76C6"/>
    <w:rsid w:val="001F0184"/>
    <w:rsid w:val="001F28A6"/>
    <w:rsid w:val="001F2A16"/>
    <w:rsid w:val="001F6921"/>
    <w:rsid w:val="001F7C3E"/>
    <w:rsid w:val="00201969"/>
    <w:rsid w:val="00203717"/>
    <w:rsid w:val="00210061"/>
    <w:rsid w:val="0021222C"/>
    <w:rsid w:val="00213FA5"/>
    <w:rsid w:val="0021496E"/>
    <w:rsid w:val="00222AFB"/>
    <w:rsid w:val="0023733A"/>
    <w:rsid w:val="0024044F"/>
    <w:rsid w:val="00240CFB"/>
    <w:rsid w:val="00245D00"/>
    <w:rsid w:val="00257F2D"/>
    <w:rsid w:val="00262F9F"/>
    <w:rsid w:val="00266D2D"/>
    <w:rsid w:val="0027331F"/>
    <w:rsid w:val="00273B8F"/>
    <w:rsid w:val="00285E76"/>
    <w:rsid w:val="002949C3"/>
    <w:rsid w:val="002A10A4"/>
    <w:rsid w:val="002A26FE"/>
    <w:rsid w:val="002B1423"/>
    <w:rsid w:val="002F1257"/>
    <w:rsid w:val="00310052"/>
    <w:rsid w:val="00310C61"/>
    <w:rsid w:val="003171B3"/>
    <w:rsid w:val="0032559D"/>
    <w:rsid w:val="00331616"/>
    <w:rsid w:val="00333567"/>
    <w:rsid w:val="00344575"/>
    <w:rsid w:val="00350297"/>
    <w:rsid w:val="0035113C"/>
    <w:rsid w:val="00354525"/>
    <w:rsid w:val="0035649D"/>
    <w:rsid w:val="00365737"/>
    <w:rsid w:val="00374385"/>
    <w:rsid w:val="00380CC4"/>
    <w:rsid w:val="003C0686"/>
    <w:rsid w:val="003D08CF"/>
    <w:rsid w:val="003D0CBA"/>
    <w:rsid w:val="003D0F6A"/>
    <w:rsid w:val="003D4BA8"/>
    <w:rsid w:val="003D4CB9"/>
    <w:rsid w:val="003E5269"/>
    <w:rsid w:val="00402ECE"/>
    <w:rsid w:val="00405394"/>
    <w:rsid w:val="004066E4"/>
    <w:rsid w:val="0040680B"/>
    <w:rsid w:val="00407361"/>
    <w:rsid w:val="00417C55"/>
    <w:rsid w:val="00424A7B"/>
    <w:rsid w:val="004447C1"/>
    <w:rsid w:val="004469A6"/>
    <w:rsid w:val="00446AA8"/>
    <w:rsid w:val="0045590D"/>
    <w:rsid w:val="0046211F"/>
    <w:rsid w:val="0046787B"/>
    <w:rsid w:val="00486653"/>
    <w:rsid w:val="00493CA7"/>
    <w:rsid w:val="00495CBC"/>
    <w:rsid w:val="004A5FDA"/>
    <w:rsid w:val="004B7FE8"/>
    <w:rsid w:val="004D098C"/>
    <w:rsid w:val="004D24A9"/>
    <w:rsid w:val="004D41FE"/>
    <w:rsid w:val="004E4178"/>
    <w:rsid w:val="004E5357"/>
    <w:rsid w:val="004F4A07"/>
    <w:rsid w:val="004F5EB1"/>
    <w:rsid w:val="004F6887"/>
    <w:rsid w:val="00500DE0"/>
    <w:rsid w:val="005030AD"/>
    <w:rsid w:val="0050641A"/>
    <w:rsid w:val="0051249C"/>
    <w:rsid w:val="005176E7"/>
    <w:rsid w:val="00520330"/>
    <w:rsid w:val="00524B6B"/>
    <w:rsid w:val="00526403"/>
    <w:rsid w:val="005413EE"/>
    <w:rsid w:val="00587443"/>
    <w:rsid w:val="00587C50"/>
    <w:rsid w:val="005917F3"/>
    <w:rsid w:val="005941E3"/>
    <w:rsid w:val="005B0ACD"/>
    <w:rsid w:val="005B50A2"/>
    <w:rsid w:val="005C3408"/>
    <w:rsid w:val="005C5467"/>
    <w:rsid w:val="005D611B"/>
    <w:rsid w:val="005E2BD9"/>
    <w:rsid w:val="005F1ACE"/>
    <w:rsid w:val="005F256D"/>
    <w:rsid w:val="0060183A"/>
    <w:rsid w:val="00603110"/>
    <w:rsid w:val="00611C8E"/>
    <w:rsid w:val="00624954"/>
    <w:rsid w:val="006302F7"/>
    <w:rsid w:val="00631F30"/>
    <w:rsid w:val="00640CC2"/>
    <w:rsid w:val="00642420"/>
    <w:rsid w:val="00646158"/>
    <w:rsid w:val="006513F4"/>
    <w:rsid w:val="0066622C"/>
    <w:rsid w:val="00666487"/>
    <w:rsid w:val="00673B37"/>
    <w:rsid w:val="006775F6"/>
    <w:rsid w:val="006778AD"/>
    <w:rsid w:val="006945EA"/>
    <w:rsid w:val="006B5470"/>
    <w:rsid w:val="006C1772"/>
    <w:rsid w:val="006C2AB8"/>
    <w:rsid w:val="006D0138"/>
    <w:rsid w:val="006D6F52"/>
    <w:rsid w:val="006E3AA5"/>
    <w:rsid w:val="00701718"/>
    <w:rsid w:val="00710359"/>
    <w:rsid w:val="00711CE0"/>
    <w:rsid w:val="00712FFF"/>
    <w:rsid w:val="00722DBF"/>
    <w:rsid w:val="00735157"/>
    <w:rsid w:val="0074066F"/>
    <w:rsid w:val="00743F41"/>
    <w:rsid w:val="0076271C"/>
    <w:rsid w:val="00767CE8"/>
    <w:rsid w:val="00770393"/>
    <w:rsid w:val="00775490"/>
    <w:rsid w:val="00776711"/>
    <w:rsid w:val="00795D0C"/>
    <w:rsid w:val="00797F42"/>
    <w:rsid w:val="007A55BA"/>
    <w:rsid w:val="007C1FBD"/>
    <w:rsid w:val="007C54B3"/>
    <w:rsid w:val="007C5C8E"/>
    <w:rsid w:val="007E0A01"/>
    <w:rsid w:val="007E22F5"/>
    <w:rsid w:val="007F25F3"/>
    <w:rsid w:val="007F4901"/>
    <w:rsid w:val="00826DEB"/>
    <w:rsid w:val="00832A78"/>
    <w:rsid w:val="00836B02"/>
    <w:rsid w:val="008467D4"/>
    <w:rsid w:val="00850FB0"/>
    <w:rsid w:val="0085238E"/>
    <w:rsid w:val="00853428"/>
    <w:rsid w:val="008540EA"/>
    <w:rsid w:val="00866A00"/>
    <w:rsid w:val="008702A6"/>
    <w:rsid w:val="008757CE"/>
    <w:rsid w:val="0088392C"/>
    <w:rsid w:val="00897C0E"/>
    <w:rsid w:val="00897E31"/>
    <w:rsid w:val="008A046F"/>
    <w:rsid w:val="008A405A"/>
    <w:rsid w:val="008A6A6A"/>
    <w:rsid w:val="008B650A"/>
    <w:rsid w:val="008B787C"/>
    <w:rsid w:val="008C3898"/>
    <w:rsid w:val="008C66CC"/>
    <w:rsid w:val="008D16D3"/>
    <w:rsid w:val="008F483C"/>
    <w:rsid w:val="00910595"/>
    <w:rsid w:val="00910756"/>
    <w:rsid w:val="00912D61"/>
    <w:rsid w:val="009322D7"/>
    <w:rsid w:val="00932BDE"/>
    <w:rsid w:val="009371D0"/>
    <w:rsid w:val="0094073B"/>
    <w:rsid w:val="00967725"/>
    <w:rsid w:val="0098195F"/>
    <w:rsid w:val="009902F8"/>
    <w:rsid w:val="00993BB8"/>
    <w:rsid w:val="0099555F"/>
    <w:rsid w:val="009A22A1"/>
    <w:rsid w:val="009B1207"/>
    <w:rsid w:val="009B3A1B"/>
    <w:rsid w:val="009B6332"/>
    <w:rsid w:val="009C0912"/>
    <w:rsid w:val="009C5858"/>
    <w:rsid w:val="009C6FDD"/>
    <w:rsid w:val="009C7443"/>
    <w:rsid w:val="009C7D38"/>
    <w:rsid w:val="009D6694"/>
    <w:rsid w:val="009F0300"/>
    <w:rsid w:val="009F0417"/>
    <w:rsid w:val="009F7F1F"/>
    <w:rsid w:val="00A044C3"/>
    <w:rsid w:val="00A167A8"/>
    <w:rsid w:val="00A17511"/>
    <w:rsid w:val="00A21F0A"/>
    <w:rsid w:val="00A233F6"/>
    <w:rsid w:val="00A26011"/>
    <w:rsid w:val="00A506C2"/>
    <w:rsid w:val="00A62886"/>
    <w:rsid w:val="00A74C38"/>
    <w:rsid w:val="00A77D24"/>
    <w:rsid w:val="00A8572F"/>
    <w:rsid w:val="00A93E07"/>
    <w:rsid w:val="00A979CF"/>
    <w:rsid w:val="00AA4DF8"/>
    <w:rsid w:val="00AA5E42"/>
    <w:rsid w:val="00AB0AAD"/>
    <w:rsid w:val="00AB780C"/>
    <w:rsid w:val="00AC2448"/>
    <w:rsid w:val="00AD0B0B"/>
    <w:rsid w:val="00AD5ADE"/>
    <w:rsid w:val="00AE7138"/>
    <w:rsid w:val="00AF4250"/>
    <w:rsid w:val="00AF4CAF"/>
    <w:rsid w:val="00B117BA"/>
    <w:rsid w:val="00B15F23"/>
    <w:rsid w:val="00B16508"/>
    <w:rsid w:val="00B20D87"/>
    <w:rsid w:val="00B24053"/>
    <w:rsid w:val="00B31550"/>
    <w:rsid w:val="00B578AC"/>
    <w:rsid w:val="00B62F06"/>
    <w:rsid w:val="00B6433F"/>
    <w:rsid w:val="00B64CF5"/>
    <w:rsid w:val="00B76C9B"/>
    <w:rsid w:val="00B823A1"/>
    <w:rsid w:val="00B8428B"/>
    <w:rsid w:val="00BA41F5"/>
    <w:rsid w:val="00BB3C9C"/>
    <w:rsid w:val="00BE2C5C"/>
    <w:rsid w:val="00BF4822"/>
    <w:rsid w:val="00C01D22"/>
    <w:rsid w:val="00C104B6"/>
    <w:rsid w:val="00C10F02"/>
    <w:rsid w:val="00C114F4"/>
    <w:rsid w:val="00C11D03"/>
    <w:rsid w:val="00C31967"/>
    <w:rsid w:val="00C34C96"/>
    <w:rsid w:val="00C371DE"/>
    <w:rsid w:val="00C409AE"/>
    <w:rsid w:val="00C4143E"/>
    <w:rsid w:val="00C42D50"/>
    <w:rsid w:val="00C54678"/>
    <w:rsid w:val="00C54DF8"/>
    <w:rsid w:val="00C60B49"/>
    <w:rsid w:val="00C7440A"/>
    <w:rsid w:val="00C865ED"/>
    <w:rsid w:val="00C8775A"/>
    <w:rsid w:val="00CA0877"/>
    <w:rsid w:val="00CA6B59"/>
    <w:rsid w:val="00CB25C8"/>
    <w:rsid w:val="00CB3B6C"/>
    <w:rsid w:val="00CB75F1"/>
    <w:rsid w:val="00CC154D"/>
    <w:rsid w:val="00CC1833"/>
    <w:rsid w:val="00CC189F"/>
    <w:rsid w:val="00CC23CA"/>
    <w:rsid w:val="00CC3368"/>
    <w:rsid w:val="00CF19C4"/>
    <w:rsid w:val="00CF2B0A"/>
    <w:rsid w:val="00D13C04"/>
    <w:rsid w:val="00D17DAB"/>
    <w:rsid w:val="00D20A78"/>
    <w:rsid w:val="00D278BA"/>
    <w:rsid w:val="00D40454"/>
    <w:rsid w:val="00D4059C"/>
    <w:rsid w:val="00D53D8F"/>
    <w:rsid w:val="00D61C76"/>
    <w:rsid w:val="00D77015"/>
    <w:rsid w:val="00D92B48"/>
    <w:rsid w:val="00DA07C6"/>
    <w:rsid w:val="00DB1693"/>
    <w:rsid w:val="00DD5B07"/>
    <w:rsid w:val="00DE6821"/>
    <w:rsid w:val="00DF2022"/>
    <w:rsid w:val="00DF34BE"/>
    <w:rsid w:val="00DF5D59"/>
    <w:rsid w:val="00E10B37"/>
    <w:rsid w:val="00E239E4"/>
    <w:rsid w:val="00E36A38"/>
    <w:rsid w:val="00E40C0F"/>
    <w:rsid w:val="00E53399"/>
    <w:rsid w:val="00E77995"/>
    <w:rsid w:val="00E87099"/>
    <w:rsid w:val="00EA28E6"/>
    <w:rsid w:val="00EE2978"/>
    <w:rsid w:val="00EF78C4"/>
    <w:rsid w:val="00F04CD7"/>
    <w:rsid w:val="00F123FC"/>
    <w:rsid w:val="00F23E15"/>
    <w:rsid w:val="00F244A2"/>
    <w:rsid w:val="00F35064"/>
    <w:rsid w:val="00F374D8"/>
    <w:rsid w:val="00F539FB"/>
    <w:rsid w:val="00F551BD"/>
    <w:rsid w:val="00F5684D"/>
    <w:rsid w:val="00F57AB6"/>
    <w:rsid w:val="00F6480F"/>
    <w:rsid w:val="00F64868"/>
    <w:rsid w:val="00F70C2E"/>
    <w:rsid w:val="00F84DF2"/>
    <w:rsid w:val="00F86713"/>
    <w:rsid w:val="00F932E0"/>
    <w:rsid w:val="00FB244B"/>
    <w:rsid w:val="00FB7701"/>
    <w:rsid w:val="00FC40F0"/>
    <w:rsid w:val="00FC6D3B"/>
    <w:rsid w:val="00FD0129"/>
    <w:rsid w:val="00FD452A"/>
    <w:rsid w:val="00FE17ED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5AC1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240CFB"/>
    <w:pPr>
      <w:keepNext/>
      <w:spacing w:after="120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2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C244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licy%20&amp;%20Practice%20Mangt\Business%20Improvement\100_PRACTICE%20NOTES\Draft%20PNs\Explanatory%20Statement%20-%20Template%20LI%20practice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4540-4688-4A8B-A2F6-C5AAB725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Explanatory Statement - Template LI practice note.dot</Template>
  <TotalTime>0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2022-09-02T05:54:00Z</dcterms:created>
  <dcterms:modified xsi:type="dcterms:W3CDTF">2022-09-02T05:54:00Z</dcterms:modified>
</cp:coreProperties>
</file>