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759C" w14:textId="77777777" w:rsidR="00715914" w:rsidRPr="00FA33FB" w:rsidRDefault="00997416" w:rsidP="000D4D03">
      <w:pPr>
        <w:pStyle w:val="Plain"/>
        <w:jc w:val="center"/>
        <w:rPr>
          <w:sz w:val="28"/>
        </w:rPr>
      </w:pPr>
      <w:bookmarkStart w:id="0" w:name="_GoBack"/>
      <w:r>
        <w:rPr>
          <w:noProof/>
        </w:rPr>
        <w:drawing>
          <wp:inline distT="0" distB="0" distL="0" distR="0" wp14:anchorId="211916F5" wp14:editId="679C45E2">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bookmarkEnd w:id="0"/>
    </w:p>
    <w:p w14:paraId="142FAA81" w14:textId="77777777" w:rsidR="00715914" w:rsidRPr="00FA33FB" w:rsidRDefault="00715914" w:rsidP="00715914">
      <w:pPr>
        <w:rPr>
          <w:sz w:val="19"/>
        </w:rPr>
      </w:pPr>
    </w:p>
    <w:p w14:paraId="03ACDF9F" w14:textId="62CD4106" w:rsidR="00E532FB" w:rsidRDefault="00EA4148" w:rsidP="006647B7">
      <w:pPr>
        <w:pStyle w:val="Plainheader"/>
      </w:pPr>
      <w:r w:rsidRPr="00EA4148">
        <w:t>Veterans</w:t>
      </w:r>
      <w:r>
        <w:t>'</w:t>
      </w:r>
      <w:r w:rsidRPr="00EA4148">
        <w:t xml:space="preserve"> Entitlements (Statements of Principles—</w:t>
      </w:r>
      <w:r w:rsidR="00532E64">
        <w:t xml:space="preserve">definition of </w:t>
      </w:r>
      <w:r w:rsidR="00AF7807">
        <w:t>"</w:t>
      </w:r>
      <w:r w:rsidR="00532E64">
        <w:t>one pack</w:t>
      </w:r>
      <w:r w:rsidR="00AF7807">
        <w:t>-</w:t>
      </w:r>
      <w:r w:rsidR="00532E64">
        <w:t>year</w:t>
      </w:r>
      <w:r w:rsidR="00AF7807">
        <w:t>"</w:t>
      </w:r>
      <w:r w:rsidR="00532E64">
        <w:t>) Amendment Determination 2022</w:t>
      </w:r>
    </w:p>
    <w:p w14:paraId="1A0B988D" w14:textId="081A74BA" w:rsidR="00054930" w:rsidRDefault="00E532FB" w:rsidP="006647B7">
      <w:pPr>
        <w:pStyle w:val="Plainheader"/>
      </w:pPr>
      <w:r>
        <w:t xml:space="preserve">(No. </w:t>
      </w:r>
      <w:r w:rsidR="00751C62">
        <w:t>94</w:t>
      </w:r>
      <w:r w:rsidR="00532E64">
        <w:t xml:space="preserve"> of 2022</w:t>
      </w:r>
      <w:r>
        <w:t>)</w:t>
      </w:r>
      <w:r w:rsidR="00997416">
        <w:t xml:space="preserve"> </w:t>
      </w:r>
    </w:p>
    <w:p w14:paraId="49E81F21" w14:textId="77777777" w:rsidR="00F67B67" w:rsidRDefault="00F67B67" w:rsidP="007527C1">
      <w:pPr>
        <w:pStyle w:val="SignCoverPageStart"/>
        <w:ind w:right="-51"/>
        <w:jc w:val="left"/>
        <w:rPr>
          <w:sz w:val="24"/>
          <w:szCs w:val="24"/>
        </w:rPr>
      </w:pPr>
      <w:r w:rsidRPr="007527C1">
        <w:rPr>
          <w:sz w:val="24"/>
          <w:szCs w:val="24"/>
        </w:rPr>
        <w:t xml:space="preserve">The Repatriation Medical Authority </w:t>
      </w:r>
      <w:r w:rsidR="00EA4148">
        <w:rPr>
          <w:sz w:val="24"/>
          <w:szCs w:val="24"/>
        </w:rPr>
        <w:t>makes the following determination</w:t>
      </w:r>
      <w:r w:rsidRPr="007527C1">
        <w:rPr>
          <w:sz w:val="24"/>
          <w:szCs w:val="24"/>
        </w:rPr>
        <w:t>.</w:t>
      </w:r>
    </w:p>
    <w:p w14:paraId="68FF20E2" w14:textId="77777777" w:rsidR="00F97A62" w:rsidRPr="00F97A62" w:rsidRDefault="00F97A62" w:rsidP="00F97A62">
      <w:pPr>
        <w:rPr>
          <w:lang w:eastAsia="en-AU"/>
        </w:rPr>
      </w:pPr>
    </w:p>
    <w:p w14:paraId="1E9D6D86" w14:textId="6331C548" w:rsidR="00F67B67" w:rsidRDefault="00F67B67" w:rsidP="00764D43">
      <w:pPr>
        <w:pStyle w:val="Plain"/>
        <w:tabs>
          <w:tab w:val="clear" w:pos="567"/>
          <w:tab w:val="left" w:pos="851"/>
        </w:tabs>
      </w:pPr>
      <w:r w:rsidRPr="007527C1">
        <w:t>Dated</w:t>
      </w:r>
      <w:r w:rsidR="007615E2">
        <w:tab/>
      </w:r>
      <w:r w:rsidR="007615E2">
        <w:tab/>
      </w:r>
      <w:r w:rsidR="007615E2">
        <w:tab/>
      </w:r>
      <w:r w:rsidR="007615E2">
        <w:tab/>
      </w:r>
      <w:r w:rsidR="00B664A3">
        <w:t xml:space="preserve"> </w:t>
      </w:r>
      <w:r w:rsidR="00C90A58">
        <w:t>23</w:t>
      </w:r>
      <w:r w:rsidR="00897310">
        <w:t xml:space="preserve"> August 2022.</w:t>
      </w:r>
    </w:p>
    <w:p w14:paraId="187F64FB" w14:textId="77777777" w:rsidR="00D93DA9" w:rsidRDefault="00D93DA9" w:rsidP="00764D43">
      <w:pPr>
        <w:pStyle w:val="Plain"/>
      </w:pPr>
    </w:p>
    <w:p w14:paraId="6A51A69B" w14:textId="77777777" w:rsidR="00D93DA9" w:rsidRDefault="00D93DA9" w:rsidP="00764D43">
      <w:pPr>
        <w:pStyle w:val="Plain"/>
      </w:pPr>
    </w:p>
    <w:p w14:paraId="597175B4" w14:textId="3F0EA4E2" w:rsidR="00D93DA9" w:rsidRDefault="00D93DA9" w:rsidP="00764D43">
      <w:pPr>
        <w:pStyle w:val="Plain"/>
      </w:pPr>
    </w:p>
    <w:p w14:paraId="70BD5BB8" w14:textId="77777777" w:rsidR="00D93DA9" w:rsidRDefault="00D93DA9" w:rsidP="00764D43">
      <w:pPr>
        <w:pStyle w:val="Plain"/>
      </w:pPr>
    </w:p>
    <w:p w14:paraId="2B74A02D" w14:textId="77777777" w:rsidR="008C24C3" w:rsidRPr="007527C1" w:rsidRDefault="008C24C3" w:rsidP="008C24C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8C24C3" w14:paraId="780AC48B" w14:textId="77777777" w:rsidTr="00D76022">
        <w:tc>
          <w:tcPr>
            <w:tcW w:w="4116" w:type="dxa"/>
          </w:tcPr>
          <w:p w14:paraId="34319B6A" w14:textId="77777777" w:rsidR="008C24C3" w:rsidRDefault="008C24C3" w:rsidP="00D76022">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14:paraId="6E240CC5" w14:textId="77777777" w:rsidR="008C24C3" w:rsidRDefault="008C24C3" w:rsidP="00D76022">
            <w:pPr>
              <w:pStyle w:val="Plain"/>
            </w:pPr>
          </w:p>
        </w:tc>
      </w:tr>
      <w:tr w:rsidR="008C24C3" w14:paraId="511682AC" w14:textId="77777777" w:rsidTr="00D76022">
        <w:tc>
          <w:tcPr>
            <w:tcW w:w="4116" w:type="dxa"/>
          </w:tcPr>
          <w:p w14:paraId="502306C0" w14:textId="16B09D1D" w:rsidR="008C24C3" w:rsidRDefault="008C24C3" w:rsidP="00D76022">
            <w:pPr>
              <w:pStyle w:val="Plain"/>
            </w:pPr>
          </w:p>
          <w:p w14:paraId="6AC6D022" w14:textId="2034F6EA" w:rsidR="008C24C3" w:rsidRDefault="008C24C3" w:rsidP="00D76022">
            <w:pPr>
              <w:pStyle w:val="Plain"/>
            </w:pPr>
          </w:p>
          <w:p w14:paraId="682BA721" w14:textId="43946445" w:rsidR="008C24C3" w:rsidRPr="007527C1" w:rsidRDefault="001C5E21" w:rsidP="00D76022">
            <w:pPr>
              <w:pStyle w:val="Plain"/>
            </w:pPr>
            <w:r>
              <w:t xml:space="preserve">Professor </w:t>
            </w:r>
            <w:r w:rsidR="00BF5DBF">
              <w:t>Te</w:t>
            </w:r>
            <w:r w:rsidR="004874CB">
              <w:t>rence Campbell</w:t>
            </w:r>
            <w:r w:rsidR="0069578B">
              <w:t xml:space="preserve"> AM</w:t>
            </w:r>
          </w:p>
          <w:p w14:paraId="6DB783B6" w14:textId="77777777" w:rsidR="008C24C3" w:rsidRDefault="008C24C3" w:rsidP="00D76022">
            <w:pPr>
              <w:pStyle w:val="Plain"/>
            </w:pPr>
            <w:r w:rsidRPr="007527C1">
              <w:t>Chairperson</w:t>
            </w:r>
          </w:p>
          <w:p w14:paraId="3444DE72" w14:textId="77777777" w:rsidR="008C24C3" w:rsidRDefault="008C24C3" w:rsidP="00D76022"/>
        </w:tc>
      </w:tr>
    </w:tbl>
    <w:p w14:paraId="679FD05B"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79092505"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14:paraId="37A3ACCD" w14:textId="39D790DC" w:rsidR="004F5AC1"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4F5AC1">
        <w:rPr>
          <w:noProof/>
        </w:rPr>
        <w:t>1</w:t>
      </w:r>
      <w:r w:rsidR="004F5AC1">
        <w:rPr>
          <w:rFonts w:asciiTheme="minorHAnsi" w:eastAsiaTheme="minorEastAsia" w:hAnsiTheme="minorHAnsi" w:cstheme="minorBidi"/>
          <w:noProof/>
          <w:kern w:val="0"/>
          <w:sz w:val="22"/>
          <w:szCs w:val="22"/>
        </w:rPr>
        <w:tab/>
      </w:r>
      <w:r w:rsidR="004F5AC1">
        <w:rPr>
          <w:noProof/>
        </w:rPr>
        <w:t>Name</w:t>
      </w:r>
      <w:r w:rsidR="004F5AC1">
        <w:rPr>
          <w:noProof/>
        </w:rPr>
        <w:tab/>
      </w:r>
      <w:r w:rsidR="004F5AC1">
        <w:rPr>
          <w:noProof/>
        </w:rPr>
        <w:fldChar w:fldCharType="begin"/>
      </w:r>
      <w:r w:rsidR="004F5AC1">
        <w:rPr>
          <w:noProof/>
        </w:rPr>
        <w:instrText xml:space="preserve"> PAGEREF _Toc109201179 \h </w:instrText>
      </w:r>
      <w:r w:rsidR="004F5AC1">
        <w:rPr>
          <w:noProof/>
        </w:rPr>
      </w:r>
      <w:r w:rsidR="004F5AC1">
        <w:rPr>
          <w:noProof/>
        </w:rPr>
        <w:fldChar w:fldCharType="separate"/>
      </w:r>
      <w:r w:rsidR="004F5AC1">
        <w:rPr>
          <w:noProof/>
        </w:rPr>
        <w:t>3</w:t>
      </w:r>
      <w:r w:rsidR="004F5AC1">
        <w:rPr>
          <w:noProof/>
        </w:rPr>
        <w:fldChar w:fldCharType="end"/>
      </w:r>
    </w:p>
    <w:p w14:paraId="1D290014" w14:textId="3ECC8E18" w:rsidR="004F5AC1" w:rsidRDefault="004F5AC1">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_Toc109201180 \h </w:instrText>
      </w:r>
      <w:r>
        <w:rPr>
          <w:noProof/>
        </w:rPr>
      </w:r>
      <w:r>
        <w:rPr>
          <w:noProof/>
        </w:rPr>
        <w:fldChar w:fldCharType="separate"/>
      </w:r>
      <w:r>
        <w:rPr>
          <w:noProof/>
        </w:rPr>
        <w:t>3</w:t>
      </w:r>
      <w:r>
        <w:rPr>
          <w:noProof/>
        </w:rPr>
        <w:fldChar w:fldCharType="end"/>
      </w:r>
    </w:p>
    <w:p w14:paraId="48F4BD4E" w14:textId="48249BA6" w:rsidR="004F5AC1" w:rsidRDefault="004F5AC1">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_Toc109201181 \h </w:instrText>
      </w:r>
      <w:r>
        <w:rPr>
          <w:noProof/>
        </w:rPr>
      </w:r>
      <w:r>
        <w:rPr>
          <w:noProof/>
        </w:rPr>
        <w:fldChar w:fldCharType="separate"/>
      </w:r>
      <w:r>
        <w:rPr>
          <w:noProof/>
        </w:rPr>
        <w:t>3</w:t>
      </w:r>
      <w:r>
        <w:rPr>
          <w:noProof/>
        </w:rPr>
        <w:fldChar w:fldCharType="end"/>
      </w:r>
    </w:p>
    <w:p w14:paraId="700F4275" w14:textId="3A7A8863" w:rsidR="004F5AC1" w:rsidRDefault="004F5AC1">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Schedule</w:t>
      </w:r>
      <w:r>
        <w:rPr>
          <w:noProof/>
        </w:rPr>
        <w:tab/>
      </w:r>
      <w:r>
        <w:rPr>
          <w:noProof/>
        </w:rPr>
        <w:fldChar w:fldCharType="begin"/>
      </w:r>
      <w:r>
        <w:rPr>
          <w:noProof/>
        </w:rPr>
        <w:instrText xml:space="preserve"> PAGEREF _Toc109201182 \h </w:instrText>
      </w:r>
      <w:r>
        <w:rPr>
          <w:noProof/>
        </w:rPr>
      </w:r>
      <w:r>
        <w:rPr>
          <w:noProof/>
        </w:rPr>
        <w:fldChar w:fldCharType="separate"/>
      </w:r>
      <w:r>
        <w:rPr>
          <w:noProof/>
        </w:rPr>
        <w:t>3</w:t>
      </w:r>
      <w:r>
        <w:rPr>
          <w:noProof/>
        </w:rPr>
        <w:fldChar w:fldCharType="end"/>
      </w:r>
    </w:p>
    <w:p w14:paraId="14757CA4" w14:textId="255714D4" w:rsidR="004F5AC1" w:rsidRDefault="004F5AC1">
      <w:pPr>
        <w:pStyle w:val="TOC6"/>
        <w:rPr>
          <w:rFonts w:asciiTheme="minorHAnsi" w:eastAsiaTheme="minorEastAsia" w:hAnsiTheme="minorHAnsi" w:cstheme="minorBidi"/>
          <w:b w:val="0"/>
          <w:noProof/>
          <w:kern w:val="0"/>
          <w:szCs w:val="22"/>
        </w:rPr>
      </w:pPr>
      <w:r>
        <w:rPr>
          <w:noProof/>
        </w:rPr>
        <w:t>Schedule 1 — Amendments</w:t>
      </w:r>
      <w:r>
        <w:rPr>
          <w:noProof/>
        </w:rPr>
        <w:tab/>
      </w:r>
      <w:r>
        <w:rPr>
          <w:noProof/>
        </w:rPr>
        <w:fldChar w:fldCharType="begin"/>
      </w:r>
      <w:r>
        <w:rPr>
          <w:noProof/>
        </w:rPr>
        <w:instrText xml:space="preserve"> PAGEREF _Toc109201183 \h </w:instrText>
      </w:r>
      <w:r>
        <w:rPr>
          <w:noProof/>
        </w:rPr>
      </w:r>
      <w:r>
        <w:rPr>
          <w:noProof/>
        </w:rPr>
        <w:fldChar w:fldCharType="separate"/>
      </w:r>
      <w:r>
        <w:rPr>
          <w:noProof/>
        </w:rPr>
        <w:t>4</w:t>
      </w:r>
      <w:r>
        <w:rPr>
          <w:noProof/>
        </w:rPr>
        <w:fldChar w:fldCharType="end"/>
      </w:r>
    </w:p>
    <w:p w14:paraId="7A3B560C" w14:textId="261592DE" w:rsidR="004F5AC1" w:rsidRDefault="004F5AC1">
      <w:pPr>
        <w:pStyle w:val="TOC1"/>
        <w:rPr>
          <w:rFonts w:asciiTheme="minorHAnsi" w:eastAsiaTheme="minorEastAsia" w:hAnsiTheme="minorHAnsi" w:cstheme="minorBidi"/>
          <w:noProof/>
          <w:kern w:val="0"/>
          <w:sz w:val="22"/>
          <w:szCs w:val="22"/>
        </w:rPr>
      </w:pPr>
      <w:r>
        <w:rPr>
          <w:noProof/>
        </w:rPr>
        <w:t>Part 1—Amendments of clause 9 of certain Statements of Principles</w:t>
      </w:r>
      <w:r>
        <w:rPr>
          <w:noProof/>
        </w:rPr>
        <w:tab/>
      </w:r>
      <w:r>
        <w:rPr>
          <w:noProof/>
        </w:rPr>
        <w:fldChar w:fldCharType="begin"/>
      </w:r>
      <w:r>
        <w:rPr>
          <w:noProof/>
        </w:rPr>
        <w:instrText xml:space="preserve"> PAGEREF _Toc109201184 \h </w:instrText>
      </w:r>
      <w:r>
        <w:rPr>
          <w:noProof/>
        </w:rPr>
      </w:r>
      <w:r>
        <w:rPr>
          <w:noProof/>
        </w:rPr>
        <w:fldChar w:fldCharType="separate"/>
      </w:r>
      <w:r>
        <w:rPr>
          <w:noProof/>
        </w:rPr>
        <w:t>4</w:t>
      </w:r>
      <w:r>
        <w:rPr>
          <w:noProof/>
        </w:rPr>
        <w:fldChar w:fldCharType="end"/>
      </w:r>
    </w:p>
    <w:p w14:paraId="51610C96" w14:textId="17966834" w:rsidR="004F5AC1" w:rsidRDefault="004F5AC1">
      <w:pPr>
        <w:pStyle w:val="TOC1"/>
        <w:rPr>
          <w:rFonts w:asciiTheme="minorHAnsi" w:eastAsiaTheme="minorEastAsia" w:hAnsiTheme="minorHAnsi" w:cstheme="minorBidi"/>
          <w:noProof/>
          <w:kern w:val="0"/>
          <w:sz w:val="22"/>
          <w:szCs w:val="22"/>
        </w:rPr>
      </w:pPr>
      <w:r>
        <w:rPr>
          <w:noProof/>
        </w:rPr>
        <w:t>Part 2—Amendments of clause 1 of Schedule 1 to certain Statements of Principles</w:t>
      </w:r>
      <w:r>
        <w:rPr>
          <w:noProof/>
        </w:rPr>
        <w:tab/>
      </w:r>
      <w:r>
        <w:rPr>
          <w:noProof/>
        </w:rPr>
        <w:fldChar w:fldCharType="begin"/>
      </w:r>
      <w:r>
        <w:rPr>
          <w:noProof/>
        </w:rPr>
        <w:instrText xml:space="preserve"> PAGEREF _Toc109201185 \h </w:instrText>
      </w:r>
      <w:r>
        <w:rPr>
          <w:noProof/>
        </w:rPr>
      </w:r>
      <w:r>
        <w:rPr>
          <w:noProof/>
        </w:rPr>
        <w:fldChar w:fldCharType="separate"/>
      </w:r>
      <w:r>
        <w:rPr>
          <w:noProof/>
        </w:rPr>
        <w:t>4</w:t>
      </w:r>
      <w:r>
        <w:rPr>
          <w:noProof/>
        </w:rPr>
        <w:fldChar w:fldCharType="end"/>
      </w:r>
    </w:p>
    <w:p w14:paraId="2D202238" w14:textId="77777777" w:rsidR="003A2FFE" w:rsidRDefault="002A3436" w:rsidP="00715914">
      <w:r>
        <w:rPr>
          <w:rFonts w:eastAsia="Times New Roman"/>
          <w:b/>
          <w:kern w:val="28"/>
          <w:sz w:val="18"/>
          <w:lang w:eastAsia="en-AU"/>
        </w:rPr>
        <w:fldChar w:fldCharType="end"/>
      </w:r>
    </w:p>
    <w:p w14:paraId="44CD8826" w14:textId="77777777" w:rsidR="003A2FFE" w:rsidRDefault="003A2FFE" w:rsidP="003A2FFE">
      <w:pPr>
        <w:tabs>
          <w:tab w:val="left" w:pos="3631"/>
        </w:tabs>
      </w:pPr>
    </w:p>
    <w:p w14:paraId="1BECF06D" w14:textId="77777777" w:rsidR="004D0643" w:rsidRDefault="004D0643">
      <w:pPr>
        <w:spacing w:line="240" w:lineRule="auto"/>
        <w:rPr>
          <w:b/>
          <w:sz w:val="24"/>
          <w:szCs w:val="24"/>
        </w:rPr>
      </w:pPr>
      <w:r>
        <w:br w:type="page"/>
      </w:r>
    </w:p>
    <w:p w14:paraId="6BD0382C" w14:textId="77777777" w:rsidR="00877AE3" w:rsidRDefault="00877AE3" w:rsidP="0069220C">
      <w:pPr>
        <w:pStyle w:val="LV1"/>
        <w:numPr>
          <w:ilvl w:val="0"/>
          <w:numId w:val="19"/>
        </w:numPr>
      </w:pPr>
      <w:bookmarkStart w:id="2" w:name="_Toc109201179"/>
      <w:r>
        <w:lastRenderedPageBreak/>
        <w:t>Name</w:t>
      </w:r>
      <w:bookmarkEnd w:id="2"/>
    </w:p>
    <w:p w14:paraId="2E07E121" w14:textId="26D92F60" w:rsidR="00237471" w:rsidRPr="00F97A62" w:rsidRDefault="00750C94" w:rsidP="00DA3996">
      <w:pPr>
        <w:pStyle w:val="PlainIndent"/>
      </w:pPr>
      <w:r w:rsidRPr="00750C94">
        <w:t xml:space="preserve">This instrument is the </w:t>
      </w:r>
      <w:r w:rsidRPr="00750C94">
        <w:rPr>
          <w:i/>
        </w:rPr>
        <w:t>Veterans' Entitlements (Statements of Principles—</w:t>
      </w:r>
      <w:r w:rsidR="00AF7807">
        <w:rPr>
          <w:i/>
        </w:rPr>
        <w:t>definition of "one pack-year"</w:t>
      </w:r>
      <w:r w:rsidRPr="00750C94">
        <w:rPr>
          <w:i/>
        </w:rPr>
        <w:t xml:space="preserve">) Amendment Determination </w:t>
      </w:r>
      <w:r w:rsidR="00AF7807" w:rsidRPr="00750C94">
        <w:rPr>
          <w:i/>
        </w:rPr>
        <w:t>20</w:t>
      </w:r>
      <w:r w:rsidR="00AF7807">
        <w:rPr>
          <w:i/>
        </w:rPr>
        <w:t xml:space="preserve">22 </w:t>
      </w:r>
      <w:r w:rsidR="00BB137A">
        <w:rPr>
          <w:i/>
        </w:rPr>
        <w:t xml:space="preserve">(No. </w:t>
      </w:r>
      <w:r w:rsidR="00751C62">
        <w:rPr>
          <w:i/>
        </w:rPr>
        <w:t>94</w:t>
      </w:r>
      <w:r w:rsidR="00AF7807">
        <w:rPr>
          <w:i/>
        </w:rPr>
        <w:t xml:space="preserve"> </w:t>
      </w:r>
      <w:r w:rsidR="00BB137A">
        <w:rPr>
          <w:i/>
        </w:rPr>
        <w:t xml:space="preserve">of </w:t>
      </w:r>
      <w:r w:rsidR="00AF7807">
        <w:rPr>
          <w:i/>
        </w:rPr>
        <w:t>2022</w:t>
      </w:r>
      <w:r w:rsidR="00BB137A">
        <w:rPr>
          <w:i/>
        </w:rPr>
        <w:t>)</w:t>
      </w:r>
      <w:r w:rsidRPr="00750C94">
        <w:t>.</w:t>
      </w:r>
    </w:p>
    <w:p w14:paraId="7F546D40" w14:textId="77777777" w:rsidR="00F67B67" w:rsidRPr="00684C0E" w:rsidRDefault="00F67B67" w:rsidP="0069220C">
      <w:pPr>
        <w:pStyle w:val="LV1"/>
      </w:pPr>
      <w:bookmarkStart w:id="3" w:name="_Toc109201180"/>
      <w:r w:rsidRPr="00684C0E">
        <w:t>Commencement</w:t>
      </w:r>
      <w:bookmarkEnd w:id="3"/>
    </w:p>
    <w:p w14:paraId="64F02E47" w14:textId="420585BE" w:rsidR="00750C94" w:rsidRPr="007527C1" w:rsidRDefault="00E532FB" w:rsidP="00E532FB">
      <w:pPr>
        <w:pStyle w:val="LV2"/>
        <w:numPr>
          <w:ilvl w:val="0"/>
          <w:numId w:val="0"/>
        </w:numPr>
        <w:ind w:left="1474" w:hanging="567"/>
      </w:pPr>
      <w:r w:rsidRPr="007527C1">
        <w:t>This instrument commences on</w:t>
      </w:r>
      <w:r w:rsidR="00A17E39">
        <w:t xml:space="preserve"> </w:t>
      </w:r>
      <w:r w:rsidR="00897310" w:rsidRPr="00897310">
        <w:t>19 September 2022.</w:t>
      </w:r>
    </w:p>
    <w:p w14:paraId="6D2C47B6" w14:textId="77777777" w:rsidR="00F67B67" w:rsidRPr="00684C0E" w:rsidRDefault="00F67B67" w:rsidP="0069220C">
      <w:pPr>
        <w:pStyle w:val="LV1"/>
      </w:pPr>
      <w:bookmarkStart w:id="4" w:name="_Toc109201181"/>
      <w:r w:rsidRPr="00684C0E">
        <w:t>Authority</w:t>
      </w:r>
      <w:bookmarkEnd w:id="4"/>
    </w:p>
    <w:p w14:paraId="56C7FCDD" w14:textId="77777777" w:rsidR="00F67B67" w:rsidRDefault="00F67B67" w:rsidP="00DA3996">
      <w:pPr>
        <w:pStyle w:val="PlainIndent"/>
      </w:pPr>
      <w:r w:rsidRPr="007527C1">
        <w:t>This inst</w:t>
      </w:r>
      <w:r w:rsidR="00D32F71">
        <w:t xml:space="preserve">rument is made under </w:t>
      </w:r>
      <w:r w:rsidR="00420AD3" w:rsidRPr="00420AD3">
        <w:t>section 196B</w:t>
      </w:r>
      <w:r w:rsidR="00750C94">
        <w:t xml:space="preserve"> of </w:t>
      </w:r>
      <w:r w:rsidRPr="007527C1">
        <w:t xml:space="preserve">the </w:t>
      </w:r>
      <w:r w:rsidRPr="007527C1">
        <w:rPr>
          <w:i/>
        </w:rPr>
        <w:t>Veterans</w:t>
      </w:r>
      <w:r w:rsidR="007E771F">
        <w:rPr>
          <w:i/>
        </w:rPr>
        <w:t>'</w:t>
      </w:r>
      <w:r w:rsidRPr="007527C1">
        <w:rPr>
          <w:i/>
        </w:rPr>
        <w:t xml:space="preserve"> Entitlements Act 1986</w:t>
      </w:r>
      <w:r w:rsidRPr="007527C1">
        <w:t>.</w:t>
      </w:r>
    </w:p>
    <w:p w14:paraId="513C8BEA" w14:textId="060044A9" w:rsidR="00420AD3" w:rsidRDefault="00750C94" w:rsidP="00420AD3">
      <w:pPr>
        <w:pStyle w:val="LV1"/>
      </w:pPr>
      <w:bookmarkStart w:id="5" w:name="_Toc109201182"/>
      <w:bookmarkStart w:id="6" w:name="_Ref409687573"/>
      <w:bookmarkStart w:id="7" w:name="_Ref409687579"/>
      <w:bookmarkStart w:id="8" w:name="_Ref409687725"/>
      <w:r>
        <w:t>Schedule</w:t>
      </w:r>
      <w:bookmarkEnd w:id="5"/>
    </w:p>
    <w:bookmarkEnd w:id="6"/>
    <w:bookmarkEnd w:id="7"/>
    <w:bookmarkEnd w:id="8"/>
    <w:p w14:paraId="1AD083D9" w14:textId="4121F4C5" w:rsidR="00750C94" w:rsidRDefault="00750C94" w:rsidP="00CC2B3F">
      <w:pPr>
        <w:pStyle w:val="PlainIndent"/>
      </w:pPr>
      <w:r w:rsidRPr="00750C94">
        <w:t xml:space="preserve">Each instrument that is specified in </w:t>
      </w:r>
      <w:r w:rsidR="00A17E39">
        <w:t>Part 2 of the</w:t>
      </w:r>
      <w:r w:rsidRPr="00750C94">
        <w:t xml:space="preserve"> Schedule to this instrument is amended as set out in the applicable items in the </w:t>
      </w:r>
      <w:r w:rsidR="00A17E39">
        <w:t>Part</w:t>
      </w:r>
      <w:r w:rsidR="00A17E39" w:rsidRPr="00750C94">
        <w:t xml:space="preserve"> </w:t>
      </w:r>
      <w:r w:rsidRPr="00750C94">
        <w:t>concerned, and any other item in</w:t>
      </w:r>
      <w:r w:rsidR="00A17E39">
        <w:t xml:space="preserve"> Parts 1</w:t>
      </w:r>
      <w:r w:rsidR="004F5AC1">
        <w:t xml:space="preserve"> or</w:t>
      </w:r>
      <w:r w:rsidR="00A17E39">
        <w:t xml:space="preserve"> 2 of</w:t>
      </w:r>
      <w:r w:rsidRPr="00750C94">
        <w:t xml:space="preserve"> </w:t>
      </w:r>
      <w:r w:rsidR="00A17E39">
        <w:t>the</w:t>
      </w:r>
      <w:r w:rsidRPr="00750C94">
        <w:t xml:space="preserve"> Schedule to this instrument has effect according to its terms.</w:t>
      </w:r>
    </w:p>
    <w:p w14:paraId="4C5EEEA1" w14:textId="77777777" w:rsidR="00EA4148" w:rsidRDefault="00EA4148" w:rsidP="00CC2B3F">
      <w:pPr>
        <w:pStyle w:val="PlainIndent"/>
        <w:sectPr w:rsidR="00EA4148" w:rsidSect="00750C94">
          <w:footerReference w:type="even" r:id="rId8"/>
          <w:footerReference w:type="default" r:id="rId9"/>
          <w:pgSz w:w="11907" w:h="16839" w:code="9"/>
          <w:pgMar w:top="2233" w:right="1797" w:bottom="1440" w:left="1797" w:header="720" w:footer="709" w:gutter="0"/>
          <w:pgNumType w:start="1"/>
          <w:cols w:space="708"/>
          <w:docGrid w:linePitch="360"/>
        </w:sectPr>
      </w:pPr>
    </w:p>
    <w:p w14:paraId="70F5654F" w14:textId="44E25E4D" w:rsidR="00750C94" w:rsidRPr="00750C94" w:rsidRDefault="00750C94" w:rsidP="00750C94">
      <w:pPr>
        <w:pStyle w:val="SHHeader"/>
        <w:rPr>
          <w:rStyle w:val="CharAmSchNo"/>
        </w:rPr>
      </w:pPr>
      <w:bookmarkStart w:id="9" w:name="opcAmSched"/>
      <w:bookmarkStart w:id="10" w:name="opcCurrentFind"/>
      <w:bookmarkStart w:id="11" w:name="_Toc432150360"/>
      <w:bookmarkStart w:id="12" w:name="_Toc109201183"/>
      <w:r w:rsidRPr="00FA33FB">
        <w:rPr>
          <w:rStyle w:val="CharAmSchNo"/>
        </w:rPr>
        <w:lastRenderedPageBreak/>
        <w:t>Schedule </w:t>
      </w:r>
      <w:r>
        <w:rPr>
          <w:rStyle w:val="CharAmSchNo"/>
        </w:rPr>
        <w:t>1</w:t>
      </w:r>
      <w:r w:rsidR="00A4142A">
        <w:rPr>
          <w:rStyle w:val="CharAmSchNo"/>
        </w:rPr>
        <w:t> </w:t>
      </w:r>
      <w:r w:rsidRPr="00372110">
        <w:rPr>
          <w:rStyle w:val="CharAmSchNo"/>
        </w:rPr>
        <w:t>—</w:t>
      </w:r>
      <w:r w:rsidR="00A4142A">
        <w:rPr>
          <w:rStyle w:val="CharAmSchNo"/>
        </w:rPr>
        <w:t> </w:t>
      </w:r>
      <w:r w:rsidRPr="00372110">
        <w:rPr>
          <w:rStyle w:val="CharAmSchNo"/>
        </w:rPr>
        <w:t>Amendments</w:t>
      </w:r>
      <w:bookmarkEnd w:id="9"/>
      <w:bookmarkEnd w:id="10"/>
      <w:bookmarkEnd w:id="11"/>
      <w:bookmarkEnd w:id="12"/>
    </w:p>
    <w:p w14:paraId="113C8B34" w14:textId="0986FC27" w:rsidR="00750C94" w:rsidRPr="00750C94" w:rsidRDefault="00750C94" w:rsidP="00750C94">
      <w:pPr>
        <w:pStyle w:val="SH1"/>
      </w:pPr>
      <w:bookmarkStart w:id="13" w:name="_Toc109201184"/>
      <w:bookmarkStart w:id="14" w:name="_Toc405472918"/>
      <w:bookmarkStart w:id="15" w:name="_Toc432150361"/>
      <w:r w:rsidRPr="00750C94">
        <w:t>Part 1—Amendments of clause 9 of certain Statements of Principles</w:t>
      </w:r>
      <w:bookmarkEnd w:id="13"/>
    </w:p>
    <w:bookmarkEnd w:id="14"/>
    <w:bookmarkEnd w:id="15"/>
    <w:p w14:paraId="5AB4F4F9" w14:textId="14FA8F72" w:rsidR="00750C94" w:rsidRPr="00902E3B" w:rsidRDefault="00750C94" w:rsidP="00750C94">
      <w:pPr>
        <w:pStyle w:val="ItemHead"/>
        <w:numPr>
          <w:ilvl w:val="0"/>
          <w:numId w:val="21"/>
        </w:numPr>
        <w:ind w:left="426" w:hanging="426"/>
        <w:rPr>
          <w:rFonts w:ascii="Times New Roman" w:hAnsi="Times New Roman"/>
        </w:rPr>
      </w:pPr>
      <w:r w:rsidRPr="00902E3B">
        <w:rPr>
          <w:rFonts w:ascii="Times New Roman" w:hAnsi="Times New Roman"/>
        </w:rPr>
        <w:t xml:space="preserve">Amendments of </w:t>
      </w:r>
      <w:r w:rsidR="00BA53D5">
        <w:rPr>
          <w:rFonts w:ascii="Times New Roman" w:hAnsi="Times New Roman"/>
        </w:rPr>
        <w:t>factors</w:t>
      </w:r>
    </w:p>
    <w:p w14:paraId="6B26DF4D" w14:textId="6B5DD596" w:rsidR="00F93510" w:rsidRDefault="00F93510" w:rsidP="00F93510">
      <w:pPr>
        <w:pStyle w:val="Item"/>
        <w:spacing w:after="120"/>
        <w:ind w:left="425"/>
      </w:pPr>
      <w:r>
        <w:t>I</w:t>
      </w:r>
      <w:r w:rsidRPr="00A507AD">
        <w:t>n clause 9 of the Statements of Principles to be amended as listed in paragraph 2</w:t>
      </w:r>
      <w:r w:rsidR="008A2311">
        <w:t xml:space="preserve"> of Part 2</w:t>
      </w:r>
      <w:r w:rsidR="00103F9D">
        <w:t xml:space="preserve"> of this Schedule</w:t>
      </w:r>
      <w:r>
        <w:t>:</w:t>
      </w:r>
    </w:p>
    <w:p w14:paraId="4D518DEC" w14:textId="36664C32" w:rsidR="00750C94" w:rsidRDefault="00F93510" w:rsidP="00F93510">
      <w:pPr>
        <w:pStyle w:val="Item"/>
        <w:spacing w:after="120"/>
        <w:ind w:left="425"/>
      </w:pPr>
      <w:r>
        <w:t>(a)</w:t>
      </w:r>
      <w:r w:rsidRPr="00A507AD">
        <w:t xml:space="preserve"> </w:t>
      </w:r>
      <w:r w:rsidR="00AF7807">
        <w:t xml:space="preserve">  </w:t>
      </w:r>
      <w:r w:rsidR="00470A16">
        <w:t xml:space="preserve">Omit the note </w:t>
      </w:r>
      <w:r w:rsidR="008A2311">
        <w:t xml:space="preserve">commencing </w:t>
      </w:r>
      <w:r w:rsidR="004F5AC1" w:rsidRPr="0049537C">
        <w:rPr>
          <w:b/>
          <w:i/>
        </w:rPr>
        <w:t>"</w:t>
      </w:r>
      <w:r w:rsidR="000E03F9" w:rsidRPr="008A2311">
        <w:rPr>
          <w:b/>
          <w:i/>
        </w:rPr>
        <w:t>pack</w:t>
      </w:r>
      <w:r w:rsidR="00AF7807" w:rsidRPr="008A2311">
        <w:rPr>
          <w:b/>
          <w:i/>
        </w:rPr>
        <w:t>-</w:t>
      </w:r>
      <w:r w:rsidR="000E03F9" w:rsidRPr="008A2311">
        <w:rPr>
          <w:b/>
          <w:i/>
        </w:rPr>
        <w:t>year</w:t>
      </w:r>
      <w:r w:rsidR="004F5AC1">
        <w:rPr>
          <w:b/>
          <w:i/>
        </w:rPr>
        <w:t>"</w:t>
      </w:r>
      <w:r w:rsidR="00A507AD">
        <w:rPr>
          <w:b/>
          <w:i/>
        </w:rPr>
        <w:t xml:space="preserve"> </w:t>
      </w:r>
      <w:r w:rsidR="00A507AD" w:rsidRPr="00A507AD">
        <w:t>and substitute the following:</w:t>
      </w:r>
    </w:p>
    <w:p w14:paraId="1ED6C9F4" w14:textId="047D6BE4" w:rsidR="00750C94" w:rsidRDefault="00470A16" w:rsidP="0049537C">
      <w:pPr>
        <w:ind w:left="1418"/>
      </w:pPr>
      <w:r w:rsidRPr="00470A16">
        <w:rPr>
          <w:szCs w:val="22"/>
        </w:rPr>
        <w:t>Note</w:t>
      </w:r>
      <w:r w:rsidR="00AF7807">
        <w:rPr>
          <w:szCs w:val="22"/>
        </w:rPr>
        <w:t>:</w:t>
      </w:r>
      <w:r w:rsidR="00483178">
        <w:rPr>
          <w:b/>
          <w:i/>
          <w:szCs w:val="22"/>
        </w:rPr>
        <w:t xml:space="preserve"> one pack</w:t>
      </w:r>
      <w:r w:rsidR="00AF7807">
        <w:rPr>
          <w:b/>
          <w:i/>
          <w:szCs w:val="22"/>
        </w:rPr>
        <w:t>-</w:t>
      </w:r>
      <w:r w:rsidRPr="00470A16">
        <w:rPr>
          <w:b/>
          <w:i/>
          <w:szCs w:val="22"/>
        </w:rPr>
        <w:t>year</w:t>
      </w:r>
      <w:r>
        <w:rPr>
          <w:szCs w:val="22"/>
        </w:rPr>
        <w:t xml:space="preserve"> is defined in the Schedule 1 Dictionary</w:t>
      </w:r>
      <w:r w:rsidR="00AF7807">
        <w:rPr>
          <w:szCs w:val="22"/>
        </w:rPr>
        <w:t>.</w:t>
      </w:r>
    </w:p>
    <w:p w14:paraId="2A70BF15" w14:textId="6E2FEFC4" w:rsidR="00293BD5" w:rsidRPr="00902E3B" w:rsidRDefault="008A2311" w:rsidP="00293BD5">
      <w:pPr>
        <w:pStyle w:val="SH1"/>
        <w:rPr>
          <w:rStyle w:val="CharAmPartText"/>
        </w:rPr>
      </w:pPr>
      <w:bookmarkStart w:id="16" w:name="_Toc488225003"/>
      <w:bookmarkStart w:id="17" w:name="_Toc488309207"/>
      <w:bookmarkStart w:id="18" w:name="_Toc109201185"/>
      <w:r w:rsidRPr="00750C94">
        <w:t xml:space="preserve">Part </w:t>
      </w:r>
      <w:r>
        <w:t>2</w:t>
      </w:r>
      <w:r w:rsidRPr="00750C94">
        <w:t>—</w:t>
      </w:r>
      <w:r w:rsidR="00293BD5" w:rsidRPr="00902E3B">
        <w:rPr>
          <w:rStyle w:val="CharAmPartText"/>
        </w:rPr>
        <w:t>Amendments of clause 1 of Schedule 1 to certain Statements of Principles</w:t>
      </w:r>
      <w:bookmarkEnd w:id="16"/>
      <w:bookmarkEnd w:id="17"/>
      <w:bookmarkEnd w:id="18"/>
    </w:p>
    <w:p w14:paraId="425F640B" w14:textId="77777777" w:rsidR="00293BD5" w:rsidRPr="00902E3B" w:rsidRDefault="00293BD5" w:rsidP="00293BD5">
      <w:pPr>
        <w:pStyle w:val="ItemHead"/>
        <w:numPr>
          <w:ilvl w:val="0"/>
          <w:numId w:val="22"/>
        </w:numPr>
        <w:ind w:left="426" w:hanging="426"/>
        <w:rPr>
          <w:rFonts w:ascii="Times New Roman" w:hAnsi="Times New Roman"/>
        </w:rPr>
      </w:pPr>
      <w:r w:rsidRPr="00902E3B">
        <w:rPr>
          <w:rFonts w:ascii="Times New Roman" w:hAnsi="Times New Roman"/>
        </w:rPr>
        <w:t>Amendments of definition</w:t>
      </w:r>
      <w:r w:rsidR="00053EEE">
        <w:rPr>
          <w:rFonts w:ascii="Times New Roman" w:hAnsi="Times New Roman"/>
        </w:rPr>
        <w:t>s</w:t>
      </w:r>
    </w:p>
    <w:p w14:paraId="608DC48C" w14:textId="198D2094" w:rsidR="00CB09F4" w:rsidRDefault="00CB09F4" w:rsidP="00CB09F4">
      <w:pPr>
        <w:pStyle w:val="Item"/>
        <w:spacing w:after="120"/>
        <w:ind w:left="425"/>
      </w:pPr>
      <w:r>
        <w:t>I</w:t>
      </w:r>
      <w:r w:rsidRPr="00A507AD">
        <w:t xml:space="preserve">n </w:t>
      </w:r>
      <w:r w:rsidRPr="00D16808">
        <w:t>clause 1 of Schedule 1 to the Statements of Principles to be amended as listed in paragraph 2 of this Part</w:t>
      </w:r>
      <w:r>
        <w:t>:</w:t>
      </w:r>
    </w:p>
    <w:p w14:paraId="16B0E330" w14:textId="6C79088B" w:rsidR="00563428" w:rsidRPr="001C0C88" w:rsidRDefault="00563428" w:rsidP="0049537C">
      <w:pPr>
        <w:pStyle w:val="Item"/>
        <w:spacing w:after="120"/>
        <w:ind w:left="822" w:hanging="397"/>
        <w:rPr>
          <w:szCs w:val="22"/>
        </w:rPr>
      </w:pPr>
      <w:r>
        <w:rPr>
          <w:szCs w:val="22"/>
        </w:rPr>
        <w:t>(</w:t>
      </w:r>
      <w:r w:rsidR="00532E64">
        <w:rPr>
          <w:szCs w:val="22"/>
        </w:rPr>
        <w:t>a</w:t>
      </w:r>
      <w:r>
        <w:rPr>
          <w:szCs w:val="22"/>
        </w:rPr>
        <w:t xml:space="preserve">) </w:t>
      </w:r>
      <w:r w:rsidR="00AF7807">
        <w:rPr>
          <w:szCs w:val="22"/>
        </w:rPr>
        <w:t xml:space="preserve">  </w:t>
      </w:r>
      <w:r w:rsidR="00544AE0">
        <w:rPr>
          <w:szCs w:val="22"/>
        </w:rPr>
        <w:t>Omit the definition commencing</w:t>
      </w:r>
      <w:r w:rsidRPr="001C0C88">
        <w:rPr>
          <w:szCs w:val="22"/>
        </w:rPr>
        <w:t xml:space="preserve"> </w:t>
      </w:r>
      <w:r w:rsidR="00AF7807" w:rsidRPr="00AF7807">
        <w:rPr>
          <w:b/>
          <w:i/>
          <w:szCs w:val="22"/>
        </w:rPr>
        <w:t>"</w:t>
      </w:r>
      <w:r w:rsidR="00470A16">
        <w:rPr>
          <w:b/>
          <w:i/>
          <w:szCs w:val="22"/>
        </w:rPr>
        <w:t>pack</w:t>
      </w:r>
      <w:r w:rsidR="00AF7807">
        <w:rPr>
          <w:b/>
          <w:i/>
          <w:szCs w:val="22"/>
        </w:rPr>
        <w:t>-</w:t>
      </w:r>
      <w:r w:rsidR="00470A16">
        <w:rPr>
          <w:b/>
          <w:i/>
          <w:szCs w:val="22"/>
        </w:rPr>
        <w:t>year</w:t>
      </w:r>
      <w:r w:rsidR="00AF7807">
        <w:rPr>
          <w:b/>
          <w:i/>
          <w:szCs w:val="22"/>
        </w:rPr>
        <w:t>"</w:t>
      </w:r>
      <w:r>
        <w:rPr>
          <w:b/>
          <w:szCs w:val="22"/>
        </w:rPr>
        <w:t xml:space="preserve"> </w:t>
      </w:r>
      <w:r w:rsidRPr="001C0C88">
        <w:rPr>
          <w:szCs w:val="22"/>
        </w:rPr>
        <w:t>and substitute</w:t>
      </w:r>
      <w:r w:rsidR="00A17E39">
        <w:rPr>
          <w:szCs w:val="22"/>
        </w:rPr>
        <w:t xml:space="preserve"> the following</w:t>
      </w:r>
      <w:r w:rsidR="00470A16">
        <w:rPr>
          <w:szCs w:val="22"/>
        </w:rPr>
        <w:t xml:space="preserve"> in alphabetical order</w:t>
      </w:r>
      <w:r w:rsidRPr="001C0C88">
        <w:rPr>
          <w:szCs w:val="22"/>
        </w:rPr>
        <w:t>:</w:t>
      </w:r>
    </w:p>
    <w:p w14:paraId="5479CC32" w14:textId="77777777" w:rsidR="00470A16" w:rsidRPr="009B57EA" w:rsidRDefault="00470A16" w:rsidP="00470A16">
      <w:pPr>
        <w:pStyle w:val="SH3"/>
        <w:ind w:left="851"/>
      </w:pPr>
      <w:proofErr w:type="gramStart"/>
      <w:r w:rsidRPr="009B57EA">
        <w:rPr>
          <w:b/>
          <w:i/>
          <w:lang w:val="en-US"/>
        </w:rPr>
        <w:t>one</w:t>
      </w:r>
      <w:proofErr w:type="gramEnd"/>
      <w:r w:rsidRPr="009B57EA">
        <w:rPr>
          <w:b/>
          <w:i/>
          <w:lang w:val="en-US"/>
        </w:rPr>
        <w:t xml:space="preserve"> pack-year</w:t>
      </w:r>
      <w:r w:rsidRPr="009B57EA">
        <w:rPr>
          <w:lang w:val="en-US"/>
        </w:rPr>
        <w:t xml:space="preserve"> means the amount of tobacco consumed in smoking 20 cigarettes per day for a period of 1 year, or an equivalent amount of tobacco products.</w:t>
      </w:r>
    </w:p>
    <w:p w14:paraId="5F9B76D7" w14:textId="77777777" w:rsidR="00470A16" w:rsidRPr="009B57EA" w:rsidRDefault="00470A16" w:rsidP="00470A16">
      <w:pPr>
        <w:pStyle w:val="ScheduleNote"/>
        <w:ind w:left="1441" w:hanging="590"/>
      </w:pPr>
      <w:r w:rsidRPr="009B57EA">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14:paraId="6A2AFB1B" w14:textId="77777777" w:rsidR="00470A16" w:rsidRPr="009B57EA" w:rsidRDefault="00470A16" w:rsidP="00470A16">
      <w:pPr>
        <w:pStyle w:val="ScheduleNote"/>
        <w:ind w:left="1441" w:hanging="590"/>
      </w:pPr>
      <w:r w:rsidRPr="009B57EA">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38AC8736" w14:textId="4EB0BD4A" w:rsidR="00293BD5" w:rsidRDefault="00293BD5" w:rsidP="00A4142A">
      <w:pPr>
        <w:pStyle w:val="ItemHead"/>
        <w:numPr>
          <w:ilvl w:val="0"/>
          <w:numId w:val="23"/>
        </w:numPr>
        <w:spacing w:after="120"/>
        <w:ind w:left="425" w:hanging="425"/>
        <w:rPr>
          <w:rFonts w:ascii="Times New Roman" w:hAnsi="Times New Roman"/>
        </w:rPr>
      </w:pPr>
      <w:r w:rsidRPr="00FB51C5">
        <w:rPr>
          <w:rFonts w:ascii="Times New Roman" w:hAnsi="Times New Roman"/>
        </w:rPr>
        <w:t>Statements of Principles to be amended:</w:t>
      </w:r>
    </w:p>
    <w:p w14:paraId="7A640EFE" w14:textId="77777777" w:rsidR="002216D8" w:rsidRDefault="002216D8" w:rsidP="002216D8">
      <w:pPr>
        <w:pStyle w:val="Item"/>
        <w:ind w:left="1"/>
      </w:pPr>
      <w:r>
        <w:t>Statement of Principles concerning ankylosing spondylitis (Reasonable Hypothesis) (No. 39 of 2021)</w:t>
      </w:r>
    </w:p>
    <w:p w14:paraId="6BA030BE" w14:textId="77777777" w:rsidR="002216D8" w:rsidRDefault="002216D8" w:rsidP="002216D8">
      <w:pPr>
        <w:pStyle w:val="Item"/>
        <w:ind w:left="1"/>
      </w:pPr>
      <w:r>
        <w:t>Statement of Principles concerning ankylosing spondylitis (Balance of Probabilities) (No. 40 of 2021)</w:t>
      </w:r>
    </w:p>
    <w:p w14:paraId="7B7ACD59" w14:textId="77777777" w:rsidR="002216D8" w:rsidRDefault="002216D8" w:rsidP="002216D8">
      <w:pPr>
        <w:pStyle w:val="Item"/>
        <w:ind w:left="1"/>
      </w:pPr>
      <w:r>
        <w:t>Statement of Principles concerning anosmia (Reasonable Hypothesis) (No. 19 of 2021)</w:t>
      </w:r>
    </w:p>
    <w:p w14:paraId="3124D7ED" w14:textId="77777777" w:rsidR="002216D8" w:rsidRDefault="002216D8" w:rsidP="002216D8">
      <w:pPr>
        <w:pStyle w:val="Item"/>
        <w:ind w:left="1"/>
      </w:pPr>
      <w:r>
        <w:t>Statement of Principles concerning anosmia (Balance of Probabilities) (No. 20 of 2021)</w:t>
      </w:r>
    </w:p>
    <w:p w14:paraId="6D7C7E08" w14:textId="77777777" w:rsidR="002216D8" w:rsidRDefault="002216D8" w:rsidP="002216D8">
      <w:pPr>
        <w:pStyle w:val="Item"/>
        <w:ind w:left="1"/>
      </w:pPr>
      <w:r>
        <w:t>Statement of Principles concerning aortic aneurysm and aortic wall disorders (Reasonable Hypothesis) (No. 21 of 2021)</w:t>
      </w:r>
    </w:p>
    <w:p w14:paraId="5BFBD810" w14:textId="77777777" w:rsidR="002216D8" w:rsidRDefault="002216D8" w:rsidP="002216D8">
      <w:pPr>
        <w:pStyle w:val="Item"/>
        <w:ind w:left="1"/>
      </w:pPr>
      <w:r>
        <w:t>Statement of Principles concerning aortic aneurysm and aortic wall disorders (Balance of Probabilities) (No. 22 of 2021)</w:t>
      </w:r>
    </w:p>
    <w:p w14:paraId="679CD206" w14:textId="77777777" w:rsidR="002216D8" w:rsidRDefault="002216D8" w:rsidP="002216D8">
      <w:pPr>
        <w:pStyle w:val="Item"/>
        <w:ind w:left="1"/>
      </w:pPr>
      <w:r>
        <w:t>Statement of Principles concerning asthma (Reasonable Hypothesis) (No. 31 of 2021)</w:t>
      </w:r>
    </w:p>
    <w:p w14:paraId="063225D2" w14:textId="77777777" w:rsidR="002216D8" w:rsidRDefault="002216D8" w:rsidP="002216D8">
      <w:pPr>
        <w:pStyle w:val="Item"/>
        <w:ind w:left="1"/>
      </w:pPr>
      <w:r>
        <w:lastRenderedPageBreak/>
        <w:t>Statement of Principles concerning asthma (Balance of Probabilities) (No. 32 of 2021)</w:t>
      </w:r>
    </w:p>
    <w:p w14:paraId="4CE1A382" w14:textId="77777777" w:rsidR="002216D8" w:rsidRDefault="002216D8" w:rsidP="002216D8">
      <w:pPr>
        <w:pStyle w:val="Item"/>
        <w:ind w:left="1"/>
      </w:pPr>
      <w:r>
        <w:t>Statement of Principles concerning carotid artery disease (Reasonable Hypothesis) (No. 54 of 2020)</w:t>
      </w:r>
    </w:p>
    <w:p w14:paraId="074A913D" w14:textId="77777777" w:rsidR="002216D8" w:rsidRDefault="002216D8" w:rsidP="002216D8">
      <w:pPr>
        <w:pStyle w:val="Item"/>
        <w:ind w:left="1"/>
      </w:pPr>
      <w:r>
        <w:t>Statement of Principles concerning carotid artery disease (Balance of Probabilities) (No. 55 of 2020)</w:t>
      </w:r>
    </w:p>
    <w:p w14:paraId="52B290EC" w14:textId="77777777" w:rsidR="002216D8" w:rsidRDefault="002216D8" w:rsidP="002216D8">
      <w:pPr>
        <w:pStyle w:val="Item"/>
        <w:ind w:left="1"/>
      </w:pPr>
      <w:r>
        <w:t>Statement of Principles concerning chronic pancreatitis (Reasonable Hypothesis) (No. 64 of 2020)</w:t>
      </w:r>
    </w:p>
    <w:p w14:paraId="276E9DAE" w14:textId="77777777" w:rsidR="002216D8" w:rsidRDefault="002216D8" w:rsidP="002216D8">
      <w:pPr>
        <w:pStyle w:val="Item"/>
        <w:ind w:left="1"/>
      </w:pPr>
      <w:r>
        <w:t>Statement of Principles concerning chronic pancreatitis (Balance of Probabilities) (No. 65 of 2020)</w:t>
      </w:r>
    </w:p>
    <w:p w14:paraId="59A3DDEC" w14:textId="77777777" w:rsidR="002216D8" w:rsidRDefault="002216D8" w:rsidP="002216D8">
      <w:pPr>
        <w:pStyle w:val="Item"/>
        <w:ind w:left="1"/>
      </w:pPr>
      <w:r>
        <w:t>Statement of Principles concerning deep vein thrombosis (Reasonable Hypothesis) (No. 35 of 2021)</w:t>
      </w:r>
    </w:p>
    <w:p w14:paraId="7E858C09" w14:textId="77777777" w:rsidR="002216D8" w:rsidRDefault="002216D8" w:rsidP="002216D8">
      <w:pPr>
        <w:pStyle w:val="Item"/>
        <w:ind w:left="1"/>
      </w:pPr>
      <w:r>
        <w:t>Statement of Principles concerning deep vein thrombosis (Balance of Probabilities) (No. 36 of 2021)</w:t>
      </w:r>
    </w:p>
    <w:p w14:paraId="645A2549" w14:textId="77777777" w:rsidR="002216D8" w:rsidRDefault="002216D8" w:rsidP="002216D8">
      <w:pPr>
        <w:pStyle w:val="Item"/>
        <w:ind w:left="1"/>
      </w:pPr>
      <w:r>
        <w:t>Statement of Principles concerning diabetes mellitus (Reasonable Hypothesis) (No. 48 of 2020)</w:t>
      </w:r>
    </w:p>
    <w:p w14:paraId="715550A3" w14:textId="77777777" w:rsidR="002216D8" w:rsidRDefault="002216D8" w:rsidP="002216D8">
      <w:pPr>
        <w:pStyle w:val="Item"/>
        <w:ind w:left="1"/>
      </w:pPr>
      <w:r>
        <w:t>Statement of Principles concerning diabetes mellitus (Balance of Probabilities) (No. 49 of 2020)</w:t>
      </w:r>
    </w:p>
    <w:p w14:paraId="7103655D" w14:textId="77777777" w:rsidR="002216D8" w:rsidRDefault="002216D8" w:rsidP="002216D8">
      <w:pPr>
        <w:pStyle w:val="Item"/>
        <w:ind w:left="1"/>
      </w:pPr>
      <w:r>
        <w:t>Statement of Principles concerning giant cell arteritis (Reasonable Hypothesis) (No. 11 of 2021)</w:t>
      </w:r>
    </w:p>
    <w:p w14:paraId="2A548D35" w14:textId="77777777" w:rsidR="002216D8" w:rsidRDefault="002216D8" w:rsidP="002216D8">
      <w:pPr>
        <w:pStyle w:val="Item"/>
        <w:ind w:left="1"/>
      </w:pPr>
      <w:r>
        <w:t>Statement of Principles concerning giant cell arteritis (Balance of Probabilities) (No. 12 of 2021)</w:t>
      </w:r>
    </w:p>
    <w:p w14:paraId="08B9FDCD" w14:textId="77777777" w:rsidR="002216D8" w:rsidRDefault="002216D8" w:rsidP="002216D8">
      <w:pPr>
        <w:pStyle w:val="Item"/>
        <w:ind w:left="1"/>
      </w:pPr>
      <w:r>
        <w:t>Statement of Principles concerning inflammatory bowel disease (Reasonable Hypothesis) (No. 90 of 2020)</w:t>
      </w:r>
    </w:p>
    <w:p w14:paraId="624A6941" w14:textId="77777777" w:rsidR="002216D8" w:rsidRDefault="002216D8" w:rsidP="002216D8">
      <w:pPr>
        <w:pStyle w:val="Item"/>
        <w:ind w:left="1"/>
      </w:pPr>
      <w:r>
        <w:t>Statement of Principles concerning inflammatory bowel disease (Balance of Probabilities) (No. 91 of 2020)</w:t>
      </w:r>
    </w:p>
    <w:p w14:paraId="5BB4BCE7" w14:textId="77777777" w:rsidR="002216D8" w:rsidRDefault="002216D8" w:rsidP="002216D8">
      <w:pPr>
        <w:pStyle w:val="Item"/>
        <w:ind w:left="1"/>
      </w:pPr>
      <w:r>
        <w:t>Statement of Principles concerning malignant neoplasm of the cervix (Reasonable Hypothesis) (No. 80 of 2020)</w:t>
      </w:r>
    </w:p>
    <w:p w14:paraId="3FBFBF09" w14:textId="77777777" w:rsidR="002216D8" w:rsidRDefault="002216D8" w:rsidP="002216D8">
      <w:pPr>
        <w:pStyle w:val="Item"/>
        <w:ind w:left="1"/>
      </w:pPr>
      <w:r>
        <w:t>Statement of Principles concerning malignant neoplasm of the cervix (Balance of Probabilities) (No. 81 of 2020)</w:t>
      </w:r>
    </w:p>
    <w:p w14:paraId="3A10A34C" w14:textId="77777777" w:rsidR="002216D8" w:rsidRDefault="002216D8" w:rsidP="002216D8">
      <w:pPr>
        <w:pStyle w:val="Item"/>
        <w:ind w:left="1"/>
      </w:pPr>
      <w:r>
        <w:t>Statement of Principles concerning malignant neoplasm of the kidney (Reasonable Hypothesis) (No. 41 of 2021)</w:t>
      </w:r>
    </w:p>
    <w:p w14:paraId="2B556B15" w14:textId="77777777" w:rsidR="002216D8" w:rsidRDefault="002216D8" w:rsidP="002216D8">
      <w:pPr>
        <w:pStyle w:val="Item"/>
        <w:ind w:left="1"/>
      </w:pPr>
      <w:r>
        <w:t>Statement of Principles concerning malignant neoplasm of the kidney (Balance of Probabilities) (No. 42 of 2021)</w:t>
      </w:r>
    </w:p>
    <w:p w14:paraId="06F9E19E" w14:textId="77777777" w:rsidR="002216D8" w:rsidRDefault="002216D8" w:rsidP="002216D8">
      <w:pPr>
        <w:pStyle w:val="Item"/>
        <w:ind w:left="1"/>
      </w:pPr>
      <w:r>
        <w:t>Statement of Principles concerning non-aneurysmal aortic atherosclerotic disease (Reasonable Hypothesis) (No. 52 of 2020)</w:t>
      </w:r>
    </w:p>
    <w:p w14:paraId="3B512DD6" w14:textId="77777777" w:rsidR="002216D8" w:rsidRDefault="002216D8" w:rsidP="002216D8">
      <w:pPr>
        <w:pStyle w:val="Item"/>
        <w:ind w:left="1"/>
      </w:pPr>
      <w:r>
        <w:t>Statement of Principles concerning non-aneurysmal aortic atherosclerotic disease (Balance of Probabilities) (No. 53 of 2020)</w:t>
      </w:r>
    </w:p>
    <w:p w14:paraId="34583080" w14:textId="77777777" w:rsidR="002216D8" w:rsidRDefault="002216D8" w:rsidP="002216D8">
      <w:pPr>
        <w:pStyle w:val="Item"/>
        <w:ind w:left="1"/>
      </w:pPr>
      <w:r>
        <w:t>Statement of Principles concerning peripheral artery disease (Reasonable Hypothesis) (No. 70 of 2020)</w:t>
      </w:r>
    </w:p>
    <w:p w14:paraId="36497C76" w14:textId="77777777" w:rsidR="002216D8" w:rsidRDefault="002216D8" w:rsidP="002216D8">
      <w:pPr>
        <w:pStyle w:val="Item"/>
        <w:ind w:left="1"/>
      </w:pPr>
      <w:r>
        <w:t>Statement of Principles concerning peripheral artery disease (Balance of Probabilities) (No. 71 of 2020)</w:t>
      </w:r>
    </w:p>
    <w:p w14:paraId="3C388C2A" w14:textId="77777777" w:rsidR="002216D8" w:rsidRDefault="002216D8" w:rsidP="002216D8">
      <w:pPr>
        <w:pStyle w:val="Item"/>
        <w:ind w:left="1"/>
      </w:pPr>
      <w:r>
        <w:t>Statement of Principles concerning psoriasis (Reasonable Hypothesis) (No. 13 of 2021)</w:t>
      </w:r>
    </w:p>
    <w:p w14:paraId="6066042B" w14:textId="77777777" w:rsidR="002216D8" w:rsidRDefault="002216D8" w:rsidP="002216D8">
      <w:pPr>
        <w:pStyle w:val="Item"/>
        <w:ind w:left="1"/>
      </w:pPr>
      <w:r>
        <w:t>Statement of Principles concerning psoriasis (Balance of Probabilities) (No. 14 of 2021)</w:t>
      </w:r>
    </w:p>
    <w:p w14:paraId="44BAC874" w14:textId="77777777" w:rsidR="002216D8" w:rsidRDefault="002216D8" w:rsidP="002216D8">
      <w:pPr>
        <w:pStyle w:val="Item"/>
        <w:ind w:left="1"/>
      </w:pPr>
      <w:r>
        <w:lastRenderedPageBreak/>
        <w:t>Statement of Principles concerning pulmonary thromboembolism (Reasonable Hypothesis) (No. 37 of 2021)</w:t>
      </w:r>
    </w:p>
    <w:p w14:paraId="4CA8D405" w14:textId="77777777" w:rsidR="002216D8" w:rsidRDefault="002216D8" w:rsidP="002216D8">
      <w:pPr>
        <w:pStyle w:val="Item"/>
        <w:ind w:left="1"/>
      </w:pPr>
      <w:r>
        <w:t>Statement of Principles concerning pulmonary thromboembolism (Balance of Probabilities) (No. 38 of 2021)</w:t>
      </w:r>
    </w:p>
    <w:p w14:paraId="03DAA168" w14:textId="77777777" w:rsidR="002216D8" w:rsidRDefault="002216D8" w:rsidP="002216D8">
      <w:pPr>
        <w:pStyle w:val="Item"/>
        <w:ind w:left="1"/>
      </w:pPr>
      <w:r>
        <w:t>Statement of Principles concerning renal artery atherosclerotic disease (Reasonable Hypothesis) (No. 56 of 2020)</w:t>
      </w:r>
    </w:p>
    <w:p w14:paraId="756EC13C" w14:textId="77777777" w:rsidR="002216D8" w:rsidRDefault="002216D8" w:rsidP="002216D8">
      <w:pPr>
        <w:pStyle w:val="Item"/>
        <w:ind w:left="1"/>
      </w:pPr>
      <w:r>
        <w:t>Statement of Principles concerning renal artery atherosclerotic disease (Balance of Probabilities) (No. 57 of 2020)</w:t>
      </w:r>
    </w:p>
    <w:p w14:paraId="34F80C50" w14:textId="77777777" w:rsidR="002216D8" w:rsidRDefault="002216D8" w:rsidP="002216D8">
      <w:pPr>
        <w:pStyle w:val="Item"/>
        <w:ind w:left="1"/>
      </w:pPr>
      <w:r>
        <w:t>Statement of Principles concerning retinal vascular occlusion (Reasonable Hypothesis) (No. 50 of 2020)</w:t>
      </w:r>
    </w:p>
    <w:p w14:paraId="2AFD3A19" w14:textId="77777777" w:rsidR="002216D8" w:rsidRDefault="002216D8" w:rsidP="002216D8">
      <w:pPr>
        <w:pStyle w:val="Item"/>
        <w:ind w:left="1"/>
      </w:pPr>
      <w:r>
        <w:t>Statement of Principles concerning retinal vascular occlusion (Balance of Probabilities) (No. 51 of 2020)</w:t>
      </w:r>
    </w:p>
    <w:p w14:paraId="4FAA8D2D" w14:textId="77777777" w:rsidR="002216D8" w:rsidRDefault="002216D8" w:rsidP="002216D8">
      <w:pPr>
        <w:pStyle w:val="Item"/>
        <w:ind w:left="1"/>
      </w:pPr>
      <w:r>
        <w:t>Statement of Principles concerning tinnitus (Reasonable Hypothesis) (No. 84 of 2022)</w:t>
      </w:r>
    </w:p>
    <w:p w14:paraId="5CF6C4BF" w14:textId="77777777" w:rsidR="002216D8" w:rsidRDefault="002216D8" w:rsidP="002216D8">
      <w:pPr>
        <w:pStyle w:val="Item"/>
        <w:ind w:left="1"/>
      </w:pPr>
    </w:p>
    <w:p w14:paraId="6D5AA9E7" w14:textId="1F1671CA" w:rsidR="002216D8" w:rsidRPr="002216D8" w:rsidRDefault="002216D8" w:rsidP="002216D8">
      <w:pPr>
        <w:pStyle w:val="Item"/>
        <w:ind w:left="1"/>
      </w:pPr>
    </w:p>
    <w:sectPr w:rsidR="002216D8" w:rsidRPr="002216D8" w:rsidSect="00BE63BE">
      <w:headerReference w:type="default" r:id="rId10"/>
      <w:pgSz w:w="11907" w:h="16839" w:code="9"/>
      <w:pgMar w:top="2233" w:right="1797" w:bottom="1440" w:left="1797" w:header="720"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E8D4A" w14:textId="77777777" w:rsidR="00C47507" w:rsidRDefault="00C47507" w:rsidP="00715914">
      <w:pPr>
        <w:spacing w:line="240" w:lineRule="auto"/>
      </w:pPr>
      <w:r>
        <w:separator/>
      </w:r>
    </w:p>
  </w:endnote>
  <w:endnote w:type="continuationSeparator" w:id="0">
    <w:p w14:paraId="6194043D" w14:textId="77777777" w:rsidR="00C47507" w:rsidRDefault="00C4750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2729F" w14:textId="77777777" w:rsidR="00885EAB" w:rsidRPr="00E33C1C" w:rsidRDefault="00885EAB" w:rsidP="00CF2367">
    <w:pPr>
      <w:pBdr>
        <w:top w:val="single" w:sz="6" w:space="1" w:color="auto"/>
      </w:pBdr>
      <w:spacing w:before="120" w:line="0" w:lineRule="atLea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imes New Roman"/>
        <w:szCs w:val="24"/>
        <w:lang w:eastAsia="en-AU"/>
      </w:rPr>
      <w:id w:val="-1872748214"/>
      <w:docPartObj>
        <w:docPartGallery w:val="Page Numbers (Bottom of Page)"/>
        <w:docPartUnique/>
      </w:docPartObj>
    </w:sdtPr>
    <w:sdtEndPr/>
    <w:sdtContent>
      <w:sdt>
        <w:sdtPr>
          <w:rPr>
            <w:rFonts w:eastAsia="Times New Roman"/>
            <w:szCs w:val="24"/>
            <w:lang w:eastAsia="en-AU"/>
          </w:rPr>
          <w:id w:val="1341200943"/>
          <w:docPartObj>
            <w:docPartGallery w:val="Page Numbers (Top of Page)"/>
            <w:docPartUnique/>
          </w:docPartObj>
        </w:sdtPr>
        <w:sdtEndPr/>
        <w:sdtContent>
          <w:p w14:paraId="36F17782" w14:textId="77777777" w:rsidR="00F9481E" w:rsidRPr="00E33C1C" w:rsidRDefault="00F9481E" w:rsidP="00F9481E">
            <w:pPr>
              <w:pBdr>
                <w:top w:val="single" w:sz="6" w:space="1" w:color="auto"/>
              </w:pBdr>
              <w:spacing w:before="120" w:line="0" w:lineRule="atLeast"/>
              <w:rPr>
                <w:sz w:val="16"/>
                <w:szCs w:val="16"/>
              </w:rPr>
            </w:pPr>
          </w:p>
          <w:p w14:paraId="045C63CC" w14:textId="5C028620" w:rsidR="001D61E6" w:rsidRPr="001D61E6" w:rsidRDefault="001D61E6">
            <w:pPr>
              <w:pStyle w:val="Footer"/>
              <w:jc w:val="right"/>
            </w:pPr>
            <w:r w:rsidRPr="001D61E6">
              <w:t xml:space="preserve"> </w:t>
            </w:r>
            <w:r w:rsidRPr="001D61E6">
              <w:rPr>
                <w:bCs/>
                <w:i/>
                <w:sz w:val="18"/>
                <w:szCs w:val="18"/>
              </w:rPr>
              <w:fldChar w:fldCharType="begin"/>
            </w:r>
            <w:r w:rsidRPr="001D61E6">
              <w:rPr>
                <w:bCs/>
                <w:i/>
                <w:sz w:val="18"/>
                <w:szCs w:val="18"/>
              </w:rPr>
              <w:instrText xml:space="preserve"> PAGE </w:instrText>
            </w:r>
            <w:r w:rsidRPr="001D61E6">
              <w:rPr>
                <w:bCs/>
                <w:i/>
                <w:sz w:val="18"/>
                <w:szCs w:val="18"/>
              </w:rPr>
              <w:fldChar w:fldCharType="separate"/>
            </w:r>
            <w:r w:rsidR="00B95C1C">
              <w:rPr>
                <w:bCs/>
                <w:i/>
                <w:noProof/>
                <w:sz w:val="18"/>
                <w:szCs w:val="18"/>
              </w:rPr>
              <w:t>1</w:t>
            </w:r>
            <w:r w:rsidRPr="001D61E6">
              <w:rPr>
                <w:bCs/>
                <w:i/>
                <w:sz w:val="18"/>
                <w:szCs w:val="18"/>
              </w:rPr>
              <w:fldChar w:fldCharType="end"/>
            </w:r>
            <w:r w:rsidRPr="001D61E6">
              <w:rPr>
                <w:i/>
                <w:sz w:val="18"/>
                <w:szCs w:val="18"/>
              </w:rPr>
              <w:t xml:space="preserve"> of </w:t>
            </w:r>
            <w:r w:rsidRPr="001D61E6">
              <w:rPr>
                <w:bCs/>
                <w:i/>
                <w:sz w:val="18"/>
                <w:szCs w:val="18"/>
              </w:rPr>
              <w:fldChar w:fldCharType="begin"/>
            </w:r>
            <w:r w:rsidRPr="001D61E6">
              <w:rPr>
                <w:bCs/>
                <w:i/>
                <w:sz w:val="18"/>
                <w:szCs w:val="18"/>
              </w:rPr>
              <w:instrText xml:space="preserve"> NUMPAGES  </w:instrText>
            </w:r>
            <w:r w:rsidRPr="001D61E6">
              <w:rPr>
                <w:bCs/>
                <w:i/>
                <w:sz w:val="18"/>
                <w:szCs w:val="18"/>
              </w:rPr>
              <w:fldChar w:fldCharType="separate"/>
            </w:r>
            <w:r w:rsidR="00B95C1C">
              <w:rPr>
                <w:bCs/>
                <w:i/>
                <w:noProof/>
                <w:sz w:val="18"/>
                <w:szCs w:val="18"/>
              </w:rPr>
              <w:t>6</w:t>
            </w:r>
            <w:r w:rsidRPr="001D61E6">
              <w:rPr>
                <w:bCs/>
                <w:i/>
                <w:sz w:val="18"/>
                <w:szCs w:val="18"/>
              </w:rPr>
              <w:fldChar w:fldCharType="end"/>
            </w:r>
          </w:p>
        </w:sdtContent>
      </w:sdt>
    </w:sdtContent>
  </w:sdt>
  <w:p w14:paraId="676D4487" w14:textId="5368F9F6" w:rsidR="00EA4148" w:rsidRDefault="00EA4148" w:rsidP="00EA4148">
    <w:pPr>
      <w:pStyle w:val="Footer"/>
      <w:jc w:val="center"/>
      <w:rPr>
        <w:i/>
        <w:sz w:val="18"/>
      </w:rPr>
    </w:pPr>
    <w:r>
      <w:rPr>
        <w:i/>
        <w:sz w:val="18"/>
      </w:rPr>
      <w:t>Veterans' Entitlements (Statements of Principles—</w:t>
    </w:r>
    <w:r w:rsidR="004F5AC1">
      <w:rPr>
        <w:i/>
        <w:sz w:val="18"/>
      </w:rPr>
      <w:t>definition of "one pack-year"</w:t>
    </w:r>
    <w:r>
      <w:rPr>
        <w:i/>
        <w:sz w:val="18"/>
      </w:rPr>
      <w:t>)</w:t>
    </w:r>
  </w:p>
  <w:p w14:paraId="65EACA74" w14:textId="12EA1024" w:rsidR="001D61E6" w:rsidRDefault="00EA4148" w:rsidP="00EA4148">
    <w:pPr>
      <w:pStyle w:val="Footer"/>
      <w:jc w:val="center"/>
      <w:rPr>
        <w:i/>
        <w:sz w:val="18"/>
      </w:rPr>
    </w:pPr>
    <w:r>
      <w:rPr>
        <w:i/>
        <w:sz w:val="18"/>
      </w:rPr>
      <w:t>Amendment Determination 20</w:t>
    </w:r>
    <w:r w:rsidR="004F5AC1">
      <w:rPr>
        <w:i/>
        <w:sz w:val="18"/>
      </w:rPr>
      <w:t>22</w:t>
    </w:r>
    <w:r w:rsidR="00E532FB">
      <w:rPr>
        <w:i/>
        <w:sz w:val="18"/>
      </w:rPr>
      <w:t xml:space="preserve"> (No. </w:t>
    </w:r>
    <w:r w:rsidR="00751C62">
      <w:rPr>
        <w:i/>
        <w:sz w:val="18"/>
      </w:rPr>
      <w:t>94</w:t>
    </w:r>
    <w:r w:rsidR="004F5AC1">
      <w:rPr>
        <w:i/>
        <w:sz w:val="18"/>
      </w:rPr>
      <w:t xml:space="preserve"> </w:t>
    </w:r>
    <w:r w:rsidR="00E532FB">
      <w:rPr>
        <w:i/>
        <w:sz w:val="18"/>
      </w:rPr>
      <w:t>of 20</w:t>
    </w:r>
    <w:r w:rsidR="004F5AC1">
      <w:rPr>
        <w:i/>
        <w:sz w:val="18"/>
      </w:rPr>
      <w:t>22</w:t>
    </w:r>
    <w:r w:rsidR="00E532FB">
      <w:rPr>
        <w:i/>
        <w:sz w:val="18"/>
      </w:rPr>
      <w:t>)</w:t>
    </w:r>
  </w:p>
  <w:p w14:paraId="7B65B50E" w14:textId="77777777" w:rsidR="00E532FB" w:rsidRDefault="00E532FB" w:rsidP="00EA4148">
    <w:pPr>
      <w:pStyle w:val="Footer"/>
      <w:jc w:val="cente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37C3E" w14:textId="77777777" w:rsidR="00C47507" w:rsidRDefault="00C47507" w:rsidP="00715914">
      <w:pPr>
        <w:spacing w:line="240" w:lineRule="auto"/>
      </w:pPr>
      <w:r>
        <w:separator/>
      </w:r>
    </w:p>
  </w:footnote>
  <w:footnote w:type="continuationSeparator" w:id="0">
    <w:p w14:paraId="5FB020D8" w14:textId="77777777" w:rsidR="00C47507" w:rsidRDefault="00C4750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C4C6C" w14:textId="77777777" w:rsidR="00413EAE" w:rsidRDefault="00413EAE" w:rsidP="00750C94">
    <w:pPr>
      <w:rPr>
        <w:sz w:val="20"/>
      </w:rPr>
    </w:pPr>
    <w:r>
      <w:rPr>
        <w:b/>
        <w:noProof/>
        <w:sz w:val="20"/>
      </w:rPr>
      <w:t>Schedule 1</w:t>
    </w:r>
    <w:r>
      <w:rPr>
        <w:sz w:val="20"/>
      </w:rPr>
      <w:t xml:space="preserve"> - </w:t>
    </w:r>
    <w:r>
      <w:rPr>
        <w:noProof/>
        <w:sz w:val="20"/>
      </w:rPr>
      <w:t>Amendments</w:t>
    </w:r>
  </w:p>
  <w:p w14:paraId="144CA7B3" w14:textId="77777777" w:rsidR="00413EAE" w:rsidRDefault="00413EAE" w:rsidP="00750C94">
    <w:pPr>
      <w:rPr>
        <w:b/>
        <w:sz w:val="20"/>
      </w:rPr>
    </w:pPr>
  </w:p>
  <w:p w14:paraId="5BCA370C" w14:textId="77777777" w:rsidR="00413EAE" w:rsidRDefault="00413EAE" w:rsidP="00750C94">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4E069C0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4ED758F"/>
    <w:multiLevelType w:val="hybridMultilevel"/>
    <w:tmpl w:val="7E2CF2B6"/>
    <w:lvl w:ilvl="0" w:tplc="F7FC2B5E">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05665EE"/>
    <w:multiLevelType w:val="hybridMultilevel"/>
    <w:tmpl w:val="C9463000"/>
    <w:lvl w:ilvl="0" w:tplc="C758ECD8">
      <w:start w:val="1"/>
      <w:numFmt w:val="upperLetter"/>
      <w:lvlText w:val="(%1)"/>
      <w:lvlJc w:val="left"/>
      <w:pPr>
        <w:ind w:left="1154" w:hanging="360"/>
      </w:pPr>
      <w:rPr>
        <w:rFonts w:hint="default"/>
      </w:rPr>
    </w:lvl>
    <w:lvl w:ilvl="1" w:tplc="0C090019" w:tentative="1">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17" w15:restartNumberingAfterBreak="0">
    <w:nsid w:val="45546FD8"/>
    <w:multiLevelType w:val="hybridMultilevel"/>
    <w:tmpl w:val="FA063E66"/>
    <w:lvl w:ilvl="0" w:tplc="B58408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B4556EA"/>
    <w:multiLevelType w:val="hybridMultilevel"/>
    <w:tmpl w:val="34B8BCFA"/>
    <w:lvl w:ilvl="0" w:tplc="A1444DD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54876AC"/>
    <w:multiLevelType w:val="hybridMultilevel"/>
    <w:tmpl w:val="0F941540"/>
    <w:lvl w:ilvl="0" w:tplc="C9A68C02">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7B877D2"/>
    <w:multiLevelType w:val="hybridMultilevel"/>
    <w:tmpl w:val="18E6A3EC"/>
    <w:lvl w:ilvl="0" w:tplc="61E61AF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250B4F"/>
    <w:multiLevelType w:val="hybridMultilevel"/>
    <w:tmpl w:val="223821D6"/>
    <w:lvl w:ilvl="0" w:tplc="EE806B50">
      <w:start w:val="1"/>
      <w:numFmt w:val="lowerLetter"/>
      <w:lvlText w:val="(%1)"/>
      <w:lvlJc w:val="left"/>
      <w:pPr>
        <w:tabs>
          <w:tab w:val="num" w:pos="2175"/>
        </w:tabs>
        <w:ind w:left="2175" w:hanging="735"/>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8"/>
  </w:num>
  <w:num w:numId="22">
    <w:abstractNumId w:val="17"/>
  </w:num>
  <w:num w:numId="23">
    <w:abstractNumId w:val="19"/>
  </w:num>
  <w:num w:numId="24">
    <w:abstractNumId w:val="16"/>
  </w:num>
  <w:num w:numId="25">
    <w:abstractNumId w:val="20"/>
  </w:num>
  <w:num w:numId="2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076A"/>
    <w:rsid w:val="000437C1"/>
    <w:rsid w:val="00046E67"/>
    <w:rsid w:val="00051B75"/>
    <w:rsid w:val="0005365D"/>
    <w:rsid w:val="00053EEE"/>
    <w:rsid w:val="00054930"/>
    <w:rsid w:val="000614BF"/>
    <w:rsid w:val="00061E3E"/>
    <w:rsid w:val="0007523E"/>
    <w:rsid w:val="00081B7C"/>
    <w:rsid w:val="00085567"/>
    <w:rsid w:val="0008674F"/>
    <w:rsid w:val="00097FDF"/>
    <w:rsid w:val="000A3D68"/>
    <w:rsid w:val="000A5FCD"/>
    <w:rsid w:val="000B1350"/>
    <w:rsid w:val="000B58FA"/>
    <w:rsid w:val="000C21A3"/>
    <w:rsid w:val="000C664A"/>
    <w:rsid w:val="000C6D96"/>
    <w:rsid w:val="000D05EF"/>
    <w:rsid w:val="000D4D03"/>
    <w:rsid w:val="000D77A5"/>
    <w:rsid w:val="000E03F9"/>
    <w:rsid w:val="000E1231"/>
    <w:rsid w:val="000E2261"/>
    <w:rsid w:val="000E4183"/>
    <w:rsid w:val="000F21C1"/>
    <w:rsid w:val="000F76FA"/>
    <w:rsid w:val="0010194D"/>
    <w:rsid w:val="00101F89"/>
    <w:rsid w:val="00103F9D"/>
    <w:rsid w:val="001058EA"/>
    <w:rsid w:val="0010745C"/>
    <w:rsid w:val="00132CEB"/>
    <w:rsid w:val="00137D25"/>
    <w:rsid w:val="00137FE9"/>
    <w:rsid w:val="00142B62"/>
    <w:rsid w:val="0015201F"/>
    <w:rsid w:val="00157B8B"/>
    <w:rsid w:val="00161A8E"/>
    <w:rsid w:val="001648F7"/>
    <w:rsid w:val="00166C2F"/>
    <w:rsid w:val="00167E0C"/>
    <w:rsid w:val="00174393"/>
    <w:rsid w:val="001809D7"/>
    <w:rsid w:val="001833C8"/>
    <w:rsid w:val="00187DE1"/>
    <w:rsid w:val="0019084F"/>
    <w:rsid w:val="00190AF3"/>
    <w:rsid w:val="001939E1"/>
    <w:rsid w:val="00194C3E"/>
    <w:rsid w:val="00195382"/>
    <w:rsid w:val="00195AF7"/>
    <w:rsid w:val="001A1438"/>
    <w:rsid w:val="001B0F26"/>
    <w:rsid w:val="001C0C88"/>
    <w:rsid w:val="001C2AD2"/>
    <w:rsid w:val="001C55F6"/>
    <w:rsid w:val="001C5E21"/>
    <w:rsid w:val="001C61C5"/>
    <w:rsid w:val="001C669F"/>
    <w:rsid w:val="001C69C4"/>
    <w:rsid w:val="001C77EE"/>
    <w:rsid w:val="001D2262"/>
    <w:rsid w:val="001D37EF"/>
    <w:rsid w:val="001D3EA4"/>
    <w:rsid w:val="001D407A"/>
    <w:rsid w:val="001D61E6"/>
    <w:rsid w:val="001D67F6"/>
    <w:rsid w:val="001E1831"/>
    <w:rsid w:val="001E3590"/>
    <w:rsid w:val="001E44BE"/>
    <w:rsid w:val="001E7407"/>
    <w:rsid w:val="001F5D5E"/>
    <w:rsid w:val="001F61B0"/>
    <w:rsid w:val="001F6219"/>
    <w:rsid w:val="001F6CD4"/>
    <w:rsid w:val="00206C4D"/>
    <w:rsid w:val="0021053C"/>
    <w:rsid w:val="00214488"/>
    <w:rsid w:val="00215860"/>
    <w:rsid w:val="00215AF1"/>
    <w:rsid w:val="002216D8"/>
    <w:rsid w:val="00223A31"/>
    <w:rsid w:val="00223E2C"/>
    <w:rsid w:val="00225CBD"/>
    <w:rsid w:val="00226ECC"/>
    <w:rsid w:val="002321E8"/>
    <w:rsid w:val="00236EEC"/>
    <w:rsid w:val="00237471"/>
    <w:rsid w:val="002376A0"/>
    <w:rsid w:val="00237BAF"/>
    <w:rsid w:val="0024010F"/>
    <w:rsid w:val="00240749"/>
    <w:rsid w:val="00243018"/>
    <w:rsid w:val="002564A4"/>
    <w:rsid w:val="002650E6"/>
    <w:rsid w:val="002664A2"/>
    <w:rsid w:val="0026736C"/>
    <w:rsid w:val="002716E4"/>
    <w:rsid w:val="002717B2"/>
    <w:rsid w:val="002773D7"/>
    <w:rsid w:val="00280B57"/>
    <w:rsid w:val="00281308"/>
    <w:rsid w:val="00281DF7"/>
    <w:rsid w:val="0028375E"/>
    <w:rsid w:val="00284719"/>
    <w:rsid w:val="00293BD5"/>
    <w:rsid w:val="00297ECB"/>
    <w:rsid w:val="002A1ECC"/>
    <w:rsid w:val="002A2642"/>
    <w:rsid w:val="002A3436"/>
    <w:rsid w:val="002A7BCF"/>
    <w:rsid w:val="002B45FA"/>
    <w:rsid w:val="002B5188"/>
    <w:rsid w:val="002C7539"/>
    <w:rsid w:val="002D043A"/>
    <w:rsid w:val="002D2AA2"/>
    <w:rsid w:val="002D6224"/>
    <w:rsid w:val="002E35CD"/>
    <w:rsid w:val="002E3F4B"/>
    <w:rsid w:val="002F37C5"/>
    <w:rsid w:val="002F5948"/>
    <w:rsid w:val="002F77A1"/>
    <w:rsid w:val="00301C54"/>
    <w:rsid w:val="00304166"/>
    <w:rsid w:val="00304F8B"/>
    <w:rsid w:val="0031215A"/>
    <w:rsid w:val="0033221D"/>
    <w:rsid w:val="003354D2"/>
    <w:rsid w:val="00335BC6"/>
    <w:rsid w:val="003415D3"/>
    <w:rsid w:val="00344701"/>
    <w:rsid w:val="00352B0F"/>
    <w:rsid w:val="00356690"/>
    <w:rsid w:val="00360459"/>
    <w:rsid w:val="003615C7"/>
    <w:rsid w:val="00365E25"/>
    <w:rsid w:val="00372FCC"/>
    <w:rsid w:val="003734C6"/>
    <w:rsid w:val="00374ECB"/>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0413C"/>
    <w:rsid w:val="004047CF"/>
    <w:rsid w:val="004116CD"/>
    <w:rsid w:val="0041386E"/>
    <w:rsid w:val="00413EAE"/>
    <w:rsid w:val="004144EC"/>
    <w:rsid w:val="00417EB9"/>
    <w:rsid w:val="00420A33"/>
    <w:rsid w:val="00420AD3"/>
    <w:rsid w:val="0042300E"/>
    <w:rsid w:val="00424CA9"/>
    <w:rsid w:val="00431E9B"/>
    <w:rsid w:val="00436129"/>
    <w:rsid w:val="004379E3"/>
    <w:rsid w:val="0044015E"/>
    <w:rsid w:val="004419CD"/>
    <w:rsid w:val="0044291A"/>
    <w:rsid w:val="00444ABD"/>
    <w:rsid w:val="00446C83"/>
    <w:rsid w:val="00456CE5"/>
    <w:rsid w:val="00467661"/>
    <w:rsid w:val="004705B7"/>
    <w:rsid w:val="00470A16"/>
    <w:rsid w:val="00472DBE"/>
    <w:rsid w:val="00474A19"/>
    <w:rsid w:val="00483178"/>
    <w:rsid w:val="004834A1"/>
    <w:rsid w:val="004840A6"/>
    <w:rsid w:val="004874CB"/>
    <w:rsid w:val="004916B9"/>
    <w:rsid w:val="0049537C"/>
    <w:rsid w:val="00496F97"/>
    <w:rsid w:val="004A0759"/>
    <w:rsid w:val="004A3E7F"/>
    <w:rsid w:val="004A4764"/>
    <w:rsid w:val="004A5E4B"/>
    <w:rsid w:val="004A6A62"/>
    <w:rsid w:val="004C6AE8"/>
    <w:rsid w:val="004C6D55"/>
    <w:rsid w:val="004D0643"/>
    <w:rsid w:val="004D0DD4"/>
    <w:rsid w:val="004D10CF"/>
    <w:rsid w:val="004D3C68"/>
    <w:rsid w:val="004D4BCA"/>
    <w:rsid w:val="004E063A"/>
    <w:rsid w:val="004E7BEC"/>
    <w:rsid w:val="004F23E0"/>
    <w:rsid w:val="004F2AA9"/>
    <w:rsid w:val="004F5AC1"/>
    <w:rsid w:val="00505D3D"/>
    <w:rsid w:val="00506AF6"/>
    <w:rsid w:val="00513D05"/>
    <w:rsid w:val="00516768"/>
    <w:rsid w:val="00516B8D"/>
    <w:rsid w:val="005226B5"/>
    <w:rsid w:val="005268CF"/>
    <w:rsid w:val="00527273"/>
    <w:rsid w:val="00532DBF"/>
    <w:rsid w:val="00532E64"/>
    <w:rsid w:val="0053697E"/>
    <w:rsid w:val="00537FBC"/>
    <w:rsid w:val="00544AE0"/>
    <w:rsid w:val="00545116"/>
    <w:rsid w:val="005574D1"/>
    <w:rsid w:val="00563428"/>
    <w:rsid w:val="00571FBB"/>
    <w:rsid w:val="00574179"/>
    <w:rsid w:val="00575A90"/>
    <w:rsid w:val="00584811"/>
    <w:rsid w:val="00585784"/>
    <w:rsid w:val="00593AA6"/>
    <w:rsid w:val="00594161"/>
    <w:rsid w:val="00594749"/>
    <w:rsid w:val="005B05D3"/>
    <w:rsid w:val="005B0EC9"/>
    <w:rsid w:val="005B4067"/>
    <w:rsid w:val="005C3F41"/>
    <w:rsid w:val="005C74AC"/>
    <w:rsid w:val="005C7B57"/>
    <w:rsid w:val="005D2D09"/>
    <w:rsid w:val="005D57F8"/>
    <w:rsid w:val="005E235B"/>
    <w:rsid w:val="005E589B"/>
    <w:rsid w:val="005E7FC2"/>
    <w:rsid w:val="005F077E"/>
    <w:rsid w:val="005F5EEA"/>
    <w:rsid w:val="00600219"/>
    <w:rsid w:val="006013B7"/>
    <w:rsid w:val="00603D01"/>
    <w:rsid w:val="00603DC4"/>
    <w:rsid w:val="00611E18"/>
    <w:rsid w:val="00615B89"/>
    <w:rsid w:val="00616FF5"/>
    <w:rsid w:val="00617C4E"/>
    <w:rsid w:val="00620076"/>
    <w:rsid w:val="006314DD"/>
    <w:rsid w:val="006501E2"/>
    <w:rsid w:val="0066266D"/>
    <w:rsid w:val="006647B7"/>
    <w:rsid w:val="00667A4E"/>
    <w:rsid w:val="00670EA1"/>
    <w:rsid w:val="00677CC2"/>
    <w:rsid w:val="006840B0"/>
    <w:rsid w:val="00684C0E"/>
    <w:rsid w:val="006905DE"/>
    <w:rsid w:val="0069207B"/>
    <w:rsid w:val="0069220C"/>
    <w:rsid w:val="00695023"/>
    <w:rsid w:val="0069578B"/>
    <w:rsid w:val="006B4A90"/>
    <w:rsid w:val="006B5789"/>
    <w:rsid w:val="006C30C5"/>
    <w:rsid w:val="006C4E18"/>
    <w:rsid w:val="006C7F8C"/>
    <w:rsid w:val="006D6CB3"/>
    <w:rsid w:val="006E212F"/>
    <w:rsid w:val="006E6246"/>
    <w:rsid w:val="006F318F"/>
    <w:rsid w:val="006F4226"/>
    <w:rsid w:val="006F513D"/>
    <w:rsid w:val="006F737B"/>
    <w:rsid w:val="0070017E"/>
    <w:rsid w:val="00700B2C"/>
    <w:rsid w:val="007012DB"/>
    <w:rsid w:val="00702C42"/>
    <w:rsid w:val="00704703"/>
    <w:rsid w:val="007050A2"/>
    <w:rsid w:val="00705F40"/>
    <w:rsid w:val="00710CF4"/>
    <w:rsid w:val="0071288E"/>
    <w:rsid w:val="00713084"/>
    <w:rsid w:val="007142FB"/>
    <w:rsid w:val="00714F20"/>
    <w:rsid w:val="0071590F"/>
    <w:rsid w:val="00715914"/>
    <w:rsid w:val="00725639"/>
    <w:rsid w:val="00726366"/>
    <w:rsid w:val="00731E00"/>
    <w:rsid w:val="00733269"/>
    <w:rsid w:val="00741718"/>
    <w:rsid w:val="007440B7"/>
    <w:rsid w:val="007500C8"/>
    <w:rsid w:val="00750C94"/>
    <w:rsid w:val="00751C62"/>
    <w:rsid w:val="007527C1"/>
    <w:rsid w:val="007534B2"/>
    <w:rsid w:val="00756272"/>
    <w:rsid w:val="00757544"/>
    <w:rsid w:val="007615E2"/>
    <w:rsid w:val="0076339F"/>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139E"/>
    <w:rsid w:val="007D3BA2"/>
    <w:rsid w:val="007E163D"/>
    <w:rsid w:val="007E667A"/>
    <w:rsid w:val="007E771F"/>
    <w:rsid w:val="007F2378"/>
    <w:rsid w:val="007F28C9"/>
    <w:rsid w:val="007F7173"/>
    <w:rsid w:val="00803587"/>
    <w:rsid w:val="00806368"/>
    <w:rsid w:val="008117E9"/>
    <w:rsid w:val="00814151"/>
    <w:rsid w:val="00824498"/>
    <w:rsid w:val="008321ED"/>
    <w:rsid w:val="00832C32"/>
    <w:rsid w:val="00842EA3"/>
    <w:rsid w:val="00844355"/>
    <w:rsid w:val="00850A63"/>
    <w:rsid w:val="0085384C"/>
    <w:rsid w:val="00856A31"/>
    <w:rsid w:val="0086644D"/>
    <w:rsid w:val="00867ABD"/>
    <w:rsid w:val="00867B37"/>
    <w:rsid w:val="00873081"/>
    <w:rsid w:val="008754D0"/>
    <w:rsid w:val="00877AE3"/>
    <w:rsid w:val="008855C9"/>
    <w:rsid w:val="00885EAB"/>
    <w:rsid w:val="00886456"/>
    <w:rsid w:val="008920A3"/>
    <w:rsid w:val="00897310"/>
    <w:rsid w:val="008A2311"/>
    <w:rsid w:val="008A46E1"/>
    <w:rsid w:val="008A4F43"/>
    <w:rsid w:val="008B170B"/>
    <w:rsid w:val="008B2204"/>
    <w:rsid w:val="008B2706"/>
    <w:rsid w:val="008C24C3"/>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325C2"/>
    <w:rsid w:val="00935988"/>
    <w:rsid w:val="00940BE7"/>
    <w:rsid w:val="00941893"/>
    <w:rsid w:val="00947D5A"/>
    <w:rsid w:val="00950EAA"/>
    <w:rsid w:val="009532A5"/>
    <w:rsid w:val="00956922"/>
    <w:rsid w:val="009612CF"/>
    <w:rsid w:val="009724F4"/>
    <w:rsid w:val="00972831"/>
    <w:rsid w:val="00973808"/>
    <w:rsid w:val="00982242"/>
    <w:rsid w:val="00984EE9"/>
    <w:rsid w:val="009867AB"/>
    <w:rsid w:val="009868E9"/>
    <w:rsid w:val="00997416"/>
    <w:rsid w:val="009B5A4E"/>
    <w:rsid w:val="009C2B65"/>
    <w:rsid w:val="009C404D"/>
    <w:rsid w:val="009D6BB0"/>
    <w:rsid w:val="009E5CFC"/>
    <w:rsid w:val="00A06E7A"/>
    <w:rsid w:val="00A079CB"/>
    <w:rsid w:val="00A11C0D"/>
    <w:rsid w:val="00A12128"/>
    <w:rsid w:val="00A137F8"/>
    <w:rsid w:val="00A17E39"/>
    <w:rsid w:val="00A20CA1"/>
    <w:rsid w:val="00A20FDB"/>
    <w:rsid w:val="00A22C98"/>
    <w:rsid w:val="00A231E2"/>
    <w:rsid w:val="00A24F9B"/>
    <w:rsid w:val="00A27203"/>
    <w:rsid w:val="00A32BEE"/>
    <w:rsid w:val="00A4142A"/>
    <w:rsid w:val="00A507AD"/>
    <w:rsid w:val="00A515BC"/>
    <w:rsid w:val="00A56C3D"/>
    <w:rsid w:val="00A6070D"/>
    <w:rsid w:val="00A64912"/>
    <w:rsid w:val="00A64BA1"/>
    <w:rsid w:val="00A70A74"/>
    <w:rsid w:val="00A73A2D"/>
    <w:rsid w:val="00A77E0D"/>
    <w:rsid w:val="00A931D7"/>
    <w:rsid w:val="00AA64D6"/>
    <w:rsid w:val="00AA6D8B"/>
    <w:rsid w:val="00AC3DB3"/>
    <w:rsid w:val="00AD2DC7"/>
    <w:rsid w:val="00AD5641"/>
    <w:rsid w:val="00AD7889"/>
    <w:rsid w:val="00AD7AC2"/>
    <w:rsid w:val="00AD7DCC"/>
    <w:rsid w:val="00AE67D2"/>
    <w:rsid w:val="00AF021B"/>
    <w:rsid w:val="00AF06CF"/>
    <w:rsid w:val="00AF7807"/>
    <w:rsid w:val="00B05CF4"/>
    <w:rsid w:val="00B07CDB"/>
    <w:rsid w:val="00B166C8"/>
    <w:rsid w:val="00B16A31"/>
    <w:rsid w:val="00B177FE"/>
    <w:rsid w:val="00B17DFD"/>
    <w:rsid w:val="00B24368"/>
    <w:rsid w:val="00B2476B"/>
    <w:rsid w:val="00B308FE"/>
    <w:rsid w:val="00B33709"/>
    <w:rsid w:val="00B33B3C"/>
    <w:rsid w:val="00B33F5C"/>
    <w:rsid w:val="00B42428"/>
    <w:rsid w:val="00B50826"/>
    <w:rsid w:val="00B50ADC"/>
    <w:rsid w:val="00B527C0"/>
    <w:rsid w:val="00B566B1"/>
    <w:rsid w:val="00B63834"/>
    <w:rsid w:val="00B64751"/>
    <w:rsid w:val="00B664A3"/>
    <w:rsid w:val="00B72734"/>
    <w:rsid w:val="00B72A5E"/>
    <w:rsid w:val="00B80199"/>
    <w:rsid w:val="00B83204"/>
    <w:rsid w:val="00B833B0"/>
    <w:rsid w:val="00B846A0"/>
    <w:rsid w:val="00B90372"/>
    <w:rsid w:val="00B90B8D"/>
    <w:rsid w:val="00B92A80"/>
    <w:rsid w:val="00B933A7"/>
    <w:rsid w:val="00B95C1C"/>
    <w:rsid w:val="00BA220B"/>
    <w:rsid w:val="00BA3A57"/>
    <w:rsid w:val="00BA53D5"/>
    <w:rsid w:val="00BA691F"/>
    <w:rsid w:val="00BB137A"/>
    <w:rsid w:val="00BB4E1A"/>
    <w:rsid w:val="00BB78C9"/>
    <w:rsid w:val="00BC015E"/>
    <w:rsid w:val="00BC75BB"/>
    <w:rsid w:val="00BC76AC"/>
    <w:rsid w:val="00BD0ECB"/>
    <w:rsid w:val="00BD3334"/>
    <w:rsid w:val="00BD36A0"/>
    <w:rsid w:val="00BD5C93"/>
    <w:rsid w:val="00BE2155"/>
    <w:rsid w:val="00BE2213"/>
    <w:rsid w:val="00BE63BE"/>
    <w:rsid w:val="00BE6EDA"/>
    <w:rsid w:val="00BE719A"/>
    <w:rsid w:val="00BE720A"/>
    <w:rsid w:val="00BF0D73"/>
    <w:rsid w:val="00BF2465"/>
    <w:rsid w:val="00BF43B4"/>
    <w:rsid w:val="00BF525F"/>
    <w:rsid w:val="00BF5DBF"/>
    <w:rsid w:val="00C01863"/>
    <w:rsid w:val="00C07314"/>
    <w:rsid w:val="00C11D03"/>
    <w:rsid w:val="00C25E7F"/>
    <w:rsid w:val="00C2746F"/>
    <w:rsid w:val="00C307AF"/>
    <w:rsid w:val="00C324A0"/>
    <w:rsid w:val="00C3300F"/>
    <w:rsid w:val="00C349C5"/>
    <w:rsid w:val="00C3520D"/>
    <w:rsid w:val="00C37F21"/>
    <w:rsid w:val="00C42BF8"/>
    <w:rsid w:val="00C47507"/>
    <w:rsid w:val="00C50043"/>
    <w:rsid w:val="00C53429"/>
    <w:rsid w:val="00C5481C"/>
    <w:rsid w:val="00C5731E"/>
    <w:rsid w:val="00C670B0"/>
    <w:rsid w:val="00C738B9"/>
    <w:rsid w:val="00C7573B"/>
    <w:rsid w:val="00C77046"/>
    <w:rsid w:val="00C90A58"/>
    <w:rsid w:val="00C92131"/>
    <w:rsid w:val="00C93C03"/>
    <w:rsid w:val="00C96667"/>
    <w:rsid w:val="00C976FD"/>
    <w:rsid w:val="00C9794D"/>
    <w:rsid w:val="00CA61BB"/>
    <w:rsid w:val="00CA7414"/>
    <w:rsid w:val="00CB09F4"/>
    <w:rsid w:val="00CB1DCB"/>
    <w:rsid w:val="00CB2C8E"/>
    <w:rsid w:val="00CB602E"/>
    <w:rsid w:val="00CB6743"/>
    <w:rsid w:val="00CC2B3F"/>
    <w:rsid w:val="00CC5DBC"/>
    <w:rsid w:val="00CC7039"/>
    <w:rsid w:val="00CD7B88"/>
    <w:rsid w:val="00CE051D"/>
    <w:rsid w:val="00CE1335"/>
    <w:rsid w:val="00CE493D"/>
    <w:rsid w:val="00CF07FA"/>
    <w:rsid w:val="00CF0BB2"/>
    <w:rsid w:val="00CF2367"/>
    <w:rsid w:val="00CF3EE8"/>
    <w:rsid w:val="00D050E6"/>
    <w:rsid w:val="00D13441"/>
    <w:rsid w:val="00D150E7"/>
    <w:rsid w:val="00D16808"/>
    <w:rsid w:val="00D32F65"/>
    <w:rsid w:val="00D32F71"/>
    <w:rsid w:val="00D377E3"/>
    <w:rsid w:val="00D50484"/>
    <w:rsid w:val="00D507DA"/>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3A02"/>
    <w:rsid w:val="00DC4F88"/>
    <w:rsid w:val="00DD2B43"/>
    <w:rsid w:val="00DD31AB"/>
    <w:rsid w:val="00DE5370"/>
    <w:rsid w:val="00DE587E"/>
    <w:rsid w:val="00DE59B7"/>
    <w:rsid w:val="00DF18FC"/>
    <w:rsid w:val="00DF24DC"/>
    <w:rsid w:val="00DF292A"/>
    <w:rsid w:val="00DF5291"/>
    <w:rsid w:val="00DF6D11"/>
    <w:rsid w:val="00E05704"/>
    <w:rsid w:val="00E11E44"/>
    <w:rsid w:val="00E21490"/>
    <w:rsid w:val="00E24D54"/>
    <w:rsid w:val="00E3270E"/>
    <w:rsid w:val="00E338EF"/>
    <w:rsid w:val="00E35C4E"/>
    <w:rsid w:val="00E532FB"/>
    <w:rsid w:val="00E544BB"/>
    <w:rsid w:val="00E55F66"/>
    <w:rsid w:val="00E64EE4"/>
    <w:rsid w:val="00E662CB"/>
    <w:rsid w:val="00E74DC7"/>
    <w:rsid w:val="00E8075A"/>
    <w:rsid w:val="00E84710"/>
    <w:rsid w:val="00E85D71"/>
    <w:rsid w:val="00E86266"/>
    <w:rsid w:val="00E90315"/>
    <w:rsid w:val="00E92D94"/>
    <w:rsid w:val="00E9347E"/>
    <w:rsid w:val="00E93E6F"/>
    <w:rsid w:val="00E94D5E"/>
    <w:rsid w:val="00EA4148"/>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519E2"/>
    <w:rsid w:val="00F55E35"/>
    <w:rsid w:val="00F567F7"/>
    <w:rsid w:val="00F62036"/>
    <w:rsid w:val="00F65B52"/>
    <w:rsid w:val="00F67B67"/>
    <w:rsid w:val="00F67BCA"/>
    <w:rsid w:val="00F737EA"/>
    <w:rsid w:val="00F73BD6"/>
    <w:rsid w:val="00F77BCE"/>
    <w:rsid w:val="00F83264"/>
    <w:rsid w:val="00F83989"/>
    <w:rsid w:val="00F83D85"/>
    <w:rsid w:val="00F85099"/>
    <w:rsid w:val="00F863D4"/>
    <w:rsid w:val="00F93510"/>
    <w:rsid w:val="00F9379C"/>
    <w:rsid w:val="00F9481E"/>
    <w:rsid w:val="00F956BA"/>
    <w:rsid w:val="00F9632C"/>
    <w:rsid w:val="00F97A62"/>
    <w:rsid w:val="00FA0587"/>
    <w:rsid w:val="00FA1E52"/>
    <w:rsid w:val="00FA33FB"/>
    <w:rsid w:val="00FB3EF0"/>
    <w:rsid w:val="00FB533A"/>
    <w:rsid w:val="00FB5A69"/>
    <w:rsid w:val="00FC1E98"/>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D72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2"/>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rsid w:val="004419CD"/>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link w:val="FooterChar"/>
    <w:uiPriority w:val="99"/>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563428"/>
    <w:pPr>
      <w:ind w:left="426"/>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750C94"/>
    <w:pPr>
      <w:spacing w:before="200" w:line="280" w:lineRule="atLeast"/>
      <w:outlineLvl w:val="1"/>
    </w:pPr>
    <w:rPr>
      <w:b/>
      <w:sz w:val="32"/>
      <w:szCs w:val="32"/>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customStyle="1" w:styleId="tgc">
    <w:name w:val="_tgc"/>
    <w:rsid w:val="00B33F5C"/>
  </w:style>
  <w:style w:type="paragraph" w:customStyle="1" w:styleId="Tabletext">
    <w:name w:val="Tabletext"/>
    <w:aliases w:val="tt"/>
    <w:basedOn w:val="Normal"/>
    <w:rsid w:val="00750C94"/>
    <w:pPr>
      <w:spacing w:before="60" w:line="240" w:lineRule="atLeast"/>
    </w:pPr>
    <w:rPr>
      <w:rFonts w:eastAsia="Times New Roman"/>
      <w:sz w:val="20"/>
      <w:lang w:eastAsia="en-AU"/>
    </w:rPr>
  </w:style>
  <w:style w:type="paragraph" w:customStyle="1" w:styleId="notetext">
    <w:name w:val="note(text)"/>
    <w:aliases w:val="n"/>
    <w:basedOn w:val="Normal"/>
    <w:link w:val="notetextChar"/>
    <w:rsid w:val="00750C94"/>
    <w:pPr>
      <w:spacing w:before="122" w:line="240" w:lineRule="auto"/>
      <w:ind w:left="1985" w:hanging="851"/>
    </w:pPr>
    <w:rPr>
      <w:rFonts w:eastAsia="Times New Roman"/>
      <w:sz w:val="18"/>
      <w:lang w:eastAsia="en-AU"/>
    </w:rPr>
  </w:style>
  <w:style w:type="paragraph" w:customStyle="1" w:styleId="TableHeading">
    <w:name w:val="TableHeading"/>
    <w:aliases w:val="th"/>
    <w:basedOn w:val="Normal"/>
    <w:next w:val="Tabletext"/>
    <w:rsid w:val="00750C94"/>
    <w:pPr>
      <w:keepNext/>
      <w:spacing w:before="60" w:line="240" w:lineRule="atLeast"/>
    </w:pPr>
    <w:rPr>
      <w:rFonts w:eastAsia="Times New Roman"/>
      <w:b/>
      <w:sz w:val="20"/>
      <w:lang w:eastAsia="en-AU"/>
    </w:rPr>
  </w:style>
  <w:style w:type="character" w:customStyle="1" w:styleId="notetextChar">
    <w:name w:val="note(text) Char"/>
    <w:aliases w:val="n Char"/>
    <w:link w:val="notetext"/>
    <w:rsid w:val="00750C94"/>
    <w:rPr>
      <w:rFonts w:eastAsia="Times New Roman"/>
      <w:sz w:val="18"/>
    </w:rPr>
  </w:style>
  <w:style w:type="paragraph" w:customStyle="1" w:styleId="Definition">
    <w:name w:val="Definition"/>
    <w:aliases w:val="dd"/>
    <w:basedOn w:val="Normal"/>
    <w:rsid w:val="00750C94"/>
    <w:pPr>
      <w:spacing w:before="180" w:line="240" w:lineRule="auto"/>
      <w:ind w:left="1134"/>
    </w:pPr>
    <w:rPr>
      <w:rFonts w:eastAsia="Times New Roman"/>
      <w:lang w:eastAsia="en-AU"/>
    </w:rPr>
  </w:style>
  <w:style w:type="paragraph" w:customStyle="1" w:styleId="Item">
    <w:name w:val="Item"/>
    <w:aliases w:val="i"/>
    <w:basedOn w:val="Normal"/>
    <w:next w:val="ItemHead"/>
    <w:rsid w:val="00750C94"/>
    <w:pPr>
      <w:keepLines/>
      <w:spacing w:before="80" w:line="240" w:lineRule="auto"/>
      <w:ind w:left="709"/>
    </w:pPr>
    <w:rPr>
      <w:rFonts w:eastAsia="Times New Roman"/>
      <w:lang w:eastAsia="en-AU"/>
    </w:rPr>
  </w:style>
  <w:style w:type="paragraph" w:customStyle="1" w:styleId="ItemHead">
    <w:name w:val="ItemHead"/>
    <w:aliases w:val="ih"/>
    <w:basedOn w:val="Normal"/>
    <w:next w:val="Item"/>
    <w:rsid w:val="00750C94"/>
    <w:pPr>
      <w:keepNext/>
      <w:keepLines/>
      <w:spacing w:before="220" w:line="240" w:lineRule="auto"/>
      <w:ind w:left="709" w:hanging="709"/>
    </w:pPr>
    <w:rPr>
      <w:rFonts w:ascii="Arial" w:eastAsia="Times New Roman" w:hAnsi="Arial"/>
      <w:b/>
      <w:kern w:val="28"/>
      <w:sz w:val="24"/>
      <w:lang w:eastAsia="en-AU"/>
    </w:rPr>
  </w:style>
  <w:style w:type="paragraph" w:styleId="ListParagraph">
    <w:name w:val="List Paragraph"/>
    <w:basedOn w:val="Normal"/>
    <w:uiPriority w:val="34"/>
    <w:qFormat/>
    <w:rsid w:val="00750C94"/>
    <w:pPr>
      <w:ind w:left="425"/>
    </w:pPr>
  </w:style>
  <w:style w:type="character" w:customStyle="1" w:styleId="FooterChar">
    <w:name w:val="Footer Char"/>
    <w:basedOn w:val="DefaultParagraphFont"/>
    <w:link w:val="Footer"/>
    <w:uiPriority w:val="99"/>
    <w:rsid w:val="001D61E6"/>
    <w:rPr>
      <w:rFonts w:eastAsia="Times New Roman"/>
      <w:sz w:val="22"/>
      <w:szCs w:val="24"/>
    </w:rPr>
  </w:style>
  <w:style w:type="paragraph" w:customStyle="1" w:styleId="ETAsubitem">
    <w:name w:val="ETA(subitem)"/>
    <w:basedOn w:val="Normal"/>
    <w:rsid w:val="00A507AD"/>
    <w:pPr>
      <w:tabs>
        <w:tab w:val="right" w:pos="340"/>
      </w:tabs>
      <w:spacing w:before="60" w:line="240" w:lineRule="auto"/>
      <w:ind w:left="454" w:hanging="454"/>
    </w:pPr>
    <w:rPr>
      <w:rFonts w:eastAsia="Times New Roman"/>
      <w:sz w:val="20"/>
      <w:lang w:eastAsia="en-AU"/>
    </w:rPr>
  </w:style>
  <w:style w:type="character" w:styleId="CommentReference">
    <w:name w:val="annotation reference"/>
    <w:basedOn w:val="DefaultParagraphFont"/>
    <w:uiPriority w:val="99"/>
    <w:semiHidden/>
    <w:unhideWhenUsed/>
    <w:rsid w:val="00A73A2D"/>
    <w:rPr>
      <w:sz w:val="16"/>
      <w:szCs w:val="16"/>
    </w:rPr>
  </w:style>
  <w:style w:type="paragraph" w:styleId="CommentText">
    <w:name w:val="annotation text"/>
    <w:basedOn w:val="Normal"/>
    <w:link w:val="CommentTextChar"/>
    <w:uiPriority w:val="99"/>
    <w:semiHidden/>
    <w:unhideWhenUsed/>
    <w:rsid w:val="00A73A2D"/>
    <w:pPr>
      <w:spacing w:line="240" w:lineRule="auto"/>
    </w:pPr>
    <w:rPr>
      <w:sz w:val="20"/>
    </w:rPr>
  </w:style>
  <w:style w:type="character" w:customStyle="1" w:styleId="CommentTextChar">
    <w:name w:val="Comment Text Char"/>
    <w:basedOn w:val="DefaultParagraphFont"/>
    <w:link w:val="CommentText"/>
    <w:uiPriority w:val="99"/>
    <w:semiHidden/>
    <w:rsid w:val="00A73A2D"/>
    <w:rPr>
      <w:lang w:eastAsia="en-US"/>
    </w:rPr>
  </w:style>
  <w:style w:type="paragraph" w:styleId="CommentSubject">
    <w:name w:val="annotation subject"/>
    <w:basedOn w:val="CommentText"/>
    <w:next w:val="CommentText"/>
    <w:link w:val="CommentSubjectChar"/>
    <w:uiPriority w:val="99"/>
    <w:semiHidden/>
    <w:unhideWhenUsed/>
    <w:rsid w:val="00A73A2D"/>
    <w:rPr>
      <w:b/>
      <w:bCs/>
    </w:rPr>
  </w:style>
  <w:style w:type="character" w:customStyle="1" w:styleId="CommentSubjectChar">
    <w:name w:val="Comment Subject Char"/>
    <w:basedOn w:val="CommentTextChar"/>
    <w:link w:val="CommentSubject"/>
    <w:uiPriority w:val="99"/>
    <w:semiHidden/>
    <w:rsid w:val="00A73A2D"/>
    <w:rPr>
      <w:b/>
      <w:bCs/>
      <w:lang w:eastAsia="en-US"/>
    </w:rPr>
  </w:style>
  <w:style w:type="paragraph" w:styleId="BodyTextIndent">
    <w:name w:val="Body Text Indent"/>
    <w:basedOn w:val="Normal"/>
    <w:link w:val="BodyTextIndentChar"/>
    <w:rsid w:val="00223A31"/>
    <w:pPr>
      <w:tabs>
        <w:tab w:val="left" w:pos="0"/>
      </w:tabs>
      <w:spacing w:line="240" w:lineRule="atLeast"/>
      <w:ind w:left="1440" w:hanging="731"/>
      <w:jc w:val="both"/>
    </w:pPr>
    <w:rPr>
      <w:rFonts w:eastAsia="Times New Roman"/>
      <w:sz w:val="26"/>
      <w:lang w:val="en-GB" w:eastAsia="en-AU"/>
    </w:rPr>
  </w:style>
  <w:style w:type="character" w:customStyle="1" w:styleId="BodyTextIndentChar">
    <w:name w:val="Body Text Indent Char"/>
    <w:basedOn w:val="DefaultParagraphFont"/>
    <w:link w:val="BodyTextIndent"/>
    <w:rsid w:val="00223A31"/>
    <w:rPr>
      <w:rFonts w:eastAsia="Times New Roman"/>
      <w:sz w:val="26"/>
      <w:lang w:val="en-GB"/>
    </w:rPr>
  </w:style>
  <w:style w:type="paragraph" w:customStyle="1" w:styleId="ScheduleNote">
    <w:name w:val="Schedule Note"/>
    <w:basedOn w:val="Normal"/>
    <w:link w:val="ScheduleNoteChar"/>
    <w:uiPriority w:val="2"/>
    <w:qFormat/>
    <w:rsid w:val="00470A16"/>
    <w:pPr>
      <w:spacing w:before="122" w:line="240" w:lineRule="auto"/>
      <w:ind w:left="851"/>
    </w:pPr>
    <w:rPr>
      <w:rFonts w:eastAsia="Times New Roman"/>
      <w:sz w:val="18"/>
      <w:lang w:eastAsia="en-AU"/>
    </w:rPr>
  </w:style>
  <w:style w:type="character" w:customStyle="1" w:styleId="ScheduleNoteChar">
    <w:name w:val="Schedule Note Char"/>
    <w:basedOn w:val="DefaultParagraphFont"/>
    <w:link w:val="ScheduleNote"/>
    <w:uiPriority w:val="2"/>
    <w:rsid w:val="00470A16"/>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1018</Words>
  <Characters>5804</Characters>
  <Application>Microsoft Office Word</Application>
  <DocSecurity>0</DocSecurity>
  <PresentationFormat/>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2022-08-23T05:00:00Z</dcterms:created>
  <dcterms:modified xsi:type="dcterms:W3CDTF">2022-08-26T04:09:00Z</dcterms:modified>
  <cp:category/>
  <cp:contentStatus/>
  <dc:language/>
  <cp:version/>
</cp:coreProperties>
</file>