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0ACA3" w14:textId="77777777" w:rsidR="00FF6E25" w:rsidRPr="00792FEC" w:rsidRDefault="00FF6E25" w:rsidP="00FF6E25">
      <w:pPr>
        <w:jc w:val="center"/>
        <w:rPr>
          <w:rFonts w:cs="Times New Roman"/>
          <w:b/>
          <w:szCs w:val="24"/>
          <w:u w:val="single"/>
        </w:rPr>
      </w:pPr>
      <w:bookmarkStart w:id="0" w:name="_GoBack"/>
      <w:bookmarkEnd w:id="0"/>
      <w:r w:rsidRPr="00792FEC">
        <w:rPr>
          <w:rFonts w:cs="Times New Roman"/>
          <w:b/>
          <w:szCs w:val="24"/>
          <w:u w:val="single"/>
        </w:rPr>
        <w:t>EXPLANATORY STATEMENT</w:t>
      </w:r>
    </w:p>
    <w:p w14:paraId="5D7BBDF5" w14:textId="328E5FE4" w:rsidR="0088497A" w:rsidRPr="00792FEC" w:rsidRDefault="0088497A" w:rsidP="00FF6E25">
      <w:pPr>
        <w:jc w:val="center"/>
        <w:rPr>
          <w:rFonts w:cs="Times New Roman"/>
          <w:szCs w:val="24"/>
          <w:u w:val="single"/>
        </w:rPr>
      </w:pPr>
      <w:r w:rsidRPr="0029629F">
        <w:rPr>
          <w:rFonts w:cs="Times New Roman"/>
          <w:szCs w:val="24"/>
          <w:u w:val="single"/>
        </w:rPr>
        <w:t xml:space="preserve">Issued by the authority of </w:t>
      </w:r>
      <w:r w:rsidR="0057612E" w:rsidRPr="0029629F">
        <w:rPr>
          <w:rFonts w:cs="Times New Roman"/>
          <w:szCs w:val="24"/>
          <w:u w:val="single"/>
        </w:rPr>
        <w:t xml:space="preserve">the </w:t>
      </w:r>
      <w:r w:rsidR="000C6C7C">
        <w:rPr>
          <w:rFonts w:cs="Times New Roman"/>
          <w:szCs w:val="24"/>
          <w:u w:val="single"/>
        </w:rPr>
        <w:t>Higher Education</w:t>
      </w:r>
      <w:r w:rsidR="000C6C7C" w:rsidRPr="0029629F">
        <w:rPr>
          <w:rFonts w:cs="Times New Roman"/>
          <w:szCs w:val="24"/>
          <w:u w:val="single"/>
        </w:rPr>
        <w:t xml:space="preserve"> </w:t>
      </w:r>
      <w:r w:rsidR="0057612E" w:rsidRPr="0029629F">
        <w:rPr>
          <w:rFonts w:cs="Times New Roman"/>
          <w:szCs w:val="24"/>
          <w:u w:val="single"/>
        </w:rPr>
        <w:t>Tuition Protection Director</w:t>
      </w:r>
    </w:p>
    <w:p w14:paraId="6F334A8D" w14:textId="43B00C36" w:rsidR="00455C2A" w:rsidRPr="00792FEC" w:rsidRDefault="0072130B" w:rsidP="00FF6E25">
      <w:pPr>
        <w:jc w:val="center"/>
        <w:rPr>
          <w:rFonts w:cs="Times New Roman"/>
          <w:b/>
          <w:i/>
          <w:szCs w:val="24"/>
        </w:rPr>
      </w:pPr>
      <w:r>
        <w:rPr>
          <w:rFonts w:cs="Times New Roman"/>
          <w:b/>
          <w:i/>
          <w:szCs w:val="24"/>
        </w:rPr>
        <w:t>Higher Education (</w:t>
      </w:r>
      <w:r w:rsidR="002F7E8F">
        <w:rPr>
          <w:rFonts w:eastAsia="Times New Roman" w:cs="Times New Roman"/>
          <w:b/>
          <w:i/>
          <w:szCs w:val="24"/>
          <w:lang w:eastAsia="en-AU"/>
        </w:rPr>
        <w:t>Up-front Payments Tuition Protection Levy</w:t>
      </w:r>
      <w:r w:rsidR="0057612E" w:rsidRPr="00792FEC">
        <w:rPr>
          <w:rFonts w:cs="Times New Roman"/>
          <w:b/>
          <w:i/>
          <w:szCs w:val="24"/>
        </w:rPr>
        <w:t>) Act 2020</w:t>
      </w:r>
    </w:p>
    <w:p w14:paraId="1DBFE84E" w14:textId="3BC940BE" w:rsidR="00503218" w:rsidRPr="00792FEC" w:rsidRDefault="0072130B" w:rsidP="00DA552F">
      <w:pPr>
        <w:jc w:val="center"/>
        <w:rPr>
          <w:rFonts w:cs="Times New Roman"/>
          <w:b/>
          <w:i/>
          <w:szCs w:val="24"/>
        </w:rPr>
      </w:pPr>
      <w:r>
        <w:rPr>
          <w:rFonts w:cs="Times New Roman"/>
          <w:b/>
          <w:i/>
          <w:szCs w:val="24"/>
        </w:rPr>
        <w:t>Higher Education (</w:t>
      </w:r>
      <w:r w:rsidR="00FB0AB7">
        <w:rPr>
          <w:rFonts w:eastAsia="Times New Roman" w:cs="Times New Roman"/>
          <w:b/>
          <w:i/>
          <w:szCs w:val="24"/>
          <w:lang w:eastAsia="en-AU"/>
        </w:rPr>
        <w:t xml:space="preserve">Up-front Payments </w:t>
      </w:r>
      <w:r w:rsidR="00FB0AB7" w:rsidRPr="00C91EB4">
        <w:rPr>
          <w:rFonts w:eastAsia="Times New Roman" w:cs="Times New Roman"/>
          <w:b/>
          <w:i/>
          <w:szCs w:val="24"/>
          <w:lang w:eastAsia="en-AU"/>
        </w:rPr>
        <w:t>Tuition Protection Levy</w:t>
      </w:r>
      <w:r>
        <w:rPr>
          <w:rFonts w:cs="Times New Roman"/>
          <w:b/>
          <w:i/>
          <w:szCs w:val="24"/>
        </w:rPr>
        <w:t>)</w:t>
      </w:r>
      <w:r w:rsidR="00A36883" w:rsidRPr="00792FEC">
        <w:rPr>
          <w:rFonts w:cs="Times New Roman"/>
          <w:b/>
          <w:i/>
          <w:szCs w:val="24"/>
        </w:rPr>
        <w:t xml:space="preserve"> (Risk Rated Premium and Special Tuition Protection Components) Determination 202</w:t>
      </w:r>
      <w:r w:rsidR="00B718C4">
        <w:rPr>
          <w:rFonts w:cs="Times New Roman"/>
          <w:b/>
          <w:i/>
          <w:szCs w:val="24"/>
        </w:rPr>
        <w:t>2</w:t>
      </w:r>
    </w:p>
    <w:p w14:paraId="663FAD29" w14:textId="77777777" w:rsidR="00A36883" w:rsidRPr="00792FEC" w:rsidRDefault="00A36883" w:rsidP="00A36883">
      <w:pPr>
        <w:pStyle w:val="Heading2"/>
        <w:rPr>
          <w:rFonts w:cs="Times New Roman"/>
          <w:color w:val="auto"/>
          <w:szCs w:val="24"/>
        </w:rPr>
      </w:pPr>
      <w:bookmarkStart w:id="1" w:name="_Toc23942238"/>
      <w:bookmarkStart w:id="2" w:name="_Toc34293358"/>
      <w:r w:rsidRPr="00792FEC">
        <w:rPr>
          <w:rFonts w:cs="Times New Roman"/>
          <w:color w:val="auto"/>
          <w:szCs w:val="24"/>
        </w:rPr>
        <w:t>PURPOSE AND OPERATION</w:t>
      </w:r>
    </w:p>
    <w:p w14:paraId="33E2D9E8" w14:textId="5EF96CF7" w:rsidR="00A36883" w:rsidRPr="00792FEC" w:rsidRDefault="00A36883" w:rsidP="00547C5B">
      <w:pPr>
        <w:spacing w:before="120" w:after="120" w:line="240" w:lineRule="auto"/>
        <w:rPr>
          <w:rFonts w:cs="Times New Roman"/>
          <w:szCs w:val="24"/>
        </w:rPr>
      </w:pPr>
      <w:r w:rsidRPr="00792FEC">
        <w:rPr>
          <w:rFonts w:cs="Times New Roman"/>
          <w:szCs w:val="24"/>
        </w:rPr>
        <w:t xml:space="preserve">The purpose of the </w:t>
      </w:r>
      <w:r w:rsidR="0072130B">
        <w:rPr>
          <w:rFonts w:cs="Times New Roman"/>
          <w:i/>
          <w:szCs w:val="24"/>
        </w:rPr>
        <w:t>Higher Education (</w:t>
      </w:r>
      <w:r w:rsidR="00FB0AB7">
        <w:rPr>
          <w:rFonts w:cs="Times New Roman"/>
          <w:i/>
          <w:szCs w:val="24"/>
        </w:rPr>
        <w:t>Up-front Payments</w:t>
      </w:r>
      <w:r w:rsidR="0072130B">
        <w:rPr>
          <w:rFonts w:cs="Times New Roman"/>
          <w:i/>
          <w:szCs w:val="24"/>
        </w:rPr>
        <w:t xml:space="preserve"> Tuition Protection Levy)</w:t>
      </w:r>
      <w:r w:rsidRPr="00792FEC">
        <w:rPr>
          <w:rFonts w:cs="Times New Roman"/>
          <w:i/>
          <w:szCs w:val="24"/>
        </w:rPr>
        <w:t xml:space="preserve"> (Risk Rated Premium and Special Tuition Protection Components) Determination 202</w:t>
      </w:r>
      <w:r w:rsidR="00B718C4">
        <w:rPr>
          <w:rFonts w:cs="Times New Roman"/>
          <w:i/>
          <w:szCs w:val="24"/>
        </w:rPr>
        <w:t>2</w:t>
      </w:r>
      <w:r w:rsidRPr="00792FEC">
        <w:rPr>
          <w:rFonts w:cs="Times New Roman"/>
          <w:szCs w:val="24"/>
        </w:rPr>
        <w:t xml:space="preserve"> (the Instrument) is to determine </w:t>
      </w:r>
      <w:r w:rsidR="00BF1379" w:rsidRPr="00792FEC">
        <w:rPr>
          <w:rFonts w:cs="Times New Roman"/>
          <w:szCs w:val="24"/>
        </w:rPr>
        <w:t xml:space="preserve">various matters relevant to the calculation of </w:t>
      </w:r>
      <w:r w:rsidRPr="00792FEC">
        <w:rPr>
          <w:rFonts w:cs="Times New Roman"/>
          <w:szCs w:val="24"/>
        </w:rPr>
        <w:t xml:space="preserve">the risk rated premium component and special tuition protection component of the </w:t>
      </w:r>
      <w:r w:rsidR="00F840F5">
        <w:rPr>
          <w:rFonts w:cs="Times New Roman"/>
          <w:szCs w:val="24"/>
        </w:rPr>
        <w:t>up-front payments</w:t>
      </w:r>
      <w:r w:rsidR="00BF1379" w:rsidRPr="00792FEC">
        <w:rPr>
          <w:rFonts w:cs="Times New Roman"/>
          <w:szCs w:val="24"/>
        </w:rPr>
        <w:t xml:space="preserve"> </w:t>
      </w:r>
      <w:r w:rsidR="00F840F5">
        <w:rPr>
          <w:rFonts w:cs="Times New Roman"/>
          <w:szCs w:val="24"/>
        </w:rPr>
        <w:t>tuition protection levy</w:t>
      </w:r>
      <w:r w:rsidR="0072130B">
        <w:rPr>
          <w:rFonts w:cs="Times New Roman"/>
          <w:szCs w:val="24"/>
        </w:rPr>
        <w:t xml:space="preserve"> (the </w:t>
      </w:r>
      <w:r w:rsidR="00BF1379" w:rsidRPr="00792FEC">
        <w:rPr>
          <w:rFonts w:cs="Times New Roman"/>
          <w:szCs w:val="24"/>
        </w:rPr>
        <w:t>Levy)</w:t>
      </w:r>
      <w:r w:rsidR="00584937" w:rsidRPr="00792FEC">
        <w:rPr>
          <w:rFonts w:cs="Times New Roman"/>
          <w:szCs w:val="24"/>
        </w:rPr>
        <w:t xml:space="preserve"> for the 202</w:t>
      </w:r>
      <w:r w:rsidR="00B718C4">
        <w:rPr>
          <w:rFonts w:cs="Times New Roman"/>
          <w:szCs w:val="24"/>
        </w:rPr>
        <w:t>2</w:t>
      </w:r>
      <w:r w:rsidR="00584937" w:rsidRPr="00792FEC">
        <w:rPr>
          <w:rFonts w:cs="Times New Roman"/>
          <w:szCs w:val="24"/>
        </w:rPr>
        <w:t xml:space="preserve"> calendar year</w:t>
      </w:r>
      <w:r w:rsidR="00BF1379" w:rsidRPr="00792FEC">
        <w:rPr>
          <w:rFonts w:cs="Times New Roman"/>
          <w:szCs w:val="24"/>
        </w:rPr>
        <w:t>.</w:t>
      </w:r>
    </w:p>
    <w:p w14:paraId="74301D23" w14:textId="321AB41C" w:rsidR="00A22A6B" w:rsidRPr="00802D06" w:rsidRDefault="0072130B" w:rsidP="00547C5B">
      <w:pPr>
        <w:spacing w:before="120" w:after="120" w:line="240" w:lineRule="auto"/>
        <w:rPr>
          <w:rFonts w:cs="Times New Roman"/>
          <w:szCs w:val="24"/>
        </w:rPr>
      </w:pPr>
      <w:r>
        <w:rPr>
          <w:rFonts w:cs="Times New Roman"/>
          <w:szCs w:val="24"/>
        </w:rPr>
        <w:t xml:space="preserve">The </w:t>
      </w:r>
      <w:r w:rsidR="00BF1379" w:rsidRPr="00792FEC">
        <w:rPr>
          <w:rFonts w:cs="Times New Roman"/>
          <w:szCs w:val="24"/>
        </w:rPr>
        <w:t xml:space="preserve">Levy is imposed </w:t>
      </w:r>
      <w:r w:rsidR="008D3C43" w:rsidRPr="00792FEC">
        <w:rPr>
          <w:rFonts w:cs="Times New Roman"/>
          <w:szCs w:val="24"/>
        </w:rPr>
        <w:t xml:space="preserve">under section 6 of the </w:t>
      </w:r>
      <w:r>
        <w:rPr>
          <w:rFonts w:cs="Times New Roman"/>
          <w:i/>
          <w:szCs w:val="24"/>
        </w:rPr>
        <w:t>Higher Education (</w:t>
      </w:r>
      <w:r w:rsidR="00430ABF">
        <w:rPr>
          <w:rFonts w:cs="Times New Roman"/>
          <w:i/>
          <w:szCs w:val="24"/>
        </w:rPr>
        <w:t>Up-front Payments</w:t>
      </w:r>
      <w:r w:rsidR="008D3C43" w:rsidRPr="00792FEC">
        <w:rPr>
          <w:rFonts w:cs="Times New Roman"/>
          <w:i/>
          <w:szCs w:val="24"/>
        </w:rPr>
        <w:t xml:space="preserve"> Tuition Protection Levy) Act 2020</w:t>
      </w:r>
      <w:r w:rsidR="008D3C43" w:rsidRPr="00792FEC">
        <w:rPr>
          <w:rFonts w:cs="Times New Roman"/>
          <w:szCs w:val="24"/>
        </w:rPr>
        <w:t xml:space="preserve"> (the Act) </w:t>
      </w:r>
      <w:r w:rsidR="00BF1379" w:rsidRPr="00792FEC">
        <w:rPr>
          <w:rFonts w:cs="Times New Roman"/>
          <w:szCs w:val="24"/>
        </w:rPr>
        <w:t xml:space="preserve">on all leviable providers </w:t>
      </w:r>
      <w:r w:rsidR="008D3C43" w:rsidRPr="00792FEC">
        <w:rPr>
          <w:rFonts w:cs="Times New Roman"/>
          <w:szCs w:val="24"/>
        </w:rPr>
        <w:t>(as defined in section 5 of the Act)</w:t>
      </w:r>
      <w:r w:rsidR="00566C83">
        <w:rPr>
          <w:rFonts w:cs="Times New Roman"/>
          <w:szCs w:val="24"/>
        </w:rPr>
        <w:t xml:space="preserve"> </w:t>
      </w:r>
      <w:r w:rsidR="00BF1379" w:rsidRPr="00792FEC">
        <w:rPr>
          <w:rFonts w:cs="Times New Roman"/>
          <w:szCs w:val="24"/>
        </w:rPr>
        <w:t xml:space="preserve">and provides an industry contribution </w:t>
      </w:r>
      <w:r w:rsidR="003B6C23" w:rsidRPr="001A4132">
        <w:rPr>
          <w:rFonts w:eastAsia="Times New Roman" w:cs="Times New Roman"/>
          <w:szCs w:val="24"/>
          <w:lang w:eastAsia="en-AU"/>
        </w:rPr>
        <w:t>towards the costs of tuition protection for domestic up-front fee</w:t>
      </w:r>
      <w:r w:rsidR="00DB2F80">
        <w:rPr>
          <w:rFonts w:eastAsia="Times New Roman" w:cs="Times New Roman"/>
          <w:szCs w:val="24"/>
          <w:lang w:eastAsia="en-AU"/>
        </w:rPr>
        <w:t xml:space="preserve"> </w:t>
      </w:r>
      <w:r w:rsidR="003B6C23" w:rsidRPr="001A4132">
        <w:rPr>
          <w:rFonts w:eastAsia="Times New Roman" w:cs="Times New Roman"/>
          <w:szCs w:val="24"/>
          <w:lang w:eastAsia="en-AU"/>
        </w:rPr>
        <w:t>paying students at private higher education providers</w:t>
      </w:r>
      <w:r>
        <w:rPr>
          <w:rFonts w:cs="Times New Roman"/>
          <w:szCs w:val="24"/>
        </w:rPr>
        <w:t xml:space="preserve">. The amount of the </w:t>
      </w:r>
      <w:r w:rsidR="00BF1379" w:rsidRPr="00792FEC">
        <w:rPr>
          <w:rFonts w:cs="Times New Roman"/>
          <w:szCs w:val="24"/>
        </w:rPr>
        <w:t>Levy for a year for a leviable provider is the sum of the provider’s administrative fee component, risk rated premium component and special tuiti</w:t>
      </w:r>
      <w:r>
        <w:rPr>
          <w:rFonts w:cs="Times New Roman"/>
          <w:szCs w:val="24"/>
        </w:rPr>
        <w:t>on protection component. The</w:t>
      </w:r>
      <w:r w:rsidR="00BF1379" w:rsidRPr="00792FEC">
        <w:rPr>
          <w:rFonts w:cs="Times New Roman"/>
          <w:szCs w:val="24"/>
        </w:rPr>
        <w:t xml:space="preserve"> Levy is payable into the </w:t>
      </w:r>
      <w:r w:rsidR="0084727D">
        <w:rPr>
          <w:rFonts w:cs="Times New Roman"/>
          <w:szCs w:val="24"/>
        </w:rPr>
        <w:t>Higher Education</w:t>
      </w:r>
      <w:r w:rsidR="00BF1379" w:rsidRPr="00792FEC">
        <w:rPr>
          <w:rFonts w:cs="Times New Roman"/>
          <w:szCs w:val="24"/>
        </w:rPr>
        <w:t xml:space="preserve"> Tuition Protection Fund (the Fund)</w:t>
      </w:r>
      <w:r w:rsidR="00BF6014">
        <w:rPr>
          <w:rFonts w:cs="Times New Roman"/>
          <w:szCs w:val="24"/>
        </w:rPr>
        <w:t>,</w:t>
      </w:r>
      <w:r w:rsidR="00BF1379" w:rsidRPr="00792FEC">
        <w:rPr>
          <w:rFonts w:cs="Times New Roman"/>
          <w:szCs w:val="24"/>
        </w:rPr>
        <w:t xml:space="preserve"> which is established under section </w:t>
      </w:r>
      <w:r w:rsidR="00033305">
        <w:rPr>
          <w:rFonts w:cs="Times New Roman"/>
          <w:szCs w:val="24"/>
        </w:rPr>
        <w:t>167-1</w:t>
      </w:r>
      <w:r w:rsidR="00BF1379" w:rsidRPr="00792FEC">
        <w:rPr>
          <w:rFonts w:cs="Times New Roman"/>
          <w:szCs w:val="24"/>
        </w:rPr>
        <w:t xml:space="preserve"> of the </w:t>
      </w:r>
      <w:r w:rsidR="00033305">
        <w:rPr>
          <w:rFonts w:cs="Times New Roman"/>
          <w:i/>
          <w:szCs w:val="24"/>
        </w:rPr>
        <w:t xml:space="preserve">Higher Education Support Act 2003 </w:t>
      </w:r>
      <w:r w:rsidR="00033305">
        <w:rPr>
          <w:rFonts w:cs="Times New Roman"/>
          <w:szCs w:val="24"/>
        </w:rPr>
        <w:t>(</w:t>
      </w:r>
      <w:proofErr w:type="spellStart"/>
      <w:r w:rsidR="00033305">
        <w:rPr>
          <w:rFonts w:cs="Times New Roman"/>
          <w:szCs w:val="24"/>
        </w:rPr>
        <w:t>HESA</w:t>
      </w:r>
      <w:proofErr w:type="spellEnd"/>
      <w:r w:rsidR="00033305">
        <w:rPr>
          <w:rFonts w:cs="Times New Roman"/>
          <w:szCs w:val="24"/>
        </w:rPr>
        <w:t xml:space="preserve">) and managed </w:t>
      </w:r>
      <w:r w:rsidR="00033305" w:rsidRPr="00802D06">
        <w:rPr>
          <w:rFonts w:cs="Times New Roman"/>
          <w:szCs w:val="24"/>
        </w:rPr>
        <w:t xml:space="preserve">by the </w:t>
      </w:r>
      <w:r w:rsidR="0084727D">
        <w:rPr>
          <w:rFonts w:cs="Times New Roman"/>
          <w:szCs w:val="24"/>
        </w:rPr>
        <w:t>Higher Education</w:t>
      </w:r>
      <w:r w:rsidR="00BF1379" w:rsidRPr="00802D06">
        <w:rPr>
          <w:rFonts w:cs="Times New Roman"/>
          <w:szCs w:val="24"/>
        </w:rPr>
        <w:t xml:space="preserve"> Tuition Protection Director (the Director).</w:t>
      </w:r>
      <w:bookmarkEnd w:id="1"/>
      <w:bookmarkEnd w:id="2"/>
    </w:p>
    <w:p w14:paraId="29E2B90D" w14:textId="457C74E2" w:rsidR="00A22A6B" w:rsidRPr="00547C5B" w:rsidRDefault="00A22A6B" w:rsidP="00547C5B">
      <w:pPr>
        <w:pStyle w:val="Heading2"/>
        <w:spacing w:line="240" w:lineRule="auto"/>
        <w:rPr>
          <w:rFonts w:cs="Times New Roman"/>
          <w:b w:val="0"/>
          <w:szCs w:val="24"/>
        </w:rPr>
      </w:pPr>
      <w:r w:rsidRPr="00802D06">
        <w:rPr>
          <w:rFonts w:cs="Times New Roman"/>
          <w:b w:val="0"/>
          <w:szCs w:val="24"/>
        </w:rPr>
        <w:t xml:space="preserve">The Director is accountable for </w:t>
      </w:r>
      <w:r w:rsidRPr="008356A0">
        <w:rPr>
          <w:rFonts w:cs="Times New Roman"/>
          <w:b w:val="0"/>
          <w:szCs w:val="24"/>
        </w:rPr>
        <w:t xml:space="preserve">the appropriate and sustainable management of the Fund. This Instrument assists the Director in exercising </w:t>
      </w:r>
      <w:r w:rsidR="00063E7B">
        <w:rPr>
          <w:rFonts w:cs="Times New Roman"/>
          <w:b w:val="0"/>
          <w:szCs w:val="24"/>
        </w:rPr>
        <w:t xml:space="preserve">their </w:t>
      </w:r>
      <w:r w:rsidRPr="008356A0">
        <w:rPr>
          <w:rFonts w:cs="Times New Roman"/>
          <w:b w:val="0"/>
          <w:szCs w:val="24"/>
        </w:rPr>
        <w:t>functions under the</w:t>
      </w:r>
      <w:r w:rsidR="003B1C38" w:rsidRPr="008356A0">
        <w:rPr>
          <w:rFonts w:cs="Times New Roman"/>
          <w:b w:val="0"/>
          <w:szCs w:val="24"/>
        </w:rPr>
        <w:t xml:space="preserve"> </w:t>
      </w:r>
      <w:r w:rsidR="008356A0" w:rsidRPr="008356A0">
        <w:rPr>
          <w:rFonts w:cs="Times New Roman"/>
          <w:b w:val="0"/>
          <w:i/>
          <w:iCs/>
          <w:szCs w:val="24"/>
        </w:rPr>
        <w:t>Tertiary Education Quality and Standards Agency Act 2011</w:t>
      </w:r>
      <w:r w:rsidR="008356A0">
        <w:rPr>
          <w:rFonts w:cs="Times New Roman"/>
          <w:b w:val="0"/>
          <w:i/>
          <w:iCs/>
          <w:szCs w:val="24"/>
        </w:rPr>
        <w:t xml:space="preserve"> </w:t>
      </w:r>
      <w:r w:rsidR="008356A0" w:rsidRPr="008356A0">
        <w:rPr>
          <w:rFonts w:cs="Times New Roman"/>
          <w:b w:val="0"/>
          <w:szCs w:val="24"/>
        </w:rPr>
        <w:t>(</w:t>
      </w:r>
      <w:proofErr w:type="spellStart"/>
      <w:r w:rsidR="00EE2457" w:rsidRPr="008356A0">
        <w:rPr>
          <w:rFonts w:cs="Times New Roman"/>
          <w:b w:val="0"/>
          <w:szCs w:val="24"/>
        </w:rPr>
        <w:t>TEQSA</w:t>
      </w:r>
      <w:proofErr w:type="spellEnd"/>
      <w:r w:rsidR="00EE2457" w:rsidRPr="008356A0">
        <w:rPr>
          <w:rFonts w:cs="Times New Roman"/>
          <w:b w:val="0"/>
          <w:szCs w:val="24"/>
        </w:rPr>
        <w:t xml:space="preserve"> Act</w:t>
      </w:r>
      <w:r w:rsidR="008356A0" w:rsidRPr="008356A0">
        <w:rPr>
          <w:rFonts w:cs="Times New Roman"/>
          <w:b w:val="0"/>
          <w:szCs w:val="24"/>
        </w:rPr>
        <w:t>)</w:t>
      </w:r>
      <w:r w:rsidRPr="008356A0">
        <w:rPr>
          <w:rFonts w:cs="Times New Roman"/>
          <w:b w:val="0"/>
          <w:szCs w:val="24"/>
        </w:rPr>
        <w:t xml:space="preserve"> by maintaining a high level of student protection and ensuring sufficient funds are held in the Fund to</w:t>
      </w:r>
      <w:r w:rsidRPr="00802D06">
        <w:rPr>
          <w:rFonts w:cs="Times New Roman"/>
          <w:b w:val="0"/>
          <w:szCs w:val="24"/>
        </w:rPr>
        <w:t xml:space="preserve"> place s</w:t>
      </w:r>
      <w:r w:rsidR="00802D06" w:rsidRPr="00802D06">
        <w:rPr>
          <w:rFonts w:cs="Times New Roman"/>
          <w:b w:val="0"/>
          <w:szCs w:val="24"/>
        </w:rPr>
        <w:t xml:space="preserve">tudents </w:t>
      </w:r>
      <w:r w:rsidR="00D35379">
        <w:rPr>
          <w:rFonts w:cs="Times New Roman"/>
          <w:b w:val="0"/>
          <w:szCs w:val="24"/>
        </w:rPr>
        <w:t xml:space="preserve">in a suitable replacement course </w:t>
      </w:r>
      <w:r w:rsidR="00802D06" w:rsidRPr="00802D06">
        <w:rPr>
          <w:rFonts w:cs="Times New Roman"/>
          <w:b w:val="0"/>
          <w:szCs w:val="24"/>
        </w:rPr>
        <w:t>or</w:t>
      </w:r>
      <w:r w:rsidR="00EE2457">
        <w:rPr>
          <w:rFonts w:cs="Times New Roman"/>
          <w:b w:val="0"/>
          <w:szCs w:val="24"/>
        </w:rPr>
        <w:t xml:space="preserve"> refund</w:t>
      </w:r>
      <w:r w:rsidR="00802D06" w:rsidRPr="00802D06">
        <w:rPr>
          <w:rFonts w:cs="Times New Roman"/>
          <w:b w:val="0"/>
          <w:szCs w:val="24"/>
        </w:rPr>
        <w:t xml:space="preserve"> </w:t>
      </w:r>
      <w:r w:rsidR="00590F60">
        <w:rPr>
          <w:rFonts w:cs="Times New Roman"/>
          <w:b w:val="0"/>
          <w:szCs w:val="24"/>
        </w:rPr>
        <w:t xml:space="preserve">amounts of tuition fees paid up-front by students </w:t>
      </w:r>
      <w:r w:rsidRPr="00802D06">
        <w:rPr>
          <w:rFonts w:cs="Times New Roman"/>
          <w:b w:val="0"/>
          <w:szCs w:val="24"/>
        </w:rPr>
        <w:t xml:space="preserve">in the event of provider </w:t>
      </w:r>
      <w:r w:rsidR="00566C83">
        <w:rPr>
          <w:rFonts w:cs="Times New Roman"/>
          <w:b w:val="0"/>
          <w:szCs w:val="24"/>
        </w:rPr>
        <w:t>defaults</w:t>
      </w:r>
      <w:r w:rsidRPr="00802D06">
        <w:rPr>
          <w:rFonts w:cs="Times New Roman"/>
          <w:b w:val="0"/>
          <w:szCs w:val="24"/>
        </w:rPr>
        <w:t>.</w:t>
      </w:r>
    </w:p>
    <w:p w14:paraId="3846527F" w14:textId="77777777" w:rsidR="00547C5B" w:rsidRDefault="00547C5B" w:rsidP="00A36883">
      <w:pPr>
        <w:pStyle w:val="Heading2"/>
        <w:rPr>
          <w:rFonts w:cs="Times New Roman"/>
          <w:color w:val="auto"/>
          <w:szCs w:val="24"/>
        </w:rPr>
      </w:pPr>
    </w:p>
    <w:p w14:paraId="770B78E1" w14:textId="2922D4B1" w:rsidR="00A36883" w:rsidRPr="00792FEC" w:rsidRDefault="00A36883" w:rsidP="00A36883">
      <w:pPr>
        <w:pStyle w:val="Heading2"/>
        <w:rPr>
          <w:rFonts w:cs="Times New Roman"/>
          <w:color w:val="auto"/>
          <w:szCs w:val="24"/>
        </w:rPr>
      </w:pPr>
      <w:r w:rsidRPr="00792FEC">
        <w:rPr>
          <w:rFonts w:cs="Times New Roman"/>
          <w:color w:val="auto"/>
          <w:szCs w:val="24"/>
        </w:rPr>
        <w:t>AUTHORITY</w:t>
      </w:r>
    </w:p>
    <w:p w14:paraId="0E295257" w14:textId="7760C556" w:rsidR="00584937" w:rsidRPr="00792FEC" w:rsidRDefault="00033305" w:rsidP="00547C5B">
      <w:pPr>
        <w:spacing w:before="120" w:after="120" w:line="240" w:lineRule="auto"/>
        <w:rPr>
          <w:rFonts w:cs="Times New Roman"/>
          <w:szCs w:val="24"/>
        </w:rPr>
      </w:pPr>
      <w:r>
        <w:rPr>
          <w:rFonts w:cs="Times New Roman"/>
          <w:szCs w:val="24"/>
        </w:rPr>
        <w:t>This I</w:t>
      </w:r>
      <w:r w:rsidR="00584937" w:rsidRPr="00792FEC">
        <w:rPr>
          <w:rFonts w:cs="Times New Roman"/>
          <w:szCs w:val="24"/>
        </w:rPr>
        <w:t xml:space="preserve">nstrument is made by the Director under section 13 of the Act. </w:t>
      </w:r>
    </w:p>
    <w:p w14:paraId="62489E28" w14:textId="695C686E" w:rsidR="003B3656" w:rsidRDefault="00584937" w:rsidP="00547C5B">
      <w:pPr>
        <w:spacing w:before="120" w:after="120" w:line="240" w:lineRule="auto"/>
        <w:rPr>
          <w:rFonts w:cs="Times New Roman"/>
          <w:szCs w:val="24"/>
        </w:rPr>
      </w:pPr>
      <w:r w:rsidRPr="00792FEC">
        <w:rPr>
          <w:rFonts w:cs="Times New Roman"/>
          <w:szCs w:val="24"/>
        </w:rPr>
        <w:t xml:space="preserve">Subsection 13(1) of the </w:t>
      </w:r>
      <w:r w:rsidR="003B3656" w:rsidRPr="00792FEC">
        <w:rPr>
          <w:rFonts w:cs="Times New Roman"/>
          <w:szCs w:val="24"/>
        </w:rPr>
        <w:t>Act provides that, before 1 Augus</w:t>
      </w:r>
      <w:r w:rsidR="00F63B9B" w:rsidRPr="00792FEC">
        <w:rPr>
          <w:rFonts w:cs="Times New Roman"/>
          <w:szCs w:val="24"/>
        </w:rPr>
        <w:t>t 202</w:t>
      </w:r>
      <w:r w:rsidR="00A95C31">
        <w:rPr>
          <w:rFonts w:cs="Times New Roman"/>
          <w:szCs w:val="24"/>
        </w:rPr>
        <w:t>1</w:t>
      </w:r>
      <w:r w:rsidR="00F63B9B" w:rsidRPr="00792FEC">
        <w:rPr>
          <w:rFonts w:cs="Times New Roman"/>
          <w:szCs w:val="24"/>
        </w:rPr>
        <w:t xml:space="preserve"> and each later year, the </w:t>
      </w:r>
      <w:r w:rsidR="003B3656" w:rsidRPr="00792FEC">
        <w:rPr>
          <w:rFonts w:cs="Times New Roman"/>
          <w:szCs w:val="24"/>
        </w:rPr>
        <w:t>Director must</w:t>
      </w:r>
      <w:r w:rsidR="00BF6014">
        <w:rPr>
          <w:rFonts w:cs="Times New Roman"/>
          <w:szCs w:val="24"/>
        </w:rPr>
        <w:t>,</w:t>
      </w:r>
      <w:r w:rsidR="003B3656" w:rsidRPr="00792FEC">
        <w:rPr>
          <w:rFonts w:cs="Times New Roman"/>
          <w:szCs w:val="24"/>
        </w:rPr>
        <w:t xml:space="preserve"> by legislative instrument, determine the matters set out in section 13 of the Act for the purposes of </w:t>
      </w:r>
      <w:r w:rsidR="00F63B9B" w:rsidRPr="00792FEC">
        <w:rPr>
          <w:rFonts w:cs="Times New Roman"/>
          <w:szCs w:val="24"/>
        </w:rPr>
        <w:t>sections 11 and 12 of the Act</w:t>
      </w:r>
      <w:r w:rsidR="00BF6014">
        <w:rPr>
          <w:rFonts w:cs="Times New Roman"/>
          <w:szCs w:val="24"/>
        </w:rPr>
        <w:t xml:space="preserve">. Such matters </w:t>
      </w:r>
      <w:r w:rsidR="00F63B9B" w:rsidRPr="00792FEC">
        <w:rPr>
          <w:rFonts w:cs="Times New Roman"/>
          <w:szCs w:val="24"/>
        </w:rPr>
        <w:t xml:space="preserve">relate to </w:t>
      </w:r>
      <w:r w:rsidR="003B3656" w:rsidRPr="00792FEC">
        <w:rPr>
          <w:rFonts w:cs="Times New Roman"/>
          <w:szCs w:val="24"/>
        </w:rPr>
        <w:t xml:space="preserve">the </w:t>
      </w:r>
      <w:r w:rsidR="00F63B9B" w:rsidRPr="00792FEC">
        <w:rPr>
          <w:rFonts w:cs="Times New Roman"/>
          <w:szCs w:val="24"/>
        </w:rPr>
        <w:t xml:space="preserve">calculation of the </w:t>
      </w:r>
      <w:r w:rsidR="003B3656" w:rsidRPr="00792FEC">
        <w:rPr>
          <w:rFonts w:cs="Times New Roman"/>
          <w:szCs w:val="24"/>
        </w:rPr>
        <w:t xml:space="preserve">risk rated premium component and special tuition protection component </w:t>
      </w:r>
      <w:r w:rsidR="00F63B9B" w:rsidRPr="00792FEC">
        <w:rPr>
          <w:rFonts w:cs="Times New Roman"/>
          <w:szCs w:val="24"/>
        </w:rPr>
        <w:t xml:space="preserve">of the Levy for the year. </w:t>
      </w:r>
      <w:r w:rsidR="003B3656" w:rsidRPr="00792FEC">
        <w:rPr>
          <w:rFonts w:cs="Times New Roman"/>
          <w:szCs w:val="24"/>
        </w:rPr>
        <w:t xml:space="preserve">  </w:t>
      </w:r>
    </w:p>
    <w:p w14:paraId="16E85A79" w14:textId="190EC4DC" w:rsidR="003B3656" w:rsidRPr="00792FEC" w:rsidRDefault="00F63B9B" w:rsidP="00547C5B">
      <w:pPr>
        <w:spacing w:before="120" w:after="120" w:line="240" w:lineRule="auto"/>
        <w:rPr>
          <w:rFonts w:cs="Times New Roman"/>
          <w:szCs w:val="24"/>
        </w:rPr>
      </w:pPr>
      <w:r w:rsidRPr="00792FEC">
        <w:rPr>
          <w:rFonts w:cs="Times New Roman"/>
          <w:szCs w:val="24"/>
        </w:rPr>
        <w:t>In making an instrument under section 13</w:t>
      </w:r>
      <w:r w:rsidR="003B3656" w:rsidRPr="00792FEC">
        <w:rPr>
          <w:rFonts w:cs="Times New Roman"/>
          <w:szCs w:val="24"/>
        </w:rPr>
        <w:t xml:space="preserve">, the Director must have regard to any advice of the </w:t>
      </w:r>
      <w:r w:rsidR="008F7F3A">
        <w:rPr>
          <w:rFonts w:cs="Times New Roman"/>
          <w:szCs w:val="24"/>
        </w:rPr>
        <w:t>Higher Education</w:t>
      </w:r>
      <w:r w:rsidR="003B3656" w:rsidRPr="00792FEC">
        <w:rPr>
          <w:rFonts w:cs="Times New Roman"/>
          <w:szCs w:val="24"/>
        </w:rPr>
        <w:t xml:space="preserve"> Tuition Protection Fund Advisory Board </w:t>
      </w:r>
      <w:r w:rsidRPr="00792FEC">
        <w:rPr>
          <w:rFonts w:cs="Times New Roman"/>
          <w:szCs w:val="24"/>
        </w:rPr>
        <w:t xml:space="preserve">(the </w:t>
      </w:r>
      <w:r w:rsidR="00ED5A55" w:rsidRPr="00792FEC">
        <w:rPr>
          <w:rFonts w:cs="Times New Roman"/>
          <w:szCs w:val="24"/>
        </w:rPr>
        <w:t xml:space="preserve">Advisory </w:t>
      </w:r>
      <w:r w:rsidRPr="00792FEC">
        <w:rPr>
          <w:rFonts w:cs="Times New Roman"/>
          <w:szCs w:val="24"/>
        </w:rPr>
        <w:t xml:space="preserve">Board) </w:t>
      </w:r>
      <w:r w:rsidR="003B3656" w:rsidRPr="00792FEC">
        <w:rPr>
          <w:rFonts w:cs="Times New Roman"/>
          <w:szCs w:val="24"/>
        </w:rPr>
        <w:t xml:space="preserve">and the sustainability of the Fund (subsection 13(4) of the Act). The Director may also have regard to any other matter that the </w:t>
      </w:r>
      <w:r w:rsidRPr="00792FEC">
        <w:rPr>
          <w:rFonts w:cs="Times New Roman"/>
          <w:szCs w:val="24"/>
        </w:rPr>
        <w:t xml:space="preserve">Director considers appropriate (subsection 13(5) of the Act). </w:t>
      </w:r>
    </w:p>
    <w:p w14:paraId="57F9F4B9" w14:textId="62A2330D" w:rsidR="00547C5B" w:rsidRDefault="003B3656" w:rsidP="00D86EB0">
      <w:pPr>
        <w:spacing w:before="120" w:after="120" w:line="240" w:lineRule="auto"/>
        <w:rPr>
          <w:rFonts w:cs="Times New Roman"/>
          <w:szCs w:val="24"/>
        </w:rPr>
      </w:pPr>
      <w:r w:rsidRPr="00792FEC">
        <w:rPr>
          <w:rFonts w:cs="Times New Roman"/>
          <w:szCs w:val="24"/>
        </w:rPr>
        <w:t>The Treasurer must approve</w:t>
      </w:r>
      <w:r w:rsidR="00F63B9B" w:rsidRPr="00792FEC">
        <w:rPr>
          <w:rFonts w:cs="Times New Roman"/>
          <w:szCs w:val="24"/>
        </w:rPr>
        <w:t xml:space="preserve"> the instrument </w:t>
      </w:r>
      <w:r w:rsidRPr="00792FEC">
        <w:rPr>
          <w:rFonts w:cs="Times New Roman"/>
          <w:szCs w:val="24"/>
        </w:rPr>
        <w:t xml:space="preserve">in writing </w:t>
      </w:r>
      <w:r w:rsidR="00F63B9B" w:rsidRPr="00792FEC">
        <w:rPr>
          <w:rFonts w:cs="Times New Roman"/>
          <w:szCs w:val="24"/>
        </w:rPr>
        <w:t xml:space="preserve">before it is made by the Director </w:t>
      </w:r>
      <w:r w:rsidRPr="00792FEC">
        <w:rPr>
          <w:rFonts w:cs="Times New Roman"/>
          <w:szCs w:val="24"/>
        </w:rPr>
        <w:t xml:space="preserve">(subsection 13(6) of the Act). </w:t>
      </w:r>
    </w:p>
    <w:p w14:paraId="038D57D6" w14:textId="77777777" w:rsidR="00D86EB0" w:rsidRDefault="00D86EB0" w:rsidP="00D86EB0">
      <w:pPr>
        <w:spacing w:before="120" w:after="120" w:line="240" w:lineRule="auto"/>
        <w:rPr>
          <w:rFonts w:cs="Times New Roman"/>
          <w:szCs w:val="24"/>
        </w:rPr>
      </w:pPr>
    </w:p>
    <w:p w14:paraId="353FC577" w14:textId="3B160CE8" w:rsidR="00A36883" w:rsidRPr="00792FEC" w:rsidRDefault="00A36883" w:rsidP="00350779">
      <w:pPr>
        <w:pStyle w:val="Heading2"/>
        <w:rPr>
          <w:rFonts w:cs="Times New Roman"/>
          <w:color w:val="auto"/>
          <w:szCs w:val="24"/>
        </w:rPr>
      </w:pPr>
      <w:r w:rsidRPr="00792FEC">
        <w:rPr>
          <w:rFonts w:cs="Times New Roman"/>
          <w:color w:val="auto"/>
          <w:szCs w:val="24"/>
        </w:rPr>
        <w:lastRenderedPageBreak/>
        <w:t xml:space="preserve">BACKGROUND </w:t>
      </w:r>
    </w:p>
    <w:p w14:paraId="47BE27A9" w14:textId="17C796C4" w:rsidR="00E17050" w:rsidRPr="00792FEC" w:rsidRDefault="00F63B9B" w:rsidP="00547C5B">
      <w:pPr>
        <w:spacing w:before="120" w:after="120" w:line="240" w:lineRule="auto"/>
        <w:rPr>
          <w:rFonts w:cs="Times New Roman"/>
          <w:szCs w:val="24"/>
        </w:rPr>
      </w:pPr>
      <w:r w:rsidRPr="00792FEC">
        <w:rPr>
          <w:rFonts w:cs="Times New Roman"/>
          <w:szCs w:val="24"/>
        </w:rPr>
        <w:t>The Act commenced on</w:t>
      </w:r>
      <w:r w:rsidR="00033305">
        <w:rPr>
          <w:rFonts w:cs="Times New Roman"/>
          <w:szCs w:val="24"/>
        </w:rPr>
        <w:t xml:space="preserve"> 1 January 202</w:t>
      </w:r>
      <w:r w:rsidR="00964F03">
        <w:rPr>
          <w:rFonts w:cs="Times New Roman"/>
          <w:szCs w:val="24"/>
        </w:rPr>
        <w:t>1</w:t>
      </w:r>
      <w:r w:rsidR="00033305">
        <w:rPr>
          <w:rFonts w:cs="Times New Roman"/>
          <w:szCs w:val="24"/>
        </w:rPr>
        <w:t xml:space="preserve"> and imposes the </w:t>
      </w:r>
      <w:r w:rsidRPr="00792FEC">
        <w:rPr>
          <w:rFonts w:cs="Times New Roman"/>
          <w:szCs w:val="24"/>
        </w:rPr>
        <w:t>Levy on leviable providers</w:t>
      </w:r>
      <w:r w:rsidR="005265B4" w:rsidRPr="00792FEC">
        <w:rPr>
          <w:rFonts w:cs="Times New Roman"/>
          <w:szCs w:val="24"/>
        </w:rPr>
        <w:t xml:space="preserve"> (as defined in section 5 of the Act)</w:t>
      </w:r>
      <w:r w:rsidRPr="00792FEC">
        <w:rPr>
          <w:rFonts w:cs="Times New Roman"/>
          <w:szCs w:val="24"/>
        </w:rPr>
        <w:t xml:space="preserve">. </w:t>
      </w:r>
      <w:r w:rsidR="00E17050" w:rsidRPr="00792FEC">
        <w:rPr>
          <w:rFonts w:cs="Times New Roman"/>
          <w:szCs w:val="24"/>
        </w:rPr>
        <w:t>The Act is part of a package of legislation to</w:t>
      </w:r>
      <w:r w:rsidR="006B215F">
        <w:rPr>
          <w:rFonts w:cs="Times New Roman"/>
          <w:szCs w:val="24"/>
        </w:rPr>
        <w:t xml:space="preserve"> implement the expansion o</w:t>
      </w:r>
      <w:r w:rsidR="00861278">
        <w:rPr>
          <w:rFonts w:cs="Times New Roman"/>
          <w:szCs w:val="24"/>
        </w:rPr>
        <w:t xml:space="preserve">f tuition protection </w:t>
      </w:r>
      <w:r w:rsidR="00A23D1B">
        <w:rPr>
          <w:rFonts w:cs="Times New Roman"/>
          <w:szCs w:val="24"/>
        </w:rPr>
        <w:t>to domestic up-front fee paying students at private higher education providers</w:t>
      </w:r>
      <w:r w:rsidR="000E684C">
        <w:rPr>
          <w:rFonts w:cs="Times New Roman"/>
          <w:szCs w:val="24"/>
        </w:rPr>
        <w:t xml:space="preserve">, ensuring they receive the same protection as </w:t>
      </w:r>
      <w:r w:rsidR="00E17050" w:rsidRPr="00792FEC">
        <w:rPr>
          <w:rFonts w:cs="Times New Roman"/>
          <w:szCs w:val="24"/>
        </w:rPr>
        <w:t xml:space="preserve">higher </w:t>
      </w:r>
      <w:r w:rsidR="00033305">
        <w:rPr>
          <w:rFonts w:cs="Times New Roman"/>
          <w:szCs w:val="24"/>
        </w:rPr>
        <w:t xml:space="preserve">education students accessing </w:t>
      </w:r>
      <w:proofErr w:type="spellStart"/>
      <w:r w:rsidR="00033305">
        <w:rPr>
          <w:rFonts w:cs="Times New Roman"/>
          <w:szCs w:val="24"/>
        </w:rPr>
        <w:t>HECS</w:t>
      </w:r>
      <w:proofErr w:type="spellEnd"/>
      <w:r w:rsidR="00E17050" w:rsidRPr="00792FEC">
        <w:rPr>
          <w:rFonts w:cs="Times New Roman"/>
          <w:szCs w:val="24"/>
        </w:rPr>
        <w:t xml:space="preserve">-HELP or </w:t>
      </w:r>
      <w:r w:rsidR="00033305">
        <w:rPr>
          <w:rFonts w:cs="Times New Roman"/>
          <w:szCs w:val="24"/>
        </w:rPr>
        <w:t>FEE</w:t>
      </w:r>
      <w:r w:rsidR="00E17050" w:rsidRPr="00792FEC">
        <w:rPr>
          <w:rFonts w:cs="Times New Roman"/>
          <w:szCs w:val="24"/>
        </w:rPr>
        <w:t>-HELP assistance at private higher education providers</w:t>
      </w:r>
      <w:r w:rsidR="00B9587D">
        <w:rPr>
          <w:rFonts w:cs="Times New Roman"/>
          <w:szCs w:val="24"/>
        </w:rPr>
        <w:t xml:space="preserve"> in the event of </w:t>
      </w:r>
      <w:r w:rsidR="00087BD5">
        <w:rPr>
          <w:rFonts w:cs="Times New Roman"/>
          <w:szCs w:val="24"/>
        </w:rPr>
        <w:t xml:space="preserve">provider </w:t>
      </w:r>
      <w:r w:rsidR="001C2347">
        <w:rPr>
          <w:rFonts w:cs="Times New Roman"/>
          <w:szCs w:val="24"/>
        </w:rPr>
        <w:t>defaults</w:t>
      </w:r>
      <w:r w:rsidR="00E17050" w:rsidRPr="00792FEC">
        <w:rPr>
          <w:rFonts w:cs="Times New Roman"/>
          <w:szCs w:val="24"/>
        </w:rPr>
        <w:t>.</w:t>
      </w:r>
    </w:p>
    <w:p w14:paraId="58458DC1" w14:textId="64922828" w:rsidR="00E17050" w:rsidRPr="00792FEC" w:rsidRDefault="00033305" w:rsidP="00547C5B">
      <w:pPr>
        <w:spacing w:before="120" w:after="120" w:line="240" w:lineRule="auto"/>
        <w:rPr>
          <w:rFonts w:cs="Times New Roman"/>
          <w:szCs w:val="24"/>
        </w:rPr>
      </w:pPr>
      <w:r>
        <w:rPr>
          <w:rFonts w:cs="Times New Roman"/>
          <w:szCs w:val="24"/>
        </w:rPr>
        <w:t xml:space="preserve">The </w:t>
      </w:r>
      <w:r w:rsidR="00E17050" w:rsidRPr="00792FEC">
        <w:rPr>
          <w:rFonts w:cs="Times New Roman"/>
          <w:szCs w:val="24"/>
        </w:rPr>
        <w:t xml:space="preserve">Levy </w:t>
      </w:r>
      <w:r w:rsidR="00C705B1" w:rsidRPr="00792FEC">
        <w:rPr>
          <w:rFonts w:cs="Times New Roman"/>
          <w:szCs w:val="24"/>
        </w:rPr>
        <w:t>comprises</w:t>
      </w:r>
      <w:r w:rsidR="00E17050" w:rsidRPr="00792FEC">
        <w:rPr>
          <w:rFonts w:cs="Times New Roman"/>
          <w:szCs w:val="24"/>
        </w:rPr>
        <w:t xml:space="preserve"> three components:</w:t>
      </w:r>
    </w:p>
    <w:p w14:paraId="7F5C0A6A"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the administrative fee component;</w:t>
      </w:r>
    </w:p>
    <w:p w14:paraId="09087487"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 xml:space="preserve">the risk rated premium component; and </w:t>
      </w:r>
    </w:p>
    <w:p w14:paraId="246B27CD"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 xml:space="preserve">the special tuition protection component. </w:t>
      </w:r>
    </w:p>
    <w:p w14:paraId="5E02EEA1" w14:textId="2BB1B34B" w:rsidR="00F63B9B" w:rsidRPr="00792FEC" w:rsidRDefault="00F63B9B" w:rsidP="00547C5B">
      <w:pPr>
        <w:spacing w:before="120" w:after="120" w:line="240" w:lineRule="auto"/>
        <w:rPr>
          <w:rFonts w:cs="Times New Roman"/>
          <w:szCs w:val="24"/>
        </w:rPr>
      </w:pPr>
      <w:r w:rsidRPr="00792FEC">
        <w:rPr>
          <w:rFonts w:cs="Times New Roman"/>
          <w:szCs w:val="24"/>
        </w:rPr>
        <w:t>The Act specifies the amounts</w:t>
      </w:r>
      <w:r w:rsidR="00E17050" w:rsidRPr="00792FEC">
        <w:rPr>
          <w:rFonts w:cs="Times New Roman"/>
          <w:szCs w:val="24"/>
        </w:rPr>
        <w:t>, or methods for calculating the amounts</w:t>
      </w:r>
      <w:r w:rsidR="00033305">
        <w:rPr>
          <w:rFonts w:cs="Times New Roman"/>
          <w:szCs w:val="24"/>
        </w:rPr>
        <w:t xml:space="preserve">, for each component of the </w:t>
      </w:r>
      <w:r w:rsidR="00E17050" w:rsidRPr="00792FEC">
        <w:rPr>
          <w:rFonts w:cs="Times New Roman"/>
          <w:szCs w:val="24"/>
        </w:rPr>
        <w:t>Levy. It also specifies the</w:t>
      </w:r>
      <w:r w:rsidRPr="00792FEC">
        <w:rPr>
          <w:rFonts w:cs="Times New Roman"/>
          <w:szCs w:val="24"/>
        </w:rPr>
        <w:t xml:space="preserve"> manner in which, and by whom,</w:t>
      </w:r>
      <w:r w:rsidR="005265B4" w:rsidRPr="00792FEC">
        <w:rPr>
          <w:rFonts w:cs="Times New Roman"/>
          <w:szCs w:val="24"/>
        </w:rPr>
        <w:t xml:space="preserve"> various matters relevant to </w:t>
      </w:r>
      <w:r w:rsidR="00033305">
        <w:rPr>
          <w:rFonts w:cs="Times New Roman"/>
          <w:szCs w:val="24"/>
        </w:rPr>
        <w:t>each component of the</w:t>
      </w:r>
      <w:r w:rsidR="008D3C43" w:rsidRPr="00792FEC">
        <w:rPr>
          <w:rFonts w:cs="Times New Roman"/>
          <w:szCs w:val="24"/>
        </w:rPr>
        <w:t xml:space="preserve"> Levy must </w:t>
      </w:r>
      <w:r w:rsidRPr="00792FEC">
        <w:rPr>
          <w:rFonts w:cs="Times New Roman"/>
          <w:szCs w:val="24"/>
        </w:rPr>
        <w:t xml:space="preserve">be determined each year. </w:t>
      </w:r>
    </w:p>
    <w:p w14:paraId="08A2F376" w14:textId="55F0DA23" w:rsidR="005265B4" w:rsidRPr="00792FEC" w:rsidRDefault="00F63B9B" w:rsidP="00547C5B">
      <w:pPr>
        <w:spacing w:before="120" w:after="120" w:line="240" w:lineRule="auto"/>
        <w:rPr>
          <w:rFonts w:cs="Times New Roman"/>
          <w:szCs w:val="24"/>
        </w:rPr>
      </w:pPr>
      <w:r w:rsidRPr="00792FEC">
        <w:rPr>
          <w:rFonts w:cs="Times New Roman"/>
          <w:szCs w:val="24"/>
        </w:rPr>
        <w:t>The Director is responsible for determining</w:t>
      </w:r>
      <w:r w:rsidR="005265B4" w:rsidRPr="00792FEC">
        <w:rPr>
          <w:rFonts w:cs="Times New Roman"/>
          <w:szCs w:val="24"/>
        </w:rPr>
        <w:t>,</w:t>
      </w:r>
      <w:r w:rsidRPr="00792FEC">
        <w:rPr>
          <w:rFonts w:cs="Times New Roman"/>
          <w:szCs w:val="24"/>
        </w:rPr>
        <w:t xml:space="preserve"> </w:t>
      </w:r>
      <w:r w:rsidR="005265B4" w:rsidRPr="00792FEC">
        <w:rPr>
          <w:rFonts w:cs="Times New Roman"/>
          <w:szCs w:val="24"/>
        </w:rPr>
        <w:t>through a legislative instrument each year, various</w:t>
      </w:r>
      <w:r w:rsidRPr="00792FEC">
        <w:rPr>
          <w:rFonts w:cs="Times New Roman"/>
          <w:szCs w:val="24"/>
        </w:rPr>
        <w:t xml:space="preserve"> </w:t>
      </w:r>
      <w:r w:rsidR="005265B4" w:rsidRPr="00792FEC">
        <w:rPr>
          <w:rFonts w:cs="Times New Roman"/>
          <w:szCs w:val="24"/>
        </w:rPr>
        <w:t xml:space="preserve">matters relevant to the calculation of </w:t>
      </w:r>
      <w:r w:rsidR="00C705B1" w:rsidRPr="00792FEC">
        <w:rPr>
          <w:rFonts w:cs="Times New Roman"/>
          <w:szCs w:val="24"/>
        </w:rPr>
        <w:t xml:space="preserve">the </w:t>
      </w:r>
      <w:r w:rsidRPr="00792FEC">
        <w:rPr>
          <w:rFonts w:cs="Times New Roman"/>
          <w:szCs w:val="24"/>
        </w:rPr>
        <w:t xml:space="preserve">risk rated premium component and special tuition protection component. </w:t>
      </w:r>
    </w:p>
    <w:p w14:paraId="24EFEC35" w14:textId="77777777" w:rsidR="00FA0D85" w:rsidRDefault="00F63B9B" w:rsidP="00547C5B">
      <w:pPr>
        <w:spacing w:before="120" w:after="120" w:line="240" w:lineRule="auto"/>
        <w:rPr>
          <w:rFonts w:cs="Times New Roman"/>
          <w:szCs w:val="24"/>
        </w:rPr>
      </w:pPr>
      <w:r w:rsidRPr="00792FEC">
        <w:rPr>
          <w:rFonts w:cs="Times New Roman"/>
          <w:szCs w:val="24"/>
        </w:rPr>
        <w:t>The Minister</w:t>
      </w:r>
      <w:r w:rsidR="008D3C43" w:rsidRPr="00792FEC">
        <w:rPr>
          <w:rFonts w:cs="Times New Roman"/>
          <w:szCs w:val="24"/>
        </w:rPr>
        <w:t xml:space="preserve"> is responsible for determining, also th</w:t>
      </w:r>
      <w:r w:rsidR="003D5BA3">
        <w:rPr>
          <w:rFonts w:cs="Times New Roman"/>
          <w:szCs w:val="24"/>
        </w:rPr>
        <w:t>r</w:t>
      </w:r>
      <w:r w:rsidR="008D3C43" w:rsidRPr="00792FEC">
        <w:rPr>
          <w:rFonts w:cs="Times New Roman"/>
          <w:szCs w:val="24"/>
        </w:rPr>
        <w:t xml:space="preserve">ough a legislative instrument, </w:t>
      </w:r>
      <w:r w:rsidR="005265B4" w:rsidRPr="00792FEC">
        <w:rPr>
          <w:rFonts w:cs="Times New Roman"/>
          <w:szCs w:val="24"/>
        </w:rPr>
        <w:t xml:space="preserve">amounts relevant to the calculation of the </w:t>
      </w:r>
      <w:r w:rsidRPr="00792FEC">
        <w:rPr>
          <w:rFonts w:cs="Times New Roman"/>
          <w:szCs w:val="24"/>
        </w:rPr>
        <w:t>administrative fee component.</w:t>
      </w:r>
    </w:p>
    <w:p w14:paraId="1F6DAE0A" w14:textId="58485922" w:rsidR="00FA0D85" w:rsidRPr="00792FEC" w:rsidRDefault="00FA0D85" w:rsidP="00FA0D85">
      <w:pPr>
        <w:spacing w:before="120" w:after="120" w:line="240" w:lineRule="auto"/>
        <w:rPr>
          <w:rFonts w:cs="Times New Roman"/>
          <w:szCs w:val="24"/>
        </w:rPr>
      </w:pPr>
      <w:r>
        <w:rPr>
          <w:rFonts w:cs="Times New Roman"/>
          <w:szCs w:val="24"/>
        </w:rPr>
        <w:t xml:space="preserve">In accordance with section </w:t>
      </w:r>
      <w:r w:rsidR="00090084">
        <w:rPr>
          <w:rFonts w:cs="Times New Roman"/>
          <w:szCs w:val="24"/>
        </w:rPr>
        <w:t>26A(5)(f)</w:t>
      </w:r>
      <w:r>
        <w:rPr>
          <w:rFonts w:cs="Times New Roman"/>
          <w:szCs w:val="24"/>
        </w:rPr>
        <w:t xml:space="preserve"> of the</w:t>
      </w:r>
      <w:r w:rsidR="00090084">
        <w:rPr>
          <w:rFonts w:cs="Times New Roman"/>
          <w:szCs w:val="24"/>
        </w:rPr>
        <w:t xml:space="preserve"> </w:t>
      </w:r>
      <w:hyperlink r:id="rId11" w:anchor=":~:text=SHOW-,Tertiary" w:history="1">
        <w:r w:rsidR="00090084" w:rsidRPr="00A17888">
          <w:rPr>
            <w:rStyle w:val="Hyperlink"/>
            <w:rFonts w:cs="Times New Roman"/>
            <w:i/>
            <w:iCs/>
            <w:color w:val="auto"/>
            <w:szCs w:val="24"/>
            <w:u w:val="none"/>
          </w:rPr>
          <w:t>Tertiary</w:t>
        </w:r>
      </w:hyperlink>
      <w:r w:rsidR="00090084" w:rsidRPr="00090084">
        <w:rPr>
          <w:rFonts w:cs="Times New Roman"/>
          <w:i/>
          <w:iCs/>
          <w:szCs w:val="24"/>
        </w:rPr>
        <w:t xml:space="preserve"> Education Quality Standards Agency Act 2011</w:t>
      </w:r>
      <w:r w:rsidR="00090084" w:rsidRPr="00090084">
        <w:rPr>
          <w:rFonts w:cs="Times New Roman"/>
          <w:szCs w:val="24"/>
        </w:rPr>
        <w:t>,</w:t>
      </w:r>
      <w:r>
        <w:rPr>
          <w:rFonts w:cs="Times New Roman"/>
          <w:szCs w:val="24"/>
        </w:rPr>
        <w:t xml:space="preserve"> in 2021 the </w:t>
      </w:r>
      <w:r w:rsidRPr="00090084">
        <w:rPr>
          <w:rFonts w:cs="Times New Roman"/>
          <w:i/>
          <w:iCs/>
          <w:szCs w:val="24"/>
        </w:rPr>
        <w:t>Up-front Payment Guidelines</w:t>
      </w:r>
      <w:r w:rsidR="00090084" w:rsidRPr="00090084">
        <w:rPr>
          <w:rFonts w:cs="Times New Roman"/>
          <w:i/>
          <w:iCs/>
          <w:szCs w:val="24"/>
        </w:rPr>
        <w:t xml:space="preserve"> 2020</w:t>
      </w:r>
      <w:r>
        <w:rPr>
          <w:rFonts w:cs="Times New Roman"/>
          <w:szCs w:val="24"/>
        </w:rPr>
        <w:t xml:space="preserve"> </w:t>
      </w:r>
      <w:r w:rsidR="00EF05CD">
        <w:rPr>
          <w:rFonts w:cs="Times New Roman"/>
          <w:szCs w:val="24"/>
        </w:rPr>
        <w:t>were amended to waive the requirement on leviable providers to pay the Levy for 2021.</w:t>
      </w:r>
      <w:r>
        <w:rPr>
          <w:rFonts w:cs="Times New Roman"/>
          <w:szCs w:val="24"/>
        </w:rPr>
        <w:t xml:space="preserve"> As a consequence, </w:t>
      </w:r>
      <w:r w:rsidR="00465233">
        <w:rPr>
          <w:rFonts w:cs="Times New Roman"/>
          <w:szCs w:val="24"/>
        </w:rPr>
        <w:t>no determination under section 13 of the Act</w:t>
      </w:r>
      <w:r>
        <w:rPr>
          <w:rFonts w:cs="Times New Roman"/>
          <w:szCs w:val="24"/>
        </w:rPr>
        <w:t xml:space="preserve"> was made in 2021.</w:t>
      </w:r>
    </w:p>
    <w:p w14:paraId="162AE668" w14:textId="529CCC5B" w:rsidR="00F63B9B" w:rsidRPr="00AA2821" w:rsidRDefault="005265B4" w:rsidP="00547C5B">
      <w:pPr>
        <w:spacing w:before="120" w:after="120" w:line="240" w:lineRule="auto"/>
        <w:rPr>
          <w:rFonts w:cs="Times New Roman"/>
          <w:szCs w:val="24"/>
        </w:rPr>
      </w:pPr>
      <w:r w:rsidRPr="00792FEC">
        <w:rPr>
          <w:rFonts w:cs="Times New Roman"/>
          <w:szCs w:val="24"/>
        </w:rPr>
        <w:t xml:space="preserve">If </w:t>
      </w:r>
      <w:r w:rsidR="008D3C43" w:rsidRPr="00792FEC">
        <w:rPr>
          <w:rFonts w:cs="Times New Roman"/>
          <w:szCs w:val="24"/>
        </w:rPr>
        <w:t>a leviable provider is a new provider for a year</w:t>
      </w:r>
      <w:r w:rsidR="00A43D0C">
        <w:rPr>
          <w:rFonts w:cs="Times New Roman"/>
          <w:szCs w:val="24"/>
        </w:rPr>
        <w:t xml:space="preserve"> (as defined in section 5 of the Act)</w:t>
      </w:r>
      <w:r w:rsidR="008D3C43" w:rsidRPr="00792FEC">
        <w:rPr>
          <w:rFonts w:cs="Times New Roman"/>
          <w:szCs w:val="24"/>
        </w:rPr>
        <w:t xml:space="preserve">, the new provider only pays part of the administrative fee component in their first year (noting </w:t>
      </w:r>
      <w:r w:rsidR="008D3C43" w:rsidRPr="00AA2821">
        <w:rPr>
          <w:rFonts w:cs="Times New Roman"/>
          <w:szCs w:val="24"/>
        </w:rPr>
        <w:t xml:space="preserve">the amount of both the </w:t>
      </w:r>
      <w:r w:rsidR="003B7171" w:rsidRPr="00AA2821">
        <w:rPr>
          <w:rFonts w:cs="Times New Roman"/>
          <w:szCs w:val="24"/>
        </w:rPr>
        <w:t xml:space="preserve">new </w:t>
      </w:r>
      <w:r w:rsidR="008D3C43" w:rsidRPr="00AA2821">
        <w:rPr>
          <w:rFonts w:cs="Times New Roman"/>
          <w:szCs w:val="24"/>
        </w:rPr>
        <w:t xml:space="preserve">provider’s risk rated premium component and special tuition protection </w:t>
      </w:r>
      <w:r w:rsidR="00BE21AD">
        <w:rPr>
          <w:rFonts w:cs="Times New Roman"/>
          <w:szCs w:val="24"/>
        </w:rPr>
        <w:t xml:space="preserve">component </w:t>
      </w:r>
      <w:r w:rsidR="008D3C43" w:rsidRPr="00AA2821">
        <w:rPr>
          <w:rFonts w:cs="Times New Roman"/>
          <w:szCs w:val="24"/>
        </w:rPr>
        <w:t>is zero</w:t>
      </w:r>
      <w:r w:rsidR="00033305" w:rsidRPr="00AA2821">
        <w:rPr>
          <w:rFonts w:cs="Times New Roman"/>
          <w:szCs w:val="24"/>
        </w:rPr>
        <w:t xml:space="preserve"> – subsections 11(1) and 12(</w:t>
      </w:r>
      <w:r w:rsidR="00B718C4">
        <w:rPr>
          <w:rFonts w:cs="Times New Roman"/>
          <w:szCs w:val="24"/>
        </w:rPr>
        <w:t>a</w:t>
      </w:r>
      <w:r w:rsidR="00033305" w:rsidRPr="00AA2821">
        <w:rPr>
          <w:rFonts w:cs="Times New Roman"/>
          <w:szCs w:val="24"/>
        </w:rPr>
        <w:t>) of the Act</w:t>
      </w:r>
      <w:r w:rsidR="008D3C43" w:rsidRPr="00AA2821">
        <w:rPr>
          <w:rFonts w:cs="Times New Roman"/>
          <w:szCs w:val="24"/>
        </w:rPr>
        <w:t xml:space="preserve">). </w:t>
      </w:r>
    </w:p>
    <w:p w14:paraId="0A0B582B" w14:textId="5F483E56" w:rsidR="00F63B9B" w:rsidRPr="00792FEC" w:rsidRDefault="00F63B9B" w:rsidP="00547C5B">
      <w:pPr>
        <w:spacing w:before="120" w:after="120" w:line="240" w:lineRule="auto"/>
        <w:rPr>
          <w:rFonts w:cs="Times New Roman"/>
          <w:szCs w:val="24"/>
        </w:rPr>
      </w:pPr>
      <w:r w:rsidRPr="00AA2821">
        <w:rPr>
          <w:rFonts w:cs="Times New Roman"/>
          <w:szCs w:val="24"/>
        </w:rPr>
        <w:t>The risk rated premium component is</w:t>
      </w:r>
      <w:r w:rsidRPr="00792FEC">
        <w:rPr>
          <w:rFonts w:cs="Times New Roman"/>
          <w:szCs w:val="24"/>
        </w:rPr>
        <w:t xml:space="preserve"> intended to cover the risk of each provider defaulting</w:t>
      </w:r>
      <w:r w:rsidR="00F93C27" w:rsidRPr="00792FEC">
        <w:rPr>
          <w:rFonts w:cs="Times New Roman"/>
          <w:szCs w:val="24"/>
        </w:rPr>
        <w:t xml:space="preserve"> (</w:t>
      </w:r>
      <w:r w:rsidR="00BE21AD">
        <w:rPr>
          <w:rFonts w:cs="Times New Roman"/>
          <w:szCs w:val="24"/>
        </w:rPr>
        <w:t xml:space="preserve">including where </w:t>
      </w:r>
      <w:r w:rsidR="00F93C27" w:rsidRPr="00792FEC">
        <w:rPr>
          <w:rFonts w:cs="Times New Roman"/>
          <w:szCs w:val="24"/>
        </w:rPr>
        <w:t>the provider fails to start to provide, or ceases to provide, a</w:t>
      </w:r>
      <w:r w:rsidR="00033305">
        <w:rPr>
          <w:rFonts w:cs="Times New Roman"/>
          <w:szCs w:val="24"/>
        </w:rPr>
        <w:t xml:space="preserve"> unit of study for a student</w:t>
      </w:r>
      <w:r w:rsidR="00F93C27" w:rsidRPr="00792FEC">
        <w:rPr>
          <w:rFonts w:cs="Times New Roman"/>
          <w:szCs w:val="24"/>
        </w:rPr>
        <w:t>)</w:t>
      </w:r>
      <w:r w:rsidR="00BF6014">
        <w:rPr>
          <w:rFonts w:cs="Times New Roman"/>
          <w:szCs w:val="24"/>
        </w:rPr>
        <w:t xml:space="preserve">. It </w:t>
      </w:r>
      <w:r w:rsidRPr="00792FEC">
        <w:rPr>
          <w:rFonts w:cs="Times New Roman"/>
          <w:szCs w:val="24"/>
        </w:rPr>
        <w:t>is calculated according to a detailed methodology provided for in</w:t>
      </w:r>
      <w:r w:rsidR="00F250D4" w:rsidRPr="00792FEC">
        <w:rPr>
          <w:rFonts w:cs="Times New Roman"/>
          <w:szCs w:val="24"/>
        </w:rPr>
        <w:t xml:space="preserve"> sub</w:t>
      </w:r>
      <w:r w:rsidR="00A471A5" w:rsidRPr="00792FEC">
        <w:rPr>
          <w:rFonts w:cs="Times New Roman"/>
          <w:szCs w:val="24"/>
        </w:rPr>
        <w:t>section 11</w:t>
      </w:r>
      <w:r w:rsidR="00F250D4" w:rsidRPr="00792FEC">
        <w:rPr>
          <w:rFonts w:cs="Times New Roman"/>
          <w:szCs w:val="24"/>
        </w:rPr>
        <w:t>(2)</w:t>
      </w:r>
      <w:r w:rsidR="00A471A5" w:rsidRPr="00792FEC">
        <w:rPr>
          <w:rFonts w:cs="Times New Roman"/>
          <w:szCs w:val="24"/>
        </w:rPr>
        <w:t xml:space="preserve"> of </w:t>
      </w:r>
      <w:r w:rsidRPr="00792FEC">
        <w:rPr>
          <w:rFonts w:cs="Times New Roman"/>
          <w:szCs w:val="24"/>
        </w:rPr>
        <w:t>the Act and</w:t>
      </w:r>
      <w:r w:rsidR="00BE21AD">
        <w:rPr>
          <w:rFonts w:cs="Times New Roman"/>
          <w:szCs w:val="24"/>
        </w:rPr>
        <w:t xml:space="preserve"> as</w:t>
      </w:r>
      <w:r w:rsidRPr="00792FEC">
        <w:rPr>
          <w:rFonts w:cs="Times New Roman"/>
          <w:szCs w:val="24"/>
        </w:rPr>
        <w:t xml:space="preserve"> </w:t>
      </w:r>
      <w:r w:rsidR="00A471A5" w:rsidRPr="00792FEC">
        <w:rPr>
          <w:rFonts w:cs="Times New Roman"/>
          <w:szCs w:val="24"/>
        </w:rPr>
        <w:t>represented by the formula</w:t>
      </w:r>
      <w:r w:rsidRPr="00792FEC">
        <w:rPr>
          <w:rFonts w:cs="Times New Roman"/>
          <w:szCs w:val="24"/>
        </w:rPr>
        <w:t xml:space="preserve"> below.</w:t>
      </w:r>
    </w:p>
    <w:p w14:paraId="3588210E" w14:textId="470DA69D" w:rsidR="00F63B9B" w:rsidRPr="00A22A6B" w:rsidRDefault="00A22A6B" w:rsidP="00F63B9B">
      <w:pPr>
        <w:spacing w:before="120" w:after="120" w:line="240" w:lineRule="auto"/>
        <w:rPr>
          <w:rFonts w:cs="Times New Roman"/>
          <w:b/>
          <w:i/>
          <w:szCs w:val="24"/>
        </w:rPr>
      </w:pPr>
      <w:r w:rsidRPr="00482F83">
        <w:rPr>
          <w:rFonts w:cs="Times New Roman"/>
          <w:b/>
          <w:i/>
          <w:szCs w:val="24"/>
        </w:rPr>
        <w:t>R</w:t>
      </w:r>
      <w:r w:rsidR="00F63B9B" w:rsidRPr="00482F83">
        <w:rPr>
          <w:rFonts w:cs="Times New Roman"/>
          <w:b/>
          <w:i/>
          <w:szCs w:val="24"/>
        </w:rPr>
        <w:t>isk rated premium component</w:t>
      </w:r>
      <w:r w:rsidR="00A471A5" w:rsidRPr="00A22A6B">
        <w:rPr>
          <w:rFonts w:cs="Times New Roman"/>
          <w:b/>
          <w:i/>
          <w:szCs w:val="24"/>
        </w:rPr>
        <w:t xml:space="preserve"> </w:t>
      </w:r>
    </w:p>
    <w:p w14:paraId="4268DBB2" w14:textId="70D844B8" w:rsidR="00F63B9B" w:rsidRPr="00792FEC" w:rsidRDefault="00C719BF" w:rsidP="00C719BF">
      <w:pPr>
        <w:spacing w:before="120" w:after="120" w:line="240" w:lineRule="auto"/>
        <w:jc w:val="center"/>
        <w:rPr>
          <w:rFonts w:cs="Times New Roman"/>
          <w:szCs w:val="24"/>
        </w:rPr>
      </w:pPr>
      <w:r w:rsidRPr="00C719BF">
        <w:rPr>
          <w:rFonts w:cs="Times New Roman"/>
          <w:szCs w:val="24"/>
        </w:rPr>
        <w:drawing>
          <wp:inline distT="0" distB="0" distL="0" distR="0" wp14:anchorId="33D13E95" wp14:editId="679DBF5F">
            <wp:extent cx="4156874" cy="1113911"/>
            <wp:effectExtent l="0" t="0" r="0" b="0"/>
            <wp:docPr id="1" name="Picture 1" descr="Start formula equals open curly bracket open round bracket total up-front paying students for the year times amount determined by the Director close round bracket plus open round bracket Total up-front payments for previous year times percentage determined by the Director close round bracket close curly bracket times open curly bracket open round bracket risk factor values close round bracket plus 1 close curly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0152" cy="1120149"/>
                    </a:xfrm>
                    <a:prstGeom prst="rect">
                      <a:avLst/>
                    </a:prstGeom>
                  </pic:spPr>
                </pic:pic>
              </a:graphicData>
            </a:graphic>
          </wp:inline>
        </w:drawing>
      </w:r>
    </w:p>
    <w:p w14:paraId="202D7E01" w14:textId="2DE79F0B" w:rsidR="00A22A6B" w:rsidRDefault="00033305" w:rsidP="000F63A6">
      <w:pPr>
        <w:spacing w:before="120" w:after="120" w:line="240" w:lineRule="auto"/>
        <w:ind w:right="91"/>
        <w:rPr>
          <w:rFonts w:cs="Times New Roman"/>
          <w:szCs w:val="24"/>
        </w:rPr>
      </w:pPr>
      <w:r>
        <w:rPr>
          <w:rFonts w:cs="Times New Roman"/>
          <w:szCs w:val="24"/>
        </w:rPr>
        <w:t xml:space="preserve">‘Total </w:t>
      </w:r>
      <w:r w:rsidR="00466420">
        <w:rPr>
          <w:rFonts w:cs="Times New Roman"/>
          <w:szCs w:val="24"/>
        </w:rPr>
        <w:t>up-front fee paying</w:t>
      </w:r>
      <w:r>
        <w:rPr>
          <w:rFonts w:cs="Times New Roman"/>
          <w:szCs w:val="24"/>
        </w:rPr>
        <w:t xml:space="preserve"> </w:t>
      </w:r>
      <w:r w:rsidR="003E0ACA" w:rsidRPr="00792FEC">
        <w:rPr>
          <w:rFonts w:cs="Times New Roman"/>
          <w:szCs w:val="24"/>
        </w:rPr>
        <w:t>students’</w:t>
      </w:r>
      <w:r w:rsidR="00466420">
        <w:rPr>
          <w:rFonts w:cs="Times New Roman"/>
          <w:szCs w:val="24"/>
        </w:rPr>
        <w:t xml:space="preserve">, for a </w:t>
      </w:r>
      <w:r w:rsidR="007A667A">
        <w:rPr>
          <w:rFonts w:cs="Times New Roman"/>
          <w:szCs w:val="24"/>
        </w:rPr>
        <w:t>leviable</w:t>
      </w:r>
      <w:r w:rsidR="00466420">
        <w:rPr>
          <w:rFonts w:cs="Times New Roman"/>
          <w:szCs w:val="24"/>
        </w:rPr>
        <w:t xml:space="preserve"> provider for a year,</w:t>
      </w:r>
      <w:r w:rsidR="003E0ACA" w:rsidRPr="00792FEC">
        <w:rPr>
          <w:rFonts w:cs="Times New Roman"/>
          <w:szCs w:val="24"/>
        </w:rPr>
        <w:t xml:space="preserve"> means </w:t>
      </w:r>
      <w:r w:rsidR="00A22A6B" w:rsidRPr="00A22A6B">
        <w:rPr>
          <w:rFonts w:cs="Times New Roman"/>
          <w:szCs w:val="24"/>
        </w:rPr>
        <w:t xml:space="preserve">the total number of </w:t>
      </w:r>
      <w:r w:rsidR="007A667A">
        <w:rPr>
          <w:rFonts w:cs="Times New Roman"/>
          <w:szCs w:val="24"/>
        </w:rPr>
        <w:t>domestic</w:t>
      </w:r>
      <w:r w:rsidR="00EF75B1">
        <w:rPr>
          <w:rFonts w:cs="Times New Roman"/>
          <w:szCs w:val="24"/>
        </w:rPr>
        <w:t xml:space="preserve"> students</w:t>
      </w:r>
      <w:r w:rsidR="007A667A">
        <w:rPr>
          <w:rFonts w:cs="Times New Roman"/>
          <w:szCs w:val="24"/>
        </w:rPr>
        <w:t xml:space="preserve"> for which one or more up-front payments for one or more </w:t>
      </w:r>
      <w:r w:rsidR="00C315CD">
        <w:rPr>
          <w:rFonts w:cs="Times New Roman"/>
          <w:szCs w:val="24"/>
        </w:rPr>
        <w:t>units of study was received, either directly or indirectly, by the provider during the year</w:t>
      </w:r>
      <w:r w:rsidR="00B43045">
        <w:rPr>
          <w:rFonts w:cs="Times New Roman"/>
          <w:szCs w:val="24"/>
        </w:rPr>
        <w:t xml:space="preserve"> </w:t>
      </w:r>
      <w:r w:rsidR="00A22A6B" w:rsidRPr="00A22A6B">
        <w:rPr>
          <w:rFonts w:cs="Times New Roman"/>
          <w:szCs w:val="24"/>
        </w:rPr>
        <w:t xml:space="preserve">(see definition of ‘total </w:t>
      </w:r>
      <w:r w:rsidR="00B43045">
        <w:rPr>
          <w:rFonts w:cs="Times New Roman"/>
          <w:szCs w:val="24"/>
        </w:rPr>
        <w:t>up-front fee paying</w:t>
      </w:r>
      <w:r w:rsidR="00A22A6B" w:rsidRPr="00A22A6B">
        <w:rPr>
          <w:rFonts w:cs="Times New Roman"/>
          <w:szCs w:val="24"/>
        </w:rPr>
        <w:t xml:space="preserve"> students’ </w:t>
      </w:r>
      <w:r w:rsidR="001C279F">
        <w:rPr>
          <w:rFonts w:cs="Times New Roman"/>
          <w:szCs w:val="24"/>
        </w:rPr>
        <w:t>in</w:t>
      </w:r>
      <w:r w:rsidR="00A22A6B" w:rsidRPr="00A22A6B">
        <w:rPr>
          <w:rFonts w:cs="Times New Roman"/>
          <w:szCs w:val="24"/>
        </w:rPr>
        <w:t xml:space="preserve"> section 5 of the Act).</w:t>
      </w:r>
      <w:r w:rsidR="005E0674">
        <w:rPr>
          <w:rFonts w:cs="Times New Roman"/>
          <w:szCs w:val="24"/>
        </w:rPr>
        <w:t xml:space="preserve"> </w:t>
      </w:r>
      <w:r w:rsidR="00B43045">
        <w:rPr>
          <w:rFonts w:cs="Times New Roman"/>
          <w:szCs w:val="24"/>
        </w:rPr>
        <w:t>For the pur</w:t>
      </w:r>
      <w:r w:rsidR="008D70C1">
        <w:rPr>
          <w:rFonts w:cs="Times New Roman"/>
          <w:szCs w:val="24"/>
        </w:rPr>
        <w:t xml:space="preserve">poses of </w:t>
      </w:r>
      <w:r w:rsidR="00D708E5" w:rsidRPr="00D708E5">
        <w:rPr>
          <w:rFonts w:cs="Times New Roman"/>
          <w:szCs w:val="24"/>
        </w:rPr>
        <w:t xml:space="preserve">working out the total up‑front fee paying students for a provider for the previous year in step 1 of the method statement in subsection </w:t>
      </w:r>
      <w:r w:rsidR="00E32341">
        <w:rPr>
          <w:rFonts w:cs="Times New Roman"/>
          <w:szCs w:val="24"/>
        </w:rPr>
        <w:t>11</w:t>
      </w:r>
      <w:r w:rsidR="00D708E5" w:rsidRPr="00D708E5">
        <w:rPr>
          <w:rFonts w:cs="Times New Roman"/>
          <w:szCs w:val="24"/>
        </w:rPr>
        <w:t>(2)</w:t>
      </w:r>
      <w:r w:rsidR="00E32341">
        <w:rPr>
          <w:rFonts w:cs="Times New Roman"/>
          <w:szCs w:val="24"/>
        </w:rPr>
        <w:t xml:space="preserve"> of the Act</w:t>
      </w:r>
      <w:r w:rsidR="00D708E5" w:rsidRPr="00D708E5">
        <w:rPr>
          <w:rFonts w:cs="Times New Roman"/>
          <w:szCs w:val="24"/>
        </w:rPr>
        <w:t>, student</w:t>
      </w:r>
      <w:r w:rsidR="00E32341">
        <w:rPr>
          <w:rFonts w:cs="Times New Roman"/>
          <w:szCs w:val="24"/>
        </w:rPr>
        <w:t xml:space="preserve">s who </w:t>
      </w:r>
      <w:r w:rsidR="00D708E5" w:rsidRPr="00D708E5">
        <w:rPr>
          <w:rFonts w:cs="Times New Roman"/>
          <w:szCs w:val="24"/>
        </w:rPr>
        <w:t xml:space="preserve">would also fall within the definition of </w:t>
      </w:r>
      <w:r w:rsidR="00E32341">
        <w:rPr>
          <w:rFonts w:cs="Times New Roman"/>
          <w:szCs w:val="24"/>
        </w:rPr>
        <w:t>‘</w:t>
      </w:r>
      <w:r w:rsidR="00D708E5" w:rsidRPr="00D708E5">
        <w:rPr>
          <w:rFonts w:cs="Times New Roman"/>
          <w:szCs w:val="24"/>
        </w:rPr>
        <w:t xml:space="preserve">total HELP </w:t>
      </w:r>
      <w:r w:rsidR="00D708E5" w:rsidRPr="00D708E5">
        <w:rPr>
          <w:rFonts w:cs="Times New Roman"/>
          <w:szCs w:val="24"/>
        </w:rPr>
        <w:lastRenderedPageBreak/>
        <w:t>students</w:t>
      </w:r>
      <w:r w:rsidR="00E32341">
        <w:rPr>
          <w:rFonts w:cs="Times New Roman"/>
          <w:szCs w:val="24"/>
        </w:rPr>
        <w:t>’</w:t>
      </w:r>
      <w:r w:rsidR="00D708E5" w:rsidRPr="00D708E5">
        <w:rPr>
          <w:rFonts w:cs="Times New Roman"/>
          <w:szCs w:val="24"/>
        </w:rPr>
        <w:t xml:space="preserve"> (within the meaning of</w:t>
      </w:r>
      <w:r w:rsidR="00BA08E4">
        <w:rPr>
          <w:rFonts w:cs="Times New Roman"/>
          <w:szCs w:val="24"/>
        </w:rPr>
        <w:t xml:space="preserve"> that term as set out in</w:t>
      </w:r>
      <w:r w:rsidR="00D708E5" w:rsidRPr="00D708E5">
        <w:rPr>
          <w:rFonts w:cs="Times New Roman"/>
          <w:szCs w:val="24"/>
        </w:rPr>
        <w:t xml:space="preserve"> the</w:t>
      </w:r>
      <w:r w:rsidR="00BA08E4">
        <w:rPr>
          <w:rFonts w:cs="Times New Roman"/>
          <w:szCs w:val="24"/>
        </w:rPr>
        <w:t xml:space="preserve"> </w:t>
      </w:r>
      <w:r w:rsidR="00D708E5" w:rsidRPr="00E32341">
        <w:rPr>
          <w:rFonts w:cs="Times New Roman"/>
          <w:i/>
          <w:iCs/>
          <w:szCs w:val="24"/>
        </w:rPr>
        <w:t>Higher Education Support (HELP Tuition Protection Levy) Act 2020</w:t>
      </w:r>
      <w:r w:rsidR="00D708E5" w:rsidRPr="00D708E5">
        <w:rPr>
          <w:rFonts w:cs="Times New Roman"/>
          <w:szCs w:val="24"/>
        </w:rPr>
        <w:t>) for that previous yea</w:t>
      </w:r>
      <w:r w:rsidR="00E32341">
        <w:rPr>
          <w:rFonts w:cs="Times New Roman"/>
          <w:szCs w:val="24"/>
        </w:rPr>
        <w:t xml:space="preserve">r are to be disregarded. </w:t>
      </w:r>
    </w:p>
    <w:p w14:paraId="5858D1B2" w14:textId="6458991F" w:rsidR="00547C5B" w:rsidRPr="00AD1649" w:rsidRDefault="00B00017" w:rsidP="00F63B9B">
      <w:pPr>
        <w:spacing w:before="120" w:after="120" w:line="240" w:lineRule="auto"/>
        <w:rPr>
          <w:rFonts w:cs="Times New Roman"/>
          <w:szCs w:val="24"/>
        </w:rPr>
      </w:pPr>
      <w:r w:rsidRPr="00792FEC">
        <w:rPr>
          <w:rFonts w:cs="Times New Roman"/>
          <w:szCs w:val="24"/>
        </w:rPr>
        <w:t>The special tuit</w:t>
      </w:r>
      <w:r>
        <w:rPr>
          <w:rFonts w:cs="Times New Roman"/>
          <w:szCs w:val="24"/>
        </w:rPr>
        <w:t>ion protection component of the</w:t>
      </w:r>
      <w:r w:rsidRPr="00792FEC">
        <w:rPr>
          <w:rFonts w:cs="Times New Roman"/>
          <w:szCs w:val="24"/>
        </w:rPr>
        <w:t xml:space="preserve"> Levy is intended to enable the Fund to grow and to ensure against future systemic shocks</w:t>
      </w:r>
      <w:r>
        <w:rPr>
          <w:rFonts w:cs="Times New Roman"/>
          <w:szCs w:val="24"/>
        </w:rPr>
        <w:t>.</w:t>
      </w:r>
      <w:r w:rsidRPr="00792FEC">
        <w:rPr>
          <w:rFonts w:cs="Times New Roman"/>
          <w:szCs w:val="24"/>
        </w:rPr>
        <w:t xml:space="preserve"> </w:t>
      </w:r>
      <w:r w:rsidR="00C705B1" w:rsidRPr="00792FEC">
        <w:rPr>
          <w:rFonts w:cs="Times New Roman"/>
          <w:szCs w:val="24"/>
        </w:rPr>
        <w:t>Subsection 12(</w:t>
      </w:r>
      <w:r w:rsidR="00B718C4">
        <w:rPr>
          <w:rFonts w:cs="Times New Roman"/>
          <w:szCs w:val="24"/>
        </w:rPr>
        <w:t>b</w:t>
      </w:r>
      <w:r w:rsidR="00C705B1" w:rsidRPr="00792FEC">
        <w:rPr>
          <w:rFonts w:cs="Times New Roman"/>
          <w:szCs w:val="24"/>
        </w:rPr>
        <w:t xml:space="preserve">) of the Act sets out how the special tuition protection component is to be calculated, </w:t>
      </w:r>
      <w:r w:rsidR="00BE21AD">
        <w:rPr>
          <w:rFonts w:cs="Times New Roman"/>
          <w:szCs w:val="24"/>
        </w:rPr>
        <w:t xml:space="preserve">as represented by </w:t>
      </w:r>
      <w:r w:rsidR="00C705B1" w:rsidRPr="00792FEC">
        <w:rPr>
          <w:rFonts w:cs="Times New Roman"/>
          <w:szCs w:val="24"/>
        </w:rPr>
        <w:t>the formula below.</w:t>
      </w:r>
    </w:p>
    <w:p w14:paraId="1CCAF058" w14:textId="66E0C7AB" w:rsidR="00F63B9B" w:rsidRPr="00A22A6B" w:rsidRDefault="00A22A6B" w:rsidP="00F63B9B">
      <w:pPr>
        <w:spacing w:before="120" w:after="120" w:line="240" w:lineRule="auto"/>
        <w:rPr>
          <w:rFonts w:cs="Times New Roman"/>
          <w:b/>
          <w:i/>
          <w:szCs w:val="24"/>
        </w:rPr>
      </w:pPr>
      <w:r w:rsidRPr="00AA2821">
        <w:rPr>
          <w:rFonts w:cs="Times New Roman"/>
          <w:b/>
          <w:i/>
          <w:szCs w:val="24"/>
        </w:rPr>
        <w:t>S</w:t>
      </w:r>
      <w:r w:rsidR="00F63B9B" w:rsidRPr="00AA2821">
        <w:rPr>
          <w:rFonts w:cs="Times New Roman"/>
          <w:b/>
          <w:i/>
          <w:szCs w:val="24"/>
        </w:rPr>
        <w:t>pecial tuition protection component</w:t>
      </w:r>
    </w:p>
    <w:p w14:paraId="307321AF" w14:textId="4EF931C4" w:rsidR="00F63B9B" w:rsidRPr="00792FEC" w:rsidRDefault="00C719BF" w:rsidP="00C719BF">
      <w:pPr>
        <w:spacing w:before="120" w:after="120" w:line="240" w:lineRule="auto"/>
        <w:jc w:val="center"/>
        <w:rPr>
          <w:rFonts w:cs="Times New Roman"/>
          <w:szCs w:val="24"/>
        </w:rPr>
      </w:pPr>
      <w:r w:rsidRPr="00C719BF">
        <w:rPr>
          <w:rFonts w:cs="Times New Roman"/>
          <w:szCs w:val="24"/>
        </w:rPr>
        <w:drawing>
          <wp:inline distT="0" distB="0" distL="0" distR="0" wp14:anchorId="48F6FD93" wp14:editId="2130A44A">
            <wp:extent cx="5174901" cy="391053"/>
            <wp:effectExtent l="0" t="0" r="0" b="9525"/>
            <wp:docPr id="3" name="Picture 3" descr="Start formula equals open bracket Total up-front payments paid for previous year close bracket times open bracket percentage determined by the Director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6913" cy="399517"/>
                    </a:xfrm>
                    <a:prstGeom prst="rect">
                      <a:avLst/>
                    </a:prstGeom>
                  </pic:spPr>
                </pic:pic>
              </a:graphicData>
            </a:graphic>
          </wp:inline>
        </w:drawing>
      </w:r>
    </w:p>
    <w:p w14:paraId="51B73C0D" w14:textId="77777777" w:rsidR="00547C5B" w:rsidRDefault="00547C5B" w:rsidP="004037E5">
      <w:pPr>
        <w:pStyle w:val="Heading2"/>
        <w:rPr>
          <w:rFonts w:cs="Times New Roman"/>
          <w:color w:val="auto"/>
          <w:szCs w:val="24"/>
        </w:rPr>
      </w:pPr>
      <w:bookmarkStart w:id="3" w:name="_Toc34293360"/>
    </w:p>
    <w:p w14:paraId="0592F177" w14:textId="778202ED" w:rsidR="004037E5" w:rsidRPr="004037E5" w:rsidRDefault="00144950" w:rsidP="004037E5">
      <w:pPr>
        <w:pStyle w:val="Heading2"/>
        <w:rPr>
          <w:rFonts w:cs="Times New Roman"/>
          <w:color w:val="auto"/>
          <w:szCs w:val="24"/>
        </w:rPr>
      </w:pPr>
      <w:r w:rsidRPr="00792FEC">
        <w:rPr>
          <w:rFonts w:cs="Times New Roman"/>
          <w:color w:val="auto"/>
          <w:szCs w:val="24"/>
        </w:rPr>
        <w:t>CONSULTATION</w:t>
      </w:r>
      <w:bookmarkEnd w:id="3"/>
    </w:p>
    <w:p w14:paraId="78C1340B" w14:textId="329B849F" w:rsidR="00936851" w:rsidRDefault="00936851" w:rsidP="001A4262">
      <w:pPr>
        <w:spacing w:before="120" w:after="120" w:line="240" w:lineRule="auto"/>
        <w:rPr>
          <w:rFonts w:cs="Times New Roman"/>
          <w:szCs w:val="24"/>
        </w:rPr>
      </w:pPr>
      <w:r w:rsidRPr="00AA2821">
        <w:rPr>
          <w:rFonts w:cs="Times New Roman"/>
          <w:szCs w:val="24"/>
        </w:rPr>
        <w:t xml:space="preserve">The </w:t>
      </w:r>
      <w:r>
        <w:rPr>
          <w:rFonts w:cs="Times New Roman"/>
          <w:szCs w:val="24"/>
        </w:rPr>
        <w:t xml:space="preserve">TPS </w:t>
      </w:r>
      <w:r w:rsidRPr="00AA2821">
        <w:rPr>
          <w:rFonts w:cs="Times New Roman"/>
          <w:szCs w:val="24"/>
        </w:rPr>
        <w:t xml:space="preserve">Director has consulted and considered the Advisory Board’s advice in making this Instrument. </w:t>
      </w:r>
      <w:r w:rsidRPr="00792FEC">
        <w:rPr>
          <w:rFonts w:cs="Times New Roman"/>
          <w:szCs w:val="24"/>
        </w:rPr>
        <w:t>The Advisory Board released its draft advice in relation to the proposed settings for the risk rated premium and special tuition protection compo</w:t>
      </w:r>
      <w:r>
        <w:rPr>
          <w:rFonts w:cs="Times New Roman"/>
          <w:szCs w:val="24"/>
        </w:rPr>
        <w:t xml:space="preserve">nents of the Levy in May 2022. </w:t>
      </w:r>
      <w:r w:rsidRPr="00792FEC">
        <w:rPr>
          <w:rFonts w:cs="Times New Roman"/>
          <w:szCs w:val="24"/>
        </w:rPr>
        <w:t>Providers and industry peak bodies were invited to provide feedback during this public consultation, which was considered by the Director and the Board.</w:t>
      </w:r>
      <w:r>
        <w:rPr>
          <w:rFonts w:cs="Times New Roman"/>
          <w:szCs w:val="24"/>
        </w:rPr>
        <w:t xml:space="preserve"> </w:t>
      </w:r>
      <w:r w:rsidR="00424FB5">
        <w:rPr>
          <w:rFonts w:cs="Times New Roman"/>
          <w:szCs w:val="24"/>
        </w:rPr>
        <w:t xml:space="preserve">In June 2022, </w:t>
      </w:r>
      <w:r w:rsidR="00424FB5">
        <w:t>t</w:t>
      </w:r>
      <w:r>
        <w:t xml:space="preserve">he </w:t>
      </w:r>
      <w:r w:rsidR="00424FB5">
        <w:t xml:space="preserve">Advisory </w:t>
      </w:r>
      <w:r>
        <w:t>Board</w:t>
      </w:r>
      <w:r w:rsidR="00424FB5">
        <w:t xml:space="preserve"> provided its </w:t>
      </w:r>
      <w:r>
        <w:t xml:space="preserve">final advice to the TPS Director. A copy of the final advice is available on the Australian Government Tuition Protection Service website: </w:t>
      </w:r>
      <w:r w:rsidRPr="005B5891">
        <w:t>https://www.dese.gov.au/resources/tps</w:t>
      </w:r>
      <w:r>
        <w:t xml:space="preserve">.  </w:t>
      </w:r>
      <w:r>
        <w:rPr>
          <w:rFonts w:cs="Times New Roman"/>
          <w:szCs w:val="24"/>
        </w:rPr>
        <w:t>The Director consulted closely with the Board in developing the Instrument, and the Instrument as formulated reflected the Board’s advice</w:t>
      </w:r>
      <w:r w:rsidR="00424FB5">
        <w:rPr>
          <w:rFonts w:cs="Times New Roman"/>
          <w:szCs w:val="24"/>
        </w:rPr>
        <w:t xml:space="preserve"> and guidance</w:t>
      </w:r>
      <w:r>
        <w:rPr>
          <w:rFonts w:cs="Times New Roman"/>
          <w:szCs w:val="24"/>
        </w:rPr>
        <w:t>.</w:t>
      </w:r>
    </w:p>
    <w:p w14:paraId="72A06552" w14:textId="43232D9E" w:rsidR="004037E5" w:rsidRPr="00AA2821" w:rsidRDefault="009E1428" w:rsidP="001A4262">
      <w:pPr>
        <w:spacing w:before="120" w:after="120" w:line="240" w:lineRule="auto"/>
        <w:rPr>
          <w:rFonts w:cs="Times New Roman"/>
          <w:szCs w:val="24"/>
        </w:rPr>
      </w:pPr>
      <w:r w:rsidRPr="00AA2821">
        <w:rPr>
          <w:rFonts w:cs="Times New Roman"/>
          <w:szCs w:val="24"/>
        </w:rPr>
        <w:t xml:space="preserve">Members of the Advisory Board are members of the TPS Advisory Board (section 167-30 of </w:t>
      </w:r>
      <w:proofErr w:type="spellStart"/>
      <w:r w:rsidRPr="00AA2821">
        <w:rPr>
          <w:rFonts w:cs="Times New Roman"/>
          <w:szCs w:val="24"/>
        </w:rPr>
        <w:t>HESA</w:t>
      </w:r>
      <w:proofErr w:type="spellEnd"/>
      <w:r w:rsidRPr="00AA2821">
        <w:rPr>
          <w:rFonts w:cs="Times New Roman"/>
          <w:szCs w:val="24"/>
        </w:rPr>
        <w:t xml:space="preserve">), who are appointed by the Minister under section 55D of the </w:t>
      </w:r>
      <w:r w:rsidRPr="00AA2821">
        <w:rPr>
          <w:rFonts w:cs="Times New Roman"/>
          <w:i/>
          <w:szCs w:val="24"/>
        </w:rPr>
        <w:t xml:space="preserve">Education Services for Overseas Students Act 2000 </w:t>
      </w:r>
      <w:r w:rsidRPr="00AA2821">
        <w:rPr>
          <w:rFonts w:cs="Times New Roman"/>
          <w:szCs w:val="24"/>
        </w:rPr>
        <w:t xml:space="preserve">(taking into account the membership specifications set out in section 55C of that Act). The Advisory </w:t>
      </w:r>
      <w:r w:rsidR="004F2BF5" w:rsidRPr="00067669">
        <w:rPr>
          <w:rFonts w:cs="Times New Roman"/>
          <w:szCs w:val="24"/>
        </w:rPr>
        <w:t xml:space="preserve">Board currently comprises </w:t>
      </w:r>
      <w:r w:rsidR="004F2BF5">
        <w:rPr>
          <w:rFonts w:cs="Times New Roman"/>
          <w:szCs w:val="24"/>
        </w:rPr>
        <w:t>seven</w:t>
      </w:r>
      <w:r w:rsidR="004F2BF5" w:rsidRPr="00067669">
        <w:rPr>
          <w:rFonts w:cs="Times New Roman"/>
          <w:szCs w:val="24"/>
        </w:rPr>
        <w:t xml:space="preserve"> non-government sector representatives, selected on the basis of their qualifications and experience in the sector, and </w:t>
      </w:r>
      <w:r w:rsidR="004F2BF5">
        <w:rPr>
          <w:rFonts w:cs="Times New Roman"/>
          <w:szCs w:val="24"/>
        </w:rPr>
        <w:t>six</w:t>
      </w:r>
      <w:r w:rsidR="004F2BF5" w:rsidRPr="00067669">
        <w:rPr>
          <w:rFonts w:cs="Times New Roman"/>
          <w:szCs w:val="24"/>
        </w:rPr>
        <w:t xml:space="preserve"> government representatives</w:t>
      </w:r>
      <w:r w:rsidR="004F2BF5">
        <w:rPr>
          <w:rFonts w:cs="Times New Roman"/>
          <w:szCs w:val="24"/>
        </w:rPr>
        <w:t>.</w:t>
      </w:r>
    </w:p>
    <w:p w14:paraId="56CD98DA" w14:textId="109E1B80" w:rsidR="004037E5" w:rsidRDefault="004037E5" w:rsidP="001A4262">
      <w:pPr>
        <w:spacing w:before="120" w:after="120" w:line="240" w:lineRule="auto"/>
        <w:rPr>
          <w:rFonts w:cs="Times New Roman"/>
          <w:szCs w:val="24"/>
        </w:rPr>
      </w:pPr>
      <w:r w:rsidRPr="00AA2821">
        <w:rPr>
          <w:rFonts w:cs="Times New Roman"/>
          <w:szCs w:val="24"/>
        </w:rPr>
        <w:t>The Director has also worked extensively with the Australian Government Actuary (AGA) in determining the risk factors and methods for working out the risk factor values.</w:t>
      </w:r>
      <w:r>
        <w:rPr>
          <w:rFonts w:cs="Times New Roman"/>
          <w:szCs w:val="24"/>
        </w:rPr>
        <w:t xml:space="preserve"> </w:t>
      </w:r>
    </w:p>
    <w:p w14:paraId="47F4B344" w14:textId="3799CE41" w:rsidR="00CC5880" w:rsidRPr="00792FEC" w:rsidRDefault="00CC5880" w:rsidP="001A4262">
      <w:pPr>
        <w:spacing w:before="120" w:after="120" w:line="240" w:lineRule="auto"/>
        <w:rPr>
          <w:rFonts w:cs="Times New Roman"/>
          <w:szCs w:val="24"/>
        </w:rPr>
      </w:pPr>
      <w:r w:rsidRPr="00792FEC">
        <w:rPr>
          <w:rFonts w:cs="Times New Roman"/>
          <w:szCs w:val="24"/>
        </w:rPr>
        <w:t xml:space="preserve">The Director and the </w:t>
      </w:r>
      <w:r w:rsidR="00ED5A55" w:rsidRPr="00792FEC">
        <w:rPr>
          <w:rFonts w:cs="Times New Roman"/>
          <w:szCs w:val="24"/>
        </w:rPr>
        <w:t xml:space="preserve">Advisory </w:t>
      </w:r>
      <w:r w:rsidRPr="00792FEC">
        <w:rPr>
          <w:rFonts w:cs="Times New Roman"/>
          <w:szCs w:val="24"/>
        </w:rPr>
        <w:t xml:space="preserve">Board have </w:t>
      </w:r>
      <w:r w:rsidR="004037E5">
        <w:rPr>
          <w:rFonts w:cs="Times New Roman"/>
          <w:szCs w:val="24"/>
        </w:rPr>
        <w:t xml:space="preserve">also </w:t>
      </w:r>
      <w:r w:rsidRPr="00792FEC">
        <w:rPr>
          <w:rFonts w:cs="Times New Roman"/>
          <w:szCs w:val="24"/>
        </w:rPr>
        <w:t xml:space="preserve">undertaken consultation with </w:t>
      </w:r>
      <w:r w:rsidR="009E1428">
        <w:rPr>
          <w:rFonts w:cs="Times New Roman"/>
          <w:szCs w:val="24"/>
        </w:rPr>
        <w:t>higher education</w:t>
      </w:r>
      <w:r w:rsidRPr="00792FEC">
        <w:rPr>
          <w:rFonts w:cs="Times New Roman"/>
          <w:szCs w:val="24"/>
        </w:rPr>
        <w:t xml:space="preserve"> providers and their representatives on the </w:t>
      </w:r>
      <w:r w:rsidR="007F2989">
        <w:rPr>
          <w:rFonts w:cs="Times New Roman"/>
          <w:szCs w:val="24"/>
        </w:rPr>
        <w:t>L</w:t>
      </w:r>
      <w:r w:rsidRPr="00792FEC">
        <w:rPr>
          <w:rFonts w:cs="Times New Roman"/>
          <w:szCs w:val="24"/>
        </w:rPr>
        <w:t xml:space="preserve">evy framework and the risk rated premium and special tuition protection components of the </w:t>
      </w:r>
      <w:r w:rsidR="00ED5A55" w:rsidRPr="00792FEC">
        <w:rPr>
          <w:rFonts w:cs="Times New Roman"/>
          <w:szCs w:val="24"/>
        </w:rPr>
        <w:t>Levy.</w:t>
      </w:r>
      <w:r w:rsidR="00985F01">
        <w:rPr>
          <w:rFonts w:cs="Times New Roman"/>
          <w:szCs w:val="24"/>
        </w:rPr>
        <w:t xml:space="preserve"> </w:t>
      </w:r>
      <w:r w:rsidR="00903935">
        <w:rPr>
          <w:rFonts w:cs="Times New Roman"/>
          <w:szCs w:val="24"/>
        </w:rPr>
        <w:t xml:space="preserve">The Board’s advice has taken </w:t>
      </w:r>
      <w:r w:rsidR="00B5508E">
        <w:rPr>
          <w:rFonts w:cs="Times New Roman"/>
          <w:szCs w:val="24"/>
        </w:rPr>
        <w:t xml:space="preserve">the </w:t>
      </w:r>
      <w:r w:rsidR="00903935">
        <w:rPr>
          <w:rFonts w:cs="Times New Roman"/>
          <w:szCs w:val="24"/>
        </w:rPr>
        <w:t>sector</w:t>
      </w:r>
      <w:r w:rsidR="00B5508E">
        <w:rPr>
          <w:rFonts w:cs="Times New Roman"/>
          <w:szCs w:val="24"/>
        </w:rPr>
        <w:t>’s</w:t>
      </w:r>
      <w:r w:rsidR="00903935">
        <w:rPr>
          <w:rFonts w:cs="Times New Roman"/>
          <w:szCs w:val="24"/>
        </w:rPr>
        <w:t xml:space="preserve"> feedback into consideration, recommending a lower per student charge and </w:t>
      </w:r>
      <w:r w:rsidR="000269D3">
        <w:rPr>
          <w:rFonts w:cs="Times New Roman"/>
          <w:szCs w:val="24"/>
        </w:rPr>
        <w:t xml:space="preserve">a </w:t>
      </w:r>
      <w:r w:rsidR="00903935">
        <w:rPr>
          <w:rFonts w:cs="Times New Roman"/>
          <w:szCs w:val="24"/>
        </w:rPr>
        <w:t xml:space="preserve">lower income percentage rate for the risk rated premium component </w:t>
      </w:r>
      <w:r w:rsidR="00F22FA9">
        <w:rPr>
          <w:rFonts w:cs="Times New Roman"/>
          <w:szCs w:val="24"/>
        </w:rPr>
        <w:t xml:space="preserve">than </w:t>
      </w:r>
      <w:r w:rsidR="00903935">
        <w:rPr>
          <w:rFonts w:cs="Times New Roman"/>
          <w:szCs w:val="24"/>
        </w:rPr>
        <w:t xml:space="preserve">is proposed for the HELP </w:t>
      </w:r>
      <w:r w:rsidR="000269D3">
        <w:rPr>
          <w:rFonts w:cs="Times New Roman"/>
          <w:szCs w:val="24"/>
        </w:rPr>
        <w:t>T</w:t>
      </w:r>
      <w:r w:rsidR="00903935">
        <w:rPr>
          <w:rFonts w:cs="Times New Roman"/>
          <w:szCs w:val="24"/>
        </w:rPr>
        <w:t xml:space="preserve">uition </w:t>
      </w:r>
      <w:r w:rsidR="000269D3">
        <w:rPr>
          <w:rFonts w:cs="Times New Roman"/>
          <w:szCs w:val="24"/>
        </w:rPr>
        <w:t>P</w:t>
      </w:r>
      <w:r w:rsidR="00903935">
        <w:rPr>
          <w:rFonts w:cs="Times New Roman"/>
          <w:szCs w:val="24"/>
        </w:rPr>
        <w:t xml:space="preserve">rotection </w:t>
      </w:r>
      <w:r w:rsidR="000269D3">
        <w:rPr>
          <w:rFonts w:cs="Times New Roman"/>
          <w:szCs w:val="24"/>
        </w:rPr>
        <w:t>L</w:t>
      </w:r>
      <w:r w:rsidR="00903935">
        <w:rPr>
          <w:rFonts w:cs="Times New Roman"/>
          <w:szCs w:val="24"/>
        </w:rPr>
        <w:t xml:space="preserve">evy. </w:t>
      </w:r>
    </w:p>
    <w:p w14:paraId="118E2002" w14:textId="56089750" w:rsidR="00CC5880" w:rsidRDefault="00CC5880" w:rsidP="001A4262">
      <w:pPr>
        <w:spacing w:before="120" w:after="120" w:line="240" w:lineRule="auto"/>
        <w:rPr>
          <w:rFonts w:cs="Times New Roman"/>
          <w:szCs w:val="24"/>
        </w:rPr>
      </w:pPr>
      <w:r w:rsidRPr="00792FEC">
        <w:rPr>
          <w:rFonts w:cs="Times New Roman"/>
          <w:szCs w:val="24"/>
        </w:rPr>
        <w:t>The Director also consulted the Department of Education</w:t>
      </w:r>
      <w:r w:rsidR="00DF6DA3">
        <w:rPr>
          <w:rFonts w:cs="Times New Roman"/>
          <w:szCs w:val="24"/>
        </w:rPr>
        <w:t xml:space="preserve"> regarding the Advisory Board’s draft advice</w:t>
      </w:r>
      <w:r w:rsidR="00BE6BB3">
        <w:rPr>
          <w:rFonts w:cs="Times New Roman"/>
          <w:szCs w:val="24"/>
        </w:rPr>
        <w:t>.</w:t>
      </w:r>
      <w:r w:rsidR="00591956">
        <w:rPr>
          <w:rFonts w:cs="Times New Roman"/>
          <w:szCs w:val="24"/>
        </w:rPr>
        <w:t xml:space="preserve"> </w:t>
      </w:r>
      <w:r w:rsidR="00B04261">
        <w:rPr>
          <w:rFonts w:cs="Times New Roman"/>
          <w:szCs w:val="24"/>
        </w:rPr>
        <w:t xml:space="preserve">No concerns were raised. </w:t>
      </w:r>
    </w:p>
    <w:p w14:paraId="46ACF9B6" w14:textId="77777777" w:rsidR="00AD1649" w:rsidRPr="00792FEC" w:rsidRDefault="00AD1649" w:rsidP="001A4262">
      <w:pPr>
        <w:spacing w:before="120" w:after="120" w:line="240" w:lineRule="auto"/>
        <w:rPr>
          <w:rFonts w:cs="Times New Roman"/>
          <w:szCs w:val="24"/>
        </w:rPr>
      </w:pPr>
    </w:p>
    <w:p w14:paraId="327D3731" w14:textId="77777777" w:rsidR="00891889" w:rsidRPr="00792FEC" w:rsidRDefault="00891889" w:rsidP="00891889">
      <w:pPr>
        <w:pStyle w:val="Heading2"/>
        <w:rPr>
          <w:rFonts w:cs="Times New Roman"/>
          <w:color w:val="auto"/>
          <w:szCs w:val="24"/>
        </w:rPr>
      </w:pPr>
      <w:bookmarkStart w:id="4" w:name="_Toc23942241"/>
      <w:bookmarkStart w:id="5" w:name="_Toc34293362"/>
      <w:r w:rsidRPr="00792FEC">
        <w:rPr>
          <w:rFonts w:cs="Times New Roman"/>
          <w:color w:val="auto"/>
          <w:szCs w:val="24"/>
        </w:rPr>
        <w:t>REGULATORY IMPACT</w:t>
      </w:r>
    </w:p>
    <w:p w14:paraId="24528860" w14:textId="4CE3A2C7" w:rsidR="00AD1649" w:rsidRPr="00AE3257" w:rsidRDefault="004037E5" w:rsidP="00891889">
      <w:pPr>
        <w:spacing w:before="120" w:after="120" w:line="240" w:lineRule="auto"/>
      </w:pPr>
      <w:r w:rsidRPr="000C7CAB">
        <w:t>The Office of Best Practice Regulation (</w:t>
      </w:r>
      <w:proofErr w:type="spellStart"/>
      <w:r w:rsidRPr="000C7CAB">
        <w:t>OBPR</w:t>
      </w:r>
      <w:proofErr w:type="spellEnd"/>
      <w:r w:rsidRPr="000C7CAB">
        <w:t>) has advised</w:t>
      </w:r>
      <w:r w:rsidR="000C7CAB" w:rsidRPr="000C7CAB">
        <w:t xml:space="preserve"> that the instrument is unlikely to have more than a minor regulatory impact and therefore</w:t>
      </w:r>
      <w:r w:rsidRPr="000C7CAB">
        <w:t xml:space="preserve"> a regulat</w:t>
      </w:r>
      <w:r w:rsidR="000C7CAB" w:rsidRPr="000C7CAB">
        <w:t>ion</w:t>
      </w:r>
      <w:r w:rsidRPr="000C7CAB">
        <w:t xml:space="preserve"> impact statement is not required </w:t>
      </w:r>
      <w:r w:rsidR="00620E47" w:rsidRPr="000C7CAB">
        <w:t>for</w:t>
      </w:r>
      <w:r w:rsidRPr="000C7CAB">
        <w:t xml:space="preserve"> this Instrument</w:t>
      </w:r>
      <w:r w:rsidR="00620E47" w:rsidRPr="000C7CAB">
        <w:t xml:space="preserve"> </w:t>
      </w:r>
      <w:r w:rsidR="006C212F" w:rsidRPr="000C7CAB">
        <w:t>(</w:t>
      </w:r>
      <w:proofErr w:type="spellStart"/>
      <w:r w:rsidR="00630B5D" w:rsidRPr="000C7CAB">
        <w:t>OPBR</w:t>
      </w:r>
      <w:proofErr w:type="spellEnd"/>
      <w:r w:rsidR="00630B5D" w:rsidRPr="000C7CAB">
        <w:t xml:space="preserve"> reference 23325</w:t>
      </w:r>
      <w:r w:rsidR="00620E47" w:rsidRPr="000C7CAB">
        <w:t>)</w:t>
      </w:r>
      <w:r w:rsidRPr="000C7CAB">
        <w:t>.</w:t>
      </w:r>
      <w:r w:rsidRPr="00AE3257">
        <w:t xml:space="preserve">  </w:t>
      </w:r>
    </w:p>
    <w:p w14:paraId="08BB175D" w14:textId="606F659C" w:rsidR="00891889" w:rsidRPr="00792FEC" w:rsidRDefault="00891889" w:rsidP="00891889">
      <w:pPr>
        <w:spacing w:before="120" w:after="120" w:line="240" w:lineRule="auto"/>
        <w:rPr>
          <w:rFonts w:cs="Times New Roman"/>
          <w:szCs w:val="24"/>
        </w:rPr>
      </w:pPr>
    </w:p>
    <w:p w14:paraId="0CFE34B2" w14:textId="122F60B3" w:rsidR="00891889" w:rsidRPr="00792FEC" w:rsidRDefault="00E50D49" w:rsidP="00E50D49">
      <w:pPr>
        <w:pStyle w:val="Heading2"/>
        <w:rPr>
          <w:rFonts w:cs="Times New Roman"/>
          <w:color w:val="auto"/>
          <w:szCs w:val="24"/>
        </w:rPr>
      </w:pPr>
      <w:r w:rsidRPr="00792FEC">
        <w:rPr>
          <w:rFonts w:cs="Times New Roman"/>
          <w:color w:val="auto"/>
          <w:szCs w:val="24"/>
        </w:rPr>
        <w:t xml:space="preserve">FINANCIAL IMPACT STATEMENT </w:t>
      </w:r>
    </w:p>
    <w:p w14:paraId="0F384139" w14:textId="1601A908" w:rsidR="00891889" w:rsidRPr="00620E47" w:rsidRDefault="00891889" w:rsidP="00E50D49">
      <w:pPr>
        <w:spacing w:before="120" w:after="120" w:line="240" w:lineRule="auto"/>
        <w:rPr>
          <w:rFonts w:cs="Times New Roman"/>
          <w:szCs w:val="24"/>
        </w:rPr>
      </w:pPr>
      <w:r w:rsidRPr="00620E47">
        <w:rPr>
          <w:rFonts w:cs="Times New Roman"/>
          <w:szCs w:val="24"/>
        </w:rPr>
        <w:t xml:space="preserve">This Instrument will result in a projected revenue </w:t>
      </w:r>
      <w:r w:rsidR="00FB5F82" w:rsidRPr="00620E47">
        <w:rPr>
          <w:rFonts w:cs="Times New Roman"/>
          <w:szCs w:val="24"/>
        </w:rPr>
        <w:t xml:space="preserve">of </w:t>
      </w:r>
      <w:r w:rsidR="00482F83">
        <w:rPr>
          <w:rFonts w:cs="Times New Roman"/>
          <w:szCs w:val="24"/>
        </w:rPr>
        <w:t xml:space="preserve">approximately </w:t>
      </w:r>
      <w:r w:rsidR="00B718C4" w:rsidRPr="00757919">
        <w:rPr>
          <w:rFonts w:cs="Times New Roman"/>
          <w:szCs w:val="24"/>
        </w:rPr>
        <w:t>$</w:t>
      </w:r>
      <w:r w:rsidR="00A72EB2">
        <w:rPr>
          <w:rFonts w:cs="Times New Roman"/>
          <w:szCs w:val="24"/>
        </w:rPr>
        <w:t>5</w:t>
      </w:r>
      <w:r w:rsidR="00BC5F8C">
        <w:rPr>
          <w:rFonts w:cs="Times New Roman"/>
          <w:szCs w:val="24"/>
        </w:rPr>
        <w:t>00</w:t>
      </w:r>
      <w:r w:rsidR="00757919">
        <w:rPr>
          <w:rFonts w:cs="Times New Roman"/>
          <w:szCs w:val="24"/>
        </w:rPr>
        <w:t>,000</w:t>
      </w:r>
      <w:r w:rsidR="00757919" w:rsidRPr="00620E47">
        <w:rPr>
          <w:rFonts w:cs="Times New Roman"/>
          <w:szCs w:val="24"/>
        </w:rPr>
        <w:t xml:space="preserve"> </w:t>
      </w:r>
      <w:r w:rsidR="00FB5F82" w:rsidRPr="00620E47">
        <w:rPr>
          <w:rFonts w:cs="Times New Roman"/>
          <w:szCs w:val="24"/>
        </w:rPr>
        <w:t>in 202</w:t>
      </w:r>
      <w:r w:rsidR="00B718C4">
        <w:rPr>
          <w:rFonts w:cs="Times New Roman"/>
          <w:szCs w:val="24"/>
        </w:rPr>
        <w:t>2</w:t>
      </w:r>
      <w:r w:rsidR="00FB5F82" w:rsidRPr="00620E47">
        <w:rPr>
          <w:rFonts w:cs="Times New Roman"/>
          <w:szCs w:val="24"/>
        </w:rPr>
        <w:t xml:space="preserve">. </w:t>
      </w:r>
    </w:p>
    <w:p w14:paraId="1808E196" w14:textId="70CEA009" w:rsidR="00B11059" w:rsidRDefault="00B11059" w:rsidP="00E50D49">
      <w:pPr>
        <w:spacing w:before="120" w:after="120" w:line="240" w:lineRule="auto"/>
        <w:rPr>
          <w:rFonts w:eastAsia="Times New Roman" w:cs="Arial"/>
          <w:color w:val="000000" w:themeColor="text1"/>
          <w:szCs w:val="24"/>
          <w:lang w:eastAsia="en-AU"/>
        </w:rPr>
      </w:pPr>
      <w:r w:rsidRPr="00620E47">
        <w:rPr>
          <w:rFonts w:eastAsia="Times New Roman" w:cs="Arial"/>
          <w:color w:val="000000" w:themeColor="text1"/>
          <w:szCs w:val="24"/>
          <w:lang w:eastAsia="en-AU"/>
        </w:rPr>
        <w:lastRenderedPageBreak/>
        <w:t>Given the funds are credited to a special account, and are derived from industry contributions, the funds can only be appropriated for the purposes of the special account.</w:t>
      </w:r>
      <w:r>
        <w:rPr>
          <w:rFonts w:eastAsia="Times New Roman" w:cs="Arial"/>
          <w:color w:val="000000" w:themeColor="text1"/>
          <w:szCs w:val="24"/>
          <w:lang w:eastAsia="en-AU"/>
        </w:rPr>
        <w:t xml:space="preserve"> </w:t>
      </w:r>
    </w:p>
    <w:p w14:paraId="24B35C71" w14:textId="5C32F0CE" w:rsidR="0088497A" w:rsidRPr="00792FEC" w:rsidRDefault="00891889" w:rsidP="00AE3257">
      <w:pPr>
        <w:spacing w:before="120" w:after="120" w:line="240" w:lineRule="auto"/>
        <w:rPr>
          <w:rFonts w:eastAsiaTheme="majorEastAsia" w:cs="Times New Roman"/>
          <w:b/>
          <w:szCs w:val="24"/>
        </w:rPr>
      </w:pPr>
      <w:r w:rsidRPr="00792FEC">
        <w:rPr>
          <w:rFonts w:cs="Times New Roman"/>
          <w:szCs w:val="24"/>
        </w:rPr>
        <w:t xml:space="preserve">In </w:t>
      </w:r>
      <w:r w:rsidR="00E50D49" w:rsidRPr="00792FEC">
        <w:rPr>
          <w:rFonts w:cs="Times New Roman"/>
          <w:szCs w:val="24"/>
        </w:rPr>
        <w:t>determining the matters relevant to the calculation of the risk rated premium component and special tuiti</w:t>
      </w:r>
      <w:r w:rsidR="00436D43">
        <w:rPr>
          <w:rFonts w:cs="Times New Roman"/>
          <w:szCs w:val="24"/>
        </w:rPr>
        <w:t>on protection component of the</w:t>
      </w:r>
      <w:r w:rsidR="00E50D49" w:rsidRPr="00792FEC">
        <w:rPr>
          <w:rFonts w:cs="Times New Roman"/>
          <w:szCs w:val="24"/>
        </w:rPr>
        <w:t xml:space="preserve"> Levy, the Director </w:t>
      </w:r>
      <w:r w:rsidRPr="00792FEC">
        <w:rPr>
          <w:rFonts w:cs="Times New Roman"/>
          <w:szCs w:val="24"/>
        </w:rPr>
        <w:t xml:space="preserve">considered not only the sustainability of the Fund, but also the reality of the economy-wide ramifications and impact of the COVID-19 pandemic on businesses and education in Australia. The </w:t>
      </w:r>
      <w:r w:rsidR="00E50D49" w:rsidRPr="00792FEC">
        <w:rPr>
          <w:rFonts w:cs="Times New Roman"/>
          <w:szCs w:val="24"/>
        </w:rPr>
        <w:t>Director’s</w:t>
      </w:r>
      <w:r w:rsidRPr="00792FEC">
        <w:rPr>
          <w:rFonts w:cs="Times New Roman"/>
          <w:szCs w:val="24"/>
        </w:rPr>
        <w:t xml:space="preserve"> focus and intention in </w:t>
      </w:r>
      <w:r w:rsidR="00E50D49" w:rsidRPr="00792FEC">
        <w:rPr>
          <w:rFonts w:cs="Times New Roman"/>
          <w:szCs w:val="24"/>
        </w:rPr>
        <w:t>determining those matters</w:t>
      </w:r>
      <w:r w:rsidRPr="00792FEC">
        <w:rPr>
          <w:rFonts w:cs="Times New Roman"/>
          <w:szCs w:val="24"/>
        </w:rPr>
        <w:t xml:space="preserve"> was on supporting Australian businesses</w:t>
      </w:r>
      <w:r w:rsidR="00482F83">
        <w:rPr>
          <w:rFonts w:cs="Times New Roman"/>
          <w:szCs w:val="24"/>
        </w:rPr>
        <w:t xml:space="preserve"> and </w:t>
      </w:r>
      <w:r w:rsidRPr="00792FEC">
        <w:rPr>
          <w:rFonts w:cs="Times New Roman"/>
          <w:szCs w:val="24"/>
        </w:rPr>
        <w:t>student welfare</w:t>
      </w:r>
      <w:r w:rsidR="00482F83">
        <w:rPr>
          <w:rFonts w:cs="Times New Roman"/>
          <w:szCs w:val="24"/>
        </w:rPr>
        <w:t>.</w:t>
      </w:r>
    </w:p>
    <w:p w14:paraId="7CDB1145" w14:textId="77777777" w:rsidR="004A1BE4" w:rsidRPr="00792FEC" w:rsidRDefault="004A1BE4">
      <w:pPr>
        <w:spacing w:after="160" w:line="259" w:lineRule="auto"/>
        <w:rPr>
          <w:rFonts w:eastAsiaTheme="majorEastAsia" w:cs="Times New Roman"/>
          <w:b/>
          <w:szCs w:val="24"/>
        </w:rPr>
      </w:pPr>
      <w:r w:rsidRPr="00792FEC">
        <w:rPr>
          <w:rFonts w:cs="Times New Roman"/>
          <w:szCs w:val="24"/>
        </w:rPr>
        <w:br w:type="page"/>
      </w:r>
    </w:p>
    <w:p w14:paraId="0FEE1CEA" w14:textId="4AA6D235" w:rsidR="00DA552F" w:rsidRPr="00792FEC" w:rsidRDefault="00DA552F" w:rsidP="00F62708">
      <w:pPr>
        <w:pStyle w:val="Heading2"/>
        <w:jc w:val="center"/>
        <w:rPr>
          <w:rFonts w:cs="Times New Roman"/>
          <w:color w:val="auto"/>
          <w:szCs w:val="24"/>
        </w:rPr>
      </w:pPr>
      <w:r w:rsidRPr="00E7258C">
        <w:rPr>
          <w:rFonts w:cs="Times New Roman"/>
          <w:color w:val="auto"/>
          <w:szCs w:val="24"/>
        </w:rPr>
        <w:lastRenderedPageBreak/>
        <w:t>STATEMENT OF COMPATIBILITY WITH HUMAN RIGHTS</w:t>
      </w:r>
      <w:bookmarkEnd w:id="4"/>
      <w:bookmarkEnd w:id="5"/>
    </w:p>
    <w:p w14:paraId="3CD809E2" w14:textId="77777777" w:rsidR="00DA552F" w:rsidRPr="00792FEC" w:rsidRDefault="00DA552F" w:rsidP="00DA552F">
      <w:pPr>
        <w:spacing w:before="120" w:after="120"/>
        <w:jc w:val="center"/>
        <w:rPr>
          <w:rFonts w:cs="Times New Roman"/>
          <w:szCs w:val="24"/>
        </w:rPr>
      </w:pPr>
      <w:r w:rsidRPr="00792FEC">
        <w:rPr>
          <w:rFonts w:cs="Times New Roman"/>
          <w:i/>
          <w:szCs w:val="24"/>
        </w:rPr>
        <w:t xml:space="preserve">Prepared in accordance with Part 3 of the Human Rights (Parliamentary </w:t>
      </w:r>
      <w:r w:rsidR="003440C7" w:rsidRPr="00792FEC">
        <w:rPr>
          <w:rFonts w:cs="Times New Roman"/>
          <w:i/>
          <w:szCs w:val="24"/>
        </w:rPr>
        <w:t>Scrutiny) Act 2011</w:t>
      </w:r>
    </w:p>
    <w:p w14:paraId="0B9879BE" w14:textId="22EB8A3A" w:rsidR="00B11059" w:rsidRPr="00B11059" w:rsidRDefault="00B11059" w:rsidP="00B11059">
      <w:pPr>
        <w:jc w:val="center"/>
        <w:rPr>
          <w:rFonts w:cs="Times New Roman"/>
          <w:i/>
          <w:szCs w:val="24"/>
          <w:u w:val="single"/>
        </w:rPr>
      </w:pPr>
      <w:r w:rsidRPr="00B11059">
        <w:rPr>
          <w:rFonts w:cs="Times New Roman"/>
          <w:i/>
          <w:szCs w:val="24"/>
          <w:u w:val="single"/>
        </w:rPr>
        <w:t>Higher Education (</w:t>
      </w:r>
      <w:r w:rsidR="00E7258C">
        <w:rPr>
          <w:rFonts w:cs="Times New Roman"/>
          <w:i/>
          <w:szCs w:val="24"/>
          <w:u w:val="single"/>
        </w:rPr>
        <w:t>Up-front Payments</w:t>
      </w:r>
      <w:r w:rsidRPr="00B11059">
        <w:rPr>
          <w:rFonts w:cs="Times New Roman"/>
          <w:i/>
          <w:szCs w:val="24"/>
          <w:u w:val="single"/>
        </w:rPr>
        <w:t xml:space="preserve"> Tuition Protection Levy) (Risk Rated Premium and Special Tuition Protection Components) Determination 20</w:t>
      </w:r>
      <w:r w:rsidR="00E7258C">
        <w:rPr>
          <w:rFonts w:cs="Times New Roman"/>
          <w:i/>
          <w:szCs w:val="24"/>
          <w:u w:val="single"/>
        </w:rPr>
        <w:t>2</w:t>
      </w:r>
      <w:r w:rsidR="00FA0D85">
        <w:rPr>
          <w:rFonts w:cs="Times New Roman"/>
          <w:i/>
          <w:szCs w:val="24"/>
          <w:u w:val="single"/>
        </w:rPr>
        <w:t>2</w:t>
      </w:r>
    </w:p>
    <w:p w14:paraId="67AE232A" w14:textId="41229D40" w:rsidR="00DA552F" w:rsidRPr="00B11059" w:rsidRDefault="00F9205E" w:rsidP="00AC4504">
      <w:pPr>
        <w:spacing w:before="120" w:after="120" w:line="240" w:lineRule="auto"/>
        <w:rPr>
          <w:rFonts w:cs="Times New Roman"/>
          <w:b/>
          <w:i/>
          <w:szCs w:val="24"/>
        </w:rPr>
      </w:pPr>
      <w:r w:rsidRPr="00792FEC">
        <w:rPr>
          <w:rFonts w:cs="Times New Roman"/>
          <w:szCs w:val="24"/>
        </w:rPr>
        <w:t>The</w:t>
      </w:r>
      <w:r w:rsidR="00527564" w:rsidRPr="00792FEC">
        <w:rPr>
          <w:rFonts w:cs="Times New Roman"/>
          <w:szCs w:val="24"/>
        </w:rPr>
        <w:t xml:space="preserve"> </w:t>
      </w:r>
      <w:r w:rsidR="00B11059" w:rsidRPr="00B11059">
        <w:rPr>
          <w:rFonts w:cs="Times New Roman"/>
          <w:i/>
          <w:szCs w:val="24"/>
        </w:rPr>
        <w:t>Higher Education (</w:t>
      </w:r>
      <w:r w:rsidR="00E7258C">
        <w:rPr>
          <w:rFonts w:cs="Times New Roman"/>
          <w:i/>
          <w:szCs w:val="24"/>
        </w:rPr>
        <w:t>Up-front Payments</w:t>
      </w:r>
      <w:r w:rsidR="00B11059" w:rsidRPr="00B11059">
        <w:rPr>
          <w:rFonts w:cs="Times New Roman"/>
          <w:i/>
          <w:szCs w:val="24"/>
        </w:rPr>
        <w:t xml:space="preserve"> Tuition Protection Levy) (Risk Rated Premium and Special Tuition Protection Components) Determination 202</w:t>
      </w:r>
      <w:r w:rsidR="00465233">
        <w:rPr>
          <w:rFonts w:cs="Times New Roman"/>
          <w:i/>
          <w:szCs w:val="24"/>
        </w:rPr>
        <w:t>2</w:t>
      </w:r>
      <w:r w:rsidR="00B11059">
        <w:rPr>
          <w:rFonts w:cs="Times New Roman"/>
          <w:b/>
          <w:i/>
          <w:szCs w:val="24"/>
        </w:rPr>
        <w:t xml:space="preserve"> </w:t>
      </w:r>
      <w:r w:rsidR="001E52EB" w:rsidRPr="00792FEC">
        <w:rPr>
          <w:rFonts w:cs="Times New Roman"/>
          <w:szCs w:val="24"/>
        </w:rPr>
        <w:t xml:space="preserve">(the </w:t>
      </w:r>
      <w:r w:rsidR="00FF6E25" w:rsidRPr="00792FEC">
        <w:rPr>
          <w:rFonts w:cs="Times New Roman"/>
          <w:szCs w:val="24"/>
        </w:rPr>
        <w:t>Instrument</w:t>
      </w:r>
      <w:r w:rsidR="001E52EB" w:rsidRPr="00792FEC">
        <w:rPr>
          <w:rFonts w:cs="Times New Roman"/>
          <w:szCs w:val="24"/>
        </w:rPr>
        <w:t xml:space="preserve">) </w:t>
      </w:r>
      <w:r w:rsidR="002B5C28" w:rsidRPr="00792FEC">
        <w:rPr>
          <w:rFonts w:cs="Times New Roman"/>
          <w:szCs w:val="24"/>
        </w:rPr>
        <w:t xml:space="preserve">is </w:t>
      </w:r>
      <w:r w:rsidRPr="00792FEC">
        <w:rPr>
          <w:rFonts w:cs="Times New Roman"/>
          <w:szCs w:val="24"/>
        </w:rPr>
        <w:t xml:space="preserve">compatible with the human rights and freedoms recognised or declared in the international instruments listed in section 3 of the </w:t>
      </w:r>
      <w:r w:rsidRPr="00792FEC">
        <w:rPr>
          <w:rFonts w:cs="Times New Roman"/>
          <w:i/>
          <w:szCs w:val="24"/>
        </w:rPr>
        <w:t>Human Rights (Parliamentary Scrutiny) Act 2011</w:t>
      </w:r>
      <w:r w:rsidRPr="00792FEC">
        <w:rPr>
          <w:rFonts w:cs="Times New Roman"/>
          <w:szCs w:val="24"/>
        </w:rPr>
        <w:t>.</w:t>
      </w:r>
    </w:p>
    <w:p w14:paraId="1E8802C3" w14:textId="6FCC19F0" w:rsidR="00F9205E" w:rsidRPr="00792FEC" w:rsidRDefault="00527564" w:rsidP="00DA552F">
      <w:pPr>
        <w:spacing w:before="120" w:after="120"/>
        <w:rPr>
          <w:rFonts w:cs="Times New Roman"/>
          <w:szCs w:val="24"/>
        </w:rPr>
      </w:pPr>
      <w:r w:rsidRPr="00792FEC">
        <w:rPr>
          <w:rFonts w:cs="Times New Roman"/>
          <w:b/>
          <w:szCs w:val="24"/>
        </w:rPr>
        <w:t xml:space="preserve">Overview of the Legislative Instrument </w:t>
      </w:r>
    </w:p>
    <w:p w14:paraId="4C3DDAD9" w14:textId="4AAEC38D" w:rsidR="00527564" w:rsidRPr="00792FEC" w:rsidRDefault="00527564" w:rsidP="00664700">
      <w:pPr>
        <w:spacing w:before="120" w:after="120" w:line="240" w:lineRule="auto"/>
        <w:rPr>
          <w:rFonts w:cs="Times New Roman"/>
          <w:szCs w:val="24"/>
        </w:rPr>
      </w:pPr>
      <w:r w:rsidRPr="00792FEC">
        <w:rPr>
          <w:rFonts w:cs="Times New Roman"/>
          <w:szCs w:val="24"/>
        </w:rPr>
        <w:t xml:space="preserve">The </w:t>
      </w:r>
      <w:r w:rsidRPr="00B11059">
        <w:rPr>
          <w:rFonts w:cs="Times New Roman"/>
          <w:szCs w:val="24"/>
        </w:rPr>
        <w:t xml:space="preserve">purpose of the </w:t>
      </w:r>
      <w:r w:rsidR="00B11059" w:rsidRPr="00B11059">
        <w:rPr>
          <w:rFonts w:cs="Times New Roman"/>
          <w:szCs w:val="24"/>
        </w:rPr>
        <w:t>Instrument</w:t>
      </w:r>
      <w:r w:rsidRPr="00B11059">
        <w:rPr>
          <w:rFonts w:cs="Times New Roman"/>
          <w:szCs w:val="24"/>
        </w:rPr>
        <w:t xml:space="preserve"> is</w:t>
      </w:r>
      <w:r w:rsidRPr="00792FEC">
        <w:rPr>
          <w:rFonts w:cs="Times New Roman"/>
          <w:szCs w:val="24"/>
        </w:rPr>
        <w:t xml:space="preserve"> to determine various matters relevant to the calculation of the risk rated premium component and special tuition protection component of the</w:t>
      </w:r>
      <w:r w:rsidR="00B11059">
        <w:rPr>
          <w:rFonts w:cs="Times New Roman"/>
          <w:szCs w:val="24"/>
        </w:rPr>
        <w:t xml:space="preserve"> </w:t>
      </w:r>
      <w:r w:rsidR="00346EBB">
        <w:rPr>
          <w:rFonts w:cs="Times New Roman"/>
          <w:szCs w:val="24"/>
        </w:rPr>
        <w:t>up-front payments tuition protection levy</w:t>
      </w:r>
      <w:r w:rsidR="00B11059">
        <w:rPr>
          <w:rFonts w:cs="Times New Roman"/>
          <w:szCs w:val="24"/>
        </w:rPr>
        <w:t xml:space="preserve"> (the</w:t>
      </w:r>
      <w:r w:rsidRPr="00792FEC">
        <w:rPr>
          <w:rFonts w:cs="Times New Roman"/>
          <w:szCs w:val="24"/>
        </w:rPr>
        <w:t xml:space="preserve"> Levy) for the 202</w:t>
      </w:r>
      <w:r w:rsidR="00FA0D85">
        <w:rPr>
          <w:rFonts w:cs="Times New Roman"/>
          <w:szCs w:val="24"/>
        </w:rPr>
        <w:t>2</w:t>
      </w:r>
      <w:r w:rsidRPr="00792FEC">
        <w:rPr>
          <w:rFonts w:cs="Times New Roman"/>
          <w:szCs w:val="24"/>
        </w:rPr>
        <w:t xml:space="preserve"> calendar year. </w:t>
      </w:r>
    </w:p>
    <w:p w14:paraId="7C018F52" w14:textId="2A052866" w:rsidR="00527564" w:rsidRPr="00792FEC" w:rsidRDefault="00B11059" w:rsidP="00664700">
      <w:pPr>
        <w:spacing w:before="120" w:after="120" w:line="240" w:lineRule="auto"/>
        <w:rPr>
          <w:rFonts w:cs="Times New Roman"/>
          <w:szCs w:val="24"/>
        </w:rPr>
      </w:pPr>
      <w:r>
        <w:rPr>
          <w:rFonts w:cs="Times New Roman"/>
          <w:szCs w:val="24"/>
        </w:rPr>
        <w:t>The</w:t>
      </w:r>
      <w:r w:rsidR="00527564" w:rsidRPr="00792FEC">
        <w:rPr>
          <w:rFonts w:cs="Times New Roman"/>
          <w:szCs w:val="24"/>
        </w:rPr>
        <w:t xml:space="preserve"> Levy is imposed under section 6 of the </w:t>
      </w:r>
      <w:r>
        <w:rPr>
          <w:rFonts w:cs="Times New Roman"/>
          <w:i/>
          <w:szCs w:val="24"/>
        </w:rPr>
        <w:t>Higher Education (</w:t>
      </w:r>
      <w:r w:rsidR="005A6FD5">
        <w:rPr>
          <w:rFonts w:cs="Times New Roman"/>
          <w:i/>
          <w:szCs w:val="24"/>
        </w:rPr>
        <w:t>Up-front Payments</w:t>
      </w:r>
      <w:r w:rsidR="005A6FD5" w:rsidRPr="00792FEC">
        <w:rPr>
          <w:rFonts w:cs="Times New Roman"/>
          <w:i/>
          <w:szCs w:val="24"/>
        </w:rPr>
        <w:t xml:space="preserve"> </w:t>
      </w:r>
      <w:r w:rsidRPr="00792FEC">
        <w:rPr>
          <w:rFonts w:cs="Times New Roman"/>
          <w:i/>
          <w:szCs w:val="24"/>
        </w:rPr>
        <w:t>Tuition Protection Levy) Act 2020</w:t>
      </w:r>
      <w:r w:rsidRPr="00792FEC">
        <w:rPr>
          <w:rFonts w:cs="Times New Roman"/>
          <w:szCs w:val="24"/>
        </w:rPr>
        <w:t xml:space="preserve"> (the Act) </w:t>
      </w:r>
      <w:r w:rsidR="00527564" w:rsidRPr="00792FEC">
        <w:rPr>
          <w:rFonts w:cs="Times New Roman"/>
          <w:szCs w:val="24"/>
        </w:rPr>
        <w:t>on all leviable providers (as defined in section 5 of the Act)</w:t>
      </w:r>
      <w:r w:rsidR="00DF6DA3">
        <w:rPr>
          <w:rFonts w:cs="Times New Roman"/>
          <w:szCs w:val="24"/>
        </w:rPr>
        <w:t xml:space="preserve"> </w:t>
      </w:r>
      <w:r w:rsidR="00527564" w:rsidRPr="00792FEC">
        <w:rPr>
          <w:rFonts w:cs="Times New Roman"/>
          <w:szCs w:val="24"/>
        </w:rPr>
        <w:t xml:space="preserve">and provides </w:t>
      </w:r>
      <w:r w:rsidR="00E7258C" w:rsidRPr="00792FEC">
        <w:rPr>
          <w:rFonts w:cs="Times New Roman"/>
          <w:szCs w:val="24"/>
        </w:rPr>
        <w:t xml:space="preserve">an industry contribution </w:t>
      </w:r>
      <w:r w:rsidR="00E7258C" w:rsidRPr="001A4132">
        <w:rPr>
          <w:rFonts w:eastAsia="Times New Roman" w:cs="Times New Roman"/>
          <w:szCs w:val="24"/>
          <w:lang w:eastAsia="en-AU"/>
        </w:rPr>
        <w:t>towards the costs of tuition protection for domestic up-front fee</w:t>
      </w:r>
      <w:r w:rsidR="00346EBB">
        <w:rPr>
          <w:rFonts w:eastAsia="Times New Roman" w:cs="Times New Roman"/>
          <w:szCs w:val="24"/>
          <w:lang w:eastAsia="en-AU"/>
        </w:rPr>
        <w:t xml:space="preserve"> </w:t>
      </w:r>
      <w:r w:rsidR="00E7258C" w:rsidRPr="001A4132">
        <w:rPr>
          <w:rFonts w:eastAsia="Times New Roman" w:cs="Times New Roman"/>
          <w:szCs w:val="24"/>
          <w:lang w:eastAsia="en-AU"/>
        </w:rPr>
        <w:t>paying students at private higher education providers</w:t>
      </w:r>
      <w:r>
        <w:rPr>
          <w:rFonts w:cs="Times New Roman"/>
          <w:szCs w:val="24"/>
        </w:rPr>
        <w:t>. The amount of the</w:t>
      </w:r>
      <w:r w:rsidR="00527564" w:rsidRPr="00792FEC">
        <w:rPr>
          <w:rFonts w:cs="Times New Roman"/>
          <w:szCs w:val="24"/>
        </w:rPr>
        <w:t xml:space="preserve"> Levy for a year for a leviable provider is the sum of the provider’s administrative fee component, risk rated premium component and special tuitio</w:t>
      </w:r>
      <w:r>
        <w:rPr>
          <w:rFonts w:cs="Times New Roman"/>
          <w:szCs w:val="24"/>
        </w:rPr>
        <w:t>n protection component. The</w:t>
      </w:r>
      <w:r w:rsidRPr="00792FEC">
        <w:rPr>
          <w:rFonts w:cs="Times New Roman"/>
          <w:szCs w:val="24"/>
        </w:rPr>
        <w:t xml:space="preserve"> Levy is payable into the </w:t>
      </w:r>
      <w:r w:rsidR="00E7258C">
        <w:rPr>
          <w:rFonts w:cs="Times New Roman"/>
          <w:szCs w:val="24"/>
        </w:rPr>
        <w:t>Higher Education</w:t>
      </w:r>
      <w:r w:rsidRPr="00792FEC">
        <w:rPr>
          <w:rFonts w:cs="Times New Roman"/>
          <w:szCs w:val="24"/>
        </w:rPr>
        <w:t xml:space="preserve"> Tuition Protection Fund (the Fund)</w:t>
      </w:r>
      <w:r>
        <w:rPr>
          <w:rFonts w:cs="Times New Roman"/>
          <w:szCs w:val="24"/>
        </w:rPr>
        <w:t>,</w:t>
      </w:r>
      <w:r w:rsidRPr="00792FEC">
        <w:rPr>
          <w:rFonts w:cs="Times New Roman"/>
          <w:szCs w:val="24"/>
        </w:rPr>
        <w:t xml:space="preserve"> which is established under section </w:t>
      </w:r>
      <w:r>
        <w:rPr>
          <w:rFonts w:cs="Times New Roman"/>
          <w:szCs w:val="24"/>
        </w:rPr>
        <w:t>167-1</w:t>
      </w:r>
      <w:r w:rsidRPr="00792FEC">
        <w:rPr>
          <w:rFonts w:cs="Times New Roman"/>
          <w:szCs w:val="24"/>
        </w:rPr>
        <w:t xml:space="preserve"> of the </w:t>
      </w:r>
      <w:r>
        <w:rPr>
          <w:rFonts w:cs="Times New Roman"/>
          <w:i/>
          <w:szCs w:val="24"/>
        </w:rPr>
        <w:t xml:space="preserve">Higher Education Support Act 2003 </w:t>
      </w:r>
      <w:r>
        <w:rPr>
          <w:rFonts w:cs="Times New Roman"/>
          <w:szCs w:val="24"/>
        </w:rPr>
        <w:t>(</w:t>
      </w:r>
      <w:proofErr w:type="spellStart"/>
      <w:r>
        <w:rPr>
          <w:rFonts w:cs="Times New Roman"/>
          <w:szCs w:val="24"/>
        </w:rPr>
        <w:t>HESA</w:t>
      </w:r>
      <w:proofErr w:type="spellEnd"/>
      <w:r>
        <w:rPr>
          <w:rFonts w:cs="Times New Roman"/>
          <w:szCs w:val="24"/>
        </w:rPr>
        <w:t xml:space="preserve">) and managed by the </w:t>
      </w:r>
      <w:r w:rsidR="00E7258C">
        <w:rPr>
          <w:rFonts w:cs="Times New Roman"/>
          <w:szCs w:val="24"/>
        </w:rPr>
        <w:t>Higher Education</w:t>
      </w:r>
      <w:r w:rsidRPr="00792FEC">
        <w:rPr>
          <w:rFonts w:cs="Times New Roman"/>
          <w:szCs w:val="24"/>
        </w:rPr>
        <w:t xml:space="preserve"> Tuition Protection Director (the Director). </w:t>
      </w:r>
    </w:p>
    <w:p w14:paraId="1CD6E322" w14:textId="133BA4AD" w:rsidR="009601CD" w:rsidRPr="00A22A6B" w:rsidRDefault="009601CD" w:rsidP="00664700">
      <w:pPr>
        <w:pStyle w:val="Heading2"/>
        <w:spacing w:line="240" w:lineRule="auto"/>
        <w:rPr>
          <w:rFonts w:cs="Times New Roman"/>
          <w:b w:val="0"/>
          <w:szCs w:val="24"/>
        </w:rPr>
      </w:pPr>
      <w:r w:rsidRPr="009601CD">
        <w:rPr>
          <w:rFonts w:cs="Times New Roman"/>
          <w:b w:val="0"/>
          <w:szCs w:val="24"/>
        </w:rPr>
        <w:t xml:space="preserve">The </w:t>
      </w:r>
      <w:r w:rsidRPr="007F0ADC">
        <w:rPr>
          <w:rFonts w:cs="Times New Roman"/>
          <w:b w:val="0"/>
          <w:szCs w:val="24"/>
        </w:rPr>
        <w:t xml:space="preserve">Director is accountable for the appropriate and sustainable management of the Fund. This Instrument assists the Director in exercising </w:t>
      </w:r>
      <w:r w:rsidR="009E7198">
        <w:rPr>
          <w:rFonts w:cs="Times New Roman"/>
          <w:b w:val="0"/>
          <w:szCs w:val="24"/>
        </w:rPr>
        <w:t>their</w:t>
      </w:r>
      <w:r w:rsidR="009E7198" w:rsidRPr="007F0ADC">
        <w:rPr>
          <w:rFonts w:cs="Times New Roman"/>
          <w:b w:val="0"/>
          <w:szCs w:val="24"/>
        </w:rPr>
        <w:t xml:space="preserve"> </w:t>
      </w:r>
      <w:r w:rsidRPr="007F0ADC">
        <w:rPr>
          <w:rFonts w:cs="Times New Roman"/>
          <w:b w:val="0"/>
          <w:szCs w:val="24"/>
        </w:rPr>
        <w:t>functions under the</w:t>
      </w:r>
      <w:r w:rsidR="007F0ADC" w:rsidRPr="007F0ADC">
        <w:rPr>
          <w:rFonts w:cs="Times New Roman"/>
          <w:b w:val="0"/>
          <w:szCs w:val="24"/>
        </w:rPr>
        <w:t xml:space="preserve"> </w:t>
      </w:r>
      <w:r w:rsidR="007F0ADC" w:rsidRPr="007F0ADC">
        <w:rPr>
          <w:rFonts w:cs="Times New Roman"/>
          <w:b w:val="0"/>
          <w:i/>
          <w:iCs/>
          <w:szCs w:val="24"/>
        </w:rPr>
        <w:t>Tertiary Education Quality and Standards Agency Act 2011</w:t>
      </w:r>
      <w:r w:rsidRPr="007F0ADC">
        <w:rPr>
          <w:rFonts w:cs="Times New Roman"/>
          <w:b w:val="0"/>
          <w:szCs w:val="24"/>
        </w:rPr>
        <w:t xml:space="preserve"> </w:t>
      </w:r>
      <w:r w:rsidR="007F0ADC" w:rsidRPr="007F0ADC">
        <w:rPr>
          <w:rFonts w:cs="Times New Roman"/>
          <w:b w:val="0"/>
          <w:szCs w:val="24"/>
        </w:rPr>
        <w:t>(</w:t>
      </w:r>
      <w:proofErr w:type="spellStart"/>
      <w:r w:rsidR="00E7258C" w:rsidRPr="007F0ADC">
        <w:rPr>
          <w:rFonts w:cs="Times New Roman"/>
          <w:b w:val="0"/>
          <w:szCs w:val="24"/>
        </w:rPr>
        <w:t>TEQSA</w:t>
      </w:r>
      <w:proofErr w:type="spellEnd"/>
      <w:r w:rsidR="00E7258C" w:rsidRPr="007F0ADC">
        <w:rPr>
          <w:rFonts w:cs="Times New Roman"/>
          <w:b w:val="0"/>
          <w:szCs w:val="24"/>
        </w:rPr>
        <w:t xml:space="preserve"> Act</w:t>
      </w:r>
      <w:r w:rsidR="007F0ADC" w:rsidRPr="007F0ADC">
        <w:rPr>
          <w:rFonts w:cs="Times New Roman"/>
          <w:b w:val="0"/>
          <w:szCs w:val="24"/>
        </w:rPr>
        <w:t xml:space="preserve">) </w:t>
      </w:r>
      <w:r w:rsidRPr="007F0ADC">
        <w:rPr>
          <w:rFonts w:cs="Times New Roman"/>
          <w:b w:val="0"/>
          <w:szCs w:val="24"/>
        </w:rPr>
        <w:t>by maintaining a high level of student protection and ensuring sufficient funds are held in the Fund</w:t>
      </w:r>
      <w:r w:rsidRPr="009601CD">
        <w:rPr>
          <w:rFonts w:cs="Times New Roman"/>
          <w:b w:val="0"/>
          <w:szCs w:val="24"/>
        </w:rPr>
        <w:t xml:space="preserve"> to place </w:t>
      </w:r>
      <w:r w:rsidR="00E7258C" w:rsidRPr="00802D06">
        <w:rPr>
          <w:rFonts w:cs="Times New Roman"/>
          <w:b w:val="0"/>
          <w:szCs w:val="24"/>
        </w:rPr>
        <w:t xml:space="preserve">students </w:t>
      </w:r>
      <w:r w:rsidR="00FE46F5">
        <w:rPr>
          <w:rFonts w:cs="Times New Roman"/>
          <w:b w:val="0"/>
          <w:szCs w:val="24"/>
        </w:rPr>
        <w:t xml:space="preserve">in a suitable replacement course </w:t>
      </w:r>
      <w:r w:rsidR="00E7258C" w:rsidRPr="00802D06">
        <w:rPr>
          <w:rFonts w:cs="Times New Roman"/>
          <w:b w:val="0"/>
          <w:szCs w:val="24"/>
        </w:rPr>
        <w:t>or</w:t>
      </w:r>
      <w:r w:rsidR="00E7258C">
        <w:rPr>
          <w:rFonts w:cs="Times New Roman"/>
          <w:b w:val="0"/>
          <w:szCs w:val="24"/>
        </w:rPr>
        <w:t xml:space="preserve"> refund</w:t>
      </w:r>
      <w:r w:rsidR="00E7258C" w:rsidRPr="00802D06">
        <w:rPr>
          <w:rFonts w:cs="Times New Roman"/>
          <w:b w:val="0"/>
          <w:szCs w:val="24"/>
        </w:rPr>
        <w:t xml:space="preserve"> </w:t>
      </w:r>
      <w:r w:rsidR="00E7258C">
        <w:rPr>
          <w:rFonts w:cs="Times New Roman"/>
          <w:b w:val="0"/>
          <w:szCs w:val="24"/>
        </w:rPr>
        <w:t xml:space="preserve">amounts of tuition fees paid up-front by students </w:t>
      </w:r>
      <w:r w:rsidR="00E7258C" w:rsidRPr="00802D06">
        <w:rPr>
          <w:rFonts w:cs="Times New Roman"/>
          <w:b w:val="0"/>
          <w:szCs w:val="24"/>
        </w:rPr>
        <w:t xml:space="preserve">in the event of provider </w:t>
      </w:r>
      <w:r w:rsidR="006B7EFD">
        <w:rPr>
          <w:rFonts w:cs="Times New Roman"/>
          <w:b w:val="0"/>
          <w:szCs w:val="24"/>
        </w:rPr>
        <w:t>defaults</w:t>
      </w:r>
      <w:r w:rsidRPr="009601CD">
        <w:rPr>
          <w:rFonts w:cs="Times New Roman"/>
          <w:b w:val="0"/>
          <w:szCs w:val="24"/>
        </w:rPr>
        <w:t>.</w:t>
      </w:r>
    </w:p>
    <w:p w14:paraId="4D34B8B7" w14:textId="29CFD111" w:rsidR="00F9205E" w:rsidRPr="00792FEC" w:rsidRDefault="00F9205E" w:rsidP="00DA552F">
      <w:pPr>
        <w:spacing w:before="120" w:after="120"/>
        <w:rPr>
          <w:rFonts w:cs="Times New Roman"/>
          <w:b/>
          <w:szCs w:val="24"/>
        </w:rPr>
      </w:pPr>
      <w:r w:rsidRPr="00792FEC">
        <w:rPr>
          <w:rFonts w:cs="Times New Roman"/>
          <w:b/>
          <w:szCs w:val="24"/>
        </w:rPr>
        <w:t>Human rights implications</w:t>
      </w:r>
    </w:p>
    <w:p w14:paraId="76E161FF" w14:textId="2C8C6069" w:rsidR="008310AA" w:rsidRPr="00792FEC" w:rsidRDefault="00A80D57" w:rsidP="00DA552F">
      <w:pPr>
        <w:spacing w:before="120" w:after="120"/>
        <w:rPr>
          <w:rFonts w:cs="Times New Roman"/>
          <w:szCs w:val="24"/>
          <w:u w:val="single"/>
        </w:rPr>
      </w:pPr>
      <w:r w:rsidRPr="00792FEC">
        <w:rPr>
          <w:rFonts w:cs="Times New Roman"/>
          <w:szCs w:val="24"/>
          <w:u w:val="single"/>
        </w:rPr>
        <w:t xml:space="preserve">Right to education </w:t>
      </w:r>
    </w:p>
    <w:p w14:paraId="54E7C099" w14:textId="1B0177DC" w:rsidR="003A3B41" w:rsidRPr="00792FEC" w:rsidRDefault="00A80D57" w:rsidP="00664700">
      <w:pPr>
        <w:spacing w:before="120" w:after="120" w:line="240" w:lineRule="auto"/>
        <w:rPr>
          <w:rFonts w:cs="Times New Roman"/>
          <w:szCs w:val="24"/>
        </w:rPr>
      </w:pPr>
      <w:r w:rsidRPr="00792FEC">
        <w:rPr>
          <w:rFonts w:cs="Times New Roman"/>
          <w:szCs w:val="24"/>
        </w:rPr>
        <w:t xml:space="preserve">The Instrument engages the right to education, contained in Article 13 of the </w:t>
      </w:r>
      <w:r w:rsidRPr="00036336">
        <w:rPr>
          <w:rFonts w:cs="Times New Roman"/>
          <w:i/>
          <w:iCs/>
          <w:szCs w:val="24"/>
        </w:rPr>
        <w:t>International Covenant on Economic, Social, and Cultural Rights</w:t>
      </w:r>
      <w:r w:rsidRPr="00792FEC">
        <w:rPr>
          <w:rFonts w:cs="Times New Roman"/>
          <w:szCs w:val="24"/>
        </w:rPr>
        <w:t xml:space="preserve">. In particular, </w:t>
      </w:r>
      <w:r w:rsidR="004F1A7A">
        <w:rPr>
          <w:rFonts w:cs="Times New Roman"/>
          <w:szCs w:val="24"/>
        </w:rPr>
        <w:t>Article 13</w:t>
      </w:r>
      <w:r w:rsidR="004F1A7A" w:rsidRPr="00792FEC">
        <w:rPr>
          <w:rFonts w:cs="Times New Roman"/>
          <w:szCs w:val="24"/>
        </w:rPr>
        <w:t xml:space="preserve"> </w:t>
      </w:r>
      <w:r w:rsidRPr="00792FEC">
        <w:rPr>
          <w:rFonts w:cs="Times New Roman"/>
          <w:szCs w:val="24"/>
        </w:rPr>
        <w:t>provides that ‘[h]</w:t>
      </w:r>
      <w:proofErr w:type="spellStart"/>
      <w:r w:rsidRPr="00792FEC">
        <w:rPr>
          <w:rFonts w:cs="Times New Roman"/>
          <w:szCs w:val="24"/>
        </w:rPr>
        <w:t>igher</w:t>
      </w:r>
      <w:proofErr w:type="spellEnd"/>
      <w:r w:rsidRPr="00792FEC">
        <w:rPr>
          <w:rFonts w:cs="Times New Roman"/>
          <w:szCs w:val="24"/>
        </w:rPr>
        <w:t xml:space="preserve"> education shall be made equally accessible to all, on the basis of capacity, by every appropriate means…’.</w:t>
      </w:r>
    </w:p>
    <w:p w14:paraId="30B4C8BB" w14:textId="0E542871" w:rsidR="00604C4E" w:rsidRDefault="00604C4E" w:rsidP="00604C4E">
      <w:pPr>
        <w:widowControl w:val="0"/>
        <w:shd w:val="clear" w:color="auto" w:fill="FFFFFF"/>
        <w:spacing w:before="100" w:beforeAutospacing="1" w:after="100" w:afterAutospacing="1" w:line="240" w:lineRule="auto"/>
        <w:rPr>
          <w:rFonts w:cs="Times New Roman"/>
          <w:szCs w:val="24"/>
          <w:shd w:val="clear" w:color="auto" w:fill="FFFFFF"/>
        </w:rPr>
      </w:pPr>
      <w:r w:rsidRPr="00911814">
        <w:rPr>
          <w:rFonts w:cs="Times New Roman"/>
          <w:szCs w:val="24"/>
        </w:rPr>
        <w:t xml:space="preserve">The Instrument is part of the broader tuition protection scheme (the Scheme) set out in the </w:t>
      </w:r>
      <w:proofErr w:type="spellStart"/>
      <w:r w:rsidRPr="00911814">
        <w:rPr>
          <w:rFonts w:cs="Times New Roman"/>
          <w:szCs w:val="24"/>
        </w:rPr>
        <w:t>TEQSA</w:t>
      </w:r>
      <w:proofErr w:type="spellEnd"/>
      <w:r w:rsidRPr="00911814">
        <w:rPr>
          <w:rFonts w:cs="Times New Roman"/>
          <w:szCs w:val="24"/>
        </w:rPr>
        <w:t xml:space="preserve"> Act for domestic up-front fee</w:t>
      </w:r>
      <w:r>
        <w:rPr>
          <w:rFonts w:cs="Times New Roman"/>
          <w:szCs w:val="24"/>
        </w:rPr>
        <w:t xml:space="preserve"> </w:t>
      </w:r>
      <w:r w:rsidRPr="00911814">
        <w:rPr>
          <w:rFonts w:cs="Times New Roman"/>
          <w:szCs w:val="24"/>
        </w:rPr>
        <w:t xml:space="preserve">paying students at private higher education providers. The Scheme’s aim is to ensure that </w:t>
      </w:r>
      <w:r>
        <w:rPr>
          <w:rFonts w:cs="Times New Roman"/>
          <w:szCs w:val="24"/>
        </w:rPr>
        <w:t>such</w:t>
      </w:r>
      <w:r w:rsidRPr="00911814">
        <w:rPr>
          <w:rFonts w:cs="Times New Roman"/>
          <w:szCs w:val="24"/>
        </w:rPr>
        <w:t xml:space="preserve"> students are protected and supported in the event that their provider defaults (meaning the provider fails to start to provide, or ceases to provide, a unit of study for a student) by arranging </w:t>
      </w:r>
      <w:r>
        <w:rPr>
          <w:rFonts w:cs="Times New Roman"/>
          <w:szCs w:val="24"/>
        </w:rPr>
        <w:t xml:space="preserve">a </w:t>
      </w:r>
      <w:r w:rsidRPr="00911814">
        <w:rPr>
          <w:rFonts w:cs="Times New Roman"/>
          <w:szCs w:val="24"/>
        </w:rPr>
        <w:t>placement</w:t>
      </w:r>
      <w:r w:rsidR="00AB710E">
        <w:rPr>
          <w:rFonts w:cs="Times New Roman"/>
          <w:szCs w:val="24"/>
        </w:rPr>
        <w:t xml:space="preserve"> for </w:t>
      </w:r>
      <w:r w:rsidR="00346EBB">
        <w:rPr>
          <w:rFonts w:cs="Times New Roman"/>
          <w:szCs w:val="24"/>
        </w:rPr>
        <w:t>the</w:t>
      </w:r>
      <w:r w:rsidR="00AB710E">
        <w:rPr>
          <w:rFonts w:cs="Times New Roman"/>
          <w:szCs w:val="24"/>
        </w:rPr>
        <w:t xml:space="preserve"> student</w:t>
      </w:r>
      <w:r w:rsidRPr="00911814">
        <w:rPr>
          <w:rFonts w:cs="Times New Roman"/>
          <w:szCs w:val="24"/>
        </w:rPr>
        <w:t xml:space="preserve"> in a suitable replacement unit or course, or a refund of the amount of tuition fees paid up-front by the student for the affected unit. Under the Scheme, the defaulting provider </w:t>
      </w:r>
      <w:r w:rsidRPr="00911814">
        <w:rPr>
          <w:rFonts w:cs="Times New Roman"/>
          <w:szCs w:val="24"/>
          <w:shd w:val="clear" w:color="auto" w:fill="FFFFFF"/>
        </w:rPr>
        <w:t xml:space="preserve">has initial responsibility </w:t>
      </w:r>
      <w:r>
        <w:rPr>
          <w:rFonts w:cs="Times New Roman"/>
          <w:szCs w:val="24"/>
          <w:shd w:val="clear" w:color="auto" w:fill="FFFFFF"/>
        </w:rPr>
        <w:t>for</w:t>
      </w:r>
      <w:r w:rsidRPr="00911814">
        <w:rPr>
          <w:rFonts w:cs="Times New Roman"/>
          <w:szCs w:val="24"/>
          <w:shd w:val="clear" w:color="auto" w:fill="FFFFFF"/>
        </w:rPr>
        <w:t xml:space="preserve"> provid</w:t>
      </w:r>
      <w:r>
        <w:rPr>
          <w:rFonts w:cs="Times New Roman"/>
          <w:szCs w:val="24"/>
          <w:shd w:val="clear" w:color="auto" w:fill="FFFFFF"/>
        </w:rPr>
        <w:t>ing</w:t>
      </w:r>
      <w:r w:rsidRPr="00911814">
        <w:rPr>
          <w:rFonts w:cs="Times New Roman"/>
          <w:szCs w:val="24"/>
          <w:shd w:val="clear" w:color="auto" w:fill="FFFFFF"/>
        </w:rPr>
        <w:t xml:space="preserve"> a remedy to </w:t>
      </w:r>
      <w:r>
        <w:rPr>
          <w:rFonts w:cs="Times New Roman"/>
          <w:szCs w:val="24"/>
          <w:shd w:val="clear" w:color="auto" w:fill="FFFFFF"/>
        </w:rPr>
        <w:t>its</w:t>
      </w:r>
      <w:r w:rsidRPr="00911814">
        <w:rPr>
          <w:rFonts w:cs="Times New Roman"/>
          <w:szCs w:val="24"/>
          <w:shd w:val="clear" w:color="auto" w:fill="FFFFFF"/>
        </w:rPr>
        <w:t xml:space="preserve"> affected students. If the defaulting provider fails to </w:t>
      </w:r>
      <w:r>
        <w:rPr>
          <w:rFonts w:cs="Times New Roman"/>
          <w:szCs w:val="24"/>
          <w:shd w:val="clear" w:color="auto" w:fill="FFFFFF"/>
        </w:rPr>
        <w:t xml:space="preserve">discharge its obligations, </w:t>
      </w:r>
      <w:r w:rsidRPr="00911814">
        <w:rPr>
          <w:rFonts w:cs="Times New Roman"/>
          <w:szCs w:val="24"/>
          <w:shd w:val="clear" w:color="auto" w:fill="FFFFFF"/>
        </w:rPr>
        <w:t xml:space="preserve">the Director </w:t>
      </w:r>
      <w:r>
        <w:rPr>
          <w:rFonts w:cs="Times New Roman"/>
          <w:szCs w:val="24"/>
          <w:shd w:val="clear" w:color="auto" w:fill="FFFFFF"/>
        </w:rPr>
        <w:t>is required</w:t>
      </w:r>
      <w:r w:rsidRPr="00911814">
        <w:rPr>
          <w:rFonts w:cs="Times New Roman"/>
          <w:szCs w:val="24"/>
          <w:shd w:val="clear" w:color="auto" w:fill="FFFFFF"/>
        </w:rPr>
        <w:t xml:space="preserve"> to assist in providing tuition protection to the affected students in order to enable them to continue their studies and obtain a qualification. </w:t>
      </w:r>
    </w:p>
    <w:p w14:paraId="61960E62" w14:textId="22A1BA5F" w:rsidR="00340E25" w:rsidRPr="00792FEC" w:rsidRDefault="00AB710E" w:rsidP="00664700">
      <w:pPr>
        <w:spacing w:before="120" w:after="120" w:line="240" w:lineRule="auto"/>
        <w:rPr>
          <w:rFonts w:cs="Times New Roman"/>
          <w:szCs w:val="24"/>
        </w:rPr>
      </w:pPr>
      <w:r>
        <w:rPr>
          <w:rFonts w:cs="Times New Roman"/>
          <w:szCs w:val="24"/>
        </w:rPr>
        <w:t xml:space="preserve">The </w:t>
      </w:r>
      <w:r w:rsidR="003A3B41" w:rsidRPr="00792FEC">
        <w:rPr>
          <w:rFonts w:cs="Times New Roman"/>
          <w:szCs w:val="24"/>
        </w:rPr>
        <w:t>Instrument</w:t>
      </w:r>
      <w:r>
        <w:rPr>
          <w:rFonts w:cs="Times New Roman"/>
          <w:szCs w:val="24"/>
        </w:rPr>
        <w:t xml:space="preserve"> </w:t>
      </w:r>
      <w:r w:rsidR="003A3B41" w:rsidRPr="00792FEC">
        <w:rPr>
          <w:rFonts w:cs="Times New Roman"/>
          <w:szCs w:val="24"/>
        </w:rPr>
        <w:t>determine</w:t>
      </w:r>
      <w:r w:rsidR="006D1283">
        <w:rPr>
          <w:rFonts w:cs="Times New Roman"/>
          <w:szCs w:val="24"/>
        </w:rPr>
        <w:t>s</w:t>
      </w:r>
      <w:r w:rsidR="003A3B41" w:rsidRPr="00792FEC">
        <w:rPr>
          <w:rFonts w:cs="Times New Roman"/>
          <w:szCs w:val="24"/>
        </w:rPr>
        <w:t xml:space="preserve"> various matters relevant to the calculation of the risk rated premium component and special tuition protection component of </w:t>
      </w:r>
      <w:r w:rsidR="009601CD">
        <w:rPr>
          <w:rFonts w:cs="Times New Roman"/>
          <w:szCs w:val="24"/>
        </w:rPr>
        <w:t xml:space="preserve">the </w:t>
      </w:r>
      <w:r w:rsidR="003A3B41" w:rsidRPr="00792FEC">
        <w:rPr>
          <w:rFonts w:cs="Times New Roman"/>
          <w:szCs w:val="24"/>
        </w:rPr>
        <w:t>Levy for the 202</w:t>
      </w:r>
      <w:r w:rsidR="00465233">
        <w:rPr>
          <w:rFonts w:cs="Times New Roman"/>
          <w:szCs w:val="24"/>
        </w:rPr>
        <w:t>2</w:t>
      </w:r>
      <w:r w:rsidR="003A3B41" w:rsidRPr="00792FEC">
        <w:rPr>
          <w:rFonts w:cs="Times New Roman"/>
          <w:szCs w:val="24"/>
        </w:rPr>
        <w:t xml:space="preserve"> calendar year. </w:t>
      </w:r>
    </w:p>
    <w:p w14:paraId="7E033731" w14:textId="37936EA0" w:rsidR="00527564" w:rsidRPr="00792FEC" w:rsidRDefault="00527564" w:rsidP="00664700">
      <w:pPr>
        <w:spacing w:before="120" w:after="120" w:line="240" w:lineRule="auto"/>
        <w:rPr>
          <w:rFonts w:cs="Times New Roman"/>
          <w:szCs w:val="24"/>
        </w:rPr>
      </w:pPr>
      <w:r w:rsidRPr="00792FEC">
        <w:rPr>
          <w:rFonts w:cs="Times New Roman"/>
          <w:szCs w:val="24"/>
        </w:rPr>
        <w:t xml:space="preserve">The risk rated premium </w:t>
      </w:r>
      <w:r w:rsidR="00340E25" w:rsidRPr="00792FEC">
        <w:rPr>
          <w:rFonts w:cs="Times New Roman"/>
          <w:szCs w:val="24"/>
        </w:rPr>
        <w:t>component</w:t>
      </w:r>
      <w:r w:rsidRPr="00792FEC">
        <w:rPr>
          <w:rFonts w:cs="Times New Roman"/>
          <w:szCs w:val="24"/>
        </w:rPr>
        <w:t xml:space="preserve"> ensures that a leviable provider’s risk</w:t>
      </w:r>
      <w:r w:rsidR="00340E25" w:rsidRPr="00792FEC">
        <w:rPr>
          <w:rFonts w:cs="Times New Roman"/>
          <w:szCs w:val="24"/>
        </w:rPr>
        <w:t xml:space="preserve"> of default</w:t>
      </w:r>
      <w:r w:rsidRPr="00792FEC">
        <w:rPr>
          <w:rFonts w:cs="Times New Roman"/>
          <w:szCs w:val="24"/>
        </w:rPr>
        <w:t xml:space="preserve"> is reflected in the </w:t>
      </w:r>
      <w:r w:rsidR="009601CD">
        <w:rPr>
          <w:rFonts w:cs="Times New Roman"/>
          <w:szCs w:val="24"/>
        </w:rPr>
        <w:t xml:space="preserve">amount of </w:t>
      </w:r>
      <w:r w:rsidRPr="00792FEC">
        <w:rPr>
          <w:rFonts w:cs="Times New Roman"/>
          <w:szCs w:val="24"/>
        </w:rPr>
        <w:t>Levy payable</w:t>
      </w:r>
      <w:r w:rsidR="00340E25" w:rsidRPr="00792FEC">
        <w:rPr>
          <w:rFonts w:cs="Times New Roman"/>
          <w:szCs w:val="24"/>
        </w:rPr>
        <w:t xml:space="preserve"> by that provider and ensures </w:t>
      </w:r>
      <w:r w:rsidRPr="00792FEC">
        <w:rPr>
          <w:rFonts w:cs="Times New Roman"/>
          <w:szCs w:val="24"/>
        </w:rPr>
        <w:t xml:space="preserve">providers are financially incentivised to reduce their risk of </w:t>
      </w:r>
      <w:r w:rsidR="00482F83">
        <w:rPr>
          <w:rFonts w:cs="Times New Roman"/>
          <w:szCs w:val="24"/>
        </w:rPr>
        <w:t>defaulting</w:t>
      </w:r>
      <w:r w:rsidRPr="00792FEC">
        <w:rPr>
          <w:rFonts w:cs="Times New Roman"/>
          <w:szCs w:val="24"/>
        </w:rPr>
        <w:t>.</w:t>
      </w:r>
    </w:p>
    <w:p w14:paraId="3187875F" w14:textId="10FCCFBC" w:rsidR="00340E25" w:rsidRPr="00792FEC" w:rsidRDefault="00340E25" w:rsidP="00664700">
      <w:pPr>
        <w:spacing w:before="120" w:after="120" w:line="240" w:lineRule="auto"/>
        <w:rPr>
          <w:rFonts w:cs="Times New Roman"/>
          <w:szCs w:val="24"/>
        </w:rPr>
      </w:pPr>
      <w:r w:rsidRPr="00792FEC">
        <w:rPr>
          <w:rFonts w:cs="Times New Roman"/>
          <w:szCs w:val="24"/>
        </w:rPr>
        <w:t xml:space="preserve">The </w:t>
      </w:r>
      <w:r w:rsidR="00527564" w:rsidRPr="00792FEC">
        <w:rPr>
          <w:rFonts w:cs="Times New Roman"/>
          <w:szCs w:val="24"/>
        </w:rPr>
        <w:t>special tuition protection component of the Levy ensures that the Fund builds to a sufficient balance</w:t>
      </w:r>
      <w:r w:rsidRPr="00792FEC">
        <w:rPr>
          <w:rFonts w:cs="Times New Roman"/>
          <w:szCs w:val="24"/>
        </w:rPr>
        <w:t xml:space="preserve">. </w:t>
      </w:r>
    </w:p>
    <w:p w14:paraId="2DD5A19A" w14:textId="5AF0D75A" w:rsidR="00340E25" w:rsidRPr="00792FEC" w:rsidRDefault="00023603" w:rsidP="00664700">
      <w:pPr>
        <w:spacing w:before="120" w:after="120" w:line="240" w:lineRule="auto"/>
        <w:rPr>
          <w:rFonts w:cs="Times New Roman"/>
          <w:szCs w:val="24"/>
        </w:rPr>
      </w:pPr>
      <w:r>
        <w:rPr>
          <w:rFonts w:cs="Times New Roman"/>
          <w:szCs w:val="24"/>
        </w:rPr>
        <w:t>This</w:t>
      </w:r>
      <w:r w:rsidR="00340E25" w:rsidRPr="00792FEC">
        <w:rPr>
          <w:rFonts w:cs="Times New Roman"/>
          <w:szCs w:val="24"/>
        </w:rPr>
        <w:t xml:space="preserve"> Instrument will ensure that sufficient funds are held in the Fund to cover the ongoing costs of </w:t>
      </w:r>
      <w:r w:rsidR="00D939ED">
        <w:rPr>
          <w:rFonts w:cs="Times New Roman"/>
          <w:szCs w:val="24"/>
        </w:rPr>
        <w:t xml:space="preserve">providing </w:t>
      </w:r>
      <w:r w:rsidR="00340E25" w:rsidRPr="00792FEC">
        <w:rPr>
          <w:rFonts w:cs="Times New Roman"/>
          <w:szCs w:val="24"/>
        </w:rPr>
        <w:t xml:space="preserve">tuition protection </w:t>
      </w:r>
      <w:r w:rsidR="00D939ED">
        <w:rPr>
          <w:rFonts w:cs="Times New Roman"/>
          <w:szCs w:val="24"/>
        </w:rPr>
        <w:t>to</w:t>
      </w:r>
      <w:r w:rsidR="00340E25" w:rsidRPr="00792FEC">
        <w:rPr>
          <w:rFonts w:cs="Times New Roman"/>
          <w:szCs w:val="24"/>
        </w:rPr>
        <w:t xml:space="preserve"> </w:t>
      </w:r>
      <w:r w:rsidR="003A04A9">
        <w:rPr>
          <w:rFonts w:cs="Times New Roman"/>
          <w:szCs w:val="24"/>
        </w:rPr>
        <w:t xml:space="preserve">domestic up-front fee paying </w:t>
      </w:r>
      <w:r w:rsidR="00340E25" w:rsidRPr="00792FEC">
        <w:rPr>
          <w:rFonts w:cs="Times New Roman"/>
          <w:szCs w:val="24"/>
        </w:rPr>
        <w:t xml:space="preserve">students </w:t>
      </w:r>
      <w:r w:rsidR="003A04A9">
        <w:rPr>
          <w:rFonts w:cs="Times New Roman"/>
          <w:szCs w:val="24"/>
        </w:rPr>
        <w:t>at private higher education providers</w:t>
      </w:r>
      <w:r w:rsidR="00340E25" w:rsidRPr="00792FEC">
        <w:rPr>
          <w:rFonts w:cs="Times New Roman"/>
          <w:szCs w:val="24"/>
        </w:rPr>
        <w:t xml:space="preserve">, thereby maintaining a high level of student protection in the event a course provider is no longer able to deliver </w:t>
      </w:r>
      <w:r w:rsidR="009601CD">
        <w:rPr>
          <w:rFonts w:cs="Times New Roman"/>
          <w:szCs w:val="24"/>
        </w:rPr>
        <w:t>a unit of study</w:t>
      </w:r>
      <w:r w:rsidR="00340E25" w:rsidRPr="00792FEC">
        <w:rPr>
          <w:rFonts w:cs="Times New Roman"/>
          <w:szCs w:val="24"/>
        </w:rPr>
        <w:t xml:space="preserve">. The Instrument is compatible with and will enhance the right to education by ensuring that there are appropriately funded tuition protection arrangements in place for </w:t>
      </w:r>
      <w:r w:rsidR="009601CD">
        <w:rPr>
          <w:rFonts w:cs="Times New Roman"/>
          <w:szCs w:val="24"/>
        </w:rPr>
        <w:t xml:space="preserve">higher education students. </w:t>
      </w:r>
      <w:r w:rsidR="00340E25" w:rsidRPr="00792FEC">
        <w:rPr>
          <w:rFonts w:cs="Times New Roman"/>
          <w:szCs w:val="24"/>
        </w:rPr>
        <w:t xml:space="preserve"> </w:t>
      </w:r>
    </w:p>
    <w:p w14:paraId="77A564F0" w14:textId="61A3D083" w:rsidR="00340E25" w:rsidRPr="00792FEC" w:rsidRDefault="009601CD" w:rsidP="00664700">
      <w:pPr>
        <w:spacing w:before="120" w:after="120" w:line="240" w:lineRule="auto"/>
        <w:rPr>
          <w:rFonts w:cs="Times New Roman"/>
          <w:szCs w:val="24"/>
        </w:rPr>
      </w:pPr>
      <w:r>
        <w:rPr>
          <w:rFonts w:cs="Times New Roman"/>
          <w:szCs w:val="24"/>
        </w:rPr>
        <w:t>The I</w:t>
      </w:r>
      <w:r w:rsidR="00340E25" w:rsidRPr="00792FEC">
        <w:rPr>
          <w:rFonts w:cs="Times New Roman"/>
          <w:szCs w:val="24"/>
        </w:rPr>
        <w:t>nstrument is compatible with</w:t>
      </w:r>
      <w:r w:rsidR="00690499">
        <w:rPr>
          <w:rFonts w:cs="Times New Roman"/>
          <w:szCs w:val="24"/>
        </w:rPr>
        <w:t>, and promotes,</w:t>
      </w:r>
      <w:r w:rsidR="00340E25" w:rsidRPr="00792FEC">
        <w:rPr>
          <w:rFonts w:cs="Times New Roman"/>
          <w:szCs w:val="24"/>
        </w:rPr>
        <w:t xml:space="preserve"> the right to education. </w:t>
      </w:r>
    </w:p>
    <w:p w14:paraId="30EC78AF" w14:textId="77777777" w:rsidR="00DA552F" w:rsidRPr="00792FEC" w:rsidRDefault="00F9205E" w:rsidP="00664700">
      <w:pPr>
        <w:spacing w:before="120" w:after="120" w:line="240" w:lineRule="auto"/>
        <w:rPr>
          <w:rFonts w:cs="Times New Roman"/>
          <w:szCs w:val="24"/>
        </w:rPr>
      </w:pPr>
      <w:r w:rsidRPr="00792FEC">
        <w:rPr>
          <w:rFonts w:cs="Times New Roman"/>
          <w:b/>
          <w:szCs w:val="24"/>
        </w:rPr>
        <w:t>Conclusion</w:t>
      </w:r>
    </w:p>
    <w:p w14:paraId="4F7CCF53" w14:textId="77777777" w:rsidR="00482F83" w:rsidRDefault="00A80D57" w:rsidP="00664700">
      <w:pPr>
        <w:spacing w:before="120" w:after="120" w:line="240" w:lineRule="auto"/>
        <w:rPr>
          <w:rFonts w:cs="Times New Roman"/>
          <w:szCs w:val="24"/>
        </w:rPr>
      </w:pPr>
      <w:r w:rsidRPr="00792FEC">
        <w:rPr>
          <w:rFonts w:cs="Times New Roman"/>
          <w:szCs w:val="24"/>
        </w:rPr>
        <w:t>This Instrument is compatible with human rights because it advances the protection of human rights.</w:t>
      </w:r>
    </w:p>
    <w:p w14:paraId="413EE070" w14:textId="089F2CCB" w:rsidR="00A80D57" w:rsidRPr="00792FEC" w:rsidRDefault="00A80D57" w:rsidP="00547C5B">
      <w:pPr>
        <w:spacing w:before="120" w:after="120" w:line="240" w:lineRule="auto"/>
        <w:jc w:val="center"/>
        <w:rPr>
          <w:rFonts w:cs="Times New Roman"/>
          <w:szCs w:val="24"/>
        </w:rPr>
      </w:pPr>
    </w:p>
    <w:p w14:paraId="719CF213" w14:textId="23DC3C2F" w:rsidR="00240E9B" w:rsidRDefault="00611CE7" w:rsidP="00547C5B">
      <w:pPr>
        <w:spacing w:before="120" w:after="120"/>
        <w:jc w:val="center"/>
        <w:rPr>
          <w:rFonts w:cs="Times New Roman"/>
          <w:b/>
          <w:szCs w:val="24"/>
        </w:rPr>
      </w:pPr>
      <w:r>
        <w:rPr>
          <w:rFonts w:cs="Times New Roman"/>
          <w:b/>
          <w:szCs w:val="24"/>
        </w:rPr>
        <w:t>Higher Education</w:t>
      </w:r>
      <w:r w:rsidR="00240E9B">
        <w:rPr>
          <w:rFonts w:cs="Times New Roman"/>
          <w:b/>
          <w:szCs w:val="24"/>
        </w:rPr>
        <w:t xml:space="preserve"> Tuition Protection Director</w:t>
      </w:r>
    </w:p>
    <w:p w14:paraId="76CAAFA2" w14:textId="77777777" w:rsidR="00525093" w:rsidRPr="00792FEC" w:rsidRDefault="00525093" w:rsidP="00525093">
      <w:pPr>
        <w:spacing w:before="120" w:after="120"/>
        <w:rPr>
          <w:rFonts w:cs="Times New Roman"/>
          <w:b/>
          <w:szCs w:val="24"/>
        </w:rPr>
        <w:sectPr w:rsidR="00525093" w:rsidRPr="00792FEC" w:rsidSect="009D7B8F">
          <w:footerReference w:type="default" r:id="rId14"/>
          <w:pgSz w:w="11906" w:h="16838"/>
          <w:pgMar w:top="1440" w:right="991" w:bottom="1440" w:left="1440" w:header="708" w:footer="708" w:gutter="0"/>
          <w:pgNumType w:start="1"/>
          <w:cols w:space="708"/>
          <w:docGrid w:linePitch="360"/>
        </w:sectPr>
      </w:pPr>
    </w:p>
    <w:p w14:paraId="7DEBA21A" w14:textId="39D7FB6C" w:rsidR="00240E9B" w:rsidRPr="009D75F2" w:rsidRDefault="009D75F2" w:rsidP="00240E9B">
      <w:pPr>
        <w:jc w:val="center"/>
        <w:rPr>
          <w:rFonts w:cs="Times New Roman"/>
          <w:b/>
          <w:i/>
          <w:iCs/>
          <w:szCs w:val="24"/>
        </w:rPr>
      </w:pPr>
      <w:r w:rsidRPr="009D75F2">
        <w:rPr>
          <w:rFonts w:cs="Times New Roman"/>
          <w:b/>
          <w:i/>
          <w:iCs/>
          <w:szCs w:val="24"/>
        </w:rPr>
        <w:t xml:space="preserve">Higher Education (Up-front Payments </w:t>
      </w:r>
      <w:r w:rsidR="00240E9B" w:rsidRPr="009D75F2">
        <w:rPr>
          <w:rFonts w:cs="Times New Roman"/>
          <w:b/>
          <w:i/>
          <w:iCs/>
          <w:szCs w:val="24"/>
        </w:rPr>
        <w:t>Tuition Protection Levy) (Risk Rated Premium and Special Tuition Protection Components) Determination 202</w:t>
      </w:r>
      <w:r w:rsidR="00825059">
        <w:rPr>
          <w:rFonts w:cs="Times New Roman"/>
          <w:b/>
          <w:i/>
          <w:iCs/>
          <w:szCs w:val="24"/>
        </w:rPr>
        <w:t>2</w:t>
      </w:r>
    </w:p>
    <w:p w14:paraId="137FB2EE" w14:textId="1F794010" w:rsidR="00DA552F" w:rsidRDefault="00DB6247">
      <w:pPr>
        <w:pStyle w:val="Heading2"/>
        <w:jc w:val="center"/>
        <w:rPr>
          <w:rFonts w:cs="Times New Roman"/>
          <w:color w:val="auto"/>
          <w:szCs w:val="24"/>
        </w:rPr>
      </w:pPr>
      <w:r w:rsidRPr="00792FEC">
        <w:rPr>
          <w:rFonts w:cs="Times New Roman"/>
          <w:color w:val="auto"/>
          <w:szCs w:val="24"/>
        </w:rPr>
        <w:t>EXPLANATION OF PROVISIONS</w:t>
      </w:r>
    </w:p>
    <w:p w14:paraId="099B73AB" w14:textId="77777777" w:rsidR="00416EF2" w:rsidRPr="00416EF2" w:rsidRDefault="00416EF2" w:rsidP="00416EF2"/>
    <w:p w14:paraId="711EAD47" w14:textId="2492E010" w:rsidR="00121330" w:rsidRPr="00792FEC" w:rsidRDefault="00121330" w:rsidP="00F62708">
      <w:pPr>
        <w:keepNext/>
        <w:rPr>
          <w:rFonts w:cs="Times New Roman"/>
          <w:b/>
          <w:szCs w:val="24"/>
          <w:u w:val="single"/>
        </w:rPr>
      </w:pPr>
      <w:r w:rsidRPr="00792FEC">
        <w:rPr>
          <w:rFonts w:cs="Times New Roman"/>
          <w:b/>
          <w:szCs w:val="24"/>
          <w:u w:val="single"/>
        </w:rPr>
        <w:t xml:space="preserve">Part 1 – Introduction </w:t>
      </w:r>
    </w:p>
    <w:p w14:paraId="7F60737D" w14:textId="3C6766A4" w:rsidR="00552BB9" w:rsidRPr="00240E9B" w:rsidRDefault="00DB6247" w:rsidP="00552BB9">
      <w:pPr>
        <w:keepNext/>
        <w:rPr>
          <w:rFonts w:cs="Times New Roman"/>
          <w:b/>
          <w:i/>
          <w:szCs w:val="24"/>
          <w:u w:val="single"/>
        </w:rPr>
      </w:pPr>
      <w:r w:rsidRPr="00240E9B">
        <w:rPr>
          <w:rFonts w:cs="Times New Roman"/>
          <w:b/>
          <w:i/>
          <w:szCs w:val="24"/>
          <w:u w:val="single"/>
        </w:rPr>
        <w:t>Section</w:t>
      </w:r>
      <w:r w:rsidR="00DA552F" w:rsidRPr="00240E9B">
        <w:rPr>
          <w:rFonts w:cs="Times New Roman"/>
          <w:b/>
          <w:i/>
          <w:szCs w:val="24"/>
          <w:u w:val="single"/>
        </w:rPr>
        <w:t xml:space="preserve"> 1: </w:t>
      </w:r>
      <w:r w:rsidR="00E631F9" w:rsidRPr="00240E9B">
        <w:rPr>
          <w:rFonts w:cs="Times New Roman"/>
          <w:b/>
          <w:i/>
          <w:szCs w:val="24"/>
          <w:u w:val="single"/>
        </w:rPr>
        <w:t>Name</w:t>
      </w:r>
      <w:r w:rsidR="00001F1D" w:rsidRPr="00240E9B">
        <w:rPr>
          <w:rFonts w:cs="Times New Roman"/>
          <w:b/>
          <w:i/>
          <w:szCs w:val="24"/>
          <w:u w:val="single"/>
        </w:rPr>
        <w:t xml:space="preserve"> </w:t>
      </w:r>
    </w:p>
    <w:p w14:paraId="0B467C78" w14:textId="2DD52DF6" w:rsidR="00E631F9" w:rsidRPr="00792FEC" w:rsidRDefault="00552BB9" w:rsidP="00664700">
      <w:pPr>
        <w:spacing w:before="120" w:after="120" w:line="240" w:lineRule="auto"/>
        <w:rPr>
          <w:rFonts w:cs="Times New Roman"/>
          <w:szCs w:val="24"/>
        </w:rPr>
      </w:pPr>
      <w:r w:rsidRPr="00792FEC">
        <w:rPr>
          <w:rFonts w:cs="Times New Roman"/>
          <w:szCs w:val="24"/>
        </w:rPr>
        <w:t xml:space="preserve">Section </w:t>
      </w:r>
      <w:r w:rsidR="00001F1D" w:rsidRPr="00792FEC">
        <w:rPr>
          <w:rFonts w:cs="Times New Roman"/>
          <w:szCs w:val="24"/>
        </w:rPr>
        <w:t xml:space="preserve">1 </w:t>
      </w:r>
      <w:r w:rsidRPr="00792FEC">
        <w:rPr>
          <w:rFonts w:cs="Times New Roman"/>
          <w:szCs w:val="24"/>
        </w:rPr>
        <w:t xml:space="preserve">of the </w:t>
      </w:r>
      <w:r w:rsidR="009601CD" w:rsidRPr="00B11059">
        <w:rPr>
          <w:rFonts w:cs="Times New Roman"/>
          <w:i/>
          <w:szCs w:val="24"/>
        </w:rPr>
        <w:t>Higher Education (</w:t>
      </w:r>
      <w:r w:rsidR="004A74CB">
        <w:rPr>
          <w:rFonts w:cs="Times New Roman"/>
          <w:i/>
          <w:szCs w:val="24"/>
        </w:rPr>
        <w:t>Up-front Payments</w:t>
      </w:r>
      <w:r w:rsidR="009601CD" w:rsidRPr="00B11059">
        <w:rPr>
          <w:rFonts w:cs="Times New Roman"/>
          <w:i/>
          <w:szCs w:val="24"/>
        </w:rPr>
        <w:t xml:space="preserve"> Tuition Protection Levy) (Risk Rated Premium and Special Tuition Protection Components) Determination 202</w:t>
      </w:r>
      <w:r w:rsidR="00465233">
        <w:rPr>
          <w:rFonts w:cs="Times New Roman"/>
          <w:i/>
          <w:szCs w:val="24"/>
        </w:rPr>
        <w:t>2</w:t>
      </w:r>
      <w:r w:rsidR="009601CD">
        <w:rPr>
          <w:rFonts w:cs="Times New Roman"/>
          <w:b/>
          <w:i/>
          <w:szCs w:val="24"/>
        </w:rPr>
        <w:t xml:space="preserve"> </w:t>
      </w:r>
      <w:r w:rsidR="009601CD" w:rsidRPr="00792FEC">
        <w:rPr>
          <w:rFonts w:cs="Times New Roman"/>
          <w:szCs w:val="24"/>
        </w:rPr>
        <w:t xml:space="preserve">(the Instrument) </w:t>
      </w:r>
      <w:r w:rsidR="005C09EF">
        <w:rPr>
          <w:rFonts w:cs="Times New Roman"/>
          <w:szCs w:val="24"/>
        </w:rPr>
        <w:t>is a</w:t>
      </w:r>
      <w:r w:rsidR="005C09EF" w:rsidRPr="00792FEC">
        <w:rPr>
          <w:rFonts w:cs="Times New Roman"/>
          <w:szCs w:val="24"/>
        </w:rPr>
        <w:t xml:space="preserve"> </w:t>
      </w:r>
      <w:r w:rsidRPr="00792FEC">
        <w:rPr>
          <w:rFonts w:cs="Times New Roman"/>
          <w:szCs w:val="24"/>
        </w:rPr>
        <w:t>formal p</w:t>
      </w:r>
      <w:r w:rsidR="00001F1D" w:rsidRPr="00792FEC">
        <w:rPr>
          <w:rFonts w:cs="Times New Roman"/>
          <w:szCs w:val="24"/>
        </w:rPr>
        <w:t>rovision setting out the name of</w:t>
      </w:r>
      <w:r w:rsidRPr="00792FEC">
        <w:rPr>
          <w:rFonts w:cs="Times New Roman"/>
          <w:szCs w:val="24"/>
        </w:rPr>
        <w:t xml:space="preserve"> the Instrument. </w:t>
      </w:r>
    </w:p>
    <w:p w14:paraId="6A68C637" w14:textId="77D5F786" w:rsidR="002079B5" w:rsidRDefault="002079B5" w:rsidP="00552BB9">
      <w:pPr>
        <w:keepNext/>
        <w:rPr>
          <w:rFonts w:cs="Times New Roman"/>
          <w:b/>
          <w:i/>
          <w:szCs w:val="24"/>
          <w:u w:val="single"/>
        </w:rPr>
      </w:pPr>
      <w:r w:rsidRPr="00240E9B">
        <w:rPr>
          <w:rFonts w:cs="Times New Roman"/>
          <w:b/>
          <w:i/>
          <w:szCs w:val="24"/>
          <w:u w:val="single"/>
        </w:rPr>
        <w:t>Section 2: Commencement</w:t>
      </w:r>
    </w:p>
    <w:p w14:paraId="6685B7FA" w14:textId="6650F408" w:rsidR="002079B5" w:rsidRPr="005C09EF" w:rsidRDefault="005C09EF" w:rsidP="005C09EF">
      <w:pPr>
        <w:spacing w:before="120" w:after="120" w:line="240" w:lineRule="auto"/>
        <w:rPr>
          <w:rFonts w:cs="Times New Roman"/>
          <w:szCs w:val="24"/>
        </w:rPr>
      </w:pPr>
      <w:r w:rsidRPr="005C09EF">
        <w:rPr>
          <w:rFonts w:cs="Times New Roman"/>
          <w:szCs w:val="24"/>
        </w:rPr>
        <w:t xml:space="preserve">Section 2 is also a formal provision. It sets out the date of commencement of </w:t>
      </w:r>
      <w:r w:rsidR="007C54CC">
        <w:rPr>
          <w:rFonts w:cs="Times New Roman"/>
          <w:szCs w:val="24"/>
        </w:rPr>
        <w:t xml:space="preserve">the </w:t>
      </w:r>
      <w:r w:rsidRPr="005C09EF">
        <w:rPr>
          <w:rFonts w:cs="Times New Roman"/>
          <w:szCs w:val="24"/>
        </w:rPr>
        <w:t>Instrument</w:t>
      </w:r>
      <w:r w:rsidR="00465233">
        <w:rPr>
          <w:rFonts w:cs="Times New Roman"/>
          <w:szCs w:val="24"/>
        </w:rPr>
        <w:t xml:space="preserve"> and provides that the Instrument will commence on the day after it is registered.</w:t>
      </w:r>
      <w:r w:rsidRPr="005C09EF">
        <w:rPr>
          <w:rFonts w:cs="Times New Roman"/>
          <w:szCs w:val="24"/>
        </w:rPr>
        <w:t xml:space="preserve"> </w:t>
      </w:r>
    </w:p>
    <w:p w14:paraId="582F3FA6" w14:textId="10AA2561" w:rsidR="00001F1D" w:rsidRPr="00792FEC" w:rsidRDefault="00001F1D" w:rsidP="00552BB9">
      <w:pPr>
        <w:keepNext/>
        <w:rPr>
          <w:rFonts w:cs="Times New Roman"/>
          <w:b/>
          <w:szCs w:val="24"/>
          <w:u w:val="single"/>
        </w:rPr>
      </w:pPr>
      <w:r w:rsidRPr="00792FEC">
        <w:rPr>
          <w:rFonts w:cs="Times New Roman"/>
          <w:b/>
          <w:szCs w:val="24"/>
          <w:u w:val="single"/>
        </w:rPr>
        <w:t>Section</w:t>
      </w:r>
      <w:r w:rsidR="00802D06">
        <w:rPr>
          <w:rFonts w:cs="Times New Roman"/>
          <w:b/>
          <w:szCs w:val="24"/>
          <w:u w:val="single"/>
        </w:rPr>
        <w:t xml:space="preserve"> </w:t>
      </w:r>
      <w:r w:rsidRPr="00792FEC">
        <w:rPr>
          <w:rFonts w:cs="Times New Roman"/>
          <w:b/>
          <w:szCs w:val="24"/>
          <w:u w:val="single"/>
        </w:rPr>
        <w:t xml:space="preserve">3: Authority </w:t>
      </w:r>
    </w:p>
    <w:p w14:paraId="11768A04" w14:textId="47BD89B3" w:rsidR="00001F1D" w:rsidRPr="00792FEC" w:rsidRDefault="009601CD" w:rsidP="00664700">
      <w:pPr>
        <w:spacing w:before="120" w:after="120" w:line="240" w:lineRule="auto"/>
        <w:rPr>
          <w:rFonts w:cs="Times New Roman"/>
          <w:szCs w:val="24"/>
        </w:rPr>
      </w:pPr>
      <w:r>
        <w:rPr>
          <w:rFonts w:cs="Times New Roman"/>
          <w:szCs w:val="24"/>
        </w:rPr>
        <w:t xml:space="preserve">Section 3 sets out the </w:t>
      </w:r>
      <w:r w:rsidR="004A74CB">
        <w:rPr>
          <w:rFonts w:cs="Times New Roman"/>
          <w:szCs w:val="24"/>
        </w:rPr>
        <w:t>Higher Education</w:t>
      </w:r>
      <w:r w:rsidR="00001F1D" w:rsidRPr="00792FEC">
        <w:rPr>
          <w:rFonts w:cs="Times New Roman"/>
          <w:szCs w:val="24"/>
        </w:rPr>
        <w:t xml:space="preserve"> Tuition Protection Director’s (the Director) authority to make the Instrument. </w:t>
      </w:r>
    </w:p>
    <w:p w14:paraId="0A20F1EC" w14:textId="1C222F23" w:rsidR="00001F1D" w:rsidRPr="00792FEC" w:rsidRDefault="00001F1D" w:rsidP="00664700">
      <w:pPr>
        <w:spacing w:before="120" w:after="120" w:line="240" w:lineRule="auto"/>
        <w:rPr>
          <w:rFonts w:cs="Times New Roman"/>
          <w:szCs w:val="24"/>
        </w:rPr>
      </w:pPr>
      <w:r w:rsidRPr="00792FEC">
        <w:rPr>
          <w:rFonts w:cs="Times New Roman"/>
          <w:szCs w:val="24"/>
        </w:rPr>
        <w:t xml:space="preserve">The Instrument is made under section 13 of the </w:t>
      </w:r>
      <w:r w:rsidR="00C64467">
        <w:rPr>
          <w:rFonts w:cs="Times New Roman"/>
          <w:i/>
          <w:szCs w:val="24"/>
        </w:rPr>
        <w:t>Higher Education (</w:t>
      </w:r>
      <w:r w:rsidR="004A74CB">
        <w:rPr>
          <w:rFonts w:cs="Times New Roman"/>
          <w:i/>
          <w:szCs w:val="24"/>
        </w:rPr>
        <w:t>Up-front Payments</w:t>
      </w:r>
      <w:r w:rsidR="00C64467" w:rsidRPr="00792FEC">
        <w:rPr>
          <w:rFonts w:cs="Times New Roman"/>
          <w:i/>
          <w:szCs w:val="24"/>
        </w:rPr>
        <w:t xml:space="preserve"> Tuition Protection Levy) Act 2020</w:t>
      </w:r>
      <w:r w:rsidR="00C64467" w:rsidRPr="00792FEC">
        <w:rPr>
          <w:rFonts w:cs="Times New Roman"/>
          <w:szCs w:val="24"/>
        </w:rPr>
        <w:t xml:space="preserve"> (the Act)</w:t>
      </w:r>
      <w:r w:rsidRPr="00792FEC">
        <w:rPr>
          <w:rFonts w:cs="Times New Roman"/>
          <w:szCs w:val="24"/>
        </w:rPr>
        <w:t xml:space="preserve">, for the purposes of sections 11 and 12 of the Act, which relate to the calculation of the risk rated premium component and special tuition protection component of the </w:t>
      </w:r>
      <w:r w:rsidR="00543E17">
        <w:rPr>
          <w:rFonts w:cs="Times New Roman"/>
          <w:szCs w:val="24"/>
        </w:rPr>
        <w:t>up-front payments</w:t>
      </w:r>
      <w:r w:rsidR="00C64467">
        <w:rPr>
          <w:rFonts w:cs="Times New Roman"/>
          <w:szCs w:val="24"/>
        </w:rPr>
        <w:t xml:space="preserve"> tuition protection levy (the</w:t>
      </w:r>
      <w:r w:rsidRPr="00792FEC">
        <w:rPr>
          <w:rFonts w:cs="Times New Roman"/>
          <w:szCs w:val="24"/>
        </w:rPr>
        <w:t xml:space="preserve"> Levy</w:t>
      </w:r>
      <w:r w:rsidR="0062006D" w:rsidRPr="00792FEC">
        <w:rPr>
          <w:rFonts w:cs="Times New Roman"/>
          <w:szCs w:val="24"/>
        </w:rPr>
        <w:t>)</w:t>
      </w:r>
      <w:r w:rsidRPr="00792FEC">
        <w:rPr>
          <w:rFonts w:cs="Times New Roman"/>
          <w:szCs w:val="24"/>
        </w:rPr>
        <w:t xml:space="preserve"> for the year. </w:t>
      </w:r>
    </w:p>
    <w:p w14:paraId="1DB8B3FC" w14:textId="0E7243C2" w:rsidR="00001F1D" w:rsidRPr="00792FEC" w:rsidRDefault="00001F1D" w:rsidP="00664700">
      <w:pPr>
        <w:spacing w:before="120" w:after="120" w:line="240" w:lineRule="auto"/>
        <w:rPr>
          <w:rFonts w:cs="Times New Roman"/>
          <w:szCs w:val="24"/>
        </w:rPr>
      </w:pPr>
      <w:r w:rsidRPr="00792FEC">
        <w:rPr>
          <w:rFonts w:cs="Times New Roman"/>
          <w:szCs w:val="24"/>
        </w:rPr>
        <w:t xml:space="preserve">In accordance with subsection 13(4) of the Act, in making this Instrument, the Director had regard to the advice of the </w:t>
      </w:r>
      <w:r w:rsidR="00543E17">
        <w:rPr>
          <w:rFonts w:cs="Times New Roman"/>
          <w:szCs w:val="24"/>
        </w:rPr>
        <w:t>Higher Education</w:t>
      </w:r>
      <w:r w:rsidRPr="00792FEC">
        <w:rPr>
          <w:rFonts w:cs="Times New Roman"/>
          <w:szCs w:val="24"/>
        </w:rPr>
        <w:t xml:space="preserve"> Tuition Protection Fund Advisory Board (the Advisory Board) and the sustainability of the</w:t>
      </w:r>
      <w:r w:rsidR="00C64467">
        <w:rPr>
          <w:rFonts w:cs="Times New Roman"/>
          <w:szCs w:val="24"/>
        </w:rPr>
        <w:t xml:space="preserve"> </w:t>
      </w:r>
      <w:r w:rsidR="00543E17">
        <w:rPr>
          <w:rFonts w:cs="Times New Roman"/>
          <w:szCs w:val="24"/>
        </w:rPr>
        <w:t>Higher Education</w:t>
      </w:r>
      <w:r w:rsidR="00C64467" w:rsidRPr="00792FEC">
        <w:rPr>
          <w:rFonts w:cs="Times New Roman"/>
          <w:szCs w:val="24"/>
        </w:rPr>
        <w:t xml:space="preserve"> Tuition Protection Fund</w:t>
      </w:r>
      <w:r w:rsidRPr="00792FEC">
        <w:rPr>
          <w:rFonts w:cs="Times New Roman"/>
          <w:szCs w:val="24"/>
        </w:rPr>
        <w:t xml:space="preserve"> </w:t>
      </w:r>
      <w:r w:rsidR="00C64467">
        <w:rPr>
          <w:rFonts w:cs="Times New Roman"/>
          <w:szCs w:val="24"/>
        </w:rPr>
        <w:t xml:space="preserve">(the </w:t>
      </w:r>
      <w:r w:rsidRPr="00792FEC">
        <w:rPr>
          <w:rFonts w:cs="Times New Roman"/>
          <w:szCs w:val="24"/>
        </w:rPr>
        <w:t>Fund</w:t>
      </w:r>
      <w:r w:rsidR="00C64467">
        <w:rPr>
          <w:rFonts w:cs="Times New Roman"/>
          <w:szCs w:val="24"/>
        </w:rPr>
        <w:t>)</w:t>
      </w:r>
      <w:r w:rsidRPr="00792FEC">
        <w:rPr>
          <w:rFonts w:cs="Times New Roman"/>
          <w:szCs w:val="24"/>
        </w:rPr>
        <w:t>. The Director also had regard to other matter</w:t>
      </w:r>
      <w:r w:rsidR="00F81E21">
        <w:rPr>
          <w:rFonts w:cs="Times New Roman"/>
          <w:szCs w:val="24"/>
        </w:rPr>
        <w:t>s</w:t>
      </w:r>
      <w:r w:rsidRPr="00792FEC">
        <w:rPr>
          <w:rFonts w:cs="Times New Roman"/>
          <w:szCs w:val="24"/>
        </w:rPr>
        <w:t xml:space="preserve"> that the Director considers appropriate (subsection 13(5) of the Act).</w:t>
      </w:r>
    </w:p>
    <w:p w14:paraId="330C85B3" w14:textId="71BEE72B" w:rsidR="00487B82" w:rsidRPr="00792FEC" w:rsidRDefault="0062006D" w:rsidP="00664700">
      <w:pPr>
        <w:spacing w:before="120" w:after="120" w:line="240" w:lineRule="auto"/>
        <w:rPr>
          <w:rFonts w:cs="Times New Roman"/>
          <w:szCs w:val="24"/>
        </w:rPr>
      </w:pPr>
      <w:r w:rsidRPr="00792FEC">
        <w:rPr>
          <w:rFonts w:cs="Times New Roman"/>
          <w:szCs w:val="24"/>
        </w:rPr>
        <w:t>In accordance with subsection 13(6) of the Act, the Treasure</w:t>
      </w:r>
      <w:r w:rsidR="00C64467">
        <w:rPr>
          <w:rFonts w:cs="Times New Roman"/>
          <w:szCs w:val="24"/>
        </w:rPr>
        <w:t>r</w:t>
      </w:r>
      <w:r w:rsidRPr="00792FEC">
        <w:rPr>
          <w:rFonts w:cs="Times New Roman"/>
          <w:szCs w:val="24"/>
        </w:rPr>
        <w:t xml:space="preserve"> </w:t>
      </w:r>
      <w:r w:rsidR="009E7198">
        <w:rPr>
          <w:rFonts w:cs="Times New Roman"/>
          <w:szCs w:val="24"/>
        </w:rPr>
        <w:t xml:space="preserve">has </w:t>
      </w:r>
      <w:r w:rsidR="00001F1D" w:rsidRPr="00792FEC">
        <w:rPr>
          <w:rFonts w:cs="Times New Roman"/>
          <w:szCs w:val="24"/>
        </w:rPr>
        <w:t>approve</w:t>
      </w:r>
      <w:r w:rsidRPr="00792FEC">
        <w:rPr>
          <w:rFonts w:cs="Times New Roman"/>
          <w:szCs w:val="24"/>
        </w:rPr>
        <w:t>d</w:t>
      </w:r>
      <w:r w:rsidR="00001F1D" w:rsidRPr="00792FEC">
        <w:rPr>
          <w:rFonts w:cs="Times New Roman"/>
          <w:szCs w:val="24"/>
        </w:rPr>
        <w:t xml:space="preserve"> the </w:t>
      </w:r>
      <w:r w:rsidRPr="00792FEC">
        <w:rPr>
          <w:rFonts w:cs="Times New Roman"/>
          <w:szCs w:val="24"/>
        </w:rPr>
        <w:t xml:space="preserve">Instrument. </w:t>
      </w:r>
    </w:p>
    <w:p w14:paraId="7C4D3249" w14:textId="53E5AFEA" w:rsidR="00552BB9" w:rsidRPr="00240E9B" w:rsidRDefault="00552BB9" w:rsidP="00552BB9">
      <w:pPr>
        <w:keepNext/>
        <w:rPr>
          <w:rFonts w:cs="Times New Roman"/>
          <w:b/>
          <w:i/>
          <w:szCs w:val="24"/>
          <w:u w:val="single"/>
        </w:rPr>
      </w:pPr>
      <w:r w:rsidRPr="00240E9B">
        <w:rPr>
          <w:rFonts w:cs="Times New Roman"/>
          <w:b/>
          <w:i/>
          <w:szCs w:val="24"/>
          <w:u w:val="single"/>
        </w:rPr>
        <w:t>Section 4: Definitions</w:t>
      </w:r>
    </w:p>
    <w:p w14:paraId="6743E5C0" w14:textId="5862C89B" w:rsidR="00552BB9" w:rsidRPr="00792FEC" w:rsidRDefault="00552BB9" w:rsidP="00664700">
      <w:pPr>
        <w:keepNext/>
        <w:spacing w:line="240" w:lineRule="auto"/>
        <w:rPr>
          <w:rFonts w:cs="Times New Roman"/>
          <w:szCs w:val="24"/>
        </w:rPr>
      </w:pPr>
      <w:r w:rsidRPr="00792FEC">
        <w:rPr>
          <w:rFonts w:cs="Times New Roman"/>
          <w:szCs w:val="24"/>
        </w:rPr>
        <w:t xml:space="preserve">Section 4 includes definitions for the purposes of the Instrument. </w:t>
      </w:r>
    </w:p>
    <w:p w14:paraId="60B6D493" w14:textId="15174C54" w:rsidR="008D00F4" w:rsidRPr="00792FEC" w:rsidRDefault="008D00F4" w:rsidP="00664700">
      <w:pPr>
        <w:keepNext/>
        <w:spacing w:line="240" w:lineRule="auto"/>
        <w:rPr>
          <w:rFonts w:cs="Times New Roman"/>
          <w:szCs w:val="24"/>
        </w:rPr>
      </w:pPr>
      <w:r w:rsidRPr="00792FEC">
        <w:rPr>
          <w:rFonts w:cs="Times New Roman"/>
          <w:szCs w:val="24"/>
        </w:rPr>
        <w:t xml:space="preserve">In particular, </w:t>
      </w:r>
      <w:r w:rsidR="00792FEC">
        <w:rPr>
          <w:rFonts w:cs="Times New Roman"/>
          <w:szCs w:val="24"/>
        </w:rPr>
        <w:t>‘</w:t>
      </w:r>
      <w:r w:rsidR="00240E9B">
        <w:rPr>
          <w:rFonts w:cs="Times New Roman"/>
          <w:szCs w:val="24"/>
        </w:rPr>
        <w:t>financial statement</w:t>
      </w:r>
      <w:r w:rsidR="00792FEC">
        <w:rPr>
          <w:rFonts w:cs="Times New Roman"/>
          <w:szCs w:val="24"/>
        </w:rPr>
        <w:t>’</w:t>
      </w:r>
      <w:r w:rsidRPr="00792FEC">
        <w:rPr>
          <w:rFonts w:cs="Times New Roman"/>
          <w:szCs w:val="24"/>
        </w:rPr>
        <w:t xml:space="preserve"> means the statement given by a leviable provider to </w:t>
      </w:r>
      <w:proofErr w:type="spellStart"/>
      <w:r w:rsidR="00E02FA0">
        <w:rPr>
          <w:rFonts w:cs="Times New Roman"/>
          <w:szCs w:val="24"/>
        </w:rPr>
        <w:t>TEQSA</w:t>
      </w:r>
      <w:proofErr w:type="spellEnd"/>
      <w:r w:rsidR="00240E9B">
        <w:rPr>
          <w:rFonts w:cs="Times New Roman"/>
          <w:szCs w:val="24"/>
        </w:rPr>
        <w:t xml:space="preserve"> for the purposes of </w:t>
      </w:r>
      <w:r w:rsidR="00095946">
        <w:rPr>
          <w:rFonts w:cs="Times New Roman"/>
          <w:szCs w:val="24"/>
        </w:rPr>
        <w:t xml:space="preserve">section 27 of the </w:t>
      </w:r>
      <w:r w:rsidR="00FE642F" w:rsidRPr="005B12D6">
        <w:rPr>
          <w:i/>
          <w:iCs/>
        </w:rPr>
        <w:t>Tertiary Education Quality and Standards Agency Act 2011</w:t>
      </w:r>
      <w:r w:rsidR="00FE642F">
        <w:rPr>
          <w:i/>
          <w:iCs/>
        </w:rPr>
        <w:t xml:space="preserve"> </w:t>
      </w:r>
      <w:r w:rsidR="00FE642F">
        <w:rPr>
          <w:rFonts w:cs="Times New Roman"/>
          <w:szCs w:val="24"/>
        </w:rPr>
        <w:t>(</w:t>
      </w:r>
      <w:proofErr w:type="spellStart"/>
      <w:r w:rsidR="00FE642F">
        <w:rPr>
          <w:rFonts w:cs="Times New Roman"/>
          <w:szCs w:val="24"/>
        </w:rPr>
        <w:t>TEQSA</w:t>
      </w:r>
      <w:proofErr w:type="spellEnd"/>
      <w:r w:rsidR="00FE642F">
        <w:rPr>
          <w:rFonts w:cs="Times New Roman"/>
          <w:szCs w:val="24"/>
        </w:rPr>
        <w:t xml:space="preserve"> Act) </w:t>
      </w:r>
      <w:r w:rsidR="00240E9B">
        <w:rPr>
          <w:rFonts w:cs="Times New Roman"/>
          <w:szCs w:val="24"/>
        </w:rPr>
        <w:t xml:space="preserve">for the annual financial report </w:t>
      </w:r>
      <w:r w:rsidR="00240E9B" w:rsidRPr="00FE642F">
        <w:rPr>
          <w:rFonts w:cs="Times New Roman"/>
          <w:szCs w:val="24"/>
        </w:rPr>
        <w:t>ending in 20</w:t>
      </w:r>
      <w:r w:rsidR="00FE642F" w:rsidRPr="00FE642F">
        <w:rPr>
          <w:rFonts w:cs="Times New Roman"/>
          <w:szCs w:val="24"/>
        </w:rPr>
        <w:t>2</w:t>
      </w:r>
      <w:r w:rsidR="00FA0D85">
        <w:rPr>
          <w:rFonts w:cs="Times New Roman"/>
          <w:szCs w:val="24"/>
        </w:rPr>
        <w:t>1</w:t>
      </w:r>
      <w:r w:rsidRPr="00792FEC">
        <w:rPr>
          <w:rFonts w:cs="Times New Roman"/>
          <w:szCs w:val="24"/>
        </w:rPr>
        <w:t>. Th</w:t>
      </w:r>
      <w:r w:rsidR="0057699A" w:rsidRPr="00792FEC">
        <w:rPr>
          <w:rFonts w:cs="Times New Roman"/>
          <w:szCs w:val="24"/>
        </w:rPr>
        <w:t>is term is used in section 6</w:t>
      </w:r>
      <w:r w:rsidR="00D56D7E">
        <w:rPr>
          <w:rFonts w:cs="Times New Roman"/>
          <w:szCs w:val="24"/>
        </w:rPr>
        <w:t xml:space="preserve"> of the Instrument</w:t>
      </w:r>
      <w:r w:rsidRPr="00792FEC">
        <w:rPr>
          <w:rFonts w:cs="Times New Roman"/>
          <w:szCs w:val="24"/>
        </w:rPr>
        <w:t xml:space="preserve"> and is relevant to the determination of the risk factor value </w:t>
      </w:r>
      <w:r w:rsidR="0057699A" w:rsidRPr="00792FEC">
        <w:rPr>
          <w:rFonts w:cs="Times New Roman"/>
          <w:szCs w:val="24"/>
        </w:rPr>
        <w:t>for the financial strength risk factor for a leviable provider.</w:t>
      </w:r>
    </w:p>
    <w:p w14:paraId="6BA2B3B2" w14:textId="65875D68" w:rsidR="0057699A" w:rsidRDefault="00792FEC" w:rsidP="00664700">
      <w:pPr>
        <w:widowControl w:val="0"/>
        <w:spacing w:line="240" w:lineRule="auto"/>
        <w:rPr>
          <w:rFonts w:cs="Times New Roman"/>
          <w:szCs w:val="24"/>
        </w:rPr>
      </w:pPr>
      <w:r>
        <w:rPr>
          <w:rFonts w:cs="Times New Roman"/>
          <w:szCs w:val="24"/>
        </w:rPr>
        <w:t>‘</w:t>
      </w:r>
      <w:proofErr w:type="spellStart"/>
      <w:r w:rsidR="00DB0EDD">
        <w:rPr>
          <w:rFonts w:cs="Times New Roman"/>
          <w:szCs w:val="24"/>
        </w:rPr>
        <w:t>PIR</w:t>
      </w:r>
      <w:proofErr w:type="spellEnd"/>
      <w:r w:rsidR="00DB0EDD">
        <w:rPr>
          <w:rFonts w:cs="Times New Roman"/>
          <w:szCs w:val="24"/>
        </w:rPr>
        <w:t xml:space="preserve"> </w:t>
      </w:r>
      <w:r w:rsidR="00CA6D74">
        <w:rPr>
          <w:rFonts w:cs="Times New Roman"/>
          <w:szCs w:val="24"/>
        </w:rPr>
        <w:t>information</w:t>
      </w:r>
      <w:r>
        <w:rPr>
          <w:rFonts w:cs="Times New Roman"/>
          <w:szCs w:val="24"/>
        </w:rPr>
        <w:t xml:space="preserve">’ </w:t>
      </w:r>
      <w:r w:rsidR="0057699A" w:rsidRPr="00792FEC">
        <w:rPr>
          <w:rFonts w:cs="Times New Roman"/>
          <w:szCs w:val="24"/>
        </w:rPr>
        <w:t>means the information provided b</w:t>
      </w:r>
      <w:r w:rsidR="00240E9B">
        <w:rPr>
          <w:rFonts w:cs="Times New Roman"/>
          <w:szCs w:val="24"/>
        </w:rPr>
        <w:t xml:space="preserve">y a leviable provider to </w:t>
      </w:r>
      <w:proofErr w:type="spellStart"/>
      <w:r w:rsidR="005E046E">
        <w:t>TEQSA</w:t>
      </w:r>
      <w:proofErr w:type="spellEnd"/>
      <w:r w:rsidR="005E046E">
        <w:t xml:space="preserve"> in accordance with a notice under section 28 of the </w:t>
      </w:r>
      <w:proofErr w:type="spellStart"/>
      <w:r w:rsidR="005E046E">
        <w:t>TEQSA</w:t>
      </w:r>
      <w:proofErr w:type="spellEnd"/>
      <w:r w:rsidR="005E046E">
        <w:t xml:space="preserve"> Act</w:t>
      </w:r>
      <w:r w:rsidR="0057699A" w:rsidRPr="00792FEC">
        <w:rPr>
          <w:rFonts w:cs="Times New Roman"/>
          <w:szCs w:val="24"/>
        </w:rPr>
        <w:t xml:space="preserve">. </w:t>
      </w:r>
      <w:r w:rsidR="0062006D" w:rsidRPr="00792FEC">
        <w:rPr>
          <w:rFonts w:cs="Times New Roman"/>
          <w:szCs w:val="24"/>
        </w:rPr>
        <w:t xml:space="preserve">This term is used in section 7 </w:t>
      </w:r>
      <w:r w:rsidR="00D56D7E">
        <w:rPr>
          <w:rFonts w:cs="Times New Roman"/>
          <w:szCs w:val="24"/>
        </w:rPr>
        <w:t xml:space="preserve">of the Instrument </w:t>
      </w:r>
      <w:r w:rsidR="0062006D" w:rsidRPr="00792FEC">
        <w:rPr>
          <w:rFonts w:cs="Times New Roman"/>
          <w:szCs w:val="24"/>
        </w:rPr>
        <w:t xml:space="preserve">and is relevant to the determination of the risk factor value for the completion rate risk factor for a leviable provider. </w:t>
      </w:r>
    </w:p>
    <w:p w14:paraId="63344E06" w14:textId="755FD4D4" w:rsidR="003B53FF" w:rsidRPr="00792FEC" w:rsidRDefault="003B53FF" w:rsidP="00664700">
      <w:pPr>
        <w:widowControl w:val="0"/>
        <w:spacing w:line="240" w:lineRule="auto"/>
        <w:rPr>
          <w:rFonts w:cs="Times New Roman"/>
          <w:szCs w:val="24"/>
        </w:rPr>
      </w:pPr>
      <w:bookmarkStart w:id="6" w:name="_Hlk106653299"/>
      <w:r>
        <w:rPr>
          <w:rFonts w:cs="Times New Roman"/>
          <w:szCs w:val="24"/>
        </w:rPr>
        <w:t xml:space="preserve">Section 4 also includes </w:t>
      </w:r>
      <w:r w:rsidR="003D3E38">
        <w:rPr>
          <w:rFonts w:cs="Times New Roman"/>
          <w:szCs w:val="24"/>
        </w:rPr>
        <w:t>a note the purpose of which is to confirm that certain expressions used in the instrument are defined in section 5 of the Act.</w:t>
      </w:r>
    </w:p>
    <w:bookmarkEnd w:id="6"/>
    <w:p w14:paraId="4D43711E" w14:textId="6D3FE788" w:rsidR="00121330" w:rsidRPr="00240E9B" w:rsidRDefault="00121330" w:rsidP="00552BB9">
      <w:pPr>
        <w:keepNext/>
        <w:rPr>
          <w:rFonts w:cs="Times New Roman"/>
          <w:b/>
          <w:i/>
          <w:szCs w:val="24"/>
          <w:u w:val="single"/>
        </w:rPr>
      </w:pPr>
      <w:r w:rsidRPr="00240E9B">
        <w:rPr>
          <w:rFonts w:cs="Times New Roman"/>
          <w:b/>
          <w:i/>
          <w:szCs w:val="24"/>
          <w:u w:val="single"/>
        </w:rPr>
        <w:t xml:space="preserve">Part 2 – Risk rated premium component </w:t>
      </w:r>
    </w:p>
    <w:p w14:paraId="2BA77B95" w14:textId="6E0A64FF" w:rsidR="00792FEC" w:rsidRPr="00792FEC" w:rsidRDefault="00792FEC" w:rsidP="00664700">
      <w:pPr>
        <w:widowControl w:val="0"/>
        <w:spacing w:line="240" w:lineRule="auto"/>
        <w:rPr>
          <w:rFonts w:cs="Times New Roman"/>
          <w:szCs w:val="24"/>
        </w:rPr>
      </w:pPr>
      <w:r w:rsidRPr="00792FEC">
        <w:rPr>
          <w:rFonts w:cs="Times New Roman"/>
          <w:szCs w:val="24"/>
        </w:rPr>
        <w:t xml:space="preserve">Section 11 </w:t>
      </w:r>
      <w:r>
        <w:rPr>
          <w:rFonts w:cs="Times New Roman"/>
          <w:szCs w:val="24"/>
        </w:rPr>
        <w:t xml:space="preserve">of the Act </w:t>
      </w:r>
      <w:r w:rsidRPr="00792FEC">
        <w:rPr>
          <w:rFonts w:cs="Times New Roman"/>
          <w:szCs w:val="24"/>
        </w:rPr>
        <w:t>deals with the risk rated pre</w:t>
      </w:r>
      <w:r w:rsidR="00240E9B">
        <w:rPr>
          <w:rFonts w:cs="Times New Roman"/>
          <w:szCs w:val="24"/>
        </w:rPr>
        <w:t>mium component of the</w:t>
      </w:r>
      <w:r w:rsidR="00011C76">
        <w:rPr>
          <w:rFonts w:cs="Times New Roman"/>
          <w:szCs w:val="24"/>
        </w:rPr>
        <w:t xml:space="preserve"> Levy: </w:t>
      </w:r>
    </w:p>
    <w:p w14:paraId="34DD47FE" w14:textId="77777777" w:rsidR="00011C76" w:rsidRDefault="00011C76" w:rsidP="00664700">
      <w:pPr>
        <w:pStyle w:val="ListParagraph"/>
        <w:widowControl w:val="0"/>
        <w:numPr>
          <w:ilvl w:val="0"/>
          <w:numId w:val="12"/>
        </w:numPr>
        <w:spacing w:line="240" w:lineRule="auto"/>
        <w:rPr>
          <w:rFonts w:cs="Times New Roman"/>
          <w:szCs w:val="24"/>
        </w:rPr>
      </w:pPr>
      <w:r>
        <w:rPr>
          <w:rFonts w:cs="Times New Roman"/>
          <w:szCs w:val="24"/>
        </w:rPr>
        <w:t>subsection</w:t>
      </w:r>
      <w:r w:rsidR="00792FEC" w:rsidRPr="00011C76">
        <w:rPr>
          <w:rFonts w:cs="Times New Roman"/>
          <w:szCs w:val="24"/>
        </w:rPr>
        <w:t xml:space="preserve"> 11(1) </w:t>
      </w:r>
      <w:r w:rsidRPr="00011C76">
        <w:rPr>
          <w:rFonts w:cs="Times New Roman"/>
          <w:szCs w:val="24"/>
        </w:rPr>
        <w:t xml:space="preserve">of the Act </w:t>
      </w:r>
      <w:r w:rsidR="00792FEC" w:rsidRPr="00011C76">
        <w:rPr>
          <w:rFonts w:cs="Times New Roman"/>
          <w:szCs w:val="24"/>
        </w:rPr>
        <w:t>provides that if a leviable provider is a new provider for a year, the amount of the provider’s risk rated premium component f</w:t>
      </w:r>
      <w:r>
        <w:rPr>
          <w:rFonts w:cs="Times New Roman"/>
          <w:szCs w:val="24"/>
        </w:rPr>
        <w:t>or the year is zero;</w:t>
      </w:r>
    </w:p>
    <w:p w14:paraId="5007905F" w14:textId="57DF9C47" w:rsidR="00792FEC" w:rsidRPr="00011C76" w:rsidRDefault="00011C76" w:rsidP="00664700">
      <w:pPr>
        <w:pStyle w:val="ListParagraph"/>
        <w:widowControl w:val="0"/>
        <w:numPr>
          <w:ilvl w:val="0"/>
          <w:numId w:val="12"/>
        </w:numPr>
        <w:spacing w:line="240" w:lineRule="auto"/>
        <w:rPr>
          <w:rFonts w:cs="Times New Roman"/>
          <w:szCs w:val="24"/>
        </w:rPr>
      </w:pPr>
      <w:r>
        <w:rPr>
          <w:rFonts w:cs="Times New Roman"/>
          <w:szCs w:val="24"/>
        </w:rPr>
        <w:t xml:space="preserve">subsection </w:t>
      </w:r>
      <w:r w:rsidR="00792FEC" w:rsidRPr="00011C76">
        <w:rPr>
          <w:rFonts w:cs="Times New Roman"/>
          <w:szCs w:val="24"/>
        </w:rPr>
        <w:t xml:space="preserve">11(2) </w:t>
      </w:r>
      <w:r>
        <w:rPr>
          <w:rFonts w:cs="Times New Roman"/>
          <w:szCs w:val="24"/>
        </w:rPr>
        <w:t xml:space="preserve">of the Act </w:t>
      </w:r>
      <w:r w:rsidR="00792FEC" w:rsidRPr="00011C76">
        <w:rPr>
          <w:rFonts w:cs="Times New Roman"/>
          <w:szCs w:val="24"/>
        </w:rPr>
        <w:t>sets out a six-step method statement for calculating a leviable provider’s risk rated premium component. The Director is responsible for determining various matters for the purposes of different steps in the method statement i</w:t>
      </w:r>
      <w:r w:rsidR="00013B17" w:rsidRPr="00011C76">
        <w:rPr>
          <w:rFonts w:cs="Times New Roman"/>
          <w:szCs w:val="24"/>
        </w:rPr>
        <w:t xml:space="preserve">n subsection 11(2). </w:t>
      </w:r>
    </w:p>
    <w:p w14:paraId="4A26CCA6" w14:textId="72293D50" w:rsidR="00792FEC" w:rsidRDefault="008E0CA6" w:rsidP="00664700">
      <w:pPr>
        <w:widowControl w:val="0"/>
        <w:spacing w:line="240" w:lineRule="auto"/>
        <w:rPr>
          <w:rFonts w:cs="Times New Roman"/>
          <w:szCs w:val="24"/>
        </w:rPr>
      </w:pPr>
      <w:r>
        <w:rPr>
          <w:rFonts w:cs="Times New Roman"/>
          <w:szCs w:val="24"/>
        </w:rPr>
        <w:t xml:space="preserve">Sections 5 to </w:t>
      </w:r>
      <w:r w:rsidR="00DD59CA">
        <w:rPr>
          <w:rFonts w:cs="Times New Roman"/>
          <w:szCs w:val="24"/>
        </w:rPr>
        <w:t>8</w:t>
      </w:r>
      <w:r>
        <w:rPr>
          <w:rFonts w:cs="Times New Roman"/>
          <w:szCs w:val="24"/>
        </w:rPr>
        <w:t xml:space="preserve"> of the Instrument set out the matters determined by the Director for the purposes</w:t>
      </w:r>
      <w:r w:rsidR="0072580A">
        <w:rPr>
          <w:rFonts w:cs="Times New Roman"/>
          <w:szCs w:val="24"/>
        </w:rPr>
        <w:t xml:space="preserve"> of subsection 11(2) of the Act</w:t>
      </w:r>
      <w:r w:rsidR="00011C76">
        <w:rPr>
          <w:rFonts w:cs="Times New Roman"/>
          <w:szCs w:val="24"/>
        </w:rPr>
        <w:t>,</w:t>
      </w:r>
      <w:r w:rsidR="0072580A">
        <w:rPr>
          <w:rFonts w:cs="Times New Roman"/>
          <w:szCs w:val="24"/>
        </w:rPr>
        <w:t xml:space="preserve"> allowing the risk rated premium component of the Levy for the 202</w:t>
      </w:r>
      <w:r w:rsidR="00DF45FC">
        <w:rPr>
          <w:rFonts w:cs="Times New Roman"/>
          <w:szCs w:val="24"/>
        </w:rPr>
        <w:t>2</w:t>
      </w:r>
      <w:r w:rsidR="0072580A">
        <w:rPr>
          <w:rFonts w:cs="Times New Roman"/>
          <w:szCs w:val="24"/>
        </w:rPr>
        <w:t xml:space="preserve"> calendar </w:t>
      </w:r>
      <w:r w:rsidR="004A22CF">
        <w:rPr>
          <w:rFonts w:cs="Times New Roman"/>
          <w:szCs w:val="24"/>
        </w:rPr>
        <w:t xml:space="preserve">year </w:t>
      </w:r>
      <w:r w:rsidR="0072580A">
        <w:rPr>
          <w:rFonts w:cs="Times New Roman"/>
          <w:szCs w:val="24"/>
        </w:rPr>
        <w:t xml:space="preserve">to be calculated. </w:t>
      </w:r>
    </w:p>
    <w:p w14:paraId="3A449F18" w14:textId="30D7EA17" w:rsidR="008E0CA6" w:rsidRPr="00240E9B" w:rsidRDefault="008E0CA6" w:rsidP="00487B82">
      <w:pPr>
        <w:widowControl w:val="0"/>
        <w:rPr>
          <w:rFonts w:cs="Times New Roman"/>
          <w:b/>
          <w:i/>
          <w:szCs w:val="24"/>
          <w:u w:val="single"/>
        </w:rPr>
      </w:pPr>
      <w:r w:rsidRPr="00240E9B">
        <w:rPr>
          <w:rFonts w:cs="Times New Roman"/>
          <w:b/>
          <w:i/>
          <w:szCs w:val="24"/>
          <w:u w:val="single"/>
        </w:rPr>
        <w:t xml:space="preserve">Section 5: Risk rated premium component </w:t>
      </w:r>
    </w:p>
    <w:p w14:paraId="663C3371" w14:textId="1C6EDDE1" w:rsidR="008E0CA6" w:rsidRDefault="00432D7C" w:rsidP="00664700">
      <w:pPr>
        <w:widowControl w:val="0"/>
        <w:spacing w:line="240" w:lineRule="auto"/>
        <w:rPr>
          <w:rFonts w:cs="Times New Roman"/>
          <w:szCs w:val="24"/>
        </w:rPr>
      </w:pPr>
      <w:r>
        <w:rPr>
          <w:rFonts w:cs="Times New Roman"/>
          <w:szCs w:val="24"/>
        </w:rPr>
        <w:t>Subsection 5(1) provide</w:t>
      </w:r>
      <w:r w:rsidR="008E0CA6">
        <w:rPr>
          <w:rFonts w:cs="Times New Roman"/>
          <w:szCs w:val="24"/>
        </w:rPr>
        <w:t xml:space="preserve">s that the amount for the purposes of step 1 of the method statement </w:t>
      </w:r>
      <w:r>
        <w:rPr>
          <w:rFonts w:cs="Times New Roman"/>
          <w:szCs w:val="24"/>
        </w:rPr>
        <w:t>in subsection 11(2) of the Act is $</w:t>
      </w:r>
      <w:r w:rsidR="00176DAD">
        <w:rPr>
          <w:rFonts w:cs="Times New Roman"/>
          <w:szCs w:val="24"/>
        </w:rPr>
        <w:t>2</w:t>
      </w:r>
      <w:r>
        <w:rPr>
          <w:rFonts w:cs="Times New Roman"/>
          <w:szCs w:val="24"/>
        </w:rPr>
        <w:t xml:space="preserve">.00. </w:t>
      </w:r>
    </w:p>
    <w:p w14:paraId="5B805A0D" w14:textId="54A3663E" w:rsidR="00432D7C" w:rsidRDefault="00432D7C" w:rsidP="00664700">
      <w:pPr>
        <w:widowControl w:val="0"/>
        <w:spacing w:line="240" w:lineRule="auto"/>
      </w:pPr>
      <w:r>
        <w:t xml:space="preserve">Subsection 5(2) provides that the percentage for the </w:t>
      </w:r>
      <w:r w:rsidRPr="00DE601E">
        <w:t>purposes of step 2 of the method statement in sub</w:t>
      </w:r>
      <w:r w:rsidR="00240E9B">
        <w:t>section 11(2) of the Act is 0.0</w:t>
      </w:r>
      <w:r w:rsidR="00176DAD">
        <w:t>4</w:t>
      </w:r>
      <w:r w:rsidR="00523BF0">
        <w:t xml:space="preserve"> per cent</w:t>
      </w:r>
      <w:r>
        <w:t xml:space="preserve">. </w:t>
      </w:r>
    </w:p>
    <w:p w14:paraId="6F4ADD8C" w14:textId="1D71172C" w:rsidR="00432D7C" w:rsidRDefault="00432D7C" w:rsidP="00664700">
      <w:pPr>
        <w:widowControl w:val="0"/>
        <w:spacing w:line="240" w:lineRule="auto"/>
      </w:pPr>
      <w:r w:rsidRPr="00AA2821">
        <w:t xml:space="preserve">For the purposes of step 4 of the method statement in subsection 11(2) of the Act, subsection 5(3) </w:t>
      </w:r>
      <w:r w:rsidR="00240E9B" w:rsidRPr="00AA2821">
        <w:t>of the Instrument</w:t>
      </w:r>
      <w:r w:rsidR="00240E9B">
        <w:t xml:space="preserve"> </w:t>
      </w:r>
      <w:r>
        <w:t xml:space="preserve">specifies </w:t>
      </w:r>
      <w:r w:rsidR="007B1909">
        <w:t>three</w:t>
      </w:r>
      <w:r>
        <w:t xml:space="preserve"> risk factors that reflect the risk of payments being made out of the Fund in respect of leviable providers</w:t>
      </w:r>
      <w:r w:rsidR="001D6670">
        <w:t xml:space="preserve"> as a result of each of those factors</w:t>
      </w:r>
      <w:r>
        <w:t xml:space="preserve">. They are: </w:t>
      </w:r>
    </w:p>
    <w:p w14:paraId="246ADD96" w14:textId="4D8F6082" w:rsidR="00432D7C" w:rsidRPr="008379D5" w:rsidRDefault="00432D7C" w:rsidP="00664700">
      <w:pPr>
        <w:pStyle w:val="ListParagraph"/>
        <w:widowControl w:val="0"/>
        <w:numPr>
          <w:ilvl w:val="0"/>
          <w:numId w:val="6"/>
        </w:numPr>
        <w:spacing w:line="240" w:lineRule="auto"/>
        <w:rPr>
          <w:rFonts w:cs="Times New Roman"/>
          <w:szCs w:val="24"/>
        </w:rPr>
      </w:pPr>
      <w:r w:rsidRPr="008379D5">
        <w:rPr>
          <w:rFonts w:cs="Times New Roman"/>
          <w:szCs w:val="24"/>
        </w:rPr>
        <w:t xml:space="preserve">the financial strength risk factor; </w:t>
      </w:r>
    </w:p>
    <w:p w14:paraId="10764B19" w14:textId="74660059" w:rsidR="00432D7C" w:rsidRPr="008379D5" w:rsidRDefault="00432D7C" w:rsidP="00664700">
      <w:pPr>
        <w:pStyle w:val="ListParagraph"/>
        <w:widowControl w:val="0"/>
        <w:numPr>
          <w:ilvl w:val="0"/>
          <w:numId w:val="6"/>
        </w:numPr>
        <w:spacing w:line="240" w:lineRule="auto"/>
        <w:rPr>
          <w:rFonts w:cs="Times New Roman"/>
          <w:szCs w:val="24"/>
        </w:rPr>
      </w:pPr>
      <w:r w:rsidRPr="008379D5">
        <w:rPr>
          <w:rFonts w:cs="Times New Roman"/>
          <w:szCs w:val="24"/>
        </w:rPr>
        <w:t xml:space="preserve">the completion rate risk factor; </w:t>
      </w:r>
    </w:p>
    <w:p w14:paraId="5DF73532" w14:textId="12D26939" w:rsidR="008379D5" w:rsidRPr="008379D5" w:rsidRDefault="00EA717A" w:rsidP="00664700">
      <w:pPr>
        <w:pStyle w:val="ListParagraph"/>
        <w:widowControl w:val="0"/>
        <w:numPr>
          <w:ilvl w:val="0"/>
          <w:numId w:val="6"/>
        </w:numPr>
        <w:spacing w:line="240" w:lineRule="auto"/>
        <w:rPr>
          <w:rFonts w:cs="Times New Roman"/>
          <w:szCs w:val="24"/>
        </w:rPr>
      </w:pPr>
      <w:r w:rsidRPr="008379D5">
        <w:rPr>
          <w:rFonts w:cs="Times New Roman"/>
          <w:szCs w:val="24"/>
        </w:rPr>
        <w:t>the non-compliance history</w:t>
      </w:r>
      <w:r w:rsidR="00432D7C" w:rsidRPr="008379D5">
        <w:rPr>
          <w:rFonts w:cs="Times New Roman"/>
          <w:szCs w:val="24"/>
        </w:rPr>
        <w:t xml:space="preserve"> </w:t>
      </w:r>
      <w:r w:rsidR="005E046E">
        <w:rPr>
          <w:rFonts w:cs="Times New Roman"/>
          <w:szCs w:val="24"/>
        </w:rPr>
        <w:t xml:space="preserve">and registration renewal </w:t>
      </w:r>
      <w:r w:rsidR="00432D7C" w:rsidRPr="008379D5">
        <w:rPr>
          <w:rFonts w:cs="Times New Roman"/>
          <w:szCs w:val="24"/>
        </w:rPr>
        <w:t>risk factor</w:t>
      </w:r>
      <w:r w:rsidR="008379D5" w:rsidRPr="008379D5">
        <w:rPr>
          <w:rFonts w:cs="Times New Roman"/>
          <w:szCs w:val="24"/>
        </w:rPr>
        <w:t xml:space="preserve"> </w:t>
      </w:r>
    </w:p>
    <w:p w14:paraId="22B5E978" w14:textId="21AF481E" w:rsidR="00F54213" w:rsidRPr="00F54213" w:rsidRDefault="00F54213" w:rsidP="00487B82">
      <w:pPr>
        <w:widowControl w:val="0"/>
        <w:rPr>
          <w:rFonts w:cs="Times New Roman"/>
          <w:bCs/>
          <w:iCs/>
          <w:szCs w:val="24"/>
        </w:rPr>
      </w:pPr>
      <w:r w:rsidRPr="00F54213">
        <w:rPr>
          <w:rFonts w:cs="Times New Roman"/>
          <w:bCs/>
          <w:iCs/>
          <w:szCs w:val="24"/>
        </w:rPr>
        <w:t>Subsection 13(3) of the Act provides that</w:t>
      </w:r>
      <w:r w:rsidRPr="00F54213">
        <w:rPr>
          <w:color w:val="000000"/>
          <w:sz w:val="22"/>
          <w:shd w:val="clear" w:color="auto" w:fill="FFFFFF"/>
        </w:rPr>
        <w:t xml:space="preserve"> a risk factor value for a risk factor must be a number between zero and 10 (inclusive). As set out below, the possible risk factor values f</w:t>
      </w:r>
      <w:r w:rsidR="00977D58">
        <w:rPr>
          <w:color w:val="000000"/>
          <w:sz w:val="22"/>
          <w:shd w:val="clear" w:color="auto" w:fill="FFFFFF"/>
        </w:rPr>
        <w:t>or</w:t>
      </w:r>
      <w:r w:rsidRPr="00F54213">
        <w:rPr>
          <w:color w:val="000000"/>
          <w:sz w:val="22"/>
          <w:shd w:val="clear" w:color="auto" w:fill="FFFFFF"/>
        </w:rPr>
        <w:t xml:space="preserve"> all</w:t>
      </w:r>
      <w:r w:rsidR="00977D58">
        <w:rPr>
          <w:color w:val="000000"/>
          <w:sz w:val="22"/>
          <w:shd w:val="clear" w:color="auto" w:fill="FFFFFF"/>
        </w:rPr>
        <w:t xml:space="preserve"> the specified</w:t>
      </w:r>
      <w:r w:rsidRPr="00F54213">
        <w:rPr>
          <w:color w:val="000000"/>
          <w:sz w:val="22"/>
          <w:shd w:val="clear" w:color="auto" w:fill="FFFFFF"/>
        </w:rPr>
        <w:t xml:space="preserve"> risk factor</w:t>
      </w:r>
      <w:r w:rsidR="00977D58">
        <w:rPr>
          <w:color w:val="000000"/>
          <w:sz w:val="22"/>
          <w:shd w:val="clear" w:color="auto" w:fill="FFFFFF"/>
        </w:rPr>
        <w:t>s</w:t>
      </w:r>
      <w:r w:rsidRPr="00F54213">
        <w:rPr>
          <w:color w:val="000000"/>
          <w:sz w:val="22"/>
          <w:shd w:val="clear" w:color="auto" w:fill="FFFFFF"/>
        </w:rPr>
        <w:t xml:space="preserve"> fall within this range.</w:t>
      </w:r>
    </w:p>
    <w:p w14:paraId="6476AAB4" w14:textId="4D647A55" w:rsidR="00432D7C" w:rsidRPr="00240E9B" w:rsidRDefault="00432D7C" w:rsidP="00487B82">
      <w:pPr>
        <w:widowControl w:val="0"/>
        <w:rPr>
          <w:rFonts w:cs="Times New Roman"/>
          <w:b/>
          <w:i/>
          <w:szCs w:val="24"/>
          <w:u w:val="single"/>
        </w:rPr>
      </w:pPr>
      <w:r w:rsidRPr="00240E9B">
        <w:rPr>
          <w:rFonts w:cs="Times New Roman"/>
          <w:b/>
          <w:i/>
          <w:szCs w:val="24"/>
          <w:u w:val="single"/>
        </w:rPr>
        <w:t>Section 6: Risk factor – financial strength</w:t>
      </w:r>
    </w:p>
    <w:p w14:paraId="3CCB09C4" w14:textId="4D427F8B" w:rsidR="00432D7C" w:rsidRDefault="0072580A" w:rsidP="00664700">
      <w:pPr>
        <w:widowControl w:val="0"/>
        <w:spacing w:line="240" w:lineRule="auto"/>
        <w:rPr>
          <w:rFonts w:cs="Times New Roman"/>
          <w:szCs w:val="24"/>
        </w:rPr>
      </w:pPr>
      <w:r>
        <w:rPr>
          <w:rFonts w:cs="Times New Roman"/>
          <w:szCs w:val="24"/>
        </w:rPr>
        <w:t xml:space="preserve">Subsection 6(1) of the Instrument specifies the risk factor value for the financial strength risk factor for a leviable provider, for the purposes of step 4 of the method statement in subsection 11(2) of the Act. </w:t>
      </w:r>
    </w:p>
    <w:p w14:paraId="0B23E784" w14:textId="578FC9FB" w:rsidR="0072580A" w:rsidRDefault="0072580A" w:rsidP="00664700">
      <w:pPr>
        <w:widowControl w:val="0"/>
        <w:spacing w:line="240" w:lineRule="auto"/>
        <w:rPr>
          <w:rFonts w:cs="Times New Roman"/>
          <w:szCs w:val="24"/>
        </w:rPr>
      </w:pPr>
      <w:r>
        <w:rPr>
          <w:rFonts w:cs="Times New Roman"/>
          <w:szCs w:val="24"/>
        </w:rPr>
        <w:t xml:space="preserve">The risk factor value is: </w:t>
      </w:r>
    </w:p>
    <w:p w14:paraId="5F07915A" w14:textId="06286A67" w:rsidR="00F762E3" w:rsidRPr="00620161" w:rsidRDefault="00F762E3" w:rsidP="00F762E3">
      <w:pPr>
        <w:pStyle w:val="paragraph"/>
        <w:rPr>
          <w:sz w:val="24"/>
          <w:szCs w:val="24"/>
        </w:rPr>
      </w:pPr>
      <w:r w:rsidRPr="00DD3796">
        <w:tab/>
      </w:r>
      <w:r w:rsidRPr="00620161">
        <w:rPr>
          <w:sz w:val="24"/>
          <w:szCs w:val="24"/>
        </w:rPr>
        <w:t>(a)</w:t>
      </w:r>
      <w:r w:rsidRPr="00620161">
        <w:rPr>
          <w:sz w:val="24"/>
          <w:szCs w:val="24"/>
        </w:rPr>
        <w:tab/>
      </w:r>
      <w:r w:rsidR="00620161" w:rsidRPr="00620161">
        <w:rPr>
          <w:sz w:val="24"/>
          <w:szCs w:val="24"/>
        </w:rPr>
        <w:t xml:space="preserve">2.5, </w:t>
      </w:r>
      <w:r w:rsidRPr="00620161">
        <w:rPr>
          <w:sz w:val="24"/>
          <w:szCs w:val="24"/>
        </w:rPr>
        <w:t>if the provider did not submit its financial statement (except in the circumstances outlined in paragraph (b)</w:t>
      </w:r>
      <w:r w:rsidR="00620161" w:rsidRPr="00620161">
        <w:rPr>
          <w:sz w:val="24"/>
          <w:szCs w:val="24"/>
        </w:rPr>
        <w:t>);</w:t>
      </w:r>
    </w:p>
    <w:p w14:paraId="768C54D1" w14:textId="57869708" w:rsidR="00620161" w:rsidRPr="00620161" w:rsidRDefault="00F762E3" w:rsidP="00620161">
      <w:pPr>
        <w:pStyle w:val="paragraph"/>
        <w:ind w:hanging="368"/>
        <w:rPr>
          <w:sz w:val="24"/>
          <w:szCs w:val="24"/>
        </w:rPr>
      </w:pPr>
      <w:r w:rsidRPr="00620161">
        <w:rPr>
          <w:sz w:val="24"/>
          <w:szCs w:val="24"/>
        </w:rPr>
        <w:tab/>
        <w:t xml:space="preserve">(b)  </w:t>
      </w:r>
      <w:r w:rsidR="00620161" w:rsidRPr="00620161">
        <w:rPr>
          <w:sz w:val="24"/>
          <w:szCs w:val="24"/>
        </w:rPr>
        <w:t xml:space="preserve">0.0, </w:t>
      </w:r>
      <w:r w:rsidRPr="00620161">
        <w:rPr>
          <w:sz w:val="24"/>
          <w:szCs w:val="24"/>
        </w:rPr>
        <w:t>if the provider was not required to submit a financial statement</w:t>
      </w:r>
      <w:r w:rsidR="00620161" w:rsidRPr="00620161">
        <w:rPr>
          <w:sz w:val="24"/>
          <w:szCs w:val="24"/>
        </w:rPr>
        <w:t>;</w:t>
      </w:r>
    </w:p>
    <w:p w14:paraId="05B0AC83" w14:textId="08624D68" w:rsidR="0072580A" w:rsidRPr="00620161" w:rsidRDefault="00620161" w:rsidP="00620161">
      <w:pPr>
        <w:pStyle w:val="paragraph"/>
        <w:ind w:hanging="368"/>
        <w:rPr>
          <w:sz w:val="24"/>
          <w:szCs w:val="24"/>
        </w:rPr>
      </w:pPr>
      <w:r w:rsidRPr="00620161">
        <w:rPr>
          <w:sz w:val="24"/>
          <w:szCs w:val="24"/>
        </w:rPr>
        <w:t xml:space="preserve">(c)  </w:t>
      </w:r>
      <w:r w:rsidR="0072580A" w:rsidRPr="00620161">
        <w:rPr>
          <w:sz w:val="24"/>
          <w:szCs w:val="24"/>
        </w:rPr>
        <w:t>as set out in the table in paragraph 6(1)(</w:t>
      </w:r>
      <w:r w:rsidRPr="00620161">
        <w:rPr>
          <w:sz w:val="24"/>
          <w:szCs w:val="24"/>
        </w:rPr>
        <w:t>c</w:t>
      </w:r>
      <w:r w:rsidR="0072580A" w:rsidRPr="00620161">
        <w:rPr>
          <w:sz w:val="24"/>
          <w:szCs w:val="24"/>
        </w:rPr>
        <w:t>), if the provider submitted</w:t>
      </w:r>
      <w:r w:rsidR="00B37023" w:rsidRPr="00620161">
        <w:rPr>
          <w:sz w:val="24"/>
          <w:szCs w:val="24"/>
        </w:rPr>
        <w:t xml:space="preserve"> its</w:t>
      </w:r>
      <w:r w:rsidR="0072580A" w:rsidRPr="00620161">
        <w:rPr>
          <w:sz w:val="24"/>
          <w:szCs w:val="24"/>
        </w:rPr>
        <w:t xml:space="preserve"> financial statement.</w:t>
      </w:r>
      <w:r w:rsidR="001F3C74" w:rsidRPr="00620161">
        <w:rPr>
          <w:sz w:val="24"/>
          <w:szCs w:val="24"/>
        </w:rPr>
        <w:t xml:space="preserve"> </w:t>
      </w:r>
      <w:r w:rsidR="0072580A" w:rsidRPr="00620161">
        <w:rPr>
          <w:sz w:val="24"/>
          <w:szCs w:val="24"/>
        </w:rPr>
        <w:t>Under the table, the risk factor value will depend on the financial</w:t>
      </w:r>
      <w:r w:rsidR="001F3C74" w:rsidRPr="00620161">
        <w:rPr>
          <w:sz w:val="24"/>
          <w:szCs w:val="24"/>
        </w:rPr>
        <w:t xml:space="preserve"> strength score of the provider. </w:t>
      </w:r>
    </w:p>
    <w:p w14:paraId="19212A06" w14:textId="77777777" w:rsidR="00620161" w:rsidRPr="00620161" w:rsidRDefault="00620161" w:rsidP="00620161">
      <w:pPr>
        <w:pStyle w:val="paragraph"/>
        <w:ind w:hanging="368"/>
      </w:pPr>
    </w:p>
    <w:p w14:paraId="3BFC5A54" w14:textId="21E88D5B" w:rsidR="00DB27C3" w:rsidRPr="00F658B7" w:rsidRDefault="008613E0" w:rsidP="00DB27C3">
      <w:pPr>
        <w:widowControl w:val="0"/>
        <w:spacing w:line="240" w:lineRule="auto"/>
        <w:rPr>
          <w:rFonts w:cs="Times New Roman"/>
          <w:szCs w:val="24"/>
        </w:rPr>
      </w:pPr>
      <w:r>
        <w:rPr>
          <w:rFonts w:cs="Times New Roman"/>
          <w:szCs w:val="24"/>
        </w:rPr>
        <w:t xml:space="preserve">Paragraph 6(1)(b) is intended to capture providers that are registered in 2021 but, given the timing of the registration, were not required to submit a financial statement for the </w:t>
      </w:r>
      <w:r>
        <w:t xml:space="preserve">annual financial reporting period ending in </w:t>
      </w:r>
      <w:r w:rsidRPr="00F33831">
        <w:t>20</w:t>
      </w:r>
      <w:r>
        <w:t xml:space="preserve">21. </w:t>
      </w:r>
      <w:r w:rsidR="00DB27C3">
        <w:t>A risk factor of 0.0 is appropriate for such a provider because in the absence of paragraph (b):</w:t>
      </w:r>
    </w:p>
    <w:p w14:paraId="5D52575D" w14:textId="0731F09E" w:rsidR="00DB27C3" w:rsidRDefault="00DB27C3" w:rsidP="00DB27C3">
      <w:pPr>
        <w:pStyle w:val="ListParagraph"/>
        <w:numPr>
          <w:ilvl w:val="0"/>
          <w:numId w:val="21"/>
        </w:numPr>
        <w:rPr>
          <w:rFonts w:cs="Times New Roman"/>
          <w:szCs w:val="24"/>
          <w:lang w:eastAsia="en-AU"/>
        </w:rPr>
      </w:pPr>
      <w:r w:rsidRPr="00DB27C3">
        <w:rPr>
          <w:rFonts w:cs="Times New Roman"/>
          <w:szCs w:val="24"/>
          <w:lang w:eastAsia="en-AU"/>
        </w:rPr>
        <w:t xml:space="preserve">a provider may attract a risk </w:t>
      </w:r>
      <w:r w:rsidR="005B6B86">
        <w:rPr>
          <w:rFonts w:cs="Times New Roman"/>
          <w:szCs w:val="24"/>
          <w:lang w:eastAsia="en-AU"/>
        </w:rPr>
        <w:t xml:space="preserve">factor </w:t>
      </w:r>
      <w:r w:rsidRPr="00DB27C3">
        <w:rPr>
          <w:rFonts w:cs="Times New Roman"/>
          <w:szCs w:val="24"/>
          <w:lang w:eastAsia="en-AU"/>
        </w:rPr>
        <w:t xml:space="preserve">value of 2.5, which </w:t>
      </w:r>
      <w:r w:rsidR="005B6B86">
        <w:rPr>
          <w:rFonts w:cs="Times New Roman"/>
          <w:szCs w:val="24"/>
          <w:lang w:eastAsia="en-AU"/>
        </w:rPr>
        <w:t>could be considered to be undue given the provider was not required to submit</w:t>
      </w:r>
      <w:r w:rsidRPr="00DB27C3">
        <w:rPr>
          <w:rFonts w:cs="Times New Roman"/>
          <w:szCs w:val="24"/>
          <w:lang w:eastAsia="en-AU"/>
        </w:rPr>
        <w:t xml:space="preserve"> financial statements</w:t>
      </w:r>
      <w:r w:rsidRPr="00936851">
        <w:rPr>
          <w:rFonts w:cs="Times New Roman"/>
          <w:szCs w:val="24"/>
          <w:lang w:eastAsia="en-AU"/>
        </w:rPr>
        <w:t>;</w:t>
      </w:r>
      <w:r w:rsidR="005B6B86">
        <w:rPr>
          <w:rFonts w:cs="Times New Roman"/>
          <w:szCs w:val="24"/>
          <w:lang w:eastAsia="en-AU"/>
        </w:rPr>
        <w:t xml:space="preserve"> and</w:t>
      </w:r>
    </w:p>
    <w:p w14:paraId="0FEF6AA8" w14:textId="77777777" w:rsidR="000D2A8D" w:rsidRPr="007B4BEF" w:rsidRDefault="000D2A8D" w:rsidP="000D2A8D">
      <w:pPr>
        <w:pStyle w:val="ListParagraph"/>
        <w:widowControl w:val="0"/>
        <w:numPr>
          <w:ilvl w:val="0"/>
          <w:numId w:val="21"/>
        </w:numPr>
        <w:spacing w:line="240" w:lineRule="auto"/>
        <w:rPr>
          <w:rFonts w:cs="Times New Roman"/>
          <w:szCs w:val="24"/>
          <w:lang w:eastAsia="en-AU"/>
        </w:rPr>
      </w:pPr>
      <w:r>
        <w:t>if a calculation, as set out in 6(1)(c) could be undertaken in respect of the provider, given the provider’s recent approval, the calculation would likely result in a risk factor rating of 0.0.</w:t>
      </w:r>
    </w:p>
    <w:p w14:paraId="5D30C816" w14:textId="764301DE" w:rsidR="001F3C74" w:rsidRPr="00AA2821" w:rsidRDefault="001F3C74" w:rsidP="00664700">
      <w:pPr>
        <w:widowControl w:val="0"/>
        <w:spacing w:line="240" w:lineRule="auto"/>
        <w:rPr>
          <w:rFonts w:cs="Times New Roman"/>
          <w:szCs w:val="24"/>
        </w:rPr>
      </w:pPr>
      <w:r w:rsidRPr="00AA2821">
        <w:rPr>
          <w:rFonts w:cs="Times New Roman"/>
          <w:szCs w:val="24"/>
        </w:rPr>
        <w:t xml:space="preserve">Subsections 6(2) and (3) explain how a provider’s financial strength </w:t>
      </w:r>
      <w:r w:rsidR="00240E9B" w:rsidRPr="00AA2821">
        <w:rPr>
          <w:rFonts w:cs="Times New Roman"/>
          <w:szCs w:val="24"/>
        </w:rPr>
        <w:t>s</w:t>
      </w:r>
      <w:r w:rsidRPr="00AA2821">
        <w:rPr>
          <w:rFonts w:cs="Times New Roman"/>
          <w:szCs w:val="24"/>
        </w:rPr>
        <w:t xml:space="preserve">core is to be determined. </w:t>
      </w:r>
      <w:r w:rsidR="00802D06" w:rsidRPr="00AA2821">
        <w:rPr>
          <w:rFonts w:cs="Times New Roman"/>
          <w:szCs w:val="24"/>
        </w:rPr>
        <w:t>A</w:t>
      </w:r>
      <w:r w:rsidRPr="00AA2821">
        <w:rPr>
          <w:rFonts w:cs="Times New Roman"/>
          <w:szCs w:val="24"/>
        </w:rPr>
        <w:t xml:space="preserve"> provider’s financial strength score is the sum of the scores for the net profit ratio, the return on assets and the debt to equity. The table in subsections 6(3) sets out formulas for calculating the score for each ratio, with the relevant information for those formula being taken or derived from the provider’s financial statement. </w:t>
      </w:r>
    </w:p>
    <w:p w14:paraId="14AC0FB8" w14:textId="48532230" w:rsidR="000C40A6" w:rsidRPr="00AA2821" w:rsidRDefault="000C40A6" w:rsidP="00664700">
      <w:pPr>
        <w:widowControl w:val="0"/>
        <w:spacing w:line="240" w:lineRule="auto"/>
        <w:rPr>
          <w:rFonts w:cs="Times New Roman"/>
          <w:szCs w:val="24"/>
        </w:rPr>
      </w:pPr>
      <w:r w:rsidRPr="00AA2821">
        <w:rPr>
          <w:rFonts w:cs="Times New Roman"/>
          <w:szCs w:val="24"/>
        </w:rPr>
        <w:t xml:space="preserve">In order to </w:t>
      </w:r>
      <w:r w:rsidR="00784C9E">
        <w:rPr>
          <w:rFonts w:cs="Times New Roman"/>
          <w:szCs w:val="24"/>
        </w:rPr>
        <w:t>determine</w:t>
      </w:r>
      <w:r w:rsidRPr="00AA2821">
        <w:rPr>
          <w:rFonts w:cs="Times New Roman"/>
          <w:szCs w:val="24"/>
        </w:rPr>
        <w:t xml:space="preserve"> the sc</w:t>
      </w:r>
      <w:r w:rsidR="00732DEF" w:rsidRPr="00AA2821">
        <w:rPr>
          <w:rFonts w:cs="Times New Roman"/>
          <w:szCs w:val="24"/>
        </w:rPr>
        <w:t>ore for the ‘</w:t>
      </w:r>
      <w:r w:rsidR="00633FAE">
        <w:rPr>
          <w:rFonts w:cs="Times New Roman"/>
          <w:szCs w:val="24"/>
        </w:rPr>
        <w:t>n</w:t>
      </w:r>
      <w:r w:rsidRPr="00AA2821">
        <w:rPr>
          <w:rFonts w:cs="Times New Roman"/>
          <w:szCs w:val="24"/>
        </w:rPr>
        <w:t>et profit ratio’:</w:t>
      </w:r>
    </w:p>
    <w:p w14:paraId="702C76EB" w14:textId="5091C65F" w:rsidR="000C40A6" w:rsidRPr="00AA2821" w:rsidRDefault="000C40A6" w:rsidP="00664700">
      <w:pPr>
        <w:pStyle w:val="ListParagraph"/>
        <w:widowControl w:val="0"/>
        <w:spacing w:line="240" w:lineRule="auto"/>
        <w:rPr>
          <w:rFonts w:cs="Times New Roman"/>
          <w:szCs w:val="24"/>
        </w:rPr>
      </w:pPr>
      <w:r w:rsidRPr="00AA2821">
        <w:rPr>
          <w:rFonts w:cs="Times New Roman"/>
          <w:szCs w:val="24"/>
        </w:rPr>
        <w:t xml:space="preserve">Based on the leviable provider’s financial statement, the provider’s ‘net profit before tax’ </w:t>
      </w:r>
      <w:r w:rsidR="00732DEF" w:rsidRPr="00AA2821">
        <w:rPr>
          <w:rFonts w:cs="Times New Roman"/>
          <w:szCs w:val="24"/>
        </w:rPr>
        <w:t>(</w:t>
      </w:r>
      <w:proofErr w:type="spellStart"/>
      <w:r w:rsidR="00732DEF" w:rsidRPr="00AA2821">
        <w:rPr>
          <w:rFonts w:cs="Times New Roman"/>
          <w:szCs w:val="24"/>
        </w:rPr>
        <w:t>NPBT</w:t>
      </w:r>
      <w:proofErr w:type="spellEnd"/>
      <w:r w:rsidR="00732DEF" w:rsidRPr="00AA2821">
        <w:rPr>
          <w:rFonts w:cs="Times New Roman"/>
          <w:szCs w:val="24"/>
        </w:rPr>
        <w:t xml:space="preserve">) </w:t>
      </w:r>
      <w:r w:rsidRPr="00AA2821">
        <w:rPr>
          <w:rFonts w:cs="Times New Roman"/>
          <w:szCs w:val="24"/>
        </w:rPr>
        <w:t>is di</w:t>
      </w:r>
      <w:r w:rsidR="00732DEF" w:rsidRPr="00AA2821">
        <w:rPr>
          <w:rFonts w:cs="Times New Roman"/>
          <w:szCs w:val="24"/>
        </w:rPr>
        <w:t xml:space="preserve">vided by the </w:t>
      </w:r>
      <w:r w:rsidR="00FB33C8" w:rsidRPr="00AA2821">
        <w:rPr>
          <w:rFonts w:cs="Times New Roman"/>
          <w:szCs w:val="24"/>
        </w:rPr>
        <w:t xml:space="preserve">provider’s </w:t>
      </w:r>
      <w:r w:rsidR="00732DEF" w:rsidRPr="00AA2821">
        <w:rPr>
          <w:rFonts w:cs="Times New Roman"/>
          <w:szCs w:val="24"/>
        </w:rPr>
        <w:t>‘total revenue’</w:t>
      </w:r>
      <w:r w:rsidRPr="00AA2821">
        <w:rPr>
          <w:rFonts w:cs="Times New Roman"/>
          <w:szCs w:val="24"/>
        </w:rPr>
        <w:t xml:space="preserve">. If the result is less than or equal to </w:t>
      </w:r>
      <w:r w:rsidR="0042360B">
        <w:rPr>
          <w:rFonts w:cs="Times New Roman"/>
          <w:szCs w:val="24"/>
        </w:rPr>
        <w:t>0.1</w:t>
      </w:r>
      <w:r w:rsidRPr="00AA2821">
        <w:rPr>
          <w:rFonts w:cs="Times New Roman"/>
          <w:szCs w:val="24"/>
        </w:rPr>
        <w:t xml:space="preserve">, then the provider’s score is one. </w:t>
      </w:r>
      <w:r w:rsidR="00732DEF" w:rsidRPr="00AA2821">
        <w:rPr>
          <w:rFonts w:cs="Times New Roman"/>
          <w:szCs w:val="24"/>
        </w:rPr>
        <w:t xml:space="preserve">If the result is greater than </w:t>
      </w:r>
      <w:r w:rsidR="00E93180">
        <w:rPr>
          <w:rFonts w:cs="Times New Roman"/>
          <w:szCs w:val="24"/>
        </w:rPr>
        <w:t>0.1</w:t>
      </w:r>
      <w:r w:rsidR="00732DEF" w:rsidRPr="00AA2821">
        <w:rPr>
          <w:rFonts w:cs="Times New Roman"/>
          <w:szCs w:val="24"/>
        </w:rPr>
        <w:t xml:space="preserve"> but less than or equal to 0.</w:t>
      </w:r>
      <w:r w:rsidR="002F305C">
        <w:rPr>
          <w:rFonts w:cs="Times New Roman"/>
          <w:szCs w:val="24"/>
        </w:rPr>
        <w:t>2</w:t>
      </w:r>
      <w:r w:rsidR="00732DEF" w:rsidRPr="00AA2821">
        <w:rPr>
          <w:rFonts w:cs="Times New Roman"/>
          <w:szCs w:val="24"/>
        </w:rPr>
        <w:t>, then the provider’s score is two. If the result is greater than 0.</w:t>
      </w:r>
      <w:r w:rsidR="00FB77AC">
        <w:rPr>
          <w:rFonts w:cs="Times New Roman"/>
          <w:szCs w:val="24"/>
        </w:rPr>
        <w:t>2</w:t>
      </w:r>
      <w:r w:rsidR="00732DEF" w:rsidRPr="00AA2821">
        <w:rPr>
          <w:rFonts w:cs="Times New Roman"/>
          <w:szCs w:val="24"/>
        </w:rPr>
        <w:t xml:space="preserve">, then the provider’s score is three. </w:t>
      </w:r>
    </w:p>
    <w:p w14:paraId="4BA15937" w14:textId="0A49F584" w:rsidR="00732DEF" w:rsidRPr="00AA2821" w:rsidRDefault="00732DEF" w:rsidP="00664700">
      <w:pPr>
        <w:pStyle w:val="ListParagraph"/>
        <w:widowControl w:val="0"/>
        <w:spacing w:line="240" w:lineRule="auto"/>
        <w:rPr>
          <w:rFonts w:cs="Times New Roman"/>
          <w:szCs w:val="24"/>
        </w:rPr>
      </w:pPr>
    </w:p>
    <w:p w14:paraId="525C7263" w14:textId="0BF3D7A4"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 xml:space="preserve">In order to </w:t>
      </w:r>
      <w:r w:rsidR="00633FAE">
        <w:rPr>
          <w:rFonts w:cs="Times New Roman"/>
          <w:szCs w:val="24"/>
        </w:rPr>
        <w:t>determine</w:t>
      </w:r>
      <w:r w:rsidRPr="00AA2821">
        <w:rPr>
          <w:rFonts w:cs="Times New Roman"/>
          <w:szCs w:val="24"/>
        </w:rPr>
        <w:t xml:space="preserve"> the score for the ‘return on assets’ ratio: </w:t>
      </w:r>
    </w:p>
    <w:p w14:paraId="0296823B" w14:textId="4A2B06D2" w:rsidR="00732DEF" w:rsidRPr="00AA2821" w:rsidRDefault="00732DEF" w:rsidP="00664700">
      <w:pPr>
        <w:pStyle w:val="ListParagraph"/>
        <w:widowControl w:val="0"/>
        <w:spacing w:line="240" w:lineRule="auto"/>
        <w:ind w:left="0"/>
        <w:rPr>
          <w:rFonts w:cs="Times New Roman"/>
          <w:szCs w:val="24"/>
        </w:rPr>
      </w:pPr>
    </w:p>
    <w:p w14:paraId="6FB1836C" w14:textId="0B0FAE1E"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ab/>
        <w:t xml:space="preserve">Based on the leviable provider’s financial statement, the provider’s </w:t>
      </w:r>
      <w:proofErr w:type="spellStart"/>
      <w:r w:rsidRPr="00AA2821">
        <w:rPr>
          <w:rFonts w:cs="Times New Roman"/>
          <w:szCs w:val="24"/>
        </w:rPr>
        <w:t>NPBT</w:t>
      </w:r>
      <w:proofErr w:type="spellEnd"/>
      <w:r w:rsidRPr="00AA2821">
        <w:rPr>
          <w:rFonts w:cs="Times New Roman"/>
          <w:szCs w:val="24"/>
        </w:rPr>
        <w:t xml:space="preserve"> is divided </w:t>
      </w:r>
      <w:r w:rsidRPr="00AA2821">
        <w:rPr>
          <w:rFonts w:cs="Times New Roman"/>
          <w:szCs w:val="24"/>
        </w:rPr>
        <w:tab/>
        <w:t>by the</w:t>
      </w:r>
      <w:r w:rsidR="00FB33C8" w:rsidRPr="00AA2821">
        <w:rPr>
          <w:rFonts w:cs="Times New Roman"/>
          <w:szCs w:val="24"/>
        </w:rPr>
        <w:t xml:space="preserve"> provider’s</w:t>
      </w:r>
      <w:r w:rsidRPr="00AA2821">
        <w:rPr>
          <w:rFonts w:cs="Times New Roman"/>
          <w:szCs w:val="24"/>
        </w:rPr>
        <w:t xml:space="preserve"> ‘total assets’. If the result is less than or equal to zero, then the </w:t>
      </w:r>
      <w:r w:rsidR="00FB33C8" w:rsidRPr="00AA2821">
        <w:rPr>
          <w:rFonts w:cs="Times New Roman"/>
          <w:szCs w:val="24"/>
        </w:rPr>
        <w:tab/>
      </w:r>
      <w:r w:rsidRPr="00AA2821">
        <w:rPr>
          <w:rFonts w:cs="Times New Roman"/>
          <w:szCs w:val="24"/>
        </w:rPr>
        <w:t xml:space="preserve">provider’s score is one. If the result is greater than zero but less than or equal to 0.1, </w:t>
      </w:r>
      <w:r w:rsidR="00FB33C8" w:rsidRPr="00AA2821">
        <w:rPr>
          <w:rFonts w:cs="Times New Roman"/>
          <w:szCs w:val="24"/>
        </w:rPr>
        <w:tab/>
      </w:r>
      <w:r w:rsidRPr="00AA2821">
        <w:rPr>
          <w:rFonts w:cs="Times New Roman"/>
          <w:szCs w:val="24"/>
        </w:rPr>
        <w:t xml:space="preserve">then the provider’s score is two. If the result is greater than 0.1, then the provider’s </w:t>
      </w:r>
      <w:r w:rsidR="00FB33C8" w:rsidRPr="00AA2821">
        <w:rPr>
          <w:rFonts w:cs="Times New Roman"/>
          <w:szCs w:val="24"/>
        </w:rPr>
        <w:tab/>
      </w:r>
      <w:r w:rsidRPr="00AA2821">
        <w:rPr>
          <w:rFonts w:cs="Times New Roman"/>
          <w:szCs w:val="24"/>
        </w:rPr>
        <w:t xml:space="preserve">score is three. </w:t>
      </w:r>
    </w:p>
    <w:p w14:paraId="03C824E5" w14:textId="1425FFCF" w:rsidR="00732DEF" w:rsidRPr="00AA2821" w:rsidRDefault="00732DEF" w:rsidP="00664700">
      <w:pPr>
        <w:pStyle w:val="ListParagraph"/>
        <w:widowControl w:val="0"/>
        <w:spacing w:line="240" w:lineRule="auto"/>
        <w:ind w:left="0"/>
        <w:rPr>
          <w:rFonts w:cs="Times New Roman"/>
          <w:szCs w:val="24"/>
        </w:rPr>
      </w:pPr>
    </w:p>
    <w:p w14:paraId="10D351A3" w14:textId="7276276F"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 xml:space="preserve">In order to </w:t>
      </w:r>
      <w:r w:rsidR="00633FAE">
        <w:rPr>
          <w:rFonts w:cs="Times New Roman"/>
          <w:szCs w:val="24"/>
        </w:rPr>
        <w:t>determine</w:t>
      </w:r>
      <w:r w:rsidRPr="00AA2821">
        <w:rPr>
          <w:rFonts w:cs="Times New Roman"/>
          <w:szCs w:val="24"/>
        </w:rPr>
        <w:t xml:space="preserve"> the score for the ‘debt to equity’ ratio: </w:t>
      </w:r>
    </w:p>
    <w:p w14:paraId="57EDD8A4" w14:textId="2A4CD6D8" w:rsidR="00732DEF" w:rsidRPr="00AA2821" w:rsidRDefault="00732DEF" w:rsidP="00664700">
      <w:pPr>
        <w:pStyle w:val="ListParagraph"/>
        <w:widowControl w:val="0"/>
        <w:spacing w:line="240" w:lineRule="auto"/>
        <w:ind w:left="0"/>
        <w:rPr>
          <w:rFonts w:cs="Times New Roman"/>
          <w:szCs w:val="24"/>
        </w:rPr>
      </w:pPr>
    </w:p>
    <w:p w14:paraId="60DAEED0" w14:textId="2DD323D7" w:rsidR="00732DEF" w:rsidRPr="00AA2821" w:rsidRDefault="00732DEF" w:rsidP="00EB59D2">
      <w:pPr>
        <w:pStyle w:val="ListParagraph"/>
        <w:widowControl w:val="0"/>
        <w:spacing w:line="240" w:lineRule="auto"/>
        <w:rPr>
          <w:rFonts w:cs="Times New Roman"/>
          <w:szCs w:val="24"/>
        </w:rPr>
      </w:pPr>
      <w:r w:rsidRPr="00AA2821">
        <w:rPr>
          <w:rFonts w:cs="Times New Roman"/>
          <w:szCs w:val="24"/>
        </w:rPr>
        <w:t>Based on the leviable provider’s financial statement, the provider’s ‘total liabilities’ is divided by the provider’s ‘total equity’. If the result is greater than or equal to 2.5, then the provider’s score is</w:t>
      </w:r>
      <w:r w:rsidR="00FB33C8" w:rsidRPr="00AA2821">
        <w:rPr>
          <w:rFonts w:cs="Times New Roman"/>
          <w:szCs w:val="24"/>
        </w:rPr>
        <w:t xml:space="preserve"> </w:t>
      </w:r>
      <w:r w:rsidR="00D33183">
        <w:rPr>
          <w:rFonts w:cs="Times New Roman"/>
          <w:szCs w:val="24"/>
        </w:rPr>
        <w:t>one</w:t>
      </w:r>
      <w:r w:rsidR="00FB33C8" w:rsidRPr="00AA2821">
        <w:rPr>
          <w:rFonts w:cs="Times New Roman"/>
          <w:szCs w:val="24"/>
        </w:rPr>
        <w:t xml:space="preserve">. Alternatively, </w:t>
      </w:r>
      <w:r w:rsidRPr="00AA2821">
        <w:rPr>
          <w:rFonts w:cs="Times New Roman"/>
          <w:szCs w:val="24"/>
        </w:rPr>
        <w:t>if the provider’s total equity is less than or equal to zero (</w:t>
      </w:r>
      <w:r w:rsidR="001B634D">
        <w:rPr>
          <w:rFonts w:cs="Times New Roman"/>
          <w:szCs w:val="24"/>
        </w:rPr>
        <w:t>that is,</w:t>
      </w:r>
      <w:r w:rsidRPr="00AA2821">
        <w:rPr>
          <w:rFonts w:cs="Times New Roman"/>
          <w:szCs w:val="24"/>
        </w:rPr>
        <w:t xml:space="preserve"> the provider has a negative value of equity or zero equity), the</w:t>
      </w:r>
      <w:r w:rsidR="00D33183">
        <w:rPr>
          <w:rFonts w:cs="Times New Roman"/>
          <w:szCs w:val="24"/>
        </w:rPr>
        <w:t xml:space="preserve">n </w:t>
      </w:r>
      <w:r w:rsidR="00FB33C8" w:rsidRPr="00AA2821">
        <w:rPr>
          <w:rFonts w:cs="Times New Roman"/>
          <w:szCs w:val="24"/>
        </w:rPr>
        <w:t xml:space="preserve">the </w:t>
      </w:r>
      <w:r w:rsidRPr="00AA2821">
        <w:rPr>
          <w:rFonts w:cs="Times New Roman"/>
          <w:szCs w:val="24"/>
        </w:rPr>
        <w:t xml:space="preserve">provider’s score is also one. If the result is less than 2.5 but greater than or equal to 1.5, then the provider’s score is two. If the result is less than 1.5 but greater </w:t>
      </w:r>
      <w:r w:rsidR="00D33183">
        <w:rPr>
          <w:rFonts w:cs="Times New Roman"/>
          <w:szCs w:val="24"/>
        </w:rPr>
        <w:t xml:space="preserve">than or </w:t>
      </w:r>
      <w:r w:rsidRPr="00AA2821">
        <w:rPr>
          <w:rFonts w:cs="Times New Roman"/>
          <w:szCs w:val="24"/>
        </w:rPr>
        <w:t xml:space="preserve">equal to zero, then the provider’s score is three. </w:t>
      </w:r>
    </w:p>
    <w:p w14:paraId="4BA8137B" w14:textId="4A287C66" w:rsidR="001163C5" w:rsidRPr="00AA2821" w:rsidRDefault="001163C5" w:rsidP="00487B82">
      <w:pPr>
        <w:widowControl w:val="0"/>
        <w:rPr>
          <w:rFonts w:cs="Times New Roman"/>
          <w:b/>
          <w:i/>
          <w:szCs w:val="24"/>
          <w:u w:val="single"/>
        </w:rPr>
      </w:pPr>
      <w:r w:rsidRPr="00AA2821">
        <w:rPr>
          <w:rFonts w:cs="Times New Roman"/>
          <w:b/>
          <w:i/>
          <w:szCs w:val="24"/>
          <w:u w:val="single"/>
        </w:rPr>
        <w:t>Section 7: Risk factor – completion rate</w:t>
      </w:r>
    </w:p>
    <w:p w14:paraId="42EED0D6" w14:textId="3BFB8C65" w:rsidR="006C784A" w:rsidRPr="00AA2821" w:rsidRDefault="006C784A" w:rsidP="00664700">
      <w:pPr>
        <w:widowControl w:val="0"/>
        <w:spacing w:line="240" w:lineRule="auto"/>
        <w:rPr>
          <w:rFonts w:cs="Times New Roman"/>
          <w:szCs w:val="24"/>
        </w:rPr>
      </w:pPr>
      <w:r w:rsidRPr="00AA2821">
        <w:rPr>
          <w:rFonts w:cs="Times New Roman"/>
          <w:szCs w:val="24"/>
        </w:rPr>
        <w:t>Subsection 7(1) of the Instrument specifies the risk factor value for the completion rate risk factor for a leviable provider, for the purposes of step 4 of the method statement in subsection 11(2) of the Act.</w:t>
      </w:r>
    </w:p>
    <w:p w14:paraId="384DA418" w14:textId="062FA1A0" w:rsidR="001F3C74" w:rsidRPr="00AA2821" w:rsidRDefault="006C784A" w:rsidP="00664700">
      <w:pPr>
        <w:widowControl w:val="0"/>
        <w:spacing w:line="240" w:lineRule="auto"/>
        <w:rPr>
          <w:rFonts w:cs="Times New Roman"/>
          <w:szCs w:val="24"/>
        </w:rPr>
      </w:pPr>
      <w:r w:rsidRPr="00AA2821">
        <w:rPr>
          <w:rFonts w:cs="Times New Roman"/>
          <w:szCs w:val="24"/>
        </w:rPr>
        <w:t>The risk factor value is determined by reference to information reported by leviable providers in their</w:t>
      </w:r>
      <w:r w:rsidR="00C81B32">
        <w:rPr>
          <w:rFonts w:cs="Times New Roman"/>
          <w:szCs w:val="24"/>
        </w:rPr>
        <w:t xml:space="preserve"> </w:t>
      </w:r>
      <w:proofErr w:type="spellStart"/>
      <w:r w:rsidR="00C81B32">
        <w:rPr>
          <w:rFonts w:cs="Times New Roman"/>
          <w:szCs w:val="24"/>
        </w:rPr>
        <w:t>PIR</w:t>
      </w:r>
      <w:proofErr w:type="spellEnd"/>
      <w:r w:rsidR="00C81B32">
        <w:rPr>
          <w:rFonts w:cs="Times New Roman"/>
          <w:szCs w:val="24"/>
        </w:rPr>
        <w:t xml:space="preserve"> </w:t>
      </w:r>
      <w:r w:rsidR="009451DA">
        <w:rPr>
          <w:rFonts w:cs="Times New Roman"/>
          <w:szCs w:val="24"/>
        </w:rPr>
        <w:t>information</w:t>
      </w:r>
      <w:r w:rsidRPr="00AA2821">
        <w:rPr>
          <w:rFonts w:cs="Times New Roman"/>
          <w:szCs w:val="24"/>
        </w:rPr>
        <w:t xml:space="preserve"> and is: </w:t>
      </w:r>
    </w:p>
    <w:p w14:paraId="1CC84554" w14:textId="15D1AE78" w:rsidR="006C784A" w:rsidRPr="00AA2821" w:rsidRDefault="00FB33C8" w:rsidP="00664700">
      <w:pPr>
        <w:pStyle w:val="ListParagraph"/>
        <w:widowControl w:val="0"/>
        <w:numPr>
          <w:ilvl w:val="0"/>
          <w:numId w:val="9"/>
        </w:numPr>
        <w:spacing w:line="240" w:lineRule="auto"/>
        <w:rPr>
          <w:rFonts w:cs="Times New Roman"/>
          <w:szCs w:val="24"/>
        </w:rPr>
      </w:pPr>
      <w:r w:rsidRPr="00AA2821">
        <w:rPr>
          <w:rFonts w:cs="Times New Roman"/>
          <w:szCs w:val="24"/>
        </w:rPr>
        <w:t>zero</w:t>
      </w:r>
      <w:r w:rsidR="006C784A" w:rsidRPr="00AA2821">
        <w:rPr>
          <w:rFonts w:cs="Times New Roman"/>
          <w:szCs w:val="24"/>
        </w:rPr>
        <w:t xml:space="preserve">, if the provider </w:t>
      </w:r>
      <w:r w:rsidR="006C784A" w:rsidRPr="00AA2821">
        <w:t xml:space="preserve">did not report any units of study for the calendar year beginning on 1 January </w:t>
      </w:r>
      <w:r w:rsidR="00494DED">
        <w:t>202</w:t>
      </w:r>
      <w:r w:rsidR="008C491D">
        <w:t>1</w:t>
      </w:r>
      <w:r w:rsidR="00494DED">
        <w:t xml:space="preserve"> </w:t>
      </w:r>
      <w:r w:rsidR="006C784A" w:rsidRPr="00AA2821">
        <w:t xml:space="preserve">(previous calendar year) in its </w:t>
      </w:r>
      <w:proofErr w:type="spellStart"/>
      <w:r w:rsidR="009451DA">
        <w:t>PIR</w:t>
      </w:r>
      <w:proofErr w:type="spellEnd"/>
      <w:r w:rsidR="009451DA">
        <w:t xml:space="preserve"> information</w:t>
      </w:r>
      <w:r w:rsidRPr="00AA2821">
        <w:t xml:space="preserve">. For example, the provider did not deliver any units in </w:t>
      </w:r>
      <w:r w:rsidR="00494DED">
        <w:t>202</w:t>
      </w:r>
      <w:r w:rsidR="008C491D">
        <w:t>1</w:t>
      </w:r>
      <w:r w:rsidR="00494DED">
        <w:t xml:space="preserve"> </w:t>
      </w:r>
      <w:r w:rsidRPr="00AA2821">
        <w:t>and therefore there were no units to report</w:t>
      </w:r>
      <w:r w:rsidR="006C784A" w:rsidRPr="00AA2821">
        <w:rPr>
          <w:rFonts w:cs="Times New Roman"/>
          <w:szCs w:val="24"/>
        </w:rPr>
        <w:t xml:space="preserve">; </w:t>
      </w:r>
    </w:p>
    <w:p w14:paraId="3729843A" w14:textId="08FF9D70" w:rsidR="00CC3ABE" w:rsidRPr="00CC3ABE" w:rsidRDefault="00CC5655" w:rsidP="00AE3257">
      <w:pPr>
        <w:pStyle w:val="ListParagraph"/>
        <w:widowControl w:val="0"/>
        <w:numPr>
          <w:ilvl w:val="0"/>
          <w:numId w:val="9"/>
        </w:numPr>
        <w:spacing w:line="240" w:lineRule="auto"/>
        <w:rPr>
          <w:rFonts w:cs="Times New Roman"/>
          <w:szCs w:val="24"/>
        </w:rPr>
      </w:pPr>
      <w:r>
        <w:rPr>
          <w:rFonts w:cs="Times New Roman"/>
          <w:szCs w:val="24"/>
        </w:rPr>
        <w:t xml:space="preserve">the amount </w:t>
      </w:r>
      <w:r w:rsidR="006C784A" w:rsidRPr="00AA2821">
        <w:rPr>
          <w:rFonts w:cs="Times New Roman"/>
          <w:szCs w:val="24"/>
        </w:rPr>
        <w:t>set out in the table in paragraph 7(1)(b), otherwise. Under the table, the risk factor value will depend on the provider’</w:t>
      </w:r>
      <w:r w:rsidR="00B44679" w:rsidRPr="00AA2821">
        <w:rPr>
          <w:rFonts w:cs="Times New Roman"/>
          <w:szCs w:val="24"/>
        </w:rPr>
        <w:t xml:space="preserve">s completion rate percentage. </w:t>
      </w:r>
    </w:p>
    <w:p w14:paraId="15692F62" w14:textId="6786C4B3" w:rsidR="00CC3ABE" w:rsidRDefault="00CC3ABE" w:rsidP="00664700">
      <w:pPr>
        <w:widowControl w:val="0"/>
        <w:spacing w:line="240" w:lineRule="auto"/>
        <w:rPr>
          <w:rFonts w:cs="Times New Roman"/>
          <w:szCs w:val="24"/>
        </w:rPr>
      </w:pPr>
      <w:r w:rsidRPr="00F954F3">
        <w:rPr>
          <w:rFonts w:cs="Times New Roman"/>
          <w:szCs w:val="24"/>
        </w:rPr>
        <w:t>In accordance with the definition of ‘</w:t>
      </w:r>
      <w:proofErr w:type="spellStart"/>
      <w:r w:rsidR="009E7E19">
        <w:rPr>
          <w:rFonts w:cs="Times New Roman"/>
          <w:szCs w:val="24"/>
        </w:rPr>
        <w:t>PIR</w:t>
      </w:r>
      <w:proofErr w:type="spellEnd"/>
      <w:r w:rsidR="009E7E19">
        <w:rPr>
          <w:rFonts w:cs="Times New Roman"/>
          <w:szCs w:val="24"/>
        </w:rPr>
        <w:t xml:space="preserve"> </w:t>
      </w:r>
      <w:r w:rsidR="009451DA">
        <w:rPr>
          <w:rFonts w:cs="Times New Roman"/>
          <w:szCs w:val="24"/>
        </w:rPr>
        <w:t>information</w:t>
      </w:r>
      <w:r w:rsidR="00DD40C3">
        <w:rPr>
          <w:rFonts w:cs="Times New Roman"/>
          <w:szCs w:val="24"/>
        </w:rPr>
        <w:t>’</w:t>
      </w:r>
      <w:r w:rsidRPr="00F954F3">
        <w:rPr>
          <w:rFonts w:cs="Times New Roman"/>
          <w:szCs w:val="24"/>
        </w:rPr>
        <w:t xml:space="preserve"> in section 4</w:t>
      </w:r>
      <w:r w:rsidR="00020CFE">
        <w:rPr>
          <w:rFonts w:cs="Times New Roman"/>
          <w:szCs w:val="24"/>
        </w:rPr>
        <w:t xml:space="preserve"> of the Instrument</w:t>
      </w:r>
      <w:r w:rsidRPr="00F954F3">
        <w:rPr>
          <w:rFonts w:cs="Times New Roman"/>
          <w:szCs w:val="24"/>
        </w:rPr>
        <w:t xml:space="preserve">, </w:t>
      </w:r>
      <w:r w:rsidRPr="001D141E">
        <w:rPr>
          <w:rFonts w:cs="Times New Roman"/>
          <w:bCs/>
          <w:iCs/>
          <w:szCs w:val="24"/>
        </w:rPr>
        <w:t xml:space="preserve">a </w:t>
      </w:r>
      <w:r>
        <w:rPr>
          <w:rFonts w:cs="Times New Roman"/>
          <w:bCs/>
          <w:iCs/>
          <w:szCs w:val="24"/>
        </w:rPr>
        <w:t xml:space="preserve">leviable </w:t>
      </w:r>
      <w:r w:rsidRPr="001D141E">
        <w:rPr>
          <w:rFonts w:cs="Times New Roman"/>
          <w:bCs/>
          <w:iCs/>
          <w:szCs w:val="24"/>
        </w:rPr>
        <w:t>provider’s completion rate</w:t>
      </w:r>
      <w:r>
        <w:rPr>
          <w:rFonts w:cs="Times New Roman"/>
          <w:bCs/>
          <w:iCs/>
          <w:szCs w:val="24"/>
        </w:rPr>
        <w:t xml:space="preserve"> risk factor value </w:t>
      </w:r>
      <w:r w:rsidRPr="001D141E">
        <w:rPr>
          <w:rFonts w:cs="Times New Roman"/>
          <w:bCs/>
          <w:iCs/>
          <w:szCs w:val="24"/>
        </w:rPr>
        <w:t xml:space="preserve">will be calculated </w:t>
      </w:r>
      <w:r>
        <w:rPr>
          <w:rFonts w:cs="Times New Roman"/>
          <w:bCs/>
          <w:iCs/>
          <w:szCs w:val="24"/>
        </w:rPr>
        <w:t xml:space="preserve">by reference to data reported by the provider.  </w:t>
      </w:r>
    </w:p>
    <w:p w14:paraId="28B78914" w14:textId="44E22B14" w:rsidR="00E40E5A" w:rsidRPr="00AA2821" w:rsidRDefault="006C784A" w:rsidP="00664700">
      <w:pPr>
        <w:widowControl w:val="0"/>
        <w:spacing w:line="240" w:lineRule="auto"/>
        <w:rPr>
          <w:rFonts w:cs="Times New Roman"/>
          <w:szCs w:val="24"/>
        </w:rPr>
      </w:pPr>
      <w:r w:rsidRPr="00AA2821">
        <w:rPr>
          <w:rFonts w:cs="Times New Roman"/>
          <w:szCs w:val="24"/>
        </w:rPr>
        <w:t xml:space="preserve">Subsection 7(2) sets out the formula </w:t>
      </w:r>
      <w:r w:rsidR="00B44679" w:rsidRPr="00AA2821">
        <w:rPr>
          <w:rFonts w:cs="Times New Roman"/>
          <w:szCs w:val="24"/>
        </w:rPr>
        <w:t xml:space="preserve">for determining a provider’s completion rate percentage, with the relevant information for that formula also being taken from the provider’s </w:t>
      </w:r>
      <w:proofErr w:type="spellStart"/>
      <w:r w:rsidR="00020CFE">
        <w:rPr>
          <w:rFonts w:cs="Times New Roman"/>
          <w:szCs w:val="24"/>
        </w:rPr>
        <w:t>PIR</w:t>
      </w:r>
      <w:proofErr w:type="spellEnd"/>
      <w:r w:rsidR="00B44679" w:rsidRPr="00AA2821">
        <w:rPr>
          <w:rFonts w:cs="Times New Roman"/>
          <w:szCs w:val="24"/>
        </w:rPr>
        <w:t xml:space="preserve"> information. </w:t>
      </w:r>
      <w:r w:rsidR="00E40E5A" w:rsidRPr="00AA2821">
        <w:rPr>
          <w:rFonts w:cs="Times New Roman"/>
          <w:szCs w:val="24"/>
        </w:rPr>
        <w:t xml:space="preserve">This includes: </w:t>
      </w:r>
    </w:p>
    <w:p w14:paraId="6A0A2A65" w14:textId="637596BE" w:rsidR="006C784A" w:rsidRPr="00AA2821" w:rsidRDefault="00E40E5A" w:rsidP="00664700">
      <w:pPr>
        <w:pStyle w:val="ListParagraph"/>
        <w:widowControl w:val="0"/>
        <w:numPr>
          <w:ilvl w:val="0"/>
          <w:numId w:val="11"/>
        </w:numPr>
        <w:spacing w:line="240" w:lineRule="auto"/>
        <w:rPr>
          <w:rFonts w:cs="Times New Roman"/>
          <w:szCs w:val="24"/>
        </w:rPr>
      </w:pPr>
      <w:r w:rsidRPr="00AA2821">
        <w:rPr>
          <w:rFonts w:cs="Times New Roman"/>
          <w:szCs w:val="24"/>
        </w:rPr>
        <w:t xml:space="preserve">the total </w:t>
      </w:r>
      <w:proofErr w:type="spellStart"/>
      <w:r w:rsidRPr="00AA2821">
        <w:rPr>
          <w:rFonts w:cs="Times New Roman"/>
          <w:szCs w:val="24"/>
        </w:rPr>
        <w:t>EFTSL</w:t>
      </w:r>
      <w:proofErr w:type="spellEnd"/>
      <w:r w:rsidRPr="00AA2821">
        <w:rPr>
          <w:rFonts w:cs="Times New Roman"/>
          <w:szCs w:val="24"/>
        </w:rPr>
        <w:t xml:space="preserve"> value for units with a census day in the previous calendar year for which no unit of study completion status has been reported (Data missing </w:t>
      </w:r>
      <w:proofErr w:type="spellStart"/>
      <w:r w:rsidRPr="00AA2821">
        <w:rPr>
          <w:rFonts w:cs="Times New Roman"/>
          <w:szCs w:val="24"/>
        </w:rPr>
        <w:t>EFT</w:t>
      </w:r>
      <w:r w:rsidR="00DF45FC">
        <w:rPr>
          <w:rFonts w:cs="Times New Roman"/>
          <w:szCs w:val="24"/>
        </w:rPr>
        <w:t>S</w:t>
      </w:r>
      <w:r w:rsidRPr="00AA2821">
        <w:rPr>
          <w:rFonts w:cs="Times New Roman"/>
          <w:szCs w:val="24"/>
        </w:rPr>
        <w:t>L</w:t>
      </w:r>
      <w:proofErr w:type="spellEnd"/>
      <w:r w:rsidRPr="00AA2821">
        <w:rPr>
          <w:rFonts w:cs="Times New Roman"/>
          <w:szCs w:val="24"/>
        </w:rPr>
        <w:t xml:space="preserve">); </w:t>
      </w:r>
    </w:p>
    <w:p w14:paraId="26B43369" w14:textId="20183B9F"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w:t>
      </w:r>
      <w:proofErr w:type="spellStart"/>
      <w:r w:rsidRPr="00AA2821">
        <w:t>EFTSL</w:t>
      </w:r>
      <w:proofErr w:type="spellEnd"/>
      <w:r w:rsidRPr="00AA2821">
        <w:t xml:space="preserve"> value for units of study with a census day in the previous calendar year reported by the provider as having a unit of study completion status of ‘failed’ (Failed </w:t>
      </w:r>
      <w:proofErr w:type="spellStart"/>
      <w:r w:rsidRPr="00AA2821">
        <w:t>EFTSL</w:t>
      </w:r>
      <w:proofErr w:type="spellEnd"/>
      <w:r w:rsidRPr="00AA2821">
        <w:t xml:space="preserve">); </w:t>
      </w:r>
    </w:p>
    <w:p w14:paraId="3029A5DF" w14:textId="2AA249EC"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w:t>
      </w:r>
      <w:proofErr w:type="spellStart"/>
      <w:r w:rsidRPr="00AA2821">
        <w:t>EFTSL</w:t>
      </w:r>
      <w:proofErr w:type="spellEnd"/>
      <w:r w:rsidRPr="00AA2821">
        <w:t xml:space="preserve"> value for units of study with a census day in the previous calendar year reported by the provider as having a unit of study completion status of ‘unit of study to be commenced later in the year or still in process of completing or completion status not yet determined’ (Ongoing </w:t>
      </w:r>
      <w:proofErr w:type="spellStart"/>
      <w:r w:rsidRPr="00AA2821">
        <w:t>EFTSL</w:t>
      </w:r>
      <w:proofErr w:type="spellEnd"/>
      <w:r w:rsidRPr="00AA2821">
        <w:t xml:space="preserve">); </w:t>
      </w:r>
    </w:p>
    <w:p w14:paraId="2EFAB83B" w14:textId="79F23738"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w:t>
      </w:r>
      <w:proofErr w:type="spellStart"/>
      <w:r w:rsidRPr="00AA2821">
        <w:t>EFTSL</w:t>
      </w:r>
      <w:proofErr w:type="spellEnd"/>
      <w:r w:rsidRPr="00AA2821">
        <w:t xml:space="preserve"> value for units of study with a census day in the previous calendar year reported by the provider as having a unit of study completion status of ‘successfully completed all the requirements’ (Passed </w:t>
      </w:r>
      <w:proofErr w:type="spellStart"/>
      <w:r w:rsidRPr="00AA2821">
        <w:t>EFTSL</w:t>
      </w:r>
      <w:proofErr w:type="spellEnd"/>
      <w:r w:rsidRPr="00AA2821">
        <w:t>);</w:t>
      </w:r>
    </w:p>
    <w:p w14:paraId="5C3D4997" w14:textId="2F7E7A6B"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w:t>
      </w:r>
      <w:proofErr w:type="spellStart"/>
      <w:r w:rsidRPr="00AA2821">
        <w:t>EFTSL</w:t>
      </w:r>
      <w:proofErr w:type="spellEnd"/>
      <w:r w:rsidRPr="00AA2821">
        <w:t xml:space="preserve"> value for units of study with a census day in the previous calendar year reported by the provider as having a unit of study completion status of ‘withdrew without </w:t>
      </w:r>
      <w:r w:rsidR="00DF45FC">
        <w:t xml:space="preserve">academic </w:t>
      </w:r>
      <w:r w:rsidRPr="00AA2821">
        <w:t xml:space="preserve">penalty’ (Withdrawn </w:t>
      </w:r>
      <w:proofErr w:type="spellStart"/>
      <w:r w:rsidRPr="00AA2821">
        <w:t>EFTSL</w:t>
      </w:r>
      <w:proofErr w:type="spellEnd"/>
      <w:r w:rsidRPr="00AA2821">
        <w:t xml:space="preserve">). </w:t>
      </w:r>
    </w:p>
    <w:p w14:paraId="167297D6" w14:textId="7EDA6F1B" w:rsidR="00E40E5A" w:rsidRPr="00AA2821" w:rsidRDefault="00FB33C8" w:rsidP="00664700">
      <w:pPr>
        <w:widowControl w:val="0"/>
        <w:spacing w:line="240" w:lineRule="auto"/>
        <w:rPr>
          <w:rFonts w:cs="Times New Roman"/>
          <w:i/>
          <w:szCs w:val="24"/>
        </w:rPr>
      </w:pPr>
      <w:r w:rsidRPr="00AA2821">
        <w:rPr>
          <w:rFonts w:cs="Times New Roman"/>
          <w:szCs w:val="24"/>
        </w:rPr>
        <w:t>‘</w:t>
      </w:r>
      <w:proofErr w:type="spellStart"/>
      <w:r w:rsidR="00E40E5A" w:rsidRPr="00AA2821">
        <w:rPr>
          <w:rFonts w:cs="Times New Roman"/>
          <w:szCs w:val="24"/>
        </w:rPr>
        <w:t>EFTSL</w:t>
      </w:r>
      <w:proofErr w:type="spellEnd"/>
      <w:r w:rsidR="00E40E5A" w:rsidRPr="00AA2821">
        <w:rPr>
          <w:rFonts w:cs="Times New Roman"/>
          <w:szCs w:val="24"/>
        </w:rPr>
        <w:t xml:space="preserve">’ and </w:t>
      </w:r>
      <w:r w:rsidR="00BE21AD" w:rsidRPr="00AA2821">
        <w:rPr>
          <w:rFonts w:cs="Times New Roman"/>
          <w:szCs w:val="24"/>
        </w:rPr>
        <w:t>‘</w:t>
      </w:r>
      <w:proofErr w:type="spellStart"/>
      <w:r w:rsidR="00E40E5A" w:rsidRPr="00AA2821">
        <w:rPr>
          <w:rFonts w:cs="Times New Roman"/>
          <w:szCs w:val="24"/>
        </w:rPr>
        <w:t>EFTSL</w:t>
      </w:r>
      <w:proofErr w:type="spellEnd"/>
      <w:r w:rsidR="00E40E5A" w:rsidRPr="00AA2821">
        <w:rPr>
          <w:rFonts w:cs="Times New Roman"/>
          <w:szCs w:val="24"/>
        </w:rPr>
        <w:t xml:space="preserve"> value’</w:t>
      </w:r>
      <w:r w:rsidR="0080481C" w:rsidRPr="00AA2821">
        <w:rPr>
          <w:rFonts w:cs="Times New Roman"/>
          <w:szCs w:val="24"/>
        </w:rPr>
        <w:t xml:space="preserve"> </w:t>
      </w:r>
      <w:r w:rsidR="00020CFE">
        <w:rPr>
          <w:rFonts w:cs="Times New Roman"/>
          <w:szCs w:val="24"/>
        </w:rPr>
        <w:t>have</w:t>
      </w:r>
      <w:r w:rsidRPr="00AA2821">
        <w:rPr>
          <w:rFonts w:cs="Times New Roman"/>
          <w:szCs w:val="24"/>
        </w:rPr>
        <w:t xml:space="preserve"> the same meaning as in </w:t>
      </w:r>
      <w:proofErr w:type="spellStart"/>
      <w:r w:rsidRPr="00AA2821">
        <w:rPr>
          <w:rFonts w:cs="Times New Roman"/>
          <w:szCs w:val="24"/>
        </w:rPr>
        <w:t>HESA</w:t>
      </w:r>
      <w:proofErr w:type="spellEnd"/>
      <w:r w:rsidRPr="00AA2821">
        <w:rPr>
          <w:rFonts w:cs="Times New Roman"/>
          <w:szCs w:val="24"/>
        </w:rPr>
        <w:t xml:space="preserve">. </w:t>
      </w:r>
    </w:p>
    <w:p w14:paraId="15E15AF1" w14:textId="1B57B784" w:rsidR="00F52CED" w:rsidRPr="00AA2821" w:rsidRDefault="00F52CED" w:rsidP="00664700">
      <w:pPr>
        <w:widowControl w:val="0"/>
        <w:spacing w:line="240" w:lineRule="auto"/>
        <w:rPr>
          <w:rFonts w:cs="Times New Roman"/>
          <w:b/>
          <w:i/>
          <w:szCs w:val="24"/>
          <w:u w:val="single"/>
        </w:rPr>
      </w:pPr>
      <w:r w:rsidRPr="00AA2821">
        <w:rPr>
          <w:rFonts w:cs="Times New Roman"/>
          <w:b/>
          <w:i/>
          <w:szCs w:val="24"/>
          <w:u w:val="single"/>
        </w:rPr>
        <w:t>Section 8: Risk factor – non-compliance history</w:t>
      </w:r>
      <w:r w:rsidR="00BE54C7">
        <w:rPr>
          <w:rFonts w:cs="Times New Roman"/>
          <w:b/>
          <w:i/>
          <w:szCs w:val="24"/>
          <w:u w:val="single"/>
        </w:rPr>
        <w:t xml:space="preserve"> and registration renewal </w:t>
      </w:r>
    </w:p>
    <w:p w14:paraId="0BE6C908" w14:textId="3C3E42D6" w:rsidR="00B61234" w:rsidRDefault="00FB33C8" w:rsidP="00664700">
      <w:pPr>
        <w:widowControl w:val="0"/>
        <w:spacing w:line="240" w:lineRule="auto"/>
        <w:rPr>
          <w:rFonts w:cs="Times New Roman"/>
          <w:szCs w:val="24"/>
        </w:rPr>
      </w:pPr>
      <w:r w:rsidRPr="00AA2821">
        <w:rPr>
          <w:rFonts w:cs="Times New Roman"/>
          <w:szCs w:val="24"/>
        </w:rPr>
        <w:t>Section 8</w:t>
      </w:r>
      <w:r w:rsidR="00B61234" w:rsidRPr="00AA2821">
        <w:rPr>
          <w:rFonts w:cs="Times New Roman"/>
          <w:szCs w:val="24"/>
        </w:rPr>
        <w:t xml:space="preserve"> of the Instrument specifies the risk factor value</w:t>
      </w:r>
      <w:r w:rsidRPr="00AA2821">
        <w:rPr>
          <w:rFonts w:cs="Times New Roman"/>
          <w:szCs w:val="24"/>
        </w:rPr>
        <w:t xml:space="preserve"> </w:t>
      </w:r>
      <w:r w:rsidR="00B61234" w:rsidRPr="00AA2821">
        <w:rPr>
          <w:rFonts w:cs="Times New Roman"/>
          <w:szCs w:val="24"/>
        </w:rPr>
        <w:t xml:space="preserve">for the non-compliance history </w:t>
      </w:r>
      <w:r w:rsidR="00D87EE9">
        <w:rPr>
          <w:rFonts w:cs="Times New Roman"/>
          <w:szCs w:val="24"/>
        </w:rPr>
        <w:t xml:space="preserve">and registration renewal </w:t>
      </w:r>
      <w:r w:rsidR="00B61234" w:rsidRPr="00AA2821">
        <w:rPr>
          <w:rFonts w:cs="Times New Roman"/>
          <w:szCs w:val="24"/>
        </w:rPr>
        <w:t>risk factor for a leviable provider, for the purposes of step 4 of the method statement in subsection 11(2) of the Act.</w:t>
      </w:r>
      <w:r w:rsidRPr="00AA2821">
        <w:rPr>
          <w:rFonts w:cs="Times New Roman"/>
          <w:szCs w:val="24"/>
        </w:rPr>
        <w:t xml:space="preserve"> The </w:t>
      </w:r>
      <w:r w:rsidR="00556F14" w:rsidRPr="00AA2821">
        <w:rPr>
          <w:rFonts w:cs="Times New Roman"/>
          <w:szCs w:val="24"/>
        </w:rPr>
        <w:t xml:space="preserve">purpose of the </w:t>
      </w:r>
      <w:r w:rsidRPr="00AA2821">
        <w:rPr>
          <w:rFonts w:cs="Times New Roman"/>
          <w:szCs w:val="24"/>
        </w:rPr>
        <w:t xml:space="preserve">non-compliance history </w:t>
      </w:r>
      <w:r w:rsidR="00435970">
        <w:rPr>
          <w:rFonts w:cs="Times New Roman"/>
          <w:szCs w:val="24"/>
        </w:rPr>
        <w:t xml:space="preserve">and registration renewal </w:t>
      </w:r>
      <w:r w:rsidRPr="00AA2821">
        <w:rPr>
          <w:rFonts w:cs="Times New Roman"/>
          <w:szCs w:val="24"/>
        </w:rPr>
        <w:t>risk factor is</w:t>
      </w:r>
      <w:r w:rsidR="00556F14" w:rsidRPr="00AA2821">
        <w:rPr>
          <w:rFonts w:cs="Times New Roman"/>
          <w:szCs w:val="24"/>
        </w:rPr>
        <w:t xml:space="preserve"> to assess the risk of a provider based on</w:t>
      </w:r>
      <w:r w:rsidR="00DC5AD7">
        <w:rPr>
          <w:rFonts w:cs="Times New Roman"/>
          <w:szCs w:val="24"/>
        </w:rPr>
        <w:t>:</w:t>
      </w:r>
      <w:r w:rsidR="00556F14" w:rsidRPr="00AA2821">
        <w:rPr>
          <w:rFonts w:cs="Times New Roman"/>
          <w:szCs w:val="24"/>
        </w:rPr>
        <w:t xml:space="preserve"> their history of non-compliance related to the</w:t>
      </w:r>
      <w:r w:rsidR="00BE21AD">
        <w:rPr>
          <w:rFonts w:cs="Times New Roman"/>
          <w:szCs w:val="24"/>
        </w:rPr>
        <w:t xml:space="preserve"> late</w:t>
      </w:r>
      <w:r w:rsidR="00314153">
        <w:rPr>
          <w:rFonts w:cs="Times New Roman"/>
          <w:szCs w:val="24"/>
        </w:rPr>
        <w:t xml:space="preserve"> </w:t>
      </w:r>
      <w:r w:rsidR="00556F14" w:rsidRPr="00AA2821">
        <w:rPr>
          <w:rFonts w:cs="Times New Roman"/>
          <w:szCs w:val="24"/>
        </w:rPr>
        <w:t>payment of other charges and payments</w:t>
      </w:r>
      <w:r w:rsidR="00DC5AD7">
        <w:rPr>
          <w:rFonts w:cs="Times New Roman"/>
          <w:szCs w:val="24"/>
        </w:rPr>
        <w:t xml:space="preserve">; and </w:t>
      </w:r>
      <w:r w:rsidR="00A40C15">
        <w:rPr>
          <w:rFonts w:cs="Times New Roman"/>
          <w:szCs w:val="24"/>
        </w:rPr>
        <w:t>the renewal of their registration as a registered higher education provider under the</w:t>
      </w:r>
      <w:r w:rsidR="00020CFE">
        <w:rPr>
          <w:rFonts w:cs="Times New Roman"/>
          <w:szCs w:val="24"/>
        </w:rPr>
        <w:t xml:space="preserve"> </w:t>
      </w:r>
      <w:proofErr w:type="spellStart"/>
      <w:r w:rsidR="00020CFE">
        <w:rPr>
          <w:rFonts w:cs="Times New Roman"/>
          <w:szCs w:val="24"/>
        </w:rPr>
        <w:t>TEQSA</w:t>
      </w:r>
      <w:proofErr w:type="spellEnd"/>
      <w:r w:rsidR="00020CFE">
        <w:rPr>
          <w:rFonts w:cs="Times New Roman"/>
          <w:szCs w:val="24"/>
        </w:rPr>
        <w:t xml:space="preserve"> Act</w:t>
      </w:r>
      <w:r w:rsidR="00556F14" w:rsidRPr="00AA2821">
        <w:rPr>
          <w:rFonts w:cs="Times New Roman"/>
          <w:szCs w:val="24"/>
        </w:rPr>
        <w:t>.</w:t>
      </w:r>
    </w:p>
    <w:p w14:paraId="2EF7B8A8" w14:textId="5FB3D07A" w:rsidR="00046216" w:rsidRPr="00792FEC" w:rsidRDefault="00733218" w:rsidP="00046216">
      <w:pPr>
        <w:spacing w:before="120" w:after="120" w:line="240" w:lineRule="auto"/>
        <w:rPr>
          <w:rFonts w:cs="Times New Roman"/>
          <w:szCs w:val="24"/>
        </w:rPr>
      </w:pPr>
      <w:r>
        <w:rPr>
          <w:rFonts w:cs="Times New Roman"/>
          <w:szCs w:val="24"/>
        </w:rPr>
        <w:t>As set out in the table in subsection 8(1)</w:t>
      </w:r>
      <w:r w:rsidR="004A6475">
        <w:rPr>
          <w:rFonts w:cs="Times New Roman"/>
          <w:szCs w:val="24"/>
        </w:rPr>
        <w:t xml:space="preserve"> of the Instrument</w:t>
      </w:r>
      <w:r>
        <w:rPr>
          <w:rFonts w:cs="Times New Roman"/>
          <w:szCs w:val="24"/>
        </w:rPr>
        <w:t xml:space="preserve">, the risk factor </w:t>
      </w:r>
      <w:r w:rsidR="002905CD">
        <w:rPr>
          <w:rFonts w:cs="Times New Roman"/>
          <w:szCs w:val="24"/>
        </w:rPr>
        <w:t xml:space="preserve">value </w:t>
      </w:r>
      <w:r>
        <w:rPr>
          <w:rFonts w:cs="Times New Roman"/>
          <w:szCs w:val="24"/>
        </w:rPr>
        <w:t>will depend on the leviable provider’s ‘weighted late payment measure’ as determined under subsection 8(</w:t>
      </w:r>
      <w:r w:rsidR="00E40096">
        <w:rPr>
          <w:rFonts w:cs="Times New Roman"/>
          <w:szCs w:val="24"/>
        </w:rPr>
        <w:t>3</w:t>
      </w:r>
      <w:r>
        <w:rPr>
          <w:rFonts w:cs="Times New Roman"/>
          <w:szCs w:val="24"/>
        </w:rPr>
        <w:t xml:space="preserve">). Specifically, a leviable provider’s weighted late payment measure is worked out by reference to the number of days after the due date on which the </w:t>
      </w:r>
      <w:r w:rsidR="00E40096">
        <w:rPr>
          <w:rFonts w:cs="Times New Roman"/>
          <w:szCs w:val="24"/>
        </w:rPr>
        <w:t xml:space="preserve">up-front payments </w:t>
      </w:r>
      <w:r>
        <w:rPr>
          <w:rFonts w:cs="Times New Roman"/>
          <w:szCs w:val="24"/>
        </w:rPr>
        <w:t xml:space="preserve">tuition protection levy for </w:t>
      </w:r>
      <w:r w:rsidRPr="007E1A3B">
        <w:rPr>
          <w:rFonts w:cs="Times New Roman"/>
          <w:szCs w:val="24"/>
        </w:rPr>
        <w:t>th</w:t>
      </w:r>
      <w:r w:rsidR="00046216" w:rsidRPr="007E1A3B">
        <w:rPr>
          <w:rFonts w:cs="Times New Roman"/>
          <w:szCs w:val="24"/>
        </w:rPr>
        <w:t>e specified</w:t>
      </w:r>
      <w:r w:rsidRPr="007E1A3B">
        <w:rPr>
          <w:rFonts w:cs="Times New Roman"/>
          <w:szCs w:val="24"/>
        </w:rPr>
        <w:t xml:space="preserve"> year was received. However, </w:t>
      </w:r>
      <w:r w:rsidR="006B53E5" w:rsidRPr="007E1A3B">
        <w:rPr>
          <w:rFonts w:cs="Times New Roman"/>
          <w:szCs w:val="24"/>
        </w:rPr>
        <w:t>as the</w:t>
      </w:r>
      <w:r w:rsidR="007E1A3B">
        <w:rPr>
          <w:rFonts w:cs="Times New Roman"/>
          <w:szCs w:val="24"/>
        </w:rPr>
        <w:t xml:space="preserve"> L</w:t>
      </w:r>
      <w:r w:rsidR="006B53E5" w:rsidRPr="007E1A3B">
        <w:rPr>
          <w:rFonts w:cs="Times New Roman"/>
          <w:szCs w:val="24"/>
        </w:rPr>
        <w:t>evy applie</w:t>
      </w:r>
      <w:r w:rsidR="00825059" w:rsidRPr="007E1A3B">
        <w:rPr>
          <w:rFonts w:cs="Times New Roman"/>
          <w:szCs w:val="24"/>
        </w:rPr>
        <w:t xml:space="preserve">d for the first time in </w:t>
      </w:r>
      <w:r w:rsidR="002C317E" w:rsidRPr="007E1A3B">
        <w:rPr>
          <w:rFonts w:cs="Times New Roman"/>
          <w:szCs w:val="24"/>
        </w:rPr>
        <w:t>2021</w:t>
      </w:r>
      <w:r w:rsidR="007E1A3B">
        <w:rPr>
          <w:rFonts w:cs="Times New Roman"/>
          <w:szCs w:val="24"/>
        </w:rPr>
        <w:t xml:space="preserve"> and</w:t>
      </w:r>
      <w:r w:rsidR="00612795">
        <w:rPr>
          <w:rFonts w:cs="Times New Roman"/>
          <w:szCs w:val="24"/>
        </w:rPr>
        <w:t xml:space="preserve"> the requirement to pay the Levy </w:t>
      </w:r>
      <w:r w:rsidR="00046216" w:rsidRPr="007E1A3B">
        <w:rPr>
          <w:rFonts w:cs="Times New Roman"/>
          <w:szCs w:val="24"/>
        </w:rPr>
        <w:t>w</w:t>
      </w:r>
      <w:r w:rsidR="00612795">
        <w:rPr>
          <w:rFonts w:cs="Times New Roman"/>
          <w:szCs w:val="24"/>
        </w:rPr>
        <w:t xml:space="preserve">as waived </w:t>
      </w:r>
      <w:r w:rsidR="00046216" w:rsidRPr="007E1A3B">
        <w:rPr>
          <w:rFonts w:cs="Times New Roman"/>
          <w:szCs w:val="24"/>
        </w:rPr>
        <w:t>for that year</w:t>
      </w:r>
      <w:r w:rsidR="007E1A3B">
        <w:rPr>
          <w:rFonts w:cs="Times New Roman"/>
          <w:szCs w:val="24"/>
        </w:rPr>
        <w:t>, the weighted late payment measure will equal 0</w:t>
      </w:r>
      <w:r w:rsidR="00046216" w:rsidRPr="007E1A3B">
        <w:rPr>
          <w:rFonts w:cs="Times New Roman"/>
          <w:szCs w:val="24"/>
        </w:rPr>
        <w:t>.</w:t>
      </w:r>
      <w:r w:rsidR="00046216">
        <w:rPr>
          <w:rFonts w:cs="Times New Roman"/>
          <w:szCs w:val="24"/>
        </w:rPr>
        <w:t xml:space="preserve"> </w:t>
      </w:r>
    </w:p>
    <w:p w14:paraId="70D98EE6" w14:textId="1051CF89" w:rsidR="00733218" w:rsidRDefault="00733218" w:rsidP="00733218">
      <w:pPr>
        <w:widowControl w:val="0"/>
        <w:spacing w:line="240" w:lineRule="auto"/>
        <w:rPr>
          <w:rFonts w:cs="Times New Roman"/>
          <w:szCs w:val="24"/>
        </w:rPr>
      </w:pPr>
      <w:r>
        <w:rPr>
          <w:rFonts w:cs="Times New Roman"/>
          <w:szCs w:val="24"/>
        </w:rPr>
        <w:t xml:space="preserve">The risk factor </w:t>
      </w:r>
      <w:r w:rsidR="00DF7833">
        <w:rPr>
          <w:rFonts w:cs="Times New Roman"/>
          <w:szCs w:val="24"/>
        </w:rPr>
        <w:t xml:space="preserve">value </w:t>
      </w:r>
      <w:r>
        <w:rPr>
          <w:rFonts w:cs="Times New Roman"/>
          <w:szCs w:val="24"/>
        </w:rPr>
        <w:t xml:space="preserve">will also depend on whether the leviable provider applied under section 35 of the </w:t>
      </w:r>
      <w:proofErr w:type="spellStart"/>
      <w:r>
        <w:rPr>
          <w:rFonts w:cs="Times New Roman"/>
          <w:szCs w:val="24"/>
        </w:rPr>
        <w:t>TEQSA</w:t>
      </w:r>
      <w:proofErr w:type="spellEnd"/>
      <w:r>
        <w:rPr>
          <w:rFonts w:cs="Times New Roman"/>
          <w:szCs w:val="24"/>
        </w:rPr>
        <w:t xml:space="preserve"> Act to renew its registration as a registered higher education provider</w:t>
      </w:r>
      <w:r w:rsidR="008B0F4C">
        <w:rPr>
          <w:rFonts w:cs="Times New Roman"/>
          <w:szCs w:val="24"/>
        </w:rPr>
        <w:t xml:space="preserve">. If the provider </w:t>
      </w:r>
      <w:r w:rsidR="00C84B70">
        <w:rPr>
          <w:rFonts w:cs="Times New Roman"/>
          <w:szCs w:val="24"/>
        </w:rPr>
        <w:t>applied for renewal of its registration</w:t>
      </w:r>
      <w:r w:rsidR="008B0F4C">
        <w:rPr>
          <w:rFonts w:cs="Times New Roman"/>
          <w:szCs w:val="24"/>
        </w:rPr>
        <w:t>,</w:t>
      </w:r>
      <w:r w:rsidR="008662EE">
        <w:rPr>
          <w:rFonts w:cs="Times New Roman"/>
          <w:szCs w:val="24"/>
        </w:rPr>
        <w:t xml:space="preserve"> the determination of the risk factor</w:t>
      </w:r>
      <w:r>
        <w:rPr>
          <w:rFonts w:cs="Times New Roman"/>
          <w:szCs w:val="24"/>
        </w:rPr>
        <w:t xml:space="preserve"> </w:t>
      </w:r>
      <w:r w:rsidR="00482B9D">
        <w:rPr>
          <w:rFonts w:cs="Times New Roman"/>
          <w:szCs w:val="24"/>
        </w:rPr>
        <w:t xml:space="preserve">value </w:t>
      </w:r>
      <w:r w:rsidR="008662EE">
        <w:rPr>
          <w:rFonts w:cs="Times New Roman"/>
          <w:szCs w:val="24"/>
        </w:rPr>
        <w:t>will depend upon</w:t>
      </w:r>
      <w:r>
        <w:rPr>
          <w:rFonts w:cs="Times New Roman"/>
          <w:szCs w:val="24"/>
        </w:rPr>
        <w:t xml:space="preserve"> whether the period for which the registration was renewed </w:t>
      </w:r>
      <w:r w:rsidR="00C84B70">
        <w:rPr>
          <w:rFonts w:cs="Times New Roman"/>
          <w:szCs w:val="24"/>
        </w:rPr>
        <w:t>(</w:t>
      </w:r>
      <w:r>
        <w:rPr>
          <w:rFonts w:cs="Times New Roman"/>
          <w:szCs w:val="24"/>
        </w:rPr>
        <w:t>as set out in a notice given in 202</w:t>
      </w:r>
      <w:r w:rsidR="00071C25">
        <w:rPr>
          <w:rFonts w:cs="Times New Roman"/>
          <w:szCs w:val="24"/>
        </w:rPr>
        <w:t>1</w:t>
      </w:r>
      <w:r>
        <w:rPr>
          <w:rFonts w:cs="Times New Roman"/>
          <w:szCs w:val="24"/>
        </w:rPr>
        <w:t xml:space="preserve"> under section 37 of that Act</w:t>
      </w:r>
      <w:r w:rsidR="00C84B70">
        <w:rPr>
          <w:rFonts w:cs="Times New Roman"/>
          <w:szCs w:val="24"/>
        </w:rPr>
        <w:t>)</w:t>
      </w:r>
      <w:r>
        <w:rPr>
          <w:rFonts w:cs="Times New Roman"/>
          <w:szCs w:val="24"/>
        </w:rPr>
        <w:t xml:space="preserve"> was less than the maximum period of seven years allowed in accordance with subsection 36(4) of that Act. </w:t>
      </w:r>
    </w:p>
    <w:p w14:paraId="3DE17C0E" w14:textId="4067916B" w:rsidR="00842C80" w:rsidRDefault="00733218" w:rsidP="00882A6D">
      <w:pPr>
        <w:widowControl w:val="0"/>
        <w:spacing w:line="240" w:lineRule="auto"/>
        <w:rPr>
          <w:rFonts w:cs="Times New Roman"/>
          <w:szCs w:val="24"/>
        </w:rPr>
      </w:pPr>
      <w:r>
        <w:rPr>
          <w:rFonts w:cs="Times New Roman"/>
          <w:szCs w:val="24"/>
        </w:rPr>
        <w:t>Subsection 8(</w:t>
      </w:r>
      <w:r w:rsidR="009451DA">
        <w:rPr>
          <w:rFonts w:cs="Times New Roman"/>
          <w:szCs w:val="24"/>
        </w:rPr>
        <w:t>2</w:t>
      </w:r>
      <w:r>
        <w:rPr>
          <w:rFonts w:cs="Times New Roman"/>
          <w:szCs w:val="24"/>
        </w:rPr>
        <w:t xml:space="preserve">) </w:t>
      </w:r>
      <w:r w:rsidR="004A6475">
        <w:rPr>
          <w:rFonts w:cs="Times New Roman"/>
          <w:szCs w:val="24"/>
        </w:rPr>
        <w:t xml:space="preserve">of the Instrument </w:t>
      </w:r>
      <w:r>
        <w:rPr>
          <w:rFonts w:cs="Times New Roman"/>
          <w:szCs w:val="24"/>
        </w:rPr>
        <w:t>provides that, w</w:t>
      </w:r>
      <w:r w:rsidRPr="0001213C">
        <w:rPr>
          <w:rFonts w:cs="Times New Roman"/>
          <w:szCs w:val="24"/>
        </w:rPr>
        <w:t xml:space="preserve">here more than one item in the table at subsection </w:t>
      </w:r>
      <w:r w:rsidR="001D2554">
        <w:rPr>
          <w:rFonts w:cs="Times New Roman"/>
          <w:szCs w:val="24"/>
        </w:rPr>
        <w:t>8</w:t>
      </w:r>
      <w:r w:rsidRPr="0001213C">
        <w:rPr>
          <w:rFonts w:cs="Times New Roman"/>
          <w:szCs w:val="24"/>
        </w:rPr>
        <w:t xml:space="preserve">(1) applies, the risk factor value for the non-compliance history and registration renewal risk factor for a leviable provider is the sum of the applicable risk factor values in column 3 of the table in subsection </w:t>
      </w:r>
      <w:r w:rsidR="00F17EAF">
        <w:rPr>
          <w:rFonts w:cs="Times New Roman"/>
          <w:szCs w:val="24"/>
        </w:rPr>
        <w:t>8</w:t>
      </w:r>
      <w:r w:rsidRPr="0001213C">
        <w:rPr>
          <w:rFonts w:cs="Times New Roman"/>
          <w:szCs w:val="24"/>
        </w:rPr>
        <w:t>(</w:t>
      </w:r>
      <w:r w:rsidR="009451DA">
        <w:rPr>
          <w:rFonts w:cs="Times New Roman"/>
          <w:szCs w:val="24"/>
        </w:rPr>
        <w:t>1</w:t>
      </w:r>
      <w:r w:rsidRPr="0001213C">
        <w:rPr>
          <w:rFonts w:cs="Times New Roman"/>
          <w:szCs w:val="24"/>
        </w:rPr>
        <w:t xml:space="preserve">). </w:t>
      </w:r>
      <w:r>
        <w:rPr>
          <w:rFonts w:cs="Times New Roman"/>
          <w:szCs w:val="24"/>
        </w:rPr>
        <w:t xml:space="preserve">For example, if a leviable provider has weighted late payment measure of 30 days or more and its registration under the </w:t>
      </w:r>
      <w:proofErr w:type="spellStart"/>
      <w:r>
        <w:rPr>
          <w:rFonts w:cs="Times New Roman"/>
          <w:szCs w:val="24"/>
        </w:rPr>
        <w:t>TEQSA</w:t>
      </w:r>
      <w:proofErr w:type="spellEnd"/>
      <w:r>
        <w:rPr>
          <w:rFonts w:cs="Times New Roman"/>
          <w:szCs w:val="24"/>
        </w:rPr>
        <w:t xml:space="preserve"> Act was renewed for a period of 5 years, the provider’s risk factor value would be 3.0. </w:t>
      </w:r>
      <w:bookmarkStart w:id="7" w:name="_Toc23942243"/>
      <w:bookmarkEnd w:id="7"/>
    </w:p>
    <w:p w14:paraId="21099708" w14:textId="5F50E802" w:rsidR="00756D99" w:rsidRPr="00AA2821" w:rsidRDefault="00552BB9" w:rsidP="00487B82">
      <w:pPr>
        <w:widowControl w:val="0"/>
        <w:spacing w:before="360" w:after="120"/>
        <w:rPr>
          <w:rFonts w:cs="Times New Roman"/>
          <w:b/>
          <w:szCs w:val="24"/>
          <w:u w:val="single"/>
        </w:rPr>
      </w:pPr>
      <w:r w:rsidRPr="00311914">
        <w:rPr>
          <w:rFonts w:cs="Times New Roman"/>
          <w:b/>
          <w:sz w:val="22"/>
          <w:u w:val="single"/>
        </w:rPr>
        <w:t>Part 3 – Special tuition</w:t>
      </w:r>
      <w:r w:rsidRPr="00AA2821">
        <w:rPr>
          <w:rFonts w:cs="Times New Roman"/>
          <w:b/>
          <w:szCs w:val="24"/>
          <w:u w:val="single"/>
        </w:rPr>
        <w:t xml:space="preserve"> protection component </w:t>
      </w:r>
    </w:p>
    <w:p w14:paraId="1375DEEE" w14:textId="3D4736E7" w:rsidR="007E1EA5" w:rsidRPr="00AA2821" w:rsidRDefault="007E1EA5" w:rsidP="007E1EA5">
      <w:pPr>
        <w:widowControl w:val="0"/>
        <w:rPr>
          <w:rFonts w:cs="Times New Roman"/>
          <w:b/>
          <w:i/>
          <w:szCs w:val="24"/>
          <w:u w:val="single"/>
        </w:rPr>
      </w:pPr>
      <w:r w:rsidRPr="00AA2821">
        <w:rPr>
          <w:rFonts w:cs="Times New Roman"/>
          <w:b/>
          <w:i/>
          <w:szCs w:val="24"/>
          <w:u w:val="single"/>
        </w:rPr>
        <w:t xml:space="preserve">Section </w:t>
      </w:r>
      <w:r w:rsidR="00DD59CA">
        <w:rPr>
          <w:rFonts w:cs="Times New Roman"/>
          <w:b/>
          <w:i/>
          <w:szCs w:val="24"/>
          <w:u w:val="single"/>
        </w:rPr>
        <w:t>9</w:t>
      </w:r>
      <w:r w:rsidRPr="00AA2821">
        <w:rPr>
          <w:rFonts w:cs="Times New Roman"/>
          <w:b/>
          <w:i/>
          <w:szCs w:val="24"/>
          <w:u w:val="single"/>
        </w:rPr>
        <w:t xml:space="preserve">: Special tuition protection component </w:t>
      </w:r>
    </w:p>
    <w:p w14:paraId="1C5519D3" w14:textId="33E95B3E" w:rsidR="00EE08AD" w:rsidRPr="00AA2821" w:rsidRDefault="00EE08AD" w:rsidP="00664700">
      <w:pPr>
        <w:widowControl w:val="0"/>
        <w:spacing w:line="240" w:lineRule="auto"/>
        <w:rPr>
          <w:rFonts w:cs="Times New Roman"/>
          <w:szCs w:val="24"/>
        </w:rPr>
      </w:pPr>
      <w:r w:rsidRPr="00AA2821">
        <w:rPr>
          <w:rFonts w:cs="Times New Roman"/>
          <w:szCs w:val="24"/>
        </w:rPr>
        <w:t xml:space="preserve">Section 12 of the Act deals with the special tuition protection component </w:t>
      </w:r>
      <w:r w:rsidR="00556F14" w:rsidRPr="00AA2821">
        <w:rPr>
          <w:rFonts w:cs="Times New Roman"/>
          <w:szCs w:val="24"/>
        </w:rPr>
        <w:t>of the</w:t>
      </w:r>
      <w:r w:rsidR="0021309F" w:rsidRPr="00AA2821">
        <w:rPr>
          <w:rFonts w:cs="Times New Roman"/>
          <w:szCs w:val="24"/>
        </w:rPr>
        <w:t xml:space="preserve"> Levy: </w:t>
      </w:r>
    </w:p>
    <w:p w14:paraId="7110F025" w14:textId="2D936DDF" w:rsidR="0021309F" w:rsidRPr="00AA2821" w:rsidRDefault="0021309F" w:rsidP="00664700">
      <w:pPr>
        <w:pStyle w:val="ListParagraph"/>
        <w:widowControl w:val="0"/>
        <w:numPr>
          <w:ilvl w:val="0"/>
          <w:numId w:val="13"/>
        </w:numPr>
        <w:spacing w:line="240" w:lineRule="auto"/>
        <w:rPr>
          <w:rFonts w:cs="Times New Roman"/>
          <w:szCs w:val="24"/>
        </w:rPr>
      </w:pPr>
      <w:r w:rsidRPr="00AA2821">
        <w:rPr>
          <w:rFonts w:cs="Times New Roman"/>
          <w:szCs w:val="24"/>
        </w:rPr>
        <w:t>subsection</w:t>
      </w:r>
      <w:r w:rsidR="00EE08AD" w:rsidRPr="00AA2821">
        <w:rPr>
          <w:rFonts w:cs="Times New Roman"/>
          <w:szCs w:val="24"/>
        </w:rPr>
        <w:t xml:space="preserve"> 12(</w:t>
      </w:r>
      <w:r w:rsidR="00FA0D85">
        <w:rPr>
          <w:rFonts w:cs="Times New Roman"/>
          <w:szCs w:val="24"/>
        </w:rPr>
        <w:t>a</w:t>
      </w:r>
      <w:r w:rsidR="00EE08AD" w:rsidRPr="00AA2821">
        <w:rPr>
          <w:rFonts w:cs="Times New Roman"/>
          <w:szCs w:val="24"/>
        </w:rPr>
        <w:t xml:space="preserve">) provides that if a leviable provider is a new provider for a year, the amount of the provider’s special tuition protection component </w:t>
      </w:r>
      <w:r w:rsidRPr="00AA2821">
        <w:rPr>
          <w:rFonts w:cs="Times New Roman"/>
          <w:szCs w:val="24"/>
        </w:rPr>
        <w:t>for the year is zero;</w:t>
      </w:r>
    </w:p>
    <w:p w14:paraId="665BEC0E" w14:textId="0BEAD935" w:rsidR="007E1EA5" w:rsidRPr="00AA2821" w:rsidRDefault="0021309F" w:rsidP="00664700">
      <w:pPr>
        <w:pStyle w:val="ListParagraph"/>
        <w:widowControl w:val="0"/>
        <w:numPr>
          <w:ilvl w:val="0"/>
          <w:numId w:val="13"/>
        </w:numPr>
        <w:spacing w:line="240" w:lineRule="auto"/>
        <w:rPr>
          <w:rFonts w:cs="Times New Roman"/>
          <w:szCs w:val="24"/>
        </w:rPr>
      </w:pPr>
      <w:r w:rsidRPr="00AA2821">
        <w:rPr>
          <w:rFonts w:cs="Times New Roman"/>
          <w:szCs w:val="24"/>
        </w:rPr>
        <w:t>o</w:t>
      </w:r>
      <w:r w:rsidR="00EE08AD" w:rsidRPr="00AA2821">
        <w:rPr>
          <w:rFonts w:cs="Times New Roman"/>
          <w:szCs w:val="24"/>
        </w:rPr>
        <w:t xml:space="preserve">therwise, a leviable provider’s special tuition protection component for a year is the </w:t>
      </w:r>
      <w:r w:rsidR="00556F14" w:rsidRPr="00AA2821">
        <w:rPr>
          <w:rFonts w:cs="Times New Roman"/>
          <w:szCs w:val="24"/>
        </w:rPr>
        <w:t xml:space="preserve">amount equal to the </w:t>
      </w:r>
      <w:r w:rsidR="00C413ED">
        <w:rPr>
          <w:rFonts w:cs="Times New Roman"/>
          <w:szCs w:val="24"/>
        </w:rPr>
        <w:t xml:space="preserve">sum </w:t>
      </w:r>
      <w:r w:rsidR="00E43F02">
        <w:rPr>
          <w:rFonts w:cs="Times New Roman"/>
          <w:szCs w:val="24"/>
        </w:rPr>
        <w:t xml:space="preserve">of each up-front payment received, directly or indirectly, by the provider for a domestic student </w:t>
      </w:r>
      <w:r w:rsidR="008F37C8">
        <w:rPr>
          <w:rFonts w:cs="Times New Roman"/>
          <w:szCs w:val="24"/>
        </w:rPr>
        <w:t>for a unit of study during the previous year</w:t>
      </w:r>
      <w:r w:rsidR="00556F14" w:rsidRPr="00AA2821">
        <w:rPr>
          <w:rFonts w:cs="Times New Roman"/>
          <w:szCs w:val="24"/>
        </w:rPr>
        <w:t xml:space="preserve">, multiplied by the percentage determined in an instrument made under </w:t>
      </w:r>
      <w:r w:rsidR="00EE08AD" w:rsidRPr="00AA2821">
        <w:rPr>
          <w:rFonts w:cs="Times New Roman"/>
          <w:szCs w:val="24"/>
        </w:rPr>
        <w:t>section 13 for the purposes of subsection 12(</w:t>
      </w:r>
      <w:r w:rsidR="00FA0D85">
        <w:rPr>
          <w:rFonts w:cs="Times New Roman"/>
          <w:szCs w:val="24"/>
        </w:rPr>
        <w:t>b</w:t>
      </w:r>
      <w:r w:rsidR="00EE08AD" w:rsidRPr="00AA2821">
        <w:rPr>
          <w:rFonts w:cs="Times New Roman"/>
          <w:szCs w:val="24"/>
        </w:rPr>
        <w:t xml:space="preserve">) for </w:t>
      </w:r>
      <w:r w:rsidR="008F37C8">
        <w:rPr>
          <w:rFonts w:cs="Times New Roman"/>
          <w:szCs w:val="24"/>
        </w:rPr>
        <w:t>the</w:t>
      </w:r>
      <w:r w:rsidR="00EE08AD" w:rsidRPr="00AA2821">
        <w:rPr>
          <w:rFonts w:cs="Times New Roman"/>
          <w:szCs w:val="24"/>
        </w:rPr>
        <w:t xml:space="preserve"> year.</w:t>
      </w:r>
    </w:p>
    <w:p w14:paraId="2B413E60" w14:textId="1B9638BC" w:rsidR="00552BB9" w:rsidRPr="00EE08AD" w:rsidRDefault="00EE08AD" w:rsidP="00664700">
      <w:pPr>
        <w:widowControl w:val="0"/>
        <w:spacing w:line="240" w:lineRule="auto"/>
        <w:rPr>
          <w:rFonts w:cs="Times New Roman"/>
          <w:szCs w:val="24"/>
        </w:rPr>
      </w:pPr>
      <w:r w:rsidRPr="00AA2821">
        <w:rPr>
          <w:rFonts w:cs="Times New Roman"/>
          <w:szCs w:val="24"/>
        </w:rPr>
        <w:t xml:space="preserve">Section </w:t>
      </w:r>
      <w:r w:rsidR="00F17EAF">
        <w:rPr>
          <w:rFonts w:cs="Times New Roman"/>
          <w:szCs w:val="24"/>
        </w:rPr>
        <w:t>9</w:t>
      </w:r>
      <w:r w:rsidR="00F17EAF" w:rsidRPr="00AA2821">
        <w:rPr>
          <w:rFonts w:cs="Times New Roman"/>
          <w:szCs w:val="24"/>
        </w:rPr>
        <w:t xml:space="preserve"> </w:t>
      </w:r>
      <w:r w:rsidRPr="00AA2821">
        <w:rPr>
          <w:rFonts w:cs="Times New Roman"/>
          <w:szCs w:val="24"/>
        </w:rPr>
        <w:t>of the Instrument provides that the percentage for the purposes of subsection 12(</w:t>
      </w:r>
      <w:r w:rsidR="00FA0D85">
        <w:rPr>
          <w:rFonts w:cs="Times New Roman"/>
          <w:szCs w:val="24"/>
        </w:rPr>
        <w:t>b</w:t>
      </w:r>
      <w:r w:rsidRPr="00AA2821">
        <w:rPr>
          <w:rFonts w:cs="Times New Roman"/>
          <w:szCs w:val="24"/>
        </w:rPr>
        <w:t>) of the Act is 0.1</w:t>
      </w:r>
      <w:r w:rsidR="001E11A0">
        <w:rPr>
          <w:rFonts w:cs="Times New Roman"/>
          <w:szCs w:val="24"/>
        </w:rPr>
        <w:t>0</w:t>
      </w:r>
      <w:r w:rsidR="00523BF0">
        <w:rPr>
          <w:rFonts w:cs="Times New Roman"/>
          <w:szCs w:val="24"/>
        </w:rPr>
        <w:t xml:space="preserve"> per cent</w:t>
      </w:r>
      <w:r w:rsidRPr="00AA2821">
        <w:rPr>
          <w:rFonts w:cs="Times New Roman"/>
          <w:szCs w:val="24"/>
        </w:rPr>
        <w:t>.</w:t>
      </w:r>
    </w:p>
    <w:sectPr w:rsidR="00552BB9" w:rsidRPr="00EE08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6B53" w14:textId="77777777" w:rsidR="001130AD" w:rsidRDefault="001130AD" w:rsidP="00783FAB">
      <w:pPr>
        <w:spacing w:after="0" w:line="240" w:lineRule="auto"/>
      </w:pPr>
      <w:r>
        <w:separator/>
      </w:r>
    </w:p>
  </w:endnote>
  <w:endnote w:type="continuationSeparator" w:id="0">
    <w:p w14:paraId="7F9AD7C8" w14:textId="77777777" w:rsidR="001130AD" w:rsidRDefault="001130AD" w:rsidP="00783FAB">
      <w:pPr>
        <w:spacing w:after="0" w:line="240" w:lineRule="auto"/>
      </w:pPr>
      <w:r>
        <w:continuationSeparator/>
      </w:r>
    </w:p>
  </w:endnote>
  <w:endnote w:type="continuationNotice" w:id="1">
    <w:p w14:paraId="41EDF304" w14:textId="77777777" w:rsidR="001130AD" w:rsidRDefault="0011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245E" w14:textId="0DFFBC59" w:rsidR="000C40A6" w:rsidRDefault="00C719BF">
    <w:pPr>
      <w:pStyle w:val="Footer"/>
      <w:jc w:val="center"/>
    </w:pPr>
    <w:sdt>
      <w:sdtPr>
        <w:id w:val="-2010061254"/>
        <w:docPartObj>
          <w:docPartGallery w:val="Page Numbers (Bottom of Page)"/>
          <w:docPartUnique/>
        </w:docPartObj>
      </w:sdtPr>
      <w:sdtEndPr>
        <w:rPr>
          <w:noProof/>
        </w:rPr>
      </w:sdtEndPr>
      <w:sdtContent>
        <w:r w:rsidR="000C40A6">
          <w:fldChar w:fldCharType="begin"/>
        </w:r>
        <w:r w:rsidR="000C40A6">
          <w:instrText xml:space="preserve"> PAGE   \* MERGEFORMAT </w:instrText>
        </w:r>
        <w:r w:rsidR="000C40A6">
          <w:fldChar w:fldCharType="separate"/>
        </w:r>
        <w:r w:rsidR="00591E8B">
          <w:rPr>
            <w:noProof/>
          </w:rPr>
          <w:t>1</w:t>
        </w:r>
        <w:r w:rsidR="000C40A6">
          <w:rPr>
            <w:noProof/>
          </w:rPr>
          <w:fldChar w:fldCharType="end"/>
        </w:r>
      </w:sdtContent>
    </w:sdt>
  </w:p>
  <w:p w14:paraId="43600137" w14:textId="77777777" w:rsidR="000C40A6" w:rsidRDefault="000C40A6"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BC5A" w14:textId="77777777" w:rsidR="001130AD" w:rsidRDefault="001130AD" w:rsidP="00783FAB">
      <w:pPr>
        <w:spacing w:after="0" w:line="240" w:lineRule="auto"/>
      </w:pPr>
      <w:r>
        <w:separator/>
      </w:r>
    </w:p>
  </w:footnote>
  <w:footnote w:type="continuationSeparator" w:id="0">
    <w:p w14:paraId="60C29BFE" w14:textId="77777777" w:rsidR="001130AD" w:rsidRDefault="001130AD" w:rsidP="00783FAB">
      <w:pPr>
        <w:spacing w:after="0" w:line="240" w:lineRule="auto"/>
      </w:pPr>
      <w:r>
        <w:continuationSeparator/>
      </w:r>
    </w:p>
  </w:footnote>
  <w:footnote w:type="continuationNotice" w:id="1">
    <w:p w14:paraId="56F9AE86" w14:textId="77777777" w:rsidR="001130AD" w:rsidRDefault="001130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1" w15:restartNumberingAfterBreak="0">
    <w:nsid w:val="03F6240A"/>
    <w:multiLevelType w:val="hybridMultilevel"/>
    <w:tmpl w:val="E05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143A1D"/>
    <w:multiLevelType w:val="hybridMultilevel"/>
    <w:tmpl w:val="7178A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AF173C"/>
    <w:multiLevelType w:val="hybridMultilevel"/>
    <w:tmpl w:val="0346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6C3A22"/>
    <w:multiLevelType w:val="hybridMultilevel"/>
    <w:tmpl w:val="BCACB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71E0D"/>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BF0D4D"/>
    <w:multiLevelType w:val="hybridMultilevel"/>
    <w:tmpl w:val="F18E6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177F0C"/>
    <w:multiLevelType w:val="hybridMultilevel"/>
    <w:tmpl w:val="91725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BD95BFB"/>
    <w:multiLevelType w:val="hybridMultilevel"/>
    <w:tmpl w:val="0C0A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950F74"/>
    <w:multiLevelType w:val="hybridMultilevel"/>
    <w:tmpl w:val="FB26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211E2E"/>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4A67A7"/>
    <w:multiLevelType w:val="hybridMultilevel"/>
    <w:tmpl w:val="91AE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BC6544"/>
    <w:multiLevelType w:val="hybridMultilevel"/>
    <w:tmpl w:val="3E7C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5214E0"/>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9F5BFE"/>
    <w:multiLevelType w:val="hybridMultilevel"/>
    <w:tmpl w:val="E66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C5591E"/>
    <w:multiLevelType w:val="hybridMultilevel"/>
    <w:tmpl w:val="42F66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1B28B3"/>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4830EA"/>
    <w:multiLevelType w:val="hybridMultilevel"/>
    <w:tmpl w:val="584E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5"/>
  </w:num>
  <w:num w:numId="4">
    <w:abstractNumId w:val="16"/>
  </w:num>
  <w:num w:numId="5">
    <w:abstractNumId w:val="3"/>
  </w:num>
  <w:num w:numId="6">
    <w:abstractNumId w:val="15"/>
  </w:num>
  <w:num w:numId="7">
    <w:abstractNumId w:val="18"/>
  </w:num>
  <w:num w:numId="8">
    <w:abstractNumId w:val="10"/>
  </w:num>
  <w:num w:numId="9">
    <w:abstractNumId w:val="7"/>
  </w:num>
  <w:num w:numId="10">
    <w:abstractNumId w:val="13"/>
  </w:num>
  <w:num w:numId="11">
    <w:abstractNumId w:val="8"/>
  </w:num>
  <w:num w:numId="12">
    <w:abstractNumId w:val="14"/>
  </w:num>
  <w:num w:numId="13">
    <w:abstractNumId w:val="11"/>
  </w:num>
  <w:num w:numId="14">
    <w:abstractNumId w:val="2"/>
  </w:num>
  <w:num w:numId="15">
    <w:abstractNumId w:val="12"/>
  </w:num>
  <w:num w:numId="16">
    <w:abstractNumId w:val="0"/>
  </w:num>
  <w:num w:numId="17">
    <w:abstractNumId w:val="19"/>
  </w:num>
  <w:num w:numId="18">
    <w:abstractNumId w:val="9"/>
  </w:num>
  <w:num w:numId="19">
    <w:abstractNumId w:val="17"/>
  </w:num>
  <w:num w:numId="20">
    <w:abstractNumId w:val="1"/>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F1D"/>
    <w:rsid w:val="00003184"/>
    <w:rsid w:val="000036EB"/>
    <w:rsid w:val="0000395C"/>
    <w:rsid w:val="00006BB4"/>
    <w:rsid w:val="00011C76"/>
    <w:rsid w:val="00011E4D"/>
    <w:rsid w:val="000138CF"/>
    <w:rsid w:val="00013B17"/>
    <w:rsid w:val="000140D5"/>
    <w:rsid w:val="000146FA"/>
    <w:rsid w:val="0001554B"/>
    <w:rsid w:val="00016AFF"/>
    <w:rsid w:val="00017F54"/>
    <w:rsid w:val="000204AA"/>
    <w:rsid w:val="00020CFE"/>
    <w:rsid w:val="00022AA3"/>
    <w:rsid w:val="00022B73"/>
    <w:rsid w:val="00023603"/>
    <w:rsid w:val="000249AF"/>
    <w:rsid w:val="000269D3"/>
    <w:rsid w:val="000305EA"/>
    <w:rsid w:val="00031E3C"/>
    <w:rsid w:val="00032CB3"/>
    <w:rsid w:val="00033305"/>
    <w:rsid w:val="00036336"/>
    <w:rsid w:val="00036FAE"/>
    <w:rsid w:val="00042DE6"/>
    <w:rsid w:val="000443B1"/>
    <w:rsid w:val="00044508"/>
    <w:rsid w:val="00044947"/>
    <w:rsid w:val="00046216"/>
    <w:rsid w:val="00047668"/>
    <w:rsid w:val="00047A2A"/>
    <w:rsid w:val="0005010D"/>
    <w:rsid w:val="0005020B"/>
    <w:rsid w:val="00055EC4"/>
    <w:rsid w:val="00057815"/>
    <w:rsid w:val="00057A1E"/>
    <w:rsid w:val="00057FE3"/>
    <w:rsid w:val="000614A1"/>
    <w:rsid w:val="00062794"/>
    <w:rsid w:val="00063E7B"/>
    <w:rsid w:val="0006484E"/>
    <w:rsid w:val="000668B0"/>
    <w:rsid w:val="00071C25"/>
    <w:rsid w:val="00076E76"/>
    <w:rsid w:val="00083F41"/>
    <w:rsid w:val="000846B7"/>
    <w:rsid w:val="00084E05"/>
    <w:rsid w:val="00086821"/>
    <w:rsid w:val="00087BD5"/>
    <w:rsid w:val="00090084"/>
    <w:rsid w:val="00095946"/>
    <w:rsid w:val="00095D62"/>
    <w:rsid w:val="000A2A28"/>
    <w:rsid w:val="000A2D3A"/>
    <w:rsid w:val="000A3124"/>
    <w:rsid w:val="000A35D6"/>
    <w:rsid w:val="000B0D52"/>
    <w:rsid w:val="000B1BE1"/>
    <w:rsid w:val="000B3914"/>
    <w:rsid w:val="000B573B"/>
    <w:rsid w:val="000B6430"/>
    <w:rsid w:val="000C10BA"/>
    <w:rsid w:val="000C224C"/>
    <w:rsid w:val="000C34FD"/>
    <w:rsid w:val="000C40A6"/>
    <w:rsid w:val="000C4D6B"/>
    <w:rsid w:val="000C6C7C"/>
    <w:rsid w:val="000C7CAB"/>
    <w:rsid w:val="000D1472"/>
    <w:rsid w:val="000D2A8D"/>
    <w:rsid w:val="000D3195"/>
    <w:rsid w:val="000D5E6D"/>
    <w:rsid w:val="000E1F67"/>
    <w:rsid w:val="000E3516"/>
    <w:rsid w:val="000E426D"/>
    <w:rsid w:val="000E57DB"/>
    <w:rsid w:val="000E684C"/>
    <w:rsid w:val="000E6FD6"/>
    <w:rsid w:val="000F1811"/>
    <w:rsid w:val="000F3CC1"/>
    <w:rsid w:val="000F60C7"/>
    <w:rsid w:val="000F63A6"/>
    <w:rsid w:val="000F7A8C"/>
    <w:rsid w:val="00103015"/>
    <w:rsid w:val="00103253"/>
    <w:rsid w:val="001042BA"/>
    <w:rsid w:val="001130AD"/>
    <w:rsid w:val="001163C5"/>
    <w:rsid w:val="00120A34"/>
    <w:rsid w:val="00121330"/>
    <w:rsid w:val="00124260"/>
    <w:rsid w:val="00125A8E"/>
    <w:rsid w:val="00127CD8"/>
    <w:rsid w:val="001301AD"/>
    <w:rsid w:val="001334D9"/>
    <w:rsid w:val="0013558A"/>
    <w:rsid w:val="00135995"/>
    <w:rsid w:val="001377D9"/>
    <w:rsid w:val="00137ACD"/>
    <w:rsid w:val="00140DAD"/>
    <w:rsid w:val="00140E3D"/>
    <w:rsid w:val="001421FE"/>
    <w:rsid w:val="001437EA"/>
    <w:rsid w:val="00144950"/>
    <w:rsid w:val="00145BE1"/>
    <w:rsid w:val="0015276C"/>
    <w:rsid w:val="00152947"/>
    <w:rsid w:val="0015508C"/>
    <w:rsid w:val="00160153"/>
    <w:rsid w:val="00161A1F"/>
    <w:rsid w:val="00167273"/>
    <w:rsid w:val="0017006A"/>
    <w:rsid w:val="00173A64"/>
    <w:rsid w:val="00173E0C"/>
    <w:rsid w:val="00176DAD"/>
    <w:rsid w:val="00183860"/>
    <w:rsid w:val="00185491"/>
    <w:rsid w:val="00190A5C"/>
    <w:rsid w:val="00195030"/>
    <w:rsid w:val="00197C3F"/>
    <w:rsid w:val="001A2FE9"/>
    <w:rsid w:val="001A3667"/>
    <w:rsid w:val="001A4262"/>
    <w:rsid w:val="001A4389"/>
    <w:rsid w:val="001A5F65"/>
    <w:rsid w:val="001B3C7A"/>
    <w:rsid w:val="001B634D"/>
    <w:rsid w:val="001B693A"/>
    <w:rsid w:val="001C1BA2"/>
    <w:rsid w:val="001C2347"/>
    <w:rsid w:val="001C279F"/>
    <w:rsid w:val="001D00E3"/>
    <w:rsid w:val="001D0AF3"/>
    <w:rsid w:val="001D1D8A"/>
    <w:rsid w:val="001D2554"/>
    <w:rsid w:val="001D36EE"/>
    <w:rsid w:val="001D6670"/>
    <w:rsid w:val="001E07CE"/>
    <w:rsid w:val="001E11A0"/>
    <w:rsid w:val="001E52EB"/>
    <w:rsid w:val="001E5A0B"/>
    <w:rsid w:val="001F127D"/>
    <w:rsid w:val="001F3626"/>
    <w:rsid w:val="001F3C74"/>
    <w:rsid w:val="001F4E48"/>
    <w:rsid w:val="001F7336"/>
    <w:rsid w:val="00200358"/>
    <w:rsid w:val="002005CD"/>
    <w:rsid w:val="00201F75"/>
    <w:rsid w:val="00202EC1"/>
    <w:rsid w:val="00203492"/>
    <w:rsid w:val="00204283"/>
    <w:rsid w:val="00204EEF"/>
    <w:rsid w:val="00205DBD"/>
    <w:rsid w:val="00207297"/>
    <w:rsid w:val="002079B5"/>
    <w:rsid w:val="00212962"/>
    <w:rsid w:val="0021309F"/>
    <w:rsid w:val="0021337D"/>
    <w:rsid w:val="00216A1C"/>
    <w:rsid w:val="002202BF"/>
    <w:rsid w:val="00223F40"/>
    <w:rsid w:val="00223F82"/>
    <w:rsid w:val="00224C52"/>
    <w:rsid w:val="00232304"/>
    <w:rsid w:val="002323C8"/>
    <w:rsid w:val="002378EE"/>
    <w:rsid w:val="00240E9B"/>
    <w:rsid w:val="0024237C"/>
    <w:rsid w:val="00242557"/>
    <w:rsid w:val="002445E3"/>
    <w:rsid w:val="00247EBF"/>
    <w:rsid w:val="00261499"/>
    <w:rsid w:val="002672A4"/>
    <w:rsid w:val="002747E8"/>
    <w:rsid w:val="00274EEA"/>
    <w:rsid w:val="0027686D"/>
    <w:rsid w:val="002808A9"/>
    <w:rsid w:val="00284C9D"/>
    <w:rsid w:val="002905CD"/>
    <w:rsid w:val="00292863"/>
    <w:rsid w:val="00294430"/>
    <w:rsid w:val="0029629F"/>
    <w:rsid w:val="00296CA7"/>
    <w:rsid w:val="00296FAF"/>
    <w:rsid w:val="00297EAB"/>
    <w:rsid w:val="002A15F1"/>
    <w:rsid w:val="002A4961"/>
    <w:rsid w:val="002A5969"/>
    <w:rsid w:val="002B313C"/>
    <w:rsid w:val="002B5C28"/>
    <w:rsid w:val="002B69F9"/>
    <w:rsid w:val="002B7524"/>
    <w:rsid w:val="002C0F65"/>
    <w:rsid w:val="002C1F84"/>
    <w:rsid w:val="002C317E"/>
    <w:rsid w:val="002D1504"/>
    <w:rsid w:val="002D564A"/>
    <w:rsid w:val="002E12E6"/>
    <w:rsid w:val="002E1AF9"/>
    <w:rsid w:val="002F075E"/>
    <w:rsid w:val="002F305C"/>
    <w:rsid w:val="002F520F"/>
    <w:rsid w:val="002F76C6"/>
    <w:rsid w:val="002F7E8F"/>
    <w:rsid w:val="00304A88"/>
    <w:rsid w:val="00304E64"/>
    <w:rsid w:val="00307358"/>
    <w:rsid w:val="0031070C"/>
    <w:rsid w:val="00311914"/>
    <w:rsid w:val="00311D30"/>
    <w:rsid w:val="00313612"/>
    <w:rsid w:val="00314153"/>
    <w:rsid w:val="00316053"/>
    <w:rsid w:val="003170AC"/>
    <w:rsid w:val="00326C24"/>
    <w:rsid w:val="0033070E"/>
    <w:rsid w:val="00335E4B"/>
    <w:rsid w:val="00340E25"/>
    <w:rsid w:val="003440C7"/>
    <w:rsid w:val="00346EBB"/>
    <w:rsid w:val="00350779"/>
    <w:rsid w:val="00353D81"/>
    <w:rsid w:val="00354743"/>
    <w:rsid w:val="0035767C"/>
    <w:rsid w:val="00365D2C"/>
    <w:rsid w:val="00367C2D"/>
    <w:rsid w:val="0037028F"/>
    <w:rsid w:val="003719BF"/>
    <w:rsid w:val="0037264D"/>
    <w:rsid w:val="003733B6"/>
    <w:rsid w:val="003733DC"/>
    <w:rsid w:val="00375010"/>
    <w:rsid w:val="0037728A"/>
    <w:rsid w:val="00377427"/>
    <w:rsid w:val="00383A53"/>
    <w:rsid w:val="00386B68"/>
    <w:rsid w:val="00386E17"/>
    <w:rsid w:val="0038758C"/>
    <w:rsid w:val="003913F1"/>
    <w:rsid w:val="00393A61"/>
    <w:rsid w:val="00394454"/>
    <w:rsid w:val="00395655"/>
    <w:rsid w:val="003957E1"/>
    <w:rsid w:val="003A04A9"/>
    <w:rsid w:val="003A0965"/>
    <w:rsid w:val="003A373E"/>
    <w:rsid w:val="003A3B41"/>
    <w:rsid w:val="003A3D0E"/>
    <w:rsid w:val="003A4424"/>
    <w:rsid w:val="003A530C"/>
    <w:rsid w:val="003A5841"/>
    <w:rsid w:val="003A59CD"/>
    <w:rsid w:val="003A7B17"/>
    <w:rsid w:val="003B1C38"/>
    <w:rsid w:val="003B29B0"/>
    <w:rsid w:val="003B2DA8"/>
    <w:rsid w:val="003B3044"/>
    <w:rsid w:val="003B3656"/>
    <w:rsid w:val="003B53FF"/>
    <w:rsid w:val="003B61E6"/>
    <w:rsid w:val="003B6C23"/>
    <w:rsid w:val="003B6C2D"/>
    <w:rsid w:val="003B7171"/>
    <w:rsid w:val="003C0110"/>
    <w:rsid w:val="003C0D20"/>
    <w:rsid w:val="003C16A9"/>
    <w:rsid w:val="003C202D"/>
    <w:rsid w:val="003D0129"/>
    <w:rsid w:val="003D3E38"/>
    <w:rsid w:val="003D47C4"/>
    <w:rsid w:val="003D5BA3"/>
    <w:rsid w:val="003D7CE2"/>
    <w:rsid w:val="003E0A42"/>
    <w:rsid w:val="003E0ACA"/>
    <w:rsid w:val="003E332E"/>
    <w:rsid w:val="003E4413"/>
    <w:rsid w:val="003E5B26"/>
    <w:rsid w:val="003F09F7"/>
    <w:rsid w:val="003F1AA1"/>
    <w:rsid w:val="003F24BC"/>
    <w:rsid w:val="003F7030"/>
    <w:rsid w:val="004011CE"/>
    <w:rsid w:val="00402CC7"/>
    <w:rsid w:val="00402D70"/>
    <w:rsid w:val="004037E5"/>
    <w:rsid w:val="00403CE4"/>
    <w:rsid w:val="004075A3"/>
    <w:rsid w:val="00410A3F"/>
    <w:rsid w:val="0041144F"/>
    <w:rsid w:val="00412115"/>
    <w:rsid w:val="004143B1"/>
    <w:rsid w:val="00415A55"/>
    <w:rsid w:val="0041666D"/>
    <w:rsid w:val="00416EF2"/>
    <w:rsid w:val="0042360B"/>
    <w:rsid w:val="00424FB5"/>
    <w:rsid w:val="00425A1E"/>
    <w:rsid w:val="00425FCB"/>
    <w:rsid w:val="00430ABF"/>
    <w:rsid w:val="00430F1B"/>
    <w:rsid w:val="004327E1"/>
    <w:rsid w:val="00432D7C"/>
    <w:rsid w:val="00433CBA"/>
    <w:rsid w:val="00434240"/>
    <w:rsid w:val="00434641"/>
    <w:rsid w:val="00434CDD"/>
    <w:rsid w:val="004355D0"/>
    <w:rsid w:val="004355E8"/>
    <w:rsid w:val="00435970"/>
    <w:rsid w:val="00436435"/>
    <w:rsid w:val="00436D43"/>
    <w:rsid w:val="00436E71"/>
    <w:rsid w:val="0044151F"/>
    <w:rsid w:val="0044372B"/>
    <w:rsid w:val="00443CC0"/>
    <w:rsid w:val="00445460"/>
    <w:rsid w:val="00446B03"/>
    <w:rsid w:val="0044797F"/>
    <w:rsid w:val="00455C2A"/>
    <w:rsid w:val="00465233"/>
    <w:rsid w:val="00465BB9"/>
    <w:rsid w:val="00466420"/>
    <w:rsid w:val="00472F61"/>
    <w:rsid w:val="00481DE1"/>
    <w:rsid w:val="00482B9D"/>
    <w:rsid w:val="00482F83"/>
    <w:rsid w:val="00484DBC"/>
    <w:rsid w:val="00487B82"/>
    <w:rsid w:val="00490BA0"/>
    <w:rsid w:val="00494834"/>
    <w:rsid w:val="0049486C"/>
    <w:rsid w:val="00494DED"/>
    <w:rsid w:val="004A1BE4"/>
    <w:rsid w:val="004A22CF"/>
    <w:rsid w:val="004A2F70"/>
    <w:rsid w:val="004A409F"/>
    <w:rsid w:val="004A48D9"/>
    <w:rsid w:val="004A6475"/>
    <w:rsid w:val="004A6B2D"/>
    <w:rsid w:val="004A74CB"/>
    <w:rsid w:val="004B2C3F"/>
    <w:rsid w:val="004C552F"/>
    <w:rsid w:val="004D5695"/>
    <w:rsid w:val="004D665B"/>
    <w:rsid w:val="004D6DDC"/>
    <w:rsid w:val="004D7B86"/>
    <w:rsid w:val="004E725F"/>
    <w:rsid w:val="004F1A7A"/>
    <w:rsid w:val="004F2BF5"/>
    <w:rsid w:val="004F53E6"/>
    <w:rsid w:val="004F54FF"/>
    <w:rsid w:val="00503218"/>
    <w:rsid w:val="005049DA"/>
    <w:rsid w:val="00505873"/>
    <w:rsid w:val="00506F28"/>
    <w:rsid w:val="0050724E"/>
    <w:rsid w:val="005146EC"/>
    <w:rsid w:val="00515BBE"/>
    <w:rsid w:val="005169CB"/>
    <w:rsid w:val="00517337"/>
    <w:rsid w:val="005173FC"/>
    <w:rsid w:val="00523BF0"/>
    <w:rsid w:val="00524226"/>
    <w:rsid w:val="00525093"/>
    <w:rsid w:val="005265B4"/>
    <w:rsid w:val="00527330"/>
    <w:rsid w:val="00527564"/>
    <w:rsid w:val="00533466"/>
    <w:rsid w:val="005360DD"/>
    <w:rsid w:val="00536596"/>
    <w:rsid w:val="005366FF"/>
    <w:rsid w:val="00537A32"/>
    <w:rsid w:val="00543E17"/>
    <w:rsid w:val="00544743"/>
    <w:rsid w:val="0054602B"/>
    <w:rsid w:val="00546375"/>
    <w:rsid w:val="00547C5B"/>
    <w:rsid w:val="00550F73"/>
    <w:rsid w:val="00552B25"/>
    <w:rsid w:val="00552BB9"/>
    <w:rsid w:val="00556F14"/>
    <w:rsid w:val="005620CA"/>
    <w:rsid w:val="00564B47"/>
    <w:rsid w:val="0056504E"/>
    <w:rsid w:val="00566C83"/>
    <w:rsid w:val="00572401"/>
    <w:rsid w:val="005732E6"/>
    <w:rsid w:val="0057612E"/>
    <w:rsid w:val="0057699A"/>
    <w:rsid w:val="00577831"/>
    <w:rsid w:val="00577C30"/>
    <w:rsid w:val="005812FF"/>
    <w:rsid w:val="005819C8"/>
    <w:rsid w:val="0058422E"/>
    <w:rsid w:val="00584937"/>
    <w:rsid w:val="00584B84"/>
    <w:rsid w:val="005905A0"/>
    <w:rsid w:val="00590F60"/>
    <w:rsid w:val="00591956"/>
    <w:rsid w:val="00591E8B"/>
    <w:rsid w:val="00591EC0"/>
    <w:rsid w:val="00597535"/>
    <w:rsid w:val="005976F2"/>
    <w:rsid w:val="005A3C76"/>
    <w:rsid w:val="005A54B4"/>
    <w:rsid w:val="005A6FD5"/>
    <w:rsid w:val="005A7050"/>
    <w:rsid w:val="005B3CBC"/>
    <w:rsid w:val="005B510A"/>
    <w:rsid w:val="005B6B86"/>
    <w:rsid w:val="005B7232"/>
    <w:rsid w:val="005C0740"/>
    <w:rsid w:val="005C09EF"/>
    <w:rsid w:val="005C15AB"/>
    <w:rsid w:val="005C18D0"/>
    <w:rsid w:val="005E046E"/>
    <w:rsid w:val="005E0674"/>
    <w:rsid w:val="005E0B66"/>
    <w:rsid w:val="005E2026"/>
    <w:rsid w:val="005E63DD"/>
    <w:rsid w:val="005F4914"/>
    <w:rsid w:val="005F5DF6"/>
    <w:rsid w:val="005F5FA1"/>
    <w:rsid w:val="005F7D42"/>
    <w:rsid w:val="0060088C"/>
    <w:rsid w:val="00604C4E"/>
    <w:rsid w:val="00604F05"/>
    <w:rsid w:val="00605912"/>
    <w:rsid w:val="00611CE7"/>
    <w:rsid w:val="00611D31"/>
    <w:rsid w:val="00612757"/>
    <w:rsid w:val="00612795"/>
    <w:rsid w:val="00616189"/>
    <w:rsid w:val="00616A71"/>
    <w:rsid w:val="00617D7D"/>
    <w:rsid w:val="0062006D"/>
    <w:rsid w:val="00620161"/>
    <w:rsid w:val="006202A1"/>
    <w:rsid w:val="00620E47"/>
    <w:rsid w:val="0062319E"/>
    <w:rsid w:val="00625432"/>
    <w:rsid w:val="00626E42"/>
    <w:rsid w:val="00627EDA"/>
    <w:rsid w:val="006301A1"/>
    <w:rsid w:val="00630B5D"/>
    <w:rsid w:val="00633075"/>
    <w:rsid w:val="00633FAE"/>
    <w:rsid w:val="00636200"/>
    <w:rsid w:val="00645DC7"/>
    <w:rsid w:val="0064724F"/>
    <w:rsid w:val="006507CB"/>
    <w:rsid w:val="00651D68"/>
    <w:rsid w:val="00652D30"/>
    <w:rsid w:val="00656314"/>
    <w:rsid w:val="00661BE8"/>
    <w:rsid w:val="00664700"/>
    <w:rsid w:val="00664DC4"/>
    <w:rsid w:val="00667B6F"/>
    <w:rsid w:val="00667F82"/>
    <w:rsid w:val="006700AA"/>
    <w:rsid w:val="00673BED"/>
    <w:rsid w:val="00677A0D"/>
    <w:rsid w:val="00683087"/>
    <w:rsid w:val="00685653"/>
    <w:rsid w:val="00690499"/>
    <w:rsid w:val="006930D1"/>
    <w:rsid w:val="006931AD"/>
    <w:rsid w:val="006940BB"/>
    <w:rsid w:val="00695605"/>
    <w:rsid w:val="00696CF0"/>
    <w:rsid w:val="00697001"/>
    <w:rsid w:val="006A1788"/>
    <w:rsid w:val="006A1F78"/>
    <w:rsid w:val="006A666D"/>
    <w:rsid w:val="006B215F"/>
    <w:rsid w:val="006B2D99"/>
    <w:rsid w:val="006B391A"/>
    <w:rsid w:val="006B53E5"/>
    <w:rsid w:val="006B6E38"/>
    <w:rsid w:val="006B7EFD"/>
    <w:rsid w:val="006C212F"/>
    <w:rsid w:val="006C784A"/>
    <w:rsid w:val="006D1283"/>
    <w:rsid w:val="006D58E2"/>
    <w:rsid w:val="006D67CF"/>
    <w:rsid w:val="006D7B6B"/>
    <w:rsid w:val="006E3838"/>
    <w:rsid w:val="006E3C40"/>
    <w:rsid w:val="006E7699"/>
    <w:rsid w:val="006F1849"/>
    <w:rsid w:val="006F27AC"/>
    <w:rsid w:val="006F3E5C"/>
    <w:rsid w:val="006F627D"/>
    <w:rsid w:val="00701CB8"/>
    <w:rsid w:val="00701E47"/>
    <w:rsid w:val="00707E57"/>
    <w:rsid w:val="00707F49"/>
    <w:rsid w:val="007103B5"/>
    <w:rsid w:val="007118D2"/>
    <w:rsid w:val="00715C85"/>
    <w:rsid w:val="0072130B"/>
    <w:rsid w:val="007213BB"/>
    <w:rsid w:val="0072580A"/>
    <w:rsid w:val="0072758F"/>
    <w:rsid w:val="007314EF"/>
    <w:rsid w:val="00732DEF"/>
    <w:rsid w:val="00733218"/>
    <w:rsid w:val="00734DE3"/>
    <w:rsid w:val="0073763E"/>
    <w:rsid w:val="007452A0"/>
    <w:rsid w:val="00745FCA"/>
    <w:rsid w:val="00747943"/>
    <w:rsid w:val="00752BD5"/>
    <w:rsid w:val="00753090"/>
    <w:rsid w:val="0075573F"/>
    <w:rsid w:val="00756861"/>
    <w:rsid w:val="00756D99"/>
    <w:rsid w:val="00756F20"/>
    <w:rsid w:val="00757919"/>
    <w:rsid w:val="00760772"/>
    <w:rsid w:val="00760DDE"/>
    <w:rsid w:val="007620AE"/>
    <w:rsid w:val="00765C54"/>
    <w:rsid w:val="00771A5C"/>
    <w:rsid w:val="00772715"/>
    <w:rsid w:val="0077536C"/>
    <w:rsid w:val="0077606A"/>
    <w:rsid w:val="0078185E"/>
    <w:rsid w:val="00782538"/>
    <w:rsid w:val="007828DD"/>
    <w:rsid w:val="00783FAB"/>
    <w:rsid w:val="00784408"/>
    <w:rsid w:val="00784C9E"/>
    <w:rsid w:val="00784D9F"/>
    <w:rsid w:val="00785B13"/>
    <w:rsid w:val="0078679C"/>
    <w:rsid w:val="00791AAC"/>
    <w:rsid w:val="00792FEC"/>
    <w:rsid w:val="00793FFB"/>
    <w:rsid w:val="007956A4"/>
    <w:rsid w:val="00795969"/>
    <w:rsid w:val="007A02C8"/>
    <w:rsid w:val="007A667A"/>
    <w:rsid w:val="007A6AF0"/>
    <w:rsid w:val="007B1909"/>
    <w:rsid w:val="007B44CD"/>
    <w:rsid w:val="007B4836"/>
    <w:rsid w:val="007B5A79"/>
    <w:rsid w:val="007C5020"/>
    <w:rsid w:val="007C54CC"/>
    <w:rsid w:val="007D12B2"/>
    <w:rsid w:val="007D1F16"/>
    <w:rsid w:val="007D4E08"/>
    <w:rsid w:val="007D7889"/>
    <w:rsid w:val="007E00A8"/>
    <w:rsid w:val="007E16D6"/>
    <w:rsid w:val="007E1A3B"/>
    <w:rsid w:val="007E1EA5"/>
    <w:rsid w:val="007E2197"/>
    <w:rsid w:val="007E3446"/>
    <w:rsid w:val="007E3447"/>
    <w:rsid w:val="007E36E5"/>
    <w:rsid w:val="007E5D7C"/>
    <w:rsid w:val="007E6EC6"/>
    <w:rsid w:val="007F0ADC"/>
    <w:rsid w:val="007F2989"/>
    <w:rsid w:val="007F563E"/>
    <w:rsid w:val="00800F62"/>
    <w:rsid w:val="00802D06"/>
    <w:rsid w:val="00803447"/>
    <w:rsid w:val="008035CF"/>
    <w:rsid w:val="0080481C"/>
    <w:rsid w:val="0080584E"/>
    <w:rsid w:val="00805FEB"/>
    <w:rsid w:val="00811E34"/>
    <w:rsid w:val="00812C37"/>
    <w:rsid w:val="008134D5"/>
    <w:rsid w:val="00813A38"/>
    <w:rsid w:val="00816EE1"/>
    <w:rsid w:val="00823B66"/>
    <w:rsid w:val="00824A98"/>
    <w:rsid w:val="00825059"/>
    <w:rsid w:val="008308D6"/>
    <w:rsid w:val="00830E59"/>
    <w:rsid w:val="008310AA"/>
    <w:rsid w:val="008328A1"/>
    <w:rsid w:val="00834114"/>
    <w:rsid w:val="008356A0"/>
    <w:rsid w:val="008379D5"/>
    <w:rsid w:val="00842C80"/>
    <w:rsid w:val="00844D23"/>
    <w:rsid w:val="0084727D"/>
    <w:rsid w:val="008517D8"/>
    <w:rsid w:val="00855239"/>
    <w:rsid w:val="00855A95"/>
    <w:rsid w:val="00856BC4"/>
    <w:rsid w:val="00861278"/>
    <w:rsid w:val="008613E0"/>
    <w:rsid w:val="008627B0"/>
    <w:rsid w:val="008662EE"/>
    <w:rsid w:val="00867101"/>
    <w:rsid w:val="00874C1C"/>
    <w:rsid w:val="008755D8"/>
    <w:rsid w:val="00882A6D"/>
    <w:rsid w:val="0088497A"/>
    <w:rsid w:val="0088604D"/>
    <w:rsid w:val="00891889"/>
    <w:rsid w:val="008932B5"/>
    <w:rsid w:val="00893660"/>
    <w:rsid w:val="008A1F97"/>
    <w:rsid w:val="008A6224"/>
    <w:rsid w:val="008B0F4C"/>
    <w:rsid w:val="008B478B"/>
    <w:rsid w:val="008B61B7"/>
    <w:rsid w:val="008C0028"/>
    <w:rsid w:val="008C48EF"/>
    <w:rsid w:val="008C491D"/>
    <w:rsid w:val="008C497B"/>
    <w:rsid w:val="008C76FD"/>
    <w:rsid w:val="008D00F4"/>
    <w:rsid w:val="008D3C43"/>
    <w:rsid w:val="008D5256"/>
    <w:rsid w:val="008D70C1"/>
    <w:rsid w:val="008D72EA"/>
    <w:rsid w:val="008D7625"/>
    <w:rsid w:val="008E0181"/>
    <w:rsid w:val="008E0CA6"/>
    <w:rsid w:val="008E30D6"/>
    <w:rsid w:val="008E30D9"/>
    <w:rsid w:val="008E68D3"/>
    <w:rsid w:val="008E79DF"/>
    <w:rsid w:val="008F002D"/>
    <w:rsid w:val="008F01B9"/>
    <w:rsid w:val="008F37C8"/>
    <w:rsid w:val="008F37FE"/>
    <w:rsid w:val="008F43E8"/>
    <w:rsid w:val="008F7F3A"/>
    <w:rsid w:val="00902A26"/>
    <w:rsid w:val="00903257"/>
    <w:rsid w:val="00903935"/>
    <w:rsid w:val="009048A2"/>
    <w:rsid w:val="00905C61"/>
    <w:rsid w:val="00907D61"/>
    <w:rsid w:val="00910064"/>
    <w:rsid w:val="009114DC"/>
    <w:rsid w:val="00911D92"/>
    <w:rsid w:val="009121D3"/>
    <w:rsid w:val="0091645D"/>
    <w:rsid w:val="009176F5"/>
    <w:rsid w:val="00922DAE"/>
    <w:rsid w:val="00930D2C"/>
    <w:rsid w:val="009328B1"/>
    <w:rsid w:val="00933AD6"/>
    <w:rsid w:val="00933D25"/>
    <w:rsid w:val="00936851"/>
    <w:rsid w:val="009421AA"/>
    <w:rsid w:val="0094476A"/>
    <w:rsid w:val="009451DA"/>
    <w:rsid w:val="00946247"/>
    <w:rsid w:val="0094774B"/>
    <w:rsid w:val="009561B8"/>
    <w:rsid w:val="009601CD"/>
    <w:rsid w:val="00964F03"/>
    <w:rsid w:val="00967201"/>
    <w:rsid w:val="00970AAB"/>
    <w:rsid w:val="00974504"/>
    <w:rsid w:val="00975A4A"/>
    <w:rsid w:val="00976413"/>
    <w:rsid w:val="009767B4"/>
    <w:rsid w:val="00977D37"/>
    <w:rsid w:val="00977D58"/>
    <w:rsid w:val="009807AE"/>
    <w:rsid w:val="0098470A"/>
    <w:rsid w:val="00985F01"/>
    <w:rsid w:val="00990334"/>
    <w:rsid w:val="00990DB6"/>
    <w:rsid w:val="00991158"/>
    <w:rsid w:val="0099199E"/>
    <w:rsid w:val="009950B8"/>
    <w:rsid w:val="00995C44"/>
    <w:rsid w:val="009A04A5"/>
    <w:rsid w:val="009A35A0"/>
    <w:rsid w:val="009A7C11"/>
    <w:rsid w:val="009A7CFA"/>
    <w:rsid w:val="009B0C51"/>
    <w:rsid w:val="009B2183"/>
    <w:rsid w:val="009B29AC"/>
    <w:rsid w:val="009B4B7F"/>
    <w:rsid w:val="009B5F7D"/>
    <w:rsid w:val="009C0F35"/>
    <w:rsid w:val="009C10C1"/>
    <w:rsid w:val="009C1A99"/>
    <w:rsid w:val="009C4F55"/>
    <w:rsid w:val="009C5C47"/>
    <w:rsid w:val="009C5E5D"/>
    <w:rsid w:val="009D21F8"/>
    <w:rsid w:val="009D23FB"/>
    <w:rsid w:val="009D7562"/>
    <w:rsid w:val="009D75F2"/>
    <w:rsid w:val="009D7B8F"/>
    <w:rsid w:val="009E0803"/>
    <w:rsid w:val="009E1428"/>
    <w:rsid w:val="009E7198"/>
    <w:rsid w:val="009E7C1C"/>
    <w:rsid w:val="009E7E19"/>
    <w:rsid w:val="009F02E3"/>
    <w:rsid w:val="009F13BF"/>
    <w:rsid w:val="009F1D34"/>
    <w:rsid w:val="009F4C47"/>
    <w:rsid w:val="009F528F"/>
    <w:rsid w:val="009F6AC9"/>
    <w:rsid w:val="00A0472C"/>
    <w:rsid w:val="00A105DA"/>
    <w:rsid w:val="00A17294"/>
    <w:rsid w:val="00A17888"/>
    <w:rsid w:val="00A20031"/>
    <w:rsid w:val="00A202D5"/>
    <w:rsid w:val="00A204FD"/>
    <w:rsid w:val="00A22A6B"/>
    <w:rsid w:val="00A23CDC"/>
    <w:rsid w:val="00A23D1B"/>
    <w:rsid w:val="00A24596"/>
    <w:rsid w:val="00A24B24"/>
    <w:rsid w:val="00A25E6C"/>
    <w:rsid w:val="00A34958"/>
    <w:rsid w:val="00A3521F"/>
    <w:rsid w:val="00A36883"/>
    <w:rsid w:val="00A40C15"/>
    <w:rsid w:val="00A40E3D"/>
    <w:rsid w:val="00A40EA6"/>
    <w:rsid w:val="00A43D0C"/>
    <w:rsid w:val="00A471A5"/>
    <w:rsid w:val="00A47C4E"/>
    <w:rsid w:val="00A52753"/>
    <w:rsid w:val="00A550E8"/>
    <w:rsid w:val="00A556D1"/>
    <w:rsid w:val="00A56E8B"/>
    <w:rsid w:val="00A60693"/>
    <w:rsid w:val="00A65A31"/>
    <w:rsid w:val="00A71133"/>
    <w:rsid w:val="00A7209C"/>
    <w:rsid w:val="00A72EB2"/>
    <w:rsid w:val="00A75B28"/>
    <w:rsid w:val="00A761C7"/>
    <w:rsid w:val="00A77D42"/>
    <w:rsid w:val="00A80D57"/>
    <w:rsid w:val="00A82E17"/>
    <w:rsid w:val="00A85075"/>
    <w:rsid w:val="00A858F6"/>
    <w:rsid w:val="00A90245"/>
    <w:rsid w:val="00A93F1F"/>
    <w:rsid w:val="00A95C31"/>
    <w:rsid w:val="00AA12F7"/>
    <w:rsid w:val="00AA2821"/>
    <w:rsid w:val="00AA3173"/>
    <w:rsid w:val="00AA3A3E"/>
    <w:rsid w:val="00AB19B6"/>
    <w:rsid w:val="00AB1F59"/>
    <w:rsid w:val="00AB6222"/>
    <w:rsid w:val="00AB710E"/>
    <w:rsid w:val="00AC4504"/>
    <w:rsid w:val="00AC6ABA"/>
    <w:rsid w:val="00AC6DFB"/>
    <w:rsid w:val="00AD1649"/>
    <w:rsid w:val="00AD1C80"/>
    <w:rsid w:val="00AD2E24"/>
    <w:rsid w:val="00AD5627"/>
    <w:rsid w:val="00AD65C9"/>
    <w:rsid w:val="00AD6639"/>
    <w:rsid w:val="00AE3257"/>
    <w:rsid w:val="00AE4A25"/>
    <w:rsid w:val="00AE5CCB"/>
    <w:rsid w:val="00AE7179"/>
    <w:rsid w:val="00AF58D0"/>
    <w:rsid w:val="00AF6215"/>
    <w:rsid w:val="00AF6F6E"/>
    <w:rsid w:val="00B00017"/>
    <w:rsid w:val="00B00A18"/>
    <w:rsid w:val="00B028E1"/>
    <w:rsid w:val="00B03904"/>
    <w:rsid w:val="00B04261"/>
    <w:rsid w:val="00B11059"/>
    <w:rsid w:val="00B11323"/>
    <w:rsid w:val="00B12A41"/>
    <w:rsid w:val="00B13A2F"/>
    <w:rsid w:val="00B145D2"/>
    <w:rsid w:val="00B17365"/>
    <w:rsid w:val="00B178D3"/>
    <w:rsid w:val="00B17901"/>
    <w:rsid w:val="00B22F73"/>
    <w:rsid w:val="00B31740"/>
    <w:rsid w:val="00B339F8"/>
    <w:rsid w:val="00B37023"/>
    <w:rsid w:val="00B4065C"/>
    <w:rsid w:val="00B43045"/>
    <w:rsid w:val="00B43512"/>
    <w:rsid w:val="00B44679"/>
    <w:rsid w:val="00B52CD8"/>
    <w:rsid w:val="00B547B4"/>
    <w:rsid w:val="00B5508E"/>
    <w:rsid w:val="00B57B35"/>
    <w:rsid w:val="00B604EB"/>
    <w:rsid w:val="00B6108C"/>
    <w:rsid w:val="00B61234"/>
    <w:rsid w:val="00B67F7B"/>
    <w:rsid w:val="00B718C4"/>
    <w:rsid w:val="00B739E2"/>
    <w:rsid w:val="00B8151D"/>
    <w:rsid w:val="00B819AA"/>
    <w:rsid w:val="00B87A1F"/>
    <w:rsid w:val="00B9587D"/>
    <w:rsid w:val="00BA08E4"/>
    <w:rsid w:val="00BA54AA"/>
    <w:rsid w:val="00BB1DC0"/>
    <w:rsid w:val="00BB2109"/>
    <w:rsid w:val="00BB2C6B"/>
    <w:rsid w:val="00BB38D4"/>
    <w:rsid w:val="00BB4D85"/>
    <w:rsid w:val="00BB61E4"/>
    <w:rsid w:val="00BB631E"/>
    <w:rsid w:val="00BB71A8"/>
    <w:rsid w:val="00BC4BD5"/>
    <w:rsid w:val="00BC50A3"/>
    <w:rsid w:val="00BC5F8C"/>
    <w:rsid w:val="00BD119B"/>
    <w:rsid w:val="00BD41D4"/>
    <w:rsid w:val="00BD465A"/>
    <w:rsid w:val="00BD47A9"/>
    <w:rsid w:val="00BD5316"/>
    <w:rsid w:val="00BD5A86"/>
    <w:rsid w:val="00BD6AC2"/>
    <w:rsid w:val="00BE214C"/>
    <w:rsid w:val="00BE21AD"/>
    <w:rsid w:val="00BE2A5B"/>
    <w:rsid w:val="00BE4918"/>
    <w:rsid w:val="00BE54C7"/>
    <w:rsid w:val="00BE5E1E"/>
    <w:rsid w:val="00BE68F9"/>
    <w:rsid w:val="00BE6BB3"/>
    <w:rsid w:val="00BF1379"/>
    <w:rsid w:val="00BF2A9B"/>
    <w:rsid w:val="00BF3DAE"/>
    <w:rsid w:val="00BF4DCF"/>
    <w:rsid w:val="00BF6014"/>
    <w:rsid w:val="00C02595"/>
    <w:rsid w:val="00C04CEA"/>
    <w:rsid w:val="00C050F7"/>
    <w:rsid w:val="00C12197"/>
    <w:rsid w:val="00C1330A"/>
    <w:rsid w:val="00C145EB"/>
    <w:rsid w:val="00C150A0"/>
    <w:rsid w:val="00C23590"/>
    <w:rsid w:val="00C2416A"/>
    <w:rsid w:val="00C30E45"/>
    <w:rsid w:val="00C315CD"/>
    <w:rsid w:val="00C325A5"/>
    <w:rsid w:val="00C36A15"/>
    <w:rsid w:val="00C3701B"/>
    <w:rsid w:val="00C37043"/>
    <w:rsid w:val="00C413ED"/>
    <w:rsid w:val="00C4300F"/>
    <w:rsid w:val="00C44977"/>
    <w:rsid w:val="00C45661"/>
    <w:rsid w:val="00C5010C"/>
    <w:rsid w:val="00C553F5"/>
    <w:rsid w:val="00C62BC1"/>
    <w:rsid w:val="00C64467"/>
    <w:rsid w:val="00C64879"/>
    <w:rsid w:val="00C66953"/>
    <w:rsid w:val="00C705B1"/>
    <w:rsid w:val="00C719BF"/>
    <w:rsid w:val="00C73133"/>
    <w:rsid w:val="00C731FA"/>
    <w:rsid w:val="00C7617C"/>
    <w:rsid w:val="00C81B32"/>
    <w:rsid w:val="00C82C91"/>
    <w:rsid w:val="00C846A2"/>
    <w:rsid w:val="00C84B70"/>
    <w:rsid w:val="00C90EFC"/>
    <w:rsid w:val="00C90FC4"/>
    <w:rsid w:val="00C91105"/>
    <w:rsid w:val="00C954B7"/>
    <w:rsid w:val="00C9591A"/>
    <w:rsid w:val="00CA1E5D"/>
    <w:rsid w:val="00CA329A"/>
    <w:rsid w:val="00CA46AC"/>
    <w:rsid w:val="00CA4F71"/>
    <w:rsid w:val="00CA67BE"/>
    <w:rsid w:val="00CA6D74"/>
    <w:rsid w:val="00CB1C86"/>
    <w:rsid w:val="00CB337B"/>
    <w:rsid w:val="00CB45D5"/>
    <w:rsid w:val="00CB7A83"/>
    <w:rsid w:val="00CC3ABE"/>
    <w:rsid w:val="00CC3AE0"/>
    <w:rsid w:val="00CC3C0B"/>
    <w:rsid w:val="00CC3CD3"/>
    <w:rsid w:val="00CC4C6D"/>
    <w:rsid w:val="00CC5655"/>
    <w:rsid w:val="00CC5880"/>
    <w:rsid w:val="00CD20F8"/>
    <w:rsid w:val="00CD3705"/>
    <w:rsid w:val="00CD6E72"/>
    <w:rsid w:val="00CE3EA5"/>
    <w:rsid w:val="00CF1C96"/>
    <w:rsid w:val="00CF5A8C"/>
    <w:rsid w:val="00D010D3"/>
    <w:rsid w:val="00D05A8C"/>
    <w:rsid w:val="00D119DD"/>
    <w:rsid w:val="00D14A9D"/>
    <w:rsid w:val="00D17A67"/>
    <w:rsid w:val="00D17FC6"/>
    <w:rsid w:val="00D20A2E"/>
    <w:rsid w:val="00D217D1"/>
    <w:rsid w:val="00D2517F"/>
    <w:rsid w:val="00D25298"/>
    <w:rsid w:val="00D26F4F"/>
    <w:rsid w:val="00D306B5"/>
    <w:rsid w:val="00D326CC"/>
    <w:rsid w:val="00D33183"/>
    <w:rsid w:val="00D35379"/>
    <w:rsid w:val="00D3758C"/>
    <w:rsid w:val="00D46134"/>
    <w:rsid w:val="00D468A9"/>
    <w:rsid w:val="00D50946"/>
    <w:rsid w:val="00D5387E"/>
    <w:rsid w:val="00D56A3B"/>
    <w:rsid w:val="00D56D7E"/>
    <w:rsid w:val="00D61A73"/>
    <w:rsid w:val="00D63270"/>
    <w:rsid w:val="00D63CDD"/>
    <w:rsid w:val="00D66B65"/>
    <w:rsid w:val="00D67164"/>
    <w:rsid w:val="00D708E5"/>
    <w:rsid w:val="00D70EAE"/>
    <w:rsid w:val="00D73415"/>
    <w:rsid w:val="00D74B9B"/>
    <w:rsid w:val="00D773CB"/>
    <w:rsid w:val="00D80087"/>
    <w:rsid w:val="00D8103E"/>
    <w:rsid w:val="00D818BA"/>
    <w:rsid w:val="00D830CC"/>
    <w:rsid w:val="00D842A2"/>
    <w:rsid w:val="00D84946"/>
    <w:rsid w:val="00D85668"/>
    <w:rsid w:val="00D86EB0"/>
    <w:rsid w:val="00D87EE9"/>
    <w:rsid w:val="00D93741"/>
    <w:rsid w:val="00D939ED"/>
    <w:rsid w:val="00DA552F"/>
    <w:rsid w:val="00DB0EDD"/>
    <w:rsid w:val="00DB1C9E"/>
    <w:rsid w:val="00DB2434"/>
    <w:rsid w:val="00DB27C3"/>
    <w:rsid w:val="00DB2F80"/>
    <w:rsid w:val="00DB461B"/>
    <w:rsid w:val="00DB4D35"/>
    <w:rsid w:val="00DB6247"/>
    <w:rsid w:val="00DC3E8C"/>
    <w:rsid w:val="00DC45B1"/>
    <w:rsid w:val="00DC4B5E"/>
    <w:rsid w:val="00DC5AD7"/>
    <w:rsid w:val="00DD1234"/>
    <w:rsid w:val="00DD30FD"/>
    <w:rsid w:val="00DD3B53"/>
    <w:rsid w:val="00DD408F"/>
    <w:rsid w:val="00DD40C3"/>
    <w:rsid w:val="00DD49EB"/>
    <w:rsid w:val="00DD508A"/>
    <w:rsid w:val="00DD59CA"/>
    <w:rsid w:val="00DD5F43"/>
    <w:rsid w:val="00DD651A"/>
    <w:rsid w:val="00DD7496"/>
    <w:rsid w:val="00DD7B03"/>
    <w:rsid w:val="00DE02BB"/>
    <w:rsid w:val="00DE5F92"/>
    <w:rsid w:val="00DE715E"/>
    <w:rsid w:val="00DE7C37"/>
    <w:rsid w:val="00DF13F3"/>
    <w:rsid w:val="00DF3683"/>
    <w:rsid w:val="00DF45FC"/>
    <w:rsid w:val="00DF46B2"/>
    <w:rsid w:val="00DF61B7"/>
    <w:rsid w:val="00DF620A"/>
    <w:rsid w:val="00DF6DA3"/>
    <w:rsid w:val="00DF7833"/>
    <w:rsid w:val="00E01C32"/>
    <w:rsid w:val="00E01F85"/>
    <w:rsid w:val="00E02FA0"/>
    <w:rsid w:val="00E1257E"/>
    <w:rsid w:val="00E17050"/>
    <w:rsid w:val="00E24E50"/>
    <w:rsid w:val="00E251EE"/>
    <w:rsid w:val="00E302D5"/>
    <w:rsid w:val="00E32341"/>
    <w:rsid w:val="00E33927"/>
    <w:rsid w:val="00E33FED"/>
    <w:rsid w:val="00E37AE8"/>
    <w:rsid w:val="00E40096"/>
    <w:rsid w:val="00E40E5A"/>
    <w:rsid w:val="00E43542"/>
    <w:rsid w:val="00E43F02"/>
    <w:rsid w:val="00E50D49"/>
    <w:rsid w:val="00E53A3E"/>
    <w:rsid w:val="00E5541C"/>
    <w:rsid w:val="00E55D04"/>
    <w:rsid w:val="00E60A2A"/>
    <w:rsid w:val="00E62C51"/>
    <w:rsid w:val="00E631F9"/>
    <w:rsid w:val="00E636CC"/>
    <w:rsid w:val="00E662FD"/>
    <w:rsid w:val="00E7258C"/>
    <w:rsid w:val="00E72FD0"/>
    <w:rsid w:val="00E757D0"/>
    <w:rsid w:val="00E767BE"/>
    <w:rsid w:val="00E8433D"/>
    <w:rsid w:val="00E8671C"/>
    <w:rsid w:val="00E87C3A"/>
    <w:rsid w:val="00E90298"/>
    <w:rsid w:val="00E916A2"/>
    <w:rsid w:val="00E91930"/>
    <w:rsid w:val="00E93180"/>
    <w:rsid w:val="00EA6D4F"/>
    <w:rsid w:val="00EA716A"/>
    <w:rsid w:val="00EA717A"/>
    <w:rsid w:val="00EA7EA8"/>
    <w:rsid w:val="00EB017A"/>
    <w:rsid w:val="00EB59D2"/>
    <w:rsid w:val="00EC0A15"/>
    <w:rsid w:val="00ED36C7"/>
    <w:rsid w:val="00ED5A55"/>
    <w:rsid w:val="00EE08AD"/>
    <w:rsid w:val="00EE2457"/>
    <w:rsid w:val="00EE412B"/>
    <w:rsid w:val="00EF05CD"/>
    <w:rsid w:val="00EF1B04"/>
    <w:rsid w:val="00EF4ACB"/>
    <w:rsid w:val="00EF75B1"/>
    <w:rsid w:val="00F00674"/>
    <w:rsid w:val="00F03635"/>
    <w:rsid w:val="00F0455E"/>
    <w:rsid w:val="00F054D0"/>
    <w:rsid w:val="00F0609A"/>
    <w:rsid w:val="00F1230D"/>
    <w:rsid w:val="00F14BCE"/>
    <w:rsid w:val="00F15ABD"/>
    <w:rsid w:val="00F17EAF"/>
    <w:rsid w:val="00F21042"/>
    <w:rsid w:val="00F2147D"/>
    <w:rsid w:val="00F21FAC"/>
    <w:rsid w:val="00F22FA9"/>
    <w:rsid w:val="00F250D4"/>
    <w:rsid w:val="00F3264E"/>
    <w:rsid w:val="00F32E7B"/>
    <w:rsid w:val="00F36014"/>
    <w:rsid w:val="00F36E18"/>
    <w:rsid w:val="00F37BC2"/>
    <w:rsid w:val="00F426D9"/>
    <w:rsid w:val="00F43DAD"/>
    <w:rsid w:val="00F45857"/>
    <w:rsid w:val="00F513EB"/>
    <w:rsid w:val="00F52231"/>
    <w:rsid w:val="00F5236B"/>
    <w:rsid w:val="00F5252A"/>
    <w:rsid w:val="00F52CED"/>
    <w:rsid w:val="00F54213"/>
    <w:rsid w:val="00F54266"/>
    <w:rsid w:val="00F552D2"/>
    <w:rsid w:val="00F5679F"/>
    <w:rsid w:val="00F60D6A"/>
    <w:rsid w:val="00F60F15"/>
    <w:rsid w:val="00F615B0"/>
    <w:rsid w:val="00F62708"/>
    <w:rsid w:val="00F63B9B"/>
    <w:rsid w:val="00F6460E"/>
    <w:rsid w:val="00F64CB4"/>
    <w:rsid w:val="00F65889"/>
    <w:rsid w:val="00F6622D"/>
    <w:rsid w:val="00F72398"/>
    <w:rsid w:val="00F74CC9"/>
    <w:rsid w:val="00F762E3"/>
    <w:rsid w:val="00F77106"/>
    <w:rsid w:val="00F81E21"/>
    <w:rsid w:val="00F83FA8"/>
    <w:rsid w:val="00F840F5"/>
    <w:rsid w:val="00F85B48"/>
    <w:rsid w:val="00F861AE"/>
    <w:rsid w:val="00F871D7"/>
    <w:rsid w:val="00F87FB6"/>
    <w:rsid w:val="00F90098"/>
    <w:rsid w:val="00F9205E"/>
    <w:rsid w:val="00F92FA5"/>
    <w:rsid w:val="00F935BD"/>
    <w:rsid w:val="00F93C27"/>
    <w:rsid w:val="00F96889"/>
    <w:rsid w:val="00FA0D85"/>
    <w:rsid w:val="00FA4452"/>
    <w:rsid w:val="00FA6309"/>
    <w:rsid w:val="00FA6319"/>
    <w:rsid w:val="00FB0AB7"/>
    <w:rsid w:val="00FB14CA"/>
    <w:rsid w:val="00FB33C8"/>
    <w:rsid w:val="00FB46DD"/>
    <w:rsid w:val="00FB5F82"/>
    <w:rsid w:val="00FB656A"/>
    <w:rsid w:val="00FB7019"/>
    <w:rsid w:val="00FB77AC"/>
    <w:rsid w:val="00FC522B"/>
    <w:rsid w:val="00FD0A30"/>
    <w:rsid w:val="00FD1A80"/>
    <w:rsid w:val="00FD4045"/>
    <w:rsid w:val="00FE2F0A"/>
    <w:rsid w:val="00FE412F"/>
    <w:rsid w:val="00FE46F5"/>
    <w:rsid w:val="00FE5F97"/>
    <w:rsid w:val="00FE642F"/>
    <w:rsid w:val="00FE70C2"/>
    <w:rsid w:val="00FF2A10"/>
    <w:rsid w:val="00FF557B"/>
    <w:rsid w:val="00FF57B7"/>
    <w:rsid w:val="00FF630F"/>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BA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CABNETParagraphChar">
    <w:name w:val="CABNET Paragraph. Char"/>
    <w:basedOn w:val="DefaultParagraphFont"/>
    <w:link w:val="CABNETParagraph"/>
    <w:uiPriority w:val="98"/>
    <w:locked/>
    <w:rsid w:val="00891889"/>
    <w:rPr>
      <w:rFonts w:ascii="Arial" w:hAnsi="Arial" w:cs="Arial"/>
    </w:rPr>
  </w:style>
  <w:style w:type="paragraph" w:customStyle="1" w:styleId="CABNETParagraph">
    <w:name w:val="CABNET Paragraph."/>
    <w:basedOn w:val="Normal"/>
    <w:link w:val="CABNETParagraphChar"/>
    <w:uiPriority w:val="98"/>
    <w:qFormat/>
    <w:rsid w:val="00891889"/>
    <w:pPr>
      <w:spacing w:before="120" w:after="120" w:line="240" w:lineRule="auto"/>
    </w:pPr>
    <w:rPr>
      <w:rFonts w:ascii="Arial" w:hAnsi="Arial" w:cs="Arial"/>
    </w:rPr>
  </w:style>
  <w:style w:type="paragraph" w:customStyle="1" w:styleId="paragraphsub">
    <w:name w:val="paragraph(sub)"/>
    <w:aliases w:val="aa"/>
    <w:basedOn w:val="Normal"/>
    <w:rsid w:val="00EE08AD"/>
    <w:pPr>
      <w:tabs>
        <w:tab w:val="right" w:pos="1985"/>
      </w:tabs>
      <w:spacing w:before="40" w:after="0" w:line="240" w:lineRule="auto"/>
      <w:ind w:left="2098" w:hanging="2098"/>
    </w:pPr>
    <w:rPr>
      <w:rFonts w:eastAsia="Times New Roman" w:cs="Times New Roman"/>
      <w:sz w:val="22"/>
      <w:szCs w:val="20"/>
      <w:lang w:eastAsia="en-AU"/>
    </w:rPr>
  </w:style>
  <w:style w:type="paragraph" w:customStyle="1" w:styleId="Tabletext">
    <w:name w:val="Tabletext"/>
    <w:aliases w:val="tt"/>
    <w:basedOn w:val="Normal"/>
    <w:rsid w:val="00946247"/>
    <w:pPr>
      <w:spacing w:before="60" w:after="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946247"/>
    <w:pPr>
      <w:keepNext/>
      <w:spacing w:before="60" w:after="0" w:line="240" w:lineRule="atLeast"/>
    </w:pPr>
    <w:rPr>
      <w:rFonts w:eastAsia="Times New Roman" w:cs="Times New Roman"/>
      <w:b/>
      <w:sz w:val="20"/>
      <w:szCs w:val="20"/>
      <w:lang w:eastAsia="en-AU"/>
    </w:rPr>
  </w:style>
  <w:style w:type="character" w:styleId="PlaceholderText">
    <w:name w:val="Placeholder Text"/>
    <w:basedOn w:val="DefaultParagraphFont"/>
    <w:uiPriority w:val="99"/>
    <w:semiHidden/>
    <w:rsid w:val="00946247"/>
    <w:rPr>
      <w:color w:val="808080"/>
    </w:rPr>
  </w:style>
  <w:style w:type="paragraph" w:customStyle="1" w:styleId="subsection">
    <w:name w:val="subsection"/>
    <w:aliases w:val="ss,Subsection"/>
    <w:basedOn w:val="Normal"/>
    <w:link w:val="subsectionChar"/>
    <w:rsid w:val="00946247"/>
    <w:pPr>
      <w:tabs>
        <w:tab w:val="right" w:pos="1021"/>
      </w:tabs>
      <w:spacing w:before="180" w:after="0" w:line="240" w:lineRule="auto"/>
      <w:ind w:left="1134" w:hanging="1134"/>
    </w:pPr>
    <w:rPr>
      <w:rFonts w:eastAsia="Times New Roman" w:cs="Times New Roman"/>
      <w:sz w:val="22"/>
      <w:szCs w:val="20"/>
      <w:lang w:eastAsia="en-AU"/>
    </w:rPr>
  </w:style>
  <w:style w:type="paragraph" w:customStyle="1" w:styleId="Definition">
    <w:name w:val="Definition"/>
    <w:aliases w:val="dd"/>
    <w:basedOn w:val="Normal"/>
    <w:rsid w:val="00946247"/>
    <w:pPr>
      <w:spacing w:before="180" w:after="0" w:line="240" w:lineRule="auto"/>
      <w:ind w:left="1134"/>
    </w:pPr>
    <w:rPr>
      <w:rFonts w:eastAsia="Times New Roman" w:cs="Times New Roman"/>
      <w:sz w:val="22"/>
      <w:szCs w:val="20"/>
      <w:lang w:eastAsia="en-AU"/>
    </w:rPr>
  </w:style>
  <w:style w:type="paragraph" w:customStyle="1" w:styleId="paragraph">
    <w:name w:val="paragraph"/>
    <w:aliases w:val="a"/>
    <w:basedOn w:val="Normal"/>
    <w:rsid w:val="00946247"/>
    <w:pPr>
      <w:tabs>
        <w:tab w:val="right" w:pos="1531"/>
      </w:tabs>
      <w:spacing w:before="40" w:after="0" w:line="240" w:lineRule="auto"/>
      <w:ind w:left="1644" w:hanging="164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946247"/>
    <w:rPr>
      <w:rFonts w:eastAsia="Times New Roman" w:cs="Times New Roman"/>
      <w:sz w:val="22"/>
      <w:szCs w:val="20"/>
      <w:lang w:eastAsia="en-AU"/>
    </w:rPr>
  </w:style>
  <w:style w:type="character" w:styleId="UnresolvedMention">
    <w:name w:val="Unresolved Mention"/>
    <w:basedOn w:val="DefaultParagraphFont"/>
    <w:uiPriority w:val="99"/>
    <w:semiHidden/>
    <w:unhideWhenUsed/>
    <w:rsid w:val="00090084"/>
    <w:rPr>
      <w:color w:val="605E5C"/>
      <w:shd w:val="clear" w:color="auto" w:fill="E1DFDD"/>
    </w:rPr>
  </w:style>
  <w:style w:type="character" w:customStyle="1" w:styleId="OPCCharBase">
    <w:name w:val="OPCCharBase"/>
    <w:uiPriority w:val="1"/>
    <w:qFormat/>
    <w:rsid w:val="00F76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3169">
      <w:bodyDiv w:val="1"/>
      <w:marLeft w:val="0"/>
      <w:marRight w:val="0"/>
      <w:marTop w:val="0"/>
      <w:marBottom w:val="0"/>
      <w:divBdr>
        <w:top w:val="none" w:sz="0" w:space="0" w:color="auto"/>
        <w:left w:val="none" w:sz="0" w:space="0" w:color="auto"/>
        <w:bottom w:val="none" w:sz="0" w:space="0" w:color="auto"/>
        <w:right w:val="none" w:sz="0" w:space="0" w:color="auto"/>
      </w:divBdr>
    </w:div>
    <w:div w:id="170416469">
      <w:bodyDiv w:val="1"/>
      <w:marLeft w:val="0"/>
      <w:marRight w:val="0"/>
      <w:marTop w:val="0"/>
      <w:marBottom w:val="0"/>
      <w:divBdr>
        <w:top w:val="none" w:sz="0" w:space="0" w:color="auto"/>
        <w:left w:val="none" w:sz="0" w:space="0" w:color="auto"/>
        <w:bottom w:val="none" w:sz="0" w:space="0" w:color="auto"/>
        <w:right w:val="none" w:sz="0" w:space="0" w:color="auto"/>
      </w:divBdr>
    </w:div>
    <w:div w:id="25220406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83118512">
      <w:bodyDiv w:val="1"/>
      <w:marLeft w:val="0"/>
      <w:marRight w:val="0"/>
      <w:marTop w:val="0"/>
      <w:marBottom w:val="0"/>
      <w:divBdr>
        <w:top w:val="none" w:sz="0" w:space="0" w:color="auto"/>
        <w:left w:val="none" w:sz="0" w:space="0" w:color="auto"/>
        <w:bottom w:val="none" w:sz="0" w:space="0" w:color="auto"/>
        <w:right w:val="none" w:sz="0" w:space="0" w:color="auto"/>
      </w:divBdr>
      <w:divsChild>
        <w:div w:id="1309941900">
          <w:marLeft w:val="0"/>
          <w:marRight w:val="0"/>
          <w:marTop w:val="0"/>
          <w:marBottom w:val="0"/>
          <w:divBdr>
            <w:top w:val="none" w:sz="0" w:space="0" w:color="auto"/>
            <w:left w:val="none" w:sz="0" w:space="0" w:color="auto"/>
            <w:bottom w:val="none" w:sz="0" w:space="0" w:color="auto"/>
            <w:right w:val="none" w:sz="0" w:space="0" w:color="auto"/>
          </w:divBdr>
          <w:divsChild>
            <w:div w:id="1578705778">
              <w:marLeft w:val="0"/>
              <w:marRight w:val="0"/>
              <w:marTop w:val="0"/>
              <w:marBottom w:val="0"/>
              <w:divBdr>
                <w:top w:val="none" w:sz="0" w:space="0" w:color="auto"/>
                <w:left w:val="none" w:sz="0" w:space="0" w:color="auto"/>
                <w:bottom w:val="none" w:sz="0" w:space="0" w:color="auto"/>
                <w:right w:val="none" w:sz="0" w:space="0" w:color="auto"/>
              </w:divBdr>
              <w:divsChild>
                <w:div w:id="2051831859">
                  <w:marLeft w:val="0"/>
                  <w:marRight w:val="0"/>
                  <w:marTop w:val="0"/>
                  <w:marBottom w:val="0"/>
                  <w:divBdr>
                    <w:top w:val="none" w:sz="0" w:space="0" w:color="auto"/>
                    <w:left w:val="none" w:sz="0" w:space="0" w:color="auto"/>
                    <w:bottom w:val="none" w:sz="0" w:space="0" w:color="auto"/>
                    <w:right w:val="none" w:sz="0" w:space="0" w:color="auto"/>
                  </w:divBdr>
                  <w:divsChild>
                    <w:div w:id="1555192771">
                      <w:marLeft w:val="0"/>
                      <w:marRight w:val="0"/>
                      <w:marTop w:val="0"/>
                      <w:marBottom w:val="0"/>
                      <w:divBdr>
                        <w:top w:val="none" w:sz="0" w:space="0" w:color="auto"/>
                        <w:left w:val="none" w:sz="0" w:space="0" w:color="auto"/>
                        <w:bottom w:val="none" w:sz="0" w:space="0" w:color="auto"/>
                        <w:right w:val="none" w:sz="0" w:space="0" w:color="auto"/>
                      </w:divBdr>
                      <w:divsChild>
                        <w:div w:id="851191129">
                          <w:marLeft w:val="0"/>
                          <w:marRight w:val="0"/>
                          <w:marTop w:val="0"/>
                          <w:marBottom w:val="0"/>
                          <w:divBdr>
                            <w:top w:val="none" w:sz="0" w:space="0" w:color="auto"/>
                            <w:left w:val="none" w:sz="0" w:space="0" w:color="auto"/>
                            <w:bottom w:val="none" w:sz="0" w:space="0" w:color="auto"/>
                            <w:right w:val="none" w:sz="0" w:space="0" w:color="auto"/>
                          </w:divBdr>
                          <w:divsChild>
                            <w:div w:id="1459176714">
                              <w:marLeft w:val="0"/>
                              <w:marRight w:val="0"/>
                              <w:marTop w:val="0"/>
                              <w:marBottom w:val="0"/>
                              <w:divBdr>
                                <w:top w:val="none" w:sz="0" w:space="0" w:color="auto"/>
                                <w:left w:val="none" w:sz="0" w:space="0" w:color="auto"/>
                                <w:bottom w:val="none" w:sz="0" w:space="0" w:color="auto"/>
                                <w:right w:val="none" w:sz="0" w:space="0" w:color="auto"/>
                              </w:divBdr>
                              <w:divsChild>
                                <w:div w:id="518007546">
                                  <w:marLeft w:val="0"/>
                                  <w:marRight w:val="0"/>
                                  <w:marTop w:val="0"/>
                                  <w:marBottom w:val="0"/>
                                  <w:divBdr>
                                    <w:top w:val="none" w:sz="0" w:space="0" w:color="auto"/>
                                    <w:left w:val="none" w:sz="0" w:space="0" w:color="auto"/>
                                    <w:bottom w:val="none" w:sz="0" w:space="0" w:color="auto"/>
                                    <w:right w:val="none" w:sz="0" w:space="0" w:color="auto"/>
                                  </w:divBdr>
                                  <w:divsChild>
                                    <w:div w:id="1597129917">
                                      <w:marLeft w:val="0"/>
                                      <w:marRight w:val="0"/>
                                      <w:marTop w:val="0"/>
                                      <w:marBottom w:val="0"/>
                                      <w:divBdr>
                                        <w:top w:val="none" w:sz="0" w:space="0" w:color="auto"/>
                                        <w:left w:val="none" w:sz="0" w:space="0" w:color="auto"/>
                                        <w:bottom w:val="none" w:sz="0" w:space="0" w:color="auto"/>
                                        <w:right w:val="none" w:sz="0" w:space="0" w:color="auto"/>
                                      </w:divBdr>
                                      <w:divsChild>
                                        <w:div w:id="1110709375">
                                          <w:marLeft w:val="0"/>
                                          <w:marRight w:val="0"/>
                                          <w:marTop w:val="0"/>
                                          <w:marBottom w:val="0"/>
                                          <w:divBdr>
                                            <w:top w:val="none" w:sz="0" w:space="0" w:color="auto"/>
                                            <w:left w:val="none" w:sz="0" w:space="0" w:color="auto"/>
                                            <w:bottom w:val="none" w:sz="0" w:space="0" w:color="auto"/>
                                            <w:right w:val="none" w:sz="0" w:space="0" w:color="auto"/>
                                          </w:divBdr>
                                          <w:divsChild>
                                            <w:div w:id="1798180309">
                                              <w:marLeft w:val="0"/>
                                              <w:marRight w:val="0"/>
                                              <w:marTop w:val="0"/>
                                              <w:marBottom w:val="0"/>
                                              <w:divBdr>
                                                <w:top w:val="none" w:sz="0" w:space="0" w:color="auto"/>
                                                <w:left w:val="none" w:sz="0" w:space="0" w:color="auto"/>
                                                <w:bottom w:val="none" w:sz="0" w:space="0" w:color="auto"/>
                                                <w:right w:val="none" w:sz="0" w:space="0" w:color="auto"/>
                                              </w:divBdr>
                                              <w:divsChild>
                                                <w:div w:id="2034454129">
                                                  <w:marLeft w:val="0"/>
                                                  <w:marRight w:val="0"/>
                                                  <w:marTop w:val="0"/>
                                                  <w:marBottom w:val="0"/>
                                                  <w:divBdr>
                                                    <w:top w:val="none" w:sz="0" w:space="0" w:color="auto"/>
                                                    <w:left w:val="none" w:sz="0" w:space="0" w:color="auto"/>
                                                    <w:bottom w:val="none" w:sz="0" w:space="0" w:color="auto"/>
                                                    <w:right w:val="none" w:sz="0" w:space="0" w:color="auto"/>
                                                  </w:divBdr>
                                                  <w:divsChild>
                                                    <w:div w:id="1438601121">
                                                      <w:marLeft w:val="0"/>
                                                      <w:marRight w:val="0"/>
                                                      <w:marTop w:val="0"/>
                                                      <w:marBottom w:val="0"/>
                                                      <w:divBdr>
                                                        <w:top w:val="none" w:sz="0" w:space="0" w:color="auto"/>
                                                        <w:left w:val="none" w:sz="0" w:space="0" w:color="auto"/>
                                                        <w:bottom w:val="none" w:sz="0" w:space="0" w:color="auto"/>
                                                        <w:right w:val="none" w:sz="0" w:space="0" w:color="auto"/>
                                                      </w:divBdr>
                                                      <w:divsChild>
                                                        <w:div w:id="9234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625234">
      <w:bodyDiv w:val="1"/>
      <w:marLeft w:val="0"/>
      <w:marRight w:val="0"/>
      <w:marTop w:val="0"/>
      <w:marBottom w:val="0"/>
      <w:divBdr>
        <w:top w:val="none" w:sz="0" w:space="0" w:color="auto"/>
        <w:left w:val="none" w:sz="0" w:space="0" w:color="auto"/>
        <w:bottom w:val="none" w:sz="0" w:space="0" w:color="auto"/>
        <w:right w:val="none" w:sz="0" w:space="0" w:color="auto"/>
      </w:divBdr>
    </w:div>
    <w:div w:id="1065184371">
      <w:bodyDiv w:val="1"/>
      <w:marLeft w:val="0"/>
      <w:marRight w:val="0"/>
      <w:marTop w:val="0"/>
      <w:marBottom w:val="0"/>
      <w:divBdr>
        <w:top w:val="none" w:sz="0" w:space="0" w:color="auto"/>
        <w:left w:val="none" w:sz="0" w:space="0" w:color="auto"/>
        <w:bottom w:val="none" w:sz="0" w:space="0" w:color="auto"/>
        <w:right w:val="none" w:sz="0" w:space="0" w:color="auto"/>
      </w:divBdr>
    </w:div>
    <w:div w:id="1227375840">
      <w:bodyDiv w:val="1"/>
      <w:marLeft w:val="0"/>
      <w:marRight w:val="0"/>
      <w:marTop w:val="0"/>
      <w:marBottom w:val="0"/>
      <w:divBdr>
        <w:top w:val="none" w:sz="0" w:space="0" w:color="auto"/>
        <w:left w:val="none" w:sz="0" w:space="0" w:color="auto"/>
        <w:bottom w:val="none" w:sz="0" w:space="0" w:color="auto"/>
        <w:right w:val="none" w:sz="0" w:space="0" w:color="auto"/>
      </w:divBdr>
    </w:div>
    <w:div w:id="1381897492">
      <w:bodyDiv w:val="1"/>
      <w:marLeft w:val="0"/>
      <w:marRight w:val="0"/>
      <w:marTop w:val="0"/>
      <w:marBottom w:val="0"/>
      <w:divBdr>
        <w:top w:val="none" w:sz="0" w:space="0" w:color="auto"/>
        <w:left w:val="none" w:sz="0" w:space="0" w:color="auto"/>
        <w:bottom w:val="none" w:sz="0" w:space="0" w:color="auto"/>
        <w:right w:val="none" w:sz="0" w:space="0" w:color="auto"/>
      </w:divBdr>
    </w:div>
    <w:div w:id="1398747811">
      <w:bodyDiv w:val="1"/>
      <w:marLeft w:val="0"/>
      <w:marRight w:val="0"/>
      <w:marTop w:val="0"/>
      <w:marBottom w:val="0"/>
      <w:divBdr>
        <w:top w:val="none" w:sz="0" w:space="0" w:color="auto"/>
        <w:left w:val="none" w:sz="0" w:space="0" w:color="auto"/>
        <w:bottom w:val="none" w:sz="0" w:space="0" w:color="auto"/>
        <w:right w:val="none" w:sz="0" w:space="0" w:color="auto"/>
      </w:divBdr>
      <w:divsChild>
        <w:div w:id="1810047517">
          <w:marLeft w:val="0"/>
          <w:marRight w:val="0"/>
          <w:marTop w:val="0"/>
          <w:marBottom w:val="0"/>
          <w:divBdr>
            <w:top w:val="none" w:sz="0" w:space="0" w:color="auto"/>
            <w:left w:val="none" w:sz="0" w:space="0" w:color="auto"/>
            <w:bottom w:val="none" w:sz="0" w:space="0" w:color="auto"/>
            <w:right w:val="none" w:sz="0" w:space="0" w:color="auto"/>
          </w:divBdr>
          <w:divsChild>
            <w:div w:id="1269655629">
              <w:marLeft w:val="0"/>
              <w:marRight w:val="0"/>
              <w:marTop w:val="0"/>
              <w:marBottom w:val="0"/>
              <w:divBdr>
                <w:top w:val="none" w:sz="0" w:space="0" w:color="auto"/>
                <w:left w:val="none" w:sz="0" w:space="0" w:color="auto"/>
                <w:bottom w:val="none" w:sz="0" w:space="0" w:color="auto"/>
                <w:right w:val="none" w:sz="0" w:space="0" w:color="auto"/>
              </w:divBdr>
              <w:divsChild>
                <w:div w:id="598294478">
                  <w:marLeft w:val="0"/>
                  <w:marRight w:val="0"/>
                  <w:marTop w:val="0"/>
                  <w:marBottom w:val="0"/>
                  <w:divBdr>
                    <w:top w:val="none" w:sz="0" w:space="0" w:color="auto"/>
                    <w:left w:val="none" w:sz="0" w:space="0" w:color="auto"/>
                    <w:bottom w:val="none" w:sz="0" w:space="0" w:color="auto"/>
                    <w:right w:val="none" w:sz="0" w:space="0" w:color="auto"/>
                  </w:divBdr>
                  <w:divsChild>
                    <w:div w:id="1581332795">
                      <w:marLeft w:val="0"/>
                      <w:marRight w:val="0"/>
                      <w:marTop w:val="0"/>
                      <w:marBottom w:val="0"/>
                      <w:divBdr>
                        <w:top w:val="none" w:sz="0" w:space="0" w:color="auto"/>
                        <w:left w:val="none" w:sz="0" w:space="0" w:color="auto"/>
                        <w:bottom w:val="none" w:sz="0" w:space="0" w:color="auto"/>
                        <w:right w:val="none" w:sz="0" w:space="0" w:color="auto"/>
                      </w:divBdr>
                      <w:divsChild>
                        <w:div w:id="239145250">
                          <w:marLeft w:val="0"/>
                          <w:marRight w:val="0"/>
                          <w:marTop w:val="0"/>
                          <w:marBottom w:val="0"/>
                          <w:divBdr>
                            <w:top w:val="none" w:sz="0" w:space="0" w:color="auto"/>
                            <w:left w:val="none" w:sz="0" w:space="0" w:color="auto"/>
                            <w:bottom w:val="none" w:sz="0" w:space="0" w:color="auto"/>
                            <w:right w:val="none" w:sz="0" w:space="0" w:color="auto"/>
                          </w:divBdr>
                          <w:divsChild>
                            <w:div w:id="1176533064">
                              <w:marLeft w:val="0"/>
                              <w:marRight w:val="0"/>
                              <w:marTop w:val="0"/>
                              <w:marBottom w:val="0"/>
                              <w:divBdr>
                                <w:top w:val="none" w:sz="0" w:space="0" w:color="auto"/>
                                <w:left w:val="none" w:sz="0" w:space="0" w:color="auto"/>
                                <w:bottom w:val="none" w:sz="0" w:space="0" w:color="auto"/>
                                <w:right w:val="none" w:sz="0" w:space="0" w:color="auto"/>
                              </w:divBdr>
                              <w:divsChild>
                                <w:div w:id="901793145">
                                  <w:marLeft w:val="0"/>
                                  <w:marRight w:val="0"/>
                                  <w:marTop w:val="0"/>
                                  <w:marBottom w:val="0"/>
                                  <w:divBdr>
                                    <w:top w:val="none" w:sz="0" w:space="0" w:color="auto"/>
                                    <w:left w:val="none" w:sz="0" w:space="0" w:color="auto"/>
                                    <w:bottom w:val="none" w:sz="0" w:space="0" w:color="auto"/>
                                    <w:right w:val="none" w:sz="0" w:space="0" w:color="auto"/>
                                  </w:divBdr>
                                  <w:divsChild>
                                    <w:div w:id="1674992541">
                                      <w:marLeft w:val="0"/>
                                      <w:marRight w:val="0"/>
                                      <w:marTop w:val="0"/>
                                      <w:marBottom w:val="0"/>
                                      <w:divBdr>
                                        <w:top w:val="none" w:sz="0" w:space="0" w:color="auto"/>
                                        <w:left w:val="none" w:sz="0" w:space="0" w:color="auto"/>
                                        <w:bottom w:val="none" w:sz="0" w:space="0" w:color="auto"/>
                                        <w:right w:val="none" w:sz="0" w:space="0" w:color="auto"/>
                                      </w:divBdr>
                                      <w:divsChild>
                                        <w:div w:id="2003661775">
                                          <w:marLeft w:val="0"/>
                                          <w:marRight w:val="0"/>
                                          <w:marTop w:val="0"/>
                                          <w:marBottom w:val="0"/>
                                          <w:divBdr>
                                            <w:top w:val="none" w:sz="0" w:space="0" w:color="auto"/>
                                            <w:left w:val="none" w:sz="0" w:space="0" w:color="auto"/>
                                            <w:bottom w:val="none" w:sz="0" w:space="0" w:color="auto"/>
                                            <w:right w:val="none" w:sz="0" w:space="0" w:color="auto"/>
                                          </w:divBdr>
                                          <w:divsChild>
                                            <w:div w:id="260845598">
                                              <w:marLeft w:val="0"/>
                                              <w:marRight w:val="0"/>
                                              <w:marTop w:val="0"/>
                                              <w:marBottom w:val="0"/>
                                              <w:divBdr>
                                                <w:top w:val="none" w:sz="0" w:space="0" w:color="auto"/>
                                                <w:left w:val="none" w:sz="0" w:space="0" w:color="auto"/>
                                                <w:bottom w:val="none" w:sz="0" w:space="0" w:color="auto"/>
                                                <w:right w:val="none" w:sz="0" w:space="0" w:color="auto"/>
                                              </w:divBdr>
                                              <w:divsChild>
                                                <w:div w:id="1182934753">
                                                  <w:marLeft w:val="0"/>
                                                  <w:marRight w:val="0"/>
                                                  <w:marTop w:val="0"/>
                                                  <w:marBottom w:val="0"/>
                                                  <w:divBdr>
                                                    <w:top w:val="none" w:sz="0" w:space="0" w:color="auto"/>
                                                    <w:left w:val="none" w:sz="0" w:space="0" w:color="auto"/>
                                                    <w:bottom w:val="none" w:sz="0" w:space="0" w:color="auto"/>
                                                    <w:right w:val="none" w:sz="0" w:space="0" w:color="auto"/>
                                                  </w:divBdr>
                                                  <w:divsChild>
                                                    <w:div w:id="331182783">
                                                      <w:marLeft w:val="0"/>
                                                      <w:marRight w:val="0"/>
                                                      <w:marTop w:val="0"/>
                                                      <w:marBottom w:val="0"/>
                                                      <w:divBdr>
                                                        <w:top w:val="none" w:sz="0" w:space="0" w:color="auto"/>
                                                        <w:left w:val="none" w:sz="0" w:space="0" w:color="auto"/>
                                                        <w:bottom w:val="none" w:sz="0" w:space="0" w:color="auto"/>
                                                        <w:right w:val="none" w:sz="0" w:space="0" w:color="auto"/>
                                                      </w:divBdr>
                                                      <w:divsChild>
                                                        <w:div w:id="1616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703473">
      <w:bodyDiv w:val="1"/>
      <w:marLeft w:val="0"/>
      <w:marRight w:val="0"/>
      <w:marTop w:val="0"/>
      <w:marBottom w:val="0"/>
      <w:divBdr>
        <w:top w:val="none" w:sz="0" w:space="0" w:color="auto"/>
        <w:left w:val="none" w:sz="0" w:space="0" w:color="auto"/>
        <w:bottom w:val="none" w:sz="0" w:space="0" w:color="auto"/>
        <w:right w:val="none" w:sz="0" w:space="0" w:color="auto"/>
      </w:divBdr>
    </w:div>
    <w:div w:id="1579943088">
      <w:bodyDiv w:val="1"/>
      <w:marLeft w:val="0"/>
      <w:marRight w:val="0"/>
      <w:marTop w:val="0"/>
      <w:marBottom w:val="0"/>
      <w:divBdr>
        <w:top w:val="none" w:sz="0" w:space="0" w:color="auto"/>
        <w:left w:val="none" w:sz="0" w:space="0" w:color="auto"/>
        <w:bottom w:val="none" w:sz="0" w:space="0" w:color="auto"/>
        <w:right w:val="none" w:sz="0" w:space="0" w:color="auto"/>
      </w:divBdr>
    </w:div>
    <w:div w:id="1635327648">
      <w:bodyDiv w:val="1"/>
      <w:marLeft w:val="0"/>
      <w:marRight w:val="0"/>
      <w:marTop w:val="0"/>
      <w:marBottom w:val="0"/>
      <w:divBdr>
        <w:top w:val="none" w:sz="0" w:space="0" w:color="auto"/>
        <w:left w:val="none" w:sz="0" w:space="0" w:color="auto"/>
        <w:bottom w:val="none" w:sz="0" w:space="0" w:color="auto"/>
        <w:right w:val="none" w:sz="0" w:space="0" w:color="auto"/>
      </w:divBdr>
    </w:div>
    <w:div w:id="1805000969">
      <w:bodyDiv w:val="1"/>
      <w:marLeft w:val="0"/>
      <w:marRight w:val="0"/>
      <w:marTop w:val="0"/>
      <w:marBottom w:val="0"/>
      <w:divBdr>
        <w:top w:val="none" w:sz="0" w:space="0" w:color="auto"/>
        <w:left w:val="none" w:sz="0" w:space="0" w:color="auto"/>
        <w:bottom w:val="none" w:sz="0" w:space="0" w:color="auto"/>
        <w:right w:val="none" w:sz="0" w:space="0" w:color="auto"/>
      </w:divBdr>
    </w:div>
    <w:div w:id="1935088208">
      <w:bodyDiv w:val="1"/>
      <w:marLeft w:val="0"/>
      <w:marRight w:val="0"/>
      <w:marTop w:val="0"/>
      <w:marBottom w:val="0"/>
      <w:divBdr>
        <w:top w:val="none" w:sz="0" w:space="0" w:color="auto"/>
        <w:left w:val="none" w:sz="0" w:space="0" w:color="auto"/>
        <w:bottom w:val="none" w:sz="0" w:space="0" w:color="auto"/>
        <w:right w:val="none" w:sz="0" w:space="0" w:color="auto"/>
      </w:divBdr>
    </w:div>
    <w:div w:id="1962345400">
      <w:bodyDiv w:val="1"/>
      <w:marLeft w:val="0"/>
      <w:marRight w:val="0"/>
      <w:marTop w:val="0"/>
      <w:marBottom w:val="0"/>
      <w:divBdr>
        <w:top w:val="none" w:sz="0" w:space="0" w:color="auto"/>
        <w:left w:val="none" w:sz="0" w:space="0" w:color="auto"/>
        <w:bottom w:val="none" w:sz="0" w:space="0" w:color="auto"/>
        <w:right w:val="none" w:sz="0" w:space="0" w:color="auto"/>
      </w:divBdr>
    </w:div>
    <w:div w:id="2025325137">
      <w:bodyDiv w:val="1"/>
      <w:marLeft w:val="0"/>
      <w:marRight w:val="0"/>
      <w:marTop w:val="0"/>
      <w:marBottom w:val="0"/>
      <w:divBdr>
        <w:top w:val="none" w:sz="0" w:space="0" w:color="auto"/>
        <w:left w:val="none" w:sz="0" w:space="0" w:color="auto"/>
        <w:bottom w:val="none" w:sz="0" w:space="0" w:color="auto"/>
        <w:right w:val="none" w:sz="0" w:space="0" w:color="auto"/>
      </w:divBdr>
    </w:div>
    <w:div w:id="2049446967">
      <w:bodyDiv w:val="1"/>
      <w:marLeft w:val="0"/>
      <w:marRight w:val="0"/>
      <w:marTop w:val="0"/>
      <w:marBottom w:val="0"/>
      <w:divBdr>
        <w:top w:val="none" w:sz="0" w:space="0" w:color="auto"/>
        <w:left w:val="none" w:sz="0" w:space="0" w:color="auto"/>
        <w:bottom w:val="none" w:sz="0" w:space="0" w:color="auto"/>
        <w:right w:val="none" w:sz="0" w:space="0" w:color="auto"/>
      </w:divBdr>
    </w:div>
    <w:div w:id="21095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2C0000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FD8A393-2E77-4A2B-AD15-CFDC5E1BA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356F4DC9B12094C93F91E4F467C7DFB" ma:contentTypeVersion="" ma:contentTypeDescription="PDMS Document Site Content Type" ma:contentTypeScope="" ma:versionID="447b477a6f4fbd35e2b79431dd994e40">
  <xsd:schema xmlns:xsd="http://www.w3.org/2001/XMLSchema" xmlns:xs="http://www.w3.org/2001/XMLSchema" xmlns:p="http://schemas.microsoft.com/office/2006/metadata/properties" xmlns:ns2="8FD8A393-2E77-4A2B-AD15-CFDC5E1BA213" targetNamespace="http://schemas.microsoft.com/office/2006/metadata/properties" ma:root="true" ma:fieldsID="023b257ec5bf30f487f94bb6d688735a" ns2:_="">
    <xsd:import namespace="8FD8A393-2E77-4A2B-AD15-CFDC5E1BA2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8A393-2E77-4A2B-AD15-CFDC5E1BA2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FD8A393-2E77-4A2B-AD15-CFDC5E1BA213"/>
    <ds:schemaRef ds:uri="http://www.w3.org/XML/1998/namespace"/>
    <ds:schemaRef ds:uri="http://purl.org/dc/dcmitype/"/>
  </ds:schemaRefs>
</ds:datastoreItem>
</file>

<file path=customXml/itemProps2.xml><?xml version="1.0" encoding="utf-8"?>
<ds:datastoreItem xmlns:ds="http://schemas.openxmlformats.org/officeDocument/2006/customXml" ds:itemID="{F032438B-4F6A-4251-84E6-F8942A27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8A393-2E77-4A2B-AD15-CFDC5E1B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0B677EBB-B861-4486-B51B-8B37729B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4432</Words>
  <Characters>23136</Characters>
  <Application>Microsoft Office Word</Application>
  <DocSecurity>0</DocSecurity>
  <PresentationFormat/>
  <Lines>379</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2022-06-29T08:54:00Z</cp:lastPrinted>
  <dcterms:created xsi:type="dcterms:W3CDTF">2022-08-01T01:12:00Z</dcterms:created>
  <dcterms:modified xsi:type="dcterms:W3CDTF">2022-08-01T02:24:00Z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0x010100266966F133664895A6EE3632470D45F500E356F4DC9B12094C93F91E4F467C7DFB</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2022-07-29T05:55:17Z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0a7a218c-06a2-4da5-8a22-10a7479bb5ca</vt:lpwstr>
  </property>
  <property fmtid="{D5CDD505-2E9C-101B-9397-08002B2CF9AE}" pid="17" name="MSIP_Label_79d889eb-932f-4752-8739-64d25806ef64_ContentBits">
    <vt:lpwstr>0</vt:lpwstr>
  </property>
</Properties>
</file>