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D6379" w14:textId="77777777" w:rsidR="00280050" w:rsidRPr="00DC19F5" w:rsidRDefault="00E40F4A" w:rsidP="00E40F4A">
      <w:pPr>
        <w:jc w:val="center"/>
        <w:rPr>
          <w:b/>
        </w:rPr>
      </w:pPr>
      <w:r w:rsidRPr="00DC19F5">
        <w:rPr>
          <w:b/>
        </w:rPr>
        <w:t>EXPLANATORY STATEMENT</w:t>
      </w:r>
    </w:p>
    <w:p w14:paraId="395E1650" w14:textId="77777777" w:rsidR="00E40F4A" w:rsidRPr="00DC19F5" w:rsidRDefault="00E40F4A" w:rsidP="00E40F4A">
      <w:pPr>
        <w:jc w:val="center"/>
        <w:rPr>
          <w:i/>
        </w:rPr>
      </w:pPr>
      <w:r w:rsidRPr="00DC19F5">
        <w:rPr>
          <w:i/>
        </w:rPr>
        <w:t>National Health Act 1953</w:t>
      </w:r>
    </w:p>
    <w:p w14:paraId="4A412065" w14:textId="252A9816" w:rsidR="00564885" w:rsidRPr="00DC19F5" w:rsidRDefault="00564885" w:rsidP="00564885">
      <w:pPr>
        <w:jc w:val="center"/>
        <w:rPr>
          <w:b/>
          <w:i/>
        </w:rPr>
      </w:pPr>
      <w:r w:rsidRPr="00DC19F5">
        <w:rPr>
          <w:b/>
          <w:i/>
        </w:rPr>
        <w:t>National Health</w:t>
      </w:r>
      <w:bookmarkStart w:id="0" w:name="BK_S1P1L3C16"/>
      <w:bookmarkEnd w:id="0"/>
      <w:r w:rsidRPr="00DC19F5">
        <w:rPr>
          <w:b/>
          <w:i/>
        </w:rPr>
        <w:t xml:space="preserve"> (Pharmaceutical Benefits) (Pharmacist Substitution of Medicines without Prescription during Shortages) Amendment (No. </w:t>
      </w:r>
      <w:r w:rsidR="009974D5" w:rsidRPr="00DC19F5">
        <w:rPr>
          <w:b/>
          <w:i/>
        </w:rPr>
        <w:t>3</w:t>
      </w:r>
      <w:r w:rsidRPr="00DC19F5">
        <w:rPr>
          <w:b/>
          <w:i/>
        </w:rPr>
        <w:t>) Determination 2022</w:t>
      </w:r>
    </w:p>
    <w:p w14:paraId="5D6A5F98" w14:textId="54CE5749" w:rsidR="00564885" w:rsidRPr="00DC19F5" w:rsidRDefault="00564885" w:rsidP="00564885">
      <w:pPr>
        <w:spacing w:before="120" w:after="0"/>
        <w:jc w:val="center"/>
        <w:rPr>
          <w:b/>
        </w:rPr>
      </w:pPr>
      <w:r w:rsidRPr="00DC19F5">
        <w:rPr>
          <w:b/>
        </w:rPr>
        <w:t xml:space="preserve">PB </w:t>
      </w:r>
      <w:r w:rsidR="009974D5" w:rsidRPr="00DC19F5">
        <w:rPr>
          <w:b/>
        </w:rPr>
        <w:t>7</w:t>
      </w:r>
      <w:r w:rsidR="001E012A" w:rsidRPr="00DC19F5">
        <w:rPr>
          <w:b/>
        </w:rPr>
        <w:t>3</w:t>
      </w:r>
      <w:r w:rsidR="005A6A1E" w:rsidRPr="00DC19F5">
        <w:rPr>
          <w:b/>
        </w:rPr>
        <w:t xml:space="preserve"> </w:t>
      </w:r>
      <w:r w:rsidRPr="00DC19F5">
        <w:rPr>
          <w:b/>
        </w:rPr>
        <w:t>of 2022</w:t>
      </w:r>
    </w:p>
    <w:p w14:paraId="0C3822F9" w14:textId="77777777" w:rsidR="00E40F4A" w:rsidRPr="00DC19F5" w:rsidRDefault="00E40F4A">
      <w:pPr>
        <w:rPr>
          <w:b/>
        </w:rPr>
      </w:pPr>
      <w:r w:rsidRPr="00DC19F5">
        <w:rPr>
          <w:b/>
        </w:rPr>
        <w:t>Authority</w:t>
      </w:r>
    </w:p>
    <w:p w14:paraId="60A24F2C" w14:textId="77777777" w:rsidR="00471807" w:rsidRPr="00DC19F5" w:rsidRDefault="000178C6" w:rsidP="001F14BD">
      <w:pPr>
        <w:pStyle w:val="subsection"/>
        <w:shd w:val="clear" w:color="auto" w:fill="FFFFFF"/>
        <w:spacing w:before="0" w:beforeAutospacing="0" w:after="160" w:afterAutospacing="0"/>
        <w:rPr>
          <w:color w:val="000000"/>
        </w:rPr>
      </w:pPr>
      <w:r w:rsidRPr="00DC19F5">
        <w:t>Subsection 89</w:t>
      </w:r>
      <w:proofErr w:type="gramStart"/>
      <w:r w:rsidRPr="00DC19F5">
        <w:t>A(</w:t>
      </w:r>
      <w:proofErr w:type="gramEnd"/>
      <w:r w:rsidRPr="00DC19F5">
        <w:t xml:space="preserve">3) of the </w:t>
      </w:r>
      <w:r w:rsidRPr="00DC19F5">
        <w:rPr>
          <w:i/>
        </w:rPr>
        <w:t>National Health Act</w:t>
      </w:r>
      <w:r w:rsidR="00045087" w:rsidRPr="00DC19F5">
        <w:rPr>
          <w:i/>
        </w:rPr>
        <w:t xml:space="preserve"> 1953</w:t>
      </w:r>
      <w:r w:rsidRPr="00DC19F5">
        <w:t xml:space="preserve"> (the Act) provides that </w:t>
      </w:r>
      <w:r w:rsidRPr="00DC19F5">
        <w:rPr>
          <w:color w:val="000000"/>
        </w:rPr>
        <w:t>the Minister may, by legislative instrument, determine the pharmaceutical benefits that may be supplied by an approved pharmacist without a prescription, and the conditions that must be satisfied when making a supply of those pharmaceutical benefits.</w:t>
      </w:r>
      <w:r w:rsidR="00EE2197" w:rsidRPr="00DC19F5">
        <w:rPr>
          <w:color w:val="000000"/>
        </w:rPr>
        <w:t xml:space="preserve"> </w:t>
      </w:r>
    </w:p>
    <w:p w14:paraId="28FF1153" w14:textId="77777777" w:rsidR="00E40F4A" w:rsidRPr="00DC19F5" w:rsidRDefault="00E40F4A">
      <w:pPr>
        <w:rPr>
          <w:b/>
        </w:rPr>
      </w:pPr>
      <w:r w:rsidRPr="00DC19F5">
        <w:rPr>
          <w:b/>
        </w:rPr>
        <w:t>Purpose</w:t>
      </w:r>
    </w:p>
    <w:p w14:paraId="3264E849" w14:textId="590AA492" w:rsidR="00E57338" w:rsidRPr="00DC19F5" w:rsidRDefault="009361E9" w:rsidP="00E57338">
      <w:r w:rsidRPr="00DC19F5">
        <w:t xml:space="preserve">The purpose of the </w:t>
      </w:r>
      <w:r w:rsidRPr="00DC19F5">
        <w:rPr>
          <w:i/>
        </w:rPr>
        <w:t xml:space="preserve">National Health (Pharmaceutical Benefits) (Pharmacist Substitution of Medicines without Prescription during Shortages) </w:t>
      </w:r>
      <w:r w:rsidR="00E57338" w:rsidRPr="00DC19F5">
        <w:rPr>
          <w:i/>
        </w:rPr>
        <w:t xml:space="preserve">Amendment (No. </w:t>
      </w:r>
      <w:r w:rsidR="009974D5" w:rsidRPr="00DC19F5">
        <w:rPr>
          <w:i/>
        </w:rPr>
        <w:t>3</w:t>
      </w:r>
      <w:r w:rsidR="00E57338" w:rsidRPr="00DC19F5">
        <w:rPr>
          <w:i/>
        </w:rPr>
        <w:t xml:space="preserve">) </w:t>
      </w:r>
      <w:r w:rsidRPr="00DC19F5">
        <w:rPr>
          <w:i/>
        </w:rPr>
        <w:t>Determination 202</w:t>
      </w:r>
      <w:r w:rsidR="00753BBD" w:rsidRPr="00DC19F5">
        <w:rPr>
          <w:i/>
        </w:rPr>
        <w:t>2</w:t>
      </w:r>
      <w:r w:rsidRPr="00DC19F5">
        <w:rPr>
          <w:i/>
        </w:rPr>
        <w:t xml:space="preserve"> </w:t>
      </w:r>
      <w:r w:rsidR="00EE2197" w:rsidRPr="00DC19F5">
        <w:t>(</w:t>
      </w:r>
      <w:r w:rsidR="00E57338" w:rsidRPr="00DC19F5">
        <w:t>Amendment</w:t>
      </w:r>
      <w:r w:rsidR="00EE2197" w:rsidRPr="00DC19F5">
        <w:t xml:space="preserve"> Determination) </w:t>
      </w:r>
      <w:r w:rsidRPr="00DC19F5">
        <w:t>is</w:t>
      </w:r>
      <w:r w:rsidR="00EE2197" w:rsidRPr="00DC19F5">
        <w:t> </w:t>
      </w:r>
      <w:r w:rsidRPr="00DC19F5">
        <w:t>to</w:t>
      </w:r>
      <w:r w:rsidR="00E57338" w:rsidRPr="00DC19F5">
        <w:rPr>
          <w:iCs/>
        </w:rPr>
        <w:t xml:space="preserve"> amend the</w:t>
      </w:r>
      <w:r w:rsidR="00E57338" w:rsidRPr="00DC19F5">
        <w:rPr>
          <w:i/>
        </w:rPr>
        <w:t xml:space="preserve"> National Health (Pharmaceutical Benefits) (Pharmacist Substitution of Medicines without Prescription during Shortages) Determination 2021 </w:t>
      </w:r>
      <w:r w:rsidR="00E57338" w:rsidRPr="00DC19F5">
        <w:t>(</w:t>
      </w:r>
      <w:r w:rsidR="00F66BB9" w:rsidRPr="00DC19F5">
        <w:t xml:space="preserve">Principal </w:t>
      </w:r>
      <w:r w:rsidR="00E57338" w:rsidRPr="00DC19F5">
        <w:t xml:space="preserve">Determination) to </w:t>
      </w:r>
      <w:r w:rsidR="00070ADD" w:rsidRPr="00DC19F5">
        <w:t xml:space="preserve">implement the </w:t>
      </w:r>
      <w:r w:rsidR="00847AFC" w:rsidRPr="00DC19F5">
        <w:t>Therapeutic Goods Administration (TGA)</w:t>
      </w:r>
      <w:r w:rsidR="00070ADD" w:rsidRPr="00DC19F5">
        <w:t xml:space="preserve"> decision to revoke pharmacist substitution</w:t>
      </w:r>
      <w:r w:rsidR="00AE0A1E" w:rsidRPr="00DC19F5">
        <w:t xml:space="preserve"> </w:t>
      </w:r>
      <w:r w:rsidR="00070ADD" w:rsidRPr="00DC19F5">
        <w:t>of</w:t>
      </w:r>
      <w:r w:rsidR="00AF3167" w:rsidRPr="00DC19F5">
        <w:t xml:space="preserve"> </w:t>
      </w:r>
      <w:r w:rsidR="00847AFC" w:rsidRPr="00DC19F5">
        <w:t xml:space="preserve">some </w:t>
      </w:r>
      <w:r w:rsidR="00AF3167" w:rsidRPr="00DC19F5">
        <w:t>benefits</w:t>
      </w:r>
      <w:r w:rsidR="00AE0A1E" w:rsidRPr="00DC19F5">
        <w:t xml:space="preserve">. </w:t>
      </w:r>
    </w:p>
    <w:p w14:paraId="2539FC71" w14:textId="4C793612" w:rsidR="00807D2E" w:rsidRPr="00DC19F5" w:rsidRDefault="003510EA" w:rsidP="003510EA">
      <w:pPr>
        <w:spacing w:after="0"/>
      </w:pPr>
      <w:r w:rsidRPr="00DC19F5">
        <w:t xml:space="preserve">The </w:t>
      </w:r>
      <w:r w:rsidR="00F66BB9" w:rsidRPr="00DC19F5">
        <w:t xml:space="preserve">Principal </w:t>
      </w:r>
      <w:r w:rsidRPr="00DC19F5">
        <w:t>Determination permits an approved pharmacist to supply a substitute pharmaceutical benefit when the pharmaceutical benefit prescribed for the patient is the subject of a TGA Serious Scarcity Substitution Instrument (SSSI).</w:t>
      </w:r>
      <w:r w:rsidR="002D6A9B" w:rsidRPr="00DC19F5">
        <w:t xml:space="preserve"> </w:t>
      </w:r>
      <w:r w:rsidR="00106E5B" w:rsidRPr="00DC19F5">
        <w:t xml:space="preserve">The Principal Determination incorporated the TGA arrangements to permit pharmacist substitution of </w:t>
      </w:r>
      <w:bookmarkStart w:id="1" w:name="_Hlk94182798"/>
      <w:r w:rsidR="005A6A1E" w:rsidRPr="00DC19F5">
        <w:t>abatacept</w:t>
      </w:r>
      <w:bookmarkEnd w:id="1"/>
      <w:r w:rsidR="00106E5B" w:rsidRPr="00DC19F5">
        <w:t xml:space="preserve"> </w:t>
      </w:r>
      <w:r w:rsidR="002A6652" w:rsidRPr="00DC19F5">
        <w:t>i</w:t>
      </w:r>
      <w:r w:rsidR="005A6A1E" w:rsidRPr="00DC19F5">
        <w:t xml:space="preserve">njection 125 mg in 1 mL single dose autoinjector </w:t>
      </w:r>
      <w:r w:rsidR="00106E5B" w:rsidRPr="00DC19F5">
        <w:t xml:space="preserve">and single </w:t>
      </w:r>
      <w:r w:rsidR="005A6A1E" w:rsidRPr="00DC19F5">
        <w:t>dose</w:t>
      </w:r>
      <w:r w:rsidR="00106E5B" w:rsidRPr="00DC19F5">
        <w:t xml:space="preserve"> pre-filled pen </w:t>
      </w:r>
      <w:r w:rsidR="002B59DE" w:rsidRPr="00DC19F5">
        <w:t xml:space="preserve">in </w:t>
      </w:r>
      <w:r w:rsidR="00106E5B" w:rsidRPr="00DC19F5">
        <w:t xml:space="preserve">brands </w:t>
      </w:r>
      <w:r w:rsidR="005A6A1E" w:rsidRPr="00DC19F5">
        <w:t>Orencia and Orencia ClickJect</w:t>
      </w:r>
      <w:r w:rsidR="00B53AE5" w:rsidRPr="00DC19F5">
        <w:t xml:space="preserve">, consistent with the </w:t>
      </w:r>
      <w:r w:rsidR="00B53AE5" w:rsidRPr="00DC19F5">
        <w:rPr>
          <w:i/>
          <w:iCs/>
        </w:rPr>
        <w:t>Therapeutic Goods (Serious Scarcity and Substitutable Medicine) (Abatacept) Amendment Instrument 2022</w:t>
      </w:r>
      <w:r w:rsidR="005A6A1E" w:rsidRPr="00DC19F5">
        <w:t>.</w:t>
      </w:r>
      <w:r w:rsidR="005A6A1E" w:rsidRPr="00DC19F5">
        <w:rPr>
          <w:color w:val="000000"/>
          <w:sz w:val="20"/>
          <w:szCs w:val="20"/>
          <w:shd w:val="clear" w:color="auto" w:fill="FFFFFF"/>
        </w:rPr>
        <w:t xml:space="preserve"> </w:t>
      </w:r>
    </w:p>
    <w:p w14:paraId="68F0FDCC" w14:textId="77777777" w:rsidR="00807D2E" w:rsidRPr="00DC19F5" w:rsidRDefault="00807D2E" w:rsidP="003510EA">
      <w:pPr>
        <w:spacing w:after="0"/>
      </w:pPr>
    </w:p>
    <w:p w14:paraId="11B4C56D" w14:textId="5F42F0C5" w:rsidR="0085565E" w:rsidRPr="00DC19F5" w:rsidRDefault="00106E5B" w:rsidP="003510EA">
      <w:pPr>
        <w:spacing w:after="0"/>
      </w:pPr>
      <w:r w:rsidRPr="00DC19F5">
        <w:t xml:space="preserve">The </w:t>
      </w:r>
      <w:r w:rsidR="00B53AE5" w:rsidRPr="00DC19F5">
        <w:rPr>
          <w:i/>
          <w:iCs/>
        </w:rPr>
        <w:t xml:space="preserve">Therapeutic Goods (Serious Scarcity and Substitutable Medicine) (Abatacept) Amendment Instrument 2022 </w:t>
      </w:r>
      <w:r w:rsidR="00B53AE5" w:rsidRPr="00DC19F5">
        <w:t>was in force until 30 June 2022</w:t>
      </w:r>
      <w:r w:rsidR="005A6A1E" w:rsidRPr="00DC19F5">
        <w:t>.</w:t>
      </w:r>
      <w:r w:rsidR="005A6A1E" w:rsidRPr="00DC19F5">
        <w:rPr>
          <w:color w:val="000000"/>
          <w:sz w:val="20"/>
          <w:szCs w:val="20"/>
          <w:shd w:val="clear" w:color="auto" w:fill="FFFFFF"/>
        </w:rPr>
        <w:t xml:space="preserve"> </w:t>
      </w:r>
      <w:r w:rsidR="00B53AE5" w:rsidRPr="00DC19F5">
        <w:t>A</w:t>
      </w:r>
      <w:r w:rsidR="002B59DE" w:rsidRPr="00DC19F5">
        <w:t>pproved pharmacist</w:t>
      </w:r>
      <w:r w:rsidR="0085565E" w:rsidRPr="00DC19F5">
        <w:t>s</w:t>
      </w:r>
      <w:r w:rsidR="002B59DE" w:rsidRPr="00DC19F5">
        <w:t xml:space="preserve"> </w:t>
      </w:r>
      <w:r w:rsidR="0085565E" w:rsidRPr="00DC19F5">
        <w:t xml:space="preserve">are </w:t>
      </w:r>
      <w:r w:rsidR="002B59DE" w:rsidRPr="00DC19F5">
        <w:t xml:space="preserve">no longer permitted to supply </w:t>
      </w:r>
      <w:r w:rsidR="00807D2E" w:rsidRPr="00DC19F5">
        <w:t>the nominated</w:t>
      </w:r>
      <w:r w:rsidR="002B59DE" w:rsidRPr="00DC19F5">
        <w:t xml:space="preserve"> substitute pharmaceutical benefit</w:t>
      </w:r>
      <w:r w:rsidR="00807D2E" w:rsidRPr="00DC19F5">
        <w:t>s</w:t>
      </w:r>
      <w:r w:rsidR="002B59DE" w:rsidRPr="00DC19F5">
        <w:t xml:space="preserve"> </w:t>
      </w:r>
      <w:r w:rsidR="00807D2E" w:rsidRPr="00DC19F5">
        <w:t>in place</w:t>
      </w:r>
      <w:r w:rsidR="002B59DE" w:rsidRPr="00DC19F5">
        <w:t xml:space="preserve"> of </w:t>
      </w:r>
      <w:r w:rsidR="00807D2E" w:rsidRPr="00DC19F5">
        <w:t>the</w:t>
      </w:r>
      <w:r w:rsidR="002B59DE" w:rsidRPr="00DC19F5">
        <w:t xml:space="preserve"> prescribed pharmaceutical benefit</w:t>
      </w:r>
      <w:r w:rsidR="00807D2E" w:rsidRPr="00DC19F5">
        <w:t>s</w:t>
      </w:r>
      <w:r w:rsidR="0085565E" w:rsidRPr="00DC19F5">
        <w:t xml:space="preserve"> without a prescription</w:t>
      </w:r>
      <w:r w:rsidR="002B59DE" w:rsidRPr="00DC19F5">
        <w:t>.</w:t>
      </w:r>
      <w:r w:rsidR="00807D2E" w:rsidRPr="00DC19F5">
        <w:t xml:space="preserve"> </w:t>
      </w:r>
    </w:p>
    <w:p w14:paraId="1BB3582E" w14:textId="77777777" w:rsidR="0085565E" w:rsidRPr="00DC19F5" w:rsidRDefault="0085565E" w:rsidP="003510EA">
      <w:pPr>
        <w:spacing w:after="0"/>
      </w:pPr>
    </w:p>
    <w:p w14:paraId="026DCC0B" w14:textId="25DF278C" w:rsidR="00747A99" w:rsidRPr="00DC19F5" w:rsidRDefault="00AC658D" w:rsidP="003510EA">
      <w:pPr>
        <w:spacing w:after="0"/>
      </w:pPr>
      <w:r w:rsidRPr="00DC19F5">
        <w:t xml:space="preserve">Patients will continue to be able to access </w:t>
      </w:r>
      <w:r w:rsidR="005A6A1E" w:rsidRPr="00DC19F5">
        <w:t xml:space="preserve">abatacept </w:t>
      </w:r>
      <w:r w:rsidR="002A6652" w:rsidRPr="00DC19F5">
        <w:t>i</w:t>
      </w:r>
      <w:r w:rsidR="005A6A1E" w:rsidRPr="00DC19F5">
        <w:t xml:space="preserve">njection 125 mg in 1 mL single dose autoinjector and single dose pre-filled pen </w:t>
      </w:r>
      <w:r w:rsidRPr="00DC19F5">
        <w:t xml:space="preserve">at </w:t>
      </w:r>
      <w:r w:rsidR="00C633A2" w:rsidRPr="00DC19F5">
        <w:t xml:space="preserve">PBS </w:t>
      </w:r>
      <w:r w:rsidRPr="00DC19F5">
        <w:t>subsidised prices</w:t>
      </w:r>
      <w:r w:rsidR="00B53AE5" w:rsidRPr="00DC19F5">
        <w:t xml:space="preserve"> but will be required to have the correct pharmaceutical benefits written on their prescriptions</w:t>
      </w:r>
      <w:r w:rsidRPr="00DC19F5">
        <w:t>.</w:t>
      </w:r>
    </w:p>
    <w:p w14:paraId="240AAE8A" w14:textId="77777777" w:rsidR="004B3851" w:rsidRPr="00DC19F5" w:rsidRDefault="004B3851" w:rsidP="003510EA">
      <w:pPr>
        <w:spacing w:after="0"/>
      </w:pPr>
    </w:p>
    <w:p w14:paraId="0327E123" w14:textId="6E627DA1" w:rsidR="00C76D6F" w:rsidRPr="00DC19F5" w:rsidRDefault="00C76D6F" w:rsidP="00C76D6F">
      <w:r w:rsidRPr="00DC19F5">
        <w:t xml:space="preserve">The </w:t>
      </w:r>
      <w:r w:rsidR="00F66BB9" w:rsidRPr="00DC19F5">
        <w:t xml:space="preserve">Principal </w:t>
      </w:r>
      <w:r w:rsidRPr="00DC19F5">
        <w:t>Determination will be re</w:t>
      </w:r>
      <w:r w:rsidRPr="00DC19F5">
        <w:noBreakHyphen/>
        <w:t xml:space="preserve">made or revoked, as appropriate, each time the </w:t>
      </w:r>
      <w:r w:rsidR="00A36BBE" w:rsidRPr="00DC19F5">
        <w:t xml:space="preserve">Therapeutic Goods Administration (TGA) </w:t>
      </w:r>
      <w:r w:rsidRPr="00DC19F5">
        <w:t>issues or rescinds a SSSI in respect of a PBS listed drug.</w:t>
      </w:r>
    </w:p>
    <w:p w14:paraId="2054753F" w14:textId="261B9FE4" w:rsidR="00C86737" w:rsidRPr="00DC19F5" w:rsidRDefault="009361E9" w:rsidP="00786242">
      <w:r w:rsidRPr="00DC19F5">
        <w:t xml:space="preserve">The </w:t>
      </w:r>
      <w:r w:rsidR="00F66BB9" w:rsidRPr="00DC19F5">
        <w:t>Amend</w:t>
      </w:r>
      <w:r w:rsidR="004B3DDF" w:rsidRPr="00DC19F5">
        <w:t>ment</w:t>
      </w:r>
      <w:r w:rsidR="00F66BB9" w:rsidRPr="00DC19F5">
        <w:t xml:space="preserve"> </w:t>
      </w:r>
      <w:r w:rsidRPr="00DC19F5">
        <w:t>Determination commences on</w:t>
      </w:r>
      <w:r w:rsidR="00C86737" w:rsidRPr="00DC19F5">
        <w:t xml:space="preserve"> </w:t>
      </w:r>
      <w:r w:rsidR="009974D5" w:rsidRPr="00DC19F5">
        <w:rPr>
          <w:rFonts w:eastAsia="Times New Roman"/>
          <w:b/>
          <w:bCs/>
        </w:rPr>
        <w:t>1</w:t>
      </w:r>
      <w:r w:rsidR="008E4E94" w:rsidRPr="00DC19F5">
        <w:rPr>
          <w:rFonts w:eastAsia="Times New Roman"/>
          <w:b/>
          <w:bCs/>
        </w:rPr>
        <w:t xml:space="preserve"> </w:t>
      </w:r>
      <w:r w:rsidR="009974D5" w:rsidRPr="00DC19F5">
        <w:rPr>
          <w:rFonts w:eastAsia="Times New Roman"/>
          <w:b/>
          <w:bCs/>
        </w:rPr>
        <w:t xml:space="preserve">August </w:t>
      </w:r>
      <w:r w:rsidR="008E4E94" w:rsidRPr="00DC19F5">
        <w:rPr>
          <w:rFonts w:eastAsia="Times New Roman"/>
          <w:b/>
          <w:bCs/>
        </w:rPr>
        <w:t>2022</w:t>
      </w:r>
      <w:r w:rsidR="00C86737" w:rsidRPr="00DC19F5">
        <w:t>.</w:t>
      </w:r>
    </w:p>
    <w:p w14:paraId="6322B864" w14:textId="5BCF2206" w:rsidR="009361E9" w:rsidRPr="00DC19F5" w:rsidRDefault="00C86737" w:rsidP="00786242">
      <w:r w:rsidRPr="00DC19F5">
        <w:t>T</w:t>
      </w:r>
      <w:r w:rsidR="009361E9" w:rsidRPr="00DC19F5">
        <w:t xml:space="preserve">he </w:t>
      </w:r>
      <w:r w:rsidR="00F66BB9" w:rsidRPr="00DC19F5">
        <w:t>Amend</w:t>
      </w:r>
      <w:r w:rsidR="004B3DDF" w:rsidRPr="00DC19F5">
        <w:t>ment</w:t>
      </w:r>
      <w:r w:rsidR="00F66BB9" w:rsidRPr="00DC19F5">
        <w:t xml:space="preserve"> </w:t>
      </w:r>
      <w:r w:rsidR="009361E9" w:rsidRPr="00DC19F5">
        <w:t>Determination is a legislative instrument for the purposes of the </w:t>
      </w:r>
      <w:r w:rsidR="009361E9" w:rsidRPr="00DC19F5">
        <w:rPr>
          <w:i/>
        </w:rPr>
        <w:t>Legislation</w:t>
      </w:r>
      <w:r w:rsidR="001A16BA" w:rsidRPr="00DC19F5">
        <w:rPr>
          <w:i/>
        </w:rPr>
        <w:t> </w:t>
      </w:r>
      <w:r w:rsidR="009361E9" w:rsidRPr="00DC19F5">
        <w:rPr>
          <w:i/>
        </w:rPr>
        <w:t>Act</w:t>
      </w:r>
      <w:r w:rsidR="001A16BA" w:rsidRPr="00DC19F5">
        <w:rPr>
          <w:i/>
        </w:rPr>
        <w:t> </w:t>
      </w:r>
      <w:r w:rsidR="009361E9" w:rsidRPr="00DC19F5">
        <w:rPr>
          <w:i/>
        </w:rPr>
        <w:t>2003</w:t>
      </w:r>
      <w:r w:rsidR="009361E9" w:rsidRPr="00DC19F5">
        <w:t>.</w:t>
      </w:r>
    </w:p>
    <w:p w14:paraId="774FBE69" w14:textId="5400561B" w:rsidR="001907A9" w:rsidRPr="00DC19F5" w:rsidRDefault="001907A9" w:rsidP="00786242">
      <w:r w:rsidRPr="00DC19F5">
        <w:t>A provision-by-provision description of the Amendment Determination is contained in the Attachment.</w:t>
      </w:r>
    </w:p>
    <w:p w14:paraId="0A5B7FBE" w14:textId="77777777" w:rsidR="00400DCB" w:rsidRPr="00DC19F5" w:rsidRDefault="00400DCB" w:rsidP="00786242"/>
    <w:p w14:paraId="1D840B07" w14:textId="77777777" w:rsidR="00F21BFF" w:rsidRPr="00DC19F5" w:rsidRDefault="00F21BFF" w:rsidP="00F21BFF">
      <w:pPr>
        <w:autoSpaceDE w:val="0"/>
        <w:autoSpaceDN w:val="0"/>
        <w:adjustRightInd w:val="0"/>
      </w:pPr>
    </w:p>
    <w:p w14:paraId="66FCB366" w14:textId="77777777" w:rsidR="00F21BFF" w:rsidRPr="00DC19F5" w:rsidRDefault="00F21BFF" w:rsidP="00476CDE"/>
    <w:p w14:paraId="170240B6" w14:textId="77777777" w:rsidR="005D4C93" w:rsidRPr="00DC19F5" w:rsidRDefault="005D4C93" w:rsidP="000F14B4">
      <w:pPr>
        <w:rPr>
          <w:color w:val="000000"/>
        </w:rPr>
      </w:pPr>
    </w:p>
    <w:p w14:paraId="4D151B59" w14:textId="04726DFB" w:rsidR="009F7518" w:rsidRPr="00DC19F5" w:rsidRDefault="009F7518" w:rsidP="000F14B4">
      <w:pPr>
        <w:rPr>
          <w:b/>
        </w:rPr>
      </w:pPr>
    </w:p>
    <w:p w14:paraId="3EFCD14F" w14:textId="46CB8A43" w:rsidR="001907A9" w:rsidRPr="00DC19F5" w:rsidRDefault="001907A9" w:rsidP="001907A9">
      <w:pPr>
        <w:jc w:val="right"/>
        <w:rPr>
          <w:b/>
        </w:rPr>
      </w:pPr>
      <w:r w:rsidRPr="00DC19F5">
        <w:rPr>
          <w:b/>
        </w:rPr>
        <w:t>ATTACHMENT</w:t>
      </w:r>
      <w:r w:rsidR="008C6BED" w:rsidRPr="00DC19F5">
        <w:rPr>
          <w:b/>
        </w:rPr>
        <w:t xml:space="preserve"> A</w:t>
      </w:r>
    </w:p>
    <w:p w14:paraId="270C488C" w14:textId="000092C2" w:rsidR="001907A9" w:rsidRPr="00DC19F5" w:rsidRDefault="001907A9" w:rsidP="001907A9">
      <w:pPr>
        <w:rPr>
          <w:b/>
        </w:rPr>
      </w:pPr>
      <w:r w:rsidRPr="00DC19F5">
        <w:rPr>
          <w:b/>
        </w:rPr>
        <w:t xml:space="preserve">Details of the </w:t>
      </w:r>
      <w:r w:rsidRPr="00DC19F5">
        <w:rPr>
          <w:b/>
          <w:i/>
        </w:rPr>
        <w:t xml:space="preserve">National Health (Pharmaceutical Benefits) (Pharmacist Substitution of Medicines without Prescription during Shortages) Amendment (No. </w:t>
      </w:r>
      <w:r w:rsidR="009974D5" w:rsidRPr="00DC19F5">
        <w:rPr>
          <w:b/>
          <w:i/>
        </w:rPr>
        <w:t>3</w:t>
      </w:r>
      <w:r w:rsidRPr="00DC19F5">
        <w:rPr>
          <w:b/>
          <w:i/>
        </w:rPr>
        <w:t>) Determination 2022</w:t>
      </w:r>
    </w:p>
    <w:p w14:paraId="1D47F402" w14:textId="77777777" w:rsidR="001907A9" w:rsidRPr="00DC19F5" w:rsidRDefault="001907A9" w:rsidP="001907A9">
      <w:pPr>
        <w:rPr>
          <w:b/>
        </w:rPr>
      </w:pPr>
      <w:r w:rsidRPr="00DC19F5">
        <w:rPr>
          <w:b/>
        </w:rPr>
        <w:t>Section 1</w:t>
      </w:r>
      <w:r w:rsidRPr="00DC19F5">
        <w:rPr>
          <w:b/>
        </w:rPr>
        <w:tab/>
        <w:t>Name</w:t>
      </w:r>
    </w:p>
    <w:p w14:paraId="6C68BFB3" w14:textId="05EFBFCB" w:rsidR="001907A9" w:rsidRPr="00DC19F5" w:rsidRDefault="001907A9" w:rsidP="001907A9">
      <w:pPr>
        <w:rPr>
          <w:i/>
        </w:rPr>
      </w:pPr>
      <w:r w:rsidRPr="00DC19F5">
        <w:t xml:space="preserve">This section provides that the name of the Amendment Determination is the </w:t>
      </w:r>
      <w:r w:rsidRPr="00DC19F5">
        <w:rPr>
          <w:i/>
        </w:rPr>
        <w:t xml:space="preserve">National Health (Pharmaceutical Benefits) (Pharmacist Substitution of Medicines without Prescription during Shortages) Amendment (No. </w:t>
      </w:r>
      <w:r w:rsidR="009974D5" w:rsidRPr="00DC19F5">
        <w:rPr>
          <w:i/>
        </w:rPr>
        <w:t>3</w:t>
      </w:r>
      <w:r w:rsidRPr="00DC19F5">
        <w:rPr>
          <w:i/>
        </w:rPr>
        <w:t>) Determination 2022.</w:t>
      </w:r>
    </w:p>
    <w:p w14:paraId="098F211B" w14:textId="5B0BE85E" w:rsidR="001907A9" w:rsidRPr="00DC19F5" w:rsidRDefault="001907A9" w:rsidP="001907A9">
      <w:pPr>
        <w:rPr>
          <w:b/>
        </w:rPr>
      </w:pPr>
      <w:r w:rsidRPr="00DC19F5">
        <w:t xml:space="preserve">This section also provides that the instrument may be cited as PB </w:t>
      </w:r>
      <w:r w:rsidR="009974D5" w:rsidRPr="00DC19F5">
        <w:t>7</w:t>
      </w:r>
      <w:r w:rsidR="001E012A" w:rsidRPr="00DC19F5">
        <w:t>3</w:t>
      </w:r>
      <w:r w:rsidRPr="00DC19F5">
        <w:t xml:space="preserve"> of 2022.</w:t>
      </w:r>
    </w:p>
    <w:p w14:paraId="52F5ABA6" w14:textId="77777777" w:rsidR="001907A9" w:rsidRPr="00DC19F5" w:rsidRDefault="001907A9" w:rsidP="001907A9">
      <w:pPr>
        <w:rPr>
          <w:b/>
        </w:rPr>
      </w:pPr>
      <w:r w:rsidRPr="00DC19F5">
        <w:rPr>
          <w:b/>
        </w:rPr>
        <w:t>Section 2</w:t>
      </w:r>
      <w:r w:rsidRPr="00DC19F5">
        <w:rPr>
          <w:b/>
        </w:rPr>
        <w:tab/>
        <w:t>Commencement</w:t>
      </w:r>
    </w:p>
    <w:p w14:paraId="35C6EAE7" w14:textId="58ECA418" w:rsidR="001907A9" w:rsidRPr="00DC19F5" w:rsidRDefault="001907A9" w:rsidP="001907A9">
      <w:pPr>
        <w:rPr>
          <w:b/>
        </w:rPr>
      </w:pPr>
      <w:r w:rsidRPr="00DC19F5">
        <w:t xml:space="preserve">This section provides that the Amendment Determination commences on </w:t>
      </w:r>
      <w:r w:rsidR="002A6652" w:rsidRPr="00DC19F5">
        <w:t>1 August 2022</w:t>
      </w:r>
      <w:r w:rsidRPr="00DC19F5">
        <w:t>.</w:t>
      </w:r>
    </w:p>
    <w:p w14:paraId="2B2E7377" w14:textId="77777777" w:rsidR="001907A9" w:rsidRPr="00DC19F5" w:rsidRDefault="001907A9" w:rsidP="001907A9">
      <w:pPr>
        <w:rPr>
          <w:b/>
        </w:rPr>
      </w:pPr>
      <w:r w:rsidRPr="00DC19F5">
        <w:rPr>
          <w:b/>
        </w:rPr>
        <w:t>Section 3</w:t>
      </w:r>
      <w:r w:rsidRPr="00DC19F5">
        <w:rPr>
          <w:b/>
        </w:rPr>
        <w:tab/>
        <w:t>Authority</w:t>
      </w:r>
    </w:p>
    <w:p w14:paraId="30106403" w14:textId="77777777" w:rsidR="001907A9" w:rsidRPr="00DC19F5" w:rsidRDefault="001907A9" w:rsidP="001907A9">
      <w:r w:rsidRPr="00DC19F5">
        <w:t>This section provides that the Amendment Determination is made under subsection 89</w:t>
      </w:r>
      <w:proofErr w:type="gramStart"/>
      <w:r w:rsidRPr="00DC19F5">
        <w:t>A(</w:t>
      </w:r>
      <w:proofErr w:type="gramEnd"/>
      <w:r w:rsidRPr="00DC19F5">
        <w:t xml:space="preserve">3) of the </w:t>
      </w:r>
      <w:r w:rsidRPr="00DC19F5">
        <w:rPr>
          <w:i/>
        </w:rPr>
        <w:t>National Health Act 1953</w:t>
      </w:r>
      <w:r w:rsidRPr="00DC19F5">
        <w:t>.</w:t>
      </w:r>
    </w:p>
    <w:p w14:paraId="7FD9A160" w14:textId="77777777" w:rsidR="001907A9" w:rsidRPr="00DC19F5" w:rsidRDefault="001907A9" w:rsidP="001907A9">
      <w:pPr>
        <w:rPr>
          <w:b/>
        </w:rPr>
      </w:pPr>
      <w:r w:rsidRPr="00DC19F5">
        <w:rPr>
          <w:b/>
        </w:rPr>
        <w:t>Section 4</w:t>
      </w:r>
      <w:r w:rsidRPr="00DC19F5">
        <w:rPr>
          <w:b/>
        </w:rPr>
        <w:tab/>
        <w:t xml:space="preserve"> Schedules </w:t>
      </w:r>
    </w:p>
    <w:p w14:paraId="5B10DB5B" w14:textId="77777777" w:rsidR="001907A9" w:rsidRPr="00DC19F5" w:rsidRDefault="001907A9" w:rsidP="001907A9">
      <w:r w:rsidRPr="00DC19F5">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30BC1916" w14:textId="77777777" w:rsidR="001907A9" w:rsidRPr="00DC19F5" w:rsidRDefault="001907A9" w:rsidP="001907A9">
      <w:pPr>
        <w:ind w:left="1440" w:hanging="1440"/>
        <w:rPr>
          <w:b/>
        </w:rPr>
      </w:pPr>
      <w:r w:rsidRPr="00DC19F5">
        <w:rPr>
          <w:b/>
        </w:rPr>
        <w:t>Schedule 1 - Amendments</w:t>
      </w:r>
    </w:p>
    <w:p w14:paraId="3B1B3177" w14:textId="77777777" w:rsidR="001907A9" w:rsidRPr="00DC19F5" w:rsidRDefault="001907A9" w:rsidP="001907A9">
      <w:pPr>
        <w:rPr>
          <w:b/>
          <w:i/>
          <w:iCs/>
          <w:sz w:val="22"/>
          <w:szCs w:val="22"/>
        </w:rPr>
      </w:pPr>
      <w:r w:rsidRPr="00DC19F5">
        <w:rPr>
          <w:b/>
          <w:i/>
          <w:iCs/>
          <w:sz w:val="22"/>
          <w:szCs w:val="22"/>
        </w:rPr>
        <w:t>National Health (Pharmaceutical Benefits) (Pharmacist Substitution of Medicines without Prescription during Shortages) Determination 2021</w:t>
      </w:r>
    </w:p>
    <w:p w14:paraId="1D457F38" w14:textId="48D6B8CD" w:rsidR="001907A9" w:rsidRPr="00DC19F5" w:rsidRDefault="001907A9" w:rsidP="001907A9">
      <w:pPr>
        <w:rPr>
          <w:b/>
          <w:sz w:val="22"/>
          <w:szCs w:val="22"/>
        </w:rPr>
      </w:pPr>
      <w:r w:rsidRPr="00DC19F5">
        <w:rPr>
          <w:b/>
          <w:sz w:val="22"/>
          <w:szCs w:val="22"/>
        </w:rPr>
        <w:t xml:space="preserve">Item 1 – Subsection 5(8) </w:t>
      </w:r>
    </w:p>
    <w:p w14:paraId="0F807B3B" w14:textId="454F21D0" w:rsidR="00A571B3" w:rsidRPr="00DC19F5" w:rsidRDefault="001907A9" w:rsidP="00A571B3">
      <w:pPr>
        <w:rPr>
          <w:bCs/>
          <w:sz w:val="22"/>
          <w:szCs w:val="22"/>
        </w:rPr>
      </w:pPr>
      <w:r w:rsidRPr="00DC19F5">
        <w:rPr>
          <w:bCs/>
          <w:sz w:val="22"/>
          <w:szCs w:val="22"/>
        </w:rPr>
        <w:t xml:space="preserve">This item </w:t>
      </w:r>
      <w:r w:rsidR="00C2363A" w:rsidRPr="00DC19F5">
        <w:rPr>
          <w:bCs/>
          <w:sz w:val="22"/>
          <w:szCs w:val="22"/>
        </w:rPr>
        <w:t xml:space="preserve">repeals </w:t>
      </w:r>
      <w:r w:rsidR="00400DCB" w:rsidRPr="00DC19F5">
        <w:rPr>
          <w:bCs/>
          <w:sz w:val="22"/>
          <w:szCs w:val="22"/>
        </w:rPr>
        <w:t>two</w:t>
      </w:r>
      <w:r w:rsidRPr="00DC19F5">
        <w:rPr>
          <w:bCs/>
          <w:sz w:val="22"/>
          <w:szCs w:val="22"/>
        </w:rPr>
        <w:t xml:space="preserve"> items </w:t>
      </w:r>
      <w:r w:rsidR="00A571B3" w:rsidRPr="00DC19F5">
        <w:rPr>
          <w:bCs/>
          <w:sz w:val="22"/>
          <w:szCs w:val="22"/>
        </w:rPr>
        <w:t>from</w:t>
      </w:r>
      <w:r w:rsidRPr="00DC19F5">
        <w:rPr>
          <w:bCs/>
          <w:sz w:val="22"/>
          <w:szCs w:val="22"/>
        </w:rPr>
        <w:t xml:space="preserve"> the table at subsection 5(8) of the </w:t>
      </w:r>
      <w:bookmarkStart w:id="2" w:name="_Hlk103601448"/>
      <w:r w:rsidRPr="00DC19F5">
        <w:rPr>
          <w:bCs/>
          <w:i/>
          <w:iCs/>
          <w:sz w:val="22"/>
          <w:szCs w:val="22"/>
        </w:rPr>
        <w:t>National Health (Pharmaceutical Benefits) (Pharmacist Substitution of Medicines without Prescription during Shortages) Determination 2021</w:t>
      </w:r>
      <w:bookmarkEnd w:id="2"/>
      <w:r w:rsidRPr="00DC19F5">
        <w:rPr>
          <w:bCs/>
          <w:sz w:val="22"/>
          <w:szCs w:val="22"/>
        </w:rPr>
        <w:t>:</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3969"/>
        <w:gridCol w:w="4065"/>
      </w:tblGrid>
      <w:tr w:rsidR="00A571B3" w:rsidRPr="00DC19F5" w14:paraId="6F3ECC7D" w14:textId="77777777" w:rsidTr="005D4C93">
        <w:tc>
          <w:tcPr>
            <w:tcW w:w="411" w:type="dxa"/>
          </w:tcPr>
          <w:p w14:paraId="096ADB3D" w14:textId="6714E793" w:rsidR="00A571B3" w:rsidRPr="00DC19F5" w:rsidRDefault="002A6652" w:rsidP="002A6652">
            <w:pPr>
              <w:tabs>
                <w:tab w:val="left" w:pos="3544"/>
              </w:tabs>
            </w:pPr>
            <w:r w:rsidRPr="00DC19F5">
              <w:rPr>
                <w:rFonts w:eastAsiaTheme="minorHAnsi"/>
                <w:b/>
                <w:bCs/>
                <w:color w:val="000000" w:themeColor="text1"/>
                <w:lang w:eastAsia="en-US"/>
              </w:rPr>
              <w:t>Item</w:t>
            </w:r>
          </w:p>
        </w:tc>
        <w:tc>
          <w:tcPr>
            <w:tcW w:w="3969" w:type="dxa"/>
          </w:tcPr>
          <w:p w14:paraId="7FEB4D4D" w14:textId="4921DEE7" w:rsidR="00A571B3" w:rsidRPr="00DC19F5" w:rsidRDefault="00A571B3" w:rsidP="00A571B3">
            <w:pPr>
              <w:tabs>
                <w:tab w:val="left" w:pos="3544"/>
              </w:tabs>
              <w:rPr>
                <w:b/>
                <w:bCs/>
              </w:rPr>
            </w:pPr>
            <w:r w:rsidRPr="00DC19F5">
              <w:rPr>
                <w:rFonts w:eastAsiaTheme="minorHAnsi"/>
                <w:b/>
                <w:bCs/>
                <w:color w:val="000000" w:themeColor="text1"/>
                <w:lang w:eastAsia="en-US"/>
              </w:rPr>
              <w:t>Column 1</w:t>
            </w:r>
            <w:r w:rsidRPr="00DC19F5">
              <w:rPr>
                <w:rFonts w:eastAsiaTheme="minorHAnsi"/>
                <w:b/>
                <w:bCs/>
                <w:color w:val="000000" w:themeColor="text1"/>
                <w:lang w:eastAsia="en-US"/>
              </w:rPr>
              <w:br/>
              <w:t>Prescribed pharmaceutical benefit</w:t>
            </w:r>
          </w:p>
          <w:p w14:paraId="636960B7" w14:textId="77777777" w:rsidR="00A571B3" w:rsidRPr="00DC19F5" w:rsidRDefault="00A571B3" w:rsidP="00A571B3">
            <w:pPr>
              <w:spacing w:after="38" w:line="248" w:lineRule="auto"/>
              <w:ind w:right="39"/>
              <w:rPr>
                <w:color w:val="000000"/>
              </w:rPr>
            </w:pPr>
          </w:p>
        </w:tc>
        <w:tc>
          <w:tcPr>
            <w:tcW w:w="4065" w:type="dxa"/>
          </w:tcPr>
          <w:p w14:paraId="01016FFF" w14:textId="77777777" w:rsidR="00A571B3" w:rsidRPr="00DC19F5" w:rsidRDefault="00A571B3" w:rsidP="00A571B3">
            <w:pPr>
              <w:tabs>
                <w:tab w:val="left" w:pos="3544"/>
              </w:tabs>
              <w:rPr>
                <w:b/>
                <w:bCs/>
              </w:rPr>
            </w:pPr>
            <w:r w:rsidRPr="00DC19F5">
              <w:rPr>
                <w:b/>
                <w:bCs/>
              </w:rPr>
              <w:t>Column 2</w:t>
            </w:r>
          </w:p>
          <w:p w14:paraId="5CB0371A" w14:textId="65BD34F6" w:rsidR="00A571B3" w:rsidRPr="00DC19F5" w:rsidRDefault="00A571B3" w:rsidP="00A571B3">
            <w:pPr>
              <w:spacing w:after="38" w:line="248" w:lineRule="auto"/>
              <w:ind w:right="39"/>
              <w:rPr>
                <w:color w:val="000000"/>
              </w:rPr>
            </w:pPr>
            <w:r w:rsidRPr="00DC19F5">
              <w:rPr>
                <w:b/>
                <w:bCs/>
              </w:rPr>
              <w:t>Substitute pharmaceutical benefit</w:t>
            </w:r>
          </w:p>
        </w:tc>
      </w:tr>
      <w:tr w:rsidR="00A571B3" w:rsidRPr="00DC19F5" w14:paraId="5CC43D9D" w14:textId="77777777" w:rsidTr="005D4C93">
        <w:tc>
          <w:tcPr>
            <w:tcW w:w="411" w:type="dxa"/>
          </w:tcPr>
          <w:p w14:paraId="4F043CFB" w14:textId="08373C0B" w:rsidR="00A571B3" w:rsidRPr="00DC19F5" w:rsidRDefault="002A6652" w:rsidP="00F55767">
            <w:pPr>
              <w:spacing w:after="38" w:line="248" w:lineRule="auto"/>
              <w:ind w:right="39"/>
              <w:rPr>
                <w:b/>
                <w:bCs/>
              </w:rPr>
            </w:pPr>
            <w:bookmarkStart w:id="3" w:name="_Hlk102720988"/>
            <w:r w:rsidRPr="00DC19F5">
              <w:rPr>
                <w:b/>
                <w:bCs/>
              </w:rPr>
              <w:t>6</w:t>
            </w:r>
          </w:p>
        </w:tc>
        <w:tc>
          <w:tcPr>
            <w:tcW w:w="3969" w:type="dxa"/>
          </w:tcPr>
          <w:p w14:paraId="70A44C03" w14:textId="37057FD2" w:rsidR="00A571B3" w:rsidRPr="00DC19F5" w:rsidRDefault="00A571B3" w:rsidP="00F55767">
            <w:pPr>
              <w:spacing w:after="38" w:line="248" w:lineRule="auto"/>
              <w:ind w:right="39"/>
            </w:pPr>
            <w:r w:rsidRPr="00DC19F5">
              <w:rPr>
                <w:color w:val="000000"/>
              </w:rPr>
              <w:t xml:space="preserve">Listed drug: </w:t>
            </w:r>
            <w:r w:rsidR="00400DCB" w:rsidRPr="00DC19F5">
              <w:rPr>
                <w:color w:val="000000"/>
                <w:shd w:val="clear" w:color="auto" w:fill="FFFFFF"/>
              </w:rPr>
              <w:t>Abatacept</w:t>
            </w:r>
          </w:p>
        </w:tc>
        <w:tc>
          <w:tcPr>
            <w:tcW w:w="4065" w:type="dxa"/>
          </w:tcPr>
          <w:p w14:paraId="6A04FF55" w14:textId="35B71699" w:rsidR="00A571B3" w:rsidRPr="00DC19F5" w:rsidRDefault="00A571B3" w:rsidP="00F55767">
            <w:pPr>
              <w:spacing w:after="38" w:line="248" w:lineRule="auto"/>
              <w:ind w:right="39"/>
            </w:pPr>
            <w:r w:rsidRPr="00DC19F5">
              <w:rPr>
                <w:color w:val="000000"/>
              </w:rPr>
              <w:t xml:space="preserve">Listed drug: </w:t>
            </w:r>
            <w:r w:rsidR="002A6652" w:rsidRPr="00DC19F5">
              <w:rPr>
                <w:color w:val="000000"/>
                <w:shd w:val="clear" w:color="auto" w:fill="FFFFFF"/>
              </w:rPr>
              <w:t>Abatacept</w:t>
            </w:r>
          </w:p>
        </w:tc>
      </w:tr>
      <w:tr w:rsidR="00A571B3" w:rsidRPr="00DC19F5" w14:paraId="7B6F14F9" w14:textId="77777777" w:rsidTr="005D4C93">
        <w:tc>
          <w:tcPr>
            <w:tcW w:w="411" w:type="dxa"/>
          </w:tcPr>
          <w:p w14:paraId="6F7C92CA" w14:textId="77777777" w:rsidR="00A571B3" w:rsidRPr="00DC19F5" w:rsidRDefault="00A571B3" w:rsidP="00F55767">
            <w:pPr>
              <w:spacing w:after="38" w:line="248" w:lineRule="auto"/>
              <w:ind w:right="39"/>
            </w:pPr>
          </w:p>
        </w:tc>
        <w:tc>
          <w:tcPr>
            <w:tcW w:w="3969" w:type="dxa"/>
          </w:tcPr>
          <w:p w14:paraId="191838A9" w14:textId="0ADBD996" w:rsidR="00A571B3" w:rsidRPr="00DC19F5" w:rsidRDefault="00A571B3" w:rsidP="00F55767">
            <w:pPr>
              <w:spacing w:after="38" w:line="248" w:lineRule="auto"/>
              <w:ind w:right="39"/>
            </w:pPr>
            <w:r w:rsidRPr="00DC19F5">
              <w:rPr>
                <w:color w:val="000000"/>
              </w:rPr>
              <w:t xml:space="preserve">Form: </w:t>
            </w:r>
            <w:r w:rsidR="00400DCB" w:rsidRPr="00DC19F5">
              <w:rPr>
                <w:color w:val="000000"/>
                <w:shd w:val="clear" w:color="auto" w:fill="FFFFFF"/>
              </w:rPr>
              <w:t>Injection 125 mg in 1 mL single dose autoinjector</w:t>
            </w:r>
          </w:p>
        </w:tc>
        <w:tc>
          <w:tcPr>
            <w:tcW w:w="4065" w:type="dxa"/>
          </w:tcPr>
          <w:p w14:paraId="514266D0" w14:textId="20683467" w:rsidR="00A571B3" w:rsidRPr="00DC19F5" w:rsidRDefault="00A571B3" w:rsidP="00F55767">
            <w:pPr>
              <w:spacing w:after="38" w:line="248" w:lineRule="auto"/>
              <w:ind w:right="39"/>
            </w:pPr>
            <w:r w:rsidRPr="00DC19F5">
              <w:rPr>
                <w:color w:val="000000"/>
              </w:rPr>
              <w:t xml:space="preserve">Form: </w:t>
            </w:r>
            <w:r w:rsidR="00400DCB" w:rsidRPr="00DC19F5">
              <w:rPr>
                <w:color w:val="000000"/>
                <w:shd w:val="clear" w:color="auto" w:fill="FFFFFF"/>
              </w:rPr>
              <w:t>Injection 125 mg in 1 mL single dose pre</w:t>
            </w:r>
            <w:r w:rsidR="00400DCB" w:rsidRPr="00DC19F5">
              <w:rPr>
                <w:color w:val="000000"/>
                <w:shd w:val="clear" w:color="auto" w:fill="FFFFFF"/>
              </w:rPr>
              <w:noBreakHyphen/>
              <w:t>filled syringe</w:t>
            </w:r>
          </w:p>
        </w:tc>
      </w:tr>
      <w:tr w:rsidR="00A571B3" w:rsidRPr="00DC19F5" w14:paraId="58AC8B4C" w14:textId="77777777" w:rsidTr="005D4C93">
        <w:tc>
          <w:tcPr>
            <w:tcW w:w="411" w:type="dxa"/>
          </w:tcPr>
          <w:p w14:paraId="6F84855F" w14:textId="77777777" w:rsidR="00A571B3" w:rsidRPr="00DC19F5" w:rsidRDefault="00A571B3" w:rsidP="00F55767">
            <w:pPr>
              <w:spacing w:after="38" w:line="248" w:lineRule="auto"/>
              <w:ind w:right="39"/>
            </w:pPr>
          </w:p>
        </w:tc>
        <w:tc>
          <w:tcPr>
            <w:tcW w:w="3969" w:type="dxa"/>
          </w:tcPr>
          <w:p w14:paraId="49FD8386" w14:textId="77777777" w:rsidR="00A571B3" w:rsidRPr="00DC19F5" w:rsidRDefault="00A571B3" w:rsidP="00F55767">
            <w:pPr>
              <w:spacing w:after="38" w:line="248" w:lineRule="auto"/>
              <w:ind w:right="39"/>
            </w:pPr>
            <w:r w:rsidRPr="00DC19F5">
              <w:rPr>
                <w:color w:val="000000"/>
              </w:rPr>
              <w:t>Manner of administration: Injection</w:t>
            </w:r>
          </w:p>
        </w:tc>
        <w:tc>
          <w:tcPr>
            <w:tcW w:w="4065" w:type="dxa"/>
          </w:tcPr>
          <w:p w14:paraId="1DAB88D1" w14:textId="77777777" w:rsidR="00A571B3" w:rsidRPr="00DC19F5" w:rsidRDefault="00A571B3" w:rsidP="00F55767">
            <w:pPr>
              <w:spacing w:after="38" w:line="248" w:lineRule="auto"/>
              <w:ind w:right="39"/>
            </w:pPr>
            <w:r w:rsidRPr="00DC19F5">
              <w:rPr>
                <w:color w:val="000000"/>
              </w:rPr>
              <w:t>Manner of administration: Injection</w:t>
            </w:r>
          </w:p>
        </w:tc>
      </w:tr>
      <w:tr w:rsidR="00A571B3" w:rsidRPr="00DC19F5" w14:paraId="422DBD04" w14:textId="77777777" w:rsidTr="005D4C93">
        <w:tc>
          <w:tcPr>
            <w:tcW w:w="411" w:type="dxa"/>
          </w:tcPr>
          <w:p w14:paraId="6E68C67C" w14:textId="77777777" w:rsidR="00A571B3" w:rsidRPr="00DC19F5" w:rsidRDefault="00A571B3" w:rsidP="00F55767">
            <w:pPr>
              <w:spacing w:after="38" w:line="248" w:lineRule="auto"/>
              <w:ind w:right="39"/>
            </w:pPr>
          </w:p>
        </w:tc>
        <w:tc>
          <w:tcPr>
            <w:tcW w:w="3969" w:type="dxa"/>
          </w:tcPr>
          <w:p w14:paraId="4493881F" w14:textId="6BEE031A" w:rsidR="00A571B3" w:rsidRPr="00DC19F5" w:rsidRDefault="00A571B3" w:rsidP="00F55767">
            <w:pPr>
              <w:spacing w:after="38" w:line="248" w:lineRule="auto"/>
              <w:ind w:right="39"/>
            </w:pPr>
            <w:r w:rsidRPr="00DC19F5">
              <w:rPr>
                <w:color w:val="000000"/>
              </w:rPr>
              <w:t xml:space="preserve">Brand: </w:t>
            </w:r>
            <w:r w:rsidR="00400DCB" w:rsidRPr="00DC19F5">
              <w:rPr>
                <w:color w:val="000000"/>
                <w:shd w:val="clear" w:color="auto" w:fill="FFFFFF"/>
              </w:rPr>
              <w:t>Orencia ClickJect</w:t>
            </w:r>
          </w:p>
        </w:tc>
        <w:tc>
          <w:tcPr>
            <w:tcW w:w="4065" w:type="dxa"/>
          </w:tcPr>
          <w:p w14:paraId="6AD9D783" w14:textId="2721440D" w:rsidR="00A571B3" w:rsidRPr="00DC19F5" w:rsidRDefault="00A571B3" w:rsidP="00F55767">
            <w:pPr>
              <w:spacing w:after="38" w:line="248" w:lineRule="auto"/>
              <w:ind w:right="39"/>
            </w:pPr>
            <w:r w:rsidRPr="00DC19F5">
              <w:rPr>
                <w:color w:val="000000"/>
              </w:rPr>
              <w:t xml:space="preserve">Brand: </w:t>
            </w:r>
            <w:r w:rsidR="00400DCB" w:rsidRPr="00DC19F5">
              <w:rPr>
                <w:color w:val="000000"/>
                <w:shd w:val="clear" w:color="auto" w:fill="FFFFFF"/>
              </w:rPr>
              <w:t>Orencia</w:t>
            </w:r>
          </w:p>
        </w:tc>
      </w:tr>
      <w:bookmarkEnd w:id="3"/>
      <w:tr w:rsidR="00400DCB" w:rsidRPr="00DC19F5" w14:paraId="4BAF5925" w14:textId="77777777" w:rsidTr="005D4C93">
        <w:tc>
          <w:tcPr>
            <w:tcW w:w="411" w:type="dxa"/>
          </w:tcPr>
          <w:p w14:paraId="58541C2D" w14:textId="1057B792" w:rsidR="00400DCB" w:rsidRPr="00DC19F5" w:rsidRDefault="002A6652" w:rsidP="00400DCB">
            <w:pPr>
              <w:spacing w:after="38" w:line="248" w:lineRule="auto"/>
              <w:ind w:right="39"/>
              <w:rPr>
                <w:b/>
                <w:bCs/>
              </w:rPr>
            </w:pPr>
            <w:r w:rsidRPr="00DC19F5">
              <w:rPr>
                <w:b/>
                <w:bCs/>
              </w:rPr>
              <w:t>7</w:t>
            </w:r>
          </w:p>
        </w:tc>
        <w:tc>
          <w:tcPr>
            <w:tcW w:w="3969" w:type="dxa"/>
          </w:tcPr>
          <w:p w14:paraId="2DC9CEC1" w14:textId="061DCF02" w:rsidR="00400DCB" w:rsidRPr="00DC19F5" w:rsidRDefault="00400DCB" w:rsidP="00400DCB">
            <w:pPr>
              <w:spacing w:after="38" w:line="248" w:lineRule="auto"/>
              <w:ind w:right="39"/>
            </w:pPr>
            <w:r w:rsidRPr="00DC19F5">
              <w:rPr>
                <w:color w:val="000000"/>
              </w:rPr>
              <w:t xml:space="preserve">Listed drug: </w:t>
            </w:r>
            <w:r w:rsidR="002A6652" w:rsidRPr="00DC19F5">
              <w:rPr>
                <w:color w:val="000000"/>
                <w:shd w:val="clear" w:color="auto" w:fill="FFFFFF"/>
              </w:rPr>
              <w:t>Abatacept</w:t>
            </w:r>
          </w:p>
        </w:tc>
        <w:tc>
          <w:tcPr>
            <w:tcW w:w="4065" w:type="dxa"/>
          </w:tcPr>
          <w:p w14:paraId="320D84E0" w14:textId="2A9F0782" w:rsidR="00400DCB" w:rsidRPr="00DC19F5" w:rsidRDefault="00400DCB" w:rsidP="00400DCB">
            <w:pPr>
              <w:spacing w:after="38" w:line="248" w:lineRule="auto"/>
              <w:ind w:right="39"/>
            </w:pPr>
            <w:r w:rsidRPr="00DC19F5">
              <w:rPr>
                <w:color w:val="000000"/>
              </w:rPr>
              <w:t xml:space="preserve">Listed drug: </w:t>
            </w:r>
            <w:r w:rsidRPr="00DC19F5">
              <w:rPr>
                <w:color w:val="000000"/>
                <w:shd w:val="clear" w:color="auto" w:fill="FFFFFF"/>
              </w:rPr>
              <w:t>Abatacept</w:t>
            </w:r>
          </w:p>
        </w:tc>
      </w:tr>
      <w:tr w:rsidR="00400DCB" w:rsidRPr="00DC19F5" w14:paraId="0B4C06CA" w14:textId="77777777" w:rsidTr="005D4C93">
        <w:tc>
          <w:tcPr>
            <w:tcW w:w="411" w:type="dxa"/>
          </w:tcPr>
          <w:p w14:paraId="20FBBD21" w14:textId="77777777" w:rsidR="00400DCB" w:rsidRPr="00DC19F5" w:rsidRDefault="00400DCB" w:rsidP="00400DCB">
            <w:pPr>
              <w:spacing w:after="38" w:line="248" w:lineRule="auto"/>
              <w:ind w:right="39"/>
            </w:pPr>
          </w:p>
        </w:tc>
        <w:tc>
          <w:tcPr>
            <w:tcW w:w="3969" w:type="dxa"/>
          </w:tcPr>
          <w:p w14:paraId="749368E9" w14:textId="46558F4C" w:rsidR="00400DCB" w:rsidRPr="00DC19F5" w:rsidRDefault="00400DCB" w:rsidP="00400DCB">
            <w:pPr>
              <w:spacing w:after="38" w:line="248" w:lineRule="auto"/>
              <w:ind w:right="39"/>
            </w:pPr>
            <w:r w:rsidRPr="00DC19F5">
              <w:rPr>
                <w:color w:val="000000"/>
              </w:rPr>
              <w:t xml:space="preserve">Form: </w:t>
            </w:r>
            <w:r w:rsidRPr="00DC19F5">
              <w:rPr>
                <w:color w:val="000000"/>
                <w:shd w:val="clear" w:color="auto" w:fill="FFFFFF"/>
              </w:rPr>
              <w:t>Injection 125 mg in 1 mL single dose pre</w:t>
            </w:r>
            <w:r w:rsidRPr="00DC19F5">
              <w:rPr>
                <w:color w:val="000000"/>
                <w:shd w:val="clear" w:color="auto" w:fill="FFFFFF"/>
              </w:rPr>
              <w:noBreakHyphen/>
              <w:t>filled syringe</w:t>
            </w:r>
          </w:p>
        </w:tc>
        <w:tc>
          <w:tcPr>
            <w:tcW w:w="4065" w:type="dxa"/>
          </w:tcPr>
          <w:p w14:paraId="562CAF40" w14:textId="591DAD3C" w:rsidR="00400DCB" w:rsidRPr="00DC19F5" w:rsidRDefault="00400DCB" w:rsidP="00400DCB">
            <w:pPr>
              <w:spacing w:after="38" w:line="248" w:lineRule="auto"/>
              <w:ind w:right="39"/>
            </w:pPr>
            <w:r w:rsidRPr="00DC19F5">
              <w:rPr>
                <w:color w:val="000000"/>
              </w:rPr>
              <w:t xml:space="preserve">Form: </w:t>
            </w:r>
            <w:r w:rsidRPr="00DC19F5">
              <w:rPr>
                <w:color w:val="000000"/>
                <w:shd w:val="clear" w:color="auto" w:fill="FFFFFF"/>
              </w:rPr>
              <w:t>Injection 125 mg in 1 mL single dose autoinjector</w:t>
            </w:r>
          </w:p>
        </w:tc>
      </w:tr>
      <w:tr w:rsidR="00400DCB" w:rsidRPr="00DC19F5" w14:paraId="140A0FA2" w14:textId="77777777" w:rsidTr="005D4C93">
        <w:tc>
          <w:tcPr>
            <w:tcW w:w="411" w:type="dxa"/>
          </w:tcPr>
          <w:p w14:paraId="7EAD335E" w14:textId="77777777" w:rsidR="00400DCB" w:rsidRPr="00DC19F5" w:rsidRDefault="00400DCB" w:rsidP="00400DCB">
            <w:pPr>
              <w:spacing w:after="38" w:line="248" w:lineRule="auto"/>
              <w:ind w:right="39"/>
            </w:pPr>
          </w:p>
        </w:tc>
        <w:tc>
          <w:tcPr>
            <w:tcW w:w="3969" w:type="dxa"/>
          </w:tcPr>
          <w:p w14:paraId="5598A1FF" w14:textId="1E283B11" w:rsidR="00400DCB" w:rsidRPr="00DC19F5" w:rsidRDefault="00400DCB" w:rsidP="00400DCB">
            <w:pPr>
              <w:spacing w:after="38" w:line="248" w:lineRule="auto"/>
              <w:ind w:right="39"/>
            </w:pPr>
            <w:r w:rsidRPr="00DC19F5">
              <w:rPr>
                <w:color w:val="000000"/>
              </w:rPr>
              <w:t>Manner of administration: Injection</w:t>
            </w:r>
          </w:p>
        </w:tc>
        <w:tc>
          <w:tcPr>
            <w:tcW w:w="4065" w:type="dxa"/>
          </w:tcPr>
          <w:p w14:paraId="5B8B8F6C" w14:textId="28739BCE" w:rsidR="00400DCB" w:rsidRPr="00DC19F5" w:rsidRDefault="00400DCB" w:rsidP="00400DCB">
            <w:pPr>
              <w:spacing w:after="38" w:line="248" w:lineRule="auto"/>
              <w:ind w:right="39"/>
            </w:pPr>
            <w:r w:rsidRPr="00DC19F5">
              <w:rPr>
                <w:color w:val="000000"/>
              </w:rPr>
              <w:t>Manner of administration: Injection</w:t>
            </w:r>
          </w:p>
        </w:tc>
      </w:tr>
      <w:tr w:rsidR="00400DCB" w:rsidRPr="00DC19F5" w14:paraId="16C25285" w14:textId="77777777" w:rsidTr="005D4C93">
        <w:tc>
          <w:tcPr>
            <w:tcW w:w="411" w:type="dxa"/>
          </w:tcPr>
          <w:p w14:paraId="610674D2" w14:textId="77777777" w:rsidR="00400DCB" w:rsidRPr="00DC19F5" w:rsidRDefault="00400DCB" w:rsidP="00400DCB">
            <w:pPr>
              <w:spacing w:after="38" w:line="248" w:lineRule="auto"/>
              <w:ind w:right="39"/>
            </w:pPr>
          </w:p>
        </w:tc>
        <w:tc>
          <w:tcPr>
            <w:tcW w:w="3969" w:type="dxa"/>
          </w:tcPr>
          <w:p w14:paraId="4FBC7441" w14:textId="1C90476A" w:rsidR="00400DCB" w:rsidRPr="00DC19F5" w:rsidRDefault="00400DCB" w:rsidP="00400DCB">
            <w:pPr>
              <w:spacing w:after="38" w:line="248" w:lineRule="auto"/>
              <w:ind w:right="39"/>
            </w:pPr>
            <w:r w:rsidRPr="00DC19F5">
              <w:rPr>
                <w:color w:val="000000"/>
              </w:rPr>
              <w:t xml:space="preserve">Brand: </w:t>
            </w:r>
            <w:r w:rsidRPr="00DC19F5">
              <w:rPr>
                <w:color w:val="000000"/>
                <w:shd w:val="clear" w:color="auto" w:fill="FFFFFF"/>
              </w:rPr>
              <w:t>Orencia</w:t>
            </w:r>
          </w:p>
        </w:tc>
        <w:tc>
          <w:tcPr>
            <w:tcW w:w="4065" w:type="dxa"/>
          </w:tcPr>
          <w:p w14:paraId="0BC4C4E6" w14:textId="35FFC6E1" w:rsidR="00400DCB" w:rsidRPr="00DC19F5" w:rsidRDefault="00400DCB" w:rsidP="00400DCB">
            <w:pPr>
              <w:spacing w:after="38" w:line="248" w:lineRule="auto"/>
              <w:ind w:right="39"/>
            </w:pPr>
            <w:r w:rsidRPr="00DC19F5">
              <w:rPr>
                <w:color w:val="000000"/>
              </w:rPr>
              <w:t xml:space="preserve">Brand: </w:t>
            </w:r>
            <w:r w:rsidRPr="00DC19F5">
              <w:rPr>
                <w:color w:val="000000"/>
                <w:shd w:val="clear" w:color="auto" w:fill="FFFFFF"/>
              </w:rPr>
              <w:t>Orencia ClickJect</w:t>
            </w:r>
          </w:p>
        </w:tc>
      </w:tr>
    </w:tbl>
    <w:p w14:paraId="313EBDD9" w14:textId="3938F7C7" w:rsidR="00E40F4A" w:rsidRPr="00DC19F5" w:rsidRDefault="004143D3" w:rsidP="007E1768">
      <w:pPr>
        <w:jc w:val="center"/>
        <w:rPr>
          <w:rFonts w:eastAsia="Times New Roman"/>
          <w:b/>
          <w:bCs/>
          <w:color w:val="000000"/>
          <w:sz w:val="28"/>
          <w:szCs w:val="28"/>
          <w:lang w:eastAsia="en-AU"/>
        </w:rPr>
      </w:pPr>
      <w:r w:rsidRPr="00DC19F5">
        <w:rPr>
          <w:rFonts w:eastAsia="Times New Roman"/>
          <w:b/>
          <w:bCs/>
          <w:color w:val="000000"/>
          <w:sz w:val="28"/>
          <w:szCs w:val="28"/>
          <w:lang w:eastAsia="en-AU"/>
        </w:rPr>
        <w:br w:type="page"/>
      </w:r>
      <w:r w:rsidR="00E40F4A" w:rsidRPr="00DC19F5">
        <w:rPr>
          <w:rFonts w:eastAsia="Times New Roman"/>
          <w:b/>
          <w:bCs/>
          <w:color w:val="000000"/>
          <w:sz w:val="28"/>
          <w:szCs w:val="28"/>
          <w:lang w:eastAsia="en-AU"/>
        </w:rPr>
        <w:lastRenderedPageBreak/>
        <w:t>Statement of Compatibility with Human Rights</w:t>
      </w:r>
    </w:p>
    <w:p w14:paraId="4F05FE3B" w14:textId="77777777" w:rsidR="00E40F4A" w:rsidRPr="00DC19F5" w:rsidRDefault="00E40F4A" w:rsidP="001467A9">
      <w:pPr>
        <w:shd w:val="clear" w:color="auto" w:fill="FFFFFF"/>
        <w:spacing w:before="120" w:after="120" w:line="240" w:lineRule="auto"/>
        <w:rPr>
          <w:rFonts w:eastAsia="Times New Roman"/>
          <w:color w:val="000000"/>
          <w:lang w:eastAsia="en-AU"/>
        </w:rPr>
      </w:pPr>
      <w:r w:rsidRPr="00DC19F5">
        <w:rPr>
          <w:rFonts w:eastAsia="Times New Roman"/>
          <w:i/>
          <w:iCs/>
          <w:color w:val="000000"/>
          <w:lang w:eastAsia="en-AU"/>
        </w:rPr>
        <w:t xml:space="preserve">Prepared in accordance with </w:t>
      </w:r>
      <w:r w:rsidR="005E3B12" w:rsidRPr="00DC19F5">
        <w:rPr>
          <w:rFonts w:eastAsia="Times New Roman"/>
          <w:i/>
          <w:iCs/>
          <w:color w:val="000000"/>
          <w:lang w:eastAsia="en-AU"/>
        </w:rPr>
        <w:t>Part 3</w:t>
      </w:r>
      <w:r w:rsidRPr="00DC19F5">
        <w:rPr>
          <w:rFonts w:eastAsia="Times New Roman"/>
          <w:i/>
          <w:iCs/>
          <w:color w:val="000000"/>
          <w:lang w:eastAsia="en-AU"/>
        </w:rPr>
        <w:t xml:space="preserve"> of the Human Rights (Parliamentary Scrutiny) Act 2011</w:t>
      </w:r>
    </w:p>
    <w:p w14:paraId="33F6F374" w14:textId="0AA59676" w:rsidR="001467A9" w:rsidRPr="00DC19F5" w:rsidRDefault="00E40F4A" w:rsidP="000F14B4">
      <w:pPr>
        <w:jc w:val="center"/>
        <w:rPr>
          <w:b/>
          <w:i/>
        </w:rPr>
      </w:pPr>
      <w:r w:rsidRPr="00DC19F5">
        <w:rPr>
          <w:b/>
          <w:i/>
        </w:rPr>
        <w:t>National Health (Pharmaceutical Benefits) (Pharmacist Substitution of Medicines without Prescription during Shortages)</w:t>
      </w:r>
      <w:r w:rsidR="003E1213" w:rsidRPr="00DC19F5">
        <w:rPr>
          <w:b/>
          <w:i/>
        </w:rPr>
        <w:t xml:space="preserve"> Amendment (No. </w:t>
      </w:r>
      <w:r w:rsidR="009974D5" w:rsidRPr="00DC19F5">
        <w:rPr>
          <w:b/>
          <w:i/>
        </w:rPr>
        <w:t>3</w:t>
      </w:r>
      <w:r w:rsidR="003E1213" w:rsidRPr="00DC19F5">
        <w:rPr>
          <w:b/>
          <w:i/>
        </w:rPr>
        <w:t>)</w:t>
      </w:r>
      <w:r w:rsidRPr="00DC19F5">
        <w:rPr>
          <w:b/>
          <w:i/>
        </w:rPr>
        <w:t xml:space="preserve"> Determination 202</w:t>
      </w:r>
      <w:r w:rsidR="000C5058" w:rsidRPr="00DC19F5">
        <w:rPr>
          <w:b/>
          <w:i/>
        </w:rPr>
        <w:t>2</w:t>
      </w:r>
    </w:p>
    <w:p w14:paraId="5A7E4869" w14:textId="2FC8B79A" w:rsidR="001467A9" w:rsidRPr="00DC19F5" w:rsidRDefault="001467A9" w:rsidP="000B143E">
      <w:pPr>
        <w:shd w:val="clear" w:color="auto" w:fill="FFFFFF"/>
        <w:spacing w:after="120" w:line="240" w:lineRule="auto"/>
        <w:rPr>
          <w:rFonts w:eastAsia="Times New Roman"/>
          <w:color w:val="000000"/>
          <w:lang w:eastAsia="en-AU"/>
        </w:rPr>
      </w:pPr>
      <w:r w:rsidRPr="00DC19F5">
        <w:rPr>
          <w:rFonts w:eastAsia="Times New Roman"/>
          <w:color w:val="000000"/>
          <w:lang w:eastAsia="en-AU"/>
        </w:rPr>
        <w:t xml:space="preserve">This </w:t>
      </w:r>
      <w:r w:rsidR="005E3B12" w:rsidRPr="00DC19F5">
        <w:rPr>
          <w:rFonts w:eastAsia="Times New Roman"/>
          <w:color w:val="000000"/>
          <w:lang w:eastAsia="en-AU"/>
        </w:rPr>
        <w:t xml:space="preserve">Disallowable </w:t>
      </w:r>
      <w:r w:rsidRPr="00DC19F5">
        <w:rPr>
          <w:rFonts w:eastAsia="Times New Roman"/>
          <w:color w:val="000000"/>
          <w:lang w:eastAsia="en-AU"/>
        </w:rPr>
        <w:t>legislative instrument is compatible with the human rights and freedoms recognised or declared in the international instruments listed in section 3 of the </w:t>
      </w:r>
      <w:r w:rsidRPr="00DC19F5">
        <w:rPr>
          <w:rFonts w:eastAsia="Times New Roman"/>
          <w:i/>
          <w:iCs/>
          <w:color w:val="000000"/>
          <w:lang w:eastAsia="en-AU"/>
        </w:rPr>
        <w:t>Human Rights (Parliamentary Scrutiny) Act 2011</w:t>
      </w:r>
      <w:r w:rsidRPr="00DC19F5">
        <w:rPr>
          <w:rFonts w:eastAsia="Times New Roman"/>
          <w:color w:val="000000"/>
          <w:lang w:eastAsia="en-AU"/>
        </w:rPr>
        <w:t>.</w:t>
      </w:r>
      <w:r w:rsidRPr="00DC19F5">
        <w:rPr>
          <w:rFonts w:eastAsia="Times New Roman"/>
          <w:color w:val="000000"/>
          <w:sz w:val="20"/>
          <w:szCs w:val="20"/>
          <w:lang w:eastAsia="en-AU"/>
        </w:rPr>
        <w:t> </w:t>
      </w:r>
    </w:p>
    <w:p w14:paraId="39ACC5A0" w14:textId="32380506" w:rsidR="001467A9" w:rsidRPr="00DC19F5" w:rsidRDefault="001467A9" w:rsidP="001467A9">
      <w:pPr>
        <w:shd w:val="clear" w:color="auto" w:fill="FFFFFF"/>
        <w:spacing w:after="120" w:line="240" w:lineRule="auto"/>
        <w:jc w:val="both"/>
        <w:rPr>
          <w:rFonts w:eastAsia="Times New Roman"/>
          <w:b/>
          <w:bCs/>
          <w:color w:val="000000"/>
          <w:lang w:eastAsia="en-AU"/>
        </w:rPr>
      </w:pPr>
      <w:r w:rsidRPr="00DC19F5">
        <w:rPr>
          <w:rFonts w:eastAsia="Times New Roman"/>
          <w:b/>
          <w:bCs/>
          <w:color w:val="000000"/>
          <w:lang w:eastAsia="en-AU"/>
        </w:rPr>
        <w:t xml:space="preserve">Overview of the </w:t>
      </w:r>
      <w:r w:rsidR="005E3B12" w:rsidRPr="00DC19F5">
        <w:rPr>
          <w:rFonts w:eastAsia="Times New Roman"/>
          <w:b/>
          <w:bCs/>
          <w:color w:val="000000"/>
          <w:lang w:eastAsia="en-AU"/>
        </w:rPr>
        <w:t xml:space="preserve">Disallowable </w:t>
      </w:r>
      <w:r w:rsidRPr="00DC19F5">
        <w:rPr>
          <w:rFonts w:eastAsia="Times New Roman"/>
          <w:b/>
          <w:bCs/>
          <w:color w:val="000000"/>
          <w:lang w:eastAsia="en-AU"/>
        </w:rPr>
        <w:t>Legislative Instrument</w:t>
      </w:r>
    </w:p>
    <w:p w14:paraId="789D8346" w14:textId="52CACEC0" w:rsidR="007B2DF0" w:rsidRPr="00DC19F5" w:rsidRDefault="003E1213" w:rsidP="007B2DF0">
      <w:pPr>
        <w:spacing w:after="0"/>
      </w:pPr>
      <w:r w:rsidRPr="00DC19F5">
        <w:t xml:space="preserve">The purpose of the </w:t>
      </w:r>
      <w:r w:rsidRPr="00DC19F5">
        <w:rPr>
          <w:i/>
        </w:rPr>
        <w:t xml:space="preserve">National Health (Pharmaceutical Benefits) (Pharmacist Substitution of Medicines without Prescription during Shortages) Amendment (No. </w:t>
      </w:r>
      <w:r w:rsidR="009974D5" w:rsidRPr="00DC19F5">
        <w:rPr>
          <w:i/>
        </w:rPr>
        <w:t>3</w:t>
      </w:r>
      <w:r w:rsidRPr="00DC19F5">
        <w:rPr>
          <w:i/>
        </w:rPr>
        <w:t>) Determination 202</w:t>
      </w:r>
      <w:r w:rsidR="000C6E0C" w:rsidRPr="00DC19F5">
        <w:rPr>
          <w:i/>
        </w:rPr>
        <w:t>2</w:t>
      </w:r>
      <w:r w:rsidRPr="00DC19F5">
        <w:rPr>
          <w:i/>
        </w:rPr>
        <w:t xml:space="preserve"> </w:t>
      </w:r>
      <w:r w:rsidRPr="00DC19F5">
        <w:rPr>
          <w:iCs/>
        </w:rPr>
        <w:t>(Amendment Determination) is to amend the</w:t>
      </w:r>
      <w:r w:rsidRPr="00DC19F5">
        <w:rPr>
          <w:i/>
        </w:rPr>
        <w:t xml:space="preserve"> National Health (Pharmaceutical Benefits) (Pharmacist Substitution of Medicines without Prescription during Shortages) Determination 2021 </w:t>
      </w:r>
      <w:r w:rsidRPr="00DC19F5">
        <w:t>(</w:t>
      </w:r>
      <w:r w:rsidR="005B1E28" w:rsidRPr="00DC19F5">
        <w:t xml:space="preserve">Principal </w:t>
      </w:r>
      <w:r w:rsidRPr="00DC19F5">
        <w:t xml:space="preserve">Determination) to </w:t>
      </w:r>
      <w:r w:rsidR="00F21BFF" w:rsidRPr="00DC19F5">
        <w:t xml:space="preserve">revoke </w:t>
      </w:r>
      <w:r w:rsidR="00C633A2" w:rsidRPr="00DC19F5">
        <w:t xml:space="preserve">pharmacist </w:t>
      </w:r>
      <w:r w:rsidR="001703B7" w:rsidRPr="00DC19F5">
        <w:t xml:space="preserve">substitution of specified </w:t>
      </w:r>
      <w:r w:rsidRPr="00DC19F5">
        <w:t>pharmaceutical benefits</w:t>
      </w:r>
      <w:r w:rsidR="001703B7" w:rsidRPr="00DC19F5">
        <w:t xml:space="preserve"> as they are no longer subject to Therapeutic Goods Administration (TGA) Serious</w:t>
      </w:r>
      <w:r w:rsidR="00C633A2" w:rsidRPr="00DC19F5">
        <w:t> </w:t>
      </w:r>
      <w:r w:rsidR="001703B7" w:rsidRPr="00DC19F5">
        <w:t>Scarcity Substitution Instruments (SSSIs).</w:t>
      </w:r>
      <w:r w:rsidRPr="00DC19F5">
        <w:t xml:space="preserve"> </w:t>
      </w:r>
      <w:r w:rsidR="00C2363A" w:rsidRPr="00DC19F5">
        <w:t xml:space="preserve">This </w:t>
      </w:r>
      <w:r w:rsidR="001D3A7E" w:rsidRPr="00DC19F5">
        <w:t xml:space="preserve">is being done following </w:t>
      </w:r>
      <w:r w:rsidR="00C2363A" w:rsidRPr="00DC19F5">
        <w:t>the resolution of</w:t>
      </w:r>
      <w:r w:rsidR="002C645C" w:rsidRPr="00DC19F5">
        <w:t xml:space="preserve"> </w:t>
      </w:r>
      <w:r w:rsidR="00C2363A" w:rsidRPr="00DC19F5">
        <w:t>shortages</w:t>
      </w:r>
      <w:r w:rsidR="002C645C" w:rsidRPr="00DC19F5">
        <w:t xml:space="preserve"> of </w:t>
      </w:r>
      <w:bookmarkStart w:id="4" w:name="_Hlk103245883"/>
      <w:r w:rsidR="00400DCB" w:rsidRPr="00DC19F5">
        <w:t xml:space="preserve">abatacept </w:t>
      </w:r>
      <w:r w:rsidR="002A6652" w:rsidRPr="00DC19F5">
        <w:t>i</w:t>
      </w:r>
      <w:r w:rsidR="00400DCB" w:rsidRPr="00DC19F5">
        <w:t xml:space="preserve">njection 125 mg in 1 mL single dose autoinjector and </w:t>
      </w:r>
      <w:r w:rsidR="00C16BE6" w:rsidRPr="00DC19F5">
        <w:t xml:space="preserve">single dose </w:t>
      </w:r>
      <w:r w:rsidR="00400DCB" w:rsidRPr="00DC19F5">
        <w:t xml:space="preserve">pre-filled pen in </w:t>
      </w:r>
      <w:r w:rsidR="00C16BE6" w:rsidRPr="00DC19F5">
        <w:t xml:space="preserve">the </w:t>
      </w:r>
      <w:r w:rsidR="00400DCB" w:rsidRPr="00DC19F5">
        <w:t>brands Orencia and Orencia ClickJect</w:t>
      </w:r>
      <w:bookmarkEnd w:id="4"/>
      <w:r w:rsidR="00C16BE6" w:rsidRPr="00DC19F5">
        <w:t>.</w:t>
      </w:r>
    </w:p>
    <w:p w14:paraId="27D55117" w14:textId="77777777" w:rsidR="007B2DF0" w:rsidRPr="00DC19F5" w:rsidRDefault="007B2DF0" w:rsidP="007B2DF0">
      <w:pPr>
        <w:spacing w:after="0"/>
      </w:pPr>
    </w:p>
    <w:p w14:paraId="296E9149" w14:textId="77777777" w:rsidR="007B2DF0" w:rsidRPr="00DC19F5" w:rsidRDefault="003E1213" w:rsidP="007B2DF0">
      <w:pPr>
        <w:spacing w:after="0"/>
      </w:pPr>
      <w:r w:rsidRPr="00DC19F5">
        <w:rPr>
          <w:rFonts w:eastAsia="Times New Roman"/>
          <w:b/>
          <w:bCs/>
          <w:color w:val="000000"/>
          <w:lang w:eastAsia="en-AU"/>
        </w:rPr>
        <w:t>Human rights implications</w:t>
      </w:r>
    </w:p>
    <w:p w14:paraId="52D15382" w14:textId="77777777" w:rsidR="007B2DF0" w:rsidRPr="00DC19F5" w:rsidRDefault="007B2DF0" w:rsidP="007B2DF0">
      <w:pPr>
        <w:spacing w:after="0"/>
      </w:pPr>
    </w:p>
    <w:p w14:paraId="0B149831" w14:textId="77777777" w:rsidR="007B2DF0" w:rsidRPr="00DC19F5" w:rsidRDefault="003E1213" w:rsidP="007B2DF0">
      <w:pPr>
        <w:spacing w:after="0"/>
      </w:pPr>
      <w:r w:rsidRPr="00DC19F5">
        <w:rPr>
          <w:rFonts w:eastAsia="Times New Roman"/>
          <w:color w:val="000000"/>
          <w:lang w:val="en-GB" w:eastAsia="en-AU"/>
        </w:rPr>
        <w:t>The Amendment Determination engages Article 12 of the International Covenant on Economic, Social and Cultural Rights (ICESCR). The Amendment Determination assists in the progressive realisation by all appropriate means of the right of everyone to the enjoyment of the highest attainable standard of physical and mental health.</w:t>
      </w:r>
    </w:p>
    <w:p w14:paraId="4067EBE2" w14:textId="77777777" w:rsidR="007B2DF0" w:rsidRPr="00DC19F5" w:rsidRDefault="007B2DF0" w:rsidP="007B2DF0">
      <w:pPr>
        <w:spacing w:after="0"/>
      </w:pPr>
    </w:p>
    <w:p w14:paraId="629E629C" w14:textId="3815EDDE" w:rsidR="007B2DF0" w:rsidRPr="00DC19F5" w:rsidRDefault="001703B7" w:rsidP="007B2DF0">
      <w:pPr>
        <w:spacing w:after="0"/>
        <w:rPr>
          <w:rFonts w:eastAsia="Times New Roman"/>
          <w:color w:val="000000"/>
          <w:lang w:val="en-GB" w:eastAsia="en-AU"/>
        </w:rPr>
      </w:pPr>
      <w:r w:rsidRPr="00DC19F5">
        <w:rPr>
          <w:rFonts w:eastAsia="Times New Roman"/>
          <w:color w:val="000000"/>
          <w:lang w:val="en-GB" w:eastAsia="en-AU"/>
        </w:rPr>
        <w:t xml:space="preserve">The </w:t>
      </w:r>
      <w:r w:rsidR="00BB7E7B" w:rsidRPr="00DC19F5">
        <w:rPr>
          <w:rFonts w:eastAsia="Times New Roman"/>
          <w:color w:val="000000"/>
          <w:lang w:val="en-GB" w:eastAsia="en-AU"/>
        </w:rPr>
        <w:t xml:space="preserve">Amendment </w:t>
      </w:r>
      <w:r w:rsidRPr="00DC19F5">
        <w:rPr>
          <w:rFonts w:eastAsia="Times New Roman"/>
          <w:color w:val="000000"/>
          <w:lang w:val="en-GB" w:eastAsia="en-AU"/>
        </w:rPr>
        <w:t>Determination do</w:t>
      </w:r>
      <w:r w:rsidR="004143D3" w:rsidRPr="00DC19F5">
        <w:rPr>
          <w:rFonts w:eastAsia="Times New Roman"/>
          <w:color w:val="000000"/>
          <w:lang w:val="en-GB" w:eastAsia="en-AU"/>
        </w:rPr>
        <w:t>es</w:t>
      </w:r>
      <w:r w:rsidRPr="00DC19F5">
        <w:rPr>
          <w:rFonts w:eastAsia="Times New Roman"/>
          <w:color w:val="000000"/>
          <w:lang w:val="en-GB" w:eastAsia="en-AU"/>
        </w:rPr>
        <w:t xml:space="preserve"> not impact equitable access to medicines </w:t>
      </w:r>
      <w:r w:rsidR="004C45BD" w:rsidRPr="00DC19F5">
        <w:rPr>
          <w:rFonts w:eastAsia="Times New Roman"/>
          <w:color w:val="000000"/>
          <w:lang w:val="en-GB" w:eastAsia="en-AU"/>
        </w:rPr>
        <w:t xml:space="preserve">as </w:t>
      </w:r>
      <w:r w:rsidR="00C16BE6" w:rsidRPr="00DC19F5">
        <w:t>abatacept injection 125 mg in 1 mL single dose autoinjector and single dose pre-filled pen in the brands Orencia and Orencia ClickJect</w:t>
      </w:r>
      <w:r w:rsidR="004143D3" w:rsidRPr="00DC19F5">
        <w:rPr>
          <w:rFonts w:eastAsia="Times New Roman"/>
          <w:color w:val="000000"/>
          <w:lang w:val="en-GB" w:eastAsia="en-AU"/>
        </w:rPr>
        <w:t xml:space="preserve"> continue to be available at PBS subsidised prices</w:t>
      </w:r>
      <w:r w:rsidR="00B53AE5" w:rsidRPr="00DC19F5">
        <w:rPr>
          <w:rFonts w:eastAsia="Times New Roman"/>
          <w:color w:val="000000"/>
          <w:lang w:val="en-GB" w:eastAsia="en-AU"/>
        </w:rPr>
        <w:t xml:space="preserve"> for patients with prescriptions written for these pharmaceutical benefits</w:t>
      </w:r>
      <w:r w:rsidR="004143D3" w:rsidRPr="00DC19F5">
        <w:rPr>
          <w:rFonts w:eastAsia="Times New Roman"/>
          <w:color w:val="000000"/>
          <w:lang w:val="en-GB" w:eastAsia="en-AU"/>
        </w:rPr>
        <w:t>.</w:t>
      </w:r>
    </w:p>
    <w:p w14:paraId="54E7BCC0" w14:textId="77777777" w:rsidR="007B2DF0" w:rsidRPr="00DC19F5" w:rsidRDefault="007B2DF0" w:rsidP="007B2DF0">
      <w:pPr>
        <w:spacing w:after="0"/>
        <w:rPr>
          <w:rFonts w:eastAsia="Times New Roman"/>
          <w:color w:val="000000"/>
          <w:lang w:val="en-GB" w:eastAsia="en-AU"/>
        </w:rPr>
      </w:pPr>
    </w:p>
    <w:p w14:paraId="2BFE632F" w14:textId="77777777" w:rsidR="007B2DF0" w:rsidRPr="00DC19F5" w:rsidRDefault="003E1213" w:rsidP="004C45BD">
      <w:pPr>
        <w:keepNext/>
        <w:keepLines/>
        <w:spacing w:after="0"/>
      </w:pPr>
      <w:r w:rsidRPr="00DC19F5">
        <w:rPr>
          <w:rFonts w:eastAsia="Times New Roman"/>
          <w:b/>
          <w:bCs/>
          <w:color w:val="000000"/>
          <w:lang w:eastAsia="en-AU"/>
        </w:rPr>
        <w:t>Conclusion</w:t>
      </w:r>
    </w:p>
    <w:p w14:paraId="6F9A5024" w14:textId="2A6CD399" w:rsidR="003E1213" w:rsidRPr="00DC19F5" w:rsidRDefault="003E1213" w:rsidP="004C45BD">
      <w:pPr>
        <w:keepNext/>
        <w:keepLines/>
        <w:spacing w:after="0"/>
      </w:pPr>
      <w:r w:rsidRPr="00DC19F5">
        <w:rPr>
          <w:rFonts w:eastAsia="Times New Roman"/>
          <w:color w:val="000000"/>
          <w:lang w:eastAsia="en-AU"/>
        </w:rPr>
        <w:t>The Amendment Determination is compatible with human rights, as it promotes the protection of human rights.</w:t>
      </w:r>
    </w:p>
    <w:p w14:paraId="2F4AA8BA" w14:textId="77777777" w:rsidR="00385450" w:rsidRPr="00DC19F5" w:rsidRDefault="00385450" w:rsidP="00C633A2">
      <w:pPr>
        <w:keepNext/>
        <w:keepLines/>
        <w:shd w:val="clear" w:color="auto" w:fill="FFFFFF"/>
        <w:spacing w:before="120" w:after="240" w:line="240" w:lineRule="auto"/>
        <w:rPr>
          <w:rFonts w:eastAsia="Times New Roman"/>
          <w:color w:val="000000"/>
          <w:lang w:eastAsia="en-AU"/>
        </w:rPr>
      </w:pPr>
    </w:p>
    <w:p w14:paraId="6CDB5D93" w14:textId="77777777" w:rsidR="0083142B" w:rsidRPr="00DC19F5" w:rsidRDefault="0083142B" w:rsidP="00C633A2">
      <w:pPr>
        <w:keepNext/>
        <w:keepLines/>
        <w:shd w:val="clear" w:color="auto" w:fill="FFFFFF"/>
        <w:spacing w:before="120" w:after="240" w:line="240" w:lineRule="auto"/>
        <w:rPr>
          <w:rFonts w:eastAsia="Times New Roman"/>
          <w:color w:val="000000"/>
          <w:lang w:eastAsia="en-AU"/>
        </w:rPr>
      </w:pPr>
    </w:p>
    <w:p w14:paraId="0BF24597" w14:textId="54596162" w:rsidR="00E46E86" w:rsidRPr="00DC19F5" w:rsidRDefault="002B0FE2" w:rsidP="004143D3">
      <w:pPr>
        <w:keepNext/>
        <w:keepLines/>
        <w:shd w:val="clear" w:color="auto" w:fill="FFFFFF"/>
        <w:spacing w:after="0" w:line="240" w:lineRule="auto"/>
        <w:jc w:val="center"/>
        <w:rPr>
          <w:rFonts w:eastAsia="Times New Roman"/>
          <w:b/>
          <w:bCs/>
          <w:color w:val="000000"/>
          <w:lang w:eastAsia="en-AU"/>
        </w:rPr>
      </w:pPr>
      <w:r w:rsidRPr="00DC19F5">
        <w:rPr>
          <w:rFonts w:eastAsia="Times New Roman"/>
          <w:b/>
          <w:bCs/>
          <w:color w:val="000000"/>
          <w:lang w:eastAsia="en-AU"/>
        </w:rPr>
        <w:t>Nikolai Tsyganov</w:t>
      </w:r>
    </w:p>
    <w:p w14:paraId="686471FE" w14:textId="7EC76EB3" w:rsidR="001467A9" w:rsidRPr="00DC19F5" w:rsidRDefault="00152A81" w:rsidP="004143D3">
      <w:pPr>
        <w:keepNext/>
        <w:keepLines/>
        <w:shd w:val="clear" w:color="auto" w:fill="FFFFFF"/>
        <w:spacing w:after="0" w:line="240" w:lineRule="auto"/>
        <w:jc w:val="center"/>
        <w:rPr>
          <w:rFonts w:eastAsia="Times New Roman"/>
          <w:b/>
          <w:bCs/>
          <w:color w:val="000000"/>
          <w:lang w:eastAsia="en-AU"/>
        </w:rPr>
      </w:pPr>
      <w:r w:rsidRPr="00DC19F5">
        <w:rPr>
          <w:rFonts w:eastAsia="Times New Roman"/>
          <w:b/>
          <w:bCs/>
          <w:color w:val="000000"/>
          <w:lang w:eastAsia="en-AU"/>
        </w:rPr>
        <w:t xml:space="preserve">Acting </w:t>
      </w:r>
      <w:r w:rsidR="001467A9" w:rsidRPr="00DC19F5">
        <w:rPr>
          <w:rFonts w:eastAsia="Times New Roman"/>
          <w:b/>
          <w:bCs/>
          <w:color w:val="000000"/>
          <w:lang w:eastAsia="en-AU"/>
        </w:rPr>
        <w:t>Assistant Secretary</w:t>
      </w:r>
    </w:p>
    <w:p w14:paraId="707609B1" w14:textId="77777777" w:rsidR="00301412" w:rsidRPr="00DC19F5" w:rsidRDefault="00301412" w:rsidP="004143D3">
      <w:pPr>
        <w:keepNext/>
        <w:keepLines/>
        <w:shd w:val="clear" w:color="auto" w:fill="FFFFFF"/>
        <w:spacing w:after="0" w:line="240" w:lineRule="auto"/>
        <w:jc w:val="center"/>
        <w:rPr>
          <w:rFonts w:eastAsia="Times New Roman"/>
          <w:b/>
          <w:color w:val="000000"/>
          <w:lang w:eastAsia="en-AU"/>
        </w:rPr>
      </w:pPr>
      <w:r w:rsidRPr="00DC19F5">
        <w:rPr>
          <w:b/>
          <w:szCs w:val="22"/>
        </w:rPr>
        <w:t>Pricing and PBS Policy Branch</w:t>
      </w:r>
    </w:p>
    <w:p w14:paraId="7B5EC522" w14:textId="77777777" w:rsidR="001467A9" w:rsidRPr="00DC19F5" w:rsidRDefault="001467A9" w:rsidP="004143D3">
      <w:pPr>
        <w:keepNext/>
        <w:keepLines/>
        <w:shd w:val="clear" w:color="auto" w:fill="FFFFFF"/>
        <w:spacing w:after="0" w:line="240" w:lineRule="auto"/>
        <w:jc w:val="center"/>
        <w:rPr>
          <w:rFonts w:eastAsia="Times New Roman"/>
          <w:color w:val="000000"/>
          <w:lang w:eastAsia="en-AU"/>
        </w:rPr>
      </w:pPr>
      <w:r w:rsidRPr="00DC19F5">
        <w:rPr>
          <w:rFonts w:eastAsia="Times New Roman"/>
          <w:b/>
          <w:bCs/>
          <w:color w:val="000000"/>
          <w:lang w:eastAsia="en-AU"/>
        </w:rPr>
        <w:t>Technology Assessment and Access Division</w:t>
      </w:r>
    </w:p>
    <w:p w14:paraId="7DBD90AD" w14:textId="1E53ED6F" w:rsidR="00E40F4A" w:rsidRPr="00E40F4A" w:rsidRDefault="001467A9" w:rsidP="0085565E">
      <w:pPr>
        <w:keepNext/>
        <w:keepLines/>
        <w:jc w:val="center"/>
        <w:rPr>
          <w:b/>
        </w:rPr>
      </w:pPr>
      <w:r w:rsidRPr="00DC19F5">
        <w:rPr>
          <w:rFonts w:eastAsia="Times New Roman"/>
          <w:b/>
          <w:bCs/>
          <w:color w:val="000000"/>
          <w:lang w:eastAsia="en-AU"/>
        </w:rPr>
        <w:t>Department of Health</w:t>
      </w:r>
      <w:r w:rsidR="00B53AE5" w:rsidRPr="00DC19F5">
        <w:rPr>
          <w:rFonts w:eastAsia="Times New Roman"/>
          <w:b/>
          <w:bCs/>
          <w:color w:val="000000"/>
          <w:lang w:eastAsia="en-AU"/>
        </w:rPr>
        <w:t xml:space="preserve"> and Aged Care</w:t>
      </w:r>
    </w:p>
    <w:sectPr w:rsidR="00E40F4A" w:rsidRPr="00E40F4A" w:rsidSect="003E1213">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0D00"/>
    <w:multiLevelType w:val="hybridMultilevel"/>
    <w:tmpl w:val="F57E9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A24E51"/>
    <w:multiLevelType w:val="multilevel"/>
    <w:tmpl w:val="9746F7EA"/>
    <w:lvl w:ilvl="0">
      <w:start w:val="1"/>
      <w:numFmt w:val="bullet"/>
      <w:lvlText w:val=""/>
      <w:lvlJc w:val="left"/>
      <w:pPr>
        <w:tabs>
          <w:tab w:val="num" w:pos="425"/>
        </w:tabs>
        <w:ind w:left="425" w:hanging="425"/>
      </w:pPr>
      <w:rPr>
        <w:rFonts w:ascii="Symbol" w:hAnsi="Symbol" w:hint="default"/>
        <w:b/>
        <w:i w:val="0"/>
      </w:rPr>
    </w:lvl>
    <w:lvl w:ilvl="1">
      <w:start w:val="1"/>
      <w:numFmt w:val="bullet"/>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ascii="Symbol" w:hAnsi="Symbol"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 w15:restartNumberingAfterBreak="0">
    <w:nsid w:val="131252D1"/>
    <w:multiLevelType w:val="hybridMultilevel"/>
    <w:tmpl w:val="AAE6B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B645BD"/>
    <w:multiLevelType w:val="multilevel"/>
    <w:tmpl w:val="9746F7EA"/>
    <w:lvl w:ilvl="0">
      <w:start w:val="1"/>
      <w:numFmt w:val="bullet"/>
      <w:lvlText w:val=""/>
      <w:lvlJc w:val="left"/>
      <w:pPr>
        <w:tabs>
          <w:tab w:val="num" w:pos="785"/>
        </w:tabs>
        <w:ind w:left="785" w:hanging="425"/>
      </w:pPr>
      <w:rPr>
        <w:rFonts w:ascii="Symbol" w:hAnsi="Symbol" w:hint="default"/>
        <w:b/>
        <w:i w:val="0"/>
      </w:rPr>
    </w:lvl>
    <w:lvl w:ilvl="1">
      <w:start w:val="1"/>
      <w:numFmt w:val="bullet"/>
      <w:lvlText w:val=""/>
      <w:lvlJc w:val="left"/>
      <w:pPr>
        <w:tabs>
          <w:tab w:val="num" w:pos="785"/>
        </w:tabs>
        <w:ind w:left="785" w:hanging="425"/>
      </w:pPr>
      <w:rPr>
        <w:rFonts w:ascii="Symbol" w:hAnsi="Symbol" w:hint="default"/>
        <w:b/>
        <w:i w:val="0"/>
      </w:rPr>
    </w:lvl>
    <w:lvl w:ilvl="2">
      <w:start w:val="1"/>
      <w:numFmt w:val="bullet"/>
      <w:lvlText w:val=""/>
      <w:lvlJc w:val="left"/>
      <w:pPr>
        <w:tabs>
          <w:tab w:val="num" w:pos="1210"/>
        </w:tabs>
        <w:ind w:left="1210" w:hanging="425"/>
      </w:pPr>
      <w:rPr>
        <w:rFonts w:ascii="Symbol" w:hAnsi="Symbol" w:hint="default"/>
        <w:b w:val="0"/>
        <w:i w:val="0"/>
      </w:rPr>
    </w:lvl>
    <w:lvl w:ilvl="3">
      <w:start w:val="1"/>
      <w:numFmt w:val="bullet"/>
      <w:lvlText w:val="–"/>
      <w:lvlJc w:val="left"/>
      <w:pPr>
        <w:tabs>
          <w:tab w:val="num" w:pos="1636"/>
        </w:tabs>
        <w:ind w:left="1636" w:hanging="426"/>
      </w:pPr>
      <w:rPr>
        <w:rFonts w:hint="default"/>
        <w:b w:val="0"/>
        <w:i w:val="0"/>
      </w:rPr>
    </w:lvl>
    <w:lvl w:ilvl="4">
      <w:start w:val="1"/>
      <w:numFmt w:val="bullet"/>
      <w:lvlText w:val="–"/>
      <w:lvlJc w:val="left"/>
      <w:pPr>
        <w:tabs>
          <w:tab w:val="num" w:pos="2061"/>
        </w:tabs>
        <w:ind w:left="2061" w:hanging="425"/>
      </w:pPr>
      <w:rPr>
        <w:rFonts w:hint="default"/>
        <w:b w:val="0"/>
        <w:i w:val="0"/>
      </w:rPr>
    </w:lvl>
    <w:lvl w:ilvl="5">
      <w:start w:val="1"/>
      <w:numFmt w:val="bullet"/>
      <w:lvlText w:val="–"/>
      <w:lvlJc w:val="left"/>
      <w:pPr>
        <w:tabs>
          <w:tab w:val="num" w:pos="2486"/>
        </w:tabs>
        <w:ind w:left="2486" w:hanging="425"/>
      </w:pPr>
      <w:rPr>
        <w:rFonts w:hint="default"/>
        <w:b w:val="0"/>
        <w:i w:val="0"/>
      </w:rPr>
    </w:lvl>
    <w:lvl w:ilvl="6">
      <w:start w:val="1"/>
      <w:numFmt w:val="bullet"/>
      <w:lvlText w:val="–"/>
      <w:lvlJc w:val="left"/>
      <w:pPr>
        <w:tabs>
          <w:tab w:val="num" w:pos="2911"/>
        </w:tabs>
        <w:ind w:left="2911" w:hanging="425"/>
      </w:pPr>
      <w:rPr>
        <w:rFonts w:hint="default"/>
        <w:b w:val="0"/>
        <w:i w:val="0"/>
      </w:rPr>
    </w:lvl>
    <w:lvl w:ilvl="7">
      <w:start w:val="1"/>
      <w:numFmt w:val="bullet"/>
      <w:lvlText w:val="–"/>
      <w:lvlJc w:val="left"/>
      <w:pPr>
        <w:tabs>
          <w:tab w:val="num" w:pos="3336"/>
        </w:tabs>
        <w:ind w:left="3336" w:hanging="425"/>
      </w:pPr>
      <w:rPr>
        <w:rFonts w:hint="default"/>
        <w:b w:val="0"/>
        <w:i w:val="0"/>
      </w:rPr>
    </w:lvl>
    <w:lvl w:ilvl="8">
      <w:start w:val="1"/>
      <w:numFmt w:val="bullet"/>
      <w:lvlText w:val="–"/>
      <w:lvlJc w:val="left"/>
      <w:pPr>
        <w:tabs>
          <w:tab w:val="num" w:pos="3762"/>
        </w:tabs>
        <w:ind w:left="3762" w:hanging="426"/>
      </w:pPr>
      <w:rPr>
        <w:rFonts w:hint="default"/>
        <w:b w:val="0"/>
        <w:i w:val="0"/>
      </w:rPr>
    </w:lvl>
  </w:abstractNum>
  <w:abstractNum w:abstractNumId="4" w15:restartNumberingAfterBreak="0">
    <w:nsid w:val="28934A6B"/>
    <w:multiLevelType w:val="multilevel"/>
    <w:tmpl w:val="D494DAFC"/>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5" w15:restartNumberingAfterBreak="0">
    <w:nsid w:val="3AF802B4"/>
    <w:multiLevelType w:val="hybridMultilevel"/>
    <w:tmpl w:val="C4162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9B7B53"/>
    <w:multiLevelType w:val="hybridMultilevel"/>
    <w:tmpl w:val="C8482628"/>
    <w:lvl w:ilvl="0" w:tplc="0C090001">
      <w:start w:val="1"/>
      <w:numFmt w:val="bullet"/>
      <w:lvlText w:val=""/>
      <w:lvlJc w:val="left"/>
      <w:pPr>
        <w:ind w:left="1080" w:hanging="360"/>
      </w:pPr>
      <w:rPr>
        <w:rFonts w:ascii="Symbol" w:hAnsi="Symbol" w:hint="default"/>
        <w:color w:val="00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0926B9B"/>
    <w:multiLevelType w:val="hybridMultilevel"/>
    <w:tmpl w:val="4218114A"/>
    <w:lvl w:ilvl="0" w:tplc="276A5D6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6D112F8"/>
    <w:multiLevelType w:val="hybridMultilevel"/>
    <w:tmpl w:val="1C925A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BDE48930">
      <w:start w:val="1"/>
      <w:numFmt w:val="decimal"/>
      <w:lvlText w:val="%4."/>
      <w:lvlJc w:val="left"/>
      <w:pPr>
        <w:ind w:left="2880" w:hanging="360"/>
      </w:pPr>
      <w:rPr>
        <w:b w:val="0"/>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4A"/>
    <w:rsid w:val="000178C6"/>
    <w:rsid w:val="00035DB3"/>
    <w:rsid w:val="00045087"/>
    <w:rsid w:val="00070ADD"/>
    <w:rsid w:val="0008113A"/>
    <w:rsid w:val="000841DA"/>
    <w:rsid w:val="000B143E"/>
    <w:rsid w:val="000B6444"/>
    <w:rsid w:val="000C5058"/>
    <w:rsid w:val="000C6E0C"/>
    <w:rsid w:val="000F14B4"/>
    <w:rsid w:val="00106E5B"/>
    <w:rsid w:val="001467A9"/>
    <w:rsid w:val="00152A81"/>
    <w:rsid w:val="00153A0B"/>
    <w:rsid w:val="00160276"/>
    <w:rsid w:val="001703B7"/>
    <w:rsid w:val="001907A9"/>
    <w:rsid w:val="001A16BA"/>
    <w:rsid w:val="001A749C"/>
    <w:rsid w:val="001B037F"/>
    <w:rsid w:val="001C33BD"/>
    <w:rsid w:val="001C7FED"/>
    <w:rsid w:val="001D3A7E"/>
    <w:rsid w:val="001E012A"/>
    <w:rsid w:val="001E3AC6"/>
    <w:rsid w:val="001F14BD"/>
    <w:rsid w:val="001F3A90"/>
    <w:rsid w:val="00211037"/>
    <w:rsid w:val="00243F7D"/>
    <w:rsid w:val="00253FFC"/>
    <w:rsid w:val="002578C6"/>
    <w:rsid w:val="00274EED"/>
    <w:rsid w:val="00280050"/>
    <w:rsid w:val="002806EA"/>
    <w:rsid w:val="002A6522"/>
    <w:rsid w:val="002A6652"/>
    <w:rsid w:val="002B0FE2"/>
    <w:rsid w:val="002B59DE"/>
    <w:rsid w:val="002C645C"/>
    <w:rsid w:val="002D6A9B"/>
    <w:rsid w:val="002E3C5E"/>
    <w:rsid w:val="00300DC2"/>
    <w:rsid w:val="00301412"/>
    <w:rsid w:val="0030249B"/>
    <w:rsid w:val="00310F09"/>
    <w:rsid w:val="00327976"/>
    <w:rsid w:val="003432BC"/>
    <w:rsid w:val="00343BFB"/>
    <w:rsid w:val="00344B45"/>
    <w:rsid w:val="003510EA"/>
    <w:rsid w:val="00372527"/>
    <w:rsid w:val="00384616"/>
    <w:rsid w:val="00385450"/>
    <w:rsid w:val="003A6AC5"/>
    <w:rsid w:val="003B2A6B"/>
    <w:rsid w:val="003E1213"/>
    <w:rsid w:val="003F7B97"/>
    <w:rsid w:val="00400DCB"/>
    <w:rsid w:val="004014A5"/>
    <w:rsid w:val="004143D3"/>
    <w:rsid w:val="004339BA"/>
    <w:rsid w:val="00443C53"/>
    <w:rsid w:val="00445B25"/>
    <w:rsid w:val="00471807"/>
    <w:rsid w:val="00476CDE"/>
    <w:rsid w:val="004839D9"/>
    <w:rsid w:val="00493F70"/>
    <w:rsid w:val="004B3851"/>
    <w:rsid w:val="004B3DDF"/>
    <w:rsid w:val="004C45BD"/>
    <w:rsid w:val="004F3F3C"/>
    <w:rsid w:val="00543EAF"/>
    <w:rsid w:val="00564885"/>
    <w:rsid w:val="005A6A1E"/>
    <w:rsid w:val="005B1E28"/>
    <w:rsid w:val="005B3B3C"/>
    <w:rsid w:val="005D4C93"/>
    <w:rsid w:val="005D54C9"/>
    <w:rsid w:val="005E3B12"/>
    <w:rsid w:val="005F4FBD"/>
    <w:rsid w:val="006002BC"/>
    <w:rsid w:val="0060108B"/>
    <w:rsid w:val="0061061D"/>
    <w:rsid w:val="00616766"/>
    <w:rsid w:val="006173D7"/>
    <w:rsid w:val="00621B3F"/>
    <w:rsid w:val="0063175E"/>
    <w:rsid w:val="006403D3"/>
    <w:rsid w:val="00646D07"/>
    <w:rsid w:val="006758BD"/>
    <w:rsid w:val="006D45BE"/>
    <w:rsid w:val="006E35FD"/>
    <w:rsid w:val="006F214C"/>
    <w:rsid w:val="006F66B9"/>
    <w:rsid w:val="006F6B64"/>
    <w:rsid w:val="007028A4"/>
    <w:rsid w:val="00711112"/>
    <w:rsid w:val="00714197"/>
    <w:rsid w:val="00720CAC"/>
    <w:rsid w:val="00743D39"/>
    <w:rsid w:val="00747A99"/>
    <w:rsid w:val="00753BBD"/>
    <w:rsid w:val="00762CEF"/>
    <w:rsid w:val="007744A6"/>
    <w:rsid w:val="00786242"/>
    <w:rsid w:val="007B1D3C"/>
    <w:rsid w:val="007B2DF0"/>
    <w:rsid w:val="007D32C3"/>
    <w:rsid w:val="007E1768"/>
    <w:rsid w:val="00807D2E"/>
    <w:rsid w:val="0083142B"/>
    <w:rsid w:val="00840737"/>
    <w:rsid w:val="00847AFC"/>
    <w:rsid w:val="0085161E"/>
    <w:rsid w:val="0085565E"/>
    <w:rsid w:val="0086024F"/>
    <w:rsid w:val="008632B4"/>
    <w:rsid w:val="00884F80"/>
    <w:rsid w:val="00892E09"/>
    <w:rsid w:val="008C6BED"/>
    <w:rsid w:val="008E4E94"/>
    <w:rsid w:val="008F2077"/>
    <w:rsid w:val="008F2874"/>
    <w:rsid w:val="0090018B"/>
    <w:rsid w:val="009014E4"/>
    <w:rsid w:val="00904868"/>
    <w:rsid w:val="00917136"/>
    <w:rsid w:val="00921C80"/>
    <w:rsid w:val="00931BC1"/>
    <w:rsid w:val="009361E9"/>
    <w:rsid w:val="0095679E"/>
    <w:rsid w:val="00983DB8"/>
    <w:rsid w:val="009974D5"/>
    <w:rsid w:val="009B6894"/>
    <w:rsid w:val="009D4A36"/>
    <w:rsid w:val="009F7518"/>
    <w:rsid w:val="00A01F21"/>
    <w:rsid w:val="00A36BBE"/>
    <w:rsid w:val="00A42977"/>
    <w:rsid w:val="00A571B3"/>
    <w:rsid w:val="00A633CC"/>
    <w:rsid w:val="00A83AA2"/>
    <w:rsid w:val="00AB20CA"/>
    <w:rsid w:val="00AC35BB"/>
    <w:rsid w:val="00AC658D"/>
    <w:rsid w:val="00AC6788"/>
    <w:rsid w:val="00AC6855"/>
    <w:rsid w:val="00AC708D"/>
    <w:rsid w:val="00AD1BF7"/>
    <w:rsid w:val="00AD5670"/>
    <w:rsid w:val="00AE0A1E"/>
    <w:rsid w:val="00AE36A6"/>
    <w:rsid w:val="00AF0C66"/>
    <w:rsid w:val="00AF3167"/>
    <w:rsid w:val="00B0771A"/>
    <w:rsid w:val="00B4213E"/>
    <w:rsid w:val="00B53AE5"/>
    <w:rsid w:val="00BB7E7B"/>
    <w:rsid w:val="00BC605C"/>
    <w:rsid w:val="00BD60E4"/>
    <w:rsid w:val="00C16BE6"/>
    <w:rsid w:val="00C2363A"/>
    <w:rsid w:val="00C40B0B"/>
    <w:rsid w:val="00C57245"/>
    <w:rsid w:val="00C6233E"/>
    <w:rsid w:val="00C633A2"/>
    <w:rsid w:val="00C76D6F"/>
    <w:rsid w:val="00C86737"/>
    <w:rsid w:val="00CA2A22"/>
    <w:rsid w:val="00CA4C1F"/>
    <w:rsid w:val="00CC37D0"/>
    <w:rsid w:val="00CC7BCF"/>
    <w:rsid w:val="00CE6A67"/>
    <w:rsid w:val="00CF5C54"/>
    <w:rsid w:val="00D928F7"/>
    <w:rsid w:val="00DC08F2"/>
    <w:rsid w:val="00DC19F5"/>
    <w:rsid w:val="00DC295C"/>
    <w:rsid w:val="00DC6B96"/>
    <w:rsid w:val="00DE3134"/>
    <w:rsid w:val="00E061E4"/>
    <w:rsid w:val="00E24F4D"/>
    <w:rsid w:val="00E25B39"/>
    <w:rsid w:val="00E40F4A"/>
    <w:rsid w:val="00E46E86"/>
    <w:rsid w:val="00E57338"/>
    <w:rsid w:val="00E60D4B"/>
    <w:rsid w:val="00E75245"/>
    <w:rsid w:val="00EE2197"/>
    <w:rsid w:val="00F01CCF"/>
    <w:rsid w:val="00F11AD5"/>
    <w:rsid w:val="00F14D6C"/>
    <w:rsid w:val="00F21BFF"/>
    <w:rsid w:val="00F44003"/>
    <w:rsid w:val="00F555FF"/>
    <w:rsid w:val="00F66BB9"/>
    <w:rsid w:val="00F77461"/>
    <w:rsid w:val="00F81011"/>
    <w:rsid w:val="00F91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2E4F"/>
  <w15:docId w15:val="{1D114EB0-8B67-445F-9B33-30A4B3D1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rsid w:val="000178C6"/>
    <w:pPr>
      <w:spacing w:before="100" w:beforeAutospacing="1" w:after="100" w:afterAutospacing="1" w:line="240" w:lineRule="auto"/>
    </w:pPr>
    <w:rPr>
      <w:rFonts w:eastAsia="Times New Roman"/>
      <w:lang w:eastAsia="en-AU"/>
    </w:rPr>
  </w:style>
  <w:style w:type="paragraph" w:customStyle="1" w:styleId="paragraph">
    <w:name w:val="paragraph"/>
    <w:basedOn w:val="Normal"/>
    <w:rsid w:val="000178C6"/>
    <w:pPr>
      <w:spacing w:before="100" w:beforeAutospacing="1" w:after="100" w:afterAutospacing="1" w:line="240" w:lineRule="auto"/>
    </w:pPr>
    <w:rPr>
      <w:rFonts w:eastAsia="Times New Roman"/>
      <w:lang w:eastAsia="en-AU"/>
    </w:rPr>
  </w:style>
  <w:style w:type="paragraph" w:styleId="ListParagraph">
    <w:name w:val="List Paragraph"/>
    <w:basedOn w:val="Normal"/>
    <w:uiPriority w:val="34"/>
    <w:qFormat/>
    <w:rsid w:val="00300DC2"/>
    <w:pPr>
      <w:ind w:left="720"/>
      <w:contextualSpacing/>
    </w:pPr>
  </w:style>
  <w:style w:type="character" w:styleId="CommentReference">
    <w:name w:val="annotation reference"/>
    <w:basedOn w:val="DefaultParagraphFont"/>
    <w:unhideWhenUsed/>
    <w:rsid w:val="001F14BD"/>
    <w:rPr>
      <w:sz w:val="16"/>
      <w:szCs w:val="16"/>
    </w:rPr>
  </w:style>
  <w:style w:type="paragraph" w:styleId="CommentText">
    <w:name w:val="annotation text"/>
    <w:basedOn w:val="Normal"/>
    <w:link w:val="CommentTextChar"/>
    <w:unhideWhenUsed/>
    <w:rsid w:val="001F14BD"/>
    <w:pPr>
      <w:spacing w:line="240" w:lineRule="auto"/>
    </w:pPr>
    <w:rPr>
      <w:sz w:val="20"/>
      <w:szCs w:val="20"/>
    </w:rPr>
  </w:style>
  <w:style w:type="character" w:customStyle="1" w:styleId="CommentTextChar">
    <w:name w:val="Comment Text Char"/>
    <w:basedOn w:val="DefaultParagraphFont"/>
    <w:link w:val="CommentText"/>
    <w:rsid w:val="001F14BD"/>
    <w:rPr>
      <w:sz w:val="20"/>
      <w:szCs w:val="20"/>
    </w:rPr>
  </w:style>
  <w:style w:type="paragraph" w:styleId="CommentSubject">
    <w:name w:val="annotation subject"/>
    <w:basedOn w:val="CommentText"/>
    <w:next w:val="CommentText"/>
    <w:link w:val="CommentSubjectChar"/>
    <w:uiPriority w:val="99"/>
    <w:semiHidden/>
    <w:unhideWhenUsed/>
    <w:rsid w:val="001F14BD"/>
    <w:rPr>
      <w:b/>
      <w:bCs/>
    </w:rPr>
  </w:style>
  <w:style w:type="character" w:customStyle="1" w:styleId="CommentSubjectChar">
    <w:name w:val="Comment Subject Char"/>
    <w:basedOn w:val="CommentTextChar"/>
    <w:link w:val="CommentSubject"/>
    <w:uiPriority w:val="99"/>
    <w:semiHidden/>
    <w:rsid w:val="001F14BD"/>
    <w:rPr>
      <w:b/>
      <w:bCs/>
      <w:sz w:val="20"/>
      <w:szCs w:val="20"/>
    </w:rPr>
  </w:style>
  <w:style w:type="paragraph" w:styleId="BalloonText">
    <w:name w:val="Balloon Text"/>
    <w:basedOn w:val="Normal"/>
    <w:link w:val="BalloonTextChar"/>
    <w:uiPriority w:val="99"/>
    <w:semiHidden/>
    <w:unhideWhenUsed/>
    <w:rsid w:val="001F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4BD"/>
    <w:rPr>
      <w:rFonts w:ascii="Tahoma" w:hAnsi="Tahoma" w:cs="Tahoma"/>
      <w:sz w:val="16"/>
      <w:szCs w:val="16"/>
    </w:rPr>
  </w:style>
  <w:style w:type="paragraph" w:customStyle="1" w:styleId="Dot1">
    <w:name w:val="Dot1"/>
    <w:aliases w:val="DOT"/>
    <w:basedOn w:val="Normal"/>
    <w:link w:val="Dot1Char"/>
    <w:uiPriority w:val="2"/>
    <w:qFormat/>
    <w:rsid w:val="00F555FF"/>
    <w:pPr>
      <w:numPr>
        <w:ilvl w:val="1"/>
        <w:numId w:val="2"/>
      </w:numPr>
      <w:spacing w:after="140" w:line="280" w:lineRule="atLeast"/>
    </w:pPr>
    <w:rPr>
      <w:rFonts w:ascii="Arial" w:eastAsia="Times New Roman" w:hAnsi="Arial" w:cs="Arial"/>
      <w:sz w:val="22"/>
      <w:szCs w:val="22"/>
      <w:lang w:eastAsia="en-AU"/>
    </w:rPr>
  </w:style>
  <w:style w:type="character" w:customStyle="1" w:styleId="Dot1Char">
    <w:name w:val="Dot1 Char"/>
    <w:aliases w:val="DOT Char"/>
    <w:basedOn w:val="DefaultParagraphFont"/>
    <w:link w:val="Dot1"/>
    <w:uiPriority w:val="2"/>
    <w:rsid w:val="00F555FF"/>
    <w:rPr>
      <w:rFonts w:ascii="Arial" w:eastAsia="Times New Roman" w:hAnsi="Arial" w:cs="Arial"/>
      <w:sz w:val="22"/>
      <w:szCs w:val="22"/>
      <w:lang w:eastAsia="en-AU"/>
    </w:rPr>
  </w:style>
  <w:style w:type="paragraph" w:styleId="Revision">
    <w:name w:val="Revision"/>
    <w:hidden/>
    <w:uiPriority w:val="99"/>
    <w:semiHidden/>
    <w:rsid w:val="00E24F4D"/>
    <w:pPr>
      <w:spacing w:after="0" w:line="240" w:lineRule="auto"/>
    </w:pPr>
  </w:style>
  <w:style w:type="paragraph" w:customStyle="1" w:styleId="CharCharCharChar">
    <w:name w:val="Char Char Char Char"/>
    <w:basedOn w:val="Normal"/>
    <w:rsid w:val="00917136"/>
    <w:pPr>
      <w:spacing w:after="0" w:line="240" w:lineRule="auto"/>
    </w:pPr>
    <w:rPr>
      <w:rFonts w:ascii="Arial" w:eastAsia="Times New Roman" w:hAnsi="Arial" w:cs="Arial"/>
      <w:sz w:val="22"/>
      <w:szCs w:val="22"/>
    </w:rPr>
  </w:style>
  <w:style w:type="paragraph" w:customStyle="1" w:styleId="CharCharCharChar0">
    <w:name w:val="Char Char Char Char"/>
    <w:basedOn w:val="Normal"/>
    <w:rsid w:val="00B4213E"/>
    <w:pPr>
      <w:spacing w:after="0" w:line="240" w:lineRule="auto"/>
    </w:pPr>
    <w:rPr>
      <w:rFonts w:ascii="Arial" w:eastAsia="Times New Roman" w:hAnsi="Arial" w:cs="Arial"/>
      <w:sz w:val="22"/>
      <w:szCs w:val="22"/>
    </w:rPr>
  </w:style>
  <w:style w:type="paragraph" w:customStyle="1" w:styleId="Tabletext">
    <w:name w:val="Tabletext"/>
    <w:aliases w:val="tt"/>
    <w:basedOn w:val="Normal"/>
    <w:rsid w:val="00F91DA2"/>
    <w:pPr>
      <w:spacing w:before="60" w:after="0" w:line="240" w:lineRule="atLeast"/>
    </w:pPr>
    <w:rPr>
      <w:rFonts w:eastAsia="Times New Roman"/>
      <w:sz w:val="20"/>
      <w:szCs w:val="20"/>
      <w:lang w:eastAsia="en-AU"/>
    </w:rPr>
  </w:style>
  <w:style w:type="character" w:styleId="Hyperlink">
    <w:name w:val="Hyperlink"/>
    <w:basedOn w:val="DefaultParagraphFont"/>
    <w:uiPriority w:val="99"/>
    <w:unhideWhenUsed/>
    <w:rsid w:val="00CA4C1F"/>
    <w:rPr>
      <w:color w:val="0000FF"/>
      <w:u w:val="single"/>
    </w:rPr>
  </w:style>
  <w:style w:type="table" w:styleId="TableGrid">
    <w:name w:val="Table Grid"/>
    <w:basedOn w:val="TableNormal"/>
    <w:uiPriority w:val="39"/>
    <w:rsid w:val="001B037F"/>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ug-name">
    <w:name w:val="drug-name"/>
    <w:basedOn w:val="DefaultParagraphFont"/>
    <w:rsid w:val="001B037F"/>
  </w:style>
  <w:style w:type="character" w:customStyle="1" w:styleId="form-strength">
    <w:name w:val="form-strength"/>
    <w:basedOn w:val="DefaultParagraphFont"/>
    <w:rsid w:val="001B037F"/>
  </w:style>
  <w:style w:type="character" w:styleId="UnresolvedMention">
    <w:name w:val="Unresolved Mention"/>
    <w:basedOn w:val="DefaultParagraphFont"/>
    <w:uiPriority w:val="99"/>
    <w:semiHidden/>
    <w:unhideWhenUsed/>
    <w:rsid w:val="004339BA"/>
    <w:rPr>
      <w:color w:val="605E5C"/>
      <w:shd w:val="clear" w:color="auto" w:fill="E1DFDD"/>
    </w:rPr>
  </w:style>
  <w:style w:type="paragraph" w:customStyle="1" w:styleId="tabletext0">
    <w:name w:val="tabletext"/>
    <w:basedOn w:val="Normal"/>
    <w:rsid w:val="00400DCB"/>
    <w:pPr>
      <w:spacing w:before="100" w:beforeAutospacing="1" w:after="100" w:afterAutospacing="1" w:line="240" w:lineRule="auto"/>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64755">
      <w:bodyDiv w:val="1"/>
      <w:marLeft w:val="0"/>
      <w:marRight w:val="0"/>
      <w:marTop w:val="0"/>
      <w:marBottom w:val="0"/>
      <w:divBdr>
        <w:top w:val="none" w:sz="0" w:space="0" w:color="auto"/>
        <w:left w:val="none" w:sz="0" w:space="0" w:color="auto"/>
        <w:bottom w:val="none" w:sz="0" w:space="0" w:color="auto"/>
        <w:right w:val="none" w:sz="0" w:space="0" w:color="auto"/>
      </w:divBdr>
    </w:div>
    <w:div w:id="404962861">
      <w:bodyDiv w:val="1"/>
      <w:marLeft w:val="0"/>
      <w:marRight w:val="0"/>
      <w:marTop w:val="0"/>
      <w:marBottom w:val="0"/>
      <w:divBdr>
        <w:top w:val="none" w:sz="0" w:space="0" w:color="auto"/>
        <w:left w:val="none" w:sz="0" w:space="0" w:color="auto"/>
        <w:bottom w:val="none" w:sz="0" w:space="0" w:color="auto"/>
        <w:right w:val="none" w:sz="0" w:space="0" w:color="auto"/>
      </w:divBdr>
    </w:div>
    <w:div w:id="831523825">
      <w:bodyDiv w:val="1"/>
      <w:marLeft w:val="0"/>
      <w:marRight w:val="0"/>
      <w:marTop w:val="0"/>
      <w:marBottom w:val="0"/>
      <w:divBdr>
        <w:top w:val="none" w:sz="0" w:space="0" w:color="auto"/>
        <w:left w:val="none" w:sz="0" w:space="0" w:color="auto"/>
        <w:bottom w:val="none" w:sz="0" w:space="0" w:color="auto"/>
        <w:right w:val="none" w:sz="0" w:space="0" w:color="auto"/>
      </w:divBdr>
    </w:div>
    <w:div w:id="1119957997">
      <w:bodyDiv w:val="1"/>
      <w:marLeft w:val="0"/>
      <w:marRight w:val="0"/>
      <w:marTop w:val="0"/>
      <w:marBottom w:val="0"/>
      <w:divBdr>
        <w:top w:val="none" w:sz="0" w:space="0" w:color="auto"/>
        <w:left w:val="none" w:sz="0" w:space="0" w:color="auto"/>
        <w:bottom w:val="none" w:sz="0" w:space="0" w:color="auto"/>
        <w:right w:val="none" w:sz="0" w:space="0" w:color="auto"/>
      </w:divBdr>
    </w:div>
    <w:div w:id="1683774560">
      <w:bodyDiv w:val="1"/>
      <w:marLeft w:val="0"/>
      <w:marRight w:val="0"/>
      <w:marTop w:val="0"/>
      <w:marBottom w:val="0"/>
      <w:divBdr>
        <w:top w:val="none" w:sz="0" w:space="0" w:color="auto"/>
        <w:left w:val="none" w:sz="0" w:space="0" w:color="auto"/>
        <w:bottom w:val="none" w:sz="0" w:space="0" w:color="auto"/>
        <w:right w:val="none" w:sz="0" w:space="0" w:color="auto"/>
      </w:divBdr>
    </w:div>
    <w:div w:id="1809594525">
      <w:bodyDiv w:val="1"/>
      <w:marLeft w:val="0"/>
      <w:marRight w:val="0"/>
      <w:marTop w:val="0"/>
      <w:marBottom w:val="0"/>
      <w:divBdr>
        <w:top w:val="none" w:sz="0" w:space="0" w:color="auto"/>
        <w:left w:val="none" w:sz="0" w:space="0" w:color="auto"/>
        <w:bottom w:val="none" w:sz="0" w:space="0" w:color="auto"/>
        <w:right w:val="none" w:sz="0" w:space="0" w:color="auto"/>
      </w:divBdr>
    </w:div>
    <w:div w:id="20305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614A6-14D3-42F4-8DCA-E5E97B6D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Benham, Christine</dc:creator>
  <cp:lastModifiedBy>GARNHAM, Katherine</cp:lastModifiedBy>
  <cp:revision>9</cp:revision>
  <cp:lastPrinted>2021-08-11T04:20:00Z</cp:lastPrinted>
  <dcterms:created xsi:type="dcterms:W3CDTF">2022-07-13T06:10:00Z</dcterms:created>
  <dcterms:modified xsi:type="dcterms:W3CDTF">2022-07-28T05:44:00Z</dcterms:modified>
</cp:coreProperties>
</file>