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4D50" w14:textId="77777777" w:rsidR="00FB640B" w:rsidRPr="00095008" w:rsidRDefault="0057002B" w:rsidP="00BB0CF2">
      <w:pPr>
        <w:pStyle w:val="ESTitleHeader"/>
      </w:pPr>
      <w:bookmarkStart w:id="0" w:name="_GoBack"/>
      <w:bookmarkEnd w:id="0"/>
      <w:r w:rsidRPr="00095008">
        <w:t>EXPLANATORY STATEMENT</w:t>
      </w:r>
    </w:p>
    <w:p w14:paraId="70D0B885" w14:textId="17719DE1" w:rsidR="0057002B" w:rsidRPr="00095008" w:rsidRDefault="0057002B" w:rsidP="00BB0CF2">
      <w:pPr>
        <w:pStyle w:val="ESTitleDecisionMaker"/>
      </w:pPr>
      <w:r w:rsidRPr="00095008">
        <w:t xml:space="preserve">Issued by authority of the </w:t>
      </w:r>
      <w:r w:rsidR="00DE5349" w:rsidRPr="00F50121">
        <w:rPr>
          <w:lang w:val="en"/>
        </w:rPr>
        <w:t>Minister for Immigration, Citizenship and Multicultural Affairs</w:t>
      </w:r>
    </w:p>
    <w:p w14:paraId="1243CAF1" w14:textId="77777777" w:rsidR="0057002B" w:rsidRPr="00095008" w:rsidRDefault="0057002B" w:rsidP="00915032">
      <w:pPr>
        <w:spacing w:line="276" w:lineRule="auto"/>
        <w:jc w:val="center"/>
        <w:rPr>
          <w:rFonts w:ascii="Times New Roman" w:hAnsi="Times New Roman" w:cs="Times New Roman"/>
          <w:i/>
        </w:rPr>
      </w:pPr>
      <w:r w:rsidRPr="00095008">
        <w:rPr>
          <w:rFonts w:ascii="Times New Roman" w:hAnsi="Times New Roman" w:cs="Times New Roman"/>
          <w:i/>
        </w:rPr>
        <w:t>Migration Regulations 1994</w:t>
      </w:r>
    </w:p>
    <w:p w14:paraId="4DCD4682" w14:textId="00A5DA73" w:rsidR="0057002B" w:rsidRPr="00095008" w:rsidRDefault="00DE5349" w:rsidP="00BB0CF2">
      <w:pPr>
        <w:pStyle w:val="ESTitleInstrumentName"/>
      </w:pPr>
      <w:bookmarkStart w:id="1" w:name="Title"/>
      <w:r>
        <w:t>Migration (Arrangements for b</w:t>
      </w:r>
      <w:r w:rsidR="00056277" w:rsidRPr="00095008">
        <w:t xml:space="preserve">ridging visa applications) Amendment Instrument </w:t>
      </w:r>
      <w:r w:rsidR="00702566">
        <w:t>(LIN 22</w:t>
      </w:r>
      <w:r w:rsidR="00056277" w:rsidRPr="00095008">
        <w:t>/0</w:t>
      </w:r>
      <w:r w:rsidR="00702566">
        <w:t>30</w:t>
      </w:r>
      <w:r w:rsidR="00056277" w:rsidRPr="00095008">
        <w:t>) 20</w:t>
      </w:r>
      <w:r w:rsidR="00702566">
        <w:t>2</w:t>
      </w:r>
      <w:r w:rsidR="00056277" w:rsidRPr="00095008">
        <w:t>2</w:t>
      </w:r>
      <w:bookmarkEnd w:id="1"/>
    </w:p>
    <w:p w14:paraId="5716C397" w14:textId="45F1E2E2" w:rsidR="0057002B" w:rsidRPr="00095008" w:rsidRDefault="007C7DDC" w:rsidP="002D167E">
      <w:pPr>
        <w:pStyle w:val="ESPara"/>
      </w:pPr>
      <w:r w:rsidRPr="00095008">
        <w:t>The instrumen</w:t>
      </w:r>
      <w:r w:rsidR="00702566">
        <w:t>t, Departmental reference LIN 22</w:t>
      </w:r>
      <w:r w:rsidRPr="00095008">
        <w:t>/0</w:t>
      </w:r>
      <w:r w:rsidR="00702566">
        <w:t>30</w:t>
      </w:r>
      <w:r w:rsidRPr="00095008">
        <w:t xml:space="preserve">, is made under </w:t>
      </w:r>
      <w:proofErr w:type="spellStart"/>
      <w:r w:rsidRPr="00095008">
        <w:t>subregulation</w:t>
      </w:r>
      <w:proofErr w:type="spellEnd"/>
      <w:r w:rsidRPr="00095008">
        <w:t xml:space="preserve"> 2.07(5) of the </w:t>
      </w:r>
      <w:r w:rsidRPr="00095008">
        <w:rPr>
          <w:i/>
        </w:rPr>
        <w:t>Migration Regulations 1994</w:t>
      </w:r>
      <w:r w:rsidRPr="00095008">
        <w:t xml:space="preserve"> (the </w:t>
      </w:r>
      <w:r w:rsidRPr="00DE5349">
        <w:t>Regulations</w:t>
      </w:r>
      <w:r w:rsidRPr="00095008">
        <w:t>).</w:t>
      </w:r>
    </w:p>
    <w:p w14:paraId="1F5A53F2" w14:textId="74E0215A" w:rsidR="00EA12C9" w:rsidRPr="00AC7B4D" w:rsidRDefault="00E36DBB" w:rsidP="002D167E">
      <w:pPr>
        <w:pStyle w:val="ESPara"/>
      </w:pPr>
      <w:r>
        <w:t>The</w:t>
      </w:r>
      <w:r w:rsidR="007C7DDC" w:rsidRPr="00095008">
        <w:t xml:space="preserve"> instrument amends </w:t>
      </w:r>
      <w:r w:rsidR="007C7DDC" w:rsidRPr="00095008">
        <w:rPr>
          <w:i/>
        </w:rPr>
        <w:t>Migration (Arrangements for Bridging visa applications) Instrument (LIN 21/045) 2021 </w:t>
      </w:r>
      <w:r w:rsidR="007C7DDC" w:rsidRPr="00095008">
        <w:t>(</w:t>
      </w:r>
      <w:r w:rsidR="007C7DDC" w:rsidRPr="00095008">
        <w:rPr>
          <w:bCs/>
        </w:rPr>
        <w:t>F2021L00899</w:t>
      </w:r>
      <w:r w:rsidR="007C7DDC" w:rsidRPr="00095008">
        <w:t>)</w:t>
      </w:r>
      <w:r w:rsidR="007C7DDC" w:rsidRPr="00095008">
        <w:rPr>
          <w:i/>
        </w:rPr>
        <w:t xml:space="preserve"> </w:t>
      </w:r>
      <w:r w:rsidR="007C7DDC" w:rsidRPr="00095008">
        <w:t xml:space="preserve">(LIN 21/045) </w:t>
      </w:r>
      <w:r w:rsidRPr="008B24C8">
        <w:t xml:space="preserve">in accordance with subsection 33(3) of the </w:t>
      </w:r>
      <w:r w:rsidRPr="00A54646">
        <w:rPr>
          <w:i/>
        </w:rPr>
        <w:t>Acts Interpretation Act 1901</w:t>
      </w:r>
      <w:r w:rsidRPr="008B24C8">
        <w:t xml:space="preserve">.  That subsection provides that </w:t>
      </w:r>
      <w:r>
        <w:t>a power to make a legislative instrument includes a power to amend or repeal that instrument in the same manner, and subject to the same conditions, as the power to make the instrument</w:t>
      </w:r>
      <w:r w:rsidRPr="008B24C8">
        <w:t xml:space="preserve">.  </w:t>
      </w:r>
      <w:r w:rsidRPr="00875E85">
        <w:t xml:space="preserve">This means that </w:t>
      </w:r>
      <w:proofErr w:type="spellStart"/>
      <w:r>
        <w:t>subregulation</w:t>
      </w:r>
      <w:proofErr w:type="spellEnd"/>
      <w:r>
        <w:t> 2.07(5)</w:t>
      </w:r>
      <w:r w:rsidRPr="00875E85">
        <w:t xml:space="preserve"> of the Regulations also include</w:t>
      </w:r>
      <w:r>
        <w:t>s</w:t>
      </w:r>
      <w:r w:rsidRPr="00875E85">
        <w:t xml:space="preserve"> a power to amend or repeal an instrument made under that provision.</w:t>
      </w:r>
    </w:p>
    <w:p w14:paraId="136B4A2A" w14:textId="4BBDA4EE" w:rsidR="00BD598E" w:rsidRPr="00AC7B4D" w:rsidRDefault="007C7DDC" w:rsidP="00442CE0">
      <w:pPr>
        <w:pStyle w:val="ESPara"/>
      </w:pPr>
      <w:r w:rsidRPr="00AC7B4D">
        <w:t xml:space="preserve">The instrument commences on </w:t>
      </w:r>
      <w:r w:rsidR="0003348F">
        <w:t>1 August 2022</w:t>
      </w:r>
      <w:r w:rsidR="00E36DBB">
        <w:t>, and i</w:t>
      </w:r>
      <w:r w:rsidR="00E36DBB" w:rsidRPr="008B24C8">
        <w:t xml:space="preserve">s a </w:t>
      </w:r>
      <w:r w:rsidR="00E36DBB">
        <w:t>legislative</w:t>
      </w:r>
      <w:r w:rsidR="00E36DBB" w:rsidRPr="008B24C8">
        <w:t xml:space="preserve"> instrument for </w:t>
      </w:r>
      <w:r w:rsidR="00E36DBB">
        <w:t xml:space="preserve">the </w:t>
      </w:r>
      <w:r w:rsidR="00E36DBB">
        <w:rPr>
          <w:i/>
        </w:rPr>
        <w:t>Legislation Act 2003</w:t>
      </w:r>
      <w:r w:rsidR="00E36DBB">
        <w:t xml:space="preserve"> (the L</w:t>
      </w:r>
      <w:r w:rsidR="00E36DBB" w:rsidRPr="00D32B5C">
        <w:t>egislation Act).</w:t>
      </w:r>
    </w:p>
    <w:p w14:paraId="6CF5E5BA" w14:textId="77777777" w:rsidR="00EA12C9" w:rsidRPr="00095008" w:rsidRDefault="00BD598E" w:rsidP="00100DFC">
      <w:pPr>
        <w:pStyle w:val="ESHeading"/>
      </w:pPr>
      <w:r w:rsidRPr="00AC7B4D">
        <w:t>Purpose</w:t>
      </w:r>
    </w:p>
    <w:p w14:paraId="307AFB0B" w14:textId="4C0B8BE8" w:rsidR="00BE1140" w:rsidRPr="00095008" w:rsidRDefault="00BE1140" w:rsidP="001B4F88">
      <w:pPr>
        <w:pStyle w:val="ESSubparaHeader"/>
      </w:pPr>
      <w:r w:rsidRPr="00095008">
        <w:t xml:space="preserve">The instrument operates to specify arrangements for </w:t>
      </w:r>
      <w:r w:rsidR="001B4F88">
        <w:t xml:space="preserve">making </w:t>
      </w:r>
      <w:r w:rsidR="003830BE">
        <w:t xml:space="preserve">bridging </w:t>
      </w:r>
      <w:r w:rsidR="001B4F88" w:rsidRPr="001B4F88">
        <w:t>visa applications</w:t>
      </w:r>
      <w:r w:rsidRPr="00095008">
        <w:t>.</w:t>
      </w:r>
      <w:r w:rsidR="001B4F88">
        <w:t xml:space="preserve"> </w:t>
      </w:r>
      <w:r w:rsidRPr="00095008">
        <w:t xml:space="preserve"> </w:t>
      </w:r>
      <w:proofErr w:type="spellStart"/>
      <w:r w:rsidRPr="00095008">
        <w:t>Subregulation</w:t>
      </w:r>
      <w:proofErr w:type="spellEnd"/>
      <w:r w:rsidRPr="00095008">
        <w:t xml:space="preserve"> 2.07(5) </w:t>
      </w:r>
      <w:r w:rsidR="001B4F88" w:rsidRPr="00095008">
        <w:t xml:space="preserve">of the Regulations </w:t>
      </w:r>
      <w:r w:rsidRPr="00095008">
        <w:t>provides that if an item of Schedule 1 to the Regulations prescribes criteria or requirements by reference to a legisl</w:t>
      </w:r>
      <w:r w:rsidR="001B4F88">
        <w:t>ative instrument made under that</w:t>
      </w:r>
      <w:r w:rsidRPr="00095008">
        <w:t xml:space="preserve"> </w:t>
      </w:r>
      <w:proofErr w:type="spellStart"/>
      <w:r w:rsidRPr="00095008">
        <w:t>subregulation</w:t>
      </w:r>
      <w:proofErr w:type="spellEnd"/>
      <w:r w:rsidRPr="00095008">
        <w:t>, the Minister may, by legislative instrument, specify the following:</w:t>
      </w:r>
    </w:p>
    <w:p w14:paraId="78FDB32E" w14:textId="77777777" w:rsidR="00BE1140" w:rsidRPr="00095008" w:rsidRDefault="00BE1140" w:rsidP="00BE1140">
      <w:pPr>
        <w:spacing w:before="240" w:after="240" w:line="276" w:lineRule="auto"/>
        <w:ind w:left="567"/>
        <w:rPr>
          <w:rFonts w:ascii="Times New Roman" w:hAnsi="Times New Roman" w:cs="Times New Roman"/>
        </w:rPr>
      </w:pPr>
      <w:r w:rsidRPr="00095008">
        <w:rPr>
          <w:rFonts w:ascii="Times New Roman" w:hAnsi="Times New Roman" w:cs="Times New Roman"/>
        </w:rPr>
        <w:t xml:space="preserve">(a)  </w:t>
      </w:r>
      <w:proofErr w:type="gramStart"/>
      <w:r w:rsidRPr="00095008">
        <w:rPr>
          <w:rFonts w:ascii="Times New Roman" w:hAnsi="Times New Roman" w:cs="Times New Roman"/>
        </w:rPr>
        <w:t>an</w:t>
      </w:r>
      <w:proofErr w:type="gramEnd"/>
      <w:r w:rsidRPr="00095008">
        <w:rPr>
          <w:rFonts w:ascii="Times New Roman" w:hAnsi="Times New Roman" w:cs="Times New Roman"/>
        </w:rPr>
        <w:t xml:space="preserve"> approved form for making an application for a visa of a specified class;</w:t>
      </w:r>
    </w:p>
    <w:p w14:paraId="37CFD1EA" w14:textId="77777777" w:rsidR="00BE1140" w:rsidRPr="00095008" w:rsidRDefault="00BE1140" w:rsidP="00BE1140">
      <w:pPr>
        <w:spacing w:before="240" w:after="240" w:line="276" w:lineRule="auto"/>
        <w:ind w:left="567"/>
        <w:rPr>
          <w:rFonts w:ascii="Times New Roman" w:hAnsi="Times New Roman" w:cs="Times New Roman"/>
        </w:rPr>
      </w:pPr>
      <w:r w:rsidRPr="00095008">
        <w:rPr>
          <w:rFonts w:ascii="Times New Roman" w:hAnsi="Times New Roman" w:cs="Times New Roman"/>
        </w:rPr>
        <w:t xml:space="preserve">(b)  </w:t>
      </w:r>
      <w:proofErr w:type="gramStart"/>
      <w:r w:rsidRPr="00095008">
        <w:rPr>
          <w:rFonts w:ascii="Times New Roman" w:hAnsi="Times New Roman" w:cs="Times New Roman"/>
        </w:rPr>
        <w:t>the</w:t>
      </w:r>
      <w:proofErr w:type="gramEnd"/>
      <w:r w:rsidRPr="00095008">
        <w:rPr>
          <w:rFonts w:ascii="Times New Roman" w:hAnsi="Times New Roman" w:cs="Times New Roman"/>
        </w:rPr>
        <w:t xml:space="preserve"> way in which an application for a visa of a specified class must be made;</w:t>
      </w:r>
    </w:p>
    <w:p w14:paraId="3AB4CE8E" w14:textId="77777777" w:rsidR="00BE1140" w:rsidRPr="00095008" w:rsidRDefault="00BE1140" w:rsidP="00BE1140">
      <w:pPr>
        <w:spacing w:before="240" w:after="240" w:line="276" w:lineRule="auto"/>
        <w:ind w:left="567"/>
        <w:rPr>
          <w:rFonts w:ascii="Times New Roman" w:hAnsi="Times New Roman" w:cs="Times New Roman"/>
        </w:rPr>
      </w:pPr>
      <w:r w:rsidRPr="00095008">
        <w:rPr>
          <w:rFonts w:ascii="Times New Roman" w:hAnsi="Times New Roman" w:cs="Times New Roman"/>
        </w:rPr>
        <w:t xml:space="preserve">(c)  </w:t>
      </w:r>
      <w:proofErr w:type="gramStart"/>
      <w:r w:rsidRPr="00095008">
        <w:rPr>
          <w:rFonts w:ascii="Times New Roman" w:hAnsi="Times New Roman" w:cs="Times New Roman"/>
        </w:rPr>
        <w:t>the</w:t>
      </w:r>
      <w:proofErr w:type="gramEnd"/>
      <w:r w:rsidRPr="00095008">
        <w:rPr>
          <w:rFonts w:ascii="Times New Roman" w:hAnsi="Times New Roman" w:cs="Times New Roman"/>
        </w:rPr>
        <w:t xml:space="preserve"> place at which an application for a visa of a specified class must be made.</w:t>
      </w:r>
    </w:p>
    <w:p w14:paraId="1F5E17DB" w14:textId="21A966FE" w:rsidR="008F5BC8" w:rsidRDefault="008F5BC8" w:rsidP="000E52D4">
      <w:pPr>
        <w:pStyle w:val="ESPara"/>
      </w:pPr>
      <w:r w:rsidRPr="00095008">
        <w:t>The p</w:t>
      </w:r>
      <w:r>
        <w:t>urpose of the instrument is to update</w:t>
      </w:r>
      <w:r w:rsidRPr="00095008">
        <w:t xml:space="preserve"> LIN 21/045, to reflect changes to the </w:t>
      </w:r>
      <w:r>
        <w:t xml:space="preserve">approved forms and the </w:t>
      </w:r>
      <w:r w:rsidRPr="00095008">
        <w:t xml:space="preserve">place and manner in which a </w:t>
      </w:r>
      <w:r w:rsidR="002E77CB" w:rsidRPr="00095008">
        <w:t xml:space="preserve">Bridging A (Class WA) (BVA), Bridging B (Class WB) (BVB) or Bridging C (Class WC) (BVC) </w:t>
      </w:r>
      <w:r w:rsidRPr="00095008">
        <w:t>vis</w:t>
      </w:r>
      <w:r w:rsidR="000E52D4">
        <w:t xml:space="preserve">a application on paper forms, </w:t>
      </w:r>
      <w:r w:rsidRPr="00095008">
        <w:t xml:space="preserve">Internet forms </w:t>
      </w:r>
      <w:r w:rsidR="000E52D4">
        <w:t>or e</w:t>
      </w:r>
      <w:r w:rsidR="000E52D4" w:rsidRPr="000E52D4">
        <w:t>lectronic form</w:t>
      </w:r>
      <w:r w:rsidR="000E52D4">
        <w:t xml:space="preserve">s </w:t>
      </w:r>
      <w:r w:rsidRPr="00095008">
        <w:t xml:space="preserve">is lodged. </w:t>
      </w:r>
      <w:r>
        <w:t xml:space="preserve"> </w:t>
      </w:r>
      <w:r w:rsidRPr="00095008">
        <w:t>Specifically, the instrument expands online lodgement options for BVA, BVB or BVC visa applicants and removes options for in</w:t>
      </w:r>
      <w:r w:rsidRPr="00095008">
        <w:noBreakHyphen/>
        <w:t xml:space="preserve">person </w:t>
      </w:r>
      <w:r>
        <w:t>and</w:t>
      </w:r>
      <w:r w:rsidRPr="00095008">
        <w:t xml:space="preserve"> postal lodgement of those visa applications</w:t>
      </w:r>
      <w:r w:rsidRPr="00B97211">
        <w:t xml:space="preserve"> </w:t>
      </w:r>
      <w:r>
        <w:t>using paper forms</w:t>
      </w:r>
      <w:r w:rsidRPr="00095008">
        <w:t>.</w:t>
      </w:r>
      <w:r w:rsidRPr="000D26B1">
        <w:t xml:space="preserve"> </w:t>
      </w:r>
    </w:p>
    <w:p w14:paraId="412B34C6" w14:textId="62D79C81" w:rsidR="00B8269C" w:rsidRDefault="00B70BC8" w:rsidP="001E6461">
      <w:pPr>
        <w:pStyle w:val="ESSubparaHeader"/>
      </w:pPr>
      <w:r>
        <w:t xml:space="preserve">The </w:t>
      </w:r>
      <w:r w:rsidR="00DD5812">
        <w:t>existing</w:t>
      </w:r>
      <w:r>
        <w:t xml:space="preserve"> approved forms</w:t>
      </w:r>
      <w:r w:rsidR="003830BE" w:rsidRPr="003830BE">
        <w:t xml:space="preserve"> </w:t>
      </w:r>
      <w:r w:rsidR="003830BE">
        <w:t xml:space="preserve">specified in </w:t>
      </w:r>
      <w:r w:rsidR="003830BE" w:rsidRPr="00095008">
        <w:t>LIN 21/045</w:t>
      </w:r>
      <w:r>
        <w:t xml:space="preserve"> for</w:t>
      </w:r>
      <w:r w:rsidR="003830BE">
        <w:t xml:space="preserve"> making</w:t>
      </w:r>
      <w:r w:rsidR="002E77CB" w:rsidRPr="002E77CB">
        <w:t xml:space="preserve"> </w:t>
      </w:r>
      <w:r w:rsidR="002E77CB" w:rsidRPr="00095008">
        <w:t>BVA, BVB or BVC</w:t>
      </w:r>
      <w:r w:rsidR="00DD5812" w:rsidRPr="00095008">
        <w:t xml:space="preserve"> visa </w:t>
      </w:r>
      <w:r w:rsidR="00DD5812">
        <w:t xml:space="preserve">applications </w:t>
      </w:r>
      <w:r w:rsidR="006C2644">
        <w:t xml:space="preserve">are </w:t>
      </w:r>
      <w:r w:rsidR="00080AA7">
        <w:t xml:space="preserve">Internet forms in </w:t>
      </w:r>
      <w:proofErr w:type="spellStart"/>
      <w:r w:rsidR="00080AA7">
        <w:t>ImmiAccount</w:t>
      </w:r>
      <w:proofErr w:type="spellEnd"/>
      <w:r w:rsidR="00080AA7">
        <w:t xml:space="preserve"> and </w:t>
      </w:r>
      <w:r w:rsidR="006C2644">
        <w:t>paper forms</w:t>
      </w:r>
      <w:r w:rsidR="003E71D1">
        <w:t>.</w:t>
      </w:r>
      <w:r w:rsidR="003830BE">
        <w:t xml:space="preserve"> </w:t>
      </w:r>
      <w:r w:rsidR="001C5CED">
        <w:t xml:space="preserve"> </w:t>
      </w:r>
      <w:r w:rsidR="003830BE">
        <w:t xml:space="preserve">The instrument updates </w:t>
      </w:r>
      <w:r w:rsidR="003830BE" w:rsidRPr="00095008">
        <w:t>LIN 21/045</w:t>
      </w:r>
      <w:r w:rsidR="003830BE">
        <w:t xml:space="preserve"> by specifying </w:t>
      </w:r>
      <w:r w:rsidR="009A3A6F">
        <w:t>e</w:t>
      </w:r>
      <w:r w:rsidR="00C81E44">
        <w:t xml:space="preserve">lectronic forms </w:t>
      </w:r>
      <w:r w:rsidR="003830BE">
        <w:t>as</w:t>
      </w:r>
      <w:r w:rsidR="00C81E44">
        <w:t xml:space="preserve"> approved forms for </w:t>
      </w:r>
      <w:r w:rsidR="00C81E44" w:rsidRPr="00095008">
        <w:t>BVA, BVB or BVC visa</w:t>
      </w:r>
      <w:r w:rsidR="00C81E44">
        <w:t xml:space="preserve"> applications made in the n</w:t>
      </w:r>
      <w:r w:rsidR="00C81E44" w:rsidRPr="00095008">
        <w:t xml:space="preserve">ew </w:t>
      </w:r>
      <w:r w:rsidR="00C81E44">
        <w:t xml:space="preserve">online </w:t>
      </w:r>
      <w:r w:rsidR="005D4D3A">
        <w:t xml:space="preserve">services </w:t>
      </w:r>
      <w:r w:rsidR="00C81E44">
        <w:t>portal</w:t>
      </w:r>
      <w:r w:rsidR="00DA2E2D">
        <w:t>—</w:t>
      </w:r>
      <w:r w:rsidR="007019DD">
        <w:t>‘</w:t>
      </w:r>
      <w:r w:rsidR="001E6461" w:rsidRPr="001E6461">
        <w:t>Submit your Bridging visa application online (Bridging visa A, B or C only)</w:t>
      </w:r>
      <w:r w:rsidR="007019DD">
        <w:t>’</w:t>
      </w:r>
      <w:r w:rsidR="00AE502F">
        <w:t xml:space="preserve"> (the</w:t>
      </w:r>
      <w:r w:rsidR="00AE502F" w:rsidRPr="003830BE">
        <w:t xml:space="preserve"> online portal</w:t>
      </w:r>
      <w:r w:rsidR="00AE502F">
        <w:t>)</w:t>
      </w:r>
      <w:r w:rsidR="00C81E44">
        <w:t>.</w:t>
      </w:r>
      <w:r w:rsidR="00412419">
        <w:t xml:space="preserve">  </w:t>
      </w:r>
    </w:p>
    <w:p w14:paraId="3F2EB665" w14:textId="5E9A6C55" w:rsidR="0086180E" w:rsidRDefault="00C81E44" w:rsidP="0086180E">
      <w:pPr>
        <w:pStyle w:val="ESSubparaHeader"/>
        <w:keepNext w:val="0"/>
      </w:pPr>
      <w:r>
        <w:t xml:space="preserve">This new online </w:t>
      </w:r>
      <w:r w:rsidR="003830BE">
        <w:t>portal wa</w:t>
      </w:r>
      <w:r>
        <w:t xml:space="preserve">s developed </w:t>
      </w:r>
      <w:r w:rsidR="003830BE">
        <w:t xml:space="preserve">by the Department of Home Affairs </w:t>
      </w:r>
      <w:r w:rsidR="003830BE" w:rsidRPr="00095008">
        <w:t>(the</w:t>
      </w:r>
      <w:r w:rsidR="003830BE" w:rsidRPr="003830BE">
        <w:t xml:space="preserve"> Department)</w:t>
      </w:r>
      <w:r w:rsidR="003830BE">
        <w:t xml:space="preserve"> </w:t>
      </w:r>
      <w:r w:rsidR="00C21BA4" w:rsidRPr="00C21BA4">
        <w:t xml:space="preserve">for </w:t>
      </w:r>
      <w:r w:rsidR="00C21BA4" w:rsidRPr="00095008">
        <w:t>BVA, BVB or BVC visa</w:t>
      </w:r>
      <w:r w:rsidR="00C21BA4">
        <w:t xml:space="preserve"> applicants</w:t>
      </w:r>
      <w:r w:rsidR="00C21BA4" w:rsidRPr="00C21BA4">
        <w:t xml:space="preserve"> who cannot </w:t>
      </w:r>
      <w:r w:rsidR="00C21BA4">
        <w:t xml:space="preserve">make their applications using Internet forms in </w:t>
      </w:r>
      <w:proofErr w:type="spellStart"/>
      <w:r w:rsidR="00C21BA4">
        <w:t>ImmiAccount</w:t>
      </w:r>
      <w:proofErr w:type="spellEnd"/>
      <w:r w:rsidR="00C21BA4">
        <w:t xml:space="preserve">, such as applicants who cannot access </w:t>
      </w:r>
      <w:proofErr w:type="spellStart"/>
      <w:r w:rsidR="00C21BA4">
        <w:t>ImmiAccount</w:t>
      </w:r>
      <w:proofErr w:type="spellEnd"/>
      <w:r w:rsidR="00C21BA4">
        <w:t xml:space="preserve"> as </w:t>
      </w:r>
      <w:r w:rsidR="00C21BA4" w:rsidRPr="00C21BA4">
        <w:t>their substantive visa application</w:t>
      </w:r>
      <w:r w:rsidR="0050781A">
        <w:t>s</w:t>
      </w:r>
      <w:r w:rsidR="00C21BA4" w:rsidRPr="00C21BA4">
        <w:t xml:space="preserve"> </w:t>
      </w:r>
      <w:r w:rsidR="00C21BA4">
        <w:t xml:space="preserve">have been </w:t>
      </w:r>
      <w:r w:rsidR="00C21BA4">
        <w:lastRenderedPageBreak/>
        <w:t>finally determined and are currently under</w:t>
      </w:r>
      <w:r w:rsidR="00BD6C34">
        <w:t xml:space="preserve"> </w:t>
      </w:r>
      <w:r w:rsidR="0080494C">
        <w:t xml:space="preserve">a </w:t>
      </w:r>
      <w:r w:rsidR="00BD6C34">
        <w:t>merits or</w:t>
      </w:r>
      <w:r w:rsidR="00C21BA4" w:rsidRPr="00C21BA4">
        <w:t xml:space="preserve"> judicial review</w:t>
      </w:r>
      <w:r w:rsidR="0080494C">
        <w:t xml:space="preserve"> process</w:t>
      </w:r>
      <w:r w:rsidR="00C21BA4" w:rsidRPr="00C21BA4">
        <w:t xml:space="preserve">, or </w:t>
      </w:r>
      <w:r w:rsidR="00C21BA4">
        <w:t xml:space="preserve">applicants whose </w:t>
      </w:r>
      <w:r w:rsidR="00C21BA4" w:rsidRPr="00C21BA4">
        <w:t>substantive visa application</w:t>
      </w:r>
      <w:r w:rsidR="00C21BA4">
        <w:t>s were</w:t>
      </w:r>
      <w:r w:rsidR="0050781A">
        <w:t xml:space="preserve"> lodged on</w:t>
      </w:r>
      <w:r w:rsidR="00C21BA4" w:rsidRPr="00C21BA4">
        <w:t xml:space="preserve"> paper.</w:t>
      </w:r>
      <w:r w:rsidR="00C21BA4">
        <w:t xml:space="preserve"> </w:t>
      </w:r>
      <w:r w:rsidR="003830BE">
        <w:t xml:space="preserve"> </w:t>
      </w:r>
      <w:r w:rsidR="00C21BA4">
        <w:t xml:space="preserve">The new online portal </w:t>
      </w:r>
      <w:r w:rsidR="005B4D72">
        <w:t>replaces</w:t>
      </w:r>
      <w:r w:rsidR="005B4D72" w:rsidRPr="00095008">
        <w:t xml:space="preserve"> in</w:t>
      </w:r>
      <w:r w:rsidR="005B4D72" w:rsidRPr="00095008">
        <w:noBreakHyphen/>
        <w:t xml:space="preserve">person </w:t>
      </w:r>
      <w:r w:rsidR="005B4D72">
        <w:t xml:space="preserve">and </w:t>
      </w:r>
      <w:r w:rsidR="005B4D72" w:rsidRPr="00095008">
        <w:t xml:space="preserve">postal </w:t>
      </w:r>
      <w:r w:rsidR="005B4D72">
        <w:t>lodgement options using paper forms, and</w:t>
      </w:r>
      <w:r w:rsidR="005B4D72" w:rsidRPr="00095008">
        <w:t xml:space="preserve"> </w:t>
      </w:r>
      <w:r w:rsidR="00D93282" w:rsidRPr="00095008">
        <w:t>allow</w:t>
      </w:r>
      <w:r w:rsidR="00C21BA4">
        <w:t>s</w:t>
      </w:r>
      <w:r w:rsidR="00D93282" w:rsidRPr="00095008">
        <w:t xml:space="preserve"> </w:t>
      </w:r>
      <w:r w:rsidR="0050781A">
        <w:t xml:space="preserve">those </w:t>
      </w:r>
      <w:r w:rsidR="00D93282" w:rsidRPr="00095008">
        <w:t>appli</w:t>
      </w:r>
      <w:r w:rsidR="00CA0D36">
        <w:t xml:space="preserve">cants to </w:t>
      </w:r>
      <w:r w:rsidR="00355688">
        <w:t>use electronic forms a</w:t>
      </w:r>
      <w:r w:rsidR="00355688" w:rsidRPr="00B87F93">
        <w:t xml:space="preserve">nd </w:t>
      </w:r>
      <w:r w:rsidR="00CA0D36" w:rsidRPr="00B87F93">
        <w:t xml:space="preserve">upload their completed </w:t>
      </w:r>
      <w:r w:rsidR="00DD5812" w:rsidRPr="00B87F93">
        <w:t>BVA, BVB or BVC visa applications</w:t>
      </w:r>
      <w:r w:rsidR="00EF2A21" w:rsidRPr="00B87F93">
        <w:t xml:space="preserve"> on</w:t>
      </w:r>
      <w:r w:rsidR="0050781A" w:rsidRPr="00B87F93">
        <w:t>line</w:t>
      </w:r>
      <w:r w:rsidR="00EF2A21" w:rsidRPr="00B87F93">
        <w:t xml:space="preserve"> </w:t>
      </w:r>
      <w:r w:rsidR="0050781A" w:rsidRPr="00B87F93">
        <w:t xml:space="preserve">at </w:t>
      </w:r>
      <w:r w:rsidR="00EF2A21" w:rsidRPr="00B87F93">
        <w:t>the Department</w:t>
      </w:r>
      <w:r w:rsidR="00D93282" w:rsidRPr="00B87F93">
        <w:t>’</w:t>
      </w:r>
      <w:r w:rsidR="00EF2A21" w:rsidRPr="00B87F93">
        <w:t>s</w:t>
      </w:r>
      <w:r w:rsidR="00D93282" w:rsidRPr="00B87F93">
        <w:t xml:space="preserve"> website</w:t>
      </w:r>
      <w:r w:rsidR="00EF2A21" w:rsidRPr="00B87F93">
        <w:t xml:space="preserve"> </w:t>
      </w:r>
      <w:hyperlink r:id="rId8" w:history="1">
        <w:r w:rsidR="00B87F93" w:rsidRPr="00B87F93">
          <w:rPr>
            <w:rStyle w:val="Hyperlink"/>
            <w:color w:val="auto"/>
          </w:rPr>
          <w:t>https://immi.homeaffairs.gov.au/help-support/departmental-forms/online-forms</w:t>
        </w:r>
      </w:hyperlink>
      <w:r w:rsidR="00E8296F" w:rsidRPr="00B87F93">
        <w:t xml:space="preserve">. </w:t>
      </w:r>
    </w:p>
    <w:p w14:paraId="6031C07F" w14:textId="77777777" w:rsidR="00C64BBC" w:rsidRPr="00AC7B4D" w:rsidRDefault="00C64BBC" w:rsidP="00C64BBC">
      <w:pPr>
        <w:pStyle w:val="ListParagraph"/>
        <w:numPr>
          <w:ilvl w:val="0"/>
          <w:numId w:val="1"/>
        </w:numPr>
        <w:spacing w:before="240" w:after="240" w:line="276" w:lineRule="auto"/>
        <w:ind w:left="567" w:hanging="567"/>
        <w:contextualSpacing w:val="0"/>
        <w:rPr>
          <w:rFonts w:ascii="Times New Roman" w:hAnsi="Times New Roman" w:cs="Times New Roman"/>
        </w:rPr>
      </w:pPr>
      <w:r w:rsidRPr="008F58D7">
        <w:rPr>
          <w:rFonts w:ascii="Times New Roman" w:hAnsi="Times New Roman" w:cs="Times New Roman"/>
        </w:rPr>
        <w:t>Mandating online lodgement for BVA, B</w:t>
      </w:r>
      <w:r w:rsidRPr="00AC7B4D">
        <w:rPr>
          <w:rFonts w:ascii="Times New Roman" w:hAnsi="Times New Roman" w:cs="Times New Roman"/>
        </w:rPr>
        <w:t xml:space="preserve">VB and BVC applications will increase the Department’s ability to respond to workload peaks and business continuity pressures, and bring BVA, BVB and BVC processes in line with most other visa programs. </w:t>
      </w:r>
    </w:p>
    <w:p w14:paraId="5DAD002B" w14:textId="6DE88999" w:rsidR="00C904AF" w:rsidRPr="008F5BC8" w:rsidRDefault="00C904AF" w:rsidP="00F17B86">
      <w:pPr>
        <w:pStyle w:val="ESPara"/>
        <w:rPr>
          <w:u w:val="single"/>
        </w:rPr>
      </w:pPr>
      <w:r>
        <w:t>However, if an application for a BVA, BVB or BVC</w:t>
      </w:r>
      <w:r w:rsidRPr="00095008">
        <w:t xml:space="preserve"> </w:t>
      </w:r>
      <w:r>
        <w:t>visa</w:t>
      </w:r>
      <w:r w:rsidRPr="0091565B">
        <w:t xml:space="preserve"> cannot be made </w:t>
      </w:r>
      <w:r>
        <w:t xml:space="preserve">in </w:t>
      </w:r>
      <w:proofErr w:type="spellStart"/>
      <w:r>
        <w:t>ImmiAccount</w:t>
      </w:r>
      <w:proofErr w:type="spellEnd"/>
      <w:r>
        <w:t xml:space="preserve"> or </w:t>
      </w:r>
      <w:r w:rsidRPr="008F5BC8">
        <w:t>the online portal</w:t>
      </w:r>
      <w:r>
        <w:t xml:space="preserve">, it may be made </w:t>
      </w:r>
      <w:r w:rsidRPr="00497C53">
        <w:t xml:space="preserve">using </w:t>
      </w:r>
      <w:r>
        <w:t xml:space="preserve">an approved paper form by email to </w:t>
      </w:r>
      <w:proofErr w:type="spellStart"/>
      <w:r w:rsidRPr="008F5BC8">
        <w:rPr>
          <w:u w:val="single"/>
        </w:rPr>
        <w:t>bv.abc.lodgement@homeaffairs</w:t>
      </w:r>
      <w:proofErr w:type="spellEnd"/>
      <w:r w:rsidRPr="008F5BC8">
        <w:rPr>
          <w:u w:val="single"/>
        </w:rPr>
        <w:t>.</w:t>
      </w:r>
      <w:r>
        <w:rPr>
          <w:u w:val="single"/>
        </w:rPr>
        <w:br/>
      </w:r>
      <w:r w:rsidRPr="008F5BC8">
        <w:rPr>
          <w:u w:val="single"/>
        </w:rPr>
        <w:t>gov.au</w:t>
      </w:r>
      <w:r w:rsidRPr="008F5BC8">
        <w:rPr>
          <w:sz w:val="23"/>
          <w:szCs w:val="23"/>
        </w:rPr>
        <w:t xml:space="preserve">, if the applicant </w:t>
      </w:r>
      <w:r>
        <w:t xml:space="preserve">has </w:t>
      </w:r>
      <w:r w:rsidRPr="009A1970">
        <w:t>received a</w:t>
      </w:r>
      <w:r>
        <w:t xml:space="preserve"> written notice from the</w:t>
      </w:r>
      <w:r w:rsidRPr="00C32A91">
        <w:t xml:space="preserve"> </w:t>
      </w:r>
      <w:r w:rsidRPr="00061440">
        <w:t>Department</w:t>
      </w:r>
      <w:r>
        <w:t xml:space="preserve"> authorising </w:t>
      </w:r>
      <w:r w:rsidRPr="008F5BC8">
        <w:rPr>
          <w:sz w:val="23"/>
          <w:szCs w:val="23"/>
        </w:rPr>
        <w:t>the applicant</w:t>
      </w:r>
      <w:r>
        <w:t xml:space="preserve"> to do so.  In which case, the </w:t>
      </w:r>
      <w:r w:rsidR="00F17B86">
        <w:t xml:space="preserve">applicant must attach the written notice to the application and must submit the application </w:t>
      </w:r>
      <w:r>
        <w:t xml:space="preserve">within 7 calendar days after the </w:t>
      </w:r>
      <w:r w:rsidRPr="008F5BC8">
        <w:rPr>
          <w:color w:val="000000"/>
          <w:shd w:val="clear" w:color="auto" w:fill="FFFFFF"/>
        </w:rPr>
        <w:t>written notice</w:t>
      </w:r>
      <w:r>
        <w:t xml:space="preserve"> was sent.</w:t>
      </w:r>
    </w:p>
    <w:p w14:paraId="3F3B21B2" w14:textId="038314D1" w:rsidR="008B24C8" w:rsidRPr="00095008" w:rsidRDefault="00781BED" w:rsidP="005B4D72">
      <w:pPr>
        <w:pStyle w:val="ESSubparaHeader"/>
        <w:keepNext w:val="0"/>
      </w:pPr>
      <w:r>
        <w:t>This change</w:t>
      </w:r>
      <w:r w:rsidR="003830BE">
        <w:t xml:space="preserve"> only applies</w:t>
      </w:r>
      <w:r w:rsidR="00D93282" w:rsidRPr="00095008">
        <w:t xml:space="preserve"> to BVA,</w:t>
      </w:r>
      <w:r w:rsidR="003830BE">
        <w:t xml:space="preserve"> BVB or BVC visa applications.  It does</w:t>
      </w:r>
      <w:r w:rsidR="00D93282" w:rsidRPr="00095008">
        <w:t xml:space="preserve"> affect the current lodgemen</w:t>
      </w:r>
      <w:r w:rsidR="00E666F3">
        <w:t>t options for Bridging D (Class </w:t>
      </w:r>
      <w:r w:rsidR="00D93282" w:rsidRPr="00095008">
        <w:t>WD)</w:t>
      </w:r>
      <w:r w:rsidR="00CE6111">
        <w:t xml:space="preserve"> (BVD)</w:t>
      </w:r>
      <w:r w:rsidR="00D93282" w:rsidRPr="00095008">
        <w:t xml:space="preserve">, Bridging E (Class WE) </w:t>
      </w:r>
      <w:r w:rsidR="00CE6111">
        <w:t xml:space="preserve">(BVE) </w:t>
      </w:r>
      <w:r w:rsidR="00D93282" w:rsidRPr="00095008">
        <w:t xml:space="preserve">or Bridging F (Class WF) </w:t>
      </w:r>
      <w:r w:rsidR="005D014E">
        <w:t>(BVF</w:t>
      </w:r>
      <w:r w:rsidR="00CE6111">
        <w:t xml:space="preserve">) </w:t>
      </w:r>
      <w:r w:rsidR="00D93282" w:rsidRPr="00095008">
        <w:t>visa applicants.</w:t>
      </w:r>
    </w:p>
    <w:p w14:paraId="6FF10412" w14:textId="2A72DEF9" w:rsidR="00D93282" w:rsidRPr="00095008" w:rsidRDefault="00D93282" w:rsidP="00D93282">
      <w:pPr>
        <w:pStyle w:val="ListParagraph"/>
        <w:numPr>
          <w:ilvl w:val="0"/>
          <w:numId w:val="1"/>
        </w:numPr>
        <w:spacing w:before="240" w:after="240" w:line="276" w:lineRule="auto"/>
        <w:ind w:left="567" w:hanging="567"/>
        <w:contextualSpacing w:val="0"/>
        <w:rPr>
          <w:rFonts w:ascii="Times New Roman" w:hAnsi="Times New Roman" w:cs="Times New Roman"/>
        </w:rPr>
      </w:pPr>
      <w:r w:rsidRPr="00095008">
        <w:rPr>
          <w:rFonts w:ascii="Times New Roman" w:hAnsi="Times New Roman" w:cs="Times New Roman"/>
        </w:rPr>
        <w:t xml:space="preserve">It has been consistent practice that specific detail regarding the lodgement of visa applications be included in delegated legislation. </w:t>
      </w:r>
      <w:r w:rsidR="00C904AF">
        <w:rPr>
          <w:rFonts w:ascii="Times New Roman" w:hAnsi="Times New Roman" w:cs="Times New Roman"/>
        </w:rPr>
        <w:t xml:space="preserve"> </w:t>
      </w:r>
      <w:r w:rsidRPr="00095008">
        <w:rPr>
          <w:rFonts w:ascii="Times New Roman" w:hAnsi="Times New Roman" w:cs="Times New Roman"/>
        </w:rPr>
        <w:t xml:space="preserve">This facilitates the operation of a dynamic and responsive immigration program. </w:t>
      </w:r>
      <w:r w:rsidR="00C904AF">
        <w:rPr>
          <w:rFonts w:ascii="Times New Roman" w:hAnsi="Times New Roman" w:cs="Times New Roman"/>
        </w:rPr>
        <w:t xml:space="preserve"> </w:t>
      </w:r>
      <w:r w:rsidRPr="00095008">
        <w:rPr>
          <w:rFonts w:ascii="Times New Roman" w:hAnsi="Times New Roman" w:cs="Times New Roman"/>
        </w:rPr>
        <w:t>Changing the manner in which bridging visa applications are lodged and other minor administrative matters would not be an appropriate use of the parliament’s time.</w:t>
      </w:r>
      <w:r w:rsidR="00C904AF">
        <w:rPr>
          <w:rFonts w:ascii="Times New Roman" w:hAnsi="Times New Roman" w:cs="Times New Roman"/>
        </w:rPr>
        <w:t xml:space="preserve"> </w:t>
      </w:r>
      <w:r w:rsidRPr="00095008">
        <w:rPr>
          <w:rFonts w:ascii="Times New Roman" w:hAnsi="Times New Roman" w:cs="Times New Roman"/>
        </w:rPr>
        <w:t xml:space="preserve"> Amending primary legislation would also likely cause a time delay in which bridging visa applicants can be lodged. </w:t>
      </w:r>
      <w:r w:rsidR="00C904AF">
        <w:rPr>
          <w:rFonts w:ascii="Times New Roman" w:hAnsi="Times New Roman" w:cs="Times New Roman"/>
        </w:rPr>
        <w:t xml:space="preserve"> </w:t>
      </w:r>
      <w:r w:rsidRPr="00095008">
        <w:rPr>
          <w:rFonts w:ascii="Times New Roman" w:hAnsi="Times New Roman" w:cs="Times New Roman"/>
        </w:rPr>
        <w:t>For these reasons, it is appropriate th</w:t>
      </w:r>
      <w:r w:rsidR="00C927D7">
        <w:rPr>
          <w:rFonts w:ascii="Times New Roman" w:hAnsi="Times New Roman" w:cs="Times New Roman"/>
        </w:rPr>
        <w:t>at the matters contained in the</w:t>
      </w:r>
      <w:r w:rsidRPr="00095008">
        <w:rPr>
          <w:rFonts w:ascii="Times New Roman" w:hAnsi="Times New Roman" w:cs="Times New Roman"/>
        </w:rPr>
        <w:t xml:space="preserve"> instrument and LIN 21/045 are specified in delegated legislation.</w:t>
      </w:r>
    </w:p>
    <w:p w14:paraId="74574CF7" w14:textId="77777777" w:rsidR="008B24C8" w:rsidRPr="00095008" w:rsidRDefault="008B24C8" w:rsidP="00100DFC">
      <w:pPr>
        <w:pStyle w:val="ESHeading"/>
      </w:pPr>
      <w:r w:rsidRPr="00095008">
        <w:t>Consultation</w:t>
      </w:r>
    </w:p>
    <w:p w14:paraId="543086AE" w14:textId="36714458" w:rsidR="008B24C8" w:rsidRPr="00095008" w:rsidRDefault="00D93282" w:rsidP="002D167E">
      <w:pPr>
        <w:pStyle w:val="ESPara"/>
      </w:pPr>
      <w:r w:rsidRPr="00095008">
        <w:t>Consultation was undertaken with key external stakeholders including the Migration Institute of Australia, the Migration Alliance and the Law Council of Australia.</w:t>
      </w:r>
      <w:r w:rsidR="00E14A71">
        <w:t xml:space="preserve"> </w:t>
      </w:r>
      <w:r w:rsidR="00C904AF">
        <w:t xml:space="preserve"> </w:t>
      </w:r>
      <w:r w:rsidR="00E14A71">
        <w:t xml:space="preserve">No concerns were raised </w:t>
      </w:r>
      <w:r w:rsidR="00884D01">
        <w:t>with</w:t>
      </w:r>
      <w:r w:rsidRPr="00095008">
        <w:t xml:space="preserve"> the place and manner in which a BVA, BVB or BVC visa application is lodged being amended in the instrument.</w:t>
      </w:r>
    </w:p>
    <w:p w14:paraId="71648281" w14:textId="5C078CB6" w:rsidR="00D93282" w:rsidRPr="00095008" w:rsidRDefault="00D93282" w:rsidP="00D93282">
      <w:pPr>
        <w:pStyle w:val="ESPara"/>
      </w:pPr>
      <w:r w:rsidRPr="00095008">
        <w:t xml:space="preserve">The Office of Best Practice Regulation (OBPR) was also consulted and considered that the instrument dealt with matters of a minor nature and no regulatory impact statement was required. </w:t>
      </w:r>
      <w:r w:rsidR="00C904AF">
        <w:t xml:space="preserve"> </w:t>
      </w:r>
      <w:r w:rsidRPr="00095008">
        <w:t xml:space="preserve">The OBPR reference number is 43676. </w:t>
      </w:r>
    </w:p>
    <w:p w14:paraId="7C2B7F59" w14:textId="77777777" w:rsidR="00AA4557" w:rsidRPr="00095008" w:rsidRDefault="00464080" w:rsidP="00100DFC">
      <w:pPr>
        <w:pStyle w:val="ESHeading"/>
      </w:pPr>
      <w:r w:rsidRPr="00095008">
        <w:t>Details</w:t>
      </w:r>
      <w:r w:rsidR="00AA4557" w:rsidRPr="00095008">
        <w:t xml:space="preserve"> of the instrument</w:t>
      </w:r>
    </w:p>
    <w:p w14:paraId="34EDD625" w14:textId="3F5085FB" w:rsidR="00AA4557" w:rsidRPr="00095008" w:rsidRDefault="00D93282" w:rsidP="002D167E">
      <w:pPr>
        <w:pStyle w:val="ESPara"/>
      </w:pPr>
      <w:r w:rsidRPr="00095008">
        <w:t>Section 1 sets out the name of the instrument.</w:t>
      </w:r>
      <w:r w:rsidR="00E03DCC" w:rsidRPr="00095008">
        <w:t xml:space="preserve"> </w:t>
      </w:r>
    </w:p>
    <w:p w14:paraId="233D2202" w14:textId="5DB8B28E" w:rsidR="00AA4557" w:rsidRPr="00095008" w:rsidRDefault="00C62D76" w:rsidP="002D167E">
      <w:pPr>
        <w:pStyle w:val="ESPara"/>
      </w:pPr>
      <w:r>
        <w:t>Section 2 provides that</w:t>
      </w:r>
      <w:r w:rsidR="008945A4">
        <w:t xml:space="preserve"> the instrument</w:t>
      </w:r>
      <w:r>
        <w:t xml:space="preserve"> commences on</w:t>
      </w:r>
      <w:r w:rsidR="0003348F">
        <w:t xml:space="preserve"> 1 August 2022</w:t>
      </w:r>
      <w:r w:rsidR="00D93282" w:rsidRPr="00095008">
        <w:t>.</w:t>
      </w:r>
    </w:p>
    <w:p w14:paraId="7B4E7506" w14:textId="2F536E79" w:rsidR="00E03DCC" w:rsidRDefault="00D93282" w:rsidP="002D167E">
      <w:pPr>
        <w:pStyle w:val="ESPara"/>
      </w:pPr>
      <w:r w:rsidRPr="00095008">
        <w:t>Section 3 provides that LIN 21/045 (</w:t>
      </w:r>
      <w:r w:rsidRPr="00095008">
        <w:rPr>
          <w:bCs/>
        </w:rPr>
        <w:t>F2021L00899</w:t>
      </w:r>
      <w:r w:rsidRPr="00095008">
        <w:t>) is amended as set out in Schedule 1 to the instrument.</w:t>
      </w:r>
      <w:r w:rsidR="003171DB">
        <w:t xml:space="preserve"> </w:t>
      </w:r>
    </w:p>
    <w:p w14:paraId="3006FBFE" w14:textId="68754C3D" w:rsidR="00E8296F" w:rsidRDefault="00E8296F" w:rsidP="002D167E">
      <w:pPr>
        <w:pStyle w:val="ESPara"/>
      </w:pPr>
      <w:r>
        <w:t xml:space="preserve">Item 1 of Schedule 1 </w:t>
      </w:r>
      <w:r w:rsidR="00E8473C" w:rsidRPr="00E8473C">
        <w:t>to the instrument</w:t>
      </w:r>
      <w:r w:rsidR="00E8473C">
        <w:t xml:space="preserve"> </w:t>
      </w:r>
      <w:r>
        <w:t xml:space="preserve">inserts new definition of </w:t>
      </w:r>
      <w:r w:rsidR="00A92D35" w:rsidRPr="00510785">
        <w:rPr>
          <w:i/>
        </w:rPr>
        <w:t>electronic form</w:t>
      </w:r>
      <w:r w:rsidR="00A92D35">
        <w:t xml:space="preserve"> and </w:t>
      </w:r>
      <w:proofErr w:type="spellStart"/>
      <w:r w:rsidR="00510785" w:rsidRPr="00510785">
        <w:rPr>
          <w:i/>
        </w:rPr>
        <w:t>ImmiAccount</w:t>
      </w:r>
      <w:proofErr w:type="spellEnd"/>
      <w:r>
        <w:t xml:space="preserve"> in section 3 of </w:t>
      </w:r>
      <w:r w:rsidR="00E8473C" w:rsidRPr="00E8473C">
        <w:t>LIN 21/045</w:t>
      </w:r>
      <w:r>
        <w:t>.</w:t>
      </w:r>
    </w:p>
    <w:p w14:paraId="13CBF35E" w14:textId="09CE68BB" w:rsidR="0041688E" w:rsidRDefault="0041688E" w:rsidP="0041688E">
      <w:pPr>
        <w:pStyle w:val="ESPara"/>
      </w:pPr>
      <w:r>
        <w:lastRenderedPageBreak/>
        <w:t xml:space="preserve">Item 2 of Schedule 1 </w:t>
      </w:r>
      <w:r w:rsidR="00E8473C" w:rsidRPr="00E8473C">
        <w:t>to the instrument</w:t>
      </w:r>
      <w:r w:rsidR="00E8473C">
        <w:t xml:space="preserve"> </w:t>
      </w:r>
      <w:r w:rsidR="002F0AF4">
        <w:t>substitutes</w:t>
      </w:r>
      <w:r>
        <w:t xml:space="preserve"> ‘internet’ with ‘Internet’</w:t>
      </w:r>
      <w:r w:rsidR="00E8473C" w:rsidRPr="00E8473C">
        <w:t xml:space="preserve"> </w:t>
      </w:r>
      <w:r w:rsidR="00E8473C">
        <w:t xml:space="preserve">in section 3 of </w:t>
      </w:r>
      <w:r w:rsidR="00E8473C" w:rsidRPr="00E8473C">
        <w:t>LIN 21/045</w:t>
      </w:r>
      <w:r w:rsidR="00E8473C">
        <w:t xml:space="preserve">, to </w:t>
      </w:r>
      <w:r>
        <w:t xml:space="preserve">keep it consistent with </w:t>
      </w:r>
      <w:r w:rsidRPr="0041688E">
        <w:t>the Regulations</w:t>
      </w:r>
      <w:r>
        <w:t xml:space="preserve"> where the first letter of the </w:t>
      </w:r>
      <w:r w:rsidR="003171DB">
        <w:t>word</w:t>
      </w:r>
      <w:r>
        <w:t xml:space="preserve"> </w:t>
      </w:r>
      <w:r w:rsidR="008D1A69">
        <w:t>‘Internet’</w:t>
      </w:r>
      <w:r>
        <w:t xml:space="preserve"> is capitalised.</w:t>
      </w:r>
    </w:p>
    <w:p w14:paraId="2706ED54" w14:textId="5C47EB43" w:rsidR="00E8296F" w:rsidRDefault="00E8296F" w:rsidP="008B4794">
      <w:pPr>
        <w:pStyle w:val="ESPara"/>
      </w:pPr>
      <w:r>
        <w:t>Item</w:t>
      </w:r>
      <w:r w:rsidR="004C7B4F">
        <w:t>s</w:t>
      </w:r>
      <w:r>
        <w:t xml:space="preserve"> 3 </w:t>
      </w:r>
      <w:r w:rsidR="004C7B4F">
        <w:t xml:space="preserve">and 4 </w:t>
      </w:r>
      <w:r>
        <w:t xml:space="preserve">of Schedule 1 </w:t>
      </w:r>
      <w:r w:rsidR="00E8473C" w:rsidRPr="00E8473C">
        <w:t xml:space="preserve">to the instrument </w:t>
      </w:r>
      <w:r w:rsidR="00510785">
        <w:t>inserts new definition of</w:t>
      </w:r>
      <w:r w:rsidR="00510785" w:rsidRPr="00510785">
        <w:rPr>
          <w:i/>
        </w:rPr>
        <w:t xml:space="preserve"> online portal</w:t>
      </w:r>
      <w:r>
        <w:t xml:space="preserve"> </w:t>
      </w:r>
      <w:r w:rsidR="004C7B4F">
        <w:t xml:space="preserve">and </w:t>
      </w:r>
      <w:r w:rsidR="004C7B4F" w:rsidRPr="00510785">
        <w:rPr>
          <w:i/>
        </w:rPr>
        <w:t>written notice</w:t>
      </w:r>
      <w:r w:rsidR="004C7B4F">
        <w:t xml:space="preserve"> </w:t>
      </w:r>
      <w:r>
        <w:t xml:space="preserve">in section 3 of </w:t>
      </w:r>
      <w:r w:rsidR="00E8473C" w:rsidRPr="00E8473C">
        <w:t>LIN 21/045</w:t>
      </w:r>
      <w:r>
        <w:t>.</w:t>
      </w:r>
    </w:p>
    <w:p w14:paraId="0BEC6044" w14:textId="444C8DF6" w:rsidR="00E03DCC" w:rsidRDefault="00E8473C" w:rsidP="002D167E">
      <w:pPr>
        <w:pStyle w:val="ESPara"/>
      </w:pPr>
      <w:r w:rsidRPr="00E8473C">
        <w:t xml:space="preserve">Item </w:t>
      </w:r>
      <w:r w:rsidR="00C46110">
        <w:t>5</w:t>
      </w:r>
      <w:r w:rsidR="00D93282" w:rsidRPr="00E8473C">
        <w:t xml:space="preserve"> of Schedule 1 to the instrument amends section 5 of LIN 21/045.</w:t>
      </w:r>
      <w:r w:rsidR="003171DB">
        <w:t xml:space="preserve"> </w:t>
      </w:r>
      <w:r w:rsidR="00D93282" w:rsidRPr="00E8473C">
        <w:t xml:space="preserve"> It updates the place and manner for making an application for a visa under paragra</w:t>
      </w:r>
      <w:r w:rsidR="00582D95">
        <w:t>phs 1301(3</w:t>
      </w:r>
      <w:proofErr w:type="gramStart"/>
      <w:r w:rsidR="00582D95">
        <w:t>)(</w:t>
      </w:r>
      <w:proofErr w:type="gramEnd"/>
      <w:r w:rsidR="00582D95">
        <w:t xml:space="preserve">a), 1302(3)(a) and </w:t>
      </w:r>
      <w:r w:rsidR="00D93282" w:rsidRPr="00E8473C">
        <w:t>1303(3)(a)</w:t>
      </w:r>
      <w:r w:rsidR="00582D95">
        <w:t xml:space="preserve"> </w:t>
      </w:r>
      <w:r w:rsidR="00D93282" w:rsidRPr="00E8473C">
        <w:t>of Schedule 1 to the Regulations.</w:t>
      </w:r>
    </w:p>
    <w:p w14:paraId="632BF059" w14:textId="67615627" w:rsidR="007D3559" w:rsidRPr="00095008" w:rsidRDefault="00C46110" w:rsidP="00011DB5">
      <w:pPr>
        <w:pStyle w:val="ESPara"/>
      </w:pPr>
      <w:r>
        <w:t>Item 6</w:t>
      </w:r>
      <w:r w:rsidR="00D93282" w:rsidRPr="00E8473C">
        <w:t xml:space="preserve"> of Schedule 1 to the instrument amends </w:t>
      </w:r>
      <w:r w:rsidR="00E8473C">
        <w:t xml:space="preserve">the table </w:t>
      </w:r>
      <w:r w:rsidR="002F0AF4">
        <w:t>in</w:t>
      </w:r>
      <w:r w:rsidR="00E8473C">
        <w:t xml:space="preserve"> </w:t>
      </w:r>
      <w:r w:rsidR="00433E63">
        <w:t>Schedule 1 to LIN 21/045, t</w:t>
      </w:r>
      <w:r w:rsidR="00011DB5">
        <w:t xml:space="preserve">o provide </w:t>
      </w:r>
      <w:r w:rsidR="00E8473C" w:rsidRPr="00E8473C">
        <w:t>Internet</w:t>
      </w:r>
      <w:r w:rsidR="00D93282" w:rsidRPr="00E8473C">
        <w:t xml:space="preserve"> forms </w:t>
      </w:r>
      <w:r w:rsidR="00E8473C" w:rsidRPr="00E8473C">
        <w:t xml:space="preserve">in online portal </w:t>
      </w:r>
      <w:r w:rsidR="00433E63">
        <w:t xml:space="preserve">are </w:t>
      </w:r>
      <w:r w:rsidR="00D93282" w:rsidRPr="00E8473C">
        <w:t xml:space="preserve">the </w:t>
      </w:r>
      <w:r w:rsidR="00011DB5">
        <w:t xml:space="preserve">new </w:t>
      </w:r>
      <w:r w:rsidR="00D93282" w:rsidRPr="00E8473C">
        <w:t xml:space="preserve">approved forms for BVA, </w:t>
      </w:r>
      <w:r w:rsidR="00E8473C">
        <w:t>BVB or BVC visa applications.</w:t>
      </w:r>
      <w:r w:rsidR="00CE6111">
        <w:t xml:space="preserve"> </w:t>
      </w:r>
      <w:r w:rsidR="004C7B4F">
        <w:t xml:space="preserve"> </w:t>
      </w:r>
      <w:r w:rsidR="00CE6111">
        <w:t>T</w:t>
      </w:r>
      <w:r w:rsidR="00433E63">
        <w:t xml:space="preserve">his change </w:t>
      </w:r>
      <w:r w:rsidR="00CE6111">
        <w:t>do</w:t>
      </w:r>
      <w:r w:rsidR="00433E63">
        <w:t>es</w:t>
      </w:r>
      <w:r w:rsidR="00CE6111">
        <w:t xml:space="preserve"> not apply to BVD</w:t>
      </w:r>
      <w:r w:rsidR="00CE6111" w:rsidRPr="00E8473C">
        <w:t xml:space="preserve">, </w:t>
      </w:r>
      <w:r w:rsidR="00CE6111">
        <w:t>BVE or BVF visa applications</w:t>
      </w:r>
      <w:r w:rsidR="00433E63">
        <w:t>.</w:t>
      </w:r>
    </w:p>
    <w:p w14:paraId="506ABAC0" w14:textId="77777777" w:rsidR="00AA4557" w:rsidRPr="00095008" w:rsidRDefault="00AA4557" w:rsidP="00100DFC">
      <w:pPr>
        <w:pStyle w:val="ESHeading"/>
      </w:pPr>
      <w:r w:rsidRPr="00095008">
        <w:t xml:space="preserve">Parliamentary scrutiny etc.  </w:t>
      </w:r>
    </w:p>
    <w:p w14:paraId="52ABE993" w14:textId="77777777" w:rsidR="00DE5349" w:rsidRPr="00464080" w:rsidRDefault="00DE5349" w:rsidP="00DE5349">
      <w:pPr>
        <w:pStyle w:val="ESPara"/>
      </w:pPr>
      <w:r>
        <w:t xml:space="preserve">The instrument is exempt from disallowance under section 42 of the Legislation Act.  </w:t>
      </w:r>
      <w:r w:rsidRPr="00005F0C">
        <w:t>This is because it is an instrument made under</w:t>
      </w:r>
      <w:r w:rsidRPr="001919D7">
        <w:t xml:space="preserve"> </w:t>
      </w:r>
      <w:proofErr w:type="spellStart"/>
      <w:r>
        <w:t>subregulation</w:t>
      </w:r>
      <w:proofErr w:type="spellEnd"/>
      <w:r>
        <w:t xml:space="preserve"> 2.07(5)</w:t>
      </w:r>
      <w:r w:rsidRPr="009C339B">
        <w:t xml:space="preserve"> of </w:t>
      </w:r>
      <w:r w:rsidRPr="00005F0C">
        <w:t xml:space="preserve">the Regulations, which is exempt from disallowance under paragraph (b) of item 20 in section 10 of the </w:t>
      </w:r>
      <w:r w:rsidRPr="00005F0C">
        <w:rPr>
          <w:i/>
          <w:iCs/>
        </w:rPr>
        <w:t>Legislation (Exemptions and Other Matters) Regulation 2015</w:t>
      </w:r>
      <w:r w:rsidRPr="00005F0C">
        <w:t>.</w:t>
      </w:r>
      <w:r w:rsidRPr="00464080">
        <w:t xml:space="preserve">  </w:t>
      </w:r>
    </w:p>
    <w:p w14:paraId="282C8D49" w14:textId="0B1FC696" w:rsidR="00DE5349" w:rsidRDefault="00DE5349" w:rsidP="00DE5349">
      <w:pPr>
        <w:pStyle w:val="ESPara"/>
      </w:pPr>
      <w:r>
        <w:t>The instrument is appropriate to be exempt from disallowance as it concerns matters of an administrative nature.  Updating legislative instruments that specify administrative matters allows for consistent internal management of the migration policy framework in accordance with Departmental resources and arrangements.</w:t>
      </w:r>
    </w:p>
    <w:p w14:paraId="6216E982" w14:textId="77777777" w:rsidR="00DE5349" w:rsidRDefault="00DE5349" w:rsidP="00DE5349">
      <w:pPr>
        <w:pStyle w:val="ESPara"/>
      </w:pPr>
      <w:r w:rsidRPr="00B75478">
        <w:t xml:space="preserve">The </w:t>
      </w:r>
      <w:r>
        <w:t xml:space="preserve">instrument is made by a delegate of the Minister, in accordance with </w:t>
      </w:r>
      <w:proofErr w:type="spellStart"/>
      <w:r>
        <w:t>subregulation</w:t>
      </w:r>
      <w:proofErr w:type="spellEnd"/>
      <w:r>
        <w:t xml:space="preserve"> 2.07(5) of the Regulations.</w:t>
      </w:r>
    </w:p>
    <w:p w14:paraId="75C6FD5F" w14:textId="77777777" w:rsidR="00915032" w:rsidRPr="00095008" w:rsidRDefault="00915032" w:rsidP="001F63E1">
      <w:pPr>
        <w:rPr>
          <w:rFonts w:ascii="Times New Roman" w:hAnsi="Times New Roman" w:cs="Times New Roman"/>
        </w:rPr>
      </w:pPr>
    </w:p>
    <w:sectPr w:rsidR="00915032" w:rsidRPr="00095008" w:rsidSect="005F58C5">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C833" w14:textId="77777777" w:rsidR="005F58C5" w:rsidRDefault="005F58C5" w:rsidP="005F58C5">
      <w:pPr>
        <w:spacing w:after="0" w:line="240" w:lineRule="auto"/>
      </w:pPr>
      <w:r>
        <w:separator/>
      </w:r>
    </w:p>
  </w:endnote>
  <w:endnote w:type="continuationSeparator" w:id="0">
    <w:p w14:paraId="39B39068" w14:textId="77777777" w:rsidR="005F58C5" w:rsidRDefault="005F58C5" w:rsidP="005F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3825" w14:textId="77777777" w:rsidR="0047207C" w:rsidRDefault="00472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7F94" w14:textId="5BB9A546" w:rsidR="005F58C5" w:rsidRPr="005F58C5" w:rsidRDefault="005F58C5" w:rsidP="005F58C5">
    <w:pPr>
      <w:pStyle w:val="Footer"/>
      <w:pBdr>
        <w:top w:val="single" w:sz="4" w:space="1" w:color="auto"/>
      </w:pBdr>
      <w:tabs>
        <w:tab w:val="clear" w:pos="9026"/>
        <w:tab w:val="right" w:pos="9746"/>
      </w:tabs>
      <w:rPr>
        <w:rFonts w:ascii="Arial" w:hAnsi="Arial" w:cs="Arial"/>
        <w:sz w:val="16"/>
        <w:szCs w:val="16"/>
      </w:rPr>
    </w:pPr>
    <w:r w:rsidRPr="008F2F37">
      <w:rPr>
        <w:rFonts w:cstheme="minorHAnsi"/>
        <w:i/>
        <w:sz w:val="18"/>
        <w:szCs w:val="18"/>
      </w:rPr>
      <w:fldChar w:fldCharType="begin"/>
    </w:r>
    <w:r w:rsidRPr="008F2F37">
      <w:rPr>
        <w:rFonts w:cstheme="minorHAnsi"/>
        <w:i/>
        <w:sz w:val="18"/>
        <w:szCs w:val="18"/>
      </w:rPr>
      <w:instrText xml:space="preserve"> REF Title \h  \* MERGEFORMAT </w:instrText>
    </w:r>
    <w:r w:rsidRPr="008F2F37">
      <w:rPr>
        <w:rFonts w:cstheme="minorHAnsi"/>
        <w:i/>
        <w:sz w:val="18"/>
        <w:szCs w:val="18"/>
      </w:rPr>
    </w:r>
    <w:r w:rsidRPr="008F2F37">
      <w:rPr>
        <w:rFonts w:cstheme="minorHAnsi"/>
        <w:i/>
        <w:sz w:val="18"/>
        <w:szCs w:val="18"/>
      </w:rPr>
      <w:fldChar w:fldCharType="separate"/>
    </w:r>
    <w:r w:rsidR="00DE5349" w:rsidRPr="00DE5349">
      <w:rPr>
        <w:rFonts w:cstheme="minorHAnsi"/>
        <w:i/>
        <w:sz w:val="18"/>
        <w:szCs w:val="18"/>
      </w:rPr>
      <w:t>Migration (Arrangements for bridging visa applications) Amendment Instrument (LIN 22/030) 2022</w:t>
    </w:r>
    <w:r w:rsidRPr="008F2F37">
      <w:rPr>
        <w:rFonts w:cstheme="minorHAnsi"/>
        <w:i/>
        <w:sz w:val="18"/>
        <w:szCs w:val="18"/>
      </w:rPr>
      <w:fldChar w:fldCharType="end"/>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8B5FCE">
      <w:rPr>
        <w:rStyle w:val="PageNumber"/>
        <w:rFonts w:ascii="Arial" w:hAnsi="Arial" w:cs="Arial"/>
        <w:noProof/>
        <w:sz w:val="16"/>
        <w:szCs w:val="16"/>
      </w:rPr>
      <w:t>3</w:t>
    </w:r>
    <w:r w:rsidRPr="00DE2A5F">
      <w:rPr>
        <w:rStyle w:val="PageNumber"/>
        <w:rFonts w:ascii="Arial" w:hAnsi="Arial" w:cs="Arial"/>
        <w:sz w:val="16"/>
        <w:szCs w:val="16"/>
      </w:rPr>
      <w:fldChar w:fldCharType="end"/>
    </w:r>
  </w:p>
  <w:p w14:paraId="7DF75948" w14:textId="32A4EF3D" w:rsidR="005F58C5" w:rsidRPr="00DE5349" w:rsidRDefault="00DE5349">
    <w:pPr>
      <w:pStyle w:val="Footer"/>
      <w:rPr>
        <w:sz w:val="18"/>
        <w:szCs w:val="18"/>
      </w:rPr>
    </w:pPr>
    <w:r w:rsidRPr="00DE5349">
      <w:rPr>
        <w:sz w:val="18"/>
        <w:szCs w:val="18"/>
      </w:rPr>
      <w:t>LIN 22/030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AE91" w14:textId="77777777" w:rsidR="0047207C" w:rsidRDefault="00472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10500" w14:textId="77777777" w:rsidR="005F58C5" w:rsidRDefault="005F58C5" w:rsidP="005F58C5">
      <w:pPr>
        <w:spacing w:after="0" w:line="240" w:lineRule="auto"/>
      </w:pPr>
      <w:r>
        <w:separator/>
      </w:r>
    </w:p>
  </w:footnote>
  <w:footnote w:type="continuationSeparator" w:id="0">
    <w:p w14:paraId="0427E299" w14:textId="77777777" w:rsidR="005F58C5" w:rsidRDefault="005F58C5" w:rsidP="005F5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4C2B1" w14:textId="565D40E9" w:rsidR="0047207C" w:rsidRDefault="00472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77E5C" w14:textId="52900070" w:rsidR="0047207C" w:rsidRDefault="00472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BE4F" w14:textId="27C1F192" w:rsidR="0047207C" w:rsidRDefault="00472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DA"/>
    <w:rsid w:val="00004F92"/>
    <w:rsid w:val="00011DB5"/>
    <w:rsid w:val="0003348F"/>
    <w:rsid w:val="00042434"/>
    <w:rsid w:val="00056277"/>
    <w:rsid w:val="00080AA7"/>
    <w:rsid w:val="00095008"/>
    <w:rsid w:val="000D014F"/>
    <w:rsid w:val="000D26B1"/>
    <w:rsid w:val="000E52D4"/>
    <w:rsid w:val="00100DFC"/>
    <w:rsid w:val="00114D8F"/>
    <w:rsid w:val="001603CD"/>
    <w:rsid w:val="00162427"/>
    <w:rsid w:val="001701AC"/>
    <w:rsid w:val="0019164E"/>
    <w:rsid w:val="001B4F88"/>
    <w:rsid w:val="001C5CED"/>
    <w:rsid w:val="001E6461"/>
    <w:rsid w:val="001F63E1"/>
    <w:rsid w:val="002402E0"/>
    <w:rsid w:val="00274594"/>
    <w:rsid w:val="002C0499"/>
    <w:rsid w:val="002D167E"/>
    <w:rsid w:val="002E77CB"/>
    <w:rsid w:val="002F0AF4"/>
    <w:rsid w:val="003116AB"/>
    <w:rsid w:val="003171DB"/>
    <w:rsid w:val="00326BE8"/>
    <w:rsid w:val="00327602"/>
    <w:rsid w:val="00355688"/>
    <w:rsid w:val="003830BE"/>
    <w:rsid w:val="003C0573"/>
    <w:rsid w:val="003C4F76"/>
    <w:rsid w:val="003E4B94"/>
    <w:rsid w:val="003E71D1"/>
    <w:rsid w:val="00411B42"/>
    <w:rsid w:val="00412419"/>
    <w:rsid w:val="0041688E"/>
    <w:rsid w:val="00433E63"/>
    <w:rsid w:val="00442CE0"/>
    <w:rsid w:val="00452547"/>
    <w:rsid w:val="00457D4A"/>
    <w:rsid w:val="00457ED2"/>
    <w:rsid w:val="00464080"/>
    <w:rsid w:val="0047207C"/>
    <w:rsid w:val="00484172"/>
    <w:rsid w:val="00490D18"/>
    <w:rsid w:val="004C380B"/>
    <w:rsid w:val="004C7B4F"/>
    <w:rsid w:val="004F5CE4"/>
    <w:rsid w:val="0050781A"/>
    <w:rsid w:val="00510785"/>
    <w:rsid w:val="0052021E"/>
    <w:rsid w:val="00522DE9"/>
    <w:rsid w:val="00523613"/>
    <w:rsid w:val="00526DDA"/>
    <w:rsid w:val="005312C3"/>
    <w:rsid w:val="0053503E"/>
    <w:rsid w:val="005408F2"/>
    <w:rsid w:val="00541C85"/>
    <w:rsid w:val="00556DAB"/>
    <w:rsid w:val="00560B24"/>
    <w:rsid w:val="0057002B"/>
    <w:rsid w:val="00582D95"/>
    <w:rsid w:val="005B4D72"/>
    <w:rsid w:val="005B7C10"/>
    <w:rsid w:val="005D014E"/>
    <w:rsid w:val="005D4D3A"/>
    <w:rsid w:val="005D568E"/>
    <w:rsid w:val="005E0586"/>
    <w:rsid w:val="005E3501"/>
    <w:rsid w:val="005E45C1"/>
    <w:rsid w:val="005F58C5"/>
    <w:rsid w:val="005F70C6"/>
    <w:rsid w:val="00604E06"/>
    <w:rsid w:val="00617A62"/>
    <w:rsid w:val="0066065C"/>
    <w:rsid w:val="00697656"/>
    <w:rsid w:val="006C2644"/>
    <w:rsid w:val="006F4A0F"/>
    <w:rsid w:val="007019DD"/>
    <w:rsid w:val="00702566"/>
    <w:rsid w:val="007260EC"/>
    <w:rsid w:val="00751602"/>
    <w:rsid w:val="00771298"/>
    <w:rsid w:val="00781BED"/>
    <w:rsid w:val="007C46F1"/>
    <w:rsid w:val="007C5BB7"/>
    <w:rsid w:val="007C7DDC"/>
    <w:rsid w:val="007D3559"/>
    <w:rsid w:val="007E15D8"/>
    <w:rsid w:val="007E2DB9"/>
    <w:rsid w:val="007E4691"/>
    <w:rsid w:val="007F02D2"/>
    <w:rsid w:val="007F0AEA"/>
    <w:rsid w:val="007F1C95"/>
    <w:rsid w:val="0080494C"/>
    <w:rsid w:val="0081130B"/>
    <w:rsid w:val="008377F2"/>
    <w:rsid w:val="008412F4"/>
    <w:rsid w:val="0086180E"/>
    <w:rsid w:val="00866A49"/>
    <w:rsid w:val="008764F4"/>
    <w:rsid w:val="0088407D"/>
    <w:rsid w:val="00884D01"/>
    <w:rsid w:val="00893EAB"/>
    <w:rsid w:val="008945A4"/>
    <w:rsid w:val="008B24C8"/>
    <w:rsid w:val="008B4794"/>
    <w:rsid w:val="008B5FCE"/>
    <w:rsid w:val="008D1A69"/>
    <w:rsid w:val="008F58D7"/>
    <w:rsid w:val="008F5BC8"/>
    <w:rsid w:val="008F788F"/>
    <w:rsid w:val="00904045"/>
    <w:rsid w:val="0091089E"/>
    <w:rsid w:val="00912ABD"/>
    <w:rsid w:val="00915032"/>
    <w:rsid w:val="00941C4D"/>
    <w:rsid w:val="0098762D"/>
    <w:rsid w:val="009972F0"/>
    <w:rsid w:val="009A1BF8"/>
    <w:rsid w:val="009A3A6F"/>
    <w:rsid w:val="009B45CA"/>
    <w:rsid w:val="009E6AAD"/>
    <w:rsid w:val="00A246E6"/>
    <w:rsid w:val="00A86C16"/>
    <w:rsid w:val="00A92D35"/>
    <w:rsid w:val="00AA242B"/>
    <w:rsid w:val="00AA4557"/>
    <w:rsid w:val="00AC7B4D"/>
    <w:rsid w:val="00AE502F"/>
    <w:rsid w:val="00AF7501"/>
    <w:rsid w:val="00B04A67"/>
    <w:rsid w:val="00B41EB4"/>
    <w:rsid w:val="00B445D9"/>
    <w:rsid w:val="00B65A06"/>
    <w:rsid w:val="00B65AE5"/>
    <w:rsid w:val="00B70BC8"/>
    <w:rsid w:val="00B75478"/>
    <w:rsid w:val="00B8269C"/>
    <w:rsid w:val="00B87F93"/>
    <w:rsid w:val="00B97211"/>
    <w:rsid w:val="00BB0CF2"/>
    <w:rsid w:val="00BB47C9"/>
    <w:rsid w:val="00BD598E"/>
    <w:rsid w:val="00BD6C34"/>
    <w:rsid w:val="00BE1140"/>
    <w:rsid w:val="00BE1C4A"/>
    <w:rsid w:val="00BE72BE"/>
    <w:rsid w:val="00C1217B"/>
    <w:rsid w:val="00C21BA4"/>
    <w:rsid w:val="00C278E4"/>
    <w:rsid w:val="00C46110"/>
    <w:rsid w:val="00C62D76"/>
    <w:rsid w:val="00C64BBC"/>
    <w:rsid w:val="00C70F8A"/>
    <w:rsid w:val="00C81A5E"/>
    <w:rsid w:val="00C81E44"/>
    <w:rsid w:val="00C85FEA"/>
    <w:rsid w:val="00C904AF"/>
    <w:rsid w:val="00C927D7"/>
    <w:rsid w:val="00C930F2"/>
    <w:rsid w:val="00CA0D36"/>
    <w:rsid w:val="00CA2F8F"/>
    <w:rsid w:val="00CB00A9"/>
    <w:rsid w:val="00CC6C2C"/>
    <w:rsid w:val="00CD0489"/>
    <w:rsid w:val="00CE6111"/>
    <w:rsid w:val="00D4050B"/>
    <w:rsid w:val="00D40E1E"/>
    <w:rsid w:val="00D474FF"/>
    <w:rsid w:val="00D65050"/>
    <w:rsid w:val="00D70E41"/>
    <w:rsid w:val="00D77E15"/>
    <w:rsid w:val="00D93282"/>
    <w:rsid w:val="00DA2E2D"/>
    <w:rsid w:val="00DD5812"/>
    <w:rsid w:val="00DE5349"/>
    <w:rsid w:val="00DE7957"/>
    <w:rsid w:val="00E00D27"/>
    <w:rsid w:val="00E03DCC"/>
    <w:rsid w:val="00E14A71"/>
    <w:rsid w:val="00E24226"/>
    <w:rsid w:val="00E36DBB"/>
    <w:rsid w:val="00E45FE2"/>
    <w:rsid w:val="00E666F3"/>
    <w:rsid w:val="00E8296F"/>
    <w:rsid w:val="00E8473C"/>
    <w:rsid w:val="00EA12C9"/>
    <w:rsid w:val="00EA1429"/>
    <w:rsid w:val="00EC3E6C"/>
    <w:rsid w:val="00EF2A21"/>
    <w:rsid w:val="00EF45AB"/>
    <w:rsid w:val="00F1181D"/>
    <w:rsid w:val="00F17B86"/>
    <w:rsid w:val="00F370C6"/>
    <w:rsid w:val="00F62DDA"/>
    <w:rsid w:val="00FA25A8"/>
    <w:rsid w:val="00FB2BE2"/>
    <w:rsid w:val="00FC47FE"/>
    <w:rsid w:val="00FE0848"/>
    <w:rsid w:val="00FE0FEE"/>
    <w:rsid w:val="00FF11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98B8C0"/>
  <w15:chartTrackingRefBased/>
  <w15:docId w15:val="{873F8187-7E17-4297-A2EA-96D7DFBA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styleId="Header">
    <w:name w:val="header"/>
    <w:basedOn w:val="Normal"/>
    <w:link w:val="HeaderChar"/>
    <w:uiPriority w:val="99"/>
    <w:unhideWhenUsed/>
    <w:rsid w:val="005F5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8C5"/>
  </w:style>
  <w:style w:type="paragraph" w:styleId="Footer">
    <w:name w:val="footer"/>
    <w:basedOn w:val="Normal"/>
    <w:link w:val="FooterChar"/>
    <w:unhideWhenUsed/>
    <w:rsid w:val="005F5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8C5"/>
  </w:style>
  <w:style w:type="character" w:styleId="PageNumber">
    <w:name w:val="page number"/>
    <w:basedOn w:val="DefaultParagraphFont"/>
    <w:rsid w:val="005F58C5"/>
  </w:style>
  <w:style w:type="character" w:styleId="CommentReference">
    <w:name w:val="annotation reference"/>
    <w:basedOn w:val="DefaultParagraphFont"/>
    <w:uiPriority w:val="99"/>
    <w:semiHidden/>
    <w:unhideWhenUsed/>
    <w:rsid w:val="007C5BB7"/>
    <w:rPr>
      <w:sz w:val="16"/>
      <w:szCs w:val="16"/>
    </w:rPr>
  </w:style>
  <w:style w:type="paragraph" w:styleId="CommentText">
    <w:name w:val="annotation text"/>
    <w:basedOn w:val="Normal"/>
    <w:link w:val="CommentTextChar"/>
    <w:uiPriority w:val="99"/>
    <w:unhideWhenUsed/>
    <w:rsid w:val="007C5BB7"/>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7C5BB7"/>
    <w:rPr>
      <w:rFonts w:eastAsia="SimSun"/>
      <w:sz w:val="20"/>
      <w:szCs w:val="20"/>
    </w:rPr>
  </w:style>
  <w:style w:type="paragraph" w:styleId="BalloonText">
    <w:name w:val="Balloon Text"/>
    <w:basedOn w:val="Normal"/>
    <w:link w:val="BalloonTextChar"/>
    <w:uiPriority w:val="99"/>
    <w:semiHidden/>
    <w:unhideWhenUsed/>
    <w:rsid w:val="007C5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5AE5"/>
    <w:rPr>
      <w:rFonts w:eastAsiaTheme="minorHAnsi"/>
      <w:b/>
      <w:bCs/>
    </w:rPr>
  </w:style>
  <w:style w:type="character" w:customStyle="1" w:styleId="CommentSubjectChar">
    <w:name w:val="Comment Subject Char"/>
    <w:basedOn w:val="CommentTextChar"/>
    <w:link w:val="CommentSubject"/>
    <w:uiPriority w:val="99"/>
    <w:semiHidden/>
    <w:rsid w:val="00B65AE5"/>
    <w:rPr>
      <w:rFonts w:eastAsia="SimSun"/>
      <w:b/>
      <w:bCs/>
      <w:sz w:val="20"/>
      <w:szCs w:val="20"/>
    </w:rPr>
  </w:style>
  <w:style w:type="character" w:styleId="Hyperlink">
    <w:name w:val="Hyperlink"/>
    <w:basedOn w:val="DefaultParagraphFont"/>
    <w:uiPriority w:val="99"/>
    <w:unhideWhenUsed/>
    <w:rsid w:val="00B87F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6927">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8002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mi.homeaffairs.gov.au/help-support/departmental-forms/online-forms/bridging-a-b-c-visa-application-onli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2F6D-152A-4AF1-A0D1-C35A4205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HU</dc:creator>
  <cp:keywords/>
  <dc:description/>
  <cp:lastModifiedBy>Hannah HU</cp:lastModifiedBy>
  <cp:revision>2</cp:revision>
  <dcterms:created xsi:type="dcterms:W3CDTF">2022-07-21T00:42:00Z</dcterms:created>
  <dcterms:modified xsi:type="dcterms:W3CDTF">2022-07-21T00:42:00Z</dcterms:modified>
</cp:coreProperties>
</file>