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7777777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5BD65A2C" w14:textId="0B08E9BF" w:rsidR="004C58B9" w:rsidRDefault="007F0C0C" w:rsidP="004C58B9">
      <w:pPr>
        <w:jc w:val="center"/>
        <w:rPr>
          <w:rFonts w:ascii="Times New Roman" w:hAnsi="Times New Roman" w:cs="Times New Roman"/>
          <w:bCs/>
          <w:i/>
        </w:rPr>
      </w:pPr>
      <w:r w:rsidRPr="000C0D05">
        <w:rPr>
          <w:rFonts w:ascii="Times New Roman" w:hAnsi="Times New Roman" w:cs="Times New Roman"/>
          <w:bCs/>
          <w:i/>
        </w:rPr>
        <w:t>Radiocommunications Act 1992</w:t>
      </w:r>
    </w:p>
    <w:p w14:paraId="6FFBE92D" w14:textId="5114EC1F" w:rsidR="003B3CF0" w:rsidRPr="008A376A" w:rsidRDefault="003B3CF0" w:rsidP="004C58B9">
      <w:pPr>
        <w:jc w:val="center"/>
        <w:rPr>
          <w:rFonts w:ascii="Times New Roman" w:hAnsi="Times New Roman" w:cs="Times New Roman"/>
          <w:b/>
          <w:i/>
        </w:rPr>
      </w:pPr>
      <w:r>
        <w:rPr>
          <w:rFonts w:ascii="Times New Roman" w:hAnsi="Times New Roman" w:cs="Times New Roman"/>
          <w:b/>
          <w:i/>
        </w:rPr>
        <w:t>Radiocommunications (Spectrum Re-allocation – 3.4 GHz and 3.7 GHz Bands) Declaration 2022</w:t>
      </w:r>
    </w:p>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55FAA4BD" w14:textId="44CD78B4" w:rsidR="004C58B9" w:rsidRDefault="004C58B9" w:rsidP="004C58B9">
      <w:pPr>
        <w:rPr>
          <w:rFonts w:ascii="Times New Roman" w:hAnsi="Times New Roman" w:cs="Times New Roman"/>
        </w:rPr>
      </w:pPr>
      <w:r>
        <w:rPr>
          <w:rFonts w:ascii="Times New Roman" w:hAnsi="Times New Roman" w:cs="Times New Roman"/>
        </w:rPr>
        <w:t>The Australian Communications and Media Authority (</w:t>
      </w:r>
      <w:r>
        <w:rPr>
          <w:rFonts w:ascii="Times New Roman" w:hAnsi="Times New Roman" w:cs="Times New Roman"/>
          <w:b/>
        </w:rPr>
        <w:t>the ACMA</w:t>
      </w:r>
      <w:r>
        <w:rPr>
          <w:rFonts w:ascii="Times New Roman" w:hAnsi="Times New Roman" w:cs="Times New Roman"/>
        </w:rPr>
        <w:t xml:space="preserve">) has made the </w:t>
      </w:r>
      <w:r w:rsidR="00EC6687">
        <w:rPr>
          <w:rFonts w:ascii="Times New Roman" w:hAnsi="Times New Roman" w:cs="Times New Roman"/>
          <w:i/>
        </w:rPr>
        <w:t>Radiocommunications (Spectrum Re-allocation – 3.4 GHz</w:t>
      </w:r>
      <w:r w:rsidR="00AA402A">
        <w:rPr>
          <w:rFonts w:ascii="Times New Roman" w:hAnsi="Times New Roman" w:cs="Times New Roman"/>
          <w:i/>
        </w:rPr>
        <w:t xml:space="preserve"> and 3.7 GHz Bands) Declaration 2022 </w:t>
      </w:r>
      <w:r w:rsidRPr="000C0D05">
        <w:rPr>
          <w:rFonts w:ascii="Times New Roman" w:hAnsi="Times New Roman" w:cs="Times New Roman"/>
          <w:iCs/>
        </w:rPr>
        <w:t>(</w:t>
      </w:r>
      <w:r>
        <w:rPr>
          <w:rFonts w:ascii="Times New Roman" w:hAnsi="Times New Roman" w:cs="Times New Roman"/>
          <w:b/>
        </w:rPr>
        <w:t>the instrument</w:t>
      </w:r>
      <w:r>
        <w:rPr>
          <w:rFonts w:ascii="Times New Roman" w:hAnsi="Times New Roman" w:cs="Times New Roman"/>
        </w:rPr>
        <w:t xml:space="preserve">) under </w:t>
      </w:r>
      <w:r w:rsidR="00AA402A">
        <w:rPr>
          <w:rFonts w:ascii="Times New Roman" w:hAnsi="Times New Roman" w:cs="Times New Roman"/>
        </w:rPr>
        <w:t>subsection 153</w:t>
      </w:r>
      <w:bookmarkStart w:id="0" w:name="_Int_73JDaHai"/>
      <w:r w:rsidR="00AA402A">
        <w:rPr>
          <w:rFonts w:ascii="Times New Roman" w:hAnsi="Times New Roman" w:cs="Times New Roman"/>
        </w:rPr>
        <w:t>B(</w:t>
      </w:r>
      <w:bookmarkEnd w:id="0"/>
      <w:r w:rsidR="00AA402A">
        <w:rPr>
          <w:rFonts w:ascii="Times New Roman" w:hAnsi="Times New Roman" w:cs="Times New Roman"/>
        </w:rPr>
        <w:t>1) of the</w:t>
      </w:r>
      <w:r>
        <w:rPr>
          <w:rFonts w:ascii="Times New Roman" w:hAnsi="Times New Roman" w:cs="Times New Roman"/>
        </w:rPr>
        <w:t xml:space="preserve"> </w:t>
      </w:r>
      <w:r w:rsidR="00AA402A">
        <w:rPr>
          <w:rFonts w:ascii="Times New Roman" w:hAnsi="Times New Roman" w:cs="Times New Roman"/>
          <w:i/>
        </w:rPr>
        <w:t>Radiocommunications Act 1992</w:t>
      </w:r>
      <w:r>
        <w:rPr>
          <w:rFonts w:ascii="Times New Roman" w:hAnsi="Times New Roman" w:cs="Times New Roman"/>
        </w:rPr>
        <w:t xml:space="preserve"> (</w:t>
      </w:r>
      <w:r>
        <w:rPr>
          <w:rFonts w:ascii="Times New Roman" w:hAnsi="Times New Roman" w:cs="Times New Roman"/>
          <w:b/>
        </w:rPr>
        <w:t>the Act</w:t>
      </w:r>
      <w:r>
        <w:rPr>
          <w:rFonts w:ascii="Times New Roman" w:hAnsi="Times New Roman" w:cs="Times New Roman"/>
        </w:rPr>
        <w:t>).</w:t>
      </w:r>
    </w:p>
    <w:p w14:paraId="26754E5B" w14:textId="74D0075B" w:rsidR="00AA402A" w:rsidRDefault="00AA402A" w:rsidP="004C58B9">
      <w:pPr>
        <w:rPr>
          <w:rFonts w:ascii="Times New Roman" w:hAnsi="Times New Roman" w:cs="Times New Roman"/>
        </w:rPr>
      </w:pPr>
      <w:r w:rsidRPr="00AA402A">
        <w:rPr>
          <w:rFonts w:ascii="Times New Roman" w:hAnsi="Times New Roman" w:cs="Times New Roman"/>
        </w:rPr>
        <w:t xml:space="preserve">Part 3.6 of the Act </w:t>
      </w:r>
      <w:r w:rsidR="007D5C62">
        <w:rPr>
          <w:rFonts w:ascii="Times New Roman" w:hAnsi="Times New Roman" w:cs="Times New Roman"/>
        </w:rPr>
        <w:t>provides for</w:t>
      </w:r>
      <w:r w:rsidRPr="00AA402A">
        <w:rPr>
          <w:rFonts w:ascii="Times New Roman" w:hAnsi="Times New Roman" w:cs="Times New Roman"/>
        </w:rPr>
        <w:t xml:space="preserve"> the re-allocation of encumbered spectrum. Under section 153B of the Act, the </w:t>
      </w:r>
      <w:r>
        <w:rPr>
          <w:rFonts w:ascii="Times New Roman" w:hAnsi="Times New Roman" w:cs="Times New Roman"/>
        </w:rPr>
        <w:t>ACMA</w:t>
      </w:r>
      <w:r w:rsidRPr="00AA402A">
        <w:rPr>
          <w:rFonts w:ascii="Times New Roman" w:hAnsi="Times New Roman" w:cs="Times New Roman"/>
        </w:rPr>
        <w:t xml:space="preserve"> may make a declaration that one or more</w:t>
      </w:r>
      <w:r>
        <w:rPr>
          <w:rFonts w:ascii="Times New Roman" w:hAnsi="Times New Roman" w:cs="Times New Roman"/>
        </w:rPr>
        <w:t xml:space="preserve"> specified</w:t>
      </w:r>
      <w:r w:rsidRPr="00AA402A">
        <w:rPr>
          <w:rFonts w:ascii="Times New Roman" w:hAnsi="Times New Roman" w:cs="Times New Roman"/>
        </w:rPr>
        <w:t xml:space="preserve"> parts of the spectrum are subject to re-allocation in relation to a specified period</w:t>
      </w:r>
      <w:r w:rsidR="003A7A09">
        <w:rPr>
          <w:rFonts w:ascii="Times New Roman" w:hAnsi="Times New Roman" w:cs="Times New Roman"/>
        </w:rPr>
        <w:t xml:space="preserve"> (</w:t>
      </w:r>
      <w:r w:rsidR="003A7A09" w:rsidRPr="00B66A9B">
        <w:rPr>
          <w:rFonts w:ascii="Times New Roman" w:hAnsi="Times New Roman" w:cs="Times New Roman"/>
          <w:b/>
          <w:bCs/>
        </w:rPr>
        <w:t>the re-allocation period</w:t>
      </w:r>
      <w:r w:rsidR="003A7A09">
        <w:rPr>
          <w:rFonts w:ascii="Times New Roman" w:hAnsi="Times New Roman" w:cs="Times New Roman"/>
        </w:rPr>
        <w:t>)</w:t>
      </w:r>
      <w:r w:rsidRPr="00AA402A">
        <w:rPr>
          <w:rFonts w:ascii="Times New Roman" w:hAnsi="Times New Roman" w:cs="Times New Roman"/>
        </w:rPr>
        <w:t xml:space="preserve"> and, for each part, with respect to one or more areas.</w:t>
      </w:r>
    </w:p>
    <w:p w14:paraId="5485B828" w14:textId="682382EF" w:rsidR="00644D47" w:rsidRDefault="00644D47" w:rsidP="00150404">
      <w:pPr>
        <w:spacing w:after="0"/>
        <w:rPr>
          <w:rFonts w:ascii="Times New Roman" w:hAnsi="Times New Roman" w:cs="Times New Roman"/>
        </w:rPr>
      </w:pPr>
      <w:r w:rsidRPr="00644D47">
        <w:rPr>
          <w:rFonts w:ascii="Times New Roman" w:hAnsi="Times New Roman" w:cs="Times New Roman"/>
        </w:rPr>
        <w:t xml:space="preserve">A </w:t>
      </w:r>
      <w:r w:rsidR="00B46D75">
        <w:rPr>
          <w:rFonts w:ascii="Times New Roman" w:hAnsi="Times New Roman" w:cs="Times New Roman"/>
        </w:rPr>
        <w:t>spectrum re-a</w:t>
      </w:r>
      <w:r w:rsidR="00CD5A2C">
        <w:rPr>
          <w:rFonts w:ascii="Times New Roman" w:hAnsi="Times New Roman" w:cs="Times New Roman"/>
        </w:rPr>
        <w:t xml:space="preserve">llocation </w:t>
      </w:r>
      <w:r w:rsidRPr="00644D47">
        <w:rPr>
          <w:rFonts w:ascii="Times New Roman" w:hAnsi="Times New Roman" w:cs="Times New Roman"/>
        </w:rPr>
        <w:t xml:space="preserve">declaration </w:t>
      </w:r>
      <w:r w:rsidR="00C2646F">
        <w:rPr>
          <w:rFonts w:ascii="Times New Roman" w:hAnsi="Times New Roman" w:cs="Times New Roman"/>
        </w:rPr>
        <w:t xml:space="preserve">may </w:t>
      </w:r>
      <w:r w:rsidR="00CD5A2C">
        <w:rPr>
          <w:rFonts w:ascii="Times New Roman" w:hAnsi="Times New Roman" w:cs="Times New Roman"/>
        </w:rPr>
        <w:t xml:space="preserve">provide that </w:t>
      </w:r>
      <w:r w:rsidR="00084828">
        <w:rPr>
          <w:rFonts w:ascii="Times New Roman" w:hAnsi="Times New Roman" w:cs="Times New Roman"/>
        </w:rPr>
        <w:t xml:space="preserve">the part or parts of the spectrum should be re-allocated </w:t>
      </w:r>
      <w:r w:rsidR="00221D37">
        <w:rPr>
          <w:rFonts w:ascii="Times New Roman" w:hAnsi="Times New Roman" w:cs="Times New Roman"/>
        </w:rPr>
        <w:t>by</w:t>
      </w:r>
      <w:r w:rsidR="00150404">
        <w:rPr>
          <w:rFonts w:ascii="Times New Roman" w:hAnsi="Times New Roman" w:cs="Times New Roman"/>
        </w:rPr>
        <w:t xml:space="preserve"> issuing spectrum or apparatus licences or a combination of both</w:t>
      </w:r>
      <w:r w:rsidR="00FD6EE1">
        <w:rPr>
          <w:rFonts w:ascii="Times New Roman" w:hAnsi="Times New Roman" w:cs="Times New Roman"/>
        </w:rPr>
        <w:t xml:space="preserve"> </w:t>
      </w:r>
      <w:r w:rsidR="003E064B">
        <w:rPr>
          <w:rFonts w:ascii="Times New Roman" w:hAnsi="Times New Roman" w:cs="Times New Roman"/>
        </w:rPr>
        <w:t>(</w:t>
      </w:r>
      <w:r w:rsidR="00FD6EE1">
        <w:rPr>
          <w:rFonts w:ascii="Times New Roman" w:hAnsi="Times New Roman" w:cs="Times New Roman"/>
        </w:rPr>
        <w:t xml:space="preserve">see subsection </w:t>
      </w:r>
      <w:bookmarkStart w:id="1" w:name="_Int_HoDU89Rj"/>
      <w:r w:rsidR="003A7A09">
        <w:rPr>
          <w:rFonts w:ascii="Times New Roman" w:hAnsi="Times New Roman" w:cs="Times New Roman"/>
        </w:rPr>
        <w:t>153B</w:t>
      </w:r>
      <w:r w:rsidR="00CB609A">
        <w:rPr>
          <w:rFonts w:ascii="Times New Roman" w:hAnsi="Times New Roman" w:cs="Times New Roman"/>
        </w:rPr>
        <w:t>(</w:t>
      </w:r>
      <w:bookmarkEnd w:id="1"/>
      <w:r w:rsidR="003A7A09">
        <w:rPr>
          <w:rFonts w:ascii="Times New Roman" w:hAnsi="Times New Roman" w:cs="Times New Roman"/>
        </w:rPr>
        <w:t>6</w:t>
      </w:r>
      <w:r w:rsidR="00CB609A">
        <w:rPr>
          <w:rFonts w:ascii="Times New Roman" w:hAnsi="Times New Roman" w:cs="Times New Roman"/>
        </w:rPr>
        <w:t>)</w:t>
      </w:r>
      <w:r w:rsidR="002D4172">
        <w:rPr>
          <w:rFonts w:ascii="Times New Roman" w:hAnsi="Times New Roman" w:cs="Times New Roman"/>
        </w:rPr>
        <w:t xml:space="preserve"> of the Act</w:t>
      </w:r>
      <w:r w:rsidR="003A7A09">
        <w:rPr>
          <w:rFonts w:ascii="Times New Roman" w:hAnsi="Times New Roman" w:cs="Times New Roman"/>
        </w:rPr>
        <w:t>)</w:t>
      </w:r>
      <w:r w:rsidR="00CB609A">
        <w:rPr>
          <w:rFonts w:ascii="Times New Roman" w:hAnsi="Times New Roman" w:cs="Times New Roman"/>
        </w:rPr>
        <w:t xml:space="preserve">. </w:t>
      </w:r>
      <w:r w:rsidRPr="00052C4F">
        <w:rPr>
          <w:rFonts w:ascii="Times New Roman" w:hAnsi="Times New Roman" w:cs="Times New Roman"/>
        </w:rPr>
        <w:t>It must also specify the re-allocation period (after which affected incumbent apparatus licences in that part of the spectrum will be automatically cancelled</w:t>
      </w:r>
      <w:r w:rsidR="003A7A09">
        <w:rPr>
          <w:rFonts w:ascii="Times New Roman" w:hAnsi="Times New Roman" w:cs="Times New Roman"/>
        </w:rPr>
        <w:t xml:space="preserve"> (</w:t>
      </w:r>
      <w:r w:rsidRPr="00052C4F">
        <w:rPr>
          <w:rFonts w:ascii="Times New Roman" w:hAnsi="Times New Roman" w:cs="Times New Roman"/>
        </w:rPr>
        <w:t>see section 153H of the Act)</w:t>
      </w:r>
      <w:r w:rsidR="002D4172">
        <w:rPr>
          <w:rFonts w:ascii="Times New Roman" w:hAnsi="Times New Roman" w:cs="Times New Roman"/>
        </w:rPr>
        <w:t>)</w:t>
      </w:r>
      <w:r w:rsidRPr="00052C4F">
        <w:rPr>
          <w:rFonts w:ascii="Times New Roman" w:hAnsi="Times New Roman" w:cs="Times New Roman"/>
        </w:rPr>
        <w:t xml:space="preserve"> and the re-allocation deadline (before which at least one spectrum licence is to be allocated</w:t>
      </w:r>
      <w:r w:rsidR="002D4172">
        <w:rPr>
          <w:rFonts w:ascii="Times New Roman" w:hAnsi="Times New Roman" w:cs="Times New Roman"/>
        </w:rPr>
        <w:t xml:space="preserve"> (</w:t>
      </w:r>
      <w:r w:rsidRPr="00052C4F">
        <w:rPr>
          <w:rFonts w:ascii="Times New Roman" w:hAnsi="Times New Roman" w:cs="Times New Roman"/>
        </w:rPr>
        <w:t>see section 153K of the Act)</w:t>
      </w:r>
      <w:r w:rsidR="002D4172">
        <w:rPr>
          <w:rFonts w:ascii="Times New Roman" w:hAnsi="Times New Roman" w:cs="Times New Roman"/>
        </w:rPr>
        <w:t>)</w:t>
      </w:r>
      <w:r w:rsidRPr="00052C4F">
        <w:rPr>
          <w:rFonts w:ascii="Times New Roman" w:hAnsi="Times New Roman" w:cs="Times New Roman"/>
        </w:rPr>
        <w:t>.</w:t>
      </w:r>
    </w:p>
    <w:p w14:paraId="7D900AC6" w14:textId="697E1EED" w:rsidR="004C58B9" w:rsidRDefault="004C58B9" w:rsidP="00B66A9B">
      <w:pPr>
        <w:spacing w:before="280"/>
        <w:rPr>
          <w:rFonts w:ascii="Times New Roman" w:hAnsi="Times New Roman" w:cs="Times New Roman"/>
          <w:b/>
        </w:rPr>
      </w:pPr>
      <w:r>
        <w:rPr>
          <w:rFonts w:ascii="Times New Roman" w:hAnsi="Times New Roman" w:cs="Times New Roman"/>
          <w:b/>
        </w:rPr>
        <w:t>Purpose and operation of the instrument</w:t>
      </w:r>
    </w:p>
    <w:p w14:paraId="58EA0E9B" w14:textId="7487744B" w:rsidR="003411CE" w:rsidRDefault="003411CE" w:rsidP="004C58B9">
      <w:pPr>
        <w:spacing w:after="40"/>
        <w:rPr>
          <w:rFonts w:ascii="Times New Roman" w:hAnsi="Times New Roman" w:cs="Times New Roman"/>
        </w:rPr>
      </w:pPr>
      <w:r w:rsidRPr="003411CE">
        <w:rPr>
          <w:rFonts w:ascii="Times New Roman" w:hAnsi="Times New Roman" w:cs="Times New Roman"/>
        </w:rPr>
        <w:t>The purpose of the</w:t>
      </w:r>
      <w:r w:rsidR="00457853">
        <w:rPr>
          <w:rFonts w:ascii="Times New Roman" w:hAnsi="Times New Roman" w:cs="Times New Roman"/>
        </w:rPr>
        <w:t xml:space="preserve"> instrument </w:t>
      </w:r>
      <w:r w:rsidRPr="003411CE">
        <w:rPr>
          <w:rFonts w:ascii="Times New Roman" w:hAnsi="Times New Roman" w:cs="Times New Roman"/>
        </w:rPr>
        <w:t xml:space="preserve">is to declare the following parts of the radiofrequency </w:t>
      </w:r>
      <w:bookmarkStart w:id="2" w:name="_Int_q1I0rYnz"/>
      <w:r w:rsidRPr="003411CE">
        <w:rPr>
          <w:rFonts w:ascii="Times New Roman" w:hAnsi="Times New Roman" w:cs="Times New Roman"/>
        </w:rPr>
        <w:t>spectrum</w:t>
      </w:r>
      <w:r w:rsidR="00995D48" w:rsidRPr="00995D48">
        <w:rPr>
          <w:rFonts w:ascii="Times New Roman" w:hAnsi="Times New Roman" w:cs="Times New Roman"/>
        </w:rPr>
        <w:t xml:space="preserve"> </w:t>
      </w:r>
      <w:r w:rsidR="00227F9B">
        <w:rPr>
          <w:rFonts w:ascii="Times New Roman" w:hAnsi="Times New Roman" w:cs="Times New Roman"/>
        </w:rPr>
        <w:t>(</w:t>
      </w:r>
      <w:r w:rsidR="00227F9B" w:rsidRPr="00B66A9B">
        <w:rPr>
          <w:rFonts w:ascii="Times New Roman" w:hAnsi="Times New Roman" w:cs="Times New Roman"/>
          <w:b/>
          <w:bCs/>
        </w:rPr>
        <w:t>the 3.4 GHz and 3.7 GHz bands</w:t>
      </w:r>
      <w:r w:rsidR="00227F9B">
        <w:rPr>
          <w:rFonts w:ascii="Times New Roman" w:hAnsi="Times New Roman" w:cs="Times New Roman"/>
        </w:rPr>
        <w:t xml:space="preserve">) </w:t>
      </w:r>
      <w:r w:rsidR="00995D48">
        <w:rPr>
          <w:rFonts w:ascii="Times New Roman" w:hAnsi="Times New Roman" w:cs="Times New Roman"/>
        </w:rPr>
        <w:t>are</w:t>
      </w:r>
      <w:r w:rsidR="00995D48" w:rsidRPr="683F6527">
        <w:rPr>
          <w:rFonts w:ascii="Times New Roman" w:hAnsi="Times New Roman" w:cs="Times New Roman"/>
        </w:rPr>
        <w:t xml:space="preserve"> subject to re-allocation by the</w:t>
      </w:r>
      <w:r w:rsidR="00995D48">
        <w:rPr>
          <w:rFonts w:ascii="Times New Roman" w:hAnsi="Times New Roman" w:cs="Times New Roman"/>
        </w:rPr>
        <w:t xml:space="preserve"> ACMA, by issuing </w:t>
      </w:r>
      <w:r w:rsidR="001B29EE">
        <w:rPr>
          <w:rFonts w:ascii="Times New Roman" w:hAnsi="Times New Roman" w:cs="Times New Roman"/>
        </w:rPr>
        <w:t>spectrum licences</w:t>
      </w:r>
      <w:r w:rsidR="00654D44">
        <w:rPr>
          <w:rFonts w:ascii="Times New Roman" w:hAnsi="Times New Roman" w:cs="Times New Roman"/>
        </w:rPr>
        <w:t>:</w:t>
      </w:r>
      <w:bookmarkEnd w:id="2"/>
    </w:p>
    <w:p w14:paraId="7484B01D" w14:textId="141F8C5B" w:rsidR="005F2350" w:rsidRPr="003D15AF" w:rsidRDefault="00675EE0" w:rsidP="006B0F65">
      <w:pPr>
        <w:pStyle w:val="ListParagraph"/>
        <w:numPr>
          <w:ilvl w:val="0"/>
          <w:numId w:val="13"/>
        </w:numPr>
        <w:rPr>
          <w:rFonts w:ascii="Times New Roman" w:hAnsi="Times New Roman" w:cs="Times New Roman"/>
        </w:rPr>
      </w:pPr>
      <w:r w:rsidRPr="003D15AF">
        <w:rPr>
          <w:rFonts w:ascii="Times New Roman" w:hAnsi="Times New Roman" w:cs="Times New Roman"/>
        </w:rPr>
        <w:t>3400</w:t>
      </w:r>
      <w:r w:rsidR="00346B6A" w:rsidRPr="003D15AF">
        <w:rPr>
          <w:rFonts w:ascii="Times New Roman" w:hAnsi="Times New Roman" w:cs="Times New Roman"/>
        </w:rPr>
        <w:t xml:space="preserve"> MHz to 3425 </w:t>
      </w:r>
      <w:bookmarkStart w:id="3" w:name="_Int_d4urGshQ"/>
      <w:r w:rsidR="00346B6A" w:rsidRPr="003D15AF">
        <w:rPr>
          <w:rFonts w:ascii="Times New Roman" w:hAnsi="Times New Roman" w:cs="Times New Roman"/>
        </w:rPr>
        <w:t>MHz;</w:t>
      </w:r>
      <w:bookmarkEnd w:id="3"/>
    </w:p>
    <w:p w14:paraId="1958360F" w14:textId="26A58DC0" w:rsidR="00346B6A" w:rsidRPr="003D15AF" w:rsidRDefault="00346B6A" w:rsidP="006B0F65">
      <w:pPr>
        <w:pStyle w:val="ListParagraph"/>
        <w:numPr>
          <w:ilvl w:val="0"/>
          <w:numId w:val="13"/>
        </w:numPr>
        <w:rPr>
          <w:rFonts w:ascii="Times New Roman" w:hAnsi="Times New Roman" w:cs="Times New Roman"/>
        </w:rPr>
      </w:pPr>
      <w:r w:rsidRPr="003D15AF">
        <w:rPr>
          <w:rFonts w:ascii="Times New Roman" w:hAnsi="Times New Roman" w:cs="Times New Roman"/>
        </w:rPr>
        <w:t xml:space="preserve">3425 MHz to </w:t>
      </w:r>
      <w:r w:rsidR="001362A0" w:rsidRPr="003D15AF">
        <w:rPr>
          <w:rFonts w:ascii="Times New Roman" w:hAnsi="Times New Roman" w:cs="Times New Roman"/>
        </w:rPr>
        <w:t>3442.5 MHz</w:t>
      </w:r>
      <w:r w:rsidR="00D8322D">
        <w:rPr>
          <w:rFonts w:ascii="Times New Roman" w:hAnsi="Times New Roman" w:cs="Times New Roman"/>
        </w:rPr>
        <w:t>;</w:t>
      </w:r>
    </w:p>
    <w:p w14:paraId="7AD54A59" w14:textId="422C3F3D" w:rsidR="00F409CA" w:rsidRPr="003D15AF" w:rsidRDefault="00F409CA" w:rsidP="006B0F65">
      <w:pPr>
        <w:pStyle w:val="ListParagraph"/>
        <w:numPr>
          <w:ilvl w:val="0"/>
          <w:numId w:val="13"/>
        </w:numPr>
        <w:rPr>
          <w:rFonts w:ascii="Times New Roman" w:hAnsi="Times New Roman" w:cs="Times New Roman"/>
        </w:rPr>
      </w:pPr>
      <w:r w:rsidRPr="003D15AF">
        <w:rPr>
          <w:rFonts w:ascii="Times New Roman" w:hAnsi="Times New Roman" w:cs="Times New Roman"/>
        </w:rPr>
        <w:t xml:space="preserve">3475 MHz to </w:t>
      </w:r>
      <w:r w:rsidR="003C4E61" w:rsidRPr="003D15AF">
        <w:rPr>
          <w:rFonts w:ascii="Times New Roman" w:hAnsi="Times New Roman" w:cs="Times New Roman"/>
        </w:rPr>
        <w:t>3492</w:t>
      </w:r>
      <w:r w:rsidR="0028089A" w:rsidRPr="003D15AF">
        <w:rPr>
          <w:rFonts w:ascii="Times New Roman" w:hAnsi="Times New Roman" w:cs="Times New Roman"/>
        </w:rPr>
        <w:t>.5</w:t>
      </w:r>
      <w:r w:rsidR="003C4E61" w:rsidRPr="003D15AF">
        <w:rPr>
          <w:rFonts w:ascii="Times New Roman" w:hAnsi="Times New Roman" w:cs="Times New Roman"/>
        </w:rPr>
        <w:t xml:space="preserve"> MHz</w:t>
      </w:r>
      <w:r w:rsidR="00D8322D">
        <w:rPr>
          <w:rFonts w:ascii="Times New Roman" w:hAnsi="Times New Roman" w:cs="Times New Roman"/>
        </w:rPr>
        <w:t>;</w:t>
      </w:r>
    </w:p>
    <w:p w14:paraId="64936309" w14:textId="6750744C" w:rsidR="003C4E61" w:rsidRPr="003D15AF" w:rsidRDefault="003C4E61" w:rsidP="006B0F65">
      <w:pPr>
        <w:pStyle w:val="ListParagraph"/>
        <w:numPr>
          <w:ilvl w:val="0"/>
          <w:numId w:val="13"/>
        </w:numPr>
        <w:rPr>
          <w:rFonts w:ascii="Times New Roman" w:hAnsi="Times New Roman" w:cs="Times New Roman"/>
        </w:rPr>
      </w:pPr>
      <w:r w:rsidRPr="003D15AF">
        <w:rPr>
          <w:rFonts w:ascii="Times New Roman" w:hAnsi="Times New Roman" w:cs="Times New Roman"/>
        </w:rPr>
        <w:t>3492.5 MHz to</w:t>
      </w:r>
      <w:r w:rsidR="003111FF" w:rsidRPr="003D15AF">
        <w:rPr>
          <w:rFonts w:ascii="Times New Roman" w:hAnsi="Times New Roman" w:cs="Times New Roman"/>
        </w:rPr>
        <w:t xml:space="preserve"> 3510 MHz</w:t>
      </w:r>
      <w:r w:rsidR="00D8322D">
        <w:rPr>
          <w:rFonts w:ascii="Times New Roman" w:hAnsi="Times New Roman" w:cs="Times New Roman"/>
        </w:rPr>
        <w:t>;</w:t>
      </w:r>
    </w:p>
    <w:p w14:paraId="6AE4B6E4" w14:textId="148A7BC0" w:rsidR="003111FF" w:rsidRPr="003D15AF" w:rsidRDefault="003111FF" w:rsidP="006B0F65">
      <w:pPr>
        <w:pStyle w:val="ListParagraph"/>
        <w:numPr>
          <w:ilvl w:val="0"/>
          <w:numId w:val="13"/>
        </w:numPr>
        <w:rPr>
          <w:rFonts w:ascii="Times New Roman" w:hAnsi="Times New Roman" w:cs="Times New Roman"/>
        </w:rPr>
      </w:pPr>
      <w:r w:rsidRPr="003D15AF">
        <w:rPr>
          <w:rFonts w:ascii="Times New Roman" w:hAnsi="Times New Roman" w:cs="Times New Roman"/>
        </w:rPr>
        <w:t>3510 MHz to 3542.5 MHz</w:t>
      </w:r>
      <w:r w:rsidR="00D8322D">
        <w:rPr>
          <w:rFonts w:ascii="Times New Roman" w:hAnsi="Times New Roman" w:cs="Times New Roman"/>
        </w:rPr>
        <w:t>;</w:t>
      </w:r>
    </w:p>
    <w:p w14:paraId="6EE463A8" w14:textId="1FBA3D0F" w:rsidR="00CE5B67" w:rsidRPr="003D15AF" w:rsidRDefault="00CE5B67" w:rsidP="006B0F65">
      <w:pPr>
        <w:pStyle w:val="ListParagraph"/>
        <w:numPr>
          <w:ilvl w:val="0"/>
          <w:numId w:val="13"/>
        </w:numPr>
        <w:rPr>
          <w:rFonts w:ascii="Times New Roman" w:hAnsi="Times New Roman" w:cs="Times New Roman"/>
        </w:rPr>
      </w:pPr>
      <w:r w:rsidRPr="003D15AF">
        <w:rPr>
          <w:rFonts w:ascii="Times New Roman" w:hAnsi="Times New Roman" w:cs="Times New Roman"/>
        </w:rPr>
        <w:t>3542.5 MHz to 35</w:t>
      </w:r>
      <w:r w:rsidR="00BE472A" w:rsidRPr="003D15AF">
        <w:rPr>
          <w:rFonts w:ascii="Times New Roman" w:hAnsi="Times New Roman" w:cs="Times New Roman"/>
        </w:rPr>
        <w:t>7</w:t>
      </w:r>
      <w:r w:rsidRPr="003D15AF">
        <w:rPr>
          <w:rFonts w:ascii="Times New Roman" w:hAnsi="Times New Roman" w:cs="Times New Roman"/>
        </w:rPr>
        <w:t>5 MHz</w:t>
      </w:r>
      <w:r w:rsidR="00D8322D">
        <w:rPr>
          <w:rFonts w:ascii="Times New Roman" w:hAnsi="Times New Roman" w:cs="Times New Roman"/>
        </w:rPr>
        <w:t>;</w:t>
      </w:r>
    </w:p>
    <w:p w14:paraId="518E02B4" w14:textId="46C526CA" w:rsidR="00CE5B67" w:rsidRPr="003D15AF" w:rsidRDefault="00F86A02" w:rsidP="006B0F65">
      <w:pPr>
        <w:pStyle w:val="ListParagraph"/>
        <w:numPr>
          <w:ilvl w:val="0"/>
          <w:numId w:val="13"/>
        </w:numPr>
        <w:rPr>
          <w:rFonts w:ascii="Times New Roman" w:hAnsi="Times New Roman" w:cs="Times New Roman"/>
        </w:rPr>
      </w:pPr>
      <w:r w:rsidRPr="003D15AF">
        <w:rPr>
          <w:rFonts w:ascii="Times New Roman" w:hAnsi="Times New Roman" w:cs="Times New Roman"/>
        </w:rPr>
        <w:t>3700 MHz to 3750 MHz</w:t>
      </w:r>
      <w:r w:rsidR="00D8322D">
        <w:rPr>
          <w:rFonts w:ascii="Times New Roman" w:hAnsi="Times New Roman" w:cs="Times New Roman"/>
        </w:rPr>
        <w:t>;</w:t>
      </w:r>
    </w:p>
    <w:p w14:paraId="316D08F4" w14:textId="5778400F" w:rsidR="007F00D3" w:rsidRPr="003D15AF" w:rsidRDefault="007F00D3" w:rsidP="006B0F65">
      <w:pPr>
        <w:pStyle w:val="ListParagraph"/>
        <w:numPr>
          <w:ilvl w:val="0"/>
          <w:numId w:val="13"/>
        </w:numPr>
        <w:rPr>
          <w:rFonts w:ascii="Times New Roman" w:hAnsi="Times New Roman" w:cs="Times New Roman"/>
        </w:rPr>
      </w:pPr>
      <w:r w:rsidRPr="003D15AF">
        <w:rPr>
          <w:rFonts w:ascii="Times New Roman" w:hAnsi="Times New Roman" w:cs="Times New Roman"/>
        </w:rPr>
        <w:t xml:space="preserve">3750 MHz to </w:t>
      </w:r>
      <w:r w:rsidR="00BE7CAF" w:rsidRPr="003D15AF">
        <w:rPr>
          <w:rFonts w:ascii="Times New Roman" w:hAnsi="Times New Roman" w:cs="Times New Roman"/>
        </w:rPr>
        <w:t>3800 MHz</w:t>
      </w:r>
      <w:r w:rsidR="00EB3FC2">
        <w:rPr>
          <w:rFonts w:ascii="Times New Roman" w:hAnsi="Times New Roman" w:cs="Times New Roman"/>
        </w:rPr>
        <w:t>.</w:t>
      </w:r>
    </w:p>
    <w:p w14:paraId="780B3210" w14:textId="4172251A" w:rsidR="00B62FFA" w:rsidRDefault="00752561" w:rsidP="00BA47CC">
      <w:pPr>
        <w:rPr>
          <w:rFonts w:ascii="Times New Roman" w:hAnsi="Times New Roman" w:cs="Times New Roman"/>
        </w:rPr>
      </w:pPr>
      <w:r>
        <w:rPr>
          <w:rFonts w:ascii="Times New Roman" w:hAnsi="Times New Roman" w:cs="Times New Roman"/>
        </w:rPr>
        <w:t>Each part of the spectrum is declared</w:t>
      </w:r>
      <w:r w:rsidR="00B62FFA" w:rsidRPr="683F6527">
        <w:rPr>
          <w:rFonts w:ascii="Times New Roman" w:hAnsi="Times New Roman" w:cs="Times New Roman"/>
        </w:rPr>
        <w:t xml:space="preserve"> with respect to </w:t>
      </w:r>
      <w:r>
        <w:rPr>
          <w:rFonts w:ascii="Times New Roman" w:hAnsi="Times New Roman" w:cs="Times New Roman"/>
        </w:rPr>
        <w:t xml:space="preserve">one or more of </w:t>
      </w:r>
      <w:r w:rsidR="00B62FFA" w:rsidRPr="683F6527">
        <w:rPr>
          <w:rFonts w:ascii="Times New Roman" w:hAnsi="Times New Roman" w:cs="Times New Roman"/>
        </w:rPr>
        <w:t>the named area</w:t>
      </w:r>
      <w:r w:rsidR="00EE0DEB" w:rsidRPr="683F6527">
        <w:rPr>
          <w:rFonts w:ascii="Times New Roman" w:hAnsi="Times New Roman" w:cs="Times New Roman"/>
        </w:rPr>
        <w:t>s</w:t>
      </w:r>
      <w:r w:rsidR="00B62FFA" w:rsidRPr="683F6527">
        <w:rPr>
          <w:rFonts w:ascii="Times New Roman" w:hAnsi="Times New Roman" w:cs="Times New Roman"/>
        </w:rPr>
        <w:t xml:space="preserve"> </w:t>
      </w:r>
      <w:r w:rsidR="00B62FFA" w:rsidRPr="003D15AF">
        <w:rPr>
          <w:rFonts w:ascii="Times New Roman" w:hAnsi="Times New Roman" w:cs="Times New Roman"/>
        </w:rPr>
        <w:t xml:space="preserve">listed in </w:t>
      </w:r>
      <w:r w:rsidR="00227F9B" w:rsidRPr="003D15AF">
        <w:rPr>
          <w:rFonts w:ascii="Times New Roman" w:hAnsi="Times New Roman" w:cs="Times New Roman"/>
        </w:rPr>
        <w:t>column</w:t>
      </w:r>
      <w:r w:rsidR="00227F9B">
        <w:rPr>
          <w:rFonts w:ascii="Times New Roman" w:hAnsi="Times New Roman" w:cs="Times New Roman"/>
        </w:rPr>
        <w:t> 1</w:t>
      </w:r>
      <w:r w:rsidR="00B62FFA" w:rsidRPr="003D15AF">
        <w:rPr>
          <w:rFonts w:ascii="Times New Roman" w:hAnsi="Times New Roman" w:cs="Times New Roman"/>
        </w:rPr>
        <w:t xml:space="preserve"> </w:t>
      </w:r>
      <w:r w:rsidR="00227F9B">
        <w:rPr>
          <w:rFonts w:ascii="Times New Roman" w:hAnsi="Times New Roman" w:cs="Times New Roman"/>
        </w:rPr>
        <w:t>of</w:t>
      </w:r>
      <w:r w:rsidR="00227F9B" w:rsidRPr="003D15AF">
        <w:rPr>
          <w:rFonts w:ascii="Times New Roman" w:hAnsi="Times New Roman" w:cs="Times New Roman"/>
        </w:rPr>
        <w:t xml:space="preserve"> </w:t>
      </w:r>
      <w:r w:rsidR="00B62FFA" w:rsidRPr="003D15AF">
        <w:rPr>
          <w:rFonts w:ascii="Times New Roman" w:hAnsi="Times New Roman" w:cs="Times New Roman"/>
        </w:rPr>
        <w:t xml:space="preserve">the table in Schedule 1 </w:t>
      </w:r>
      <w:r w:rsidR="00227F9B">
        <w:rPr>
          <w:rFonts w:ascii="Times New Roman" w:hAnsi="Times New Roman" w:cs="Times New Roman"/>
        </w:rPr>
        <w:t>to</w:t>
      </w:r>
      <w:r w:rsidR="00227F9B" w:rsidRPr="003D15AF">
        <w:rPr>
          <w:rFonts w:ascii="Times New Roman" w:hAnsi="Times New Roman" w:cs="Times New Roman"/>
        </w:rPr>
        <w:t xml:space="preserve"> </w:t>
      </w:r>
      <w:r w:rsidR="00B62FFA" w:rsidRPr="003D15AF">
        <w:rPr>
          <w:rFonts w:ascii="Times New Roman" w:hAnsi="Times New Roman" w:cs="Times New Roman"/>
        </w:rPr>
        <w:t xml:space="preserve">the </w:t>
      </w:r>
      <w:r w:rsidR="00227F9B">
        <w:rPr>
          <w:rFonts w:ascii="Times New Roman" w:hAnsi="Times New Roman" w:cs="Times New Roman"/>
        </w:rPr>
        <w:t>instrument</w:t>
      </w:r>
      <w:r w:rsidR="00B62FFA" w:rsidRPr="003D15AF">
        <w:rPr>
          <w:rFonts w:ascii="Times New Roman" w:hAnsi="Times New Roman" w:cs="Times New Roman"/>
        </w:rPr>
        <w:t xml:space="preserve">. This enables </w:t>
      </w:r>
      <w:r w:rsidR="00F24DCC">
        <w:rPr>
          <w:rFonts w:ascii="Times New Roman" w:hAnsi="Times New Roman" w:cs="Times New Roman"/>
        </w:rPr>
        <w:t xml:space="preserve">the </w:t>
      </w:r>
      <w:r w:rsidR="00B62FFA" w:rsidRPr="003D15AF">
        <w:rPr>
          <w:rFonts w:ascii="Times New Roman" w:hAnsi="Times New Roman" w:cs="Times New Roman"/>
        </w:rPr>
        <w:t>ACMA to allocate spectrum</w:t>
      </w:r>
      <w:r w:rsidR="00B62FFA" w:rsidRPr="683F6527">
        <w:rPr>
          <w:rFonts w:ascii="Times New Roman" w:hAnsi="Times New Roman" w:cs="Times New Roman"/>
        </w:rPr>
        <w:t xml:space="preserve"> licences in the </w:t>
      </w:r>
      <w:r w:rsidR="008B65D7" w:rsidRPr="683F6527">
        <w:rPr>
          <w:rFonts w:ascii="Times New Roman" w:hAnsi="Times New Roman" w:cs="Times New Roman"/>
        </w:rPr>
        <w:t xml:space="preserve">3.4 GHz and </w:t>
      </w:r>
      <w:r w:rsidR="00C6415E" w:rsidRPr="683F6527">
        <w:rPr>
          <w:rFonts w:ascii="Times New Roman" w:hAnsi="Times New Roman" w:cs="Times New Roman"/>
        </w:rPr>
        <w:t>3.7 GHz</w:t>
      </w:r>
      <w:r w:rsidR="0052373A" w:rsidRPr="683F6527">
        <w:rPr>
          <w:rFonts w:ascii="Times New Roman" w:hAnsi="Times New Roman" w:cs="Times New Roman"/>
        </w:rPr>
        <w:t xml:space="preserve"> </w:t>
      </w:r>
      <w:r w:rsidR="00B62FFA" w:rsidRPr="683F6527">
        <w:rPr>
          <w:rFonts w:ascii="Times New Roman" w:hAnsi="Times New Roman" w:cs="Times New Roman"/>
        </w:rPr>
        <w:t>band</w:t>
      </w:r>
      <w:r w:rsidR="0052373A" w:rsidRPr="683F6527">
        <w:rPr>
          <w:rFonts w:ascii="Times New Roman" w:hAnsi="Times New Roman" w:cs="Times New Roman"/>
        </w:rPr>
        <w:t>s</w:t>
      </w:r>
      <w:r w:rsidR="00B62FFA" w:rsidRPr="683F6527">
        <w:rPr>
          <w:rFonts w:ascii="Times New Roman" w:hAnsi="Times New Roman" w:cs="Times New Roman"/>
        </w:rPr>
        <w:t xml:space="preserve"> in these areas, including parts of the band</w:t>
      </w:r>
      <w:r w:rsidR="0052373A" w:rsidRPr="683F6527">
        <w:rPr>
          <w:rFonts w:ascii="Times New Roman" w:hAnsi="Times New Roman" w:cs="Times New Roman"/>
        </w:rPr>
        <w:t>s</w:t>
      </w:r>
      <w:r w:rsidR="00B62FFA" w:rsidRPr="683F6527">
        <w:rPr>
          <w:rFonts w:ascii="Times New Roman" w:hAnsi="Times New Roman" w:cs="Times New Roman"/>
        </w:rPr>
        <w:t xml:space="preserve"> </w:t>
      </w:r>
      <w:r w:rsidR="00F24DCC">
        <w:rPr>
          <w:rFonts w:ascii="Times New Roman" w:hAnsi="Times New Roman" w:cs="Times New Roman"/>
        </w:rPr>
        <w:t>where</w:t>
      </w:r>
      <w:r w:rsidR="00B62FFA" w:rsidRPr="683F6527">
        <w:rPr>
          <w:rFonts w:ascii="Times New Roman" w:hAnsi="Times New Roman" w:cs="Times New Roman"/>
        </w:rPr>
        <w:t xml:space="preserve"> apparatus licences</w:t>
      </w:r>
      <w:r w:rsidR="00F24DCC">
        <w:rPr>
          <w:rFonts w:ascii="Times New Roman" w:hAnsi="Times New Roman" w:cs="Times New Roman"/>
        </w:rPr>
        <w:t xml:space="preserve"> have been issued</w:t>
      </w:r>
      <w:r w:rsidR="00B62FFA" w:rsidRPr="683F6527">
        <w:rPr>
          <w:rFonts w:ascii="Times New Roman" w:hAnsi="Times New Roman" w:cs="Times New Roman"/>
        </w:rPr>
        <w:t xml:space="preserve">. </w:t>
      </w:r>
    </w:p>
    <w:p w14:paraId="617CF740" w14:textId="3CA1F57D" w:rsidR="003411CE" w:rsidRDefault="00B62FFA" w:rsidP="00BE16FB">
      <w:pPr>
        <w:rPr>
          <w:rFonts w:ascii="Times New Roman" w:hAnsi="Times New Roman" w:cs="Times New Roman"/>
        </w:rPr>
      </w:pPr>
      <w:r w:rsidRPr="00B62FFA">
        <w:rPr>
          <w:rFonts w:ascii="Times New Roman" w:hAnsi="Times New Roman" w:cs="Times New Roman"/>
        </w:rPr>
        <w:t xml:space="preserve">The re-allocation period for the </w:t>
      </w:r>
      <w:r w:rsidR="00F24DCC">
        <w:rPr>
          <w:rFonts w:ascii="Times New Roman" w:hAnsi="Times New Roman" w:cs="Times New Roman"/>
        </w:rPr>
        <w:t>instrument</w:t>
      </w:r>
      <w:r w:rsidR="00F24DCC" w:rsidRPr="00B62FFA">
        <w:rPr>
          <w:rFonts w:ascii="Times New Roman" w:hAnsi="Times New Roman" w:cs="Times New Roman"/>
        </w:rPr>
        <w:t xml:space="preserve"> </w:t>
      </w:r>
      <w:r w:rsidR="00052F22">
        <w:rPr>
          <w:rFonts w:ascii="Times New Roman" w:hAnsi="Times New Roman" w:cs="Times New Roman"/>
        </w:rPr>
        <w:t xml:space="preserve">is </w:t>
      </w:r>
      <w:r w:rsidR="00A73486">
        <w:rPr>
          <w:rFonts w:ascii="Times New Roman" w:hAnsi="Times New Roman" w:cs="Times New Roman"/>
        </w:rPr>
        <w:t xml:space="preserve">the period of </w:t>
      </w:r>
      <w:r w:rsidR="00052F22" w:rsidRPr="003D15AF">
        <w:rPr>
          <w:rFonts w:ascii="Times New Roman" w:hAnsi="Times New Roman" w:cs="Times New Roman"/>
        </w:rPr>
        <w:t>5 years</w:t>
      </w:r>
      <w:r w:rsidR="007C18D7" w:rsidRPr="003D15AF">
        <w:rPr>
          <w:rFonts w:ascii="Times New Roman" w:hAnsi="Times New Roman" w:cs="Times New Roman"/>
        </w:rPr>
        <w:t xml:space="preserve"> beginning at the start of the day </w:t>
      </w:r>
      <w:r w:rsidR="00987720" w:rsidRPr="003D15AF">
        <w:rPr>
          <w:rFonts w:ascii="Times New Roman" w:hAnsi="Times New Roman" w:cs="Times New Roman"/>
        </w:rPr>
        <w:t>after the instrument commences</w:t>
      </w:r>
      <w:r w:rsidRPr="003D15AF">
        <w:rPr>
          <w:rFonts w:ascii="Times New Roman" w:hAnsi="Times New Roman" w:cs="Times New Roman"/>
        </w:rPr>
        <w:t>. The re-allocation deadline for the declaration is</w:t>
      </w:r>
      <w:r w:rsidR="00E109E0" w:rsidRPr="003D15AF">
        <w:rPr>
          <w:rFonts w:ascii="Times New Roman" w:hAnsi="Times New Roman" w:cs="Times New Roman"/>
        </w:rPr>
        <w:t xml:space="preserve"> </w:t>
      </w:r>
      <w:r w:rsidRPr="003D15AF">
        <w:rPr>
          <w:rFonts w:ascii="Times New Roman" w:hAnsi="Times New Roman" w:cs="Times New Roman"/>
        </w:rPr>
        <w:t>the end of the re-allocation period.</w:t>
      </w:r>
    </w:p>
    <w:p w14:paraId="624D62C0" w14:textId="54B90B80" w:rsidR="001822B7" w:rsidRDefault="008D1575" w:rsidP="004E676D">
      <w:pPr>
        <w:rPr>
          <w:rFonts w:ascii="Times New Roman" w:hAnsi="Times New Roman" w:cs="Times New Roman"/>
        </w:rPr>
      </w:pPr>
      <w:r>
        <w:rPr>
          <w:rFonts w:ascii="Times New Roman" w:hAnsi="Times New Roman" w:cs="Times New Roman"/>
        </w:rPr>
        <w:t>Mid-band r</w:t>
      </w:r>
      <w:r w:rsidR="001822B7">
        <w:rPr>
          <w:rFonts w:ascii="Times New Roman" w:hAnsi="Times New Roman" w:cs="Times New Roman"/>
        </w:rPr>
        <w:t xml:space="preserve">adiofrequency </w:t>
      </w:r>
      <w:r w:rsidR="001822B7" w:rsidRPr="00ED5CB6">
        <w:rPr>
          <w:rFonts w:ascii="Times New Roman" w:hAnsi="Times New Roman" w:cs="Times New Roman"/>
        </w:rPr>
        <w:t>spectrum</w:t>
      </w:r>
      <w:r>
        <w:rPr>
          <w:rFonts w:ascii="Times New Roman" w:hAnsi="Times New Roman" w:cs="Times New Roman"/>
        </w:rPr>
        <w:t>, including</w:t>
      </w:r>
      <w:r w:rsidR="001822B7" w:rsidRPr="00ED5CB6">
        <w:rPr>
          <w:rFonts w:ascii="Times New Roman" w:hAnsi="Times New Roman" w:cs="Times New Roman"/>
        </w:rPr>
        <w:t xml:space="preserve"> </w:t>
      </w:r>
      <w:r w:rsidR="00FA5C73">
        <w:rPr>
          <w:rFonts w:ascii="Times New Roman" w:hAnsi="Times New Roman" w:cs="Times New Roman"/>
        </w:rPr>
        <w:t>in the 3.4</w:t>
      </w:r>
      <w:r w:rsidR="002D5FF0">
        <w:rPr>
          <w:rFonts w:ascii="Times New Roman" w:hAnsi="Times New Roman" w:cs="Times New Roman"/>
        </w:rPr>
        <w:t xml:space="preserve"> GHz to </w:t>
      </w:r>
      <w:r w:rsidR="00FA5C73">
        <w:rPr>
          <w:rFonts w:ascii="Times New Roman" w:hAnsi="Times New Roman" w:cs="Times New Roman"/>
        </w:rPr>
        <w:t xml:space="preserve">3.8 GHz frequency </w:t>
      </w:r>
      <w:r w:rsidR="002D5FF0">
        <w:rPr>
          <w:rFonts w:ascii="Times New Roman" w:hAnsi="Times New Roman" w:cs="Times New Roman"/>
        </w:rPr>
        <w:t>band</w:t>
      </w:r>
      <w:r>
        <w:rPr>
          <w:rFonts w:ascii="Times New Roman" w:hAnsi="Times New Roman" w:cs="Times New Roman"/>
        </w:rPr>
        <w:t>,</w:t>
      </w:r>
      <w:r w:rsidR="001822B7" w:rsidRPr="00ED5CB6">
        <w:rPr>
          <w:rFonts w:ascii="Times New Roman" w:hAnsi="Times New Roman" w:cs="Times New Roman"/>
        </w:rPr>
        <w:t xml:space="preserve"> has been identified globally as optimal for the delivery of </w:t>
      </w:r>
      <w:r w:rsidR="00AF4597">
        <w:rPr>
          <w:rFonts w:ascii="Times New Roman" w:hAnsi="Times New Roman" w:cs="Times New Roman"/>
        </w:rPr>
        <w:t xml:space="preserve">5G </w:t>
      </w:r>
      <w:r w:rsidR="001822B7" w:rsidRPr="00ED5CB6">
        <w:rPr>
          <w:rFonts w:ascii="Times New Roman" w:hAnsi="Times New Roman" w:cs="Times New Roman"/>
        </w:rPr>
        <w:t>wireless broadband (</w:t>
      </w:r>
      <w:r w:rsidR="001822B7" w:rsidRPr="00B66A9B">
        <w:rPr>
          <w:rFonts w:ascii="Times New Roman" w:hAnsi="Times New Roman" w:cs="Times New Roman"/>
          <w:b/>
          <w:bCs/>
        </w:rPr>
        <w:t>WBB</w:t>
      </w:r>
      <w:r w:rsidR="001822B7" w:rsidRPr="00ED5CB6">
        <w:rPr>
          <w:rFonts w:ascii="Times New Roman" w:hAnsi="Times New Roman" w:cs="Times New Roman"/>
        </w:rPr>
        <w:t>) services. Consequently, there has been increased demand in Australia for greater</w:t>
      </w:r>
      <w:r w:rsidR="001822B7">
        <w:rPr>
          <w:rFonts w:ascii="Times New Roman" w:hAnsi="Times New Roman" w:cs="Times New Roman"/>
        </w:rPr>
        <w:t>, more efficient</w:t>
      </w:r>
      <w:r w:rsidR="001822B7" w:rsidRPr="00ED5CB6">
        <w:rPr>
          <w:rFonts w:ascii="Times New Roman" w:hAnsi="Times New Roman" w:cs="Times New Roman"/>
        </w:rPr>
        <w:t xml:space="preserve"> access to</w:t>
      </w:r>
      <w:r w:rsidR="00527DB4">
        <w:rPr>
          <w:rFonts w:ascii="Times New Roman" w:hAnsi="Times New Roman" w:cs="Times New Roman"/>
        </w:rPr>
        <w:t xml:space="preserve"> contiguous parts</w:t>
      </w:r>
      <w:r w:rsidR="00FA5C73">
        <w:rPr>
          <w:rFonts w:ascii="Times New Roman" w:hAnsi="Times New Roman" w:cs="Times New Roman"/>
        </w:rPr>
        <w:t xml:space="preserve"> of</w:t>
      </w:r>
      <w:r w:rsidR="001822B7" w:rsidRPr="00ED5CB6">
        <w:rPr>
          <w:rFonts w:ascii="Times New Roman" w:hAnsi="Times New Roman" w:cs="Times New Roman"/>
        </w:rPr>
        <w:t xml:space="preserve"> this spectrum.</w:t>
      </w:r>
    </w:p>
    <w:p w14:paraId="41246691" w14:textId="3E1F8336" w:rsidR="002E21C9" w:rsidRDefault="002E21C9" w:rsidP="004E676D">
      <w:pPr>
        <w:rPr>
          <w:rFonts w:ascii="Times New Roman" w:hAnsi="Times New Roman" w:cs="Times New Roman"/>
        </w:rPr>
      </w:pPr>
      <w:r>
        <w:rPr>
          <w:rFonts w:ascii="Times New Roman" w:hAnsi="Times New Roman" w:cs="Times New Roman"/>
        </w:rPr>
        <w:lastRenderedPageBreak/>
        <w:t xml:space="preserve">Presently, large parts of </w:t>
      </w:r>
      <w:r w:rsidR="007654AB">
        <w:rPr>
          <w:rFonts w:ascii="Times New Roman" w:hAnsi="Times New Roman" w:cs="Times New Roman"/>
        </w:rPr>
        <w:t>this spectrum, including the 3.4 GHz and 3.7 GHz bands,</w:t>
      </w:r>
      <w:r>
        <w:rPr>
          <w:rFonts w:ascii="Times New Roman" w:hAnsi="Times New Roman" w:cs="Times New Roman"/>
        </w:rPr>
        <w:t xml:space="preserve"> are not being used efficiently, or in some cases, at all. </w:t>
      </w:r>
      <w:r w:rsidR="007654AB">
        <w:rPr>
          <w:rFonts w:ascii="Times New Roman" w:hAnsi="Times New Roman" w:cs="Times New Roman"/>
        </w:rPr>
        <w:t>Spectrum in the 3.4</w:t>
      </w:r>
      <w:r w:rsidR="00B86D87">
        <w:rPr>
          <w:rFonts w:ascii="Times New Roman" w:hAnsi="Times New Roman" w:cs="Times New Roman"/>
        </w:rPr>
        <w:t xml:space="preserve"> GHz to </w:t>
      </w:r>
      <w:r w:rsidR="007654AB">
        <w:rPr>
          <w:rFonts w:ascii="Times New Roman" w:hAnsi="Times New Roman" w:cs="Times New Roman"/>
        </w:rPr>
        <w:t xml:space="preserve">3.8 GHz frequency </w:t>
      </w:r>
      <w:r w:rsidR="00B86D87">
        <w:rPr>
          <w:rFonts w:ascii="Times New Roman" w:hAnsi="Times New Roman" w:cs="Times New Roman"/>
        </w:rPr>
        <w:t xml:space="preserve">band </w:t>
      </w:r>
      <w:r w:rsidR="007654AB">
        <w:rPr>
          <w:rFonts w:ascii="Times New Roman" w:hAnsi="Times New Roman" w:cs="Times New Roman"/>
        </w:rPr>
        <w:t>is</w:t>
      </w:r>
      <w:r w:rsidRPr="00140A81">
        <w:rPr>
          <w:rFonts w:ascii="Times New Roman" w:hAnsi="Times New Roman" w:cs="Times New Roman"/>
        </w:rPr>
        <w:t xml:space="preserve"> subject to a mix of apparatus and spectrum licensing arrangements authorising a variety of services, including WBB, fixed satellite, radiolocation and amateur services. </w:t>
      </w:r>
      <w:r w:rsidR="0087749D">
        <w:rPr>
          <w:rFonts w:ascii="Times New Roman" w:hAnsi="Times New Roman" w:cs="Times New Roman"/>
        </w:rPr>
        <w:t xml:space="preserve">As a </w:t>
      </w:r>
      <w:r w:rsidRPr="00140A81">
        <w:rPr>
          <w:rFonts w:ascii="Times New Roman" w:hAnsi="Times New Roman" w:cs="Times New Roman"/>
        </w:rPr>
        <w:t>result</w:t>
      </w:r>
      <w:r w:rsidR="0087749D">
        <w:rPr>
          <w:rFonts w:ascii="Times New Roman" w:hAnsi="Times New Roman" w:cs="Times New Roman"/>
        </w:rPr>
        <w:t>,</w:t>
      </w:r>
      <w:r w:rsidRPr="00140A81">
        <w:rPr>
          <w:rFonts w:ascii="Times New Roman" w:hAnsi="Times New Roman" w:cs="Times New Roman"/>
        </w:rPr>
        <w:t xml:space="preserve"> </w:t>
      </w:r>
      <w:r w:rsidR="0087749D">
        <w:rPr>
          <w:rFonts w:ascii="Times New Roman" w:hAnsi="Times New Roman" w:cs="Times New Roman"/>
        </w:rPr>
        <w:t>licensees are</w:t>
      </w:r>
      <w:r w:rsidRPr="00140A81">
        <w:rPr>
          <w:rFonts w:ascii="Times New Roman" w:hAnsi="Times New Roman" w:cs="Times New Roman"/>
        </w:rPr>
        <w:t xml:space="preserve"> unable to secure larger, contiguous spectrum holdings </w:t>
      </w:r>
      <w:r w:rsidR="00E54390">
        <w:rPr>
          <w:rFonts w:ascii="Times New Roman" w:hAnsi="Times New Roman" w:cs="Times New Roman"/>
        </w:rPr>
        <w:t>for</w:t>
      </w:r>
      <w:r w:rsidRPr="00140A81">
        <w:rPr>
          <w:rFonts w:ascii="Times New Roman" w:hAnsi="Times New Roman" w:cs="Times New Roman"/>
        </w:rPr>
        <w:t xml:space="preserve"> the delivery of services.</w:t>
      </w:r>
      <w:r>
        <w:rPr>
          <w:rFonts w:ascii="Times New Roman" w:hAnsi="Times New Roman" w:cs="Times New Roman"/>
        </w:rPr>
        <w:t xml:space="preserve"> </w:t>
      </w:r>
    </w:p>
    <w:p w14:paraId="3F066ACE" w14:textId="4252522D" w:rsidR="00B307D9" w:rsidRDefault="00B307D9" w:rsidP="004E676D">
      <w:p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Radiocommunications (Ministerial Policy Statement</w:t>
      </w:r>
      <w:r w:rsidR="00F56573">
        <w:rPr>
          <w:rFonts w:ascii="Times New Roman" w:hAnsi="Times New Roman" w:cs="Times New Roman"/>
          <w:i/>
          <w:iCs/>
        </w:rPr>
        <w:t xml:space="preserve"> </w:t>
      </w:r>
      <w:r>
        <w:rPr>
          <w:rFonts w:ascii="Times New Roman" w:hAnsi="Times New Roman" w:cs="Times New Roman"/>
          <w:i/>
          <w:iCs/>
        </w:rPr>
        <w:t xml:space="preserve">– 3.4–4.0 GHz) Instrument 2022 </w:t>
      </w:r>
      <w:r>
        <w:rPr>
          <w:rFonts w:ascii="Times New Roman" w:hAnsi="Times New Roman" w:cs="Times New Roman"/>
        </w:rPr>
        <w:t>(</w:t>
      </w:r>
      <w:r w:rsidRPr="00B66A9B">
        <w:rPr>
          <w:rFonts w:ascii="Times New Roman" w:hAnsi="Times New Roman" w:cs="Times New Roman"/>
          <w:b/>
          <w:bCs/>
        </w:rPr>
        <w:t>the Policy Statement</w:t>
      </w:r>
      <w:r>
        <w:rPr>
          <w:rFonts w:ascii="Times New Roman" w:hAnsi="Times New Roman" w:cs="Times New Roman"/>
        </w:rPr>
        <w:t>)</w:t>
      </w:r>
      <w:r w:rsidR="00F56573">
        <w:rPr>
          <w:rFonts w:ascii="Times New Roman" w:hAnsi="Times New Roman" w:cs="Times New Roman"/>
        </w:rPr>
        <w:t xml:space="preserve"> has been made under </w:t>
      </w:r>
      <w:r w:rsidR="00DF4095">
        <w:rPr>
          <w:rFonts w:ascii="Times New Roman" w:hAnsi="Times New Roman" w:cs="Times New Roman"/>
        </w:rPr>
        <w:t>section 28B of the Act. In accordance with section 28C of the Act, in performing its spectrum management functions, and exercising its spectrum management powers, the ACMA</w:t>
      </w:r>
      <w:r>
        <w:rPr>
          <w:rFonts w:ascii="Times New Roman" w:hAnsi="Times New Roman" w:cs="Times New Roman"/>
          <w:i/>
          <w:iCs/>
        </w:rPr>
        <w:t xml:space="preserve"> </w:t>
      </w:r>
      <w:r w:rsidR="00DF4095">
        <w:rPr>
          <w:rFonts w:ascii="Times New Roman" w:hAnsi="Times New Roman" w:cs="Times New Roman"/>
        </w:rPr>
        <w:t xml:space="preserve">must have regard to any relevant statement made under section 28B. </w:t>
      </w:r>
      <w:r w:rsidR="001862EA">
        <w:rPr>
          <w:rFonts w:ascii="Times New Roman" w:hAnsi="Times New Roman" w:cs="Times New Roman"/>
        </w:rPr>
        <w:t>T</w:t>
      </w:r>
      <w:r w:rsidR="001A2A51">
        <w:rPr>
          <w:rFonts w:ascii="Times New Roman" w:hAnsi="Times New Roman" w:cs="Times New Roman"/>
        </w:rPr>
        <w:t>he Policy Statement</w:t>
      </w:r>
      <w:r w:rsidR="00772202">
        <w:rPr>
          <w:rFonts w:ascii="Times New Roman" w:hAnsi="Times New Roman" w:cs="Times New Roman"/>
        </w:rPr>
        <w:t xml:space="preserve"> provides that</w:t>
      </w:r>
      <w:r w:rsidR="00772202" w:rsidRPr="00772202">
        <w:rPr>
          <w:rFonts w:ascii="Times New Roman" w:hAnsi="Times New Roman" w:cs="Times New Roman"/>
        </w:rPr>
        <w:t xml:space="preserve"> </w:t>
      </w:r>
      <w:r w:rsidR="00772202">
        <w:rPr>
          <w:rFonts w:ascii="Times New Roman" w:hAnsi="Times New Roman" w:cs="Times New Roman"/>
        </w:rPr>
        <w:t>it is a government communications policy objective in relation to the 3.4 GHz to 4 GHz frequency band</w:t>
      </w:r>
      <w:r w:rsidR="001A2A51">
        <w:rPr>
          <w:rFonts w:ascii="Times New Roman" w:hAnsi="Times New Roman" w:cs="Times New Roman"/>
        </w:rPr>
        <w:t>:</w:t>
      </w:r>
    </w:p>
    <w:p w14:paraId="609A7ABF" w14:textId="69FF1D48" w:rsidR="001A2A51" w:rsidRDefault="001A2A51" w:rsidP="001A2A51">
      <w:pPr>
        <w:pStyle w:val="ListParagraph"/>
        <w:numPr>
          <w:ilvl w:val="0"/>
          <w:numId w:val="20"/>
        </w:numPr>
        <w:rPr>
          <w:rFonts w:ascii="Times New Roman" w:hAnsi="Times New Roman" w:cs="Times New Roman"/>
        </w:rPr>
      </w:pPr>
      <w:r>
        <w:rPr>
          <w:rFonts w:ascii="Times New Roman" w:hAnsi="Times New Roman" w:cs="Times New Roman"/>
        </w:rPr>
        <w:t>to support the deployment of new and innovative technology, including 5G</w:t>
      </w:r>
      <w:r w:rsidR="00772202">
        <w:rPr>
          <w:rFonts w:ascii="Times New Roman" w:hAnsi="Times New Roman" w:cs="Times New Roman"/>
        </w:rPr>
        <w:t>;</w:t>
      </w:r>
    </w:p>
    <w:p w14:paraId="7A744B26" w14:textId="30A0B667" w:rsidR="00772202" w:rsidRDefault="00FD57EE" w:rsidP="001A2A51">
      <w:pPr>
        <w:pStyle w:val="ListParagraph"/>
        <w:numPr>
          <w:ilvl w:val="0"/>
          <w:numId w:val="20"/>
        </w:numPr>
        <w:rPr>
          <w:rFonts w:ascii="Times New Roman" w:hAnsi="Times New Roman" w:cs="Times New Roman"/>
        </w:rPr>
      </w:pPr>
      <w:r>
        <w:rPr>
          <w:rFonts w:ascii="Times New Roman" w:hAnsi="Times New Roman" w:cs="Times New Roman"/>
        </w:rPr>
        <w:t>to support a range of use cases and users</w:t>
      </w:r>
      <w:r w:rsidR="004A36DD">
        <w:rPr>
          <w:rFonts w:ascii="Times New Roman" w:hAnsi="Times New Roman" w:cs="Times New Roman"/>
        </w:rPr>
        <w:t xml:space="preserve">; </w:t>
      </w:r>
    </w:p>
    <w:p w14:paraId="643834EF" w14:textId="2C53A29D" w:rsidR="004A36DD" w:rsidRDefault="00D6247D" w:rsidP="001A2A51">
      <w:pPr>
        <w:pStyle w:val="ListParagraph"/>
        <w:numPr>
          <w:ilvl w:val="0"/>
          <w:numId w:val="20"/>
        </w:numPr>
        <w:rPr>
          <w:rFonts w:ascii="Times New Roman" w:hAnsi="Times New Roman" w:cs="Times New Roman"/>
        </w:rPr>
      </w:pPr>
      <w:r>
        <w:rPr>
          <w:rFonts w:ascii="Times New Roman" w:hAnsi="Times New Roman" w:cs="Times New Roman"/>
        </w:rPr>
        <w:t xml:space="preserve">to support </w:t>
      </w:r>
      <w:r w:rsidR="004A36DD">
        <w:rPr>
          <w:rFonts w:ascii="Times New Roman" w:hAnsi="Times New Roman" w:cs="Times New Roman"/>
        </w:rPr>
        <w:t>digital connectivity and investment in regional Australia; and</w:t>
      </w:r>
    </w:p>
    <w:p w14:paraId="1AB76EF2" w14:textId="2D142BB7" w:rsidR="004A36DD" w:rsidRPr="00B66A9B" w:rsidRDefault="004A36DD" w:rsidP="00B66A9B">
      <w:pPr>
        <w:pStyle w:val="ListParagraph"/>
        <w:numPr>
          <w:ilvl w:val="0"/>
          <w:numId w:val="20"/>
        </w:numPr>
        <w:rPr>
          <w:rFonts w:ascii="Times New Roman" w:hAnsi="Times New Roman" w:cs="Times New Roman"/>
        </w:rPr>
      </w:pPr>
      <w:r>
        <w:rPr>
          <w:rFonts w:ascii="Times New Roman" w:hAnsi="Times New Roman" w:cs="Times New Roman"/>
        </w:rPr>
        <w:t>to promote competitive markets.</w:t>
      </w:r>
    </w:p>
    <w:p w14:paraId="71FA3F36" w14:textId="024B925C" w:rsidR="007D1639" w:rsidRDefault="007D1639" w:rsidP="007C4127">
      <w:pPr>
        <w:rPr>
          <w:rFonts w:ascii="Times New Roman" w:hAnsi="Times New Roman" w:cs="Times New Roman"/>
        </w:rPr>
      </w:pPr>
      <w:r>
        <w:rPr>
          <w:rFonts w:ascii="Times New Roman" w:hAnsi="Times New Roman" w:cs="Times New Roman"/>
        </w:rPr>
        <w:t>The Policy Statement provides that</w:t>
      </w:r>
      <w:r w:rsidR="004B2911">
        <w:rPr>
          <w:rFonts w:ascii="Times New Roman" w:hAnsi="Times New Roman" w:cs="Times New Roman"/>
        </w:rPr>
        <w:t>, for these policy objectives</w:t>
      </w:r>
      <w:r>
        <w:rPr>
          <w:rFonts w:ascii="Times New Roman" w:hAnsi="Times New Roman" w:cs="Times New Roman"/>
        </w:rPr>
        <w:t>:</w:t>
      </w:r>
    </w:p>
    <w:p w14:paraId="22E3FAB2" w14:textId="12521BF0" w:rsidR="007D1639" w:rsidRDefault="007D1639" w:rsidP="007D1639">
      <w:pPr>
        <w:pStyle w:val="ListParagraph"/>
        <w:numPr>
          <w:ilvl w:val="0"/>
          <w:numId w:val="21"/>
        </w:numPr>
        <w:rPr>
          <w:rFonts w:ascii="Times New Roman" w:hAnsi="Times New Roman" w:cs="Times New Roman"/>
        </w:rPr>
      </w:pPr>
      <w:r>
        <w:rPr>
          <w:rFonts w:ascii="Times New Roman" w:hAnsi="Times New Roman" w:cs="Times New Roman"/>
        </w:rPr>
        <w:t>spectrum management settings established by the ACMA should support the deployment of new and innovative technology, including the ongoing deployment of 5G;</w:t>
      </w:r>
    </w:p>
    <w:p w14:paraId="73067517" w14:textId="3F1B8550" w:rsidR="007D1639" w:rsidRDefault="007D1639" w:rsidP="007D1639">
      <w:pPr>
        <w:pStyle w:val="ListParagraph"/>
        <w:numPr>
          <w:ilvl w:val="0"/>
          <w:numId w:val="21"/>
        </w:numPr>
        <w:rPr>
          <w:rFonts w:ascii="Times New Roman" w:hAnsi="Times New Roman" w:cs="Times New Roman"/>
        </w:rPr>
      </w:pPr>
      <w:r>
        <w:rPr>
          <w:rFonts w:ascii="Times New Roman" w:hAnsi="Times New Roman" w:cs="Times New Roman"/>
        </w:rPr>
        <w:t>4G and 5G services, alongside incumbent fixed satellite and point-to-point services, can be supported by the ACMA administering efficient spectrum access arrangements that support a range of use cases and users, including an appropriate balance between wide-area and customised local services;</w:t>
      </w:r>
    </w:p>
    <w:p w14:paraId="1DD61E03" w14:textId="1F923196" w:rsidR="007D1639" w:rsidRDefault="004B2911" w:rsidP="007D1639">
      <w:pPr>
        <w:pStyle w:val="ListParagraph"/>
        <w:numPr>
          <w:ilvl w:val="0"/>
          <w:numId w:val="21"/>
        </w:numPr>
        <w:rPr>
          <w:rFonts w:ascii="Times New Roman" w:hAnsi="Times New Roman" w:cs="Times New Roman"/>
        </w:rPr>
      </w:pPr>
      <w:r>
        <w:rPr>
          <w:rFonts w:ascii="Times New Roman" w:hAnsi="Times New Roman" w:cs="Times New Roman"/>
        </w:rPr>
        <w:t>spectrum management settings by the ACMA should take into account the needs of use cases and users in order to support the provision of important services outside the large metropolitan and regional centres; and</w:t>
      </w:r>
    </w:p>
    <w:p w14:paraId="145D0548" w14:textId="0FCA759B" w:rsidR="004B2911" w:rsidRPr="00B66A9B" w:rsidRDefault="00AC286F" w:rsidP="00B66A9B">
      <w:pPr>
        <w:pStyle w:val="ListParagraph"/>
        <w:numPr>
          <w:ilvl w:val="0"/>
          <w:numId w:val="21"/>
        </w:numPr>
        <w:rPr>
          <w:rFonts w:ascii="Times New Roman" w:hAnsi="Times New Roman" w:cs="Times New Roman"/>
        </w:rPr>
      </w:pPr>
      <w:r>
        <w:rPr>
          <w:rFonts w:ascii="Times New Roman" w:hAnsi="Times New Roman" w:cs="Times New Roman"/>
        </w:rPr>
        <w:t>decisions by the ACMA about the planning and allocation of the 3.4 GHz to 4 GHz frequency band should take account of the importance of supporting competition in relevant markets.</w:t>
      </w:r>
    </w:p>
    <w:p w14:paraId="2B86AE90" w14:textId="5C3EA769" w:rsidR="00FA511E" w:rsidRDefault="005A4D3D" w:rsidP="007C4127">
      <w:pPr>
        <w:rPr>
          <w:rFonts w:ascii="Times New Roman" w:hAnsi="Times New Roman" w:cs="Times New Roman"/>
        </w:rPr>
      </w:pPr>
      <w:r>
        <w:rPr>
          <w:rFonts w:ascii="Times New Roman" w:hAnsi="Times New Roman" w:cs="Times New Roman"/>
        </w:rPr>
        <w:t>The ACMA has been working towards consolidating the arrangements in the 3.4</w:t>
      </w:r>
      <w:r w:rsidR="00AC286F">
        <w:rPr>
          <w:rFonts w:ascii="Times New Roman" w:hAnsi="Times New Roman" w:cs="Times New Roman"/>
        </w:rPr>
        <w:t xml:space="preserve"> GHz to </w:t>
      </w:r>
      <w:r>
        <w:rPr>
          <w:rFonts w:ascii="Times New Roman" w:hAnsi="Times New Roman" w:cs="Times New Roman"/>
        </w:rPr>
        <w:t xml:space="preserve">3.8 GHz frequency </w:t>
      </w:r>
      <w:r w:rsidR="00AC286F">
        <w:rPr>
          <w:rFonts w:ascii="Times New Roman" w:hAnsi="Times New Roman" w:cs="Times New Roman"/>
        </w:rPr>
        <w:t xml:space="preserve">band </w:t>
      </w:r>
      <w:r>
        <w:rPr>
          <w:rFonts w:ascii="Times New Roman" w:hAnsi="Times New Roman" w:cs="Times New Roman"/>
        </w:rPr>
        <w:t xml:space="preserve">(referred to as defragmentation) since </w:t>
      </w:r>
      <w:r w:rsidR="00B56BF7">
        <w:rPr>
          <w:rFonts w:ascii="Times New Roman" w:hAnsi="Times New Roman" w:cs="Times New Roman"/>
        </w:rPr>
        <w:t>2019</w:t>
      </w:r>
      <w:r>
        <w:rPr>
          <w:rFonts w:ascii="Times New Roman" w:hAnsi="Times New Roman" w:cs="Times New Roman"/>
        </w:rPr>
        <w:t xml:space="preserve">. </w:t>
      </w:r>
      <w:r w:rsidR="00FF50F5">
        <w:rPr>
          <w:rFonts w:ascii="Times New Roman" w:hAnsi="Times New Roman" w:cs="Times New Roman"/>
        </w:rPr>
        <w:t>The spectrum</w:t>
      </w:r>
      <w:r w:rsidR="00A66606">
        <w:rPr>
          <w:rFonts w:ascii="Times New Roman" w:hAnsi="Times New Roman" w:cs="Times New Roman"/>
        </w:rPr>
        <w:t xml:space="preserve"> </w:t>
      </w:r>
      <w:r w:rsidR="00FF50F5">
        <w:rPr>
          <w:rFonts w:ascii="Times New Roman" w:hAnsi="Times New Roman" w:cs="Times New Roman"/>
        </w:rPr>
        <w:t>adjacent</w:t>
      </w:r>
      <w:r w:rsidR="0058544F">
        <w:rPr>
          <w:rFonts w:ascii="Times New Roman" w:hAnsi="Times New Roman" w:cs="Times New Roman"/>
        </w:rPr>
        <w:t xml:space="preserve"> to the </w:t>
      </w:r>
      <w:r w:rsidR="007875BA">
        <w:rPr>
          <w:rFonts w:ascii="Times New Roman" w:hAnsi="Times New Roman" w:cs="Times New Roman"/>
        </w:rPr>
        <w:t xml:space="preserve">3.4 GHz and 3.7 GHz </w:t>
      </w:r>
      <w:r w:rsidR="0058544F">
        <w:rPr>
          <w:rFonts w:ascii="Times New Roman" w:hAnsi="Times New Roman" w:cs="Times New Roman"/>
        </w:rPr>
        <w:t>band</w:t>
      </w:r>
      <w:r w:rsidR="007875BA">
        <w:rPr>
          <w:rFonts w:ascii="Times New Roman" w:hAnsi="Times New Roman" w:cs="Times New Roman"/>
        </w:rPr>
        <w:t>s</w:t>
      </w:r>
      <w:r w:rsidR="0058544F">
        <w:rPr>
          <w:rFonts w:ascii="Times New Roman" w:hAnsi="Times New Roman" w:cs="Times New Roman"/>
        </w:rPr>
        <w:t>, both in</w:t>
      </w:r>
      <w:r w:rsidR="00FF50F5">
        <w:rPr>
          <w:rFonts w:ascii="Times New Roman" w:hAnsi="Times New Roman" w:cs="Times New Roman"/>
        </w:rPr>
        <w:t xml:space="preserve"> frequency</w:t>
      </w:r>
      <w:r w:rsidR="0058544F">
        <w:rPr>
          <w:rFonts w:ascii="Times New Roman" w:hAnsi="Times New Roman" w:cs="Times New Roman"/>
        </w:rPr>
        <w:t xml:space="preserve"> and </w:t>
      </w:r>
      <w:r w:rsidR="00FF50F5">
        <w:rPr>
          <w:rFonts w:ascii="Times New Roman" w:hAnsi="Times New Roman" w:cs="Times New Roman"/>
        </w:rPr>
        <w:t xml:space="preserve">geographic </w:t>
      </w:r>
      <w:r w:rsidR="0058544F">
        <w:rPr>
          <w:rFonts w:ascii="Times New Roman" w:hAnsi="Times New Roman" w:cs="Times New Roman"/>
        </w:rPr>
        <w:t>dimensions, is currently spectrum licensed.</w:t>
      </w:r>
      <w:r w:rsidR="00FF50F5">
        <w:rPr>
          <w:rFonts w:ascii="Times New Roman" w:hAnsi="Times New Roman" w:cs="Times New Roman"/>
        </w:rPr>
        <w:t xml:space="preserve"> </w:t>
      </w:r>
      <w:r w:rsidR="00762FFC">
        <w:rPr>
          <w:rFonts w:ascii="Times New Roman" w:hAnsi="Times New Roman" w:cs="Times New Roman"/>
        </w:rPr>
        <w:t>Cl</w:t>
      </w:r>
      <w:r w:rsidR="000F583F">
        <w:rPr>
          <w:rFonts w:ascii="Times New Roman" w:hAnsi="Times New Roman" w:cs="Times New Roman"/>
        </w:rPr>
        <w:t>earing</w:t>
      </w:r>
      <w:r w:rsidR="00B454D3">
        <w:rPr>
          <w:rFonts w:ascii="Times New Roman" w:hAnsi="Times New Roman" w:cs="Times New Roman"/>
        </w:rPr>
        <w:t xml:space="preserve"> </w:t>
      </w:r>
      <w:r w:rsidR="00FA087C">
        <w:rPr>
          <w:rFonts w:ascii="Times New Roman" w:hAnsi="Times New Roman" w:cs="Times New Roman"/>
        </w:rPr>
        <w:t>and</w:t>
      </w:r>
      <w:r w:rsidR="00B454D3">
        <w:rPr>
          <w:rFonts w:ascii="Times New Roman" w:hAnsi="Times New Roman" w:cs="Times New Roman"/>
        </w:rPr>
        <w:t xml:space="preserve"> </w:t>
      </w:r>
      <w:r w:rsidR="009B504C">
        <w:rPr>
          <w:rFonts w:ascii="Times New Roman" w:hAnsi="Times New Roman" w:cs="Times New Roman"/>
        </w:rPr>
        <w:t>relocating</w:t>
      </w:r>
      <w:r w:rsidR="000F583F">
        <w:rPr>
          <w:rFonts w:ascii="Times New Roman" w:hAnsi="Times New Roman" w:cs="Times New Roman"/>
        </w:rPr>
        <w:t xml:space="preserve"> incumbent</w:t>
      </w:r>
      <w:r w:rsidR="009529C5">
        <w:rPr>
          <w:rFonts w:ascii="Times New Roman" w:hAnsi="Times New Roman" w:cs="Times New Roman"/>
        </w:rPr>
        <w:t xml:space="preserve"> </w:t>
      </w:r>
      <w:r w:rsidR="004A5A4F">
        <w:rPr>
          <w:rFonts w:ascii="Times New Roman" w:hAnsi="Times New Roman" w:cs="Times New Roman"/>
        </w:rPr>
        <w:t xml:space="preserve">apparatus </w:t>
      </w:r>
      <w:r w:rsidR="009529C5">
        <w:rPr>
          <w:rFonts w:ascii="Times New Roman" w:hAnsi="Times New Roman" w:cs="Times New Roman"/>
        </w:rPr>
        <w:t>li</w:t>
      </w:r>
      <w:r w:rsidR="00E832C3">
        <w:rPr>
          <w:rFonts w:ascii="Times New Roman" w:hAnsi="Times New Roman" w:cs="Times New Roman"/>
        </w:rPr>
        <w:t>censees</w:t>
      </w:r>
      <w:r w:rsidR="000F583F">
        <w:rPr>
          <w:rFonts w:ascii="Times New Roman" w:hAnsi="Times New Roman" w:cs="Times New Roman"/>
        </w:rPr>
        <w:t xml:space="preserve"> from the </w:t>
      </w:r>
      <w:r w:rsidR="007875BA">
        <w:rPr>
          <w:rFonts w:ascii="Times New Roman" w:hAnsi="Times New Roman" w:cs="Times New Roman"/>
        </w:rPr>
        <w:t xml:space="preserve">3.4 GHz and 3.7 GHz </w:t>
      </w:r>
      <w:r w:rsidR="000F583F">
        <w:rPr>
          <w:rFonts w:ascii="Times New Roman" w:hAnsi="Times New Roman" w:cs="Times New Roman"/>
        </w:rPr>
        <w:t>bands</w:t>
      </w:r>
      <w:r w:rsidR="007875BA">
        <w:rPr>
          <w:rFonts w:ascii="Times New Roman" w:hAnsi="Times New Roman" w:cs="Times New Roman"/>
        </w:rPr>
        <w:t>,</w:t>
      </w:r>
      <w:r w:rsidR="00762FFC">
        <w:rPr>
          <w:rFonts w:ascii="Times New Roman" w:hAnsi="Times New Roman" w:cs="Times New Roman"/>
        </w:rPr>
        <w:t xml:space="preserve"> and</w:t>
      </w:r>
      <w:r w:rsidR="00A12045">
        <w:rPr>
          <w:rFonts w:ascii="Times New Roman" w:hAnsi="Times New Roman" w:cs="Times New Roman"/>
        </w:rPr>
        <w:t xml:space="preserve"> conducting</w:t>
      </w:r>
      <w:r w:rsidR="00762FFC">
        <w:rPr>
          <w:rFonts w:ascii="Times New Roman" w:hAnsi="Times New Roman" w:cs="Times New Roman"/>
        </w:rPr>
        <w:t xml:space="preserve"> a </w:t>
      </w:r>
      <w:r w:rsidR="006457CC">
        <w:rPr>
          <w:rFonts w:ascii="Times New Roman" w:hAnsi="Times New Roman" w:cs="Times New Roman"/>
        </w:rPr>
        <w:t>price-based</w:t>
      </w:r>
      <w:r w:rsidR="00762FFC">
        <w:rPr>
          <w:rFonts w:ascii="Times New Roman" w:hAnsi="Times New Roman" w:cs="Times New Roman"/>
        </w:rPr>
        <w:t xml:space="preserve"> allocation</w:t>
      </w:r>
      <w:r w:rsidR="00A12045">
        <w:rPr>
          <w:rFonts w:ascii="Times New Roman" w:hAnsi="Times New Roman" w:cs="Times New Roman"/>
        </w:rPr>
        <w:t xml:space="preserve"> (auction</w:t>
      </w:r>
      <w:r w:rsidR="004C6874">
        <w:rPr>
          <w:rFonts w:ascii="Times New Roman" w:hAnsi="Times New Roman" w:cs="Times New Roman"/>
        </w:rPr>
        <w:t>)</w:t>
      </w:r>
      <w:r w:rsidR="0091144B">
        <w:rPr>
          <w:rFonts w:ascii="Times New Roman" w:hAnsi="Times New Roman" w:cs="Times New Roman"/>
        </w:rPr>
        <w:t xml:space="preserve"> </w:t>
      </w:r>
      <w:r w:rsidR="00FA087C">
        <w:rPr>
          <w:rFonts w:ascii="Times New Roman" w:hAnsi="Times New Roman" w:cs="Times New Roman"/>
        </w:rPr>
        <w:t>of spectrum licences in th</w:t>
      </w:r>
      <w:r w:rsidR="007875BA">
        <w:rPr>
          <w:rFonts w:ascii="Times New Roman" w:hAnsi="Times New Roman" w:cs="Times New Roman"/>
        </w:rPr>
        <w:t>os</w:t>
      </w:r>
      <w:r w:rsidR="00FA087C">
        <w:rPr>
          <w:rFonts w:ascii="Times New Roman" w:hAnsi="Times New Roman" w:cs="Times New Roman"/>
        </w:rPr>
        <w:t>e bands</w:t>
      </w:r>
      <w:r w:rsidR="007875BA">
        <w:rPr>
          <w:rFonts w:ascii="Times New Roman" w:hAnsi="Times New Roman" w:cs="Times New Roman"/>
        </w:rPr>
        <w:t>,</w:t>
      </w:r>
      <w:r w:rsidR="00FA087C">
        <w:rPr>
          <w:rFonts w:ascii="Times New Roman" w:hAnsi="Times New Roman" w:cs="Times New Roman"/>
        </w:rPr>
        <w:t xml:space="preserve"> </w:t>
      </w:r>
      <w:r w:rsidR="003F0426">
        <w:rPr>
          <w:rFonts w:ascii="Times New Roman" w:hAnsi="Times New Roman" w:cs="Times New Roman"/>
        </w:rPr>
        <w:t xml:space="preserve">will remove a key regulatory barrier to </w:t>
      </w:r>
      <w:r w:rsidR="00D14B0C">
        <w:rPr>
          <w:rFonts w:ascii="Times New Roman" w:hAnsi="Times New Roman" w:cs="Times New Roman"/>
        </w:rPr>
        <w:t xml:space="preserve">the defragmentation of </w:t>
      </w:r>
      <w:r w:rsidR="00854F68">
        <w:rPr>
          <w:rFonts w:ascii="Times New Roman" w:hAnsi="Times New Roman" w:cs="Times New Roman"/>
        </w:rPr>
        <w:t>licensing arrangements in the 3.4</w:t>
      </w:r>
      <w:r w:rsidR="007875BA">
        <w:rPr>
          <w:rFonts w:ascii="Times New Roman" w:hAnsi="Times New Roman" w:cs="Times New Roman"/>
        </w:rPr>
        <w:t xml:space="preserve"> GHz to </w:t>
      </w:r>
      <w:r w:rsidR="00854F68">
        <w:rPr>
          <w:rFonts w:ascii="Times New Roman" w:hAnsi="Times New Roman" w:cs="Times New Roman"/>
        </w:rPr>
        <w:t xml:space="preserve">3.8 GHz frequency </w:t>
      </w:r>
      <w:r w:rsidR="007875BA">
        <w:rPr>
          <w:rFonts w:ascii="Times New Roman" w:hAnsi="Times New Roman" w:cs="Times New Roman"/>
        </w:rPr>
        <w:t xml:space="preserve">band </w:t>
      </w:r>
      <w:r w:rsidR="00384270">
        <w:rPr>
          <w:rFonts w:ascii="Times New Roman" w:hAnsi="Times New Roman" w:cs="Times New Roman"/>
        </w:rPr>
        <w:t>and make more s</w:t>
      </w:r>
      <w:r w:rsidR="00F44A31">
        <w:rPr>
          <w:rFonts w:ascii="Times New Roman" w:hAnsi="Times New Roman" w:cs="Times New Roman"/>
        </w:rPr>
        <w:t xml:space="preserve">pectrum available for </w:t>
      </w:r>
      <w:r w:rsidR="00757F65">
        <w:rPr>
          <w:rFonts w:ascii="Times New Roman" w:hAnsi="Times New Roman" w:cs="Times New Roman"/>
        </w:rPr>
        <w:t xml:space="preserve">5G </w:t>
      </w:r>
      <w:r w:rsidR="005C7623">
        <w:rPr>
          <w:rFonts w:ascii="Times New Roman" w:hAnsi="Times New Roman" w:cs="Times New Roman"/>
        </w:rPr>
        <w:t>services</w:t>
      </w:r>
      <w:r w:rsidR="00854F68">
        <w:rPr>
          <w:rFonts w:ascii="Times New Roman" w:hAnsi="Times New Roman" w:cs="Times New Roman"/>
        </w:rPr>
        <w:t xml:space="preserve">. </w:t>
      </w:r>
      <w:r w:rsidR="00874AAE" w:rsidRPr="00874AAE">
        <w:rPr>
          <w:rFonts w:ascii="Times New Roman" w:hAnsi="Times New Roman" w:cs="Times New Roman"/>
        </w:rPr>
        <w:t xml:space="preserve"> </w:t>
      </w:r>
    </w:p>
    <w:p w14:paraId="37FC9BB6" w14:textId="46850515" w:rsidR="00420F47" w:rsidRDefault="007875BA" w:rsidP="007C4127">
      <w:pPr>
        <w:rPr>
          <w:rFonts w:ascii="Times New Roman" w:hAnsi="Times New Roman" w:cs="Times New Roman"/>
        </w:rPr>
      </w:pPr>
      <w:r>
        <w:rPr>
          <w:rFonts w:ascii="Times New Roman" w:hAnsi="Times New Roman" w:cs="Times New Roman"/>
        </w:rPr>
        <w:t>The ACMA considers that s</w:t>
      </w:r>
      <w:r w:rsidR="00236C3B">
        <w:rPr>
          <w:rFonts w:ascii="Times New Roman" w:hAnsi="Times New Roman" w:cs="Times New Roman"/>
        </w:rPr>
        <w:t>pectrum licensing will deliver</w:t>
      </w:r>
      <w:r w:rsidR="005C09A1">
        <w:rPr>
          <w:rFonts w:ascii="Times New Roman" w:hAnsi="Times New Roman" w:cs="Times New Roman"/>
        </w:rPr>
        <w:t xml:space="preserve"> the most efficient allocatio</w:t>
      </w:r>
      <w:r w:rsidR="00AD28C6">
        <w:rPr>
          <w:rFonts w:ascii="Times New Roman" w:hAnsi="Times New Roman" w:cs="Times New Roman"/>
        </w:rPr>
        <w:t>n and use of the spectrum</w:t>
      </w:r>
      <w:r w:rsidR="00A66606">
        <w:rPr>
          <w:rFonts w:ascii="Times New Roman" w:hAnsi="Times New Roman" w:cs="Times New Roman"/>
        </w:rPr>
        <w:t xml:space="preserve"> in the 3.4</w:t>
      </w:r>
      <w:r>
        <w:rPr>
          <w:rFonts w:ascii="Times New Roman" w:hAnsi="Times New Roman" w:cs="Times New Roman"/>
        </w:rPr>
        <w:t xml:space="preserve"> GHz to </w:t>
      </w:r>
      <w:r w:rsidR="00A66606">
        <w:rPr>
          <w:rFonts w:ascii="Times New Roman" w:hAnsi="Times New Roman" w:cs="Times New Roman"/>
        </w:rPr>
        <w:t xml:space="preserve">3.8 GHz frequency </w:t>
      </w:r>
      <w:r>
        <w:rPr>
          <w:rFonts w:ascii="Times New Roman" w:hAnsi="Times New Roman" w:cs="Times New Roman"/>
        </w:rPr>
        <w:t>band</w:t>
      </w:r>
      <w:r w:rsidR="00AD28C6">
        <w:rPr>
          <w:rFonts w:ascii="Times New Roman" w:hAnsi="Times New Roman" w:cs="Times New Roman"/>
        </w:rPr>
        <w:t>. Spectrum</w:t>
      </w:r>
      <w:r w:rsidR="00A40F40">
        <w:rPr>
          <w:rFonts w:ascii="Times New Roman" w:hAnsi="Times New Roman" w:cs="Times New Roman"/>
        </w:rPr>
        <w:t xml:space="preserve"> licen</w:t>
      </w:r>
      <w:r>
        <w:rPr>
          <w:rFonts w:ascii="Times New Roman" w:hAnsi="Times New Roman" w:cs="Times New Roman"/>
        </w:rPr>
        <w:t>c</w:t>
      </w:r>
      <w:r w:rsidR="00A40F40">
        <w:rPr>
          <w:rFonts w:ascii="Times New Roman" w:hAnsi="Times New Roman" w:cs="Times New Roman"/>
        </w:rPr>
        <w:t xml:space="preserve">es provide licensees with </w:t>
      </w:r>
      <w:r w:rsidR="00A82DB9">
        <w:rPr>
          <w:rFonts w:ascii="Times New Roman" w:hAnsi="Times New Roman" w:cs="Times New Roman"/>
        </w:rPr>
        <w:t>the flexibility</w:t>
      </w:r>
      <w:r w:rsidR="00553263">
        <w:rPr>
          <w:rFonts w:ascii="Times New Roman" w:hAnsi="Times New Roman" w:cs="Times New Roman"/>
        </w:rPr>
        <w:t xml:space="preserve"> to encourage </w:t>
      </w:r>
      <w:r w:rsidR="003C0EF4">
        <w:rPr>
          <w:rFonts w:ascii="Times New Roman" w:hAnsi="Times New Roman" w:cs="Times New Roman"/>
        </w:rPr>
        <w:t xml:space="preserve">them to be innovative and </w:t>
      </w:r>
      <w:r w:rsidR="00553263">
        <w:rPr>
          <w:rFonts w:ascii="Times New Roman" w:hAnsi="Times New Roman" w:cs="Times New Roman"/>
        </w:rPr>
        <w:t xml:space="preserve">to </w:t>
      </w:r>
      <w:r w:rsidR="004D0492">
        <w:rPr>
          <w:rFonts w:ascii="Times New Roman" w:hAnsi="Times New Roman" w:cs="Times New Roman"/>
        </w:rPr>
        <w:t>invest in infrastructure</w:t>
      </w:r>
      <w:r w:rsidR="00852964">
        <w:rPr>
          <w:rFonts w:ascii="Times New Roman" w:hAnsi="Times New Roman" w:cs="Times New Roman"/>
        </w:rPr>
        <w:t xml:space="preserve">. </w:t>
      </w:r>
    </w:p>
    <w:p w14:paraId="5626199D" w14:textId="2CB81014" w:rsidR="00BB4ED0" w:rsidRDefault="00852964" w:rsidP="007C4127">
      <w:pPr>
        <w:rPr>
          <w:rFonts w:ascii="Times New Roman" w:hAnsi="Times New Roman" w:cs="Times New Roman"/>
        </w:rPr>
      </w:pPr>
      <w:r>
        <w:rPr>
          <w:rFonts w:ascii="Times New Roman" w:hAnsi="Times New Roman" w:cs="Times New Roman"/>
        </w:rPr>
        <w:t>The ACMA intends</w:t>
      </w:r>
      <w:r w:rsidR="003C319C">
        <w:rPr>
          <w:rFonts w:ascii="Times New Roman" w:hAnsi="Times New Roman" w:cs="Times New Roman"/>
        </w:rPr>
        <w:t xml:space="preserve"> </w:t>
      </w:r>
      <w:r>
        <w:rPr>
          <w:rFonts w:ascii="Times New Roman" w:hAnsi="Times New Roman" w:cs="Times New Roman"/>
        </w:rPr>
        <w:t xml:space="preserve">to conduct </w:t>
      </w:r>
      <w:r w:rsidR="00890634">
        <w:rPr>
          <w:rFonts w:ascii="Times New Roman" w:hAnsi="Times New Roman" w:cs="Times New Roman"/>
        </w:rPr>
        <w:t xml:space="preserve">an </w:t>
      </w:r>
      <w:r>
        <w:rPr>
          <w:rFonts w:ascii="Times New Roman" w:hAnsi="Times New Roman" w:cs="Times New Roman"/>
        </w:rPr>
        <w:t>auction</w:t>
      </w:r>
      <w:r w:rsidR="00890634">
        <w:rPr>
          <w:rFonts w:ascii="Times New Roman" w:hAnsi="Times New Roman" w:cs="Times New Roman"/>
        </w:rPr>
        <w:t xml:space="preserve"> for spectrum licences </w:t>
      </w:r>
      <w:r w:rsidR="00E836F5">
        <w:rPr>
          <w:rFonts w:ascii="Times New Roman" w:hAnsi="Times New Roman" w:cs="Times New Roman"/>
        </w:rPr>
        <w:t xml:space="preserve">in the </w:t>
      </w:r>
      <w:r w:rsidR="003055F4">
        <w:rPr>
          <w:rFonts w:ascii="Times New Roman" w:hAnsi="Times New Roman" w:cs="Times New Roman"/>
        </w:rPr>
        <w:t xml:space="preserve">following </w:t>
      </w:r>
      <w:r w:rsidR="00E836F5">
        <w:rPr>
          <w:rFonts w:ascii="Times New Roman" w:hAnsi="Times New Roman" w:cs="Times New Roman"/>
        </w:rPr>
        <w:t xml:space="preserve">frequency </w:t>
      </w:r>
      <w:r w:rsidR="003055F4">
        <w:rPr>
          <w:rFonts w:ascii="Times New Roman" w:hAnsi="Times New Roman" w:cs="Times New Roman"/>
        </w:rPr>
        <w:t>bands</w:t>
      </w:r>
      <w:r w:rsidR="00BB4ED0">
        <w:rPr>
          <w:rFonts w:ascii="Times New Roman" w:hAnsi="Times New Roman" w:cs="Times New Roman"/>
        </w:rPr>
        <w:t>:</w:t>
      </w:r>
      <w:r w:rsidR="00420F47">
        <w:rPr>
          <w:rFonts w:ascii="Times New Roman" w:hAnsi="Times New Roman" w:cs="Times New Roman"/>
        </w:rPr>
        <w:t xml:space="preserve"> </w:t>
      </w:r>
    </w:p>
    <w:p w14:paraId="09A5ACAF" w14:textId="358B3E32" w:rsidR="001E6DED" w:rsidRDefault="00420F47" w:rsidP="001E6DED">
      <w:pPr>
        <w:pStyle w:val="ListParagraph"/>
        <w:numPr>
          <w:ilvl w:val="0"/>
          <w:numId w:val="13"/>
        </w:numPr>
        <w:rPr>
          <w:rFonts w:ascii="Times New Roman" w:hAnsi="Times New Roman" w:cs="Times New Roman"/>
        </w:rPr>
      </w:pPr>
      <w:r>
        <w:rPr>
          <w:rFonts w:ascii="Times New Roman" w:hAnsi="Times New Roman" w:cs="Times New Roman"/>
        </w:rPr>
        <w:t>3400 MHz to 3</w:t>
      </w:r>
      <w:r w:rsidR="002E2833">
        <w:rPr>
          <w:rFonts w:ascii="Times New Roman" w:hAnsi="Times New Roman" w:cs="Times New Roman"/>
        </w:rPr>
        <w:t>442.5 MHz and 3475</w:t>
      </w:r>
      <w:r>
        <w:rPr>
          <w:rFonts w:ascii="Times New Roman" w:hAnsi="Times New Roman" w:cs="Times New Roman"/>
        </w:rPr>
        <w:t xml:space="preserve"> MHz</w:t>
      </w:r>
      <w:r w:rsidR="00617756">
        <w:rPr>
          <w:rFonts w:ascii="Times New Roman" w:hAnsi="Times New Roman" w:cs="Times New Roman"/>
        </w:rPr>
        <w:t xml:space="preserve"> to 3575 MHz</w:t>
      </w:r>
      <w:r w:rsidR="003055F4">
        <w:rPr>
          <w:rFonts w:ascii="Times New Roman" w:hAnsi="Times New Roman" w:cs="Times New Roman"/>
        </w:rPr>
        <w:t>,</w:t>
      </w:r>
      <w:r w:rsidR="009F15C2">
        <w:rPr>
          <w:rFonts w:ascii="Times New Roman" w:hAnsi="Times New Roman" w:cs="Times New Roman"/>
        </w:rPr>
        <w:t xml:space="preserve"> in </w:t>
      </w:r>
      <w:r w:rsidR="003055F4">
        <w:rPr>
          <w:rFonts w:ascii="Times New Roman" w:hAnsi="Times New Roman" w:cs="Times New Roman"/>
        </w:rPr>
        <w:t xml:space="preserve">respect of different </w:t>
      </w:r>
      <w:r w:rsidR="009F15C2">
        <w:rPr>
          <w:rFonts w:ascii="Times New Roman" w:hAnsi="Times New Roman" w:cs="Times New Roman"/>
        </w:rPr>
        <w:t>major</w:t>
      </w:r>
      <w:r w:rsidR="00BB4ED0">
        <w:rPr>
          <w:rFonts w:ascii="Times New Roman" w:hAnsi="Times New Roman" w:cs="Times New Roman"/>
        </w:rPr>
        <w:t xml:space="preserve"> regional centres and </w:t>
      </w:r>
      <w:r w:rsidR="001E6DED">
        <w:rPr>
          <w:rFonts w:ascii="Times New Roman" w:hAnsi="Times New Roman" w:cs="Times New Roman"/>
        </w:rPr>
        <w:t>regional areas</w:t>
      </w:r>
      <w:r w:rsidR="003055F4">
        <w:rPr>
          <w:rFonts w:ascii="Times New Roman" w:hAnsi="Times New Roman" w:cs="Times New Roman"/>
        </w:rPr>
        <w:t xml:space="preserve"> across the bands</w:t>
      </w:r>
      <w:r w:rsidR="001E6DED">
        <w:rPr>
          <w:rFonts w:ascii="Times New Roman" w:hAnsi="Times New Roman" w:cs="Times New Roman"/>
        </w:rPr>
        <w:t xml:space="preserve"> </w:t>
      </w:r>
      <w:r w:rsidRPr="001E6DED">
        <w:rPr>
          <w:rFonts w:ascii="Times New Roman" w:hAnsi="Times New Roman" w:cs="Times New Roman"/>
        </w:rPr>
        <w:t>(</w:t>
      </w:r>
      <w:r w:rsidR="00CF7D0B" w:rsidRPr="00B66A9B">
        <w:rPr>
          <w:rFonts w:ascii="Times New Roman" w:hAnsi="Times New Roman" w:cs="Times New Roman"/>
          <w:b/>
          <w:bCs/>
        </w:rPr>
        <w:t>regional 3.4 GHz band</w:t>
      </w:r>
      <w:r w:rsidR="00CF7D0B" w:rsidRPr="001E6DED">
        <w:rPr>
          <w:rFonts w:ascii="Times New Roman" w:hAnsi="Times New Roman" w:cs="Times New Roman"/>
        </w:rPr>
        <w:t>)</w:t>
      </w:r>
      <w:r w:rsidR="001E6DED">
        <w:rPr>
          <w:rFonts w:ascii="Times New Roman" w:hAnsi="Times New Roman" w:cs="Times New Roman"/>
        </w:rPr>
        <w:t>;</w:t>
      </w:r>
      <w:r w:rsidR="00EA6A9F">
        <w:rPr>
          <w:rFonts w:ascii="Times New Roman" w:hAnsi="Times New Roman" w:cs="Times New Roman"/>
        </w:rPr>
        <w:t xml:space="preserve"> and</w:t>
      </w:r>
    </w:p>
    <w:p w14:paraId="24775278" w14:textId="73C7CFA0" w:rsidR="00E5228B" w:rsidRPr="009E6120" w:rsidRDefault="00A12D2B" w:rsidP="00F24CD2">
      <w:pPr>
        <w:pStyle w:val="ListParagraph"/>
        <w:numPr>
          <w:ilvl w:val="0"/>
          <w:numId w:val="13"/>
        </w:numPr>
        <w:rPr>
          <w:rFonts w:ascii="Times New Roman" w:hAnsi="Times New Roman" w:cs="Times New Roman"/>
        </w:rPr>
      </w:pPr>
      <w:r w:rsidRPr="009E6120">
        <w:rPr>
          <w:rFonts w:ascii="Times New Roman" w:hAnsi="Times New Roman" w:cs="Times New Roman"/>
        </w:rPr>
        <w:t>3700 MHz to</w:t>
      </w:r>
      <w:r w:rsidR="00EB410E" w:rsidRPr="009E6120">
        <w:rPr>
          <w:rFonts w:ascii="Times New Roman" w:hAnsi="Times New Roman" w:cs="Times New Roman"/>
        </w:rPr>
        <w:t xml:space="preserve"> 3</w:t>
      </w:r>
      <w:r w:rsidR="009E6120" w:rsidRPr="009E6120">
        <w:rPr>
          <w:rFonts w:ascii="Times New Roman" w:hAnsi="Times New Roman" w:cs="Times New Roman"/>
        </w:rPr>
        <w:t>800</w:t>
      </w:r>
      <w:r w:rsidR="00EB410E" w:rsidRPr="009E6120">
        <w:rPr>
          <w:rFonts w:ascii="Times New Roman" w:hAnsi="Times New Roman" w:cs="Times New Roman"/>
        </w:rPr>
        <w:t xml:space="preserve"> MHz</w:t>
      </w:r>
      <w:r w:rsidR="003055F4">
        <w:rPr>
          <w:rFonts w:ascii="Times New Roman" w:hAnsi="Times New Roman" w:cs="Times New Roman"/>
        </w:rPr>
        <w:t>,</w:t>
      </w:r>
      <w:r w:rsidR="00EB410E" w:rsidRPr="009E6120">
        <w:rPr>
          <w:rFonts w:ascii="Times New Roman" w:hAnsi="Times New Roman" w:cs="Times New Roman"/>
        </w:rPr>
        <w:t xml:space="preserve"> in</w:t>
      </w:r>
      <w:r w:rsidR="003055F4">
        <w:rPr>
          <w:rFonts w:ascii="Times New Roman" w:hAnsi="Times New Roman" w:cs="Times New Roman"/>
        </w:rPr>
        <w:t xml:space="preserve"> respect of different</w:t>
      </w:r>
      <w:r w:rsidR="00EB410E" w:rsidRPr="009E6120">
        <w:rPr>
          <w:rFonts w:ascii="Times New Roman" w:hAnsi="Times New Roman" w:cs="Times New Roman"/>
        </w:rPr>
        <w:t xml:space="preserve"> metropolitan and regional areas </w:t>
      </w:r>
      <w:r w:rsidR="003055F4">
        <w:rPr>
          <w:rFonts w:ascii="Times New Roman" w:hAnsi="Times New Roman" w:cs="Times New Roman"/>
        </w:rPr>
        <w:t xml:space="preserve">across the band </w:t>
      </w:r>
      <w:r w:rsidRPr="009E6120">
        <w:rPr>
          <w:rFonts w:ascii="Times New Roman" w:hAnsi="Times New Roman" w:cs="Times New Roman"/>
        </w:rPr>
        <w:t>(</w:t>
      </w:r>
      <w:r w:rsidRPr="00B66A9B">
        <w:rPr>
          <w:rFonts w:ascii="Times New Roman" w:hAnsi="Times New Roman" w:cs="Times New Roman"/>
          <w:b/>
          <w:bCs/>
        </w:rPr>
        <w:t>3.7 GHz band</w:t>
      </w:r>
      <w:r w:rsidRPr="009E6120">
        <w:rPr>
          <w:rFonts w:ascii="Times New Roman" w:hAnsi="Times New Roman" w:cs="Times New Roman"/>
        </w:rPr>
        <w:t>)</w:t>
      </w:r>
      <w:r w:rsidR="00BB2068">
        <w:rPr>
          <w:rFonts w:ascii="Times New Roman" w:hAnsi="Times New Roman" w:cs="Times New Roman"/>
        </w:rPr>
        <w:t>.</w:t>
      </w:r>
    </w:p>
    <w:p w14:paraId="09B80AE9" w14:textId="4F4A1147" w:rsidR="00B62FFA" w:rsidRDefault="000D4564" w:rsidP="007C4127">
      <w:pPr>
        <w:rPr>
          <w:rFonts w:ascii="Times New Roman" w:hAnsi="Times New Roman" w:cs="Times New Roman"/>
        </w:rPr>
      </w:pPr>
      <w:r>
        <w:rPr>
          <w:rFonts w:ascii="Times New Roman" w:hAnsi="Times New Roman" w:cs="Times New Roman"/>
        </w:rPr>
        <w:lastRenderedPageBreak/>
        <w:t xml:space="preserve">The </w:t>
      </w:r>
      <w:r w:rsidR="00874AAE" w:rsidRPr="00874AAE">
        <w:rPr>
          <w:rFonts w:ascii="Times New Roman" w:hAnsi="Times New Roman" w:cs="Times New Roman"/>
        </w:rPr>
        <w:t xml:space="preserve">ACMA will </w:t>
      </w:r>
      <w:r w:rsidR="00D36179">
        <w:rPr>
          <w:rFonts w:ascii="Times New Roman" w:hAnsi="Times New Roman" w:cs="Times New Roman"/>
        </w:rPr>
        <w:t>conduct the allocation process</w:t>
      </w:r>
      <w:r w:rsidR="00874AAE" w:rsidRPr="00874AAE">
        <w:rPr>
          <w:rFonts w:ascii="Times New Roman" w:hAnsi="Times New Roman" w:cs="Times New Roman"/>
        </w:rPr>
        <w:t xml:space="preserve"> within the framework of the Act, th</w:t>
      </w:r>
      <w:r w:rsidR="00E76B4C">
        <w:rPr>
          <w:rFonts w:ascii="Times New Roman" w:hAnsi="Times New Roman" w:cs="Times New Roman"/>
        </w:rPr>
        <w:t>is</w:t>
      </w:r>
      <w:r w:rsidR="003E2463">
        <w:rPr>
          <w:rFonts w:ascii="Times New Roman" w:hAnsi="Times New Roman" w:cs="Times New Roman"/>
        </w:rPr>
        <w:t xml:space="preserve"> </w:t>
      </w:r>
      <w:r w:rsidR="00D93CA0">
        <w:rPr>
          <w:rFonts w:ascii="Times New Roman" w:hAnsi="Times New Roman" w:cs="Times New Roman"/>
        </w:rPr>
        <w:t>instrument</w:t>
      </w:r>
      <w:r w:rsidR="00874AAE" w:rsidRPr="00874AAE">
        <w:rPr>
          <w:rFonts w:ascii="Times New Roman" w:hAnsi="Times New Roman" w:cs="Times New Roman"/>
        </w:rPr>
        <w:t xml:space="preserve"> and the </w:t>
      </w:r>
      <w:r w:rsidR="007114B4">
        <w:rPr>
          <w:rFonts w:ascii="Times New Roman" w:hAnsi="Times New Roman" w:cs="Times New Roman"/>
        </w:rPr>
        <w:t>Policy Statement</w:t>
      </w:r>
      <w:r w:rsidR="00874AAE" w:rsidRPr="00874AAE">
        <w:rPr>
          <w:rFonts w:ascii="Times New Roman" w:hAnsi="Times New Roman" w:cs="Times New Roman"/>
        </w:rPr>
        <w:t>.</w:t>
      </w:r>
    </w:p>
    <w:p w14:paraId="62529848" w14:textId="77777777" w:rsidR="004C58B9" w:rsidRDefault="004C58B9" w:rsidP="004C58B9">
      <w:pPr>
        <w:rPr>
          <w:rFonts w:ascii="Times New Roman" w:hAnsi="Times New Roman" w:cs="Times New Roman"/>
        </w:rPr>
      </w:pPr>
      <w:r>
        <w:rPr>
          <w:rFonts w:ascii="Times New Roman" w:hAnsi="Times New Roman" w:cs="Times New Roman"/>
        </w:rPr>
        <w:t xml:space="preserve">A provision-by-provision description of the instrument is set out in the notes at </w:t>
      </w:r>
      <w:r>
        <w:rPr>
          <w:rFonts w:ascii="Times New Roman" w:hAnsi="Times New Roman" w:cs="Times New Roman"/>
          <w:b/>
        </w:rPr>
        <w:t>Attachment A</w:t>
      </w:r>
      <w:r>
        <w:rPr>
          <w:rFonts w:ascii="Times New Roman" w:hAnsi="Times New Roman" w:cs="Times New Roman"/>
        </w:rPr>
        <w:t>.</w:t>
      </w:r>
    </w:p>
    <w:p w14:paraId="15A8EB95" w14:textId="548D1096" w:rsidR="004C58B9" w:rsidRDefault="004C58B9" w:rsidP="004C58B9">
      <w:pPr>
        <w:rPr>
          <w:rFonts w:ascii="Times New Roman" w:hAnsi="Times New Roman" w:cs="Times New Roman"/>
        </w:rPr>
      </w:pPr>
      <w:r>
        <w:rPr>
          <w:rFonts w:ascii="Times New Roman" w:hAnsi="Times New Roman" w:cs="Times New Roman"/>
        </w:rPr>
        <w:t xml:space="preserve">The instrument is a </w:t>
      </w:r>
      <w:r w:rsidR="007114B4">
        <w:rPr>
          <w:rFonts w:ascii="Times New Roman" w:hAnsi="Times New Roman" w:cs="Times New Roman"/>
        </w:rPr>
        <w:t xml:space="preserve">disallowable </w:t>
      </w:r>
      <w:r>
        <w:rPr>
          <w:rFonts w:ascii="Times New Roman" w:hAnsi="Times New Roman" w:cs="Times New Roman"/>
        </w:rPr>
        <w:t xml:space="preserve">legislative instrument for the purposes of the </w:t>
      </w:r>
      <w:r>
        <w:rPr>
          <w:rFonts w:ascii="Times New Roman" w:hAnsi="Times New Roman" w:cs="Times New Roman"/>
          <w:i/>
        </w:rPr>
        <w:t xml:space="preserve">Legislation Act 2003 </w:t>
      </w:r>
      <w:r>
        <w:rPr>
          <w:rFonts w:ascii="Times New Roman" w:hAnsi="Times New Roman" w:cs="Times New Roman"/>
        </w:rPr>
        <w:t>(</w:t>
      </w:r>
      <w:r>
        <w:rPr>
          <w:rFonts w:ascii="Times New Roman" w:hAnsi="Times New Roman" w:cs="Times New Roman"/>
          <w:b/>
        </w:rPr>
        <w:t>the LA</w:t>
      </w:r>
      <w:r>
        <w:rPr>
          <w:rFonts w:ascii="Times New Roman" w:hAnsi="Times New Roman" w:cs="Times New Roman"/>
        </w:rPr>
        <w:t>).</w:t>
      </w:r>
    </w:p>
    <w:p w14:paraId="7992ECD9" w14:textId="77777777" w:rsidR="004C76EA" w:rsidRDefault="004C76EA" w:rsidP="004C76EA">
      <w:pPr>
        <w:rPr>
          <w:rFonts w:ascii="Times New Roman" w:hAnsi="Times New Roman" w:cs="Times New Roman"/>
        </w:rPr>
      </w:pPr>
      <w:r>
        <w:rPr>
          <w:rFonts w:ascii="Times New Roman" w:hAnsi="Times New Roman" w:cs="Times New Roman"/>
        </w:rPr>
        <w:t xml:space="preserve">In accordance with item 55 of the table at section 12 of the </w:t>
      </w:r>
      <w:r>
        <w:rPr>
          <w:rFonts w:ascii="Times New Roman" w:hAnsi="Times New Roman" w:cs="Times New Roman"/>
          <w:i/>
          <w:iCs/>
        </w:rPr>
        <w:t xml:space="preserve">Legislation (Exemption and Other Matters) Regulation 2015 </w:t>
      </w:r>
      <w:r>
        <w:rPr>
          <w:rFonts w:ascii="Times New Roman" w:hAnsi="Times New Roman" w:cs="Times New Roman"/>
        </w:rPr>
        <w:t>(</w:t>
      </w:r>
      <w:r>
        <w:rPr>
          <w:rFonts w:ascii="Times New Roman" w:hAnsi="Times New Roman" w:cs="Times New Roman"/>
          <w:b/>
          <w:bCs/>
        </w:rPr>
        <w:t>the Regulation</w:t>
      </w:r>
      <w:r>
        <w:rPr>
          <w:rFonts w:ascii="Times New Roman" w:hAnsi="Times New Roman" w:cs="Times New Roman"/>
        </w:rPr>
        <w:t>), the instrument is not subject to sunsetting under Part 4 of Chapter 3 of the LA. According to the explanatory statement for the regulation, commercial certainty would be undermined by the sunsetting of the instrument. There are a number of factors that point to the benefit of commercial certainty being undermined if the instrument were to sunset, and which suggest that the instrument is intended to be enduring. In particular:</w:t>
      </w:r>
    </w:p>
    <w:p w14:paraId="149536C6" w14:textId="77777777" w:rsidR="004C76EA" w:rsidRDefault="004C76EA" w:rsidP="004C76EA">
      <w:pPr>
        <w:pStyle w:val="ListParagraph"/>
        <w:numPr>
          <w:ilvl w:val="0"/>
          <w:numId w:val="24"/>
        </w:numPr>
        <w:spacing w:line="252" w:lineRule="auto"/>
        <w:rPr>
          <w:rFonts w:ascii="Times New Roman" w:eastAsia="Times New Roman" w:hAnsi="Times New Roman" w:cs="Times New Roman"/>
        </w:rPr>
      </w:pPr>
      <w:r>
        <w:rPr>
          <w:rFonts w:ascii="Times New Roman" w:eastAsia="Times New Roman" w:hAnsi="Times New Roman" w:cs="Times New Roman"/>
        </w:rPr>
        <w:t>The use of the radiofrequency spectrum is of substantial value and importance to Australia. Many functions of industry, commerce, medicine, entertainment and social interaction rely on the use of the spectrum. This spectrum is important for WBB and other uses which contribute significantly to Australian society and the Australian economy.</w:t>
      </w:r>
    </w:p>
    <w:p w14:paraId="3B62F9CF" w14:textId="77777777" w:rsidR="004C76EA" w:rsidRDefault="004C76EA" w:rsidP="004C76EA">
      <w:pPr>
        <w:pStyle w:val="ListParagraph"/>
        <w:numPr>
          <w:ilvl w:val="0"/>
          <w:numId w:val="24"/>
        </w:numPr>
        <w:spacing w:line="252" w:lineRule="auto"/>
        <w:rPr>
          <w:rFonts w:ascii="Times New Roman" w:eastAsia="Times New Roman" w:hAnsi="Times New Roman" w:cs="Times New Roman"/>
        </w:rPr>
      </w:pPr>
      <w:r>
        <w:rPr>
          <w:rFonts w:ascii="Times New Roman" w:eastAsia="Times New Roman" w:hAnsi="Times New Roman" w:cs="Times New Roman"/>
        </w:rPr>
        <w:t>This instrument declares that the 3.4 GHz and 3.7 GHz bands be re-allocated by issuing spectrum licences. The effect of this instrument is to commence a process for the re-allocation of valuable spectrum, some of which is currently in use by apparatus licensees, by issuing spectrum licences. Providers of WBB and other services rely both on access to spectrum and the deployment of significant infrastructure, especially the radiocommunications transmitters used to provide these services. Accordingly, substantial investment decisions may be made in reliance on the instrument’s continuing effect. The decisions in relation to those investments may be undermined by the sunsetting of the instrument.</w:t>
      </w:r>
    </w:p>
    <w:p w14:paraId="5F1656A9" w14:textId="77777777" w:rsidR="004C76EA" w:rsidRPr="0033721F" w:rsidRDefault="004C76EA" w:rsidP="004C76EA">
      <w:pPr>
        <w:pStyle w:val="ListParagraph"/>
        <w:numPr>
          <w:ilvl w:val="0"/>
          <w:numId w:val="24"/>
        </w:numPr>
        <w:spacing w:line="252" w:lineRule="auto"/>
        <w:rPr>
          <w:rFonts w:ascii="Times New Roman" w:eastAsia="Times New Roman" w:hAnsi="Times New Roman" w:cs="Times New Roman"/>
        </w:rPr>
      </w:pPr>
      <w:r w:rsidRPr="79DAD29D">
        <w:rPr>
          <w:rFonts w:ascii="Times New Roman" w:eastAsia="Times New Roman" w:hAnsi="Times New Roman" w:cs="Times New Roman"/>
        </w:rPr>
        <w:t>The spectrum covered by the instrument may not all be allocated at the first opportunity; for any unsold spectrum, there may be a future allocation process. As any spectrum licences allocated at the first opportunity may have long licence periods (up to 20 years), future allocation or renewal processes could take place some substantial time after the first allocation process.</w:t>
      </w:r>
    </w:p>
    <w:p w14:paraId="770770C6" w14:textId="77777777" w:rsidR="004C76EA" w:rsidRDefault="004C76EA" w:rsidP="004C76EA">
      <w:pPr>
        <w:pStyle w:val="ListParagraph"/>
        <w:numPr>
          <w:ilvl w:val="0"/>
          <w:numId w:val="24"/>
        </w:numPr>
        <w:spacing w:line="252" w:lineRule="auto"/>
        <w:rPr>
          <w:rFonts w:ascii="Times New Roman" w:eastAsia="Times New Roman" w:hAnsi="Times New Roman" w:cs="Times New Roman"/>
        </w:rPr>
      </w:pPr>
      <w:r>
        <w:rPr>
          <w:rFonts w:ascii="Times New Roman" w:eastAsia="Times New Roman" w:hAnsi="Times New Roman" w:cs="Times New Roman"/>
        </w:rPr>
        <w:t xml:space="preserve">The allocation of spectrum licences will result in the cancellation of the existing apparatus licences, from the end of the re-allocation period (section 153H of the Act). Existing apparatus licensees will rely on the re-allocation declaration to know when their licences will be cancelled. </w:t>
      </w:r>
    </w:p>
    <w:p w14:paraId="737E64E5" w14:textId="77777777" w:rsidR="004C76EA" w:rsidRDefault="004C76EA" w:rsidP="004C76EA">
      <w:pPr>
        <w:pStyle w:val="ListParagraph"/>
        <w:numPr>
          <w:ilvl w:val="0"/>
          <w:numId w:val="24"/>
        </w:numPr>
        <w:spacing w:line="252" w:lineRule="auto"/>
        <w:rPr>
          <w:rFonts w:ascii="Times New Roman" w:eastAsia="Times New Roman" w:hAnsi="Times New Roman" w:cs="Times New Roman"/>
        </w:rPr>
      </w:pPr>
      <w:r>
        <w:rPr>
          <w:rFonts w:ascii="Times New Roman" w:eastAsia="Times New Roman" w:hAnsi="Times New Roman" w:cs="Times New Roman"/>
        </w:rPr>
        <w:t xml:space="preserve">Once the ACMA begins allocating spectrum licences as a result of the instrument, the ACMA must not revoke the instrument (subsection 153J(1) of the Act), and has limited powers to vary the instrument (subsections 153J(2)and (2A) of the Act). The only way for a spectrum re-allocation declaration to be revoked under the Act is if the ACMA has not allocated any spectrum licences before the re-allocation deadline (section 153K of the Act). </w:t>
      </w:r>
    </w:p>
    <w:p w14:paraId="52F1A6E4" w14:textId="77777777" w:rsidR="004C76EA" w:rsidRDefault="004C76EA" w:rsidP="004C76EA">
      <w:pPr>
        <w:rPr>
          <w:rFonts w:ascii="Times New Roman" w:hAnsi="Times New Roman" w:cs="Times New Roman"/>
        </w:rPr>
      </w:pPr>
      <w:r>
        <w:rPr>
          <w:rFonts w:ascii="Times New Roman" w:hAnsi="Times New Roman" w:cs="Times New Roman"/>
        </w:rPr>
        <w:t>Parliament continues to have oversight of the instrument, as it is subject to disallowance. It also has oversight through other mechanisms (e.g., the relevant Senate Estimates Committee).</w:t>
      </w:r>
    </w:p>
    <w:p w14:paraId="0C627C6A" w14:textId="77777777" w:rsidR="004C58B9" w:rsidRDefault="004C58B9" w:rsidP="004C58B9">
      <w:pPr>
        <w:rPr>
          <w:rFonts w:ascii="Times New Roman" w:hAnsi="Times New Roman" w:cs="Times New Roman"/>
          <w:b/>
        </w:rPr>
      </w:pPr>
      <w:r>
        <w:rPr>
          <w:rFonts w:ascii="Times New Roman" w:hAnsi="Times New Roman" w:cs="Times New Roman"/>
          <w:b/>
        </w:rPr>
        <w:t>Documents incorporated by reference</w:t>
      </w:r>
    </w:p>
    <w:p w14:paraId="47D27A60" w14:textId="6D4C7183" w:rsidR="009D1930" w:rsidRDefault="0083505E" w:rsidP="00A33962">
      <w:pPr>
        <w:rPr>
          <w:rFonts w:ascii="Times New Roman" w:hAnsi="Times New Roman" w:cs="Times New Roman"/>
        </w:rPr>
      </w:pPr>
      <w:r w:rsidRPr="00A33962">
        <w:rPr>
          <w:rFonts w:ascii="Times New Roman" w:hAnsi="Times New Roman" w:cs="Times New Roman"/>
        </w:rPr>
        <w:t>Subsection 314</w:t>
      </w:r>
      <w:bookmarkStart w:id="4" w:name="_Int_jzcWUXOC"/>
      <w:r w:rsidRPr="00A33962">
        <w:rPr>
          <w:rFonts w:ascii="Times New Roman" w:hAnsi="Times New Roman" w:cs="Times New Roman"/>
        </w:rPr>
        <w:t>A(</w:t>
      </w:r>
      <w:bookmarkEnd w:id="4"/>
      <w:r w:rsidRPr="00A33962">
        <w:rPr>
          <w:rFonts w:ascii="Times New Roman" w:hAnsi="Times New Roman" w:cs="Times New Roman"/>
        </w:rPr>
        <w:t>1) of the Act provides that an instrument under the Act may make provision in relation to a matter by applying, adopting or incorporating (with or without modifications) provisions of any Act as in force at a particular time, or as in force from time to time. Subsection 314</w:t>
      </w:r>
      <w:bookmarkStart w:id="5" w:name="_Int_Ec1tI6J7"/>
      <w:r w:rsidRPr="00A33962">
        <w:rPr>
          <w:rFonts w:ascii="Times New Roman" w:hAnsi="Times New Roman" w:cs="Times New Roman"/>
        </w:rPr>
        <w:t>A(</w:t>
      </w:r>
      <w:bookmarkEnd w:id="5"/>
      <w:r w:rsidRPr="00A33962">
        <w:rPr>
          <w:rFonts w:ascii="Times New Roman" w:hAnsi="Times New Roman" w:cs="Times New Roman"/>
        </w:rPr>
        <w:t xml:space="preserve">2) of the Act provides that an instrument under the Act may make provision in relation to a matter by applying, </w:t>
      </w:r>
      <w:r w:rsidRPr="00A33962">
        <w:rPr>
          <w:rFonts w:ascii="Times New Roman" w:hAnsi="Times New Roman" w:cs="Times New Roman"/>
        </w:rPr>
        <w:lastRenderedPageBreak/>
        <w:t xml:space="preserve">adopting or incorporating (with or without modifications) matters contained in any other instrument or writing as in force or existing at a particular time or from time to time. </w:t>
      </w:r>
    </w:p>
    <w:p w14:paraId="7F145EA7" w14:textId="534D8CF2" w:rsidR="00506A16" w:rsidRPr="00645DF0" w:rsidRDefault="00CF703A" w:rsidP="00645DF0">
      <w:pPr>
        <w:spacing w:line="259" w:lineRule="auto"/>
        <w:rPr>
          <w:rFonts w:ascii="Times New Roman" w:hAnsi="Times New Roman" w:cs="Times New Roman"/>
        </w:rPr>
      </w:pPr>
      <w:r>
        <w:rPr>
          <w:rFonts w:ascii="Times New Roman" w:hAnsi="Times New Roman" w:cs="Times New Roman"/>
        </w:rPr>
        <w:t xml:space="preserve">The instrument </w:t>
      </w:r>
      <w:r w:rsidR="00A25256">
        <w:rPr>
          <w:rFonts w:ascii="Times New Roman" w:hAnsi="Times New Roman" w:cs="Times New Roman"/>
        </w:rPr>
        <w:t>incorporates</w:t>
      </w:r>
      <w:r>
        <w:rPr>
          <w:rFonts w:ascii="Times New Roman" w:hAnsi="Times New Roman" w:cs="Times New Roman"/>
        </w:rPr>
        <w:t xml:space="preserve"> the </w:t>
      </w:r>
      <w:r w:rsidR="00B15445">
        <w:rPr>
          <w:rFonts w:ascii="Times New Roman" w:hAnsi="Times New Roman" w:cs="Times New Roman"/>
        </w:rPr>
        <w:t>Australian Spectrum Map Grid 2012</w:t>
      </w:r>
      <w:r w:rsidR="00800C9D">
        <w:rPr>
          <w:rFonts w:ascii="Times New Roman" w:hAnsi="Times New Roman" w:cs="Times New Roman"/>
        </w:rPr>
        <w:t xml:space="preserve"> as existing at the time the instr</w:t>
      </w:r>
      <w:r w:rsidR="00FF4214">
        <w:rPr>
          <w:rFonts w:ascii="Times New Roman" w:hAnsi="Times New Roman" w:cs="Times New Roman"/>
        </w:rPr>
        <w:t>ument commenced</w:t>
      </w:r>
      <w:r w:rsidR="00A25256">
        <w:rPr>
          <w:rFonts w:ascii="Times New Roman" w:hAnsi="Times New Roman" w:cs="Times New Roman"/>
        </w:rPr>
        <w:t xml:space="preserve">, </w:t>
      </w:r>
      <w:r w:rsidR="00455E06">
        <w:rPr>
          <w:rFonts w:ascii="Times New Roman" w:hAnsi="Times New Roman" w:cs="Times New Roman"/>
        </w:rPr>
        <w:t xml:space="preserve">published by the ACMA </w:t>
      </w:r>
      <w:r w:rsidR="000941DB">
        <w:rPr>
          <w:rFonts w:ascii="Times New Roman" w:hAnsi="Times New Roman" w:cs="Times New Roman"/>
        </w:rPr>
        <w:t>and available</w:t>
      </w:r>
      <w:r w:rsidR="00A25256">
        <w:rPr>
          <w:rFonts w:ascii="Times New Roman" w:hAnsi="Times New Roman" w:cs="Times New Roman"/>
        </w:rPr>
        <w:t>, free of charge,</w:t>
      </w:r>
      <w:r w:rsidR="000941DB">
        <w:rPr>
          <w:rFonts w:ascii="Times New Roman" w:hAnsi="Times New Roman" w:cs="Times New Roman"/>
        </w:rPr>
        <w:t xml:space="preserve"> on </w:t>
      </w:r>
      <w:r w:rsidR="00A25256">
        <w:rPr>
          <w:rFonts w:ascii="Times New Roman" w:hAnsi="Times New Roman" w:cs="Times New Roman"/>
        </w:rPr>
        <w:t>the ACMA’s</w:t>
      </w:r>
      <w:r w:rsidR="000941DB">
        <w:rPr>
          <w:rFonts w:ascii="Times New Roman" w:hAnsi="Times New Roman" w:cs="Times New Roman"/>
        </w:rPr>
        <w:t xml:space="preserve"> website at </w:t>
      </w:r>
      <w:hyperlink r:id="rId12" w:history="1">
        <w:r w:rsidR="000941DB" w:rsidRPr="006A0F24">
          <w:rPr>
            <w:rStyle w:val="Hyperlink"/>
            <w:rFonts w:ascii="Times New Roman" w:hAnsi="Times New Roman" w:cs="Times New Roman"/>
          </w:rPr>
          <w:t>www.acma.gov.au</w:t>
        </w:r>
      </w:hyperlink>
      <w:r w:rsidR="00A25256">
        <w:rPr>
          <w:rFonts w:ascii="Times New Roman" w:hAnsi="Times New Roman" w:cs="Times New Roman"/>
        </w:rPr>
        <w:t>.</w:t>
      </w:r>
    </w:p>
    <w:p w14:paraId="509EB80D" w14:textId="6132626F" w:rsidR="00A25256" w:rsidRPr="00A33962" w:rsidRDefault="00A25256" w:rsidP="00A25256">
      <w:pPr>
        <w:rPr>
          <w:rFonts w:ascii="Times New Roman" w:eastAsia="Times New Roman" w:hAnsi="Times New Roman" w:cs="Times New Roman"/>
          <w:lang w:eastAsia="en-AU"/>
        </w:rPr>
      </w:pPr>
      <w:r w:rsidRPr="00A33962">
        <w:rPr>
          <w:rFonts w:ascii="Times New Roman" w:hAnsi="Times New Roman" w:cs="Times New Roman"/>
        </w:rPr>
        <w:t xml:space="preserve">The following </w:t>
      </w:r>
      <w:r w:rsidR="00FD3434">
        <w:rPr>
          <w:rFonts w:ascii="Times New Roman" w:hAnsi="Times New Roman" w:cs="Times New Roman"/>
        </w:rPr>
        <w:t xml:space="preserve">Acts and </w:t>
      </w:r>
      <w:r w:rsidRPr="00A33962">
        <w:rPr>
          <w:rFonts w:ascii="Times New Roman" w:hAnsi="Times New Roman" w:cs="Times New Roman"/>
        </w:rPr>
        <w:t>legislative instruments</w:t>
      </w:r>
      <w:r>
        <w:rPr>
          <w:rFonts w:ascii="Times New Roman" w:hAnsi="Times New Roman" w:cs="Times New Roman"/>
        </w:rPr>
        <w:t xml:space="preserve"> </w:t>
      </w:r>
      <w:r w:rsidR="00FD3434">
        <w:rPr>
          <w:rFonts w:ascii="Times New Roman" w:hAnsi="Times New Roman" w:cs="Times New Roman"/>
        </w:rPr>
        <w:t>are referred to in the instrument, but are not incorporated by reference</w:t>
      </w:r>
      <w:r w:rsidRPr="00A33962">
        <w:rPr>
          <w:rFonts w:ascii="Times New Roman" w:eastAsia="Times New Roman" w:hAnsi="Times New Roman" w:cs="Times New Roman"/>
          <w:lang w:eastAsia="en-AU"/>
        </w:rPr>
        <w:t>:</w:t>
      </w:r>
    </w:p>
    <w:p w14:paraId="42FC6A03" w14:textId="703CF7F3" w:rsidR="00FD3434" w:rsidRDefault="00FD3434" w:rsidP="00A25256">
      <w:pPr>
        <w:pStyle w:val="ListParagraph"/>
        <w:numPr>
          <w:ilvl w:val="0"/>
          <w:numId w:val="14"/>
        </w:numPr>
        <w:rPr>
          <w:rFonts w:ascii="Times New Roman" w:hAnsi="Times New Roman" w:cs="Times New Roman"/>
        </w:rPr>
      </w:pPr>
      <w:r>
        <w:rPr>
          <w:rFonts w:ascii="Times New Roman" w:hAnsi="Times New Roman" w:cs="Times New Roman"/>
        </w:rPr>
        <w:t>the Act;</w:t>
      </w:r>
    </w:p>
    <w:p w14:paraId="7407A888" w14:textId="4CE331DB" w:rsidR="00A25256" w:rsidRDefault="00A25256" w:rsidP="00A25256">
      <w:pPr>
        <w:pStyle w:val="ListParagraph"/>
        <w:numPr>
          <w:ilvl w:val="0"/>
          <w:numId w:val="14"/>
        </w:numPr>
        <w:rPr>
          <w:rFonts w:ascii="Times New Roman" w:hAnsi="Times New Roman" w:cs="Times New Roman"/>
        </w:rPr>
      </w:pPr>
      <w:r>
        <w:rPr>
          <w:rFonts w:ascii="Times New Roman" w:hAnsi="Times New Roman" w:cs="Times New Roman"/>
        </w:rPr>
        <w:t xml:space="preserve">the </w:t>
      </w:r>
      <w:r w:rsidRPr="00220FDE">
        <w:rPr>
          <w:rFonts w:ascii="Times New Roman" w:hAnsi="Times New Roman" w:cs="Times New Roman"/>
          <w:i/>
          <w:iCs/>
        </w:rPr>
        <w:t>Acts Interpretation Act 1901</w:t>
      </w:r>
      <w:r>
        <w:rPr>
          <w:rFonts w:ascii="Times New Roman" w:hAnsi="Times New Roman" w:cs="Times New Roman"/>
        </w:rPr>
        <w:t>;</w:t>
      </w:r>
    </w:p>
    <w:p w14:paraId="64D95321" w14:textId="7605FBD5" w:rsidR="00A25256" w:rsidRPr="00E14F10" w:rsidRDefault="00A25256" w:rsidP="00A25256">
      <w:pPr>
        <w:pStyle w:val="ListParagraph"/>
        <w:numPr>
          <w:ilvl w:val="0"/>
          <w:numId w:val="14"/>
        </w:numPr>
        <w:rPr>
          <w:rFonts w:ascii="Times New Roman" w:hAnsi="Times New Roman" w:cs="Times New Roman"/>
        </w:rPr>
      </w:pPr>
      <w:r w:rsidRPr="00E14F10">
        <w:rPr>
          <w:rFonts w:ascii="Times New Roman" w:hAnsi="Times New Roman" w:cs="Times New Roman"/>
        </w:rPr>
        <w:t>the</w:t>
      </w:r>
      <w:r w:rsidR="00FD3434">
        <w:rPr>
          <w:rFonts w:ascii="Times New Roman" w:hAnsi="Times New Roman" w:cs="Times New Roman"/>
        </w:rPr>
        <w:t xml:space="preserve"> LA</w:t>
      </w:r>
      <w:r w:rsidRPr="00E14F10">
        <w:rPr>
          <w:rFonts w:ascii="Times New Roman" w:hAnsi="Times New Roman" w:cs="Times New Roman"/>
        </w:rPr>
        <w:t xml:space="preserve">. </w:t>
      </w:r>
    </w:p>
    <w:p w14:paraId="0056FE38" w14:textId="66AF5179" w:rsidR="00A25256" w:rsidRDefault="00A25256" w:rsidP="00A25256">
      <w:pPr>
        <w:spacing w:line="259" w:lineRule="auto"/>
        <w:rPr>
          <w:rFonts w:ascii="Times New Roman" w:hAnsi="Times New Roman" w:cs="Times New Roman"/>
        </w:rPr>
      </w:pPr>
      <w:r w:rsidRPr="00645DF0">
        <w:rPr>
          <w:rFonts w:ascii="Times New Roman" w:hAnsi="Times New Roman" w:cs="Times New Roman"/>
        </w:rPr>
        <w:t xml:space="preserve">The Acts listed above </w:t>
      </w:r>
      <w:r w:rsidR="00555159">
        <w:rPr>
          <w:rFonts w:ascii="Times New Roman" w:hAnsi="Times New Roman" w:cs="Times New Roman"/>
        </w:rPr>
        <w:t>are available</w:t>
      </w:r>
      <w:r w:rsidRPr="00645DF0">
        <w:rPr>
          <w:rFonts w:ascii="Times New Roman" w:hAnsi="Times New Roman" w:cs="Times New Roman"/>
        </w:rPr>
        <w:t xml:space="preserve">, free of charge, from the Federal Register of Legislation </w:t>
      </w:r>
      <w:r w:rsidR="00555159">
        <w:rPr>
          <w:rFonts w:ascii="Times New Roman" w:hAnsi="Times New Roman" w:cs="Times New Roman"/>
        </w:rPr>
        <w:t xml:space="preserve">at </w:t>
      </w:r>
      <w:hyperlink r:id="rId13" w:history="1">
        <w:r w:rsidRPr="00645DF0">
          <w:rPr>
            <w:rFonts w:ascii="Times New Roman" w:hAnsi="Times New Roman" w:cs="Times New Roman"/>
            <w:color w:val="0000FF"/>
            <w:u w:val="single"/>
          </w:rPr>
          <w:t>www.legislation.gov.au</w:t>
        </w:r>
      </w:hyperlink>
      <w:r w:rsidRPr="00645DF0">
        <w:rPr>
          <w:rFonts w:ascii="Times New Roman" w:hAnsi="Times New Roman" w:cs="Times New Roman"/>
        </w:rPr>
        <w:t>.</w:t>
      </w:r>
    </w:p>
    <w:p w14:paraId="2EFDFDBF" w14:textId="77777777" w:rsidR="004C58B9" w:rsidRDefault="004C58B9" w:rsidP="004C58B9">
      <w:pPr>
        <w:rPr>
          <w:rFonts w:ascii="Times New Roman" w:hAnsi="Times New Roman" w:cs="Times New Roman"/>
          <w:b/>
        </w:rPr>
      </w:pPr>
      <w:r>
        <w:rPr>
          <w:rFonts w:ascii="Times New Roman" w:hAnsi="Times New Roman" w:cs="Times New Roman"/>
          <w:b/>
        </w:rPr>
        <w:t>Consultation</w:t>
      </w:r>
    </w:p>
    <w:p w14:paraId="60FC4B12" w14:textId="485DB0FD" w:rsidR="004C58B9" w:rsidRDefault="004C58B9" w:rsidP="004C58B9">
      <w:pPr>
        <w:rPr>
          <w:rFonts w:ascii="Times New Roman" w:hAnsi="Times New Roman" w:cs="Times New Roman"/>
        </w:rPr>
      </w:pPr>
      <w:r>
        <w:rPr>
          <w:rFonts w:ascii="Times New Roman" w:hAnsi="Times New Roman" w:cs="Times New Roman"/>
        </w:rPr>
        <w:t xml:space="preserve">Before the instrument was made, the ACMA was satisfied that consultation was undertaken to the extent appropriate and reasonably practicable, in accordance with section 17 of the LA. </w:t>
      </w:r>
    </w:p>
    <w:p w14:paraId="1D971C85" w14:textId="36BF2D4D" w:rsidR="009D5987" w:rsidRPr="009D5987" w:rsidRDefault="009D5987" w:rsidP="009D5987">
      <w:pPr>
        <w:rPr>
          <w:rFonts w:ascii="Times New Roman" w:hAnsi="Times New Roman" w:cs="Times New Roman"/>
        </w:rPr>
      </w:pPr>
      <w:r w:rsidRPr="009D5987">
        <w:rPr>
          <w:rFonts w:ascii="Times New Roman" w:hAnsi="Times New Roman" w:cs="Times New Roman"/>
          <w:i/>
          <w:iCs/>
        </w:rPr>
        <w:t>Optimising arrangements for the 3400</w:t>
      </w:r>
      <w:r w:rsidR="0080383E">
        <w:rPr>
          <w:rFonts w:ascii="Times New Roman" w:hAnsi="Times New Roman" w:cs="Times New Roman"/>
          <w:i/>
          <w:iCs/>
        </w:rPr>
        <w:t xml:space="preserve"> MHz to </w:t>
      </w:r>
      <w:r w:rsidRPr="009D5987">
        <w:rPr>
          <w:rFonts w:ascii="Times New Roman" w:hAnsi="Times New Roman" w:cs="Times New Roman"/>
          <w:i/>
          <w:iCs/>
        </w:rPr>
        <w:t xml:space="preserve">3575 MHz </w:t>
      </w:r>
      <w:r w:rsidR="0080383E">
        <w:rPr>
          <w:rFonts w:ascii="Times New Roman" w:hAnsi="Times New Roman" w:cs="Times New Roman"/>
          <w:i/>
          <w:iCs/>
        </w:rPr>
        <w:t xml:space="preserve">frequency </w:t>
      </w:r>
      <w:r w:rsidRPr="009D5987">
        <w:rPr>
          <w:rFonts w:ascii="Times New Roman" w:hAnsi="Times New Roman" w:cs="Times New Roman"/>
          <w:i/>
          <w:iCs/>
        </w:rPr>
        <w:t>band</w:t>
      </w:r>
    </w:p>
    <w:p w14:paraId="492DE77E" w14:textId="6ED739FE" w:rsidR="009D5987" w:rsidRPr="009D5987" w:rsidRDefault="009D5987" w:rsidP="009D5987">
      <w:pPr>
        <w:rPr>
          <w:rFonts w:ascii="Times New Roman" w:hAnsi="Times New Roman" w:cs="Times New Roman"/>
        </w:rPr>
      </w:pPr>
      <w:r w:rsidRPr="009D5987">
        <w:rPr>
          <w:rFonts w:ascii="Times New Roman" w:hAnsi="Times New Roman" w:cs="Times New Roman"/>
        </w:rPr>
        <w:t xml:space="preserve">In April 2019, the ACMA released the </w:t>
      </w:r>
      <w:hyperlink r:id="rId14">
        <w:r w:rsidRPr="602FDE39">
          <w:rPr>
            <w:rStyle w:val="Hyperlink"/>
            <w:rFonts w:ascii="Times New Roman" w:hAnsi="Times New Roman" w:cs="Times New Roman"/>
          </w:rPr>
          <w:t>Optimising arrangements for the 3400—3575 MHz band Options paper</w:t>
        </w:r>
      </w:hyperlink>
      <w:r w:rsidRPr="602FDE39">
        <w:rPr>
          <w:rFonts w:ascii="Times New Roman" w:hAnsi="Times New Roman" w:cs="Times New Roman"/>
        </w:rPr>
        <w:t xml:space="preserve"> (</w:t>
      </w:r>
      <w:bookmarkStart w:id="6" w:name="_Int_JkJxbjHR"/>
      <w:r w:rsidRPr="00C12FB5">
        <w:rPr>
          <w:rFonts w:ascii="Times New Roman" w:hAnsi="Times New Roman" w:cs="Times New Roman"/>
          <w:b/>
          <w:bCs/>
        </w:rPr>
        <w:t>the</w:t>
      </w:r>
      <w:bookmarkEnd w:id="6"/>
      <w:r w:rsidRPr="00C12FB5">
        <w:rPr>
          <w:rFonts w:ascii="Times New Roman" w:hAnsi="Times New Roman" w:cs="Times New Roman"/>
          <w:b/>
          <w:bCs/>
        </w:rPr>
        <w:t xml:space="preserve"> 3400 MHz options pape</w:t>
      </w:r>
      <w:r w:rsidRPr="602FDE39">
        <w:rPr>
          <w:rFonts w:ascii="Times New Roman" w:hAnsi="Times New Roman" w:cs="Times New Roman"/>
        </w:rPr>
        <w:t>r).</w:t>
      </w:r>
      <w:r w:rsidRPr="009D5987">
        <w:rPr>
          <w:rFonts w:ascii="Times New Roman" w:hAnsi="Times New Roman" w:cs="Times New Roman"/>
        </w:rPr>
        <w:t xml:space="preserve"> </w:t>
      </w:r>
      <w:r w:rsidR="0080383E">
        <w:rPr>
          <w:rFonts w:ascii="Times New Roman" w:hAnsi="Times New Roman" w:cs="Times New Roman"/>
        </w:rPr>
        <w:t>The 3400 MHz options paper</w:t>
      </w:r>
      <w:r w:rsidR="0080383E" w:rsidRPr="009D5987">
        <w:rPr>
          <w:rFonts w:ascii="Times New Roman" w:hAnsi="Times New Roman" w:cs="Times New Roman"/>
        </w:rPr>
        <w:t xml:space="preserve"> </w:t>
      </w:r>
      <w:r w:rsidRPr="009D5987">
        <w:rPr>
          <w:rFonts w:ascii="Times New Roman" w:hAnsi="Times New Roman" w:cs="Times New Roman"/>
        </w:rPr>
        <w:t>acknowledged that the mix of spectrum and apparatus licensing types across the 3400</w:t>
      </w:r>
      <w:r w:rsidR="0080383E">
        <w:rPr>
          <w:rFonts w:ascii="Times New Roman" w:hAnsi="Times New Roman" w:cs="Times New Roman"/>
        </w:rPr>
        <w:t xml:space="preserve"> MHz to </w:t>
      </w:r>
      <w:r w:rsidRPr="009D5987">
        <w:rPr>
          <w:rFonts w:ascii="Times New Roman" w:hAnsi="Times New Roman" w:cs="Times New Roman"/>
        </w:rPr>
        <w:t xml:space="preserve">3575 MHz frequency </w:t>
      </w:r>
      <w:r w:rsidR="0080383E">
        <w:rPr>
          <w:rFonts w:ascii="Times New Roman" w:hAnsi="Times New Roman" w:cs="Times New Roman"/>
        </w:rPr>
        <w:t>band</w:t>
      </w:r>
      <w:r w:rsidR="0080383E" w:rsidRPr="009D5987">
        <w:rPr>
          <w:rFonts w:ascii="Times New Roman" w:hAnsi="Times New Roman" w:cs="Times New Roman"/>
        </w:rPr>
        <w:t xml:space="preserve"> </w:t>
      </w:r>
      <w:r w:rsidRPr="009D5987">
        <w:rPr>
          <w:rFonts w:ascii="Times New Roman" w:hAnsi="Times New Roman" w:cs="Times New Roman"/>
        </w:rPr>
        <w:t>ha</w:t>
      </w:r>
      <w:r w:rsidR="0080383E">
        <w:rPr>
          <w:rFonts w:ascii="Times New Roman" w:hAnsi="Times New Roman" w:cs="Times New Roman"/>
        </w:rPr>
        <w:t>d</w:t>
      </w:r>
      <w:r w:rsidRPr="009D5987">
        <w:rPr>
          <w:rFonts w:ascii="Times New Roman" w:hAnsi="Times New Roman" w:cs="Times New Roman"/>
        </w:rPr>
        <w:t xml:space="preserve"> impeded commercial negotiations to facilitate a move to defragmentation. The 3400 MHz options paper also identified options for making more of the 3400</w:t>
      </w:r>
      <w:r w:rsidR="0080383E">
        <w:rPr>
          <w:rFonts w:ascii="Times New Roman" w:hAnsi="Times New Roman" w:cs="Times New Roman"/>
        </w:rPr>
        <w:t xml:space="preserve"> MHz to </w:t>
      </w:r>
      <w:r w:rsidRPr="009D5987">
        <w:rPr>
          <w:rFonts w:ascii="Times New Roman" w:hAnsi="Times New Roman" w:cs="Times New Roman"/>
        </w:rPr>
        <w:t xml:space="preserve">3575 MHz frequency </w:t>
      </w:r>
      <w:r w:rsidR="0080383E">
        <w:rPr>
          <w:rFonts w:ascii="Times New Roman" w:hAnsi="Times New Roman" w:cs="Times New Roman"/>
        </w:rPr>
        <w:t>band</w:t>
      </w:r>
      <w:r w:rsidR="0080383E" w:rsidRPr="009D5987">
        <w:rPr>
          <w:rFonts w:ascii="Times New Roman" w:hAnsi="Times New Roman" w:cs="Times New Roman"/>
        </w:rPr>
        <w:t xml:space="preserve"> </w:t>
      </w:r>
      <w:r w:rsidRPr="009D5987">
        <w:rPr>
          <w:rFonts w:ascii="Times New Roman" w:hAnsi="Times New Roman" w:cs="Times New Roman"/>
        </w:rPr>
        <w:t>available for WBB use.</w:t>
      </w:r>
    </w:p>
    <w:p w14:paraId="54E69975" w14:textId="31F1ED57" w:rsidR="009D5987" w:rsidRPr="009D5987" w:rsidRDefault="009D5987" w:rsidP="009D5987">
      <w:pPr>
        <w:rPr>
          <w:rFonts w:ascii="Times New Roman" w:hAnsi="Times New Roman" w:cs="Times New Roman"/>
        </w:rPr>
      </w:pPr>
      <w:r w:rsidRPr="009D5987">
        <w:rPr>
          <w:rFonts w:ascii="Times New Roman" w:hAnsi="Times New Roman" w:cs="Times New Roman"/>
          <w:i/>
          <w:iCs/>
        </w:rPr>
        <w:t>Replanning the 3700</w:t>
      </w:r>
      <w:r w:rsidR="0080383E">
        <w:rPr>
          <w:rFonts w:ascii="Times New Roman" w:hAnsi="Times New Roman" w:cs="Times New Roman"/>
          <w:i/>
          <w:iCs/>
        </w:rPr>
        <w:t xml:space="preserve"> MHz to </w:t>
      </w:r>
      <w:r w:rsidRPr="009D5987">
        <w:rPr>
          <w:rFonts w:ascii="Times New Roman" w:hAnsi="Times New Roman" w:cs="Times New Roman"/>
          <w:i/>
          <w:iCs/>
        </w:rPr>
        <w:t xml:space="preserve">4200 MHz </w:t>
      </w:r>
      <w:r w:rsidR="004147B7">
        <w:rPr>
          <w:rFonts w:ascii="Times New Roman" w:hAnsi="Times New Roman" w:cs="Times New Roman"/>
          <w:i/>
          <w:iCs/>
        </w:rPr>
        <w:t xml:space="preserve">frequency </w:t>
      </w:r>
      <w:r w:rsidRPr="009D5987">
        <w:rPr>
          <w:rFonts w:ascii="Times New Roman" w:hAnsi="Times New Roman" w:cs="Times New Roman"/>
          <w:i/>
          <w:iCs/>
        </w:rPr>
        <w:t>band</w:t>
      </w:r>
    </w:p>
    <w:p w14:paraId="2D99FF10" w14:textId="6E79DC89" w:rsidR="009D5987" w:rsidRPr="009D5987" w:rsidRDefault="009D5987" w:rsidP="009D5987">
      <w:pPr>
        <w:rPr>
          <w:rFonts w:ascii="Times New Roman" w:hAnsi="Times New Roman" w:cs="Times New Roman"/>
        </w:rPr>
      </w:pPr>
      <w:r w:rsidRPr="009D5987">
        <w:rPr>
          <w:rFonts w:ascii="Times New Roman" w:hAnsi="Times New Roman" w:cs="Times New Roman"/>
        </w:rPr>
        <w:t xml:space="preserve">In September 2019, </w:t>
      </w:r>
      <w:r w:rsidR="004147B7">
        <w:rPr>
          <w:rFonts w:ascii="Times New Roman" w:hAnsi="Times New Roman" w:cs="Times New Roman"/>
        </w:rPr>
        <w:t>the ACMA</w:t>
      </w:r>
      <w:r w:rsidR="004147B7" w:rsidRPr="009D5987">
        <w:rPr>
          <w:rFonts w:ascii="Times New Roman" w:hAnsi="Times New Roman" w:cs="Times New Roman"/>
        </w:rPr>
        <w:t xml:space="preserve"> </w:t>
      </w:r>
      <w:r w:rsidR="004147B7">
        <w:rPr>
          <w:rFonts w:ascii="Times New Roman" w:hAnsi="Times New Roman" w:cs="Times New Roman"/>
        </w:rPr>
        <w:t>released</w:t>
      </w:r>
      <w:r w:rsidR="004147B7" w:rsidRPr="009D5987">
        <w:rPr>
          <w:rFonts w:ascii="Times New Roman" w:hAnsi="Times New Roman" w:cs="Times New Roman"/>
        </w:rPr>
        <w:t xml:space="preserve"> </w:t>
      </w:r>
      <w:r w:rsidRPr="009D5987">
        <w:rPr>
          <w:rFonts w:ascii="Times New Roman" w:hAnsi="Times New Roman" w:cs="Times New Roman"/>
        </w:rPr>
        <w:t xml:space="preserve">the </w:t>
      </w:r>
      <w:hyperlink r:id="rId15">
        <w:r w:rsidRPr="00C12FB5">
          <w:rPr>
            <w:rStyle w:val="Hyperlink"/>
            <w:rFonts w:ascii="Times New Roman" w:hAnsi="Times New Roman" w:cs="Times New Roman"/>
          </w:rPr>
          <w:t>Planning of the 3700-4200 MHz band Discussion paper</w:t>
        </w:r>
      </w:hyperlink>
      <w:r w:rsidRPr="009D5987">
        <w:rPr>
          <w:rFonts w:ascii="Times New Roman" w:hAnsi="Times New Roman" w:cs="Times New Roman"/>
        </w:rPr>
        <w:t xml:space="preserve"> (</w:t>
      </w:r>
      <w:bookmarkStart w:id="7" w:name="_Int_As7JMTK6"/>
      <w:r w:rsidRPr="00C12FB5">
        <w:rPr>
          <w:rFonts w:ascii="Times New Roman" w:hAnsi="Times New Roman" w:cs="Times New Roman"/>
          <w:b/>
          <w:bCs/>
        </w:rPr>
        <w:t>the</w:t>
      </w:r>
      <w:bookmarkEnd w:id="7"/>
      <w:r w:rsidRPr="00C12FB5">
        <w:rPr>
          <w:rFonts w:ascii="Times New Roman" w:hAnsi="Times New Roman" w:cs="Times New Roman"/>
          <w:b/>
          <w:bCs/>
        </w:rPr>
        <w:t xml:space="preserve"> 3700 MHz discussion paper</w:t>
      </w:r>
      <w:r w:rsidR="00B912DD" w:rsidRPr="009D5987">
        <w:rPr>
          <w:rFonts w:ascii="Times New Roman" w:hAnsi="Times New Roman" w:cs="Times New Roman"/>
        </w:rPr>
        <w:t>).</w:t>
      </w:r>
      <w:r w:rsidR="00B912DD">
        <w:rPr>
          <w:rFonts w:ascii="Times New Roman" w:hAnsi="Times New Roman" w:cs="Times New Roman"/>
        </w:rPr>
        <w:t xml:space="preserve"> </w:t>
      </w:r>
      <w:r w:rsidRPr="602FDE39">
        <w:rPr>
          <w:rFonts w:ascii="Times New Roman" w:hAnsi="Times New Roman" w:cs="Times New Roman"/>
        </w:rPr>
        <w:t>Based</w:t>
      </w:r>
      <w:r w:rsidRPr="009D5987">
        <w:rPr>
          <w:rFonts w:ascii="Times New Roman" w:hAnsi="Times New Roman" w:cs="Times New Roman"/>
        </w:rPr>
        <w:t xml:space="preserve"> on submissions made</w:t>
      </w:r>
      <w:r w:rsidR="004147B7">
        <w:rPr>
          <w:rFonts w:ascii="Times New Roman" w:hAnsi="Times New Roman" w:cs="Times New Roman"/>
        </w:rPr>
        <w:t xml:space="preserve"> to the 3700 MHz discussion paper,</w:t>
      </w:r>
      <w:r w:rsidR="00B912DD">
        <w:rPr>
          <w:rFonts w:ascii="Times New Roman" w:hAnsi="Times New Roman" w:cs="Times New Roman"/>
        </w:rPr>
        <w:t xml:space="preserve"> in July 2020</w:t>
      </w:r>
      <w:r w:rsidRPr="009D5987">
        <w:rPr>
          <w:rFonts w:ascii="Times New Roman" w:hAnsi="Times New Roman" w:cs="Times New Roman"/>
        </w:rPr>
        <w:t xml:space="preserve"> </w:t>
      </w:r>
      <w:r w:rsidR="004147B7">
        <w:rPr>
          <w:rFonts w:ascii="Times New Roman" w:hAnsi="Times New Roman" w:cs="Times New Roman"/>
        </w:rPr>
        <w:t xml:space="preserve">the ACMA released </w:t>
      </w:r>
      <w:r w:rsidRPr="009D5987">
        <w:rPr>
          <w:rFonts w:ascii="Times New Roman" w:hAnsi="Times New Roman" w:cs="Times New Roman"/>
        </w:rPr>
        <w:t xml:space="preserve">the </w:t>
      </w:r>
      <w:hyperlink r:id="rId16">
        <w:r w:rsidRPr="00C12FB5">
          <w:rPr>
            <w:rStyle w:val="Hyperlink"/>
            <w:rFonts w:ascii="Times New Roman" w:hAnsi="Times New Roman" w:cs="Times New Roman"/>
          </w:rPr>
          <w:t>Replanning of the 3700–4200 MHz band Options paper</w:t>
        </w:r>
      </w:hyperlink>
      <w:r w:rsidRPr="009D5987">
        <w:rPr>
          <w:rFonts w:ascii="Times New Roman" w:hAnsi="Times New Roman" w:cs="Times New Roman"/>
        </w:rPr>
        <w:t xml:space="preserve"> (</w:t>
      </w:r>
      <w:r w:rsidRPr="00C12FB5">
        <w:rPr>
          <w:rFonts w:ascii="Times New Roman" w:hAnsi="Times New Roman" w:cs="Times New Roman"/>
          <w:b/>
          <w:bCs/>
        </w:rPr>
        <w:t>the 3700 MHz options paper</w:t>
      </w:r>
      <w:r w:rsidRPr="009D5987">
        <w:rPr>
          <w:rFonts w:ascii="Times New Roman" w:hAnsi="Times New Roman" w:cs="Times New Roman"/>
        </w:rPr>
        <w:t>), making a case to review and potentially change the spectrum management framework in the 3700</w:t>
      </w:r>
      <w:r w:rsidR="00B912DD">
        <w:rPr>
          <w:rFonts w:ascii="Times New Roman" w:hAnsi="Times New Roman" w:cs="Times New Roman"/>
        </w:rPr>
        <w:t xml:space="preserve"> MHz to </w:t>
      </w:r>
      <w:r w:rsidRPr="009D5987">
        <w:rPr>
          <w:rFonts w:ascii="Times New Roman" w:hAnsi="Times New Roman" w:cs="Times New Roman"/>
        </w:rPr>
        <w:t xml:space="preserve">4200 MHz frequency </w:t>
      </w:r>
      <w:r w:rsidR="00706895">
        <w:rPr>
          <w:rFonts w:ascii="Times New Roman" w:hAnsi="Times New Roman" w:cs="Times New Roman"/>
        </w:rPr>
        <w:t>band</w:t>
      </w:r>
      <w:r w:rsidRPr="009D5987">
        <w:rPr>
          <w:rFonts w:ascii="Times New Roman" w:hAnsi="Times New Roman" w:cs="Times New Roman"/>
        </w:rPr>
        <w:t>.</w:t>
      </w:r>
    </w:p>
    <w:p w14:paraId="07DACF53" w14:textId="77777777" w:rsidR="009D5987" w:rsidRPr="00C12FB5" w:rsidRDefault="009D5987" w:rsidP="009D5987">
      <w:pPr>
        <w:rPr>
          <w:rFonts w:ascii="Times New Roman" w:hAnsi="Times New Roman" w:cs="Times New Roman"/>
          <w:i/>
          <w:iCs/>
        </w:rPr>
      </w:pPr>
      <w:r w:rsidRPr="00C12FB5">
        <w:rPr>
          <w:rFonts w:ascii="Times New Roman" w:hAnsi="Times New Roman" w:cs="Times New Roman"/>
          <w:i/>
          <w:iCs/>
        </w:rPr>
        <w:t>Replanning Decisions </w:t>
      </w:r>
    </w:p>
    <w:p w14:paraId="705053B4" w14:textId="502768E2" w:rsidR="009D5987" w:rsidRPr="009D5987" w:rsidRDefault="009D5987" w:rsidP="009D5987">
      <w:pPr>
        <w:rPr>
          <w:rFonts w:ascii="Times New Roman" w:hAnsi="Times New Roman" w:cs="Times New Roman"/>
        </w:rPr>
      </w:pPr>
      <w:r w:rsidRPr="009D5987">
        <w:rPr>
          <w:rFonts w:ascii="Times New Roman" w:hAnsi="Times New Roman" w:cs="Times New Roman"/>
        </w:rPr>
        <w:t xml:space="preserve">Following </w:t>
      </w:r>
      <w:r w:rsidR="005F623D">
        <w:rPr>
          <w:rFonts w:ascii="Times New Roman" w:hAnsi="Times New Roman" w:cs="Times New Roman"/>
        </w:rPr>
        <w:t>the release of the 3400 MHz options paper, the 3700 MHz discussion paper and the 3700 MHz options paper</w:t>
      </w:r>
      <w:r w:rsidRPr="009D5987">
        <w:rPr>
          <w:rFonts w:ascii="Times New Roman" w:hAnsi="Times New Roman" w:cs="Times New Roman"/>
        </w:rPr>
        <w:t>, the ACMA released</w:t>
      </w:r>
      <w:r w:rsidR="005F623D">
        <w:rPr>
          <w:rFonts w:ascii="Times New Roman" w:hAnsi="Times New Roman" w:cs="Times New Roman"/>
        </w:rPr>
        <w:t xml:space="preserve"> the following</w:t>
      </w:r>
      <w:r w:rsidRPr="009D5987">
        <w:rPr>
          <w:rFonts w:ascii="Times New Roman" w:hAnsi="Times New Roman" w:cs="Times New Roman"/>
        </w:rPr>
        <w:t>:</w:t>
      </w:r>
    </w:p>
    <w:p w14:paraId="54A81534" w14:textId="08C71555" w:rsidR="009D5987" w:rsidRPr="009D5987" w:rsidRDefault="005F623D" w:rsidP="009D5987">
      <w:pPr>
        <w:numPr>
          <w:ilvl w:val="0"/>
          <w:numId w:val="18"/>
        </w:numPr>
        <w:rPr>
          <w:rFonts w:ascii="Times New Roman" w:hAnsi="Times New Roman" w:cs="Times New Roman"/>
        </w:rPr>
      </w:pPr>
      <w:r w:rsidRPr="00C12FB5">
        <w:rPr>
          <w:rFonts w:ascii="Times New Roman" w:hAnsi="Times New Roman" w:cs="Times New Roman"/>
        </w:rPr>
        <w:t>in November 2019, the</w:t>
      </w:r>
      <w:r>
        <w:t xml:space="preserve"> </w:t>
      </w:r>
      <w:hyperlink r:id="rId17" w:tgtFrame="_blank" w:history="1">
        <w:r w:rsidR="009D5987" w:rsidRPr="009D5987">
          <w:rPr>
            <w:rStyle w:val="Hyperlink"/>
            <w:rFonts w:ascii="Times New Roman" w:hAnsi="Times New Roman" w:cs="Times New Roman"/>
          </w:rPr>
          <w:t>Optimising arrangements for the 3400-3575 MHz band Planning decisions and preliminary views paper</w:t>
        </w:r>
      </w:hyperlink>
      <w:r w:rsidR="009D5987" w:rsidRPr="009D5987">
        <w:rPr>
          <w:rFonts w:ascii="Times New Roman" w:hAnsi="Times New Roman" w:cs="Times New Roman"/>
        </w:rPr>
        <w:t xml:space="preserve"> (</w:t>
      </w:r>
      <w:r w:rsidR="009D5987" w:rsidRPr="00C12FB5">
        <w:rPr>
          <w:rFonts w:ascii="Times New Roman" w:hAnsi="Times New Roman" w:cs="Times New Roman"/>
          <w:b/>
          <w:bCs/>
        </w:rPr>
        <w:t>the 3400 MHz decisions paper</w:t>
      </w:r>
      <w:r w:rsidR="009D5987" w:rsidRPr="009D5987">
        <w:rPr>
          <w:rFonts w:ascii="Times New Roman" w:hAnsi="Times New Roman" w:cs="Times New Roman"/>
        </w:rPr>
        <w:t>)</w:t>
      </w:r>
      <w:r>
        <w:rPr>
          <w:rFonts w:ascii="Times New Roman" w:hAnsi="Times New Roman" w:cs="Times New Roman"/>
        </w:rPr>
        <w:t>;</w:t>
      </w:r>
    </w:p>
    <w:p w14:paraId="4F424C9F" w14:textId="588A00B8" w:rsidR="009D5987" w:rsidRPr="009D5987" w:rsidRDefault="005F623D" w:rsidP="009D5987">
      <w:pPr>
        <w:numPr>
          <w:ilvl w:val="0"/>
          <w:numId w:val="18"/>
        </w:numPr>
        <w:rPr>
          <w:rFonts w:ascii="Times New Roman" w:hAnsi="Times New Roman" w:cs="Times New Roman"/>
        </w:rPr>
      </w:pPr>
      <w:r w:rsidRPr="00C12FB5">
        <w:rPr>
          <w:rFonts w:ascii="Times New Roman" w:hAnsi="Times New Roman" w:cs="Times New Roman"/>
        </w:rPr>
        <w:t>in January 2021, the</w:t>
      </w:r>
      <w:r>
        <w:t xml:space="preserve"> </w:t>
      </w:r>
      <w:hyperlink r:id="rId18" w:tgtFrame="_blank" w:history="1">
        <w:r w:rsidR="009D5987" w:rsidRPr="009D5987">
          <w:rPr>
            <w:rStyle w:val="Hyperlink"/>
            <w:rFonts w:ascii="Times New Roman" w:hAnsi="Times New Roman" w:cs="Times New Roman"/>
          </w:rPr>
          <w:t>Replanning the 3700–4200 MHz band Outcomes paper</w:t>
        </w:r>
      </w:hyperlink>
      <w:r w:rsidR="009D5987" w:rsidRPr="009D5987">
        <w:rPr>
          <w:rFonts w:ascii="Times New Roman" w:hAnsi="Times New Roman" w:cs="Times New Roman"/>
        </w:rPr>
        <w:t>, January 2021 (</w:t>
      </w:r>
      <w:r w:rsidR="009D5987" w:rsidRPr="00C12FB5">
        <w:rPr>
          <w:rFonts w:ascii="Times New Roman" w:hAnsi="Times New Roman" w:cs="Times New Roman"/>
          <w:b/>
          <w:bCs/>
        </w:rPr>
        <w:t>the 3700 MHz outcomes paper</w:t>
      </w:r>
      <w:r w:rsidR="009D5987" w:rsidRPr="009D5987">
        <w:rPr>
          <w:rFonts w:ascii="Times New Roman" w:hAnsi="Times New Roman" w:cs="Times New Roman"/>
        </w:rPr>
        <w:t>)</w:t>
      </w:r>
      <w:r>
        <w:rPr>
          <w:rFonts w:ascii="Times New Roman" w:hAnsi="Times New Roman" w:cs="Times New Roman"/>
        </w:rPr>
        <w:t>;</w:t>
      </w:r>
    </w:p>
    <w:p w14:paraId="3E4A298F" w14:textId="61E18898" w:rsidR="00AF2557" w:rsidRPr="00D035B8" w:rsidRDefault="005F623D" w:rsidP="00F24CD2">
      <w:pPr>
        <w:numPr>
          <w:ilvl w:val="0"/>
          <w:numId w:val="18"/>
        </w:numPr>
        <w:rPr>
          <w:rFonts w:ascii="Times New Roman" w:hAnsi="Times New Roman" w:cs="Times New Roman"/>
          <w:u w:val="single"/>
        </w:rPr>
      </w:pPr>
      <w:r w:rsidRPr="00C12FB5">
        <w:rPr>
          <w:rFonts w:ascii="Times New Roman" w:hAnsi="Times New Roman" w:cs="Times New Roman"/>
        </w:rPr>
        <w:t>in December 2021, the</w:t>
      </w:r>
      <w:r>
        <w:t xml:space="preserve"> </w:t>
      </w:r>
      <w:hyperlink r:id="rId19" w:tgtFrame="_blank" w:history="1">
        <w:r w:rsidR="009D5987" w:rsidRPr="00444A54">
          <w:rPr>
            <w:rStyle w:val="Hyperlink"/>
            <w:rFonts w:ascii="Times New Roman" w:hAnsi="Times New Roman" w:cs="Times New Roman"/>
          </w:rPr>
          <w:t>Planning for wireless broadband in urban areas in 3400-3475 MHz Outcomes paper</w:t>
        </w:r>
      </w:hyperlink>
      <w:r w:rsidR="009D5987" w:rsidRPr="00444A54">
        <w:rPr>
          <w:rFonts w:ascii="Times New Roman" w:hAnsi="Times New Roman" w:cs="Times New Roman"/>
        </w:rPr>
        <w:t xml:space="preserve"> (</w:t>
      </w:r>
      <w:r w:rsidR="009D5987" w:rsidRPr="00C12FB5">
        <w:rPr>
          <w:rFonts w:ascii="Times New Roman" w:hAnsi="Times New Roman" w:cs="Times New Roman"/>
          <w:b/>
          <w:bCs/>
        </w:rPr>
        <w:t>the Urban Excise outcomes paper</w:t>
      </w:r>
      <w:r w:rsidR="009D5987" w:rsidRPr="00444A54">
        <w:rPr>
          <w:rFonts w:ascii="Times New Roman" w:hAnsi="Times New Roman" w:cs="Times New Roman"/>
        </w:rPr>
        <w:t>). </w:t>
      </w:r>
    </w:p>
    <w:p w14:paraId="5645D87C" w14:textId="176D5314" w:rsidR="007A6048" w:rsidRPr="00D035B8" w:rsidRDefault="00600133" w:rsidP="00D035B8">
      <w:pPr>
        <w:rPr>
          <w:rFonts w:ascii="Times New Roman" w:hAnsi="Times New Roman" w:cs="Times New Roman"/>
        </w:rPr>
      </w:pPr>
      <w:r>
        <w:rPr>
          <w:rFonts w:ascii="Times New Roman" w:hAnsi="Times New Roman" w:cs="Times New Roman"/>
        </w:rPr>
        <w:t xml:space="preserve">The release of these </w:t>
      </w:r>
      <w:r w:rsidR="00142851">
        <w:rPr>
          <w:rFonts w:ascii="Times New Roman" w:hAnsi="Times New Roman" w:cs="Times New Roman"/>
        </w:rPr>
        <w:t>p</w:t>
      </w:r>
      <w:r>
        <w:rPr>
          <w:rFonts w:ascii="Times New Roman" w:hAnsi="Times New Roman" w:cs="Times New Roman"/>
        </w:rPr>
        <w:t>apers coincided with</w:t>
      </w:r>
      <w:r w:rsidR="00BA7C4F" w:rsidRPr="00BA7C4F">
        <w:rPr>
          <w:rFonts w:ascii="Times New Roman" w:hAnsi="Times New Roman" w:cs="Times New Roman"/>
        </w:rPr>
        <w:t xml:space="preserve"> consideration of technical arrangements for the 3.4 GHz and 3.7 GHz bands</w:t>
      </w:r>
      <w:r>
        <w:rPr>
          <w:rFonts w:ascii="Times New Roman" w:hAnsi="Times New Roman" w:cs="Times New Roman"/>
        </w:rPr>
        <w:t>. The</w:t>
      </w:r>
      <w:r w:rsidR="00BA7C4F" w:rsidRPr="00BA7C4F">
        <w:rPr>
          <w:rFonts w:ascii="Times New Roman" w:hAnsi="Times New Roman" w:cs="Times New Roman"/>
        </w:rPr>
        <w:t xml:space="preserve"> alignment between </w:t>
      </w:r>
      <w:r>
        <w:rPr>
          <w:rFonts w:ascii="Times New Roman" w:hAnsi="Times New Roman" w:cs="Times New Roman"/>
        </w:rPr>
        <w:t xml:space="preserve">these </w:t>
      </w:r>
      <w:r w:rsidR="00BA7C4F" w:rsidRPr="00BA7C4F">
        <w:rPr>
          <w:rFonts w:ascii="Times New Roman" w:hAnsi="Times New Roman" w:cs="Times New Roman"/>
        </w:rPr>
        <w:t>processes</w:t>
      </w:r>
      <w:r>
        <w:rPr>
          <w:rFonts w:ascii="Times New Roman" w:hAnsi="Times New Roman" w:cs="Times New Roman"/>
        </w:rPr>
        <w:t xml:space="preserve"> </w:t>
      </w:r>
      <w:r w:rsidR="00BA7C4F" w:rsidRPr="00BA7C4F">
        <w:rPr>
          <w:rFonts w:ascii="Times New Roman" w:hAnsi="Times New Roman" w:cs="Times New Roman"/>
        </w:rPr>
        <w:t xml:space="preserve">provided </w:t>
      </w:r>
      <w:r>
        <w:rPr>
          <w:rFonts w:ascii="Times New Roman" w:hAnsi="Times New Roman" w:cs="Times New Roman"/>
        </w:rPr>
        <w:t>the ACMA with the</w:t>
      </w:r>
      <w:r w:rsidR="00BA7C4F" w:rsidRPr="00BA7C4F">
        <w:rPr>
          <w:rFonts w:ascii="Times New Roman" w:hAnsi="Times New Roman" w:cs="Times New Roman"/>
        </w:rPr>
        <w:t xml:space="preserve"> opportunity </w:t>
      </w:r>
      <w:r>
        <w:rPr>
          <w:rFonts w:ascii="Times New Roman" w:hAnsi="Times New Roman" w:cs="Times New Roman"/>
        </w:rPr>
        <w:lastRenderedPageBreak/>
        <w:t>to</w:t>
      </w:r>
      <w:r w:rsidR="00BA7C4F" w:rsidRPr="00BA7C4F">
        <w:rPr>
          <w:rFonts w:ascii="Times New Roman" w:hAnsi="Times New Roman" w:cs="Times New Roman"/>
        </w:rPr>
        <w:t xml:space="preserve"> holistic</w:t>
      </w:r>
      <w:r>
        <w:rPr>
          <w:rFonts w:ascii="Times New Roman" w:hAnsi="Times New Roman" w:cs="Times New Roman"/>
        </w:rPr>
        <w:t>ally</w:t>
      </w:r>
      <w:r w:rsidR="00BA7C4F" w:rsidRPr="00BA7C4F">
        <w:rPr>
          <w:rFonts w:ascii="Times New Roman" w:hAnsi="Times New Roman" w:cs="Times New Roman"/>
        </w:rPr>
        <w:t xml:space="preserve"> assess </w:t>
      </w:r>
      <w:r>
        <w:rPr>
          <w:rFonts w:ascii="Times New Roman" w:hAnsi="Times New Roman" w:cs="Times New Roman"/>
        </w:rPr>
        <w:t xml:space="preserve">spectrum licensing </w:t>
      </w:r>
      <w:r w:rsidR="00BA7C4F" w:rsidRPr="00BA7C4F">
        <w:rPr>
          <w:rFonts w:ascii="Times New Roman" w:hAnsi="Times New Roman" w:cs="Times New Roman"/>
        </w:rPr>
        <w:t xml:space="preserve">arrangements across the broader </w:t>
      </w:r>
      <w:r>
        <w:rPr>
          <w:rFonts w:ascii="Times New Roman" w:hAnsi="Times New Roman" w:cs="Times New Roman"/>
        </w:rPr>
        <w:t>3.4</w:t>
      </w:r>
      <w:r w:rsidR="00F4722C">
        <w:rPr>
          <w:rFonts w:ascii="Times New Roman" w:hAnsi="Times New Roman" w:cs="Times New Roman"/>
        </w:rPr>
        <w:t xml:space="preserve"> GHz to </w:t>
      </w:r>
      <w:r>
        <w:rPr>
          <w:rFonts w:ascii="Times New Roman" w:hAnsi="Times New Roman" w:cs="Times New Roman"/>
        </w:rPr>
        <w:t xml:space="preserve">3.8 GHz frequency </w:t>
      </w:r>
      <w:r w:rsidR="00F4722C">
        <w:rPr>
          <w:rFonts w:ascii="Times New Roman" w:hAnsi="Times New Roman" w:cs="Times New Roman"/>
        </w:rPr>
        <w:t>band</w:t>
      </w:r>
      <w:r w:rsidR="00BA7C4F" w:rsidRPr="00BA7C4F">
        <w:rPr>
          <w:rFonts w:ascii="Times New Roman" w:hAnsi="Times New Roman" w:cs="Times New Roman"/>
        </w:rPr>
        <w:t>.</w:t>
      </w:r>
      <w:r>
        <w:rPr>
          <w:rFonts w:ascii="Times New Roman" w:hAnsi="Times New Roman" w:cs="Times New Roman"/>
        </w:rPr>
        <w:t xml:space="preserve"> Therefore, the ACMA consulted again on a modification to the preliminary decisions contained within the 3400 MHz decisions paper, the 3700 MHz outcomes paper and the Urban Excise outcomes paper in March 2022</w:t>
      </w:r>
      <w:r w:rsidR="007C624E">
        <w:rPr>
          <w:rFonts w:ascii="Times New Roman" w:hAnsi="Times New Roman" w:cs="Times New Roman"/>
        </w:rPr>
        <w:t>,</w:t>
      </w:r>
      <w:r>
        <w:rPr>
          <w:rFonts w:ascii="Times New Roman" w:hAnsi="Times New Roman" w:cs="Times New Roman"/>
        </w:rPr>
        <w:t xml:space="preserve"> alongside consultation on the </w:t>
      </w:r>
      <w:r w:rsidR="0027753B">
        <w:rPr>
          <w:rFonts w:ascii="Times New Roman" w:hAnsi="Times New Roman" w:cs="Times New Roman"/>
        </w:rPr>
        <w:t>terms of this instrument</w:t>
      </w:r>
      <w:r>
        <w:rPr>
          <w:rFonts w:ascii="Times New Roman" w:hAnsi="Times New Roman" w:cs="Times New Roman"/>
        </w:rPr>
        <w:t>.</w:t>
      </w:r>
    </w:p>
    <w:p w14:paraId="4D2B69A3" w14:textId="4BB107D8" w:rsidR="009D5987" w:rsidRPr="00C12FB5" w:rsidRDefault="000A1E31" w:rsidP="009D5987">
      <w:pPr>
        <w:rPr>
          <w:rFonts w:ascii="Times New Roman" w:hAnsi="Times New Roman" w:cs="Times New Roman"/>
          <w:i/>
          <w:iCs/>
        </w:rPr>
      </w:pPr>
      <w:r>
        <w:rPr>
          <w:rFonts w:ascii="Times New Roman" w:hAnsi="Times New Roman" w:cs="Times New Roman"/>
          <w:i/>
          <w:iCs/>
        </w:rPr>
        <w:t>Instrument</w:t>
      </w:r>
    </w:p>
    <w:p w14:paraId="158082E9" w14:textId="5D6BAED6" w:rsidR="009D5987" w:rsidRPr="00FE1F7A" w:rsidRDefault="00BD51DA" w:rsidP="009D5987">
      <w:pPr>
        <w:rPr>
          <w:rFonts w:ascii="Times New Roman" w:hAnsi="Times New Roman" w:cs="Times New Roman"/>
        </w:rPr>
      </w:pPr>
      <w:r>
        <w:rPr>
          <w:rFonts w:ascii="Times New Roman" w:hAnsi="Times New Roman" w:cs="Times New Roman"/>
        </w:rPr>
        <w:t>On 2</w:t>
      </w:r>
      <w:r w:rsidRPr="009D5987">
        <w:rPr>
          <w:rFonts w:ascii="Times New Roman" w:hAnsi="Times New Roman" w:cs="Times New Roman"/>
        </w:rPr>
        <w:t xml:space="preserve"> </w:t>
      </w:r>
      <w:r w:rsidR="009D5987" w:rsidRPr="009D5987">
        <w:rPr>
          <w:rFonts w:ascii="Times New Roman" w:hAnsi="Times New Roman" w:cs="Times New Roman"/>
        </w:rPr>
        <w:t xml:space="preserve">March 2022, the ACMA published the </w:t>
      </w:r>
      <w:hyperlink r:id="rId20">
        <w:r w:rsidR="009D5987" w:rsidRPr="602FDE39">
          <w:rPr>
            <w:rStyle w:val="Hyperlink"/>
            <w:rFonts w:ascii="Times New Roman" w:hAnsi="Times New Roman" w:cs="Times New Roman"/>
          </w:rPr>
          <w:t>Proposed spectrum re-allocation declaration for the 3.4 GHz and 3.7 GHz bands consultation paper</w:t>
        </w:r>
      </w:hyperlink>
      <w:r w:rsidR="009D5987" w:rsidRPr="009D5987">
        <w:rPr>
          <w:rFonts w:ascii="Times New Roman" w:hAnsi="Times New Roman" w:cs="Times New Roman"/>
        </w:rPr>
        <w:t xml:space="preserve"> (</w:t>
      </w:r>
      <w:r w:rsidR="009D5987" w:rsidRPr="00C12FB5">
        <w:rPr>
          <w:rFonts w:ascii="Times New Roman" w:hAnsi="Times New Roman" w:cs="Times New Roman"/>
          <w:b/>
          <w:bCs/>
        </w:rPr>
        <w:t>the re-allocation consultation paper</w:t>
      </w:r>
      <w:r w:rsidR="009D5987" w:rsidRPr="602FDE39">
        <w:rPr>
          <w:rFonts w:ascii="Times New Roman" w:hAnsi="Times New Roman" w:cs="Times New Roman"/>
        </w:rPr>
        <w:t>).</w:t>
      </w:r>
      <w:r w:rsidR="009D5987" w:rsidRPr="009D5987">
        <w:rPr>
          <w:rFonts w:ascii="Times New Roman" w:hAnsi="Times New Roman" w:cs="Times New Roman"/>
        </w:rPr>
        <w:t xml:space="preserve"> </w:t>
      </w:r>
      <w:r w:rsidR="003D10CD">
        <w:rPr>
          <w:rFonts w:ascii="Times New Roman" w:hAnsi="Times New Roman" w:cs="Times New Roman"/>
        </w:rPr>
        <w:t>The ACMA</w:t>
      </w:r>
      <w:r w:rsidR="003D10CD" w:rsidRPr="009D5987">
        <w:rPr>
          <w:rFonts w:ascii="Times New Roman" w:hAnsi="Times New Roman" w:cs="Times New Roman"/>
        </w:rPr>
        <w:t xml:space="preserve"> </w:t>
      </w:r>
      <w:r w:rsidR="009D5987" w:rsidRPr="009D5987">
        <w:rPr>
          <w:rFonts w:ascii="Times New Roman" w:hAnsi="Times New Roman" w:cs="Times New Roman"/>
        </w:rPr>
        <w:t xml:space="preserve">invited views on </w:t>
      </w:r>
      <w:r w:rsidR="00781CA1">
        <w:rPr>
          <w:rFonts w:ascii="Times New Roman" w:hAnsi="Times New Roman" w:cs="Times New Roman"/>
        </w:rPr>
        <w:t xml:space="preserve">planning arrangements in the </w:t>
      </w:r>
      <w:r w:rsidR="000A1E31">
        <w:rPr>
          <w:rFonts w:ascii="Times New Roman" w:hAnsi="Times New Roman" w:cs="Times New Roman"/>
        </w:rPr>
        <w:t xml:space="preserve">3.4 GHz and 3.7 GHz </w:t>
      </w:r>
      <w:r w:rsidR="00781CA1">
        <w:rPr>
          <w:rFonts w:ascii="Times New Roman" w:hAnsi="Times New Roman" w:cs="Times New Roman"/>
        </w:rPr>
        <w:t>bands and the</w:t>
      </w:r>
      <w:r w:rsidR="009D5987" w:rsidRPr="009D5987">
        <w:rPr>
          <w:rFonts w:ascii="Times New Roman" w:hAnsi="Times New Roman" w:cs="Times New Roman"/>
        </w:rPr>
        <w:t xml:space="preserve"> terms of </w:t>
      </w:r>
      <w:r w:rsidR="009E2A2E">
        <w:rPr>
          <w:rFonts w:ascii="Times New Roman" w:hAnsi="Times New Roman" w:cs="Times New Roman"/>
        </w:rPr>
        <w:t>a</w:t>
      </w:r>
      <w:r w:rsidR="000A1E31">
        <w:rPr>
          <w:rFonts w:ascii="Times New Roman" w:hAnsi="Times New Roman" w:cs="Times New Roman"/>
        </w:rPr>
        <w:t xml:space="preserve"> proposed</w:t>
      </w:r>
      <w:r w:rsidR="009E2A2E" w:rsidRPr="009D5987">
        <w:rPr>
          <w:rFonts w:ascii="Times New Roman" w:hAnsi="Times New Roman" w:cs="Times New Roman"/>
        </w:rPr>
        <w:t xml:space="preserve"> </w:t>
      </w:r>
      <w:r w:rsidR="009D5987" w:rsidRPr="009D5987">
        <w:rPr>
          <w:rFonts w:ascii="Times New Roman" w:hAnsi="Times New Roman" w:cs="Times New Roman"/>
        </w:rPr>
        <w:t xml:space="preserve">re-allocation </w:t>
      </w:r>
      <w:r w:rsidR="00653DB7" w:rsidRPr="009D5987">
        <w:rPr>
          <w:rFonts w:ascii="Times New Roman" w:hAnsi="Times New Roman" w:cs="Times New Roman"/>
        </w:rPr>
        <w:t>declaration</w:t>
      </w:r>
      <w:r>
        <w:rPr>
          <w:rFonts w:ascii="Times New Roman" w:hAnsi="Times New Roman" w:cs="Times New Roman"/>
        </w:rPr>
        <w:t xml:space="preserve"> to be submitted by 4 May 2022</w:t>
      </w:r>
      <w:r w:rsidR="00653DB7" w:rsidRPr="009D5987">
        <w:rPr>
          <w:rFonts w:ascii="Times New Roman" w:hAnsi="Times New Roman" w:cs="Times New Roman"/>
        </w:rPr>
        <w:t>.</w:t>
      </w:r>
      <w:r w:rsidR="00781CA1">
        <w:rPr>
          <w:rFonts w:ascii="Times New Roman" w:hAnsi="Times New Roman" w:cs="Times New Roman"/>
        </w:rPr>
        <w:t xml:space="preserve"> The ACMA also </w:t>
      </w:r>
      <w:r w:rsidR="009D5987" w:rsidRPr="009D5987">
        <w:rPr>
          <w:rFonts w:ascii="Times New Roman" w:hAnsi="Times New Roman" w:cs="Times New Roman"/>
        </w:rPr>
        <w:t xml:space="preserve">sought preliminary views on additional matters including licence term, </w:t>
      </w:r>
      <w:r w:rsidR="00876F14">
        <w:rPr>
          <w:rFonts w:ascii="Times New Roman" w:hAnsi="Times New Roman" w:cs="Times New Roman"/>
        </w:rPr>
        <w:t>lot configuration</w:t>
      </w:r>
      <w:r w:rsidR="009D5987" w:rsidRPr="009D5987">
        <w:rPr>
          <w:rFonts w:ascii="Times New Roman" w:hAnsi="Times New Roman" w:cs="Times New Roman"/>
        </w:rPr>
        <w:t xml:space="preserve"> and auction methodology. On 29 March 2022</w:t>
      </w:r>
      <w:r w:rsidR="009D5987" w:rsidRPr="009D5987">
        <w:rPr>
          <w:rFonts w:ascii="Times New Roman" w:hAnsi="Times New Roman" w:cs="Times New Roman"/>
          <w:u w:val="single"/>
        </w:rPr>
        <w:t>,</w:t>
      </w:r>
      <w:r w:rsidR="009D5987" w:rsidRPr="009D5987">
        <w:rPr>
          <w:rFonts w:ascii="Times New Roman" w:hAnsi="Times New Roman" w:cs="Times New Roman"/>
        </w:rPr>
        <w:t xml:space="preserve"> the ACMA held an industry </w:t>
      </w:r>
      <w:r w:rsidR="000819BD">
        <w:rPr>
          <w:rFonts w:ascii="Times New Roman" w:hAnsi="Times New Roman" w:cs="Times New Roman"/>
        </w:rPr>
        <w:t>“</w:t>
      </w:r>
      <w:r w:rsidR="009D5987" w:rsidRPr="009D5987">
        <w:rPr>
          <w:rFonts w:ascii="Times New Roman" w:hAnsi="Times New Roman" w:cs="Times New Roman"/>
        </w:rPr>
        <w:t>tune-up</w:t>
      </w:r>
      <w:r w:rsidR="000819BD">
        <w:rPr>
          <w:rFonts w:ascii="Times New Roman" w:hAnsi="Times New Roman" w:cs="Times New Roman"/>
        </w:rPr>
        <w:t>”</w:t>
      </w:r>
      <w:r w:rsidR="009D5987" w:rsidRPr="009D5987">
        <w:rPr>
          <w:rFonts w:ascii="Times New Roman" w:hAnsi="Times New Roman" w:cs="Times New Roman"/>
        </w:rPr>
        <w:t xml:space="preserve"> with stakeholders about the re-allocation options outlined in the re-allocation consultation paper as well as </w:t>
      </w:r>
      <w:r w:rsidR="008370E7">
        <w:rPr>
          <w:rFonts w:ascii="Times New Roman" w:hAnsi="Times New Roman" w:cs="Times New Roman"/>
        </w:rPr>
        <w:t xml:space="preserve">the </w:t>
      </w:r>
      <w:r w:rsidR="009D5987" w:rsidRPr="009D5987">
        <w:rPr>
          <w:rFonts w:ascii="Times New Roman" w:hAnsi="Times New Roman" w:cs="Times New Roman"/>
        </w:rPr>
        <w:t>additiona</w:t>
      </w:r>
      <w:r w:rsidR="009D5987" w:rsidRPr="00401FCB">
        <w:rPr>
          <w:rFonts w:ascii="Times New Roman" w:hAnsi="Times New Roman" w:cs="Times New Roman"/>
        </w:rPr>
        <w:t>l matters. </w:t>
      </w:r>
    </w:p>
    <w:p w14:paraId="7E2ADF4F" w14:textId="106C6185" w:rsidR="009D5987" w:rsidRDefault="00876F14" w:rsidP="009D5987">
      <w:pPr>
        <w:rPr>
          <w:rFonts w:ascii="Times New Roman" w:hAnsi="Times New Roman" w:cs="Times New Roman"/>
        </w:rPr>
      </w:pPr>
      <w:r>
        <w:rPr>
          <w:rFonts w:ascii="Times New Roman" w:hAnsi="Times New Roman" w:cs="Times New Roman"/>
        </w:rPr>
        <w:t>The ACMA</w:t>
      </w:r>
      <w:r w:rsidRPr="0010798E">
        <w:rPr>
          <w:rFonts w:ascii="Times New Roman" w:hAnsi="Times New Roman" w:cs="Times New Roman"/>
        </w:rPr>
        <w:t xml:space="preserve"> </w:t>
      </w:r>
      <w:r w:rsidR="009D5987" w:rsidRPr="003C0323">
        <w:rPr>
          <w:rFonts w:ascii="Times New Roman" w:hAnsi="Times New Roman" w:cs="Times New Roman"/>
        </w:rPr>
        <w:t>received</w:t>
      </w:r>
      <w:r w:rsidR="00401FCB" w:rsidRPr="003C0323">
        <w:rPr>
          <w:rFonts w:ascii="Times New Roman" w:hAnsi="Times New Roman" w:cs="Times New Roman"/>
        </w:rPr>
        <w:t xml:space="preserve"> </w:t>
      </w:r>
      <w:r w:rsidR="00401FCB" w:rsidRPr="006B024A">
        <w:rPr>
          <w:rFonts w:ascii="Times New Roman" w:hAnsi="Times New Roman" w:cs="Times New Roman"/>
        </w:rPr>
        <w:t>31</w:t>
      </w:r>
      <w:r w:rsidR="009D5987" w:rsidRPr="006B024A">
        <w:rPr>
          <w:rFonts w:ascii="Times New Roman" w:hAnsi="Times New Roman" w:cs="Times New Roman"/>
        </w:rPr>
        <w:t xml:space="preserve"> </w:t>
      </w:r>
      <w:r w:rsidR="009D5987" w:rsidRPr="00401FCB">
        <w:rPr>
          <w:rFonts w:ascii="Times New Roman" w:hAnsi="Times New Roman" w:cs="Times New Roman"/>
        </w:rPr>
        <w:t>submissions</w:t>
      </w:r>
      <w:r w:rsidR="009D5987" w:rsidRPr="009D5987">
        <w:rPr>
          <w:rFonts w:ascii="Times New Roman" w:hAnsi="Times New Roman" w:cs="Times New Roman"/>
        </w:rPr>
        <w:t xml:space="preserve"> to this consultation. After considering submissions, the ACMA made the re-allocation declaration.  </w:t>
      </w:r>
    </w:p>
    <w:p w14:paraId="1E174FD3" w14:textId="77777777" w:rsidR="006B55CE" w:rsidRPr="0009006B" w:rsidRDefault="006B55CE" w:rsidP="006B55CE">
      <w:pPr>
        <w:rPr>
          <w:rFonts w:ascii="Times New Roman" w:hAnsi="Times New Roman" w:cs="Times New Roman"/>
        </w:rPr>
      </w:pPr>
      <w:r w:rsidRPr="0009006B">
        <w:rPr>
          <w:rFonts w:ascii="Times New Roman" w:hAnsi="Times New Roman" w:cs="Times New Roman"/>
        </w:rPr>
        <w:t xml:space="preserve">In general, submissions supported the ACMA’s proposals. However: </w:t>
      </w:r>
    </w:p>
    <w:p w14:paraId="7F5E1CF4" w14:textId="77777777" w:rsidR="006B55CE" w:rsidRPr="0009006B" w:rsidRDefault="006B55CE" w:rsidP="006B55CE">
      <w:pPr>
        <w:pStyle w:val="ListParagraph"/>
        <w:numPr>
          <w:ilvl w:val="0"/>
          <w:numId w:val="14"/>
        </w:numPr>
        <w:rPr>
          <w:rFonts w:ascii="Times New Roman" w:hAnsi="Times New Roman" w:cs="Times New Roman"/>
        </w:rPr>
      </w:pPr>
      <w:r w:rsidRPr="0009006B">
        <w:rPr>
          <w:rFonts w:ascii="Times New Roman" w:hAnsi="Times New Roman" w:cs="Times New Roman"/>
        </w:rPr>
        <w:t>some stakeholders wanted to maximise the amount of spectrum available under apparatus licences, minimise the impact on incumbent apparatus licences and ensure part of the 3400-3800 MHz frequency range (which supports both 4G and 5G technologies) was available for apparatus licensed use;</w:t>
      </w:r>
    </w:p>
    <w:p w14:paraId="5889AB89" w14:textId="071F324B" w:rsidR="006B55CE" w:rsidRPr="0009006B" w:rsidRDefault="006B55CE" w:rsidP="006B55CE">
      <w:pPr>
        <w:pStyle w:val="ListParagraph"/>
        <w:numPr>
          <w:ilvl w:val="0"/>
          <w:numId w:val="14"/>
        </w:numPr>
        <w:rPr>
          <w:rFonts w:ascii="Times New Roman" w:hAnsi="Times New Roman" w:cs="Times New Roman"/>
        </w:rPr>
      </w:pPr>
      <w:r w:rsidRPr="0009006B">
        <w:rPr>
          <w:rFonts w:ascii="Times New Roman" w:hAnsi="Times New Roman" w:cs="Times New Roman"/>
        </w:rPr>
        <w:t xml:space="preserve">some stakeholders wanted to maximise the amount of spectrum available under spectrum licences, and to minimise the reduction of spectrum utility caused </w:t>
      </w:r>
      <w:r w:rsidR="000819BD">
        <w:rPr>
          <w:rFonts w:ascii="Times New Roman" w:hAnsi="Times New Roman" w:cs="Times New Roman"/>
        </w:rPr>
        <w:t>by</w:t>
      </w:r>
      <w:r w:rsidRPr="0009006B">
        <w:rPr>
          <w:rFonts w:ascii="Times New Roman" w:hAnsi="Times New Roman" w:cs="Times New Roman"/>
        </w:rPr>
        <w:t xml:space="preserve"> boundaries (frequency and geographic) between spectrum licences and apparatus licences. These stakeholders also suggested the same total amount of area (in both regional and metro areas) be subject to spectrum licensing across the entire 3400-3800 MHz frequency range, to assist in consolidation of the new spectrum licences with existing spectrum licences;</w:t>
      </w:r>
    </w:p>
    <w:p w14:paraId="34867A04" w14:textId="77777777" w:rsidR="006B55CE" w:rsidRPr="0009006B" w:rsidRDefault="006B55CE" w:rsidP="006B55CE">
      <w:pPr>
        <w:pStyle w:val="ListParagraph"/>
        <w:numPr>
          <w:ilvl w:val="0"/>
          <w:numId w:val="14"/>
        </w:numPr>
        <w:rPr>
          <w:rFonts w:ascii="Times New Roman" w:hAnsi="Times New Roman" w:cs="Times New Roman"/>
        </w:rPr>
      </w:pPr>
      <w:r w:rsidRPr="0009006B">
        <w:rPr>
          <w:rFonts w:ascii="Times New Roman" w:hAnsi="Times New Roman" w:cs="Times New Roman"/>
        </w:rPr>
        <w:t>some stakeholders submitted that the ACMA’s proposed re-allocation period of five years should be shorter (in some cases, as short as two years), and some suggested delaying the allocation of some parts of the spectrum.</w:t>
      </w:r>
    </w:p>
    <w:p w14:paraId="2603BDBA" w14:textId="52D925F6" w:rsidR="006B55CE" w:rsidRPr="0009006B" w:rsidRDefault="006B55CE" w:rsidP="006B55CE">
      <w:pPr>
        <w:rPr>
          <w:rFonts w:ascii="Times New Roman" w:hAnsi="Times New Roman" w:cs="Times New Roman"/>
        </w:rPr>
      </w:pPr>
      <w:r w:rsidRPr="0009006B">
        <w:rPr>
          <w:rFonts w:ascii="Times New Roman" w:hAnsi="Times New Roman" w:cs="Times New Roman"/>
        </w:rPr>
        <w:t xml:space="preserve">After considering these submissions, the ACMA, </w:t>
      </w:r>
      <w:r w:rsidR="000819BD">
        <w:rPr>
          <w:rFonts w:ascii="Times New Roman" w:hAnsi="Times New Roman" w:cs="Times New Roman"/>
        </w:rPr>
        <w:t>adjusted</w:t>
      </w:r>
      <w:r w:rsidRPr="0009006B">
        <w:rPr>
          <w:rFonts w:ascii="Times New Roman" w:hAnsi="Times New Roman" w:cs="Times New Roman"/>
        </w:rPr>
        <w:t xml:space="preserve"> its initial proposal</w:t>
      </w:r>
      <w:r w:rsidR="000819BD">
        <w:rPr>
          <w:rFonts w:ascii="Times New Roman" w:hAnsi="Times New Roman" w:cs="Times New Roman"/>
        </w:rPr>
        <w:t xml:space="preserve"> so as to</w:t>
      </w:r>
      <w:r w:rsidRPr="0009006B">
        <w:rPr>
          <w:rFonts w:ascii="Times New Roman" w:hAnsi="Times New Roman" w:cs="Times New Roman"/>
        </w:rPr>
        <w:t>:</w:t>
      </w:r>
    </w:p>
    <w:p w14:paraId="78924CFA" w14:textId="6F92297A" w:rsidR="006B55CE" w:rsidRPr="0009006B" w:rsidRDefault="006B55CE" w:rsidP="006B55CE">
      <w:pPr>
        <w:pStyle w:val="ListParagraph"/>
        <w:numPr>
          <w:ilvl w:val="0"/>
          <w:numId w:val="14"/>
        </w:numPr>
        <w:rPr>
          <w:rFonts w:ascii="Times New Roman" w:hAnsi="Times New Roman" w:cs="Times New Roman"/>
        </w:rPr>
      </w:pPr>
      <w:r w:rsidRPr="0009006B">
        <w:rPr>
          <w:rFonts w:ascii="Times New Roman" w:hAnsi="Times New Roman" w:cs="Times New Roman"/>
        </w:rPr>
        <w:t>not include in the instrument the 3400 MHz to 3475 MHz frequency band in some metropolitan areas, meaning the spectrum will not be available for spectrum licences in these areas. Instead, the spectrum will be available for apparatus licences;</w:t>
      </w:r>
    </w:p>
    <w:p w14:paraId="1FA00CCE" w14:textId="554E28BA" w:rsidR="006B55CE" w:rsidRPr="0009006B" w:rsidRDefault="006B55CE" w:rsidP="006B55CE">
      <w:pPr>
        <w:pStyle w:val="ListParagraph"/>
        <w:numPr>
          <w:ilvl w:val="0"/>
          <w:numId w:val="14"/>
        </w:numPr>
        <w:rPr>
          <w:rFonts w:ascii="Times New Roman" w:hAnsi="Times New Roman" w:cs="Times New Roman"/>
        </w:rPr>
      </w:pPr>
      <w:r w:rsidRPr="0009006B">
        <w:rPr>
          <w:rFonts w:ascii="Times New Roman" w:hAnsi="Times New Roman" w:cs="Times New Roman"/>
        </w:rPr>
        <w:t>include in the instrument the 3750 MHz to 3800 MHz band in regional areas of New South Wales, Queensland, South Australia, Victoria and Western Australia, and in the urban centres of Ballarat, Bendigo and Toowoomba, meaning the spectrum will be available for spectrum licences in these areas.</w:t>
      </w:r>
    </w:p>
    <w:p w14:paraId="78D21056" w14:textId="184EDBB0" w:rsidR="006B55CE" w:rsidRDefault="006B55CE" w:rsidP="009D5987">
      <w:pPr>
        <w:rPr>
          <w:rFonts w:ascii="Times New Roman" w:hAnsi="Times New Roman" w:cs="Times New Roman"/>
        </w:rPr>
      </w:pPr>
      <w:r w:rsidRPr="0009006B">
        <w:rPr>
          <w:rFonts w:ascii="Times New Roman" w:hAnsi="Times New Roman" w:cs="Times New Roman"/>
        </w:rPr>
        <w:t xml:space="preserve">The ACMA considered that these changes provided for the most efficient use of the spectrum, minimising the impact of boundaries between spectrum licences and apparatus licences, and reducing the </w:t>
      </w:r>
      <w:r w:rsidR="009F0214">
        <w:rPr>
          <w:rFonts w:ascii="Times New Roman" w:hAnsi="Times New Roman" w:cs="Times New Roman"/>
        </w:rPr>
        <w:t>impac</w:t>
      </w:r>
      <w:r w:rsidR="009F0214" w:rsidRPr="0009006B">
        <w:rPr>
          <w:rFonts w:ascii="Times New Roman" w:hAnsi="Times New Roman" w:cs="Times New Roman"/>
        </w:rPr>
        <w:t xml:space="preserve">t </w:t>
      </w:r>
      <w:r w:rsidRPr="0009006B">
        <w:rPr>
          <w:rFonts w:ascii="Times New Roman" w:hAnsi="Times New Roman" w:cs="Times New Roman"/>
        </w:rPr>
        <w:t xml:space="preserve">of the instrument on existing apparatus licensees. In order to further reduce </w:t>
      </w:r>
      <w:r w:rsidR="009F0214">
        <w:rPr>
          <w:rFonts w:ascii="Times New Roman" w:hAnsi="Times New Roman" w:cs="Times New Roman"/>
        </w:rPr>
        <w:t>that impact</w:t>
      </w:r>
      <w:r w:rsidRPr="0009006B">
        <w:rPr>
          <w:rFonts w:ascii="Times New Roman" w:hAnsi="Times New Roman" w:cs="Times New Roman"/>
        </w:rPr>
        <w:t>, the ACMA included a five year re-allocation period for all parts of the spectrum covered by the instrument. This will also allow for</w:t>
      </w:r>
      <w:r w:rsidR="009F0214">
        <w:rPr>
          <w:rFonts w:ascii="Times New Roman" w:hAnsi="Times New Roman" w:cs="Times New Roman"/>
        </w:rPr>
        <w:t xml:space="preserve"> the possibility of</w:t>
      </w:r>
      <w:r w:rsidRPr="0009006B">
        <w:rPr>
          <w:rFonts w:ascii="Times New Roman" w:hAnsi="Times New Roman" w:cs="Times New Roman"/>
        </w:rPr>
        <w:t xml:space="preserve"> some delay in the allocation process, as some stakeholders requested, if </w:t>
      </w:r>
      <w:r w:rsidR="00EA653C">
        <w:rPr>
          <w:rFonts w:ascii="Times New Roman" w:hAnsi="Times New Roman" w:cs="Times New Roman"/>
        </w:rPr>
        <w:t>that is later deemed necessary or appropriate</w:t>
      </w:r>
      <w:r w:rsidRPr="0009006B">
        <w:rPr>
          <w:rFonts w:ascii="Times New Roman" w:hAnsi="Times New Roman" w:cs="Times New Roman"/>
        </w:rPr>
        <w:t>.</w:t>
      </w:r>
    </w:p>
    <w:p w14:paraId="2E01E108" w14:textId="77777777" w:rsidR="004C58B9" w:rsidRDefault="004C58B9" w:rsidP="008755C8">
      <w:pPr>
        <w:keepNext/>
        <w:spacing w:line="257" w:lineRule="auto"/>
        <w:rPr>
          <w:rFonts w:ascii="Times New Roman" w:hAnsi="Times New Roman" w:cs="Times New Roman"/>
          <w:b/>
        </w:rPr>
      </w:pPr>
      <w:r>
        <w:rPr>
          <w:rFonts w:ascii="Times New Roman" w:hAnsi="Times New Roman" w:cs="Times New Roman"/>
          <w:b/>
        </w:rPr>
        <w:lastRenderedPageBreak/>
        <w:t>Regulatory impact assessment</w:t>
      </w:r>
    </w:p>
    <w:p w14:paraId="29C71EA0" w14:textId="78D63B5B" w:rsidR="00A30359" w:rsidRDefault="00A30359" w:rsidP="004C58B9">
      <w:pPr>
        <w:rPr>
          <w:rFonts w:ascii="Times New Roman" w:hAnsi="Times New Roman" w:cs="Times New Roman"/>
        </w:rPr>
      </w:pPr>
      <w:r>
        <w:rPr>
          <w:rFonts w:ascii="Times New Roman" w:hAnsi="Times New Roman" w:cs="Times New Roman"/>
        </w:rPr>
        <w:t>T</w:t>
      </w:r>
      <w:r w:rsidRPr="00A30359">
        <w:rPr>
          <w:rFonts w:ascii="Times New Roman" w:hAnsi="Times New Roman" w:cs="Times New Roman"/>
        </w:rPr>
        <w:t>he Office of Best Practice Regulation (</w:t>
      </w:r>
      <w:r w:rsidRPr="0094235F">
        <w:rPr>
          <w:rFonts w:ascii="Times New Roman" w:hAnsi="Times New Roman" w:cs="Times New Roman"/>
          <w:b/>
          <w:bCs/>
        </w:rPr>
        <w:t>OBPR</w:t>
      </w:r>
      <w:r w:rsidRPr="00A30359">
        <w:rPr>
          <w:rFonts w:ascii="Times New Roman" w:hAnsi="Times New Roman" w:cs="Times New Roman"/>
        </w:rPr>
        <w:t>) confirmed that a Regulat</w:t>
      </w:r>
      <w:r w:rsidR="006F2AF0">
        <w:rPr>
          <w:rFonts w:ascii="Times New Roman" w:hAnsi="Times New Roman" w:cs="Times New Roman"/>
        </w:rPr>
        <w:t>ion</w:t>
      </w:r>
      <w:r w:rsidRPr="00A30359">
        <w:rPr>
          <w:rFonts w:ascii="Times New Roman" w:hAnsi="Times New Roman" w:cs="Times New Roman"/>
        </w:rPr>
        <w:t xml:space="preserve"> Impact Statement </w:t>
      </w:r>
      <w:r w:rsidR="00BD51DA">
        <w:rPr>
          <w:rFonts w:ascii="Times New Roman" w:hAnsi="Times New Roman" w:cs="Times New Roman"/>
        </w:rPr>
        <w:t>wa</w:t>
      </w:r>
      <w:r w:rsidRPr="00A30359">
        <w:rPr>
          <w:rFonts w:ascii="Times New Roman" w:hAnsi="Times New Roman" w:cs="Times New Roman"/>
        </w:rPr>
        <w:t xml:space="preserve">s not required for the </w:t>
      </w:r>
      <w:r w:rsidR="00BD51DA">
        <w:rPr>
          <w:rFonts w:ascii="Times New Roman" w:hAnsi="Times New Roman" w:cs="Times New Roman"/>
        </w:rPr>
        <w:t>instrument</w:t>
      </w:r>
      <w:r w:rsidR="00BD51DA" w:rsidRPr="00A30359">
        <w:rPr>
          <w:rFonts w:ascii="Times New Roman" w:hAnsi="Times New Roman" w:cs="Times New Roman"/>
        </w:rPr>
        <w:t xml:space="preserve"> </w:t>
      </w:r>
      <w:r w:rsidRPr="00A30359">
        <w:rPr>
          <w:rFonts w:ascii="Times New Roman" w:hAnsi="Times New Roman" w:cs="Times New Roman"/>
        </w:rPr>
        <w:t xml:space="preserve">on the ground that </w:t>
      </w:r>
      <w:r w:rsidR="004E6A1C">
        <w:rPr>
          <w:rFonts w:ascii="Times New Roman" w:hAnsi="Times New Roman" w:cs="Times New Roman"/>
        </w:rPr>
        <w:t xml:space="preserve">it is unlikely to have more than </w:t>
      </w:r>
      <w:r w:rsidR="00EA653C">
        <w:rPr>
          <w:rFonts w:ascii="Times New Roman" w:hAnsi="Times New Roman" w:cs="Times New Roman"/>
        </w:rPr>
        <w:t xml:space="preserve">a </w:t>
      </w:r>
      <w:r w:rsidR="004E6A1C">
        <w:rPr>
          <w:rFonts w:ascii="Times New Roman" w:hAnsi="Times New Roman" w:cs="Times New Roman"/>
        </w:rPr>
        <w:t>minor regulatory impact</w:t>
      </w:r>
      <w:r w:rsidR="008142CA">
        <w:rPr>
          <w:rFonts w:ascii="Times New Roman" w:hAnsi="Times New Roman" w:cs="Times New Roman"/>
        </w:rPr>
        <w:t xml:space="preserve"> (</w:t>
      </w:r>
      <w:r w:rsidR="00CB41D9">
        <w:rPr>
          <w:rFonts w:ascii="Times New Roman" w:hAnsi="Times New Roman" w:cs="Times New Roman"/>
        </w:rPr>
        <w:t xml:space="preserve">OBLR reference </w:t>
      </w:r>
      <w:r w:rsidR="008142CA">
        <w:rPr>
          <w:rFonts w:ascii="Times New Roman" w:hAnsi="Times New Roman" w:cs="Times New Roman"/>
        </w:rPr>
        <w:t>OBPR22-01921)</w:t>
      </w:r>
      <w:r w:rsidR="009C518D">
        <w:rPr>
          <w:rFonts w:ascii="Times New Roman" w:hAnsi="Times New Roman" w:cs="Times New Roman"/>
        </w:rPr>
        <w:t>.</w:t>
      </w:r>
      <w:r w:rsidR="008A7ABB">
        <w:rPr>
          <w:rFonts w:ascii="Times New Roman" w:hAnsi="Times New Roman" w:cs="Times New Roman"/>
        </w:rPr>
        <w:t xml:space="preserve"> The ACMA previously engaged with OBPR in relation to the </w:t>
      </w:r>
      <w:r w:rsidR="00CB41D9">
        <w:rPr>
          <w:rFonts w:ascii="Times New Roman" w:hAnsi="Times New Roman" w:cs="Times New Roman"/>
        </w:rPr>
        <w:t>3400 MHz options paper (OBPR reference 25773) and the 3700 MHz options paper (OBPR reference 25280).</w:t>
      </w:r>
    </w:p>
    <w:p w14:paraId="645DD02E" w14:textId="2B5CFF9E" w:rsidR="004C58B9" w:rsidRDefault="004C58B9" w:rsidP="0094235F">
      <w:pPr>
        <w:keepNext/>
        <w:spacing w:line="257" w:lineRule="auto"/>
        <w:rPr>
          <w:rFonts w:ascii="Times New Roman" w:hAnsi="Times New Roman" w:cs="Times New Roman"/>
          <w:b/>
        </w:rPr>
      </w:pPr>
      <w:r>
        <w:rPr>
          <w:rFonts w:ascii="Times New Roman" w:hAnsi="Times New Roman" w:cs="Times New Roman"/>
          <w:b/>
        </w:rPr>
        <w:t>Statement of compatibility with human rights</w:t>
      </w:r>
    </w:p>
    <w:p w14:paraId="7E0868EC" w14:textId="0FB04098" w:rsidR="004C58B9" w:rsidRDefault="004C58B9" w:rsidP="004C58B9">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 </w:t>
      </w:r>
      <w:r w:rsidR="00E47630">
        <w:rPr>
          <w:rFonts w:ascii="Times New Roman" w:hAnsi="Times New Roman" w:cs="Times New Roman"/>
        </w:rPr>
        <w:t>with human rights</w:t>
      </w:r>
      <w:r w:rsidR="008A376A">
        <w:rPr>
          <w:rFonts w:ascii="Times New Roman" w:hAnsi="Times New Roman" w:cs="Times New Roman"/>
        </w:rPr>
        <w:t xml:space="preserve"> </w:t>
      </w:r>
      <w:r>
        <w:rPr>
          <w:rFonts w:ascii="Times New Roman" w:hAnsi="Times New Roman" w:cs="Times New Roman"/>
        </w:rPr>
        <w:t xml:space="preserve">to be prepared in respect of that legislative instrument. </w:t>
      </w:r>
    </w:p>
    <w:p w14:paraId="695CEC3E" w14:textId="77777777" w:rsidR="004C58B9" w:rsidRDefault="004C58B9" w:rsidP="004C58B9">
      <w:pPr>
        <w:rPr>
          <w:rFonts w:ascii="Times New Roman" w:hAnsi="Times New Roman" w:cs="Times New Roman"/>
          <w:b/>
          <w:i/>
        </w:rPr>
      </w:pPr>
      <w:r>
        <w:rPr>
          <w:rFonts w:ascii="Times New Roman" w:hAnsi="Times New Roman" w:cs="Times New Roman"/>
          <w:b/>
          <w:i/>
        </w:rPr>
        <w:t>Overview of the instrument</w:t>
      </w:r>
    </w:p>
    <w:p w14:paraId="4DF8C09F" w14:textId="450363DF" w:rsidR="00E47630" w:rsidRDefault="00147969" w:rsidP="00E47630">
      <w:pPr>
        <w:spacing w:after="40"/>
        <w:rPr>
          <w:rFonts w:ascii="Times New Roman" w:hAnsi="Times New Roman" w:cs="Times New Roman"/>
        </w:rPr>
      </w:pPr>
      <w:r w:rsidRPr="003411CE">
        <w:rPr>
          <w:rFonts w:ascii="Times New Roman" w:hAnsi="Times New Roman" w:cs="Times New Roman"/>
        </w:rPr>
        <w:t>The purpose of the</w:t>
      </w:r>
      <w:r w:rsidR="00721849">
        <w:rPr>
          <w:rFonts w:ascii="Times New Roman" w:hAnsi="Times New Roman" w:cs="Times New Roman"/>
        </w:rPr>
        <w:t xml:space="preserve"> </w:t>
      </w:r>
      <w:r w:rsidR="00721849" w:rsidRPr="00721849">
        <w:rPr>
          <w:rFonts w:ascii="Times New Roman" w:hAnsi="Times New Roman" w:cs="Times New Roman"/>
        </w:rPr>
        <w:t>instrument</w:t>
      </w:r>
      <w:r w:rsidRPr="00721849">
        <w:rPr>
          <w:rFonts w:ascii="Times New Roman" w:hAnsi="Times New Roman" w:cs="Times New Roman"/>
        </w:rPr>
        <w:t xml:space="preserve"> is to declare</w:t>
      </w:r>
      <w:r w:rsidRPr="003411CE">
        <w:rPr>
          <w:rFonts w:ascii="Times New Roman" w:hAnsi="Times New Roman" w:cs="Times New Roman"/>
        </w:rPr>
        <w:t xml:space="preserve"> </w:t>
      </w:r>
      <w:r w:rsidR="00E47630">
        <w:rPr>
          <w:rFonts w:ascii="Times New Roman" w:hAnsi="Times New Roman" w:cs="Times New Roman"/>
        </w:rPr>
        <w:t xml:space="preserve">that </w:t>
      </w:r>
      <w:r w:rsidRPr="003411CE">
        <w:rPr>
          <w:rFonts w:ascii="Times New Roman" w:hAnsi="Times New Roman" w:cs="Times New Roman"/>
        </w:rPr>
        <w:t xml:space="preserve">the following parts of the radiofrequency </w:t>
      </w:r>
      <w:bookmarkStart w:id="8" w:name="_Int_gcrM8C58"/>
      <w:r w:rsidRPr="003411CE">
        <w:rPr>
          <w:rFonts w:ascii="Times New Roman" w:hAnsi="Times New Roman" w:cs="Times New Roman"/>
        </w:rPr>
        <w:t>spectrum</w:t>
      </w:r>
      <w:bookmarkEnd w:id="8"/>
      <w:r w:rsidR="00E47630">
        <w:rPr>
          <w:rFonts w:ascii="Times New Roman" w:hAnsi="Times New Roman" w:cs="Times New Roman"/>
        </w:rPr>
        <w:t xml:space="preserve"> are</w:t>
      </w:r>
      <w:r w:rsidR="00E47630" w:rsidRPr="683F6527">
        <w:rPr>
          <w:rFonts w:ascii="Times New Roman" w:hAnsi="Times New Roman" w:cs="Times New Roman"/>
        </w:rPr>
        <w:t xml:space="preserve"> subject to re-allocation by the</w:t>
      </w:r>
      <w:r w:rsidR="00E47630">
        <w:rPr>
          <w:rFonts w:ascii="Times New Roman" w:hAnsi="Times New Roman" w:cs="Times New Roman"/>
        </w:rPr>
        <w:t xml:space="preserve"> ACMA, by issuing spectrum licences:</w:t>
      </w:r>
    </w:p>
    <w:p w14:paraId="0157CD65" w14:textId="77777777" w:rsidR="00147969" w:rsidRPr="00721849" w:rsidRDefault="00147969" w:rsidP="00147969">
      <w:pPr>
        <w:pStyle w:val="ListParagraph"/>
        <w:numPr>
          <w:ilvl w:val="0"/>
          <w:numId w:val="13"/>
        </w:numPr>
        <w:rPr>
          <w:rFonts w:ascii="Times New Roman" w:hAnsi="Times New Roman" w:cs="Times New Roman"/>
        </w:rPr>
      </w:pPr>
      <w:r w:rsidRPr="00721849">
        <w:rPr>
          <w:rFonts w:ascii="Times New Roman" w:hAnsi="Times New Roman" w:cs="Times New Roman"/>
        </w:rPr>
        <w:t xml:space="preserve">3400 MHz to 3425 </w:t>
      </w:r>
      <w:bookmarkStart w:id="9" w:name="_Int_viSmzoGM"/>
      <w:r w:rsidRPr="00721849">
        <w:rPr>
          <w:rFonts w:ascii="Times New Roman" w:hAnsi="Times New Roman" w:cs="Times New Roman"/>
        </w:rPr>
        <w:t>MHz;</w:t>
      </w:r>
      <w:bookmarkEnd w:id="9"/>
    </w:p>
    <w:p w14:paraId="206F4069" w14:textId="44A96F33" w:rsidR="00147969" w:rsidRPr="00721849" w:rsidRDefault="00147969" w:rsidP="00147969">
      <w:pPr>
        <w:pStyle w:val="ListParagraph"/>
        <w:numPr>
          <w:ilvl w:val="0"/>
          <w:numId w:val="13"/>
        </w:numPr>
        <w:rPr>
          <w:rFonts w:ascii="Times New Roman" w:hAnsi="Times New Roman" w:cs="Times New Roman"/>
        </w:rPr>
      </w:pPr>
      <w:r w:rsidRPr="00721849">
        <w:rPr>
          <w:rFonts w:ascii="Times New Roman" w:hAnsi="Times New Roman" w:cs="Times New Roman"/>
        </w:rPr>
        <w:t>3425 MHz to 3442.5 MHz</w:t>
      </w:r>
      <w:r w:rsidR="00E47630">
        <w:rPr>
          <w:rFonts w:ascii="Times New Roman" w:hAnsi="Times New Roman" w:cs="Times New Roman"/>
        </w:rPr>
        <w:t>;</w:t>
      </w:r>
    </w:p>
    <w:p w14:paraId="069203AE" w14:textId="17F06DA8" w:rsidR="00147969" w:rsidRPr="00721849" w:rsidRDefault="00147969" w:rsidP="00147969">
      <w:pPr>
        <w:pStyle w:val="ListParagraph"/>
        <w:numPr>
          <w:ilvl w:val="0"/>
          <w:numId w:val="13"/>
        </w:numPr>
        <w:rPr>
          <w:rFonts w:ascii="Times New Roman" w:hAnsi="Times New Roman" w:cs="Times New Roman"/>
        </w:rPr>
      </w:pPr>
      <w:r w:rsidRPr="00721849">
        <w:rPr>
          <w:rFonts w:ascii="Times New Roman" w:hAnsi="Times New Roman" w:cs="Times New Roman"/>
        </w:rPr>
        <w:t>3475 MHz to 3492</w:t>
      </w:r>
      <w:r w:rsidR="0030067F" w:rsidRPr="00721849">
        <w:rPr>
          <w:rFonts w:ascii="Times New Roman" w:hAnsi="Times New Roman" w:cs="Times New Roman"/>
        </w:rPr>
        <w:t>.5</w:t>
      </w:r>
      <w:r w:rsidRPr="00721849">
        <w:rPr>
          <w:rFonts w:ascii="Times New Roman" w:hAnsi="Times New Roman" w:cs="Times New Roman"/>
        </w:rPr>
        <w:t xml:space="preserve"> MHz</w:t>
      </w:r>
      <w:r w:rsidR="00E47630">
        <w:rPr>
          <w:rFonts w:ascii="Times New Roman" w:hAnsi="Times New Roman" w:cs="Times New Roman"/>
        </w:rPr>
        <w:t>;</w:t>
      </w:r>
    </w:p>
    <w:p w14:paraId="2AA3E39C" w14:textId="4FD996B0" w:rsidR="00147969" w:rsidRPr="00721849" w:rsidRDefault="00147969" w:rsidP="00147969">
      <w:pPr>
        <w:pStyle w:val="ListParagraph"/>
        <w:numPr>
          <w:ilvl w:val="0"/>
          <w:numId w:val="13"/>
        </w:numPr>
        <w:rPr>
          <w:rFonts w:ascii="Times New Roman" w:hAnsi="Times New Roman" w:cs="Times New Roman"/>
        </w:rPr>
      </w:pPr>
      <w:r w:rsidRPr="00721849">
        <w:rPr>
          <w:rFonts w:ascii="Times New Roman" w:hAnsi="Times New Roman" w:cs="Times New Roman"/>
        </w:rPr>
        <w:t>3492.5 MHz to 3510 MHz</w:t>
      </w:r>
      <w:r w:rsidR="00E47630">
        <w:rPr>
          <w:rFonts w:ascii="Times New Roman" w:hAnsi="Times New Roman" w:cs="Times New Roman"/>
        </w:rPr>
        <w:t>;</w:t>
      </w:r>
    </w:p>
    <w:p w14:paraId="6C5F9064" w14:textId="6976B633" w:rsidR="00147969" w:rsidRPr="00721849" w:rsidRDefault="00147969" w:rsidP="00147969">
      <w:pPr>
        <w:pStyle w:val="ListParagraph"/>
        <w:numPr>
          <w:ilvl w:val="0"/>
          <w:numId w:val="13"/>
        </w:numPr>
        <w:rPr>
          <w:rFonts w:ascii="Times New Roman" w:hAnsi="Times New Roman" w:cs="Times New Roman"/>
        </w:rPr>
      </w:pPr>
      <w:r w:rsidRPr="00721849">
        <w:rPr>
          <w:rFonts w:ascii="Times New Roman" w:hAnsi="Times New Roman" w:cs="Times New Roman"/>
        </w:rPr>
        <w:t>3510 MHz to 3542.5 MHz</w:t>
      </w:r>
      <w:r w:rsidR="00E47630">
        <w:rPr>
          <w:rFonts w:ascii="Times New Roman" w:hAnsi="Times New Roman" w:cs="Times New Roman"/>
        </w:rPr>
        <w:t>;</w:t>
      </w:r>
    </w:p>
    <w:p w14:paraId="2933396D" w14:textId="0A38C1AF" w:rsidR="00147969" w:rsidRPr="00721849" w:rsidRDefault="00147969" w:rsidP="00147969">
      <w:pPr>
        <w:pStyle w:val="ListParagraph"/>
        <w:numPr>
          <w:ilvl w:val="0"/>
          <w:numId w:val="13"/>
        </w:numPr>
        <w:rPr>
          <w:rFonts w:ascii="Times New Roman" w:hAnsi="Times New Roman" w:cs="Times New Roman"/>
        </w:rPr>
      </w:pPr>
      <w:r w:rsidRPr="00721849">
        <w:rPr>
          <w:rFonts w:ascii="Times New Roman" w:hAnsi="Times New Roman" w:cs="Times New Roman"/>
        </w:rPr>
        <w:t>3542.5 MHz to 3575 MHz</w:t>
      </w:r>
      <w:r w:rsidR="00E47630">
        <w:rPr>
          <w:rFonts w:ascii="Times New Roman" w:hAnsi="Times New Roman" w:cs="Times New Roman"/>
        </w:rPr>
        <w:t>;</w:t>
      </w:r>
    </w:p>
    <w:p w14:paraId="2D2ED00F" w14:textId="3E6B136B" w:rsidR="00147969" w:rsidRPr="00721849" w:rsidRDefault="00147969" w:rsidP="00147969">
      <w:pPr>
        <w:pStyle w:val="ListParagraph"/>
        <w:numPr>
          <w:ilvl w:val="0"/>
          <w:numId w:val="13"/>
        </w:numPr>
        <w:rPr>
          <w:rFonts w:ascii="Times New Roman" w:hAnsi="Times New Roman" w:cs="Times New Roman"/>
        </w:rPr>
      </w:pPr>
      <w:r w:rsidRPr="00721849">
        <w:rPr>
          <w:rFonts w:ascii="Times New Roman" w:hAnsi="Times New Roman" w:cs="Times New Roman"/>
        </w:rPr>
        <w:t>3700 MHz to 3750 MHz</w:t>
      </w:r>
      <w:r w:rsidR="00E47630">
        <w:rPr>
          <w:rFonts w:ascii="Times New Roman" w:hAnsi="Times New Roman" w:cs="Times New Roman"/>
        </w:rPr>
        <w:t>;</w:t>
      </w:r>
    </w:p>
    <w:p w14:paraId="77F09188" w14:textId="7EEE7244" w:rsidR="00147969" w:rsidRPr="00721849" w:rsidRDefault="00147969" w:rsidP="00147969">
      <w:pPr>
        <w:pStyle w:val="ListParagraph"/>
        <w:numPr>
          <w:ilvl w:val="0"/>
          <w:numId w:val="13"/>
        </w:numPr>
        <w:rPr>
          <w:rFonts w:ascii="Times New Roman" w:hAnsi="Times New Roman" w:cs="Times New Roman"/>
        </w:rPr>
      </w:pPr>
      <w:r w:rsidRPr="00721849">
        <w:rPr>
          <w:rFonts w:ascii="Times New Roman" w:hAnsi="Times New Roman" w:cs="Times New Roman"/>
        </w:rPr>
        <w:t>3750 MHz to 3800 MHz</w:t>
      </w:r>
      <w:r w:rsidR="00E47630">
        <w:rPr>
          <w:rFonts w:ascii="Times New Roman" w:hAnsi="Times New Roman" w:cs="Times New Roman"/>
        </w:rPr>
        <w:t>.</w:t>
      </w:r>
    </w:p>
    <w:p w14:paraId="73E025E5" w14:textId="2C04DCD3" w:rsidR="00444A54" w:rsidRDefault="00E47630" w:rsidP="008A376A">
      <w:pPr>
        <w:rPr>
          <w:rFonts w:ascii="Times New Roman" w:hAnsi="Times New Roman" w:cs="Times New Roman"/>
          <w:b/>
          <w:i/>
        </w:rPr>
      </w:pPr>
      <w:r w:rsidRPr="0094235F">
        <w:rPr>
          <w:rFonts w:ascii="Times New Roman" w:hAnsi="Times New Roman" w:cs="Times New Roman"/>
        </w:rPr>
        <w:t xml:space="preserve">Each part of the spectrum is declared with respect to one or more of the named areas listed in column 1 of the table in Schedule 1 to the instrument. This enables the ACMA to allocate spectrum licences in the 3.4 GHz and 3.7 GHz bands in these areas, including parts of the bands where apparatus licences have been issued. </w:t>
      </w:r>
    </w:p>
    <w:p w14:paraId="62B66CB7" w14:textId="257E2863" w:rsidR="004C58B9" w:rsidRDefault="004C58B9" w:rsidP="004C58B9">
      <w:pPr>
        <w:rPr>
          <w:rFonts w:ascii="Times New Roman" w:hAnsi="Times New Roman" w:cs="Times New Roman"/>
          <w:b/>
          <w:i/>
        </w:rPr>
      </w:pPr>
      <w:r>
        <w:rPr>
          <w:rFonts w:ascii="Times New Roman" w:hAnsi="Times New Roman" w:cs="Times New Roman"/>
          <w:b/>
          <w:i/>
        </w:rPr>
        <w:t>Human rights implications</w:t>
      </w:r>
    </w:p>
    <w:p w14:paraId="0B759C40" w14:textId="77777777" w:rsidR="004C58B9" w:rsidRDefault="004C58B9" w:rsidP="004C58B9">
      <w:pPr>
        <w:rPr>
          <w:rFonts w:ascii="Times New Roman" w:hAnsi="Times New Roman" w:cs="Times New Roman"/>
        </w:rPr>
      </w:pPr>
      <w:r>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 xml:space="preserve">as they apply to Australia. </w:t>
      </w:r>
    </w:p>
    <w:p w14:paraId="39F7E8B7" w14:textId="6E33DB12" w:rsidR="004C58B9" w:rsidRDefault="004C58B9" w:rsidP="004C58B9">
      <w:pPr>
        <w:rPr>
          <w:rFonts w:ascii="Times New Roman" w:hAnsi="Times New Roman" w:cs="Times New Roman"/>
        </w:rPr>
      </w:pPr>
      <w:r>
        <w:rPr>
          <w:rFonts w:ascii="Times New Roman" w:hAnsi="Times New Roman" w:cs="Times New Roman"/>
        </w:rPr>
        <w:t xml:space="preserve">Having considered the likely impact of the instrument and the nature of the applicable rights and freedoms, the ACMA has formed the view that the instrument does not engage any of those rights or freedoms. </w:t>
      </w:r>
    </w:p>
    <w:p w14:paraId="76A7876C" w14:textId="77777777" w:rsidR="004C58B9" w:rsidRDefault="004C58B9" w:rsidP="004C58B9">
      <w:pPr>
        <w:rPr>
          <w:rFonts w:ascii="Times New Roman" w:hAnsi="Times New Roman" w:cs="Times New Roman"/>
          <w:b/>
          <w:i/>
        </w:rPr>
      </w:pPr>
      <w:r>
        <w:rPr>
          <w:rFonts w:ascii="Times New Roman" w:hAnsi="Times New Roman" w:cs="Times New Roman"/>
          <w:b/>
          <w:i/>
        </w:rPr>
        <w:t>Conclusion</w:t>
      </w:r>
    </w:p>
    <w:p w14:paraId="14033D5D" w14:textId="77777777" w:rsidR="004C58B9" w:rsidRDefault="004C58B9" w:rsidP="004C58B9">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00392EC9" w14:textId="7FA01344" w:rsidR="004C58B9" w:rsidRDefault="004C58B9" w:rsidP="0020688A">
      <w:pPr>
        <w:rPr>
          <w:rFonts w:ascii="Times New Roman" w:hAnsi="Times New Roman" w:cs="Times New Roman"/>
          <w:b/>
          <w:sz w:val="28"/>
          <w:szCs w:val="28"/>
        </w:rPr>
      </w:pPr>
      <w:r>
        <w:rPr>
          <w:rFonts w:ascii="Times New Roman" w:hAnsi="Times New Roman" w:cs="Times New Roman"/>
          <w:b/>
        </w:rPr>
        <w:br w:type="page"/>
      </w:r>
      <w:r>
        <w:rPr>
          <w:rFonts w:ascii="Times New Roman" w:hAnsi="Times New Roman" w:cs="Times New Roman"/>
          <w:b/>
          <w:sz w:val="28"/>
          <w:szCs w:val="28"/>
        </w:rPr>
        <w:lastRenderedPageBreak/>
        <w:t>Attachment A</w:t>
      </w:r>
    </w:p>
    <w:p w14:paraId="2CC48905" w14:textId="0504397C"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sidR="00A20D9A" w:rsidRPr="00A20D9A">
        <w:rPr>
          <w:rFonts w:ascii="Times New Roman" w:hAnsi="Times New Roman" w:cs="Times New Roman"/>
          <w:b/>
          <w:i/>
          <w:sz w:val="28"/>
          <w:szCs w:val="28"/>
        </w:rPr>
        <w:t>Radiocommunications (Spectrum Re-allocation – 3.4 GHz and 3.7 GHz Bands) Declaration 2022</w:t>
      </w:r>
    </w:p>
    <w:p w14:paraId="6A976F35" w14:textId="77777777" w:rsidR="004C58B9" w:rsidRDefault="004C58B9" w:rsidP="004C58B9">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4E9236AB" w14:textId="2BA33D03" w:rsidR="004C58B9" w:rsidRDefault="007A302A" w:rsidP="004C58B9">
      <w:pPr>
        <w:rPr>
          <w:rFonts w:ascii="Times New Roman" w:hAnsi="Times New Roman" w:cs="Times New Roman"/>
        </w:rPr>
      </w:pPr>
      <w:r>
        <w:rPr>
          <w:rFonts w:ascii="Times New Roman" w:hAnsi="Times New Roman" w:cs="Times New Roman"/>
        </w:rPr>
        <w:t>Section 1</w:t>
      </w:r>
      <w:r w:rsidR="004C58B9">
        <w:rPr>
          <w:rFonts w:ascii="Times New Roman" w:hAnsi="Times New Roman" w:cs="Times New Roman"/>
        </w:rPr>
        <w:t xml:space="preserve"> provides for the instrument to be cited as the </w:t>
      </w:r>
      <w:bookmarkStart w:id="10" w:name="_Hlk103177028"/>
      <w:r w:rsidR="00717E74">
        <w:rPr>
          <w:rFonts w:ascii="Times New Roman" w:hAnsi="Times New Roman" w:cs="Times New Roman"/>
          <w:i/>
        </w:rPr>
        <w:t>Radiocommunications (Spectrum Re-allocation – 3.4 GHz and 3.7 GHz Bands) Declaration 2022</w:t>
      </w:r>
      <w:bookmarkEnd w:id="10"/>
      <w:r w:rsidR="004C58B9">
        <w:rPr>
          <w:rFonts w:ascii="Times New Roman" w:hAnsi="Times New Roman" w:cs="Times New Roman"/>
        </w:rPr>
        <w:t>.</w:t>
      </w:r>
    </w:p>
    <w:p w14:paraId="5A4825F8" w14:textId="77777777" w:rsidR="004C58B9" w:rsidRDefault="004C58B9" w:rsidP="004C58B9">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1CE591DC" w14:textId="4CABEF01" w:rsidR="004C58B9" w:rsidRDefault="007A302A" w:rsidP="004C58B9">
      <w:pPr>
        <w:rPr>
          <w:rFonts w:ascii="Times New Roman" w:hAnsi="Times New Roman" w:cs="Times New Roman"/>
        </w:rPr>
      </w:pPr>
      <w:r>
        <w:rPr>
          <w:rFonts w:ascii="Times New Roman" w:hAnsi="Times New Roman" w:cs="Times New Roman"/>
        </w:rPr>
        <w:t>S</w:t>
      </w:r>
      <w:r w:rsidR="004C58B9">
        <w:rPr>
          <w:rFonts w:ascii="Times New Roman" w:hAnsi="Times New Roman" w:cs="Times New Roman"/>
        </w:rPr>
        <w:t>ection</w:t>
      </w:r>
      <w:r>
        <w:rPr>
          <w:rFonts w:ascii="Times New Roman" w:hAnsi="Times New Roman" w:cs="Times New Roman"/>
        </w:rPr>
        <w:t xml:space="preserve"> 2</w:t>
      </w:r>
      <w:r w:rsidR="004C58B9">
        <w:rPr>
          <w:rFonts w:ascii="Times New Roman" w:hAnsi="Times New Roman" w:cs="Times New Roman"/>
        </w:rPr>
        <w:t xml:space="preserve"> provides for the instrument to commence at the start of the day after the day it is registered on the Federal Register of Legislation. </w:t>
      </w:r>
    </w:p>
    <w:p w14:paraId="2E195494" w14:textId="77777777" w:rsidR="004C58B9" w:rsidRDefault="004C58B9" w:rsidP="004C58B9">
      <w:pPr>
        <w:rPr>
          <w:rFonts w:ascii="Times New Roman" w:hAnsi="Times New Roman" w:cs="Times New Roman"/>
        </w:rPr>
      </w:pPr>
      <w:r>
        <w:rPr>
          <w:rFonts w:ascii="Times New Roman" w:hAnsi="Times New Roman" w:cs="Times New Roman"/>
        </w:rPr>
        <w:t xml:space="preserve">The Federal Register of Legislation may be accessed free of charge at </w:t>
      </w:r>
      <w:hyperlink r:id="rId21" w:history="1">
        <w:r>
          <w:rPr>
            <w:rStyle w:val="Hyperlink"/>
            <w:rFonts w:ascii="Times New Roman" w:hAnsi="Times New Roman" w:cs="Times New Roman"/>
          </w:rPr>
          <w:t>www.legislation.gov.au</w:t>
        </w:r>
      </w:hyperlink>
      <w:r>
        <w:rPr>
          <w:rFonts w:ascii="Times New Roman" w:hAnsi="Times New Roman" w:cs="Times New Roman"/>
        </w:rPr>
        <w:t>.</w:t>
      </w:r>
    </w:p>
    <w:p w14:paraId="1CCE7953" w14:textId="77777777" w:rsidR="004C58B9" w:rsidRDefault="004C58B9" w:rsidP="004C58B9">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5782E78B" w14:textId="6FB0485F" w:rsidR="00E84E31" w:rsidRPr="00C9751D" w:rsidRDefault="00E84E31" w:rsidP="00E84E31">
      <w:pPr>
        <w:rPr>
          <w:rFonts w:ascii="Times New Roman" w:hAnsi="Times New Roman" w:cs="Times New Roman"/>
        </w:rPr>
      </w:pPr>
      <w:r w:rsidRPr="00C9751D">
        <w:rPr>
          <w:rFonts w:ascii="Times New Roman" w:hAnsi="Times New Roman" w:cs="Times New Roman"/>
        </w:rPr>
        <w:t xml:space="preserve">Section 3 identifies </w:t>
      </w:r>
      <w:r w:rsidR="00F04CC4">
        <w:rPr>
          <w:rFonts w:ascii="Times New Roman" w:hAnsi="Times New Roman" w:cs="Times New Roman"/>
        </w:rPr>
        <w:t xml:space="preserve">the provision of the Act that authorises the making of the instrument, namely </w:t>
      </w:r>
      <w:r w:rsidRPr="00C9751D">
        <w:rPr>
          <w:rFonts w:ascii="Times New Roman" w:hAnsi="Times New Roman" w:cs="Times New Roman"/>
        </w:rPr>
        <w:t>subsection 153</w:t>
      </w:r>
      <w:bookmarkStart w:id="11" w:name="_Int_piQx2VlV"/>
      <w:r w:rsidRPr="00C9751D">
        <w:rPr>
          <w:rFonts w:ascii="Times New Roman" w:hAnsi="Times New Roman" w:cs="Times New Roman"/>
        </w:rPr>
        <w:t>B(</w:t>
      </w:r>
      <w:bookmarkEnd w:id="11"/>
      <w:r w:rsidRPr="00C9751D">
        <w:rPr>
          <w:rFonts w:ascii="Times New Roman" w:hAnsi="Times New Roman" w:cs="Times New Roman"/>
        </w:rPr>
        <w:t>1) of the</w:t>
      </w:r>
      <w:r w:rsidR="00067F96">
        <w:rPr>
          <w:rFonts w:ascii="Times New Roman" w:hAnsi="Times New Roman" w:cs="Times New Roman"/>
        </w:rPr>
        <w:t xml:space="preserve"> Act</w:t>
      </w:r>
      <w:r w:rsidRPr="00C9751D">
        <w:rPr>
          <w:rFonts w:ascii="Times New Roman" w:hAnsi="Times New Roman" w:cs="Times New Roman"/>
        </w:rPr>
        <w:t xml:space="preserve">. </w:t>
      </w:r>
    </w:p>
    <w:p w14:paraId="092F5492" w14:textId="658561D8" w:rsidR="004C58B9" w:rsidRDefault="004C58B9" w:rsidP="004C58B9">
      <w:pPr>
        <w:rPr>
          <w:rFonts w:ascii="Times New Roman" w:hAnsi="Times New Roman" w:cs="Times New Roman"/>
          <w:b/>
        </w:rPr>
      </w:pPr>
      <w:r>
        <w:rPr>
          <w:rFonts w:ascii="Times New Roman" w:hAnsi="Times New Roman" w:cs="Times New Roman"/>
          <w:b/>
        </w:rPr>
        <w:t xml:space="preserve">Section </w:t>
      </w:r>
      <w:r w:rsidR="00FC316B">
        <w:rPr>
          <w:rFonts w:ascii="Times New Roman" w:hAnsi="Times New Roman" w:cs="Times New Roman"/>
          <w:b/>
        </w:rPr>
        <w:t>4</w:t>
      </w:r>
      <w:r>
        <w:rPr>
          <w:rFonts w:ascii="Times New Roman" w:hAnsi="Times New Roman" w:cs="Times New Roman"/>
          <w:b/>
        </w:rPr>
        <w:tab/>
      </w:r>
      <w:r w:rsidR="00461354">
        <w:rPr>
          <w:rFonts w:ascii="Times New Roman" w:hAnsi="Times New Roman" w:cs="Times New Roman"/>
          <w:b/>
        </w:rPr>
        <w:t>Interpr</w:t>
      </w:r>
      <w:r w:rsidR="005F799E">
        <w:rPr>
          <w:rFonts w:ascii="Times New Roman" w:hAnsi="Times New Roman" w:cs="Times New Roman"/>
          <w:b/>
        </w:rPr>
        <w:t>etation</w:t>
      </w:r>
    </w:p>
    <w:p w14:paraId="51F13F65" w14:textId="77777777" w:rsidR="00436204" w:rsidRDefault="00B11128" w:rsidP="00C9751D">
      <w:pPr>
        <w:rPr>
          <w:rFonts w:ascii="Times New Roman" w:hAnsi="Times New Roman" w:cs="Times New Roman"/>
        </w:rPr>
      </w:pPr>
      <w:r w:rsidRPr="00C9751D">
        <w:rPr>
          <w:rFonts w:ascii="Times New Roman" w:hAnsi="Times New Roman" w:cs="Times New Roman"/>
        </w:rPr>
        <w:t>Subs</w:t>
      </w:r>
      <w:r w:rsidR="00596384" w:rsidRPr="00C9751D">
        <w:rPr>
          <w:rFonts w:ascii="Times New Roman" w:hAnsi="Times New Roman" w:cs="Times New Roman"/>
        </w:rPr>
        <w:t>ection 4</w:t>
      </w:r>
      <w:r w:rsidR="00135A7B" w:rsidRPr="00C9751D">
        <w:rPr>
          <w:rFonts w:ascii="Times New Roman" w:hAnsi="Times New Roman" w:cs="Times New Roman"/>
        </w:rPr>
        <w:t>(1)</w:t>
      </w:r>
      <w:r w:rsidR="00596384" w:rsidRPr="00C9751D">
        <w:rPr>
          <w:rFonts w:ascii="Times New Roman" w:hAnsi="Times New Roman" w:cs="Times New Roman"/>
        </w:rPr>
        <w:t xml:space="preserve"> defines </w:t>
      </w:r>
      <w:r w:rsidR="00436204">
        <w:rPr>
          <w:rFonts w:ascii="Times New Roman" w:hAnsi="Times New Roman" w:cs="Times New Roman"/>
        </w:rPr>
        <w:t xml:space="preserve">key </w:t>
      </w:r>
      <w:r w:rsidR="00596384" w:rsidRPr="00C9751D">
        <w:rPr>
          <w:rFonts w:ascii="Times New Roman" w:hAnsi="Times New Roman" w:cs="Times New Roman"/>
        </w:rPr>
        <w:t xml:space="preserve">expressions used in the </w:t>
      </w:r>
      <w:r w:rsidR="0061521D">
        <w:rPr>
          <w:rFonts w:ascii="Times New Roman" w:hAnsi="Times New Roman" w:cs="Times New Roman"/>
        </w:rPr>
        <w:t>instrument</w:t>
      </w:r>
      <w:r w:rsidR="00596384" w:rsidRPr="00C9751D">
        <w:rPr>
          <w:rFonts w:ascii="Times New Roman" w:hAnsi="Times New Roman" w:cs="Times New Roman"/>
        </w:rPr>
        <w:t xml:space="preserve">. </w:t>
      </w:r>
    </w:p>
    <w:p w14:paraId="09EB8125" w14:textId="7A7C5964" w:rsidR="00596384" w:rsidRPr="00C9751D" w:rsidRDefault="00596384" w:rsidP="00C9751D">
      <w:pPr>
        <w:rPr>
          <w:rFonts w:ascii="Times New Roman" w:hAnsi="Times New Roman" w:cs="Times New Roman"/>
        </w:rPr>
      </w:pPr>
      <w:r w:rsidRPr="00C9751D">
        <w:rPr>
          <w:rFonts w:ascii="Times New Roman" w:hAnsi="Times New Roman" w:cs="Times New Roman"/>
        </w:rPr>
        <w:t>I</w:t>
      </w:r>
      <w:r w:rsidR="00F62C0C">
        <w:rPr>
          <w:rFonts w:ascii="Times New Roman" w:hAnsi="Times New Roman" w:cs="Times New Roman"/>
        </w:rPr>
        <w:t>n particular, i</w:t>
      </w:r>
      <w:r w:rsidRPr="00C9751D">
        <w:rPr>
          <w:rFonts w:ascii="Times New Roman" w:hAnsi="Times New Roman" w:cs="Times New Roman"/>
        </w:rPr>
        <w:t>t</w:t>
      </w:r>
      <w:r w:rsidR="003216E1" w:rsidRPr="00C9751D">
        <w:rPr>
          <w:rFonts w:ascii="Times New Roman" w:hAnsi="Times New Roman" w:cs="Times New Roman"/>
        </w:rPr>
        <w:t xml:space="preserve"> defines</w:t>
      </w:r>
      <w:r w:rsidRPr="00C9751D">
        <w:rPr>
          <w:rFonts w:ascii="Times New Roman" w:hAnsi="Times New Roman" w:cs="Times New Roman"/>
        </w:rPr>
        <w:t xml:space="preserve"> the Hierarchical Cell Identification Scheme (</w:t>
      </w:r>
      <w:r w:rsidRPr="00DC77CF">
        <w:rPr>
          <w:rFonts w:ascii="Times New Roman" w:hAnsi="Times New Roman" w:cs="Times New Roman"/>
          <w:b/>
          <w:bCs/>
        </w:rPr>
        <w:t>HCIS</w:t>
      </w:r>
      <w:r w:rsidRPr="00C9751D">
        <w:rPr>
          <w:rFonts w:ascii="Times New Roman" w:hAnsi="Times New Roman" w:cs="Times New Roman"/>
        </w:rPr>
        <w:t>), which is the system used by ACMA to define geographic areas for radiocommunications licensing</w:t>
      </w:r>
      <w:r w:rsidR="00F62C0C">
        <w:rPr>
          <w:rFonts w:ascii="Times New Roman" w:hAnsi="Times New Roman" w:cs="Times New Roman"/>
        </w:rPr>
        <w:t>, by reference to the Australian Spectrum Map Grid 2012, a document published by the ACMA and available, free of charge, on the ACMA’s website</w:t>
      </w:r>
      <w:r w:rsidRPr="00C9751D">
        <w:rPr>
          <w:rFonts w:ascii="Times New Roman" w:hAnsi="Times New Roman" w:cs="Times New Roman"/>
        </w:rPr>
        <w:t xml:space="preserve">. </w:t>
      </w:r>
      <w:r w:rsidR="00436204" w:rsidRPr="00C9751D">
        <w:rPr>
          <w:rFonts w:ascii="Times New Roman" w:hAnsi="Times New Roman" w:cs="Times New Roman"/>
        </w:rPr>
        <w:t>The</w:t>
      </w:r>
      <w:r w:rsidR="00436204">
        <w:rPr>
          <w:rFonts w:ascii="Times New Roman" w:hAnsi="Times New Roman" w:cs="Times New Roman"/>
        </w:rPr>
        <w:t xml:space="preserve"> </w:t>
      </w:r>
      <w:r w:rsidRPr="00C9751D">
        <w:rPr>
          <w:rFonts w:ascii="Times New Roman" w:hAnsi="Times New Roman" w:cs="Times New Roman"/>
        </w:rPr>
        <w:t xml:space="preserve">alphanumerically coded HCIS cells are used in </w:t>
      </w:r>
      <w:r w:rsidR="000F160E" w:rsidRPr="00C9751D">
        <w:rPr>
          <w:rFonts w:ascii="Times New Roman" w:hAnsi="Times New Roman" w:cs="Times New Roman"/>
        </w:rPr>
        <w:t>Schedule 1</w:t>
      </w:r>
      <w:r w:rsidRPr="00C9751D">
        <w:rPr>
          <w:rFonts w:ascii="Times New Roman" w:hAnsi="Times New Roman" w:cs="Times New Roman"/>
        </w:rPr>
        <w:t xml:space="preserve"> to define the geographic areas with respect to which parts of the </w:t>
      </w:r>
      <w:r w:rsidR="00F62C0C">
        <w:rPr>
          <w:rFonts w:ascii="Times New Roman" w:hAnsi="Times New Roman" w:cs="Times New Roman"/>
        </w:rPr>
        <w:t>spectrum</w:t>
      </w:r>
      <w:r w:rsidR="00F62C0C" w:rsidRPr="00C9751D">
        <w:rPr>
          <w:rFonts w:ascii="Times New Roman" w:hAnsi="Times New Roman" w:cs="Times New Roman"/>
        </w:rPr>
        <w:t xml:space="preserve"> </w:t>
      </w:r>
      <w:r w:rsidRPr="00C9751D">
        <w:rPr>
          <w:rFonts w:ascii="Times New Roman" w:hAnsi="Times New Roman" w:cs="Times New Roman"/>
        </w:rPr>
        <w:t>are declared</w:t>
      </w:r>
      <w:r w:rsidR="0026394C">
        <w:rPr>
          <w:rFonts w:ascii="Times New Roman" w:hAnsi="Times New Roman" w:cs="Times New Roman"/>
        </w:rPr>
        <w:t xml:space="preserve"> to be</w:t>
      </w:r>
      <w:r w:rsidRPr="00C9751D">
        <w:rPr>
          <w:rFonts w:ascii="Times New Roman" w:hAnsi="Times New Roman" w:cs="Times New Roman"/>
        </w:rPr>
        <w:t xml:space="preserve"> subject to re-allocation by issuing spectrum licences.</w:t>
      </w:r>
    </w:p>
    <w:p w14:paraId="2AC61CAB" w14:textId="6964F702" w:rsidR="00596384" w:rsidRPr="00C9751D" w:rsidRDefault="002846A4" w:rsidP="00C9751D">
      <w:pPr>
        <w:rPr>
          <w:rFonts w:ascii="Times New Roman" w:hAnsi="Times New Roman" w:cs="Times New Roman"/>
        </w:rPr>
      </w:pPr>
      <w:r w:rsidRPr="00C9751D">
        <w:rPr>
          <w:rFonts w:ascii="Times New Roman" w:hAnsi="Times New Roman" w:cs="Times New Roman"/>
        </w:rPr>
        <w:t>Subsection 4(2)</w:t>
      </w:r>
      <w:r w:rsidR="00596384" w:rsidRPr="00C9751D">
        <w:rPr>
          <w:rFonts w:ascii="Times New Roman" w:hAnsi="Times New Roman" w:cs="Times New Roman"/>
        </w:rPr>
        <w:t xml:space="preserve"> provides that each reference to a part of the spectrum includes all frequencies greater than the lower frequency, up to and including the higher frequency. This means the part of the spectrum does not include the lower frequency.</w:t>
      </w:r>
    </w:p>
    <w:p w14:paraId="4E744EA9" w14:textId="5A699809" w:rsidR="004C58B9" w:rsidRDefault="004C58B9" w:rsidP="004C58B9">
      <w:pPr>
        <w:rPr>
          <w:rFonts w:ascii="Times New Roman" w:hAnsi="Times New Roman" w:cs="Times New Roman"/>
          <w:b/>
        </w:rPr>
      </w:pPr>
      <w:r>
        <w:rPr>
          <w:rFonts w:ascii="Times New Roman" w:hAnsi="Times New Roman" w:cs="Times New Roman"/>
          <w:b/>
        </w:rPr>
        <w:t xml:space="preserve">Section </w:t>
      </w:r>
      <w:r w:rsidR="00E65756">
        <w:rPr>
          <w:rFonts w:ascii="Times New Roman" w:hAnsi="Times New Roman" w:cs="Times New Roman"/>
          <w:b/>
        </w:rPr>
        <w:t>5</w:t>
      </w:r>
      <w:r>
        <w:rPr>
          <w:rFonts w:ascii="Times New Roman" w:hAnsi="Times New Roman" w:cs="Times New Roman"/>
          <w:b/>
        </w:rPr>
        <w:tab/>
        <w:t>References to other instruments</w:t>
      </w:r>
    </w:p>
    <w:p w14:paraId="1EF21A83" w14:textId="244E9F6B" w:rsidR="00796EA3" w:rsidRDefault="00850521" w:rsidP="00BD1F02">
      <w:pPr>
        <w:spacing w:after="240" w:line="240" w:lineRule="auto"/>
        <w:rPr>
          <w:rFonts w:ascii="Times New Roman" w:hAnsi="Times New Roman" w:cs="Times New Roman"/>
        </w:rPr>
      </w:pPr>
      <w:r>
        <w:rPr>
          <w:rFonts w:ascii="Times New Roman" w:hAnsi="Times New Roman" w:cs="Times New Roman"/>
        </w:rPr>
        <w:t xml:space="preserve">Section 5 </w:t>
      </w:r>
      <w:r w:rsidR="00B92A39">
        <w:rPr>
          <w:rFonts w:ascii="Times New Roman" w:hAnsi="Times New Roman" w:cs="Times New Roman"/>
        </w:rPr>
        <w:t xml:space="preserve">provides that </w:t>
      </w:r>
      <w:r w:rsidR="00A84A87">
        <w:rPr>
          <w:rFonts w:ascii="Times New Roman" w:hAnsi="Times New Roman" w:cs="Times New Roman"/>
        </w:rPr>
        <w:t>in the instrument, unless</w:t>
      </w:r>
      <w:r w:rsidR="00EA653C">
        <w:rPr>
          <w:rFonts w:ascii="Times New Roman" w:hAnsi="Times New Roman" w:cs="Times New Roman"/>
        </w:rPr>
        <w:t xml:space="preserve"> the</w:t>
      </w:r>
      <w:r w:rsidR="00A84A87">
        <w:rPr>
          <w:rFonts w:ascii="Times New Roman" w:hAnsi="Times New Roman" w:cs="Times New Roman"/>
        </w:rPr>
        <w:t xml:space="preserve"> contrary intention appears</w:t>
      </w:r>
      <w:r w:rsidR="00796EA3">
        <w:rPr>
          <w:rFonts w:ascii="Times New Roman" w:hAnsi="Times New Roman" w:cs="Times New Roman"/>
        </w:rPr>
        <w:t>:</w:t>
      </w:r>
    </w:p>
    <w:p w14:paraId="5C610AB7" w14:textId="7A15724B" w:rsidR="00947385" w:rsidRDefault="002938D4" w:rsidP="00796EA3">
      <w:pPr>
        <w:pStyle w:val="ListParagraph"/>
        <w:numPr>
          <w:ilvl w:val="0"/>
          <w:numId w:val="19"/>
        </w:numPr>
        <w:spacing w:after="240" w:line="240" w:lineRule="auto"/>
        <w:rPr>
          <w:rFonts w:ascii="Times New Roman" w:hAnsi="Times New Roman" w:cs="Times New Roman"/>
        </w:rPr>
      </w:pPr>
      <w:r>
        <w:rPr>
          <w:rFonts w:ascii="Times New Roman" w:hAnsi="Times New Roman" w:cs="Times New Roman"/>
        </w:rPr>
        <w:t>a</w:t>
      </w:r>
      <w:r w:rsidR="00796EA3">
        <w:rPr>
          <w:rFonts w:ascii="Times New Roman" w:hAnsi="Times New Roman" w:cs="Times New Roman"/>
        </w:rPr>
        <w:t xml:space="preserve"> reference to any other </w:t>
      </w:r>
      <w:r w:rsidR="00B93163">
        <w:rPr>
          <w:rFonts w:ascii="Times New Roman" w:hAnsi="Times New Roman" w:cs="Times New Roman"/>
        </w:rPr>
        <w:t>legislative instrument</w:t>
      </w:r>
      <w:r w:rsidR="00D20FC3">
        <w:rPr>
          <w:rFonts w:ascii="Times New Roman" w:hAnsi="Times New Roman" w:cs="Times New Roman"/>
        </w:rPr>
        <w:t xml:space="preserve"> is a reference to that other </w:t>
      </w:r>
      <w:r w:rsidR="00F07DF9">
        <w:rPr>
          <w:rFonts w:ascii="Times New Roman" w:hAnsi="Times New Roman" w:cs="Times New Roman"/>
        </w:rPr>
        <w:t>legislative instrument as in force from time to time; and</w:t>
      </w:r>
    </w:p>
    <w:p w14:paraId="1D7CEEB2" w14:textId="23CE9997" w:rsidR="00F07DF9" w:rsidRDefault="002938D4" w:rsidP="00796EA3">
      <w:pPr>
        <w:pStyle w:val="ListParagraph"/>
        <w:numPr>
          <w:ilvl w:val="0"/>
          <w:numId w:val="19"/>
        </w:numPr>
        <w:spacing w:after="240" w:line="240" w:lineRule="auto"/>
        <w:rPr>
          <w:rFonts w:ascii="Times New Roman" w:hAnsi="Times New Roman" w:cs="Times New Roman"/>
        </w:rPr>
      </w:pPr>
      <w:r>
        <w:rPr>
          <w:rFonts w:ascii="Times New Roman" w:hAnsi="Times New Roman" w:cs="Times New Roman"/>
        </w:rPr>
        <w:t>a</w:t>
      </w:r>
      <w:r w:rsidR="007518B6">
        <w:rPr>
          <w:rFonts w:ascii="Times New Roman" w:hAnsi="Times New Roman" w:cs="Times New Roman"/>
        </w:rPr>
        <w:t xml:space="preserve"> reference to any other kind of instrument or writing </w:t>
      </w:r>
      <w:r w:rsidR="004B2DCA">
        <w:rPr>
          <w:rFonts w:ascii="Times New Roman" w:hAnsi="Times New Roman" w:cs="Times New Roman"/>
        </w:rPr>
        <w:t xml:space="preserve">is a refence </w:t>
      </w:r>
      <w:r w:rsidR="00CA529A">
        <w:rPr>
          <w:rFonts w:ascii="Times New Roman" w:hAnsi="Times New Roman" w:cs="Times New Roman"/>
        </w:rPr>
        <w:t xml:space="preserve">to that other instrument or writing </w:t>
      </w:r>
      <w:r w:rsidR="0096507F">
        <w:rPr>
          <w:rFonts w:ascii="Times New Roman" w:hAnsi="Times New Roman" w:cs="Times New Roman"/>
        </w:rPr>
        <w:t>as in force, or existing, from time to time</w:t>
      </w:r>
      <w:r w:rsidR="00895812">
        <w:rPr>
          <w:rFonts w:ascii="Times New Roman" w:hAnsi="Times New Roman" w:cs="Times New Roman"/>
        </w:rPr>
        <w:t>.</w:t>
      </w:r>
    </w:p>
    <w:p w14:paraId="72E282A7" w14:textId="46DC9151" w:rsidR="002938D4" w:rsidRPr="00DC77CF" w:rsidRDefault="002938D4" w:rsidP="00DC77CF">
      <w:pPr>
        <w:spacing w:after="240" w:line="240" w:lineRule="auto"/>
        <w:rPr>
          <w:rFonts w:ascii="Times New Roman" w:hAnsi="Times New Roman" w:cs="Times New Roman"/>
        </w:rPr>
      </w:pPr>
      <w:r>
        <w:rPr>
          <w:rFonts w:ascii="Times New Roman" w:hAnsi="Times New Roman" w:cs="Times New Roman"/>
        </w:rPr>
        <w:t xml:space="preserve">A contrary intention appears in relation to the Australian Spectrum Map Grid 2012, which is incorporated by reference as existing </w:t>
      </w:r>
      <w:r w:rsidR="00A61D4F">
        <w:rPr>
          <w:rFonts w:ascii="Times New Roman" w:hAnsi="Times New Roman" w:cs="Times New Roman"/>
        </w:rPr>
        <w:t xml:space="preserve">at the time the instrument </w:t>
      </w:r>
      <w:r w:rsidR="00D02F9A">
        <w:rPr>
          <w:rFonts w:ascii="Times New Roman" w:hAnsi="Times New Roman" w:cs="Times New Roman"/>
        </w:rPr>
        <w:t>commenced</w:t>
      </w:r>
      <w:r w:rsidR="00A61D4F">
        <w:rPr>
          <w:rFonts w:ascii="Times New Roman" w:hAnsi="Times New Roman" w:cs="Times New Roman"/>
        </w:rPr>
        <w:t>.</w:t>
      </w:r>
    </w:p>
    <w:p w14:paraId="1834FBE4" w14:textId="67A4A935" w:rsidR="004C58B9" w:rsidRDefault="004C58B9" w:rsidP="004C58B9">
      <w:pPr>
        <w:rPr>
          <w:rFonts w:ascii="Times New Roman" w:hAnsi="Times New Roman" w:cs="Times New Roman"/>
          <w:b/>
        </w:rPr>
      </w:pPr>
      <w:r>
        <w:rPr>
          <w:rFonts w:ascii="Times New Roman" w:hAnsi="Times New Roman" w:cs="Times New Roman"/>
          <w:b/>
        </w:rPr>
        <w:t xml:space="preserve">Section </w:t>
      </w:r>
      <w:r w:rsidR="00832C21">
        <w:rPr>
          <w:rFonts w:ascii="Times New Roman" w:hAnsi="Times New Roman" w:cs="Times New Roman"/>
          <w:b/>
        </w:rPr>
        <w:t>6</w:t>
      </w:r>
      <w:r>
        <w:rPr>
          <w:rFonts w:ascii="Times New Roman" w:hAnsi="Times New Roman" w:cs="Times New Roman"/>
          <w:b/>
        </w:rPr>
        <w:tab/>
      </w:r>
      <w:r w:rsidR="00A50277" w:rsidRPr="00A50277">
        <w:rPr>
          <w:rFonts w:ascii="Times New Roman" w:hAnsi="Times New Roman" w:cs="Times New Roman"/>
          <w:b/>
        </w:rPr>
        <w:t>Re-allocation period and re-allocation deadline</w:t>
      </w:r>
    </w:p>
    <w:p w14:paraId="05B8DA57" w14:textId="0756B6F8" w:rsidR="00287B43" w:rsidRDefault="007932CA" w:rsidP="00287B43">
      <w:pPr>
        <w:pStyle w:val="subsection"/>
      </w:pPr>
      <w:r>
        <w:t xml:space="preserve">Section 6 </w:t>
      </w:r>
      <w:r w:rsidR="002D1321">
        <w:t>provides that:</w:t>
      </w:r>
    </w:p>
    <w:p w14:paraId="1F9CFF0B" w14:textId="7746935A" w:rsidR="00287B43" w:rsidRDefault="00287B43" w:rsidP="00DC77CF">
      <w:pPr>
        <w:pStyle w:val="paragraph"/>
        <w:numPr>
          <w:ilvl w:val="0"/>
          <w:numId w:val="22"/>
        </w:numPr>
      </w:pPr>
      <w:r>
        <w:t xml:space="preserve">the </w:t>
      </w:r>
      <w:r>
        <w:rPr>
          <w:b/>
          <w:bCs/>
          <w:i/>
          <w:iCs/>
        </w:rPr>
        <w:t>re-allocation period</w:t>
      </w:r>
      <w:r>
        <w:t xml:space="preserve"> is the period of 5 years beginning at the start of the day after </w:t>
      </w:r>
      <w:r w:rsidR="00EA653C">
        <w:t xml:space="preserve">the </w:t>
      </w:r>
      <w:r>
        <w:t>instrument commence</w:t>
      </w:r>
      <w:r w:rsidR="00D5024C">
        <w:t xml:space="preserve">s. </w:t>
      </w:r>
      <w:r w:rsidR="00D02F9A">
        <w:t xml:space="preserve">At the end of the re-allocation period, any apparatus licences in the </w:t>
      </w:r>
      <w:r w:rsidR="00D02F9A">
        <w:lastRenderedPageBreak/>
        <w:t xml:space="preserve">parts of the spectrum </w:t>
      </w:r>
      <w:r w:rsidR="0026394C">
        <w:t>declared to be subject to re-allocation will be cancelled under section 153H of the Act</w:t>
      </w:r>
      <w:r w:rsidR="002A7802">
        <w:t>.</w:t>
      </w:r>
    </w:p>
    <w:p w14:paraId="64F10EC1" w14:textId="4C0AAFA2" w:rsidR="00287B43" w:rsidRDefault="00287B43" w:rsidP="00DC77CF">
      <w:pPr>
        <w:pStyle w:val="paragraph"/>
        <w:numPr>
          <w:ilvl w:val="0"/>
          <w:numId w:val="22"/>
        </w:numPr>
        <w:spacing w:after="180"/>
        <w:ind w:left="714" w:hanging="357"/>
      </w:pPr>
      <w:r w:rsidRPr="00270516">
        <w:t xml:space="preserve">the </w:t>
      </w:r>
      <w:r w:rsidRPr="00270516">
        <w:rPr>
          <w:b/>
          <w:i/>
        </w:rPr>
        <w:t>re-allocation deadline</w:t>
      </w:r>
      <w:r w:rsidRPr="00270516">
        <w:t xml:space="preserve"> </w:t>
      </w:r>
      <w:r w:rsidR="0026394C">
        <w:t>occurs at</w:t>
      </w:r>
      <w:r w:rsidRPr="00270516">
        <w:t xml:space="preserve"> the end of the re-allocation period.</w:t>
      </w:r>
      <w:r w:rsidR="002A7802" w:rsidRPr="00270516">
        <w:t xml:space="preserve"> </w:t>
      </w:r>
      <w:r w:rsidR="00A3673C" w:rsidRPr="00270516">
        <w:t>The</w:t>
      </w:r>
      <w:r w:rsidR="00A3673C" w:rsidRPr="001F16C9">
        <w:t xml:space="preserve"> </w:t>
      </w:r>
      <w:r w:rsidR="00B43BC4" w:rsidRPr="001F16C9">
        <w:t xml:space="preserve">re-allocation deadline </w:t>
      </w:r>
      <w:r w:rsidR="00197AC6" w:rsidRPr="001F16C9">
        <w:t xml:space="preserve">sets the time by which at least one spectrum licence </w:t>
      </w:r>
      <w:r w:rsidR="00CB04CB" w:rsidRPr="001F16C9">
        <w:t xml:space="preserve">must be </w:t>
      </w:r>
      <w:r w:rsidR="00D23136" w:rsidRPr="00D23136">
        <w:t>issued,</w:t>
      </w:r>
      <w:r w:rsidR="00275F01" w:rsidRPr="001F16C9">
        <w:t xml:space="preserve"> </w:t>
      </w:r>
      <w:r w:rsidR="00973DDD" w:rsidRPr="001F16C9">
        <w:t xml:space="preserve">or </w:t>
      </w:r>
      <w:r w:rsidR="00C85155" w:rsidRPr="001F16C9">
        <w:t xml:space="preserve">the </w:t>
      </w:r>
      <w:r w:rsidR="00EA653C">
        <w:t>declaration</w:t>
      </w:r>
      <w:r w:rsidR="00EA653C" w:rsidRPr="001F16C9">
        <w:t xml:space="preserve"> </w:t>
      </w:r>
      <w:r w:rsidR="00D85C68" w:rsidRPr="001F16C9">
        <w:t xml:space="preserve">will be revoked under </w:t>
      </w:r>
      <w:r w:rsidR="00D23136" w:rsidRPr="001F16C9">
        <w:t>section 153K of the Act</w:t>
      </w:r>
      <w:r w:rsidR="00CB04CB" w:rsidRPr="001F16C9">
        <w:t>.</w:t>
      </w:r>
    </w:p>
    <w:p w14:paraId="5839CA1F" w14:textId="00992BE3" w:rsidR="004C58B9" w:rsidRDefault="004C58B9" w:rsidP="004C58B9">
      <w:pPr>
        <w:rPr>
          <w:rFonts w:ascii="Times New Roman" w:hAnsi="Times New Roman" w:cs="Times New Roman"/>
          <w:b/>
        </w:rPr>
      </w:pPr>
      <w:r w:rsidRPr="00270516">
        <w:rPr>
          <w:rFonts w:ascii="Times New Roman" w:hAnsi="Times New Roman" w:cs="Times New Roman"/>
          <w:b/>
        </w:rPr>
        <w:t xml:space="preserve">Section </w:t>
      </w:r>
      <w:r w:rsidR="009D3521" w:rsidRPr="00270516">
        <w:rPr>
          <w:rFonts w:ascii="Times New Roman" w:hAnsi="Times New Roman" w:cs="Times New Roman"/>
          <w:b/>
        </w:rPr>
        <w:t>7</w:t>
      </w:r>
      <w:r w:rsidRPr="00270516">
        <w:rPr>
          <w:rFonts w:ascii="Times New Roman" w:hAnsi="Times New Roman" w:cs="Times New Roman"/>
          <w:b/>
        </w:rPr>
        <w:tab/>
      </w:r>
      <w:r w:rsidR="00482C86" w:rsidRPr="00270516">
        <w:rPr>
          <w:rFonts w:ascii="Times New Roman" w:hAnsi="Times New Roman" w:cs="Times New Roman"/>
          <w:b/>
        </w:rPr>
        <w:t>Spectrum re-allocation</w:t>
      </w:r>
    </w:p>
    <w:p w14:paraId="66350F9E" w14:textId="3A33773D" w:rsidR="001B6096" w:rsidRDefault="00704C29" w:rsidP="00DC77CF">
      <w:pPr>
        <w:spacing w:before="40" w:after="180" w:line="257" w:lineRule="auto"/>
        <w:rPr>
          <w:rFonts w:ascii="Times New Roman" w:hAnsi="Times New Roman" w:cs="Times New Roman"/>
        </w:rPr>
      </w:pPr>
      <w:r>
        <w:rPr>
          <w:rFonts w:ascii="Times New Roman" w:hAnsi="Times New Roman" w:cs="Times New Roman"/>
        </w:rPr>
        <w:t xml:space="preserve">Section 7 declares </w:t>
      </w:r>
      <w:r w:rsidR="00717251">
        <w:rPr>
          <w:rFonts w:ascii="Times New Roman" w:hAnsi="Times New Roman" w:cs="Times New Roman"/>
        </w:rPr>
        <w:t>the</w:t>
      </w:r>
      <w:r>
        <w:rPr>
          <w:rFonts w:ascii="Times New Roman" w:hAnsi="Times New Roman" w:cs="Times New Roman"/>
        </w:rPr>
        <w:t xml:space="preserve"> parts of the spectrum </w:t>
      </w:r>
      <w:r w:rsidR="00717251">
        <w:rPr>
          <w:rFonts w:ascii="Times New Roman" w:hAnsi="Times New Roman" w:cs="Times New Roman"/>
        </w:rPr>
        <w:t xml:space="preserve">in the 3.4 GHz and 3.7 GHz bands that </w:t>
      </w:r>
      <w:r>
        <w:rPr>
          <w:rFonts w:ascii="Times New Roman" w:hAnsi="Times New Roman" w:cs="Times New Roman"/>
        </w:rPr>
        <w:t xml:space="preserve">are subject to re-allocation </w:t>
      </w:r>
      <w:r w:rsidR="00717251">
        <w:rPr>
          <w:rFonts w:ascii="Times New Roman" w:hAnsi="Times New Roman" w:cs="Times New Roman"/>
        </w:rPr>
        <w:t xml:space="preserve">under Part 3.6 of the Act. Each part is declared to be subject to re-allocation by issuing spectrum licences under Subdivision B of Division 1 of Part 3.2 of the Act. </w:t>
      </w:r>
      <w:r w:rsidR="00221616">
        <w:rPr>
          <w:rFonts w:ascii="Times New Roman" w:hAnsi="Times New Roman" w:cs="Times New Roman"/>
        </w:rPr>
        <w:t>Each Part is declared with respect to particular named areas.</w:t>
      </w:r>
      <w:r w:rsidR="00D87498">
        <w:rPr>
          <w:rFonts w:ascii="Times New Roman" w:hAnsi="Times New Roman" w:cs="Times New Roman"/>
        </w:rPr>
        <w:t xml:space="preserve"> Each </w:t>
      </w:r>
      <w:r w:rsidR="00DB7345">
        <w:rPr>
          <w:rFonts w:ascii="Times New Roman" w:hAnsi="Times New Roman" w:cs="Times New Roman"/>
        </w:rPr>
        <w:t xml:space="preserve">area has been chosen on the basis that it will allow for continuity between existing spectrum licences and the new spectrum licences to be allocated in the </w:t>
      </w:r>
      <w:r w:rsidR="000760AF">
        <w:rPr>
          <w:rFonts w:ascii="Times New Roman" w:hAnsi="Times New Roman" w:cs="Times New Roman"/>
        </w:rPr>
        <w:t>3.4 and 3.7 GHz bands.</w:t>
      </w:r>
    </w:p>
    <w:p w14:paraId="73A35A98" w14:textId="30942014" w:rsidR="00B325AF" w:rsidRDefault="007C335B" w:rsidP="003F0DB5">
      <w:pPr>
        <w:rPr>
          <w:rFonts w:ascii="Times New Roman" w:hAnsi="Times New Roman" w:cs="Times New Roman"/>
          <w:b/>
        </w:rPr>
      </w:pPr>
      <w:r w:rsidRPr="000C06C0">
        <w:rPr>
          <w:rFonts w:ascii="Times New Roman" w:hAnsi="Times New Roman" w:cs="Times New Roman"/>
          <w:b/>
        </w:rPr>
        <w:t>Schedule 1</w:t>
      </w:r>
      <w:r w:rsidR="000760AF">
        <w:rPr>
          <w:rFonts w:ascii="Times New Roman" w:hAnsi="Times New Roman" w:cs="Times New Roman"/>
          <w:b/>
        </w:rPr>
        <w:t>–</w:t>
      </w:r>
      <w:r w:rsidR="00410F4B" w:rsidRPr="000C06C0">
        <w:rPr>
          <w:rFonts w:ascii="Times New Roman" w:hAnsi="Times New Roman" w:cs="Times New Roman"/>
          <w:b/>
        </w:rPr>
        <w:t>Named areas</w:t>
      </w:r>
    </w:p>
    <w:p w14:paraId="59BC964C" w14:textId="5100C659" w:rsidR="004178E1" w:rsidRPr="00DC77CF" w:rsidRDefault="00433195" w:rsidP="007E16D9">
      <w:pPr>
        <w:rPr>
          <w:rFonts w:ascii="Times New Roman" w:hAnsi="Times New Roman" w:cs="Times New Roman"/>
          <w:bCs/>
        </w:rPr>
      </w:pPr>
      <w:r>
        <w:rPr>
          <w:rFonts w:ascii="Times New Roman" w:hAnsi="Times New Roman" w:cs="Times New Roman"/>
          <w:bCs/>
        </w:rPr>
        <w:t xml:space="preserve">Schedule 1 defines the areas used in section 7. </w:t>
      </w:r>
      <w:r w:rsidR="005146C0">
        <w:rPr>
          <w:rFonts w:ascii="Times New Roman" w:hAnsi="Times New Roman" w:cs="Times New Roman"/>
          <w:bCs/>
        </w:rPr>
        <w:t>The areas are defined by using HCIS identifiers. Under the HCIS, an area is defined by referring to a set of identifiers which collect</w:t>
      </w:r>
      <w:r w:rsidR="00730E86">
        <w:rPr>
          <w:rFonts w:ascii="Times New Roman" w:hAnsi="Times New Roman" w:cs="Times New Roman"/>
          <w:bCs/>
        </w:rPr>
        <w:t xml:space="preserve">ively correspond to a single area on the Australian Spectrum Map Grid. The Australian Spectrum Map Grid </w:t>
      </w:r>
      <w:r w:rsidR="00C250B3">
        <w:rPr>
          <w:rFonts w:ascii="Times New Roman" w:hAnsi="Times New Roman" w:cs="Times New Roman"/>
          <w:bCs/>
        </w:rPr>
        <w:t>(</w:t>
      </w:r>
      <w:r w:rsidR="00C250B3" w:rsidRPr="00DC77CF">
        <w:rPr>
          <w:rFonts w:ascii="Times New Roman" w:hAnsi="Times New Roman" w:cs="Times New Roman"/>
          <w:b/>
        </w:rPr>
        <w:t>ASMG</w:t>
      </w:r>
      <w:r w:rsidR="004178E1">
        <w:rPr>
          <w:rFonts w:ascii="Times New Roman" w:hAnsi="Times New Roman" w:cs="Times New Roman"/>
          <w:bCs/>
        </w:rPr>
        <w:t xml:space="preserve">) </w:t>
      </w:r>
      <w:r w:rsidR="00730E86">
        <w:rPr>
          <w:rFonts w:ascii="Times New Roman" w:hAnsi="Times New Roman" w:cs="Times New Roman"/>
          <w:bCs/>
        </w:rPr>
        <w:t>is described in more detai</w:t>
      </w:r>
      <w:r w:rsidR="00F803E5">
        <w:rPr>
          <w:rFonts w:ascii="Times New Roman" w:hAnsi="Times New Roman" w:cs="Times New Roman"/>
          <w:bCs/>
        </w:rPr>
        <w:t>l, including the use of geographic coordinates to define the out</w:t>
      </w:r>
      <w:r w:rsidR="00C250B3">
        <w:rPr>
          <w:rFonts w:ascii="Times New Roman" w:hAnsi="Times New Roman" w:cs="Times New Roman"/>
          <w:bCs/>
        </w:rPr>
        <w:t>er boundary of the A</w:t>
      </w:r>
      <w:r w:rsidR="004178E1">
        <w:rPr>
          <w:rFonts w:ascii="Times New Roman" w:hAnsi="Times New Roman" w:cs="Times New Roman"/>
          <w:bCs/>
        </w:rPr>
        <w:t>SMG</w:t>
      </w:r>
      <w:r w:rsidR="00C250B3">
        <w:rPr>
          <w:rFonts w:ascii="Times New Roman" w:hAnsi="Times New Roman" w:cs="Times New Roman"/>
          <w:bCs/>
        </w:rPr>
        <w:t>,</w:t>
      </w:r>
      <w:r w:rsidR="00F803E5">
        <w:rPr>
          <w:rFonts w:ascii="Times New Roman" w:hAnsi="Times New Roman" w:cs="Times New Roman"/>
          <w:bCs/>
        </w:rPr>
        <w:t xml:space="preserve"> in the Australian Spectrum </w:t>
      </w:r>
      <w:r w:rsidR="00C250B3">
        <w:rPr>
          <w:rFonts w:ascii="Times New Roman" w:hAnsi="Times New Roman" w:cs="Times New Roman"/>
          <w:bCs/>
        </w:rPr>
        <w:t>Map Grid 2012, available free of charge from the ACMA’s website.</w:t>
      </w:r>
    </w:p>
    <w:p w14:paraId="458AF617" w14:textId="21F8B166" w:rsidR="00025ACE" w:rsidRPr="00DC77CF" w:rsidRDefault="004178E1" w:rsidP="00A865A5">
      <w:pPr>
        <w:rPr>
          <w:rFonts w:ascii="Times New Roman" w:hAnsi="Times New Roman" w:cs="Times New Roman"/>
          <w:bCs/>
        </w:rPr>
      </w:pPr>
      <w:r w:rsidRPr="00DC77CF">
        <w:rPr>
          <w:rFonts w:ascii="Times New Roman" w:hAnsi="Times New Roman" w:cs="Times New Roman"/>
          <w:bCs/>
        </w:rPr>
        <w:t xml:space="preserve">The </w:t>
      </w:r>
      <w:r>
        <w:rPr>
          <w:rFonts w:ascii="Times New Roman" w:hAnsi="Times New Roman" w:cs="Times New Roman"/>
          <w:bCs/>
        </w:rPr>
        <w:t xml:space="preserve">ASMG divides the Australian land mass into a grid of squares (cells). There are </w:t>
      </w:r>
      <w:r w:rsidR="005A0A62">
        <w:rPr>
          <w:rFonts w:ascii="Times New Roman" w:hAnsi="Times New Roman" w:cs="Times New Roman"/>
          <w:bCs/>
        </w:rPr>
        <w:t>four levels to the HCIS that are typically used in relation to spectrum licences, with the side lengths of the largest to smallest cells being, respectively, 3 degrees, 1 degree, 15 minutes and 5 minutes of arc. The HCIS names the cells in this tiered stru</w:t>
      </w:r>
      <w:r w:rsidR="001F43A2">
        <w:rPr>
          <w:rFonts w:ascii="Times New Roman" w:hAnsi="Times New Roman" w:cs="Times New Roman"/>
          <w:bCs/>
        </w:rPr>
        <w:t xml:space="preserve">cture, with cells of each size given a unique identifier name. </w:t>
      </w:r>
      <w:r w:rsidR="00F7215C">
        <w:rPr>
          <w:rFonts w:ascii="Times New Roman" w:hAnsi="Times New Roman" w:cs="Times New Roman"/>
          <w:bCs/>
        </w:rPr>
        <w:t xml:space="preserve">Under this system, the </w:t>
      </w:r>
      <w:r w:rsidR="00FE4FF3">
        <w:rPr>
          <w:rFonts w:ascii="Times New Roman" w:hAnsi="Times New Roman" w:cs="Times New Roman"/>
          <w:bCs/>
        </w:rPr>
        <w:t xml:space="preserve">area for re-allocation of a part of the spectrum is comprised of a collection of unique identifiers that </w:t>
      </w:r>
      <w:r w:rsidR="003E7ED2">
        <w:rPr>
          <w:rFonts w:ascii="Times New Roman" w:hAnsi="Times New Roman" w:cs="Times New Roman"/>
          <w:bCs/>
        </w:rPr>
        <w:t>cover the required geographic area on the ASMG. Spatial data files available from the ACMA’s website may be used to generate a map of an area defined by a set of HCIS identifiers with geographic information system</w:t>
      </w:r>
      <w:r w:rsidR="00B55201">
        <w:rPr>
          <w:rFonts w:ascii="Times New Roman" w:hAnsi="Times New Roman" w:cs="Times New Roman"/>
          <w:bCs/>
        </w:rPr>
        <w:t>s software.</w:t>
      </w:r>
    </w:p>
    <w:sectPr w:rsidR="00025ACE" w:rsidRPr="00DC77CF" w:rsidSect="00082354">
      <w:headerReference w:type="default" r:id="rId22"/>
      <w:footerReference w:type="defaul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F3AA6" w14:textId="77777777" w:rsidR="00835CF7" w:rsidRDefault="00835CF7" w:rsidP="00025ACE">
      <w:pPr>
        <w:spacing w:after="0" w:line="240" w:lineRule="auto"/>
      </w:pPr>
      <w:r>
        <w:separator/>
      </w:r>
    </w:p>
  </w:endnote>
  <w:endnote w:type="continuationSeparator" w:id="0">
    <w:p w14:paraId="775AE83F" w14:textId="77777777" w:rsidR="00835CF7" w:rsidRDefault="00835CF7" w:rsidP="00025ACE">
      <w:pPr>
        <w:spacing w:after="0" w:line="240" w:lineRule="auto"/>
      </w:pPr>
      <w:r>
        <w:continuationSeparator/>
      </w:r>
    </w:p>
  </w:endnote>
  <w:endnote w:type="continuationNotice" w:id="1">
    <w:p w14:paraId="309490E6" w14:textId="77777777" w:rsidR="00835CF7" w:rsidRDefault="00835C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Cs/>
        <w:noProof/>
      </w:rPr>
    </w:sdtEndPr>
    <w:sdtContent>
      <w:p w14:paraId="1E27C0A2" w14:textId="77777777" w:rsidR="00AD3414" w:rsidRDefault="00AD3414" w:rsidP="00AD3414">
        <w:pPr>
          <w:pStyle w:val="Footer"/>
          <w:pBdr>
            <w:top w:val="single" w:sz="4" w:space="1" w:color="auto"/>
          </w:pBdr>
          <w:jc w:val="center"/>
        </w:pPr>
      </w:p>
      <w:p w14:paraId="556B0C98" w14:textId="20A7E767" w:rsidR="00AD3414" w:rsidRDefault="00AD3414" w:rsidP="008E795E">
        <w:pPr>
          <w:pStyle w:val="Footer"/>
          <w:jc w:val="cente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8E795E">
          <w:rPr>
            <w:rFonts w:ascii="Times New Roman" w:hAnsi="Times New Roman" w:cs="Times New Roman"/>
            <w:i/>
          </w:rPr>
          <w:t>Radiocommunications (Spectrum Re-allocation – 3.4 GHz and 3.7 GHz Bands) Declaration 2022</w:t>
        </w:r>
      </w:p>
      <w:p w14:paraId="4E36910F" w14:textId="06CF02C2" w:rsidR="00025ACE" w:rsidRPr="00DC77CF" w:rsidRDefault="00025ACE">
        <w:pPr>
          <w:pStyle w:val="Footer"/>
          <w:jc w:val="right"/>
          <w:rPr>
            <w:iCs/>
          </w:rPr>
        </w:pPr>
        <w:r w:rsidRPr="00DC77CF">
          <w:rPr>
            <w:rFonts w:ascii="Times New Roman" w:hAnsi="Times New Roman" w:cs="Times New Roman"/>
            <w:iCs/>
          </w:rPr>
          <w:fldChar w:fldCharType="begin"/>
        </w:r>
        <w:r w:rsidRPr="00DC77CF">
          <w:rPr>
            <w:rFonts w:ascii="Times New Roman" w:hAnsi="Times New Roman" w:cs="Times New Roman"/>
            <w:iCs/>
          </w:rPr>
          <w:instrText xml:space="preserve"> PAGE   \* MERGEFORMAT </w:instrText>
        </w:r>
        <w:r w:rsidRPr="00DC77CF">
          <w:rPr>
            <w:rFonts w:ascii="Times New Roman" w:hAnsi="Times New Roman" w:cs="Times New Roman"/>
            <w:iCs/>
          </w:rPr>
          <w:fldChar w:fldCharType="separate"/>
        </w:r>
        <w:r w:rsidR="00D23BD5" w:rsidRPr="00DC77CF">
          <w:rPr>
            <w:rFonts w:ascii="Times New Roman" w:hAnsi="Times New Roman" w:cs="Times New Roman"/>
            <w:iCs/>
            <w:noProof/>
          </w:rPr>
          <w:t>6</w:t>
        </w:r>
        <w:r w:rsidRPr="00DC77CF">
          <w:rPr>
            <w:rFonts w:ascii="Times New Roman" w:hAnsi="Times New Roman" w:cs="Times New Roman"/>
            <w:iCs/>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7C5AF" w14:textId="77777777" w:rsidR="00835CF7" w:rsidRDefault="00835CF7" w:rsidP="00025ACE">
      <w:pPr>
        <w:spacing w:after="0" w:line="240" w:lineRule="auto"/>
      </w:pPr>
      <w:r>
        <w:separator/>
      </w:r>
    </w:p>
  </w:footnote>
  <w:footnote w:type="continuationSeparator" w:id="0">
    <w:p w14:paraId="18D5B3F3" w14:textId="77777777" w:rsidR="00835CF7" w:rsidRDefault="00835CF7" w:rsidP="00025ACE">
      <w:pPr>
        <w:spacing w:after="0" w:line="240" w:lineRule="auto"/>
      </w:pPr>
      <w:r>
        <w:continuationSeparator/>
      </w:r>
    </w:p>
  </w:footnote>
  <w:footnote w:type="continuationNotice" w:id="1">
    <w:p w14:paraId="1CA3BF39" w14:textId="77777777" w:rsidR="00835CF7" w:rsidRDefault="00835C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intelligence2.xml><?xml version="1.0" encoding="utf-8"?>
<int2:intelligence xmlns:int2="http://schemas.microsoft.com/office/intelligence/2020/intelligence" xmlns:oel="http://schemas.microsoft.com/office/2019/extlst">
  <int2:observations>
    <int2:textHash int2:hashCode="R3+z0nbw3f/Gtb" int2:id="45zaiPMJ">
      <int2:state int2:value="Rejected" int2:type="AugLoop_Acronyms_AcronymsCritique"/>
    </int2:textHash>
    <int2:textHash int2:hashCode="vX+efFwRTj8AVh" int2:id="4xVctSmd">
      <int2:state int2:value="Rejected" int2:type="AugLoop_Text_Critique"/>
    </int2:textHash>
    <int2:textHash int2:hashCode="2uoKl++CWuVh24" int2:id="AwBMd13V">
      <int2:state int2:value="Rejected" int2:type="AugLoop_Text_Critique"/>
    </int2:textHash>
    <int2:textHash int2:hashCode="hZY6M6suS/0/Za" int2:id="DEfUFW7b">
      <int2:state int2:value="Rejected" int2:type="AugLoop_Acronyms_AcronymsCritique"/>
    </int2:textHash>
    <int2:textHash int2:hashCode="7sVcqEYsbV10yv" int2:id="JMYkbAVF">
      <int2:state int2:value="Rejected" int2:type="AugLoop_Acronyms_AcronymsCritique"/>
    </int2:textHash>
    <int2:textHash int2:hashCode="cfwqpULFQobp2h" int2:id="NXmwSp6X">
      <int2:state int2:value="Rejected" int2:type="AugLoop_Acronyms_AcronymsCritique"/>
    </int2:textHash>
    <int2:textHash int2:hashCode="xHR78P7G7kQVQy" int2:id="PL7ASJ7A">
      <int2:state int2:value="Rejected" int2:type="LegacyProofing"/>
    </int2:textHash>
    <int2:textHash int2:hashCode="GmQUmLCujJfs5S" int2:id="UbCdlG5o">
      <int2:state int2:value="Rejected" int2:type="AugLoop_Text_Critique"/>
    </int2:textHash>
    <int2:textHash int2:hashCode="tTZqLSrJja6XhC" int2:id="YgL53zT5">
      <int2:state int2:value="Rejected" int2:type="AugLoop_Text_Critique"/>
    </int2:textHash>
    <int2:textHash int2:hashCode="Fo30yzYdMdikCh" int2:id="kM65Jr24">
      <int2:state int2:value="Rejected" int2:type="AugLoop_Text_Critique"/>
    </int2:textHash>
    <int2:textHash int2:hashCode="e8FlfQogBo30gI" int2:id="ns4QGBDV">
      <int2:state int2:value="Rejected" int2:type="AugLoop_Text_Critique"/>
    </int2:textHash>
    <int2:textHash int2:hashCode="0lXQ0GySJQ8tJA" int2:id="tYxNS1JX">
      <int2:state int2:value="Rejected" int2:type="AugLoop_Text_Critique"/>
    </int2:textHash>
    <int2:textHash int2:hashCode="MrMwDcYgPbh1EH" int2:id="y4eCtVFE">
      <int2:state int2:value="Rejected" int2:type="AugLoop_Text_Critique"/>
    </int2:textHash>
    <int2:bookmark int2:bookmarkName="_Int_viSmzoGM" int2:invalidationBookmarkName="" int2:hashCode="SfT8eVyp6dm1TU" int2:id="6oB0zSJ2">
      <int2:state int2:value="Rejected" int2:type="LegacyProofing"/>
    </int2:bookmark>
    <int2:bookmark int2:bookmarkName="_Int_gcrM8C58" int2:invalidationBookmarkName="" int2:hashCode="nmAf6zQ5B8drp/" int2:id="AH8eVxFh">
      <int2:state int2:value="Rejected" int2:type="LegacyProofing"/>
    </int2:bookmark>
    <int2:bookmark int2:bookmarkName="_Int_GJ8Ea3ao" int2:invalidationBookmarkName="" int2:hashCode="cCVwZ2mB34NkOz" int2:id="FWPN85OF">
      <int2:state int2:value="Rejected" int2:type="LegacyProofing"/>
    </int2:bookmark>
    <int2:bookmark int2:bookmarkName="_Int_q1I0rYnz" int2:invalidationBookmarkName="" int2:hashCode="nmAf6zQ5B8drp/" int2:id="IyBYiIsJ">
      <int2:state int2:value="Rejected" int2:type="LegacyProofing"/>
    </int2:bookmark>
    <int2:bookmark int2:bookmarkName="_Int_9lIJ3nZk" int2:invalidationBookmarkName="" int2:hashCode="JuIWDmmbqPY+1+" int2:id="L4fyx4LV">
      <int2:state int2:value="Rejected" int2:type="LegacyProofing"/>
    </int2:bookmark>
    <int2:bookmark int2:bookmarkName="_Int_fOwwfglB" int2:invalidationBookmarkName="" int2:hashCode="HdiZgIA3XMQnoT" int2:id="YJwBw5Ci">
      <int2:state int2:value="Rejected" int2:type="LegacyProofing"/>
    </int2:bookmark>
    <int2:bookmark int2:bookmarkName="_Int_HoDU89Rj" int2:invalidationBookmarkName="" int2:hashCode="NCNJ91RJFIRWYb" int2:id="YQFCMKPj">
      <int2:state int2:value="Rejected" int2:type="LegacyProofing"/>
    </int2:bookmark>
    <int2:bookmark int2:bookmarkName="_Int_d4urGshQ" int2:invalidationBookmarkName="" int2:hashCode="SfT8eVyp6dm1TU" int2:id="ZP085hjv">
      <int2:state int2:value="Rejected" int2:type="LegacyProofing"/>
    </int2:bookmark>
    <int2:bookmark int2:bookmarkName="_Int_As7JMTK6" int2:invalidationBookmarkName="" int2:hashCode="u8zfLvsztS5snQ" int2:id="cceeZJyY">
      <int2:state int2:value="Rejected" int2:type="LegacyProofing"/>
    </int2:bookmark>
    <int2:bookmark int2:bookmarkName="_Int_Ec1tI6J7" int2:invalidationBookmarkName="" int2:hashCode="NCNJ91RJFIRWYb" int2:id="cjm73HWM">
      <int2:state int2:value="Rejected" int2:type="LegacyProofing"/>
    </int2:bookmark>
    <int2:bookmark int2:bookmarkName="_Int_73JDaHai" int2:invalidationBookmarkName="" int2:hashCode="kscdM4xzN4YAzE" int2:id="ihZ1iRPh">
      <int2:state int2:value="Rejected" int2:type="LegacyProofing"/>
    </int2:bookmark>
    <int2:bookmark int2:bookmarkName="_Int_JkJxbjHR" int2:invalidationBookmarkName="" int2:hashCode="u8zfLvsztS5snQ" int2:id="lyip3Ub1">
      <int2:state int2:value="Rejected" int2:type="LegacyProofing"/>
    </int2:bookmark>
    <int2:bookmark int2:bookmarkName="_Int_piQx2VlV" int2:invalidationBookmarkName="" int2:hashCode="kscdM4xzN4YAzE" int2:id="sngZ9zcu">
      <int2:state int2:value="Rejected" int2:type="LegacyProofing"/>
    </int2:bookmark>
    <int2:bookmark int2:bookmarkName="_Int_jzcWUXOC" int2:invalidationBookmarkName="" int2:hashCode="NCNJ91RJFIRWYb" int2:id="ugzkoSmm">
      <int2:state int2:value="Rejected" int2:type="LegacyProofing"/>
    </int2:bookmark>
    <int2:bookmark int2:bookmarkName="_Int_wGbNLLtE" int2:invalidationBookmarkName="" int2:hashCode="kscdM4xzN4YAzE" int2:id="yAdsyfV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861"/>
    <w:multiLevelType w:val="hybridMultilevel"/>
    <w:tmpl w:val="88ACD97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 w15:restartNumberingAfterBreak="0">
    <w:nsid w:val="100F3612"/>
    <w:multiLevelType w:val="multilevel"/>
    <w:tmpl w:val="4430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F61966"/>
    <w:multiLevelType w:val="hybridMultilevel"/>
    <w:tmpl w:val="3C445C58"/>
    <w:lvl w:ilvl="0" w:tplc="0C090001">
      <w:start w:val="1"/>
      <w:numFmt w:val="bullet"/>
      <w:lvlText w:val=""/>
      <w:lvlJc w:val="left"/>
      <w:pPr>
        <w:ind w:left="1080" w:hanging="360"/>
      </w:pPr>
      <w:rPr>
        <w:rFonts w:ascii="Symbol" w:hAnsi="Symbol" w:hint="default"/>
        <w:sz w:val="20"/>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 w15:restartNumberingAfterBreak="0">
    <w:nsid w:val="17F251B3"/>
    <w:multiLevelType w:val="hybridMultilevel"/>
    <w:tmpl w:val="F73AF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150FBD"/>
    <w:multiLevelType w:val="hybridMultilevel"/>
    <w:tmpl w:val="EB7C7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630C66"/>
    <w:multiLevelType w:val="hybridMultilevel"/>
    <w:tmpl w:val="CDAE3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6E5184"/>
    <w:multiLevelType w:val="hybridMultilevel"/>
    <w:tmpl w:val="045A735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3A99403B"/>
    <w:multiLevelType w:val="hybridMultilevel"/>
    <w:tmpl w:val="A0AEC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0072FF"/>
    <w:multiLevelType w:val="hybridMultilevel"/>
    <w:tmpl w:val="99B08DF8"/>
    <w:lvl w:ilvl="0" w:tplc="0C090001">
      <w:start w:val="1"/>
      <w:numFmt w:val="bullet"/>
      <w:lvlText w:val=""/>
      <w:lvlJc w:val="left"/>
      <w:pPr>
        <w:ind w:left="720" w:hanging="360"/>
      </w:pPr>
      <w:rPr>
        <w:rFonts w:ascii="Symbol" w:hAnsi="Symbol" w:hint="default"/>
      </w:rPr>
    </w:lvl>
    <w:lvl w:ilvl="1" w:tplc="0C090013">
      <w:start w:val="1"/>
      <w:numFmt w:val="upp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937AA3"/>
    <w:multiLevelType w:val="hybridMultilevel"/>
    <w:tmpl w:val="5C62A40E"/>
    <w:lvl w:ilvl="0" w:tplc="E3C46350">
      <w:start w:val="1"/>
      <w:numFmt w:val="lowerLetter"/>
      <w:lvlText w:val="(%1)"/>
      <w:lvlJc w:val="left"/>
      <w:pPr>
        <w:ind w:left="1643" w:hanging="360"/>
      </w:pPr>
      <w:rPr>
        <w:rFonts w:hint="default"/>
      </w:rPr>
    </w:lvl>
    <w:lvl w:ilvl="1" w:tplc="0C090019" w:tentative="1">
      <w:start w:val="1"/>
      <w:numFmt w:val="lowerLetter"/>
      <w:lvlText w:val="%2."/>
      <w:lvlJc w:val="left"/>
      <w:pPr>
        <w:ind w:left="2363" w:hanging="360"/>
      </w:pPr>
    </w:lvl>
    <w:lvl w:ilvl="2" w:tplc="0C09001B" w:tentative="1">
      <w:start w:val="1"/>
      <w:numFmt w:val="lowerRoman"/>
      <w:lvlText w:val="%3."/>
      <w:lvlJc w:val="right"/>
      <w:pPr>
        <w:ind w:left="3083" w:hanging="180"/>
      </w:pPr>
    </w:lvl>
    <w:lvl w:ilvl="3" w:tplc="0C09000F" w:tentative="1">
      <w:start w:val="1"/>
      <w:numFmt w:val="decimal"/>
      <w:lvlText w:val="%4."/>
      <w:lvlJc w:val="left"/>
      <w:pPr>
        <w:ind w:left="3803" w:hanging="360"/>
      </w:pPr>
    </w:lvl>
    <w:lvl w:ilvl="4" w:tplc="0C090019" w:tentative="1">
      <w:start w:val="1"/>
      <w:numFmt w:val="lowerLetter"/>
      <w:lvlText w:val="%5."/>
      <w:lvlJc w:val="left"/>
      <w:pPr>
        <w:ind w:left="4523" w:hanging="360"/>
      </w:pPr>
    </w:lvl>
    <w:lvl w:ilvl="5" w:tplc="0C09001B" w:tentative="1">
      <w:start w:val="1"/>
      <w:numFmt w:val="lowerRoman"/>
      <w:lvlText w:val="%6."/>
      <w:lvlJc w:val="right"/>
      <w:pPr>
        <w:ind w:left="5243" w:hanging="180"/>
      </w:pPr>
    </w:lvl>
    <w:lvl w:ilvl="6" w:tplc="0C09000F" w:tentative="1">
      <w:start w:val="1"/>
      <w:numFmt w:val="decimal"/>
      <w:lvlText w:val="%7."/>
      <w:lvlJc w:val="left"/>
      <w:pPr>
        <w:ind w:left="5963" w:hanging="360"/>
      </w:pPr>
    </w:lvl>
    <w:lvl w:ilvl="7" w:tplc="0C090019" w:tentative="1">
      <w:start w:val="1"/>
      <w:numFmt w:val="lowerLetter"/>
      <w:lvlText w:val="%8."/>
      <w:lvlJc w:val="left"/>
      <w:pPr>
        <w:ind w:left="6683" w:hanging="360"/>
      </w:pPr>
    </w:lvl>
    <w:lvl w:ilvl="8" w:tplc="0C09001B" w:tentative="1">
      <w:start w:val="1"/>
      <w:numFmt w:val="lowerRoman"/>
      <w:lvlText w:val="%9."/>
      <w:lvlJc w:val="right"/>
      <w:pPr>
        <w:ind w:left="7403" w:hanging="180"/>
      </w:pPr>
    </w:lvl>
  </w:abstractNum>
  <w:num w:numId="1">
    <w:abstractNumId w:val="14"/>
  </w:num>
  <w:num w:numId="2">
    <w:abstractNumId w:val="13"/>
  </w:num>
  <w:num w:numId="3">
    <w:abstractNumId w:val="3"/>
  </w:num>
  <w:num w:numId="4">
    <w:abstractNumId w:val="10"/>
  </w:num>
  <w:num w:numId="5">
    <w:abstractNumId w:val="9"/>
  </w:num>
  <w:num w:numId="6">
    <w:abstractNumId w:val="2"/>
  </w:num>
  <w:num w:numId="7">
    <w:abstractNumId w:val="8"/>
  </w:num>
  <w:num w:numId="8">
    <w:abstractNumId w:val="14"/>
  </w:num>
  <w:num w:numId="9">
    <w:abstractNumId w:val="3"/>
  </w:num>
  <w:num w:numId="10">
    <w:abstractNumId w:val="8"/>
  </w:num>
  <w:num w:numId="11">
    <w:abstractNumId w:val="10"/>
  </w:num>
  <w:num w:numId="12">
    <w:abstractNumId w:val="9"/>
  </w:num>
  <w:num w:numId="13">
    <w:abstractNumId w:val="14"/>
  </w:num>
  <w:num w:numId="14">
    <w:abstractNumId w:val="3"/>
  </w:num>
  <w:num w:numId="15">
    <w:abstractNumId w:val="8"/>
  </w:num>
  <w:num w:numId="16">
    <w:abstractNumId w:val="10"/>
  </w:num>
  <w:num w:numId="17">
    <w:abstractNumId w:val="9"/>
  </w:num>
  <w:num w:numId="18">
    <w:abstractNumId w:val="1"/>
  </w:num>
  <w:num w:numId="19">
    <w:abstractNumId w:val="11"/>
  </w:num>
  <w:num w:numId="20">
    <w:abstractNumId w:val="7"/>
  </w:num>
  <w:num w:numId="21">
    <w:abstractNumId w:val="6"/>
  </w:num>
  <w:num w:numId="22">
    <w:abstractNumId w:val="5"/>
  </w:num>
  <w:num w:numId="23">
    <w:abstractNumId w:val="15"/>
  </w:num>
  <w:num w:numId="24">
    <w:abstractNumId w:val="12"/>
  </w:num>
  <w:num w:numId="25">
    <w:abstractNumId w:val="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3FA"/>
    <w:rsid w:val="00002640"/>
    <w:rsid w:val="00003720"/>
    <w:rsid w:val="00006146"/>
    <w:rsid w:val="00010526"/>
    <w:rsid w:val="000106F3"/>
    <w:rsid w:val="000124F9"/>
    <w:rsid w:val="00013079"/>
    <w:rsid w:val="00016F68"/>
    <w:rsid w:val="00020FBA"/>
    <w:rsid w:val="00021BD6"/>
    <w:rsid w:val="00025ACE"/>
    <w:rsid w:val="000347BA"/>
    <w:rsid w:val="00037F0E"/>
    <w:rsid w:val="000452A3"/>
    <w:rsid w:val="000501F2"/>
    <w:rsid w:val="00051A83"/>
    <w:rsid w:val="00052C4F"/>
    <w:rsid w:val="00052F22"/>
    <w:rsid w:val="00061ACF"/>
    <w:rsid w:val="00062553"/>
    <w:rsid w:val="00067F96"/>
    <w:rsid w:val="00070D91"/>
    <w:rsid w:val="000726C7"/>
    <w:rsid w:val="000727B4"/>
    <w:rsid w:val="00074A8D"/>
    <w:rsid w:val="000760AF"/>
    <w:rsid w:val="000819BD"/>
    <w:rsid w:val="00082354"/>
    <w:rsid w:val="00084828"/>
    <w:rsid w:val="00086F0E"/>
    <w:rsid w:val="0009006B"/>
    <w:rsid w:val="00091DA8"/>
    <w:rsid w:val="000941DB"/>
    <w:rsid w:val="00095AB3"/>
    <w:rsid w:val="0009718D"/>
    <w:rsid w:val="000A1E31"/>
    <w:rsid w:val="000A3575"/>
    <w:rsid w:val="000A3A94"/>
    <w:rsid w:val="000B0BA7"/>
    <w:rsid w:val="000B33B6"/>
    <w:rsid w:val="000B3910"/>
    <w:rsid w:val="000B4835"/>
    <w:rsid w:val="000B4B6C"/>
    <w:rsid w:val="000C06C0"/>
    <w:rsid w:val="000C0D05"/>
    <w:rsid w:val="000C1C44"/>
    <w:rsid w:val="000C207A"/>
    <w:rsid w:val="000C46BD"/>
    <w:rsid w:val="000C6436"/>
    <w:rsid w:val="000D11C8"/>
    <w:rsid w:val="000D4015"/>
    <w:rsid w:val="000D4564"/>
    <w:rsid w:val="000D4ECE"/>
    <w:rsid w:val="000E38C9"/>
    <w:rsid w:val="000E52AB"/>
    <w:rsid w:val="000E6F58"/>
    <w:rsid w:val="000E7624"/>
    <w:rsid w:val="000E77C6"/>
    <w:rsid w:val="000F0FB0"/>
    <w:rsid w:val="000F160E"/>
    <w:rsid w:val="000F583F"/>
    <w:rsid w:val="000F6255"/>
    <w:rsid w:val="0010067D"/>
    <w:rsid w:val="00100809"/>
    <w:rsid w:val="001013E5"/>
    <w:rsid w:val="0010344F"/>
    <w:rsid w:val="00104130"/>
    <w:rsid w:val="001049FE"/>
    <w:rsid w:val="00105EC7"/>
    <w:rsid w:val="0010798E"/>
    <w:rsid w:val="00112987"/>
    <w:rsid w:val="00116E01"/>
    <w:rsid w:val="00117351"/>
    <w:rsid w:val="00121B9E"/>
    <w:rsid w:val="00122072"/>
    <w:rsid w:val="001315F4"/>
    <w:rsid w:val="00131F1A"/>
    <w:rsid w:val="00132D0A"/>
    <w:rsid w:val="00134705"/>
    <w:rsid w:val="00135A7B"/>
    <w:rsid w:val="001362A0"/>
    <w:rsid w:val="00140A81"/>
    <w:rsid w:val="00142851"/>
    <w:rsid w:val="00143324"/>
    <w:rsid w:val="001465DF"/>
    <w:rsid w:val="00146A0C"/>
    <w:rsid w:val="00147969"/>
    <w:rsid w:val="00150404"/>
    <w:rsid w:val="00153510"/>
    <w:rsid w:val="00153817"/>
    <w:rsid w:val="001564BF"/>
    <w:rsid w:val="0016094D"/>
    <w:rsid w:val="00161C73"/>
    <w:rsid w:val="00163CA2"/>
    <w:rsid w:val="00181ABB"/>
    <w:rsid w:val="001822B7"/>
    <w:rsid w:val="00183C94"/>
    <w:rsid w:val="00185BDC"/>
    <w:rsid w:val="001862EA"/>
    <w:rsid w:val="00197AC6"/>
    <w:rsid w:val="001A0D34"/>
    <w:rsid w:val="001A2159"/>
    <w:rsid w:val="001A2A51"/>
    <w:rsid w:val="001A64D3"/>
    <w:rsid w:val="001B0B05"/>
    <w:rsid w:val="001B29EE"/>
    <w:rsid w:val="001B5E4C"/>
    <w:rsid w:val="001B6096"/>
    <w:rsid w:val="001B6C01"/>
    <w:rsid w:val="001C4BF8"/>
    <w:rsid w:val="001C5421"/>
    <w:rsid w:val="001D1207"/>
    <w:rsid w:val="001D1EB0"/>
    <w:rsid w:val="001D37E8"/>
    <w:rsid w:val="001D5C25"/>
    <w:rsid w:val="001E1B6A"/>
    <w:rsid w:val="001E22BD"/>
    <w:rsid w:val="001E343E"/>
    <w:rsid w:val="001E6DED"/>
    <w:rsid w:val="001F16C9"/>
    <w:rsid w:val="001F4041"/>
    <w:rsid w:val="001F43A2"/>
    <w:rsid w:val="0020305E"/>
    <w:rsid w:val="00203C36"/>
    <w:rsid w:val="002058A4"/>
    <w:rsid w:val="0020688A"/>
    <w:rsid w:val="00211033"/>
    <w:rsid w:val="00212847"/>
    <w:rsid w:val="00213932"/>
    <w:rsid w:val="00220FDE"/>
    <w:rsid w:val="00221616"/>
    <w:rsid w:val="00221D37"/>
    <w:rsid w:val="0022272E"/>
    <w:rsid w:val="00222C23"/>
    <w:rsid w:val="00227F9B"/>
    <w:rsid w:val="00230497"/>
    <w:rsid w:val="00236C3B"/>
    <w:rsid w:val="002408AD"/>
    <w:rsid w:val="0025070D"/>
    <w:rsid w:val="002508F7"/>
    <w:rsid w:val="00250C2C"/>
    <w:rsid w:val="002520C3"/>
    <w:rsid w:val="00261743"/>
    <w:rsid w:val="00262212"/>
    <w:rsid w:val="0026394C"/>
    <w:rsid w:val="00266105"/>
    <w:rsid w:val="002674E7"/>
    <w:rsid w:val="00270516"/>
    <w:rsid w:val="00275F01"/>
    <w:rsid w:val="0027753B"/>
    <w:rsid w:val="00277779"/>
    <w:rsid w:val="0028025B"/>
    <w:rsid w:val="0028089A"/>
    <w:rsid w:val="002846A4"/>
    <w:rsid w:val="00287026"/>
    <w:rsid w:val="00287B43"/>
    <w:rsid w:val="00291CD3"/>
    <w:rsid w:val="00291E6B"/>
    <w:rsid w:val="00291F03"/>
    <w:rsid w:val="00293444"/>
    <w:rsid w:val="002938D4"/>
    <w:rsid w:val="002A2422"/>
    <w:rsid w:val="002A6A68"/>
    <w:rsid w:val="002A7802"/>
    <w:rsid w:val="002B1813"/>
    <w:rsid w:val="002B2CAC"/>
    <w:rsid w:val="002B517B"/>
    <w:rsid w:val="002B6699"/>
    <w:rsid w:val="002C1AC8"/>
    <w:rsid w:val="002C2256"/>
    <w:rsid w:val="002C230C"/>
    <w:rsid w:val="002C2F61"/>
    <w:rsid w:val="002D1321"/>
    <w:rsid w:val="002D2F7D"/>
    <w:rsid w:val="002D4172"/>
    <w:rsid w:val="002D5FF0"/>
    <w:rsid w:val="002E0FAB"/>
    <w:rsid w:val="002E21C9"/>
    <w:rsid w:val="002E2833"/>
    <w:rsid w:val="002E3B2A"/>
    <w:rsid w:val="002E4420"/>
    <w:rsid w:val="002E6618"/>
    <w:rsid w:val="002F07A5"/>
    <w:rsid w:val="002F36E0"/>
    <w:rsid w:val="002F40AE"/>
    <w:rsid w:val="002F66B5"/>
    <w:rsid w:val="002F78C2"/>
    <w:rsid w:val="00300023"/>
    <w:rsid w:val="003003FE"/>
    <w:rsid w:val="0030067F"/>
    <w:rsid w:val="00303C9E"/>
    <w:rsid w:val="0030403D"/>
    <w:rsid w:val="00304EE8"/>
    <w:rsid w:val="003055F4"/>
    <w:rsid w:val="0031005A"/>
    <w:rsid w:val="00310AA3"/>
    <w:rsid w:val="003111FF"/>
    <w:rsid w:val="003216E1"/>
    <w:rsid w:val="003411CE"/>
    <w:rsid w:val="003434D4"/>
    <w:rsid w:val="00344CD8"/>
    <w:rsid w:val="00345048"/>
    <w:rsid w:val="00346B6A"/>
    <w:rsid w:val="00355478"/>
    <w:rsid w:val="00357F0C"/>
    <w:rsid w:val="0036752E"/>
    <w:rsid w:val="003678F5"/>
    <w:rsid w:val="00370620"/>
    <w:rsid w:val="00371966"/>
    <w:rsid w:val="0037216A"/>
    <w:rsid w:val="00375FA7"/>
    <w:rsid w:val="00376520"/>
    <w:rsid w:val="0038076F"/>
    <w:rsid w:val="00384270"/>
    <w:rsid w:val="00385EF1"/>
    <w:rsid w:val="003872B0"/>
    <w:rsid w:val="0039083F"/>
    <w:rsid w:val="00393595"/>
    <w:rsid w:val="003A0AA3"/>
    <w:rsid w:val="003A1540"/>
    <w:rsid w:val="003A2A92"/>
    <w:rsid w:val="003A3635"/>
    <w:rsid w:val="003A5D0E"/>
    <w:rsid w:val="003A647A"/>
    <w:rsid w:val="003A7407"/>
    <w:rsid w:val="003A7A09"/>
    <w:rsid w:val="003B187E"/>
    <w:rsid w:val="003B2520"/>
    <w:rsid w:val="003B3CF0"/>
    <w:rsid w:val="003B3D92"/>
    <w:rsid w:val="003B424E"/>
    <w:rsid w:val="003B77A1"/>
    <w:rsid w:val="003C018E"/>
    <w:rsid w:val="003C0323"/>
    <w:rsid w:val="003C0EF4"/>
    <w:rsid w:val="003C13E2"/>
    <w:rsid w:val="003C2F82"/>
    <w:rsid w:val="003C319C"/>
    <w:rsid w:val="003C409F"/>
    <w:rsid w:val="003C44B4"/>
    <w:rsid w:val="003C45CB"/>
    <w:rsid w:val="003C4E61"/>
    <w:rsid w:val="003C59C2"/>
    <w:rsid w:val="003C65EB"/>
    <w:rsid w:val="003D10CD"/>
    <w:rsid w:val="003D15AF"/>
    <w:rsid w:val="003D1D40"/>
    <w:rsid w:val="003D3D4E"/>
    <w:rsid w:val="003D74BE"/>
    <w:rsid w:val="003D774B"/>
    <w:rsid w:val="003D77BB"/>
    <w:rsid w:val="003E064B"/>
    <w:rsid w:val="003E2463"/>
    <w:rsid w:val="003E27A7"/>
    <w:rsid w:val="003E306D"/>
    <w:rsid w:val="003E4708"/>
    <w:rsid w:val="003E5E07"/>
    <w:rsid w:val="003E6C79"/>
    <w:rsid w:val="003E7ED2"/>
    <w:rsid w:val="003F0426"/>
    <w:rsid w:val="003F0DAF"/>
    <w:rsid w:val="003F0DB5"/>
    <w:rsid w:val="004000E0"/>
    <w:rsid w:val="00401822"/>
    <w:rsid w:val="00401FCB"/>
    <w:rsid w:val="00404870"/>
    <w:rsid w:val="0041003E"/>
    <w:rsid w:val="00410F4B"/>
    <w:rsid w:val="00412C2D"/>
    <w:rsid w:val="0041392B"/>
    <w:rsid w:val="00413D7F"/>
    <w:rsid w:val="004147B7"/>
    <w:rsid w:val="00416E18"/>
    <w:rsid w:val="004178E1"/>
    <w:rsid w:val="00420F47"/>
    <w:rsid w:val="004309B3"/>
    <w:rsid w:val="004320C7"/>
    <w:rsid w:val="00433195"/>
    <w:rsid w:val="004350E1"/>
    <w:rsid w:val="00436204"/>
    <w:rsid w:val="004362E3"/>
    <w:rsid w:val="0044035E"/>
    <w:rsid w:val="0044068C"/>
    <w:rsid w:val="0044147A"/>
    <w:rsid w:val="00444A54"/>
    <w:rsid w:val="00445086"/>
    <w:rsid w:val="00446CB7"/>
    <w:rsid w:val="00447D19"/>
    <w:rsid w:val="00450F48"/>
    <w:rsid w:val="00453C17"/>
    <w:rsid w:val="0045489F"/>
    <w:rsid w:val="00455E06"/>
    <w:rsid w:val="00457853"/>
    <w:rsid w:val="00461354"/>
    <w:rsid w:val="00462DFB"/>
    <w:rsid w:val="00470780"/>
    <w:rsid w:val="00472BCF"/>
    <w:rsid w:val="0047348F"/>
    <w:rsid w:val="00474889"/>
    <w:rsid w:val="0047561C"/>
    <w:rsid w:val="0048035F"/>
    <w:rsid w:val="004826DD"/>
    <w:rsid w:val="00482C86"/>
    <w:rsid w:val="00485395"/>
    <w:rsid w:val="00487E52"/>
    <w:rsid w:val="0049039E"/>
    <w:rsid w:val="004960AF"/>
    <w:rsid w:val="004960CC"/>
    <w:rsid w:val="004971D6"/>
    <w:rsid w:val="004A1064"/>
    <w:rsid w:val="004A36DD"/>
    <w:rsid w:val="004A57EA"/>
    <w:rsid w:val="004A5A4F"/>
    <w:rsid w:val="004B2911"/>
    <w:rsid w:val="004B2DCA"/>
    <w:rsid w:val="004C055A"/>
    <w:rsid w:val="004C256E"/>
    <w:rsid w:val="004C58B9"/>
    <w:rsid w:val="004C59F7"/>
    <w:rsid w:val="004C6471"/>
    <w:rsid w:val="004C6874"/>
    <w:rsid w:val="004C76EA"/>
    <w:rsid w:val="004D0492"/>
    <w:rsid w:val="004D2843"/>
    <w:rsid w:val="004E0F08"/>
    <w:rsid w:val="004E1540"/>
    <w:rsid w:val="004E308D"/>
    <w:rsid w:val="004E676D"/>
    <w:rsid w:val="004E6A1C"/>
    <w:rsid w:val="004E790E"/>
    <w:rsid w:val="004F0230"/>
    <w:rsid w:val="004F0856"/>
    <w:rsid w:val="004F1114"/>
    <w:rsid w:val="004F1DEA"/>
    <w:rsid w:val="004F2691"/>
    <w:rsid w:val="004F28FF"/>
    <w:rsid w:val="004F2C96"/>
    <w:rsid w:val="004F3025"/>
    <w:rsid w:val="004F6A87"/>
    <w:rsid w:val="004F7F4C"/>
    <w:rsid w:val="0050287D"/>
    <w:rsid w:val="0050389F"/>
    <w:rsid w:val="00506A16"/>
    <w:rsid w:val="00506A42"/>
    <w:rsid w:val="005116BE"/>
    <w:rsid w:val="005119E0"/>
    <w:rsid w:val="0051218E"/>
    <w:rsid w:val="005146C0"/>
    <w:rsid w:val="00515D02"/>
    <w:rsid w:val="005165D9"/>
    <w:rsid w:val="00520E2B"/>
    <w:rsid w:val="0052373A"/>
    <w:rsid w:val="0052687A"/>
    <w:rsid w:val="00527B65"/>
    <w:rsid w:val="00527DB4"/>
    <w:rsid w:val="00527ED3"/>
    <w:rsid w:val="0053088A"/>
    <w:rsid w:val="005352CA"/>
    <w:rsid w:val="00535781"/>
    <w:rsid w:val="005410E3"/>
    <w:rsid w:val="00541765"/>
    <w:rsid w:val="005434BD"/>
    <w:rsid w:val="005443AA"/>
    <w:rsid w:val="005454C6"/>
    <w:rsid w:val="005513A0"/>
    <w:rsid w:val="00551C4D"/>
    <w:rsid w:val="00553263"/>
    <w:rsid w:val="00555159"/>
    <w:rsid w:val="005568E0"/>
    <w:rsid w:val="00557D36"/>
    <w:rsid w:val="00557F2F"/>
    <w:rsid w:val="00564CCD"/>
    <w:rsid w:val="005655A1"/>
    <w:rsid w:val="00570974"/>
    <w:rsid w:val="00571E2C"/>
    <w:rsid w:val="00573862"/>
    <w:rsid w:val="005740BC"/>
    <w:rsid w:val="005773DC"/>
    <w:rsid w:val="00581DA8"/>
    <w:rsid w:val="0058544F"/>
    <w:rsid w:val="005862BA"/>
    <w:rsid w:val="005868EC"/>
    <w:rsid w:val="00587845"/>
    <w:rsid w:val="0059447D"/>
    <w:rsid w:val="005958D6"/>
    <w:rsid w:val="00596384"/>
    <w:rsid w:val="005964CF"/>
    <w:rsid w:val="00597937"/>
    <w:rsid w:val="005A0A62"/>
    <w:rsid w:val="005A0B64"/>
    <w:rsid w:val="005A4D3D"/>
    <w:rsid w:val="005A58BF"/>
    <w:rsid w:val="005B43B2"/>
    <w:rsid w:val="005B5E68"/>
    <w:rsid w:val="005C09A1"/>
    <w:rsid w:val="005C65EB"/>
    <w:rsid w:val="005C7623"/>
    <w:rsid w:val="005D432C"/>
    <w:rsid w:val="005E06C0"/>
    <w:rsid w:val="005F10CA"/>
    <w:rsid w:val="005F2350"/>
    <w:rsid w:val="005F50AB"/>
    <w:rsid w:val="005F5973"/>
    <w:rsid w:val="005F5BE6"/>
    <w:rsid w:val="005F623D"/>
    <w:rsid w:val="005F799E"/>
    <w:rsid w:val="00600133"/>
    <w:rsid w:val="00603B3F"/>
    <w:rsid w:val="006049A3"/>
    <w:rsid w:val="00611328"/>
    <w:rsid w:val="00613525"/>
    <w:rsid w:val="0061521D"/>
    <w:rsid w:val="00617756"/>
    <w:rsid w:val="00617B57"/>
    <w:rsid w:val="006217DC"/>
    <w:rsid w:val="00623001"/>
    <w:rsid w:val="00631615"/>
    <w:rsid w:val="006322EE"/>
    <w:rsid w:val="00635971"/>
    <w:rsid w:val="00641906"/>
    <w:rsid w:val="00643492"/>
    <w:rsid w:val="00644D47"/>
    <w:rsid w:val="006457CC"/>
    <w:rsid w:val="00645DF0"/>
    <w:rsid w:val="00647323"/>
    <w:rsid w:val="0065227E"/>
    <w:rsid w:val="00653DB7"/>
    <w:rsid w:val="006545B6"/>
    <w:rsid w:val="00654D44"/>
    <w:rsid w:val="00662DF1"/>
    <w:rsid w:val="00663AF2"/>
    <w:rsid w:val="00665F5C"/>
    <w:rsid w:val="00670716"/>
    <w:rsid w:val="00671216"/>
    <w:rsid w:val="0067168B"/>
    <w:rsid w:val="00675BB9"/>
    <w:rsid w:val="00675EE0"/>
    <w:rsid w:val="00681986"/>
    <w:rsid w:val="00681C4B"/>
    <w:rsid w:val="006852DE"/>
    <w:rsid w:val="00686F06"/>
    <w:rsid w:val="00687290"/>
    <w:rsid w:val="006940DB"/>
    <w:rsid w:val="006957C1"/>
    <w:rsid w:val="00695D50"/>
    <w:rsid w:val="00696659"/>
    <w:rsid w:val="006A0BDF"/>
    <w:rsid w:val="006A2A8C"/>
    <w:rsid w:val="006A3D22"/>
    <w:rsid w:val="006A4BDE"/>
    <w:rsid w:val="006A53BB"/>
    <w:rsid w:val="006A7414"/>
    <w:rsid w:val="006B024A"/>
    <w:rsid w:val="006B0F65"/>
    <w:rsid w:val="006B35E0"/>
    <w:rsid w:val="006B3FBF"/>
    <w:rsid w:val="006B55CE"/>
    <w:rsid w:val="006C1468"/>
    <w:rsid w:val="006C59D5"/>
    <w:rsid w:val="006C5D3B"/>
    <w:rsid w:val="006D18A9"/>
    <w:rsid w:val="006D474E"/>
    <w:rsid w:val="006D5115"/>
    <w:rsid w:val="006F2AF0"/>
    <w:rsid w:val="006F32BF"/>
    <w:rsid w:val="00701945"/>
    <w:rsid w:val="00704C29"/>
    <w:rsid w:val="00706895"/>
    <w:rsid w:val="00706F43"/>
    <w:rsid w:val="007114B4"/>
    <w:rsid w:val="00711BC0"/>
    <w:rsid w:val="00717251"/>
    <w:rsid w:val="00717E74"/>
    <w:rsid w:val="00721849"/>
    <w:rsid w:val="00724415"/>
    <w:rsid w:val="00725292"/>
    <w:rsid w:val="00730E86"/>
    <w:rsid w:val="00743FC7"/>
    <w:rsid w:val="0074661C"/>
    <w:rsid w:val="00750397"/>
    <w:rsid w:val="007518B6"/>
    <w:rsid w:val="00752561"/>
    <w:rsid w:val="00754649"/>
    <w:rsid w:val="007570C4"/>
    <w:rsid w:val="00757F65"/>
    <w:rsid w:val="00762FFC"/>
    <w:rsid w:val="007654AB"/>
    <w:rsid w:val="00765A5D"/>
    <w:rsid w:val="00766475"/>
    <w:rsid w:val="00772202"/>
    <w:rsid w:val="0077364D"/>
    <w:rsid w:val="00775B3B"/>
    <w:rsid w:val="007760C6"/>
    <w:rsid w:val="00777B01"/>
    <w:rsid w:val="007813F5"/>
    <w:rsid w:val="00781CA1"/>
    <w:rsid w:val="00781DEE"/>
    <w:rsid w:val="00785441"/>
    <w:rsid w:val="00786E3D"/>
    <w:rsid w:val="007875BA"/>
    <w:rsid w:val="00790471"/>
    <w:rsid w:val="007913D4"/>
    <w:rsid w:val="007932CA"/>
    <w:rsid w:val="00794C5F"/>
    <w:rsid w:val="007950A5"/>
    <w:rsid w:val="00796EA3"/>
    <w:rsid w:val="0079750C"/>
    <w:rsid w:val="007A0103"/>
    <w:rsid w:val="007A2277"/>
    <w:rsid w:val="007A302A"/>
    <w:rsid w:val="007A6048"/>
    <w:rsid w:val="007B145F"/>
    <w:rsid w:val="007B6514"/>
    <w:rsid w:val="007C18D7"/>
    <w:rsid w:val="007C335B"/>
    <w:rsid w:val="007C4127"/>
    <w:rsid w:val="007C4393"/>
    <w:rsid w:val="007C624E"/>
    <w:rsid w:val="007C7F3F"/>
    <w:rsid w:val="007D1639"/>
    <w:rsid w:val="007D5C62"/>
    <w:rsid w:val="007E16D9"/>
    <w:rsid w:val="007E2CB1"/>
    <w:rsid w:val="007E2D6F"/>
    <w:rsid w:val="007F00D3"/>
    <w:rsid w:val="007F0C0C"/>
    <w:rsid w:val="007F21E3"/>
    <w:rsid w:val="00800C9D"/>
    <w:rsid w:val="0080157B"/>
    <w:rsid w:val="0080383E"/>
    <w:rsid w:val="008043CA"/>
    <w:rsid w:val="00804839"/>
    <w:rsid w:val="00805358"/>
    <w:rsid w:val="008070A8"/>
    <w:rsid w:val="00810499"/>
    <w:rsid w:val="0081166D"/>
    <w:rsid w:val="0081203C"/>
    <w:rsid w:val="008142CA"/>
    <w:rsid w:val="0081455A"/>
    <w:rsid w:val="00821F3F"/>
    <w:rsid w:val="00832C21"/>
    <w:rsid w:val="0083505E"/>
    <w:rsid w:val="00835CF7"/>
    <w:rsid w:val="00837088"/>
    <w:rsid w:val="008370E7"/>
    <w:rsid w:val="00841903"/>
    <w:rsid w:val="00843824"/>
    <w:rsid w:val="008441CF"/>
    <w:rsid w:val="0084470A"/>
    <w:rsid w:val="0084480C"/>
    <w:rsid w:val="00845F19"/>
    <w:rsid w:val="00850521"/>
    <w:rsid w:val="0085070B"/>
    <w:rsid w:val="00852964"/>
    <w:rsid w:val="00854840"/>
    <w:rsid w:val="00854F68"/>
    <w:rsid w:val="00856749"/>
    <w:rsid w:val="00856E27"/>
    <w:rsid w:val="00856F2F"/>
    <w:rsid w:val="00860320"/>
    <w:rsid w:val="00865874"/>
    <w:rsid w:val="00866263"/>
    <w:rsid w:val="00874AAE"/>
    <w:rsid w:val="00874F1A"/>
    <w:rsid w:val="008755C8"/>
    <w:rsid w:val="00876032"/>
    <w:rsid w:val="00876F14"/>
    <w:rsid w:val="0087707C"/>
    <w:rsid w:val="0087749D"/>
    <w:rsid w:val="008815B4"/>
    <w:rsid w:val="008859C3"/>
    <w:rsid w:val="00890634"/>
    <w:rsid w:val="00895071"/>
    <w:rsid w:val="00895812"/>
    <w:rsid w:val="00897EB9"/>
    <w:rsid w:val="008A1202"/>
    <w:rsid w:val="008A1841"/>
    <w:rsid w:val="008A1FDF"/>
    <w:rsid w:val="008A376A"/>
    <w:rsid w:val="008A5BC7"/>
    <w:rsid w:val="008A7ABB"/>
    <w:rsid w:val="008B149C"/>
    <w:rsid w:val="008B1B55"/>
    <w:rsid w:val="008B2322"/>
    <w:rsid w:val="008B2A00"/>
    <w:rsid w:val="008B65D7"/>
    <w:rsid w:val="008C584E"/>
    <w:rsid w:val="008D1575"/>
    <w:rsid w:val="008E0F53"/>
    <w:rsid w:val="008E27B7"/>
    <w:rsid w:val="008E3483"/>
    <w:rsid w:val="008E3C14"/>
    <w:rsid w:val="008E3CB4"/>
    <w:rsid w:val="008E4D31"/>
    <w:rsid w:val="008E795E"/>
    <w:rsid w:val="008F25D8"/>
    <w:rsid w:val="008F3350"/>
    <w:rsid w:val="008F413A"/>
    <w:rsid w:val="008F4C58"/>
    <w:rsid w:val="008F6E52"/>
    <w:rsid w:val="00900632"/>
    <w:rsid w:val="00901A2A"/>
    <w:rsid w:val="0090302F"/>
    <w:rsid w:val="009039DE"/>
    <w:rsid w:val="009056E0"/>
    <w:rsid w:val="0090572C"/>
    <w:rsid w:val="0091080B"/>
    <w:rsid w:val="0091144B"/>
    <w:rsid w:val="009130FB"/>
    <w:rsid w:val="00921864"/>
    <w:rsid w:val="00926833"/>
    <w:rsid w:val="00927B6D"/>
    <w:rsid w:val="00936AA6"/>
    <w:rsid w:val="00937E28"/>
    <w:rsid w:val="00940086"/>
    <w:rsid w:val="00942160"/>
    <w:rsid w:val="0094235F"/>
    <w:rsid w:val="0094250C"/>
    <w:rsid w:val="00947385"/>
    <w:rsid w:val="00951C13"/>
    <w:rsid w:val="009524EE"/>
    <w:rsid w:val="009529C5"/>
    <w:rsid w:val="00955BFC"/>
    <w:rsid w:val="00957FC8"/>
    <w:rsid w:val="00964179"/>
    <w:rsid w:val="0096507F"/>
    <w:rsid w:val="00966BCA"/>
    <w:rsid w:val="009670B7"/>
    <w:rsid w:val="009723D1"/>
    <w:rsid w:val="009732C1"/>
    <w:rsid w:val="00973DDD"/>
    <w:rsid w:val="009761B2"/>
    <w:rsid w:val="009772B2"/>
    <w:rsid w:val="00977705"/>
    <w:rsid w:val="00981431"/>
    <w:rsid w:val="00982FFD"/>
    <w:rsid w:val="00987720"/>
    <w:rsid w:val="00993315"/>
    <w:rsid w:val="0099481A"/>
    <w:rsid w:val="00995184"/>
    <w:rsid w:val="00995D48"/>
    <w:rsid w:val="009974CD"/>
    <w:rsid w:val="00997D1D"/>
    <w:rsid w:val="009A4D82"/>
    <w:rsid w:val="009B01F6"/>
    <w:rsid w:val="009B1496"/>
    <w:rsid w:val="009B2D0E"/>
    <w:rsid w:val="009B2D29"/>
    <w:rsid w:val="009B504C"/>
    <w:rsid w:val="009C3D19"/>
    <w:rsid w:val="009C518D"/>
    <w:rsid w:val="009C5C87"/>
    <w:rsid w:val="009C6C4D"/>
    <w:rsid w:val="009D0D4B"/>
    <w:rsid w:val="009D1930"/>
    <w:rsid w:val="009D3521"/>
    <w:rsid w:val="009D5783"/>
    <w:rsid w:val="009D5987"/>
    <w:rsid w:val="009D67A8"/>
    <w:rsid w:val="009E07FD"/>
    <w:rsid w:val="009E2711"/>
    <w:rsid w:val="009E2A2E"/>
    <w:rsid w:val="009E2BA6"/>
    <w:rsid w:val="009E6120"/>
    <w:rsid w:val="009F0214"/>
    <w:rsid w:val="009F15C2"/>
    <w:rsid w:val="009F7219"/>
    <w:rsid w:val="00A07A2F"/>
    <w:rsid w:val="00A12045"/>
    <w:rsid w:val="00A12D2B"/>
    <w:rsid w:val="00A138EB"/>
    <w:rsid w:val="00A20D9A"/>
    <w:rsid w:val="00A213A8"/>
    <w:rsid w:val="00A21F3E"/>
    <w:rsid w:val="00A25256"/>
    <w:rsid w:val="00A30359"/>
    <w:rsid w:val="00A3320A"/>
    <w:rsid w:val="00A3395B"/>
    <w:rsid w:val="00A33962"/>
    <w:rsid w:val="00A36327"/>
    <w:rsid w:val="00A3673C"/>
    <w:rsid w:val="00A406AD"/>
    <w:rsid w:val="00A40F40"/>
    <w:rsid w:val="00A47154"/>
    <w:rsid w:val="00A50277"/>
    <w:rsid w:val="00A53D59"/>
    <w:rsid w:val="00A547C5"/>
    <w:rsid w:val="00A61D4F"/>
    <w:rsid w:val="00A64EC4"/>
    <w:rsid w:val="00A66606"/>
    <w:rsid w:val="00A666C7"/>
    <w:rsid w:val="00A67FB4"/>
    <w:rsid w:val="00A7023B"/>
    <w:rsid w:val="00A71943"/>
    <w:rsid w:val="00A72778"/>
    <w:rsid w:val="00A73486"/>
    <w:rsid w:val="00A73E4E"/>
    <w:rsid w:val="00A76F2E"/>
    <w:rsid w:val="00A80FCB"/>
    <w:rsid w:val="00A82DB9"/>
    <w:rsid w:val="00A84A87"/>
    <w:rsid w:val="00A85090"/>
    <w:rsid w:val="00A865A5"/>
    <w:rsid w:val="00A87B54"/>
    <w:rsid w:val="00A96569"/>
    <w:rsid w:val="00A96EB8"/>
    <w:rsid w:val="00A96F59"/>
    <w:rsid w:val="00AA2C80"/>
    <w:rsid w:val="00AA3986"/>
    <w:rsid w:val="00AA402A"/>
    <w:rsid w:val="00AA6088"/>
    <w:rsid w:val="00AB65E7"/>
    <w:rsid w:val="00AC286F"/>
    <w:rsid w:val="00AC3117"/>
    <w:rsid w:val="00AD28C6"/>
    <w:rsid w:val="00AD3414"/>
    <w:rsid w:val="00AD500F"/>
    <w:rsid w:val="00AD5355"/>
    <w:rsid w:val="00AE244A"/>
    <w:rsid w:val="00AE2CB4"/>
    <w:rsid w:val="00AE35B1"/>
    <w:rsid w:val="00AE4593"/>
    <w:rsid w:val="00AE4D60"/>
    <w:rsid w:val="00AE52FA"/>
    <w:rsid w:val="00AE6898"/>
    <w:rsid w:val="00AE7563"/>
    <w:rsid w:val="00AF080D"/>
    <w:rsid w:val="00AF2557"/>
    <w:rsid w:val="00AF4597"/>
    <w:rsid w:val="00AF6545"/>
    <w:rsid w:val="00B00FC3"/>
    <w:rsid w:val="00B0435E"/>
    <w:rsid w:val="00B05521"/>
    <w:rsid w:val="00B0597B"/>
    <w:rsid w:val="00B064DC"/>
    <w:rsid w:val="00B10623"/>
    <w:rsid w:val="00B11128"/>
    <w:rsid w:val="00B11983"/>
    <w:rsid w:val="00B15445"/>
    <w:rsid w:val="00B2531F"/>
    <w:rsid w:val="00B307D9"/>
    <w:rsid w:val="00B325AF"/>
    <w:rsid w:val="00B36B76"/>
    <w:rsid w:val="00B41607"/>
    <w:rsid w:val="00B430B2"/>
    <w:rsid w:val="00B43A08"/>
    <w:rsid w:val="00B43BC4"/>
    <w:rsid w:val="00B454D3"/>
    <w:rsid w:val="00B46D75"/>
    <w:rsid w:val="00B52584"/>
    <w:rsid w:val="00B52F5E"/>
    <w:rsid w:val="00B55201"/>
    <w:rsid w:val="00B56BF7"/>
    <w:rsid w:val="00B62FFA"/>
    <w:rsid w:val="00B665E6"/>
    <w:rsid w:val="00B66A9B"/>
    <w:rsid w:val="00B70BDE"/>
    <w:rsid w:val="00B727F3"/>
    <w:rsid w:val="00B7513D"/>
    <w:rsid w:val="00B77680"/>
    <w:rsid w:val="00B86D87"/>
    <w:rsid w:val="00B90034"/>
    <w:rsid w:val="00B90F17"/>
    <w:rsid w:val="00B912DD"/>
    <w:rsid w:val="00B92A39"/>
    <w:rsid w:val="00B93163"/>
    <w:rsid w:val="00B943D5"/>
    <w:rsid w:val="00B94B30"/>
    <w:rsid w:val="00B957A0"/>
    <w:rsid w:val="00B97BCC"/>
    <w:rsid w:val="00BA0019"/>
    <w:rsid w:val="00BA2642"/>
    <w:rsid w:val="00BA47CC"/>
    <w:rsid w:val="00BA6422"/>
    <w:rsid w:val="00BA7C4F"/>
    <w:rsid w:val="00BA7D17"/>
    <w:rsid w:val="00BB076E"/>
    <w:rsid w:val="00BB1CF2"/>
    <w:rsid w:val="00BB2068"/>
    <w:rsid w:val="00BB28C9"/>
    <w:rsid w:val="00BB2C08"/>
    <w:rsid w:val="00BB4ED0"/>
    <w:rsid w:val="00BB61B3"/>
    <w:rsid w:val="00BB6A92"/>
    <w:rsid w:val="00BB7A25"/>
    <w:rsid w:val="00BC0A3C"/>
    <w:rsid w:val="00BC0CCC"/>
    <w:rsid w:val="00BC28C9"/>
    <w:rsid w:val="00BC3A5F"/>
    <w:rsid w:val="00BC5916"/>
    <w:rsid w:val="00BC5AED"/>
    <w:rsid w:val="00BC621F"/>
    <w:rsid w:val="00BC64CF"/>
    <w:rsid w:val="00BD1F02"/>
    <w:rsid w:val="00BD51DA"/>
    <w:rsid w:val="00BE16FB"/>
    <w:rsid w:val="00BE4637"/>
    <w:rsid w:val="00BE472A"/>
    <w:rsid w:val="00BE7CAF"/>
    <w:rsid w:val="00BF16F1"/>
    <w:rsid w:val="00BF2C09"/>
    <w:rsid w:val="00C032F0"/>
    <w:rsid w:val="00C03503"/>
    <w:rsid w:val="00C03543"/>
    <w:rsid w:val="00C04294"/>
    <w:rsid w:val="00C05BE0"/>
    <w:rsid w:val="00C060D2"/>
    <w:rsid w:val="00C07C1F"/>
    <w:rsid w:val="00C10E3A"/>
    <w:rsid w:val="00C11B80"/>
    <w:rsid w:val="00C12FB5"/>
    <w:rsid w:val="00C14388"/>
    <w:rsid w:val="00C16C0D"/>
    <w:rsid w:val="00C20621"/>
    <w:rsid w:val="00C207C9"/>
    <w:rsid w:val="00C21933"/>
    <w:rsid w:val="00C23EFA"/>
    <w:rsid w:val="00C250B3"/>
    <w:rsid w:val="00C2646F"/>
    <w:rsid w:val="00C43612"/>
    <w:rsid w:val="00C47385"/>
    <w:rsid w:val="00C507BB"/>
    <w:rsid w:val="00C51935"/>
    <w:rsid w:val="00C52681"/>
    <w:rsid w:val="00C56516"/>
    <w:rsid w:val="00C5755F"/>
    <w:rsid w:val="00C57E29"/>
    <w:rsid w:val="00C63E8C"/>
    <w:rsid w:val="00C63F3B"/>
    <w:rsid w:val="00C6415E"/>
    <w:rsid w:val="00C659A7"/>
    <w:rsid w:val="00C72469"/>
    <w:rsid w:val="00C76FFC"/>
    <w:rsid w:val="00C80D19"/>
    <w:rsid w:val="00C85155"/>
    <w:rsid w:val="00C90FA4"/>
    <w:rsid w:val="00C9259F"/>
    <w:rsid w:val="00C9751D"/>
    <w:rsid w:val="00CA10E9"/>
    <w:rsid w:val="00CA3398"/>
    <w:rsid w:val="00CA34B9"/>
    <w:rsid w:val="00CA38D9"/>
    <w:rsid w:val="00CA40FA"/>
    <w:rsid w:val="00CA529A"/>
    <w:rsid w:val="00CA6926"/>
    <w:rsid w:val="00CA735C"/>
    <w:rsid w:val="00CA7CD0"/>
    <w:rsid w:val="00CB04CB"/>
    <w:rsid w:val="00CB229F"/>
    <w:rsid w:val="00CB3AD5"/>
    <w:rsid w:val="00CB41D9"/>
    <w:rsid w:val="00CB5081"/>
    <w:rsid w:val="00CB5415"/>
    <w:rsid w:val="00CB609A"/>
    <w:rsid w:val="00CC0C2C"/>
    <w:rsid w:val="00CD0D86"/>
    <w:rsid w:val="00CD1853"/>
    <w:rsid w:val="00CD1B8D"/>
    <w:rsid w:val="00CD3931"/>
    <w:rsid w:val="00CD4F03"/>
    <w:rsid w:val="00CD5A2C"/>
    <w:rsid w:val="00CD61A1"/>
    <w:rsid w:val="00CD71EB"/>
    <w:rsid w:val="00CE0140"/>
    <w:rsid w:val="00CE2D91"/>
    <w:rsid w:val="00CE3CC8"/>
    <w:rsid w:val="00CE3CE2"/>
    <w:rsid w:val="00CE5861"/>
    <w:rsid w:val="00CE5B67"/>
    <w:rsid w:val="00CF17A0"/>
    <w:rsid w:val="00CF4B1E"/>
    <w:rsid w:val="00CF703A"/>
    <w:rsid w:val="00CF7D0B"/>
    <w:rsid w:val="00D008FA"/>
    <w:rsid w:val="00D02CAA"/>
    <w:rsid w:val="00D02F9A"/>
    <w:rsid w:val="00D035B8"/>
    <w:rsid w:val="00D04981"/>
    <w:rsid w:val="00D051F4"/>
    <w:rsid w:val="00D0711C"/>
    <w:rsid w:val="00D11A7A"/>
    <w:rsid w:val="00D12D55"/>
    <w:rsid w:val="00D13D39"/>
    <w:rsid w:val="00D14B0C"/>
    <w:rsid w:val="00D20FC3"/>
    <w:rsid w:val="00D21FF3"/>
    <w:rsid w:val="00D23136"/>
    <w:rsid w:val="00D23BD5"/>
    <w:rsid w:val="00D24B6D"/>
    <w:rsid w:val="00D2518B"/>
    <w:rsid w:val="00D30EB3"/>
    <w:rsid w:val="00D32E4E"/>
    <w:rsid w:val="00D35790"/>
    <w:rsid w:val="00D36179"/>
    <w:rsid w:val="00D40A22"/>
    <w:rsid w:val="00D45DD1"/>
    <w:rsid w:val="00D5024C"/>
    <w:rsid w:val="00D5385A"/>
    <w:rsid w:val="00D55331"/>
    <w:rsid w:val="00D57387"/>
    <w:rsid w:val="00D57E5B"/>
    <w:rsid w:val="00D6247D"/>
    <w:rsid w:val="00D66FE0"/>
    <w:rsid w:val="00D70176"/>
    <w:rsid w:val="00D71783"/>
    <w:rsid w:val="00D8322D"/>
    <w:rsid w:val="00D83B4F"/>
    <w:rsid w:val="00D85C68"/>
    <w:rsid w:val="00D85FA4"/>
    <w:rsid w:val="00D87498"/>
    <w:rsid w:val="00D93CA0"/>
    <w:rsid w:val="00D962B3"/>
    <w:rsid w:val="00DA0D39"/>
    <w:rsid w:val="00DA43F5"/>
    <w:rsid w:val="00DA7EFE"/>
    <w:rsid w:val="00DB4A50"/>
    <w:rsid w:val="00DB7345"/>
    <w:rsid w:val="00DC2108"/>
    <w:rsid w:val="00DC77CF"/>
    <w:rsid w:val="00DC7CF0"/>
    <w:rsid w:val="00DE2B22"/>
    <w:rsid w:val="00DE505B"/>
    <w:rsid w:val="00DE62F1"/>
    <w:rsid w:val="00DF0FCD"/>
    <w:rsid w:val="00DF2758"/>
    <w:rsid w:val="00DF2E0B"/>
    <w:rsid w:val="00DF35DA"/>
    <w:rsid w:val="00DF4095"/>
    <w:rsid w:val="00DF4EBD"/>
    <w:rsid w:val="00DF4ECC"/>
    <w:rsid w:val="00E010E7"/>
    <w:rsid w:val="00E016B0"/>
    <w:rsid w:val="00E062E4"/>
    <w:rsid w:val="00E109E0"/>
    <w:rsid w:val="00E14C31"/>
    <w:rsid w:val="00E14F10"/>
    <w:rsid w:val="00E15691"/>
    <w:rsid w:val="00E21E07"/>
    <w:rsid w:val="00E231FE"/>
    <w:rsid w:val="00E47630"/>
    <w:rsid w:val="00E50414"/>
    <w:rsid w:val="00E5228B"/>
    <w:rsid w:val="00E54390"/>
    <w:rsid w:val="00E547E2"/>
    <w:rsid w:val="00E55FF9"/>
    <w:rsid w:val="00E637A3"/>
    <w:rsid w:val="00E63F9C"/>
    <w:rsid w:val="00E65756"/>
    <w:rsid w:val="00E66303"/>
    <w:rsid w:val="00E74AA0"/>
    <w:rsid w:val="00E76B4C"/>
    <w:rsid w:val="00E832C3"/>
    <w:rsid w:val="00E833DA"/>
    <w:rsid w:val="00E836F5"/>
    <w:rsid w:val="00E84024"/>
    <w:rsid w:val="00E84E31"/>
    <w:rsid w:val="00E87BAA"/>
    <w:rsid w:val="00E968B5"/>
    <w:rsid w:val="00EA277D"/>
    <w:rsid w:val="00EA3CC6"/>
    <w:rsid w:val="00EA653C"/>
    <w:rsid w:val="00EA6A9F"/>
    <w:rsid w:val="00EB0C79"/>
    <w:rsid w:val="00EB0D55"/>
    <w:rsid w:val="00EB1C28"/>
    <w:rsid w:val="00EB294F"/>
    <w:rsid w:val="00EB3FC2"/>
    <w:rsid w:val="00EB410E"/>
    <w:rsid w:val="00EC1D66"/>
    <w:rsid w:val="00EC54C3"/>
    <w:rsid w:val="00EC5A95"/>
    <w:rsid w:val="00EC6510"/>
    <w:rsid w:val="00EC6687"/>
    <w:rsid w:val="00EC76A0"/>
    <w:rsid w:val="00ED3068"/>
    <w:rsid w:val="00ED5772"/>
    <w:rsid w:val="00ED5B81"/>
    <w:rsid w:val="00ED5CB6"/>
    <w:rsid w:val="00EE0DEB"/>
    <w:rsid w:val="00EE4CE0"/>
    <w:rsid w:val="00EE503E"/>
    <w:rsid w:val="00EE5E7F"/>
    <w:rsid w:val="00EE6E4D"/>
    <w:rsid w:val="00EE7C8D"/>
    <w:rsid w:val="00EF0BE0"/>
    <w:rsid w:val="00EF1730"/>
    <w:rsid w:val="00F04CC4"/>
    <w:rsid w:val="00F04FE2"/>
    <w:rsid w:val="00F07DF9"/>
    <w:rsid w:val="00F112B2"/>
    <w:rsid w:val="00F17BD4"/>
    <w:rsid w:val="00F2295E"/>
    <w:rsid w:val="00F24CD2"/>
    <w:rsid w:val="00F24DCC"/>
    <w:rsid w:val="00F3254A"/>
    <w:rsid w:val="00F33BD8"/>
    <w:rsid w:val="00F34FB1"/>
    <w:rsid w:val="00F3742B"/>
    <w:rsid w:val="00F406BB"/>
    <w:rsid w:val="00F4072A"/>
    <w:rsid w:val="00F409CA"/>
    <w:rsid w:val="00F4414D"/>
    <w:rsid w:val="00F44A31"/>
    <w:rsid w:val="00F4722C"/>
    <w:rsid w:val="00F56573"/>
    <w:rsid w:val="00F615DB"/>
    <w:rsid w:val="00F62C0C"/>
    <w:rsid w:val="00F639CA"/>
    <w:rsid w:val="00F65DBA"/>
    <w:rsid w:val="00F675AA"/>
    <w:rsid w:val="00F677D9"/>
    <w:rsid w:val="00F7215C"/>
    <w:rsid w:val="00F76059"/>
    <w:rsid w:val="00F76815"/>
    <w:rsid w:val="00F803E5"/>
    <w:rsid w:val="00F86A02"/>
    <w:rsid w:val="00F92DF1"/>
    <w:rsid w:val="00F97E9F"/>
    <w:rsid w:val="00FA087C"/>
    <w:rsid w:val="00FA511E"/>
    <w:rsid w:val="00FA5C73"/>
    <w:rsid w:val="00FA686B"/>
    <w:rsid w:val="00FB133E"/>
    <w:rsid w:val="00FB2C9B"/>
    <w:rsid w:val="00FB4437"/>
    <w:rsid w:val="00FB44AC"/>
    <w:rsid w:val="00FC0BF3"/>
    <w:rsid w:val="00FC1C9D"/>
    <w:rsid w:val="00FC316B"/>
    <w:rsid w:val="00FC67DA"/>
    <w:rsid w:val="00FD2577"/>
    <w:rsid w:val="00FD3434"/>
    <w:rsid w:val="00FD57EE"/>
    <w:rsid w:val="00FD6593"/>
    <w:rsid w:val="00FD6A58"/>
    <w:rsid w:val="00FD6EE1"/>
    <w:rsid w:val="00FE0774"/>
    <w:rsid w:val="00FE1F7A"/>
    <w:rsid w:val="00FE3B36"/>
    <w:rsid w:val="00FE4FF3"/>
    <w:rsid w:val="00FE6B81"/>
    <w:rsid w:val="00FE6F05"/>
    <w:rsid w:val="00FE6F28"/>
    <w:rsid w:val="00FF4214"/>
    <w:rsid w:val="00FF50F5"/>
    <w:rsid w:val="00FF54C7"/>
    <w:rsid w:val="00FF79AA"/>
    <w:rsid w:val="14BE99FC"/>
    <w:rsid w:val="45CA6519"/>
    <w:rsid w:val="4766357A"/>
    <w:rsid w:val="5920172B"/>
    <w:rsid w:val="602FDE39"/>
    <w:rsid w:val="683F6527"/>
    <w:rsid w:val="76EF5893"/>
    <w:rsid w:val="788B28F4"/>
    <w:rsid w:val="7A26F9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2793DF"/>
  <w15:chartTrackingRefBased/>
  <w15:docId w15:val="{B489AF5A-D05F-42FA-9F61-6F61C046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aliases w:val="List Paragraph1"/>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74AAE"/>
    <w:rPr>
      <w:color w:val="605E5C"/>
      <w:shd w:val="clear" w:color="auto" w:fill="E1DFDD"/>
    </w:rPr>
  </w:style>
  <w:style w:type="character" w:styleId="FollowedHyperlink">
    <w:name w:val="FollowedHyperlink"/>
    <w:basedOn w:val="DefaultParagraphFont"/>
    <w:uiPriority w:val="99"/>
    <w:semiHidden/>
    <w:unhideWhenUsed/>
    <w:rsid w:val="007C7F3F"/>
    <w:rPr>
      <w:color w:val="954F72" w:themeColor="followedHyperlink"/>
      <w:u w:val="single"/>
    </w:rPr>
  </w:style>
  <w:style w:type="character" w:customStyle="1" w:styleId="notetextChar">
    <w:name w:val="note(text) Char"/>
    <w:aliases w:val="n Char"/>
    <w:basedOn w:val="DefaultParagraphFont"/>
    <w:link w:val="notetext"/>
    <w:locked/>
    <w:rsid w:val="00947385"/>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947385"/>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subsectionChar">
    <w:name w:val="subsection Char"/>
    <w:aliases w:val="ss Char"/>
    <w:basedOn w:val="DefaultParagraphFont"/>
    <w:link w:val="subsection"/>
    <w:locked/>
    <w:rsid w:val="00287B43"/>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287B43"/>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paragraphChar">
    <w:name w:val="paragraph Char"/>
    <w:aliases w:val="a Char"/>
    <w:link w:val="paragraph"/>
    <w:locked/>
    <w:rsid w:val="00287B43"/>
    <w:rPr>
      <w:rFonts w:ascii="Times New Roman" w:eastAsia="Times New Roman" w:hAnsi="Times New Roman" w:cs="Times New Roman"/>
      <w:szCs w:val="20"/>
      <w:lang w:eastAsia="en-AU"/>
    </w:rPr>
  </w:style>
  <w:style w:type="paragraph" w:customStyle="1" w:styleId="paragraph">
    <w:name w:val="paragraph"/>
    <w:aliases w:val="a,indent(a)"/>
    <w:basedOn w:val="Normal"/>
    <w:link w:val="paragraphChar"/>
    <w:rsid w:val="00287B43"/>
    <w:pPr>
      <w:tabs>
        <w:tab w:val="right" w:pos="1531"/>
      </w:tabs>
      <w:spacing w:before="40" w:after="0" w:line="240" w:lineRule="auto"/>
      <w:ind w:left="1644" w:hanging="1644"/>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14940">
      <w:bodyDiv w:val="1"/>
      <w:marLeft w:val="0"/>
      <w:marRight w:val="0"/>
      <w:marTop w:val="0"/>
      <w:marBottom w:val="0"/>
      <w:divBdr>
        <w:top w:val="none" w:sz="0" w:space="0" w:color="auto"/>
        <w:left w:val="none" w:sz="0" w:space="0" w:color="auto"/>
        <w:bottom w:val="none" w:sz="0" w:space="0" w:color="auto"/>
        <w:right w:val="none" w:sz="0" w:space="0" w:color="auto"/>
      </w:divBdr>
    </w:div>
    <w:div w:id="859121089">
      <w:bodyDiv w:val="1"/>
      <w:marLeft w:val="0"/>
      <w:marRight w:val="0"/>
      <w:marTop w:val="0"/>
      <w:marBottom w:val="0"/>
      <w:divBdr>
        <w:top w:val="none" w:sz="0" w:space="0" w:color="auto"/>
        <w:left w:val="none" w:sz="0" w:space="0" w:color="auto"/>
        <w:bottom w:val="none" w:sz="0" w:space="0" w:color="auto"/>
        <w:right w:val="none" w:sz="0" w:space="0" w:color="auto"/>
      </w:divBdr>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091773862">
      <w:bodyDiv w:val="1"/>
      <w:marLeft w:val="0"/>
      <w:marRight w:val="0"/>
      <w:marTop w:val="0"/>
      <w:marBottom w:val="0"/>
      <w:divBdr>
        <w:top w:val="none" w:sz="0" w:space="0" w:color="auto"/>
        <w:left w:val="none" w:sz="0" w:space="0" w:color="auto"/>
        <w:bottom w:val="none" w:sz="0" w:space="0" w:color="auto"/>
        <w:right w:val="none" w:sz="0" w:space="0" w:color="auto"/>
      </w:divBdr>
    </w:div>
    <w:div w:id="1099182680">
      <w:bodyDiv w:val="1"/>
      <w:marLeft w:val="0"/>
      <w:marRight w:val="0"/>
      <w:marTop w:val="0"/>
      <w:marBottom w:val="0"/>
      <w:divBdr>
        <w:top w:val="none" w:sz="0" w:space="0" w:color="auto"/>
        <w:left w:val="none" w:sz="0" w:space="0" w:color="auto"/>
        <w:bottom w:val="none" w:sz="0" w:space="0" w:color="auto"/>
        <w:right w:val="none" w:sz="0" w:space="0" w:color="auto"/>
      </w:divBdr>
    </w:div>
    <w:div w:id="1271627398">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641379446">
      <w:bodyDiv w:val="1"/>
      <w:marLeft w:val="0"/>
      <w:marRight w:val="0"/>
      <w:marTop w:val="0"/>
      <w:marBottom w:val="0"/>
      <w:divBdr>
        <w:top w:val="none" w:sz="0" w:space="0" w:color="auto"/>
        <w:left w:val="none" w:sz="0" w:space="0" w:color="auto"/>
        <w:bottom w:val="none" w:sz="0" w:space="0" w:color="auto"/>
        <w:right w:val="none" w:sz="0" w:space="0" w:color="auto"/>
      </w:divBdr>
      <w:divsChild>
        <w:div w:id="313802476">
          <w:marLeft w:val="0"/>
          <w:marRight w:val="0"/>
          <w:marTop w:val="0"/>
          <w:marBottom w:val="0"/>
          <w:divBdr>
            <w:top w:val="none" w:sz="0" w:space="0" w:color="auto"/>
            <w:left w:val="none" w:sz="0" w:space="0" w:color="auto"/>
            <w:bottom w:val="none" w:sz="0" w:space="0" w:color="auto"/>
            <w:right w:val="none" w:sz="0" w:space="0" w:color="auto"/>
          </w:divBdr>
        </w:div>
        <w:div w:id="436487592">
          <w:marLeft w:val="0"/>
          <w:marRight w:val="0"/>
          <w:marTop w:val="0"/>
          <w:marBottom w:val="0"/>
          <w:divBdr>
            <w:top w:val="none" w:sz="0" w:space="0" w:color="auto"/>
            <w:left w:val="none" w:sz="0" w:space="0" w:color="auto"/>
            <w:bottom w:val="none" w:sz="0" w:space="0" w:color="auto"/>
            <w:right w:val="none" w:sz="0" w:space="0" w:color="auto"/>
          </w:divBdr>
        </w:div>
        <w:div w:id="458497827">
          <w:marLeft w:val="0"/>
          <w:marRight w:val="0"/>
          <w:marTop w:val="0"/>
          <w:marBottom w:val="0"/>
          <w:divBdr>
            <w:top w:val="none" w:sz="0" w:space="0" w:color="auto"/>
            <w:left w:val="none" w:sz="0" w:space="0" w:color="auto"/>
            <w:bottom w:val="none" w:sz="0" w:space="0" w:color="auto"/>
            <w:right w:val="none" w:sz="0" w:space="0" w:color="auto"/>
          </w:divBdr>
        </w:div>
        <w:div w:id="733746555">
          <w:marLeft w:val="0"/>
          <w:marRight w:val="0"/>
          <w:marTop w:val="0"/>
          <w:marBottom w:val="0"/>
          <w:divBdr>
            <w:top w:val="none" w:sz="0" w:space="0" w:color="auto"/>
            <w:left w:val="none" w:sz="0" w:space="0" w:color="auto"/>
            <w:bottom w:val="none" w:sz="0" w:space="0" w:color="auto"/>
            <w:right w:val="none" w:sz="0" w:space="0" w:color="auto"/>
          </w:divBdr>
        </w:div>
        <w:div w:id="811673459">
          <w:marLeft w:val="0"/>
          <w:marRight w:val="0"/>
          <w:marTop w:val="0"/>
          <w:marBottom w:val="0"/>
          <w:divBdr>
            <w:top w:val="none" w:sz="0" w:space="0" w:color="auto"/>
            <w:left w:val="none" w:sz="0" w:space="0" w:color="auto"/>
            <w:bottom w:val="none" w:sz="0" w:space="0" w:color="auto"/>
            <w:right w:val="none" w:sz="0" w:space="0" w:color="auto"/>
          </w:divBdr>
        </w:div>
        <w:div w:id="1293094193">
          <w:marLeft w:val="0"/>
          <w:marRight w:val="0"/>
          <w:marTop w:val="0"/>
          <w:marBottom w:val="0"/>
          <w:divBdr>
            <w:top w:val="none" w:sz="0" w:space="0" w:color="auto"/>
            <w:left w:val="none" w:sz="0" w:space="0" w:color="auto"/>
            <w:bottom w:val="none" w:sz="0" w:space="0" w:color="auto"/>
            <w:right w:val="none" w:sz="0" w:space="0" w:color="auto"/>
          </w:divBdr>
        </w:div>
        <w:div w:id="1521041319">
          <w:marLeft w:val="0"/>
          <w:marRight w:val="0"/>
          <w:marTop w:val="0"/>
          <w:marBottom w:val="0"/>
          <w:divBdr>
            <w:top w:val="none" w:sz="0" w:space="0" w:color="auto"/>
            <w:left w:val="none" w:sz="0" w:space="0" w:color="auto"/>
            <w:bottom w:val="none" w:sz="0" w:space="0" w:color="auto"/>
            <w:right w:val="none" w:sz="0" w:space="0" w:color="auto"/>
          </w:divBdr>
        </w:div>
        <w:div w:id="1559436816">
          <w:marLeft w:val="0"/>
          <w:marRight w:val="0"/>
          <w:marTop w:val="0"/>
          <w:marBottom w:val="0"/>
          <w:divBdr>
            <w:top w:val="none" w:sz="0" w:space="0" w:color="auto"/>
            <w:left w:val="none" w:sz="0" w:space="0" w:color="auto"/>
            <w:bottom w:val="none" w:sz="0" w:space="0" w:color="auto"/>
            <w:right w:val="none" w:sz="0" w:space="0" w:color="auto"/>
          </w:divBdr>
        </w:div>
        <w:div w:id="1735739830">
          <w:marLeft w:val="0"/>
          <w:marRight w:val="0"/>
          <w:marTop w:val="0"/>
          <w:marBottom w:val="0"/>
          <w:divBdr>
            <w:top w:val="none" w:sz="0" w:space="0" w:color="auto"/>
            <w:left w:val="none" w:sz="0" w:space="0" w:color="auto"/>
            <w:bottom w:val="none" w:sz="0" w:space="0" w:color="auto"/>
            <w:right w:val="none" w:sz="0" w:space="0" w:color="auto"/>
          </w:divBdr>
        </w:div>
        <w:div w:id="1805199576">
          <w:marLeft w:val="0"/>
          <w:marRight w:val="0"/>
          <w:marTop w:val="0"/>
          <w:marBottom w:val="0"/>
          <w:divBdr>
            <w:top w:val="none" w:sz="0" w:space="0" w:color="auto"/>
            <w:left w:val="none" w:sz="0" w:space="0" w:color="auto"/>
            <w:bottom w:val="none" w:sz="0" w:space="0" w:color="auto"/>
            <w:right w:val="none" w:sz="0" w:space="0" w:color="auto"/>
          </w:divBdr>
        </w:div>
        <w:div w:id="1890993506">
          <w:marLeft w:val="0"/>
          <w:marRight w:val="0"/>
          <w:marTop w:val="0"/>
          <w:marBottom w:val="0"/>
          <w:divBdr>
            <w:top w:val="none" w:sz="0" w:space="0" w:color="auto"/>
            <w:left w:val="none" w:sz="0" w:space="0" w:color="auto"/>
            <w:bottom w:val="none" w:sz="0" w:space="0" w:color="auto"/>
            <w:right w:val="none" w:sz="0" w:space="0" w:color="auto"/>
          </w:divBdr>
        </w:div>
        <w:div w:id="1964774591">
          <w:marLeft w:val="0"/>
          <w:marRight w:val="0"/>
          <w:marTop w:val="0"/>
          <w:marBottom w:val="0"/>
          <w:divBdr>
            <w:top w:val="none" w:sz="0" w:space="0" w:color="auto"/>
            <w:left w:val="none" w:sz="0" w:space="0" w:color="auto"/>
            <w:bottom w:val="none" w:sz="0" w:space="0" w:color="auto"/>
            <w:right w:val="none" w:sz="0" w:space="0" w:color="auto"/>
          </w:divBdr>
        </w:div>
        <w:div w:id="2023555570">
          <w:marLeft w:val="0"/>
          <w:marRight w:val="0"/>
          <w:marTop w:val="0"/>
          <w:marBottom w:val="0"/>
          <w:divBdr>
            <w:top w:val="none" w:sz="0" w:space="0" w:color="auto"/>
            <w:left w:val="none" w:sz="0" w:space="0" w:color="auto"/>
            <w:bottom w:val="none" w:sz="0" w:space="0" w:color="auto"/>
            <w:right w:val="none" w:sz="0" w:space="0" w:color="auto"/>
          </w:divBdr>
        </w:div>
        <w:div w:id="2049142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hyperlink" Target="https://www.acma.gov.au/sites/default/files/2021-01/Replanning%20the%203700-4200%20MHz%20band_Outcomes%20paper.docx%22%20/t%20%22_blank" TargetMode="External"/><Relationship Id="rId3" Type="http://schemas.openxmlformats.org/officeDocument/2006/relationships/customXml" Target="../customXml/item3.xml"/><Relationship Id="rId21" Type="http://schemas.openxmlformats.org/officeDocument/2006/relationships/hyperlink" Target="http://www.legislation.gov.au" TargetMode="External"/><Relationship Id="rId7" Type="http://schemas.openxmlformats.org/officeDocument/2006/relationships/styles" Target="styles.xml"/><Relationship Id="rId12" Type="http://schemas.openxmlformats.org/officeDocument/2006/relationships/hyperlink" Target="http://www.acma.gov.au" TargetMode="External"/><Relationship Id="rId17" Type="http://schemas.openxmlformats.org/officeDocument/2006/relationships/hyperlink" Target="https://www.acma.gov.au/consultations/2019-08/optimising-3400-3575-mhz-band-consultation-122019%22%20/t%20%22_blan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cma.gov.au/consultations/2020-07/planning-options-3700-4200-mhz-band-consultation-222020%22%20/t%20%22_blank" TargetMode="External"/><Relationship Id="rId20" Type="http://schemas.openxmlformats.org/officeDocument/2006/relationships/hyperlink" Target="https://www.acma.gov.au/consultations/2022-03/proposed-spectrum-re-allocation-declaration-34-ghz-and-37-ghz-band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32"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www.acma.gov.au/consultations/2019-09/planning-3700-4200-mhz-band-consultation-272019%22%20/t%20%22_blank"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acma.gov.au/consultations/2021-08/planning-wireless-broadband-use-urban-areas-3400-3475-mhz-band-consultation-312021%22%20/t%20%22_blan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cma.gov.au/consultations/2019-08/optimising-3400-3575-mhz-band-consultation-122019"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UQVA7MFFXVNW-2139912385-1224</_dlc_DocId>
    <_dlc_DocIdUrl xmlns="04b8ec43-391f-4ce4-8841-d6a482add564">
      <Url>http://collaboration/organisation/auth/Chair/Auth/_layouts/15/DocIdRedir.aspx?ID=UQVA7MFFXVNW-2139912385-1224</Url>
      <Description>UQVA7MFFXVNW-2139912385-1224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C8FEBE29DB2A4FA4C0856B7BE6B334" ma:contentTypeVersion="2" ma:contentTypeDescription="Create a new document." ma:contentTypeScope="" ma:versionID="9374ccaf966f82c76b8986f0d348e7d1">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4A20D3-5249-4064-B676-33B74048141D}">
  <ds:schemaRefs>
    <ds:schemaRef ds:uri="http://schemas.microsoft.com/office/2006/documentManagement/types"/>
    <ds:schemaRef ds:uri="07993959-e33e-4fc6-9c63-0586c429c85a"/>
    <ds:schemaRef ds:uri="http://www.w3.org/XML/1998/namespace"/>
    <ds:schemaRef ds:uri="http://purl.org/dc/terms/"/>
    <ds:schemaRef ds:uri="http://schemas.microsoft.com/office/2006/metadata/properties"/>
    <ds:schemaRef ds:uri="92912565-4f5f-430c-b932-bdb12fa0756f"/>
    <ds:schemaRef ds:uri="http://purl.org/dc/dcmitype/"/>
    <ds:schemaRef ds:uri="http://schemas.openxmlformats.org/package/2006/metadata/core-properties"/>
    <ds:schemaRef ds:uri="http://schemas.microsoft.com/office/infopath/2007/PartnerControls"/>
    <ds:schemaRef ds:uri="http://purl.org/dc/elements/1.1/"/>
    <ds:schemaRef ds:uri="026d8262-4725-4a9c-834e-3f991ab17ffd"/>
    <ds:schemaRef ds:uri="04b8ec43-391f-4ce4-8841-d6a482add564"/>
  </ds:schemaRefs>
</ds:datastoreItem>
</file>

<file path=customXml/itemProps2.xml><?xml version="1.0" encoding="utf-8"?>
<ds:datastoreItem xmlns:ds="http://schemas.openxmlformats.org/officeDocument/2006/customXml" ds:itemID="{3BC88F96-FEEB-43DA-857B-B8E7564B7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customXml/itemProps4.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5.xml><?xml version="1.0" encoding="utf-8"?>
<ds:datastoreItem xmlns:ds="http://schemas.openxmlformats.org/officeDocument/2006/customXml" ds:itemID="{CA7BAF78-0AB2-4B49-A0E9-9BCE7DF31C6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3527</Words>
  <Characters>20105</Characters>
  <Application>Microsoft Office Word</Application>
  <DocSecurity>0</DocSecurity>
  <Lines>167</Lines>
  <Paragraphs>47</Paragraphs>
  <ScaleCrop>false</ScaleCrop>
  <Company>Australian Communications and Media Authority</Company>
  <LinksUpToDate>false</LinksUpToDate>
  <CharactersWithSpaces>23585</CharactersWithSpaces>
  <SharedDoc>false</SharedDoc>
  <HLinks>
    <vt:vector size="72" baseType="variant">
      <vt:variant>
        <vt:i4>6946865</vt:i4>
      </vt:variant>
      <vt:variant>
        <vt:i4>33</vt:i4>
      </vt:variant>
      <vt:variant>
        <vt:i4>0</vt:i4>
      </vt:variant>
      <vt:variant>
        <vt:i4>5</vt:i4>
      </vt:variant>
      <vt:variant>
        <vt:lpwstr>http://www.legislation.gov.au/</vt:lpwstr>
      </vt:variant>
      <vt:variant>
        <vt:lpwstr/>
      </vt:variant>
      <vt:variant>
        <vt:i4>1835036</vt:i4>
      </vt:variant>
      <vt:variant>
        <vt:i4>30</vt:i4>
      </vt:variant>
      <vt:variant>
        <vt:i4>0</vt:i4>
      </vt:variant>
      <vt:variant>
        <vt:i4>5</vt:i4>
      </vt:variant>
      <vt:variant>
        <vt:lpwstr>https://www.acma.gov.au/consultations/2022-03/proposed-spectrum-re-allocation-declaration-34-ghz-and-37-ghz-bands</vt:lpwstr>
      </vt:variant>
      <vt:variant>
        <vt:lpwstr/>
      </vt:variant>
      <vt:variant>
        <vt:i4>1769528</vt:i4>
      </vt:variant>
      <vt:variant>
        <vt:i4>27</vt:i4>
      </vt:variant>
      <vt:variant>
        <vt:i4>0</vt:i4>
      </vt:variant>
      <vt:variant>
        <vt:i4>5</vt:i4>
      </vt:variant>
      <vt:variant>
        <vt:lpwstr>https://www.acma.gov.au/consultations/2021-08/planning-wireless-broadband-use-urban-areas-3400-3475-mhz-band-consultation-312021%22 /t %22_blank</vt:lpwstr>
      </vt:variant>
      <vt:variant>
        <vt:lpwstr/>
      </vt:variant>
      <vt:variant>
        <vt:i4>5636191</vt:i4>
      </vt:variant>
      <vt:variant>
        <vt:i4>24</vt:i4>
      </vt:variant>
      <vt:variant>
        <vt:i4>0</vt:i4>
      </vt:variant>
      <vt:variant>
        <vt:i4>5</vt:i4>
      </vt:variant>
      <vt:variant>
        <vt:lpwstr>https://www.acma.gov.au/sites/default/files/2021-01/Replanning the 3700-4200 MHz band_Outcomes paper.docx%22 /t %22_blank</vt:lpwstr>
      </vt:variant>
      <vt:variant>
        <vt:lpwstr/>
      </vt:variant>
      <vt:variant>
        <vt:i4>983164</vt:i4>
      </vt:variant>
      <vt:variant>
        <vt:i4>21</vt:i4>
      </vt:variant>
      <vt:variant>
        <vt:i4>0</vt:i4>
      </vt:variant>
      <vt:variant>
        <vt:i4>5</vt:i4>
      </vt:variant>
      <vt:variant>
        <vt:lpwstr>https://www.acma.gov.au/consultations/2019-08/optimising-3400-3575-mhz-band-consultation-122019%22 /t %22_blank</vt:lpwstr>
      </vt:variant>
      <vt:variant>
        <vt:lpwstr/>
      </vt:variant>
      <vt:variant>
        <vt:i4>7405658</vt:i4>
      </vt:variant>
      <vt:variant>
        <vt:i4>18</vt:i4>
      </vt:variant>
      <vt:variant>
        <vt:i4>0</vt:i4>
      </vt:variant>
      <vt:variant>
        <vt:i4>5</vt:i4>
      </vt:variant>
      <vt:variant>
        <vt:lpwstr>https://www.acma.gov.au/consultations/2020-07/planning-options-3700-4200-mhz-band-consultation-222020%22 /t %22_blank</vt:lpwstr>
      </vt:variant>
      <vt:variant>
        <vt:lpwstr/>
      </vt:variant>
      <vt:variant>
        <vt:i4>8126465</vt:i4>
      </vt:variant>
      <vt:variant>
        <vt:i4>15</vt:i4>
      </vt:variant>
      <vt:variant>
        <vt:i4>0</vt:i4>
      </vt:variant>
      <vt:variant>
        <vt:i4>5</vt:i4>
      </vt:variant>
      <vt:variant>
        <vt:lpwstr>https://www.acma.gov.au/consultations/2019-09/planning-3700-4200-mhz-band-consultation-272019%22 /t %22_blank</vt:lpwstr>
      </vt:variant>
      <vt:variant>
        <vt:lpwstr/>
      </vt:variant>
      <vt:variant>
        <vt:i4>131151</vt:i4>
      </vt:variant>
      <vt:variant>
        <vt:i4>12</vt:i4>
      </vt:variant>
      <vt:variant>
        <vt:i4>0</vt:i4>
      </vt:variant>
      <vt:variant>
        <vt:i4>5</vt:i4>
      </vt:variant>
      <vt:variant>
        <vt:lpwstr>https://www.acma.gov.au/consultations/2021-08/planning-wireless-broadband-use-urban-areas-3400-3475-mhz-band-consultation-312021</vt:lpwstr>
      </vt:variant>
      <vt:variant>
        <vt:lpwstr/>
      </vt:variant>
      <vt:variant>
        <vt:i4>7864375</vt:i4>
      </vt:variant>
      <vt:variant>
        <vt:i4>9</vt:i4>
      </vt:variant>
      <vt:variant>
        <vt:i4>0</vt:i4>
      </vt:variant>
      <vt:variant>
        <vt:i4>5</vt:i4>
      </vt:variant>
      <vt:variant>
        <vt:lpwstr>https://www.acma.gov.au/consultations/2019-08/optimising-3400-3575-mhz-band-consultation-122019</vt:lpwstr>
      </vt:variant>
      <vt:variant>
        <vt:lpwstr/>
      </vt:variant>
      <vt:variant>
        <vt:i4>3997730</vt:i4>
      </vt:variant>
      <vt:variant>
        <vt:i4>6</vt:i4>
      </vt:variant>
      <vt:variant>
        <vt:i4>0</vt:i4>
      </vt:variant>
      <vt:variant>
        <vt:i4>5</vt:i4>
      </vt:variant>
      <vt:variant>
        <vt:lpwstr>http://www.acma.gov.au/</vt:lpwstr>
      </vt:variant>
      <vt:variant>
        <vt:lpwstr/>
      </vt:variant>
      <vt:variant>
        <vt:i4>6946865</vt:i4>
      </vt:variant>
      <vt:variant>
        <vt:i4>3</vt:i4>
      </vt:variant>
      <vt:variant>
        <vt:i4>0</vt:i4>
      </vt:variant>
      <vt:variant>
        <vt:i4>5</vt:i4>
      </vt:variant>
      <vt:variant>
        <vt:lpwstr>http://www.legislation.gov.au/</vt:lpwstr>
      </vt:variant>
      <vt:variant>
        <vt:lpwstr/>
      </vt:variant>
      <vt:variant>
        <vt:i4>7471145</vt:i4>
      </vt:variant>
      <vt:variant>
        <vt:i4>0</vt:i4>
      </vt:variant>
      <vt:variant>
        <vt:i4>0</vt:i4>
      </vt:variant>
      <vt:variant>
        <vt:i4>5</vt:i4>
      </vt:variant>
      <vt:variant>
        <vt:lpwstr>https://www.legislation.gov.au/Details/F2022N00015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Patrick Belton</cp:lastModifiedBy>
  <cp:revision>3</cp:revision>
  <cp:lastPrinted>2016-07-27T03:08:00Z</cp:lastPrinted>
  <dcterms:created xsi:type="dcterms:W3CDTF">2022-07-13T00:44:00Z</dcterms:created>
  <dcterms:modified xsi:type="dcterms:W3CDTF">2022-07-13T00:46:00Z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0x010100D9C8FEBE29DB2A4FA4C0856B7BE6B334</vt:lpwstr>
  </property>
  <property fmtid="{D5CDD505-2E9C-101B-9397-08002B2CF9AE}" pid="3" name="_dlc_DocIdItemGuid">
    <vt:lpwstr>f16ee754-90b0-4beb-947f-379ec3d94164</vt:lpwstr>
  </property>
  <property fmtid="{D5CDD505-2E9C-101B-9397-08002B2CF9AE}" pid="4" name="MediaServiceImageTags">
    <vt:lpwstr/>
  </property>
</Properties>
</file>