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6586C" w14:textId="77777777" w:rsidR="00955175" w:rsidRDefault="00955175" w:rsidP="00E2168B">
      <w:pPr>
        <w:spacing w:before="280" w:after="240"/>
        <w:rPr>
          <w:b/>
          <w:sz w:val="32"/>
          <w:szCs w:val="32"/>
        </w:rPr>
      </w:pPr>
    </w:p>
    <w:p w14:paraId="22EAEE0B" w14:textId="61FD893E" w:rsidR="00955175" w:rsidRPr="00467E93" w:rsidRDefault="00E84379" w:rsidP="00E2168B">
      <w:pPr>
        <w:spacing w:before="280" w:after="240"/>
        <w:rPr>
          <w:b/>
          <w:sz w:val="32"/>
          <w:szCs w:val="32"/>
        </w:rPr>
      </w:pPr>
      <w:r w:rsidRPr="00467E93">
        <w:rPr>
          <w:noProof/>
        </w:rPr>
        <w:drawing>
          <wp:anchor distT="0" distB="0" distL="114300" distR="114300" simplePos="0" relativeHeight="251658240" behindDoc="0" locked="0" layoutInCell="1" allowOverlap="1" wp14:anchorId="014B1300" wp14:editId="39C3239E">
            <wp:simplePos x="0" y="0"/>
            <wp:positionH relativeFrom="margin">
              <wp:align>center</wp:align>
            </wp:positionH>
            <wp:positionV relativeFrom="margin">
              <wp:align>top</wp:align>
            </wp:positionV>
            <wp:extent cx="3542030" cy="746760"/>
            <wp:effectExtent l="0" t="0" r="0" b="0"/>
            <wp:wrapSquare wrapText="bothSides"/>
            <wp:docPr id="3" name="Picture 3"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mmonwealth Coat of Arms and ASIC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29BAE86D" w14:textId="77777777" w:rsidR="00955175" w:rsidRPr="00467E93" w:rsidRDefault="00955175" w:rsidP="00955175">
      <w:pPr>
        <w:pStyle w:val="LI-Title"/>
        <w:pBdr>
          <w:top w:val="none" w:sz="0" w:space="0" w:color="auto"/>
        </w:pBdr>
        <w:jc w:val="center"/>
      </w:pPr>
    </w:p>
    <w:p w14:paraId="02735B91" w14:textId="77777777" w:rsidR="00955175" w:rsidRPr="00467E93" w:rsidRDefault="00955175" w:rsidP="00955175">
      <w:pPr>
        <w:pStyle w:val="LI-Title"/>
        <w:pBdr>
          <w:top w:val="none" w:sz="0" w:space="0" w:color="auto"/>
        </w:pBdr>
        <w:jc w:val="center"/>
      </w:pPr>
      <w:r w:rsidRPr="00467E93">
        <w:t>Explanatory Statement</w:t>
      </w:r>
    </w:p>
    <w:p w14:paraId="1E8C8579" w14:textId="77777777" w:rsidR="00955175" w:rsidRPr="00467E93" w:rsidRDefault="00955175" w:rsidP="00955175">
      <w:pPr>
        <w:rPr>
          <w:lang w:eastAsia="en-AU"/>
        </w:rPr>
      </w:pPr>
    </w:p>
    <w:p w14:paraId="0FE9247E" w14:textId="7F1242D0" w:rsidR="00C74A21" w:rsidRPr="00467E93" w:rsidRDefault="00C74A21" w:rsidP="00C74A21">
      <w:pPr>
        <w:pStyle w:val="LI-BodyTextParaa"/>
        <w:rPr>
          <w:b/>
          <w:i/>
          <w:sz w:val="28"/>
          <w:szCs w:val="28"/>
        </w:rPr>
      </w:pPr>
      <w:bookmarkStart w:id="0" w:name="BK_S3P1L1C1"/>
      <w:bookmarkEnd w:id="0"/>
      <w:r w:rsidRPr="00467E93">
        <w:rPr>
          <w:b/>
          <w:i/>
          <w:sz w:val="28"/>
          <w:szCs w:val="28"/>
        </w:rPr>
        <w:t>ASIC Corporations (Product Intervention Order—</w:t>
      </w:r>
      <w:r w:rsidR="00F76EBE" w:rsidRPr="00467E93">
        <w:rPr>
          <w:b/>
          <w:i/>
          <w:sz w:val="28"/>
          <w:szCs w:val="28"/>
        </w:rPr>
        <w:t>Continuing Credit Contracts</w:t>
      </w:r>
      <w:r w:rsidRPr="00467E93">
        <w:rPr>
          <w:b/>
          <w:i/>
          <w:sz w:val="28"/>
          <w:szCs w:val="28"/>
        </w:rPr>
        <w:t xml:space="preserve">) Instrument </w:t>
      </w:r>
      <w:r w:rsidR="001532EC" w:rsidRPr="00467E93">
        <w:rPr>
          <w:b/>
          <w:i/>
          <w:sz w:val="28"/>
          <w:szCs w:val="28"/>
        </w:rPr>
        <w:t>2022/648</w:t>
      </w:r>
    </w:p>
    <w:p w14:paraId="7E299C5C" w14:textId="04C7977A" w:rsidR="00863657" w:rsidRPr="00467E93" w:rsidRDefault="00F800C9" w:rsidP="00F800C9">
      <w:pPr>
        <w:pStyle w:val="LI-BodyTextParaa"/>
        <w:ind w:left="0" w:firstLine="0"/>
      </w:pPr>
      <w:r w:rsidRPr="00467E93">
        <w:t xml:space="preserve">This is the Explanatory Statement for </w:t>
      </w:r>
      <w:bookmarkStart w:id="1" w:name="_Hlk17120889"/>
      <w:r w:rsidR="00C74A21" w:rsidRPr="00467E93">
        <w:t>ASIC Corporations (Product Intervention Order—</w:t>
      </w:r>
      <w:r w:rsidR="00F76EBE" w:rsidRPr="00467E93">
        <w:t>Continuing Credit Contracts</w:t>
      </w:r>
      <w:r w:rsidR="00C74A21" w:rsidRPr="00467E93">
        <w:t xml:space="preserve">) Instrument </w:t>
      </w:r>
      <w:bookmarkEnd w:id="1"/>
      <w:r w:rsidR="001532EC" w:rsidRPr="00467E93">
        <w:t xml:space="preserve">2022/648 </w:t>
      </w:r>
      <w:r w:rsidR="004D0A46" w:rsidRPr="00467E93">
        <w:t xml:space="preserve">(the </w:t>
      </w:r>
      <w:r w:rsidR="004D0A46" w:rsidRPr="00467E93">
        <w:rPr>
          <w:b/>
          <w:i/>
        </w:rPr>
        <w:t>instrument</w:t>
      </w:r>
      <w:r w:rsidR="004D0A46" w:rsidRPr="00467E93">
        <w:t>)</w:t>
      </w:r>
      <w:r w:rsidR="00C74A21" w:rsidRPr="00467E93">
        <w:t xml:space="preserve">. </w:t>
      </w:r>
    </w:p>
    <w:p w14:paraId="1D60642B" w14:textId="77777777" w:rsidR="00F800C9" w:rsidRPr="00467E93" w:rsidRDefault="00863657" w:rsidP="00F800C9">
      <w:pPr>
        <w:pStyle w:val="LI-BodyTextParaa"/>
        <w:ind w:left="0" w:firstLine="0"/>
      </w:pPr>
      <w:r w:rsidRPr="00467E93">
        <w:t>Th</w:t>
      </w:r>
      <w:r w:rsidR="00F800C9" w:rsidRPr="00467E93">
        <w:t>e</w:t>
      </w:r>
      <w:r w:rsidRPr="00467E93">
        <w:t xml:space="preserve"> </w:t>
      </w:r>
      <w:r w:rsidR="00F800C9" w:rsidRPr="00467E93">
        <w:t>Explanatory Statement is approved by the Australian Securities and Investments Commission (</w:t>
      </w:r>
      <w:r w:rsidR="00F800C9" w:rsidRPr="00467E93">
        <w:rPr>
          <w:b/>
          <w:i/>
        </w:rPr>
        <w:t>ASIC</w:t>
      </w:r>
      <w:r w:rsidR="00F800C9" w:rsidRPr="00467E93">
        <w:t>).</w:t>
      </w:r>
    </w:p>
    <w:p w14:paraId="15EF8B15" w14:textId="77777777" w:rsidR="00F800C9" w:rsidRPr="00467E93" w:rsidRDefault="005D1FEA" w:rsidP="00F800C9">
      <w:pPr>
        <w:pStyle w:val="LI-BodyTextNumbered"/>
        <w:ind w:left="0" w:firstLine="0"/>
        <w:rPr>
          <w:b/>
        </w:rPr>
      </w:pPr>
      <w:r w:rsidRPr="00467E93">
        <w:rPr>
          <w:b/>
        </w:rPr>
        <w:t>Summary</w:t>
      </w:r>
    </w:p>
    <w:p w14:paraId="54928E50" w14:textId="0F5BD745" w:rsidR="002A251A" w:rsidRPr="00467E93" w:rsidRDefault="38160F06" w:rsidP="00A07DE8">
      <w:pPr>
        <w:pStyle w:val="LI-BodyTextParaa"/>
        <w:numPr>
          <w:ilvl w:val="0"/>
          <w:numId w:val="17"/>
        </w:numPr>
      </w:pPr>
      <w:r w:rsidRPr="00467E93">
        <w:t xml:space="preserve">This instrument is a product intervention order made under Part 7.9A of the </w:t>
      </w:r>
      <w:r w:rsidRPr="00467E93">
        <w:rPr>
          <w:i/>
          <w:iCs/>
        </w:rPr>
        <w:t>Corporations Act 2001</w:t>
      </w:r>
      <w:r w:rsidRPr="00467E93">
        <w:t xml:space="preserve"> (the </w:t>
      </w:r>
      <w:r w:rsidRPr="00467E93">
        <w:rPr>
          <w:b/>
          <w:bCs/>
          <w:i/>
          <w:iCs/>
        </w:rPr>
        <w:t>Act</w:t>
      </w:r>
      <w:r w:rsidRPr="00467E93">
        <w:t xml:space="preserve">). </w:t>
      </w:r>
      <w:bookmarkStart w:id="2" w:name="_Hlk101531610"/>
      <w:r w:rsidRPr="00467E93">
        <w:t xml:space="preserve">The instrument prohibits </w:t>
      </w:r>
      <w:r w:rsidR="79A1A835" w:rsidRPr="00467E93">
        <w:t>continuing credit providers</w:t>
      </w:r>
      <w:r w:rsidR="495625D2" w:rsidRPr="00467E93">
        <w:t xml:space="preserve">, </w:t>
      </w:r>
      <w:r w:rsidR="015F185C" w:rsidRPr="00467E93">
        <w:t xml:space="preserve">their </w:t>
      </w:r>
      <w:r w:rsidRPr="00467E93">
        <w:t xml:space="preserve">directors </w:t>
      </w:r>
      <w:r w:rsidR="015F185C" w:rsidRPr="00467E93">
        <w:t xml:space="preserve">and </w:t>
      </w:r>
      <w:r w:rsidR="584A7A66" w:rsidRPr="00467E93">
        <w:t>associates</w:t>
      </w:r>
      <w:r w:rsidRPr="00467E93">
        <w:t xml:space="preserve"> from </w:t>
      </w:r>
      <w:r w:rsidR="38776187" w:rsidRPr="00467E93">
        <w:t>causing</w:t>
      </w:r>
      <w:r w:rsidR="7A27480A" w:rsidRPr="00467E93">
        <w:t xml:space="preserve">, </w:t>
      </w:r>
      <w:r w:rsidR="38776187" w:rsidRPr="00467E93">
        <w:t xml:space="preserve">authorising or </w:t>
      </w:r>
      <w:r w:rsidR="349ECFD6" w:rsidRPr="00467E93">
        <w:t>providing</w:t>
      </w:r>
      <w:r w:rsidR="38776187" w:rsidRPr="00467E93">
        <w:t xml:space="preserve"> credit to a retail client</w:t>
      </w:r>
      <w:r w:rsidR="7A27480A" w:rsidRPr="00467E93">
        <w:t>,</w:t>
      </w:r>
      <w:r w:rsidR="32F6E8A9" w:rsidRPr="00467E93">
        <w:t xml:space="preserve"> and</w:t>
      </w:r>
      <w:r w:rsidR="02053EB8" w:rsidRPr="00467E93">
        <w:t xml:space="preserve"> imposing or providing for </w:t>
      </w:r>
      <w:r w:rsidR="15EA289C" w:rsidRPr="00467E93">
        <w:t>certain</w:t>
      </w:r>
      <w:r w:rsidR="02053EB8" w:rsidRPr="00467E93">
        <w:t xml:space="preserve"> fees and charges </w:t>
      </w:r>
      <w:r w:rsidR="25F39F30" w:rsidRPr="00467E93">
        <w:t>paid or payable by</w:t>
      </w:r>
      <w:r w:rsidR="02053EB8" w:rsidRPr="00467E93">
        <w:t xml:space="preserve"> a </w:t>
      </w:r>
      <w:r w:rsidR="25F39F30" w:rsidRPr="00467E93">
        <w:t>retail client</w:t>
      </w:r>
      <w:r w:rsidR="7A27480A" w:rsidRPr="00467E93">
        <w:t>,</w:t>
      </w:r>
      <w:r w:rsidR="02053EB8" w:rsidRPr="00467E93">
        <w:t xml:space="preserve"> in relation to</w:t>
      </w:r>
      <w:r w:rsidR="349ECFD6" w:rsidRPr="00467E93">
        <w:t xml:space="preserve"> </w:t>
      </w:r>
      <w:r w:rsidR="79A1A835" w:rsidRPr="00467E93">
        <w:t xml:space="preserve">a class of financial products </w:t>
      </w:r>
      <w:r w:rsidR="1CAE5D92" w:rsidRPr="00467E93">
        <w:t xml:space="preserve">(as set out in paragraph </w:t>
      </w:r>
      <w:r w:rsidR="00DA1933" w:rsidRPr="00467E93">
        <w:fldChar w:fldCharType="begin"/>
      </w:r>
      <w:r w:rsidR="00DA1933" w:rsidRPr="00467E93">
        <w:instrText xml:space="preserve"> REF _Ref100650166 \r \h  \* MERGEFORMAT </w:instrText>
      </w:r>
      <w:r w:rsidR="00DA1933" w:rsidRPr="00467E93">
        <w:fldChar w:fldCharType="separate"/>
      </w:r>
      <w:r w:rsidR="1CAE5D92" w:rsidRPr="00467E93">
        <w:t>7</w:t>
      </w:r>
      <w:r w:rsidR="00DA1933" w:rsidRPr="00467E93">
        <w:fldChar w:fldCharType="end"/>
      </w:r>
      <w:r w:rsidR="1CAE5D92" w:rsidRPr="00467E93">
        <w:t xml:space="preserve"> below)</w:t>
      </w:r>
      <w:r w:rsidR="5EE9555C" w:rsidRPr="00467E93">
        <w:t xml:space="preserve">, </w:t>
      </w:r>
      <w:r w:rsidR="79A1A835" w:rsidRPr="00467E93">
        <w:t>that ASIC is satisfied</w:t>
      </w:r>
      <w:r w:rsidR="16178971" w:rsidRPr="00467E93">
        <w:t>:</w:t>
      </w:r>
    </w:p>
    <w:p w14:paraId="550AA42B" w14:textId="1FB4F4B9" w:rsidR="002A251A" w:rsidRPr="00467E93" w:rsidRDefault="002A251A" w:rsidP="002A251A">
      <w:pPr>
        <w:pStyle w:val="LI-BodyTextParaa"/>
        <w:numPr>
          <w:ilvl w:val="1"/>
          <w:numId w:val="17"/>
        </w:numPr>
      </w:pPr>
      <w:r w:rsidRPr="00467E93">
        <w:t>is likely</w:t>
      </w:r>
      <w:r w:rsidR="001532EC" w:rsidRPr="00467E93">
        <w:t xml:space="preserve"> </w:t>
      </w:r>
      <w:r w:rsidRPr="00467E93">
        <w:t xml:space="preserve">to be available for acquisition by issue to persons as retail clients; and </w:t>
      </w:r>
    </w:p>
    <w:p w14:paraId="21B766B8" w14:textId="1B1A0CC3" w:rsidR="00F800C9" w:rsidRPr="00B43F06" w:rsidRDefault="00DE1B7F">
      <w:pPr>
        <w:pStyle w:val="LI-BodyTextParaa"/>
        <w:numPr>
          <w:ilvl w:val="1"/>
          <w:numId w:val="17"/>
        </w:numPr>
      </w:pPr>
      <w:r w:rsidRPr="00DD1784">
        <w:t xml:space="preserve"> </w:t>
      </w:r>
      <w:r w:rsidR="00DA1933" w:rsidRPr="00DD1784">
        <w:t xml:space="preserve">has resulted in, </w:t>
      </w:r>
      <w:r w:rsidR="00175889" w:rsidRPr="00DD1784">
        <w:t>and</w:t>
      </w:r>
      <w:r w:rsidR="00DA1933" w:rsidRPr="00DD1784">
        <w:t xml:space="preserve"> is likely to</w:t>
      </w:r>
      <w:r w:rsidR="00DA1933" w:rsidRPr="00B43F06">
        <w:t xml:space="preserve"> result in</w:t>
      </w:r>
      <w:r w:rsidR="009C451F">
        <w:t>,</w:t>
      </w:r>
      <w:r w:rsidR="00DA1933" w:rsidRPr="00B43F06">
        <w:t xml:space="preserve"> significant detriment to retail clients.</w:t>
      </w:r>
      <w:r w:rsidR="0049153F" w:rsidRPr="00B43F06">
        <w:t xml:space="preserve"> </w:t>
      </w:r>
    </w:p>
    <w:bookmarkEnd w:id="2"/>
    <w:p w14:paraId="13EC5C44" w14:textId="77777777" w:rsidR="000B7E99" w:rsidRPr="000B7E99" w:rsidRDefault="000B7E99" w:rsidP="000B7E99">
      <w:pPr>
        <w:shd w:val="clear" w:color="auto" w:fill="FFFFFF"/>
        <w:spacing w:before="240" w:line="240" w:lineRule="auto"/>
        <w:rPr>
          <w:rFonts w:eastAsia="Times New Roman"/>
          <w:color w:val="000000"/>
          <w:szCs w:val="22"/>
          <w:lang w:eastAsia="en-AU"/>
        </w:rPr>
      </w:pPr>
      <w:r w:rsidRPr="000B7E99">
        <w:rPr>
          <w:rFonts w:eastAsia="Times New Roman"/>
          <w:b/>
          <w:bCs/>
          <w:color w:val="000000"/>
          <w:sz w:val="24"/>
          <w:szCs w:val="24"/>
          <w:lang w:eastAsia="en-AU"/>
        </w:rPr>
        <w:t>Legislative authority</w:t>
      </w:r>
    </w:p>
    <w:p w14:paraId="6D9C51C0" w14:textId="77777777" w:rsidR="000B7E99" w:rsidRPr="000B7E99" w:rsidRDefault="000B7E99" w:rsidP="00A07DE8">
      <w:pPr>
        <w:pStyle w:val="LI-BodyTextParaa"/>
        <w:numPr>
          <w:ilvl w:val="0"/>
          <w:numId w:val="17"/>
        </w:numPr>
      </w:pPr>
      <w:r w:rsidRPr="000B7E99">
        <w:t>The instrument is made under subsection 1023D(3) of the Act</w:t>
      </w:r>
      <w:r w:rsidR="00A07DE8" w:rsidRPr="00A07DE8">
        <w:t>.</w:t>
      </w:r>
      <w:r w:rsidRPr="000B7E99">
        <w:rPr>
          <w:i/>
          <w:iCs/>
        </w:rPr>
        <w:t xml:space="preserve"> </w:t>
      </w:r>
    </w:p>
    <w:p w14:paraId="20F923AB" w14:textId="77777777" w:rsidR="000B7E99" w:rsidRPr="000B7E99" w:rsidRDefault="000B7E99" w:rsidP="00A07DE8">
      <w:pPr>
        <w:pStyle w:val="LI-BodyTextParaa"/>
        <w:numPr>
          <w:ilvl w:val="0"/>
          <w:numId w:val="17"/>
        </w:numPr>
      </w:pPr>
      <w:r w:rsidRPr="000B7E99">
        <w:t>Under subsection 1023D(3) of the Act, if ASIC is satisfied that a class of financial product:</w:t>
      </w:r>
    </w:p>
    <w:p w14:paraId="10DA26C6" w14:textId="77777777" w:rsidR="000B7E99" w:rsidRPr="000B7E99" w:rsidRDefault="000B7E99" w:rsidP="00A07DE8">
      <w:pPr>
        <w:pStyle w:val="LI-BodyTextParaa"/>
        <w:numPr>
          <w:ilvl w:val="1"/>
          <w:numId w:val="17"/>
        </w:numPr>
      </w:pPr>
      <w:r w:rsidRPr="000B7E99">
        <w:t>is, or is likely to be, available for acquisition by issue, or for regulated sale, to persons as retail clients (whether or not it also is, or is likely to be, available for acquisition by persons as wholesale clients); and</w:t>
      </w:r>
    </w:p>
    <w:p w14:paraId="1C0E30A1" w14:textId="77777777" w:rsidR="000B7E99" w:rsidRPr="000B7E99" w:rsidRDefault="000B7E99" w:rsidP="00A07DE8">
      <w:pPr>
        <w:pStyle w:val="LI-BodyTextParaa"/>
        <w:numPr>
          <w:ilvl w:val="1"/>
          <w:numId w:val="17"/>
        </w:numPr>
      </w:pPr>
      <w:r w:rsidRPr="000B7E99">
        <w:t>has resulted in, or will or is likely to result in, significant detriment to retail clients;</w:t>
      </w:r>
    </w:p>
    <w:p w14:paraId="676C5AE4" w14:textId="1E3B77AE" w:rsidR="000B7E99" w:rsidRDefault="000B7E99" w:rsidP="00A07DE8">
      <w:pPr>
        <w:pStyle w:val="LI-BodyTextParaa"/>
        <w:ind w:left="720" w:firstLine="0"/>
      </w:pPr>
      <w:r w:rsidRPr="000B7E99">
        <w:lastRenderedPageBreak/>
        <w:t>ASIC may, by legislative instrument, order that a person must not engage in specified conduct in relation to the class of financial products, either entirely or except in accordance with conditions specified in the order.</w:t>
      </w:r>
    </w:p>
    <w:p w14:paraId="60887FE1" w14:textId="77777777" w:rsidR="00DE1B7F" w:rsidRPr="00EB0BDE" w:rsidRDefault="00DE1B7F" w:rsidP="00DE1B7F">
      <w:pPr>
        <w:pStyle w:val="LI-BodyTextParaa"/>
        <w:numPr>
          <w:ilvl w:val="0"/>
          <w:numId w:val="17"/>
        </w:numPr>
      </w:pPr>
      <w:r w:rsidRPr="00EB0BDE">
        <w:t>ASIC is satisfied that the class of financial products to which the instrument applies:</w:t>
      </w:r>
    </w:p>
    <w:p w14:paraId="6F9EB327" w14:textId="3F113A10" w:rsidR="00DE1B7F" w:rsidRPr="00B43F06" w:rsidRDefault="00DE1B7F" w:rsidP="00DE1B7F">
      <w:pPr>
        <w:pStyle w:val="LI-BodyTextParaa"/>
        <w:numPr>
          <w:ilvl w:val="1"/>
          <w:numId w:val="17"/>
        </w:numPr>
      </w:pPr>
      <w:r w:rsidRPr="00B43F06">
        <w:t>is likely</w:t>
      </w:r>
      <w:r w:rsidRPr="001532EC">
        <w:t xml:space="preserve"> to be available for acquisition by issue to persons as retail clients; and </w:t>
      </w:r>
    </w:p>
    <w:p w14:paraId="6A6B0B20" w14:textId="11E84575" w:rsidR="00DE1B7F" w:rsidRPr="00B43F06" w:rsidRDefault="00DE1B7F">
      <w:pPr>
        <w:pStyle w:val="LI-BodyTextParaa"/>
        <w:numPr>
          <w:ilvl w:val="1"/>
          <w:numId w:val="17"/>
        </w:numPr>
      </w:pPr>
      <w:r w:rsidRPr="00B43F06">
        <w:t>has resulted in, and is likely to</w:t>
      </w:r>
      <w:r w:rsidRPr="00977D14">
        <w:t xml:space="preserve"> result in</w:t>
      </w:r>
      <w:r w:rsidR="005946DC">
        <w:t>,</w:t>
      </w:r>
      <w:r w:rsidRPr="00977D14">
        <w:t xml:space="preserve"> significant detriment to retail clients. </w:t>
      </w:r>
    </w:p>
    <w:p w14:paraId="42E7C4D4" w14:textId="77777777" w:rsidR="000B7E99" w:rsidRPr="000B7E99" w:rsidRDefault="000B7E99" w:rsidP="00A07DE8">
      <w:pPr>
        <w:pStyle w:val="LI-BodyTextParaa"/>
        <w:numPr>
          <w:ilvl w:val="0"/>
          <w:numId w:val="17"/>
        </w:numPr>
      </w:pPr>
      <w:r w:rsidRPr="00977D14">
        <w:t xml:space="preserve">A description of the significant detriment is set out in </w:t>
      </w:r>
      <w:r w:rsidRPr="00977D14">
        <w:rPr>
          <w:u w:val="single"/>
        </w:rPr>
        <w:t>Attachment A</w:t>
      </w:r>
      <w:r w:rsidRPr="00977D14">
        <w:t>, the</w:t>
      </w:r>
      <w:r w:rsidRPr="000B7E99">
        <w:t xml:space="preserve"> Product Intervention Order Notice.</w:t>
      </w:r>
    </w:p>
    <w:p w14:paraId="5076D75A" w14:textId="77777777" w:rsidR="000B7E99" w:rsidRPr="00A07DE8" w:rsidRDefault="000B7E99" w:rsidP="00A07DE8">
      <w:pPr>
        <w:pStyle w:val="LI-BodyTextParaa"/>
        <w:numPr>
          <w:ilvl w:val="0"/>
          <w:numId w:val="17"/>
        </w:numPr>
      </w:pPr>
      <w:r w:rsidRPr="000B7E99">
        <w:t>The instrument is a disallowable legislative instrument.</w:t>
      </w:r>
    </w:p>
    <w:p w14:paraId="7A306578" w14:textId="77777777" w:rsidR="005D1FEA" w:rsidRPr="00A07DE8" w:rsidRDefault="005D1FEA" w:rsidP="00A07DE8">
      <w:pPr>
        <w:shd w:val="clear" w:color="auto" w:fill="FFFFFF"/>
        <w:spacing w:before="240" w:line="240" w:lineRule="auto"/>
      </w:pPr>
      <w:r w:rsidRPr="00A07DE8">
        <w:rPr>
          <w:rFonts w:eastAsia="Times New Roman"/>
          <w:b/>
          <w:bCs/>
          <w:color w:val="000000"/>
          <w:sz w:val="24"/>
          <w:szCs w:val="24"/>
          <w:lang w:eastAsia="en-AU"/>
        </w:rPr>
        <w:t>Purpose of the instrument</w:t>
      </w:r>
    </w:p>
    <w:p w14:paraId="15204E85" w14:textId="77777777" w:rsidR="002379A5" w:rsidRDefault="00E813E8" w:rsidP="00A07DE8">
      <w:pPr>
        <w:pStyle w:val="LI-BodyTextParaa"/>
        <w:numPr>
          <w:ilvl w:val="0"/>
          <w:numId w:val="17"/>
        </w:numPr>
      </w:pPr>
      <w:bookmarkStart w:id="3" w:name="_Ref100650166"/>
      <w:r>
        <w:t>The purpose of this instrument</w:t>
      </w:r>
      <w:r w:rsidR="006A0012" w:rsidRPr="00695069">
        <w:t xml:space="preserve"> </w:t>
      </w:r>
      <w:r w:rsidR="00886235">
        <w:t xml:space="preserve">is </w:t>
      </w:r>
      <w:r w:rsidR="006A0012" w:rsidRPr="00695069">
        <w:t xml:space="preserve">to </w:t>
      </w:r>
      <w:r>
        <w:t>reduce the risk of</w:t>
      </w:r>
      <w:r w:rsidR="006A0012" w:rsidRPr="00695069">
        <w:t xml:space="preserve"> significant detriment </w:t>
      </w:r>
      <w:r>
        <w:t xml:space="preserve">to retail clients resulting from </w:t>
      </w:r>
      <w:r w:rsidR="00376EBD">
        <w:t>a class of financial products that</w:t>
      </w:r>
      <w:r w:rsidR="00EF48BC">
        <w:t xml:space="preserve"> consists of continuing credit contracts </w:t>
      </w:r>
      <w:r w:rsidR="002379A5">
        <w:t>where the continuing credit contract is provided:</w:t>
      </w:r>
    </w:p>
    <w:p w14:paraId="6E76937C" w14:textId="1725E23F" w:rsidR="0063185E" w:rsidRDefault="002379A5" w:rsidP="00EB0BDE">
      <w:pPr>
        <w:pStyle w:val="LI-BodyTextParaa"/>
        <w:numPr>
          <w:ilvl w:val="1"/>
          <w:numId w:val="17"/>
        </w:numPr>
      </w:pPr>
      <w:r>
        <w:t>by the continuing credit provider to a retail client; and</w:t>
      </w:r>
    </w:p>
    <w:p w14:paraId="255FE720" w14:textId="01FF8C1C" w:rsidR="0057000D" w:rsidRDefault="00EF48BC">
      <w:pPr>
        <w:pStyle w:val="LI-BodyTextParaa"/>
        <w:numPr>
          <w:ilvl w:val="1"/>
          <w:numId w:val="17"/>
        </w:numPr>
      </w:pPr>
      <w:r>
        <w:t xml:space="preserve">in conjunction with a </w:t>
      </w:r>
      <w:r w:rsidR="002379A5">
        <w:t xml:space="preserve">separate </w:t>
      </w:r>
      <w:r>
        <w:t xml:space="preserve">collateral </w:t>
      </w:r>
      <w:r w:rsidR="00C5179B">
        <w:t>contract</w:t>
      </w:r>
      <w:r w:rsidR="002379A5">
        <w:t xml:space="preserve"> (othe</w:t>
      </w:r>
      <w:r w:rsidR="00C5179B">
        <w:t xml:space="preserve">r </w:t>
      </w:r>
      <w:r w:rsidR="002379A5">
        <w:t xml:space="preserve">than a collateral non-cash payment facility) between the </w:t>
      </w:r>
      <w:r>
        <w:t>retail client</w:t>
      </w:r>
      <w:r w:rsidR="002379A5">
        <w:t xml:space="preserve"> and an associate of the credit provider, pursuant to which the associate charges significant </w:t>
      </w:r>
      <w:r>
        <w:t>fees</w:t>
      </w:r>
      <w:r w:rsidR="002379A5">
        <w:t xml:space="preserve"> or other </w:t>
      </w:r>
      <w:r>
        <w:t>charges</w:t>
      </w:r>
      <w:r w:rsidR="002379A5">
        <w:t xml:space="preserve">; </w:t>
      </w:r>
    </w:p>
    <w:p w14:paraId="6986E359" w14:textId="3072769C" w:rsidR="00805E48" w:rsidRDefault="002379A5" w:rsidP="00EB0BDE">
      <w:pPr>
        <w:pStyle w:val="LI-BodyTextParaa"/>
        <w:ind w:left="938" w:firstLine="0"/>
      </w:pPr>
      <w:r>
        <w:t>but</w:t>
      </w:r>
      <w:r w:rsidR="0057000D">
        <w:t xml:space="preserve"> </w:t>
      </w:r>
      <w:r w:rsidR="0057000D" w:rsidRPr="00EB0BDE">
        <w:t>that</w:t>
      </w:r>
      <w:r>
        <w:t xml:space="preserve"> does not include a continuing credit contract that forms part of a buy now pay later arrangement</w:t>
      </w:r>
      <w:r w:rsidR="00805E48">
        <w:t>.</w:t>
      </w:r>
    </w:p>
    <w:p w14:paraId="704E1606" w14:textId="77777777" w:rsidR="005D1FEA" w:rsidRPr="00280068" w:rsidRDefault="005D1FEA" w:rsidP="00CE541A">
      <w:pPr>
        <w:pStyle w:val="LI-BodyTextNumbered"/>
        <w:ind w:hanging="1134"/>
        <w:rPr>
          <w:b/>
        </w:rPr>
      </w:pPr>
      <w:bookmarkStart w:id="4" w:name="_Hlk534291624"/>
      <w:bookmarkEnd w:id="3"/>
      <w:r w:rsidRPr="00280068">
        <w:rPr>
          <w:b/>
        </w:rPr>
        <w:t>Operation of the instrument</w:t>
      </w:r>
    </w:p>
    <w:p w14:paraId="7EAFE92D" w14:textId="77777777" w:rsidR="006E554A" w:rsidRPr="00A014BD" w:rsidRDefault="006E554A" w:rsidP="006E554A">
      <w:pPr>
        <w:pStyle w:val="LI-BodyTextParaa"/>
        <w:ind w:left="0" w:firstLine="0"/>
        <w:rPr>
          <w:b/>
          <w:bCs/>
          <w:i/>
          <w:iCs/>
        </w:rPr>
      </w:pPr>
      <w:r w:rsidRPr="00A014BD">
        <w:rPr>
          <w:b/>
          <w:bCs/>
          <w:i/>
          <w:iCs/>
        </w:rPr>
        <w:t xml:space="preserve">Name </w:t>
      </w:r>
    </w:p>
    <w:p w14:paraId="3D914D12" w14:textId="4D17EC78" w:rsidR="006E554A" w:rsidRPr="00D8740B" w:rsidRDefault="006E554A" w:rsidP="006E554A">
      <w:pPr>
        <w:pStyle w:val="LI-BodyTextParaa"/>
        <w:numPr>
          <w:ilvl w:val="0"/>
          <w:numId w:val="17"/>
        </w:numPr>
      </w:pPr>
      <w:r w:rsidRPr="001532EC">
        <w:t xml:space="preserve">Section 1 of the instrument provides that the instrument is </w:t>
      </w:r>
      <w:r w:rsidRPr="00D8740B">
        <w:rPr>
          <w:i/>
          <w:iCs/>
        </w:rPr>
        <w:t>ASIC Corporations (Product Intervention Order—Continuing Credit Contracts) Instrum</w:t>
      </w:r>
      <w:r w:rsidRPr="001532EC">
        <w:rPr>
          <w:i/>
        </w:rPr>
        <w:t xml:space="preserve">ent </w:t>
      </w:r>
      <w:r w:rsidR="00904F35" w:rsidRPr="001532EC">
        <w:rPr>
          <w:i/>
        </w:rPr>
        <w:t>2022/</w:t>
      </w:r>
      <w:r w:rsidR="001532EC" w:rsidRPr="001532EC">
        <w:rPr>
          <w:i/>
        </w:rPr>
        <w:t>648</w:t>
      </w:r>
      <w:r w:rsidRPr="00B43F06">
        <w:rPr>
          <w:i/>
          <w:iCs/>
        </w:rPr>
        <w:t>.</w:t>
      </w:r>
      <w:r w:rsidRPr="001532EC">
        <w:rPr>
          <w:i/>
          <w:iCs/>
        </w:rPr>
        <w:t xml:space="preserve"> </w:t>
      </w:r>
    </w:p>
    <w:p w14:paraId="0A4690C5" w14:textId="77777777" w:rsidR="006E554A" w:rsidRPr="00A014BD" w:rsidRDefault="006E554A" w:rsidP="006E554A">
      <w:pPr>
        <w:pStyle w:val="LI-BodyTextParaa"/>
        <w:ind w:left="0" w:firstLine="0"/>
        <w:rPr>
          <w:b/>
          <w:bCs/>
          <w:i/>
          <w:iCs/>
        </w:rPr>
      </w:pPr>
      <w:r w:rsidRPr="00A014BD">
        <w:rPr>
          <w:b/>
          <w:bCs/>
          <w:i/>
          <w:iCs/>
        </w:rPr>
        <w:t xml:space="preserve">Commencement </w:t>
      </w:r>
    </w:p>
    <w:p w14:paraId="502C9840" w14:textId="0A5CB8F7" w:rsidR="006E554A" w:rsidRDefault="006E554A" w:rsidP="006E554A">
      <w:pPr>
        <w:pStyle w:val="LI-BodyTextParaa"/>
        <w:numPr>
          <w:ilvl w:val="0"/>
          <w:numId w:val="17"/>
        </w:numPr>
      </w:pPr>
      <w:r>
        <w:t xml:space="preserve">Section 2 of the instrument provides that the instrument commences on a day that is the </w:t>
      </w:r>
      <w:r w:rsidR="00D8740B">
        <w:t xml:space="preserve">second </w:t>
      </w:r>
      <w:r>
        <w:t xml:space="preserve">day after the instrument is registered on the Federal Register of Legislation. </w:t>
      </w:r>
    </w:p>
    <w:p w14:paraId="59D9C26A" w14:textId="77777777" w:rsidR="003525CA" w:rsidRPr="00A014BD" w:rsidRDefault="003525CA" w:rsidP="003525CA">
      <w:pPr>
        <w:pStyle w:val="LI-BodyTextParaa"/>
        <w:ind w:left="0" w:firstLine="0"/>
        <w:rPr>
          <w:b/>
          <w:bCs/>
          <w:i/>
          <w:iCs/>
        </w:rPr>
      </w:pPr>
      <w:r w:rsidRPr="00A014BD">
        <w:rPr>
          <w:b/>
          <w:bCs/>
          <w:i/>
          <w:iCs/>
        </w:rPr>
        <w:t xml:space="preserve">Duration </w:t>
      </w:r>
    </w:p>
    <w:p w14:paraId="12043D51" w14:textId="03B48B77" w:rsidR="003525CA" w:rsidRDefault="0FC3E5F2" w:rsidP="006E554A">
      <w:pPr>
        <w:pStyle w:val="LI-BodyTextParaa"/>
        <w:numPr>
          <w:ilvl w:val="0"/>
          <w:numId w:val="17"/>
        </w:numPr>
      </w:pPr>
      <w:r>
        <w:t>Subsection 1023G(2) of the Act provides that a product intervention order remain</w:t>
      </w:r>
      <w:r w:rsidR="6A22CF47">
        <w:t>s</w:t>
      </w:r>
      <w:r>
        <w:t xml:space="preserve"> in force for 18 months or any shorter period specified by the </w:t>
      </w:r>
      <w:proofErr w:type="gramStart"/>
      <w:r>
        <w:t>regulations</w:t>
      </w:r>
      <w:proofErr w:type="gramEnd"/>
      <w:r>
        <w:t xml:space="preserve"> or any </w:t>
      </w:r>
      <w:r>
        <w:lastRenderedPageBreak/>
        <w:t>shorter period specified in the order. No relevant shorter period ha</w:t>
      </w:r>
      <w:r w:rsidR="092053A3">
        <w:t>s</w:t>
      </w:r>
      <w:r>
        <w:t xml:space="preserve"> been specified in the regulations or order. </w:t>
      </w:r>
    </w:p>
    <w:p w14:paraId="47B119FA" w14:textId="694CCDD1" w:rsidR="00C46FC6" w:rsidRDefault="00C46FC6" w:rsidP="006E554A">
      <w:pPr>
        <w:pStyle w:val="LI-BodyTextParaa"/>
        <w:numPr>
          <w:ilvl w:val="0"/>
          <w:numId w:val="17"/>
        </w:numPr>
      </w:pPr>
      <w:r w:rsidRPr="00C46FC6">
        <w:t>The instrument remains in force for 18 months</w:t>
      </w:r>
      <w:r w:rsidR="003525CA">
        <w:t xml:space="preserve">. </w:t>
      </w:r>
      <w:r w:rsidRPr="00C46FC6">
        <w:t xml:space="preserve">The duration of the instrument may be extended beyond 18 months but only in accordance with section 1023H of the Act (which requires a declaration, by legislative instrument, and written approval by the Minister).    </w:t>
      </w:r>
    </w:p>
    <w:p w14:paraId="27A2BDE6" w14:textId="77777777" w:rsidR="00252EE3" w:rsidRDefault="00252EE3" w:rsidP="006E554A">
      <w:pPr>
        <w:pStyle w:val="LI-BodyTextParaa"/>
        <w:ind w:left="0" w:firstLine="0"/>
        <w:rPr>
          <w:b/>
          <w:bCs/>
          <w:i/>
          <w:iCs/>
        </w:rPr>
      </w:pPr>
      <w:r>
        <w:rPr>
          <w:b/>
          <w:bCs/>
          <w:i/>
          <w:iCs/>
        </w:rPr>
        <w:t>Legislative instrument and primary legislation</w:t>
      </w:r>
    </w:p>
    <w:p w14:paraId="64934131" w14:textId="77777777" w:rsidR="00252EE3" w:rsidRDefault="00252EE3" w:rsidP="00252EE3">
      <w:pPr>
        <w:pStyle w:val="LI-BodyTextParaa"/>
        <w:numPr>
          <w:ilvl w:val="0"/>
          <w:numId w:val="17"/>
        </w:numPr>
      </w:pPr>
      <w:r w:rsidRPr="00EB0BDE">
        <w:t xml:space="preserve"> The </w:t>
      </w:r>
      <w:r>
        <w:t>subject matter and policy implemented by this instrument is more appropriate for a legislative instrument rather than primary legislation because:</w:t>
      </w:r>
    </w:p>
    <w:p w14:paraId="38371C0D" w14:textId="60B28E66" w:rsidR="00252EE3" w:rsidRDefault="00252EE3" w:rsidP="00252EE3">
      <w:pPr>
        <w:pStyle w:val="LI-BodyTextParaa"/>
        <w:numPr>
          <w:ilvl w:val="1"/>
          <w:numId w:val="17"/>
        </w:numPr>
      </w:pPr>
      <w:r>
        <w:t xml:space="preserve"> the instrument utilises specific powers given to ASIC by Parliament that are intended to be used proactively to reduce the risk of significant detriment to retail clients resulting from a </w:t>
      </w:r>
      <w:r w:rsidR="00670185">
        <w:t xml:space="preserve">class of </w:t>
      </w:r>
      <w:r>
        <w:t xml:space="preserve">financial products. Commencing in April 2019, Part 7.9A of the Act sets out a framework and the procedural requirements for ASIC to make, amend, extend, remake and revoke product intervention orders; </w:t>
      </w:r>
    </w:p>
    <w:p w14:paraId="353BF078" w14:textId="49059962" w:rsidR="00252EE3" w:rsidRDefault="00252EE3" w:rsidP="00252EE3">
      <w:pPr>
        <w:pStyle w:val="LI-BodyTextParaa"/>
        <w:numPr>
          <w:ilvl w:val="1"/>
          <w:numId w:val="17"/>
        </w:numPr>
      </w:pPr>
      <w:r>
        <w:t xml:space="preserve">the instrument is a timely way of reducing the risk of significant detriment to retail clients resulting from a class of financial products that ASIC has </w:t>
      </w:r>
      <w:r w:rsidR="00004266">
        <w:t>identified</w:t>
      </w:r>
      <w:r>
        <w:t xml:space="preserve">. A product intervention order may remain in force for up to 18 months and </w:t>
      </w:r>
      <w:r w:rsidR="00633326">
        <w:t>can only</w:t>
      </w:r>
      <w:r>
        <w:t xml:space="preserve"> be extended by ASIC with the Minister’s written approval, following a report to the Minister from ASIC on whether the extension should be made;</w:t>
      </w:r>
      <w:r w:rsidR="00D0594B">
        <w:t xml:space="preserve"> and</w:t>
      </w:r>
    </w:p>
    <w:p w14:paraId="26E8B2D3" w14:textId="4319C6C4" w:rsidR="00EB0BDE" w:rsidRDefault="00252EE3" w:rsidP="00B43F06">
      <w:pPr>
        <w:pStyle w:val="LI-BodyTextParaa"/>
        <w:numPr>
          <w:ilvl w:val="1"/>
          <w:numId w:val="17"/>
        </w:numPr>
        <w:rPr>
          <w:b/>
          <w:bCs/>
          <w:i/>
          <w:iCs/>
        </w:rPr>
      </w:pPr>
      <w:r>
        <w:t xml:space="preserve">the product intervention powers in Part 7.9A of the Act allow ASIC to amend a product intervention order, should the need arise, to respond in a flexible and timely way to changes to product features, issuance and sales practices, </w:t>
      </w:r>
      <w:r w:rsidR="00004266">
        <w:t xml:space="preserve">and significant detriment to retail clients.  </w:t>
      </w:r>
    </w:p>
    <w:p w14:paraId="703E6595" w14:textId="008C7171" w:rsidR="006E554A" w:rsidRPr="00A014BD" w:rsidRDefault="006E554A" w:rsidP="006E554A">
      <w:pPr>
        <w:pStyle w:val="LI-BodyTextParaa"/>
        <w:ind w:left="0" w:firstLine="0"/>
        <w:rPr>
          <w:b/>
          <w:bCs/>
          <w:i/>
          <w:iCs/>
        </w:rPr>
      </w:pPr>
      <w:r w:rsidRPr="00A014BD">
        <w:rPr>
          <w:b/>
          <w:bCs/>
          <w:i/>
          <w:iCs/>
        </w:rPr>
        <w:t>Authority</w:t>
      </w:r>
    </w:p>
    <w:p w14:paraId="24CBF633" w14:textId="67FCAA23" w:rsidR="006E554A" w:rsidRDefault="006E554A" w:rsidP="000B67EC">
      <w:pPr>
        <w:pStyle w:val="LI-BodyTextParaa"/>
        <w:numPr>
          <w:ilvl w:val="0"/>
          <w:numId w:val="17"/>
        </w:numPr>
      </w:pPr>
      <w:r>
        <w:t xml:space="preserve">Section 3 of the instrument provides </w:t>
      </w:r>
      <w:r w:rsidR="00EE0325">
        <w:t xml:space="preserve">that </w:t>
      </w:r>
      <w:r>
        <w:t>the instrument is made under s</w:t>
      </w:r>
      <w:r w:rsidR="000B67EC">
        <w:t xml:space="preserve">ubsection 1023D(3) of the </w:t>
      </w:r>
      <w:r w:rsidR="00904F35">
        <w:t>Act</w:t>
      </w:r>
      <w:r w:rsidR="000B67EC" w:rsidRPr="000B67EC">
        <w:t>.</w:t>
      </w:r>
      <w:r w:rsidR="000B67EC">
        <w:t xml:space="preserve"> </w:t>
      </w:r>
    </w:p>
    <w:p w14:paraId="3FB0B9C0" w14:textId="77777777" w:rsidR="006E554A" w:rsidRPr="00A014BD" w:rsidRDefault="006E554A" w:rsidP="006E554A">
      <w:pPr>
        <w:pStyle w:val="LI-BodyTextParaa"/>
        <w:ind w:left="0" w:firstLine="0"/>
        <w:rPr>
          <w:b/>
          <w:bCs/>
          <w:i/>
          <w:iCs/>
        </w:rPr>
      </w:pPr>
      <w:r w:rsidRPr="00A014BD">
        <w:rPr>
          <w:b/>
          <w:bCs/>
          <w:i/>
          <w:iCs/>
        </w:rPr>
        <w:t xml:space="preserve">Interpretation </w:t>
      </w:r>
    </w:p>
    <w:p w14:paraId="79D2CF91" w14:textId="1F1CAD28" w:rsidR="006E554A" w:rsidRDefault="00EF48BC" w:rsidP="002770D2">
      <w:pPr>
        <w:pStyle w:val="LI-BodyTextParaa"/>
        <w:numPr>
          <w:ilvl w:val="0"/>
          <w:numId w:val="17"/>
        </w:numPr>
      </w:pPr>
      <w:r>
        <w:t>The instrument defines the following key terms:</w:t>
      </w:r>
    </w:p>
    <w:p w14:paraId="65FD7A5B" w14:textId="77777777" w:rsidR="001861C5" w:rsidRDefault="003249EB" w:rsidP="00EB0BDE">
      <w:pPr>
        <w:spacing w:before="240" w:line="240" w:lineRule="auto"/>
        <w:ind w:left="360"/>
        <w:rPr>
          <w:b/>
          <w:i/>
        </w:rPr>
      </w:pPr>
      <w:r>
        <w:rPr>
          <w:b/>
          <w:i/>
        </w:rPr>
        <w:t>t</w:t>
      </w:r>
      <w:r w:rsidR="00DF4456">
        <w:rPr>
          <w:b/>
          <w:i/>
        </w:rPr>
        <w:t xml:space="preserve">he </w:t>
      </w:r>
      <w:r w:rsidR="006E554A" w:rsidRPr="00C01F89">
        <w:rPr>
          <w:b/>
          <w:i/>
        </w:rPr>
        <w:t>Act</w:t>
      </w:r>
    </w:p>
    <w:p w14:paraId="20D9CD62" w14:textId="77777777" w:rsidR="001861C5" w:rsidRDefault="006E554A" w:rsidP="00EB0BDE">
      <w:pPr>
        <w:spacing w:before="240" w:line="240" w:lineRule="auto"/>
        <w:ind w:left="360"/>
      </w:pPr>
      <w:r w:rsidRPr="005A1433">
        <w:rPr>
          <w:b/>
          <w:i/>
        </w:rPr>
        <w:t>associate</w:t>
      </w:r>
    </w:p>
    <w:p w14:paraId="7395B337" w14:textId="3D38513B" w:rsidR="006E554A" w:rsidRPr="00EB0BDE" w:rsidRDefault="006E554A" w:rsidP="00EB0BDE">
      <w:pPr>
        <w:spacing w:before="240" w:line="240" w:lineRule="auto"/>
        <w:ind w:left="360"/>
        <w:rPr>
          <w:b/>
          <w:i/>
        </w:rPr>
      </w:pPr>
      <w:bookmarkStart w:id="5" w:name="_Hlk81389899"/>
      <w:r w:rsidRPr="00EB0BDE">
        <w:rPr>
          <w:b/>
          <w:i/>
        </w:rPr>
        <w:t xml:space="preserve">buy now pay later arrangement </w:t>
      </w:r>
    </w:p>
    <w:bookmarkEnd w:id="5"/>
    <w:p w14:paraId="6AE6B6DF" w14:textId="118D66E5" w:rsidR="006E554A" w:rsidRPr="00EB0BDE" w:rsidRDefault="006E554A" w:rsidP="00EB0BDE">
      <w:pPr>
        <w:spacing w:before="240" w:line="240" w:lineRule="auto"/>
        <w:ind w:left="360"/>
        <w:rPr>
          <w:b/>
          <w:i/>
        </w:rPr>
      </w:pPr>
      <w:r w:rsidRPr="00A6430A">
        <w:rPr>
          <w:b/>
          <w:i/>
        </w:rPr>
        <w:t>collateral contract</w:t>
      </w:r>
    </w:p>
    <w:p w14:paraId="30027D4D" w14:textId="3C345B26" w:rsidR="006E554A" w:rsidRPr="00EB0BDE" w:rsidRDefault="006E554A" w:rsidP="00EB0BDE">
      <w:pPr>
        <w:spacing w:before="240" w:line="240" w:lineRule="auto"/>
        <w:ind w:left="360"/>
        <w:rPr>
          <w:b/>
          <w:i/>
        </w:rPr>
      </w:pPr>
      <w:r w:rsidRPr="00D06D44">
        <w:rPr>
          <w:b/>
          <w:i/>
        </w:rPr>
        <w:t>collateral non-cash payment facility</w:t>
      </w:r>
      <w:r w:rsidRPr="00EB0BDE">
        <w:rPr>
          <w:b/>
          <w:i/>
        </w:rPr>
        <w:t xml:space="preserve"> </w:t>
      </w:r>
    </w:p>
    <w:p w14:paraId="615C116F" w14:textId="1074EA49" w:rsidR="006E554A" w:rsidRPr="00EB0BDE" w:rsidRDefault="006E554A" w:rsidP="00EB0BDE">
      <w:pPr>
        <w:spacing w:before="240" w:line="240" w:lineRule="auto"/>
        <w:ind w:left="360"/>
        <w:rPr>
          <w:b/>
          <w:i/>
        </w:rPr>
      </w:pPr>
      <w:r w:rsidRPr="00A6430A">
        <w:rPr>
          <w:b/>
          <w:i/>
        </w:rPr>
        <w:t xml:space="preserve">continuing credit contract </w:t>
      </w:r>
    </w:p>
    <w:p w14:paraId="4653D353" w14:textId="5CECD704" w:rsidR="001861C5" w:rsidRPr="00EB0BDE" w:rsidRDefault="006E554A" w:rsidP="00EB0BDE">
      <w:pPr>
        <w:spacing w:before="240" w:line="240" w:lineRule="auto"/>
        <w:ind w:left="360"/>
        <w:rPr>
          <w:b/>
          <w:i/>
        </w:rPr>
      </w:pPr>
      <w:bookmarkStart w:id="6" w:name="_Hlk49246462"/>
      <w:r w:rsidRPr="00A6430A">
        <w:rPr>
          <w:b/>
          <w:i/>
        </w:rPr>
        <w:lastRenderedPageBreak/>
        <w:t>continuing credit provider</w:t>
      </w:r>
      <w:r w:rsidRPr="00EB0BDE">
        <w:rPr>
          <w:b/>
          <w:i/>
        </w:rPr>
        <w:t xml:space="preserve"> </w:t>
      </w:r>
    </w:p>
    <w:bookmarkEnd w:id="6"/>
    <w:p w14:paraId="367FEA13" w14:textId="0501AD77" w:rsidR="001861C5" w:rsidRPr="005B0124" w:rsidRDefault="001861C5" w:rsidP="00EB0BDE">
      <w:pPr>
        <w:spacing w:before="240" w:line="240" w:lineRule="auto"/>
        <w:ind w:left="360"/>
        <w:rPr>
          <w:b/>
          <w:i/>
        </w:rPr>
      </w:pPr>
      <w:r>
        <w:rPr>
          <w:b/>
          <w:i/>
        </w:rPr>
        <w:t>c</w:t>
      </w:r>
      <w:r w:rsidR="006E554A" w:rsidRPr="005B0124">
        <w:rPr>
          <w:b/>
          <w:i/>
        </w:rPr>
        <w:t>ontract</w:t>
      </w:r>
    </w:p>
    <w:p w14:paraId="13BED71B" w14:textId="77777777" w:rsidR="001861C5" w:rsidRPr="00D06D44" w:rsidRDefault="006E554A" w:rsidP="00EB0BDE">
      <w:pPr>
        <w:spacing w:before="240" w:line="240" w:lineRule="auto"/>
        <w:ind w:left="360"/>
        <w:rPr>
          <w:b/>
          <w:i/>
        </w:rPr>
      </w:pPr>
      <w:r w:rsidRPr="00D06D44">
        <w:rPr>
          <w:b/>
          <w:i/>
        </w:rPr>
        <w:t>makes non-cash payments</w:t>
      </w:r>
    </w:p>
    <w:p w14:paraId="3AEDD622" w14:textId="33F4B69D" w:rsidR="001861C5" w:rsidRPr="00EB0BDE" w:rsidRDefault="006E554A" w:rsidP="00EB0BDE">
      <w:pPr>
        <w:spacing w:before="240" w:line="240" w:lineRule="auto"/>
        <w:ind w:left="360"/>
        <w:rPr>
          <w:b/>
          <w:i/>
        </w:rPr>
      </w:pPr>
      <w:r w:rsidRPr="00FF0929">
        <w:rPr>
          <w:b/>
          <w:i/>
        </w:rPr>
        <w:t>National Credit Code</w:t>
      </w:r>
      <w:r w:rsidRPr="00EB0BDE">
        <w:rPr>
          <w:b/>
          <w:i/>
        </w:rPr>
        <w:t xml:space="preserve"> </w:t>
      </w:r>
    </w:p>
    <w:p w14:paraId="1DF2D3FD" w14:textId="16DFA419" w:rsidR="001861C5" w:rsidRPr="00FF0929" w:rsidRDefault="006E554A" w:rsidP="00EB0BDE">
      <w:pPr>
        <w:pStyle w:val="LI-BodyTextUnnumbered"/>
        <w:ind w:left="0" w:firstLine="414"/>
      </w:pPr>
      <w:r w:rsidRPr="00D06D44">
        <w:rPr>
          <w:b/>
          <w:i/>
        </w:rPr>
        <w:t>non-cash payment facility</w:t>
      </w:r>
      <w:r w:rsidRPr="00FF0929">
        <w:t xml:space="preserve"> </w:t>
      </w:r>
      <w:r w:rsidR="001861C5">
        <w:tab/>
      </w:r>
    </w:p>
    <w:p w14:paraId="4579D0B9" w14:textId="77777777" w:rsidR="004F5365" w:rsidRPr="00EB0BDE" w:rsidRDefault="004F158B" w:rsidP="00D06D44">
      <w:pPr>
        <w:pStyle w:val="LI-BodyTextParaa"/>
        <w:ind w:left="0" w:firstLine="0"/>
        <w:rPr>
          <w:b/>
          <w:bCs/>
          <w:i/>
          <w:iCs/>
        </w:rPr>
      </w:pPr>
      <w:r w:rsidRPr="00EB0BDE">
        <w:rPr>
          <w:b/>
          <w:bCs/>
          <w:i/>
          <w:iCs/>
        </w:rPr>
        <w:t xml:space="preserve">Application of the conditional prohibitions </w:t>
      </w:r>
      <w:r w:rsidR="006E554A" w:rsidRPr="00EB0BDE">
        <w:rPr>
          <w:b/>
          <w:bCs/>
          <w:i/>
          <w:iCs/>
        </w:rPr>
        <w:t xml:space="preserve"> </w:t>
      </w:r>
    </w:p>
    <w:p w14:paraId="32D13D07" w14:textId="12D0BD09" w:rsidR="00EF48BC" w:rsidRDefault="00EF48BC" w:rsidP="003249EB">
      <w:pPr>
        <w:pStyle w:val="LI-BodyTextParaa"/>
        <w:numPr>
          <w:ilvl w:val="0"/>
          <w:numId w:val="17"/>
        </w:numPr>
      </w:pPr>
      <w:r>
        <w:t>The instrument prohibits</w:t>
      </w:r>
      <w:r w:rsidR="003249EB">
        <w:t xml:space="preserve"> </w:t>
      </w:r>
      <w:r>
        <w:t>continuing credit providers</w:t>
      </w:r>
      <w:r w:rsidR="003249EB">
        <w:t xml:space="preserve"> and their directors, and associates of the continuing credit providers</w:t>
      </w:r>
      <w:r>
        <w:t xml:space="preserve"> </w:t>
      </w:r>
      <w:r w:rsidR="000B77AD">
        <w:t>and their</w:t>
      </w:r>
      <w:r>
        <w:t xml:space="preserve"> </w:t>
      </w:r>
      <w:r w:rsidR="003249EB">
        <w:t xml:space="preserve">directors, </w:t>
      </w:r>
      <w:r>
        <w:t xml:space="preserve">from causing or authorising prohibited conduct. </w:t>
      </w:r>
    </w:p>
    <w:p w14:paraId="54021C68" w14:textId="38B1968F" w:rsidR="00AC1A13" w:rsidRPr="00582D74" w:rsidRDefault="00582D74">
      <w:pPr>
        <w:pStyle w:val="LI-BodyTextParaa"/>
        <w:numPr>
          <w:ilvl w:val="0"/>
          <w:numId w:val="17"/>
        </w:numPr>
      </w:pPr>
      <w:r w:rsidRPr="00582D74">
        <w:t>The</w:t>
      </w:r>
      <w:r w:rsidR="001E5297">
        <w:t xml:space="preserve"> condition in s</w:t>
      </w:r>
      <w:r w:rsidR="006F7B2E">
        <w:t>ection</w:t>
      </w:r>
      <w:r w:rsidR="001E5297">
        <w:t xml:space="preserve"> </w:t>
      </w:r>
      <w:r w:rsidR="006F7B2E">
        <w:t>5 of the</w:t>
      </w:r>
      <w:r w:rsidRPr="00582D74">
        <w:t xml:space="preserve"> instrument prohibits</w:t>
      </w:r>
      <w:r w:rsidR="00AC1A13">
        <w:t xml:space="preserve"> t</w:t>
      </w:r>
      <w:r w:rsidR="005B1DDE">
        <w:t>he</w:t>
      </w:r>
      <w:r w:rsidR="00AC1A13">
        <w:t xml:space="preserve"> total of</w:t>
      </w:r>
      <w:r w:rsidR="004416DE">
        <w:t xml:space="preserve"> the amount of fees and charges that may be imposed or provided for under</w:t>
      </w:r>
      <w:r w:rsidR="00AC1A13">
        <w:t>:</w:t>
      </w:r>
    </w:p>
    <w:p w14:paraId="7603482C" w14:textId="1347CB3C" w:rsidR="00AC1A13" w:rsidRDefault="00AC1A13" w:rsidP="00AC1A13">
      <w:pPr>
        <w:pStyle w:val="LI-BodyTextParaa"/>
        <w:numPr>
          <w:ilvl w:val="1"/>
          <w:numId w:val="17"/>
        </w:numPr>
      </w:pPr>
      <w:r>
        <w:t xml:space="preserve"> </w:t>
      </w:r>
      <w:r w:rsidR="00EF48BC">
        <w:t>the continuing credit contract</w:t>
      </w:r>
      <w:r>
        <w:t>;</w:t>
      </w:r>
      <w:r w:rsidR="00EF48BC">
        <w:t xml:space="preserve"> </w:t>
      </w:r>
    </w:p>
    <w:p w14:paraId="5DED95A9" w14:textId="12AD5277" w:rsidR="00AC1A13" w:rsidRDefault="00EF48BC" w:rsidP="00AC1A13">
      <w:pPr>
        <w:pStyle w:val="LI-BodyTextParaa"/>
        <w:numPr>
          <w:ilvl w:val="1"/>
          <w:numId w:val="17"/>
        </w:numPr>
      </w:pPr>
      <w:r>
        <w:t>a collateral contract (other than a collateral non-cash payment facility)</w:t>
      </w:r>
      <w:r w:rsidR="00AC1A13">
        <w:t>;</w:t>
      </w:r>
      <w:r>
        <w:t xml:space="preserve"> or</w:t>
      </w:r>
    </w:p>
    <w:p w14:paraId="639D1564" w14:textId="1E414EF6" w:rsidR="00AC1A13" w:rsidRDefault="00EF48BC" w:rsidP="00AC1A13">
      <w:pPr>
        <w:pStyle w:val="LI-BodyTextParaa"/>
        <w:numPr>
          <w:ilvl w:val="1"/>
          <w:numId w:val="17"/>
        </w:numPr>
      </w:pPr>
      <w:r>
        <w:t>a contract, arrangement or understanding belonging to a series or combination that constitutes the continuing credit contract</w:t>
      </w:r>
      <w:r w:rsidR="004416DE">
        <w:t>;</w:t>
      </w:r>
    </w:p>
    <w:p w14:paraId="6D878DE3" w14:textId="28A566DC" w:rsidR="00582D74" w:rsidRPr="00EB0BDE" w:rsidRDefault="00AC1A13" w:rsidP="00EB0BDE">
      <w:pPr>
        <w:pStyle w:val="LI-BodyTextParaa"/>
        <w:ind w:left="360" w:firstLine="0"/>
      </w:pPr>
      <w:r>
        <w:t>from</w:t>
      </w:r>
      <w:r w:rsidR="00EF48BC">
        <w:t xml:space="preserve"> exceeding the maximum charge permitted under subsection 6(5) of the Code</w:t>
      </w:r>
      <w:r w:rsidR="00892814">
        <w:t xml:space="preserve"> or the regulations made for the purposes of that subsection</w:t>
      </w:r>
      <w:r>
        <w:t>, where the fees and charges are paid or payable by a retail client</w:t>
      </w:r>
      <w:r w:rsidR="00582D74" w:rsidRPr="00582D74">
        <w:t>.</w:t>
      </w:r>
      <w:r w:rsidR="00582D74" w:rsidRPr="00EB0BDE">
        <w:t xml:space="preserve">  </w:t>
      </w:r>
    </w:p>
    <w:p w14:paraId="045B2253" w14:textId="4EEB3893" w:rsidR="00582D74" w:rsidRPr="00C46FC6" w:rsidRDefault="00582D74" w:rsidP="00582D74">
      <w:pPr>
        <w:pStyle w:val="LI-BodyTextParaa"/>
        <w:numPr>
          <w:ilvl w:val="0"/>
          <w:numId w:val="17"/>
        </w:numPr>
      </w:pPr>
      <w:r w:rsidRPr="00C46FC6">
        <w:t xml:space="preserve">“Associate” is defined by reference to sections 11 and 15 of the Act. This will ensure that the coverage is broad and will extend to a related body corporate as well as a person who is acting in concert with the primary person, or a person who is or proposes to become associated, whether formally or informally, in any other way in respect of the provision </w:t>
      </w:r>
      <w:r w:rsidR="00351642">
        <w:t>of continuing credit contracts</w:t>
      </w:r>
      <w:r w:rsidRPr="00C46FC6">
        <w:t xml:space="preserve">. The exclusions in section 16 of the Act do not apply. The purpose of the broad coverage is to ensure that avoidance opportunities through </w:t>
      </w:r>
      <w:proofErr w:type="spellStart"/>
      <w:r w:rsidRPr="00C46FC6">
        <w:t>phoenixing</w:t>
      </w:r>
      <w:proofErr w:type="spellEnd"/>
      <w:r w:rsidRPr="00C46FC6">
        <w:t xml:space="preserve"> are minimised.     </w:t>
      </w:r>
    </w:p>
    <w:p w14:paraId="37406A26" w14:textId="5346A1F9" w:rsidR="001E5297" w:rsidRDefault="001E5297" w:rsidP="00582D74">
      <w:pPr>
        <w:pStyle w:val="LI-BodyTextParaa"/>
        <w:numPr>
          <w:ilvl w:val="0"/>
          <w:numId w:val="17"/>
        </w:numPr>
      </w:pPr>
      <w:r>
        <w:t xml:space="preserve">The instrument </w:t>
      </w:r>
      <w:r w:rsidR="006F7B2E">
        <w:t xml:space="preserve">relates to continuing credit contracts and collateral contracts </w:t>
      </w:r>
      <w:r w:rsidR="00CE7258">
        <w:t xml:space="preserve">between a retail client and the continuing credit provider and/or associate, where the fees </w:t>
      </w:r>
      <w:r w:rsidR="00C44AEE">
        <w:t xml:space="preserve">and charges </w:t>
      </w:r>
      <w:r w:rsidR="00CE7258">
        <w:t>are paid or payable by the retail client</w:t>
      </w:r>
      <w:r w:rsidR="006F7B2E">
        <w:t xml:space="preserve">. If the retail client is not a party to a particular contract (for example a contract between a continuing credit provider and a third party) the contract will not be considered a </w:t>
      </w:r>
      <w:r w:rsidR="0045078F">
        <w:t xml:space="preserve">continuing credit contract or </w:t>
      </w:r>
      <w:r w:rsidR="006F7B2E">
        <w:t xml:space="preserve">collateral contract for the purpose of the instrument. </w:t>
      </w:r>
    </w:p>
    <w:p w14:paraId="0E6195C4" w14:textId="6737574F" w:rsidR="00892814" w:rsidRDefault="00582D74" w:rsidP="009A00B2">
      <w:pPr>
        <w:pStyle w:val="LI-BodyTextParaa"/>
        <w:numPr>
          <w:ilvl w:val="0"/>
          <w:numId w:val="17"/>
        </w:numPr>
      </w:pPr>
      <w:r w:rsidRPr="003525CA">
        <w:t xml:space="preserve">The instrument does not prohibit persons from providing </w:t>
      </w:r>
      <w:r w:rsidR="00C46FC6" w:rsidRPr="003525CA">
        <w:t>continuing credit contracts</w:t>
      </w:r>
      <w:r w:rsidRPr="003525CA">
        <w:t xml:space="preserve"> relying on the exemption in subsection 6(</w:t>
      </w:r>
      <w:r w:rsidR="00C46FC6" w:rsidRPr="003525CA">
        <w:t>5</w:t>
      </w:r>
      <w:r w:rsidRPr="003525CA">
        <w:t>) of the Cod</w:t>
      </w:r>
      <w:r w:rsidR="00892814">
        <w:t xml:space="preserve">e, rather it simply limits the total fees </w:t>
      </w:r>
      <w:r w:rsidR="00C44AEE">
        <w:t xml:space="preserve">and charges </w:t>
      </w:r>
      <w:r w:rsidR="00892814">
        <w:t xml:space="preserve">that can be charged under the continuing credit contract and collateral contract to not exceed the limits prescribed in subsection 6(5) of the Code or regulations made for the purposes of that subsection. </w:t>
      </w:r>
    </w:p>
    <w:p w14:paraId="02789A03" w14:textId="77777777" w:rsidR="009A00B2" w:rsidRDefault="009A00B2" w:rsidP="009A00B2">
      <w:pPr>
        <w:pStyle w:val="LI-BodyTextParaa"/>
        <w:numPr>
          <w:ilvl w:val="0"/>
          <w:numId w:val="17"/>
        </w:numPr>
      </w:pPr>
      <w:r>
        <w:lastRenderedPageBreak/>
        <w:t xml:space="preserve">The instrument only applies in relation to continuing credit contracts entered into on or after the commencement of the instrument. </w:t>
      </w:r>
    </w:p>
    <w:p w14:paraId="34D281B6" w14:textId="77777777" w:rsidR="00962314" w:rsidRPr="005D1912" w:rsidRDefault="00962314" w:rsidP="00962314">
      <w:pPr>
        <w:pStyle w:val="LI-BodyTextParaa"/>
        <w:ind w:left="0" w:firstLine="0"/>
        <w:rPr>
          <w:i/>
          <w:iCs/>
        </w:rPr>
      </w:pPr>
      <w:r w:rsidRPr="005D1912">
        <w:rPr>
          <w:i/>
          <w:iCs/>
        </w:rPr>
        <w:t xml:space="preserve">Exclusions to </w:t>
      </w:r>
      <w:r w:rsidR="008109DC">
        <w:rPr>
          <w:i/>
          <w:iCs/>
        </w:rPr>
        <w:t xml:space="preserve">the </w:t>
      </w:r>
      <w:r>
        <w:rPr>
          <w:i/>
          <w:iCs/>
        </w:rPr>
        <w:t xml:space="preserve">application of </w:t>
      </w:r>
      <w:r w:rsidRPr="005D1912">
        <w:rPr>
          <w:i/>
          <w:iCs/>
        </w:rPr>
        <w:t xml:space="preserve">the instrument </w:t>
      </w:r>
    </w:p>
    <w:p w14:paraId="0AC70307" w14:textId="77777777" w:rsidR="00962314" w:rsidRDefault="00962314" w:rsidP="00962314">
      <w:pPr>
        <w:pStyle w:val="LI-BodyTextParaa"/>
        <w:numPr>
          <w:ilvl w:val="0"/>
          <w:numId w:val="17"/>
        </w:numPr>
      </w:pPr>
      <w:r>
        <w:t xml:space="preserve">Subsection 6(2) of the instrument clarifies that the instrument does not apply to continuing credit contracts, where a continuing credit provider is not purporting to rely on subsection 6(5) of the Code in relation to a continuing credit contact. </w:t>
      </w:r>
    </w:p>
    <w:p w14:paraId="0FCBEA34" w14:textId="76DA276E" w:rsidR="00962314" w:rsidRDefault="00962314" w:rsidP="00962314">
      <w:pPr>
        <w:pStyle w:val="LI-BodyTextParaa"/>
        <w:numPr>
          <w:ilvl w:val="0"/>
          <w:numId w:val="17"/>
        </w:numPr>
      </w:pPr>
      <w:r>
        <w:t xml:space="preserve">This means that </w:t>
      </w:r>
      <w:r w:rsidR="00836E76">
        <w:t xml:space="preserve">the </w:t>
      </w:r>
      <w:r>
        <w:t xml:space="preserve">instrument only applies to continuing credit contracts where the continuing credit provider </w:t>
      </w:r>
      <w:r w:rsidR="00146064">
        <w:t>relies</w:t>
      </w:r>
      <w:r>
        <w:t xml:space="preserve"> on the exemption in </w:t>
      </w:r>
      <w:r w:rsidR="00030048">
        <w:t xml:space="preserve">subsection </w:t>
      </w:r>
      <w:r>
        <w:t xml:space="preserve">6(5) of the Code for that particular contract. For example, a continuing credit provider may rely on </w:t>
      </w:r>
      <w:r w:rsidR="00146064">
        <w:t xml:space="preserve">the </w:t>
      </w:r>
      <w:r>
        <w:t>exemption in s</w:t>
      </w:r>
      <w:r w:rsidR="00030048">
        <w:t xml:space="preserve">ubsection </w:t>
      </w:r>
      <w:r>
        <w:t xml:space="preserve">6(5) of the Code for Contract A, but </w:t>
      </w:r>
      <w:r w:rsidR="00146064">
        <w:t xml:space="preserve">not for </w:t>
      </w:r>
      <w:r>
        <w:t>Contract B</w:t>
      </w:r>
      <w:r w:rsidR="00146064">
        <w:t>. I</w:t>
      </w:r>
      <w:r>
        <w:t xml:space="preserve">n these circumstances the instrument will </w:t>
      </w:r>
      <w:r w:rsidR="00146064">
        <w:t xml:space="preserve">only </w:t>
      </w:r>
      <w:r>
        <w:t>apply to Contract A</w:t>
      </w:r>
      <w:r w:rsidR="00146064">
        <w:t xml:space="preserve"> and not to </w:t>
      </w:r>
      <w:r>
        <w:t xml:space="preserve">Contract B. </w:t>
      </w:r>
    </w:p>
    <w:p w14:paraId="28035BDF" w14:textId="77777777" w:rsidR="00607FFA" w:rsidRDefault="00962314" w:rsidP="00962314">
      <w:pPr>
        <w:pStyle w:val="LI-BodyTextParaa"/>
        <w:numPr>
          <w:ilvl w:val="0"/>
          <w:numId w:val="17"/>
        </w:numPr>
      </w:pPr>
      <w:r>
        <w:t xml:space="preserve">Subsection 6(3) of the instrument clarifies that </w:t>
      </w:r>
      <w:r w:rsidR="00E83D09">
        <w:t>it</w:t>
      </w:r>
      <w:r>
        <w:t xml:space="preserve"> does not apply to a continuing credit contract </w:t>
      </w:r>
      <w:r w:rsidR="00607FFA">
        <w:t xml:space="preserve">if: </w:t>
      </w:r>
    </w:p>
    <w:p w14:paraId="14D6A351" w14:textId="1E609DBE" w:rsidR="00607FFA" w:rsidRDefault="00D06D44" w:rsidP="00607FFA">
      <w:pPr>
        <w:pStyle w:val="LI-BodyTextParaa"/>
        <w:numPr>
          <w:ilvl w:val="1"/>
          <w:numId w:val="17"/>
        </w:numPr>
      </w:pPr>
      <w:r>
        <w:t>t</w:t>
      </w:r>
      <w:r w:rsidR="00607FFA">
        <w:t xml:space="preserve">he continuing credit contract </w:t>
      </w:r>
      <w:r w:rsidR="00962314">
        <w:t>forms part of a buy now pay later arrangement</w:t>
      </w:r>
      <w:r w:rsidR="00607FFA">
        <w:t>; and</w:t>
      </w:r>
    </w:p>
    <w:p w14:paraId="1CE48B62" w14:textId="7B9040E3" w:rsidR="00962314" w:rsidRDefault="00D06D44" w:rsidP="00EB0BDE">
      <w:pPr>
        <w:pStyle w:val="LI-BodyTextParaa"/>
        <w:numPr>
          <w:ilvl w:val="1"/>
          <w:numId w:val="17"/>
        </w:numPr>
      </w:pPr>
      <w:r>
        <w:t>e</w:t>
      </w:r>
      <w:r w:rsidR="00607FFA">
        <w:t>ach advance of credit under the continuing credit contract occurs as a result of the buy now pay later arrangement</w:t>
      </w:r>
      <w:r w:rsidR="00962314">
        <w:t xml:space="preserve">. </w:t>
      </w:r>
    </w:p>
    <w:p w14:paraId="06C3F4D0" w14:textId="63F49366" w:rsidR="00C3425F" w:rsidRDefault="00C3425F" w:rsidP="00962314">
      <w:pPr>
        <w:pStyle w:val="LI-BodyTextParaa"/>
        <w:numPr>
          <w:ilvl w:val="0"/>
          <w:numId w:val="17"/>
        </w:numPr>
      </w:pPr>
      <w:r>
        <w:t xml:space="preserve">This means that if a continuing credit contract forms part of a buy now pay later arrangement, the instrument will not apply to the continuing credit contract, or any collateral contract in relation to that continuing credit contract. </w:t>
      </w:r>
      <w:r w:rsidR="00607FFA">
        <w:t xml:space="preserve">However, if there is an advance of credit under a continuing credit contract that does not occur as a result of a buy now pay later arrangement (notwithstanding </w:t>
      </w:r>
      <w:proofErr w:type="gramStart"/>
      <w:r w:rsidR="00607FFA">
        <w:t>that other advances of credit</w:t>
      </w:r>
      <w:proofErr w:type="gramEnd"/>
      <w:r w:rsidR="00607FFA">
        <w:t xml:space="preserve"> under the contract are as a result of a buy now pay later arrangement) then the instrument will apply to that continuing credit contract. </w:t>
      </w:r>
    </w:p>
    <w:p w14:paraId="38C7A265" w14:textId="2BA3446E" w:rsidR="00A45518" w:rsidRDefault="00A45518" w:rsidP="00962314">
      <w:pPr>
        <w:pStyle w:val="LI-BodyTextParaa"/>
        <w:numPr>
          <w:ilvl w:val="0"/>
          <w:numId w:val="17"/>
        </w:numPr>
      </w:pPr>
      <w:r>
        <w:t>The definition of buy now pay later arrangement in the instrument covers the following arrangements:</w:t>
      </w:r>
    </w:p>
    <w:p w14:paraId="4467CD3F" w14:textId="77777777" w:rsidR="00A532D6" w:rsidRDefault="00A532D6" w:rsidP="00A532D6">
      <w:pPr>
        <w:pStyle w:val="LI-BodyTextParaa"/>
        <w:numPr>
          <w:ilvl w:val="1"/>
          <w:numId w:val="17"/>
        </w:numPr>
      </w:pPr>
      <w:r w:rsidRPr="00A532D6">
        <w:t xml:space="preserve">an arrangement between a person (the </w:t>
      </w:r>
      <w:r w:rsidRPr="00EB0BDE">
        <w:rPr>
          <w:b/>
          <w:bCs/>
          <w:i/>
          <w:iCs/>
        </w:rPr>
        <w:t>merchant</w:t>
      </w:r>
      <w:r w:rsidRPr="00A532D6">
        <w:t xml:space="preserve">) and another person (the </w:t>
      </w:r>
      <w:r w:rsidRPr="00EB0BDE">
        <w:rPr>
          <w:b/>
          <w:bCs/>
          <w:i/>
          <w:iCs/>
        </w:rPr>
        <w:t>retail client</w:t>
      </w:r>
      <w:r w:rsidRPr="00A532D6">
        <w:t>) in relation to the supply of goods or services by the merchant to the retail client; and</w:t>
      </w:r>
    </w:p>
    <w:p w14:paraId="3A743AE0" w14:textId="1B69C99A" w:rsidR="00A532D6" w:rsidRDefault="00A532D6" w:rsidP="00EB0BDE">
      <w:pPr>
        <w:pStyle w:val="LI-BodyTextParaa"/>
        <w:numPr>
          <w:ilvl w:val="1"/>
          <w:numId w:val="17"/>
        </w:numPr>
      </w:pPr>
      <w:r>
        <w:t>any of the following:</w:t>
      </w:r>
    </w:p>
    <w:p w14:paraId="1803804A" w14:textId="6560651C" w:rsidR="00A532D6" w:rsidRDefault="00A532D6" w:rsidP="00EB0BDE">
      <w:pPr>
        <w:pStyle w:val="LI-BodyTextParaa"/>
        <w:numPr>
          <w:ilvl w:val="2"/>
          <w:numId w:val="17"/>
        </w:numPr>
      </w:pPr>
      <w:r>
        <w:t xml:space="preserve">an arrangement between the merchant and a person (the </w:t>
      </w:r>
      <w:r w:rsidRPr="00EB0BDE">
        <w:rPr>
          <w:b/>
          <w:bCs/>
          <w:i/>
          <w:iCs/>
        </w:rPr>
        <w:t>BNPL provider</w:t>
      </w:r>
      <w:r>
        <w:t xml:space="preserve">) in relation to which the BNPL provider pays the merchant some or all of the price for the supply of those goods or services to the retail client; </w:t>
      </w:r>
    </w:p>
    <w:p w14:paraId="6C536D92" w14:textId="3D2B4DC8" w:rsidR="00A532D6" w:rsidRDefault="18E7F271" w:rsidP="00EB0BDE">
      <w:pPr>
        <w:pStyle w:val="LI-BodyTextParaa"/>
        <w:numPr>
          <w:ilvl w:val="2"/>
          <w:numId w:val="17"/>
        </w:numPr>
      </w:pPr>
      <w:r>
        <w:t xml:space="preserve">an arrangement between the retail client and a person (the </w:t>
      </w:r>
      <w:r w:rsidRPr="1634F6C8">
        <w:rPr>
          <w:b/>
          <w:bCs/>
          <w:i/>
          <w:iCs/>
        </w:rPr>
        <w:t>BNPL provider)</w:t>
      </w:r>
      <w:r>
        <w:t xml:space="preserve"> in relation to which, when the retail client is required to pay the merchant for the supply of those goods or services, the retail client pays the merchant some or all of the </w:t>
      </w:r>
      <w:r>
        <w:lastRenderedPageBreak/>
        <w:t xml:space="preserve">price by using a credit card or debit card identifier provided or made available by the BNPL provider to the retail client for such a purpose; </w:t>
      </w:r>
    </w:p>
    <w:p w14:paraId="7784124E" w14:textId="68162D83" w:rsidR="00A91114" w:rsidRDefault="00A91114" w:rsidP="00EB0BDE">
      <w:pPr>
        <w:pStyle w:val="LI-BodyTextParaa"/>
        <w:numPr>
          <w:ilvl w:val="2"/>
          <w:numId w:val="17"/>
        </w:numPr>
        <w:tabs>
          <w:tab w:val="left" w:pos="2268"/>
        </w:tabs>
      </w:pPr>
      <w:r>
        <w:t xml:space="preserve">an arrangement </w:t>
      </w:r>
      <w:r w:rsidRPr="00961E0E">
        <w:t>between the retail client and a person (the </w:t>
      </w:r>
      <w:r w:rsidRPr="00A91114">
        <w:rPr>
          <w:b/>
          <w:bCs/>
          <w:i/>
          <w:iCs/>
        </w:rPr>
        <w:t>BNPL provider</w:t>
      </w:r>
      <w:r w:rsidRPr="00EB0BDE">
        <w:rPr>
          <w:b/>
          <w:bCs/>
          <w:i/>
          <w:iCs/>
        </w:rPr>
        <w:t>)</w:t>
      </w:r>
      <w:r w:rsidRPr="00961E0E">
        <w:t xml:space="preserve"> in relation to which</w:t>
      </w:r>
      <w:r>
        <w:t xml:space="preserve"> </w:t>
      </w:r>
      <w:r w:rsidRPr="00AB31AE">
        <w:t>the BNPL provider pays</w:t>
      </w:r>
      <w:r>
        <w:t xml:space="preserve">, </w:t>
      </w:r>
      <w:r w:rsidRPr="00EB0BDE">
        <w:t>through a bill payment system specified by the merchant</w:t>
      </w:r>
      <w:r>
        <w:t>,</w:t>
      </w:r>
      <w:r w:rsidRPr="00AB31AE">
        <w:t xml:space="preserve"> </w:t>
      </w:r>
      <w:r w:rsidRPr="00EB0BDE">
        <w:t xml:space="preserve">some or all of a bill issued by the merchant to the retail client </w:t>
      </w:r>
      <w:r w:rsidRPr="00AB31AE">
        <w:t xml:space="preserve">for the supply of those goods or services to the retail </w:t>
      </w:r>
      <w:r>
        <w:t>client</w:t>
      </w:r>
      <w:r w:rsidRPr="00961E0E">
        <w:t>;</w:t>
      </w:r>
      <w:r>
        <w:t xml:space="preserve"> and</w:t>
      </w:r>
    </w:p>
    <w:p w14:paraId="20BF3FA3" w14:textId="4CA9A704" w:rsidR="00A91114" w:rsidRPr="00AB31AE" w:rsidRDefault="00A91114" w:rsidP="00EB0BDE">
      <w:pPr>
        <w:pStyle w:val="LI-SectionNote"/>
        <w:ind w:left="1456" w:firstLine="524"/>
      </w:pPr>
      <w:r>
        <w:t>Note: For example, the bill payment system may be the BPAY bill payment system.</w:t>
      </w:r>
    </w:p>
    <w:p w14:paraId="3306DD62" w14:textId="69838B3B" w:rsidR="00A532D6" w:rsidRDefault="00A532D6" w:rsidP="00A532D6">
      <w:pPr>
        <w:spacing w:before="240" w:line="240" w:lineRule="auto"/>
        <w:ind w:left="1701" w:hanging="567"/>
        <w:rPr>
          <w:rFonts w:eastAsia="Times New Roman"/>
          <w:sz w:val="24"/>
          <w:szCs w:val="24"/>
          <w:lang w:eastAsia="en-AU"/>
        </w:rPr>
      </w:pPr>
      <w:r>
        <w:t>(c)</w:t>
      </w:r>
      <w:r>
        <w:tab/>
      </w:r>
      <w:r w:rsidRPr="00AB31AE">
        <w:rPr>
          <w:rFonts w:eastAsia="Times New Roman"/>
          <w:sz w:val="24"/>
          <w:szCs w:val="24"/>
          <w:lang w:eastAsia="en-AU"/>
        </w:rPr>
        <w:t xml:space="preserve">an arrangement between the BNPL provider and the retail client which includes a continuing credit contract in relation to which the </w:t>
      </w:r>
      <w:r>
        <w:rPr>
          <w:rFonts w:eastAsia="Times New Roman"/>
          <w:sz w:val="24"/>
          <w:szCs w:val="24"/>
          <w:lang w:eastAsia="en-AU"/>
        </w:rPr>
        <w:t>retail client</w:t>
      </w:r>
      <w:r w:rsidRPr="00AB31AE">
        <w:rPr>
          <w:rFonts w:eastAsia="Times New Roman"/>
          <w:sz w:val="24"/>
          <w:szCs w:val="24"/>
          <w:lang w:eastAsia="en-AU"/>
        </w:rPr>
        <w:t xml:space="preserve"> pays the BNPL provider over time in relation to the supply of those goods </w:t>
      </w:r>
      <w:r>
        <w:rPr>
          <w:rFonts w:eastAsia="Times New Roman"/>
          <w:sz w:val="24"/>
          <w:szCs w:val="24"/>
          <w:lang w:eastAsia="en-AU"/>
        </w:rPr>
        <w:t>or</w:t>
      </w:r>
      <w:r w:rsidRPr="00AB31AE">
        <w:rPr>
          <w:rFonts w:eastAsia="Times New Roman"/>
          <w:sz w:val="24"/>
          <w:szCs w:val="24"/>
          <w:lang w:eastAsia="en-AU"/>
        </w:rPr>
        <w:t xml:space="preserve"> services;</w:t>
      </w:r>
    </w:p>
    <w:p w14:paraId="7C812C2E" w14:textId="77777777" w:rsidR="00A532D6" w:rsidRPr="00AB31AE" w:rsidRDefault="00A532D6" w:rsidP="00A532D6">
      <w:pPr>
        <w:spacing w:before="240" w:line="240" w:lineRule="auto"/>
        <w:ind w:left="1134"/>
      </w:pPr>
      <w:r w:rsidRPr="00AB31AE">
        <w:rPr>
          <w:rFonts w:eastAsia="Times New Roman"/>
          <w:sz w:val="24"/>
          <w:szCs w:val="24"/>
          <w:lang w:eastAsia="en-AU"/>
        </w:rPr>
        <w:t>but only where the principal business of the merchant is not the supply of administration</w:t>
      </w:r>
      <w:r>
        <w:rPr>
          <w:rFonts w:eastAsia="Times New Roman"/>
          <w:sz w:val="24"/>
          <w:szCs w:val="24"/>
          <w:lang w:eastAsia="en-AU"/>
        </w:rPr>
        <w:t xml:space="preserve">, brokerage, </w:t>
      </w:r>
      <w:r w:rsidRPr="00AB31AE">
        <w:rPr>
          <w:rFonts w:eastAsia="Times New Roman"/>
          <w:sz w:val="24"/>
          <w:szCs w:val="24"/>
          <w:lang w:eastAsia="en-AU"/>
        </w:rPr>
        <w:t>management</w:t>
      </w:r>
      <w:r>
        <w:rPr>
          <w:rFonts w:eastAsia="Times New Roman"/>
          <w:sz w:val="24"/>
          <w:szCs w:val="24"/>
          <w:lang w:eastAsia="en-AU"/>
        </w:rPr>
        <w:t xml:space="preserve">, collection, </w:t>
      </w:r>
      <w:proofErr w:type="gramStart"/>
      <w:r>
        <w:rPr>
          <w:rFonts w:eastAsia="Times New Roman"/>
          <w:sz w:val="24"/>
          <w:szCs w:val="24"/>
          <w:lang w:eastAsia="en-AU"/>
        </w:rPr>
        <w:t>recovery</w:t>
      </w:r>
      <w:proofErr w:type="gramEnd"/>
      <w:r>
        <w:rPr>
          <w:rFonts w:eastAsia="Times New Roman"/>
          <w:sz w:val="24"/>
          <w:szCs w:val="24"/>
          <w:lang w:eastAsia="en-AU"/>
        </w:rPr>
        <w:t xml:space="preserve"> or other</w:t>
      </w:r>
      <w:r w:rsidRPr="00AB31AE">
        <w:rPr>
          <w:rFonts w:eastAsia="Times New Roman"/>
          <w:sz w:val="24"/>
          <w:szCs w:val="24"/>
          <w:lang w:eastAsia="en-AU"/>
        </w:rPr>
        <w:t xml:space="preserve"> services in relation to the provision of credit under continuing credit contracts.</w:t>
      </w:r>
    </w:p>
    <w:p w14:paraId="58561242" w14:textId="085B9709" w:rsidR="00BB16BD" w:rsidRDefault="00855830" w:rsidP="00EB0BDE">
      <w:pPr>
        <w:pStyle w:val="LI-BodyTextParaa"/>
        <w:numPr>
          <w:ilvl w:val="0"/>
          <w:numId w:val="17"/>
        </w:numPr>
        <w:spacing w:after="240"/>
      </w:pPr>
      <w:r>
        <w:t>Paragraph (</w:t>
      </w:r>
      <w:r w:rsidR="0058785F">
        <w:t>b</w:t>
      </w:r>
      <w:r>
        <w:t>)</w:t>
      </w:r>
      <w:r w:rsidR="0058785F">
        <w:t>(</w:t>
      </w:r>
      <w:proofErr w:type="spellStart"/>
      <w:r w:rsidR="0058785F">
        <w:t>i</w:t>
      </w:r>
      <w:proofErr w:type="spellEnd"/>
      <w:r w:rsidR="0058785F">
        <w:t>)</w:t>
      </w:r>
      <w:r>
        <w:t xml:space="preserve"> of the definition of buy now pay later arrangement covers arrangements where a retail client purchases a good or service from a merchant</w:t>
      </w:r>
      <w:r w:rsidR="00912A3B">
        <w:t xml:space="preserve"> </w:t>
      </w:r>
      <w:r>
        <w:t xml:space="preserve">and </w:t>
      </w:r>
      <w:r w:rsidR="007864A6">
        <w:t xml:space="preserve">a BNPL provider </w:t>
      </w:r>
      <w:r>
        <w:t xml:space="preserve">pays </w:t>
      </w:r>
      <w:r w:rsidR="00A910E0">
        <w:t xml:space="preserve">the merchant </w:t>
      </w:r>
      <w:r w:rsidR="007864A6">
        <w:t xml:space="preserve">on behalf of the retail client under a pre-existing arrangement between </w:t>
      </w:r>
      <w:r w:rsidR="00A910E0">
        <w:t xml:space="preserve">the merchant and BNPL provider. </w:t>
      </w:r>
      <w:r w:rsidR="00826A20" w:rsidRPr="00826A20">
        <w:t xml:space="preserve">This includes arrangements where the BNPL provider makes, </w:t>
      </w:r>
      <w:proofErr w:type="gramStart"/>
      <w:r w:rsidR="00826A20" w:rsidRPr="00826A20">
        <w:t>causes</w:t>
      </w:r>
      <w:proofErr w:type="gramEnd"/>
      <w:r w:rsidR="00826A20" w:rsidRPr="00826A20">
        <w:t xml:space="preserve"> or authorises payments to the merchant on behalf of the retail client, through an intermediary (including through a contractual arrangement with the intermediary). An example of this arrangement may include an arrangement with a payment gateway provider.</w:t>
      </w:r>
    </w:p>
    <w:p w14:paraId="414EBF12" w14:textId="770E0DA6" w:rsidR="00855830" w:rsidRDefault="00855830" w:rsidP="00EB0BDE">
      <w:pPr>
        <w:pStyle w:val="ListParagraph"/>
        <w:numPr>
          <w:ilvl w:val="0"/>
          <w:numId w:val="17"/>
        </w:numPr>
        <w:spacing w:before="0" w:beforeAutospacing="0" w:after="240" w:afterAutospacing="0"/>
      </w:pPr>
      <w:r w:rsidRPr="00BB16BD">
        <w:t>Paragraph b(</w:t>
      </w:r>
      <w:r>
        <w:t>i</w:t>
      </w:r>
      <w:r w:rsidRPr="00BB16BD">
        <w:t xml:space="preserve">i) of the definition </w:t>
      </w:r>
      <w:r>
        <w:t xml:space="preserve">of </w:t>
      </w:r>
      <w:r w:rsidRPr="00BB16BD">
        <w:t xml:space="preserve">buy now pay later </w:t>
      </w:r>
      <w:r w:rsidR="00BB16BD" w:rsidRPr="00BB16BD">
        <w:t>arrangement</w:t>
      </w:r>
      <w:r w:rsidRPr="00BB16BD">
        <w:t xml:space="preserve"> covers</w:t>
      </w:r>
      <w:r>
        <w:t xml:space="preserve"> </w:t>
      </w:r>
      <w:r w:rsidRPr="00BB16BD">
        <w:t xml:space="preserve">arrangements where </w:t>
      </w:r>
      <w:r>
        <w:t xml:space="preserve">a </w:t>
      </w:r>
      <w:r w:rsidRPr="00BB16BD">
        <w:t xml:space="preserve">retail </w:t>
      </w:r>
      <w:r w:rsidR="00BB16BD" w:rsidRPr="00BB16BD">
        <w:t xml:space="preserve">client enters into an arrangement directly with a BNPL provider and receives </w:t>
      </w:r>
      <w:r w:rsidR="00BE0141">
        <w:t>or uses</w:t>
      </w:r>
      <w:r w:rsidR="00BB16BD" w:rsidRPr="00BB16BD">
        <w:t xml:space="preserve"> a </w:t>
      </w:r>
      <w:r w:rsidR="00BB16BD">
        <w:t>credit card or</w:t>
      </w:r>
      <w:r w:rsidR="00BB16BD" w:rsidRPr="00BB16BD">
        <w:t xml:space="preserve"> debit card</w:t>
      </w:r>
      <w:r w:rsidR="00BB16BD">
        <w:t xml:space="preserve"> identifier </w:t>
      </w:r>
      <w:r w:rsidR="00BE0141">
        <w:t xml:space="preserve">provided by or made available from the BNPL provider, </w:t>
      </w:r>
      <w:r w:rsidR="00BB16BD" w:rsidRPr="00BB16BD">
        <w:t xml:space="preserve">which allows </w:t>
      </w:r>
      <w:r w:rsidR="00BE0141">
        <w:t>the retail client</w:t>
      </w:r>
      <w:r w:rsidR="00BB16BD" w:rsidRPr="00BB16BD">
        <w:t xml:space="preserve"> to make </w:t>
      </w:r>
      <w:r w:rsidR="007864A6">
        <w:t xml:space="preserve">and </w:t>
      </w:r>
      <w:r w:rsidR="008B44DC">
        <w:t>finance</w:t>
      </w:r>
      <w:r w:rsidR="007864A6">
        <w:t xml:space="preserve"> </w:t>
      </w:r>
      <w:r w:rsidR="00BB16BD" w:rsidRPr="00BB16BD">
        <w:t>purchases from any merchant.</w:t>
      </w:r>
    </w:p>
    <w:p w14:paraId="37533815" w14:textId="62BC9B46" w:rsidR="00A532D6" w:rsidRDefault="00855830" w:rsidP="00EB0BDE">
      <w:pPr>
        <w:pStyle w:val="LI-BodyTextParaa"/>
        <w:numPr>
          <w:ilvl w:val="0"/>
          <w:numId w:val="17"/>
        </w:numPr>
        <w:spacing w:before="0"/>
      </w:pPr>
      <w:r w:rsidRPr="00A91114">
        <w:t xml:space="preserve">Paragraph b(iii) of the definition of buy now pay later arrangement covers arrangements where a retail client </w:t>
      </w:r>
      <w:r w:rsidR="00BB16BD" w:rsidRPr="00A91114">
        <w:t xml:space="preserve">enters into an arrangement directly with a BNPL provider, where the BNPL provider pays </w:t>
      </w:r>
      <w:r w:rsidR="008B708D">
        <w:t>through a bill payment system specified by the merchant</w:t>
      </w:r>
      <w:r w:rsidR="007864A6" w:rsidRPr="00A91114">
        <w:t xml:space="preserve"> on behalf of the retail client, a bill issued by </w:t>
      </w:r>
      <w:r w:rsidR="00BB16BD" w:rsidRPr="00A91114">
        <w:t xml:space="preserve">a merchant </w:t>
      </w:r>
      <w:r w:rsidR="007864A6" w:rsidRPr="00A91114">
        <w:t xml:space="preserve">to </w:t>
      </w:r>
      <w:r w:rsidR="00BB16BD" w:rsidRPr="00A91114">
        <w:t xml:space="preserve">the retail client for a good or service. </w:t>
      </w:r>
    </w:p>
    <w:p w14:paraId="26938A9C" w14:textId="1C0F376E" w:rsidR="002770D2" w:rsidRDefault="00C76A6F" w:rsidP="00EB0BDE">
      <w:pPr>
        <w:pStyle w:val="LI-BodyTextParaa"/>
        <w:spacing w:before="120" w:after="120"/>
        <w:ind w:left="567"/>
        <w:rPr>
          <w:b/>
          <w:bCs/>
        </w:rPr>
      </w:pPr>
      <w:r w:rsidRPr="00A70C86">
        <w:rPr>
          <w:b/>
          <w:bCs/>
        </w:rPr>
        <w:t xml:space="preserve">Consultation </w:t>
      </w:r>
    </w:p>
    <w:p w14:paraId="1B73BE94" w14:textId="44757784" w:rsidR="00AE54BA" w:rsidRDefault="00AE54BA" w:rsidP="00EB0BDE">
      <w:pPr>
        <w:pStyle w:val="LI-BodyTextParaa"/>
        <w:numPr>
          <w:ilvl w:val="0"/>
          <w:numId w:val="17"/>
        </w:numPr>
        <w:spacing w:before="120" w:after="120"/>
      </w:pPr>
      <w:r>
        <w:t xml:space="preserve">ASIC has conducted consultations in accordance with section 1023F of the Act, as section 17 of the Legislation Act does not apply. </w:t>
      </w:r>
    </w:p>
    <w:p w14:paraId="05393B3F" w14:textId="0AEBB085" w:rsidR="00246E3F" w:rsidRPr="00246E3F" w:rsidRDefault="00246E3F" w:rsidP="00EB0BDE">
      <w:pPr>
        <w:pStyle w:val="LI-BodyTextParaa"/>
        <w:numPr>
          <w:ilvl w:val="0"/>
          <w:numId w:val="17"/>
        </w:numPr>
      </w:pPr>
      <w:r w:rsidRPr="00246E3F">
        <w:t xml:space="preserve">In July 2020, </w:t>
      </w:r>
      <w:r w:rsidR="00A91114">
        <w:t>A</w:t>
      </w:r>
      <w:r w:rsidRPr="00246E3F">
        <w:t xml:space="preserve">SIC </w:t>
      </w:r>
      <w:r>
        <w:t xml:space="preserve">published </w:t>
      </w:r>
      <w:hyperlink r:id="rId17" w:history="1">
        <w:r w:rsidRPr="00246E3F">
          <w:t>Consultation Paper 330</w:t>
        </w:r>
      </w:hyperlink>
      <w:r>
        <w:t>:</w:t>
      </w:r>
      <w:r w:rsidRPr="00246E3F">
        <w:t xml:space="preserve"> </w:t>
      </w:r>
      <w:r w:rsidRPr="00246E3F">
        <w:rPr>
          <w:i/>
          <w:iCs/>
        </w:rPr>
        <w:t xml:space="preserve">Using the product intervention power: Continuing credit contracts </w:t>
      </w:r>
      <w:r w:rsidRPr="00246E3F">
        <w:t>(</w:t>
      </w:r>
      <w:r w:rsidRPr="00175889">
        <w:rPr>
          <w:b/>
          <w:bCs/>
          <w:i/>
          <w:iCs/>
        </w:rPr>
        <w:t>CP 330</w:t>
      </w:r>
      <w:r w:rsidRPr="00246E3F">
        <w:t>)</w:t>
      </w:r>
      <w:r>
        <w:t xml:space="preserve"> proposing to </w:t>
      </w:r>
      <w:r w:rsidRPr="00246E3F">
        <w:t xml:space="preserve">make an industry-wide product intervention order by way of legislative instrument in </w:t>
      </w:r>
      <w:r w:rsidRPr="00246E3F">
        <w:lastRenderedPageBreak/>
        <w:t>relation to continuing credit contracts</w:t>
      </w:r>
      <w:r w:rsidR="001F0A32">
        <w:t xml:space="preserve"> to address significant detriment to retail clients resulting </w:t>
      </w:r>
      <w:r w:rsidR="00B61EAB">
        <w:t xml:space="preserve">from </w:t>
      </w:r>
      <w:r w:rsidR="001F0A32">
        <w:t>continuing credit contracts</w:t>
      </w:r>
      <w:r>
        <w:t xml:space="preserve">. </w:t>
      </w:r>
      <w:r w:rsidRPr="00246E3F">
        <w:t xml:space="preserve"> </w:t>
      </w:r>
    </w:p>
    <w:p w14:paraId="7FA298AE" w14:textId="2AD6878F" w:rsidR="00246E3F" w:rsidRDefault="00246E3F" w:rsidP="00EB0BDE">
      <w:pPr>
        <w:pStyle w:val="LI-BodyTextParaa"/>
        <w:numPr>
          <w:ilvl w:val="0"/>
          <w:numId w:val="17"/>
        </w:numPr>
      </w:pPr>
      <w:r w:rsidRPr="00246E3F">
        <w:t xml:space="preserve">In response to </w:t>
      </w:r>
      <w:hyperlink r:id="rId18" w:history="1">
        <w:r w:rsidRPr="00246E3F">
          <w:t>CP 330</w:t>
        </w:r>
      </w:hyperlink>
      <w:r w:rsidRPr="00246E3F">
        <w:t xml:space="preserve">, ASIC received over 900 submissions from interested and affected stakeholders including retail clients, industry bodies and participants, a comparison site, a complaints authority, consumer organisations and </w:t>
      </w:r>
      <w:r w:rsidR="00496212">
        <w:t xml:space="preserve">community </w:t>
      </w:r>
      <w:r w:rsidRPr="00246E3F">
        <w:t xml:space="preserve">legal centres. </w:t>
      </w:r>
    </w:p>
    <w:p w14:paraId="1BC83F47" w14:textId="77777777" w:rsidR="00246E3F" w:rsidRPr="00246E3F" w:rsidRDefault="00246E3F" w:rsidP="00EB0BDE">
      <w:pPr>
        <w:pStyle w:val="LI-BodyTextParaa"/>
        <w:numPr>
          <w:ilvl w:val="0"/>
          <w:numId w:val="17"/>
        </w:numPr>
      </w:pPr>
      <w:r w:rsidRPr="00246E3F">
        <w:t>Several of the</w:t>
      </w:r>
      <w:r w:rsidRPr="00585AC1">
        <w:t xml:space="preserve"> </w:t>
      </w:r>
      <w:r w:rsidRPr="00246E3F">
        <w:t>submissions</w:t>
      </w:r>
      <w:r w:rsidRPr="00585AC1">
        <w:t xml:space="preserve"> to CP</w:t>
      </w:r>
      <w:r w:rsidR="00836E76">
        <w:t xml:space="preserve"> </w:t>
      </w:r>
      <w:r w:rsidRPr="00585AC1">
        <w:t>330</w:t>
      </w:r>
      <w:r w:rsidRPr="00246E3F">
        <w:t xml:space="preserve"> </w:t>
      </w:r>
      <w:r w:rsidR="00C64EC2">
        <w:t xml:space="preserve">which </w:t>
      </w:r>
      <w:r w:rsidRPr="00246E3F">
        <w:t>ASIC received</w:t>
      </w:r>
      <w:r w:rsidR="00C64EC2">
        <w:t>,</w:t>
      </w:r>
      <w:r w:rsidRPr="00246E3F">
        <w:t xml:space="preserve"> stated that the proposed continuing credit contracts product intervention order would capture certain sub-classes of continuing credit contracts that were not being issued to retail clients in the way described in CP 330. </w:t>
      </w:r>
    </w:p>
    <w:p w14:paraId="6C304834" w14:textId="77777777" w:rsidR="00246E3F" w:rsidRPr="00246E3F" w:rsidRDefault="00246E3F" w:rsidP="00EB0BDE">
      <w:pPr>
        <w:pStyle w:val="LI-BodyTextParaa"/>
        <w:numPr>
          <w:ilvl w:val="0"/>
          <w:numId w:val="17"/>
        </w:numPr>
      </w:pPr>
      <w:r w:rsidRPr="00246E3F">
        <w:t xml:space="preserve">To address any potential unintended consequences, ASIC made changes to the draft product intervention order to provide certain exclusions for: </w:t>
      </w:r>
    </w:p>
    <w:p w14:paraId="134EE2B0" w14:textId="77777777" w:rsidR="00246E3F" w:rsidRPr="00246E3F" w:rsidRDefault="00246E3F" w:rsidP="00AE54BA">
      <w:pPr>
        <w:pStyle w:val="LI-BodyTextParaa"/>
        <w:numPr>
          <w:ilvl w:val="1"/>
          <w:numId w:val="29"/>
        </w:numPr>
      </w:pPr>
      <w:r w:rsidRPr="00246E3F">
        <w:t xml:space="preserve">buy now pay later arrangements; and </w:t>
      </w:r>
    </w:p>
    <w:p w14:paraId="545B2DB6" w14:textId="77777777" w:rsidR="00246E3F" w:rsidRPr="00246E3F" w:rsidRDefault="00246E3F" w:rsidP="00AE54BA">
      <w:pPr>
        <w:pStyle w:val="LI-BodyTextParaa"/>
        <w:numPr>
          <w:ilvl w:val="1"/>
          <w:numId w:val="29"/>
        </w:numPr>
      </w:pPr>
      <w:r w:rsidRPr="00246E3F">
        <w:t xml:space="preserve">collateral non-cash payment facilities. </w:t>
      </w:r>
    </w:p>
    <w:p w14:paraId="48F58CAA" w14:textId="46EA3D4F" w:rsidR="00585AC1" w:rsidRPr="00246E3F" w:rsidRDefault="00246E3F" w:rsidP="00EB0BDE">
      <w:pPr>
        <w:pStyle w:val="LI-BodyTextParaa"/>
        <w:numPr>
          <w:ilvl w:val="0"/>
          <w:numId w:val="17"/>
        </w:numPr>
        <w:rPr>
          <w:szCs w:val="22"/>
        </w:rPr>
      </w:pPr>
      <w:bookmarkStart w:id="7" w:name="_ASICRef949"/>
      <w:r w:rsidRPr="00246E3F">
        <w:t xml:space="preserve">ASIC sought feedback on these proposed changes by publishing an </w:t>
      </w:r>
      <w:r w:rsidR="004F4886">
        <w:t>A</w:t>
      </w:r>
      <w:r w:rsidRPr="00246E3F">
        <w:t>ddendum to CP 330 in November 2020</w:t>
      </w:r>
      <w:bookmarkEnd w:id="7"/>
      <w:r w:rsidR="00585AC1">
        <w:t xml:space="preserve">. </w:t>
      </w:r>
    </w:p>
    <w:p w14:paraId="0F221EAB" w14:textId="43873A41" w:rsidR="00246E3F" w:rsidRDefault="00246E3F" w:rsidP="00EB0BDE">
      <w:pPr>
        <w:pStyle w:val="LI-BodyTextParaa"/>
        <w:numPr>
          <w:ilvl w:val="0"/>
          <w:numId w:val="17"/>
        </w:numPr>
      </w:pPr>
      <w:r>
        <w:t xml:space="preserve">On 9 December 2021 ASIC published </w:t>
      </w:r>
      <w:r w:rsidRPr="00C35510">
        <w:t>Consultation Paper 355</w:t>
      </w:r>
      <w:r>
        <w:t xml:space="preserve">: </w:t>
      </w:r>
      <w:r w:rsidRPr="00175889">
        <w:rPr>
          <w:i/>
          <w:iCs/>
        </w:rPr>
        <w:t>Product intervention order – Short term credit and continuing credit contracts</w:t>
      </w:r>
      <w:r w:rsidRPr="00C35510">
        <w:t xml:space="preserve"> </w:t>
      </w:r>
      <w:r>
        <w:t>(</w:t>
      </w:r>
      <w:r w:rsidRPr="00175889">
        <w:rPr>
          <w:b/>
          <w:bCs/>
          <w:i/>
          <w:iCs/>
        </w:rPr>
        <w:t>CP 355</w:t>
      </w:r>
      <w:r>
        <w:t xml:space="preserve">) </w:t>
      </w:r>
      <w:r w:rsidRPr="00C35510">
        <w:t>proposing to make</w:t>
      </w:r>
      <w:r>
        <w:t xml:space="preserve"> the short term credit product intervention order (</w:t>
      </w:r>
      <w:r w:rsidR="00C64EC2">
        <w:t>i</w:t>
      </w:r>
      <w:r>
        <w:t xml:space="preserve">n substantially the same terms as the short term credit product intervention </w:t>
      </w:r>
      <w:r w:rsidR="00496212">
        <w:t xml:space="preserve">order </w:t>
      </w:r>
      <w:r>
        <w:t xml:space="preserve">made in 2019) and the continuing credit </w:t>
      </w:r>
      <w:r w:rsidR="00C64EC2">
        <w:t xml:space="preserve">contracts </w:t>
      </w:r>
      <w:r>
        <w:t xml:space="preserve">product intervention order. </w:t>
      </w:r>
    </w:p>
    <w:p w14:paraId="2AFF2F7C" w14:textId="77777777" w:rsidR="0064334E" w:rsidRDefault="0064334E" w:rsidP="00EB0BDE">
      <w:pPr>
        <w:pStyle w:val="LI-BodyTextParaa"/>
        <w:numPr>
          <w:ilvl w:val="0"/>
          <w:numId w:val="17"/>
        </w:numPr>
      </w:pPr>
      <w:r>
        <w:t xml:space="preserve">In response to CP 355 ASIC received a further nine submissions. </w:t>
      </w:r>
    </w:p>
    <w:p w14:paraId="006D6F5E" w14:textId="4D17E643" w:rsidR="00EB0BDE" w:rsidRPr="002052BB" w:rsidRDefault="0064334E" w:rsidP="00B43F06">
      <w:pPr>
        <w:pStyle w:val="LI-BodyTextParaa"/>
        <w:numPr>
          <w:ilvl w:val="0"/>
          <w:numId w:val="17"/>
        </w:numPr>
        <w:rPr>
          <w:b/>
        </w:rPr>
      </w:pPr>
      <w:r>
        <w:t xml:space="preserve">The submissions to CP 330, the Addendum to CP 330 and CP 355 were </w:t>
      </w:r>
      <w:proofErr w:type="gramStart"/>
      <w:r>
        <w:t>taken into account</w:t>
      </w:r>
      <w:proofErr w:type="gramEnd"/>
      <w:r>
        <w:t xml:space="preserve"> when making the instrument. The submissions are publicly available on ASIC’s website, excluding confidential submissions.   </w:t>
      </w:r>
      <w:bookmarkEnd w:id="4"/>
    </w:p>
    <w:p w14:paraId="54C3E3C3" w14:textId="17A06C74" w:rsidR="00EA17A6" w:rsidRPr="00585AC1" w:rsidRDefault="00EA17A6" w:rsidP="00585AC1">
      <w:pPr>
        <w:pStyle w:val="LI-BodyTextParaa"/>
        <w:ind w:left="0" w:firstLine="0"/>
      </w:pPr>
      <w:r w:rsidRPr="00585AC1">
        <w:rPr>
          <w:b/>
        </w:rPr>
        <w:t xml:space="preserve">Statement of Compatibility with Human Rights  </w:t>
      </w:r>
    </w:p>
    <w:p w14:paraId="7A059836" w14:textId="1585ED4E" w:rsidR="004C6760" w:rsidRPr="00585AC1" w:rsidRDefault="00223DCF" w:rsidP="00EB0BDE">
      <w:pPr>
        <w:pStyle w:val="LI-BodyTextParaa"/>
        <w:numPr>
          <w:ilvl w:val="0"/>
          <w:numId w:val="17"/>
        </w:numPr>
      </w:pPr>
      <w:r w:rsidRPr="00585AC1">
        <w:t xml:space="preserve">The Explanatory Statement for a disallowable legislative instrument must contain a Statement of Compatibility with Human Rights under subsection 9(1) of the </w:t>
      </w:r>
      <w:r w:rsidRPr="00585AC1">
        <w:rPr>
          <w:i/>
          <w:iCs/>
        </w:rPr>
        <w:t>Human Rights (Parliamentary Scrutiny) Act 2011.</w:t>
      </w:r>
      <w:r w:rsidRPr="00585AC1">
        <w:rPr>
          <w:iCs/>
        </w:rPr>
        <w:t xml:space="preserve"> </w:t>
      </w:r>
      <w:r w:rsidRPr="00585AC1">
        <w:t xml:space="preserve">A Statement of Compatibility with Human Rights is in </w:t>
      </w:r>
      <w:r w:rsidRPr="00585AC1">
        <w:rPr>
          <w:u w:val="single"/>
        </w:rPr>
        <w:t>Attachment</w:t>
      </w:r>
      <w:r w:rsidR="00D2698D" w:rsidRPr="00585AC1">
        <w:rPr>
          <w:u w:val="single"/>
        </w:rPr>
        <w:t xml:space="preserve"> B</w:t>
      </w:r>
      <w:r w:rsidRPr="00585AC1">
        <w:t xml:space="preserve">. </w:t>
      </w:r>
    </w:p>
    <w:p w14:paraId="5BE1ED7C" w14:textId="77777777" w:rsidR="00223DCF" w:rsidRPr="00585AC1" w:rsidRDefault="00585AC1" w:rsidP="00223DCF">
      <w:pPr>
        <w:pStyle w:val="LI-BodyTextParaa"/>
        <w:ind w:left="567"/>
        <w:jc w:val="right"/>
        <w:rPr>
          <w:u w:val="single"/>
        </w:rPr>
      </w:pPr>
      <w:r w:rsidRPr="00585AC1">
        <w:rPr>
          <w:u w:val="single"/>
        </w:rPr>
        <w:br w:type="page"/>
      </w:r>
      <w:r w:rsidR="007F70B6" w:rsidRPr="00585AC1">
        <w:rPr>
          <w:u w:val="single"/>
        </w:rPr>
        <w:lastRenderedPageBreak/>
        <w:t>A</w:t>
      </w:r>
      <w:r w:rsidR="00223DCF" w:rsidRPr="00585AC1">
        <w:rPr>
          <w:u w:val="single"/>
        </w:rPr>
        <w:t>ttachment</w:t>
      </w:r>
      <w:r w:rsidR="00D2698D" w:rsidRPr="00585AC1">
        <w:rPr>
          <w:u w:val="single"/>
        </w:rPr>
        <w:t xml:space="preserve"> B</w:t>
      </w:r>
      <w:r w:rsidR="00223DCF" w:rsidRPr="00585AC1">
        <w:rPr>
          <w:u w:val="single"/>
        </w:rPr>
        <w:t xml:space="preserve"> </w:t>
      </w:r>
    </w:p>
    <w:p w14:paraId="0560A6AF" w14:textId="77777777" w:rsidR="00A15512" w:rsidRPr="00585AC1" w:rsidRDefault="001E77ED" w:rsidP="00223DCF">
      <w:pPr>
        <w:pStyle w:val="LI-BodyTextParaa"/>
        <w:ind w:left="567"/>
        <w:jc w:val="center"/>
        <w:rPr>
          <w:b/>
          <w:sz w:val="28"/>
          <w:szCs w:val="28"/>
        </w:rPr>
      </w:pPr>
      <w:r w:rsidRPr="00585AC1">
        <w:rPr>
          <w:b/>
          <w:sz w:val="28"/>
          <w:szCs w:val="28"/>
        </w:rPr>
        <w:t xml:space="preserve">Statement of </w:t>
      </w:r>
      <w:r w:rsidR="00223DCF" w:rsidRPr="00585AC1">
        <w:rPr>
          <w:b/>
          <w:sz w:val="28"/>
          <w:szCs w:val="28"/>
        </w:rPr>
        <w:t>C</w:t>
      </w:r>
      <w:r w:rsidRPr="00585AC1">
        <w:rPr>
          <w:b/>
          <w:sz w:val="28"/>
          <w:szCs w:val="28"/>
        </w:rPr>
        <w:t xml:space="preserve">ompatibility with </w:t>
      </w:r>
      <w:r w:rsidR="00223DCF" w:rsidRPr="00585AC1">
        <w:rPr>
          <w:b/>
          <w:sz w:val="28"/>
          <w:szCs w:val="28"/>
        </w:rPr>
        <w:t>H</w:t>
      </w:r>
      <w:r w:rsidRPr="00585AC1">
        <w:rPr>
          <w:b/>
          <w:sz w:val="28"/>
          <w:szCs w:val="28"/>
        </w:rPr>
        <w:t xml:space="preserve">uman </w:t>
      </w:r>
      <w:r w:rsidR="00223DCF" w:rsidRPr="00585AC1">
        <w:rPr>
          <w:b/>
          <w:sz w:val="28"/>
          <w:szCs w:val="28"/>
        </w:rPr>
        <w:t>R</w:t>
      </w:r>
      <w:r w:rsidRPr="00585AC1">
        <w:rPr>
          <w:b/>
          <w:sz w:val="28"/>
          <w:szCs w:val="28"/>
        </w:rPr>
        <w:t>ights</w:t>
      </w:r>
    </w:p>
    <w:p w14:paraId="67E74BFB" w14:textId="77777777" w:rsidR="00223DCF" w:rsidRPr="00585AC1" w:rsidRDefault="00223DCF" w:rsidP="00223DCF">
      <w:pPr>
        <w:pStyle w:val="LI-BodyTextNumbered"/>
        <w:ind w:left="0" w:firstLine="0"/>
        <w:rPr>
          <w:iCs/>
        </w:rPr>
      </w:pPr>
      <w:bookmarkStart w:id="8" w:name="_Hlk534286677"/>
      <w:r w:rsidRPr="00585AC1">
        <w:rPr>
          <w:iCs/>
        </w:rPr>
        <w:t xml:space="preserve">This Statement of Compatibility with Human Rights is prepared in accordance with Part 3 of </w:t>
      </w:r>
      <w:bookmarkStart w:id="9" w:name="_Hlk4054932"/>
      <w:r w:rsidRPr="00585AC1">
        <w:rPr>
          <w:iCs/>
        </w:rPr>
        <w:t xml:space="preserve">the </w:t>
      </w:r>
      <w:r w:rsidRPr="00585AC1">
        <w:rPr>
          <w:i/>
          <w:iCs/>
        </w:rPr>
        <w:t>Human Rights (Parliamentary Scrutiny) Act 2011</w:t>
      </w:r>
      <w:bookmarkEnd w:id="9"/>
      <w:r w:rsidRPr="00585AC1">
        <w:rPr>
          <w:iCs/>
        </w:rPr>
        <w:t xml:space="preserve">.   </w:t>
      </w:r>
    </w:p>
    <w:p w14:paraId="2F5AD62B" w14:textId="259CA730" w:rsidR="00503A8C" w:rsidRPr="00585AC1" w:rsidRDefault="00FE0C72" w:rsidP="00503A8C">
      <w:pPr>
        <w:pStyle w:val="LI-BodyTextNumbered"/>
        <w:ind w:left="0" w:firstLine="0"/>
        <w:rPr>
          <w:b/>
          <w:i/>
        </w:rPr>
      </w:pPr>
      <w:r w:rsidRPr="00585AC1">
        <w:rPr>
          <w:b/>
          <w:i/>
        </w:rPr>
        <w:t>ASIC Corporations (Product Intervention Order—</w:t>
      </w:r>
      <w:r w:rsidR="00585AC1">
        <w:rPr>
          <w:b/>
          <w:i/>
        </w:rPr>
        <w:t>Continuing Credit Contracts</w:t>
      </w:r>
      <w:r w:rsidRPr="00585AC1">
        <w:rPr>
          <w:b/>
          <w:i/>
        </w:rPr>
        <w:t>) Instrument</w:t>
      </w:r>
      <w:r w:rsidR="00503A8C" w:rsidRPr="00585AC1">
        <w:rPr>
          <w:b/>
          <w:i/>
        </w:rPr>
        <w:t> </w:t>
      </w:r>
      <w:r w:rsidR="00C64EC2">
        <w:rPr>
          <w:b/>
          <w:i/>
        </w:rPr>
        <w:t>2022/</w:t>
      </w:r>
      <w:r w:rsidR="00D8740B">
        <w:rPr>
          <w:b/>
          <w:i/>
        </w:rPr>
        <w:t>648</w:t>
      </w:r>
    </w:p>
    <w:p w14:paraId="4AD6FE5F" w14:textId="77777777" w:rsidR="00223DCF" w:rsidRPr="00585AC1" w:rsidRDefault="00223DCF" w:rsidP="00503A8C">
      <w:pPr>
        <w:pStyle w:val="LI-BodyTextNumbered"/>
        <w:ind w:left="0" w:firstLine="0"/>
        <w:rPr>
          <w:u w:val="single"/>
        </w:rPr>
      </w:pPr>
      <w:r w:rsidRPr="00585AC1">
        <w:rPr>
          <w:u w:val="single"/>
        </w:rPr>
        <w:t>Overview</w:t>
      </w:r>
    </w:p>
    <w:p w14:paraId="34E958AE" w14:textId="77777777" w:rsidR="00A324A2" w:rsidRPr="00585AC1" w:rsidRDefault="00503A8C" w:rsidP="00503A8C">
      <w:pPr>
        <w:spacing w:before="240" w:line="240" w:lineRule="auto"/>
        <w:ind w:left="567" w:hanging="567"/>
        <w:rPr>
          <w:rFonts w:eastAsia="Times New Roman"/>
          <w:sz w:val="24"/>
          <w:szCs w:val="24"/>
          <w:lang w:eastAsia="en-AU"/>
        </w:rPr>
      </w:pPr>
      <w:r w:rsidRPr="00585AC1">
        <w:rPr>
          <w:rFonts w:eastAsia="Times New Roman"/>
          <w:sz w:val="24"/>
          <w:szCs w:val="24"/>
          <w:lang w:eastAsia="en-AU"/>
        </w:rPr>
        <w:t>1.</w:t>
      </w:r>
      <w:r w:rsidRPr="00585AC1">
        <w:rPr>
          <w:rFonts w:eastAsia="Times New Roman"/>
          <w:sz w:val="24"/>
          <w:szCs w:val="24"/>
          <w:lang w:eastAsia="en-AU"/>
        </w:rPr>
        <w:tab/>
      </w:r>
      <w:r w:rsidR="00A324A2" w:rsidRPr="00585AC1">
        <w:rPr>
          <w:rFonts w:eastAsia="Times New Roman"/>
          <w:sz w:val="24"/>
          <w:szCs w:val="24"/>
          <w:lang w:eastAsia="en-AU"/>
        </w:rPr>
        <w:t xml:space="preserve">The instrument is a product intervention order made under </w:t>
      </w:r>
      <w:r w:rsidR="00FE0C72" w:rsidRPr="00585AC1">
        <w:rPr>
          <w:rFonts w:eastAsia="Times New Roman"/>
          <w:sz w:val="24"/>
          <w:szCs w:val="24"/>
          <w:lang w:eastAsia="en-AU"/>
        </w:rPr>
        <w:t xml:space="preserve">Part 7.9A of </w:t>
      </w:r>
      <w:r w:rsidR="00A324A2" w:rsidRPr="00585AC1">
        <w:rPr>
          <w:rFonts w:eastAsia="Times New Roman"/>
          <w:sz w:val="24"/>
          <w:szCs w:val="24"/>
          <w:lang w:eastAsia="en-AU"/>
        </w:rPr>
        <w:t xml:space="preserve">the </w:t>
      </w:r>
      <w:r w:rsidR="00A324A2" w:rsidRPr="00585AC1">
        <w:rPr>
          <w:rFonts w:eastAsia="Times New Roman"/>
          <w:i/>
          <w:sz w:val="24"/>
          <w:szCs w:val="24"/>
          <w:lang w:eastAsia="en-AU"/>
        </w:rPr>
        <w:t>Corporations</w:t>
      </w:r>
      <w:r w:rsidR="00332277" w:rsidRPr="00585AC1">
        <w:rPr>
          <w:rFonts w:eastAsia="Times New Roman"/>
          <w:i/>
          <w:sz w:val="24"/>
          <w:szCs w:val="24"/>
          <w:lang w:eastAsia="en-AU"/>
        </w:rPr>
        <w:t xml:space="preserve"> </w:t>
      </w:r>
      <w:r w:rsidR="00A324A2" w:rsidRPr="00585AC1">
        <w:rPr>
          <w:rFonts w:eastAsia="Times New Roman"/>
          <w:i/>
          <w:sz w:val="24"/>
          <w:szCs w:val="24"/>
          <w:lang w:eastAsia="en-AU"/>
        </w:rPr>
        <w:t>Act 2001</w:t>
      </w:r>
      <w:r w:rsidR="00A324A2" w:rsidRPr="00585AC1">
        <w:rPr>
          <w:rFonts w:eastAsia="Times New Roman"/>
          <w:sz w:val="24"/>
          <w:szCs w:val="24"/>
          <w:lang w:eastAsia="en-AU"/>
        </w:rPr>
        <w:t>, which prohibits specified conduct</w:t>
      </w:r>
      <w:r w:rsidRPr="00585AC1">
        <w:rPr>
          <w:rFonts w:eastAsia="Times New Roman"/>
          <w:sz w:val="24"/>
          <w:szCs w:val="24"/>
          <w:lang w:eastAsia="en-AU"/>
        </w:rPr>
        <w:t xml:space="preserve"> in relation to the provision of </w:t>
      </w:r>
      <w:r w:rsidR="00585AC1">
        <w:rPr>
          <w:rFonts w:eastAsia="Times New Roman"/>
          <w:sz w:val="24"/>
          <w:szCs w:val="24"/>
          <w:lang w:eastAsia="en-AU"/>
        </w:rPr>
        <w:t>continuing credit contracts</w:t>
      </w:r>
      <w:r w:rsidRPr="00585AC1">
        <w:rPr>
          <w:rFonts w:eastAsia="Times New Roman"/>
          <w:sz w:val="24"/>
          <w:szCs w:val="24"/>
          <w:lang w:eastAsia="en-AU"/>
        </w:rPr>
        <w:t xml:space="preserve"> except in accordance with certain conditions</w:t>
      </w:r>
      <w:r w:rsidR="00A324A2" w:rsidRPr="00585AC1">
        <w:rPr>
          <w:rFonts w:eastAsia="Times New Roman"/>
          <w:sz w:val="24"/>
          <w:szCs w:val="24"/>
          <w:lang w:eastAsia="en-AU"/>
        </w:rPr>
        <w:t xml:space="preserve">. </w:t>
      </w:r>
    </w:p>
    <w:p w14:paraId="543BEC9D" w14:textId="7153CB25" w:rsidR="001D116A" w:rsidRPr="001D116A" w:rsidRDefault="00503A8C" w:rsidP="001D116A">
      <w:pPr>
        <w:spacing w:before="240" w:line="240" w:lineRule="auto"/>
        <w:ind w:left="567" w:hanging="567"/>
        <w:rPr>
          <w:rFonts w:eastAsia="Times New Roman"/>
          <w:sz w:val="24"/>
          <w:szCs w:val="24"/>
          <w:lang w:eastAsia="en-AU"/>
        </w:rPr>
      </w:pPr>
      <w:r w:rsidRPr="00585AC1">
        <w:rPr>
          <w:rFonts w:eastAsia="Times New Roman"/>
          <w:sz w:val="24"/>
          <w:szCs w:val="24"/>
          <w:lang w:eastAsia="en-AU"/>
        </w:rPr>
        <w:t>2.</w:t>
      </w:r>
      <w:r w:rsidRPr="00585AC1">
        <w:rPr>
          <w:rFonts w:eastAsia="Times New Roman"/>
          <w:sz w:val="24"/>
          <w:szCs w:val="24"/>
          <w:lang w:eastAsia="en-AU"/>
        </w:rPr>
        <w:tab/>
      </w:r>
      <w:r w:rsidR="001D116A">
        <w:rPr>
          <w:rFonts w:eastAsia="Times New Roman"/>
          <w:sz w:val="24"/>
          <w:szCs w:val="24"/>
          <w:lang w:eastAsia="en-AU"/>
        </w:rPr>
        <w:t xml:space="preserve">The purpose of this instrument is to reduce the risk of significant detriment to retail clients resulting from a class of financial products that consists of continuing credit contracts where the continuing credit contract is </w:t>
      </w:r>
      <w:r w:rsidR="001D116A" w:rsidRPr="001D116A">
        <w:rPr>
          <w:rFonts w:eastAsia="Times New Roman"/>
          <w:sz w:val="24"/>
          <w:szCs w:val="24"/>
          <w:lang w:eastAsia="en-AU"/>
        </w:rPr>
        <w:t>provided:</w:t>
      </w:r>
    </w:p>
    <w:p w14:paraId="19F116A8" w14:textId="77777777" w:rsidR="001D116A" w:rsidRPr="001D116A" w:rsidRDefault="001D116A" w:rsidP="00EB0BDE">
      <w:pPr>
        <w:spacing w:before="240" w:line="240" w:lineRule="auto"/>
        <w:ind w:left="1134" w:hanging="567"/>
        <w:rPr>
          <w:rFonts w:eastAsia="Times New Roman"/>
          <w:sz w:val="24"/>
          <w:szCs w:val="24"/>
          <w:lang w:eastAsia="en-AU"/>
        </w:rPr>
      </w:pPr>
      <w:r w:rsidRPr="001D116A">
        <w:rPr>
          <w:rFonts w:eastAsia="Times New Roman"/>
          <w:sz w:val="24"/>
          <w:szCs w:val="24"/>
          <w:lang w:eastAsia="en-AU"/>
        </w:rPr>
        <w:t>(a)</w:t>
      </w:r>
      <w:r w:rsidRPr="001D116A">
        <w:rPr>
          <w:rFonts w:eastAsia="Times New Roman"/>
          <w:sz w:val="24"/>
          <w:szCs w:val="24"/>
          <w:lang w:eastAsia="en-AU"/>
        </w:rPr>
        <w:tab/>
        <w:t>by the continuing credit provider to a retail client; and</w:t>
      </w:r>
    </w:p>
    <w:p w14:paraId="50FEF9C8" w14:textId="79E07F24" w:rsidR="001D116A" w:rsidRPr="001D116A" w:rsidRDefault="001D116A" w:rsidP="00EB0BDE">
      <w:pPr>
        <w:spacing w:before="240" w:line="240" w:lineRule="auto"/>
        <w:ind w:left="1134" w:hanging="567"/>
        <w:rPr>
          <w:rFonts w:eastAsia="Times New Roman"/>
          <w:sz w:val="24"/>
          <w:szCs w:val="24"/>
          <w:lang w:eastAsia="en-AU"/>
        </w:rPr>
      </w:pPr>
      <w:r w:rsidRPr="001D116A">
        <w:rPr>
          <w:rFonts w:eastAsia="Times New Roman"/>
          <w:sz w:val="24"/>
          <w:szCs w:val="24"/>
          <w:lang w:eastAsia="en-AU"/>
        </w:rPr>
        <w:t>(b)</w:t>
      </w:r>
      <w:r w:rsidRPr="001D116A">
        <w:rPr>
          <w:rFonts w:eastAsia="Times New Roman"/>
          <w:sz w:val="24"/>
          <w:szCs w:val="24"/>
          <w:lang w:eastAsia="en-AU"/>
        </w:rPr>
        <w:tab/>
        <w:t xml:space="preserve">in conjunction with a separate collateral contract (other than a collateral non-cash payment facility) between the retail client and an associate of the credit provider, pursuant to which the associate charges significant fees or other charges; </w:t>
      </w:r>
    </w:p>
    <w:p w14:paraId="35739843" w14:textId="60C143D2" w:rsidR="001D116A" w:rsidRDefault="001D116A" w:rsidP="00EB0BDE">
      <w:pPr>
        <w:spacing w:before="240" w:line="240" w:lineRule="auto"/>
        <w:ind w:left="720"/>
        <w:rPr>
          <w:rFonts w:eastAsia="Times New Roman"/>
          <w:sz w:val="24"/>
          <w:szCs w:val="24"/>
          <w:lang w:eastAsia="en-AU"/>
        </w:rPr>
      </w:pPr>
      <w:r w:rsidRPr="001D116A">
        <w:rPr>
          <w:rFonts w:eastAsia="Times New Roman"/>
          <w:sz w:val="24"/>
          <w:szCs w:val="24"/>
          <w:lang w:eastAsia="en-AU"/>
        </w:rPr>
        <w:t>but that does not include a continuing credit contract that forms part of a buy now pay later arrangement.</w:t>
      </w:r>
    </w:p>
    <w:p w14:paraId="723BCCEE" w14:textId="77777777" w:rsidR="001872DC" w:rsidRPr="00585AC1" w:rsidRDefault="001872DC" w:rsidP="001872DC">
      <w:pPr>
        <w:pStyle w:val="LI-BodyTextNumbered"/>
        <w:ind w:left="567"/>
        <w:rPr>
          <w:u w:val="single"/>
        </w:rPr>
      </w:pPr>
      <w:bookmarkStart w:id="10" w:name="_Hlk534286807"/>
      <w:bookmarkEnd w:id="8"/>
      <w:r w:rsidRPr="00585AC1">
        <w:rPr>
          <w:u w:val="single"/>
        </w:rPr>
        <w:t>Assessment of human rights implications</w:t>
      </w:r>
    </w:p>
    <w:p w14:paraId="7B31B979" w14:textId="77777777" w:rsidR="000468FE" w:rsidRPr="00585AC1" w:rsidRDefault="00503A8C" w:rsidP="00D306F8">
      <w:pPr>
        <w:pStyle w:val="LI-BodyTextNumbered"/>
        <w:ind w:left="567"/>
      </w:pPr>
      <w:r w:rsidRPr="00585AC1">
        <w:t>4</w:t>
      </w:r>
      <w:r w:rsidR="001872DC" w:rsidRPr="00585AC1">
        <w:t>.</w:t>
      </w:r>
      <w:r w:rsidR="001872DC" w:rsidRPr="00585AC1">
        <w:tab/>
      </w:r>
      <w:bookmarkEnd w:id="10"/>
      <w:r w:rsidR="001872DC" w:rsidRPr="00585AC1">
        <w:t xml:space="preserve">This instrument </w:t>
      </w:r>
      <w:r w:rsidR="00D306F8" w:rsidRPr="00585AC1">
        <w:t>does not engage any of the applicable rights or freedoms</w:t>
      </w:r>
      <w:r w:rsidR="00023968" w:rsidRPr="00585AC1">
        <w:t xml:space="preserve">. </w:t>
      </w:r>
      <w:r w:rsidR="00435EEF" w:rsidRPr="00585AC1">
        <w:t xml:space="preserve"> </w:t>
      </w:r>
    </w:p>
    <w:p w14:paraId="3DA55044" w14:textId="77777777" w:rsidR="00CB2D96" w:rsidRPr="00585AC1" w:rsidRDefault="00CB2D96" w:rsidP="00D306F8">
      <w:pPr>
        <w:pStyle w:val="LI-BodyTextNumbered"/>
        <w:ind w:left="567"/>
        <w:rPr>
          <w:u w:val="single"/>
        </w:rPr>
      </w:pPr>
      <w:r w:rsidRPr="00585AC1">
        <w:rPr>
          <w:u w:val="single"/>
        </w:rPr>
        <w:t>Conclusion</w:t>
      </w:r>
    </w:p>
    <w:p w14:paraId="0A051D8B" w14:textId="77777777" w:rsidR="00CB2D96" w:rsidRPr="00EA17A6" w:rsidRDefault="00503A8C" w:rsidP="00CB2D96">
      <w:pPr>
        <w:pStyle w:val="LI-BodyTextNumbered"/>
        <w:ind w:left="567"/>
      </w:pPr>
      <w:r w:rsidRPr="00585AC1">
        <w:t>5</w:t>
      </w:r>
      <w:r w:rsidR="00CB2D96" w:rsidRPr="00585AC1">
        <w:t>.</w:t>
      </w:r>
      <w:r w:rsidR="00CB2D96" w:rsidRPr="00585AC1">
        <w:tab/>
        <w:t xml:space="preserve">This instrument is compatible with the human rights and freedoms recognised or declared in the international instruments listed in section 3 of </w:t>
      </w:r>
      <w:r w:rsidR="00CB2D96" w:rsidRPr="00585AC1">
        <w:rPr>
          <w:iCs/>
        </w:rPr>
        <w:t xml:space="preserve">the </w:t>
      </w:r>
      <w:r w:rsidR="00CB2D96" w:rsidRPr="00585AC1">
        <w:rPr>
          <w:i/>
          <w:iCs/>
        </w:rPr>
        <w:t>Human Rights (Parliamentary Scrutiny) Act 2011</w:t>
      </w:r>
      <w:r w:rsidR="007F70B6" w:rsidRPr="00585AC1">
        <w:t>.</w:t>
      </w:r>
      <w:r w:rsidR="007F70B6">
        <w:t xml:space="preserve"> </w:t>
      </w:r>
    </w:p>
    <w:sectPr w:rsidR="00CB2D96" w:rsidRPr="00EA17A6" w:rsidSect="00863657">
      <w:headerReference w:type="even" r:id="rId19"/>
      <w:headerReference w:type="default" r:id="rId20"/>
      <w:footerReference w:type="even" r:id="rId21"/>
      <w:footerReference w:type="default" r:id="rId22"/>
      <w:headerReference w:type="first" r:id="rId23"/>
      <w:footerReference w:type="first" r:id="rId24"/>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00050" w14:textId="77777777" w:rsidR="0008442E" w:rsidRDefault="0008442E" w:rsidP="00715914">
      <w:pPr>
        <w:spacing w:line="240" w:lineRule="auto"/>
      </w:pPr>
      <w:r>
        <w:separator/>
      </w:r>
    </w:p>
  </w:endnote>
  <w:endnote w:type="continuationSeparator" w:id="0">
    <w:p w14:paraId="514C83C3" w14:textId="77777777" w:rsidR="0008442E" w:rsidRDefault="0008442E" w:rsidP="00715914">
      <w:pPr>
        <w:spacing w:line="240" w:lineRule="auto"/>
      </w:pPr>
      <w:r>
        <w:continuationSeparator/>
      </w:r>
    </w:p>
  </w:endnote>
  <w:endnote w:type="continuationNotice" w:id="1">
    <w:p w14:paraId="48FED1B3" w14:textId="77777777" w:rsidR="0008442E" w:rsidRDefault="000844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A6647" w14:textId="77777777" w:rsidR="00A537F4" w:rsidRDefault="00A53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0FF9" w14:textId="77777777" w:rsidR="00AA220C" w:rsidRDefault="00AA220C">
    <w:pPr>
      <w:pStyle w:val="Footer"/>
      <w:jc w:val="center"/>
    </w:pPr>
    <w:r>
      <w:fldChar w:fldCharType="begin"/>
    </w:r>
    <w:r>
      <w:instrText xml:space="preserve"> PAGE   \* MERGEFORMAT </w:instrText>
    </w:r>
    <w:r>
      <w:fldChar w:fldCharType="separate"/>
    </w:r>
    <w:r>
      <w:rPr>
        <w:noProof/>
      </w:rPr>
      <w:t>2</w:t>
    </w:r>
    <w:r>
      <w:rPr>
        <w:noProof/>
      </w:rPr>
      <w:fldChar w:fldCharType="end"/>
    </w:r>
  </w:p>
  <w:p w14:paraId="662F853E" w14:textId="77777777" w:rsidR="00AA220C" w:rsidRDefault="00AA22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404C" w14:textId="77777777" w:rsidR="00A537F4" w:rsidRDefault="00A53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FFEF" w14:textId="77777777" w:rsidR="0008442E" w:rsidRDefault="0008442E" w:rsidP="00715914">
      <w:pPr>
        <w:spacing w:line="240" w:lineRule="auto"/>
      </w:pPr>
      <w:r>
        <w:separator/>
      </w:r>
    </w:p>
  </w:footnote>
  <w:footnote w:type="continuationSeparator" w:id="0">
    <w:p w14:paraId="7EDD17D3" w14:textId="77777777" w:rsidR="0008442E" w:rsidRDefault="0008442E" w:rsidP="00715914">
      <w:pPr>
        <w:spacing w:line="240" w:lineRule="auto"/>
      </w:pPr>
      <w:r>
        <w:continuationSeparator/>
      </w:r>
    </w:p>
  </w:footnote>
  <w:footnote w:type="continuationNotice" w:id="1">
    <w:p w14:paraId="18FE9195" w14:textId="77777777" w:rsidR="0008442E" w:rsidRDefault="000844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BB0BB" w14:textId="77777777" w:rsidR="00AA220C" w:rsidRPr="00243EC0" w:rsidRDefault="00AA220C"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AA220C" w:rsidRPr="00E40FF8" w14:paraId="3E96364D" w14:textId="77777777" w:rsidTr="001E77ED">
      <w:tc>
        <w:tcPr>
          <w:tcW w:w="4253" w:type="dxa"/>
          <w:shd w:val="clear" w:color="auto" w:fill="auto"/>
        </w:tcPr>
        <w:p w14:paraId="4C2EB07D" w14:textId="77777777" w:rsidR="00AA220C" w:rsidRDefault="00AA220C" w:rsidP="00E40FF8">
          <w:pPr>
            <w:pStyle w:val="LI-Header"/>
            <w:pBdr>
              <w:bottom w:val="none" w:sz="0" w:space="0" w:color="auto"/>
            </w:pBdr>
            <w:jc w:val="left"/>
          </w:pPr>
        </w:p>
      </w:tc>
      <w:tc>
        <w:tcPr>
          <w:tcW w:w="4060" w:type="dxa"/>
          <w:shd w:val="clear" w:color="auto" w:fill="auto"/>
        </w:tcPr>
        <w:p w14:paraId="36358759" w14:textId="77777777" w:rsidR="00AA220C" w:rsidRDefault="00AA220C" w:rsidP="00F03BB5">
          <w:pPr>
            <w:pStyle w:val="LI-BodyTextNumbered"/>
          </w:pPr>
        </w:p>
      </w:tc>
    </w:tr>
  </w:tbl>
  <w:p w14:paraId="23AE0110" w14:textId="77777777" w:rsidR="00AA220C" w:rsidRPr="00F4215A" w:rsidRDefault="00AA220C" w:rsidP="00F421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62A4" w14:textId="77777777" w:rsidR="00A537F4" w:rsidRDefault="00A53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A2BCA"/>
    <w:multiLevelType w:val="hybridMultilevel"/>
    <w:tmpl w:val="DA942156"/>
    <w:lvl w:ilvl="0" w:tplc="23189EE8">
      <w:start w:val="1"/>
      <w:numFmt w:val="decimal"/>
      <w:lvlText w:val="%1."/>
      <w:lvlJc w:val="left"/>
      <w:pPr>
        <w:ind w:left="930" w:hanging="57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C107BEB"/>
    <w:multiLevelType w:val="hybridMultilevel"/>
    <w:tmpl w:val="32C6548C"/>
    <w:lvl w:ilvl="0" w:tplc="0C090001">
      <w:start w:val="1"/>
      <w:numFmt w:val="bullet"/>
      <w:lvlText w:val=""/>
      <w:lvlJc w:val="left"/>
      <w:pPr>
        <w:ind w:left="1287" w:hanging="360"/>
      </w:pPr>
      <w:rPr>
        <w:rFonts w:ascii="Symbol" w:hAnsi="Symbol"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0DF22A62"/>
    <w:multiLevelType w:val="hybridMultilevel"/>
    <w:tmpl w:val="932EBA12"/>
    <w:lvl w:ilvl="0" w:tplc="488802CC">
      <w:start w:val="25"/>
      <w:numFmt w:val="decimal"/>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15:restartNumberingAfterBreak="0">
    <w:nsid w:val="0E99481D"/>
    <w:multiLevelType w:val="hybridMultilevel"/>
    <w:tmpl w:val="2FD441A6"/>
    <w:lvl w:ilvl="0" w:tplc="0C09000F">
      <w:start w:val="2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F7D569C"/>
    <w:multiLevelType w:val="hybridMultilevel"/>
    <w:tmpl w:val="C846CEEE"/>
    <w:lvl w:ilvl="0" w:tplc="0C09000F">
      <w:start w:val="1"/>
      <w:numFmt w:val="decimal"/>
      <w:lvlText w:val="%1."/>
      <w:lvlJc w:val="left"/>
      <w:pPr>
        <w:ind w:left="763" w:hanging="360"/>
      </w:pPr>
    </w:lvl>
    <w:lvl w:ilvl="1" w:tplc="0C090019" w:tentative="1">
      <w:start w:val="1"/>
      <w:numFmt w:val="lowerLetter"/>
      <w:lvlText w:val="%2."/>
      <w:lvlJc w:val="left"/>
      <w:pPr>
        <w:ind w:left="1483" w:hanging="360"/>
      </w:pPr>
    </w:lvl>
    <w:lvl w:ilvl="2" w:tplc="0C09001B" w:tentative="1">
      <w:start w:val="1"/>
      <w:numFmt w:val="lowerRoman"/>
      <w:lvlText w:val="%3."/>
      <w:lvlJc w:val="right"/>
      <w:pPr>
        <w:ind w:left="2203" w:hanging="180"/>
      </w:pPr>
    </w:lvl>
    <w:lvl w:ilvl="3" w:tplc="0C09000F" w:tentative="1">
      <w:start w:val="1"/>
      <w:numFmt w:val="decimal"/>
      <w:lvlText w:val="%4."/>
      <w:lvlJc w:val="left"/>
      <w:pPr>
        <w:ind w:left="2923" w:hanging="360"/>
      </w:pPr>
    </w:lvl>
    <w:lvl w:ilvl="4" w:tplc="0C090019" w:tentative="1">
      <w:start w:val="1"/>
      <w:numFmt w:val="lowerLetter"/>
      <w:lvlText w:val="%5."/>
      <w:lvlJc w:val="left"/>
      <w:pPr>
        <w:ind w:left="3643" w:hanging="360"/>
      </w:pPr>
    </w:lvl>
    <w:lvl w:ilvl="5" w:tplc="0C09001B" w:tentative="1">
      <w:start w:val="1"/>
      <w:numFmt w:val="lowerRoman"/>
      <w:lvlText w:val="%6."/>
      <w:lvlJc w:val="right"/>
      <w:pPr>
        <w:ind w:left="4363" w:hanging="180"/>
      </w:pPr>
    </w:lvl>
    <w:lvl w:ilvl="6" w:tplc="0C09000F" w:tentative="1">
      <w:start w:val="1"/>
      <w:numFmt w:val="decimal"/>
      <w:lvlText w:val="%7."/>
      <w:lvlJc w:val="left"/>
      <w:pPr>
        <w:ind w:left="5083" w:hanging="360"/>
      </w:pPr>
    </w:lvl>
    <w:lvl w:ilvl="7" w:tplc="0C090019" w:tentative="1">
      <w:start w:val="1"/>
      <w:numFmt w:val="lowerLetter"/>
      <w:lvlText w:val="%8."/>
      <w:lvlJc w:val="left"/>
      <w:pPr>
        <w:ind w:left="5803" w:hanging="360"/>
      </w:pPr>
    </w:lvl>
    <w:lvl w:ilvl="8" w:tplc="0C09001B" w:tentative="1">
      <w:start w:val="1"/>
      <w:numFmt w:val="lowerRoman"/>
      <w:lvlText w:val="%9."/>
      <w:lvlJc w:val="right"/>
      <w:pPr>
        <w:ind w:left="6523" w:hanging="180"/>
      </w:pPr>
    </w:lvl>
  </w:abstractNum>
  <w:abstractNum w:abstractNumId="17" w15:restartNumberingAfterBreak="0">
    <w:nsid w:val="14F36378"/>
    <w:multiLevelType w:val="hybridMultilevel"/>
    <w:tmpl w:val="3E884F8A"/>
    <w:lvl w:ilvl="0" w:tplc="E60C0896">
      <w:start w:val="1"/>
      <w:numFmt w:val="decimal"/>
      <w:lvlText w:val="%1."/>
      <w:lvlJc w:val="left"/>
      <w:pPr>
        <w:ind w:left="360" w:hanging="360"/>
      </w:pPr>
      <w:rPr>
        <w:b w:val="0"/>
        <w:bCs/>
      </w:rPr>
    </w:lvl>
    <w:lvl w:ilvl="1" w:tplc="5944E632">
      <w:start w:val="1"/>
      <w:numFmt w:val="lowerLetter"/>
      <w:lvlText w:val="(%2)"/>
      <w:lvlJc w:val="left"/>
      <w:pPr>
        <w:ind w:left="1298" w:hanging="360"/>
      </w:pPr>
      <w:rPr>
        <w:rFonts w:hint="default"/>
        <w:b w:val="0"/>
        <w:bCs w:val="0"/>
        <w:i w:val="0"/>
        <w:iCs w:val="0"/>
      </w:rPr>
    </w:lvl>
    <w:lvl w:ilvl="2" w:tplc="1A16167E">
      <w:start w:val="1"/>
      <w:numFmt w:val="lowerRoman"/>
      <w:lvlText w:val="(%3)"/>
      <w:lvlJc w:val="left"/>
      <w:pPr>
        <w:ind w:left="2018" w:hanging="180"/>
      </w:pPr>
      <w:rPr>
        <w:rFonts w:ascii="Times New Roman" w:hAnsi="Times New Roman" w:cs="Times New Roman" w:hint="default"/>
      </w:r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8" w15:restartNumberingAfterBreak="0">
    <w:nsid w:val="169F13C1"/>
    <w:multiLevelType w:val="hybridMultilevel"/>
    <w:tmpl w:val="32B01948"/>
    <w:lvl w:ilvl="0" w:tplc="4788A6D2">
      <w:start w:val="1"/>
      <w:numFmt w:val="lowerRoman"/>
      <w:lvlText w:val="%1."/>
      <w:lvlJc w:val="left"/>
      <w:pPr>
        <w:ind w:left="1080" w:hanging="720"/>
      </w:pPr>
      <w:rPr>
        <w:rFonts w:ascii="Times New Roman" w:eastAsia="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E0C6808"/>
    <w:multiLevelType w:val="multilevel"/>
    <w:tmpl w:val="37C61B0E"/>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0" w15:restartNumberingAfterBreak="0">
    <w:nsid w:val="281F5F48"/>
    <w:multiLevelType w:val="hybridMultilevel"/>
    <w:tmpl w:val="F38CCC7A"/>
    <w:lvl w:ilvl="0" w:tplc="0C09000F">
      <w:start w:val="1"/>
      <w:numFmt w:val="decimal"/>
      <w:lvlText w:val="%1."/>
      <w:lvlJc w:val="left"/>
      <w:pPr>
        <w:ind w:left="502" w:hanging="360"/>
      </w:pPr>
    </w:lvl>
    <w:lvl w:ilvl="1" w:tplc="69EAD68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A82243"/>
    <w:multiLevelType w:val="hybridMultilevel"/>
    <w:tmpl w:val="8B76949C"/>
    <w:lvl w:ilvl="0" w:tplc="C81C7128">
      <w:start w:val="27"/>
      <w:numFmt w:val="decimal"/>
      <w:lvlText w:val="%1."/>
      <w:lvlJc w:val="left"/>
      <w:pPr>
        <w:ind w:left="1222" w:hanging="360"/>
      </w:pPr>
      <w:rPr>
        <w:rFonts w:hint="default"/>
      </w:rPr>
    </w:lvl>
    <w:lvl w:ilvl="1" w:tplc="0C090019" w:tentative="1">
      <w:start w:val="1"/>
      <w:numFmt w:val="lowerLetter"/>
      <w:lvlText w:val="%2."/>
      <w:lvlJc w:val="left"/>
      <w:pPr>
        <w:ind w:left="1942" w:hanging="360"/>
      </w:pPr>
    </w:lvl>
    <w:lvl w:ilvl="2" w:tplc="0C09001B" w:tentative="1">
      <w:start w:val="1"/>
      <w:numFmt w:val="lowerRoman"/>
      <w:lvlText w:val="%3."/>
      <w:lvlJc w:val="right"/>
      <w:pPr>
        <w:ind w:left="2662" w:hanging="180"/>
      </w:pPr>
    </w:lvl>
    <w:lvl w:ilvl="3" w:tplc="0C09000F" w:tentative="1">
      <w:start w:val="1"/>
      <w:numFmt w:val="decimal"/>
      <w:lvlText w:val="%4."/>
      <w:lvlJc w:val="left"/>
      <w:pPr>
        <w:ind w:left="3382" w:hanging="360"/>
      </w:pPr>
    </w:lvl>
    <w:lvl w:ilvl="4" w:tplc="0C090019" w:tentative="1">
      <w:start w:val="1"/>
      <w:numFmt w:val="lowerLetter"/>
      <w:lvlText w:val="%5."/>
      <w:lvlJc w:val="left"/>
      <w:pPr>
        <w:ind w:left="4102" w:hanging="360"/>
      </w:pPr>
    </w:lvl>
    <w:lvl w:ilvl="5" w:tplc="0C09001B" w:tentative="1">
      <w:start w:val="1"/>
      <w:numFmt w:val="lowerRoman"/>
      <w:lvlText w:val="%6."/>
      <w:lvlJc w:val="right"/>
      <w:pPr>
        <w:ind w:left="4822" w:hanging="180"/>
      </w:pPr>
    </w:lvl>
    <w:lvl w:ilvl="6" w:tplc="0C09000F" w:tentative="1">
      <w:start w:val="1"/>
      <w:numFmt w:val="decimal"/>
      <w:lvlText w:val="%7."/>
      <w:lvlJc w:val="left"/>
      <w:pPr>
        <w:ind w:left="5542" w:hanging="360"/>
      </w:pPr>
    </w:lvl>
    <w:lvl w:ilvl="7" w:tplc="0C090019" w:tentative="1">
      <w:start w:val="1"/>
      <w:numFmt w:val="lowerLetter"/>
      <w:lvlText w:val="%8."/>
      <w:lvlJc w:val="left"/>
      <w:pPr>
        <w:ind w:left="6262" w:hanging="360"/>
      </w:pPr>
    </w:lvl>
    <w:lvl w:ilvl="8" w:tplc="0C09001B" w:tentative="1">
      <w:start w:val="1"/>
      <w:numFmt w:val="lowerRoman"/>
      <w:lvlText w:val="%9."/>
      <w:lvlJc w:val="right"/>
      <w:pPr>
        <w:ind w:left="6982" w:hanging="180"/>
      </w:pPr>
    </w:lvl>
  </w:abstractNum>
  <w:abstractNum w:abstractNumId="22" w15:restartNumberingAfterBreak="0">
    <w:nsid w:val="363B2CCE"/>
    <w:multiLevelType w:val="hybridMultilevel"/>
    <w:tmpl w:val="F2125B30"/>
    <w:lvl w:ilvl="0" w:tplc="3C0E6562">
      <w:start w:val="26"/>
      <w:numFmt w:val="decimal"/>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15:restartNumberingAfterBreak="0">
    <w:nsid w:val="408A3F79"/>
    <w:multiLevelType w:val="hybridMultilevel"/>
    <w:tmpl w:val="2B04BBE0"/>
    <w:lvl w:ilvl="0" w:tplc="6262DD16">
      <w:start w:val="3"/>
      <w:numFmt w:val="lowerLetter"/>
      <w:lvlText w:val="(%1)"/>
      <w:lvlJc w:val="left"/>
      <w:pPr>
        <w:ind w:left="720" w:hanging="360"/>
      </w:pPr>
      <w:rPr>
        <w:rFonts w:ascii="Times New Roman" w:eastAsia="Times New Roman" w:hAnsi="Times New Roman" w:cs="Times New Roman"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B32F6D"/>
    <w:multiLevelType w:val="hybridMultilevel"/>
    <w:tmpl w:val="B5446E62"/>
    <w:lvl w:ilvl="0" w:tplc="5A06F06A">
      <w:start w:val="3"/>
      <w:numFmt w:val="lowerLetter"/>
      <w:lvlText w:val="(%1)"/>
      <w:lvlJc w:val="left"/>
      <w:pPr>
        <w:ind w:left="720" w:hanging="360"/>
      </w:pPr>
      <w:rPr>
        <w:rFonts w:hint="default"/>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15437D"/>
    <w:multiLevelType w:val="hybridMultilevel"/>
    <w:tmpl w:val="C374AFC4"/>
    <w:lvl w:ilvl="0" w:tplc="17C2F5DC">
      <w:start w:val="3"/>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3A0302"/>
    <w:multiLevelType w:val="hybridMultilevel"/>
    <w:tmpl w:val="04581FE4"/>
    <w:lvl w:ilvl="0" w:tplc="0C09000F">
      <w:start w:val="2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78905D0"/>
    <w:multiLevelType w:val="hybridMultilevel"/>
    <w:tmpl w:val="93E0A32A"/>
    <w:lvl w:ilvl="0" w:tplc="0C09000F">
      <w:start w:val="1"/>
      <w:numFmt w:val="decimal"/>
      <w:lvlText w:val="%1."/>
      <w:lvlJc w:val="left"/>
      <w:pPr>
        <w:ind w:left="502" w:hanging="360"/>
      </w:pPr>
    </w:lvl>
    <w:lvl w:ilvl="1" w:tplc="69EAD684">
      <w:start w:val="1"/>
      <w:numFmt w:val="lowerLetter"/>
      <w:lvlText w:val="(%2)"/>
      <w:lvlJc w:val="left"/>
      <w:pPr>
        <w:ind w:left="1440" w:hanging="360"/>
      </w:pPr>
      <w:rPr>
        <w:rFonts w:hint="default"/>
      </w:rPr>
    </w:lvl>
    <w:lvl w:ilvl="2" w:tplc="1A16167E">
      <w:start w:val="1"/>
      <w:numFmt w:val="lowerRoman"/>
      <w:lvlText w:val="(%3)"/>
      <w:lvlJc w:val="left"/>
      <w:pPr>
        <w:ind w:left="2160" w:hanging="180"/>
      </w:pPr>
      <w:rPr>
        <w:rFonts w:ascii="Times New Roman" w:hAnsi="Times New Roman" w:cs="Times New Roman"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A486A45"/>
    <w:multiLevelType w:val="hybridMultilevel"/>
    <w:tmpl w:val="F38CCC7A"/>
    <w:lvl w:ilvl="0" w:tplc="0C09000F">
      <w:start w:val="1"/>
      <w:numFmt w:val="decimal"/>
      <w:lvlText w:val="%1."/>
      <w:lvlJc w:val="left"/>
      <w:pPr>
        <w:ind w:left="502" w:hanging="360"/>
      </w:pPr>
    </w:lvl>
    <w:lvl w:ilvl="1" w:tplc="69EAD68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D7B3723"/>
    <w:multiLevelType w:val="hybridMultilevel"/>
    <w:tmpl w:val="FAC60EAE"/>
    <w:lvl w:ilvl="0" w:tplc="CA721EA0">
      <w:start w:val="3"/>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AF90A6F8">
      <w:start w:val="1"/>
      <w:numFmt w:val="lowerRoman"/>
      <w:lvlText w:val="(%3)"/>
      <w:lvlJc w:val="right"/>
      <w:pPr>
        <w:ind w:left="3960" w:hanging="180"/>
      </w:pPr>
      <w:rPr>
        <w:rFonts w:ascii="Times New Roman" w:eastAsia="Times New Roman" w:hAnsi="Times New Roman" w:cs="Times New Roman"/>
      </w:r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1"/>
  </w:num>
  <w:num w:numId="13">
    <w:abstractNumId w:val="12"/>
  </w:num>
  <w:num w:numId="14">
    <w:abstractNumId w:val="26"/>
  </w:num>
  <w:num w:numId="15">
    <w:abstractNumId w:val="13"/>
  </w:num>
  <w:num w:numId="16">
    <w:abstractNumId w:val="10"/>
  </w:num>
  <w:num w:numId="17">
    <w:abstractNumId w:val="17"/>
  </w:num>
  <w:num w:numId="18">
    <w:abstractNumId w:val="30"/>
  </w:num>
  <w:num w:numId="19">
    <w:abstractNumId w:val="19"/>
  </w:num>
  <w:num w:numId="20">
    <w:abstractNumId w:val="19"/>
    <w:lvlOverride w:ilvl="0">
      <w:lvl w:ilvl="0">
        <w:start w:val="1"/>
        <w:numFmt w:val="decimal"/>
        <w:lvlText w:val="%1"/>
        <w:lvlJc w:val="left"/>
        <w:pPr>
          <w:tabs>
            <w:tab w:val="num" w:pos="2268"/>
          </w:tabs>
          <w:ind w:left="2268" w:hanging="1134"/>
        </w:pPr>
        <w:rPr>
          <w:rFonts w:hint="default"/>
          <w:b w:val="0"/>
          <w:i w:val="0"/>
          <w:color w:val="auto"/>
          <w:sz w:val="18"/>
          <w:szCs w:val="18"/>
        </w:rPr>
      </w:lvl>
    </w:lvlOverride>
    <w:lvlOverride w:ilvl="1">
      <w:lvl w:ilvl="1">
        <w:start w:val="1"/>
        <w:numFmt w:val="lowerLetter"/>
        <w:lvlText w:val="(%2)"/>
        <w:lvlJc w:val="left"/>
        <w:pPr>
          <w:tabs>
            <w:tab w:val="num" w:pos="2693"/>
          </w:tabs>
          <w:ind w:left="2693" w:hanging="425"/>
        </w:pPr>
        <w:rPr>
          <w:rFonts w:hint="default"/>
          <w:b w:val="0"/>
          <w:i w:val="0"/>
          <w:color w:val="auto"/>
          <w:sz w:val="18"/>
          <w:szCs w:val="18"/>
        </w:rPr>
      </w:lvl>
    </w:lvlOverride>
    <w:lvlOverride w:ilvl="2">
      <w:lvl w:ilvl="2">
        <w:start w:val="1"/>
        <w:numFmt w:val="lowerRoman"/>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Override>
    <w:lvlOverride w:ilvl="3">
      <w:lvl w:ilvl="3">
        <w:start w:val="1"/>
        <w:numFmt w:val="upperLetter"/>
        <w:lvlText w:val="(%4)"/>
        <w:lvlJc w:val="left"/>
        <w:pPr>
          <w:tabs>
            <w:tab w:val="num" w:pos="3544"/>
          </w:tabs>
          <w:ind w:left="3544" w:hanging="425"/>
        </w:pPr>
        <w:rPr>
          <w:rFonts w:hint="default"/>
          <w:sz w:val="16"/>
          <w:szCs w:val="16"/>
        </w:rPr>
      </w:lvl>
    </w:lvlOverride>
    <w:lvlOverride w:ilvl="4">
      <w:lvl w:ilvl="4">
        <w:start w:val="1"/>
        <w:numFmt w:val="upperRoman"/>
        <w:lvlText w:val="(%5)"/>
        <w:lvlJc w:val="left"/>
        <w:pPr>
          <w:tabs>
            <w:tab w:val="num" w:pos="3969"/>
          </w:tabs>
          <w:ind w:left="3969" w:hanging="425"/>
        </w:pPr>
        <w:rPr>
          <w:rFonts w:hint="default"/>
          <w:sz w:val="16"/>
          <w:szCs w:val="16"/>
        </w:rPr>
      </w:lvl>
    </w:lvlOverride>
    <w:lvlOverride w:ilvl="5">
      <w:lvl w:ilvl="5">
        <w:start w:val="1"/>
        <w:numFmt w:val="none"/>
        <w:lvlText w:val=""/>
        <w:lvlJc w:val="left"/>
        <w:pPr>
          <w:tabs>
            <w:tab w:val="num" w:pos="3960"/>
          </w:tabs>
          <w:ind w:left="2736" w:hanging="936"/>
        </w:pPr>
        <w:rPr>
          <w:rFonts w:hint="default"/>
        </w:rPr>
      </w:lvl>
    </w:lvlOverride>
    <w:lvlOverride w:ilvl="6">
      <w:lvl w:ilvl="6">
        <w:start w:val="1"/>
        <w:numFmt w:val="none"/>
        <w:lvlText w:val=""/>
        <w:lvlJc w:val="left"/>
        <w:pPr>
          <w:tabs>
            <w:tab w:val="num" w:pos="4320"/>
          </w:tabs>
          <w:ind w:left="3240" w:hanging="1080"/>
        </w:pPr>
        <w:rPr>
          <w:rFonts w:hint="default"/>
        </w:rPr>
      </w:lvl>
    </w:lvlOverride>
    <w:lvlOverride w:ilvl="7">
      <w:lvl w:ilvl="7">
        <w:start w:val="1"/>
        <w:numFmt w:val="none"/>
        <w:lvlText w:val=""/>
        <w:lvlJc w:val="left"/>
        <w:pPr>
          <w:tabs>
            <w:tab w:val="num" w:pos="5040"/>
          </w:tabs>
          <w:ind w:left="3744" w:hanging="1224"/>
        </w:pPr>
        <w:rPr>
          <w:rFonts w:hint="default"/>
        </w:rPr>
      </w:lvl>
    </w:lvlOverride>
    <w:lvlOverride w:ilvl="8">
      <w:lvl w:ilvl="8">
        <w:start w:val="1"/>
        <w:numFmt w:val="none"/>
        <w:lvlText w:val=""/>
        <w:lvlJc w:val="left"/>
        <w:pPr>
          <w:tabs>
            <w:tab w:val="num" w:pos="5760"/>
          </w:tabs>
          <w:ind w:left="4320" w:hanging="1440"/>
        </w:pPr>
        <w:rPr>
          <w:rFonts w:hint="default"/>
        </w:rPr>
      </w:lvl>
    </w:lvlOverride>
  </w:num>
  <w:num w:numId="21">
    <w:abstractNumId w:val="16"/>
  </w:num>
  <w:num w:numId="22">
    <w:abstractNumId w:val="20"/>
  </w:num>
  <w:num w:numId="23">
    <w:abstractNumId w:val="14"/>
  </w:num>
  <w:num w:numId="24">
    <w:abstractNumId w:val="22"/>
  </w:num>
  <w:num w:numId="25">
    <w:abstractNumId w:val="15"/>
  </w:num>
  <w:num w:numId="26">
    <w:abstractNumId w:val="21"/>
  </w:num>
  <w:num w:numId="27">
    <w:abstractNumId w:val="28"/>
  </w:num>
  <w:num w:numId="28">
    <w:abstractNumId w:val="27"/>
  </w:num>
  <w:num w:numId="29">
    <w:abstractNumId w:val="29"/>
  </w:num>
  <w:num w:numId="30">
    <w:abstractNumId w:val="25"/>
  </w:num>
  <w:num w:numId="31">
    <w:abstractNumId w:val="24"/>
  </w:num>
  <w:num w:numId="32">
    <w:abstractNumId w:val="18"/>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4266"/>
    <w:rsid w:val="00004470"/>
    <w:rsid w:val="00005446"/>
    <w:rsid w:val="00010374"/>
    <w:rsid w:val="000136AF"/>
    <w:rsid w:val="00013B8D"/>
    <w:rsid w:val="00014AB4"/>
    <w:rsid w:val="00015719"/>
    <w:rsid w:val="000209A2"/>
    <w:rsid w:val="00023968"/>
    <w:rsid w:val="00023D53"/>
    <w:rsid w:val="000270B0"/>
    <w:rsid w:val="000277FA"/>
    <w:rsid w:val="00030048"/>
    <w:rsid w:val="00033137"/>
    <w:rsid w:val="000437C1"/>
    <w:rsid w:val="00043B13"/>
    <w:rsid w:val="000468FE"/>
    <w:rsid w:val="00050BB0"/>
    <w:rsid w:val="0005365D"/>
    <w:rsid w:val="00054789"/>
    <w:rsid w:val="00056996"/>
    <w:rsid w:val="0006145A"/>
    <w:rsid w:val="000614BF"/>
    <w:rsid w:val="0006250C"/>
    <w:rsid w:val="000703FA"/>
    <w:rsid w:val="00081794"/>
    <w:rsid w:val="0008442E"/>
    <w:rsid w:val="00084C69"/>
    <w:rsid w:val="00084FF4"/>
    <w:rsid w:val="00085503"/>
    <w:rsid w:val="00087A58"/>
    <w:rsid w:val="00091C70"/>
    <w:rsid w:val="00092046"/>
    <w:rsid w:val="0009686A"/>
    <w:rsid w:val="000979FD"/>
    <w:rsid w:val="000A142F"/>
    <w:rsid w:val="000A230A"/>
    <w:rsid w:val="000A6C39"/>
    <w:rsid w:val="000B230C"/>
    <w:rsid w:val="000B58FA"/>
    <w:rsid w:val="000B67EC"/>
    <w:rsid w:val="000B77AD"/>
    <w:rsid w:val="000B7E99"/>
    <w:rsid w:val="000C1AD8"/>
    <w:rsid w:val="000C3631"/>
    <w:rsid w:val="000C55A0"/>
    <w:rsid w:val="000C69D6"/>
    <w:rsid w:val="000D041F"/>
    <w:rsid w:val="000D05EF"/>
    <w:rsid w:val="000D2BDB"/>
    <w:rsid w:val="000E096D"/>
    <w:rsid w:val="000E2261"/>
    <w:rsid w:val="000E3C2E"/>
    <w:rsid w:val="000F0142"/>
    <w:rsid w:val="000F21C1"/>
    <w:rsid w:val="00102441"/>
    <w:rsid w:val="00102CA6"/>
    <w:rsid w:val="0010745C"/>
    <w:rsid w:val="00110780"/>
    <w:rsid w:val="00116789"/>
    <w:rsid w:val="00125141"/>
    <w:rsid w:val="00131F1E"/>
    <w:rsid w:val="00132CEB"/>
    <w:rsid w:val="00132DBE"/>
    <w:rsid w:val="00142B62"/>
    <w:rsid w:val="00146064"/>
    <w:rsid w:val="00152200"/>
    <w:rsid w:val="001532EC"/>
    <w:rsid w:val="00153B32"/>
    <w:rsid w:val="00157B8B"/>
    <w:rsid w:val="00161778"/>
    <w:rsid w:val="001624E1"/>
    <w:rsid w:val="001641CB"/>
    <w:rsid w:val="00166C2F"/>
    <w:rsid w:val="00171A6E"/>
    <w:rsid w:val="00172C58"/>
    <w:rsid w:val="00175889"/>
    <w:rsid w:val="00176A93"/>
    <w:rsid w:val="001809D7"/>
    <w:rsid w:val="0018591A"/>
    <w:rsid w:val="001861C5"/>
    <w:rsid w:val="0018659E"/>
    <w:rsid w:val="001872DC"/>
    <w:rsid w:val="001939E1"/>
    <w:rsid w:val="00194C3E"/>
    <w:rsid w:val="00195382"/>
    <w:rsid w:val="00195BD4"/>
    <w:rsid w:val="001A3B40"/>
    <w:rsid w:val="001A6B35"/>
    <w:rsid w:val="001B3502"/>
    <w:rsid w:val="001C11EC"/>
    <w:rsid w:val="001C61C5"/>
    <w:rsid w:val="001C69C4"/>
    <w:rsid w:val="001D116A"/>
    <w:rsid w:val="001D37EF"/>
    <w:rsid w:val="001D65C2"/>
    <w:rsid w:val="001E1935"/>
    <w:rsid w:val="001E3590"/>
    <w:rsid w:val="001E5297"/>
    <w:rsid w:val="001E7407"/>
    <w:rsid w:val="001E77ED"/>
    <w:rsid w:val="001E787E"/>
    <w:rsid w:val="001F02B1"/>
    <w:rsid w:val="001F0A32"/>
    <w:rsid w:val="001F5D5E"/>
    <w:rsid w:val="001F6219"/>
    <w:rsid w:val="001F6CD4"/>
    <w:rsid w:val="00201654"/>
    <w:rsid w:val="00201D19"/>
    <w:rsid w:val="00205141"/>
    <w:rsid w:val="002052BB"/>
    <w:rsid w:val="00206C4D"/>
    <w:rsid w:val="0021053C"/>
    <w:rsid w:val="0021073E"/>
    <w:rsid w:val="0021228C"/>
    <w:rsid w:val="00215AF1"/>
    <w:rsid w:val="00220A36"/>
    <w:rsid w:val="00223DCF"/>
    <w:rsid w:val="002321E8"/>
    <w:rsid w:val="002363A1"/>
    <w:rsid w:val="00236EEC"/>
    <w:rsid w:val="00237717"/>
    <w:rsid w:val="002379A5"/>
    <w:rsid w:val="0024010F"/>
    <w:rsid w:val="00240749"/>
    <w:rsid w:val="002428AC"/>
    <w:rsid w:val="00243018"/>
    <w:rsid w:val="00243955"/>
    <w:rsid w:val="00243EC0"/>
    <w:rsid w:val="00244742"/>
    <w:rsid w:val="00246E3F"/>
    <w:rsid w:val="00251276"/>
    <w:rsid w:val="002525A5"/>
    <w:rsid w:val="00252EE3"/>
    <w:rsid w:val="002564A4"/>
    <w:rsid w:val="00263238"/>
    <w:rsid w:val="00265C0B"/>
    <w:rsid w:val="0026736C"/>
    <w:rsid w:val="00274C54"/>
    <w:rsid w:val="002770D2"/>
    <w:rsid w:val="00280068"/>
    <w:rsid w:val="00281308"/>
    <w:rsid w:val="00281813"/>
    <w:rsid w:val="00284719"/>
    <w:rsid w:val="00297ECB"/>
    <w:rsid w:val="002A0BA4"/>
    <w:rsid w:val="002A251A"/>
    <w:rsid w:val="002A7328"/>
    <w:rsid w:val="002A7BCF"/>
    <w:rsid w:val="002B1995"/>
    <w:rsid w:val="002B19F3"/>
    <w:rsid w:val="002B4A0D"/>
    <w:rsid w:val="002C0B68"/>
    <w:rsid w:val="002C737E"/>
    <w:rsid w:val="002C7B6F"/>
    <w:rsid w:val="002D043A"/>
    <w:rsid w:val="002D1E23"/>
    <w:rsid w:val="002D2F1F"/>
    <w:rsid w:val="002D5613"/>
    <w:rsid w:val="002D6224"/>
    <w:rsid w:val="002D7698"/>
    <w:rsid w:val="002E3F4B"/>
    <w:rsid w:val="002F1F15"/>
    <w:rsid w:val="002F562B"/>
    <w:rsid w:val="00304F8B"/>
    <w:rsid w:val="003237BC"/>
    <w:rsid w:val="003249EB"/>
    <w:rsid w:val="00327DDF"/>
    <w:rsid w:val="00332277"/>
    <w:rsid w:val="003354D2"/>
    <w:rsid w:val="00335747"/>
    <w:rsid w:val="00335BC6"/>
    <w:rsid w:val="003415D3"/>
    <w:rsid w:val="0034170A"/>
    <w:rsid w:val="00343363"/>
    <w:rsid w:val="00344701"/>
    <w:rsid w:val="0034632E"/>
    <w:rsid w:val="00347F66"/>
    <w:rsid w:val="00351642"/>
    <w:rsid w:val="003525CA"/>
    <w:rsid w:val="003528DA"/>
    <w:rsid w:val="00352B0F"/>
    <w:rsid w:val="00356690"/>
    <w:rsid w:val="00357DD0"/>
    <w:rsid w:val="00360459"/>
    <w:rsid w:val="00361F6A"/>
    <w:rsid w:val="00365497"/>
    <w:rsid w:val="00376EBD"/>
    <w:rsid w:val="00377E82"/>
    <w:rsid w:val="00387A96"/>
    <w:rsid w:val="003A1423"/>
    <w:rsid w:val="003A2A48"/>
    <w:rsid w:val="003B28C3"/>
    <w:rsid w:val="003B3B24"/>
    <w:rsid w:val="003B732F"/>
    <w:rsid w:val="003C6231"/>
    <w:rsid w:val="003C7BC2"/>
    <w:rsid w:val="003D0BFE"/>
    <w:rsid w:val="003D1316"/>
    <w:rsid w:val="003D2D42"/>
    <w:rsid w:val="003D5700"/>
    <w:rsid w:val="003D5C0C"/>
    <w:rsid w:val="003E0F99"/>
    <w:rsid w:val="003E19D5"/>
    <w:rsid w:val="003E341B"/>
    <w:rsid w:val="003E6760"/>
    <w:rsid w:val="003F23E1"/>
    <w:rsid w:val="003F271D"/>
    <w:rsid w:val="003F3EFD"/>
    <w:rsid w:val="0040053F"/>
    <w:rsid w:val="004034B7"/>
    <w:rsid w:val="00404C54"/>
    <w:rsid w:val="00405B9C"/>
    <w:rsid w:val="004116CD"/>
    <w:rsid w:val="004144EC"/>
    <w:rsid w:val="00417EB9"/>
    <w:rsid w:val="00420320"/>
    <w:rsid w:val="00424CA9"/>
    <w:rsid w:val="00431E9B"/>
    <w:rsid w:val="00435EEF"/>
    <w:rsid w:val="004379DD"/>
    <w:rsid w:val="004379E3"/>
    <w:rsid w:val="0044015E"/>
    <w:rsid w:val="004416DE"/>
    <w:rsid w:val="0044291A"/>
    <w:rsid w:val="00444ABD"/>
    <w:rsid w:val="004475E7"/>
    <w:rsid w:val="00447DB4"/>
    <w:rsid w:val="0045078F"/>
    <w:rsid w:val="0045390A"/>
    <w:rsid w:val="00457E2B"/>
    <w:rsid w:val="00460F1D"/>
    <w:rsid w:val="00461C52"/>
    <w:rsid w:val="00465DC1"/>
    <w:rsid w:val="00467661"/>
    <w:rsid w:val="00467E93"/>
    <w:rsid w:val="004705B7"/>
    <w:rsid w:val="00471116"/>
    <w:rsid w:val="00472DBE"/>
    <w:rsid w:val="00474A19"/>
    <w:rsid w:val="00474B52"/>
    <w:rsid w:val="00480399"/>
    <w:rsid w:val="00481C24"/>
    <w:rsid w:val="004823C0"/>
    <w:rsid w:val="0048276B"/>
    <w:rsid w:val="004914DF"/>
    <w:rsid w:val="0049153F"/>
    <w:rsid w:val="004936C5"/>
    <w:rsid w:val="00496212"/>
    <w:rsid w:val="00496B5F"/>
    <w:rsid w:val="00496F97"/>
    <w:rsid w:val="004A343D"/>
    <w:rsid w:val="004A44FC"/>
    <w:rsid w:val="004B0AA8"/>
    <w:rsid w:val="004B5B44"/>
    <w:rsid w:val="004C1CB1"/>
    <w:rsid w:val="004C34C5"/>
    <w:rsid w:val="004C6760"/>
    <w:rsid w:val="004D0A46"/>
    <w:rsid w:val="004D7E7F"/>
    <w:rsid w:val="004E063A"/>
    <w:rsid w:val="004E13F6"/>
    <w:rsid w:val="004E7BEC"/>
    <w:rsid w:val="004F158B"/>
    <w:rsid w:val="004F3824"/>
    <w:rsid w:val="004F4886"/>
    <w:rsid w:val="004F5365"/>
    <w:rsid w:val="004F7E13"/>
    <w:rsid w:val="0050044F"/>
    <w:rsid w:val="00503A8C"/>
    <w:rsid w:val="00505D3D"/>
    <w:rsid w:val="00506AF6"/>
    <w:rsid w:val="00507335"/>
    <w:rsid w:val="00516B8D"/>
    <w:rsid w:val="00516F39"/>
    <w:rsid w:val="00517E56"/>
    <w:rsid w:val="00532049"/>
    <w:rsid w:val="005326EC"/>
    <w:rsid w:val="005356A7"/>
    <w:rsid w:val="00536184"/>
    <w:rsid w:val="00537FBC"/>
    <w:rsid w:val="00540987"/>
    <w:rsid w:val="005442BF"/>
    <w:rsid w:val="00544C43"/>
    <w:rsid w:val="00547B3C"/>
    <w:rsid w:val="005513FF"/>
    <w:rsid w:val="0055143E"/>
    <w:rsid w:val="00554003"/>
    <w:rsid w:val="005574D1"/>
    <w:rsid w:val="0056051C"/>
    <w:rsid w:val="00561ABB"/>
    <w:rsid w:val="00565529"/>
    <w:rsid w:val="005657FE"/>
    <w:rsid w:val="00566CF5"/>
    <w:rsid w:val="0057000D"/>
    <w:rsid w:val="00572BB1"/>
    <w:rsid w:val="0057670F"/>
    <w:rsid w:val="00582A1A"/>
    <w:rsid w:val="00582D74"/>
    <w:rsid w:val="00584811"/>
    <w:rsid w:val="00585784"/>
    <w:rsid w:val="00585AC1"/>
    <w:rsid w:val="0058785F"/>
    <w:rsid w:val="00590F76"/>
    <w:rsid w:val="0059242C"/>
    <w:rsid w:val="00593AA6"/>
    <w:rsid w:val="00594161"/>
    <w:rsid w:val="005946DC"/>
    <w:rsid w:val="0059470C"/>
    <w:rsid w:val="00594749"/>
    <w:rsid w:val="00597F99"/>
    <w:rsid w:val="005B0124"/>
    <w:rsid w:val="005B1DDE"/>
    <w:rsid w:val="005B23F7"/>
    <w:rsid w:val="005B4067"/>
    <w:rsid w:val="005B49B9"/>
    <w:rsid w:val="005B780C"/>
    <w:rsid w:val="005C0242"/>
    <w:rsid w:val="005C3F41"/>
    <w:rsid w:val="005C6704"/>
    <w:rsid w:val="005D0489"/>
    <w:rsid w:val="005D1912"/>
    <w:rsid w:val="005D1FEA"/>
    <w:rsid w:val="005D2D09"/>
    <w:rsid w:val="005D3D41"/>
    <w:rsid w:val="005D61CC"/>
    <w:rsid w:val="005E4098"/>
    <w:rsid w:val="005E4810"/>
    <w:rsid w:val="005E6D69"/>
    <w:rsid w:val="005E6EA0"/>
    <w:rsid w:val="005F0AA2"/>
    <w:rsid w:val="005F3436"/>
    <w:rsid w:val="005F4140"/>
    <w:rsid w:val="005F65CD"/>
    <w:rsid w:val="00600219"/>
    <w:rsid w:val="006003C2"/>
    <w:rsid w:val="00603DC4"/>
    <w:rsid w:val="00607A71"/>
    <w:rsid w:val="00607FFA"/>
    <w:rsid w:val="00611292"/>
    <w:rsid w:val="006117CB"/>
    <w:rsid w:val="00616374"/>
    <w:rsid w:val="00620076"/>
    <w:rsid w:val="0062176C"/>
    <w:rsid w:val="0063185E"/>
    <w:rsid w:val="00633326"/>
    <w:rsid w:val="00634044"/>
    <w:rsid w:val="0063606C"/>
    <w:rsid w:val="006366FE"/>
    <w:rsid w:val="00640161"/>
    <w:rsid w:val="0064334E"/>
    <w:rsid w:val="00647A37"/>
    <w:rsid w:val="00652769"/>
    <w:rsid w:val="0065542F"/>
    <w:rsid w:val="006554FF"/>
    <w:rsid w:val="00670185"/>
    <w:rsid w:val="00670EA1"/>
    <w:rsid w:val="00677CC2"/>
    <w:rsid w:val="00682CC8"/>
    <w:rsid w:val="006905DE"/>
    <w:rsid w:val="0069207B"/>
    <w:rsid w:val="00693F29"/>
    <w:rsid w:val="00695069"/>
    <w:rsid w:val="006A0012"/>
    <w:rsid w:val="006A5250"/>
    <w:rsid w:val="006A5627"/>
    <w:rsid w:val="006A5A3A"/>
    <w:rsid w:val="006A5DC9"/>
    <w:rsid w:val="006A60C5"/>
    <w:rsid w:val="006B1CC1"/>
    <w:rsid w:val="006B3FF4"/>
    <w:rsid w:val="006B5789"/>
    <w:rsid w:val="006B6717"/>
    <w:rsid w:val="006B6C9F"/>
    <w:rsid w:val="006C30C5"/>
    <w:rsid w:val="006C48FA"/>
    <w:rsid w:val="006C7F8C"/>
    <w:rsid w:val="006D173A"/>
    <w:rsid w:val="006D79B7"/>
    <w:rsid w:val="006E5320"/>
    <w:rsid w:val="006E554A"/>
    <w:rsid w:val="006E6246"/>
    <w:rsid w:val="006E62A6"/>
    <w:rsid w:val="006F059C"/>
    <w:rsid w:val="006F20A1"/>
    <w:rsid w:val="006F318F"/>
    <w:rsid w:val="006F407E"/>
    <w:rsid w:val="006F4226"/>
    <w:rsid w:val="006F5522"/>
    <w:rsid w:val="006F78D2"/>
    <w:rsid w:val="006F7B2E"/>
    <w:rsid w:val="0070017E"/>
    <w:rsid w:val="00700B2C"/>
    <w:rsid w:val="00702EFD"/>
    <w:rsid w:val="007050A2"/>
    <w:rsid w:val="00705427"/>
    <w:rsid w:val="007055C3"/>
    <w:rsid w:val="00710ACE"/>
    <w:rsid w:val="00713084"/>
    <w:rsid w:val="0071399B"/>
    <w:rsid w:val="00714F20"/>
    <w:rsid w:val="0071590F"/>
    <w:rsid w:val="00715914"/>
    <w:rsid w:val="00716932"/>
    <w:rsid w:val="00723111"/>
    <w:rsid w:val="00731E00"/>
    <w:rsid w:val="00741EE8"/>
    <w:rsid w:val="007436C4"/>
    <w:rsid w:val="007440B7"/>
    <w:rsid w:val="007500C8"/>
    <w:rsid w:val="00756272"/>
    <w:rsid w:val="0076061B"/>
    <w:rsid w:val="00760687"/>
    <w:rsid w:val="007662B5"/>
    <w:rsid w:val="0076681A"/>
    <w:rsid w:val="00767612"/>
    <w:rsid w:val="007715C9"/>
    <w:rsid w:val="00771613"/>
    <w:rsid w:val="007737FE"/>
    <w:rsid w:val="00774EDD"/>
    <w:rsid w:val="0077506D"/>
    <w:rsid w:val="007757EC"/>
    <w:rsid w:val="00775FDF"/>
    <w:rsid w:val="00776F9D"/>
    <w:rsid w:val="00781AC5"/>
    <w:rsid w:val="00783E89"/>
    <w:rsid w:val="007842CE"/>
    <w:rsid w:val="00785A9E"/>
    <w:rsid w:val="007864A6"/>
    <w:rsid w:val="007868A9"/>
    <w:rsid w:val="00793915"/>
    <w:rsid w:val="007A5622"/>
    <w:rsid w:val="007A7BA3"/>
    <w:rsid w:val="007B00C2"/>
    <w:rsid w:val="007B4C4F"/>
    <w:rsid w:val="007C2253"/>
    <w:rsid w:val="007C74DC"/>
    <w:rsid w:val="007D1760"/>
    <w:rsid w:val="007D2195"/>
    <w:rsid w:val="007D230B"/>
    <w:rsid w:val="007D2411"/>
    <w:rsid w:val="007D7945"/>
    <w:rsid w:val="007E163D"/>
    <w:rsid w:val="007E667A"/>
    <w:rsid w:val="007E7777"/>
    <w:rsid w:val="007E7A76"/>
    <w:rsid w:val="007F1C92"/>
    <w:rsid w:val="007F1FE3"/>
    <w:rsid w:val="007F28C9"/>
    <w:rsid w:val="007F6F3C"/>
    <w:rsid w:val="007F70B6"/>
    <w:rsid w:val="008022D3"/>
    <w:rsid w:val="0080312D"/>
    <w:rsid w:val="00803587"/>
    <w:rsid w:val="008037D4"/>
    <w:rsid w:val="00805E48"/>
    <w:rsid w:val="008109DC"/>
    <w:rsid w:val="008117E9"/>
    <w:rsid w:val="00812392"/>
    <w:rsid w:val="00817A32"/>
    <w:rsid w:val="00824416"/>
    <w:rsid w:val="00824498"/>
    <w:rsid w:val="00826A20"/>
    <w:rsid w:val="008301B6"/>
    <w:rsid w:val="00835179"/>
    <w:rsid w:val="00836E76"/>
    <w:rsid w:val="00840442"/>
    <w:rsid w:val="00844EBA"/>
    <w:rsid w:val="008527C0"/>
    <w:rsid w:val="00855830"/>
    <w:rsid w:val="00856A31"/>
    <w:rsid w:val="00860B58"/>
    <w:rsid w:val="00863657"/>
    <w:rsid w:val="008649C7"/>
    <w:rsid w:val="00867B37"/>
    <w:rsid w:val="008718DD"/>
    <w:rsid w:val="0087409A"/>
    <w:rsid w:val="008754D0"/>
    <w:rsid w:val="0088251A"/>
    <w:rsid w:val="008855C9"/>
    <w:rsid w:val="00886235"/>
    <w:rsid w:val="00886456"/>
    <w:rsid w:val="008916AB"/>
    <w:rsid w:val="00892814"/>
    <w:rsid w:val="008945E0"/>
    <w:rsid w:val="0089527F"/>
    <w:rsid w:val="0089729F"/>
    <w:rsid w:val="008A362B"/>
    <w:rsid w:val="008A46E1"/>
    <w:rsid w:val="008A4F43"/>
    <w:rsid w:val="008B2706"/>
    <w:rsid w:val="008B44A8"/>
    <w:rsid w:val="008B44DC"/>
    <w:rsid w:val="008B708D"/>
    <w:rsid w:val="008C0F29"/>
    <w:rsid w:val="008C163C"/>
    <w:rsid w:val="008C5DAA"/>
    <w:rsid w:val="008D0EE0"/>
    <w:rsid w:val="008D222A"/>
    <w:rsid w:val="008D3422"/>
    <w:rsid w:val="008D345E"/>
    <w:rsid w:val="008D37F0"/>
    <w:rsid w:val="008E45EA"/>
    <w:rsid w:val="008E6067"/>
    <w:rsid w:val="008F54E7"/>
    <w:rsid w:val="009016BE"/>
    <w:rsid w:val="00903422"/>
    <w:rsid w:val="00904F35"/>
    <w:rsid w:val="00905C6F"/>
    <w:rsid w:val="009063FC"/>
    <w:rsid w:val="00912A3B"/>
    <w:rsid w:val="009157B9"/>
    <w:rsid w:val="00915DF9"/>
    <w:rsid w:val="00916CAE"/>
    <w:rsid w:val="00921518"/>
    <w:rsid w:val="009254C3"/>
    <w:rsid w:val="00926940"/>
    <w:rsid w:val="009300B5"/>
    <w:rsid w:val="00930A0A"/>
    <w:rsid w:val="00932377"/>
    <w:rsid w:val="00933BBE"/>
    <w:rsid w:val="009420A0"/>
    <w:rsid w:val="009422BF"/>
    <w:rsid w:val="00943D69"/>
    <w:rsid w:val="009460DC"/>
    <w:rsid w:val="00946759"/>
    <w:rsid w:val="00947D5A"/>
    <w:rsid w:val="00947ECF"/>
    <w:rsid w:val="009532A5"/>
    <w:rsid w:val="00955175"/>
    <w:rsid w:val="0095528E"/>
    <w:rsid w:val="00962314"/>
    <w:rsid w:val="00965E48"/>
    <w:rsid w:val="0096753E"/>
    <w:rsid w:val="00977D14"/>
    <w:rsid w:val="00982242"/>
    <w:rsid w:val="00982AC6"/>
    <w:rsid w:val="009868E9"/>
    <w:rsid w:val="00986CE0"/>
    <w:rsid w:val="009944E6"/>
    <w:rsid w:val="00995CD4"/>
    <w:rsid w:val="009A00B2"/>
    <w:rsid w:val="009A3A6F"/>
    <w:rsid w:val="009A3F74"/>
    <w:rsid w:val="009A49C9"/>
    <w:rsid w:val="009B4BDD"/>
    <w:rsid w:val="009C451F"/>
    <w:rsid w:val="009D1818"/>
    <w:rsid w:val="009D195A"/>
    <w:rsid w:val="009D560B"/>
    <w:rsid w:val="009E0421"/>
    <w:rsid w:val="009E5CFC"/>
    <w:rsid w:val="009E7833"/>
    <w:rsid w:val="009F6A9A"/>
    <w:rsid w:val="00A014BD"/>
    <w:rsid w:val="00A062EE"/>
    <w:rsid w:val="00A079CB"/>
    <w:rsid w:val="00A079E3"/>
    <w:rsid w:val="00A07DE8"/>
    <w:rsid w:val="00A12128"/>
    <w:rsid w:val="00A12F48"/>
    <w:rsid w:val="00A15512"/>
    <w:rsid w:val="00A158E8"/>
    <w:rsid w:val="00A15D98"/>
    <w:rsid w:val="00A1613F"/>
    <w:rsid w:val="00A22C98"/>
    <w:rsid w:val="00A231E2"/>
    <w:rsid w:val="00A30F14"/>
    <w:rsid w:val="00A313C5"/>
    <w:rsid w:val="00A324A2"/>
    <w:rsid w:val="00A33D55"/>
    <w:rsid w:val="00A34412"/>
    <w:rsid w:val="00A37939"/>
    <w:rsid w:val="00A40424"/>
    <w:rsid w:val="00A44C99"/>
    <w:rsid w:val="00A45518"/>
    <w:rsid w:val="00A52B0F"/>
    <w:rsid w:val="00A532D6"/>
    <w:rsid w:val="00A537F4"/>
    <w:rsid w:val="00A5632E"/>
    <w:rsid w:val="00A6219F"/>
    <w:rsid w:val="00A64912"/>
    <w:rsid w:val="00A70A74"/>
    <w:rsid w:val="00A70C86"/>
    <w:rsid w:val="00A7317F"/>
    <w:rsid w:val="00A73399"/>
    <w:rsid w:val="00A81D47"/>
    <w:rsid w:val="00A910E0"/>
    <w:rsid w:val="00A91114"/>
    <w:rsid w:val="00A91966"/>
    <w:rsid w:val="00A96A41"/>
    <w:rsid w:val="00A97E01"/>
    <w:rsid w:val="00AA01BE"/>
    <w:rsid w:val="00AA220C"/>
    <w:rsid w:val="00AA4184"/>
    <w:rsid w:val="00AA61F3"/>
    <w:rsid w:val="00AA66AC"/>
    <w:rsid w:val="00AB1DE8"/>
    <w:rsid w:val="00AB252E"/>
    <w:rsid w:val="00AB2C79"/>
    <w:rsid w:val="00AB3250"/>
    <w:rsid w:val="00AB69D9"/>
    <w:rsid w:val="00AC0886"/>
    <w:rsid w:val="00AC1A13"/>
    <w:rsid w:val="00AC1CC5"/>
    <w:rsid w:val="00AD1F73"/>
    <w:rsid w:val="00AD4C95"/>
    <w:rsid w:val="00AD5315"/>
    <w:rsid w:val="00AD5641"/>
    <w:rsid w:val="00AD7889"/>
    <w:rsid w:val="00AE1088"/>
    <w:rsid w:val="00AE54BA"/>
    <w:rsid w:val="00AE787B"/>
    <w:rsid w:val="00AF021B"/>
    <w:rsid w:val="00AF06CF"/>
    <w:rsid w:val="00B00FF5"/>
    <w:rsid w:val="00B03BBC"/>
    <w:rsid w:val="00B04305"/>
    <w:rsid w:val="00B07CDB"/>
    <w:rsid w:val="00B13133"/>
    <w:rsid w:val="00B15863"/>
    <w:rsid w:val="00B16A31"/>
    <w:rsid w:val="00B17DFD"/>
    <w:rsid w:val="00B2294F"/>
    <w:rsid w:val="00B2799D"/>
    <w:rsid w:val="00B308FE"/>
    <w:rsid w:val="00B324FA"/>
    <w:rsid w:val="00B33709"/>
    <w:rsid w:val="00B33B3C"/>
    <w:rsid w:val="00B33BD1"/>
    <w:rsid w:val="00B41A9A"/>
    <w:rsid w:val="00B43F06"/>
    <w:rsid w:val="00B50ADC"/>
    <w:rsid w:val="00B566B1"/>
    <w:rsid w:val="00B577C8"/>
    <w:rsid w:val="00B6177A"/>
    <w:rsid w:val="00B61EAB"/>
    <w:rsid w:val="00B624BE"/>
    <w:rsid w:val="00B63834"/>
    <w:rsid w:val="00B72734"/>
    <w:rsid w:val="00B750DC"/>
    <w:rsid w:val="00B80199"/>
    <w:rsid w:val="00B82D81"/>
    <w:rsid w:val="00B83204"/>
    <w:rsid w:val="00B87677"/>
    <w:rsid w:val="00B9126E"/>
    <w:rsid w:val="00BA0C0F"/>
    <w:rsid w:val="00BA1A7E"/>
    <w:rsid w:val="00BA220B"/>
    <w:rsid w:val="00BA3A57"/>
    <w:rsid w:val="00BA61EB"/>
    <w:rsid w:val="00BB16BD"/>
    <w:rsid w:val="00BB4E1A"/>
    <w:rsid w:val="00BB5C17"/>
    <w:rsid w:val="00BB6F70"/>
    <w:rsid w:val="00BC015E"/>
    <w:rsid w:val="00BC7183"/>
    <w:rsid w:val="00BC76AC"/>
    <w:rsid w:val="00BD0ECB"/>
    <w:rsid w:val="00BD3632"/>
    <w:rsid w:val="00BD76E5"/>
    <w:rsid w:val="00BE0141"/>
    <w:rsid w:val="00BE029E"/>
    <w:rsid w:val="00BE1AC6"/>
    <w:rsid w:val="00BE2155"/>
    <w:rsid w:val="00BE2213"/>
    <w:rsid w:val="00BE5A49"/>
    <w:rsid w:val="00BE6EF9"/>
    <w:rsid w:val="00BE719A"/>
    <w:rsid w:val="00BE720A"/>
    <w:rsid w:val="00BF06D8"/>
    <w:rsid w:val="00BF0D73"/>
    <w:rsid w:val="00BF2372"/>
    <w:rsid w:val="00BF2465"/>
    <w:rsid w:val="00BF75C9"/>
    <w:rsid w:val="00C0544A"/>
    <w:rsid w:val="00C11452"/>
    <w:rsid w:val="00C17677"/>
    <w:rsid w:val="00C25E7F"/>
    <w:rsid w:val="00C2746F"/>
    <w:rsid w:val="00C31529"/>
    <w:rsid w:val="00C324A0"/>
    <w:rsid w:val="00C3300F"/>
    <w:rsid w:val="00C332D4"/>
    <w:rsid w:val="00C3425F"/>
    <w:rsid w:val="00C34E77"/>
    <w:rsid w:val="00C35875"/>
    <w:rsid w:val="00C35DAF"/>
    <w:rsid w:val="00C4170B"/>
    <w:rsid w:val="00C42BF8"/>
    <w:rsid w:val="00C44AEE"/>
    <w:rsid w:val="00C45171"/>
    <w:rsid w:val="00C46FC6"/>
    <w:rsid w:val="00C50043"/>
    <w:rsid w:val="00C50B97"/>
    <w:rsid w:val="00C5179B"/>
    <w:rsid w:val="00C51804"/>
    <w:rsid w:val="00C57A8A"/>
    <w:rsid w:val="00C6434E"/>
    <w:rsid w:val="00C64EC2"/>
    <w:rsid w:val="00C66708"/>
    <w:rsid w:val="00C70CA8"/>
    <w:rsid w:val="00C734BF"/>
    <w:rsid w:val="00C74A21"/>
    <w:rsid w:val="00C7573B"/>
    <w:rsid w:val="00C76A6F"/>
    <w:rsid w:val="00C76F80"/>
    <w:rsid w:val="00C7761F"/>
    <w:rsid w:val="00C82386"/>
    <w:rsid w:val="00C82DC4"/>
    <w:rsid w:val="00C86B32"/>
    <w:rsid w:val="00C93C03"/>
    <w:rsid w:val="00CA66DC"/>
    <w:rsid w:val="00CB204F"/>
    <w:rsid w:val="00CB2C8E"/>
    <w:rsid w:val="00CB2D96"/>
    <w:rsid w:val="00CB2DC9"/>
    <w:rsid w:val="00CB3AB8"/>
    <w:rsid w:val="00CB602E"/>
    <w:rsid w:val="00CB6F35"/>
    <w:rsid w:val="00CC089A"/>
    <w:rsid w:val="00CC3A03"/>
    <w:rsid w:val="00CD2E90"/>
    <w:rsid w:val="00CD4FAB"/>
    <w:rsid w:val="00CD553A"/>
    <w:rsid w:val="00CE0149"/>
    <w:rsid w:val="00CE051D"/>
    <w:rsid w:val="00CE1335"/>
    <w:rsid w:val="00CE3CDA"/>
    <w:rsid w:val="00CE3D2A"/>
    <w:rsid w:val="00CE493D"/>
    <w:rsid w:val="00CE541A"/>
    <w:rsid w:val="00CE6178"/>
    <w:rsid w:val="00CE6D42"/>
    <w:rsid w:val="00CE7258"/>
    <w:rsid w:val="00CF07FA"/>
    <w:rsid w:val="00CF0BB2"/>
    <w:rsid w:val="00CF3EE8"/>
    <w:rsid w:val="00CF5313"/>
    <w:rsid w:val="00CF7E74"/>
    <w:rsid w:val="00D00243"/>
    <w:rsid w:val="00D030FF"/>
    <w:rsid w:val="00D050E6"/>
    <w:rsid w:val="00D0594B"/>
    <w:rsid w:val="00D06D44"/>
    <w:rsid w:val="00D13441"/>
    <w:rsid w:val="00D14965"/>
    <w:rsid w:val="00D150E7"/>
    <w:rsid w:val="00D152C0"/>
    <w:rsid w:val="00D20A4B"/>
    <w:rsid w:val="00D2358D"/>
    <w:rsid w:val="00D23F52"/>
    <w:rsid w:val="00D2698D"/>
    <w:rsid w:val="00D306F8"/>
    <w:rsid w:val="00D32F65"/>
    <w:rsid w:val="00D341C4"/>
    <w:rsid w:val="00D42663"/>
    <w:rsid w:val="00D43895"/>
    <w:rsid w:val="00D458FA"/>
    <w:rsid w:val="00D50E61"/>
    <w:rsid w:val="00D51340"/>
    <w:rsid w:val="00D513C4"/>
    <w:rsid w:val="00D52DC2"/>
    <w:rsid w:val="00D53BCC"/>
    <w:rsid w:val="00D54D29"/>
    <w:rsid w:val="00D648BB"/>
    <w:rsid w:val="00D64B73"/>
    <w:rsid w:val="00D702DE"/>
    <w:rsid w:val="00D70DFB"/>
    <w:rsid w:val="00D732EC"/>
    <w:rsid w:val="00D73C22"/>
    <w:rsid w:val="00D7584F"/>
    <w:rsid w:val="00D766DF"/>
    <w:rsid w:val="00D852F3"/>
    <w:rsid w:val="00D8740B"/>
    <w:rsid w:val="00D93106"/>
    <w:rsid w:val="00DA186E"/>
    <w:rsid w:val="00DA1933"/>
    <w:rsid w:val="00DA4116"/>
    <w:rsid w:val="00DA7E52"/>
    <w:rsid w:val="00DB10F9"/>
    <w:rsid w:val="00DB251C"/>
    <w:rsid w:val="00DB38AD"/>
    <w:rsid w:val="00DB4421"/>
    <w:rsid w:val="00DB4630"/>
    <w:rsid w:val="00DC0D84"/>
    <w:rsid w:val="00DC4445"/>
    <w:rsid w:val="00DC4F88"/>
    <w:rsid w:val="00DC7999"/>
    <w:rsid w:val="00DD0941"/>
    <w:rsid w:val="00DD1784"/>
    <w:rsid w:val="00DD2316"/>
    <w:rsid w:val="00DE0A85"/>
    <w:rsid w:val="00DE1B7F"/>
    <w:rsid w:val="00DE2C3D"/>
    <w:rsid w:val="00DE79F9"/>
    <w:rsid w:val="00DF1CAD"/>
    <w:rsid w:val="00DF298D"/>
    <w:rsid w:val="00DF4456"/>
    <w:rsid w:val="00DF557E"/>
    <w:rsid w:val="00DF6982"/>
    <w:rsid w:val="00E05704"/>
    <w:rsid w:val="00E06C26"/>
    <w:rsid w:val="00E06CC3"/>
    <w:rsid w:val="00E11E44"/>
    <w:rsid w:val="00E13AFA"/>
    <w:rsid w:val="00E159E8"/>
    <w:rsid w:val="00E20509"/>
    <w:rsid w:val="00E2168B"/>
    <w:rsid w:val="00E21A77"/>
    <w:rsid w:val="00E21F03"/>
    <w:rsid w:val="00E2796D"/>
    <w:rsid w:val="00E27E95"/>
    <w:rsid w:val="00E30CE6"/>
    <w:rsid w:val="00E338EF"/>
    <w:rsid w:val="00E40FF8"/>
    <w:rsid w:val="00E41C2E"/>
    <w:rsid w:val="00E43579"/>
    <w:rsid w:val="00E460A9"/>
    <w:rsid w:val="00E52FF5"/>
    <w:rsid w:val="00E544BB"/>
    <w:rsid w:val="00E578EC"/>
    <w:rsid w:val="00E60423"/>
    <w:rsid w:val="00E649D7"/>
    <w:rsid w:val="00E662CB"/>
    <w:rsid w:val="00E74DC7"/>
    <w:rsid w:val="00E74ECB"/>
    <w:rsid w:val="00E77E7B"/>
    <w:rsid w:val="00E8075A"/>
    <w:rsid w:val="00E813E8"/>
    <w:rsid w:val="00E818A6"/>
    <w:rsid w:val="00E82E3D"/>
    <w:rsid w:val="00E83D09"/>
    <w:rsid w:val="00E84379"/>
    <w:rsid w:val="00E85A91"/>
    <w:rsid w:val="00E87718"/>
    <w:rsid w:val="00E94D5E"/>
    <w:rsid w:val="00EA0BF6"/>
    <w:rsid w:val="00EA17A6"/>
    <w:rsid w:val="00EA65CC"/>
    <w:rsid w:val="00EA7100"/>
    <w:rsid w:val="00EA7F9F"/>
    <w:rsid w:val="00EB0BDE"/>
    <w:rsid w:val="00EB0C47"/>
    <w:rsid w:val="00EB0E70"/>
    <w:rsid w:val="00EB1274"/>
    <w:rsid w:val="00EB1FB4"/>
    <w:rsid w:val="00EB53A0"/>
    <w:rsid w:val="00EC11C3"/>
    <w:rsid w:val="00EC1798"/>
    <w:rsid w:val="00EC4757"/>
    <w:rsid w:val="00EC7EDB"/>
    <w:rsid w:val="00ED2BB6"/>
    <w:rsid w:val="00ED34E1"/>
    <w:rsid w:val="00ED3B8D"/>
    <w:rsid w:val="00ED5DA6"/>
    <w:rsid w:val="00EE0325"/>
    <w:rsid w:val="00EF15D3"/>
    <w:rsid w:val="00EF2E3A"/>
    <w:rsid w:val="00EF48BC"/>
    <w:rsid w:val="00EF6CF9"/>
    <w:rsid w:val="00F021D0"/>
    <w:rsid w:val="00F02EF9"/>
    <w:rsid w:val="00F03BB5"/>
    <w:rsid w:val="00F047D8"/>
    <w:rsid w:val="00F072A7"/>
    <w:rsid w:val="00F078DC"/>
    <w:rsid w:val="00F07E3F"/>
    <w:rsid w:val="00F13F18"/>
    <w:rsid w:val="00F14593"/>
    <w:rsid w:val="00F171A1"/>
    <w:rsid w:val="00F20402"/>
    <w:rsid w:val="00F21F24"/>
    <w:rsid w:val="00F32BA8"/>
    <w:rsid w:val="00F3310F"/>
    <w:rsid w:val="00F349F1"/>
    <w:rsid w:val="00F4215A"/>
    <w:rsid w:val="00F4350D"/>
    <w:rsid w:val="00F463F6"/>
    <w:rsid w:val="00F50532"/>
    <w:rsid w:val="00F567F7"/>
    <w:rsid w:val="00F57C6D"/>
    <w:rsid w:val="00F61B09"/>
    <w:rsid w:val="00F62036"/>
    <w:rsid w:val="00F643E1"/>
    <w:rsid w:val="00F6494D"/>
    <w:rsid w:val="00F65B52"/>
    <w:rsid w:val="00F67BCA"/>
    <w:rsid w:val="00F73602"/>
    <w:rsid w:val="00F73BD6"/>
    <w:rsid w:val="00F76EBE"/>
    <w:rsid w:val="00F800C9"/>
    <w:rsid w:val="00F81450"/>
    <w:rsid w:val="00F83989"/>
    <w:rsid w:val="00F85099"/>
    <w:rsid w:val="00F87E98"/>
    <w:rsid w:val="00F91DB6"/>
    <w:rsid w:val="00F929F0"/>
    <w:rsid w:val="00F9379C"/>
    <w:rsid w:val="00F9632C"/>
    <w:rsid w:val="00FA0F08"/>
    <w:rsid w:val="00FA1E52"/>
    <w:rsid w:val="00FA2E93"/>
    <w:rsid w:val="00FA31DE"/>
    <w:rsid w:val="00FA7D17"/>
    <w:rsid w:val="00FB161F"/>
    <w:rsid w:val="00FC3EB8"/>
    <w:rsid w:val="00FC7D25"/>
    <w:rsid w:val="00FD13CC"/>
    <w:rsid w:val="00FE0C72"/>
    <w:rsid w:val="00FE2FB8"/>
    <w:rsid w:val="00FE4688"/>
    <w:rsid w:val="00FE4AE0"/>
    <w:rsid w:val="00FE72D6"/>
    <w:rsid w:val="00FE79D0"/>
    <w:rsid w:val="00FF3C15"/>
    <w:rsid w:val="015F185C"/>
    <w:rsid w:val="02053EB8"/>
    <w:rsid w:val="092053A3"/>
    <w:rsid w:val="0FC3E5F2"/>
    <w:rsid w:val="15EA289C"/>
    <w:rsid w:val="16178971"/>
    <w:rsid w:val="1634F6C8"/>
    <w:rsid w:val="18E7F271"/>
    <w:rsid w:val="1CAE5D92"/>
    <w:rsid w:val="25F39F30"/>
    <w:rsid w:val="32F6E8A9"/>
    <w:rsid w:val="349ECFD6"/>
    <w:rsid w:val="38160F06"/>
    <w:rsid w:val="38776187"/>
    <w:rsid w:val="495625D2"/>
    <w:rsid w:val="584A7A66"/>
    <w:rsid w:val="5EE9555C"/>
    <w:rsid w:val="6A22CF47"/>
    <w:rsid w:val="79A1A835"/>
    <w:rsid w:val="7A27480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A4AC1E"/>
  <w15:chartTrackingRefBased/>
  <w15:docId w15:val="{AF1CA09F-8FD3-43A4-B6F0-B0C09AC3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styleId="Revision">
    <w:name w:val="Revision"/>
    <w:hidden/>
    <w:uiPriority w:val="99"/>
    <w:semiHidden/>
    <w:rsid w:val="003D1316"/>
    <w:rPr>
      <w:sz w:val="22"/>
      <w:lang w:eastAsia="en-US"/>
    </w:rPr>
  </w:style>
  <w:style w:type="character" w:customStyle="1" w:styleId="LI-SectionsubsubparaAChar">
    <w:name w:val="LI - Section subsubpara (A) Char"/>
    <w:link w:val="LI-SectionsubsubparaA"/>
    <w:rsid w:val="006554FF"/>
    <w:rPr>
      <w:rFonts w:eastAsia="Times New Roman"/>
      <w:sz w:val="24"/>
      <w:szCs w:val="24"/>
    </w:rPr>
  </w:style>
  <w:style w:type="paragraph" w:styleId="ListParagraph">
    <w:name w:val="List Paragraph"/>
    <w:basedOn w:val="Normal"/>
    <w:uiPriority w:val="34"/>
    <w:qFormat/>
    <w:rsid w:val="000B7E99"/>
    <w:pPr>
      <w:spacing w:before="100" w:beforeAutospacing="1" w:after="100" w:afterAutospacing="1" w:line="240" w:lineRule="auto"/>
    </w:pPr>
    <w:rPr>
      <w:rFonts w:eastAsia="Times New Roman"/>
      <w:sz w:val="24"/>
      <w:szCs w:val="24"/>
      <w:lang w:eastAsia="en-AU"/>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semiHidden/>
    <w:unhideWhenUsed/>
    <w:rsid w:val="00D702DE"/>
    <w:rPr>
      <w:sz w:val="20"/>
    </w:rPr>
  </w:style>
  <w:style w:type="character" w:customStyle="1" w:styleId="CommentTextChar">
    <w:name w:val="Comment Text Char"/>
    <w:link w:val="CommentText"/>
    <w:uiPriority w:val="99"/>
    <w:semiHidden/>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paragraph" w:customStyle="1" w:styleId="subparaa">
    <w:name w:val="sub para (a)"/>
    <w:basedOn w:val="BodyText"/>
    <w:rsid w:val="00246E3F"/>
    <w:pPr>
      <w:tabs>
        <w:tab w:val="num" w:pos="2693"/>
      </w:tabs>
      <w:overflowPunct/>
      <w:autoSpaceDE/>
      <w:autoSpaceDN/>
      <w:adjustRightInd/>
      <w:spacing w:before="100" w:after="0"/>
      <w:ind w:left="2693" w:hanging="425"/>
    </w:pPr>
    <w:rPr>
      <w:color w:val="auto"/>
      <w:sz w:val="22"/>
      <w:szCs w:val="22"/>
      <w:lang w:eastAsia="en-AU"/>
    </w:rPr>
  </w:style>
  <w:style w:type="character" w:customStyle="1" w:styleId="LI-SubtitleChar">
    <w:name w:val="LI - Subtitle Char"/>
    <w:link w:val="LI-Subtitle"/>
    <w:rsid w:val="00243EC0"/>
    <w:rPr>
      <w:b/>
      <w:sz w:val="28"/>
      <w:szCs w:val="28"/>
    </w:rPr>
  </w:style>
  <w:style w:type="paragraph" w:customStyle="1" w:styleId="subsubparai">
    <w:name w:val="sub sub para (i)"/>
    <w:basedOn w:val="subparaa"/>
    <w:rsid w:val="00246E3F"/>
    <w:pPr>
      <w:tabs>
        <w:tab w:val="clear" w:pos="2693"/>
        <w:tab w:val="num" w:pos="3119"/>
      </w:tabs>
      <w:ind w:left="3119" w:hanging="426"/>
    </w:pPr>
  </w:style>
  <w:style w:type="paragraph" w:customStyle="1" w:styleId="sub3paraA">
    <w:name w:val="sub3para (A)"/>
    <w:basedOn w:val="subsubparai"/>
    <w:qFormat/>
    <w:rsid w:val="00246E3F"/>
    <w:pPr>
      <w:tabs>
        <w:tab w:val="clear" w:pos="3119"/>
        <w:tab w:val="num" w:pos="3544"/>
      </w:tabs>
      <w:ind w:left="3544" w:hanging="425"/>
    </w:pPr>
  </w:style>
  <w:style w:type="paragraph" w:customStyle="1" w:styleId="sub4paraI">
    <w:name w:val="sub4para (I)"/>
    <w:basedOn w:val="subsubparai"/>
    <w:qFormat/>
    <w:rsid w:val="00246E3F"/>
    <w:pPr>
      <w:tabs>
        <w:tab w:val="clear" w:pos="3119"/>
        <w:tab w:val="num" w:pos="3969"/>
      </w:tabs>
      <w:ind w:left="3969" w:hanging="425"/>
    </w:pPr>
  </w:style>
  <w:style w:type="paragraph" w:styleId="NormalWeb">
    <w:name w:val="Normal (Web)"/>
    <w:basedOn w:val="Normal"/>
    <w:uiPriority w:val="99"/>
    <w:semiHidden/>
    <w:unhideWhenUsed/>
    <w:rsid w:val="007B00C2"/>
    <w:pPr>
      <w:spacing w:before="100" w:beforeAutospacing="1" w:after="100" w:afterAutospacing="1" w:line="240" w:lineRule="auto"/>
    </w:pPr>
    <w:rPr>
      <w:rFonts w:eastAsia="Times New Roman"/>
      <w:sz w:val="24"/>
      <w:szCs w:val="24"/>
      <w:lang w:eastAsia="en-AU"/>
    </w:rPr>
  </w:style>
  <w:style w:type="character" w:styleId="Emphasis">
    <w:name w:val="Emphasis"/>
    <w:basedOn w:val="DefaultParagraphFont"/>
    <w:uiPriority w:val="20"/>
    <w:qFormat/>
    <w:rsid w:val="007B00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6630">
      <w:bodyDiv w:val="1"/>
      <w:marLeft w:val="0"/>
      <w:marRight w:val="0"/>
      <w:marTop w:val="0"/>
      <w:marBottom w:val="0"/>
      <w:divBdr>
        <w:top w:val="none" w:sz="0" w:space="0" w:color="auto"/>
        <w:left w:val="none" w:sz="0" w:space="0" w:color="auto"/>
        <w:bottom w:val="none" w:sz="0" w:space="0" w:color="auto"/>
        <w:right w:val="none" w:sz="0" w:space="0" w:color="auto"/>
      </w:divBdr>
    </w:div>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322928142">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579511738">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asic.gov.au/regulatory-resources/find-a-document/consultation-papers/cp-330-using-the-product-intervention-power-continuing-credit-contrac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asic.gov.au/regulatory-resources/find-a-document/consultation-papers/cp-330-using-the-product-intervention-power-continuing-credit-contrac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3.xml"/><Relationship Id="rId10" Type="http://schemas.openxmlformats.org/officeDocument/2006/relationships/numbering" Target="numbering.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af302855-5de3-48f9-83c2-fc1acc0f760b" ContentTypeId="0x010100B5F685A1365F544391EF8C813B164F3A" PreviousValue="false" LastSyncTimeStamp="2022-04-21T03:15:02.147Z"/>
</file>

<file path=customXml/item2.xml><?xml version="1.0" encoding="utf-8"?>
<LongProperties xmlns="http://schemas.microsoft.com/office/2006/metadata/longProperti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b2b92ca-6ed0-4085-802d-4c686a2e8c3f">
      <Value>2</Value>
      <Value>22</Value>
      <Value>1</Value>
    </TaxCatchAll>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PROTECTED</TermName>
          <TermId xmlns="http://schemas.microsoft.com/office/infopath/2007/PartnerControls">0fdd1a11-afcd-482b-8e90-e57051455132</TermId>
        </TermInfo>
      </Terms>
    </p1abb5e704a84578aa4b8ef0390c3b25>
    <ECMSP13SecurityClassification xmlns="5143b441-730d-468e-9e7b-525a5337cbbc">PROTECTED</ECMSP13SecurityClassification>
    <ECMSP13ModifiedBy xmlns="5143b441-730d-468e-9e7b-525a5337cbbc">Sharlini Dias</ECMSP13ModifiedBy>
    <ECMSP13CreatedBy xmlns="5143b441-730d-468e-9e7b-525a5337cbbc">Sharlini Dias</ECMSP13CreatedBy>
    <DocumentNotes xmlns="db2b92ca-6ed0-4085-802d-4c686a2e8c3f" xsi:nil="true"/>
    <NAPReason xmlns="db2b92ca-6ed0-4085-802d-4c686a2e8c3f" xsi:nil="true"/>
    <ECMSP13DocumentID xmlns="5143b441-730d-468e-9e7b-525a5337cbbc">R20220000993192</ECMSP13DocumentID>
    <_dlc_DocId xmlns="5143b441-730d-468e-9e7b-525a5337cbbc">000813-697462730-35901</_dlc_DocId>
    <_dlc_DocIdUrl xmlns="5143b441-730d-468e-9e7b-525a5337cbbc">
      <Url>https://asiclink.sharepoint.com/teams/000813/_layouts/15/DocIdRedir.aspx?ID=000813-697462730-35901</Url>
      <Description>000813-697462730-35901</Description>
    </_dlc_DocIdUrl>
    <lcf76f155ced4ddcb4097134ff3c332f xmlns="34a276d0-1b5d-46a0-ae06-0d9c12606b57">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ECM SP13 Document" ma:contentTypeID="0x010100B5F685A1365F544391EF8C813B164F3A006A0666AD55E74A4AA7B2AAEA6C351A600099BBF48FA3FD8245ACF56244EE6B332F" ma:contentTypeVersion="18" ma:contentTypeDescription="Create a new document." ma:contentTypeScope="" ma:versionID="2864d0ec0bd02fcca0eea3dbad96756d">
  <xsd:schema xmlns:xsd="http://www.w3.org/2001/XMLSchema" xmlns:xs="http://www.w3.org/2001/XMLSchema" xmlns:p="http://schemas.microsoft.com/office/2006/metadata/properties" xmlns:ns2="db2b92ca-6ed0-4085-802d-4c686a2e8c3f" xmlns:ns3="5143b441-730d-468e-9e7b-525a5337cbbc" xmlns:ns4="34a276d0-1b5d-46a0-ae06-0d9c12606b57" targetNamespace="http://schemas.microsoft.com/office/2006/metadata/properties" ma:root="true" ma:fieldsID="6f378aa11ef95d2fe9f1d26323039358" ns2:_="" ns3:_="" ns4:_="">
    <xsd:import namespace="db2b92ca-6ed0-4085-802d-4c686a2e8c3f"/>
    <xsd:import namespace="5143b441-730d-468e-9e7b-525a5337cbbc"/>
    <xsd:import namespace="34a276d0-1b5d-46a0-ae06-0d9c12606b57"/>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_dlc_DocId" minOccurs="0"/>
                <xsd:element ref="ns3:_dlc_DocIdUrl" minOccurs="0"/>
                <xsd:element ref="ns3:_dlc_DocIdPersistId" minOccurs="0"/>
                <xsd:element ref="ns3:ECMSP13CreatedBy" minOccurs="0"/>
                <xsd:element ref="ns3:ECMSP13ModifiedBy" minOccurs="0"/>
                <xsd:element ref="ns3:ECMSP13DocumentID" minOccurs="0"/>
                <xsd:element ref="ns3:ECMSP13SecurityClassification"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LengthInSeconds"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nillable="true" ma:taxonomy="true" ma:internalName="p1abb5e704a84578aa4b8ef0390c3b25" ma:taxonomyFieldName="SecurityClassification" ma:displayName="Security Classification" ma:readOnly="false" ma:default="-1;#PROTECTED|0fdd1a11-afcd-482b-8e90-e57051455132"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923d2e0-3d66-47e1-856e-44ed7ac36b3f}" ma:internalName="TaxCatchAll" ma:showField="CatchAllData" ma:web="5143b441-730d-468e-9e7b-525a5337cbb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923d2e0-3d66-47e1-856e-44ed7ac36b3f}" ma:internalName="TaxCatchAllLabel" ma:readOnly="true" ma:showField="CatchAllDataLabel" ma:web="5143b441-730d-468e-9e7b-525a5337cbbc">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43b441-730d-468e-9e7b-525a5337cbbc"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ECMSP13CreatedBy" ma:index="17" nillable="true" ma:displayName="ECM SP13 Created By" ma:internalName="ECMSP13CreatedBy">
      <xsd:simpleType>
        <xsd:restriction base="dms:Text"/>
      </xsd:simpleType>
    </xsd:element>
    <xsd:element name="ECMSP13ModifiedBy" ma:index="18" nillable="true" ma:displayName="ECM SP13 Modified By" ma:internalName="ECMSP13ModifiedBy">
      <xsd:simpleType>
        <xsd:restriction base="dms:Text"/>
      </xsd:simpleType>
    </xsd:element>
    <xsd:element name="ECMSP13DocumentID" ma:index="19" nillable="true" ma:displayName="ECM SP13 Document ID" ma:internalName="ECMSP13DocumentID">
      <xsd:simpleType>
        <xsd:restriction base="dms:Text"/>
      </xsd:simpleType>
    </xsd:element>
    <xsd:element name="ECMSP13SecurityClassification" ma:index="20" nillable="true" ma:displayName="ECM SP13 Security Classification" ma:internalName="ECMSP13SecurityClassifi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a276d0-1b5d-46a0-ae06-0d9c12606b57"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ternalName="MediaServiceLocatio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af302855-5de3-48f9-83c2-fc1acc0f760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146FF9-8C1C-479D-9F2F-FB8FBD31D02D}">
  <ds:schemaRefs>
    <ds:schemaRef ds:uri="Microsoft.SharePoint.Taxonomy.ContentTypeSync"/>
  </ds:schemaRefs>
</ds:datastoreItem>
</file>

<file path=customXml/itemProps2.xml><?xml version="1.0" encoding="utf-8"?>
<ds:datastoreItem xmlns:ds="http://schemas.openxmlformats.org/officeDocument/2006/customXml" ds:itemID="{689D2F23-408E-4377-B2D7-1C849027257E}">
  <ds:schemaRefs>
    <ds:schemaRef ds:uri="http://schemas.microsoft.com/office/2006/metadata/longProperties"/>
  </ds:schemaRefs>
</ds:datastoreItem>
</file>

<file path=customXml/itemProps3.xml><?xml version="1.0" encoding="utf-8"?>
<ds:datastoreItem xmlns:ds="http://schemas.openxmlformats.org/officeDocument/2006/customXml" ds:itemID="{D1EE77EC-2522-409F-BFFB-7089A73E848F}">
  <ds:schemaRefs>
    <ds:schemaRef ds:uri="http://schemas.microsoft.com/office/2006/metadata/longProperties"/>
  </ds:schemaRefs>
</ds:datastoreItem>
</file>

<file path=customXml/itemProps4.xml><?xml version="1.0" encoding="utf-8"?>
<ds:datastoreItem xmlns:ds="http://schemas.openxmlformats.org/officeDocument/2006/customXml" ds:itemID="{85636066-0F67-43D8-9E15-60E2D570F64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4a276d0-1b5d-46a0-ae06-0d9c12606b57"/>
    <ds:schemaRef ds:uri="http://purl.org/dc/terms/"/>
    <ds:schemaRef ds:uri="5143b441-730d-468e-9e7b-525a5337cbbc"/>
    <ds:schemaRef ds:uri="db2b92ca-6ed0-4085-802d-4c686a2e8c3f"/>
    <ds:schemaRef ds:uri="http://www.w3.org/XML/1998/namespace"/>
    <ds:schemaRef ds:uri="http://purl.org/dc/dcmitype/"/>
  </ds:schemaRefs>
</ds:datastoreItem>
</file>

<file path=customXml/itemProps5.xml><?xml version="1.0" encoding="utf-8"?>
<ds:datastoreItem xmlns:ds="http://schemas.openxmlformats.org/officeDocument/2006/customXml" ds:itemID="{C8A58D61-8D34-40FA-BFB9-629119B8BE26}">
  <ds:schemaRefs>
    <ds:schemaRef ds:uri="http://schemas.microsoft.com/sharepoint/v3/contenttype/forms"/>
  </ds:schemaRefs>
</ds:datastoreItem>
</file>

<file path=customXml/itemProps6.xml><?xml version="1.0" encoding="utf-8"?>
<ds:datastoreItem xmlns:ds="http://schemas.openxmlformats.org/officeDocument/2006/customXml" ds:itemID="{CDC3B121-3F23-45DC-9B66-4D0F227BD80B}">
  <ds:schemaRefs>
    <ds:schemaRef ds:uri="http://schemas.microsoft.com/sharepoint/v3/contenttype/forms"/>
  </ds:schemaRefs>
</ds:datastoreItem>
</file>

<file path=customXml/itemProps7.xml><?xml version="1.0" encoding="utf-8"?>
<ds:datastoreItem xmlns:ds="http://schemas.openxmlformats.org/officeDocument/2006/customXml" ds:itemID="{41E07B75-BDF8-4C09-B780-AF658D76A388}">
  <ds:schemaRefs>
    <ds:schemaRef ds:uri="http://schemas.openxmlformats.org/officeDocument/2006/bibliography"/>
  </ds:schemaRefs>
</ds:datastoreItem>
</file>

<file path=customXml/itemProps8.xml><?xml version="1.0" encoding="utf-8"?>
<ds:datastoreItem xmlns:ds="http://schemas.openxmlformats.org/officeDocument/2006/customXml" ds:itemID="{73AFEE03-377D-46CD-85B8-8AF9E4D2F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5143b441-730d-468e-9e7b-525a5337cbbc"/>
    <ds:schemaRef ds:uri="34a276d0-1b5d-46a0-ae06-0d9c12606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CA9C9EBA-B3F0-4D86-BFEF-0F65EE74684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INST_NEW.DOTX</Template>
  <TotalTime>1</TotalTime>
  <Pages>8</Pages>
  <Words>2510</Words>
  <Characters>14307</Characters>
  <Application>Microsoft Office Word</Application>
  <DocSecurity>0</DocSecurity>
  <PresentationFormat/>
  <Lines>119</Lines>
  <Paragraphs>33</Paragraphs>
  <ScaleCrop>false</ScaleCrop>
  <Company>ASIC</Company>
  <LinksUpToDate>false</LinksUpToDate>
  <CharactersWithSpaces>16784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Sharlini Dias</dc:creator>
  <cp:keywords/>
  <cp:lastModifiedBy>Narelle Kane</cp:lastModifiedBy>
  <cp:revision>3</cp:revision>
  <cp:lastPrinted>2019-01-03T02:56:00Z</cp:lastPrinted>
  <dcterms:created xsi:type="dcterms:W3CDTF">2022-07-13T01:35:00Z</dcterms:created>
  <dcterms:modified xsi:type="dcterms:W3CDTF">2022-07-13T01:35:00Z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RecordPoint_WorkflowType">
    <vt:lpwstr>ActiveSubmitStub</vt:lpwstr>
  </property>
  <property fmtid="{D5CDD505-2E9C-101B-9397-08002B2CF9AE}" pid="40" name="RecordPoint_ActiveItemSiteId">
    <vt:lpwstr>{7f003ca1-d50d-4395-a94d-b340dd4cbc02}</vt:lpwstr>
  </property>
  <property fmtid="{D5CDD505-2E9C-101B-9397-08002B2CF9AE}" pid="41" name="RecordPoint_ActiveItemListId">
    <vt:lpwstr>{7b4e7d62-2fe2-4176-ad73-9763c89581a1}</vt:lpwstr>
  </property>
  <property fmtid="{D5CDD505-2E9C-101B-9397-08002B2CF9AE}" pid="42" name="RecordPoint_ActiveItemUniqueId">
    <vt:lpwstr>{fe6b3c8d-8c2c-404d-9087-55ca17c934a0}</vt:lpwstr>
  </property>
  <property fmtid="{D5CDD505-2E9C-101B-9397-08002B2CF9AE}" pid="43" name="RecordPoint_ActiveItemWebId">
    <vt:lpwstr>{a945bdb0-aaa3-4364-bc8b-f4e11abec312}</vt:lpwstr>
  </property>
  <property fmtid="{D5CDD505-2E9C-101B-9397-08002B2CF9AE}" pid="44" name="IconOverlay">
    <vt:lpwstr/>
  </property>
  <property fmtid="{D5CDD505-2E9C-101B-9397-08002B2CF9AE}" pid="45" name="RecordPoint_RecordNumberSubmitted">
    <vt:lpwstr>R20220000993192</vt:lpwstr>
  </property>
  <property fmtid="{D5CDD505-2E9C-101B-9397-08002B2CF9AE}" pid="46" name="SecurityClassification">
    <vt:lpwstr>1;#PROTECTED|0fdd1a11-afcd-482b-8e90-e57051455132</vt:lpwstr>
  </property>
  <property fmtid="{D5CDD505-2E9C-101B-9397-08002B2CF9AE}" pid="47" name="Order">
    <vt:lpwstr>71900.0000000000</vt:lpwstr>
  </property>
  <property fmtid="{D5CDD505-2E9C-101B-9397-08002B2CF9AE}" pid="48" name="RecordPoint_SubmissionDate">
    <vt:lpwstr/>
  </property>
  <property fmtid="{D5CDD505-2E9C-101B-9397-08002B2CF9AE}" pid="49" name="RecordPoint_RecordFormat">
    <vt:lpwstr/>
  </property>
  <property fmtid="{D5CDD505-2E9C-101B-9397-08002B2CF9AE}" pid="50" name="ContentTypeId">
    <vt:lpwstr>0x010100B5F685A1365F544391EF8C813B164F3A006A0666AD55E74A4AA7B2AAEA6C351A600099BBF48FA3FD8245ACF56244EE6B332F</vt:lpwstr>
  </property>
  <property fmtid="{D5CDD505-2E9C-101B-9397-08002B2CF9AE}" pid="51" name="ASTECActivityNumber">
    <vt:lpwstr>24232/17</vt:lpwstr>
  </property>
  <property fmtid="{D5CDD505-2E9C-101B-9397-08002B2CF9AE}" pid="52" name="de99f68a2c444bd2b47bbfff7b9a7657">
    <vt:lpwstr>Open|7f94c747-b2fa-45d6-8ab5-273b8751ed95</vt:lpwstr>
  </property>
  <property fmtid="{D5CDD505-2E9C-101B-9397-08002B2CF9AE}" pid="53" name="RecordPoint_SubmissionCompleted">
    <vt:lpwstr>2022-05-10T09:56:19.2454137+10:00</vt:lpwstr>
  </property>
  <property fmtid="{D5CDD505-2E9C-101B-9397-08002B2CF9AE}" pid="54" name="MailIn-Reply-To0">
    <vt:lpwstr/>
  </property>
  <property fmtid="{D5CDD505-2E9C-101B-9397-08002B2CF9AE}" pid="55" name="MailSubject">
    <vt:lpwstr/>
  </property>
  <property fmtid="{D5CDD505-2E9C-101B-9397-08002B2CF9AE}" pid="56" name="MailAttachments">
    <vt:bool>false</vt:bool>
  </property>
  <property fmtid="{D5CDD505-2E9C-101B-9397-08002B2CF9AE}" pid="57" name="Financial Service">
    <vt:lpwstr/>
  </property>
  <property fmtid="{D5CDD505-2E9C-101B-9397-08002B2CF9AE}" pid="58" name="LinkToLegacy">
    <vt:lpwstr/>
  </property>
  <property fmtid="{D5CDD505-2E9C-101B-9397-08002B2CF9AE}" pid="59" name="DocumentSetDescription">
    <vt:lpwstr/>
  </property>
  <property fmtid="{D5CDD505-2E9C-101B-9397-08002B2CF9AE}" pid="60" name="a1086f783b2a409181600616ab992156">
    <vt:lpwstr>Cigno Pty Ltd|6b248060-bb55-4e82-83c2-1be5f9a6c8e7</vt:lpwstr>
  </property>
  <property fmtid="{D5CDD505-2E9C-101B-9397-08002B2CF9AE}" pid="61" name="MailTo">
    <vt:lpwstr/>
  </property>
  <property fmtid="{D5CDD505-2E9C-101B-9397-08002B2CF9AE}" pid="62" name="MailFrom">
    <vt:lpwstr/>
  </property>
  <property fmtid="{D5CDD505-2E9C-101B-9397-08002B2CF9AE}" pid="63" name="MailOriginalSubject">
    <vt:lpwstr/>
  </property>
  <property fmtid="{D5CDD505-2E9C-101B-9397-08002B2CF9AE}" pid="64" name="ce4e5f17dcec4ba0b3a02798bf8271fc">
    <vt:lpwstr/>
  </property>
  <property fmtid="{D5CDD505-2E9C-101B-9397-08002B2CF9AE}" pid="65" name="MailCc">
    <vt:lpwstr/>
  </property>
  <property fmtid="{D5CDD505-2E9C-101B-9397-08002B2CF9AE}" pid="66" name="URL">
    <vt:lpwstr/>
  </property>
  <property fmtid="{D5CDD505-2E9C-101B-9397-08002B2CF9AE}" pid="67" name="MailReferences">
    <vt:lpwstr/>
  </property>
  <property fmtid="{D5CDD505-2E9C-101B-9397-08002B2CF9AE}" pid="68" name="MailReply-To0">
    <vt:lpwstr/>
  </property>
  <property fmtid="{D5CDD505-2E9C-101B-9397-08002B2CF9AE}" pid="69" name="DCISurveillanceDocumentType">
    <vt:lpwstr/>
  </property>
  <property fmtid="{D5CDD505-2E9C-101B-9397-08002B2CF9AE}" pid="70" name="_docset_NoMedatataSyncRequired">
    <vt:lpwstr>False</vt:lpwstr>
  </property>
  <property fmtid="{D5CDD505-2E9C-101B-9397-08002B2CF9AE}" pid="71" name="_dlc_DocIdItemGuid">
    <vt:lpwstr>4a6b053a-053a-44cf-9cc0-9fc4e4dc2057</vt:lpwstr>
  </property>
  <property fmtid="{D5CDD505-2E9C-101B-9397-08002B2CF9AE}" pid="72" name="MediaServiceImageTags">
    <vt:lpwstr/>
  </property>
  <property fmtid="{D5CDD505-2E9C-101B-9397-08002B2CF9AE}" pid="73" name="DCI Entity Subject">
    <vt:lpwstr>22</vt:lpwstr>
  </property>
  <property fmtid="{D5CDD505-2E9C-101B-9397-08002B2CF9AE}" pid="74" name="DCIActivityStatus">
    <vt:lpwstr>2</vt:lpwstr>
  </property>
  <property fmtid="{D5CDD505-2E9C-101B-9397-08002B2CF9AE}" pid="75" name="MSIP_Label_a6aead41-07f8-4767-ac8e-ef1c9c793766_Enabled">
    <vt:lpwstr>true</vt:lpwstr>
  </property>
  <property fmtid="{D5CDD505-2E9C-101B-9397-08002B2CF9AE}" pid="76" name="MSIP_Label_a6aead41-07f8-4767-ac8e-ef1c9c793766_SetDate">
    <vt:lpwstr>2022-07-12T08:52:18Z</vt:lpwstr>
  </property>
  <property fmtid="{D5CDD505-2E9C-101B-9397-08002B2CF9AE}" pid="77" name="MSIP_Label_a6aead41-07f8-4767-ac8e-ef1c9c793766_Method">
    <vt:lpwstr>Standard</vt:lpwstr>
  </property>
  <property fmtid="{D5CDD505-2E9C-101B-9397-08002B2CF9AE}" pid="78" name="MSIP_Label_a6aead41-07f8-4767-ac8e-ef1c9c793766_Name">
    <vt:lpwstr>OFFICIAL</vt:lpwstr>
  </property>
  <property fmtid="{D5CDD505-2E9C-101B-9397-08002B2CF9AE}" pid="79" name="MSIP_Label_a6aead41-07f8-4767-ac8e-ef1c9c793766_SiteId">
    <vt:lpwstr>5f1de7c6-55cd-4bb2-902d-514c78cf10f4</vt:lpwstr>
  </property>
  <property fmtid="{D5CDD505-2E9C-101B-9397-08002B2CF9AE}" pid="80" name="MSIP_Label_a6aead41-07f8-4767-ac8e-ef1c9c793766_ActionId">
    <vt:lpwstr>d7c1b490-d211-464c-b4ff-162f4fe64e37</vt:lpwstr>
  </property>
  <property fmtid="{D5CDD505-2E9C-101B-9397-08002B2CF9AE}" pid="81" name="MSIP_Label_a6aead41-07f8-4767-ac8e-ef1c9c793766_ContentBits">
    <vt:lpwstr>0</vt:lpwstr>
  </property>
</Properties>
</file>