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EDC8D" w14:textId="26C626B5" w:rsidR="000611C3" w:rsidRPr="000611C3" w:rsidRDefault="000611C3" w:rsidP="000611C3">
      <w:pPr>
        <w:spacing w:after="200" w:line="276" w:lineRule="auto"/>
        <w:jc w:val="center"/>
        <w:rPr>
          <w:rFonts w:ascii="Times New Roman" w:eastAsia="Calibri" w:hAnsi="Times New Roman" w:cs="Times New Roman"/>
          <w:b/>
          <w:sz w:val="24"/>
          <w:szCs w:val="24"/>
          <w:u w:val="single"/>
        </w:rPr>
      </w:pPr>
      <w:bookmarkStart w:id="0" w:name="_GoBack"/>
      <w:bookmarkEnd w:id="0"/>
      <w:r w:rsidRPr="000611C3">
        <w:rPr>
          <w:rFonts w:ascii="Times New Roman" w:eastAsia="Calibri" w:hAnsi="Times New Roman" w:cs="Times New Roman"/>
          <w:b/>
          <w:sz w:val="24"/>
          <w:szCs w:val="24"/>
          <w:u w:val="single"/>
        </w:rPr>
        <w:t>EXPLANATORY STATEMENT</w:t>
      </w:r>
    </w:p>
    <w:p w14:paraId="519FE783" w14:textId="298D6BA4" w:rsidR="000611C3" w:rsidRPr="000611C3" w:rsidRDefault="000611C3" w:rsidP="000611C3">
      <w:pPr>
        <w:spacing w:before="240" w:after="240" w:line="276" w:lineRule="auto"/>
        <w:jc w:val="center"/>
        <w:rPr>
          <w:rFonts w:ascii="Times New Roman" w:eastAsia="Calibri" w:hAnsi="Times New Roman" w:cs="Times New Roman"/>
          <w:sz w:val="24"/>
          <w:szCs w:val="24"/>
          <w:u w:val="single"/>
        </w:rPr>
      </w:pPr>
      <w:r w:rsidRPr="000611C3">
        <w:rPr>
          <w:rFonts w:ascii="Times New Roman" w:eastAsia="Calibri" w:hAnsi="Times New Roman" w:cs="Times New Roman"/>
          <w:sz w:val="24"/>
          <w:szCs w:val="24"/>
          <w:u w:val="single"/>
        </w:rPr>
        <w:t xml:space="preserve">Issued by the authority of the Minister for </w:t>
      </w:r>
      <w:r w:rsidR="003B24D3" w:rsidRPr="003B24D3">
        <w:rPr>
          <w:rFonts w:ascii="Times New Roman" w:eastAsia="Calibri" w:hAnsi="Times New Roman" w:cs="Times New Roman"/>
          <w:sz w:val="24"/>
          <w:szCs w:val="24"/>
          <w:u w:val="single"/>
        </w:rPr>
        <w:t>Climate Change and Energy</w:t>
      </w:r>
    </w:p>
    <w:p w14:paraId="7E8161B4" w14:textId="7AE68729" w:rsidR="000611C3" w:rsidRPr="00DF3626" w:rsidRDefault="000611C3" w:rsidP="000611C3">
      <w:pPr>
        <w:spacing w:before="240" w:after="240" w:line="276" w:lineRule="auto"/>
        <w:jc w:val="center"/>
        <w:rPr>
          <w:rFonts w:ascii="Times New Roman" w:eastAsia="Calibri" w:hAnsi="Times New Roman" w:cs="Times New Roman"/>
          <w:i/>
          <w:sz w:val="24"/>
          <w:szCs w:val="24"/>
        </w:rPr>
      </w:pPr>
      <w:r w:rsidRPr="00DF3626">
        <w:rPr>
          <w:rFonts w:ascii="Times New Roman" w:eastAsia="Calibri" w:hAnsi="Times New Roman" w:cs="Times New Roman"/>
          <w:i/>
          <w:sz w:val="24"/>
          <w:szCs w:val="24"/>
        </w:rPr>
        <w:t>Petroleum and Other Fuels Reporting Act 2017</w:t>
      </w:r>
    </w:p>
    <w:p w14:paraId="448E43C8" w14:textId="2054E393" w:rsidR="000611C3" w:rsidRPr="00DF3626" w:rsidRDefault="003B24D3" w:rsidP="000611C3">
      <w:pPr>
        <w:spacing w:before="240" w:after="240" w:line="276" w:lineRule="auto"/>
        <w:jc w:val="center"/>
        <w:rPr>
          <w:rFonts w:ascii="Times New Roman" w:eastAsia="Calibri" w:hAnsi="Times New Roman" w:cs="Times New Roman"/>
          <w:i/>
          <w:sz w:val="24"/>
          <w:szCs w:val="24"/>
        </w:rPr>
      </w:pPr>
      <w:r w:rsidRPr="003B24D3">
        <w:rPr>
          <w:rFonts w:ascii="Times New Roman" w:eastAsia="Calibri" w:hAnsi="Times New Roman" w:cs="Times New Roman"/>
          <w:i/>
          <w:sz w:val="24"/>
          <w:szCs w:val="24"/>
        </w:rPr>
        <w:t>Petroleum and Other Fuels Reporting Amendment (Protected Information) Rules 2022</w:t>
      </w:r>
    </w:p>
    <w:p w14:paraId="20CB2035" w14:textId="77777777" w:rsidR="000611C3" w:rsidRPr="000611C3" w:rsidRDefault="000611C3" w:rsidP="000611C3">
      <w:pPr>
        <w:spacing w:before="240" w:after="24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Purpose and Operation</w:t>
      </w:r>
    </w:p>
    <w:p w14:paraId="2730B966" w14:textId="4CFB1D6E" w:rsidR="00F03851" w:rsidRDefault="000611C3" w:rsidP="00F03AD4">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The </w:t>
      </w:r>
      <w:r w:rsidR="003B24D3" w:rsidRPr="003B24D3">
        <w:rPr>
          <w:rFonts w:ascii="Times New Roman" w:eastAsia="Calibri" w:hAnsi="Times New Roman" w:cs="Times New Roman"/>
          <w:i/>
          <w:sz w:val="24"/>
          <w:szCs w:val="24"/>
        </w:rPr>
        <w:t xml:space="preserve">Petroleum and Other Fuels Reporting Amendment (Protected Information) Rules 2022 </w:t>
      </w:r>
      <w:r w:rsidRPr="000611C3">
        <w:rPr>
          <w:rFonts w:ascii="Times New Roman" w:eastAsia="Calibri" w:hAnsi="Times New Roman" w:cs="Times New Roman"/>
          <w:sz w:val="24"/>
          <w:szCs w:val="24"/>
        </w:rPr>
        <w:t>(the Rule</w:t>
      </w:r>
      <w:r w:rsidR="0000564E">
        <w:rPr>
          <w:rFonts w:ascii="Times New Roman" w:eastAsia="Calibri" w:hAnsi="Times New Roman" w:cs="Times New Roman"/>
          <w:sz w:val="24"/>
          <w:szCs w:val="24"/>
        </w:rPr>
        <w:t>s</w:t>
      </w:r>
      <w:r w:rsidRPr="000611C3">
        <w:rPr>
          <w:rFonts w:ascii="Times New Roman" w:eastAsia="Calibri" w:hAnsi="Times New Roman" w:cs="Times New Roman"/>
          <w:sz w:val="24"/>
          <w:szCs w:val="24"/>
        </w:rPr>
        <w:t xml:space="preserve">) </w:t>
      </w:r>
      <w:r w:rsidR="0037380B">
        <w:rPr>
          <w:rFonts w:ascii="Times New Roman" w:eastAsia="Calibri" w:hAnsi="Times New Roman" w:cs="Times New Roman"/>
          <w:sz w:val="24"/>
          <w:szCs w:val="24"/>
        </w:rPr>
        <w:t xml:space="preserve">amend the </w:t>
      </w:r>
      <w:r w:rsidR="0037380B" w:rsidRPr="0037380B">
        <w:rPr>
          <w:rFonts w:ascii="Times New Roman" w:eastAsia="Calibri" w:hAnsi="Times New Roman" w:cs="Times New Roman"/>
          <w:i/>
          <w:sz w:val="24"/>
          <w:szCs w:val="24"/>
        </w:rPr>
        <w:t>Petroleum and Other Fuels Reporting Rules 2017</w:t>
      </w:r>
      <w:r w:rsidR="0037380B">
        <w:rPr>
          <w:rFonts w:ascii="Times New Roman" w:eastAsia="Calibri" w:hAnsi="Times New Roman" w:cs="Times New Roman"/>
          <w:sz w:val="24"/>
          <w:szCs w:val="24"/>
        </w:rPr>
        <w:t xml:space="preserve"> (the</w:t>
      </w:r>
      <w:r w:rsidR="00F051AC">
        <w:rPr>
          <w:rFonts w:ascii="Times New Roman" w:eastAsia="Calibri" w:hAnsi="Times New Roman" w:cs="Times New Roman"/>
          <w:sz w:val="24"/>
          <w:szCs w:val="24"/>
        </w:rPr>
        <w:t> </w:t>
      </w:r>
      <w:r w:rsidR="0037380B">
        <w:rPr>
          <w:rFonts w:ascii="Times New Roman" w:eastAsia="Calibri" w:hAnsi="Times New Roman" w:cs="Times New Roman"/>
          <w:sz w:val="24"/>
          <w:szCs w:val="24"/>
        </w:rPr>
        <w:t>principal POFR Rules) by inserting</w:t>
      </w:r>
      <w:r w:rsidR="003B24D3" w:rsidRPr="003B24D3">
        <w:t xml:space="preserve"> </w:t>
      </w:r>
      <w:r w:rsidR="003B24D3">
        <w:t>p</w:t>
      </w:r>
      <w:r w:rsidR="003B24D3" w:rsidRPr="003B24D3">
        <w:rPr>
          <w:rFonts w:ascii="Times New Roman" w:eastAsia="Calibri" w:hAnsi="Times New Roman" w:cs="Times New Roman"/>
          <w:sz w:val="24"/>
          <w:szCs w:val="24"/>
        </w:rPr>
        <w:t xml:space="preserve">rovisions </w:t>
      </w:r>
      <w:r w:rsidR="00B32081">
        <w:rPr>
          <w:rFonts w:ascii="Times New Roman" w:eastAsia="Calibri" w:hAnsi="Times New Roman" w:cs="Times New Roman"/>
          <w:sz w:val="24"/>
          <w:szCs w:val="24"/>
        </w:rPr>
        <w:t>which expand</w:t>
      </w:r>
      <w:r w:rsidR="00B32081" w:rsidRPr="003B24D3">
        <w:rPr>
          <w:rFonts w:ascii="Times New Roman" w:eastAsia="Calibri" w:hAnsi="Times New Roman" w:cs="Times New Roman"/>
          <w:sz w:val="24"/>
          <w:szCs w:val="24"/>
        </w:rPr>
        <w:t xml:space="preserve"> </w:t>
      </w:r>
      <w:r w:rsidR="00F205CE">
        <w:rPr>
          <w:rFonts w:ascii="Times New Roman" w:eastAsia="Calibri" w:hAnsi="Times New Roman" w:cs="Times New Roman"/>
          <w:sz w:val="24"/>
          <w:szCs w:val="24"/>
        </w:rPr>
        <w:t xml:space="preserve">the </w:t>
      </w:r>
      <w:r w:rsidR="00B32081">
        <w:rPr>
          <w:rFonts w:ascii="Times New Roman" w:eastAsia="Calibri" w:hAnsi="Times New Roman" w:cs="Times New Roman"/>
          <w:sz w:val="24"/>
          <w:szCs w:val="24"/>
        </w:rPr>
        <w:t xml:space="preserve">classes of government agencies to </w:t>
      </w:r>
      <w:r w:rsidR="003C20DF">
        <w:rPr>
          <w:rFonts w:ascii="Times New Roman" w:eastAsia="Calibri" w:hAnsi="Times New Roman" w:cs="Times New Roman"/>
          <w:sz w:val="24"/>
          <w:szCs w:val="24"/>
        </w:rPr>
        <w:t>which</w:t>
      </w:r>
      <w:r w:rsidR="00B32081">
        <w:rPr>
          <w:rFonts w:ascii="Times New Roman" w:eastAsia="Calibri" w:hAnsi="Times New Roman" w:cs="Times New Roman"/>
          <w:sz w:val="24"/>
          <w:szCs w:val="24"/>
        </w:rPr>
        <w:t xml:space="preserve"> the </w:t>
      </w:r>
      <w:r w:rsidR="00F205CE">
        <w:rPr>
          <w:rFonts w:ascii="Times New Roman" w:eastAsia="Calibri" w:hAnsi="Times New Roman" w:cs="Times New Roman"/>
          <w:sz w:val="24"/>
          <w:szCs w:val="24"/>
        </w:rPr>
        <w:t xml:space="preserve">Secretary to the Department </w:t>
      </w:r>
      <w:r w:rsidR="00B32081">
        <w:rPr>
          <w:rFonts w:ascii="Times New Roman" w:eastAsia="Calibri" w:hAnsi="Times New Roman" w:cs="Times New Roman"/>
          <w:sz w:val="24"/>
          <w:szCs w:val="24"/>
        </w:rPr>
        <w:t>may</w:t>
      </w:r>
      <w:r w:rsidR="00F205CE">
        <w:rPr>
          <w:rFonts w:ascii="Times New Roman" w:eastAsia="Calibri" w:hAnsi="Times New Roman" w:cs="Times New Roman"/>
          <w:sz w:val="24"/>
          <w:szCs w:val="24"/>
        </w:rPr>
        <w:t xml:space="preserve"> </w:t>
      </w:r>
      <w:r w:rsidR="003B24D3" w:rsidRPr="003B24D3">
        <w:rPr>
          <w:rFonts w:ascii="Times New Roman" w:eastAsia="Calibri" w:hAnsi="Times New Roman" w:cs="Times New Roman"/>
          <w:sz w:val="24"/>
          <w:szCs w:val="24"/>
        </w:rPr>
        <w:t xml:space="preserve">disclose </w:t>
      </w:r>
      <w:r w:rsidR="00F03AD4">
        <w:rPr>
          <w:rFonts w:ascii="Times New Roman" w:eastAsia="Calibri" w:hAnsi="Times New Roman" w:cs="Times New Roman"/>
          <w:sz w:val="24"/>
          <w:szCs w:val="24"/>
        </w:rPr>
        <w:t xml:space="preserve">“protected </w:t>
      </w:r>
      <w:r w:rsidR="003B24D3" w:rsidRPr="003B24D3">
        <w:rPr>
          <w:rFonts w:ascii="Times New Roman" w:eastAsia="Calibri" w:hAnsi="Times New Roman" w:cs="Times New Roman"/>
          <w:sz w:val="24"/>
          <w:szCs w:val="24"/>
        </w:rPr>
        <w:t>information</w:t>
      </w:r>
      <w:r w:rsidR="00F03AD4">
        <w:rPr>
          <w:rFonts w:ascii="Times New Roman" w:eastAsia="Calibri" w:hAnsi="Times New Roman" w:cs="Times New Roman"/>
          <w:sz w:val="24"/>
          <w:szCs w:val="24"/>
        </w:rPr>
        <w:t>”</w:t>
      </w:r>
      <w:r w:rsidR="00B32081">
        <w:rPr>
          <w:rFonts w:ascii="Times New Roman" w:eastAsia="Calibri" w:hAnsi="Times New Roman" w:cs="Times New Roman"/>
          <w:sz w:val="24"/>
          <w:szCs w:val="24"/>
        </w:rPr>
        <w:t xml:space="preserve">. It does so by </w:t>
      </w:r>
      <w:r w:rsidR="00F205CE">
        <w:rPr>
          <w:rFonts w:ascii="Times New Roman" w:eastAsia="Calibri" w:hAnsi="Times New Roman" w:cs="Times New Roman"/>
          <w:sz w:val="24"/>
          <w:szCs w:val="24"/>
        </w:rPr>
        <w:t>prescrib</w:t>
      </w:r>
      <w:r w:rsidR="00B32081">
        <w:rPr>
          <w:rFonts w:ascii="Times New Roman" w:eastAsia="Calibri" w:hAnsi="Times New Roman" w:cs="Times New Roman"/>
          <w:sz w:val="24"/>
          <w:szCs w:val="24"/>
        </w:rPr>
        <w:t xml:space="preserve">ing a limited set of </w:t>
      </w:r>
      <w:r w:rsidR="003B24D3" w:rsidRPr="003B24D3">
        <w:rPr>
          <w:rFonts w:ascii="Times New Roman" w:eastAsia="Calibri" w:hAnsi="Times New Roman" w:cs="Times New Roman"/>
          <w:sz w:val="24"/>
          <w:szCs w:val="24"/>
        </w:rPr>
        <w:t>Commonwealth and State or Territory agencies</w:t>
      </w:r>
      <w:r w:rsidR="00B32081">
        <w:rPr>
          <w:rFonts w:ascii="Times New Roman" w:eastAsia="Calibri" w:hAnsi="Times New Roman" w:cs="Times New Roman"/>
          <w:sz w:val="24"/>
          <w:szCs w:val="24"/>
        </w:rPr>
        <w:t xml:space="preserve">, </w:t>
      </w:r>
      <w:r w:rsidR="003C20DF">
        <w:rPr>
          <w:rFonts w:ascii="Times New Roman" w:eastAsia="Calibri" w:hAnsi="Times New Roman" w:cs="Times New Roman"/>
          <w:sz w:val="24"/>
          <w:szCs w:val="24"/>
        </w:rPr>
        <w:t>officials of which</w:t>
      </w:r>
      <w:r w:rsidR="00B32081">
        <w:rPr>
          <w:rFonts w:ascii="Times New Roman" w:eastAsia="Calibri" w:hAnsi="Times New Roman" w:cs="Times New Roman"/>
          <w:sz w:val="24"/>
          <w:szCs w:val="24"/>
        </w:rPr>
        <w:t xml:space="preserve"> exercise powers, or perform functions and duties, related to liquid fuels and/or emergency management</w:t>
      </w:r>
      <w:r w:rsidR="00A50380">
        <w:rPr>
          <w:rFonts w:ascii="Times New Roman" w:eastAsia="Calibri" w:hAnsi="Times New Roman" w:cs="Times New Roman"/>
          <w:sz w:val="24"/>
          <w:szCs w:val="24"/>
        </w:rPr>
        <w:t xml:space="preserve">. </w:t>
      </w:r>
    </w:p>
    <w:p w14:paraId="2AF1F76D" w14:textId="77777777" w:rsidR="005E18BC" w:rsidRDefault="00F03851" w:rsidP="00F03AD4">
      <w:pPr>
        <w:spacing w:before="120" w:after="120" w:line="276" w:lineRule="auto"/>
        <w:rPr>
          <w:rFonts w:ascii="Times New Roman" w:eastAsia="Calibri" w:hAnsi="Times New Roman" w:cs="Times New Roman"/>
          <w:sz w:val="24"/>
          <w:szCs w:val="24"/>
        </w:rPr>
      </w:pPr>
      <w:r w:rsidRPr="00F03851">
        <w:rPr>
          <w:rFonts w:ascii="Times New Roman" w:eastAsia="Calibri" w:hAnsi="Times New Roman" w:cs="Times New Roman"/>
          <w:sz w:val="24"/>
          <w:szCs w:val="24"/>
        </w:rPr>
        <w:t xml:space="preserve">Importantly, this includes </w:t>
      </w:r>
    </w:p>
    <w:p w14:paraId="6B9D9829" w14:textId="63A133AB" w:rsidR="005E18BC" w:rsidRPr="005E18BC" w:rsidRDefault="005E18BC" w:rsidP="00615326">
      <w:pPr>
        <w:pStyle w:val="ListParagraph"/>
        <w:numPr>
          <w:ilvl w:val="0"/>
          <w:numId w:val="46"/>
        </w:numPr>
        <w:spacing w:before="120" w:after="120"/>
        <w:rPr>
          <w:rFonts w:ascii="Times New Roman" w:eastAsia="Calibri" w:hAnsi="Times New Roman" w:cs="Times New Roman"/>
          <w:sz w:val="24"/>
          <w:szCs w:val="24"/>
        </w:rPr>
      </w:pPr>
      <w:r w:rsidRPr="00615326">
        <w:rPr>
          <w:rFonts w:ascii="Times New Roman" w:eastAsia="Calibri" w:hAnsi="Times New Roman" w:cs="Times New Roman"/>
          <w:sz w:val="24"/>
          <w:szCs w:val="24"/>
        </w:rPr>
        <w:t xml:space="preserve">the newly created Commonwealth Department of Climate Change, Energy, the Environment and Water (DCCEEW), which is currently (from 1 July 2022) responsible for administering the </w:t>
      </w:r>
      <w:r w:rsidRPr="00615326">
        <w:rPr>
          <w:rFonts w:ascii="Times New Roman" w:eastAsia="Calibri" w:hAnsi="Times New Roman" w:cs="Times New Roman"/>
          <w:i/>
          <w:sz w:val="24"/>
          <w:szCs w:val="24"/>
        </w:rPr>
        <w:t>Petroleum and Other Fuels Reporting Act 2017</w:t>
      </w:r>
      <w:r w:rsidRPr="00615326">
        <w:rPr>
          <w:rFonts w:ascii="Times New Roman" w:eastAsia="Calibri" w:hAnsi="Times New Roman" w:cs="Times New Roman"/>
          <w:sz w:val="24"/>
          <w:szCs w:val="24"/>
        </w:rPr>
        <w:t xml:space="preserve"> (the POFR Act); and</w:t>
      </w:r>
    </w:p>
    <w:p w14:paraId="0E5BF28E" w14:textId="0140B57E" w:rsidR="005E18BC" w:rsidRPr="00AD23F8" w:rsidRDefault="00F03851" w:rsidP="00AD23F8">
      <w:pPr>
        <w:pStyle w:val="ListParagraph"/>
        <w:numPr>
          <w:ilvl w:val="0"/>
          <w:numId w:val="46"/>
        </w:numPr>
        <w:spacing w:before="120" w:after="120"/>
        <w:rPr>
          <w:rFonts w:ascii="Times New Roman" w:eastAsia="Calibri" w:hAnsi="Times New Roman" w:cs="Times New Roman"/>
          <w:sz w:val="24"/>
          <w:szCs w:val="24"/>
        </w:rPr>
      </w:pPr>
      <w:r w:rsidRPr="00AD23F8">
        <w:rPr>
          <w:rFonts w:ascii="Times New Roman" w:eastAsia="Calibri" w:hAnsi="Times New Roman" w:cs="Times New Roman"/>
          <w:sz w:val="24"/>
          <w:szCs w:val="24"/>
        </w:rPr>
        <w:t>the Commonwealth Department of Industry, Science and Resources</w:t>
      </w:r>
      <w:r w:rsidR="00E42FEA" w:rsidRPr="00AD23F8">
        <w:rPr>
          <w:rFonts w:ascii="Times New Roman" w:eastAsia="Calibri" w:hAnsi="Times New Roman" w:cs="Times New Roman"/>
          <w:sz w:val="24"/>
          <w:szCs w:val="24"/>
        </w:rPr>
        <w:t xml:space="preserve"> (DISR)</w:t>
      </w:r>
      <w:r w:rsidRPr="00AD23F8">
        <w:rPr>
          <w:rFonts w:ascii="Times New Roman" w:eastAsia="Calibri" w:hAnsi="Times New Roman" w:cs="Times New Roman"/>
          <w:sz w:val="24"/>
          <w:szCs w:val="24"/>
        </w:rPr>
        <w:t xml:space="preserve">, </w:t>
      </w:r>
      <w:r w:rsidR="005E18BC" w:rsidRPr="00AD23F8">
        <w:rPr>
          <w:rFonts w:ascii="Times New Roman" w:eastAsia="Calibri" w:hAnsi="Times New Roman" w:cs="Times New Roman"/>
          <w:sz w:val="24"/>
          <w:szCs w:val="24"/>
        </w:rPr>
        <w:t xml:space="preserve">which is responsible for administering </w:t>
      </w:r>
      <w:r w:rsidR="00713D96" w:rsidRPr="00AD23F8">
        <w:rPr>
          <w:rFonts w:ascii="Times New Roman" w:eastAsia="Calibri" w:hAnsi="Times New Roman" w:cs="Times New Roman"/>
          <w:sz w:val="24"/>
          <w:szCs w:val="24"/>
        </w:rPr>
        <w:t xml:space="preserve">a range of other Commonwealth </w:t>
      </w:r>
      <w:r w:rsidR="00AD23F8" w:rsidRPr="00AD23F8">
        <w:rPr>
          <w:rFonts w:ascii="Times New Roman" w:eastAsia="Calibri" w:hAnsi="Times New Roman" w:cs="Times New Roman"/>
          <w:sz w:val="24"/>
          <w:szCs w:val="24"/>
        </w:rPr>
        <w:t>laws related to liquid fuels</w:t>
      </w:r>
      <w:r w:rsidR="00F205CE" w:rsidRPr="00AD23F8">
        <w:rPr>
          <w:rFonts w:ascii="Times New Roman" w:eastAsia="Calibri" w:hAnsi="Times New Roman" w:cs="Times New Roman"/>
          <w:sz w:val="24"/>
          <w:szCs w:val="24"/>
        </w:rPr>
        <w:t xml:space="preserve">. </w:t>
      </w:r>
    </w:p>
    <w:p w14:paraId="3EED1CC0" w14:textId="14835137" w:rsidR="00A50380" w:rsidRDefault="00F03851" w:rsidP="00F03AD4">
      <w:pPr>
        <w:spacing w:before="120" w:after="12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It also includes </w:t>
      </w:r>
      <w:r w:rsidR="005E18BC">
        <w:rPr>
          <w:rFonts w:ascii="Times New Roman" w:eastAsia="Calibri" w:hAnsi="Times New Roman" w:cs="Times New Roman"/>
          <w:sz w:val="24"/>
          <w:szCs w:val="24"/>
        </w:rPr>
        <w:t xml:space="preserve">State and Territory agencies with equivalent functions, and </w:t>
      </w:r>
      <w:r w:rsidR="007711D2">
        <w:rPr>
          <w:rFonts w:ascii="Times New Roman" w:eastAsia="Calibri" w:hAnsi="Times New Roman" w:cs="Times New Roman"/>
          <w:sz w:val="24"/>
          <w:szCs w:val="24"/>
        </w:rPr>
        <w:t xml:space="preserve">other </w:t>
      </w:r>
      <w:r w:rsidR="00615326">
        <w:rPr>
          <w:rFonts w:ascii="Times New Roman" w:eastAsia="Calibri" w:hAnsi="Times New Roman" w:cs="Times New Roman"/>
          <w:sz w:val="24"/>
          <w:szCs w:val="24"/>
        </w:rPr>
        <w:t xml:space="preserve">Commonwealth </w:t>
      </w:r>
      <w:r>
        <w:rPr>
          <w:rFonts w:ascii="Times New Roman" w:eastAsia="Calibri" w:hAnsi="Times New Roman" w:cs="Times New Roman"/>
          <w:sz w:val="24"/>
          <w:szCs w:val="24"/>
        </w:rPr>
        <w:t xml:space="preserve">agencies that have responsibilities relating to responding to liquid fuel and/or national emergencies, </w:t>
      </w:r>
      <w:r w:rsidR="007711D2">
        <w:rPr>
          <w:rFonts w:ascii="Times New Roman" w:eastAsia="Calibri" w:hAnsi="Times New Roman" w:cs="Times New Roman"/>
          <w:sz w:val="24"/>
          <w:szCs w:val="24"/>
        </w:rPr>
        <w:t xml:space="preserve">and </w:t>
      </w:r>
      <w:r>
        <w:rPr>
          <w:rFonts w:ascii="Times New Roman" w:eastAsia="Calibri" w:hAnsi="Times New Roman" w:cs="Times New Roman"/>
          <w:sz w:val="24"/>
          <w:szCs w:val="24"/>
        </w:rPr>
        <w:t>managing critical liquid fuel infrastructure.</w:t>
      </w:r>
      <w:r w:rsidR="00F0572E">
        <w:rPr>
          <w:rFonts w:ascii="Times New Roman" w:eastAsia="Calibri" w:hAnsi="Times New Roman" w:cs="Times New Roman"/>
          <w:sz w:val="24"/>
          <w:szCs w:val="24"/>
        </w:rPr>
        <w:t xml:space="preserve"> Prescribing such agencies is intended to enhance the Commonwealth Government’s ability to mitigate and manage a significant disruption or threat to Australia’s liquid fuel supply chain.</w:t>
      </w:r>
    </w:p>
    <w:p w14:paraId="008B90EC" w14:textId="63C1C63C" w:rsidR="003B153B" w:rsidRDefault="003B153B" w:rsidP="000611C3">
      <w:pPr>
        <w:spacing w:before="240" w:after="240" w:line="276" w:lineRule="auto"/>
        <w:rPr>
          <w:rFonts w:ascii="Times New Roman" w:eastAsia="Calibri" w:hAnsi="Times New Roman" w:cs="Times New Roman"/>
          <w:b/>
          <w:sz w:val="24"/>
          <w:szCs w:val="24"/>
          <w:u w:val="single"/>
        </w:rPr>
      </w:pPr>
      <w:r>
        <w:rPr>
          <w:rFonts w:ascii="Times New Roman" w:hAnsi="Times New Roman" w:cs="Times New Roman"/>
          <w:color w:val="000000"/>
          <w:sz w:val="24"/>
          <w:szCs w:val="24"/>
          <w:shd w:val="clear" w:color="auto" w:fill="FFFFFF"/>
        </w:rPr>
        <w:t>Further details of the Rules are set out at</w:t>
      </w:r>
      <w:r w:rsidRPr="00DB2326">
        <w:rPr>
          <w:rFonts w:ascii="Times New Roman" w:hAnsi="Times New Roman" w:cs="Times New Roman"/>
          <w:color w:val="000000"/>
          <w:sz w:val="24"/>
          <w:szCs w:val="24"/>
          <w:shd w:val="clear" w:color="auto" w:fill="FFFFFF"/>
        </w:rPr>
        <w:t xml:space="preserve"> </w:t>
      </w:r>
      <w:r w:rsidRPr="00DB2326">
        <w:rPr>
          <w:rFonts w:ascii="Times New Roman" w:hAnsi="Times New Roman" w:cs="Times New Roman"/>
          <w:b/>
          <w:color w:val="000000"/>
          <w:sz w:val="24"/>
          <w:szCs w:val="24"/>
          <w:u w:val="single"/>
          <w:shd w:val="clear" w:color="auto" w:fill="FFFFFF"/>
        </w:rPr>
        <w:t xml:space="preserve">Attachment </w:t>
      </w:r>
      <w:r w:rsidR="00AB4DA9">
        <w:rPr>
          <w:rFonts w:ascii="Times New Roman" w:hAnsi="Times New Roman" w:cs="Times New Roman"/>
          <w:b/>
          <w:color w:val="000000"/>
          <w:sz w:val="24"/>
          <w:szCs w:val="24"/>
          <w:u w:val="single"/>
          <w:shd w:val="clear" w:color="auto" w:fill="FFFFFF"/>
        </w:rPr>
        <w:t>A</w:t>
      </w:r>
      <w:r>
        <w:rPr>
          <w:rFonts w:ascii="Times New Roman" w:hAnsi="Times New Roman" w:cs="Times New Roman"/>
          <w:b/>
          <w:color w:val="000000"/>
          <w:sz w:val="24"/>
          <w:szCs w:val="24"/>
          <w:u w:val="single"/>
          <w:shd w:val="clear" w:color="auto" w:fill="FFFFFF"/>
        </w:rPr>
        <w:t>.</w:t>
      </w:r>
    </w:p>
    <w:p w14:paraId="164F3280" w14:textId="77777777" w:rsidR="000611C3" w:rsidRPr="000611C3" w:rsidRDefault="000611C3" w:rsidP="000611C3">
      <w:pPr>
        <w:spacing w:before="240" w:after="24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Authority</w:t>
      </w:r>
    </w:p>
    <w:p w14:paraId="7751035B" w14:textId="3E4551F9" w:rsidR="000611C3" w:rsidRDefault="000611C3" w:rsidP="000611C3">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Th</w:t>
      </w:r>
      <w:r w:rsidR="00423113">
        <w:rPr>
          <w:rFonts w:ascii="Times New Roman" w:eastAsia="Calibri" w:hAnsi="Times New Roman" w:cs="Times New Roman"/>
          <w:sz w:val="24"/>
          <w:szCs w:val="24"/>
        </w:rPr>
        <w:t>e</w:t>
      </w:r>
      <w:r w:rsidR="00DD1E68">
        <w:rPr>
          <w:rFonts w:ascii="Times New Roman" w:eastAsia="Calibri" w:hAnsi="Times New Roman" w:cs="Times New Roman"/>
          <w:sz w:val="24"/>
          <w:szCs w:val="24"/>
        </w:rPr>
        <w:t xml:space="preserve"> </w:t>
      </w:r>
      <w:r w:rsidRPr="000611C3">
        <w:rPr>
          <w:rFonts w:ascii="Times New Roman" w:eastAsia="Calibri" w:hAnsi="Times New Roman" w:cs="Times New Roman"/>
          <w:sz w:val="24"/>
          <w:szCs w:val="24"/>
        </w:rPr>
        <w:t>Rule</w:t>
      </w:r>
      <w:r w:rsidR="00423113">
        <w:rPr>
          <w:rFonts w:ascii="Times New Roman" w:eastAsia="Calibri" w:hAnsi="Times New Roman" w:cs="Times New Roman"/>
          <w:sz w:val="24"/>
          <w:szCs w:val="24"/>
        </w:rPr>
        <w:t>s</w:t>
      </w:r>
      <w:r w:rsidRPr="000611C3">
        <w:rPr>
          <w:rFonts w:ascii="Times New Roman" w:eastAsia="Calibri" w:hAnsi="Times New Roman" w:cs="Times New Roman"/>
          <w:sz w:val="24"/>
          <w:szCs w:val="24"/>
        </w:rPr>
        <w:t xml:space="preserve"> </w:t>
      </w:r>
      <w:r w:rsidR="00423113">
        <w:rPr>
          <w:rFonts w:ascii="Times New Roman" w:eastAsia="Calibri" w:hAnsi="Times New Roman" w:cs="Times New Roman"/>
          <w:sz w:val="24"/>
          <w:szCs w:val="24"/>
        </w:rPr>
        <w:t>are</w:t>
      </w:r>
      <w:r w:rsidR="006152D8">
        <w:rPr>
          <w:rFonts w:ascii="Times New Roman" w:eastAsia="Calibri" w:hAnsi="Times New Roman" w:cs="Times New Roman"/>
          <w:sz w:val="24"/>
          <w:szCs w:val="24"/>
        </w:rPr>
        <w:t xml:space="preserve"> made pursuant to</w:t>
      </w:r>
      <w:r w:rsidRPr="000611C3">
        <w:rPr>
          <w:rFonts w:ascii="Times New Roman" w:eastAsia="Calibri" w:hAnsi="Times New Roman" w:cs="Times New Roman"/>
          <w:sz w:val="24"/>
          <w:szCs w:val="24"/>
        </w:rPr>
        <w:t xml:space="preserve"> the </w:t>
      </w:r>
      <w:r w:rsidR="00366DEE">
        <w:rPr>
          <w:rFonts w:ascii="Times New Roman" w:eastAsia="Calibri" w:hAnsi="Times New Roman" w:cs="Times New Roman"/>
          <w:sz w:val="24"/>
          <w:szCs w:val="24"/>
        </w:rPr>
        <w:t xml:space="preserve">POFR </w:t>
      </w:r>
      <w:r w:rsidR="008F6027">
        <w:rPr>
          <w:rFonts w:ascii="Times New Roman" w:eastAsia="Calibri" w:hAnsi="Times New Roman" w:cs="Times New Roman"/>
          <w:sz w:val="24"/>
          <w:szCs w:val="24"/>
        </w:rPr>
        <w:t>Act</w:t>
      </w:r>
      <w:r w:rsidR="002C4AAF">
        <w:rPr>
          <w:rFonts w:ascii="Times New Roman" w:eastAsia="Calibri" w:hAnsi="Times New Roman" w:cs="Times New Roman"/>
          <w:sz w:val="24"/>
          <w:szCs w:val="24"/>
        </w:rPr>
        <w:t>.</w:t>
      </w:r>
      <w:r w:rsidR="008F6027">
        <w:rPr>
          <w:rFonts w:ascii="Times New Roman" w:eastAsia="Calibri" w:hAnsi="Times New Roman" w:cs="Times New Roman"/>
          <w:sz w:val="24"/>
          <w:szCs w:val="24"/>
        </w:rPr>
        <w:t xml:space="preserve"> </w:t>
      </w:r>
      <w:r w:rsidR="002C4AAF">
        <w:rPr>
          <w:rFonts w:ascii="Times New Roman" w:eastAsia="Calibri" w:hAnsi="Times New Roman" w:cs="Times New Roman"/>
          <w:sz w:val="24"/>
          <w:szCs w:val="24"/>
        </w:rPr>
        <w:t>I</w:t>
      </w:r>
      <w:r w:rsidR="008F6027">
        <w:rPr>
          <w:rFonts w:ascii="Times New Roman" w:eastAsia="Calibri" w:hAnsi="Times New Roman" w:cs="Times New Roman"/>
          <w:sz w:val="24"/>
          <w:szCs w:val="24"/>
        </w:rPr>
        <w:t>n particular</w:t>
      </w:r>
      <w:r w:rsidR="002C4AAF">
        <w:rPr>
          <w:rFonts w:ascii="Times New Roman" w:eastAsia="Calibri" w:hAnsi="Times New Roman" w:cs="Times New Roman"/>
          <w:sz w:val="24"/>
          <w:szCs w:val="24"/>
        </w:rPr>
        <w:t>,</w:t>
      </w:r>
      <w:r w:rsidR="008F6027">
        <w:rPr>
          <w:rFonts w:ascii="Times New Roman" w:eastAsia="Calibri" w:hAnsi="Times New Roman" w:cs="Times New Roman"/>
          <w:sz w:val="24"/>
          <w:szCs w:val="24"/>
        </w:rPr>
        <w:t xml:space="preserve"> section 41 </w:t>
      </w:r>
      <w:r w:rsidR="00E216CA">
        <w:rPr>
          <w:rFonts w:ascii="Times New Roman" w:eastAsia="Calibri" w:hAnsi="Times New Roman" w:cs="Times New Roman"/>
          <w:sz w:val="24"/>
          <w:szCs w:val="24"/>
        </w:rPr>
        <w:t xml:space="preserve">of that Act </w:t>
      </w:r>
      <w:r w:rsidR="008F6027">
        <w:rPr>
          <w:rFonts w:ascii="Times New Roman" w:eastAsia="Calibri" w:hAnsi="Times New Roman" w:cs="Times New Roman"/>
          <w:sz w:val="24"/>
          <w:szCs w:val="24"/>
        </w:rPr>
        <w:t xml:space="preserve">includes the power for the Minister to make legislative rules. </w:t>
      </w:r>
    </w:p>
    <w:p w14:paraId="2C029999" w14:textId="77777777" w:rsidR="006F5CB3" w:rsidRPr="006F5CB3" w:rsidRDefault="006F5CB3" w:rsidP="006F5CB3">
      <w:pPr>
        <w:spacing w:before="240" w:after="240" w:line="276" w:lineRule="auto"/>
        <w:rPr>
          <w:rFonts w:ascii="Times New Roman" w:eastAsia="Calibri" w:hAnsi="Times New Roman" w:cs="Times New Roman"/>
          <w:b/>
          <w:sz w:val="24"/>
          <w:szCs w:val="24"/>
          <w:u w:val="single"/>
        </w:rPr>
      </w:pPr>
      <w:r w:rsidRPr="006F5CB3">
        <w:rPr>
          <w:rFonts w:ascii="Times New Roman" w:eastAsia="Calibri" w:hAnsi="Times New Roman" w:cs="Times New Roman"/>
          <w:b/>
          <w:sz w:val="24"/>
          <w:szCs w:val="24"/>
          <w:u w:val="single"/>
        </w:rPr>
        <w:t xml:space="preserve">Regulatory Impact </w:t>
      </w:r>
    </w:p>
    <w:p w14:paraId="328B4482" w14:textId="17B174C1" w:rsidR="006F5CB3" w:rsidRDefault="00ED51D2" w:rsidP="000611C3">
      <w:pPr>
        <w:spacing w:before="120" w:after="12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ED51D2">
        <w:rPr>
          <w:rFonts w:ascii="Times New Roman" w:eastAsia="Calibri" w:hAnsi="Times New Roman" w:cs="Times New Roman"/>
          <w:sz w:val="24"/>
          <w:szCs w:val="24"/>
        </w:rPr>
        <w:t xml:space="preserve">Office of Best Practice Regulation </w:t>
      </w:r>
      <w:r>
        <w:rPr>
          <w:rFonts w:ascii="Times New Roman" w:eastAsia="Calibri" w:hAnsi="Times New Roman" w:cs="Times New Roman"/>
          <w:sz w:val="24"/>
          <w:szCs w:val="24"/>
        </w:rPr>
        <w:t xml:space="preserve">was consulted in relation to these Rules and advised that </w:t>
      </w:r>
      <w:r w:rsidR="008F2980">
        <w:rPr>
          <w:rFonts w:ascii="Times New Roman" w:eastAsia="Calibri" w:hAnsi="Times New Roman" w:cs="Times New Roman"/>
          <w:sz w:val="24"/>
          <w:szCs w:val="24"/>
        </w:rPr>
        <w:t xml:space="preserve">it </w:t>
      </w:r>
      <w:r w:rsidR="008F2980" w:rsidRPr="008F2980">
        <w:rPr>
          <w:rFonts w:ascii="Times New Roman" w:eastAsia="Calibri" w:hAnsi="Times New Roman" w:cs="Times New Roman"/>
          <w:sz w:val="24"/>
          <w:szCs w:val="24"/>
        </w:rPr>
        <w:t>considers the proposal is unlikely to have a more than minor regulatory impact, and therefore a Regulation Impact Statement is not required</w:t>
      </w:r>
      <w:r w:rsidR="008F2980">
        <w:rPr>
          <w:rFonts w:ascii="Times New Roman" w:eastAsia="Calibri" w:hAnsi="Times New Roman" w:cs="Times New Roman"/>
          <w:sz w:val="24"/>
          <w:szCs w:val="24"/>
        </w:rPr>
        <w:t xml:space="preserve"> (reference number: </w:t>
      </w:r>
      <w:r w:rsidR="008F2980" w:rsidRPr="008F2980">
        <w:rPr>
          <w:rFonts w:ascii="Times New Roman" w:eastAsia="Calibri" w:hAnsi="Times New Roman" w:cs="Times New Roman"/>
          <w:sz w:val="24"/>
          <w:szCs w:val="24"/>
        </w:rPr>
        <w:t>OBPR22-02546</w:t>
      </w:r>
      <w:r w:rsidR="008F2980">
        <w:rPr>
          <w:rFonts w:ascii="Times New Roman" w:eastAsia="Calibri" w:hAnsi="Times New Roman" w:cs="Times New Roman"/>
          <w:sz w:val="24"/>
          <w:szCs w:val="24"/>
        </w:rPr>
        <w:t xml:space="preserve">). </w:t>
      </w:r>
    </w:p>
    <w:p w14:paraId="3C3BD827" w14:textId="77777777" w:rsidR="003B153B" w:rsidRDefault="003B153B" w:rsidP="00615326">
      <w:pPr>
        <w:keepNext/>
        <w:spacing w:before="200"/>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Statement of Compatibility with Human Rights</w:t>
      </w:r>
    </w:p>
    <w:p w14:paraId="5EE03492" w14:textId="7FA15FA2" w:rsidR="003B153B" w:rsidRDefault="003B153B" w:rsidP="003B153B">
      <w:pPr>
        <w:spacing w:before="120" w:after="120" w:line="276" w:lineRule="auto"/>
        <w:rPr>
          <w:rFonts w:ascii="Times New Roman" w:eastAsia="Times New Roman" w:hAnsi="Times New Roman" w:cs="Times New Roman"/>
          <w:b/>
          <w:color w:val="000000"/>
          <w:sz w:val="24"/>
          <w:szCs w:val="24"/>
          <w:u w:val="single"/>
          <w:lang w:val="en-GB" w:eastAsia="en-AU"/>
        </w:rPr>
      </w:pPr>
      <w:r>
        <w:rPr>
          <w:rFonts w:ascii="Times New Roman" w:eastAsia="Times New Roman" w:hAnsi="Times New Roman" w:cs="Times New Roman"/>
          <w:color w:val="000000"/>
          <w:sz w:val="24"/>
          <w:szCs w:val="24"/>
          <w:lang w:val="en-GB" w:eastAsia="en-AU"/>
        </w:rPr>
        <w:t>A Statement of Compatibility with Human R</w:t>
      </w:r>
      <w:r w:rsidRPr="005B1CDD">
        <w:rPr>
          <w:rFonts w:ascii="Times New Roman" w:eastAsia="Times New Roman" w:hAnsi="Times New Roman" w:cs="Times New Roman"/>
          <w:color w:val="000000"/>
          <w:sz w:val="24"/>
          <w:szCs w:val="24"/>
          <w:lang w:val="en-GB" w:eastAsia="en-AU"/>
        </w:rPr>
        <w:t>ights for the purposes of Part 3 of the </w:t>
      </w:r>
      <w:r w:rsidRPr="005B1CDD">
        <w:rPr>
          <w:rFonts w:ascii="Times New Roman" w:eastAsia="Times New Roman" w:hAnsi="Times New Roman" w:cs="Times New Roman"/>
          <w:i/>
          <w:iCs/>
          <w:color w:val="000000"/>
          <w:sz w:val="24"/>
          <w:szCs w:val="24"/>
          <w:lang w:val="en-GB" w:eastAsia="en-AU"/>
        </w:rPr>
        <w:t>Human Rights (Parliamentary Scrutiny) Act 2011</w:t>
      </w:r>
      <w:r w:rsidRPr="005B1CDD">
        <w:rPr>
          <w:rFonts w:ascii="Times New Roman" w:eastAsia="Times New Roman" w:hAnsi="Times New Roman" w:cs="Times New Roman"/>
          <w:color w:val="000000"/>
          <w:sz w:val="24"/>
          <w:szCs w:val="24"/>
          <w:lang w:val="en-GB" w:eastAsia="en-AU"/>
        </w:rPr>
        <w:t xml:space="preserve"> is set out at </w:t>
      </w:r>
      <w:r w:rsidRPr="004E32ED">
        <w:rPr>
          <w:rFonts w:ascii="Times New Roman" w:eastAsia="Times New Roman" w:hAnsi="Times New Roman" w:cs="Times New Roman"/>
          <w:b/>
          <w:color w:val="000000"/>
          <w:sz w:val="24"/>
          <w:szCs w:val="24"/>
          <w:u w:val="single"/>
          <w:lang w:val="en-GB" w:eastAsia="en-AU"/>
        </w:rPr>
        <w:t>Attachment</w:t>
      </w:r>
      <w:r>
        <w:rPr>
          <w:rFonts w:ascii="Times New Roman" w:eastAsia="Times New Roman" w:hAnsi="Times New Roman" w:cs="Times New Roman"/>
          <w:b/>
          <w:color w:val="000000"/>
          <w:sz w:val="24"/>
          <w:szCs w:val="24"/>
          <w:u w:val="single"/>
          <w:lang w:val="en-GB" w:eastAsia="en-AU"/>
        </w:rPr>
        <w:t xml:space="preserve"> </w:t>
      </w:r>
      <w:r w:rsidR="00AB4DA9">
        <w:rPr>
          <w:rFonts w:ascii="Times New Roman" w:eastAsia="Times New Roman" w:hAnsi="Times New Roman" w:cs="Times New Roman"/>
          <w:b/>
          <w:color w:val="000000"/>
          <w:sz w:val="24"/>
          <w:szCs w:val="24"/>
          <w:u w:val="single"/>
          <w:lang w:val="en-GB" w:eastAsia="en-AU"/>
        </w:rPr>
        <w:t>B</w:t>
      </w:r>
      <w:r>
        <w:rPr>
          <w:rFonts w:ascii="Times New Roman" w:eastAsia="Times New Roman" w:hAnsi="Times New Roman" w:cs="Times New Roman"/>
          <w:b/>
          <w:color w:val="000000"/>
          <w:sz w:val="24"/>
          <w:szCs w:val="24"/>
          <w:u w:val="single"/>
          <w:lang w:val="en-GB" w:eastAsia="en-AU"/>
        </w:rPr>
        <w:t>.</w:t>
      </w:r>
    </w:p>
    <w:p w14:paraId="5A4DAE2A" w14:textId="77777777" w:rsidR="003B153B" w:rsidRDefault="003B153B" w:rsidP="008F2980">
      <w:pPr>
        <w:keepNext/>
        <w:keepLines/>
        <w:spacing w:before="200"/>
        <w:rPr>
          <w:rFonts w:ascii="Times New Roman" w:hAnsi="Times New Roman" w:cs="Times New Roman"/>
          <w:b/>
          <w:sz w:val="24"/>
          <w:szCs w:val="24"/>
          <w:u w:val="single"/>
        </w:rPr>
      </w:pPr>
      <w:r>
        <w:rPr>
          <w:rFonts w:ascii="Times New Roman" w:hAnsi="Times New Roman" w:cs="Times New Roman"/>
          <w:b/>
          <w:sz w:val="24"/>
          <w:szCs w:val="24"/>
          <w:u w:val="single"/>
        </w:rPr>
        <w:t>Glossary of Terms</w:t>
      </w:r>
    </w:p>
    <w:p w14:paraId="2C6493DF" w14:textId="39CC4EE7" w:rsidR="003B153B" w:rsidRPr="000611C3" w:rsidRDefault="003B153B" w:rsidP="008F2980">
      <w:pPr>
        <w:keepNext/>
        <w:keepLines/>
        <w:spacing w:before="120" w:after="120" w:line="276"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en-GB" w:eastAsia="en-AU"/>
        </w:rPr>
        <w:t xml:space="preserve">A Glossary of Terms is </w:t>
      </w:r>
      <w:r w:rsidR="00AB4DA9">
        <w:rPr>
          <w:rFonts w:ascii="Times New Roman" w:eastAsia="Times New Roman" w:hAnsi="Times New Roman" w:cs="Times New Roman"/>
          <w:color w:val="000000"/>
          <w:sz w:val="24"/>
          <w:szCs w:val="24"/>
          <w:lang w:val="en-GB" w:eastAsia="en-AU"/>
        </w:rPr>
        <w:t>included in</w:t>
      </w:r>
      <w:r>
        <w:rPr>
          <w:rFonts w:ascii="Times New Roman" w:eastAsia="Times New Roman" w:hAnsi="Times New Roman" w:cs="Times New Roman"/>
          <w:color w:val="000000"/>
          <w:sz w:val="24"/>
          <w:szCs w:val="24"/>
          <w:lang w:val="en-GB" w:eastAsia="en-AU"/>
        </w:rPr>
        <w:t xml:space="preserve"> </w:t>
      </w:r>
      <w:r w:rsidRPr="00240AAD">
        <w:rPr>
          <w:rFonts w:ascii="Times New Roman" w:eastAsia="Times New Roman" w:hAnsi="Times New Roman" w:cs="Times New Roman"/>
          <w:b/>
          <w:color w:val="000000"/>
          <w:sz w:val="24"/>
          <w:szCs w:val="24"/>
          <w:u w:val="single"/>
          <w:lang w:val="en-GB" w:eastAsia="en-AU"/>
        </w:rPr>
        <w:t>Attachment A</w:t>
      </w:r>
      <w:r w:rsidR="008931DA">
        <w:rPr>
          <w:rFonts w:ascii="Times New Roman" w:eastAsia="Times New Roman" w:hAnsi="Times New Roman" w:cs="Times New Roman"/>
          <w:b/>
          <w:color w:val="000000"/>
          <w:sz w:val="24"/>
          <w:szCs w:val="24"/>
          <w:u w:val="single"/>
          <w:lang w:val="en-GB" w:eastAsia="en-AU"/>
        </w:rPr>
        <w:t>.</w:t>
      </w:r>
    </w:p>
    <w:p w14:paraId="1A1D1D44" w14:textId="5A0DCA3A" w:rsidR="003B153B" w:rsidRDefault="003B153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14:paraId="5E14076F" w14:textId="77777777" w:rsidR="005F4814" w:rsidRDefault="005F4814" w:rsidP="007D27D0">
      <w:pPr>
        <w:spacing w:before="120" w:after="120" w:line="276" w:lineRule="auto"/>
        <w:rPr>
          <w:rFonts w:ascii="Times New Roman" w:eastAsia="Calibri" w:hAnsi="Times New Roman" w:cs="Times New Roman"/>
          <w:b/>
          <w:sz w:val="24"/>
          <w:szCs w:val="24"/>
          <w:u w:val="single"/>
        </w:rPr>
      </w:pPr>
    </w:p>
    <w:p w14:paraId="02FD945D" w14:textId="24DFBC01" w:rsidR="00A50EF0" w:rsidRDefault="00A50EF0" w:rsidP="00A50EF0">
      <w:pPr>
        <w:rPr>
          <w:rFonts w:ascii="Times New Roman" w:eastAsia="Calibri" w:hAnsi="Times New Roman" w:cs="Times New Roman"/>
          <w:sz w:val="24"/>
          <w:szCs w:val="24"/>
        </w:rPr>
      </w:pPr>
    </w:p>
    <w:p w14:paraId="440D8DE5" w14:textId="4B366BDA" w:rsidR="003B153B" w:rsidRDefault="003B153B" w:rsidP="00240AAD">
      <w:pPr>
        <w:jc w:val="right"/>
        <w:rPr>
          <w:rFonts w:ascii="Times New Roman" w:eastAsia="Calibri" w:hAnsi="Times New Roman" w:cs="Times New Roman"/>
          <w:b/>
          <w:sz w:val="24"/>
          <w:szCs w:val="24"/>
        </w:rPr>
      </w:pPr>
      <w:r>
        <w:rPr>
          <w:rFonts w:ascii="Times New Roman" w:eastAsia="Calibri" w:hAnsi="Times New Roman" w:cs="Times New Roman"/>
          <w:b/>
          <w:sz w:val="24"/>
          <w:szCs w:val="24"/>
        </w:rPr>
        <w:t>Attachment A</w:t>
      </w:r>
    </w:p>
    <w:p w14:paraId="7286C26C" w14:textId="2CED0633" w:rsidR="00AB4DA9" w:rsidRDefault="00AB4DA9" w:rsidP="00240AAD">
      <w:pPr>
        <w:spacing w:before="240" w:after="24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u w:val="single"/>
        </w:rPr>
        <w:t xml:space="preserve">Details of the </w:t>
      </w:r>
      <w:r w:rsidR="003B24D3" w:rsidRPr="003B24D3">
        <w:rPr>
          <w:rFonts w:ascii="Times New Roman" w:eastAsia="Calibri" w:hAnsi="Times New Roman" w:cs="Times New Roman"/>
          <w:b/>
          <w:i/>
          <w:sz w:val="24"/>
          <w:szCs w:val="24"/>
          <w:u w:val="single"/>
        </w:rPr>
        <w:t>Petroleum and Other Fuels Reporting Amendment (Protected Information) Rules 2022</w:t>
      </w:r>
    </w:p>
    <w:p w14:paraId="2B7A7F68" w14:textId="4F7D1E60" w:rsidR="7A37929F" w:rsidRPr="00791267" w:rsidRDefault="05A6DE22">
      <w:pPr>
        <w:rPr>
          <w:rFonts w:ascii="Times New Roman" w:eastAsia="Calibri" w:hAnsi="Times New Roman" w:cs="Times New Roman"/>
          <w:b/>
          <w:sz w:val="24"/>
          <w:szCs w:val="24"/>
        </w:rPr>
      </w:pPr>
      <w:r w:rsidRPr="00791267">
        <w:rPr>
          <w:rFonts w:ascii="Times New Roman" w:eastAsia="Calibri" w:hAnsi="Times New Roman" w:cs="Times New Roman"/>
          <w:b/>
          <w:sz w:val="24"/>
          <w:szCs w:val="24"/>
        </w:rPr>
        <w:t>GLOSSARY</w:t>
      </w:r>
    </w:p>
    <w:p w14:paraId="73A375C5" w14:textId="4F7D1E60" w:rsidR="7D6A7118" w:rsidRPr="00791267" w:rsidRDefault="7D6A7118">
      <w:pPr>
        <w:rPr>
          <w:rFonts w:ascii="Times New Roman" w:eastAsia="Calibri" w:hAnsi="Times New Roman" w:cs="Times New Roman"/>
          <w:sz w:val="24"/>
          <w:szCs w:val="24"/>
        </w:rPr>
      </w:pPr>
    </w:p>
    <w:tbl>
      <w:tblPr>
        <w:tblStyle w:val="GridTable1Light"/>
        <w:tblW w:w="0" w:type="auto"/>
        <w:tblLook w:val="04A0" w:firstRow="1" w:lastRow="0" w:firstColumn="1" w:lastColumn="0" w:noHBand="0" w:noVBand="1"/>
      </w:tblPr>
      <w:tblGrid>
        <w:gridCol w:w="4508"/>
        <w:gridCol w:w="4508"/>
      </w:tblGrid>
      <w:tr w:rsidR="0315B737" w:rsidRPr="00791267" w14:paraId="51A05F42" w14:textId="77777777" w:rsidTr="00876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C61699" w14:textId="2BE3A8B7" w:rsidR="0315B737" w:rsidRPr="00791267" w:rsidRDefault="0315B737" w:rsidP="0315B737">
            <w:pPr>
              <w:rPr>
                <w:rFonts w:ascii="Times New Roman" w:eastAsia="Calibri" w:hAnsi="Times New Roman" w:cs="Times New Roman"/>
                <w:bCs w:val="0"/>
                <w:sz w:val="24"/>
                <w:szCs w:val="24"/>
              </w:rPr>
            </w:pPr>
            <w:r w:rsidRPr="00791267">
              <w:rPr>
                <w:rFonts w:ascii="Times New Roman" w:eastAsia="Calibri" w:hAnsi="Times New Roman" w:cs="Times New Roman"/>
                <w:bCs w:val="0"/>
                <w:sz w:val="24"/>
                <w:szCs w:val="24"/>
              </w:rPr>
              <w:t>Abbreviation</w:t>
            </w:r>
          </w:p>
        </w:tc>
        <w:tc>
          <w:tcPr>
            <w:tcW w:w="4508" w:type="dxa"/>
          </w:tcPr>
          <w:p w14:paraId="756CEB3E" w14:textId="7F94B564" w:rsidR="0315B737" w:rsidRPr="00791267" w:rsidRDefault="0315B737" w:rsidP="0315B73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791267">
              <w:rPr>
                <w:rFonts w:ascii="Times New Roman" w:eastAsia="Calibri" w:hAnsi="Times New Roman" w:cs="Times New Roman"/>
                <w:bCs w:val="0"/>
                <w:sz w:val="24"/>
                <w:szCs w:val="24"/>
              </w:rPr>
              <w:t>Definition</w:t>
            </w:r>
          </w:p>
        </w:tc>
      </w:tr>
      <w:tr w:rsidR="007E185B" w:rsidRPr="00791267" w14:paraId="34247A1E"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5747C848" w14:textId="4166C2AB" w:rsidR="007E185B" w:rsidRPr="007E185B" w:rsidRDefault="007E185B" w:rsidP="0315B737">
            <w:pPr>
              <w:rPr>
                <w:rFonts w:ascii="Times New Roman" w:eastAsia="Calibri" w:hAnsi="Times New Roman" w:cs="Times New Roman"/>
                <w:b w:val="0"/>
                <w:sz w:val="24"/>
                <w:szCs w:val="24"/>
              </w:rPr>
            </w:pPr>
            <w:r w:rsidRPr="007E185B">
              <w:rPr>
                <w:rFonts w:ascii="Times New Roman" w:eastAsia="Calibri" w:hAnsi="Times New Roman" w:cs="Times New Roman"/>
                <w:b w:val="0"/>
                <w:sz w:val="24"/>
                <w:szCs w:val="24"/>
              </w:rPr>
              <w:t>ACCC</w:t>
            </w:r>
          </w:p>
        </w:tc>
        <w:tc>
          <w:tcPr>
            <w:tcW w:w="4508" w:type="dxa"/>
          </w:tcPr>
          <w:p w14:paraId="77DB53A3" w14:textId="1E46FC48" w:rsidR="007E185B" w:rsidRPr="00791267" w:rsidRDefault="007E185B" w:rsidP="0315B73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Australian Competition and Consumer Commission </w:t>
            </w:r>
          </w:p>
        </w:tc>
      </w:tr>
      <w:tr w:rsidR="00B53949" w:rsidRPr="00791267" w14:paraId="5B522965"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46E3F9EB" w14:textId="7A0AE294" w:rsidR="00B53949" w:rsidRPr="00B53949" w:rsidRDefault="00B53949" w:rsidP="0315B737">
            <w:pPr>
              <w:rPr>
                <w:rFonts w:ascii="Times New Roman" w:eastAsia="Calibri" w:hAnsi="Times New Roman" w:cs="Times New Roman"/>
                <w:b w:val="0"/>
                <w:sz w:val="24"/>
                <w:szCs w:val="24"/>
              </w:rPr>
            </w:pPr>
            <w:r w:rsidRPr="00B53949">
              <w:rPr>
                <w:rFonts w:ascii="Times New Roman" w:eastAsia="Calibri" w:hAnsi="Times New Roman" w:cs="Times New Roman"/>
                <w:b w:val="0"/>
                <w:sz w:val="24"/>
                <w:szCs w:val="24"/>
              </w:rPr>
              <w:t>Department</w:t>
            </w:r>
          </w:p>
        </w:tc>
        <w:tc>
          <w:tcPr>
            <w:tcW w:w="4508" w:type="dxa"/>
          </w:tcPr>
          <w:p w14:paraId="32F77BB9" w14:textId="04BCC1B5" w:rsidR="00B53949" w:rsidRDefault="00B53949" w:rsidP="0315B73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w:t>
            </w:r>
            <w:r w:rsidRPr="00B53949">
              <w:rPr>
                <w:rFonts w:ascii="Times New Roman" w:eastAsia="Calibri" w:hAnsi="Times New Roman" w:cs="Times New Roman"/>
                <w:sz w:val="24"/>
                <w:szCs w:val="24"/>
              </w:rPr>
              <w:t>he Department that is responsible for administering the POFR Act and principal POFR Rules (presently, the Department of Climate Change, Energy, the Environment and Water)</w:t>
            </w:r>
          </w:p>
        </w:tc>
      </w:tr>
      <w:tr w:rsidR="05A6DE22" w:rsidRPr="00791267" w14:paraId="49D9FDCD"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09F0BCF3" w14:textId="378420D6"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 xml:space="preserve">FS Act </w:t>
            </w:r>
          </w:p>
        </w:tc>
        <w:tc>
          <w:tcPr>
            <w:tcW w:w="4508" w:type="dxa"/>
          </w:tcPr>
          <w:p w14:paraId="4D873EA3" w14:textId="3434506C"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Fuel Security Act 2021</w:t>
            </w:r>
          </w:p>
        </w:tc>
      </w:tr>
      <w:tr w:rsidR="009F7B1D" w:rsidRPr="00791267" w14:paraId="5B1B500D"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7C7FADAE" w14:textId="382ACE9B" w:rsidR="009F7B1D" w:rsidRPr="009F7B1D" w:rsidRDefault="009F7B1D">
            <w:pPr>
              <w:rPr>
                <w:rFonts w:ascii="Times New Roman" w:eastAsia="Calibri" w:hAnsi="Times New Roman" w:cs="Times New Roman"/>
                <w:b w:val="0"/>
                <w:sz w:val="24"/>
                <w:szCs w:val="24"/>
              </w:rPr>
            </w:pPr>
            <w:r w:rsidRPr="009F7B1D">
              <w:rPr>
                <w:rFonts w:ascii="Times New Roman" w:eastAsia="Calibri" w:hAnsi="Times New Roman" w:cs="Times New Roman"/>
                <w:b w:val="0"/>
                <w:sz w:val="24"/>
                <w:szCs w:val="24"/>
              </w:rPr>
              <w:t>Minister</w:t>
            </w:r>
          </w:p>
        </w:tc>
        <w:tc>
          <w:tcPr>
            <w:tcW w:w="4508" w:type="dxa"/>
          </w:tcPr>
          <w:p w14:paraId="4936EC7D" w14:textId="107794C9" w:rsidR="009F7B1D" w:rsidRPr="009F7B1D" w:rsidRDefault="009F7B1D" w:rsidP="003C20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F7B1D">
              <w:rPr>
                <w:rFonts w:ascii="Times New Roman" w:eastAsia="Calibri" w:hAnsi="Times New Roman" w:cs="Times New Roman"/>
                <w:sz w:val="24"/>
                <w:szCs w:val="24"/>
              </w:rPr>
              <w:t xml:space="preserve">The Minister </w:t>
            </w:r>
            <w:r w:rsidR="003C20DF">
              <w:rPr>
                <w:rFonts w:ascii="Times New Roman" w:eastAsia="Calibri" w:hAnsi="Times New Roman" w:cs="Times New Roman"/>
                <w:sz w:val="24"/>
                <w:szCs w:val="24"/>
              </w:rPr>
              <w:t>who</w:t>
            </w:r>
            <w:r w:rsidR="003C20DF" w:rsidRPr="009F7B1D">
              <w:rPr>
                <w:rFonts w:ascii="Times New Roman" w:eastAsia="Calibri" w:hAnsi="Times New Roman" w:cs="Times New Roman"/>
                <w:sz w:val="24"/>
                <w:szCs w:val="24"/>
              </w:rPr>
              <w:t xml:space="preserve"> </w:t>
            </w:r>
            <w:r w:rsidRPr="009F7B1D">
              <w:rPr>
                <w:rFonts w:ascii="Times New Roman" w:eastAsia="Calibri" w:hAnsi="Times New Roman" w:cs="Times New Roman"/>
                <w:sz w:val="24"/>
                <w:szCs w:val="24"/>
              </w:rPr>
              <w:t xml:space="preserve">is responsible for administering the POFR Act and the </w:t>
            </w:r>
            <w:r>
              <w:rPr>
                <w:rFonts w:ascii="Times New Roman" w:eastAsia="Calibri" w:hAnsi="Times New Roman" w:cs="Times New Roman"/>
                <w:sz w:val="24"/>
                <w:szCs w:val="24"/>
              </w:rPr>
              <w:t xml:space="preserve">principal POFR </w:t>
            </w:r>
            <w:r w:rsidRPr="009F7B1D">
              <w:rPr>
                <w:rFonts w:ascii="Times New Roman" w:eastAsia="Calibri" w:hAnsi="Times New Roman" w:cs="Times New Roman"/>
                <w:sz w:val="24"/>
                <w:szCs w:val="24"/>
              </w:rPr>
              <w:t>Rule</w:t>
            </w:r>
            <w:r>
              <w:rPr>
                <w:rFonts w:ascii="Times New Roman" w:eastAsia="Calibri" w:hAnsi="Times New Roman" w:cs="Times New Roman"/>
                <w:sz w:val="24"/>
                <w:szCs w:val="24"/>
              </w:rPr>
              <w:t>s</w:t>
            </w:r>
            <w:r w:rsidRPr="009F7B1D">
              <w:rPr>
                <w:rFonts w:ascii="Times New Roman" w:eastAsia="Calibri" w:hAnsi="Times New Roman" w:cs="Times New Roman"/>
                <w:sz w:val="24"/>
                <w:szCs w:val="24"/>
              </w:rPr>
              <w:t xml:space="preserve"> (presently, the Minister for</w:t>
            </w:r>
            <w:r w:rsidR="00CD6EDC">
              <w:t xml:space="preserve"> </w:t>
            </w:r>
            <w:r w:rsidR="00CD6EDC" w:rsidRPr="00CD6EDC">
              <w:rPr>
                <w:rFonts w:ascii="Times New Roman" w:eastAsia="Calibri" w:hAnsi="Times New Roman" w:cs="Times New Roman"/>
                <w:sz w:val="24"/>
                <w:szCs w:val="24"/>
              </w:rPr>
              <w:t>Climate Change and Energy</w:t>
            </w:r>
            <w:r w:rsidR="00CD6EDC" w:rsidRPr="00CD6EDC" w:rsidDel="00CD6EDC">
              <w:rPr>
                <w:rFonts w:ascii="Times New Roman" w:eastAsia="Calibri" w:hAnsi="Times New Roman" w:cs="Times New Roman"/>
                <w:sz w:val="24"/>
                <w:szCs w:val="24"/>
              </w:rPr>
              <w:t xml:space="preserve"> </w:t>
            </w:r>
            <w:r w:rsidRPr="009F7B1D">
              <w:rPr>
                <w:rFonts w:ascii="Times New Roman" w:eastAsia="Calibri" w:hAnsi="Times New Roman" w:cs="Times New Roman"/>
                <w:sz w:val="24"/>
                <w:szCs w:val="24"/>
              </w:rPr>
              <w:t>)</w:t>
            </w:r>
          </w:p>
        </w:tc>
      </w:tr>
      <w:tr w:rsidR="05A6DE22" w:rsidRPr="00791267" w14:paraId="0927EF6F"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1C808779" w14:textId="378420D6"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POFR Act</w:t>
            </w:r>
          </w:p>
        </w:tc>
        <w:tc>
          <w:tcPr>
            <w:tcW w:w="4508" w:type="dxa"/>
          </w:tcPr>
          <w:p w14:paraId="7FC0D4DB" w14:textId="736F6039" w:rsidR="05A6DE22" w:rsidRPr="00791267" w:rsidRDefault="05A6DE22" w:rsidP="00EA171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91267">
              <w:rPr>
                <w:rFonts w:ascii="Times New Roman" w:eastAsia="Calibri" w:hAnsi="Times New Roman" w:cs="Times New Roman"/>
                <w:i/>
                <w:sz w:val="24"/>
                <w:szCs w:val="24"/>
              </w:rPr>
              <w:t>Petroleum and Other Fuels Reporting Act 2017</w:t>
            </w:r>
            <w:r w:rsidR="002F1BE4" w:rsidRPr="00791267" w:rsidDel="002F1BE4">
              <w:rPr>
                <w:rFonts w:ascii="Times New Roman" w:eastAsia="Calibri" w:hAnsi="Times New Roman" w:cs="Times New Roman"/>
                <w:sz w:val="24"/>
                <w:szCs w:val="24"/>
              </w:rPr>
              <w:t xml:space="preserve"> </w:t>
            </w:r>
          </w:p>
        </w:tc>
      </w:tr>
      <w:tr w:rsidR="05A6DE22" w:rsidRPr="00791267" w14:paraId="4FF50012"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561A8EB0" w14:textId="378420D6"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principal POFR Rules</w:t>
            </w:r>
          </w:p>
        </w:tc>
        <w:tc>
          <w:tcPr>
            <w:tcW w:w="4508" w:type="dxa"/>
          </w:tcPr>
          <w:p w14:paraId="47DBB406" w14:textId="64696A41" w:rsidR="05A6DE22" w:rsidRPr="00791267" w:rsidRDefault="05A6DE22" w:rsidP="00F606B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91267">
              <w:rPr>
                <w:rFonts w:ascii="Times New Roman" w:eastAsia="Calibri" w:hAnsi="Times New Roman" w:cs="Times New Roman"/>
                <w:i/>
                <w:sz w:val="24"/>
                <w:szCs w:val="24"/>
              </w:rPr>
              <w:t>Petroleum and Other Fuels Reporting Rules 2017</w:t>
            </w:r>
            <w:r w:rsidR="00791267">
              <w:rPr>
                <w:rFonts w:ascii="Times New Roman" w:eastAsia="Calibri" w:hAnsi="Times New Roman" w:cs="Times New Roman"/>
                <w:sz w:val="24"/>
                <w:szCs w:val="24"/>
              </w:rPr>
              <w:t xml:space="preserve">, as amended by </w:t>
            </w:r>
            <w:r w:rsidR="00F606B0">
              <w:rPr>
                <w:rFonts w:ascii="Times New Roman" w:eastAsia="Calibri" w:hAnsi="Times New Roman" w:cs="Times New Roman"/>
                <w:sz w:val="24"/>
                <w:szCs w:val="24"/>
              </w:rPr>
              <w:t xml:space="preserve">these </w:t>
            </w:r>
            <w:r w:rsidR="00791267">
              <w:rPr>
                <w:rFonts w:ascii="Times New Roman" w:eastAsia="Calibri" w:hAnsi="Times New Roman" w:cs="Times New Roman"/>
                <w:sz w:val="24"/>
                <w:szCs w:val="24"/>
              </w:rPr>
              <w:t>Rule</w:t>
            </w:r>
            <w:r w:rsidR="00F606B0">
              <w:rPr>
                <w:rFonts w:ascii="Times New Roman" w:eastAsia="Calibri" w:hAnsi="Times New Roman" w:cs="Times New Roman"/>
                <w:sz w:val="24"/>
                <w:szCs w:val="24"/>
              </w:rPr>
              <w:t>s</w:t>
            </w:r>
          </w:p>
        </w:tc>
      </w:tr>
      <w:tr w:rsidR="05A6DE22" w:rsidRPr="00791267" w14:paraId="0E25E992"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27AFF69A" w14:textId="3DE04670" w:rsidR="05A6DE22" w:rsidRPr="00791267" w:rsidRDefault="05A6DE22">
            <w:pPr>
              <w:rPr>
                <w:rFonts w:ascii="Times New Roman" w:eastAsia="Calibri" w:hAnsi="Times New Roman" w:cs="Times New Roman"/>
                <w:b w:val="0"/>
                <w:bCs w:val="0"/>
                <w:sz w:val="24"/>
                <w:szCs w:val="24"/>
              </w:rPr>
            </w:pPr>
            <w:r w:rsidRPr="00791267" w:rsidDel="00F606B0">
              <w:rPr>
                <w:rFonts w:ascii="Times New Roman" w:eastAsia="Calibri" w:hAnsi="Times New Roman" w:cs="Times New Roman"/>
                <w:b w:val="0"/>
                <w:bCs w:val="0"/>
                <w:sz w:val="24"/>
                <w:szCs w:val="24"/>
              </w:rPr>
              <w:t>the/</w:t>
            </w:r>
            <w:r w:rsidR="00F606B0">
              <w:rPr>
                <w:rFonts w:ascii="Times New Roman" w:eastAsia="Calibri" w:hAnsi="Times New Roman" w:cs="Times New Roman"/>
                <w:b w:val="0"/>
                <w:bCs w:val="0"/>
                <w:sz w:val="24"/>
                <w:szCs w:val="24"/>
              </w:rPr>
              <w:t>these</w:t>
            </w:r>
            <w:r w:rsidRPr="00791267">
              <w:rPr>
                <w:rFonts w:ascii="Times New Roman" w:eastAsia="Calibri" w:hAnsi="Times New Roman" w:cs="Times New Roman"/>
                <w:b w:val="0"/>
                <w:bCs w:val="0"/>
                <w:sz w:val="24"/>
                <w:szCs w:val="24"/>
              </w:rPr>
              <w:t xml:space="preserve"> Rule</w:t>
            </w:r>
            <w:r w:rsidR="00F606B0">
              <w:rPr>
                <w:rFonts w:ascii="Times New Roman" w:eastAsia="Calibri" w:hAnsi="Times New Roman" w:cs="Times New Roman"/>
                <w:b w:val="0"/>
                <w:bCs w:val="0"/>
                <w:sz w:val="24"/>
                <w:szCs w:val="24"/>
              </w:rPr>
              <w:t>s</w:t>
            </w:r>
          </w:p>
        </w:tc>
        <w:tc>
          <w:tcPr>
            <w:tcW w:w="4508" w:type="dxa"/>
          </w:tcPr>
          <w:p w14:paraId="23727BF2" w14:textId="70261740" w:rsidR="05A6DE22" w:rsidRPr="00791267" w:rsidRDefault="05A6DE22" w:rsidP="008763A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 xml:space="preserve">Petroleum and Other Fuels Reporting Amendment </w:t>
            </w:r>
            <w:r w:rsidR="00CD6EDC" w:rsidRPr="00CD6EDC">
              <w:rPr>
                <w:rFonts w:ascii="Times New Roman" w:eastAsia="Calibri" w:hAnsi="Times New Roman" w:cs="Times New Roman"/>
                <w:i/>
                <w:sz w:val="24"/>
                <w:szCs w:val="24"/>
              </w:rPr>
              <w:t>(Protected Information)</w:t>
            </w:r>
            <w:r w:rsidR="008763A1">
              <w:rPr>
                <w:rFonts w:ascii="Times New Roman" w:eastAsia="Calibri" w:hAnsi="Times New Roman" w:cs="Times New Roman"/>
                <w:i/>
                <w:sz w:val="24"/>
                <w:szCs w:val="24"/>
              </w:rPr>
              <w:t xml:space="preserve"> Rule</w:t>
            </w:r>
            <w:r w:rsidR="0000564E">
              <w:rPr>
                <w:rFonts w:ascii="Times New Roman" w:eastAsia="Calibri" w:hAnsi="Times New Roman" w:cs="Times New Roman"/>
                <w:i/>
                <w:sz w:val="24"/>
                <w:szCs w:val="24"/>
              </w:rPr>
              <w:t>s</w:t>
            </w:r>
            <w:r w:rsidR="008763A1">
              <w:rPr>
                <w:rFonts w:ascii="Times New Roman" w:eastAsia="Calibri" w:hAnsi="Times New Roman" w:cs="Times New Roman"/>
                <w:i/>
                <w:sz w:val="24"/>
                <w:szCs w:val="24"/>
              </w:rPr>
              <w:t xml:space="preserve"> 2022</w:t>
            </w:r>
          </w:p>
        </w:tc>
      </w:tr>
      <w:tr w:rsidR="009F7B1D" w:rsidRPr="00791267" w14:paraId="403880E9" w14:textId="77777777" w:rsidTr="008763A1">
        <w:tc>
          <w:tcPr>
            <w:cnfStyle w:val="001000000000" w:firstRow="0" w:lastRow="0" w:firstColumn="1" w:lastColumn="0" w:oddVBand="0" w:evenVBand="0" w:oddHBand="0" w:evenHBand="0" w:firstRowFirstColumn="0" w:firstRowLastColumn="0" w:lastRowFirstColumn="0" w:lastRowLastColumn="0"/>
            <w:tcW w:w="4508" w:type="dxa"/>
          </w:tcPr>
          <w:p w14:paraId="4875F506" w14:textId="1B4EA66B" w:rsidR="009F7B1D" w:rsidRPr="009F7B1D" w:rsidRDefault="009F7B1D">
            <w:pPr>
              <w:rPr>
                <w:rFonts w:ascii="Times New Roman" w:eastAsia="Calibri" w:hAnsi="Times New Roman" w:cs="Times New Roman"/>
                <w:b w:val="0"/>
                <w:sz w:val="24"/>
                <w:szCs w:val="24"/>
              </w:rPr>
            </w:pPr>
            <w:r w:rsidRPr="009F7B1D">
              <w:rPr>
                <w:rFonts w:ascii="Times New Roman" w:eastAsia="Calibri" w:hAnsi="Times New Roman" w:cs="Times New Roman"/>
                <w:b w:val="0"/>
                <w:sz w:val="24"/>
                <w:szCs w:val="24"/>
              </w:rPr>
              <w:t>Secretary</w:t>
            </w:r>
          </w:p>
        </w:tc>
        <w:tc>
          <w:tcPr>
            <w:tcW w:w="4508" w:type="dxa"/>
          </w:tcPr>
          <w:p w14:paraId="7045C8E2" w14:textId="47E39799" w:rsidR="009F7B1D" w:rsidRPr="009F7B1D" w:rsidRDefault="009F7B1D" w:rsidP="00CD6ED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F2980">
              <w:rPr>
                <w:rFonts w:ascii="Times New Roman" w:eastAsia="Calibri" w:hAnsi="Times New Roman" w:cs="Times New Roman"/>
                <w:sz w:val="24"/>
                <w:szCs w:val="24"/>
              </w:rPr>
              <w:t xml:space="preserve">The Secretary of the Department that is responsible for administering the POFR Act and principal POFR Rules (presently, the Department of </w:t>
            </w:r>
            <w:r w:rsidR="00CD6EDC" w:rsidRPr="008F2980">
              <w:rPr>
                <w:rFonts w:ascii="Times New Roman" w:eastAsia="Calibri" w:hAnsi="Times New Roman" w:cs="Times New Roman"/>
                <w:sz w:val="24"/>
                <w:szCs w:val="24"/>
              </w:rPr>
              <w:t>Climate Change, Energy, the Environment and Water</w:t>
            </w:r>
            <w:r w:rsidR="003C20DF">
              <w:rPr>
                <w:rFonts w:ascii="Times New Roman" w:eastAsia="Calibri" w:hAnsi="Times New Roman" w:cs="Times New Roman"/>
                <w:sz w:val="24"/>
                <w:szCs w:val="24"/>
              </w:rPr>
              <w:t>)</w:t>
            </w:r>
          </w:p>
        </w:tc>
      </w:tr>
    </w:tbl>
    <w:p w14:paraId="16033D50" w14:textId="2538C963" w:rsidR="6C21EC60" w:rsidRDefault="6C21EC60"/>
    <w:p w14:paraId="64C5C2C0" w14:textId="2538C963" w:rsidR="7A37929F" w:rsidRDefault="7A37929F">
      <w:r>
        <w:br w:type="page"/>
      </w:r>
    </w:p>
    <w:p w14:paraId="63733026" w14:textId="77777777" w:rsidR="000611C3" w:rsidRPr="000611C3" w:rsidRDefault="000611C3" w:rsidP="000611C3">
      <w:pPr>
        <w:spacing w:before="240" w:after="240" w:line="276" w:lineRule="auto"/>
        <w:rPr>
          <w:rFonts w:ascii="Times New Roman" w:eastAsia="Calibri" w:hAnsi="Times New Roman" w:cs="Times New Roman"/>
          <w:b/>
          <w:sz w:val="24"/>
          <w:szCs w:val="24"/>
        </w:rPr>
      </w:pPr>
      <w:r w:rsidRPr="00347228">
        <w:rPr>
          <w:rFonts w:ascii="Times New Roman" w:eastAsia="Calibri" w:hAnsi="Times New Roman" w:cs="Times New Roman"/>
          <w:b/>
          <w:sz w:val="24"/>
          <w:szCs w:val="24"/>
        </w:rPr>
        <w:t>PART 1 – PRELIMINARY</w:t>
      </w:r>
    </w:p>
    <w:p w14:paraId="550B1964" w14:textId="77777777" w:rsidR="000611C3" w:rsidRPr="000611C3" w:rsidRDefault="000611C3" w:rsidP="000611C3">
      <w:pPr>
        <w:spacing w:before="36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1 – Name</w:t>
      </w:r>
    </w:p>
    <w:p w14:paraId="25D9E746" w14:textId="10D5E3C7"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section specifies the name of this instrument made under the </w:t>
      </w:r>
      <w:r w:rsidR="00F606B0">
        <w:rPr>
          <w:rFonts w:ascii="Times New Roman" w:eastAsia="Calibri" w:hAnsi="Times New Roman" w:cs="Times New Roman"/>
          <w:sz w:val="24"/>
          <w:szCs w:val="24"/>
        </w:rPr>
        <w:t xml:space="preserve">POFR </w:t>
      </w:r>
      <w:r w:rsidRPr="000611C3">
        <w:rPr>
          <w:rFonts w:ascii="Times New Roman" w:eastAsia="Calibri" w:hAnsi="Times New Roman" w:cs="Times New Roman"/>
          <w:sz w:val="24"/>
          <w:szCs w:val="24"/>
        </w:rPr>
        <w:t xml:space="preserve">Act as the </w:t>
      </w:r>
      <w:r w:rsidR="003B24D3" w:rsidRPr="003B24D3">
        <w:rPr>
          <w:rFonts w:ascii="Times New Roman" w:eastAsia="Calibri" w:hAnsi="Times New Roman" w:cs="Times New Roman"/>
          <w:i/>
          <w:sz w:val="24"/>
          <w:szCs w:val="24"/>
        </w:rPr>
        <w:t>Petroleum and Other Fuels Reporting Amendment (Protected Information) Rules 2022</w:t>
      </w:r>
      <w:r w:rsidR="00BC0018" w:rsidRPr="00BC0018">
        <w:rPr>
          <w:rFonts w:ascii="Times New Roman" w:eastAsia="Calibri" w:hAnsi="Times New Roman" w:cs="Times New Roman"/>
          <w:i/>
          <w:sz w:val="24"/>
          <w:szCs w:val="24"/>
        </w:rPr>
        <w:t xml:space="preserve"> </w:t>
      </w:r>
      <w:r w:rsidR="003C20DF">
        <w:rPr>
          <w:rFonts w:ascii="Times New Roman" w:eastAsia="Calibri" w:hAnsi="Times New Roman" w:cs="Times New Roman"/>
          <w:sz w:val="24"/>
          <w:szCs w:val="24"/>
        </w:rPr>
        <w:t>(the </w:t>
      </w:r>
      <w:r w:rsidRPr="000611C3">
        <w:rPr>
          <w:rFonts w:ascii="Times New Roman" w:eastAsia="Calibri" w:hAnsi="Times New Roman" w:cs="Times New Roman"/>
          <w:sz w:val="24"/>
          <w:szCs w:val="24"/>
        </w:rPr>
        <w:t>Rule</w:t>
      </w:r>
      <w:r w:rsidR="00F606B0">
        <w:rPr>
          <w:rFonts w:ascii="Times New Roman" w:eastAsia="Calibri" w:hAnsi="Times New Roman" w:cs="Times New Roman"/>
          <w:sz w:val="24"/>
          <w:szCs w:val="24"/>
        </w:rPr>
        <w:t>s</w:t>
      </w:r>
      <w:r w:rsidRPr="000611C3">
        <w:rPr>
          <w:rFonts w:ascii="Times New Roman" w:eastAsia="Calibri" w:hAnsi="Times New Roman" w:cs="Times New Roman"/>
          <w:sz w:val="24"/>
          <w:szCs w:val="24"/>
        </w:rPr>
        <w:t>)</w:t>
      </w:r>
      <w:r w:rsidRPr="000611C3">
        <w:rPr>
          <w:rFonts w:ascii="Times New Roman" w:eastAsia="Calibri" w:hAnsi="Times New Roman" w:cs="Times New Roman"/>
          <w:i/>
          <w:sz w:val="24"/>
          <w:szCs w:val="24"/>
        </w:rPr>
        <w:t>.</w:t>
      </w:r>
    </w:p>
    <w:p w14:paraId="338A2905" w14:textId="77777777" w:rsidR="000611C3" w:rsidRPr="000611C3" w:rsidRDefault="000611C3" w:rsidP="000611C3">
      <w:pPr>
        <w:tabs>
          <w:tab w:val="left" w:pos="5220"/>
        </w:tabs>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2 – Commencement</w:t>
      </w:r>
    </w:p>
    <w:p w14:paraId="56546E52" w14:textId="2494A5F5" w:rsidR="000611C3" w:rsidRPr="000611C3" w:rsidRDefault="000611C3" w:rsidP="000611C3">
      <w:pPr>
        <w:spacing w:before="240" w:after="100" w:afterAutospacing="1"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This section provides that the Rule</w:t>
      </w:r>
      <w:r w:rsidR="00F606B0">
        <w:rPr>
          <w:rFonts w:ascii="Times New Roman" w:eastAsia="Calibri" w:hAnsi="Times New Roman" w:cs="Times New Roman"/>
          <w:sz w:val="24"/>
          <w:szCs w:val="24"/>
        </w:rPr>
        <w:t>s</w:t>
      </w:r>
      <w:r w:rsidRPr="000611C3">
        <w:rPr>
          <w:rFonts w:ascii="Times New Roman" w:eastAsia="Calibri" w:hAnsi="Times New Roman" w:cs="Times New Roman"/>
          <w:sz w:val="24"/>
          <w:szCs w:val="24"/>
        </w:rPr>
        <w:t xml:space="preserve"> commenced on </w:t>
      </w:r>
      <w:r w:rsidRPr="000611C3">
        <w:rPr>
          <w:rFonts w:ascii="Times New Roman" w:eastAsia="Calibri" w:hAnsi="Times New Roman" w:cs="Times New Roman"/>
          <w:color w:val="000000"/>
          <w:sz w:val="24"/>
          <w:szCs w:val="24"/>
        </w:rPr>
        <w:t xml:space="preserve">the day after </w:t>
      </w:r>
      <w:r w:rsidR="00F606B0">
        <w:rPr>
          <w:rFonts w:ascii="Times New Roman" w:eastAsia="Calibri" w:hAnsi="Times New Roman" w:cs="Times New Roman"/>
          <w:color w:val="000000"/>
          <w:sz w:val="24"/>
          <w:szCs w:val="24"/>
        </w:rPr>
        <w:t xml:space="preserve">they </w:t>
      </w:r>
      <w:r w:rsidR="006C7B0E">
        <w:rPr>
          <w:rFonts w:ascii="Times New Roman" w:eastAsia="Calibri" w:hAnsi="Times New Roman" w:cs="Times New Roman"/>
          <w:color w:val="000000"/>
          <w:sz w:val="24"/>
          <w:szCs w:val="24"/>
        </w:rPr>
        <w:t>were</w:t>
      </w:r>
      <w:r w:rsidRPr="000611C3">
        <w:rPr>
          <w:rFonts w:ascii="Times New Roman" w:eastAsia="Calibri" w:hAnsi="Times New Roman" w:cs="Times New Roman"/>
          <w:color w:val="000000"/>
          <w:sz w:val="24"/>
          <w:szCs w:val="24"/>
        </w:rPr>
        <w:t xml:space="preserve"> registered on the Federal Register of Legislation</w:t>
      </w:r>
      <w:r w:rsidRPr="000611C3">
        <w:rPr>
          <w:rFonts w:ascii="Times New Roman" w:eastAsia="Calibri" w:hAnsi="Times New Roman" w:cs="Times New Roman"/>
          <w:sz w:val="24"/>
          <w:szCs w:val="24"/>
        </w:rPr>
        <w:t>.</w:t>
      </w:r>
    </w:p>
    <w:p w14:paraId="001920E6" w14:textId="77777777" w:rsidR="000611C3" w:rsidRPr="000611C3" w:rsidRDefault="000611C3" w:rsidP="000611C3">
      <w:pPr>
        <w:tabs>
          <w:tab w:val="left" w:pos="2610"/>
        </w:tabs>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3 – Authority</w:t>
      </w:r>
    </w:p>
    <w:p w14:paraId="5F0FDA9D" w14:textId="1E8479A1"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This section sets out the provision of the</w:t>
      </w:r>
      <w:r w:rsidR="0005660A">
        <w:rPr>
          <w:rFonts w:ascii="Times New Roman" w:eastAsia="Calibri" w:hAnsi="Times New Roman" w:cs="Times New Roman"/>
          <w:sz w:val="24"/>
          <w:szCs w:val="24"/>
        </w:rPr>
        <w:t xml:space="preserve"> POFR</w:t>
      </w:r>
      <w:r w:rsidRPr="000611C3">
        <w:rPr>
          <w:rFonts w:ascii="Times New Roman" w:eastAsia="Calibri" w:hAnsi="Times New Roman" w:cs="Times New Roman"/>
          <w:sz w:val="24"/>
          <w:szCs w:val="24"/>
        </w:rPr>
        <w:t xml:space="preserve"> Act under which the</w:t>
      </w:r>
      <w:r w:rsidR="00F606B0">
        <w:rPr>
          <w:rFonts w:ascii="Times New Roman" w:eastAsia="Calibri" w:hAnsi="Times New Roman" w:cs="Times New Roman"/>
          <w:sz w:val="24"/>
          <w:szCs w:val="24"/>
        </w:rPr>
        <w:t>se</w:t>
      </w:r>
      <w:r w:rsidRPr="000611C3">
        <w:rPr>
          <w:rFonts w:ascii="Times New Roman" w:eastAsia="Calibri" w:hAnsi="Times New Roman" w:cs="Times New Roman"/>
          <w:sz w:val="24"/>
          <w:szCs w:val="24"/>
        </w:rPr>
        <w:t xml:space="preserve"> Rule</w:t>
      </w:r>
      <w:r w:rsidR="00F606B0">
        <w:rPr>
          <w:rFonts w:ascii="Times New Roman" w:eastAsia="Calibri" w:hAnsi="Times New Roman" w:cs="Times New Roman"/>
          <w:sz w:val="24"/>
          <w:szCs w:val="24"/>
        </w:rPr>
        <w:t>s</w:t>
      </w:r>
      <w:r w:rsidRPr="000611C3">
        <w:rPr>
          <w:rFonts w:ascii="Times New Roman" w:eastAsia="Calibri" w:hAnsi="Times New Roman" w:cs="Times New Roman"/>
          <w:sz w:val="24"/>
          <w:szCs w:val="24"/>
        </w:rPr>
        <w:t xml:space="preserve"> </w:t>
      </w:r>
      <w:r w:rsidR="00F606B0">
        <w:rPr>
          <w:rFonts w:ascii="Times New Roman" w:eastAsia="Calibri" w:hAnsi="Times New Roman" w:cs="Times New Roman"/>
          <w:sz w:val="24"/>
          <w:szCs w:val="24"/>
        </w:rPr>
        <w:t>are</w:t>
      </w:r>
      <w:r w:rsidR="00F606B0" w:rsidRPr="000611C3">
        <w:rPr>
          <w:rFonts w:ascii="Times New Roman" w:eastAsia="Calibri" w:hAnsi="Times New Roman" w:cs="Times New Roman"/>
          <w:sz w:val="24"/>
          <w:szCs w:val="24"/>
        </w:rPr>
        <w:t xml:space="preserve"> </w:t>
      </w:r>
      <w:r w:rsidRPr="000611C3">
        <w:rPr>
          <w:rFonts w:ascii="Times New Roman" w:eastAsia="Calibri" w:hAnsi="Times New Roman" w:cs="Times New Roman"/>
          <w:sz w:val="24"/>
          <w:szCs w:val="24"/>
        </w:rPr>
        <w:t>made</w:t>
      </w:r>
      <w:r w:rsidR="002C4AAF">
        <w:rPr>
          <w:rFonts w:ascii="Times New Roman" w:eastAsia="Calibri" w:hAnsi="Times New Roman" w:cs="Times New Roman"/>
          <w:sz w:val="24"/>
          <w:szCs w:val="24"/>
        </w:rPr>
        <w:t>. It references</w:t>
      </w:r>
      <w:r w:rsidR="007E233E">
        <w:rPr>
          <w:rFonts w:ascii="Times New Roman" w:eastAsia="Calibri" w:hAnsi="Times New Roman" w:cs="Times New Roman"/>
          <w:sz w:val="24"/>
          <w:szCs w:val="24"/>
        </w:rPr>
        <w:t xml:space="preserve"> </w:t>
      </w:r>
      <w:r w:rsidR="00A1056A">
        <w:rPr>
          <w:rFonts w:ascii="Times New Roman" w:eastAsia="Calibri" w:hAnsi="Times New Roman" w:cs="Times New Roman"/>
          <w:sz w:val="24"/>
          <w:szCs w:val="24"/>
        </w:rPr>
        <w:t>section 41</w:t>
      </w:r>
      <w:r w:rsidR="007E233E">
        <w:rPr>
          <w:rFonts w:ascii="Times New Roman" w:eastAsia="Calibri" w:hAnsi="Times New Roman" w:cs="Times New Roman"/>
          <w:sz w:val="24"/>
          <w:szCs w:val="24"/>
        </w:rPr>
        <w:t xml:space="preserve"> of the </w:t>
      </w:r>
      <w:r w:rsidR="00FE0374">
        <w:rPr>
          <w:rFonts w:ascii="Times New Roman" w:eastAsia="Calibri" w:hAnsi="Times New Roman" w:cs="Times New Roman"/>
          <w:sz w:val="24"/>
          <w:szCs w:val="24"/>
        </w:rPr>
        <w:t xml:space="preserve">POFR </w:t>
      </w:r>
      <w:r w:rsidR="007E233E">
        <w:rPr>
          <w:rFonts w:ascii="Times New Roman" w:eastAsia="Calibri" w:hAnsi="Times New Roman" w:cs="Times New Roman"/>
          <w:sz w:val="24"/>
          <w:szCs w:val="24"/>
        </w:rPr>
        <w:t>Act</w:t>
      </w:r>
      <w:r w:rsidR="007259B5">
        <w:rPr>
          <w:rFonts w:ascii="Times New Roman" w:eastAsia="Calibri" w:hAnsi="Times New Roman" w:cs="Times New Roman"/>
          <w:sz w:val="24"/>
          <w:szCs w:val="24"/>
        </w:rPr>
        <w:t>, which</w:t>
      </w:r>
      <w:r w:rsidR="007E233E">
        <w:rPr>
          <w:rFonts w:ascii="Times New Roman" w:eastAsia="Calibri" w:hAnsi="Times New Roman" w:cs="Times New Roman"/>
          <w:sz w:val="24"/>
          <w:szCs w:val="24"/>
        </w:rPr>
        <w:t xml:space="preserve"> </w:t>
      </w:r>
      <w:r w:rsidR="00735A45">
        <w:rPr>
          <w:rFonts w:ascii="Times New Roman" w:eastAsia="Calibri" w:hAnsi="Times New Roman" w:cs="Times New Roman"/>
          <w:sz w:val="24"/>
          <w:szCs w:val="24"/>
        </w:rPr>
        <w:t>confers power on the Minister to make legislative rules</w:t>
      </w:r>
      <w:r w:rsidR="002C4AAF">
        <w:rPr>
          <w:rFonts w:ascii="Times New Roman" w:eastAsia="Calibri" w:hAnsi="Times New Roman" w:cs="Times New Roman"/>
          <w:sz w:val="24"/>
          <w:szCs w:val="24"/>
        </w:rPr>
        <w:t xml:space="preserve"> prescribing matters required or permitted to be prescribed, or necessary or convenient to be prescribed for carrying out the POFR Act</w:t>
      </w:r>
      <w:r w:rsidRPr="000611C3">
        <w:rPr>
          <w:rFonts w:ascii="Times New Roman" w:eastAsia="Calibri" w:hAnsi="Times New Roman" w:cs="Times New Roman"/>
          <w:sz w:val="24"/>
          <w:szCs w:val="24"/>
        </w:rPr>
        <w:t>.</w:t>
      </w:r>
      <w:r w:rsidR="00A1056A">
        <w:rPr>
          <w:rFonts w:ascii="Times New Roman" w:eastAsia="Calibri" w:hAnsi="Times New Roman" w:cs="Times New Roman"/>
          <w:sz w:val="24"/>
          <w:szCs w:val="24"/>
        </w:rPr>
        <w:t xml:space="preserve"> </w:t>
      </w:r>
      <w:r w:rsidR="00A1056A">
        <w:rPr>
          <w:rFonts w:ascii="Times New Roman" w:hAnsi="Times New Roman" w:cs="Times New Roman"/>
          <w:sz w:val="24"/>
          <w:szCs w:val="24"/>
        </w:rPr>
        <w:t xml:space="preserve">The power to make rules under this section includes the power to amend or revoke rules that have already been made, with any doubt about this resolved by subsection 33(3) of the </w:t>
      </w:r>
      <w:r w:rsidR="00A1056A">
        <w:rPr>
          <w:rFonts w:ascii="Times New Roman" w:hAnsi="Times New Roman" w:cs="Times New Roman"/>
          <w:i/>
          <w:iCs/>
          <w:sz w:val="24"/>
          <w:szCs w:val="24"/>
        </w:rPr>
        <w:t>Acts Interpretation Act 1901</w:t>
      </w:r>
      <w:r w:rsidR="00A1056A">
        <w:rPr>
          <w:rFonts w:ascii="Times New Roman" w:hAnsi="Times New Roman" w:cs="Times New Roman"/>
          <w:sz w:val="24"/>
          <w:szCs w:val="24"/>
        </w:rPr>
        <w:t>.</w:t>
      </w:r>
    </w:p>
    <w:p w14:paraId="7E42A8AD" w14:textId="26E230E7" w:rsidR="000611C3" w:rsidRPr="000611C3" w:rsidRDefault="000611C3" w:rsidP="000611C3">
      <w:pPr>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 xml:space="preserve">Section 4 – </w:t>
      </w:r>
      <w:r w:rsidR="00924BCE">
        <w:rPr>
          <w:rFonts w:ascii="Times New Roman" w:eastAsia="Calibri" w:hAnsi="Times New Roman" w:cs="Times New Roman"/>
          <w:b/>
          <w:sz w:val="24"/>
          <w:szCs w:val="24"/>
        </w:rPr>
        <w:t>Schedules</w:t>
      </w:r>
    </w:p>
    <w:p w14:paraId="5E4DF50C" w14:textId="04ECF74F"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section </w:t>
      </w:r>
      <w:r w:rsidR="00383373">
        <w:rPr>
          <w:rFonts w:ascii="Times New Roman" w:eastAsia="Calibri" w:hAnsi="Times New Roman" w:cs="Times New Roman"/>
          <w:sz w:val="24"/>
          <w:szCs w:val="24"/>
        </w:rPr>
        <w:t xml:space="preserve">is a machinery clause that </w:t>
      </w:r>
      <w:r w:rsidRPr="000611C3">
        <w:rPr>
          <w:rFonts w:ascii="Times New Roman" w:eastAsia="Calibri" w:hAnsi="Times New Roman" w:cs="Times New Roman"/>
          <w:sz w:val="24"/>
          <w:szCs w:val="24"/>
        </w:rPr>
        <w:t xml:space="preserve">provides </w:t>
      </w:r>
      <w:r w:rsidR="00924BCE" w:rsidRPr="00924BCE">
        <w:rPr>
          <w:rFonts w:ascii="Times New Roman" w:eastAsia="Calibri" w:hAnsi="Times New Roman" w:cs="Times New Roman"/>
          <w:sz w:val="24"/>
          <w:szCs w:val="24"/>
        </w:rPr>
        <w:t xml:space="preserve">that the Schedules to the </w:t>
      </w:r>
      <w:r w:rsidR="00924BCE">
        <w:rPr>
          <w:rFonts w:ascii="Times New Roman" w:eastAsia="Calibri" w:hAnsi="Times New Roman" w:cs="Times New Roman"/>
          <w:sz w:val="24"/>
          <w:szCs w:val="24"/>
        </w:rPr>
        <w:t>Rule</w:t>
      </w:r>
      <w:r w:rsidR="00D42871">
        <w:rPr>
          <w:rFonts w:ascii="Times New Roman" w:eastAsia="Calibri" w:hAnsi="Times New Roman" w:cs="Times New Roman"/>
          <w:sz w:val="24"/>
          <w:szCs w:val="24"/>
        </w:rPr>
        <w:t>s</w:t>
      </w:r>
      <w:r w:rsidR="00924BCE" w:rsidRPr="00924BCE">
        <w:rPr>
          <w:rFonts w:ascii="Times New Roman" w:eastAsia="Calibri" w:hAnsi="Times New Roman" w:cs="Times New Roman"/>
          <w:sz w:val="24"/>
          <w:szCs w:val="24"/>
        </w:rPr>
        <w:t xml:space="preserve"> amend or repeal the </w:t>
      </w:r>
      <w:r w:rsidR="00924BCE">
        <w:rPr>
          <w:rFonts w:ascii="Times New Roman" w:eastAsia="Calibri" w:hAnsi="Times New Roman" w:cs="Times New Roman"/>
          <w:sz w:val="24"/>
          <w:szCs w:val="24"/>
        </w:rPr>
        <w:t>instruments</w:t>
      </w:r>
      <w:r w:rsidR="00924BCE" w:rsidRPr="00924BCE">
        <w:rPr>
          <w:rFonts w:ascii="Times New Roman" w:eastAsia="Calibri" w:hAnsi="Times New Roman" w:cs="Times New Roman"/>
          <w:sz w:val="24"/>
          <w:szCs w:val="24"/>
        </w:rPr>
        <w:t xml:space="preserve"> referred to therein in the manner set out in the Schedules.</w:t>
      </w:r>
      <w:r w:rsidR="00924BCE">
        <w:rPr>
          <w:rFonts w:ascii="Times New Roman" w:eastAsia="Calibri" w:hAnsi="Times New Roman" w:cs="Times New Roman"/>
          <w:sz w:val="24"/>
          <w:szCs w:val="24"/>
        </w:rPr>
        <w:t xml:space="preserve"> </w:t>
      </w:r>
    </w:p>
    <w:p w14:paraId="6FBEC578" w14:textId="77777777" w:rsidR="000611C3" w:rsidRPr="000611C3" w:rsidRDefault="000611C3" w:rsidP="000611C3">
      <w:pPr>
        <w:spacing w:before="240" w:after="240" w:line="276" w:lineRule="auto"/>
        <w:rPr>
          <w:rFonts w:ascii="Times New Roman" w:eastAsia="Calibri" w:hAnsi="Times New Roman" w:cs="Times New Roman"/>
          <w:b/>
          <w:sz w:val="24"/>
          <w:szCs w:val="24"/>
        </w:rPr>
      </w:pPr>
    </w:p>
    <w:p w14:paraId="04AA6CF5" w14:textId="77777777" w:rsidR="000611C3" w:rsidRPr="000611C3" w:rsidRDefault="000611C3" w:rsidP="000611C3">
      <w:pPr>
        <w:spacing w:before="240" w:after="240" w:line="276" w:lineRule="auto"/>
        <w:rPr>
          <w:rFonts w:ascii="Times New Roman" w:eastAsia="Calibri" w:hAnsi="Times New Roman" w:cs="Times New Roman"/>
          <w:b/>
          <w:sz w:val="24"/>
          <w:szCs w:val="24"/>
        </w:rPr>
        <w:sectPr w:rsidR="000611C3" w:rsidRPr="000611C3">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689D0A7" w14:textId="77777777" w:rsidR="00CD6248" w:rsidRDefault="00CD6248" w:rsidP="008577C4">
      <w:pPr>
        <w:pStyle w:val="Heading3"/>
        <w:spacing w:before="0"/>
        <w:rPr>
          <w:rFonts w:cs="Times New Roman"/>
          <w:b w:val="0"/>
        </w:rPr>
      </w:pPr>
      <w:bookmarkStart w:id="1" w:name="_Toc71639704"/>
      <w:bookmarkStart w:id="2" w:name="_Toc71641182"/>
      <w:bookmarkStart w:id="3" w:name="_Toc71641806"/>
      <w:bookmarkStart w:id="4" w:name="_Toc72136626"/>
    </w:p>
    <w:p w14:paraId="052A1AAF" w14:textId="7748EF34" w:rsidR="00924BCE" w:rsidRPr="009410E6" w:rsidRDefault="00924BCE" w:rsidP="008577C4">
      <w:pPr>
        <w:pStyle w:val="Heading3"/>
        <w:spacing w:before="0"/>
        <w:rPr>
          <w:rFonts w:cs="Times New Roman"/>
          <w:b w:val="0"/>
        </w:rPr>
      </w:pPr>
      <w:r w:rsidRPr="009410E6">
        <w:rPr>
          <w:rFonts w:cs="Times New Roman"/>
          <w:b w:val="0"/>
        </w:rPr>
        <w:t>Schedule 1—Amendments</w:t>
      </w:r>
      <w:bookmarkStart w:id="5" w:name="_Toc69378704"/>
      <w:bookmarkEnd w:id="1"/>
      <w:bookmarkEnd w:id="2"/>
      <w:bookmarkEnd w:id="3"/>
      <w:bookmarkEnd w:id="4"/>
    </w:p>
    <w:p w14:paraId="757D0610" w14:textId="77777777" w:rsidR="00924BCE" w:rsidRPr="009410E6" w:rsidRDefault="00924BCE" w:rsidP="00791267">
      <w:pPr>
        <w:spacing w:before="360" w:after="0" w:line="276" w:lineRule="auto"/>
        <w:rPr>
          <w:rFonts w:ascii="Times New Roman" w:hAnsi="Times New Roman" w:cs="Times New Roman"/>
          <w:b/>
          <w:i/>
          <w:sz w:val="24"/>
          <w:szCs w:val="24"/>
        </w:rPr>
      </w:pPr>
      <w:bookmarkStart w:id="6" w:name="_Toc74748974"/>
      <w:bookmarkEnd w:id="5"/>
      <w:r w:rsidRPr="009410E6">
        <w:rPr>
          <w:rFonts w:ascii="Times New Roman" w:hAnsi="Times New Roman" w:cs="Times New Roman"/>
          <w:b/>
          <w:i/>
          <w:sz w:val="24"/>
          <w:szCs w:val="24"/>
        </w:rPr>
        <w:t>Petroleum and Other Fuels Reporting Rules 2017</w:t>
      </w:r>
      <w:bookmarkEnd w:id="6"/>
    </w:p>
    <w:p w14:paraId="11606640" w14:textId="6967339D" w:rsidR="0068494C" w:rsidRPr="00C375D4" w:rsidRDefault="00924BCE" w:rsidP="00AA0DE4">
      <w:pPr>
        <w:spacing w:before="240" w:after="100" w:afterAutospacing="1" w:line="276" w:lineRule="auto"/>
        <w:rPr>
          <w:rFonts w:ascii="Times New Roman" w:hAnsi="Times New Roman" w:cs="Times New Roman"/>
          <w:b/>
          <w:sz w:val="24"/>
          <w:szCs w:val="24"/>
        </w:rPr>
      </w:pPr>
      <w:r w:rsidRPr="009410E6">
        <w:rPr>
          <w:rFonts w:ascii="Times New Roman" w:hAnsi="Times New Roman" w:cs="Times New Roman"/>
          <w:b/>
          <w:sz w:val="24"/>
          <w:szCs w:val="24"/>
        </w:rPr>
        <w:t xml:space="preserve">Item </w:t>
      </w:r>
      <w:r w:rsidR="007A7A57">
        <w:rPr>
          <w:rFonts w:ascii="Times New Roman" w:hAnsi="Times New Roman" w:cs="Times New Roman"/>
          <w:b/>
          <w:sz w:val="24"/>
          <w:szCs w:val="24"/>
        </w:rPr>
        <w:t>1</w:t>
      </w:r>
      <w:r w:rsidR="00B53949" w:rsidRPr="009410E6">
        <w:rPr>
          <w:rFonts w:ascii="Times New Roman" w:hAnsi="Times New Roman" w:cs="Times New Roman"/>
          <w:b/>
          <w:sz w:val="24"/>
          <w:szCs w:val="24"/>
        </w:rPr>
        <w:t xml:space="preserve"> </w:t>
      </w:r>
      <w:r w:rsidRPr="009410E6">
        <w:rPr>
          <w:rFonts w:ascii="Times New Roman" w:hAnsi="Times New Roman" w:cs="Times New Roman"/>
          <w:b/>
          <w:sz w:val="24"/>
          <w:szCs w:val="24"/>
        </w:rPr>
        <w:t xml:space="preserve">– </w:t>
      </w:r>
      <w:r w:rsidR="00544F4E" w:rsidRPr="00C375D4">
        <w:rPr>
          <w:rFonts w:ascii="Times New Roman" w:hAnsi="Times New Roman" w:cs="Times New Roman"/>
          <w:b/>
          <w:sz w:val="24"/>
          <w:szCs w:val="24"/>
        </w:rPr>
        <w:t>Part 3</w:t>
      </w:r>
    </w:p>
    <w:p w14:paraId="44813B18" w14:textId="0D51E78C" w:rsidR="00713D96" w:rsidRDefault="00544F4E" w:rsidP="001009B7">
      <w:pPr>
        <w:spacing w:before="240" w:after="100" w:afterAutospacing="1" w:line="276" w:lineRule="auto"/>
        <w:rPr>
          <w:rFonts w:ascii="Times New Roman" w:eastAsia="Calibri" w:hAnsi="Times New Roman" w:cs="Times New Roman"/>
          <w:sz w:val="24"/>
          <w:szCs w:val="24"/>
        </w:rPr>
      </w:pPr>
      <w:r w:rsidRPr="00C375D4">
        <w:rPr>
          <w:rFonts w:ascii="Times New Roman" w:eastAsia="Calibri" w:hAnsi="Times New Roman" w:cs="Times New Roman"/>
          <w:sz w:val="24"/>
          <w:szCs w:val="24"/>
        </w:rPr>
        <w:t>This item repeals the spent transitional provisions in Part 3 and inserts a new Part 3</w:t>
      </w:r>
      <w:r w:rsidR="002A5FED" w:rsidRPr="00C375D4">
        <w:rPr>
          <w:rFonts w:ascii="Times New Roman" w:eastAsia="Calibri" w:hAnsi="Times New Roman" w:cs="Times New Roman"/>
          <w:sz w:val="24"/>
          <w:szCs w:val="24"/>
        </w:rPr>
        <w:t xml:space="preserve"> (Disclosure of protected information) into the principal POFR Rules. </w:t>
      </w:r>
    </w:p>
    <w:p w14:paraId="50A5BBDE" w14:textId="2CC4CE74" w:rsidR="00BB7A37" w:rsidRPr="00C375D4" w:rsidRDefault="002A5FED" w:rsidP="001009B7">
      <w:pPr>
        <w:spacing w:before="240" w:after="100" w:afterAutospacing="1" w:line="276" w:lineRule="auto"/>
        <w:rPr>
          <w:rFonts w:ascii="Times New Roman" w:eastAsia="Calibri" w:hAnsi="Times New Roman" w:cs="Times New Roman"/>
          <w:sz w:val="24"/>
          <w:szCs w:val="24"/>
        </w:rPr>
      </w:pPr>
      <w:r w:rsidRPr="00C375D4">
        <w:rPr>
          <w:rFonts w:ascii="Times New Roman" w:eastAsia="Calibri" w:hAnsi="Times New Roman" w:cs="Times New Roman"/>
          <w:sz w:val="24"/>
          <w:szCs w:val="24"/>
        </w:rPr>
        <w:t>The</w:t>
      </w:r>
      <w:r w:rsidR="00544F4E" w:rsidRPr="00C375D4">
        <w:rPr>
          <w:rFonts w:ascii="Times New Roman" w:eastAsia="Calibri" w:hAnsi="Times New Roman" w:cs="Times New Roman"/>
          <w:sz w:val="24"/>
          <w:szCs w:val="24"/>
        </w:rPr>
        <w:t xml:space="preserve"> new Part inserts new section 21</w:t>
      </w:r>
      <w:r w:rsidRPr="00C375D4">
        <w:t xml:space="preserve"> (</w:t>
      </w:r>
      <w:r w:rsidRPr="00C375D4">
        <w:rPr>
          <w:rFonts w:ascii="Times New Roman" w:eastAsia="Calibri" w:hAnsi="Times New Roman" w:cs="Times New Roman"/>
          <w:sz w:val="24"/>
          <w:szCs w:val="24"/>
        </w:rPr>
        <w:t xml:space="preserve">Disclosure to certain agencies), which prescribes </w:t>
      </w:r>
      <w:r w:rsidR="00731E8A" w:rsidRPr="00C375D4">
        <w:rPr>
          <w:rFonts w:ascii="Times New Roman" w:eastAsia="Calibri" w:hAnsi="Times New Roman" w:cs="Times New Roman"/>
          <w:sz w:val="24"/>
          <w:szCs w:val="24"/>
        </w:rPr>
        <w:t xml:space="preserve">the following </w:t>
      </w:r>
      <w:r w:rsidRPr="00C375D4">
        <w:rPr>
          <w:rFonts w:ascii="Times New Roman" w:eastAsia="Calibri" w:hAnsi="Times New Roman" w:cs="Times New Roman"/>
          <w:sz w:val="24"/>
          <w:szCs w:val="24"/>
        </w:rPr>
        <w:t xml:space="preserve">Commonwealth agencies to which the Secretary may disclose protected information </w:t>
      </w:r>
      <w:r w:rsidR="00BE5D4F" w:rsidRPr="00C375D4">
        <w:rPr>
          <w:rFonts w:ascii="Times New Roman" w:eastAsia="Calibri" w:hAnsi="Times New Roman" w:cs="Times New Roman"/>
          <w:sz w:val="24"/>
          <w:szCs w:val="24"/>
        </w:rPr>
        <w:t>(as</w:t>
      </w:r>
      <w:r w:rsidR="002A0D54">
        <w:rPr>
          <w:rFonts w:ascii="Times New Roman" w:eastAsia="Calibri" w:hAnsi="Times New Roman" w:cs="Times New Roman"/>
          <w:sz w:val="24"/>
          <w:szCs w:val="24"/>
        </w:rPr>
        <w:t> </w:t>
      </w:r>
      <w:r w:rsidR="00BE5D4F" w:rsidRPr="00C375D4">
        <w:rPr>
          <w:rFonts w:ascii="Times New Roman" w:eastAsia="Calibri" w:hAnsi="Times New Roman" w:cs="Times New Roman"/>
          <w:sz w:val="24"/>
          <w:szCs w:val="24"/>
        </w:rPr>
        <w:t xml:space="preserve">defined under the POFR Act) </w:t>
      </w:r>
      <w:r w:rsidR="00731E8A" w:rsidRPr="00C375D4">
        <w:rPr>
          <w:rFonts w:ascii="Times New Roman" w:eastAsia="Calibri" w:hAnsi="Times New Roman" w:cs="Times New Roman"/>
          <w:sz w:val="24"/>
          <w:szCs w:val="24"/>
        </w:rPr>
        <w:t xml:space="preserve">under section 24 of the POFR Act, </w:t>
      </w:r>
      <w:r w:rsidRPr="00C375D4">
        <w:rPr>
          <w:rFonts w:ascii="Times New Roman" w:eastAsia="Calibri" w:hAnsi="Times New Roman" w:cs="Times New Roman"/>
          <w:sz w:val="24"/>
          <w:szCs w:val="24"/>
        </w:rPr>
        <w:t xml:space="preserve">where </w:t>
      </w:r>
      <w:r w:rsidR="00BE5D4F" w:rsidRPr="00C375D4">
        <w:rPr>
          <w:rFonts w:ascii="Times New Roman" w:eastAsia="Calibri" w:hAnsi="Times New Roman" w:cs="Times New Roman"/>
          <w:sz w:val="24"/>
          <w:szCs w:val="24"/>
        </w:rPr>
        <w:t>it will enable or assist the agency to exercise its powers, or perform its functions or duties:</w:t>
      </w:r>
    </w:p>
    <w:p w14:paraId="5855EB7F" w14:textId="1687EF0B" w:rsidR="00BE5D4F" w:rsidRPr="00C375D4" w:rsidRDefault="00BE5D4F" w:rsidP="00BE5D4F">
      <w:pPr>
        <w:pStyle w:val="ListParagraph"/>
        <w:numPr>
          <w:ilvl w:val="0"/>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the Commonwealth agency responsible for administering </w:t>
      </w:r>
      <w:r w:rsidR="00AA0DE4">
        <w:rPr>
          <w:rFonts w:ascii="Times New Roman" w:eastAsia="Calibri" w:hAnsi="Times New Roman" w:cs="Times New Roman"/>
          <w:sz w:val="24"/>
          <w:szCs w:val="24"/>
        </w:rPr>
        <w:t>one or more</w:t>
      </w:r>
      <w:r w:rsidRPr="00C375D4">
        <w:rPr>
          <w:rFonts w:ascii="Times New Roman" w:eastAsia="Calibri" w:hAnsi="Times New Roman" w:cs="Times New Roman"/>
          <w:sz w:val="24"/>
          <w:szCs w:val="24"/>
        </w:rPr>
        <w:t xml:space="preserve"> of Part VIII of the </w:t>
      </w:r>
      <w:r w:rsidRPr="00C375D4">
        <w:rPr>
          <w:rFonts w:ascii="Times New Roman" w:eastAsia="Calibri" w:hAnsi="Times New Roman" w:cs="Times New Roman"/>
          <w:i/>
          <w:sz w:val="24"/>
          <w:szCs w:val="24"/>
        </w:rPr>
        <w:t>Customs Act 1901</w:t>
      </w:r>
      <w:r w:rsidR="00AA0DE4">
        <w:rPr>
          <w:rFonts w:ascii="Times New Roman" w:eastAsia="Calibri" w:hAnsi="Times New Roman" w:cs="Times New Roman"/>
          <w:sz w:val="24"/>
          <w:szCs w:val="24"/>
        </w:rPr>
        <w:t>,</w:t>
      </w:r>
      <w:r w:rsidRPr="00C375D4">
        <w:rPr>
          <w:rFonts w:ascii="Times New Roman" w:eastAsia="Calibri" w:hAnsi="Times New Roman" w:cs="Times New Roman"/>
          <w:sz w:val="24"/>
          <w:szCs w:val="24"/>
        </w:rPr>
        <w:t xml:space="preserve"> the </w:t>
      </w:r>
      <w:r w:rsidRPr="00C375D4">
        <w:rPr>
          <w:rFonts w:ascii="Times New Roman" w:eastAsia="Calibri" w:hAnsi="Times New Roman" w:cs="Times New Roman"/>
          <w:i/>
          <w:sz w:val="24"/>
          <w:szCs w:val="24"/>
        </w:rPr>
        <w:t>Security of Critical Infrastructure Act 2018</w:t>
      </w:r>
      <w:r w:rsidR="00F03AD4">
        <w:rPr>
          <w:rFonts w:ascii="Times New Roman" w:eastAsia="Calibri" w:hAnsi="Times New Roman" w:cs="Times New Roman"/>
          <w:i/>
          <w:sz w:val="24"/>
          <w:szCs w:val="24"/>
        </w:rPr>
        <w:t xml:space="preserve"> </w:t>
      </w:r>
      <w:r w:rsidR="00F03AD4" w:rsidRPr="00F03AD4">
        <w:rPr>
          <w:rFonts w:ascii="Times New Roman" w:eastAsia="Calibri" w:hAnsi="Times New Roman" w:cs="Times New Roman"/>
          <w:sz w:val="24"/>
          <w:szCs w:val="24"/>
        </w:rPr>
        <w:t>(SOCI Act)</w:t>
      </w:r>
      <w:r w:rsidR="00AA0DE4" w:rsidRPr="00AA0DE4">
        <w:rPr>
          <w:rFonts w:ascii="Times New Roman" w:eastAsia="Calibri" w:hAnsi="Times New Roman" w:cs="Times New Roman"/>
          <w:sz w:val="24"/>
          <w:szCs w:val="24"/>
        </w:rPr>
        <w:t xml:space="preserve">, or the </w:t>
      </w:r>
      <w:r w:rsidR="00AA0DE4" w:rsidRPr="00AA0DE4">
        <w:rPr>
          <w:rFonts w:ascii="Times New Roman" w:eastAsia="Calibri" w:hAnsi="Times New Roman" w:cs="Times New Roman"/>
          <w:i/>
          <w:sz w:val="24"/>
          <w:szCs w:val="24"/>
        </w:rPr>
        <w:t>National Emergency Declaration Act 2020</w:t>
      </w:r>
      <w:r w:rsidR="00B53949">
        <w:rPr>
          <w:rFonts w:ascii="Times New Roman" w:eastAsia="Calibri" w:hAnsi="Times New Roman" w:cs="Times New Roman"/>
          <w:i/>
          <w:sz w:val="24"/>
          <w:szCs w:val="24"/>
        </w:rPr>
        <w:t xml:space="preserve"> </w:t>
      </w:r>
      <w:r w:rsidR="00B53949">
        <w:rPr>
          <w:rFonts w:ascii="Times New Roman" w:eastAsia="Calibri" w:hAnsi="Times New Roman" w:cs="Times New Roman"/>
          <w:sz w:val="24"/>
          <w:szCs w:val="24"/>
        </w:rPr>
        <w:t>(NED Act)</w:t>
      </w:r>
      <w:r w:rsidRPr="00C375D4">
        <w:rPr>
          <w:rFonts w:ascii="Times New Roman" w:eastAsia="Calibri" w:hAnsi="Times New Roman" w:cs="Times New Roman"/>
          <w:sz w:val="24"/>
          <w:szCs w:val="24"/>
        </w:rPr>
        <w:t xml:space="preserve">; </w:t>
      </w:r>
    </w:p>
    <w:p w14:paraId="7338476B" w14:textId="794228E9" w:rsidR="00BE5D4F" w:rsidRPr="00C375D4" w:rsidRDefault="00BE5D4F" w:rsidP="00BE5D4F">
      <w:pPr>
        <w:pStyle w:val="ListParagraph"/>
        <w:numPr>
          <w:ilvl w:val="1"/>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The note advises the reader that in </w:t>
      </w:r>
      <w:r w:rsidR="00AA0DE4">
        <w:rPr>
          <w:rFonts w:ascii="Times New Roman" w:eastAsia="Calibri" w:hAnsi="Times New Roman" w:cs="Times New Roman"/>
          <w:sz w:val="24"/>
          <w:szCs w:val="24"/>
        </w:rPr>
        <w:t xml:space="preserve">July </w:t>
      </w:r>
      <w:r w:rsidRPr="00C375D4">
        <w:rPr>
          <w:rFonts w:ascii="Times New Roman" w:eastAsia="Calibri" w:hAnsi="Times New Roman" w:cs="Times New Roman"/>
          <w:sz w:val="24"/>
          <w:szCs w:val="24"/>
        </w:rPr>
        <w:t>2022, this is the Department of Home</w:t>
      </w:r>
      <w:r w:rsidR="003B153B">
        <w:rPr>
          <w:rFonts w:ascii="Times New Roman" w:eastAsia="Calibri" w:hAnsi="Times New Roman" w:cs="Times New Roman"/>
          <w:sz w:val="24"/>
          <w:szCs w:val="24"/>
        </w:rPr>
        <w:t> </w:t>
      </w:r>
      <w:r w:rsidRPr="00C375D4">
        <w:rPr>
          <w:rFonts w:ascii="Times New Roman" w:eastAsia="Calibri" w:hAnsi="Times New Roman" w:cs="Times New Roman"/>
          <w:sz w:val="24"/>
          <w:szCs w:val="24"/>
        </w:rPr>
        <w:t>Affairs</w:t>
      </w:r>
      <w:r w:rsidR="00E35963" w:rsidRPr="00C375D4">
        <w:rPr>
          <w:rFonts w:ascii="Times New Roman" w:eastAsia="Calibri" w:hAnsi="Times New Roman" w:cs="Times New Roman"/>
          <w:sz w:val="24"/>
          <w:szCs w:val="24"/>
        </w:rPr>
        <w:t xml:space="preserve"> (HA)</w:t>
      </w:r>
      <w:r w:rsidR="007711D2">
        <w:rPr>
          <w:rFonts w:ascii="Times New Roman" w:eastAsia="Calibri" w:hAnsi="Times New Roman" w:cs="Times New Roman"/>
          <w:sz w:val="24"/>
          <w:szCs w:val="24"/>
        </w:rPr>
        <w:t xml:space="preserve">, although the </w:t>
      </w:r>
      <w:r w:rsidR="009A0BF0">
        <w:rPr>
          <w:rFonts w:ascii="Times New Roman" w:eastAsia="Calibri" w:hAnsi="Times New Roman" w:cs="Times New Roman"/>
          <w:sz w:val="24"/>
          <w:szCs w:val="24"/>
        </w:rPr>
        <w:t>reference to</w:t>
      </w:r>
      <w:r w:rsidR="007711D2">
        <w:rPr>
          <w:rFonts w:ascii="Times New Roman" w:eastAsia="Calibri" w:hAnsi="Times New Roman" w:cs="Times New Roman"/>
          <w:sz w:val="24"/>
          <w:szCs w:val="24"/>
        </w:rPr>
        <w:t xml:space="preserve"> each of the </w:t>
      </w:r>
      <w:r w:rsidR="009A0BF0">
        <w:rPr>
          <w:rFonts w:ascii="Times New Roman" w:eastAsia="Calibri" w:hAnsi="Times New Roman" w:cs="Times New Roman"/>
          <w:sz w:val="24"/>
          <w:szCs w:val="24"/>
        </w:rPr>
        <w:t>specified</w:t>
      </w:r>
      <w:r w:rsidR="007711D2">
        <w:rPr>
          <w:rFonts w:ascii="Times New Roman" w:eastAsia="Calibri" w:hAnsi="Times New Roman" w:cs="Times New Roman"/>
          <w:sz w:val="24"/>
          <w:szCs w:val="24"/>
        </w:rPr>
        <w:t xml:space="preserve"> Acts is intended to future-proof the provision in the event future machinery of government changes allocate responsibility for administering any of those laws to another </w:t>
      </w:r>
      <w:r w:rsidR="00E42FEA">
        <w:rPr>
          <w:rFonts w:ascii="Times New Roman" w:eastAsia="Calibri" w:hAnsi="Times New Roman" w:cs="Times New Roman"/>
          <w:sz w:val="24"/>
          <w:szCs w:val="24"/>
        </w:rPr>
        <w:t xml:space="preserve">Commonwealth </w:t>
      </w:r>
      <w:r w:rsidR="007711D2">
        <w:rPr>
          <w:rFonts w:ascii="Times New Roman" w:eastAsia="Calibri" w:hAnsi="Times New Roman" w:cs="Times New Roman"/>
          <w:sz w:val="24"/>
          <w:szCs w:val="24"/>
        </w:rPr>
        <w:t>agency</w:t>
      </w:r>
      <w:r w:rsidRPr="00C375D4">
        <w:rPr>
          <w:rFonts w:ascii="Times New Roman" w:eastAsia="Calibri" w:hAnsi="Times New Roman" w:cs="Times New Roman"/>
          <w:sz w:val="24"/>
          <w:szCs w:val="24"/>
        </w:rPr>
        <w:t>.</w:t>
      </w:r>
    </w:p>
    <w:p w14:paraId="5D32A8D2" w14:textId="78B7A0A1" w:rsidR="00A30188" w:rsidRPr="00C375D4" w:rsidRDefault="00731E8A" w:rsidP="00A30188">
      <w:pPr>
        <w:pStyle w:val="ListParagraph"/>
        <w:numPr>
          <w:ilvl w:val="1"/>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It is anticipated that the ability to share relevant protected information with </w:t>
      </w:r>
      <w:r w:rsidR="00E35963" w:rsidRPr="00C375D4">
        <w:rPr>
          <w:rFonts w:ascii="Times New Roman" w:eastAsia="Calibri" w:hAnsi="Times New Roman" w:cs="Times New Roman"/>
          <w:sz w:val="24"/>
          <w:szCs w:val="24"/>
        </w:rPr>
        <w:t>HA</w:t>
      </w:r>
      <w:r w:rsidRPr="00C375D4">
        <w:rPr>
          <w:rFonts w:ascii="Times New Roman" w:eastAsia="Calibri" w:hAnsi="Times New Roman" w:cs="Times New Roman"/>
          <w:sz w:val="24"/>
          <w:szCs w:val="24"/>
        </w:rPr>
        <w:t xml:space="preserve"> may </w:t>
      </w:r>
      <w:r w:rsidR="00B141F0" w:rsidRPr="00C375D4">
        <w:rPr>
          <w:rFonts w:ascii="Times New Roman" w:eastAsia="Calibri" w:hAnsi="Times New Roman" w:cs="Times New Roman"/>
          <w:sz w:val="24"/>
          <w:szCs w:val="24"/>
        </w:rPr>
        <w:t>assist</w:t>
      </w:r>
      <w:r w:rsidR="00720428" w:rsidRPr="00C375D4">
        <w:rPr>
          <w:rFonts w:ascii="Times New Roman" w:eastAsia="Calibri" w:hAnsi="Times New Roman" w:cs="Times New Roman"/>
          <w:sz w:val="24"/>
          <w:szCs w:val="24"/>
        </w:rPr>
        <w:t xml:space="preserve"> </w:t>
      </w:r>
      <w:r w:rsidR="00B53949">
        <w:rPr>
          <w:rFonts w:ascii="Times New Roman" w:eastAsia="Calibri" w:hAnsi="Times New Roman" w:cs="Times New Roman"/>
          <w:sz w:val="24"/>
          <w:szCs w:val="24"/>
        </w:rPr>
        <w:t>it</w:t>
      </w:r>
      <w:r w:rsidR="00720428" w:rsidRPr="00C375D4">
        <w:rPr>
          <w:rFonts w:ascii="Times New Roman" w:eastAsia="Calibri" w:hAnsi="Times New Roman" w:cs="Times New Roman"/>
          <w:sz w:val="24"/>
          <w:szCs w:val="24"/>
        </w:rPr>
        <w:t xml:space="preserve"> to verify</w:t>
      </w:r>
      <w:r w:rsidR="00A30188" w:rsidRPr="00C375D4">
        <w:rPr>
          <w:rFonts w:ascii="Times New Roman" w:eastAsia="Calibri" w:hAnsi="Times New Roman" w:cs="Times New Roman"/>
          <w:sz w:val="24"/>
          <w:szCs w:val="24"/>
        </w:rPr>
        <w:t>:</w:t>
      </w:r>
    </w:p>
    <w:p w14:paraId="3FCA8DE5" w14:textId="696EA374" w:rsidR="00B141F0" w:rsidRPr="00C375D4" w:rsidRDefault="00720428" w:rsidP="00A30188">
      <w:pPr>
        <w:pStyle w:val="ListParagraph"/>
        <w:numPr>
          <w:ilvl w:val="2"/>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customs </w:t>
      </w:r>
      <w:r w:rsidR="00B141F0" w:rsidRPr="00C375D4">
        <w:rPr>
          <w:rFonts w:ascii="Times New Roman" w:eastAsia="Calibri" w:hAnsi="Times New Roman" w:cs="Times New Roman"/>
          <w:sz w:val="24"/>
          <w:szCs w:val="24"/>
        </w:rPr>
        <w:t xml:space="preserve">information </w:t>
      </w:r>
      <w:r w:rsidR="00D16F97">
        <w:rPr>
          <w:rFonts w:ascii="Times New Roman" w:eastAsia="Calibri" w:hAnsi="Times New Roman" w:cs="Times New Roman"/>
          <w:sz w:val="24"/>
          <w:szCs w:val="24"/>
        </w:rPr>
        <w:t xml:space="preserve">pertaining to liquid fuels </w:t>
      </w:r>
      <w:r w:rsidRPr="00C375D4">
        <w:rPr>
          <w:rFonts w:ascii="Times New Roman" w:eastAsia="Calibri" w:hAnsi="Times New Roman" w:cs="Times New Roman"/>
          <w:sz w:val="24"/>
          <w:szCs w:val="24"/>
        </w:rPr>
        <w:t xml:space="preserve">with data the Department collects </w:t>
      </w:r>
      <w:r w:rsidR="00B141F0" w:rsidRPr="00C375D4">
        <w:rPr>
          <w:rFonts w:ascii="Times New Roman" w:eastAsia="Calibri" w:hAnsi="Times New Roman" w:cs="Times New Roman"/>
          <w:sz w:val="24"/>
          <w:szCs w:val="24"/>
        </w:rPr>
        <w:t xml:space="preserve">for the </w:t>
      </w:r>
      <w:r w:rsidR="00A30188" w:rsidRPr="00C375D4">
        <w:rPr>
          <w:rFonts w:ascii="Times New Roman" w:eastAsia="Calibri" w:hAnsi="Times New Roman" w:cs="Times New Roman"/>
          <w:sz w:val="24"/>
          <w:szCs w:val="24"/>
        </w:rPr>
        <w:t>fuel security services payment (reported under Subdivision C, Division 3 of Part 2 of the</w:t>
      </w:r>
      <w:r w:rsidR="001D6843">
        <w:rPr>
          <w:rFonts w:ascii="Times New Roman" w:eastAsia="Calibri" w:hAnsi="Times New Roman" w:cs="Times New Roman"/>
          <w:sz w:val="24"/>
          <w:szCs w:val="24"/>
        </w:rPr>
        <w:t> </w:t>
      </w:r>
      <w:r w:rsidR="00A30188" w:rsidRPr="00C375D4">
        <w:rPr>
          <w:rFonts w:ascii="Times New Roman" w:eastAsia="Calibri" w:hAnsi="Times New Roman" w:cs="Times New Roman"/>
          <w:sz w:val="24"/>
          <w:szCs w:val="24"/>
        </w:rPr>
        <w:t xml:space="preserve">principal POFR Rules); </w:t>
      </w:r>
    </w:p>
    <w:p w14:paraId="79B9223C" w14:textId="77777777" w:rsidR="00AA0DE4" w:rsidRDefault="00A30188" w:rsidP="00A30188">
      <w:pPr>
        <w:pStyle w:val="ListParagraph"/>
        <w:numPr>
          <w:ilvl w:val="2"/>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details of critical liquid fuel infrastructure reported under the SOCI</w:t>
      </w:r>
      <w:r w:rsidR="002A0D54">
        <w:rPr>
          <w:rFonts w:ascii="Times New Roman" w:eastAsia="Calibri" w:hAnsi="Times New Roman" w:cs="Times New Roman"/>
          <w:sz w:val="24"/>
          <w:szCs w:val="24"/>
        </w:rPr>
        <w:t> </w:t>
      </w:r>
      <w:r w:rsidRPr="00C375D4">
        <w:rPr>
          <w:rFonts w:ascii="Times New Roman" w:eastAsia="Calibri" w:hAnsi="Times New Roman" w:cs="Times New Roman"/>
          <w:sz w:val="24"/>
          <w:szCs w:val="24"/>
        </w:rPr>
        <w:t>Act</w:t>
      </w:r>
      <w:r w:rsidR="00E35963" w:rsidRPr="00C375D4">
        <w:rPr>
          <w:rFonts w:ascii="Times New Roman" w:eastAsia="Calibri" w:hAnsi="Times New Roman" w:cs="Times New Roman"/>
          <w:sz w:val="24"/>
          <w:szCs w:val="24"/>
        </w:rPr>
        <w:t>,</w:t>
      </w:r>
      <w:r w:rsidR="00731E8A" w:rsidRPr="00C375D4">
        <w:rPr>
          <w:rFonts w:ascii="Times New Roman" w:eastAsia="Calibri" w:hAnsi="Times New Roman" w:cs="Times New Roman"/>
          <w:sz w:val="24"/>
          <w:szCs w:val="24"/>
        </w:rPr>
        <w:t xml:space="preserve"> </w:t>
      </w:r>
      <w:r w:rsidRPr="00C375D4">
        <w:rPr>
          <w:rFonts w:ascii="Times New Roman" w:eastAsia="Calibri" w:hAnsi="Times New Roman" w:cs="Times New Roman"/>
          <w:sz w:val="24"/>
          <w:szCs w:val="24"/>
        </w:rPr>
        <w:t xml:space="preserve">and </w:t>
      </w:r>
      <w:r w:rsidR="00720428" w:rsidRPr="00C375D4">
        <w:rPr>
          <w:rFonts w:ascii="Times New Roman" w:eastAsia="Calibri" w:hAnsi="Times New Roman" w:cs="Times New Roman"/>
          <w:sz w:val="24"/>
          <w:szCs w:val="24"/>
        </w:rPr>
        <w:t xml:space="preserve">may help </w:t>
      </w:r>
      <w:r w:rsidR="00E35963" w:rsidRPr="00C375D4">
        <w:rPr>
          <w:rFonts w:ascii="Times New Roman" w:eastAsia="Calibri" w:hAnsi="Times New Roman" w:cs="Times New Roman"/>
          <w:sz w:val="24"/>
          <w:szCs w:val="24"/>
        </w:rPr>
        <w:t>assess</w:t>
      </w:r>
      <w:r w:rsidR="00731E8A" w:rsidRPr="00C375D4">
        <w:rPr>
          <w:rFonts w:ascii="Times New Roman" w:eastAsia="Calibri" w:hAnsi="Times New Roman" w:cs="Times New Roman"/>
          <w:sz w:val="24"/>
          <w:szCs w:val="24"/>
        </w:rPr>
        <w:t xml:space="preserve"> the </w:t>
      </w:r>
      <w:r w:rsidRPr="00C375D4">
        <w:rPr>
          <w:rFonts w:ascii="Times New Roman" w:eastAsia="Calibri" w:hAnsi="Times New Roman" w:cs="Times New Roman"/>
          <w:sz w:val="24"/>
          <w:szCs w:val="24"/>
        </w:rPr>
        <w:t>impacts of any cyber security incident on such assets</w:t>
      </w:r>
      <w:r w:rsidR="00AA0DE4">
        <w:rPr>
          <w:rFonts w:ascii="Times New Roman" w:eastAsia="Calibri" w:hAnsi="Times New Roman" w:cs="Times New Roman"/>
          <w:sz w:val="24"/>
          <w:szCs w:val="24"/>
        </w:rPr>
        <w:t>; and</w:t>
      </w:r>
    </w:p>
    <w:p w14:paraId="31704DB2" w14:textId="6840E350" w:rsidR="00BE5D4F" w:rsidRPr="00C375D4" w:rsidRDefault="00D16F97" w:rsidP="00B53949">
      <w:pPr>
        <w:pStyle w:val="ListParagraph"/>
        <w:numPr>
          <w:ilvl w:val="2"/>
          <w:numId w:val="40"/>
        </w:numPr>
        <w:spacing w:before="240"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 xml:space="preserve">liquid fuel supply chain </w:t>
      </w:r>
      <w:r w:rsidR="00B53949">
        <w:rPr>
          <w:rFonts w:ascii="Times New Roman" w:eastAsia="Calibri" w:hAnsi="Times New Roman" w:cs="Times New Roman"/>
          <w:sz w:val="24"/>
          <w:szCs w:val="24"/>
        </w:rPr>
        <w:t xml:space="preserve">matters </w:t>
      </w:r>
      <w:r w:rsidR="00B53949" w:rsidRPr="00B53949">
        <w:rPr>
          <w:rFonts w:ascii="Times New Roman" w:eastAsia="Calibri" w:hAnsi="Times New Roman" w:cs="Times New Roman"/>
          <w:sz w:val="24"/>
          <w:szCs w:val="24"/>
        </w:rPr>
        <w:t xml:space="preserve">for the purposes of preparing for, responding to or recovering from an emergency to which </w:t>
      </w:r>
      <w:r w:rsidR="00B53949">
        <w:rPr>
          <w:rFonts w:ascii="Times New Roman" w:eastAsia="Calibri" w:hAnsi="Times New Roman" w:cs="Times New Roman"/>
          <w:sz w:val="24"/>
          <w:szCs w:val="24"/>
        </w:rPr>
        <w:t>a</w:t>
      </w:r>
      <w:r w:rsidR="00B53949" w:rsidRPr="00B53949">
        <w:rPr>
          <w:rFonts w:ascii="Times New Roman" w:eastAsia="Calibri" w:hAnsi="Times New Roman" w:cs="Times New Roman"/>
          <w:sz w:val="24"/>
          <w:szCs w:val="24"/>
        </w:rPr>
        <w:t xml:space="preserve"> national emergency declaration </w:t>
      </w:r>
      <w:r w:rsidR="00B53949">
        <w:rPr>
          <w:rFonts w:ascii="Times New Roman" w:eastAsia="Calibri" w:hAnsi="Times New Roman" w:cs="Times New Roman"/>
          <w:sz w:val="24"/>
          <w:szCs w:val="24"/>
        </w:rPr>
        <w:t xml:space="preserve">(declared under the NED Act) </w:t>
      </w:r>
      <w:r w:rsidR="00B53949" w:rsidRPr="00B53949">
        <w:rPr>
          <w:rFonts w:ascii="Times New Roman" w:eastAsia="Calibri" w:hAnsi="Times New Roman" w:cs="Times New Roman"/>
          <w:sz w:val="24"/>
          <w:szCs w:val="24"/>
        </w:rPr>
        <w:t>relates</w:t>
      </w:r>
      <w:r w:rsidR="00944587">
        <w:rPr>
          <w:rFonts w:ascii="Times New Roman" w:eastAsia="Calibri" w:hAnsi="Times New Roman" w:cs="Times New Roman"/>
          <w:sz w:val="24"/>
          <w:szCs w:val="24"/>
        </w:rPr>
        <w:t xml:space="preserve">, </w:t>
      </w:r>
      <w:r w:rsidR="007711D2">
        <w:rPr>
          <w:rFonts w:ascii="Times New Roman" w:eastAsia="Calibri" w:hAnsi="Times New Roman" w:cs="Times New Roman"/>
          <w:sz w:val="24"/>
          <w:szCs w:val="24"/>
        </w:rPr>
        <w:t xml:space="preserve">which may include </w:t>
      </w:r>
      <w:r w:rsidR="00E42FEA">
        <w:rPr>
          <w:rFonts w:ascii="Times New Roman" w:eastAsia="Calibri" w:hAnsi="Times New Roman" w:cs="Times New Roman"/>
          <w:sz w:val="24"/>
          <w:szCs w:val="24"/>
        </w:rPr>
        <w:t xml:space="preserve">circumstances relating to </w:t>
      </w:r>
      <w:r w:rsidR="00944587">
        <w:rPr>
          <w:rFonts w:ascii="Times New Roman" w:eastAsia="Calibri" w:hAnsi="Times New Roman" w:cs="Times New Roman"/>
          <w:sz w:val="24"/>
          <w:szCs w:val="24"/>
        </w:rPr>
        <w:t xml:space="preserve">a national liquid fuel emergency declared under the </w:t>
      </w:r>
      <w:r w:rsidR="00944587" w:rsidRPr="00944587">
        <w:rPr>
          <w:rFonts w:ascii="Times New Roman" w:eastAsia="Calibri" w:hAnsi="Times New Roman" w:cs="Times New Roman"/>
          <w:i/>
          <w:sz w:val="24"/>
          <w:szCs w:val="24"/>
        </w:rPr>
        <w:t>Liquid Fuel Emergency Act 1984</w:t>
      </w:r>
      <w:r w:rsidR="00731E8A" w:rsidRPr="00C375D4">
        <w:rPr>
          <w:rFonts w:ascii="Times New Roman" w:eastAsia="Calibri" w:hAnsi="Times New Roman" w:cs="Times New Roman"/>
          <w:sz w:val="24"/>
          <w:szCs w:val="24"/>
        </w:rPr>
        <w:t>.</w:t>
      </w:r>
    </w:p>
    <w:p w14:paraId="5118C8D5" w14:textId="02DCE91A" w:rsidR="00BE5D4F" w:rsidRPr="00C375D4" w:rsidRDefault="00BE5D4F" w:rsidP="00944587">
      <w:pPr>
        <w:pStyle w:val="ListParagraph"/>
        <w:numPr>
          <w:ilvl w:val="0"/>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the </w:t>
      </w:r>
      <w:r w:rsidR="00E35963" w:rsidRPr="00C375D4">
        <w:rPr>
          <w:rFonts w:ascii="Times New Roman" w:eastAsia="Calibri" w:hAnsi="Times New Roman" w:cs="Times New Roman"/>
          <w:sz w:val="24"/>
          <w:szCs w:val="24"/>
        </w:rPr>
        <w:t>A</w:t>
      </w:r>
      <w:r w:rsidR="00944587">
        <w:rPr>
          <w:rFonts w:ascii="Times New Roman" w:eastAsia="Calibri" w:hAnsi="Times New Roman" w:cs="Times New Roman"/>
          <w:sz w:val="24"/>
          <w:szCs w:val="24"/>
        </w:rPr>
        <w:t xml:space="preserve">ustralian </w:t>
      </w:r>
      <w:r w:rsidR="00E35963" w:rsidRPr="00C375D4">
        <w:rPr>
          <w:rFonts w:ascii="Times New Roman" w:eastAsia="Calibri" w:hAnsi="Times New Roman" w:cs="Times New Roman"/>
          <w:sz w:val="24"/>
          <w:szCs w:val="24"/>
        </w:rPr>
        <w:t>B</w:t>
      </w:r>
      <w:r w:rsidR="00944587">
        <w:rPr>
          <w:rFonts w:ascii="Times New Roman" w:eastAsia="Calibri" w:hAnsi="Times New Roman" w:cs="Times New Roman"/>
          <w:sz w:val="24"/>
          <w:szCs w:val="24"/>
        </w:rPr>
        <w:t xml:space="preserve">order </w:t>
      </w:r>
      <w:r w:rsidR="00E35963" w:rsidRPr="00C375D4">
        <w:rPr>
          <w:rFonts w:ascii="Times New Roman" w:eastAsia="Calibri" w:hAnsi="Times New Roman" w:cs="Times New Roman"/>
          <w:sz w:val="24"/>
          <w:szCs w:val="24"/>
        </w:rPr>
        <w:t>F</w:t>
      </w:r>
      <w:r w:rsidR="00944587">
        <w:rPr>
          <w:rFonts w:ascii="Times New Roman" w:eastAsia="Calibri" w:hAnsi="Times New Roman" w:cs="Times New Roman"/>
          <w:sz w:val="24"/>
          <w:szCs w:val="24"/>
        </w:rPr>
        <w:t>orce (ABF),</w:t>
      </w:r>
      <w:r w:rsidR="00944587" w:rsidRPr="00944587">
        <w:t xml:space="preserve"> </w:t>
      </w:r>
      <w:r w:rsidR="00944587" w:rsidRPr="00944587">
        <w:rPr>
          <w:rFonts w:ascii="Times New Roman" w:eastAsia="Calibri" w:hAnsi="Times New Roman" w:cs="Times New Roman"/>
          <w:sz w:val="24"/>
          <w:szCs w:val="24"/>
        </w:rPr>
        <w:t xml:space="preserve">as established by the </w:t>
      </w:r>
      <w:r w:rsidR="00944587" w:rsidRPr="00944587">
        <w:rPr>
          <w:rFonts w:ascii="Times New Roman" w:eastAsia="Calibri" w:hAnsi="Times New Roman" w:cs="Times New Roman"/>
          <w:i/>
          <w:sz w:val="24"/>
          <w:szCs w:val="24"/>
        </w:rPr>
        <w:t>Australian Border Force Act 2015</w:t>
      </w:r>
      <w:r w:rsidRPr="00C375D4">
        <w:rPr>
          <w:rFonts w:ascii="Times New Roman" w:eastAsia="Calibri" w:hAnsi="Times New Roman" w:cs="Times New Roman"/>
          <w:sz w:val="24"/>
          <w:szCs w:val="24"/>
        </w:rPr>
        <w:t>;</w:t>
      </w:r>
    </w:p>
    <w:p w14:paraId="4FCAFB5F" w14:textId="61E83794" w:rsidR="00B141F0" w:rsidRPr="00C375D4" w:rsidRDefault="00E35963" w:rsidP="0074271B">
      <w:pPr>
        <w:pStyle w:val="ListParagraph"/>
        <w:numPr>
          <w:ilvl w:val="1"/>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It is anticipated that the ability to share relevant protected information with the</w:t>
      </w:r>
      <w:r w:rsidR="003B153B">
        <w:rPr>
          <w:rFonts w:ascii="Times New Roman" w:eastAsia="Calibri" w:hAnsi="Times New Roman" w:cs="Times New Roman"/>
          <w:sz w:val="24"/>
          <w:szCs w:val="24"/>
        </w:rPr>
        <w:t> </w:t>
      </w:r>
      <w:r w:rsidRPr="00C375D4">
        <w:rPr>
          <w:rFonts w:ascii="Times New Roman" w:eastAsia="Calibri" w:hAnsi="Times New Roman" w:cs="Times New Roman"/>
          <w:sz w:val="24"/>
          <w:szCs w:val="24"/>
        </w:rPr>
        <w:t>ABF may assist to verify information for the fuel security services payment (reported under Subdivision C, Division 3 of Part 2 of the principal POFR Rules)</w:t>
      </w:r>
      <w:r w:rsidR="00B141F0" w:rsidRPr="00C375D4">
        <w:rPr>
          <w:rFonts w:ascii="Times New Roman" w:eastAsia="Calibri" w:hAnsi="Times New Roman" w:cs="Times New Roman"/>
          <w:sz w:val="24"/>
          <w:szCs w:val="24"/>
        </w:rPr>
        <w:t>.</w:t>
      </w:r>
    </w:p>
    <w:p w14:paraId="3EDD820C" w14:textId="07527FC5" w:rsidR="00BE5D4F" w:rsidRPr="00C375D4" w:rsidRDefault="00BE5D4F" w:rsidP="00BE5D4F">
      <w:pPr>
        <w:pStyle w:val="ListParagraph"/>
        <w:numPr>
          <w:ilvl w:val="0"/>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the Commonwealth agency responsible for administering the </w:t>
      </w:r>
      <w:r w:rsidRPr="00C375D4">
        <w:rPr>
          <w:rFonts w:ascii="Times New Roman" w:eastAsia="Calibri" w:hAnsi="Times New Roman" w:cs="Times New Roman"/>
          <w:i/>
          <w:sz w:val="24"/>
          <w:szCs w:val="24"/>
        </w:rPr>
        <w:t>Defence Act 1903</w:t>
      </w:r>
      <w:r w:rsidRPr="00C375D4">
        <w:rPr>
          <w:rFonts w:ascii="Times New Roman" w:eastAsia="Calibri" w:hAnsi="Times New Roman" w:cs="Times New Roman"/>
          <w:sz w:val="24"/>
          <w:szCs w:val="24"/>
        </w:rPr>
        <w:t>, other than Part IIIAAA</w:t>
      </w:r>
      <w:r w:rsidR="00F03AD4">
        <w:rPr>
          <w:rFonts w:ascii="Times New Roman" w:eastAsia="Calibri" w:hAnsi="Times New Roman" w:cs="Times New Roman"/>
          <w:sz w:val="24"/>
          <w:szCs w:val="24"/>
        </w:rPr>
        <w:t>,</w:t>
      </w:r>
      <w:r w:rsidR="00AB4DA9">
        <w:rPr>
          <w:rFonts w:ascii="Times New Roman" w:eastAsia="Calibri" w:hAnsi="Times New Roman" w:cs="Times New Roman"/>
          <w:sz w:val="24"/>
          <w:szCs w:val="24"/>
        </w:rPr>
        <w:t xml:space="preserve"> as </w:t>
      </w:r>
      <w:r w:rsidR="00F03AD4">
        <w:rPr>
          <w:rFonts w:ascii="Times New Roman" w:eastAsia="Calibri" w:hAnsi="Times New Roman" w:cs="Times New Roman"/>
          <w:sz w:val="24"/>
          <w:szCs w:val="24"/>
        </w:rPr>
        <w:t xml:space="preserve">it </w:t>
      </w:r>
      <w:r w:rsidR="00AB4DA9">
        <w:rPr>
          <w:rFonts w:ascii="Times New Roman" w:eastAsia="Calibri" w:hAnsi="Times New Roman" w:cs="Times New Roman"/>
          <w:sz w:val="24"/>
          <w:szCs w:val="24"/>
        </w:rPr>
        <w:t>may require the information for operational reasons or to assist with a particular situation</w:t>
      </w:r>
      <w:r w:rsidR="00D16F97">
        <w:rPr>
          <w:rFonts w:ascii="Times New Roman" w:eastAsia="Calibri" w:hAnsi="Times New Roman" w:cs="Times New Roman"/>
          <w:sz w:val="24"/>
          <w:szCs w:val="24"/>
        </w:rPr>
        <w:t xml:space="preserve"> relating to national security or defence</w:t>
      </w:r>
      <w:r w:rsidRPr="00C375D4">
        <w:rPr>
          <w:rFonts w:ascii="Times New Roman" w:eastAsia="Calibri" w:hAnsi="Times New Roman" w:cs="Times New Roman"/>
          <w:sz w:val="24"/>
          <w:szCs w:val="24"/>
        </w:rPr>
        <w:t>;</w:t>
      </w:r>
    </w:p>
    <w:p w14:paraId="52D2EB10" w14:textId="29A31931" w:rsidR="00BE5D4F" w:rsidRDefault="00BE5D4F" w:rsidP="00BE5D4F">
      <w:pPr>
        <w:pStyle w:val="ListParagraph"/>
        <w:numPr>
          <w:ilvl w:val="1"/>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The note advises the reader that in 2022, this is the Department of Defence.</w:t>
      </w:r>
    </w:p>
    <w:p w14:paraId="0942FA0C" w14:textId="30F229B7" w:rsidR="00944587" w:rsidRPr="00944587" w:rsidRDefault="00944587" w:rsidP="00944587">
      <w:pPr>
        <w:pStyle w:val="ListParagraph"/>
        <w:numPr>
          <w:ilvl w:val="0"/>
          <w:numId w:val="40"/>
        </w:numPr>
        <w:spacing w:before="240" w:after="100" w:afterAutospacing="1"/>
        <w:rPr>
          <w:rFonts w:ascii="Times New Roman" w:eastAsia="Calibri" w:hAnsi="Times New Roman" w:cs="Times New Roman"/>
          <w:sz w:val="24"/>
          <w:szCs w:val="24"/>
        </w:rPr>
      </w:pPr>
      <w:r w:rsidRPr="00944587">
        <w:rPr>
          <w:rFonts w:ascii="Times New Roman" w:eastAsia="Calibri" w:hAnsi="Times New Roman" w:cs="Times New Roman"/>
          <w:sz w:val="24"/>
          <w:szCs w:val="24"/>
        </w:rPr>
        <w:t xml:space="preserve">the Commonwealth agency responsible for administering the </w:t>
      </w:r>
      <w:r w:rsidRPr="00944587">
        <w:rPr>
          <w:rFonts w:ascii="Times New Roman" w:eastAsia="Calibri" w:hAnsi="Times New Roman" w:cs="Times New Roman"/>
          <w:i/>
          <w:sz w:val="24"/>
          <w:szCs w:val="24"/>
        </w:rPr>
        <w:t>Offshore Petroleum and Greenhouse Gas Storage Act 2006</w:t>
      </w:r>
      <w:r w:rsidR="00E42FEA">
        <w:rPr>
          <w:rFonts w:ascii="Times New Roman" w:eastAsia="Calibri" w:hAnsi="Times New Roman" w:cs="Times New Roman"/>
          <w:i/>
          <w:sz w:val="24"/>
          <w:szCs w:val="24"/>
        </w:rPr>
        <w:t xml:space="preserve"> </w:t>
      </w:r>
      <w:r w:rsidR="00E42FEA">
        <w:rPr>
          <w:rFonts w:ascii="Times New Roman" w:eastAsia="Calibri" w:hAnsi="Times New Roman" w:cs="Times New Roman"/>
          <w:sz w:val="24"/>
          <w:szCs w:val="24"/>
        </w:rPr>
        <w:t>(OPGGS Act)</w:t>
      </w:r>
      <w:r w:rsidRPr="001B2305">
        <w:rPr>
          <w:rFonts w:ascii="Times New Roman" w:eastAsia="Calibri" w:hAnsi="Times New Roman" w:cs="Times New Roman"/>
          <w:sz w:val="24"/>
          <w:szCs w:val="24"/>
        </w:rPr>
        <w:t>;</w:t>
      </w:r>
    </w:p>
    <w:p w14:paraId="528D9D09" w14:textId="3CCE2C44" w:rsidR="00944587" w:rsidRDefault="00944587" w:rsidP="00593C86">
      <w:pPr>
        <w:pStyle w:val="ListParagraph"/>
        <w:numPr>
          <w:ilvl w:val="1"/>
          <w:numId w:val="40"/>
        </w:numPr>
        <w:spacing w:before="240" w:after="100" w:afterAutospacing="1"/>
        <w:rPr>
          <w:rFonts w:ascii="Times New Roman" w:eastAsia="Calibri" w:hAnsi="Times New Roman" w:cs="Times New Roman"/>
          <w:sz w:val="24"/>
          <w:szCs w:val="24"/>
        </w:rPr>
      </w:pPr>
      <w:r w:rsidRPr="00944587">
        <w:rPr>
          <w:rFonts w:ascii="Times New Roman" w:eastAsia="Calibri" w:hAnsi="Times New Roman" w:cs="Times New Roman"/>
          <w:sz w:val="24"/>
          <w:szCs w:val="24"/>
        </w:rPr>
        <w:t>The note advises the reader that in July 2022, this is</w:t>
      </w:r>
      <w:r w:rsidR="00593C86" w:rsidRPr="00593C86">
        <w:t xml:space="preserve"> </w:t>
      </w:r>
      <w:r w:rsidR="00593C86" w:rsidRPr="00593C86">
        <w:rPr>
          <w:rFonts w:ascii="Times New Roman" w:eastAsia="Calibri" w:hAnsi="Times New Roman" w:cs="Times New Roman"/>
          <w:sz w:val="24"/>
          <w:szCs w:val="24"/>
        </w:rPr>
        <w:t>the Department of Industry, Science and Resources</w:t>
      </w:r>
      <w:r w:rsidR="00593C86">
        <w:rPr>
          <w:rFonts w:ascii="Times New Roman" w:eastAsia="Calibri" w:hAnsi="Times New Roman" w:cs="Times New Roman"/>
          <w:sz w:val="24"/>
          <w:szCs w:val="24"/>
        </w:rPr>
        <w:t xml:space="preserve"> (DISR).</w:t>
      </w:r>
    </w:p>
    <w:p w14:paraId="675E02E7" w14:textId="118B831A" w:rsidR="00593C86" w:rsidRDefault="00593C86" w:rsidP="00593C86">
      <w:pPr>
        <w:pStyle w:val="ListParagraph"/>
        <w:numPr>
          <w:ilvl w:val="1"/>
          <w:numId w:val="40"/>
        </w:numPr>
        <w:spacing w:before="240" w:after="100" w:afterAutospacing="1"/>
        <w:rPr>
          <w:rFonts w:ascii="Times New Roman" w:eastAsia="Calibri" w:hAnsi="Times New Roman" w:cs="Times New Roman"/>
          <w:sz w:val="24"/>
          <w:szCs w:val="24"/>
        </w:rPr>
      </w:pPr>
      <w:r w:rsidRPr="00593C86">
        <w:rPr>
          <w:rFonts w:ascii="Times New Roman" w:eastAsia="Calibri" w:hAnsi="Times New Roman" w:cs="Times New Roman"/>
          <w:sz w:val="24"/>
          <w:szCs w:val="24"/>
        </w:rPr>
        <w:t>It is anticipated that the ability to share relev</w:t>
      </w:r>
      <w:r w:rsidR="00E42FEA">
        <w:rPr>
          <w:rFonts w:ascii="Times New Roman" w:eastAsia="Calibri" w:hAnsi="Times New Roman" w:cs="Times New Roman"/>
          <w:sz w:val="24"/>
          <w:szCs w:val="24"/>
        </w:rPr>
        <w:t xml:space="preserve">ant protected information with </w:t>
      </w:r>
      <w:r>
        <w:rPr>
          <w:rFonts w:ascii="Times New Roman" w:eastAsia="Calibri" w:hAnsi="Times New Roman" w:cs="Times New Roman"/>
          <w:sz w:val="24"/>
          <w:szCs w:val="24"/>
        </w:rPr>
        <w:t xml:space="preserve">DISR </w:t>
      </w:r>
      <w:r w:rsidR="004D28E2">
        <w:rPr>
          <w:rFonts w:ascii="Times New Roman" w:eastAsia="Calibri" w:hAnsi="Times New Roman" w:cs="Times New Roman"/>
          <w:sz w:val="24"/>
          <w:szCs w:val="24"/>
        </w:rPr>
        <w:t xml:space="preserve">will enable staff within that agency whose duties and responsibilities include administration of </w:t>
      </w:r>
      <w:r w:rsidR="00E42FEA" w:rsidRPr="00E42FEA">
        <w:rPr>
          <w:rFonts w:ascii="Times New Roman" w:eastAsia="Calibri" w:hAnsi="Times New Roman" w:cs="Times New Roman"/>
          <w:sz w:val="24"/>
          <w:szCs w:val="24"/>
        </w:rPr>
        <w:t>liquid fuels legislation</w:t>
      </w:r>
      <w:r w:rsidR="00F0572E">
        <w:rPr>
          <w:rFonts w:ascii="Times New Roman" w:eastAsia="Calibri" w:hAnsi="Times New Roman" w:cs="Times New Roman"/>
          <w:sz w:val="24"/>
          <w:szCs w:val="24"/>
        </w:rPr>
        <w:t>, including the OPGGS Act,</w:t>
      </w:r>
      <w:r w:rsidR="00E42FEA" w:rsidRPr="00E42FEA">
        <w:rPr>
          <w:rFonts w:ascii="Times New Roman" w:eastAsia="Calibri" w:hAnsi="Times New Roman" w:cs="Times New Roman"/>
          <w:i/>
          <w:sz w:val="24"/>
          <w:szCs w:val="24"/>
        </w:rPr>
        <w:t xml:space="preserve"> </w:t>
      </w:r>
      <w:r w:rsidR="005756A9">
        <w:rPr>
          <w:rFonts w:ascii="Times New Roman" w:eastAsia="Calibri" w:hAnsi="Times New Roman" w:cs="Times New Roman"/>
          <w:sz w:val="24"/>
          <w:szCs w:val="24"/>
        </w:rPr>
        <w:t xml:space="preserve">to </w:t>
      </w:r>
      <w:r w:rsidR="004D28E2">
        <w:rPr>
          <w:rFonts w:ascii="Times New Roman" w:eastAsia="Calibri" w:hAnsi="Times New Roman" w:cs="Times New Roman"/>
          <w:sz w:val="24"/>
          <w:szCs w:val="24"/>
        </w:rPr>
        <w:t>continue to exercise those</w:t>
      </w:r>
      <w:r w:rsidR="00E42FEA">
        <w:rPr>
          <w:rFonts w:ascii="Times New Roman" w:eastAsia="Calibri" w:hAnsi="Times New Roman" w:cs="Times New Roman"/>
          <w:sz w:val="24"/>
          <w:szCs w:val="24"/>
        </w:rPr>
        <w:t xml:space="preserve"> powers,</w:t>
      </w:r>
      <w:r w:rsidR="004D28E2">
        <w:rPr>
          <w:rFonts w:ascii="Times New Roman" w:eastAsia="Calibri" w:hAnsi="Times New Roman" w:cs="Times New Roman"/>
          <w:sz w:val="24"/>
          <w:szCs w:val="24"/>
        </w:rPr>
        <w:t xml:space="preserve"> functions</w:t>
      </w:r>
      <w:r w:rsidR="00E42FEA">
        <w:rPr>
          <w:rFonts w:ascii="Times New Roman" w:eastAsia="Calibri" w:hAnsi="Times New Roman" w:cs="Times New Roman"/>
          <w:sz w:val="24"/>
          <w:szCs w:val="24"/>
        </w:rPr>
        <w:t xml:space="preserve"> and duties</w:t>
      </w:r>
      <w:r w:rsidR="007A7A57">
        <w:rPr>
          <w:rFonts w:ascii="Times New Roman" w:eastAsia="Calibri" w:hAnsi="Times New Roman" w:cs="Times New Roman"/>
          <w:sz w:val="24"/>
          <w:szCs w:val="24"/>
        </w:rPr>
        <w:t>.</w:t>
      </w:r>
    </w:p>
    <w:p w14:paraId="61BB7D57" w14:textId="7F01E654" w:rsidR="00593C86" w:rsidRDefault="00593C86" w:rsidP="00593C86">
      <w:pPr>
        <w:pStyle w:val="ListParagraph"/>
        <w:numPr>
          <w:ilvl w:val="0"/>
          <w:numId w:val="40"/>
        </w:numPr>
        <w:spacing w:before="240" w:after="100" w:afterAutospacing="1"/>
        <w:rPr>
          <w:rFonts w:ascii="Times New Roman" w:eastAsia="Calibri" w:hAnsi="Times New Roman" w:cs="Times New Roman"/>
          <w:sz w:val="24"/>
          <w:szCs w:val="24"/>
        </w:rPr>
      </w:pPr>
      <w:r w:rsidRPr="00593C86">
        <w:rPr>
          <w:rFonts w:ascii="Times New Roman" w:eastAsia="Calibri" w:hAnsi="Times New Roman" w:cs="Times New Roman"/>
          <w:sz w:val="24"/>
          <w:szCs w:val="24"/>
        </w:rPr>
        <w:t xml:space="preserve">the Commonwealth agency responsible for administering the </w:t>
      </w:r>
      <w:r w:rsidRPr="00593C86">
        <w:rPr>
          <w:rFonts w:ascii="Times New Roman" w:eastAsia="Calibri" w:hAnsi="Times New Roman" w:cs="Times New Roman"/>
          <w:i/>
          <w:sz w:val="24"/>
          <w:szCs w:val="24"/>
        </w:rPr>
        <w:t>Fuel Security Act 2021</w:t>
      </w:r>
      <w:r w:rsidR="00F0572E">
        <w:rPr>
          <w:rFonts w:ascii="Times New Roman" w:eastAsia="Calibri" w:hAnsi="Times New Roman" w:cs="Times New Roman"/>
          <w:i/>
          <w:sz w:val="24"/>
          <w:szCs w:val="24"/>
        </w:rPr>
        <w:t xml:space="preserve"> </w:t>
      </w:r>
      <w:r w:rsidR="00F0572E">
        <w:rPr>
          <w:rFonts w:ascii="Times New Roman" w:eastAsia="Calibri" w:hAnsi="Times New Roman" w:cs="Times New Roman"/>
          <w:sz w:val="24"/>
          <w:szCs w:val="24"/>
        </w:rPr>
        <w:t>(FS Act)</w:t>
      </w:r>
      <w:r>
        <w:rPr>
          <w:rFonts w:ascii="Times New Roman" w:eastAsia="Calibri" w:hAnsi="Times New Roman" w:cs="Times New Roman"/>
          <w:sz w:val="24"/>
          <w:szCs w:val="24"/>
        </w:rPr>
        <w:t>;</w:t>
      </w:r>
    </w:p>
    <w:p w14:paraId="5201D6F0" w14:textId="24184615" w:rsidR="00593C86" w:rsidRDefault="00593C86" w:rsidP="00593C86">
      <w:pPr>
        <w:pStyle w:val="ListParagraph"/>
        <w:numPr>
          <w:ilvl w:val="1"/>
          <w:numId w:val="40"/>
        </w:numPr>
        <w:spacing w:before="240" w:after="100" w:afterAutospacing="1"/>
        <w:rPr>
          <w:rFonts w:ascii="Times New Roman" w:eastAsia="Calibri" w:hAnsi="Times New Roman" w:cs="Times New Roman"/>
          <w:sz w:val="24"/>
          <w:szCs w:val="24"/>
        </w:rPr>
      </w:pPr>
      <w:r w:rsidRPr="00593C86">
        <w:rPr>
          <w:rFonts w:ascii="Times New Roman" w:eastAsia="Calibri" w:hAnsi="Times New Roman" w:cs="Times New Roman"/>
          <w:sz w:val="24"/>
          <w:szCs w:val="24"/>
        </w:rPr>
        <w:t>The note advises the reader that in July 2022, this is</w:t>
      </w:r>
      <w:r>
        <w:rPr>
          <w:rFonts w:ascii="Times New Roman" w:eastAsia="Calibri" w:hAnsi="Times New Roman" w:cs="Times New Roman"/>
          <w:sz w:val="24"/>
          <w:szCs w:val="24"/>
        </w:rPr>
        <w:t xml:space="preserve"> </w:t>
      </w:r>
      <w:r w:rsidRPr="00593C86">
        <w:rPr>
          <w:rFonts w:ascii="Times New Roman" w:eastAsia="Calibri" w:hAnsi="Times New Roman" w:cs="Times New Roman"/>
          <w:sz w:val="24"/>
          <w:szCs w:val="24"/>
        </w:rPr>
        <w:t>the Department of Climate Change, E</w:t>
      </w:r>
      <w:r>
        <w:rPr>
          <w:rFonts w:ascii="Times New Roman" w:eastAsia="Calibri" w:hAnsi="Times New Roman" w:cs="Times New Roman"/>
          <w:sz w:val="24"/>
          <w:szCs w:val="24"/>
        </w:rPr>
        <w:t>nergy, the Environment and Water (</w:t>
      </w:r>
      <w:r w:rsidR="00F0572E">
        <w:rPr>
          <w:rFonts w:ascii="Times New Roman" w:eastAsia="Calibri" w:hAnsi="Times New Roman" w:cs="Times New Roman"/>
          <w:sz w:val="24"/>
          <w:szCs w:val="24"/>
        </w:rPr>
        <w:t>DCCEEW</w:t>
      </w:r>
      <w:r>
        <w:rPr>
          <w:rFonts w:ascii="Times New Roman" w:eastAsia="Calibri" w:hAnsi="Times New Roman" w:cs="Times New Roman"/>
          <w:sz w:val="24"/>
          <w:szCs w:val="24"/>
        </w:rPr>
        <w:t>).</w:t>
      </w:r>
    </w:p>
    <w:p w14:paraId="60895500" w14:textId="30312F79" w:rsidR="00593C86" w:rsidRPr="00593C86" w:rsidRDefault="00F0572E" w:rsidP="00F0572E">
      <w:pPr>
        <w:pStyle w:val="ListParagraph"/>
        <w:numPr>
          <w:ilvl w:val="1"/>
          <w:numId w:val="40"/>
        </w:numPr>
        <w:spacing w:before="240" w:after="100" w:afterAutospacing="1"/>
        <w:rPr>
          <w:rFonts w:ascii="Times New Roman" w:eastAsia="Calibri" w:hAnsi="Times New Roman" w:cs="Times New Roman"/>
          <w:sz w:val="24"/>
          <w:szCs w:val="24"/>
        </w:rPr>
      </w:pPr>
      <w:r w:rsidRPr="00F0572E">
        <w:rPr>
          <w:rFonts w:ascii="Times New Roman" w:eastAsia="Calibri" w:hAnsi="Times New Roman" w:cs="Times New Roman"/>
          <w:sz w:val="24"/>
          <w:szCs w:val="24"/>
        </w:rPr>
        <w:t>It is anticipated that the ability to share relevant protected information with D</w:t>
      </w:r>
      <w:r>
        <w:rPr>
          <w:rFonts w:ascii="Times New Roman" w:eastAsia="Calibri" w:hAnsi="Times New Roman" w:cs="Times New Roman"/>
          <w:sz w:val="24"/>
          <w:szCs w:val="24"/>
        </w:rPr>
        <w:t>CCEEW</w:t>
      </w:r>
      <w:r w:rsidRPr="00F0572E">
        <w:rPr>
          <w:rFonts w:ascii="Times New Roman" w:eastAsia="Calibri" w:hAnsi="Times New Roman" w:cs="Times New Roman"/>
          <w:sz w:val="24"/>
          <w:szCs w:val="24"/>
        </w:rPr>
        <w:t xml:space="preserve"> will enable staff within that agency whose duties and responsibilities include administration of liquid fuels legislation, including the </w:t>
      </w:r>
      <w:r>
        <w:rPr>
          <w:rFonts w:ascii="Times New Roman" w:eastAsia="Calibri" w:hAnsi="Times New Roman" w:cs="Times New Roman"/>
          <w:sz w:val="24"/>
          <w:szCs w:val="24"/>
        </w:rPr>
        <w:t>FS</w:t>
      </w:r>
      <w:r w:rsidRPr="00F0572E">
        <w:rPr>
          <w:rFonts w:ascii="Times New Roman" w:eastAsia="Calibri" w:hAnsi="Times New Roman" w:cs="Times New Roman"/>
          <w:sz w:val="24"/>
          <w:szCs w:val="24"/>
        </w:rPr>
        <w:t xml:space="preserve"> Act, </w:t>
      </w:r>
      <w:r w:rsidR="005756A9">
        <w:rPr>
          <w:rFonts w:ascii="Times New Roman" w:eastAsia="Calibri" w:hAnsi="Times New Roman" w:cs="Times New Roman"/>
          <w:sz w:val="24"/>
          <w:szCs w:val="24"/>
        </w:rPr>
        <w:t>to</w:t>
      </w:r>
      <w:r w:rsidR="005756A9" w:rsidRPr="00F0572E">
        <w:rPr>
          <w:rFonts w:ascii="Times New Roman" w:eastAsia="Calibri" w:hAnsi="Times New Roman" w:cs="Times New Roman"/>
          <w:sz w:val="24"/>
          <w:szCs w:val="24"/>
        </w:rPr>
        <w:t xml:space="preserve"> </w:t>
      </w:r>
      <w:r w:rsidRPr="00F0572E">
        <w:rPr>
          <w:rFonts w:ascii="Times New Roman" w:eastAsia="Calibri" w:hAnsi="Times New Roman" w:cs="Times New Roman"/>
          <w:sz w:val="24"/>
          <w:szCs w:val="24"/>
        </w:rPr>
        <w:t>continue to exercise those powers, functions and duties</w:t>
      </w:r>
      <w:r w:rsidR="004D28E2">
        <w:rPr>
          <w:rFonts w:ascii="Times New Roman" w:eastAsia="Calibri" w:hAnsi="Times New Roman" w:cs="Times New Roman"/>
          <w:sz w:val="24"/>
          <w:szCs w:val="24"/>
        </w:rPr>
        <w:t>.</w:t>
      </w:r>
    </w:p>
    <w:p w14:paraId="3FB5E200" w14:textId="17C2EFF2" w:rsidR="00BE5D4F" w:rsidRPr="00C375D4" w:rsidRDefault="00BE5D4F" w:rsidP="00BE5D4F">
      <w:pPr>
        <w:pStyle w:val="ListParagraph"/>
        <w:numPr>
          <w:ilvl w:val="0"/>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the Department of Prime Minister and Cabinet</w:t>
      </w:r>
      <w:r w:rsidR="00E35963" w:rsidRPr="00C375D4">
        <w:rPr>
          <w:rFonts w:ascii="Times New Roman" w:eastAsia="Calibri" w:hAnsi="Times New Roman" w:cs="Times New Roman"/>
          <w:sz w:val="24"/>
          <w:szCs w:val="24"/>
        </w:rPr>
        <w:t xml:space="preserve"> (PM&amp;C)</w:t>
      </w:r>
      <w:r w:rsidRPr="00C375D4">
        <w:rPr>
          <w:rFonts w:ascii="Times New Roman" w:eastAsia="Calibri" w:hAnsi="Times New Roman" w:cs="Times New Roman"/>
          <w:sz w:val="24"/>
          <w:szCs w:val="24"/>
        </w:rPr>
        <w:t xml:space="preserve">; </w:t>
      </w:r>
    </w:p>
    <w:p w14:paraId="5369D979" w14:textId="485131F5" w:rsidR="00E35963" w:rsidRPr="00C375D4" w:rsidRDefault="003D498E" w:rsidP="00E35963">
      <w:pPr>
        <w:pStyle w:val="ListParagraph"/>
        <w:numPr>
          <w:ilvl w:val="1"/>
          <w:numId w:val="40"/>
        </w:numPr>
        <w:rPr>
          <w:rFonts w:ascii="Times New Roman" w:eastAsia="Calibri" w:hAnsi="Times New Roman" w:cs="Times New Roman"/>
          <w:sz w:val="24"/>
          <w:szCs w:val="24"/>
        </w:rPr>
      </w:pPr>
      <w:r w:rsidRPr="00C375D4">
        <w:rPr>
          <w:rFonts w:ascii="Times New Roman" w:eastAsia="Calibri" w:hAnsi="Times New Roman" w:cs="Times New Roman"/>
          <w:sz w:val="24"/>
          <w:szCs w:val="24"/>
        </w:rPr>
        <w:t>I</w:t>
      </w:r>
      <w:r w:rsidR="00E35963" w:rsidRPr="00C375D4">
        <w:rPr>
          <w:rFonts w:ascii="Times New Roman" w:eastAsia="Calibri" w:hAnsi="Times New Roman" w:cs="Times New Roman"/>
          <w:sz w:val="24"/>
          <w:szCs w:val="24"/>
        </w:rPr>
        <w:t>t is anticipated that the ability to share relevant protected information with PM&amp;C may enhance the ability of the Secretary to the Department to respond to any requirements to provide emergency management information (including re</w:t>
      </w:r>
      <w:r w:rsidR="00F0572E">
        <w:rPr>
          <w:rFonts w:ascii="Times New Roman" w:eastAsia="Calibri" w:hAnsi="Times New Roman" w:cs="Times New Roman"/>
          <w:sz w:val="24"/>
          <w:szCs w:val="24"/>
        </w:rPr>
        <w:t>garding</w:t>
      </w:r>
      <w:r w:rsidR="00E35963" w:rsidRPr="00C375D4">
        <w:rPr>
          <w:rFonts w:ascii="Times New Roman" w:eastAsia="Calibri" w:hAnsi="Times New Roman" w:cs="Times New Roman"/>
          <w:sz w:val="24"/>
          <w:szCs w:val="24"/>
        </w:rPr>
        <w:t xml:space="preserve"> stockpiles of liquid fuel supplies, </w:t>
      </w:r>
      <w:r w:rsidR="00556F43" w:rsidRPr="00C375D4">
        <w:rPr>
          <w:rFonts w:ascii="Times New Roman" w:eastAsia="Calibri" w:hAnsi="Times New Roman" w:cs="Times New Roman"/>
          <w:sz w:val="24"/>
          <w:szCs w:val="24"/>
        </w:rPr>
        <w:t>etc.</w:t>
      </w:r>
      <w:r w:rsidR="00E35963" w:rsidRPr="00C375D4">
        <w:rPr>
          <w:rFonts w:ascii="Times New Roman" w:eastAsia="Calibri" w:hAnsi="Times New Roman" w:cs="Times New Roman"/>
          <w:sz w:val="24"/>
          <w:szCs w:val="24"/>
        </w:rPr>
        <w:t>) to the Prime</w:t>
      </w:r>
      <w:r w:rsidR="002A0D54">
        <w:rPr>
          <w:rFonts w:ascii="Times New Roman" w:eastAsia="Calibri" w:hAnsi="Times New Roman" w:cs="Times New Roman"/>
          <w:sz w:val="24"/>
          <w:szCs w:val="24"/>
        </w:rPr>
        <w:t> </w:t>
      </w:r>
      <w:r w:rsidR="00E35963" w:rsidRPr="00C375D4">
        <w:rPr>
          <w:rFonts w:ascii="Times New Roman" w:eastAsia="Calibri" w:hAnsi="Times New Roman" w:cs="Times New Roman"/>
          <w:sz w:val="24"/>
          <w:szCs w:val="24"/>
        </w:rPr>
        <w:t>Minister pursuant to section 16 of the NED Act.</w:t>
      </w:r>
    </w:p>
    <w:p w14:paraId="462B9C58" w14:textId="77777777" w:rsidR="00F0572E" w:rsidRDefault="00BE5D4F" w:rsidP="00BE5D4F">
      <w:pPr>
        <w:pStyle w:val="ListParagraph"/>
        <w:numPr>
          <w:ilvl w:val="0"/>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the Clean Energy Regulator.</w:t>
      </w:r>
      <w:r w:rsidR="00544F4E" w:rsidRPr="00C375D4">
        <w:rPr>
          <w:rFonts w:ascii="Times New Roman" w:eastAsia="Calibri" w:hAnsi="Times New Roman" w:cs="Times New Roman"/>
          <w:sz w:val="24"/>
          <w:szCs w:val="24"/>
        </w:rPr>
        <w:t xml:space="preserve"> </w:t>
      </w:r>
    </w:p>
    <w:p w14:paraId="74CB0EDA" w14:textId="7E49C46A" w:rsidR="00BE5D4F" w:rsidRPr="00C375D4" w:rsidRDefault="00544F4E" w:rsidP="00F0572E">
      <w:pPr>
        <w:pStyle w:val="ListParagraph"/>
        <w:numPr>
          <w:ilvl w:val="1"/>
          <w:numId w:val="40"/>
        </w:num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 xml:space="preserve">The data reported under the </w:t>
      </w:r>
      <w:r w:rsidRPr="00C375D4">
        <w:rPr>
          <w:rFonts w:ascii="Times New Roman" w:eastAsia="Calibri" w:hAnsi="Times New Roman" w:cs="Times New Roman"/>
          <w:i/>
          <w:sz w:val="24"/>
          <w:szCs w:val="24"/>
        </w:rPr>
        <w:t xml:space="preserve">National Greenhouse and Energy Reporting Act 2007 </w:t>
      </w:r>
      <w:r w:rsidRPr="00C375D4">
        <w:rPr>
          <w:rFonts w:ascii="Times New Roman" w:eastAsia="Calibri" w:hAnsi="Times New Roman" w:cs="Times New Roman"/>
          <w:sz w:val="24"/>
          <w:szCs w:val="24"/>
        </w:rPr>
        <w:t xml:space="preserve">covers similar or related information to that reported under the </w:t>
      </w:r>
      <w:r w:rsidR="00F0572E">
        <w:rPr>
          <w:rFonts w:ascii="Times New Roman" w:eastAsia="Calibri" w:hAnsi="Times New Roman" w:cs="Times New Roman"/>
          <w:sz w:val="24"/>
          <w:szCs w:val="24"/>
        </w:rPr>
        <w:t xml:space="preserve">POFR </w:t>
      </w:r>
      <w:r w:rsidRPr="00C375D4">
        <w:rPr>
          <w:rFonts w:ascii="Times New Roman" w:eastAsia="Calibri" w:hAnsi="Times New Roman" w:cs="Times New Roman"/>
          <w:sz w:val="24"/>
          <w:szCs w:val="24"/>
        </w:rPr>
        <w:t>Act. The exchange of information could assist in verifying reported data and ensuring consistency in the Australian Government’s reporting and publication of greenhouse and energy data.</w:t>
      </w:r>
    </w:p>
    <w:p w14:paraId="6B617170" w14:textId="4B339687" w:rsidR="00B141F0" w:rsidRDefault="004D09AA" w:rsidP="00B141F0">
      <w:pPr>
        <w:spacing w:before="240" w:after="100" w:afterAutospacing="1"/>
        <w:rPr>
          <w:rFonts w:ascii="Times New Roman" w:eastAsia="Calibri" w:hAnsi="Times New Roman" w:cs="Times New Roman"/>
          <w:sz w:val="24"/>
          <w:szCs w:val="24"/>
        </w:rPr>
      </w:pPr>
      <w:r w:rsidRPr="00C375D4">
        <w:rPr>
          <w:rFonts w:ascii="Times New Roman" w:eastAsia="Calibri" w:hAnsi="Times New Roman" w:cs="Times New Roman"/>
          <w:sz w:val="24"/>
          <w:szCs w:val="24"/>
        </w:rPr>
        <w:t>Similarly, n</w:t>
      </w:r>
      <w:r w:rsidR="00B141F0" w:rsidRPr="00C375D4">
        <w:rPr>
          <w:rFonts w:ascii="Times New Roman" w:eastAsia="Calibri" w:hAnsi="Times New Roman" w:cs="Times New Roman"/>
          <w:sz w:val="24"/>
          <w:szCs w:val="24"/>
        </w:rPr>
        <w:t xml:space="preserve">ew </w:t>
      </w:r>
      <w:r w:rsidR="00720428" w:rsidRPr="00C375D4">
        <w:rPr>
          <w:rFonts w:ascii="Times New Roman" w:eastAsia="Calibri" w:hAnsi="Times New Roman" w:cs="Times New Roman"/>
          <w:sz w:val="24"/>
          <w:szCs w:val="24"/>
        </w:rPr>
        <w:t>subsection</w:t>
      </w:r>
      <w:r w:rsidR="00B141F0" w:rsidRPr="00C375D4">
        <w:rPr>
          <w:rFonts w:ascii="Times New Roman" w:eastAsia="Calibri" w:hAnsi="Times New Roman" w:cs="Times New Roman"/>
          <w:sz w:val="24"/>
          <w:szCs w:val="24"/>
        </w:rPr>
        <w:t xml:space="preserve"> 22(</w:t>
      </w:r>
      <w:r w:rsidR="00720428" w:rsidRPr="00C375D4">
        <w:rPr>
          <w:rFonts w:ascii="Times New Roman" w:eastAsia="Calibri" w:hAnsi="Times New Roman" w:cs="Times New Roman"/>
          <w:sz w:val="24"/>
          <w:szCs w:val="24"/>
        </w:rPr>
        <w:t>2</w:t>
      </w:r>
      <w:r w:rsidR="00B141F0" w:rsidRPr="00C375D4">
        <w:rPr>
          <w:rFonts w:ascii="Times New Roman" w:eastAsia="Calibri" w:hAnsi="Times New Roman" w:cs="Times New Roman"/>
          <w:sz w:val="24"/>
          <w:szCs w:val="24"/>
        </w:rPr>
        <w:t>)</w:t>
      </w:r>
      <w:r w:rsidRPr="00C375D4">
        <w:rPr>
          <w:rFonts w:ascii="Times New Roman" w:eastAsia="Calibri" w:hAnsi="Times New Roman" w:cs="Times New Roman"/>
          <w:sz w:val="24"/>
          <w:szCs w:val="24"/>
        </w:rPr>
        <w:t xml:space="preserve"> </w:t>
      </w:r>
      <w:r w:rsidR="00B141F0" w:rsidRPr="00C375D4">
        <w:rPr>
          <w:rFonts w:ascii="Times New Roman" w:eastAsia="Calibri" w:hAnsi="Times New Roman" w:cs="Times New Roman"/>
          <w:sz w:val="24"/>
          <w:szCs w:val="24"/>
        </w:rPr>
        <w:t>prescribes, for the purpose of</w:t>
      </w:r>
      <w:r w:rsidRPr="00C375D4">
        <w:t xml:space="preserve"> </w:t>
      </w:r>
      <w:r w:rsidRPr="00C375D4">
        <w:rPr>
          <w:rFonts w:ascii="Times New Roman" w:eastAsia="Calibri" w:hAnsi="Times New Roman" w:cs="Times New Roman"/>
          <w:sz w:val="24"/>
          <w:szCs w:val="24"/>
        </w:rPr>
        <w:t xml:space="preserve">paragraph 24(2)(d) of the Act, the State and Territory government agencies that are from time to time responsible for administering liquid fuels legislation (particularly liquid fuels emergency management legislation). This enables the Secretary (or delegate) to disclose </w:t>
      </w:r>
      <w:r w:rsidR="00684226" w:rsidRPr="00C375D4">
        <w:rPr>
          <w:rFonts w:ascii="Times New Roman" w:eastAsia="Calibri" w:hAnsi="Times New Roman" w:cs="Times New Roman"/>
          <w:sz w:val="24"/>
          <w:szCs w:val="24"/>
        </w:rPr>
        <w:t xml:space="preserve">relevant </w:t>
      </w:r>
      <w:r w:rsidRPr="00C375D4">
        <w:rPr>
          <w:rFonts w:ascii="Times New Roman" w:eastAsia="Calibri" w:hAnsi="Times New Roman" w:cs="Times New Roman"/>
          <w:sz w:val="24"/>
          <w:szCs w:val="24"/>
        </w:rPr>
        <w:t>protected information (e.g. liquid fuel storage locations and volumes</w:t>
      </w:r>
      <w:r w:rsidR="00684226" w:rsidRPr="00C375D4">
        <w:rPr>
          <w:rFonts w:ascii="Times New Roman" w:eastAsia="Calibri" w:hAnsi="Times New Roman" w:cs="Times New Roman"/>
          <w:sz w:val="24"/>
          <w:szCs w:val="24"/>
        </w:rPr>
        <w:t xml:space="preserve"> of fuels stored,</w:t>
      </w:r>
      <w:r w:rsidRPr="00C375D4">
        <w:rPr>
          <w:rFonts w:ascii="Times New Roman" w:eastAsia="Calibri" w:hAnsi="Times New Roman" w:cs="Times New Roman"/>
          <w:sz w:val="24"/>
          <w:szCs w:val="24"/>
        </w:rPr>
        <w:t xml:space="preserve"> </w:t>
      </w:r>
      <w:r w:rsidR="00556F43" w:rsidRPr="00C375D4">
        <w:rPr>
          <w:rFonts w:ascii="Times New Roman" w:eastAsia="Calibri" w:hAnsi="Times New Roman" w:cs="Times New Roman"/>
          <w:sz w:val="24"/>
          <w:szCs w:val="24"/>
        </w:rPr>
        <w:t>etc.</w:t>
      </w:r>
      <w:r w:rsidRPr="00C375D4">
        <w:rPr>
          <w:rFonts w:ascii="Times New Roman" w:eastAsia="Calibri" w:hAnsi="Times New Roman" w:cs="Times New Roman"/>
          <w:sz w:val="24"/>
          <w:szCs w:val="24"/>
        </w:rPr>
        <w:t>) under section</w:t>
      </w:r>
      <w:r w:rsidR="002A0D54">
        <w:rPr>
          <w:rFonts w:ascii="Times New Roman" w:eastAsia="Calibri" w:hAnsi="Times New Roman" w:cs="Times New Roman"/>
          <w:sz w:val="24"/>
          <w:szCs w:val="24"/>
        </w:rPr>
        <w:t> </w:t>
      </w:r>
      <w:r w:rsidRPr="00C375D4">
        <w:rPr>
          <w:rFonts w:ascii="Times New Roman" w:eastAsia="Calibri" w:hAnsi="Times New Roman" w:cs="Times New Roman"/>
          <w:sz w:val="24"/>
          <w:szCs w:val="24"/>
        </w:rPr>
        <w:t>24 of the POFR Act, where it will enable or assist the relevant agency to exercise its powers, or perform its functions or d</w:t>
      </w:r>
      <w:r w:rsidR="00093A06">
        <w:rPr>
          <w:rFonts w:ascii="Times New Roman" w:eastAsia="Calibri" w:hAnsi="Times New Roman" w:cs="Times New Roman"/>
          <w:sz w:val="24"/>
          <w:szCs w:val="24"/>
        </w:rPr>
        <w:t>uties</w:t>
      </w:r>
      <w:r w:rsidR="00093A06">
        <w:rPr>
          <w:rFonts w:ascii="Times New Roman" w:eastAsia="Calibri" w:hAnsi="Times New Roman" w:cs="Times New Roman"/>
          <w:sz w:val="24"/>
          <w:szCs w:val="24"/>
        </w:rPr>
        <w:sym w:font="Symbol" w:char="F0BE"/>
      </w:r>
      <w:r w:rsidRPr="00C375D4">
        <w:rPr>
          <w:rFonts w:ascii="Times New Roman" w:eastAsia="Calibri" w:hAnsi="Times New Roman" w:cs="Times New Roman"/>
          <w:sz w:val="24"/>
          <w:szCs w:val="24"/>
        </w:rPr>
        <w:t xml:space="preserve">including to help any affected jurisdictions </w:t>
      </w:r>
      <w:r w:rsidR="006A6772">
        <w:rPr>
          <w:rFonts w:ascii="Times New Roman" w:eastAsia="Calibri" w:hAnsi="Times New Roman" w:cs="Times New Roman"/>
          <w:sz w:val="24"/>
          <w:szCs w:val="24"/>
        </w:rPr>
        <w:t xml:space="preserve">to </w:t>
      </w:r>
      <w:r w:rsidRPr="00C375D4">
        <w:rPr>
          <w:rFonts w:ascii="Times New Roman" w:eastAsia="Calibri" w:hAnsi="Times New Roman" w:cs="Times New Roman"/>
          <w:sz w:val="24"/>
          <w:szCs w:val="24"/>
        </w:rPr>
        <w:t>manage</w:t>
      </w:r>
      <w:r w:rsidR="00684226" w:rsidRPr="00C375D4">
        <w:rPr>
          <w:rFonts w:ascii="Times New Roman" w:eastAsia="Calibri" w:hAnsi="Times New Roman" w:cs="Times New Roman"/>
          <w:sz w:val="24"/>
          <w:szCs w:val="24"/>
        </w:rPr>
        <w:t xml:space="preserve"> or </w:t>
      </w:r>
      <w:r w:rsidRPr="00C375D4">
        <w:rPr>
          <w:rFonts w:ascii="Times New Roman" w:eastAsia="Calibri" w:hAnsi="Times New Roman" w:cs="Times New Roman"/>
          <w:sz w:val="24"/>
          <w:szCs w:val="24"/>
        </w:rPr>
        <w:t xml:space="preserve">mitigate an actual or anticipated liquid fuel emergency. </w:t>
      </w:r>
      <w:r w:rsidR="00684226" w:rsidRPr="00C375D4">
        <w:rPr>
          <w:rFonts w:ascii="Times New Roman" w:eastAsia="Calibri" w:hAnsi="Times New Roman" w:cs="Times New Roman"/>
          <w:sz w:val="24"/>
          <w:szCs w:val="24"/>
        </w:rPr>
        <w:t>This reflects the policy intent that such i</w:t>
      </w:r>
      <w:r w:rsidRPr="00C375D4">
        <w:rPr>
          <w:rFonts w:ascii="Times New Roman" w:eastAsia="Calibri" w:hAnsi="Times New Roman" w:cs="Times New Roman"/>
          <w:sz w:val="24"/>
          <w:szCs w:val="24"/>
        </w:rPr>
        <w:t xml:space="preserve">nformation should be able to be shared with relevant State and Territory governments where appropriate, and is consistent with the </w:t>
      </w:r>
      <w:r w:rsidR="00684226" w:rsidRPr="00C375D4">
        <w:rPr>
          <w:rFonts w:ascii="Times New Roman" w:eastAsia="Calibri" w:hAnsi="Times New Roman" w:cs="Times New Roman"/>
          <w:sz w:val="24"/>
          <w:szCs w:val="24"/>
        </w:rPr>
        <w:t xml:space="preserve">joint </w:t>
      </w:r>
      <w:r w:rsidRPr="00C375D4">
        <w:rPr>
          <w:rFonts w:ascii="Times New Roman" w:eastAsia="Calibri" w:hAnsi="Times New Roman" w:cs="Times New Roman"/>
          <w:sz w:val="24"/>
          <w:szCs w:val="24"/>
        </w:rPr>
        <w:t xml:space="preserve">approach to </w:t>
      </w:r>
      <w:r w:rsidR="00684226" w:rsidRPr="00C375D4">
        <w:rPr>
          <w:rFonts w:ascii="Times New Roman" w:eastAsia="Calibri" w:hAnsi="Times New Roman" w:cs="Times New Roman"/>
          <w:sz w:val="24"/>
          <w:szCs w:val="24"/>
        </w:rPr>
        <w:t xml:space="preserve">managing significant liquid fuel supply disruptions under the </w:t>
      </w:r>
      <w:r w:rsidR="00684226" w:rsidRPr="00240AAD">
        <w:rPr>
          <w:rFonts w:ascii="Times New Roman" w:eastAsia="Calibri" w:hAnsi="Times New Roman" w:cs="Times New Roman"/>
          <w:i/>
          <w:sz w:val="24"/>
          <w:szCs w:val="24"/>
        </w:rPr>
        <w:t>L</w:t>
      </w:r>
      <w:r w:rsidR="00423113" w:rsidRPr="00240AAD">
        <w:rPr>
          <w:rFonts w:ascii="Times New Roman" w:eastAsia="Calibri" w:hAnsi="Times New Roman" w:cs="Times New Roman"/>
          <w:i/>
          <w:sz w:val="24"/>
          <w:szCs w:val="24"/>
        </w:rPr>
        <w:t xml:space="preserve">iquid </w:t>
      </w:r>
      <w:r w:rsidR="00684226" w:rsidRPr="00240AAD">
        <w:rPr>
          <w:rFonts w:ascii="Times New Roman" w:eastAsia="Calibri" w:hAnsi="Times New Roman" w:cs="Times New Roman"/>
          <w:i/>
          <w:sz w:val="24"/>
          <w:szCs w:val="24"/>
        </w:rPr>
        <w:t>F</w:t>
      </w:r>
      <w:r w:rsidR="00423113" w:rsidRPr="00240AAD">
        <w:rPr>
          <w:rFonts w:ascii="Times New Roman" w:eastAsia="Calibri" w:hAnsi="Times New Roman" w:cs="Times New Roman"/>
          <w:i/>
          <w:sz w:val="24"/>
          <w:szCs w:val="24"/>
        </w:rPr>
        <w:t xml:space="preserve">uel </w:t>
      </w:r>
      <w:r w:rsidR="00684226" w:rsidRPr="00240AAD">
        <w:rPr>
          <w:rFonts w:ascii="Times New Roman" w:eastAsia="Calibri" w:hAnsi="Times New Roman" w:cs="Times New Roman"/>
          <w:i/>
          <w:sz w:val="24"/>
          <w:szCs w:val="24"/>
        </w:rPr>
        <w:t>E</w:t>
      </w:r>
      <w:r w:rsidR="00423113" w:rsidRPr="00240AAD">
        <w:rPr>
          <w:rFonts w:ascii="Times New Roman" w:eastAsia="Calibri" w:hAnsi="Times New Roman" w:cs="Times New Roman"/>
          <w:i/>
          <w:sz w:val="24"/>
          <w:szCs w:val="24"/>
        </w:rPr>
        <w:t>mergency</w:t>
      </w:r>
      <w:r w:rsidR="00684226" w:rsidRPr="00240AAD">
        <w:rPr>
          <w:rFonts w:ascii="Times New Roman" w:eastAsia="Calibri" w:hAnsi="Times New Roman" w:cs="Times New Roman"/>
          <w:i/>
          <w:sz w:val="24"/>
          <w:szCs w:val="24"/>
        </w:rPr>
        <w:t xml:space="preserve"> Act</w:t>
      </w:r>
      <w:r w:rsidR="00423113" w:rsidRPr="00240AAD">
        <w:rPr>
          <w:rFonts w:ascii="Times New Roman" w:eastAsia="Calibri" w:hAnsi="Times New Roman" w:cs="Times New Roman"/>
          <w:i/>
          <w:sz w:val="24"/>
          <w:szCs w:val="24"/>
        </w:rPr>
        <w:t xml:space="preserve"> 1984</w:t>
      </w:r>
      <w:r w:rsidR="00684226" w:rsidRPr="00C375D4">
        <w:rPr>
          <w:rFonts w:ascii="Times New Roman" w:eastAsia="Calibri" w:hAnsi="Times New Roman" w:cs="Times New Roman"/>
          <w:sz w:val="24"/>
          <w:szCs w:val="24"/>
        </w:rPr>
        <w:t>.</w:t>
      </w:r>
    </w:p>
    <w:p w14:paraId="4BDC8E14" w14:textId="137DBF09" w:rsidR="00045E56" w:rsidRDefault="00AB4DA9" w:rsidP="00AB4DA9">
      <w:pPr>
        <w:spacing w:before="240"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 xml:space="preserve">Importantly, the </w:t>
      </w:r>
      <w:r w:rsidR="00713D96">
        <w:rPr>
          <w:rFonts w:ascii="Times New Roman" w:eastAsia="Calibri" w:hAnsi="Times New Roman" w:cs="Times New Roman"/>
          <w:sz w:val="24"/>
          <w:szCs w:val="24"/>
        </w:rPr>
        <w:t>prescription</w:t>
      </w:r>
      <w:r>
        <w:rPr>
          <w:rFonts w:ascii="Times New Roman" w:eastAsia="Calibri" w:hAnsi="Times New Roman" w:cs="Times New Roman"/>
          <w:sz w:val="24"/>
          <w:szCs w:val="24"/>
        </w:rPr>
        <w:t xml:space="preserve"> of these </w:t>
      </w:r>
      <w:r w:rsidR="00045E56">
        <w:rPr>
          <w:rFonts w:ascii="Times New Roman" w:eastAsia="Calibri" w:hAnsi="Times New Roman" w:cs="Times New Roman"/>
          <w:sz w:val="24"/>
          <w:szCs w:val="24"/>
        </w:rPr>
        <w:t xml:space="preserve">Commonwealth and State and Territory </w:t>
      </w:r>
      <w:r>
        <w:rPr>
          <w:rFonts w:ascii="Times New Roman" w:eastAsia="Calibri" w:hAnsi="Times New Roman" w:cs="Times New Roman"/>
          <w:sz w:val="24"/>
          <w:szCs w:val="24"/>
        </w:rPr>
        <w:t xml:space="preserve">bodies does not guarantee them access to data collected under the </w:t>
      </w:r>
      <w:r w:rsidR="00045E56">
        <w:rPr>
          <w:rFonts w:ascii="Times New Roman" w:eastAsia="Calibri" w:hAnsi="Times New Roman" w:cs="Times New Roman"/>
          <w:sz w:val="24"/>
          <w:szCs w:val="24"/>
        </w:rPr>
        <w:t xml:space="preserve">POFR </w:t>
      </w:r>
      <w:r>
        <w:rPr>
          <w:rFonts w:ascii="Times New Roman" w:eastAsia="Calibri" w:hAnsi="Times New Roman" w:cs="Times New Roman"/>
          <w:sz w:val="24"/>
          <w:szCs w:val="24"/>
        </w:rPr>
        <w:t xml:space="preserve">Act. Information will only be shared where it is necessary to support the other agency in the exercise of its </w:t>
      </w:r>
      <w:r w:rsidR="00045E56">
        <w:rPr>
          <w:rFonts w:ascii="Times New Roman" w:eastAsia="Calibri" w:hAnsi="Times New Roman" w:cs="Times New Roman"/>
          <w:sz w:val="24"/>
          <w:szCs w:val="24"/>
        </w:rPr>
        <w:t xml:space="preserve">powers, </w:t>
      </w:r>
      <w:r>
        <w:rPr>
          <w:rFonts w:ascii="Times New Roman" w:eastAsia="Calibri" w:hAnsi="Times New Roman" w:cs="Times New Roman"/>
          <w:sz w:val="24"/>
          <w:szCs w:val="24"/>
        </w:rPr>
        <w:t>functions</w:t>
      </w:r>
      <w:r w:rsidR="00045E56">
        <w:rPr>
          <w:rFonts w:ascii="Times New Roman" w:eastAsia="Calibri" w:hAnsi="Times New Roman" w:cs="Times New Roman"/>
          <w:sz w:val="24"/>
          <w:szCs w:val="24"/>
        </w:rPr>
        <w:t xml:space="preserve"> or duties</w:t>
      </w:r>
      <w:r>
        <w:rPr>
          <w:rFonts w:ascii="Times New Roman" w:eastAsia="Calibri" w:hAnsi="Times New Roman" w:cs="Times New Roman"/>
          <w:sz w:val="24"/>
          <w:szCs w:val="24"/>
        </w:rPr>
        <w:t xml:space="preserve">, and the Secretary retains a discretion to determine whether or not particular information should be disclosed. Matters that the Secretary will consider in the exercise of this discretion include any commercial sensitivity with the information. </w:t>
      </w:r>
    </w:p>
    <w:p w14:paraId="28165349" w14:textId="0D744C87" w:rsidR="00AB4DA9" w:rsidRDefault="00AC4E2C" w:rsidP="00B141F0">
      <w:pPr>
        <w:spacing w:before="240"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The prescription of these Commonwealth and State and Territory bodies allows the Secretary to disclose information to them under subsections 2</w:t>
      </w:r>
      <w:r w:rsidR="00615326">
        <w:rPr>
          <w:rFonts w:ascii="Times New Roman" w:eastAsia="Calibri" w:hAnsi="Times New Roman" w:cs="Times New Roman"/>
          <w:sz w:val="24"/>
          <w:szCs w:val="24"/>
        </w:rPr>
        <w:t>4</w:t>
      </w:r>
      <w:r>
        <w:rPr>
          <w:rFonts w:ascii="Times New Roman" w:eastAsia="Calibri" w:hAnsi="Times New Roman" w:cs="Times New Roman"/>
          <w:sz w:val="24"/>
          <w:szCs w:val="24"/>
        </w:rPr>
        <w:t xml:space="preserve">(1) and (4) of the POFR Act. </w:t>
      </w:r>
      <w:r w:rsidR="00093A06">
        <w:rPr>
          <w:rFonts w:ascii="Times New Roman" w:eastAsia="Calibri" w:hAnsi="Times New Roman" w:cs="Times New Roman"/>
          <w:sz w:val="24"/>
          <w:szCs w:val="24"/>
        </w:rPr>
        <w:t>Subsection </w:t>
      </w:r>
      <w:r w:rsidR="00615326">
        <w:rPr>
          <w:rFonts w:ascii="Times New Roman" w:eastAsia="Calibri" w:hAnsi="Times New Roman" w:cs="Times New Roman"/>
          <w:sz w:val="24"/>
          <w:szCs w:val="24"/>
        </w:rPr>
        <w:t>24</w:t>
      </w:r>
      <w:r w:rsidR="00AB4DA9">
        <w:rPr>
          <w:rFonts w:ascii="Times New Roman" w:eastAsia="Calibri" w:hAnsi="Times New Roman" w:cs="Times New Roman"/>
          <w:sz w:val="24"/>
          <w:szCs w:val="24"/>
        </w:rPr>
        <w:t xml:space="preserve">(6) </w:t>
      </w:r>
      <w:r w:rsidR="00045E56">
        <w:rPr>
          <w:rFonts w:ascii="Times New Roman" w:eastAsia="Calibri" w:hAnsi="Times New Roman" w:cs="Times New Roman"/>
          <w:sz w:val="24"/>
          <w:szCs w:val="24"/>
        </w:rPr>
        <w:t xml:space="preserve">of the POFR Act also </w:t>
      </w:r>
      <w:r w:rsidR="00AB4DA9">
        <w:rPr>
          <w:rFonts w:ascii="Times New Roman" w:eastAsia="Calibri" w:hAnsi="Times New Roman" w:cs="Times New Roman"/>
          <w:sz w:val="24"/>
          <w:szCs w:val="24"/>
        </w:rPr>
        <w:t xml:space="preserve">allows </w:t>
      </w:r>
      <w:r>
        <w:rPr>
          <w:rFonts w:ascii="Times New Roman" w:eastAsia="Calibri" w:hAnsi="Times New Roman" w:cs="Times New Roman"/>
          <w:sz w:val="24"/>
          <w:szCs w:val="24"/>
        </w:rPr>
        <w:t>the Secretary to impose conditions</w:t>
      </w:r>
      <w:r w:rsidR="00AB4DA9">
        <w:rPr>
          <w:rFonts w:ascii="Times New Roman" w:eastAsia="Calibri" w:hAnsi="Times New Roman" w:cs="Times New Roman"/>
          <w:sz w:val="24"/>
          <w:szCs w:val="24"/>
        </w:rPr>
        <w:t xml:space="preserve"> in relation to data disclosed to these agencies (other than the ACCC</w:t>
      </w:r>
      <w:r w:rsidR="006A6772">
        <w:rPr>
          <w:rFonts w:ascii="Times New Roman" w:eastAsia="Calibri" w:hAnsi="Times New Roman" w:cs="Times New Roman"/>
          <w:sz w:val="24"/>
          <w:szCs w:val="24"/>
        </w:rPr>
        <w:t>,</w:t>
      </w:r>
      <w:r w:rsidR="00AB4DA9">
        <w:rPr>
          <w:rFonts w:ascii="Times New Roman" w:eastAsia="Calibri" w:hAnsi="Times New Roman" w:cs="Times New Roman"/>
          <w:sz w:val="24"/>
          <w:szCs w:val="24"/>
        </w:rPr>
        <w:t xml:space="preserve"> which is subject to its own secrecy arrangements, applied through </w:t>
      </w:r>
      <w:r w:rsidR="00093A06">
        <w:rPr>
          <w:rFonts w:ascii="Times New Roman" w:eastAsia="Calibri" w:hAnsi="Times New Roman" w:cs="Times New Roman"/>
          <w:sz w:val="24"/>
          <w:szCs w:val="24"/>
        </w:rPr>
        <w:t>sub</w:t>
      </w:r>
      <w:r w:rsidR="00AB4DA9">
        <w:rPr>
          <w:rFonts w:ascii="Times New Roman" w:eastAsia="Calibri" w:hAnsi="Times New Roman" w:cs="Times New Roman"/>
          <w:sz w:val="24"/>
          <w:szCs w:val="24"/>
        </w:rPr>
        <w:t xml:space="preserve">section 24(9) of the </w:t>
      </w:r>
      <w:r w:rsidR="00F03AD4">
        <w:rPr>
          <w:rFonts w:ascii="Times New Roman" w:eastAsia="Calibri" w:hAnsi="Times New Roman" w:cs="Times New Roman"/>
          <w:sz w:val="24"/>
          <w:szCs w:val="24"/>
        </w:rPr>
        <w:t xml:space="preserve">POFR </w:t>
      </w:r>
      <w:r w:rsidR="00AB4DA9">
        <w:rPr>
          <w:rFonts w:ascii="Times New Roman" w:eastAsia="Calibri" w:hAnsi="Times New Roman" w:cs="Times New Roman"/>
          <w:sz w:val="24"/>
          <w:szCs w:val="24"/>
        </w:rPr>
        <w:t>Act). The</w:t>
      </w:r>
      <w:r>
        <w:rPr>
          <w:rFonts w:ascii="Times New Roman" w:eastAsia="Calibri" w:hAnsi="Times New Roman" w:cs="Times New Roman"/>
          <w:sz w:val="24"/>
          <w:szCs w:val="24"/>
        </w:rPr>
        <w:t xml:space="preserve"> power to impose</w:t>
      </w:r>
      <w:r w:rsidR="00AB4DA9">
        <w:rPr>
          <w:rFonts w:ascii="Times New Roman" w:eastAsia="Calibri" w:hAnsi="Times New Roman" w:cs="Times New Roman"/>
          <w:sz w:val="24"/>
          <w:szCs w:val="24"/>
        </w:rPr>
        <w:t xml:space="preserve"> conditions </w:t>
      </w:r>
      <w:r>
        <w:rPr>
          <w:rFonts w:ascii="Times New Roman" w:eastAsia="Calibri" w:hAnsi="Times New Roman" w:cs="Times New Roman"/>
          <w:sz w:val="24"/>
          <w:szCs w:val="24"/>
        </w:rPr>
        <w:t xml:space="preserve">is </w:t>
      </w:r>
      <w:r w:rsidR="00AB4DA9">
        <w:rPr>
          <w:rFonts w:ascii="Times New Roman" w:eastAsia="Calibri" w:hAnsi="Times New Roman" w:cs="Times New Roman"/>
          <w:sz w:val="24"/>
          <w:szCs w:val="24"/>
        </w:rPr>
        <w:t>intended to be used to protect the information from further disclosures that may impact affected parties</w:t>
      </w:r>
      <w:r w:rsidR="00045E56">
        <w:rPr>
          <w:rFonts w:ascii="Times New Roman" w:eastAsia="Calibri" w:hAnsi="Times New Roman" w:cs="Times New Roman"/>
          <w:sz w:val="24"/>
          <w:szCs w:val="24"/>
        </w:rPr>
        <w:t>, and failure to comply with such conditions is an offence carrying a maximum penalty of imprisonment for 2 years (</w:t>
      </w:r>
      <w:r w:rsidR="00093A06">
        <w:rPr>
          <w:rFonts w:ascii="Times New Roman" w:eastAsia="Calibri" w:hAnsi="Times New Roman" w:cs="Times New Roman"/>
          <w:sz w:val="24"/>
          <w:szCs w:val="24"/>
        </w:rPr>
        <w:t>sub</w:t>
      </w:r>
      <w:r w:rsidR="00045E56">
        <w:rPr>
          <w:rFonts w:ascii="Times New Roman" w:eastAsia="Calibri" w:hAnsi="Times New Roman" w:cs="Times New Roman"/>
          <w:sz w:val="24"/>
          <w:szCs w:val="24"/>
        </w:rPr>
        <w:t xml:space="preserve">section 24(7) of the POFR Act). </w:t>
      </w:r>
      <w:r w:rsidR="00AB4DA9">
        <w:rPr>
          <w:rFonts w:ascii="Times New Roman" w:eastAsia="Calibri" w:hAnsi="Times New Roman" w:cs="Times New Roman"/>
          <w:sz w:val="24"/>
          <w:szCs w:val="24"/>
        </w:rPr>
        <w:t xml:space="preserve">Relevant obligations under the </w:t>
      </w:r>
      <w:r w:rsidR="00AB4DA9" w:rsidRPr="005D2DD4">
        <w:rPr>
          <w:rFonts w:ascii="Times New Roman" w:eastAsia="Calibri" w:hAnsi="Times New Roman" w:cs="Times New Roman"/>
          <w:i/>
          <w:sz w:val="24"/>
          <w:szCs w:val="24"/>
        </w:rPr>
        <w:t>Privacy Act 1988</w:t>
      </w:r>
      <w:r w:rsidR="00AB4DA9">
        <w:rPr>
          <w:rFonts w:ascii="Times New Roman" w:eastAsia="Calibri" w:hAnsi="Times New Roman" w:cs="Times New Roman"/>
          <w:sz w:val="24"/>
          <w:szCs w:val="24"/>
        </w:rPr>
        <w:t xml:space="preserve"> continue to apply.</w:t>
      </w:r>
    </w:p>
    <w:p w14:paraId="1B110FEB" w14:textId="77777777" w:rsidR="008D4318" w:rsidRDefault="008D431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F25DD27" w14:textId="74CD550A" w:rsidR="006A54CB" w:rsidRPr="00240AAD" w:rsidRDefault="006A54CB" w:rsidP="00240AAD">
      <w:pPr>
        <w:shd w:val="clear" w:color="auto" w:fill="FFFFFF"/>
        <w:spacing w:before="360" w:after="120" w:line="253" w:lineRule="atLeast"/>
        <w:jc w:val="right"/>
        <w:rPr>
          <w:rFonts w:ascii="Times New Roman" w:hAnsi="Times New Roman" w:cs="Times New Roman"/>
          <w:b/>
          <w:bCs/>
          <w:color w:val="000000"/>
          <w:sz w:val="24"/>
          <w:szCs w:val="24"/>
        </w:rPr>
      </w:pPr>
      <w:r w:rsidRPr="00240AAD">
        <w:rPr>
          <w:rFonts w:ascii="Times New Roman" w:hAnsi="Times New Roman" w:cs="Times New Roman"/>
          <w:b/>
          <w:bCs/>
          <w:color w:val="000000"/>
          <w:sz w:val="24"/>
          <w:szCs w:val="24"/>
        </w:rPr>
        <w:t xml:space="preserve">Attachment </w:t>
      </w:r>
      <w:r w:rsidR="00AB4DA9">
        <w:rPr>
          <w:rFonts w:ascii="Times New Roman" w:hAnsi="Times New Roman" w:cs="Times New Roman"/>
          <w:b/>
          <w:bCs/>
          <w:color w:val="000000"/>
          <w:sz w:val="24"/>
          <w:szCs w:val="24"/>
        </w:rPr>
        <w:t>B</w:t>
      </w:r>
    </w:p>
    <w:p w14:paraId="089F3355" w14:textId="77777777" w:rsidR="008D4318" w:rsidRPr="008D4318" w:rsidRDefault="008D4318" w:rsidP="008D4318">
      <w:pPr>
        <w:shd w:val="clear" w:color="auto" w:fill="FFFFFF"/>
        <w:spacing w:before="360" w:after="120" w:line="253" w:lineRule="atLeast"/>
        <w:jc w:val="center"/>
        <w:rPr>
          <w:rFonts w:ascii="Times New Roman" w:hAnsi="Times New Roman" w:cs="Times New Roman"/>
          <w:color w:val="000000"/>
        </w:rPr>
      </w:pPr>
      <w:r w:rsidRPr="008D4318">
        <w:rPr>
          <w:rFonts w:ascii="Times New Roman" w:hAnsi="Times New Roman" w:cs="Times New Roman"/>
          <w:b/>
          <w:bCs/>
          <w:color w:val="000000"/>
          <w:sz w:val="28"/>
          <w:szCs w:val="28"/>
        </w:rPr>
        <w:t>Statement of Compatibility with Human Rights</w:t>
      </w:r>
    </w:p>
    <w:p w14:paraId="5E80F554" w14:textId="48A9AA4A" w:rsidR="008D4318" w:rsidRPr="0074271B" w:rsidRDefault="008D4318" w:rsidP="008F2980">
      <w:pPr>
        <w:shd w:val="clear" w:color="auto" w:fill="FFFFFF"/>
        <w:spacing w:before="240" w:after="240" w:line="253" w:lineRule="atLeast"/>
        <w:jc w:val="center"/>
        <w:rPr>
          <w:rFonts w:ascii="Times New Roman" w:hAnsi="Times New Roman" w:cs="Times New Roman"/>
          <w:color w:val="000000"/>
          <w:sz w:val="24"/>
          <w:szCs w:val="24"/>
        </w:rPr>
      </w:pPr>
      <w:r w:rsidRPr="0074271B">
        <w:rPr>
          <w:rFonts w:ascii="Times New Roman" w:hAnsi="Times New Roman" w:cs="Times New Roman"/>
          <w:color w:val="000000"/>
          <w:sz w:val="24"/>
          <w:szCs w:val="24"/>
        </w:rPr>
        <w:t>Prepared in accordance with</w:t>
      </w:r>
      <w:r w:rsidRPr="0074271B">
        <w:rPr>
          <w:rFonts w:ascii="Times New Roman" w:hAnsi="Times New Roman" w:cs="Times New Roman"/>
          <w:i/>
          <w:iCs/>
          <w:color w:val="000000"/>
          <w:sz w:val="24"/>
          <w:szCs w:val="24"/>
        </w:rPr>
        <w:t> </w:t>
      </w:r>
      <w:r w:rsidRPr="0074271B">
        <w:rPr>
          <w:rFonts w:ascii="Times New Roman" w:hAnsi="Times New Roman" w:cs="Times New Roman"/>
          <w:color w:val="000000"/>
          <w:sz w:val="24"/>
          <w:szCs w:val="24"/>
        </w:rPr>
        <w:t>Part 3 of the</w:t>
      </w:r>
      <w:r w:rsidRPr="0074271B">
        <w:rPr>
          <w:rFonts w:ascii="Times New Roman" w:hAnsi="Times New Roman" w:cs="Times New Roman"/>
          <w:i/>
          <w:iCs/>
          <w:color w:val="000000"/>
          <w:sz w:val="24"/>
          <w:szCs w:val="24"/>
        </w:rPr>
        <w:t> Human Rights (Parliamentary Scrutiny) Act 2011</w:t>
      </w:r>
      <w:r w:rsidR="0074271B" w:rsidRPr="0074271B">
        <w:rPr>
          <w:rFonts w:ascii="Times New Roman" w:hAnsi="Times New Roman" w:cs="Times New Roman"/>
          <w:i/>
          <w:iCs/>
          <w:color w:val="000000"/>
          <w:sz w:val="24"/>
          <w:szCs w:val="24"/>
        </w:rPr>
        <w:t>.</w:t>
      </w:r>
    </w:p>
    <w:p w14:paraId="1450933A" w14:textId="3AC0CA27" w:rsidR="008D4318" w:rsidRPr="0074271B" w:rsidRDefault="00371E9E" w:rsidP="008F2980">
      <w:pPr>
        <w:shd w:val="clear" w:color="auto" w:fill="FFFFFF"/>
        <w:spacing w:before="240" w:after="240" w:line="253" w:lineRule="atLeast"/>
        <w:jc w:val="center"/>
        <w:rPr>
          <w:rFonts w:ascii="Times New Roman" w:hAnsi="Times New Roman" w:cs="Times New Roman"/>
          <w:color w:val="000000"/>
          <w:sz w:val="24"/>
          <w:szCs w:val="24"/>
        </w:rPr>
      </w:pPr>
      <w:r w:rsidRPr="00371E9E">
        <w:rPr>
          <w:rFonts w:ascii="Times New Roman" w:hAnsi="Times New Roman" w:cs="Times New Roman"/>
          <w:i/>
          <w:iCs/>
          <w:color w:val="000000"/>
          <w:sz w:val="24"/>
          <w:szCs w:val="24"/>
        </w:rPr>
        <w:t>Petroleum and Other Fuels Reporting Amendment (Protected Information) Rules 2022</w:t>
      </w:r>
      <w:r w:rsidR="0074271B" w:rsidRPr="0074271B">
        <w:rPr>
          <w:rFonts w:ascii="Times New Roman" w:hAnsi="Times New Roman" w:cs="Times New Roman"/>
          <w:i/>
          <w:iCs/>
          <w:color w:val="000000"/>
          <w:sz w:val="24"/>
          <w:szCs w:val="24"/>
        </w:rPr>
        <w:t>.</w:t>
      </w:r>
    </w:p>
    <w:p w14:paraId="722CC746" w14:textId="2876BD65" w:rsidR="008D4318" w:rsidRPr="0074271B" w:rsidRDefault="00320DC1" w:rsidP="008D4318">
      <w:pPr>
        <w:shd w:val="clear" w:color="auto" w:fill="FFFFFF"/>
        <w:spacing w:before="240" w:after="240" w:line="253" w:lineRule="atLeast"/>
        <w:rPr>
          <w:rFonts w:ascii="Times New Roman" w:hAnsi="Times New Roman" w:cs="Times New Roman"/>
          <w:color w:val="000000"/>
          <w:sz w:val="24"/>
          <w:szCs w:val="24"/>
        </w:rPr>
      </w:pPr>
      <w:r>
        <w:rPr>
          <w:rFonts w:ascii="Times New Roman" w:hAnsi="Times New Roman" w:cs="Times New Roman"/>
          <w:color w:val="000000"/>
          <w:sz w:val="24"/>
          <w:szCs w:val="24"/>
        </w:rPr>
        <w:t>These</w:t>
      </w:r>
      <w:r w:rsidR="008D4318" w:rsidRPr="0074271B">
        <w:rPr>
          <w:rFonts w:ascii="Times New Roman" w:hAnsi="Times New Roman" w:cs="Times New Roman"/>
          <w:color w:val="000000"/>
          <w:sz w:val="24"/>
          <w:szCs w:val="24"/>
        </w:rPr>
        <w:t xml:space="preserve"> Rule</w:t>
      </w:r>
      <w:r>
        <w:rPr>
          <w:rFonts w:ascii="Times New Roman" w:hAnsi="Times New Roman" w:cs="Times New Roman"/>
          <w:color w:val="000000"/>
          <w:sz w:val="24"/>
          <w:szCs w:val="24"/>
        </w:rPr>
        <w:t>s</w:t>
      </w:r>
      <w:r w:rsidR="008D4318" w:rsidRPr="00742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w:t>
      </w:r>
      <w:r w:rsidR="008D4318" w:rsidRPr="0074271B">
        <w:rPr>
          <w:rFonts w:ascii="Times New Roman" w:hAnsi="Times New Roman" w:cs="Times New Roman"/>
          <w:color w:val="000000"/>
          <w:sz w:val="24"/>
          <w:szCs w:val="24"/>
        </w:rPr>
        <w:t xml:space="preserve"> compatible with the human rights and freedoms recognised or declared in the international instruments listed in section 3 of the </w:t>
      </w:r>
      <w:r w:rsidR="008D4318" w:rsidRPr="0074271B">
        <w:rPr>
          <w:rFonts w:ascii="Times New Roman" w:hAnsi="Times New Roman" w:cs="Times New Roman"/>
          <w:i/>
          <w:iCs/>
          <w:color w:val="000000"/>
          <w:sz w:val="24"/>
          <w:szCs w:val="24"/>
        </w:rPr>
        <w:t>Human Rights (Parliamentary Scrutiny) Act 2011</w:t>
      </w:r>
      <w:r w:rsidR="008D4318" w:rsidRPr="0074271B">
        <w:rPr>
          <w:rFonts w:ascii="Times New Roman" w:hAnsi="Times New Roman" w:cs="Times New Roman"/>
          <w:color w:val="000000"/>
          <w:sz w:val="24"/>
          <w:szCs w:val="24"/>
        </w:rPr>
        <w:t>.</w:t>
      </w:r>
    </w:p>
    <w:p w14:paraId="3AE5B2E7" w14:textId="77777777" w:rsidR="008D4318" w:rsidRPr="0074271B" w:rsidRDefault="008D4318" w:rsidP="008D4318">
      <w:pPr>
        <w:shd w:val="clear" w:color="auto" w:fill="FFFFFF"/>
        <w:spacing w:before="240" w:line="253" w:lineRule="atLeast"/>
        <w:jc w:val="both"/>
        <w:rPr>
          <w:rFonts w:ascii="Times New Roman" w:hAnsi="Times New Roman" w:cs="Times New Roman"/>
          <w:color w:val="000000"/>
          <w:sz w:val="24"/>
          <w:szCs w:val="24"/>
        </w:rPr>
      </w:pPr>
      <w:r w:rsidRPr="0074271B">
        <w:rPr>
          <w:rFonts w:ascii="Times New Roman" w:hAnsi="Times New Roman" w:cs="Times New Roman"/>
          <w:b/>
          <w:bCs/>
          <w:color w:val="000000"/>
          <w:sz w:val="24"/>
          <w:szCs w:val="24"/>
        </w:rPr>
        <w:t>Overview of the Legislative Instrument</w:t>
      </w:r>
    </w:p>
    <w:p w14:paraId="285B3BF1" w14:textId="6F32070D" w:rsidR="00713D96" w:rsidRDefault="00713D96" w:rsidP="00713D96">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The </w:t>
      </w:r>
      <w:r w:rsidRPr="003B24D3">
        <w:rPr>
          <w:rFonts w:ascii="Times New Roman" w:eastAsia="Calibri" w:hAnsi="Times New Roman" w:cs="Times New Roman"/>
          <w:i/>
          <w:sz w:val="24"/>
          <w:szCs w:val="24"/>
        </w:rPr>
        <w:t xml:space="preserve">Petroleum and Other Fuels Reporting Amendment (Protected Information) Rules 2022 </w:t>
      </w:r>
      <w:r w:rsidRPr="000611C3">
        <w:rPr>
          <w:rFonts w:ascii="Times New Roman" w:eastAsia="Calibri" w:hAnsi="Times New Roman" w:cs="Times New Roman"/>
          <w:sz w:val="24"/>
          <w:szCs w:val="24"/>
        </w:rPr>
        <w:t>(the Rule</w:t>
      </w:r>
      <w:r>
        <w:rPr>
          <w:rFonts w:ascii="Times New Roman" w:eastAsia="Calibri" w:hAnsi="Times New Roman" w:cs="Times New Roman"/>
          <w:sz w:val="24"/>
          <w:szCs w:val="24"/>
        </w:rPr>
        <w:t>s</w:t>
      </w:r>
      <w:r w:rsidRPr="000611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amend the </w:t>
      </w:r>
      <w:r w:rsidRPr="0037380B">
        <w:rPr>
          <w:rFonts w:ascii="Times New Roman" w:eastAsia="Calibri" w:hAnsi="Times New Roman" w:cs="Times New Roman"/>
          <w:i/>
          <w:sz w:val="24"/>
          <w:szCs w:val="24"/>
        </w:rPr>
        <w:t>Petroleum and Other Fuels Reporting Rules 2017</w:t>
      </w:r>
      <w:r>
        <w:rPr>
          <w:rFonts w:ascii="Times New Roman" w:eastAsia="Calibri" w:hAnsi="Times New Roman" w:cs="Times New Roman"/>
          <w:sz w:val="24"/>
          <w:szCs w:val="24"/>
        </w:rPr>
        <w:t xml:space="preserve"> (the principal POFR Rules) by inserting</w:t>
      </w:r>
      <w:r w:rsidRPr="003B24D3">
        <w:t xml:space="preserve"> </w:t>
      </w:r>
      <w:r>
        <w:t>p</w:t>
      </w:r>
      <w:r w:rsidRPr="003B24D3">
        <w:rPr>
          <w:rFonts w:ascii="Times New Roman" w:eastAsia="Calibri" w:hAnsi="Times New Roman" w:cs="Times New Roman"/>
          <w:sz w:val="24"/>
          <w:szCs w:val="24"/>
        </w:rPr>
        <w:t xml:space="preserve">rovisions </w:t>
      </w:r>
      <w:r>
        <w:rPr>
          <w:rFonts w:ascii="Times New Roman" w:eastAsia="Calibri" w:hAnsi="Times New Roman" w:cs="Times New Roman"/>
          <w:sz w:val="24"/>
          <w:szCs w:val="24"/>
        </w:rPr>
        <w:t>which expand</w:t>
      </w:r>
      <w:r w:rsidRPr="003B24D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classes of government agencies to </w:t>
      </w:r>
      <w:r w:rsidR="003C20DF">
        <w:rPr>
          <w:rFonts w:ascii="Times New Roman" w:eastAsia="Calibri" w:hAnsi="Times New Roman" w:cs="Times New Roman"/>
          <w:sz w:val="24"/>
          <w:szCs w:val="24"/>
        </w:rPr>
        <w:t>which</w:t>
      </w:r>
      <w:r>
        <w:rPr>
          <w:rFonts w:ascii="Times New Roman" w:eastAsia="Calibri" w:hAnsi="Times New Roman" w:cs="Times New Roman"/>
          <w:sz w:val="24"/>
          <w:szCs w:val="24"/>
        </w:rPr>
        <w:t xml:space="preserve"> the Secretary to the Department may </w:t>
      </w:r>
      <w:r w:rsidRPr="003B24D3">
        <w:rPr>
          <w:rFonts w:ascii="Times New Roman" w:eastAsia="Calibri" w:hAnsi="Times New Roman" w:cs="Times New Roman"/>
          <w:sz w:val="24"/>
          <w:szCs w:val="24"/>
        </w:rPr>
        <w:t xml:space="preserve">disclose </w:t>
      </w:r>
      <w:r>
        <w:rPr>
          <w:rFonts w:ascii="Times New Roman" w:eastAsia="Calibri" w:hAnsi="Times New Roman" w:cs="Times New Roman"/>
          <w:sz w:val="24"/>
          <w:szCs w:val="24"/>
        </w:rPr>
        <w:t xml:space="preserve">“protected </w:t>
      </w:r>
      <w:r w:rsidRPr="003B24D3">
        <w:rPr>
          <w:rFonts w:ascii="Times New Roman" w:eastAsia="Calibri" w:hAnsi="Times New Roman" w:cs="Times New Roman"/>
          <w:sz w:val="24"/>
          <w:szCs w:val="24"/>
        </w:rPr>
        <w:t>information</w:t>
      </w:r>
      <w:r>
        <w:rPr>
          <w:rFonts w:ascii="Times New Roman" w:eastAsia="Calibri" w:hAnsi="Times New Roman" w:cs="Times New Roman"/>
          <w:sz w:val="24"/>
          <w:szCs w:val="24"/>
        </w:rPr>
        <w:t xml:space="preserve">”. It does so by prescribing a limited subset of </w:t>
      </w:r>
      <w:r w:rsidRPr="003B24D3">
        <w:rPr>
          <w:rFonts w:ascii="Times New Roman" w:eastAsia="Calibri" w:hAnsi="Times New Roman" w:cs="Times New Roman"/>
          <w:sz w:val="24"/>
          <w:szCs w:val="24"/>
        </w:rPr>
        <w:t>Commonwealth and State or Territory agencies</w:t>
      </w:r>
      <w:r>
        <w:rPr>
          <w:rFonts w:ascii="Times New Roman" w:eastAsia="Calibri" w:hAnsi="Times New Roman" w:cs="Times New Roman"/>
          <w:sz w:val="24"/>
          <w:szCs w:val="24"/>
        </w:rPr>
        <w:t xml:space="preserve">, </w:t>
      </w:r>
      <w:r w:rsidR="003C20DF">
        <w:rPr>
          <w:rFonts w:ascii="Times New Roman" w:eastAsia="Calibri" w:hAnsi="Times New Roman" w:cs="Times New Roman"/>
          <w:sz w:val="24"/>
          <w:szCs w:val="24"/>
        </w:rPr>
        <w:t>officials of which</w:t>
      </w:r>
      <w:r>
        <w:rPr>
          <w:rFonts w:ascii="Times New Roman" w:eastAsia="Calibri" w:hAnsi="Times New Roman" w:cs="Times New Roman"/>
          <w:sz w:val="24"/>
          <w:szCs w:val="24"/>
        </w:rPr>
        <w:t xml:space="preserve"> exercise powers, or perform functions and duties, related to liquid fuels and/or emergency management. </w:t>
      </w:r>
    </w:p>
    <w:p w14:paraId="1BF57F6A" w14:textId="77777777" w:rsidR="00F04700" w:rsidRDefault="00F04700" w:rsidP="00F04700">
      <w:pPr>
        <w:spacing w:before="120" w:after="120" w:line="276" w:lineRule="auto"/>
        <w:rPr>
          <w:rFonts w:ascii="Times New Roman" w:eastAsia="Calibri" w:hAnsi="Times New Roman" w:cs="Times New Roman"/>
          <w:sz w:val="24"/>
          <w:szCs w:val="24"/>
        </w:rPr>
      </w:pPr>
      <w:r w:rsidRPr="00F03851">
        <w:rPr>
          <w:rFonts w:ascii="Times New Roman" w:eastAsia="Calibri" w:hAnsi="Times New Roman" w:cs="Times New Roman"/>
          <w:sz w:val="24"/>
          <w:szCs w:val="24"/>
        </w:rPr>
        <w:t xml:space="preserve">Importantly, this includes </w:t>
      </w:r>
    </w:p>
    <w:p w14:paraId="3425D143" w14:textId="77777777" w:rsidR="00F04700" w:rsidRPr="00B06152" w:rsidRDefault="00F04700" w:rsidP="00F04700">
      <w:pPr>
        <w:pStyle w:val="ListParagraph"/>
        <w:numPr>
          <w:ilvl w:val="0"/>
          <w:numId w:val="46"/>
        </w:numPr>
        <w:spacing w:before="120" w:after="120"/>
        <w:rPr>
          <w:rFonts w:ascii="Times New Roman" w:eastAsia="Calibri" w:hAnsi="Times New Roman" w:cs="Times New Roman"/>
          <w:sz w:val="24"/>
          <w:szCs w:val="24"/>
        </w:rPr>
      </w:pPr>
      <w:r w:rsidRPr="00B06152">
        <w:rPr>
          <w:rFonts w:ascii="Times New Roman" w:eastAsia="Calibri" w:hAnsi="Times New Roman" w:cs="Times New Roman"/>
          <w:sz w:val="24"/>
          <w:szCs w:val="24"/>
        </w:rPr>
        <w:t xml:space="preserve">the newly created Commonwealth Department of Climate Change, Energy, the Environment and Water (DCCEEW), which is currently (from 1 July 2022) responsible for administering the </w:t>
      </w:r>
      <w:r w:rsidRPr="00B06152">
        <w:rPr>
          <w:rFonts w:ascii="Times New Roman" w:eastAsia="Calibri" w:hAnsi="Times New Roman" w:cs="Times New Roman"/>
          <w:i/>
          <w:sz w:val="24"/>
          <w:szCs w:val="24"/>
        </w:rPr>
        <w:t>Petroleum and Other Fuels Reporting Act 2017</w:t>
      </w:r>
      <w:r w:rsidRPr="00B06152">
        <w:rPr>
          <w:rFonts w:ascii="Times New Roman" w:eastAsia="Calibri" w:hAnsi="Times New Roman" w:cs="Times New Roman"/>
          <w:sz w:val="24"/>
          <w:szCs w:val="24"/>
        </w:rPr>
        <w:t xml:space="preserve"> (the POFR Act); and</w:t>
      </w:r>
    </w:p>
    <w:p w14:paraId="29D9C352" w14:textId="17BCD52D" w:rsidR="00F04700" w:rsidRPr="00AD23F8" w:rsidRDefault="00F04700" w:rsidP="00AD23F8">
      <w:pPr>
        <w:pStyle w:val="ListParagraph"/>
        <w:numPr>
          <w:ilvl w:val="0"/>
          <w:numId w:val="46"/>
        </w:numPr>
        <w:spacing w:before="120" w:after="120"/>
        <w:rPr>
          <w:rFonts w:ascii="Times New Roman" w:eastAsia="Calibri" w:hAnsi="Times New Roman" w:cs="Times New Roman"/>
          <w:sz w:val="24"/>
          <w:szCs w:val="24"/>
        </w:rPr>
      </w:pPr>
      <w:r w:rsidRPr="00AD23F8">
        <w:rPr>
          <w:rFonts w:ascii="Times New Roman" w:eastAsia="Calibri" w:hAnsi="Times New Roman" w:cs="Times New Roman"/>
          <w:sz w:val="24"/>
          <w:szCs w:val="24"/>
        </w:rPr>
        <w:t xml:space="preserve">the Commonwealth Department of Industry, Science and Resources (DISR), which is responsible for administering a range of other Commonwealth </w:t>
      </w:r>
      <w:r w:rsidR="00AD23F8" w:rsidRPr="00AD23F8">
        <w:rPr>
          <w:rFonts w:ascii="Times New Roman" w:eastAsia="Calibri" w:hAnsi="Times New Roman" w:cs="Times New Roman"/>
          <w:sz w:val="24"/>
          <w:szCs w:val="24"/>
        </w:rPr>
        <w:t>laws related to liquid fuels</w:t>
      </w:r>
      <w:r w:rsidRPr="00AD23F8">
        <w:rPr>
          <w:rFonts w:ascii="Times New Roman" w:eastAsia="Calibri" w:hAnsi="Times New Roman" w:cs="Times New Roman"/>
          <w:sz w:val="24"/>
          <w:szCs w:val="24"/>
        </w:rPr>
        <w:t xml:space="preserve">. </w:t>
      </w:r>
    </w:p>
    <w:p w14:paraId="2226DB4F" w14:textId="5A623A69" w:rsidR="00F04700" w:rsidRDefault="00F04700" w:rsidP="00F04700">
      <w:pPr>
        <w:spacing w:before="120" w:after="12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It also includes State and Territory agencies with equivalent functions, and other </w:t>
      </w:r>
      <w:r w:rsidR="00615326">
        <w:rPr>
          <w:rFonts w:ascii="Times New Roman" w:eastAsia="Calibri" w:hAnsi="Times New Roman" w:cs="Times New Roman"/>
          <w:sz w:val="24"/>
          <w:szCs w:val="24"/>
        </w:rPr>
        <w:t xml:space="preserve">Commonwealth </w:t>
      </w:r>
      <w:r>
        <w:rPr>
          <w:rFonts w:ascii="Times New Roman" w:eastAsia="Calibri" w:hAnsi="Times New Roman" w:cs="Times New Roman"/>
          <w:sz w:val="24"/>
          <w:szCs w:val="24"/>
        </w:rPr>
        <w:t>agencies that have responsibilities relating to responding to liquid fuel and/or national emergencies, and managing critical liquid fuel infrastructure. Prescribing such agencies is intended to enhance the Commonwealth Government’s ability to mitigate and manage a significant disruption or threat to Australia’s liquid fuel supply chain.</w:t>
      </w:r>
    </w:p>
    <w:p w14:paraId="4E55D62E" w14:textId="4743E279" w:rsidR="008D4318" w:rsidRPr="0074271B" w:rsidRDefault="008D4318" w:rsidP="008D4318">
      <w:pPr>
        <w:shd w:val="clear" w:color="auto" w:fill="FFFFFF"/>
        <w:spacing w:before="240" w:line="253" w:lineRule="atLeast"/>
        <w:rPr>
          <w:rFonts w:ascii="Times New Roman" w:hAnsi="Times New Roman" w:cs="Times New Roman"/>
          <w:color w:val="000000"/>
          <w:sz w:val="24"/>
          <w:szCs w:val="24"/>
        </w:rPr>
      </w:pPr>
      <w:r w:rsidRPr="0074271B">
        <w:rPr>
          <w:rFonts w:ascii="Times New Roman" w:hAnsi="Times New Roman" w:cs="Times New Roman"/>
          <w:b/>
          <w:bCs/>
          <w:color w:val="000000"/>
          <w:sz w:val="24"/>
          <w:szCs w:val="24"/>
        </w:rPr>
        <w:t>Human rights implications</w:t>
      </w:r>
    </w:p>
    <w:p w14:paraId="73319BFB" w14:textId="77777777" w:rsidR="00CC425F" w:rsidRPr="0074271B" w:rsidRDefault="00CC425F" w:rsidP="00CC425F">
      <w:pPr>
        <w:shd w:val="clear" w:color="auto" w:fill="FFFFFF"/>
        <w:spacing w:after="120" w:line="273"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These</w:t>
      </w:r>
      <w:r w:rsidRPr="0074271B">
        <w:rPr>
          <w:rFonts w:ascii="Times New Roman" w:hAnsi="Times New Roman" w:cs="Times New Roman"/>
          <w:color w:val="000000"/>
          <w:sz w:val="24"/>
          <w:szCs w:val="24"/>
        </w:rPr>
        <w:t xml:space="preserve"> Rule</w:t>
      </w:r>
      <w:r>
        <w:rPr>
          <w:rFonts w:ascii="Times New Roman" w:hAnsi="Times New Roman" w:cs="Times New Roman"/>
          <w:color w:val="000000"/>
          <w:sz w:val="24"/>
          <w:szCs w:val="24"/>
        </w:rPr>
        <w:t>s engage</w:t>
      </w:r>
      <w:r w:rsidRPr="0074271B">
        <w:rPr>
          <w:rFonts w:ascii="Times New Roman" w:hAnsi="Times New Roman" w:cs="Times New Roman"/>
          <w:color w:val="000000"/>
          <w:sz w:val="24"/>
          <w:szCs w:val="24"/>
        </w:rPr>
        <w:t>, or may engage, the following rights:</w:t>
      </w:r>
    </w:p>
    <w:p w14:paraId="5139E7D1" w14:textId="77777777" w:rsidR="00CC425F" w:rsidRPr="00093A06" w:rsidRDefault="00CC425F" w:rsidP="00093A06">
      <w:pPr>
        <w:pStyle w:val="ListParagraph"/>
        <w:numPr>
          <w:ilvl w:val="0"/>
          <w:numId w:val="47"/>
        </w:numPr>
        <w:shd w:val="clear" w:color="auto" w:fill="FFFFFF"/>
        <w:spacing w:before="19" w:line="317" w:lineRule="atLeast"/>
        <w:ind w:right="432"/>
        <w:textAlignment w:val="baseline"/>
        <w:rPr>
          <w:rFonts w:ascii="Times New Roman" w:hAnsi="Times New Roman" w:cs="Times New Roman"/>
          <w:color w:val="000000"/>
          <w:sz w:val="24"/>
          <w:szCs w:val="24"/>
        </w:rPr>
      </w:pPr>
      <w:r w:rsidRPr="00093A06">
        <w:rPr>
          <w:rFonts w:ascii="Times New Roman" w:hAnsi="Times New Roman" w:cs="Times New Roman"/>
          <w:color w:val="000000"/>
          <w:sz w:val="24"/>
          <w:szCs w:val="24"/>
        </w:rPr>
        <w:t>the right to privacy – Article 17 of the International Covenant on Civil and Political Rights (ICCPR)</w:t>
      </w:r>
    </w:p>
    <w:p w14:paraId="357F0BAD" w14:textId="77777777" w:rsidR="00CC425F" w:rsidRPr="00093A06" w:rsidRDefault="00CC425F" w:rsidP="00093A06">
      <w:pPr>
        <w:pStyle w:val="ListParagraph"/>
        <w:numPr>
          <w:ilvl w:val="0"/>
          <w:numId w:val="47"/>
        </w:numPr>
        <w:shd w:val="clear" w:color="auto" w:fill="FFFFFF"/>
        <w:spacing w:before="19" w:line="317" w:lineRule="atLeast"/>
        <w:ind w:right="432"/>
        <w:textAlignment w:val="baseline"/>
        <w:rPr>
          <w:rFonts w:ascii="Times New Roman" w:hAnsi="Times New Roman" w:cs="Times New Roman"/>
          <w:color w:val="000000"/>
          <w:sz w:val="24"/>
          <w:szCs w:val="24"/>
        </w:rPr>
      </w:pPr>
      <w:r w:rsidRPr="00093A06">
        <w:rPr>
          <w:rFonts w:ascii="Times New Roman" w:hAnsi="Times New Roman" w:cs="Times New Roman"/>
          <w:color w:val="000000"/>
          <w:sz w:val="24"/>
          <w:szCs w:val="24"/>
        </w:rPr>
        <w:t>the right to freedom of expression – Article 19 of the ICCPR</w:t>
      </w:r>
    </w:p>
    <w:p w14:paraId="65EFC203" w14:textId="77777777" w:rsidR="00CC425F" w:rsidRPr="00093A06" w:rsidRDefault="00CC425F" w:rsidP="00093A06">
      <w:pPr>
        <w:pStyle w:val="ListParagraph"/>
        <w:numPr>
          <w:ilvl w:val="0"/>
          <w:numId w:val="47"/>
        </w:numPr>
        <w:shd w:val="clear" w:color="auto" w:fill="FFFFFF"/>
        <w:spacing w:before="19" w:line="317" w:lineRule="atLeast"/>
        <w:ind w:right="432"/>
        <w:textAlignment w:val="baseline"/>
        <w:rPr>
          <w:rFonts w:ascii="Times New Roman" w:hAnsi="Times New Roman" w:cs="Times New Roman"/>
          <w:color w:val="000000"/>
          <w:sz w:val="24"/>
          <w:szCs w:val="24"/>
        </w:rPr>
      </w:pPr>
      <w:r w:rsidRPr="00093A06">
        <w:rPr>
          <w:rFonts w:ascii="Times New Roman" w:hAnsi="Times New Roman" w:cs="Times New Roman"/>
          <w:color w:val="000000"/>
          <w:sz w:val="24"/>
          <w:szCs w:val="24"/>
        </w:rPr>
        <w:t>the right not to incriminate oneself – Article 14(3)(g) of the ICCPR.</w:t>
      </w:r>
    </w:p>
    <w:p w14:paraId="14DCFDCC" w14:textId="424AE87A" w:rsidR="008D4318" w:rsidRPr="0074271B" w:rsidRDefault="008D4318" w:rsidP="003C20DF">
      <w:pPr>
        <w:keepNext/>
        <w:shd w:val="clear" w:color="auto" w:fill="FFFFFF"/>
        <w:spacing w:before="3" w:line="274" w:lineRule="atLeast"/>
        <w:textAlignment w:val="baseline"/>
        <w:rPr>
          <w:rFonts w:ascii="Times New Roman" w:hAnsi="Times New Roman" w:cs="Times New Roman"/>
          <w:color w:val="000000"/>
          <w:sz w:val="24"/>
          <w:szCs w:val="24"/>
        </w:rPr>
      </w:pPr>
      <w:r w:rsidRPr="0074271B">
        <w:rPr>
          <w:rFonts w:ascii="Times New Roman" w:hAnsi="Times New Roman" w:cs="Times New Roman"/>
          <w:b/>
          <w:bCs/>
          <w:color w:val="000000"/>
          <w:sz w:val="24"/>
          <w:szCs w:val="24"/>
        </w:rPr>
        <w:t>The Rule</w:t>
      </w:r>
      <w:r w:rsidR="0074271B">
        <w:rPr>
          <w:rFonts w:ascii="Times New Roman" w:hAnsi="Times New Roman" w:cs="Times New Roman"/>
          <w:b/>
          <w:bCs/>
          <w:color w:val="000000"/>
          <w:sz w:val="24"/>
          <w:szCs w:val="24"/>
        </w:rPr>
        <w:t>s</w:t>
      </w:r>
      <w:r w:rsidRPr="0074271B">
        <w:rPr>
          <w:rFonts w:ascii="Times New Roman" w:hAnsi="Times New Roman" w:cs="Times New Roman"/>
          <w:b/>
          <w:bCs/>
          <w:color w:val="000000"/>
          <w:sz w:val="24"/>
          <w:szCs w:val="24"/>
        </w:rPr>
        <w:t xml:space="preserve"> </w:t>
      </w:r>
      <w:r w:rsidR="00CC425F">
        <w:rPr>
          <w:rFonts w:ascii="Times New Roman" w:hAnsi="Times New Roman" w:cs="Times New Roman"/>
          <w:b/>
          <w:bCs/>
          <w:color w:val="000000"/>
          <w:sz w:val="24"/>
          <w:szCs w:val="24"/>
        </w:rPr>
        <w:t>facilitate disclosure of protected information about</w:t>
      </w:r>
      <w:r w:rsidRPr="0074271B">
        <w:rPr>
          <w:rFonts w:ascii="Times New Roman" w:hAnsi="Times New Roman" w:cs="Times New Roman"/>
          <w:b/>
          <w:bCs/>
          <w:color w:val="000000"/>
          <w:sz w:val="24"/>
          <w:szCs w:val="24"/>
        </w:rPr>
        <w:t xml:space="preserve"> </w:t>
      </w:r>
      <w:r w:rsidR="000772BD">
        <w:rPr>
          <w:rFonts w:ascii="Times New Roman" w:hAnsi="Times New Roman" w:cs="Times New Roman"/>
          <w:b/>
          <w:bCs/>
          <w:color w:val="000000"/>
          <w:sz w:val="24"/>
          <w:szCs w:val="24"/>
        </w:rPr>
        <w:t xml:space="preserve">regulated </w:t>
      </w:r>
      <w:r w:rsidRPr="0074271B">
        <w:rPr>
          <w:rFonts w:ascii="Times New Roman" w:hAnsi="Times New Roman" w:cs="Times New Roman"/>
          <w:b/>
          <w:bCs/>
          <w:color w:val="000000"/>
          <w:sz w:val="24"/>
          <w:szCs w:val="24"/>
        </w:rPr>
        <w:t>entities rather than individuals</w:t>
      </w:r>
    </w:p>
    <w:p w14:paraId="7D013B8B" w14:textId="4F8937DD" w:rsidR="008D4318" w:rsidRPr="0074271B" w:rsidRDefault="008D4318" w:rsidP="00093A06">
      <w:pPr>
        <w:shd w:val="clear" w:color="auto" w:fill="FFFFFF"/>
        <w:spacing w:before="2" w:line="317" w:lineRule="atLeast"/>
        <w:ind w:right="72"/>
        <w:textAlignment w:val="baseline"/>
        <w:rPr>
          <w:rFonts w:ascii="Times New Roman" w:hAnsi="Times New Roman" w:cs="Times New Roman"/>
          <w:color w:val="000000"/>
          <w:sz w:val="24"/>
          <w:szCs w:val="24"/>
        </w:rPr>
      </w:pPr>
      <w:r w:rsidRPr="0074271B">
        <w:rPr>
          <w:rFonts w:ascii="Times New Roman" w:hAnsi="Times New Roman" w:cs="Times New Roman"/>
          <w:color w:val="000000"/>
          <w:sz w:val="24"/>
          <w:szCs w:val="24"/>
        </w:rPr>
        <w:t xml:space="preserve">As noted at paragraph 1.11 of the </w:t>
      </w:r>
      <w:r w:rsidRPr="00F11131">
        <w:rPr>
          <w:rFonts w:ascii="Times New Roman" w:hAnsi="Times New Roman" w:cs="Times New Roman"/>
          <w:i/>
          <w:color w:val="000000"/>
          <w:sz w:val="24"/>
          <w:szCs w:val="24"/>
        </w:rPr>
        <w:t>Parliamentary Joint Committee on Human Rights – Guide to Human Rights</w:t>
      </w:r>
      <w:r w:rsidRPr="0074271B">
        <w:rPr>
          <w:rFonts w:ascii="Times New Roman" w:hAnsi="Times New Roman" w:cs="Times New Roman"/>
          <w:color w:val="000000"/>
          <w:sz w:val="24"/>
          <w:szCs w:val="24"/>
        </w:rPr>
        <w:t xml:space="preserve">, published in June 2015, which is a freely available document that outlines the key human rights that form part of the Parliamentary Joint Committee on Human Rights’ mandate (available </w:t>
      </w:r>
      <w:r w:rsidR="0074271B">
        <w:rPr>
          <w:rFonts w:ascii="Times New Roman" w:hAnsi="Times New Roman" w:cs="Times New Roman"/>
          <w:color w:val="000000"/>
          <w:sz w:val="24"/>
          <w:szCs w:val="24"/>
        </w:rPr>
        <w:t xml:space="preserve">at </w:t>
      </w:r>
      <w:hyperlink r:id="rId16" w:history="1">
        <w:r w:rsidR="00CC425F" w:rsidRPr="00D50390">
          <w:rPr>
            <w:rStyle w:val="Hyperlink"/>
            <w:rFonts w:ascii="Times New Roman" w:hAnsi="Times New Roman" w:cs="Times New Roman"/>
            <w:sz w:val="24"/>
            <w:szCs w:val="24"/>
            <w:lang w:val="en-US"/>
          </w:rPr>
          <w:t>https://www.aph.gov.au/Parliamentary_Business/Committees/Joint/Human_ Rights/Guidance_Notes_and_Resources</w:t>
        </w:r>
      </w:hyperlink>
      <w:r w:rsidRPr="0074271B">
        <w:rPr>
          <w:rFonts w:ascii="Times New Roman" w:hAnsi="Times New Roman" w:cs="Times New Roman"/>
          <w:color w:val="000000"/>
          <w:sz w:val="24"/>
          <w:szCs w:val="24"/>
        </w:rPr>
        <w:t>):</w:t>
      </w:r>
    </w:p>
    <w:p w14:paraId="33564BCB" w14:textId="77777777" w:rsidR="008D4318" w:rsidRPr="0074271B" w:rsidRDefault="008D4318" w:rsidP="008D4318">
      <w:pPr>
        <w:shd w:val="clear" w:color="auto" w:fill="FFFFFF"/>
        <w:spacing w:before="315" w:line="316" w:lineRule="atLeast"/>
        <w:ind w:left="720" w:right="504"/>
        <w:textAlignment w:val="baseline"/>
        <w:rPr>
          <w:rFonts w:ascii="Times New Roman" w:hAnsi="Times New Roman" w:cs="Times New Roman"/>
          <w:color w:val="000000"/>
          <w:sz w:val="24"/>
          <w:szCs w:val="24"/>
        </w:rPr>
      </w:pPr>
      <w:r w:rsidRPr="0074271B">
        <w:rPr>
          <w:rFonts w:ascii="Times New Roman" w:hAnsi="Times New Roman" w:cs="Times New Roman"/>
          <w:color w:val="000000"/>
          <w:sz w:val="24"/>
          <w:szCs w:val="24"/>
        </w:rPr>
        <w:t>“</w:t>
      </w:r>
      <w:r w:rsidRPr="0074271B">
        <w:rPr>
          <w:rFonts w:ascii="Times New Roman" w:hAnsi="Times New Roman" w:cs="Times New Roman"/>
          <w:i/>
          <w:iCs/>
          <w:color w:val="000000"/>
          <w:sz w:val="24"/>
          <w:szCs w:val="24"/>
        </w:rPr>
        <w:t>Under the UN human rights treaties, human rights belong to individuals and groups of individuals. The treaties do not confer rights on companies or other incorporated bodies</w:t>
      </w:r>
      <w:r w:rsidRPr="0074271B">
        <w:rPr>
          <w:rFonts w:ascii="Times New Roman" w:hAnsi="Times New Roman" w:cs="Times New Roman"/>
          <w:color w:val="000000"/>
          <w:sz w:val="24"/>
          <w:szCs w:val="24"/>
        </w:rPr>
        <w:t>.”</w:t>
      </w:r>
    </w:p>
    <w:p w14:paraId="10A66DCF" w14:textId="3988F532" w:rsidR="008D4318" w:rsidRPr="0074271B" w:rsidRDefault="008D4318" w:rsidP="008D4318">
      <w:pPr>
        <w:shd w:val="clear" w:color="auto" w:fill="FFFFFF"/>
        <w:spacing w:before="321" w:line="317" w:lineRule="atLeast"/>
        <w:textAlignment w:val="baseline"/>
        <w:rPr>
          <w:rFonts w:ascii="Times New Roman" w:hAnsi="Times New Roman" w:cs="Times New Roman"/>
          <w:color w:val="000000"/>
          <w:sz w:val="24"/>
          <w:szCs w:val="24"/>
        </w:rPr>
      </w:pPr>
      <w:r w:rsidRPr="0074271B">
        <w:rPr>
          <w:rFonts w:ascii="Times New Roman" w:hAnsi="Times New Roman" w:cs="Times New Roman"/>
          <w:color w:val="000000"/>
          <w:sz w:val="24"/>
          <w:szCs w:val="24"/>
        </w:rPr>
        <w:t>This is relevant, as the amendments to the principal POFR Rules made by the</w:t>
      </w:r>
      <w:r w:rsidR="00320DC1">
        <w:rPr>
          <w:rFonts w:ascii="Times New Roman" w:hAnsi="Times New Roman" w:cs="Times New Roman"/>
          <w:color w:val="000000"/>
          <w:sz w:val="24"/>
          <w:szCs w:val="24"/>
        </w:rPr>
        <w:t>se</w:t>
      </w:r>
      <w:r w:rsidRPr="0074271B">
        <w:rPr>
          <w:rFonts w:ascii="Times New Roman" w:hAnsi="Times New Roman" w:cs="Times New Roman"/>
          <w:color w:val="000000"/>
          <w:sz w:val="24"/>
          <w:szCs w:val="24"/>
        </w:rPr>
        <w:t xml:space="preserve"> Rule</w:t>
      </w:r>
      <w:r w:rsidR="0074271B">
        <w:rPr>
          <w:rFonts w:ascii="Times New Roman" w:hAnsi="Times New Roman" w:cs="Times New Roman"/>
          <w:color w:val="000000"/>
          <w:sz w:val="24"/>
          <w:szCs w:val="24"/>
        </w:rPr>
        <w:t>s</w:t>
      </w:r>
      <w:r w:rsidRPr="0074271B">
        <w:rPr>
          <w:rFonts w:ascii="Times New Roman" w:hAnsi="Times New Roman" w:cs="Times New Roman"/>
          <w:color w:val="000000"/>
          <w:sz w:val="24"/>
          <w:szCs w:val="24"/>
        </w:rPr>
        <w:t xml:space="preserve"> will </w:t>
      </w:r>
      <w:r w:rsidR="00CC425F" w:rsidRPr="00CC425F">
        <w:rPr>
          <w:rFonts w:ascii="Times New Roman" w:hAnsi="Times New Roman" w:cs="Times New Roman"/>
          <w:color w:val="000000"/>
          <w:sz w:val="24"/>
          <w:szCs w:val="24"/>
        </w:rPr>
        <w:t>facilitate disclosure</w:t>
      </w:r>
      <w:r w:rsidR="00CC425F">
        <w:rPr>
          <w:rFonts w:ascii="Times New Roman" w:hAnsi="Times New Roman" w:cs="Times New Roman"/>
          <w:color w:val="000000"/>
          <w:sz w:val="24"/>
          <w:szCs w:val="24"/>
        </w:rPr>
        <w:t xml:space="preserve">, in </w:t>
      </w:r>
      <w:r w:rsidR="000772BD">
        <w:rPr>
          <w:rFonts w:ascii="Times New Roman" w:hAnsi="Times New Roman" w:cs="Times New Roman"/>
          <w:color w:val="000000"/>
          <w:sz w:val="24"/>
          <w:szCs w:val="24"/>
        </w:rPr>
        <w:t>specified</w:t>
      </w:r>
      <w:r w:rsidR="00CC425F">
        <w:rPr>
          <w:rFonts w:ascii="Times New Roman" w:hAnsi="Times New Roman" w:cs="Times New Roman"/>
          <w:color w:val="000000"/>
          <w:sz w:val="24"/>
          <w:szCs w:val="24"/>
        </w:rPr>
        <w:t xml:space="preserve"> circumstances,</w:t>
      </w:r>
      <w:r w:rsidR="00CC425F" w:rsidRPr="00CC425F">
        <w:rPr>
          <w:rFonts w:ascii="Times New Roman" w:hAnsi="Times New Roman" w:cs="Times New Roman"/>
          <w:color w:val="000000"/>
          <w:sz w:val="24"/>
          <w:szCs w:val="24"/>
        </w:rPr>
        <w:t xml:space="preserve"> of protected information about </w:t>
      </w:r>
      <w:r w:rsidRPr="0074271B">
        <w:rPr>
          <w:rFonts w:ascii="Times New Roman" w:hAnsi="Times New Roman" w:cs="Times New Roman"/>
          <w:color w:val="000000"/>
          <w:sz w:val="24"/>
          <w:szCs w:val="24"/>
        </w:rPr>
        <w:t xml:space="preserve">corporate entities </w:t>
      </w:r>
      <w:r w:rsidR="00CC425F">
        <w:rPr>
          <w:rFonts w:ascii="Times New Roman" w:hAnsi="Times New Roman" w:cs="Times New Roman"/>
          <w:color w:val="000000"/>
          <w:sz w:val="24"/>
          <w:szCs w:val="24"/>
        </w:rPr>
        <w:t>or trusts (e.g.</w:t>
      </w:r>
      <w:r w:rsidR="00CC425F" w:rsidRPr="00CC425F">
        <w:t xml:space="preserve"> </w:t>
      </w:r>
      <w:r w:rsidR="00CC425F" w:rsidRPr="00CC425F">
        <w:rPr>
          <w:rFonts w:ascii="Times New Roman" w:hAnsi="Times New Roman" w:cs="Times New Roman"/>
          <w:color w:val="000000"/>
          <w:sz w:val="24"/>
          <w:szCs w:val="24"/>
        </w:rPr>
        <w:t>body corporate refinery operators, fuel importers</w:t>
      </w:r>
      <w:r w:rsidR="00CC425F">
        <w:rPr>
          <w:rFonts w:ascii="Times New Roman" w:hAnsi="Times New Roman" w:cs="Times New Roman"/>
          <w:color w:val="000000"/>
          <w:sz w:val="24"/>
          <w:szCs w:val="24"/>
        </w:rPr>
        <w:t>, wholesalers</w:t>
      </w:r>
      <w:r w:rsidR="00CC425F" w:rsidRPr="00CC425F">
        <w:rPr>
          <w:rFonts w:ascii="Times New Roman" w:hAnsi="Times New Roman" w:cs="Times New Roman"/>
          <w:color w:val="000000"/>
          <w:sz w:val="24"/>
          <w:szCs w:val="24"/>
        </w:rPr>
        <w:t xml:space="preserve"> or storage operators</w:t>
      </w:r>
      <w:r w:rsidR="00CC425F">
        <w:rPr>
          <w:rFonts w:ascii="Times New Roman" w:hAnsi="Times New Roman" w:cs="Times New Roman"/>
          <w:color w:val="000000"/>
          <w:sz w:val="24"/>
          <w:szCs w:val="24"/>
        </w:rPr>
        <w:t>)</w:t>
      </w:r>
      <w:r w:rsidR="00CC425F" w:rsidRPr="00CC425F">
        <w:rPr>
          <w:rFonts w:ascii="Times New Roman" w:hAnsi="Times New Roman" w:cs="Times New Roman"/>
          <w:color w:val="000000"/>
          <w:sz w:val="24"/>
          <w:szCs w:val="24"/>
        </w:rPr>
        <w:t xml:space="preserve"> </w:t>
      </w:r>
      <w:r w:rsidR="000772BD">
        <w:rPr>
          <w:rFonts w:ascii="Times New Roman" w:hAnsi="Times New Roman" w:cs="Times New Roman"/>
          <w:color w:val="000000"/>
          <w:sz w:val="24"/>
          <w:szCs w:val="24"/>
        </w:rPr>
        <w:t xml:space="preserve">who are regulated by the POFR Act and principal POFR Rules, </w:t>
      </w:r>
      <w:r w:rsidR="00CC425F">
        <w:rPr>
          <w:rFonts w:ascii="Times New Roman" w:hAnsi="Times New Roman" w:cs="Times New Roman"/>
          <w:color w:val="000000"/>
          <w:sz w:val="24"/>
          <w:szCs w:val="24"/>
        </w:rPr>
        <w:t>rather than individuals</w:t>
      </w:r>
      <w:r w:rsidRPr="0074271B">
        <w:rPr>
          <w:rFonts w:ascii="Times New Roman" w:hAnsi="Times New Roman" w:cs="Times New Roman"/>
          <w:color w:val="000000"/>
          <w:sz w:val="24"/>
          <w:szCs w:val="24"/>
        </w:rPr>
        <w:t xml:space="preserve">. </w:t>
      </w:r>
    </w:p>
    <w:p w14:paraId="2605C4E4" w14:textId="5633527C" w:rsidR="008D4318" w:rsidRPr="0074271B" w:rsidRDefault="008D4318" w:rsidP="008D4318">
      <w:pPr>
        <w:shd w:val="clear" w:color="auto" w:fill="FFFFFF"/>
        <w:spacing w:line="316" w:lineRule="atLeast"/>
        <w:ind w:right="1008"/>
        <w:textAlignment w:val="baseline"/>
        <w:rPr>
          <w:rFonts w:ascii="Times New Roman" w:hAnsi="Times New Roman" w:cs="Times New Roman"/>
          <w:color w:val="000000"/>
          <w:sz w:val="24"/>
          <w:szCs w:val="24"/>
        </w:rPr>
      </w:pPr>
      <w:r w:rsidRPr="0074271B">
        <w:rPr>
          <w:rFonts w:ascii="Times New Roman" w:hAnsi="Times New Roman" w:cs="Times New Roman"/>
          <w:color w:val="000000"/>
          <w:sz w:val="24"/>
          <w:szCs w:val="24"/>
        </w:rPr>
        <w:t>Given the above, it is unlikely any provisions of the</w:t>
      </w:r>
      <w:r w:rsidR="000772BD">
        <w:rPr>
          <w:rFonts w:ascii="Times New Roman" w:hAnsi="Times New Roman" w:cs="Times New Roman"/>
          <w:color w:val="000000"/>
          <w:sz w:val="24"/>
          <w:szCs w:val="24"/>
        </w:rPr>
        <w:t>se</w:t>
      </w:r>
      <w:r w:rsidRPr="0074271B">
        <w:rPr>
          <w:rFonts w:ascii="Times New Roman" w:hAnsi="Times New Roman" w:cs="Times New Roman"/>
          <w:color w:val="000000"/>
          <w:sz w:val="24"/>
          <w:szCs w:val="24"/>
        </w:rPr>
        <w:t xml:space="preserve"> Rule</w:t>
      </w:r>
      <w:r w:rsidR="0074271B">
        <w:rPr>
          <w:rFonts w:ascii="Times New Roman" w:hAnsi="Times New Roman" w:cs="Times New Roman"/>
          <w:color w:val="000000"/>
          <w:sz w:val="24"/>
          <w:szCs w:val="24"/>
        </w:rPr>
        <w:t>s</w:t>
      </w:r>
      <w:r w:rsidRPr="0074271B">
        <w:rPr>
          <w:rFonts w:ascii="Times New Roman" w:hAnsi="Times New Roman" w:cs="Times New Roman"/>
          <w:color w:val="000000"/>
          <w:sz w:val="24"/>
          <w:szCs w:val="24"/>
        </w:rPr>
        <w:t xml:space="preserve"> will regulate or limit the human rights of individuals.</w:t>
      </w:r>
    </w:p>
    <w:p w14:paraId="465F26FC" w14:textId="77777777" w:rsidR="008D4318" w:rsidRPr="00320DC1" w:rsidRDefault="008D4318" w:rsidP="008D4318">
      <w:pPr>
        <w:shd w:val="clear" w:color="auto" w:fill="FFFFFF"/>
        <w:spacing w:before="365" w:line="274" w:lineRule="atLeast"/>
        <w:textAlignment w:val="baseline"/>
        <w:rPr>
          <w:rFonts w:ascii="Times New Roman" w:hAnsi="Times New Roman" w:cs="Times New Roman"/>
          <w:color w:val="000000"/>
          <w:sz w:val="24"/>
          <w:szCs w:val="24"/>
        </w:rPr>
      </w:pPr>
      <w:r w:rsidRPr="00320DC1">
        <w:rPr>
          <w:rFonts w:ascii="Times New Roman" w:hAnsi="Times New Roman" w:cs="Times New Roman"/>
          <w:b/>
          <w:bCs/>
          <w:color w:val="000000"/>
          <w:sz w:val="24"/>
          <w:szCs w:val="24"/>
        </w:rPr>
        <w:t>Right to privacy – Article 17 ICCPR</w:t>
      </w:r>
    </w:p>
    <w:p w14:paraId="5919ABF0" w14:textId="5FAC2F2B" w:rsidR="008D4318" w:rsidRPr="00320DC1" w:rsidRDefault="008D4318" w:rsidP="008D4318">
      <w:pPr>
        <w:shd w:val="clear" w:color="auto" w:fill="FFFFFF"/>
        <w:spacing w:line="316" w:lineRule="atLeast"/>
        <w:ind w:right="72"/>
        <w:jc w:val="both"/>
        <w:textAlignment w:val="baseline"/>
        <w:rPr>
          <w:rFonts w:ascii="Times New Roman" w:hAnsi="Times New Roman" w:cs="Times New Roman"/>
          <w:color w:val="000000"/>
          <w:sz w:val="24"/>
          <w:szCs w:val="24"/>
        </w:rPr>
      </w:pPr>
      <w:r w:rsidRPr="00320DC1">
        <w:rPr>
          <w:rFonts w:ascii="Times New Roman" w:hAnsi="Times New Roman" w:cs="Times New Roman"/>
          <w:color w:val="000000"/>
          <w:sz w:val="24"/>
          <w:szCs w:val="24"/>
        </w:rPr>
        <w:t>While noting that the Rule</w:t>
      </w:r>
      <w:r w:rsidR="00320DC1">
        <w:rPr>
          <w:rFonts w:ascii="Times New Roman" w:hAnsi="Times New Roman" w:cs="Times New Roman"/>
          <w:color w:val="000000"/>
          <w:sz w:val="24"/>
          <w:szCs w:val="24"/>
        </w:rPr>
        <w:t>s</w:t>
      </w:r>
      <w:r w:rsidRPr="00320DC1">
        <w:rPr>
          <w:rFonts w:ascii="Times New Roman" w:hAnsi="Times New Roman" w:cs="Times New Roman"/>
          <w:color w:val="000000"/>
          <w:sz w:val="24"/>
          <w:szCs w:val="24"/>
        </w:rPr>
        <w:t xml:space="preserve"> will </w:t>
      </w:r>
      <w:r w:rsidR="00CC425F">
        <w:rPr>
          <w:rFonts w:ascii="Times New Roman" w:hAnsi="Times New Roman" w:cs="Times New Roman"/>
          <w:color w:val="000000"/>
          <w:sz w:val="24"/>
          <w:szCs w:val="24"/>
        </w:rPr>
        <w:t xml:space="preserve">predominantly </w:t>
      </w:r>
      <w:r w:rsidR="000772BD">
        <w:rPr>
          <w:rFonts w:ascii="Times New Roman" w:hAnsi="Times New Roman" w:cs="Times New Roman"/>
          <w:color w:val="000000"/>
          <w:sz w:val="24"/>
          <w:szCs w:val="24"/>
        </w:rPr>
        <w:t>facilitate sharing of information about</w:t>
      </w:r>
      <w:r w:rsidR="00CC425F">
        <w:rPr>
          <w:rFonts w:ascii="Times New Roman" w:hAnsi="Times New Roman" w:cs="Times New Roman"/>
          <w:color w:val="000000"/>
          <w:sz w:val="24"/>
          <w:szCs w:val="24"/>
        </w:rPr>
        <w:t xml:space="preserve"> </w:t>
      </w:r>
      <w:r w:rsidRPr="00320DC1">
        <w:rPr>
          <w:rFonts w:ascii="Times New Roman" w:hAnsi="Times New Roman" w:cs="Times New Roman"/>
          <w:color w:val="000000"/>
          <w:sz w:val="24"/>
          <w:szCs w:val="24"/>
        </w:rPr>
        <w:t>entities that are not individuals, out of an abundance of caution, consideration has been given to the possibility that the Rule</w:t>
      </w:r>
      <w:r w:rsidR="00320DC1">
        <w:rPr>
          <w:rFonts w:ascii="Times New Roman" w:hAnsi="Times New Roman" w:cs="Times New Roman"/>
          <w:color w:val="000000"/>
          <w:sz w:val="24"/>
          <w:szCs w:val="24"/>
        </w:rPr>
        <w:t>s</w:t>
      </w:r>
      <w:r w:rsidR="00CC425F">
        <w:rPr>
          <w:rFonts w:ascii="Times New Roman" w:hAnsi="Times New Roman" w:cs="Times New Roman"/>
          <w:color w:val="000000"/>
          <w:sz w:val="24"/>
          <w:szCs w:val="24"/>
        </w:rPr>
        <w:t xml:space="preserve"> engage</w:t>
      </w:r>
      <w:r w:rsidRPr="00320DC1">
        <w:rPr>
          <w:rFonts w:ascii="Times New Roman" w:hAnsi="Times New Roman" w:cs="Times New Roman"/>
          <w:color w:val="000000"/>
          <w:sz w:val="24"/>
          <w:szCs w:val="24"/>
        </w:rPr>
        <w:t xml:space="preserve"> the r</w:t>
      </w:r>
      <w:r w:rsidR="00320DC1" w:rsidRPr="00320DC1">
        <w:rPr>
          <w:rFonts w:ascii="Times New Roman" w:hAnsi="Times New Roman" w:cs="Times New Roman"/>
          <w:color w:val="000000"/>
          <w:sz w:val="24"/>
          <w:szCs w:val="24"/>
        </w:rPr>
        <w:t>ight to privacy of individuals.</w:t>
      </w:r>
    </w:p>
    <w:p w14:paraId="0AF0AE33" w14:textId="3E7205B2" w:rsidR="0085202A" w:rsidRDefault="00593C86" w:rsidP="00CC425F">
      <w:pPr>
        <w:shd w:val="clear" w:color="auto" w:fill="FFFFFF"/>
        <w:spacing w:line="316" w:lineRule="atLeast"/>
        <w:ind w:right="72"/>
        <w:jc w:val="both"/>
        <w:textAlignment w:val="baseline"/>
        <w:rPr>
          <w:rFonts w:ascii="Times New Roman" w:hAnsi="Times New Roman" w:cs="Times New Roman"/>
          <w:sz w:val="24"/>
          <w:szCs w:val="24"/>
        </w:rPr>
      </w:pPr>
      <w:r>
        <w:rPr>
          <w:rFonts w:ascii="Times New Roman" w:hAnsi="Times New Roman" w:cs="Times New Roman"/>
          <w:sz w:val="24"/>
          <w:szCs w:val="24"/>
        </w:rPr>
        <w:t>N</w:t>
      </w:r>
      <w:r w:rsidR="009A52C4">
        <w:rPr>
          <w:rFonts w:ascii="Times New Roman" w:hAnsi="Times New Roman" w:cs="Times New Roman"/>
          <w:sz w:val="24"/>
          <w:szCs w:val="24"/>
        </w:rPr>
        <w:t xml:space="preserve">ew Part 3 of the principal POFR Rules </w:t>
      </w:r>
      <w:r w:rsidR="00676D69">
        <w:rPr>
          <w:rFonts w:ascii="Times New Roman" w:hAnsi="Times New Roman" w:cs="Times New Roman"/>
          <w:sz w:val="24"/>
          <w:szCs w:val="24"/>
        </w:rPr>
        <w:t>permits</w:t>
      </w:r>
      <w:r w:rsidR="009A52C4">
        <w:rPr>
          <w:rFonts w:ascii="Times New Roman" w:hAnsi="Times New Roman" w:cs="Times New Roman"/>
          <w:sz w:val="24"/>
          <w:szCs w:val="24"/>
        </w:rPr>
        <w:t xml:space="preserve"> disclosure</w:t>
      </w:r>
      <w:r w:rsidR="00CC425F">
        <w:rPr>
          <w:rFonts w:ascii="Times New Roman" w:hAnsi="Times New Roman" w:cs="Times New Roman"/>
          <w:sz w:val="24"/>
          <w:szCs w:val="24"/>
        </w:rPr>
        <w:t>, in limited circumstances,</w:t>
      </w:r>
      <w:r w:rsidR="009A52C4">
        <w:rPr>
          <w:rFonts w:ascii="Times New Roman" w:hAnsi="Times New Roman" w:cs="Times New Roman"/>
          <w:sz w:val="24"/>
          <w:szCs w:val="24"/>
        </w:rPr>
        <w:t xml:space="preserve"> of protected information to </w:t>
      </w:r>
      <w:r w:rsidR="00676D69">
        <w:rPr>
          <w:rFonts w:ascii="Times New Roman" w:hAnsi="Times New Roman" w:cs="Times New Roman"/>
          <w:sz w:val="24"/>
          <w:szCs w:val="24"/>
        </w:rPr>
        <w:t>specified</w:t>
      </w:r>
      <w:r w:rsidR="009A52C4">
        <w:rPr>
          <w:rFonts w:ascii="Times New Roman" w:hAnsi="Times New Roman" w:cs="Times New Roman"/>
          <w:sz w:val="24"/>
          <w:szCs w:val="24"/>
        </w:rPr>
        <w:t xml:space="preserve"> </w:t>
      </w:r>
      <w:r w:rsidR="00CC425F" w:rsidRPr="00CC425F">
        <w:rPr>
          <w:rFonts w:ascii="Times New Roman" w:hAnsi="Times New Roman" w:cs="Times New Roman"/>
          <w:sz w:val="24"/>
          <w:szCs w:val="24"/>
        </w:rPr>
        <w:t>Commonwealth and State and Territory bodie</w:t>
      </w:r>
      <w:r w:rsidR="00CC425F">
        <w:rPr>
          <w:rFonts w:ascii="Times New Roman" w:hAnsi="Times New Roman" w:cs="Times New Roman"/>
          <w:sz w:val="24"/>
          <w:szCs w:val="24"/>
        </w:rPr>
        <w:t>s</w:t>
      </w:r>
      <w:r w:rsidR="009A52C4">
        <w:rPr>
          <w:rFonts w:ascii="Times New Roman" w:hAnsi="Times New Roman" w:cs="Times New Roman"/>
          <w:sz w:val="24"/>
          <w:szCs w:val="24"/>
        </w:rPr>
        <w:t xml:space="preserve">. </w:t>
      </w:r>
    </w:p>
    <w:p w14:paraId="0D8E2975" w14:textId="38C0CD8E" w:rsidR="0085202A" w:rsidRDefault="0085202A" w:rsidP="00093A06">
      <w:pPr>
        <w:shd w:val="clear" w:color="auto" w:fill="FFFFFF"/>
        <w:spacing w:line="316" w:lineRule="atLeast"/>
        <w:ind w:right="72"/>
        <w:textAlignment w:val="baseline"/>
        <w:rPr>
          <w:rFonts w:ascii="Times New Roman" w:hAnsi="Times New Roman" w:cs="Times New Roman"/>
          <w:sz w:val="24"/>
          <w:szCs w:val="24"/>
        </w:rPr>
      </w:pPr>
      <w:r>
        <w:rPr>
          <w:rFonts w:ascii="Times New Roman" w:hAnsi="Times New Roman" w:cs="Times New Roman"/>
          <w:sz w:val="24"/>
          <w:szCs w:val="24"/>
        </w:rPr>
        <w:t>While protected information is defined under the POFR Act as including “f</w:t>
      </w:r>
      <w:r w:rsidRPr="0085202A">
        <w:rPr>
          <w:rFonts w:ascii="Times New Roman" w:hAnsi="Times New Roman" w:cs="Times New Roman"/>
          <w:sz w:val="24"/>
          <w:szCs w:val="24"/>
        </w:rPr>
        <w:t>uel information</w:t>
      </w:r>
      <w:r>
        <w:rPr>
          <w:rFonts w:ascii="Times New Roman" w:hAnsi="Times New Roman" w:cs="Times New Roman"/>
          <w:sz w:val="24"/>
          <w:szCs w:val="24"/>
        </w:rPr>
        <w:t xml:space="preserve">” (i.e. information regarding the </w:t>
      </w:r>
      <w:r w:rsidR="00676D69">
        <w:rPr>
          <w:rFonts w:ascii="Times New Roman" w:hAnsi="Times New Roman" w:cs="Times New Roman"/>
          <w:sz w:val="24"/>
          <w:szCs w:val="24"/>
        </w:rPr>
        <w:t xml:space="preserve">business </w:t>
      </w:r>
      <w:r>
        <w:rPr>
          <w:rFonts w:ascii="Times New Roman" w:hAnsi="Times New Roman" w:cs="Times New Roman"/>
          <w:sz w:val="24"/>
          <w:szCs w:val="24"/>
        </w:rPr>
        <w:t xml:space="preserve">activities of a regulated entity; </w:t>
      </w:r>
      <w:r w:rsidR="00676D69">
        <w:rPr>
          <w:rFonts w:ascii="Times New Roman" w:hAnsi="Times New Roman" w:cs="Times New Roman"/>
          <w:sz w:val="24"/>
          <w:szCs w:val="24"/>
        </w:rPr>
        <w:t xml:space="preserve">fuel </w:t>
      </w:r>
      <w:r>
        <w:rPr>
          <w:rFonts w:ascii="Times New Roman" w:hAnsi="Times New Roman" w:cs="Times New Roman"/>
          <w:sz w:val="24"/>
          <w:szCs w:val="24"/>
        </w:rPr>
        <w:t>products produced or held by a regulated entity; locations, control and ownership of fuel products)</w:t>
      </w:r>
      <w:r w:rsidRPr="0085202A">
        <w:rPr>
          <w:rFonts w:ascii="Times New Roman" w:hAnsi="Times New Roman" w:cs="Times New Roman"/>
          <w:sz w:val="24"/>
          <w:szCs w:val="24"/>
        </w:rPr>
        <w:t xml:space="preserve"> that is </w:t>
      </w:r>
      <w:r>
        <w:rPr>
          <w:rFonts w:ascii="Times New Roman" w:hAnsi="Times New Roman" w:cs="Times New Roman"/>
          <w:sz w:val="24"/>
          <w:szCs w:val="24"/>
        </w:rPr>
        <w:t>“</w:t>
      </w:r>
      <w:r w:rsidRPr="0085202A">
        <w:rPr>
          <w:rFonts w:ascii="Times New Roman" w:hAnsi="Times New Roman" w:cs="Times New Roman"/>
          <w:sz w:val="24"/>
          <w:szCs w:val="24"/>
        </w:rPr>
        <w:t>personal information</w:t>
      </w:r>
      <w:r>
        <w:rPr>
          <w:rFonts w:ascii="Times New Roman" w:hAnsi="Times New Roman" w:cs="Times New Roman"/>
          <w:sz w:val="24"/>
          <w:szCs w:val="24"/>
        </w:rPr>
        <w:t xml:space="preserve">” (defined consistently with the definition of that term under the </w:t>
      </w:r>
      <w:r w:rsidRPr="0085202A">
        <w:rPr>
          <w:rFonts w:ascii="Times New Roman" w:hAnsi="Times New Roman" w:cs="Times New Roman"/>
          <w:i/>
          <w:sz w:val="24"/>
          <w:szCs w:val="24"/>
        </w:rPr>
        <w:t>Privacy Act 1988</w:t>
      </w:r>
      <w:r>
        <w:rPr>
          <w:rFonts w:ascii="Times New Roman" w:hAnsi="Times New Roman" w:cs="Times New Roman"/>
          <w:sz w:val="24"/>
          <w:szCs w:val="24"/>
        </w:rPr>
        <w:t>), in practice, very little personal information is collected under the POFR Act.  Aside fr</w:t>
      </w:r>
      <w:r w:rsidR="00DF21A2">
        <w:rPr>
          <w:rFonts w:ascii="Times New Roman" w:hAnsi="Times New Roman" w:cs="Times New Roman"/>
          <w:sz w:val="24"/>
          <w:szCs w:val="24"/>
        </w:rPr>
        <w:t xml:space="preserve">om </w:t>
      </w:r>
      <w:r>
        <w:rPr>
          <w:rFonts w:ascii="Times New Roman" w:hAnsi="Times New Roman" w:cs="Times New Roman"/>
          <w:sz w:val="24"/>
          <w:szCs w:val="24"/>
        </w:rPr>
        <w:t xml:space="preserve">the name and contact details of an individual that </w:t>
      </w:r>
      <w:r w:rsidR="00DF21A2">
        <w:rPr>
          <w:rFonts w:ascii="Times New Roman" w:hAnsi="Times New Roman" w:cs="Times New Roman"/>
          <w:sz w:val="24"/>
          <w:szCs w:val="24"/>
        </w:rPr>
        <w:t xml:space="preserve">may </w:t>
      </w:r>
      <w:r>
        <w:rPr>
          <w:rFonts w:ascii="Times New Roman" w:hAnsi="Times New Roman" w:cs="Times New Roman"/>
          <w:sz w:val="24"/>
          <w:szCs w:val="24"/>
        </w:rPr>
        <w:t xml:space="preserve">submit a </w:t>
      </w:r>
      <w:r w:rsidR="00676D69">
        <w:rPr>
          <w:rFonts w:ascii="Times New Roman" w:hAnsi="Times New Roman" w:cs="Times New Roman"/>
          <w:sz w:val="24"/>
          <w:szCs w:val="24"/>
        </w:rPr>
        <w:t xml:space="preserve">fuel information </w:t>
      </w:r>
      <w:r>
        <w:rPr>
          <w:rFonts w:ascii="Times New Roman" w:hAnsi="Times New Roman" w:cs="Times New Roman"/>
          <w:sz w:val="24"/>
          <w:szCs w:val="24"/>
        </w:rPr>
        <w:t>report on behalf of a regulated enti</w:t>
      </w:r>
      <w:r w:rsidR="00DF21A2">
        <w:rPr>
          <w:rFonts w:ascii="Times New Roman" w:hAnsi="Times New Roman" w:cs="Times New Roman"/>
          <w:sz w:val="24"/>
          <w:szCs w:val="24"/>
        </w:rPr>
        <w:t>ty, there is negligible persona</w:t>
      </w:r>
      <w:r>
        <w:rPr>
          <w:rFonts w:ascii="Times New Roman" w:hAnsi="Times New Roman" w:cs="Times New Roman"/>
          <w:sz w:val="24"/>
          <w:szCs w:val="24"/>
        </w:rPr>
        <w:t xml:space="preserve">l information collected and therefore </w:t>
      </w:r>
      <w:r w:rsidR="00DF21A2">
        <w:rPr>
          <w:rFonts w:ascii="Times New Roman" w:hAnsi="Times New Roman" w:cs="Times New Roman"/>
          <w:sz w:val="24"/>
          <w:szCs w:val="24"/>
        </w:rPr>
        <w:t>it is highly unlikely</w:t>
      </w:r>
      <w:r w:rsidR="00F04700">
        <w:rPr>
          <w:rFonts w:ascii="Times New Roman" w:hAnsi="Times New Roman" w:cs="Times New Roman"/>
          <w:sz w:val="24"/>
          <w:szCs w:val="24"/>
        </w:rPr>
        <w:t xml:space="preserve"> that</w:t>
      </w:r>
      <w:r w:rsidR="00DF21A2">
        <w:rPr>
          <w:rFonts w:ascii="Times New Roman" w:hAnsi="Times New Roman" w:cs="Times New Roman"/>
          <w:sz w:val="24"/>
          <w:szCs w:val="24"/>
        </w:rPr>
        <w:t xml:space="preserve"> personal information would be disclosed to any of the government agencies prescribed under the Rules.</w:t>
      </w:r>
    </w:p>
    <w:p w14:paraId="5C23B3F6" w14:textId="5BA3CEDD" w:rsidR="00CC425F" w:rsidRPr="00CC425F" w:rsidRDefault="00DE5D34" w:rsidP="00093A06">
      <w:pPr>
        <w:shd w:val="clear" w:color="auto" w:fill="FFFFFF"/>
        <w:spacing w:line="316" w:lineRule="atLeast"/>
        <w:ind w:right="72"/>
        <w:textAlignment w:val="baseline"/>
        <w:rPr>
          <w:rFonts w:ascii="Times New Roman" w:hAnsi="Times New Roman" w:cs="Times New Roman"/>
          <w:sz w:val="24"/>
          <w:szCs w:val="24"/>
        </w:rPr>
      </w:pPr>
      <w:r>
        <w:rPr>
          <w:rFonts w:ascii="Times New Roman" w:hAnsi="Times New Roman" w:cs="Times New Roman"/>
          <w:sz w:val="24"/>
          <w:szCs w:val="24"/>
        </w:rPr>
        <w:t>Additionall</w:t>
      </w:r>
      <w:r w:rsidR="00CC425F" w:rsidRPr="00CC425F">
        <w:rPr>
          <w:rFonts w:ascii="Times New Roman" w:hAnsi="Times New Roman" w:cs="Times New Roman"/>
          <w:sz w:val="24"/>
          <w:szCs w:val="24"/>
        </w:rPr>
        <w:t xml:space="preserve">y, the prescription of these </w:t>
      </w:r>
      <w:r w:rsidR="00CC425F">
        <w:rPr>
          <w:rFonts w:ascii="Times New Roman" w:hAnsi="Times New Roman" w:cs="Times New Roman"/>
          <w:sz w:val="24"/>
          <w:szCs w:val="24"/>
        </w:rPr>
        <w:t>government</w:t>
      </w:r>
      <w:r w:rsidR="00CC425F" w:rsidRPr="00CC425F">
        <w:rPr>
          <w:rFonts w:ascii="Times New Roman" w:hAnsi="Times New Roman" w:cs="Times New Roman"/>
          <w:sz w:val="24"/>
          <w:szCs w:val="24"/>
        </w:rPr>
        <w:t xml:space="preserve"> bodies does not guarantee them access to data collected under the POFR Act. </w:t>
      </w:r>
      <w:r w:rsidR="0085202A">
        <w:rPr>
          <w:rFonts w:ascii="Times New Roman" w:hAnsi="Times New Roman" w:cs="Times New Roman"/>
          <w:sz w:val="24"/>
          <w:szCs w:val="24"/>
        </w:rPr>
        <w:t>Rather, information may</w:t>
      </w:r>
      <w:r w:rsidR="00CC425F" w:rsidRPr="00CC425F">
        <w:rPr>
          <w:rFonts w:ascii="Times New Roman" w:hAnsi="Times New Roman" w:cs="Times New Roman"/>
          <w:sz w:val="24"/>
          <w:szCs w:val="24"/>
        </w:rPr>
        <w:t xml:space="preserve"> only be shared where </w:t>
      </w:r>
      <w:r w:rsidR="0085202A">
        <w:rPr>
          <w:rFonts w:ascii="Times New Roman" w:hAnsi="Times New Roman" w:cs="Times New Roman"/>
          <w:sz w:val="24"/>
          <w:szCs w:val="24"/>
        </w:rPr>
        <w:t xml:space="preserve">the Secretary considers </w:t>
      </w:r>
      <w:r w:rsidR="00CC425F" w:rsidRPr="00CC425F">
        <w:rPr>
          <w:rFonts w:ascii="Times New Roman" w:hAnsi="Times New Roman" w:cs="Times New Roman"/>
          <w:sz w:val="24"/>
          <w:szCs w:val="24"/>
        </w:rPr>
        <w:t xml:space="preserve">it is necessary to support the other agency in the exercise of its powers, functions or duties, and the Secretary retains a discretion to determine whether or not particular information should be disclosed. Matters that the Secretary will consider in the exercise of this discretion include </w:t>
      </w:r>
      <w:r w:rsidR="00CC425F">
        <w:rPr>
          <w:rFonts w:ascii="Times New Roman" w:hAnsi="Times New Roman" w:cs="Times New Roman"/>
          <w:sz w:val="24"/>
          <w:szCs w:val="24"/>
        </w:rPr>
        <w:t xml:space="preserve">whether </w:t>
      </w:r>
      <w:r w:rsidR="0085202A">
        <w:rPr>
          <w:rFonts w:ascii="Times New Roman" w:hAnsi="Times New Roman" w:cs="Times New Roman"/>
          <w:sz w:val="24"/>
          <w:szCs w:val="24"/>
        </w:rPr>
        <w:t>the information includes</w:t>
      </w:r>
      <w:r w:rsidR="00CC425F">
        <w:rPr>
          <w:rFonts w:ascii="Times New Roman" w:hAnsi="Times New Roman" w:cs="Times New Roman"/>
          <w:sz w:val="24"/>
          <w:szCs w:val="24"/>
        </w:rPr>
        <w:t xml:space="preserve"> any personal</w:t>
      </w:r>
      <w:r w:rsidR="00CC425F" w:rsidRPr="00CC425F">
        <w:rPr>
          <w:rFonts w:ascii="Times New Roman" w:hAnsi="Times New Roman" w:cs="Times New Roman"/>
          <w:sz w:val="24"/>
          <w:szCs w:val="24"/>
        </w:rPr>
        <w:t xml:space="preserve"> information</w:t>
      </w:r>
      <w:r w:rsidR="0085202A">
        <w:rPr>
          <w:rFonts w:ascii="Times New Roman" w:hAnsi="Times New Roman" w:cs="Times New Roman"/>
          <w:sz w:val="24"/>
          <w:szCs w:val="24"/>
        </w:rPr>
        <w:t>, and whether any such personal information may be redacted before information is disclosed</w:t>
      </w:r>
      <w:r w:rsidR="00CC425F" w:rsidRPr="00CC425F">
        <w:rPr>
          <w:rFonts w:ascii="Times New Roman" w:hAnsi="Times New Roman" w:cs="Times New Roman"/>
          <w:sz w:val="24"/>
          <w:szCs w:val="24"/>
        </w:rPr>
        <w:t xml:space="preserve">. </w:t>
      </w:r>
    </w:p>
    <w:p w14:paraId="08492E96" w14:textId="14DCDA1D" w:rsidR="008D4318" w:rsidRDefault="0085202A" w:rsidP="00093A06">
      <w:pPr>
        <w:shd w:val="clear" w:color="auto" w:fill="FFFFFF"/>
        <w:spacing w:line="316" w:lineRule="atLeast"/>
        <w:ind w:right="72"/>
        <w:textAlignment w:val="baseline"/>
        <w:rPr>
          <w:rFonts w:ascii="Times New Roman" w:hAnsi="Times New Roman" w:cs="Times New Roman"/>
          <w:sz w:val="24"/>
          <w:szCs w:val="24"/>
        </w:rPr>
      </w:pPr>
      <w:r>
        <w:rPr>
          <w:rFonts w:ascii="Times New Roman" w:hAnsi="Times New Roman" w:cs="Times New Roman"/>
          <w:sz w:val="24"/>
          <w:szCs w:val="24"/>
        </w:rPr>
        <w:t>Further, s</w:t>
      </w:r>
      <w:r w:rsidR="00CC425F" w:rsidRPr="00CC425F">
        <w:rPr>
          <w:rFonts w:ascii="Times New Roman" w:hAnsi="Times New Roman" w:cs="Times New Roman"/>
          <w:sz w:val="24"/>
          <w:szCs w:val="24"/>
        </w:rPr>
        <w:t xml:space="preserve">ubsection </w:t>
      </w:r>
      <w:r w:rsidR="00615326" w:rsidRPr="00CC425F">
        <w:rPr>
          <w:rFonts w:ascii="Times New Roman" w:hAnsi="Times New Roman" w:cs="Times New Roman"/>
          <w:sz w:val="24"/>
          <w:szCs w:val="24"/>
        </w:rPr>
        <w:t>2</w:t>
      </w:r>
      <w:r w:rsidR="00615326">
        <w:rPr>
          <w:rFonts w:ascii="Times New Roman" w:hAnsi="Times New Roman" w:cs="Times New Roman"/>
          <w:sz w:val="24"/>
          <w:szCs w:val="24"/>
        </w:rPr>
        <w:t>4</w:t>
      </w:r>
      <w:r w:rsidR="00CC425F" w:rsidRPr="00CC425F">
        <w:rPr>
          <w:rFonts w:ascii="Times New Roman" w:hAnsi="Times New Roman" w:cs="Times New Roman"/>
          <w:sz w:val="24"/>
          <w:szCs w:val="24"/>
        </w:rPr>
        <w:t xml:space="preserve">(6) of the POFR Act also allows </w:t>
      </w:r>
      <w:r w:rsidR="00F04700">
        <w:rPr>
          <w:rFonts w:ascii="Times New Roman" w:hAnsi="Times New Roman" w:cs="Times New Roman"/>
          <w:sz w:val="24"/>
          <w:szCs w:val="24"/>
        </w:rPr>
        <w:t>the Secretary to impose</w:t>
      </w:r>
      <w:r w:rsidR="00F04700" w:rsidRPr="00CC425F">
        <w:rPr>
          <w:rFonts w:ascii="Times New Roman" w:hAnsi="Times New Roman" w:cs="Times New Roman"/>
          <w:sz w:val="24"/>
          <w:szCs w:val="24"/>
        </w:rPr>
        <w:t xml:space="preserve"> </w:t>
      </w:r>
      <w:r w:rsidR="00CC425F" w:rsidRPr="00CC425F">
        <w:rPr>
          <w:rFonts w:ascii="Times New Roman" w:hAnsi="Times New Roman" w:cs="Times New Roman"/>
          <w:sz w:val="24"/>
          <w:szCs w:val="24"/>
        </w:rPr>
        <w:t xml:space="preserve">conditions in relation to data disclosed to these agencies (other than the ACCC which is subject to its own secrecy arrangements, applied through </w:t>
      </w:r>
      <w:r w:rsidR="008D3706">
        <w:rPr>
          <w:rFonts w:ascii="Times New Roman" w:hAnsi="Times New Roman" w:cs="Times New Roman"/>
          <w:sz w:val="24"/>
          <w:szCs w:val="24"/>
        </w:rPr>
        <w:t>sub</w:t>
      </w:r>
      <w:r w:rsidR="00CC425F" w:rsidRPr="00CC425F">
        <w:rPr>
          <w:rFonts w:ascii="Times New Roman" w:hAnsi="Times New Roman" w:cs="Times New Roman"/>
          <w:sz w:val="24"/>
          <w:szCs w:val="24"/>
        </w:rPr>
        <w:t>section 24(9) of the POFR Act). The</w:t>
      </w:r>
      <w:r w:rsidR="00F04700">
        <w:rPr>
          <w:rFonts w:ascii="Times New Roman" w:hAnsi="Times New Roman" w:cs="Times New Roman"/>
          <w:sz w:val="24"/>
          <w:szCs w:val="24"/>
        </w:rPr>
        <w:t xml:space="preserve"> power to impose</w:t>
      </w:r>
      <w:r w:rsidR="00CC425F" w:rsidRPr="00CC425F">
        <w:rPr>
          <w:rFonts w:ascii="Times New Roman" w:hAnsi="Times New Roman" w:cs="Times New Roman"/>
          <w:sz w:val="24"/>
          <w:szCs w:val="24"/>
        </w:rPr>
        <w:t xml:space="preserve"> conditions </w:t>
      </w:r>
      <w:r w:rsidR="00F04700">
        <w:rPr>
          <w:rFonts w:ascii="Times New Roman" w:hAnsi="Times New Roman" w:cs="Times New Roman"/>
          <w:sz w:val="24"/>
          <w:szCs w:val="24"/>
        </w:rPr>
        <w:t xml:space="preserve">is </w:t>
      </w:r>
      <w:r w:rsidR="00CC425F" w:rsidRPr="00CC425F">
        <w:rPr>
          <w:rFonts w:ascii="Times New Roman" w:hAnsi="Times New Roman" w:cs="Times New Roman"/>
          <w:sz w:val="24"/>
          <w:szCs w:val="24"/>
        </w:rPr>
        <w:t>intended to be used to protect the information from further disclosures that may impact affected parties, and failure to comply with such conditions is an offence carrying a maximum penalty of imprisonment for 2 years (</w:t>
      </w:r>
      <w:r w:rsidR="008D3706">
        <w:rPr>
          <w:rFonts w:ascii="Times New Roman" w:hAnsi="Times New Roman" w:cs="Times New Roman"/>
          <w:sz w:val="24"/>
          <w:szCs w:val="24"/>
        </w:rPr>
        <w:t>sub</w:t>
      </w:r>
      <w:r w:rsidR="00CC425F" w:rsidRPr="00CC425F">
        <w:rPr>
          <w:rFonts w:ascii="Times New Roman" w:hAnsi="Times New Roman" w:cs="Times New Roman"/>
          <w:sz w:val="24"/>
          <w:szCs w:val="24"/>
        </w:rPr>
        <w:t xml:space="preserve">section 24(7) of the POFR Act). Relevant obligations under the </w:t>
      </w:r>
      <w:r w:rsidR="00CC425F" w:rsidRPr="000772BD">
        <w:rPr>
          <w:rFonts w:ascii="Times New Roman" w:hAnsi="Times New Roman" w:cs="Times New Roman"/>
          <w:i/>
          <w:sz w:val="24"/>
          <w:szCs w:val="24"/>
        </w:rPr>
        <w:t>Privacy Act 1988</w:t>
      </w:r>
      <w:r w:rsidR="00CC425F" w:rsidRPr="00CC425F">
        <w:rPr>
          <w:rFonts w:ascii="Times New Roman" w:hAnsi="Times New Roman" w:cs="Times New Roman"/>
          <w:sz w:val="24"/>
          <w:szCs w:val="24"/>
        </w:rPr>
        <w:t xml:space="preserve"> continue to apply.</w:t>
      </w:r>
      <w:r>
        <w:rPr>
          <w:rFonts w:ascii="Times New Roman" w:hAnsi="Times New Roman" w:cs="Times New Roman"/>
          <w:sz w:val="24"/>
          <w:szCs w:val="24"/>
        </w:rPr>
        <w:t xml:space="preserve"> </w:t>
      </w:r>
      <w:r w:rsidR="008D4318" w:rsidRPr="00F751AA">
        <w:rPr>
          <w:rFonts w:ascii="Times New Roman" w:hAnsi="Times New Roman" w:cs="Times New Roman"/>
          <w:sz w:val="24"/>
          <w:szCs w:val="24"/>
        </w:rPr>
        <w:t>Therefore, it is highly unlikely the Rule</w:t>
      </w:r>
      <w:r w:rsidR="00F751AA" w:rsidRPr="00F751AA">
        <w:rPr>
          <w:rFonts w:ascii="Times New Roman" w:hAnsi="Times New Roman" w:cs="Times New Roman"/>
          <w:sz w:val="24"/>
          <w:szCs w:val="24"/>
        </w:rPr>
        <w:t>s engage or limit</w:t>
      </w:r>
      <w:r w:rsidR="008D4318" w:rsidRPr="00F751AA">
        <w:rPr>
          <w:rFonts w:ascii="Times New Roman" w:hAnsi="Times New Roman" w:cs="Times New Roman"/>
          <w:sz w:val="24"/>
          <w:szCs w:val="24"/>
        </w:rPr>
        <w:t xml:space="preserve"> the right to privacy.</w:t>
      </w:r>
    </w:p>
    <w:p w14:paraId="711C9E75" w14:textId="77777777" w:rsidR="00676D69" w:rsidRPr="002F013E" w:rsidRDefault="00676D69" w:rsidP="002F013E">
      <w:pPr>
        <w:shd w:val="clear" w:color="auto" w:fill="FFFFFF"/>
        <w:spacing w:before="365" w:line="274" w:lineRule="atLeast"/>
        <w:textAlignment w:val="baseline"/>
        <w:rPr>
          <w:rFonts w:ascii="Times New Roman" w:hAnsi="Times New Roman" w:cs="Times New Roman"/>
          <w:b/>
          <w:bCs/>
          <w:color w:val="000000"/>
          <w:sz w:val="24"/>
          <w:szCs w:val="24"/>
        </w:rPr>
      </w:pPr>
      <w:r w:rsidRPr="002F013E">
        <w:rPr>
          <w:rFonts w:ascii="Times New Roman" w:hAnsi="Times New Roman" w:cs="Times New Roman"/>
          <w:b/>
          <w:bCs/>
          <w:color w:val="000000"/>
          <w:sz w:val="24"/>
          <w:szCs w:val="24"/>
        </w:rPr>
        <w:t>Right to freedom of expression – Article 19 ICCPR</w:t>
      </w:r>
    </w:p>
    <w:p w14:paraId="4F95429A" w14:textId="0F0280F4" w:rsidR="002F013E" w:rsidRPr="00556F43" w:rsidRDefault="002F013E" w:rsidP="00093A06">
      <w:pPr>
        <w:shd w:val="clear" w:color="auto" w:fill="FFFFFF"/>
        <w:spacing w:line="316" w:lineRule="atLeast"/>
        <w:ind w:right="72"/>
        <w:textAlignment w:val="baseline"/>
        <w:rPr>
          <w:rFonts w:ascii="Times New Roman" w:hAnsi="Times New Roman" w:cs="Times New Roman"/>
          <w:sz w:val="24"/>
          <w:szCs w:val="24"/>
        </w:rPr>
      </w:pPr>
      <w:r w:rsidRPr="00556F43">
        <w:rPr>
          <w:rFonts w:ascii="Times New Roman" w:hAnsi="Times New Roman" w:cs="Times New Roman"/>
          <w:sz w:val="24"/>
          <w:szCs w:val="24"/>
        </w:rPr>
        <w:t>The Rules, so far as they interact with the wider POFR Act framework, may engage the right to freedom of expression. For example, under subsection 24(6) of the POFR Act, the Secretary has discretion to impose conditions on other entities – including the Commonwealth and State and Territory agencies that are prescribed by these Rules – when he or she discloses protected information to them. It is envisioned that the Secretary would, in certain circumstances, use this power to prohibit further recording, use or disclosure of protected information. It would also be a criminal offence punishable by up to two years imprisonment to breach a condition imposed by the Secretary under subsection 24(6) of the POFR Act.</w:t>
      </w:r>
    </w:p>
    <w:p w14:paraId="6E6311CF" w14:textId="6E19C4CA" w:rsidR="002F013E" w:rsidRPr="00556F43" w:rsidRDefault="002F013E" w:rsidP="00093A06">
      <w:pPr>
        <w:shd w:val="clear" w:color="auto" w:fill="FFFFFF"/>
        <w:spacing w:line="316" w:lineRule="atLeast"/>
        <w:ind w:right="72"/>
        <w:textAlignment w:val="baseline"/>
        <w:rPr>
          <w:rFonts w:ascii="Times New Roman" w:hAnsi="Times New Roman" w:cs="Times New Roman"/>
          <w:sz w:val="24"/>
          <w:szCs w:val="24"/>
        </w:rPr>
      </w:pPr>
      <w:r w:rsidRPr="00556F43">
        <w:rPr>
          <w:rFonts w:ascii="Times New Roman" w:hAnsi="Times New Roman" w:cs="Times New Roman"/>
          <w:sz w:val="24"/>
          <w:szCs w:val="24"/>
        </w:rPr>
        <w:t>The restrictions on record-making, publication and disclosure engage the right to freedom of expression in Article 19 of the International Covenant on Civil and Political Rights. Article 19 permits restrictions on freedom of expression as provided by law when necessary to protect public order, which includes the protection of confidential information. The restrictions on record-making, publication and disclosure are compatible with the Article as they are required to ensure that persons required to report under the POFR Act can be confident that their sensitive information will be protected and treated appropriately when it is used by the Department or another entity (including those entities prescribed by the Rules).</w:t>
      </w:r>
    </w:p>
    <w:p w14:paraId="3A01821D" w14:textId="11ED9B27" w:rsidR="00676D69" w:rsidRDefault="00676D69" w:rsidP="00093A06">
      <w:pPr>
        <w:shd w:val="clear" w:color="auto" w:fill="FFFFFF"/>
        <w:spacing w:line="316" w:lineRule="atLeast"/>
        <w:ind w:right="72"/>
        <w:textAlignment w:val="baseline"/>
        <w:rPr>
          <w:rFonts w:ascii="Times New Roman" w:hAnsi="Times New Roman" w:cs="Times New Roman"/>
          <w:sz w:val="24"/>
          <w:szCs w:val="24"/>
        </w:rPr>
      </w:pPr>
      <w:r w:rsidRPr="00676D69">
        <w:rPr>
          <w:rFonts w:ascii="Times New Roman" w:hAnsi="Times New Roman" w:cs="Times New Roman"/>
          <w:sz w:val="24"/>
          <w:szCs w:val="24"/>
        </w:rPr>
        <w:t xml:space="preserve">Given the above, the restrictions are considered compatible with Article 19 of the ICCPR because they promote the integrity of the </w:t>
      </w:r>
      <w:r w:rsidR="002F013E">
        <w:rPr>
          <w:rFonts w:ascii="Times New Roman" w:hAnsi="Times New Roman" w:cs="Times New Roman"/>
          <w:sz w:val="24"/>
          <w:szCs w:val="24"/>
        </w:rPr>
        <w:t>reporting</w:t>
      </w:r>
      <w:r w:rsidRPr="00676D69">
        <w:rPr>
          <w:rFonts w:ascii="Times New Roman" w:hAnsi="Times New Roman" w:cs="Times New Roman"/>
          <w:sz w:val="24"/>
          <w:szCs w:val="24"/>
        </w:rPr>
        <w:t xml:space="preserve"> scheme</w:t>
      </w:r>
      <w:r w:rsidR="002F013E">
        <w:rPr>
          <w:rFonts w:ascii="Times New Roman" w:hAnsi="Times New Roman" w:cs="Times New Roman"/>
          <w:sz w:val="24"/>
          <w:szCs w:val="24"/>
        </w:rPr>
        <w:t>, and provide appropriate protection of regulated entities’ confidential information</w:t>
      </w:r>
      <w:r w:rsidRPr="00676D69">
        <w:rPr>
          <w:rFonts w:ascii="Times New Roman" w:hAnsi="Times New Roman" w:cs="Times New Roman"/>
          <w:sz w:val="24"/>
          <w:szCs w:val="24"/>
        </w:rPr>
        <w:t>.</w:t>
      </w:r>
    </w:p>
    <w:p w14:paraId="23311A28" w14:textId="77777777" w:rsidR="00A350C6" w:rsidRPr="00BC4CD5" w:rsidRDefault="00A350C6" w:rsidP="00A350C6">
      <w:pPr>
        <w:shd w:val="clear" w:color="auto" w:fill="FFFFFF"/>
        <w:spacing w:before="365" w:line="274" w:lineRule="atLeast"/>
        <w:textAlignment w:val="baseline"/>
        <w:rPr>
          <w:rFonts w:ascii="Times New Roman" w:hAnsi="Times New Roman" w:cs="Times New Roman"/>
          <w:b/>
          <w:bCs/>
          <w:color w:val="000000"/>
          <w:sz w:val="24"/>
          <w:szCs w:val="24"/>
        </w:rPr>
      </w:pPr>
      <w:r w:rsidRPr="00BC4CD5">
        <w:rPr>
          <w:rFonts w:ascii="Times New Roman" w:hAnsi="Times New Roman" w:cs="Times New Roman"/>
          <w:b/>
          <w:bCs/>
          <w:color w:val="000000"/>
          <w:sz w:val="24"/>
          <w:szCs w:val="24"/>
        </w:rPr>
        <w:t>Right not to incriminate oneself – Article 14(3)(g) ICCPR</w:t>
      </w:r>
    </w:p>
    <w:p w14:paraId="2DC52E46" w14:textId="58B1A53D" w:rsidR="00A350C6" w:rsidRPr="00BC4CD5" w:rsidRDefault="00A350C6" w:rsidP="00093A06">
      <w:pPr>
        <w:shd w:val="clear" w:color="auto" w:fill="FFFFFF"/>
        <w:spacing w:line="316" w:lineRule="atLeast"/>
        <w:ind w:right="72"/>
        <w:textAlignment w:val="baseline"/>
        <w:rPr>
          <w:rFonts w:ascii="Times New Roman" w:hAnsi="Times New Roman" w:cs="Times New Roman"/>
          <w:sz w:val="24"/>
          <w:szCs w:val="24"/>
        </w:rPr>
      </w:pPr>
      <w:r w:rsidRPr="00BC4CD5">
        <w:rPr>
          <w:rFonts w:ascii="Times New Roman" w:hAnsi="Times New Roman" w:cs="Times New Roman"/>
          <w:sz w:val="24"/>
          <w:szCs w:val="24"/>
        </w:rPr>
        <w:t xml:space="preserve">While noting the matters referred to above regarding the fact the Rules will primarily regulate entities that are not individuals, for completeness consideration has been given to whether the prescription of government agencies under the Rules </w:t>
      </w:r>
      <w:r w:rsidR="00BC4CD5">
        <w:rPr>
          <w:rFonts w:ascii="Times New Roman" w:hAnsi="Times New Roman" w:cs="Times New Roman"/>
          <w:sz w:val="24"/>
          <w:szCs w:val="24"/>
        </w:rPr>
        <w:t xml:space="preserve">to whom protected information may be disclosed </w:t>
      </w:r>
      <w:r w:rsidRPr="00BC4CD5">
        <w:rPr>
          <w:rFonts w:ascii="Times New Roman" w:hAnsi="Times New Roman" w:cs="Times New Roman"/>
          <w:sz w:val="24"/>
          <w:szCs w:val="24"/>
        </w:rPr>
        <w:t>potentially engages the right not to incriminate oneself.</w:t>
      </w:r>
    </w:p>
    <w:p w14:paraId="2C1CFC66" w14:textId="256CAA82" w:rsidR="00A350C6" w:rsidRPr="00F751AA" w:rsidRDefault="00A350C6" w:rsidP="00093A06">
      <w:pPr>
        <w:shd w:val="clear" w:color="auto" w:fill="FFFFFF"/>
        <w:spacing w:line="316" w:lineRule="atLeast"/>
        <w:ind w:right="72"/>
        <w:textAlignment w:val="baseline"/>
        <w:rPr>
          <w:rFonts w:ascii="Times New Roman" w:hAnsi="Times New Roman" w:cs="Times New Roman"/>
          <w:sz w:val="24"/>
          <w:szCs w:val="24"/>
        </w:rPr>
      </w:pPr>
      <w:r w:rsidRPr="00BC4CD5">
        <w:rPr>
          <w:rFonts w:ascii="Times New Roman" w:hAnsi="Times New Roman" w:cs="Times New Roman"/>
          <w:sz w:val="24"/>
          <w:szCs w:val="24"/>
        </w:rPr>
        <w:t xml:space="preserve">With respect to any disclosure of protected information to prescribed entities, it is not the policy intention </w:t>
      </w:r>
      <w:r w:rsidR="006C2500">
        <w:rPr>
          <w:rFonts w:ascii="Times New Roman" w:hAnsi="Times New Roman" w:cs="Times New Roman"/>
          <w:sz w:val="24"/>
          <w:szCs w:val="24"/>
        </w:rPr>
        <w:t xml:space="preserve">that </w:t>
      </w:r>
      <w:r w:rsidRPr="00BC4CD5">
        <w:rPr>
          <w:rFonts w:ascii="Times New Roman" w:hAnsi="Times New Roman" w:cs="Times New Roman"/>
          <w:sz w:val="24"/>
          <w:szCs w:val="24"/>
        </w:rPr>
        <w:t xml:space="preserve">this would abrogate ordinary common law privileges, such as the privileges against self-incrimination, self-exposure to a civil penalty </w:t>
      </w:r>
      <w:r w:rsidR="006C2500">
        <w:rPr>
          <w:rFonts w:ascii="Times New Roman" w:hAnsi="Times New Roman" w:cs="Times New Roman"/>
          <w:sz w:val="24"/>
          <w:szCs w:val="24"/>
        </w:rPr>
        <w:t>or</w:t>
      </w:r>
      <w:r w:rsidR="006C2500" w:rsidRPr="00BC4CD5">
        <w:rPr>
          <w:rFonts w:ascii="Times New Roman" w:hAnsi="Times New Roman" w:cs="Times New Roman"/>
          <w:sz w:val="24"/>
          <w:szCs w:val="24"/>
        </w:rPr>
        <w:t xml:space="preserve"> </w:t>
      </w:r>
      <w:r w:rsidRPr="00BC4CD5">
        <w:rPr>
          <w:rFonts w:ascii="Times New Roman" w:hAnsi="Times New Roman" w:cs="Times New Roman"/>
          <w:sz w:val="24"/>
          <w:szCs w:val="24"/>
        </w:rPr>
        <w:t>legal professional privilege. Accordingly, the Rules do not limit the right of individuals not to incriminate oneself.</w:t>
      </w:r>
    </w:p>
    <w:p w14:paraId="0644059C" w14:textId="77777777" w:rsidR="008D4318" w:rsidRPr="009A52C4" w:rsidRDefault="008D4318" w:rsidP="00556F43">
      <w:pPr>
        <w:keepNext/>
        <w:keepLines/>
        <w:shd w:val="clear" w:color="auto" w:fill="FFFFFF"/>
        <w:spacing w:before="240" w:line="253" w:lineRule="atLeast"/>
        <w:rPr>
          <w:rFonts w:ascii="Times New Roman" w:hAnsi="Times New Roman" w:cs="Times New Roman"/>
          <w:sz w:val="24"/>
          <w:szCs w:val="24"/>
        </w:rPr>
      </w:pPr>
      <w:r w:rsidRPr="009A52C4">
        <w:rPr>
          <w:rFonts w:ascii="Times New Roman" w:hAnsi="Times New Roman" w:cs="Times New Roman"/>
          <w:b/>
          <w:bCs/>
          <w:sz w:val="24"/>
          <w:szCs w:val="24"/>
        </w:rPr>
        <w:t>Conclusion</w:t>
      </w:r>
    </w:p>
    <w:p w14:paraId="7A97D33D" w14:textId="15FD3C6F" w:rsidR="008D4318" w:rsidRDefault="008D4318" w:rsidP="00556F43">
      <w:pPr>
        <w:keepNext/>
        <w:keepLines/>
        <w:shd w:val="clear" w:color="auto" w:fill="FFFFFF"/>
        <w:spacing w:after="758" w:line="315" w:lineRule="atLeast"/>
        <w:textAlignment w:val="baseline"/>
        <w:rPr>
          <w:rFonts w:ascii="Times New Roman" w:hAnsi="Times New Roman" w:cs="Times New Roman"/>
          <w:sz w:val="24"/>
          <w:szCs w:val="24"/>
        </w:rPr>
      </w:pPr>
      <w:r w:rsidRPr="009A52C4">
        <w:rPr>
          <w:rFonts w:ascii="Times New Roman" w:hAnsi="Times New Roman" w:cs="Times New Roman"/>
          <w:sz w:val="24"/>
          <w:szCs w:val="24"/>
        </w:rPr>
        <w:t>This instrument is compatible with human rights because</w:t>
      </w:r>
      <w:r w:rsidR="00785FD3">
        <w:rPr>
          <w:rFonts w:ascii="Times New Roman" w:hAnsi="Times New Roman" w:cs="Times New Roman"/>
          <w:sz w:val="24"/>
          <w:szCs w:val="24"/>
        </w:rPr>
        <w:t>, to the extent that they</w:t>
      </w:r>
      <w:r w:rsidRPr="009A52C4">
        <w:rPr>
          <w:rFonts w:ascii="Times New Roman" w:hAnsi="Times New Roman" w:cs="Times New Roman"/>
          <w:sz w:val="24"/>
          <w:szCs w:val="24"/>
        </w:rPr>
        <w:t xml:space="preserve"> may limit human rights, those limitations are reasonable, necessary and proportionate.</w:t>
      </w:r>
    </w:p>
    <w:p w14:paraId="55D5887B" w14:textId="2BE7DFCA" w:rsidR="006A54CB" w:rsidRDefault="006A54CB" w:rsidP="00556F43">
      <w:pPr>
        <w:keepNext/>
        <w:keepLines/>
        <w:shd w:val="clear" w:color="auto" w:fill="FFFFFF"/>
        <w:spacing w:after="12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The Hon </w:t>
      </w:r>
      <w:r w:rsidR="003B24D3" w:rsidRPr="003B24D3">
        <w:rPr>
          <w:rFonts w:ascii="Times New Roman" w:hAnsi="Times New Roman" w:cs="Times New Roman"/>
          <w:b/>
          <w:sz w:val="24"/>
          <w:szCs w:val="24"/>
        </w:rPr>
        <w:t>Chris Bowen</w:t>
      </w:r>
      <w:r w:rsidR="003B24D3" w:rsidRPr="003B24D3" w:rsidDel="003B24D3">
        <w:rPr>
          <w:rFonts w:ascii="Times New Roman" w:hAnsi="Times New Roman" w:cs="Times New Roman"/>
          <w:b/>
          <w:sz w:val="24"/>
          <w:szCs w:val="24"/>
        </w:rPr>
        <w:t xml:space="preserve"> </w:t>
      </w:r>
      <w:r>
        <w:rPr>
          <w:rFonts w:ascii="Times New Roman" w:hAnsi="Times New Roman" w:cs="Times New Roman"/>
          <w:b/>
          <w:sz w:val="24"/>
          <w:szCs w:val="24"/>
        </w:rPr>
        <w:t>MP</w:t>
      </w:r>
    </w:p>
    <w:p w14:paraId="495C7D8B" w14:textId="52E5A6DA" w:rsidR="00544F4E" w:rsidRPr="00BC4CD5" w:rsidRDefault="006A54CB" w:rsidP="00556F43">
      <w:pPr>
        <w:keepNext/>
        <w:keepLines/>
        <w:shd w:val="clear" w:color="auto" w:fill="FFFFFF"/>
        <w:spacing w:after="758" w:line="315" w:lineRule="atLeast"/>
        <w:jc w:val="center"/>
        <w:textAlignment w:val="baseline"/>
        <w:rPr>
          <w:rFonts w:ascii="Times New Roman" w:hAnsi="Times New Roman" w:cs="Times New Roman"/>
          <w:sz w:val="24"/>
          <w:szCs w:val="24"/>
        </w:rPr>
      </w:pPr>
      <w:r>
        <w:rPr>
          <w:rFonts w:ascii="Times New Roman" w:hAnsi="Times New Roman" w:cs="Times New Roman"/>
          <w:b/>
          <w:sz w:val="24"/>
          <w:szCs w:val="24"/>
        </w:rPr>
        <w:t xml:space="preserve">Minister for </w:t>
      </w:r>
      <w:r w:rsidR="003B24D3" w:rsidRPr="003B24D3">
        <w:rPr>
          <w:rFonts w:ascii="Times New Roman" w:hAnsi="Times New Roman" w:cs="Times New Roman"/>
          <w:b/>
          <w:sz w:val="24"/>
          <w:szCs w:val="24"/>
        </w:rPr>
        <w:t>Minister for Climate Change and Energy</w:t>
      </w:r>
    </w:p>
    <w:sectPr w:rsidR="00544F4E" w:rsidRPr="00BC4CD5" w:rsidSect="00033FDE">
      <w:headerReference w:type="even" r:id="rId17"/>
      <w:headerReference w:type="default" r:id="rId18"/>
      <w:headerReference w:type="first" r:id="rId1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9EBE0" w16cid:durableId="265C52F8"/>
  <w16cid:commentId w16cid:paraId="3C54A101" w16cid:durableId="265C531D"/>
  <w16cid:commentId w16cid:paraId="1A75F2E8" w16cid:durableId="265C52F9"/>
  <w16cid:commentId w16cid:paraId="585FF673" w16cid:durableId="265C52FA"/>
  <w16cid:commentId w16cid:paraId="373CF457" w16cid:durableId="265C52FB"/>
  <w16cid:commentId w16cid:paraId="78B830E1" w16cid:durableId="265C52FC"/>
  <w16cid:commentId w16cid:paraId="0C72EF2A" w16cid:durableId="265C52FD"/>
  <w16cid:commentId w16cid:paraId="45C3CA6A" w16cid:durableId="265C5398"/>
  <w16cid:commentId w16cid:paraId="02FC61BE" w16cid:durableId="265C52FE"/>
  <w16cid:commentId w16cid:paraId="1A2C8ED9" w16cid:durableId="265C5401"/>
  <w16cid:commentId w16cid:paraId="379A42DD" w16cid:durableId="265C52FF"/>
  <w16cid:commentId w16cid:paraId="36395040" w16cid:durableId="265C5413"/>
  <w16cid:commentId w16cid:paraId="025769C2" w16cid:durableId="265C5300"/>
  <w16cid:commentId w16cid:paraId="7ED6885F" w16cid:durableId="265C5430"/>
  <w16cid:commentId w16cid:paraId="06EE1B48" w16cid:durableId="265C5301"/>
  <w16cid:commentId w16cid:paraId="75CEACDA" w16cid:durableId="265C5428"/>
  <w16cid:commentId w16cid:paraId="5AD37015" w16cid:durableId="265C5302"/>
  <w16cid:commentId w16cid:paraId="425DCA51" w16cid:durableId="265C54D1"/>
  <w16cid:commentId w16cid:paraId="321CF2AC" w16cid:durableId="265C5303"/>
  <w16cid:commentId w16cid:paraId="0431CBFE" w16cid:durableId="265C5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BA338" w14:textId="77777777" w:rsidR="00D21F87" w:rsidRDefault="00D21F87" w:rsidP="00033FDE">
      <w:pPr>
        <w:spacing w:after="0" w:line="240" w:lineRule="auto"/>
      </w:pPr>
      <w:r>
        <w:separator/>
      </w:r>
    </w:p>
  </w:endnote>
  <w:endnote w:type="continuationSeparator" w:id="0">
    <w:p w14:paraId="27D65EAB" w14:textId="77777777" w:rsidR="00D21F87" w:rsidRDefault="00D21F87" w:rsidP="00033FDE">
      <w:pPr>
        <w:spacing w:after="0" w:line="240" w:lineRule="auto"/>
      </w:pPr>
      <w:r>
        <w:continuationSeparator/>
      </w:r>
    </w:p>
  </w:endnote>
  <w:endnote w:type="continuationNotice" w:id="1">
    <w:p w14:paraId="5A58F7BA" w14:textId="77777777" w:rsidR="00D21F87" w:rsidRDefault="00D21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32412"/>
      <w:docPartObj>
        <w:docPartGallery w:val="Page Numbers (Bottom of Page)"/>
        <w:docPartUnique/>
      </w:docPartObj>
    </w:sdtPr>
    <w:sdtEndPr>
      <w:rPr>
        <w:noProof/>
      </w:rPr>
    </w:sdtEndPr>
    <w:sdtContent>
      <w:p w14:paraId="58D210AB" w14:textId="752D2281" w:rsidR="003B153B" w:rsidRDefault="003B153B">
        <w:pPr>
          <w:pStyle w:val="Footer"/>
          <w:jc w:val="center"/>
        </w:pPr>
        <w:r w:rsidRPr="00240AAD">
          <w:rPr>
            <w:rFonts w:ascii="Times New Roman" w:hAnsi="Times New Roman" w:cs="Times New Roman"/>
            <w:sz w:val="24"/>
            <w:szCs w:val="24"/>
          </w:rPr>
          <w:fldChar w:fldCharType="begin"/>
        </w:r>
        <w:r w:rsidRPr="00240AAD">
          <w:rPr>
            <w:rFonts w:ascii="Times New Roman" w:hAnsi="Times New Roman" w:cs="Times New Roman"/>
            <w:sz w:val="24"/>
            <w:szCs w:val="24"/>
          </w:rPr>
          <w:instrText xml:space="preserve"> PAGE   \* MERGEFORMAT </w:instrText>
        </w:r>
        <w:r w:rsidRPr="00240AAD">
          <w:rPr>
            <w:rFonts w:ascii="Times New Roman" w:hAnsi="Times New Roman" w:cs="Times New Roman"/>
            <w:sz w:val="24"/>
            <w:szCs w:val="24"/>
          </w:rPr>
          <w:fldChar w:fldCharType="separate"/>
        </w:r>
        <w:r w:rsidR="00D21E78">
          <w:rPr>
            <w:rFonts w:ascii="Times New Roman" w:hAnsi="Times New Roman" w:cs="Times New Roman"/>
            <w:noProof/>
            <w:sz w:val="24"/>
            <w:szCs w:val="24"/>
          </w:rPr>
          <w:t>1</w:t>
        </w:r>
        <w:r w:rsidRPr="00240AAD">
          <w:rPr>
            <w:rFonts w:ascii="Times New Roman" w:hAnsi="Times New Roman" w:cs="Times New Roman"/>
            <w:noProof/>
            <w:sz w:val="24"/>
            <w:szCs w:val="24"/>
          </w:rPr>
          <w:fldChar w:fldCharType="end"/>
        </w:r>
      </w:p>
    </w:sdtContent>
  </w:sdt>
  <w:p w14:paraId="4ED84AC7" w14:textId="77777777" w:rsidR="003B153B" w:rsidRDefault="003B1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985726"/>
      <w:docPartObj>
        <w:docPartGallery w:val="Page Numbers (Bottom of Page)"/>
        <w:docPartUnique/>
      </w:docPartObj>
    </w:sdtPr>
    <w:sdtEndPr>
      <w:rPr>
        <w:rFonts w:ascii="Times New Roman" w:hAnsi="Times New Roman" w:cs="Times New Roman"/>
        <w:noProof/>
        <w:sz w:val="24"/>
        <w:szCs w:val="24"/>
      </w:rPr>
    </w:sdtEndPr>
    <w:sdtContent>
      <w:p w14:paraId="662DCB75" w14:textId="7782A79E" w:rsidR="00AD00EC" w:rsidRPr="00240AAD" w:rsidRDefault="00AD00EC">
        <w:pPr>
          <w:pStyle w:val="Footer"/>
          <w:jc w:val="center"/>
          <w:rPr>
            <w:rFonts w:ascii="Times New Roman" w:hAnsi="Times New Roman" w:cs="Times New Roman"/>
            <w:sz w:val="24"/>
            <w:szCs w:val="24"/>
          </w:rPr>
        </w:pPr>
        <w:r w:rsidRPr="00240AAD">
          <w:rPr>
            <w:rFonts w:ascii="Times New Roman" w:hAnsi="Times New Roman" w:cs="Times New Roman"/>
            <w:sz w:val="24"/>
            <w:szCs w:val="24"/>
          </w:rPr>
          <w:fldChar w:fldCharType="begin"/>
        </w:r>
        <w:r w:rsidRPr="00240AAD">
          <w:rPr>
            <w:rFonts w:ascii="Times New Roman" w:hAnsi="Times New Roman" w:cs="Times New Roman"/>
            <w:sz w:val="24"/>
            <w:szCs w:val="24"/>
          </w:rPr>
          <w:instrText xml:space="preserve"> PAGE   \* MERGEFORMAT </w:instrText>
        </w:r>
        <w:r w:rsidRPr="00240AAD">
          <w:rPr>
            <w:rFonts w:ascii="Times New Roman" w:hAnsi="Times New Roman" w:cs="Times New Roman"/>
            <w:sz w:val="24"/>
            <w:szCs w:val="24"/>
          </w:rPr>
          <w:fldChar w:fldCharType="separate"/>
        </w:r>
        <w:r w:rsidR="00D21E78">
          <w:rPr>
            <w:rFonts w:ascii="Times New Roman" w:hAnsi="Times New Roman" w:cs="Times New Roman"/>
            <w:noProof/>
            <w:sz w:val="24"/>
            <w:szCs w:val="24"/>
          </w:rPr>
          <w:t>5</w:t>
        </w:r>
        <w:r w:rsidRPr="00240AAD">
          <w:rPr>
            <w:rFonts w:ascii="Times New Roman" w:hAnsi="Times New Roman" w:cs="Times New Roman"/>
            <w:noProof/>
            <w:sz w:val="24"/>
            <w:szCs w:val="24"/>
          </w:rPr>
          <w:fldChar w:fldCharType="end"/>
        </w:r>
      </w:p>
    </w:sdtContent>
  </w:sdt>
  <w:p w14:paraId="71C424AD" w14:textId="77777777" w:rsidR="00AD00EC" w:rsidRDefault="00AD0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E1DB" w14:textId="77777777" w:rsidR="00D21F87" w:rsidRDefault="00D21F87" w:rsidP="00033FDE">
      <w:pPr>
        <w:spacing w:after="0" w:line="240" w:lineRule="auto"/>
      </w:pPr>
      <w:r>
        <w:separator/>
      </w:r>
    </w:p>
  </w:footnote>
  <w:footnote w:type="continuationSeparator" w:id="0">
    <w:p w14:paraId="65B2452F" w14:textId="77777777" w:rsidR="00D21F87" w:rsidRDefault="00D21F87" w:rsidP="00033FDE">
      <w:pPr>
        <w:spacing w:after="0" w:line="240" w:lineRule="auto"/>
      </w:pPr>
      <w:r>
        <w:continuationSeparator/>
      </w:r>
    </w:p>
  </w:footnote>
  <w:footnote w:type="continuationNotice" w:id="1">
    <w:p w14:paraId="565601BD" w14:textId="77777777" w:rsidR="00D21F87" w:rsidRDefault="00D21F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63B8" w14:textId="429EC94F" w:rsidR="003B153B" w:rsidRDefault="003B1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0C5F2" w14:textId="609DAD85" w:rsidR="003B153B" w:rsidRDefault="003B153B">
    <w:pPr>
      <w:pStyle w:val="Header"/>
    </w:pPr>
  </w:p>
  <w:p w14:paraId="53D08786" w14:textId="77777777" w:rsidR="003B153B" w:rsidRDefault="003B1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A961" w14:textId="0130A7B7" w:rsidR="003B153B" w:rsidRDefault="003B153B">
    <w:pPr>
      <w:pStyle w:val="Header"/>
    </w:pPr>
    <w:r>
      <w:rPr>
        <w:noProof/>
        <w:lang w:eastAsia="en-AU"/>
      </w:rPr>
      <w:drawing>
        <wp:inline distT="0" distB="0" distL="0" distR="0" wp14:anchorId="2C2D8998" wp14:editId="6A0468C1">
          <wp:extent cx="2678430" cy="694055"/>
          <wp:effectExtent l="0" t="0" r="7620" b="0"/>
          <wp:docPr id="1" name="Picture 1" descr="Australian Government | Department of Industry, Science, Energy and Resources logo" title="Australian Government | Department of Industry, Science, Energy and Resources"/>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Energy and Resources logo" title="Australian Government | Department of Industry, Science, Energy and Resource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81605" cy="694690"/>
                  </a:xfrm>
                  <a:prstGeom prst="rect">
                    <a:avLst/>
                  </a:prstGeom>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02F93" w14:textId="2EEE8224" w:rsidR="003B153B" w:rsidRDefault="003B153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45EE" w14:textId="0F035AE0" w:rsidR="003B153B" w:rsidRDefault="003B15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83C6" w14:textId="1C16BA1C" w:rsidR="003B153B" w:rsidRDefault="003B1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EFA"/>
    <w:multiLevelType w:val="hybridMultilevel"/>
    <w:tmpl w:val="EE98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3B0CAC"/>
    <w:multiLevelType w:val="hybridMultilevel"/>
    <w:tmpl w:val="C75EF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85E1F"/>
    <w:multiLevelType w:val="hybridMultilevel"/>
    <w:tmpl w:val="CB2E2BCE"/>
    <w:lvl w:ilvl="0" w:tplc="821E20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06D7B"/>
    <w:multiLevelType w:val="hybridMultilevel"/>
    <w:tmpl w:val="D0C2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A1EF9"/>
    <w:multiLevelType w:val="hybridMultilevel"/>
    <w:tmpl w:val="F894E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45EA"/>
    <w:multiLevelType w:val="hybridMultilevel"/>
    <w:tmpl w:val="0B08A0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A41C95"/>
    <w:multiLevelType w:val="hybridMultilevel"/>
    <w:tmpl w:val="52F8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DA6A75"/>
    <w:multiLevelType w:val="hybridMultilevel"/>
    <w:tmpl w:val="6F24541C"/>
    <w:lvl w:ilvl="0" w:tplc="AE3242FE">
      <w:start w:val="1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4F2485D"/>
    <w:multiLevelType w:val="hybridMultilevel"/>
    <w:tmpl w:val="BA40BDEC"/>
    <w:lvl w:ilvl="0" w:tplc="C8BC4DC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33E5E"/>
    <w:multiLevelType w:val="hybridMultilevel"/>
    <w:tmpl w:val="9812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73E54"/>
    <w:multiLevelType w:val="hybridMultilevel"/>
    <w:tmpl w:val="D2FA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36272"/>
    <w:multiLevelType w:val="hybridMultilevel"/>
    <w:tmpl w:val="F8E4F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304D47"/>
    <w:multiLevelType w:val="hybridMultilevel"/>
    <w:tmpl w:val="CB08A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A470E"/>
    <w:multiLevelType w:val="hybridMultilevel"/>
    <w:tmpl w:val="8BAA9F36"/>
    <w:lvl w:ilvl="0" w:tplc="0C090001">
      <w:start w:val="1"/>
      <w:numFmt w:val="bullet"/>
      <w:lvlText w:val=""/>
      <w:lvlJc w:val="left"/>
      <w:pPr>
        <w:ind w:left="720" w:hanging="360"/>
      </w:pPr>
      <w:rPr>
        <w:rFonts w:ascii="Symbol" w:hAnsi="Symbol" w:hint="default"/>
      </w:rPr>
    </w:lvl>
    <w:lvl w:ilvl="1" w:tplc="AE3242FE">
      <w:start w:val="1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436F8F"/>
    <w:multiLevelType w:val="hybridMultilevel"/>
    <w:tmpl w:val="2556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06D65"/>
    <w:multiLevelType w:val="hybridMultilevel"/>
    <w:tmpl w:val="F03CF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477886"/>
    <w:multiLevelType w:val="hybridMultilevel"/>
    <w:tmpl w:val="4EB04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B60A61"/>
    <w:multiLevelType w:val="hybridMultilevel"/>
    <w:tmpl w:val="CED8F16C"/>
    <w:lvl w:ilvl="0" w:tplc="7D56E86E">
      <w:start w:val="1"/>
      <w:numFmt w:val="bullet"/>
      <w:lvlText w:val=""/>
      <w:lvlJc w:val="left"/>
      <w:pPr>
        <w:ind w:left="720" w:hanging="360"/>
      </w:pPr>
      <w:rPr>
        <w:rFonts w:ascii="Symbol" w:hAnsi="Symbol" w:hint="default"/>
      </w:rPr>
    </w:lvl>
    <w:lvl w:ilvl="1" w:tplc="5C768FC2">
      <w:start w:val="1"/>
      <w:numFmt w:val="bullet"/>
      <w:lvlText w:val=""/>
      <w:lvlJc w:val="left"/>
      <w:pPr>
        <w:ind w:left="1440" w:hanging="360"/>
      </w:pPr>
      <w:rPr>
        <w:rFonts w:ascii="Symbol" w:hAnsi="Symbol" w:hint="default"/>
      </w:rPr>
    </w:lvl>
    <w:lvl w:ilvl="2" w:tplc="81C4A8BC">
      <w:start w:val="1"/>
      <w:numFmt w:val="bullet"/>
      <w:lvlText w:val=""/>
      <w:lvlJc w:val="left"/>
      <w:pPr>
        <w:ind w:left="2160" w:hanging="360"/>
      </w:pPr>
      <w:rPr>
        <w:rFonts w:ascii="Wingdings" w:hAnsi="Wingdings" w:hint="default"/>
      </w:rPr>
    </w:lvl>
    <w:lvl w:ilvl="3" w:tplc="C444DA9E">
      <w:start w:val="1"/>
      <w:numFmt w:val="bullet"/>
      <w:lvlText w:val=""/>
      <w:lvlJc w:val="left"/>
      <w:pPr>
        <w:ind w:left="2880" w:hanging="360"/>
      </w:pPr>
      <w:rPr>
        <w:rFonts w:ascii="Symbol" w:hAnsi="Symbol" w:hint="default"/>
      </w:rPr>
    </w:lvl>
    <w:lvl w:ilvl="4" w:tplc="5CB4EE70">
      <w:start w:val="1"/>
      <w:numFmt w:val="bullet"/>
      <w:lvlText w:val="o"/>
      <w:lvlJc w:val="left"/>
      <w:pPr>
        <w:ind w:left="3600" w:hanging="360"/>
      </w:pPr>
      <w:rPr>
        <w:rFonts w:ascii="Courier New" w:hAnsi="Courier New" w:hint="default"/>
      </w:rPr>
    </w:lvl>
    <w:lvl w:ilvl="5" w:tplc="F374486E">
      <w:start w:val="1"/>
      <w:numFmt w:val="bullet"/>
      <w:lvlText w:val=""/>
      <w:lvlJc w:val="left"/>
      <w:pPr>
        <w:ind w:left="4320" w:hanging="360"/>
      </w:pPr>
      <w:rPr>
        <w:rFonts w:ascii="Wingdings" w:hAnsi="Wingdings" w:hint="default"/>
      </w:rPr>
    </w:lvl>
    <w:lvl w:ilvl="6" w:tplc="1836257C">
      <w:start w:val="1"/>
      <w:numFmt w:val="bullet"/>
      <w:lvlText w:val=""/>
      <w:lvlJc w:val="left"/>
      <w:pPr>
        <w:ind w:left="5040" w:hanging="360"/>
      </w:pPr>
      <w:rPr>
        <w:rFonts w:ascii="Symbol" w:hAnsi="Symbol" w:hint="default"/>
      </w:rPr>
    </w:lvl>
    <w:lvl w:ilvl="7" w:tplc="90F45E54">
      <w:start w:val="1"/>
      <w:numFmt w:val="bullet"/>
      <w:lvlText w:val="o"/>
      <w:lvlJc w:val="left"/>
      <w:pPr>
        <w:ind w:left="5760" w:hanging="360"/>
      </w:pPr>
      <w:rPr>
        <w:rFonts w:ascii="Courier New" w:hAnsi="Courier New" w:hint="default"/>
      </w:rPr>
    </w:lvl>
    <w:lvl w:ilvl="8" w:tplc="1E9A3FA4">
      <w:start w:val="1"/>
      <w:numFmt w:val="bullet"/>
      <w:lvlText w:val=""/>
      <w:lvlJc w:val="left"/>
      <w:pPr>
        <w:ind w:left="6480" w:hanging="360"/>
      </w:pPr>
      <w:rPr>
        <w:rFonts w:ascii="Wingdings" w:hAnsi="Wingdings" w:hint="default"/>
      </w:rPr>
    </w:lvl>
  </w:abstractNum>
  <w:abstractNum w:abstractNumId="18" w15:restartNumberingAfterBreak="0">
    <w:nsid w:val="3E3246A8"/>
    <w:multiLevelType w:val="hybridMultilevel"/>
    <w:tmpl w:val="C6181A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782562"/>
    <w:multiLevelType w:val="hybridMultilevel"/>
    <w:tmpl w:val="98046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F15549"/>
    <w:multiLevelType w:val="hybridMultilevel"/>
    <w:tmpl w:val="564C3D54"/>
    <w:lvl w:ilvl="0" w:tplc="7DD82C06">
      <w:start w:val="1"/>
      <w:numFmt w:val="lowerLetter"/>
      <w:lvlText w:val="(%1)"/>
      <w:lvlJc w:val="left"/>
      <w:pPr>
        <w:ind w:left="720" w:hanging="6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4B7E59A9"/>
    <w:multiLevelType w:val="hybridMultilevel"/>
    <w:tmpl w:val="CA48AAB8"/>
    <w:lvl w:ilvl="0" w:tplc="E4DC8702">
      <w:start w:val="1"/>
      <w:numFmt w:val="bullet"/>
      <w:lvlText w:val=""/>
      <w:lvlJc w:val="left"/>
      <w:pPr>
        <w:ind w:left="720" w:hanging="360"/>
      </w:pPr>
      <w:rPr>
        <w:rFonts w:ascii="Symbol" w:hAnsi="Symbol" w:hint="default"/>
      </w:rPr>
    </w:lvl>
    <w:lvl w:ilvl="1" w:tplc="0224838A">
      <w:start w:val="1"/>
      <w:numFmt w:val="bullet"/>
      <w:lvlText w:val="o"/>
      <w:lvlJc w:val="left"/>
      <w:pPr>
        <w:ind w:left="1440" w:hanging="360"/>
      </w:pPr>
      <w:rPr>
        <w:rFonts w:ascii="Courier New" w:hAnsi="Courier New" w:hint="default"/>
      </w:rPr>
    </w:lvl>
    <w:lvl w:ilvl="2" w:tplc="C43CDDFE">
      <w:start w:val="1"/>
      <w:numFmt w:val="bullet"/>
      <w:lvlText w:val=""/>
      <w:lvlJc w:val="left"/>
      <w:pPr>
        <w:ind w:left="2160" w:hanging="360"/>
      </w:pPr>
      <w:rPr>
        <w:rFonts w:ascii="Wingdings" w:hAnsi="Wingdings" w:hint="default"/>
      </w:rPr>
    </w:lvl>
    <w:lvl w:ilvl="3" w:tplc="DFFC4204">
      <w:start w:val="1"/>
      <w:numFmt w:val="bullet"/>
      <w:lvlText w:val=""/>
      <w:lvlJc w:val="left"/>
      <w:pPr>
        <w:ind w:left="2880" w:hanging="360"/>
      </w:pPr>
      <w:rPr>
        <w:rFonts w:ascii="Symbol" w:hAnsi="Symbol" w:hint="default"/>
      </w:rPr>
    </w:lvl>
    <w:lvl w:ilvl="4" w:tplc="1E88AAB2">
      <w:start w:val="1"/>
      <w:numFmt w:val="bullet"/>
      <w:lvlText w:val="o"/>
      <w:lvlJc w:val="left"/>
      <w:pPr>
        <w:ind w:left="3600" w:hanging="360"/>
      </w:pPr>
      <w:rPr>
        <w:rFonts w:ascii="Courier New" w:hAnsi="Courier New" w:hint="default"/>
      </w:rPr>
    </w:lvl>
    <w:lvl w:ilvl="5" w:tplc="13A4B754">
      <w:start w:val="1"/>
      <w:numFmt w:val="bullet"/>
      <w:lvlText w:val=""/>
      <w:lvlJc w:val="left"/>
      <w:pPr>
        <w:ind w:left="4320" w:hanging="360"/>
      </w:pPr>
      <w:rPr>
        <w:rFonts w:ascii="Wingdings" w:hAnsi="Wingdings" w:hint="default"/>
      </w:rPr>
    </w:lvl>
    <w:lvl w:ilvl="6" w:tplc="B212F426">
      <w:start w:val="1"/>
      <w:numFmt w:val="bullet"/>
      <w:lvlText w:val=""/>
      <w:lvlJc w:val="left"/>
      <w:pPr>
        <w:ind w:left="5040" w:hanging="360"/>
      </w:pPr>
      <w:rPr>
        <w:rFonts w:ascii="Symbol" w:hAnsi="Symbol" w:hint="default"/>
      </w:rPr>
    </w:lvl>
    <w:lvl w:ilvl="7" w:tplc="D92ABE18">
      <w:start w:val="1"/>
      <w:numFmt w:val="bullet"/>
      <w:lvlText w:val="o"/>
      <w:lvlJc w:val="left"/>
      <w:pPr>
        <w:ind w:left="5760" w:hanging="360"/>
      </w:pPr>
      <w:rPr>
        <w:rFonts w:ascii="Courier New" w:hAnsi="Courier New" w:hint="default"/>
      </w:rPr>
    </w:lvl>
    <w:lvl w:ilvl="8" w:tplc="544EC8C0">
      <w:start w:val="1"/>
      <w:numFmt w:val="bullet"/>
      <w:lvlText w:val=""/>
      <w:lvlJc w:val="left"/>
      <w:pPr>
        <w:ind w:left="6480" w:hanging="360"/>
      </w:pPr>
      <w:rPr>
        <w:rFonts w:ascii="Wingdings" w:hAnsi="Wingdings" w:hint="default"/>
      </w:rPr>
    </w:lvl>
  </w:abstractNum>
  <w:abstractNum w:abstractNumId="22" w15:restartNumberingAfterBreak="0">
    <w:nsid w:val="4BA951FC"/>
    <w:multiLevelType w:val="hybridMultilevel"/>
    <w:tmpl w:val="06B008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A16FDF"/>
    <w:multiLevelType w:val="hybridMultilevel"/>
    <w:tmpl w:val="F926B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765038"/>
    <w:multiLevelType w:val="multilevel"/>
    <w:tmpl w:val="507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501F84"/>
    <w:multiLevelType w:val="hybridMultilevel"/>
    <w:tmpl w:val="A7FA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14BA7"/>
    <w:multiLevelType w:val="hybridMultilevel"/>
    <w:tmpl w:val="32D0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E10FD"/>
    <w:multiLevelType w:val="hybridMultilevel"/>
    <w:tmpl w:val="A154A084"/>
    <w:lvl w:ilvl="0" w:tplc="A6EACFDA">
      <w:numFmt w:val="bullet"/>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8B5E09"/>
    <w:multiLevelType w:val="hybridMultilevel"/>
    <w:tmpl w:val="9B58E6BE"/>
    <w:lvl w:ilvl="0" w:tplc="C80C1C58">
      <w:start w:val="1"/>
      <w:numFmt w:val="bullet"/>
      <w:lvlText w:val=""/>
      <w:lvlJc w:val="left"/>
      <w:pPr>
        <w:ind w:left="720" w:hanging="360"/>
      </w:pPr>
      <w:rPr>
        <w:rFonts w:ascii="Symbol" w:hAnsi="Symbol" w:hint="default"/>
      </w:rPr>
    </w:lvl>
    <w:lvl w:ilvl="1" w:tplc="B0F2E390">
      <w:start w:val="1"/>
      <w:numFmt w:val="bullet"/>
      <w:lvlText w:val=""/>
      <w:lvlJc w:val="left"/>
      <w:pPr>
        <w:ind w:left="1440" w:hanging="360"/>
      </w:pPr>
      <w:rPr>
        <w:rFonts w:ascii="Symbol" w:hAnsi="Symbol" w:hint="default"/>
      </w:rPr>
    </w:lvl>
    <w:lvl w:ilvl="2" w:tplc="D0DE858A">
      <w:start w:val="1"/>
      <w:numFmt w:val="bullet"/>
      <w:lvlText w:val=""/>
      <w:lvlJc w:val="left"/>
      <w:pPr>
        <w:ind w:left="2160" w:hanging="360"/>
      </w:pPr>
      <w:rPr>
        <w:rFonts w:ascii="Wingdings" w:hAnsi="Wingdings" w:hint="default"/>
      </w:rPr>
    </w:lvl>
    <w:lvl w:ilvl="3" w:tplc="81EA9100">
      <w:start w:val="1"/>
      <w:numFmt w:val="bullet"/>
      <w:lvlText w:val=""/>
      <w:lvlJc w:val="left"/>
      <w:pPr>
        <w:ind w:left="2880" w:hanging="360"/>
      </w:pPr>
      <w:rPr>
        <w:rFonts w:ascii="Symbol" w:hAnsi="Symbol" w:hint="default"/>
      </w:rPr>
    </w:lvl>
    <w:lvl w:ilvl="4" w:tplc="3AE249E8">
      <w:start w:val="1"/>
      <w:numFmt w:val="bullet"/>
      <w:lvlText w:val="o"/>
      <w:lvlJc w:val="left"/>
      <w:pPr>
        <w:ind w:left="3600" w:hanging="360"/>
      </w:pPr>
      <w:rPr>
        <w:rFonts w:ascii="Courier New" w:hAnsi="Courier New" w:hint="default"/>
      </w:rPr>
    </w:lvl>
    <w:lvl w:ilvl="5" w:tplc="C484B8FE">
      <w:start w:val="1"/>
      <w:numFmt w:val="bullet"/>
      <w:lvlText w:val=""/>
      <w:lvlJc w:val="left"/>
      <w:pPr>
        <w:ind w:left="4320" w:hanging="360"/>
      </w:pPr>
      <w:rPr>
        <w:rFonts w:ascii="Wingdings" w:hAnsi="Wingdings" w:hint="default"/>
      </w:rPr>
    </w:lvl>
    <w:lvl w:ilvl="6" w:tplc="8774F83A">
      <w:start w:val="1"/>
      <w:numFmt w:val="bullet"/>
      <w:lvlText w:val=""/>
      <w:lvlJc w:val="left"/>
      <w:pPr>
        <w:ind w:left="5040" w:hanging="360"/>
      </w:pPr>
      <w:rPr>
        <w:rFonts w:ascii="Symbol" w:hAnsi="Symbol" w:hint="default"/>
      </w:rPr>
    </w:lvl>
    <w:lvl w:ilvl="7" w:tplc="93EC3F14">
      <w:start w:val="1"/>
      <w:numFmt w:val="bullet"/>
      <w:lvlText w:val="o"/>
      <w:lvlJc w:val="left"/>
      <w:pPr>
        <w:ind w:left="5760" w:hanging="360"/>
      </w:pPr>
      <w:rPr>
        <w:rFonts w:ascii="Courier New" w:hAnsi="Courier New" w:hint="default"/>
      </w:rPr>
    </w:lvl>
    <w:lvl w:ilvl="8" w:tplc="5216ABA0">
      <w:start w:val="1"/>
      <w:numFmt w:val="bullet"/>
      <w:lvlText w:val=""/>
      <w:lvlJc w:val="left"/>
      <w:pPr>
        <w:ind w:left="6480" w:hanging="360"/>
      </w:pPr>
      <w:rPr>
        <w:rFonts w:ascii="Wingdings" w:hAnsi="Wingdings" w:hint="default"/>
      </w:rPr>
    </w:lvl>
  </w:abstractNum>
  <w:abstractNum w:abstractNumId="29" w15:restartNumberingAfterBreak="0">
    <w:nsid w:val="56C7669A"/>
    <w:multiLevelType w:val="hybridMultilevel"/>
    <w:tmpl w:val="D484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73612"/>
    <w:multiLevelType w:val="hybridMultilevel"/>
    <w:tmpl w:val="35A2C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4E1D8F"/>
    <w:multiLevelType w:val="hybridMultilevel"/>
    <w:tmpl w:val="D30E4FE4"/>
    <w:lvl w:ilvl="0" w:tplc="F4BEB66C">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452E6"/>
    <w:multiLevelType w:val="hybridMultilevel"/>
    <w:tmpl w:val="0788702E"/>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B70F41"/>
    <w:multiLevelType w:val="hybridMultilevel"/>
    <w:tmpl w:val="BB38C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74696F"/>
    <w:multiLevelType w:val="hybridMultilevel"/>
    <w:tmpl w:val="1FA67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A5F35"/>
    <w:multiLevelType w:val="multilevel"/>
    <w:tmpl w:val="9B5EDE1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07158E"/>
    <w:multiLevelType w:val="hybridMultilevel"/>
    <w:tmpl w:val="18085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A267AB"/>
    <w:multiLevelType w:val="hybridMultilevel"/>
    <w:tmpl w:val="1E505090"/>
    <w:lvl w:ilvl="0" w:tplc="AE3242FE">
      <w:start w:val="1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E6D1DAD"/>
    <w:multiLevelType w:val="hybridMultilevel"/>
    <w:tmpl w:val="61E03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4A0193"/>
    <w:multiLevelType w:val="hybridMultilevel"/>
    <w:tmpl w:val="E6F6128C"/>
    <w:lvl w:ilvl="0" w:tplc="BAC6B08E">
      <w:start w:val="42"/>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73603C"/>
    <w:multiLevelType w:val="hybridMultilevel"/>
    <w:tmpl w:val="68D6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0C0129"/>
    <w:multiLevelType w:val="hybridMultilevel"/>
    <w:tmpl w:val="3C3C5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2E3182"/>
    <w:multiLevelType w:val="hybridMultilevel"/>
    <w:tmpl w:val="EB302368"/>
    <w:lvl w:ilvl="0" w:tplc="C2AE2E7A">
      <w:start w:val="1"/>
      <w:numFmt w:val="bullet"/>
      <w:lvlText w:val=""/>
      <w:lvlJc w:val="left"/>
      <w:pPr>
        <w:ind w:left="720" w:hanging="360"/>
      </w:pPr>
      <w:rPr>
        <w:rFonts w:ascii="Symbol" w:hAnsi="Symbol" w:hint="default"/>
      </w:rPr>
    </w:lvl>
    <w:lvl w:ilvl="1" w:tplc="6BFE4C80">
      <w:start w:val="1"/>
      <w:numFmt w:val="bullet"/>
      <w:lvlText w:val="o"/>
      <w:lvlJc w:val="left"/>
      <w:pPr>
        <w:ind w:left="1440" w:hanging="360"/>
      </w:pPr>
      <w:rPr>
        <w:rFonts w:ascii="Courier New" w:hAnsi="Courier New" w:hint="default"/>
      </w:rPr>
    </w:lvl>
    <w:lvl w:ilvl="2" w:tplc="2546418E">
      <w:start w:val="1"/>
      <w:numFmt w:val="bullet"/>
      <w:lvlText w:val=""/>
      <w:lvlJc w:val="left"/>
      <w:pPr>
        <w:ind w:left="2160" w:hanging="360"/>
      </w:pPr>
      <w:rPr>
        <w:rFonts w:ascii="Wingdings" w:hAnsi="Wingdings" w:hint="default"/>
      </w:rPr>
    </w:lvl>
    <w:lvl w:ilvl="3" w:tplc="4BA09A84">
      <w:start w:val="1"/>
      <w:numFmt w:val="bullet"/>
      <w:lvlText w:val=""/>
      <w:lvlJc w:val="left"/>
      <w:pPr>
        <w:ind w:left="2880" w:hanging="360"/>
      </w:pPr>
      <w:rPr>
        <w:rFonts w:ascii="Symbol" w:hAnsi="Symbol" w:hint="default"/>
      </w:rPr>
    </w:lvl>
    <w:lvl w:ilvl="4" w:tplc="50483CFE">
      <w:start w:val="1"/>
      <w:numFmt w:val="bullet"/>
      <w:lvlText w:val="o"/>
      <w:lvlJc w:val="left"/>
      <w:pPr>
        <w:ind w:left="3600" w:hanging="360"/>
      </w:pPr>
      <w:rPr>
        <w:rFonts w:ascii="Courier New" w:hAnsi="Courier New" w:hint="default"/>
      </w:rPr>
    </w:lvl>
    <w:lvl w:ilvl="5" w:tplc="3A7026D6">
      <w:start w:val="1"/>
      <w:numFmt w:val="bullet"/>
      <w:lvlText w:val=""/>
      <w:lvlJc w:val="left"/>
      <w:pPr>
        <w:ind w:left="4320" w:hanging="360"/>
      </w:pPr>
      <w:rPr>
        <w:rFonts w:ascii="Wingdings" w:hAnsi="Wingdings" w:hint="default"/>
      </w:rPr>
    </w:lvl>
    <w:lvl w:ilvl="6" w:tplc="5FB62ABE">
      <w:start w:val="1"/>
      <w:numFmt w:val="bullet"/>
      <w:lvlText w:val=""/>
      <w:lvlJc w:val="left"/>
      <w:pPr>
        <w:ind w:left="5040" w:hanging="360"/>
      </w:pPr>
      <w:rPr>
        <w:rFonts w:ascii="Symbol" w:hAnsi="Symbol" w:hint="default"/>
      </w:rPr>
    </w:lvl>
    <w:lvl w:ilvl="7" w:tplc="322E7EB0">
      <w:start w:val="1"/>
      <w:numFmt w:val="bullet"/>
      <w:lvlText w:val="o"/>
      <w:lvlJc w:val="left"/>
      <w:pPr>
        <w:ind w:left="5760" w:hanging="360"/>
      </w:pPr>
      <w:rPr>
        <w:rFonts w:ascii="Courier New" w:hAnsi="Courier New" w:hint="default"/>
      </w:rPr>
    </w:lvl>
    <w:lvl w:ilvl="8" w:tplc="B7EEBB40">
      <w:start w:val="1"/>
      <w:numFmt w:val="bullet"/>
      <w:lvlText w:val=""/>
      <w:lvlJc w:val="left"/>
      <w:pPr>
        <w:ind w:left="6480" w:hanging="360"/>
      </w:pPr>
      <w:rPr>
        <w:rFonts w:ascii="Wingdings" w:hAnsi="Wingdings" w:hint="default"/>
      </w:rPr>
    </w:lvl>
  </w:abstractNum>
  <w:abstractNum w:abstractNumId="43" w15:restartNumberingAfterBreak="0">
    <w:nsid w:val="7A4E44AD"/>
    <w:multiLevelType w:val="hybridMultilevel"/>
    <w:tmpl w:val="6A163E94"/>
    <w:lvl w:ilvl="0" w:tplc="AE3242FE">
      <w:start w:val="1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B9A274D"/>
    <w:multiLevelType w:val="hybridMultilevel"/>
    <w:tmpl w:val="BB94D67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7A0B5A"/>
    <w:multiLevelType w:val="hybridMultilevel"/>
    <w:tmpl w:val="6472D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06E6E"/>
    <w:multiLevelType w:val="hybridMultilevel"/>
    <w:tmpl w:val="6A06C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5"/>
  </w:num>
  <w:num w:numId="4">
    <w:abstractNumId w:val="19"/>
  </w:num>
  <w:num w:numId="5">
    <w:abstractNumId w:val="29"/>
  </w:num>
  <w:num w:numId="6">
    <w:abstractNumId w:val="36"/>
  </w:num>
  <w:num w:numId="7">
    <w:abstractNumId w:val="34"/>
  </w:num>
  <w:num w:numId="8">
    <w:abstractNumId w:val="10"/>
  </w:num>
  <w:num w:numId="9">
    <w:abstractNumId w:val="0"/>
  </w:num>
  <w:num w:numId="10">
    <w:abstractNumId w:val="44"/>
  </w:num>
  <w:num w:numId="11">
    <w:abstractNumId w:val="5"/>
  </w:num>
  <w:num w:numId="12">
    <w:abstractNumId w:val="35"/>
  </w:num>
  <w:num w:numId="13">
    <w:abstractNumId w:val="9"/>
  </w:num>
  <w:num w:numId="14">
    <w:abstractNumId w:val="30"/>
  </w:num>
  <w:num w:numId="15">
    <w:abstractNumId w:val="18"/>
  </w:num>
  <w:num w:numId="16">
    <w:abstractNumId w:val="38"/>
  </w:num>
  <w:num w:numId="17">
    <w:abstractNumId w:val="4"/>
  </w:num>
  <w:num w:numId="18">
    <w:abstractNumId w:val="25"/>
  </w:num>
  <w:num w:numId="19">
    <w:abstractNumId w:val="40"/>
  </w:num>
  <w:num w:numId="20">
    <w:abstractNumId w:val="3"/>
  </w:num>
  <w:num w:numId="21">
    <w:abstractNumId w:val="6"/>
  </w:num>
  <w:num w:numId="22">
    <w:abstractNumId w:val="20"/>
  </w:num>
  <w:num w:numId="23">
    <w:abstractNumId w:val="2"/>
  </w:num>
  <w:num w:numId="24">
    <w:abstractNumId w:val="32"/>
  </w:num>
  <w:num w:numId="25">
    <w:abstractNumId w:val="41"/>
  </w:num>
  <w:num w:numId="26">
    <w:abstractNumId w:val="12"/>
  </w:num>
  <w:num w:numId="27">
    <w:abstractNumId w:val="45"/>
  </w:num>
  <w:num w:numId="28">
    <w:abstractNumId w:val="22"/>
  </w:num>
  <w:num w:numId="29">
    <w:abstractNumId w:val="17"/>
  </w:num>
  <w:num w:numId="30">
    <w:abstractNumId w:val="42"/>
  </w:num>
  <w:num w:numId="31">
    <w:abstractNumId w:val="14"/>
  </w:num>
  <w:num w:numId="32">
    <w:abstractNumId w:val="26"/>
  </w:num>
  <w:num w:numId="33">
    <w:abstractNumId w:val="23"/>
  </w:num>
  <w:num w:numId="34">
    <w:abstractNumId w:val="1"/>
  </w:num>
  <w:num w:numId="35">
    <w:abstractNumId w:val="27"/>
  </w:num>
  <w:num w:numId="36">
    <w:abstractNumId w:val="31"/>
  </w:num>
  <w:num w:numId="37">
    <w:abstractNumId w:val="8"/>
  </w:num>
  <w:num w:numId="38">
    <w:abstractNumId w:val="13"/>
  </w:num>
  <w:num w:numId="39">
    <w:abstractNumId w:val="11"/>
  </w:num>
  <w:num w:numId="40">
    <w:abstractNumId w:val="33"/>
  </w:num>
  <w:num w:numId="41">
    <w:abstractNumId w:val="24"/>
  </w:num>
  <w:num w:numId="42">
    <w:abstractNumId w:val="39"/>
  </w:num>
  <w:num w:numId="43">
    <w:abstractNumId w:val="43"/>
  </w:num>
  <w:num w:numId="44">
    <w:abstractNumId w:val="7"/>
  </w:num>
  <w:num w:numId="45">
    <w:abstractNumId w:val="37"/>
  </w:num>
  <w:num w:numId="46">
    <w:abstractNumId w:val="1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3"/>
    <w:rsid w:val="0000564E"/>
    <w:rsid w:val="0002522B"/>
    <w:rsid w:val="00033FDE"/>
    <w:rsid w:val="00034753"/>
    <w:rsid w:val="00041373"/>
    <w:rsid w:val="00042053"/>
    <w:rsid w:val="00042127"/>
    <w:rsid w:val="00042D0C"/>
    <w:rsid w:val="0004404E"/>
    <w:rsid w:val="00045E56"/>
    <w:rsid w:val="000505B3"/>
    <w:rsid w:val="00051B28"/>
    <w:rsid w:val="0005660A"/>
    <w:rsid w:val="000577CC"/>
    <w:rsid w:val="0006026B"/>
    <w:rsid w:val="000611C3"/>
    <w:rsid w:val="00074186"/>
    <w:rsid w:val="000772BD"/>
    <w:rsid w:val="0008294B"/>
    <w:rsid w:val="00093A06"/>
    <w:rsid w:val="000A1339"/>
    <w:rsid w:val="000A298C"/>
    <w:rsid w:val="000C39A8"/>
    <w:rsid w:val="000C7702"/>
    <w:rsid w:val="000E0622"/>
    <w:rsid w:val="001009B7"/>
    <w:rsid w:val="0010273B"/>
    <w:rsid w:val="001107A5"/>
    <w:rsid w:val="00112E00"/>
    <w:rsid w:val="0012390D"/>
    <w:rsid w:val="00131E6F"/>
    <w:rsid w:val="00134410"/>
    <w:rsid w:val="00135104"/>
    <w:rsid w:val="00147108"/>
    <w:rsid w:val="00151768"/>
    <w:rsid w:val="001614E2"/>
    <w:rsid w:val="00167788"/>
    <w:rsid w:val="001806EB"/>
    <w:rsid w:val="00182C4B"/>
    <w:rsid w:val="00190D50"/>
    <w:rsid w:val="0019182C"/>
    <w:rsid w:val="00193C81"/>
    <w:rsid w:val="001B2305"/>
    <w:rsid w:val="001C34B5"/>
    <w:rsid w:val="001D4D37"/>
    <w:rsid w:val="001D6843"/>
    <w:rsid w:val="001E1662"/>
    <w:rsid w:val="00205443"/>
    <w:rsid w:val="0021090C"/>
    <w:rsid w:val="00215A2F"/>
    <w:rsid w:val="00225E11"/>
    <w:rsid w:val="002317BA"/>
    <w:rsid w:val="00240AAD"/>
    <w:rsid w:val="00244A16"/>
    <w:rsid w:val="00245508"/>
    <w:rsid w:val="002474EA"/>
    <w:rsid w:val="00273956"/>
    <w:rsid w:val="0027715F"/>
    <w:rsid w:val="00283A9B"/>
    <w:rsid w:val="00286CC6"/>
    <w:rsid w:val="002877A6"/>
    <w:rsid w:val="00296E00"/>
    <w:rsid w:val="002A0D54"/>
    <w:rsid w:val="002A43A8"/>
    <w:rsid w:val="002A5FED"/>
    <w:rsid w:val="002C4AAF"/>
    <w:rsid w:val="002D0DD6"/>
    <w:rsid w:val="002D6C18"/>
    <w:rsid w:val="002E5F0D"/>
    <w:rsid w:val="002F013E"/>
    <w:rsid w:val="002F1BE4"/>
    <w:rsid w:val="00313A88"/>
    <w:rsid w:val="0031633C"/>
    <w:rsid w:val="00320729"/>
    <w:rsid w:val="00320DC1"/>
    <w:rsid w:val="00324759"/>
    <w:rsid w:val="00326EFA"/>
    <w:rsid w:val="00337820"/>
    <w:rsid w:val="00341AEB"/>
    <w:rsid w:val="00347228"/>
    <w:rsid w:val="00360128"/>
    <w:rsid w:val="00360748"/>
    <w:rsid w:val="003610BF"/>
    <w:rsid w:val="00361CEF"/>
    <w:rsid w:val="00363860"/>
    <w:rsid w:val="00366DEE"/>
    <w:rsid w:val="00371E9E"/>
    <w:rsid w:val="0037380B"/>
    <w:rsid w:val="003805D6"/>
    <w:rsid w:val="00383373"/>
    <w:rsid w:val="003A0110"/>
    <w:rsid w:val="003A0BBE"/>
    <w:rsid w:val="003B153B"/>
    <w:rsid w:val="003B24D3"/>
    <w:rsid w:val="003B7FE9"/>
    <w:rsid w:val="003C20DF"/>
    <w:rsid w:val="003C3117"/>
    <w:rsid w:val="003D498E"/>
    <w:rsid w:val="003D66FB"/>
    <w:rsid w:val="003E717C"/>
    <w:rsid w:val="003F3C9C"/>
    <w:rsid w:val="004011DF"/>
    <w:rsid w:val="00406009"/>
    <w:rsid w:val="00410F60"/>
    <w:rsid w:val="00411A74"/>
    <w:rsid w:val="004135F1"/>
    <w:rsid w:val="00423113"/>
    <w:rsid w:val="00432762"/>
    <w:rsid w:val="0044141B"/>
    <w:rsid w:val="00447560"/>
    <w:rsid w:val="004522F6"/>
    <w:rsid w:val="004533A7"/>
    <w:rsid w:val="004545FA"/>
    <w:rsid w:val="004827E8"/>
    <w:rsid w:val="00486FD2"/>
    <w:rsid w:val="00492C0E"/>
    <w:rsid w:val="0049553A"/>
    <w:rsid w:val="00496900"/>
    <w:rsid w:val="004A4ED9"/>
    <w:rsid w:val="004B0154"/>
    <w:rsid w:val="004B2897"/>
    <w:rsid w:val="004D09AA"/>
    <w:rsid w:val="004D14C4"/>
    <w:rsid w:val="004D1B44"/>
    <w:rsid w:val="004D1FA3"/>
    <w:rsid w:val="004D28E2"/>
    <w:rsid w:val="004F440F"/>
    <w:rsid w:val="0050241C"/>
    <w:rsid w:val="00513753"/>
    <w:rsid w:val="00516B57"/>
    <w:rsid w:val="005178ED"/>
    <w:rsid w:val="005246BE"/>
    <w:rsid w:val="0054079D"/>
    <w:rsid w:val="00541A23"/>
    <w:rsid w:val="00542C02"/>
    <w:rsid w:val="00544F4E"/>
    <w:rsid w:val="00556F43"/>
    <w:rsid w:val="0055715F"/>
    <w:rsid w:val="00564219"/>
    <w:rsid w:val="005671EA"/>
    <w:rsid w:val="00567EC3"/>
    <w:rsid w:val="00571C38"/>
    <w:rsid w:val="005756A9"/>
    <w:rsid w:val="0058011F"/>
    <w:rsid w:val="0059303E"/>
    <w:rsid w:val="005932FD"/>
    <w:rsid w:val="00593C86"/>
    <w:rsid w:val="005A524B"/>
    <w:rsid w:val="005D2DD4"/>
    <w:rsid w:val="005E18BC"/>
    <w:rsid w:val="005F1578"/>
    <w:rsid w:val="005F3488"/>
    <w:rsid w:val="005F4814"/>
    <w:rsid w:val="005F5A40"/>
    <w:rsid w:val="00600B18"/>
    <w:rsid w:val="00611932"/>
    <w:rsid w:val="006152D8"/>
    <w:rsid w:val="00615326"/>
    <w:rsid w:val="0061600E"/>
    <w:rsid w:val="0063572C"/>
    <w:rsid w:val="006401F2"/>
    <w:rsid w:val="006423C1"/>
    <w:rsid w:val="006433CE"/>
    <w:rsid w:val="00645F17"/>
    <w:rsid w:val="00676D69"/>
    <w:rsid w:val="00682783"/>
    <w:rsid w:val="00684226"/>
    <w:rsid w:val="0068494C"/>
    <w:rsid w:val="006A3706"/>
    <w:rsid w:val="006A3CD9"/>
    <w:rsid w:val="006A54CB"/>
    <w:rsid w:val="006A6772"/>
    <w:rsid w:val="006B1C0D"/>
    <w:rsid w:val="006B26FD"/>
    <w:rsid w:val="006B478A"/>
    <w:rsid w:val="006C2500"/>
    <w:rsid w:val="006C7B0E"/>
    <w:rsid w:val="006D0798"/>
    <w:rsid w:val="006D09FE"/>
    <w:rsid w:val="006E06B0"/>
    <w:rsid w:val="006E5576"/>
    <w:rsid w:val="006F39ED"/>
    <w:rsid w:val="006F5CB3"/>
    <w:rsid w:val="006F72A4"/>
    <w:rsid w:val="00703F19"/>
    <w:rsid w:val="00713D96"/>
    <w:rsid w:val="00720428"/>
    <w:rsid w:val="007217CB"/>
    <w:rsid w:val="007241C8"/>
    <w:rsid w:val="007259B5"/>
    <w:rsid w:val="00726392"/>
    <w:rsid w:val="00731E8A"/>
    <w:rsid w:val="00735A45"/>
    <w:rsid w:val="00737189"/>
    <w:rsid w:val="0074271B"/>
    <w:rsid w:val="00751D67"/>
    <w:rsid w:val="00760FB1"/>
    <w:rsid w:val="007711D2"/>
    <w:rsid w:val="00776F31"/>
    <w:rsid w:val="00785FD3"/>
    <w:rsid w:val="00787781"/>
    <w:rsid w:val="00791267"/>
    <w:rsid w:val="007950F7"/>
    <w:rsid w:val="007A7A57"/>
    <w:rsid w:val="007B0A33"/>
    <w:rsid w:val="007C302D"/>
    <w:rsid w:val="007D27D0"/>
    <w:rsid w:val="007D6540"/>
    <w:rsid w:val="007E185B"/>
    <w:rsid w:val="007E233E"/>
    <w:rsid w:val="007F46B2"/>
    <w:rsid w:val="00807569"/>
    <w:rsid w:val="008141D3"/>
    <w:rsid w:val="0083500E"/>
    <w:rsid w:val="00835CF7"/>
    <w:rsid w:val="0085202A"/>
    <w:rsid w:val="008577C4"/>
    <w:rsid w:val="00867586"/>
    <w:rsid w:val="00870641"/>
    <w:rsid w:val="00875E79"/>
    <w:rsid w:val="008763A1"/>
    <w:rsid w:val="00877773"/>
    <w:rsid w:val="00883F01"/>
    <w:rsid w:val="008931DA"/>
    <w:rsid w:val="008B020F"/>
    <w:rsid w:val="008B662A"/>
    <w:rsid w:val="008B70F8"/>
    <w:rsid w:val="008D14CA"/>
    <w:rsid w:val="008D3706"/>
    <w:rsid w:val="008D4318"/>
    <w:rsid w:val="008D4E05"/>
    <w:rsid w:val="008F2980"/>
    <w:rsid w:val="008F6027"/>
    <w:rsid w:val="009008B5"/>
    <w:rsid w:val="009010FE"/>
    <w:rsid w:val="009039DC"/>
    <w:rsid w:val="00907B76"/>
    <w:rsid w:val="00916E6A"/>
    <w:rsid w:val="009220EE"/>
    <w:rsid w:val="00924BCE"/>
    <w:rsid w:val="00935432"/>
    <w:rsid w:val="00935D74"/>
    <w:rsid w:val="0093669B"/>
    <w:rsid w:val="009410E6"/>
    <w:rsid w:val="00943065"/>
    <w:rsid w:val="00944587"/>
    <w:rsid w:val="009577BC"/>
    <w:rsid w:val="00957F0E"/>
    <w:rsid w:val="00962201"/>
    <w:rsid w:val="009673B8"/>
    <w:rsid w:val="00972A22"/>
    <w:rsid w:val="00975367"/>
    <w:rsid w:val="00980F77"/>
    <w:rsid w:val="0099129B"/>
    <w:rsid w:val="0099507F"/>
    <w:rsid w:val="009A02A5"/>
    <w:rsid w:val="009A0BF0"/>
    <w:rsid w:val="009A52C4"/>
    <w:rsid w:val="009B2BB2"/>
    <w:rsid w:val="009B7430"/>
    <w:rsid w:val="009C04FD"/>
    <w:rsid w:val="009D132C"/>
    <w:rsid w:val="009D61A6"/>
    <w:rsid w:val="009E256D"/>
    <w:rsid w:val="009E7C0A"/>
    <w:rsid w:val="009F7B1D"/>
    <w:rsid w:val="00A028B3"/>
    <w:rsid w:val="00A1056A"/>
    <w:rsid w:val="00A110DA"/>
    <w:rsid w:val="00A221F3"/>
    <w:rsid w:val="00A30188"/>
    <w:rsid w:val="00A3249E"/>
    <w:rsid w:val="00A329CC"/>
    <w:rsid w:val="00A350C6"/>
    <w:rsid w:val="00A36C28"/>
    <w:rsid w:val="00A3733C"/>
    <w:rsid w:val="00A3792F"/>
    <w:rsid w:val="00A40F8A"/>
    <w:rsid w:val="00A42F00"/>
    <w:rsid w:val="00A43E86"/>
    <w:rsid w:val="00A45821"/>
    <w:rsid w:val="00A50380"/>
    <w:rsid w:val="00A50EF0"/>
    <w:rsid w:val="00A55EEE"/>
    <w:rsid w:val="00A64B50"/>
    <w:rsid w:val="00A70350"/>
    <w:rsid w:val="00A71E46"/>
    <w:rsid w:val="00A72BD7"/>
    <w:rsid w:val="00A73910"/>
    <w:rsid w:val="00A75A45"/>
    <w:rsid w:val="00A7711B"/>
    <w:rsid w:val="00A9111C"/>
    <w:rsid w:val="00A95253"/>
    <w:rsid w:val="00AA0DE4"/>
    <w:rsid w:val="00AA23AF"/>
    <w:rsid w:val="00AB4DA9"/>
    <w:rsid w:val="00AB6D76"/>
    <w:rsid w:val="00AC04A1"/>
    <w:rsid w:val="00AC4E2C"/>
    <w:rsid w:val="00AC7439"/>
    <w:rsid w:val="00AD00EC"/>
    <w:rsid w:val="00AD23F8"/>
    <w:rsid w:val="00AD442C"/>
    <w:rsid w:val="00AE0F1D"/>
    <w:rsid w:val="00AF65AE"/>
    <w:rsid w:val="00B00F7F"/>
    <w:rsid w:val="00B141F0"/>
    <w:rsid w:val="00B14F26"/>
    <w:rsid w:val="00B16C0C"/>
    <w:rsid w:val="00B17F0C"/>
    <w:rsid w:val="00B27472"/>
    <w:rsid w:val="00B32081"/>
    <w:rsid w:val="00B37519"/>
    <w:rsid w:val="00B53949"/>
    <w:rsid w:val="00B62FBD"/>
    <w:rsid w:val="00B73A4A"/>
    <w:rsid w:val="00B844C8"/>
    <w:rsid w:val="00B95C1F"/>
    <w:rsid w:val="00B979DE"/>
    <w:rsid w:val="00BA4289"/>
    <w:rsid w:val="00BA5696"/>
    <w:rsid w:val="00BB7A37"/>
    <w:rsid w:val="00BC0018"/>
    <w:rsid w:val="00BC35CA"/>
    <w:rsid w:val="00BC4CD5"/>
    <w:rsid w:val="00BD4DEC"/>
    <w:rsid w:val="00BE5D4F"/>
    <w:rsid w:val="00BF4207"/>
    <w:rsid w:val="00C02E55"/>
    <w:rsid w:val="00C0337F"/>
    <w:rsid w:val="00C052EF"/>
    <w:rsid w:val="00C1209B"/>
    <w:rsid w:val="00C12E87"/>
    <w:rsid w:val="00C1703F"/>
    <w:rsid w:val="00C23984"/>
    <w:rsid w:val="00C25B42"/>
    <w:rsid w:val="00C279FF"/>
    <w:rsid w:val="00C34270"/>
    <w:rsid w:val="00C35FFC"/>
    <w:rsid w:val="00C375D4"/>
    <w:rsid w:val="00C43E84"/>
    <w:rsid w:val="00C453BD"/>
    <w:rsid w:val="00C60366"/>
    <w:rsid w:val="00C60D24"/>
    <w:rsid w:val="00C71DFA"/>
    <w:rsid w:val="00C769F8"/>
    <w:rsid w:val="00C959D5"/>
    <w:rsid w:val="00CB5EB2"/>
    <w:rsid w:val="00CC1444"/>
    <w:rsid w:val="00CC38AC"/>
    <w:rsid w:val="00CC425F"/>
    <w:rsid w:val="00CC6FCC"/>
    <w:rsid w:val="00CD6248"/>
    <w:rsid w:val="00CD6EDC"/>
    <w:rsid w:val="00CE449B"/>
    <w:rsid w:val="00CF0FC6"/>
    <w:rsid w:val="00CF181D"/>
    <w:rsid w:val="00CF6BFE"/>
    <w:rsid w:val="00D03B97"/>
    <w:rsid w:val="00D07C09"/>
    <w:rsid w:val="00D12408"/>
    <w:rsid w:val="00D13161"/>
    <w:rsid w:val="00D13C0B"/>
    <w:rsid w:val="00D16F97"/>
    <w:rsid w:val="00D213D6"/>
    <w:rsid w:val="00D21650"/>
    <w:rsid w:val="00D21E78"/>
    <w:rsid w:val="00D21F87"/>
    <w:rsid w:val="00D377CB"/>
    <w:rsid w:val="00D42871"/>
    <w:rsid w:val="00D52924"/>
    <w:rsid w:val="00D6014F"/>
    <w:rsid w:val="00D636C3"/>
    <w:rsid w:val="00D643CC"/>
    <w:rsid w:val="00D67DA2"/>
    <w:rsid w:val="00D67FF3"/>
    <w:rsid w:val="00D74E96"/>
    <w:rsid w:val="00D878AD"/>
    <w:rsid w:val="00DB1642"/>
    <w:rsid w:val="00DB3D1A"/>
    <w:rsid w:val="00DB7136"/>
    <w:rsid w:val="00DC1423"/>
    <w:rsid w:val="00DD1E68"/>
    <w:rsid w:val="00DD4940"/>
    <w:rsid w:val="00DE2109"/>
    <w:rsid w:val="00DE2716"/>
    <w:rsid w:val="00DE5D34"/>
    <w:rsid w:val="00DE6F4C"/>
    <w:rsid w:val="00DF21A2"/>
    <w:rsid w:val="00DF34E8"/>
    <w:rsid w:val="00DF3626"/>
    <w:rsid w:val="00DF7926"/>
    <w:rsid w:val="00E0057E"/>
    <w:rsid w:val="00E00DEB"/>
    <w:rsid w:val="00E02D13"/>
    <w:rsid w:val="00E032F9"/>
    <w:rsid w:val="00E03E1B"/>
    <w:rsid w:val="00E12CBE"/>
    <w:rsid w:val="00E13096"/>
    <w:rsid w:val="00E17D4F"/>
    <w:rsid w:val="00E216CA"/>
    <w:rsid w:val="00E35963"/>
    <w:rsid w:val="00E359BB"/>
    <w:rsid w:val="00E42FEA"/>
    <w:rsid w:val="00E44BA1"/>
    <w:rsid w:val="00E44BD3"/>
    <w:rsid w:val="00E52BCA"/>
    <w:rsid w:val="00E54023"/>
    <w:rsid w:val="00E57041"/>
    <w:rsid w:val="00E6610A"/>
    <w:rsid w:val="00E66F85"/>
    <w:rsid w:val="00E7664A"/>
    <w:rsid w:val="00E80902"/>
    <w:rsid w:val="00E853BF"/>
    <w:rsid w:val="00EA171D"/>
    <w:rsid w:val="00EA22E2"/>
    <w:rsid w:val="00EB7327"/>
    <w:rsid w:val="00EC4BEC"/>
    <w:rsid w:val="00ED51D2"/>
    <w:rsid w:val="00EF2036"/>
    <w:rsid w:val="00EF4A81"/>
    <w:rsid w:val="00F03851"/>
    <w:rsid w:val="00F03AD4"/>
    <w:rsid w:val="00F04700"/>
    <w:rsid w:val="00F051AC"/>
    <w:rsid w:val="00F055DF"/>
    <w:rsid w:val="00F0572E"/>
    <w:rsid w:val="00F0631F"/>
    <w:rsid w:val="00F11131"/>
    <w:rsid w:val="00F11C46"/>
    <w:rsid w:val="00F205CE"/>
    <w:rsid w:val="00F41784"/>
    <w:rsid w:val="00F4185D"/>
    <w:rsid w:val="00F44512"/>
    <w:rsid w:val="00F45CB2"/>
    <w:rsid w:val="00F528FE"/>
    <w:rsid w:val="00F606B0"/>
    <w:rsid w:val="00F751AA"/>
    <w:rsid w:val="00F761A7"/>
    <w:rsid w:val="00F767DC"/>
    <w:rsid w:val="00F82F19"/>
    <w:rsid w:val="00F87FA8"/>
    <w:rsid w:val="00F92E7E"/>
    <w:rsid w:val="00FB168A"/>
    <w:rsid w:val="00FB1D38"/>
    <w:rsid w:val="00FB278C"/>
    <w:rsid w:val="00FC0D9A"/>
    <w:rsid w:val="00FC7117"/>
    <w:rsid w:val="00FD385B"/>
    <w:rsid w:val="00FE0374"/>
    <w:rsid w:val="00FF626F"/>
    <w:rsid w:val="00FF652B"/>
    <w:rsid w:val="010262BF"/>
    <w:rsid w:val="0315B737"/>
    <w:rsid w:val="05A6DE22"/>
    <w:rsid w:val="4523AE5C"/>
    <w:rsid w:val="6C21EC60"/>
    <w:rsid w:val="7A37929F"/>
    <w:rsid w:val="7D6A7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EF9C42"/>
  <w15:chartTrackingRefBased/>
  <w15:docId w15:val="{F780EBFA-1087-4D21-AC42-8F88499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577C4"/>
    <w:pPr>
      <w:keepNext/>
      <w:keepLines/>
      <w:spacing w:before="40" w:after="0" w:line="276" w:lineRule="auto"/>
      <w:outlineLvl w:val="2"/>
    </w:pPr>
    <w:rPr>
      <w:rFonts w:ascii="Times New Roman" w:eastAsiaTheme="majorEastAsia" w:hAnsi="Times New Roman" w:cstheme="majorBidi"/>
      <w:b/>
      <w:sz w:val="24"/>
      <w:szCs w:val="24"/>
      <w:u w:val="single"/>
    </w:rPr>
  </w:style>
  <w:style w:type="paragraph" w:styleId="Heading4">
    <w:name w:val="heading 4"/>
    <w:basedOn w:val="Normal"/>
    <w:next w:val="Normal"/>
    <w:link w:val="Heading4Char"/>
    <w:uiPriority w:val="9"/>
    <w:semiHidden/>
    <w:unhideWhenUsed/>
    <w:qFormat/>
    <w:rsid w:val="00033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33FD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11C3"/>
  </w:style>
  <w:style w:type="paragraph" w:styleId="ListParagraph">
    <w:name w:val="List Paragraph"/>
    <w:basedOn w:val="Normal"/>
    <w:uiPriority w:val="34"/>
    <w:qFormat/>
    <w:rsid w:val="000611C3"/>
    <w:pPr>
      <w:spacing w:after="200" w:line="276" w:lineRule="auto"/>
      <w:ind w:left="720"/>
      <w:contextualSpacing/>
    </w:pPr>
  </w:style>
  <w:style w:type="paragraph" w:styleId="FootnoteText">
    <w:name w:val="footnote text"/>
    <w:basedOn w:val="Normal"/>
    <w:link w:val="FootnoteTextChar"/>
    <w:uiPriority w:val="99"/>
    <w:semiHidden/>
    <w:unhideWhenUsed/>
    <w:rsid w:val="00061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1C3"/>
    <w:rPr>
      <w:sz w:val="20"/>
      <w:szCs w:val="20"/>
    </w:rPr>
  </w:style>
  <w:style w:type="character" w:styleId="FootnoteReference">
    <w:name w:val="footnote reference"/>
    <w:basedOn w:val="DefaultParagraphFont"/>
    <w:uiPriority w:val="99"/>
    <w:semiHidden/>
    <w:unhideWhenUsed/>
    <w:rsid w:val="000611C3"/>
    <w:rPr>
      <w:vertAlign w:val="superscript"/>
    </w:rPr>
  </w:style>
  <w:style w:type="character" w:styleId="CommentReference">
    <w:name w:val="annotation reference"/>
    <w:basedOn w:val="DefaultParagraphFont"/>
    <w:uiPriority w:val="99"/>
    <w:semiHidden/>
    <w:unhideWhenUsed/>
    <w:rsid w:val="000611C3"/>
    <w:rPr>
      <w:sz w:val="16"/>
      <w:szCs w:val="16"/>
    </w:rPr>
  </w:style>
  <w:style w:type="paragraph" w:styleId="CommentText">
    <w:name w:val="annotation text"/>
    <w:basedOn w:val="Normal"/>
    <w:link w:val="CommentTextChar"/>
    <w:uiPriority w:val="99"/>
    <w:unhideWhenUsed/>
    <w:rsid w:val="000611C3"/>
    <w:pPr>
      <w:spacing w:after="200" w:line="240" w:lineRule="auto"/>
    </w:pPr>
    <w:rPr>
      <w:sz w:val="20"/>
      <w:szCs w:val="20"/>
    </w:rPr>
  </w:style>
  <w:style w:type="character" w:customStyle="1" w:styleId="CommentTextChar">
    <w:name w:val="Comment Text Char"/>
    <w:basedOn w:val="DefaultParagraphFont"/>
    <w:link w:val="CommentText"/>
    <w:uiPriority w:val="99"/>
    <w:rsid w:val="000611C3"/>
    <w:rPr>
      <w:sz w:val="20"/>
      <w:szCs w:val="20"/>
    </w:rPr>
  </w:style>
  <w:style w:type="paragraph" w:styleId="CommentSubject">
    <w:name w:val="annotation subject"/>
    <w:basedOn w:val="CommentText"/>
    <w:next w:val="CommentText"/>
    <w:link w:val="CommentSubjectChar"/>
    <w:uiPriority w:val="99"/>
    <w:semiHidden/>
    <w:unhideWhenUsed/>
    <w:rsid w:val="000611C3"/>
    <w:rPr>
      <w:b/>
      <w:bCs/>
    </w:rPr>
  </w:style>
  <w:style w:type="character" w:customStyle="1" w:styleId="CommentSubjectChar">
    <w:name w:val="Comment Subject Char"/>
    <w:basedOn w:val="CommentTextChar"/>
    <w:link w:val="CommentSubject"/>
    <w:uiPriority w:val="99"/>
    <w:semiHidden/>
    <w:rsid w:val="000611C3"/>
    <w:rPr>
      <w:b/>
      <w:bCs/>
      <w:sz w:val="20"/>
      <w:szCs w:val="20"/>
    </w:rPr>
  </w:style>
  <w:style w:type="paragraph" w:styleId="BalloonText">
    <w:name w:val="Balloon Text"/>
    <w:basedOn w:val="Normal"/>
    <w:link w:val="BalloonTextChar"/>
    <w:uiPriority w:val="99"/>
    <w:semiHidden/>
    <w:unhideWhenUsed/>
    <w:rsid w:val="00061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1C3"/>
    <w:rPr>
      <w:rFonts w:ascii="Segoe UI" w:hAnsi="Segoe UI" w:cs="Segoe UI"/>
      <w:sz w:val="18"/>
      <w:szCs w:val="18"/>
    </w:rPr>
  </w:style>
  <w:style w:type="character" w:customStyle="1" w:styleId="Heading3Char">
    <w:name w:val="Heading 3 Char"/>
    <w:basedOn w:val="DefaultParagraphFont"/>
    <w:link w:val="Heading3"/>
    <w:uiPriority w:val="9"/>
    <w:rsid w:val="008577C4"/>
    <w:rPr>
      <w:rFonts w:ascii="Times New Roman" w:eastAsiaTheme="majorEastAsia" w:hAnsi="Times New Roman" w:cstheme="majorBidi"/>
      <w:b/>
      <w:sz w:val="24"/>
      <w:szCs w:val="24"/>
      <w:u w:val="singl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210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21090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739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033FD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33FDE"/>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FC0D9A"/>
    <w:pPr>
      <w:pBdr>
        <w:bottom w:val="single" w:sz="8" w:space="1" w:color="44546A" w:themeColor="text2"/>
      </w:pBdr>
      <w:spacing w:before="360" w:after="120" w:line="240" w:lineRule="auto"/>
      <w:contextualSpacing/>
      <w:outlineLvl w:val="0"/>
    </w:pPr>
    <w:rPr>
      <w:rFonts w:ascii="Calibri" w:eastAsiaTheme="majorEastAsia" w:hAnsi="Calibri" w:cstheme="majorBidi"/>
      <w:color w:val="44546A" w:themeColor="text2"/>
      <w:spacing w:val="-10"/>
      <w:kern w:val="28"/>
      <w:sz w:val="36"/>
      <w:szCs w:val="72"/>
    </w:rPr>
  </w:style>
  <w:style w:type="character" w:customStyle="1" w:styleId="TitleChar">
    <w:name w:val="Title Char"/>
    <w:basedOn w:val="DefaultParagraphFont"/>
    <w:link w:val="Title"/>
    <w:uiPriority w:val="10"/>
    <w:rsid w:val="00FC0D9A"/>
    <w:rPr>
      <w:rFonts w:ascii="Calibri" w:eastAsiaTheme="majorEastAsia" w:hAnsi="Calibri" w:cstheme="majorBidi"/>
      <w:color w:val="44546A" w:themeColor="text2"/>
      <w:spacing w:val="-10"/>
      <w:kern w:val="28"/>
      <w:sz w:val="36"/>
      <w:szCs w:val="72"/>
    </w:rPr>
  </w:style>
  <w:style w:type="paragraph" w:styleId="Header">
    <w:name w:val="header"/>
    <w:basedOn w:val="Normal"/>
    <w:link w:val="HeaderChar"/>
    <w:uiPriority w:val="99"/>
    <w:unhideWhenUsed/>
    <w:rsid w:val="0003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DE"/>
  </w:style>
  <w:style w:type="paragraph" w:styleId="Footer">
    <w:name w:val="footer"/>
    <w:basedOn w:val="Normal"/>
    <w:link w:val="FooterChar"/>
    <w:uiPriority w:val="99"/>
    <w:unhideWhenUsed/>
    <w:rsid w:val="0003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DE"/>
  </w:style>
  <w:style w:type="character" w:styleId="FollowedHyperlink">
    <w:name w:val="FollowedHyperlink"/>
    <w:basedOn w:val="DefaultParagraphFont"/>
    <w:uiPriority w:val="99"/>
    <w:semiHidden/>
    <w:unhideWhenUsed/>
    <w:rsid w:val="004D14C4"/>
    <w:rPr>
      <w:color w:val="954F72" w:themeColor="followedHyperlink"/>
      <w:u w:val="single"/>
    </w:rPr>
  </w:style>
  <w:style w:type="table" w:styleId="GridTable1Light-Accent5">
    <w:name w:val="Grid Table 1 Light Accent 5"/>
    <w:basedOn w:val="TableNormal"/>
    <w:uiPriority w:val="46"/>
    <w:rsid w:val="002877A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2877A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877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semiHidden/>
    <w:unhideWhenUsed/>
    <w:rsid w:val="006F5CB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515">
      <w:bodyDiv w:val="1"/>
      <w:marLeft w:val="0"/>
      <w:marRight w:val="0"/>
      <w:marTop w:val="0"/>
      <w:marBottom w:val="0"/>
      <w:divBdr>
        <w:top w:val="none" w:sz="0" w:space="0" w:color="auto"/>
        <w:left w:val="none" w:sz="0" w:space="0" w:color="auto"/>
        <w:bottom w:val="none" w:sz="0" w:space="0" w:color="auto"/>
        <w:right w:val="none" w:sz="0" w:space="0" w:color="auto"/>
      </w:divBdr>
    </w:div>
    <w:div w:id="52195673">
      <w:bodyDiv w:val="1"/>
      <w:marLeft w:val="0"/>
      <w:marRight w:val="0"/>
      <w:marTop w:val="0"/>
      <w:marBottom w:val="0"/>
      <w:divBdr>
        <w:top w:val="none" w:sz="0" w:space="0" w:color="auto"/>
        <w:left w:val="none" w:sz="0" w:space="0" w:color="auto"/>
        <w:bottom w:val="none" w:sz="0" w:space="0" w:color="auto"/>
        <w:right w:val="none" w:sz="0" w:space="0" w:color="auto"/>
      </w:divBdr>
    </w:div>
    <w:div w:id="1339649720">
      <w:bodyDiv w:val="1"/>
      <w:marLeft w:val="0"/>
      <w:marRight w:val="0"/>
      <w:marTop w:val="0"/>
      <w:marBottom w:val="0"/>
      <w:divBdr>
        <w:top w:val="none" w:sz="0" w:space="0" w:color="auto"/>
        <w:left w:val="none" w:sz="0" w:space="0" w:color="auto"/>
        <w:bottom w:val="none" w:sz="0" w:space="0" w:color="auto"/>
        <w:right w:val="none" w:sz="0" w:space="0" w:color="auto"/>
      </w:divBdr>
    </w:div>
    <w:div w:id="1580289891">
      <w:bodyDiv w:val="1"/>
      <w:marLeft w:val="0"/>
      <w:marRight w:val="0"/>
      <w:marTop w:val="0"/>
      <w:marBottom w:val="0"/>
      <w:divBdr>
        <w:top w:val="none" w:sz="0" w:space="0" w:color="auto"/>
        <w:left w:val="none" w:sz="0" w:space="0" w:color="auto"/>
        <w:bottom w:val="none" w:sz="0" w:space="0" w:color="auto"/>
        <w:right w:val="none" w:sz="0" w:space="0" w:color="auto"/>
      </w:divBdr>
    </w:div>
    <w:div w:id="17261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ph.gov.au/Parliamentary_Business/Committees/Joint/Human_%20Rights/Guidance_Notes_and_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A799B-690F-4ABF-BC43-ABF57AA4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DFEFC-07AD-4DF9-AF16-E383BF79165C}">
  <ds:schemaRefs>
    <ds:schemaRef ds:uri="http://purl.org/dc/terms/"/>
    <ds:schemaRef ds:uri="D2A50BA2-2A50-4468-8C81-42780FEA679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F9BFC3-3754-4B37-B5F5-4D2CC5D52133}">
  <ds:schemaRefs>
    <ds:schemaRef ds:uri="http://schemas.microsoft.com/sharepoint/v3/contenttype/forms"/>
  </ds:schemaRefs>
</ds:datastoreItem>
</file>

<file path=customXml/itemProps4.xml><?xml version="1.0" encoding="utf-8"?>
<ds:datastoreItem xmlns:ds="http://schemas.openxmlformats.org/officeDocument/2006/customXml" ds:itemID="{57F51176-DDCA-4D17-83AA-2F1492E3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3004</Words>
  <Characters>17128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Sarah</dc:creator>
  <cp:keywords/>
  <dc:description/>
  <cp:lastModifiedBy>Stuart, Sarah</cp:lastModifiedBy>
  <cp:revision>2</cp:revision>
  <cp:lastPrinted>2021-06-28T01:44:00Z</cp:lastPrinted>
  <dcterms:created xsi:type="dcterms:W3CDTF">2022-06-29T02:52:00Z</dcterms:created>
  <dcterms:modified xsi:type="dcterms:W3CDTF">2022-06-29T02:52:00Z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FuelSecurityLegislationWorkTopics">
    <vt:lpwstr>2215;#Drafting Instructions|def35bca-22a5-4329-be86-7fa7841fc24c</vt:lpwstr>
  </property>
  <property fmtid="{D5CDD505-2E9C-101B-9397-08002B2CF9AE}" pid="4" name="DocHub_Year">
    <vt:lpwstr>8;#2021|712d5b50-1b62-44de-9d3e-74234783b265</vt:lpwstr>
  </property>
  <property fmtid="{D5CDD505-2E9C-101B-9397-08002B2CF9AE}" pid="5" name="DocHub_WorkActivity">
    <vt:lpwstr>95;#Legislation and Regulation|6cbc66f5-f4a2-4565-a58b-d5f2d2ac9bd0</vt:lpwstr>
  </property>
  <property fmtid="{D5CDD505-2E9C-101B-9397-08002B2CF9AE}" pid="6" name="DocHub_Keywords">
    <vt:lpwstr>38;#fuel security|88db6dbe-e821-4567-9df6-8571a42d69ce;#343;#Legislative Instrument|9f59c980-65f4-4d19-8c7c-81c379cca7b2</vt:lpwstr>
  </property>
  <property fmtid="{D5CDD505-2E9C-101B-9397-08002B2CF9AE}" pid="7" name="DocHub_DocumentType">
    <vt:lpwstr>340;#Legislative Instrument|edbe159b-95f5-40e7-bf23-9dfb62f2e7f0</vt:lpwstr>
  </property>
  <property fmtid="{D5CDD505-2E9C-101B-9397-08002B2CF9AE}" pid="8" name="DocHub_SecurityClassification">
    <vt:lpwstr>208;#Legislative secrecy|7696ab49-fa39-45c8-8833-1b0d93fa11aa</vt:lpwstr>
  </property>
</Properties>
</file>