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24" w:rsidRPr="00BE41E3" w:rsidRDefault="000D2524" w:rsidP="000D2524">
      <w:pPr>
        <w:pStyle w:val="ESTitleHeader"/>
      </w:pPr>
      <w:r w:rsidRPr="00BE41E3">
        <w:t>EXPLANATORY STATEMENT</w:t>
      </w:r>
    </w:p>
    <w:p w:rsidR="000D2524" w:rsidRPr="00BE41E3" w:rsidRDefault="000D2524" w:rsidP="000D2524">
      <w:pPr>
        <w:pStyle w:val="ESTitleDecisionMaker"/>
      </w:pPr>
      <w:r w:rsidRPr="00BE41E3">
        <w:t>Issued by authority of the Minister for Immigration, Citizenship and Multicultural Affairs</w:t>
      </w:r>
    </w:p>
    <w:p w:rsidR="000D2524" w:rsidRPr="00BE41E3" w:rsidRDefault="000D2524" w:rsidP="000D2524">
      <w:pPr>
        <w:pStyle w:val="ESTitleEnablingLegislation"/>
      </w:pPr>
      <w:r w:rsidRPr="00BE41E3">
        <w:t>Migration Act 1958</w:t>
      </w:r>
    </w:p>
    <w:p w:rsidR="000D2524" w:rsidRPr="00BE41E3" w:rsidRDefault="000D2524" w:rsidP="000D2524">
      <w:pPr>
        <w:pStyle w:val="ESTitleInstrumentName"/>
      </w:pPr>
      <w:r w:rsidRPr="00BE41E3">
        <w:t>Migration (Labour market testing) Amendment Determination (LIN 22/064) 2022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 xml:space="preserve">The instrument, Departmental reference LIN 22/064, is made under subsections 140GBA(4), (5) and (6A) of the </w:t>
      </w:r>
      <w:r w:rsidRPr="00BE41E3">
        <w:rPr>
          <w:i/>
        </w:rPr>
        <w:t>Migration Act 1958</w:t>
      </w:r>
      <w:r w:rsidRPr="00BE41E3">
        <w:t xml:space="preserve"> (the Act).  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 xml:space="preserve">The instrument amends </w:t>
      </w:r>
      <w:r w:rsidRPr="00BE41E3">
        <w:rPr>
          <w:i/>
        </w:rPr>
        <w:t>Migration (LIN 18/036: Period, manner and evidence of labour market testing) Instrument 2018</w:t>
      </w:r>
      <w:r w:rsidRPr="00BE41E3">
        <w:t xml:space="preserve"> </w:t>
      </w:r>
      <w:r>
        <w:t xml:space="preserve">(LIN 18/036) </w:t>
      </w:r>
      <w:r w:rsidRPr="00BE41E3">
        <w:t xml:space="preserve">in accordance with subsection 33(3) of the </w:t>
      </w:r>
      <w:r w:rsidRPr="00BE41E3">
        <w:rPr>
          <w:i/>
        </w:rPr>
        <w:t>Acts Interpretation Act 1901</w:t>
      </w:r>
      <w:r w:rsidRPr="00BE41E3">
        <w:t>.</w:t>
      </w:r>
      <w:r>
        <w:t xml:space="preserve">  </w:t>
      </w:r>
      <w:r w:rsidRPr="00BE41E3">
        <w:t xml:space="preserve">That subsection provides that a power to make a legislative instrument includes a power to amend or repeal that instrument in the same manner, and subject to the same conditions, as the power to make the instrument.  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 xml:space="preserve">The instrument commences on 4 July 2022, and is a legislative instrument for the purposes of the </w:t>
      </w:r>
      <w:r w:rsidRPr="00BE41E3">
        <w:rPr>
          <w:i/>
        </w:rPr>
        <w:t>Legislation Act 2003</w:t>
      </w:r>
      <w:r w:rsidRPr="00BE41E3">
        <w:t xml:space="preserve"> (the Legislation Act).  </w:t>
      </w:r>
    </w:p>
    <w:p w:rsidR="000D2524" w:rsidRPr="00BE41E3" w:rsidRDefault="000D2524" w:rsidP="000D2524">
      <w:pPr>
        <w:pStyle w:val="ESHeading"/>
        <w:keepNext w:val="0"/>
      </w:pPr>
      <w:r w:rsidRPr="00BE41E3">
        <w:t>Purpose</w:t>
      </w:r>
    </w:p>
    <w:p w:rsidR="00274F52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>LIN 18/036</w:t>
      </w:r>
      <w:r>
        <w:t xml:space="preserve"> specifies</w:t>
      </w:r>
      <w:r w:rsidRPr="00BE41E3">
        <w:t xml:space="preserve"> </w:t>
      </w:r>
      <w:r>
        <w:t>the l</w:t>
      </w:r>
      <w:r w:rsidRPr="00BE41E3">
        <w:t xml:space="preserve">abour </w:t>
      </w:r>
      <w:r>
        <w:t>market t</w:t>
      </w:r>
      <w:r w:rsidRPr="00BE41E3">
        <w:t xml:space="preserve">esting (LMT) </w:t>
      </w:r>
      <w:r>
        <w:t xml:space="preserve">conditions </w:t>
      </w:r>
      <w:r w:rsidRPr="00BE41E3">
        <w:t>for</w:t>
      </w:r>
      <w:r>
        <w:t xml:space="preserve"> subsection</w:t>
      </w:r>
      <w:r w:rsidRPr="00BE41E3">
        <w:t xml:space="preserve"> 140GBA(3)</w:t>
      </w:r>
      <w:r>
        <w:t xml:space="preserve"> </w:t>
      </w:r>
      <w:r w:rsidRPr="00BE41E3">
        <w:t>of the Act</w:t>
      </w:r>
      <w:r>
        <w:t xml:space="preserve">.  LMT is defined in subsection 140GBA(7) of the Act.  It requires businesses to test the Australian labour market to demonstrate whether a position could be readily filled by a suitably qualified and experienced Australian citizen or permanent resident.  The following </w:t>
      </w:r>
      <w:r w:rsidR="00A941E0">
        <w:t>are required to satisfy the LMT condition</w:t>
      </w:r>
      <w:r w:rsidR="00E91543">
        <w:t>s</w:t>
      </w:r>
      <w:r w:rsidR="00A941E0">
        <w:t xml:space="preserve"> and are</w:t>
      </w:r>
      <w:r>
        <w:t xml:space="preserve"> specified by legislative instrument: </w:t>
      </w:r>
    </w:p>
    <w:p w:rsidR="00274F52" w:rsidRDefault="00274F52" w:rsidP="00274F52">
      <w:pPr>
        <w:pStyle w:val="ESSubparaList"/>
        <w:numPr>
          <w:ilvl w:val="1"/>
          <w:numId w:val="1"/>
        </w:numPr>
      </w:pPr>
      <w:r>
        <w:t xml:space="preserve">the period of LMT (paragraph 140GBA(3)(a) and subsection 140GBA(4) of the Act); </w:t>
      </w:r>
    </w:p>
    <w:p w:rsidR="00274F52" w:rsidRDefault="00274F52" w:rsidP="00274F52">
      <w:pPr>
        <w:pStyle w:val="ESSubparaList"/>
        <w:numPr>
          <w:ilvl w:val="1"/>
          <w:numId w:val="1"/>
        </w:numPr>
        <w:spacing w:before="0" w:after="120"/>
        <w:ind w:left="1434" w:hanging="357"/>
      </w:pPr>
      <w:r>
        <w:t>the manner of LMT (paragraph 140GBA(3)(aa) and subsections 140GBA(5), (6), (6AA), (6AB), (6B) and (6C));</w:t>
      </w:r>
    </w:p>
    <w:p w:rsidR="00274F52" w:rsidRDefault="00274F52" w:rsidP="00274F52">
      <w:pPr>
        <w:pStyle w:val="ESSubparaList"/>
        <w:numPr>
          <w:ilvl w:val="1"/>
          <w:numId w:val="1"/>
        </w:numPr>
        <w:spacing w:before="0" w:after="120"/>
        <w:ind w:left="1434" w:hanging="357"/>
      </w:pPr>
      <w:r>
        <w:t>evidence LMT has occurred (subparagraph 140GBA(3)(b)(i) and subsections 140GBA(6A) and (6C)).</w:t>
      </w:r>
    </w:p>
    <w:p w:rsidR="000D2524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 xml:space="preserve">The purpose of </w:t>
      </w:r>
      <w:r>
        <w:t>the instrument is to</w:t>
      </w:r>
      <w:r w:rsidRPr="00BE41E3">
        <w:t xml:space="preserve"> amend LIN 18/036 </w:t>
      </w:r>
      <w:r>
        <w:t>to update</w:t>
      </w:r>
      <w:r w:rsidRPr="00BE41E3">
        <w:t xml:space="preserve"> the </w:t>
      </w:r>
      <w:r w:rsidR="00A941E0">
        <w:t>manner</w:t>
      </w:r>
      <w:r>
        <w:t xml:space="preserve"> by which businesses advertise </w:t>
      </w:r>
      <w:r w:rsidR="00A941E0">
        <w:t>posit</w:t>
      </w:r>
      <w:r w:rsidR="00DB224D">
        <w:t>i</w:t>
      </w:r>
      <w:bookmarkStart w:id="0" w:name="_GoBack"/>
      <w:bookmarkEnd w:id="0"/>
      <w:r w:rsidR="00A941E0">
        <w:t>ons</w:t>
      </w:r>
      <w:r>
        <w:t>.  The amendment removes the Jobactive website (</w:t>
      </w:r>
      <w:r w:rsidRPr="00B47E8F">
        <w:rPr>
          <w:u w:val="single"/>
        </w:rPr>
        <w:t>http://www.jobactive.gov.au</w:t>
      </w:r>
      <w:r>
        <w:t xml:space="preserve">) as the mandatory </w:t>
      </w:r>
      <w:r w:rsidR="00A941E0">
        <w:t>manner</w:t>
      </w:r>
      <w:r>
        <w:t xml:space="preserve"> for advertisement, and replaces it with the Workforce Australia website (</w:t>
      </w:r>
      <w:r w:rsidRPr="00B47E8F">
        <w:rPr>
          <w:u w:val="single"/>
        </w:rPr>
        <w:t>https://www.workforceaustralia.gov.au</w:t>
      </w:r>
      <w:r>
        <w:t xml:space="preserve">).  </w:t>
      </w:r>
    </w:p>
    <w:p w:rsidR="00A941E0" w:rsidRDefault="000D2524" w:rsidP="00274F52">
      <w:pPr>
        <w:pStyle w:val="ESPara"/>
        <w:numPr>
          <w:ilvl w:val="0"/>
          <w:numId w:val="1"/>
        </w:numPr>
        <w:ind w:left="360"/>
      </w:pPr>
      <w:r w:rsidRPr="003378F9">
        <w:t xml:space="preserve">The Jobactive website will be decommissioned on 4 July 2022 and the Workforce Australia </w:t>
      </w:r>
      <w:r>
        <w:t xml:space="preserve">website </w:t>
      </w:r>
      <w:r w:rsidRPr="003378F9">
        <w:t xml:space="preserve">will </w:t>
      </w:r>
      <w:r>
        <w:t>be launched.  Advertisements on the Jobactive website before 4 July 2022 will automatically migrate to the Workforce Australia website.  This ensures businesses are no</w:t>
      </w:r>
      <w:r w:rsidR="00A941E0">
        <w:t>t disadvantaged by the change</w:t>
      </w:r>
      <w:r w:rsidRPr="00D0200F">
        <w:t>.</w:t>
      </w:r>
      <w:r>
        <w:t xml:space="preserve">  </w:t>
      </w:r>
    </w:p>
    <w:p w:rsidR="000D2524" w:rsidRPr="00BE41E3" w:rsidRDefault="000D2524" w:rsidP="000D2524">
      <w:pPr>
        <w:pStyle w:val="ESHeading"/>
        <w:keepNext w:val="0"/>
      </w:pPr>
      <w:r w:rsidRPr="00BE41E3">
        <w:t>Consultation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>
        <w:t>No consultation was done for this instrument. This is because the instrument</w:t>
      </w:r>
      <w:r w:rsidR="00A941E0">
        <w:t xml:space="preserve"> does not</w:t>
      </w:r>
      <w:r>
        <w:t xml:space="preserve"> substantially </w:t>
      </w:r>
      <w:r w:rsidR="00A941E0">
        <w:t>alter</w:t>
      </w:r>
      <w:r>
        <w:t xml:space="preserve"> LIN 18/036.  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lastRenderedPageBreak/>
        <w:t xml:space="preserve">The Office of Best Practice Regulation (OBPR) </w:t>
      </w:r>
      <w:r>
        <w:t>was</w:t>
      </w:r>
      <w:r w:rsidRPr="00BE41E3">
        <w:t xml:space="preserve"> consulted and advised that the amendments are likely to have no more than minor regulatory impacts on business, individuals and organisations.</w:t>
      </w:r>
      <w:r>
        <w:t xml:space="preserve"> </w:t>
      </w:r>
      <w:r w:rsidRPr="00BE41E3">
        <w:t xml:space="preserve"> A </w:t>
      </w:r>
      <w:r>
        <w:t>r</w:t>
      </w:r>
      <w:r w:rsidRPr="00BE41E3">
        <w:t xml:space="preserve">egulation </w:t>
      </w:r>
      <w:r>
        <w:t>i</w:t>
      </w:r>
      <w:r w:rsidRPr="00BE41E3">
        <w:t xml:space="preserve">mpact </w:t>
      </w:r>
      <w:r>
        <w:t>s</w:t>
      </w:r>
      <w:r w:rsidRPr="00BE41E3">
        <w:t xml:space="preserve">tatement is not required. </w:t>
      </w:r>
      <w:r>
        <w:t xml:space="preserve"> </w:t>
      </w:r>
      <w:r w:rsidRPr="00BE41E3">
        <w:t>The OBPR reference number is OBPR22-02394.</w:t>
      </w:r>
    </w:p>
    <w:p w:rsidR="000D2524" w:rsidRPr="00BE41E3" w:rsidRDefault="000D2524" w:rsidP="000D2524">
      <w:pPr>
        <w:pStyle w:val="ESHeading"/>
        <w:keepNext w:val="0"/>
      </w:pPr>
      <w:r w:rsidRPr="00BE41E3">
        <w:t>Details of the instrument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>Section 1 sets out the name of the instrument.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>Section 2 provides for the commencement of the instrument on 4 July 2022.</w:t>
      </w:r>
    </w:p>
    <w:p w:rsidR="000D2524" w:rsidRPr="000C0D26" w:rsidRDefault="000D2524" w:rsidP="00274F52">
      <w:pPr>
        <w:pStyle w:val="ESPara"/>
        <w:numPr>
          <w:ilvl w:val="0"/>
          <w:numId w:val="1"/>
        </w:numPr>
        <w:ind w:left="360"/>
      </w:pPr>
      <w:r w:rsidRPr="000C0D26">
        <w:t xml:space="preserve">Section 3 </w:t>
      </w:r>
      <w:r w:rsidRPr="000C0D26">
        <w:rPr>
          <w:shd w:val="clear" w:color="auto" w:fill="FFFFFF"/>
        </w:rPr>
        <w:t>provides that LIN</w:t>
      </w:r>
      <w:r>
        <w:rPr>
          <w:shd w:val="clear" w:color="auto" w:fill="FFFFFF"/>
        </w:rPr>
        <w:t xml:space="preserve"> </w:t>
      </w:r>
      <w:r w:rsidRPr="000C0D26">
        <w:rPr>
          <w:shd w:val="clear" w:color="auto" w:fill="FFFFFF"/>
        </w:rPr>
        <w:t xml:space="preserve">18/036 </w:t>
      </w:r>
      <w:r>
        <w:rPr>
          <w:shd w:val="clear" w:color="auto" w:fill="FFFFFF"/>
        </w:rPr>
        <w:t xml:space="preserve">is amended as set out in </w:t>
      </w:r>
      <w:r w:rsidRPr="000C0D26">
        <w:rPr>
          <w:shd w:val="clear" w:color="auto" w:fill="FFFFFF"/>
        </w:rPr>
        <w:t>Schedule</w:t>
      </w:r>
      <w:r>
        <w:rPr>
          <w:shd w:val="clear" w:color="auto" w:fill="FFFFFF"/>
        </w:rPr>
        <w:t xml:space="preserve"> 1</w:t>
      </w:r>
      <w:r w:rsidRPr="000C0D26">
        <w:rPr>
          <w:shd w:val="clear" w:color="auto" w:fill="FFFFFF"/>
        </w:rPr>
        <w:t>. 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>Item 1 of Schedule 1 amends section 4 of</w:t>
      </w:r>
      <w:r>
        <w:t xml:space="preserve"> LIN 18/036</w:t>
      </w:r>
      <w:r w:rsidRPr="00BE41E3">
        <w:t xml:space="preserve">. </w:t>
      </w:r>
      <w:r>
        <w:t xml:space="preserve"> This amendment omits the definition of </w:t>
      </w:r>
      <w:r w:rsidRPr="00BE41E3">
        <w:t xml:space="preserve">‘Employment </w:t>
      </w:r>
      <w:r>
        <w:t xml:space="preserve">Department’, as the term is no longer used in the instrument. 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 xml:space="preserve">Item 2 omits section 5 of </w:t>
      </w:r>
      <w:r>
        <w:t xml:space="preserve">LIN 18/036, as the provision is redundant. </w:t>
      </w:r>
    </w:p>
    <w:p w:rsidR="000D2524" w:rsidRPr="008874E7" w:rsidRDefault="000D2524" w:rsidP="00274F52">
      <w:pPr>
        <w:pStyle w:val="ESPara"/>
        <w:numPr>
          <w:ilvl w:val="0"/>
          <w:numId w:val="1"/>
        </w:numPr>
        <w:ind w:left="360"/>
      </w:pPr>
      <w:r w:rsidRPr="008874E7">
        <w:t>Item 3 substitutes paragraph 8(3)(a) of</w:t>
      </w:r>
      <w:r w:rsidRPr="009D1F97">
        <w:t xml:space="preserve"> LIN 18/036. </w:t>
      </w:r>
      <w:r>
        <w:t xml:space="preserve"> </w:t>
      </w:r>
      <w:r w:rsidRPr="00D153DF">
        <w:t xml:space="preserve">The amendment </w:t>
      </w:r>
      <w:r w:rsidRPr="008874E7">
        <w:t xml:space="preserve">substitutes </w:t>
      </w:r>
      <w:r w:rsidRPr="00D153DF">
        <w:t xml:space="preserve">the Jobactive website </w:t>
      </w:r>
      <w:r>
        <w:t>with</w:t>
      </w:r>
      <w:r w:rsidRPr="00D153DF">
        <w:t xml:space="preserve"> the</w:t>
      </w:r>
      <w:r w:rsidRPr="008874E7">
        <w:t xml:space="preserve"> Workforce Australia website. </w:t>
      </w:r>
      <w:r w:rsidRPr="00D153DF">
        <w:t xml:space="preserve"> </w:t>
      </w:r>
      <w:r w:rsidR="00274F52">
        <w:t>From 4 July 2022 b</w:t>
      </w:r>
      <w:r>
        <w:t xml:space="preserve">usinesses are required to advertise positions </w:t>
      </w:r>
      <w:r w:rsidR="00274F52">
        <w:t>on</w:t>
      </w:r>
      <w:r>
        <w:t xml:space="preserve"> the Workforce Australia website. </w:t>
      </w:r>
    </w:p>
    <w:p w:rsidR="000D2524" w:rsidRPr="00D153DF" w:rsidRDefault="000D2524" w:rsidP="00274F52">
      <w:pPr>
        <w:pStyle w:val="ESPara"/>
        <w:numPr>
          <w:ilvl w:val="0"/>
          <w:numId w:val="1"/>
        </w:numPr>
        <w:ind w:left="360"/>
      </w:pPr>
      <w:r w:rsidRPr="00D153DF">
        <w:t>Item 4 inserts section 14.  Section 14 provides that advertisements</w:t>
      </w:r>
      <w:r>
        <w:t xml:space="preserve"> </w:t>
      </w:r>
      <w:r w:rsidRPr="00D153DF">
        <w:t xml:space="preserve">listed </w:t>
      </w:r>
      <w:r>
        <w:t>on</w:t>
      </w:r>
      <w:r w:rsidRPr="00D153DF">
        <w:t xml:space="preserve"> the Jobactive website before 4 July 2022 are taken to meet the requirements of </w:t>
      </w:r>
      <w:r w:rsidR="00274F52">
        <w:t>new paragraph 8(3)(a)</w:t>
      </w:r>
      <w:r w:rsidRPr="00D153DF">
        <w:t xml:space="preserve">.  This ensures businesses </w:t>
      </w:r>
      <w:r>
        <w:t>are not required</w:t>
      </w:r>
      <w:r w:rsidRPr="00D153DF">
        <w:t xml:space="preserve"> to readvertise to meet the 4 week time period specified in </w:t>
      </w:r>
      <w:r>
        <w:t>subsection 8(5)</w:t>
      </w:r>
      <w:r w:rsidRPr="00D153DF">
        <w:t xml:space="preserve"> of LIN 18/036</w:t>
      </w:r>
      <w:r w:rsidR="00274F52">
        <w:t xml:space="preserve">, </w:t>
      </w:r>
      <w:r>
        <w:t>subsection 140GBA(6) of the Act</w:t>
      </w:r>
      <w:r w:rsidRPr="00D153DF">
        <w:t xml:space="preserve">.  </w:t>
      </w:r>
    </w:p>
    <w:p w:rsidR="000D2524" w:rsidRPr="00BE41E3" w:rsidRDefault="000D2524" w:rsidP="000D2524">
      <w:pPr>
        <w:pStyle w:val="ESHeading"/>
        <w:keepNext w:val="0"/>
      </w:pPr>
      <w:r w:rsidRPr="00BE41E3">
        <w:t xml:space="preserve">Parliamentary scrutiny etc.  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>
        <w:t>This instrument</w:t>
      </w:r>
      <w:r w:rsidRPr="00BE41E3">
        <w:t xml:space="preserve"> is exempt from disallowance under section 42 of the Legislation Act. </w:t>
      </w:r>
      <w:r>
        <w:t xml:space="preserve"> </w:t>
      </w:r>
      <w:r w:rsidRPr="00E33135">
        <w:t>This is because the instrument is made under Part 2 of the Act, which is prescribed in paragraph (a) of item</w:t>
      </w:r>
      <w:r>
        <w:t> </w:t>
      </w:r>
      <w:r w:rsidRPr="00E33135">
        <w:t xml:space="preserve">20 of the table in section 10 of the </w:t>
      </w:r>
      <w:r w:rsidRPr="00D153DF">
        <w:rPr>
          <w:i/>
        </w:rPr>
        <w:t>Legislation (Exemptions and Other Matters) Regulation 2015</w:t>
      </w:r>
      <w:r w:rsidRPr="00E33135">
        <w:t>.</w:t>
      </w:r>
    </w:p>
    <w:p w:rsidR="000D2524" w:rsidRPr="00BE41E3" w:rsidRDefault="000D2524" w:rsidP="00274F52">
      <w:pPr>
        <w:pStyle w:val="ESPara"/>
        <w:numPr>
          <w:ilvl w:val="0"/>
          <w:numId w:val="1"/>
        </w:numPr>
        <w:ind w:left="360"/>
      </w:pPr>
      <w:r w:rsidRPr="00BE41E3">
        <w:t>The instrument was made by the Minister, in accordance with the subsection</w:t>
      </w:r>
      <w:r w:rsidR="00A941E0">
        <w:t>s</w:t>
      </w:r>
      <w:r w:rsidRPr="00BE41E3">
        <w:t xml:space="preserve"> 140GBA(4),</w:t>
      </w:r>
      <w:r>
        <w:t> </w:t>
      </w:r>
      <w:r w:rsidRPr="00BE41E3">
        <w:t xml:space="preserve">140GBA(5), and 140GBA(6A) of the Act. </w:t>
      </w:r>
    </w:p>
    <w:sectPr w:rsidR="000D2524" w:rsidRPr="00BE41E3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9B" w:rsidRDefault="00D44C72">
      <w:pPr>
        <w:spacing w:after="0" w:line="240" w:lineRule="auto"/>
      </w:pPr>
      <w:r>
        <w:separator/>
      </w:r>
    </w:p>
  </w:endnote>
  <w:endnote w:type="continuationSeparator" w:id="0">
    <w:p w:rsidR="0026759B" w:rsidRDefault="00D4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9B" w:rsidRDefault="00D44C72">
      <w:pPr>
        <w:spacing w:after="0" w:line="240" w:lineRule="auto"/>
      </w:pPr>
      <w:r>
        <w:separator/>
      </w:r>
    </w:p>
  </w:footnote>
  <w:footnote w:type="continuationSeparator" w:id="0">
    <w:p w:rsidR="0026759B" w:rsidRDefault="00D4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E884BCCA"/>
    <w:lvl w:ilvl="0" w:tplc="C80632DA">
      <w:start w:val="1"/>
      <w:numFmt w:val="decimal"/>
      <w:lvlText w:val="%1"/>
      <w:lvlJc w:val="left"/>
      <w:pPr>
        <w:ind w:left="6598" w:hanging="360"/>
      </w:pPr>
      <w:rPr>
        <w:rFonts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A42B9"/>
    <w:multiLevelType w:val="hybridMultilevel"/>
    <w:tmpl w:val="D8861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24"/>
    <w:rsid w:val="000467BA"/>
    <w:rsid w:val="000819A8"/>
    <w:rsid w:val="000D2524"/>
    <w:rsid w:val="00152B3C"/>
    <w:rsid w:val="0026759B"/>
    <w:rsid w:val="00274F52"/>
    <w:rsid w:val="0043432C"/>
    <w:rsid w:val="006B6CED"/>
    <w:rsid w:val="00897FD9"/>
    <w:rsid w:val="00922DD2"/>
    <w:rsid w:val="00A7131D"/>
    <w:rsid w:val="00A941E0"/>
    <w:rsid w:val="00BA4E0D"/>
    <w:rsid w:val="00D44C72"/>
    <w:rsid w:val="00DB224D"/>
    <w:rsid w:val="00E6746F"/>
    <w:rsid w:val="00E91543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D788"/>
  <w15:chartTrackingRefBased/>
  <w15:docId w15:val="{8AA17E74-44DA-4284-8A5A-3B6AFF57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24"/>
    <w:pPr>
      <w:spacing w:after="160" w:line="259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">
    <w:name w:val="ES_Heading"/>
    <w:basedOn w:val="ListParagraph"/>
    <w:link w:val="ESHeadingChar"/>
    <w:qFormat/>
    <w:rsid w:val="000D2524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ESHeadingChar">
    <w:name w:val="ES_Heading Char"/>
    <w:basedOn w:val="DefaultParagraphFont"/>
    <w:link w:val="ESHeading"/>
    <w:rsid w:val="000D2524"/>
    <w:rPr>
      <w:rFonts w:ascii="Times New Roman" w:hAnsi="Times New Roman" w:cs="Times New Roman"/>
      <w:b/>
      <w:i/>
    </w:rPr>
  </w:style>
  <w:style w:type="paragraph" w:customStyle="1" w:styleId="ESTitleInstrumentName">
    <w:name w:val="ESTitle_InstrumentName"/>
    <w:basedOn w:val="Normal"/>
    <w:link w:val="ESTitleInstrumentNameChar"/>
    <w:qFormat/>
    <w:rsid w:val="000D2524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0D2524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0D2524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0D2524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0D2524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0D2524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0D2524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0D2524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0D2524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0D2524"/>
    <w:pPr>
      <w:spacing w:before="240" w:after="240" w:line="276" w:lineRule="auto"/>
      <w:ind w:left="0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DefaultParagraphFont"/>
    <w:link w:val="ESSubparaHeader"/>
    <w:rsid w:val="000D2524"/>
    <w:rPr>
      <w:rFonts w:ascii="Times New Roman" w:hAnsi="Times New Roman" w:cs="Times New Roman"/>
    </w:rPr>
  </w:style>
  <w:style w:type="character" w:customStyle="1" w:styleId="ESSubparaListChar">
    <w:name w:val="ES_SubparaList Char"/>
    <w:basedOn w:val="DefaultParagraphFont"/>
    <w:link w:val="ESSubparaList"/>
    <w:rsid w:val="000D252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D2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5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524"/>
    <w:rPr>
      <w:rFonts w:asciiTheme="minorHAnsi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24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0D2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524"/>
    <w:rPr>
      <w:rFonts w:asciiTheme="minorHAnsi" w:hAnsiTheme="minorHAnsi" w:cstheme="minorBid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3C"/>
    <w:rPr>
      <w:rFonts w:asciiTheme="minorHAnsi" w:hAnsiTheme="minorHAnsi" w:cstheme="minorBidi"/>
    </w:rPr>
  </w:style>
  <w:style w:type="paragraph" w:customStyle="1" w:styleId="ESPara">
    <w:name w:val="ES_Para"/>
    <w:basedOn w:val="ESSubparaHeader"/>
    <w:link w:val="ESParaChar"/>
    <w:qFormat/>
    <w:rsid w:val="00274F52"/>
    <w:pPr>
      <w:keepNext w:val="0"/>
      <w:ind w:left="360" w:hanging="360"/>
    </w:pPr>
  </w:style>
  <w:style w:type="character" w:customStyle="1" w:styleId="ESParaChar">
    <w:name w:val="ES_Para Char"/>
    <w:basedOn w:val="ESSubparaHeaderChar"/>
    <w:link w:val="ESPara"/>
    <w:rsid w:val="00274F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3573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2022-06-24T02:07:00Z</dcterms:created>
  <dcterms:modified xsi:type="dcterms:W3CDTF">2022-07-01T00:56:00Z</dcterms:modified>
</cp:coreProperties>
</file>