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70050" w14:textId="77777777" w:rsidR="001A1903" w:rsidRDefault="001A1903" w:rsidP="009C1F83">
      <w:pPr>
        <w:pStyle w:val="Heading5"/>
        <w:tabs>
          <w:tab w:val="left" w:pos="2127"/>
        </w:tabs>
      </w:pPr>
      <w:r>
        <w:t>EXPLANATORY STATEMENT</w:t>
      </w:r>
    </w:p>
    <w:p w14:paraId="4613DD32" w14:textId="77777777" w:rsidR="001A1903" w:rsidRDefault="001A1903">
      <w:pPr>
        <w:rPr>
          <w:color w:val="000000"/>
          <w:sz w:val="28"/>
        </w:rPr>
      </w:pPr>
    </w:p>
    <w:p w14:paraId="389D555F" w14:textId="5EC57BBB" w:rsidR="008D7266" w:rsidRPr="008D7266" w:rsidRDefault="00E600A6" w:rsidP="008D7266">
      <w:pPr>
        <w:pStyle w:val="Heading1"/>
        <w:tabs>
          <w:tab w:val="left" w:pos="-142"/>
        </w:tabs>
        <w:spacing w:after="120"/>
        <w:ind w:left="0"/>
      </w:pPr>
      <w:bookmarkStart w:id="0" w:name="OLE_LINK2"/>
      <w:bookmarkStart w:id="1" w:name="OLE_LINK1"/>
      <w:bookmarkStart w:id="2" w:name="OLE_LINK3"/>
      <w:r w:rsidRPr="001624D2">
        <w:rPr>
          <w:b/>
        </w:rPr>
        <w:t xml:space="preserve">Veterans’ </w:t>
      </w:r>
      <w:r w:rsidR="004239F6">
        <w:rPr>
          <w:b/>
        </w:rPr>
        <w:t>Affairs</w:t>
      </w:r>
      <w:r w:rsidR="00B153F5" w:rsidRPr="001624D2">
        <w:rPr>
          <w:b/>
        </w:rPr>
        <w:t xml:space="preserve"> </w:t>
      </w:r>
      <w:r w:rsidRPr="001624D2">
        <w:rPr>
          <w:b/>
        </w:rPr>
        <w:t>(</w:t>
      </w:r>
      <w:r w:rsidR="00FF250D">
        <w:rPr>
          <w:b/>
        </w:rPr>
        <w:t>Treatment Principles –</w:t>
      </w:r>
      <w:r w:rsidR="003E5657">
        <w:rPr>
          <w:b/>
        </w:rPr>
        <w:t xml:space="preserve"> </w:t>
      </w:r>
      <w:r w:rsidR="00185BFB">
        <w:rPr>
          <w:b/>
        </w:rPr>
        <w:t xml:space="preserve">Extend Eligibility for Treatment </w:t>
      </w:r>
      <w:r w:rsidR="0054143A">
        <w:rPr>
          <w:b/>
        </w:rPr>
        <w:t>by Allied Health Providers for Entitled Persons Receiving</w:t>
      </w:r>
      <w:r w:rsidR="00185BFB">
        <w:rPr>
          <w:b/>
        </w:rPr>
        <w:t xml:space="preserve"> Residential Care</w:t>
      </w:r>
      <w:r w:rsidR="00F556FE">
        <w:rPr>
          <w:b/>
        </w:rPr>
        <w:t>)</w:t>
      </w:r>
      <w:r w:rsidR="0090582B">
        <w:rPr>
          <w:b/>
        </w:rPr>
        <w:t xml:space="preserve"> </w:t>
      </w:r>
      <w:r w:rsidR="00C47B0D">
        <w:rPr>
          <w:b/>
        </w:rPr>
        <w:t xml:space="preserve">Amendment </w:t>
      </w:r>
      <w:r w:rsidR="004C4FD6">
        <w:rPr>
          <w:b/>
        </w:rPr>
        <w:t>Determination</w:t>
      </w:r>
      <w:r w:rsidRPr="001624D2">
        <w:rPr>
          <w:b/>
        </w:rPr>
        <w:t xml:space="preserve"> 20</w:t>
      </w:r>
      <w:r w:rsidR="004C4FD6">
        <w:rPr>
          <w:b/>
        </w:rPr>
        <w:t>2</w:t>
      </w:r>
      <w:r w:rsidR="0054143A">
        <w:rPr>
          <w:b/>
        </w:rPr>
        <w:t>2</w:t>
      </w:r>
      <w:r w:rsidR="00155CD7">
        <w:rPr>
          <w:b/>
        </w:rPr>
        <w:t xml:space="preserve"> </w:t>
      </w:r>
      <w:r w:rsidR="00155CD7" w:rsidRPr="007E0FBB">
        <w:t>(</w:t>
      </w:r>
      <w:r w:rsidR="00412BF5" w:rsidRPr="00513FA0">
        <w:t xml:space="preserve">Instrument </w:t>
      </w:r>
      <w:r w:rsidR="008D7266">
        <w:t xml:space="preserve">2022 </w:t>
      </w:r>
      <w:r w:rsidR="00155CD7" w:rsidRPr="00513FA0">
        <w:rPr>
          <w:color w:val="000000"/>
        </w:rPr>
        <w:t>No.</w:t>
      </w:r>
      <w:r w:rsidR="00C47B0D" w:rsidRPr="00513FA0">
        <w:rPr>
          <w:color w:val="000000"/>
        </w:rPr>
        <w:t>R29/MRCC29</w:t>
      </w:r>
      <w:r w:rsidR="00155CD7" w:rsidRPr="00513FA0">
        <w:t>)</w:t>
      </w:r>
    </w:p>
    <w:bookmarkEnd w:id="0"/>
    <w:bookmarkEnd w:id="1"/>
    <w:bookmarkEnd w:id="2"/>
    <w:p w14:paraId="09849210" w14:textId="77777777" w:rsidR="001A1903" w:rsidRDefault="001A1903">
      <w:pPr>
        <w:rPr>
          <w:b/>
          <w:color w:val="000000"/>
          <w:sz w:val="28"/>
        </w:rPr>
      </w:pPr>
    </w:p>
    <w:p w14:paraId="3DE43726" w14:textId="77777777" w:rsidR="001A1903" w:rsidRDefault="001A1903">
      <w:pPr>
        <w:rPr>
          <w:b/>
          <w:color w:val="000000"/>
          <w:sz w:val="28"/>
        </w:rPr>
      </w:pPr>
      <w:r>
        <w:rPr>
          <w:b/>
          <w:color w:val="000000"/>
          <w:sz w:val="28"/>
        </w:rPr>
        <w:t>EMPOWERING PROVISION</w:t>
      </w:r>
      <w:r w:rsidR="00783E9C">
        <w:rPr>
          <w:b/>
          <w:color w:val="000000"/>
          <w:sz w:val="28"/>
        </w:rPr>
        <w:t>S</w:t>
      </w:r>
    </w:p>
    <w:p w14:paraId="77247446" w14:textId="77777777" w:rsidR="001A1903" w:rsidRDefault="001A1903">
      <w:pPr>
        <w:rPr>
          <w:color w:val="000000"/>
          <w:sz w:val="28"/>
        </w:rPr>
      </w:pPr>
    </w:p>
    <w:p w14:paraId="4C8D9D49" w14:textId="77777777" w:rsidR="00CA2AAC" w:rsidRDefault="004239F6" w:rsidP="00CA2AAC">
      <w:pPr>
        <w:tabs>
          <w:tab w:val="left" w:pos="1134"/>
        </w:tabs>
        <w:rPr>
          <w:color w:val="000000"/>
          <w:sz w:val="24"/>
          <w:szCs w:val="24"/>
        </w:rPr>
      </w:pPr>
      <w:r>
        <w:rPr>
          <w:color w:val="000000"/>
          <w:sz w:val="24"/>
          <w:szCs w:val="24"/>
        </w:rPr>
        <w:t>For Schedule 1 of the attac</w:t>
      </w:r>
      <w:r w:rsidR="00FF250D">
        <w:rPr>
          <w:color w:val="000000"/>
          <w:sz w:val="24"/>
          <w:szCs w:val="24"/>
        </w:rPr>
        <w:t xml:space="preserve">hed instrument </w:t>
      </w:r>
      <w:r w:rsidR="00CA2AAC">
        <w:rPr>
          <w:color w:val="000000"/>
          <w:sz w:val="24"/>
          <w:szCs w:val="24"/>
        </w:rPr>
        <w:t xml:space="preserve">which varies the </w:t>
      </w:r>
      <w:r w:rsidR="00CA2AAC" w:rsidRPr="003C1E30">
        <w:rPr>
          <w:i/>
          <w:color w:val="000000"/>
          <w:sz w:val="24"/>
          <w:szCs w:val="24"/>
        </w:rPr>
        <w:t>T</w:t>
      </w:r>
      <w:r w:rsidR="00CA2AAC">
        <w:rPr>
          <w:i/>
          <w:color w:val="000000"/>
          <w:sz w:val="24"/>
          <w:szCs w:val="24"/>
        </w:rPr>
        <w:t>reatment Principles</w:t>
      </w:r>
      <w:r w:rsidR="00CA2AAC">
        <w:rPr>
          <w:color w:val="000000"/>
          <w:sz w:val="24"/>
          <w:szCs w:val="24"/>
        </w:rPr>
        <w:t xml:space="preserve"> (VEA Treatment Principles) </w:t>
      </w:r>
      <w:r w:rsidR="00012F60">
        <w:rPr>
          <w:color w:val="000000"/>
          <w:sz w:val="24"/>
          <w:szCs w:val="24"/>
        </w:rPr>
        <w:t xml:space="preserve">— </w:t>
      </w:r>
      <w:r w:rsidR="00A5083A">
        <w:rPr>
          <w:color w:val="000000"/>
          <w:sz w:val="24"/>
          <w:szCs w:val="24"/>
        </w:rPr>
        <w:t>sub</w:t>
      </w:r>
      <w:r w:rsidR="00012F60">
        <w:rPr>
          <w:color w:val="000000"/>
          <w:sz w:val="24"/>
          <w:szCs w:val="24"/>
        </w:rPr>
        <w:t>section 90</w:t>
      </w:r>
      <w:r w:rsidR="00A5083A">
        <w:rPr>
          <w:color w:val="000000"/>
          <w:sz w:val="24"/>
          <w:szCs w:val="24"/>
        </w:rPr>
        <w:t>(5)</w:t>
      </w:r>
      <w:r>
        <w:rPr>
          <w:color w:val="000000"/>
          <w:sz w:val="24"/>
          <w:szCs w:val="24"/>
        </w:rPr>
        <w:t xml:space="preserve"> of the </w:t>
      </w:r>
      <w:r w:rsidRPr="000A51A1">
        <w:rPr>
          <w:i/>
          <w:color w:val="000000"/>
          <w:sz w:val="24"/>
          <w:szCs w:val="24"/>
        </w:rPr>
        <w:t>Veterans’ Entitlements Act 1986</w:t>
      </w:r>
      <w:r w:rsidRPr="000A51A1">
        <w:rPr>
          <w:color w:val="000000"/>
          <w:sz w:val="24"/>
          <w:szCs w:val="24"/>
        </w:rPr>
        <w:t xml:space="preserve"> (the VEA)</w:t>
      </w:r>
      <w:r w:rsidRPr="000A51A1">
        <w:rPr>
          <w:i/>
          <w:color w:val="000000"/>
          <w:sz w:val="24"/>
          <w:szCs w:val="24"/>
        </w:rPr>
        <w:t>.</w:t>
      </w:r>
    </w:p>
    <w:p w14:paraId="6FD7DD19" w14:textId="77777777" w:rsidR="00CA2AAC" w:rsidRDefault="00CA2AAC" w:rsidP="00CA2AAC">
      <w:pPr>
        <w:tabs>
          <w:tab w:val="left" w:pos="1134"/>
        </w:tabs>
        <w:rPr>
          <w:color w:val="000000"/>
          <w:sz w:val="24"/>
          <w:szCs w:val="24"/>
        </w:rPr>
      </w:pPr>
    </w:p>
    <w:p w14:paraId="4749F148" w14:textId="77777777" w:rsidR="004239F6" w:rsidRDefault="004239F6" w:rsidP="00CA2AAC">
      <w:pPr>
        <w:tabs>
          <w:tab w:val="left" w:pos="1134"/>
        </w:tabs>
        <w:rPr>
          <w:color w:val="000000"/>
          <w:sz w:val="24"/>
          <w:szCs w:val="24"/>
        </w:rPr>
      </w:pPr>
      <w:r>
        <w:rPr>
          <w:color w:val="000000"/>
          <w:sz w:val="24"/>
          <w:szCs w:val="24"/>
        </w:rPr>
        <w:t>For Schedule 2 of the attach</w:t>
      </w:r>
      <w:r w:rsidR="00FF250D">
        <w:rPr>
          <w:color w:val="000000"/>
          <w:sz w:val="24"/>
          <w:szCs w:val="24"/>
        </w:rPr>
        <w:t xml:space="preserve">ed instrument </w:t>
      </w:r>
      <w:r w:rsidR="00CA2AAC">
        <w:rPr>
          <w:color w:val="000000"/>
          <w:sz w:val="24"/>
          <w:szCs w:val="24"/>
        </w:rPr>
        <w:t xml:space="preserve">which varies the </w:t>
      </w:r>
      <w:r w:rsidR="00CA2AAC" w:rsidRPr="005207A0">
        <w:rPr>
          <w:i/>
          <w:color w:val="000000"/>
          <w:sz w:val="24"/>
          <w:szCs w:val="24"/>
        </w:rPr>
        <w:t>MRCA Treatment Principles</w:t>
      </w:r>
      <w:r w:rsidR="00CA2AAC">
        <w:rPr>
          <w:i/>
          <w:color w:val="000000"/>
          <w:sz w:val="24"/>
          <w:szCs w:val="24"/>
        </w:rPr>
        <w:t xml:space="preserve"> </w:t>
      </w:r>
      <w:r w:rsidR="00A5083A" w:rsidRPr="00A5083A">
        <w:rPr>
          <w:color w:val="000000"/>
          <w:sz w:val="24"/>
          <w:szCs w:val="24"/>
        </w:rPr>
        <w:t>(MRCA Treatment Principles)</w:t>
      </w:r>
      <w:r w:rsidR="00A5083A">
        <w:rPr>
          <w:color w:val="000000"/>
          <w:sz w:val="24"/>
          <w:szCs w:val="24"/>
        </w:rPr>
        <w:t xml:space="preserve"> </w:t>
      </w:r>
      <w:r w:rsidR="00012F60" w:rsidRPr="00A5083A">
        <w:rPr>
          <w:color w:val="000000"/>
          <w:sz w:val="24"/>
          <w:szCs w:val="24"/>
        </w:rPr>
        <w:t>—</w:t>
      </w:r>
      <w:r w:rsidR="00012F60">
        <w:rPr>
          <w:color w:val="000000"/>
          <w:sz w:val="24"/>
          <w:szCs w:val="24"/>
        </w:rPr>
        <w:t xml:space="preserve"> </w:t>
      </w:r>
      <w:r w:rsidR="00A5083A">
        <w:rPr>
          <w:color w:val="000000"/>
          <w:sz w:val="24"/>
          <w:szCs w:val="24"/>
        </w:rPr>
        <w:t>sub</w:t>
      </w:r>
      <w:r w:rsidR="00012F60">
        <w:rPr>
          <w:color w:val="000000"/>
          <w:sz w:val="24"/>
          <w:szCs w:val="24"/>
        </w:rPr>
        <w:t>section 286</w:t>
      </w:r>
      <w:r w:rsidR="00A5083A">
        <w:rPr>
          <w:color w:val="000000"/>
          <w:sz w:val="24"/>
          <w:szCs w:val="24"/>
        </w:rPr>
        <w:t>(5)</w:t>
      </w:r>
      <w:r>
        <w:rPr>
          <w:color w:val="000000"/>
          <w:sz w:val="24"/>
          <w:szCs w:val="24"/>
        </w:rPr>
        <w:t xml:space="preserve"> </w:t>
      </w:r>
      <w:r w:rsidRPr="000A51A1">
        <w:rPr>
          <w:color w:val="000000"/>
          <w:sz w:val="24"/>
          <w:szCs w:val="24"/>
        </w:rPr>
        <w:t>of the</w:t>
      </w:r>
      <w:r w:rsidRPr="000A51A1">
        <w:rPr>
          <w:i/>
          <w:color w:val="000000"/>
          <w:sz w:val="24"/>
          <w:szCs w:val="24"/>
        </w:rPr>
        <w:t xml:space="preserve"> </w:t>
      </w:r>
      <w:r>
        <w:rPr>
          <w:i/>
          <w:color w:val="000000"/>
          <w:sz w:val="24"/>
          <w:szCs w:val="24"/>
        </w:rPr>
        <w:t xml:space="preserve">Military Rehabilitation and Compensation Act 2004 </w:t>
      </w:r>
      <w:r w:rsidRPr="004117E6">
        <w:rPr>
          <w:color w:val="000000"/>
          <w:sz w:val="24"/>
          <w:szCs w:val="24"/>
        </w:rPr>
        <w:t>(the MRCA).</w:t>
      </w:r>
    </w:p>
    <w:p w14:paraId="7ABA31E4" w14:textId="77777777" w:rsidR="004117E6" w:rsidRDefault="004117E6" w:rsidP="004239F6">
      <w:pPr>
        <w:rPr>
          <w:color w:val="000000"/>
          <w:sz w:val="24"/>
          <w:szCs w:val="24"/>
        </w:rPr>
      </w:pPr>
    </w:p>
    <w:p w14:paraId="5CBF3EED" w14:textId="77777777" w:rsidR="001A1903" w:rsidRDefault="001A1903">
      <w:pPr>
        <w:rPr>
          <w:b/>
          <w:color w:val="000000"/>
          <w:sz w:val="28"/>
        </w:rPr>
      </w:pPr>
      <w:r>
        <w:rPr>
          <w:b/>
          <w:color w:val="000000"/>
          <w:sz w:val="28"/>
        </w:rPr>
        <w:t>PURPOSE</w:t>
      </w:r>
    </w:p>
    <w:p w14:paraId="2FDDEAC2" w14:textId="77777777" w:rsidR="001A1903" w:rsidRPr="00B62AAA" w:rsidRDefault="001A1903">
      <w:pPr>
        <w:rPr>
          <w:color w:val="000000"/>
          <w:sz w:val="24"/>
          <w:szCs w:val="24"/>
        </w:rPr>
      </w:pPr>
    </w:p>
    <w:p w14:paraId="6F83D417" w14:textId="2F2A61E1" w:rsidR="004117E6" w:rsidRDefault="00FB4E78" w:rsidP="00357D6D">
      <w:pPr>
        <w:tabs>
          <w:tab w:val="left" w:pos="1134"/>
        </w:tabs>
        <w:spacing w:after="240"/>
        <w:rPr>
          <w:color w:val="000000"/>
          <w:sz w:val="24"/>
          <w:szCs w:val="24"/>
        </w:rPr>
      </w:pPr>
      <w:r>
        <w:rPr>
          <w:color w:val="000000"/>
          <w:sz w:val="24"/>
          <w:szCs w:val="24"/>
        </w:rPr>
        <w:t xml:space="preserve">The instrument </w:t>
      </w:r>
      <w:r w:rsidR="00185BFB" w:rsidRPr="00185BFB">
        <w:rPr>
          <w:i/>
          <w:color w:val="000000"/>
          <w:sz w:val="24"/>
          <w:szCs w:val="24"/>
        </w:rPr>
        <w:t>Veterans’ Affairs (</w:t>
      </w:r>
      <w:r w:rsidR="0054143A" w:rsidRPr="0054143A">
        <w:rPr>
          <w:i/>
          <w:color w:val="000000"/>
          <w:sz w:val="24"/>
          <w:szCs w:val="24"/>
        </w:rPr>
        <w:t>Treatment Principles – Extend Eligibility for Treatment by Allied Health Providers for Entitled Persons Receiving Residential Care</w:t>
      </w:r>
      <w:r w:rsidR="00185BFB" w:rsidRPr="00185BFB">
        <w:rPr>
          <w:i/>
          <w:color w:val="000000"/>
          <w:sz w:val="24"/>
          <w:szCs w:val="24"/>
        </w:rPr>
        <w:t xml:space="preserve">) </w:t>
      </w:r>
      <w:r w:rsidR="00C47B0D">
        <w:rPr>
          <w:i/>
          <w:color w:val="000000"/>
          <w:sz w:val="24"/>
          <w:szCs w:val="24"/>
        </w:rPr>
        <w:t xml:space="preserve">Amendment </w:t>
      </w:r>
      <w:r w:rsidR="00185BFB" w:rsidRPr="00185BFB">
        <w:rPr>
          <w:i/>
          <w:color w:val="000000"/>
          <w:sz w:val="24"/>
          <w:szCs w:val="24"/>
        </w:rPr>
        <w:t>Determination 202</w:t>
      </w:r>
      <w:r w:rsidR="0054143A">
        <w:rPr>
          <w:i/>
          <w:color w:val="000000"/>
          <w:sz w:val="24"/>
          <w:szCs w:val="24"/>
        </w:rPr>
        <w:t>2</w:t>
      </w:r>
      <w:r w:rsidR="00185BFB" w:rsidRPr="00185BFB">
        <w:rPr>
          <w:i/>
          <w:color w:val="000000"/>
          <w:sz w:val="24"/>
          <w:szCs w:val="24"/>
        </w:rPr>
        <w:t xml:space="preserve"> </w:t>
      </w:r>
      <w:r w:rsidR="00185BFB" w:rsidRPr="007D42B0">
        <w:rPr>
          <w:color w:val="000000"/>
          <w:sz w:val="24"/>
          <w:szCs w:val="24"/>
        </w:rPr>
        <w:t>(Instrument</w:t>
      </w:r>
      <w:r w:rsidR="00863A8F">
        <w:rPr>
          <w:color w:val="000000"/>
          <w:sz w:val="24"/>
          <w:szCs w:val="24"/>
        </w:rPr>
        <w:t xml:space="preserve"> 2022</w:t>
      </w:r>
      <w:r w:rsidR="00185BFB" w:rsidRPr="007D42B0">
        <w:rPr>
          <w:color w:val="000000"/>
          <w:sz w:val="24"/>
          <w:szCs w:val="24"/>
        </w:rPr>
        <w:t xml:space="preserve"> No.</w:t>
      </w:r>
      <w:r w:rsidR="00513FA0">
        <w:rPr>
          <w:color w:val="000000"/>
          <w:sz w:val="24"/>
          <w:szCs w:val="24"/>
        </w:rPr>
        <w:t>R29/MRCC29</w:t>
      </w:r>
      <w:r w:rsidR="00185BFB" w:rsidRPr="007D42B0">
        <w:rPr>
          <w:color w:val="000000"/>
          <w:sz w:val="24"/>
          <w:szCs w:val="24"/>
        </w:rPr>
        <w:t>)</w:t>
      </w:r>
      <w:r w:rsidR="00185BFB">
        <w:rPr>
          <w:i/>
          <w:color w:val="000000"/>
          <w:sz w:val="24"/>
          <w:szCs w:val="24"/>
        </w:rPr>
        <w:t xml:space="preserve"> </w:t>
      </w:r>
      <w:r w:rsidR="00E7554D">
        <w:rPr>
          <w:color w:val="000000"/>
          <w:sz w:val="24"/>
          <w:szCs w:val="24"/>
        </w:rPr>
        <w:t>ma</w:t>
      </w:r>
      <w:r w:rsidR="00863A8F">
        <w:rPr>
          <w:color w:val="000000"/>
          <w:sz w:val="24"/>
          <w:szCs w:val="24"/>
        </w:rPr>
        <w:t>d</w:t>
      </w:r>
      <w:r w:rsidR="00E7554D">
        <w:rPr>
          <w:color w:val="000000"/>
          <w:sz w:val="24"/>
          <w:szCs w:val="24"/>
        </w:rPr>
        <w:t xml:space="preserve">e </w:t>
      </w:r>
      <w:r w:rsidR="004239F6" w:rsidRPr="004B31CE">
        <w:rPr>
          <w:color w:val="000000"/>
          <w:sz w:val="24"/>
          <w:szCs w:val="24"/>
        </w:rPr>
        <w:t>vari</w:t>
      </w:r>
      <w:r w:rsidR="00E7554D">
        <w:rPr>
          <w:color w:val="000000"/>
          <w:sz w:val="24"/>
          <w:szCs w:val="24"/>
        </w:rPr>
        <w:t>ations to</w:t>
      </w:r>
      <w:r w:rsidR="004239F6" w:rsidRPr="004B31CE">
        <w:rPr>
          <w:color w:val="000000"/>
          <w:sz w:val="24"/>
          <w:szCs w:val="24"/>
        </w:rPr>
        <w:t xml:space="preserve"> the </w:t>
      </w:r>
      <w:r w:rsidR="009D5800">
        <w:rPr>
          <w:color w:val="000000"/>
          <w:sz w:val="24"/>
          <w:szCs w:val="24"/>
        </w:rPr>
        <w:t xml:space="preserve">VEA Treatment Principles and the MRCA Treatment Principles </w:t>
      </w:r>
      <w:r w:rsidR="009D5800">
        <w:rPr>
          <w:b/>
        </w:rPr>
        <w:t xml:space="preserve">– </w:t>
      </w:r>
      <w:r w:rsidR="00CA2AAC">
        <w:rPr>
          <w:color w:val="000000"/>
          <w:sz w:val="24"/>
          <w:szCs w:val="24"/>
        </w:rPr>
        <w:t>collectively known as the Treatment Principles.</w:t>
      </w:r>
    </w:p>
    <w:p w14:paraId="2F6C585D" w14:textId="09E64F3B" w:rsidR="0029761F" w:rsidRDefault="004239F6" w:rsidP="00357D6D">
      <w:pPr>
        <w:tabs>
          <w:tab w:val="left" w:pos="1134"/>
        </w:tabs>
        <w:spacing w:after="240"/>
        <w:rPr>
          <w:snapToGrid w:val="0"/>
          <w:color w:val="000000"/>
          <w:sz w:val="24"/>
          <w:szCs w:val="24"/>
          <w:lang w:eastAsia="en-US"/>
        </w:rPr>
      </w:pPr>
      <w:r w:rsidRPr="00305558">
        <w:rPr>
          <w:snapToGrid w:val="0"/>
          <w:color w:val="000000"/>
          <w:sz w:val="24"/>
          <w:szCs w:val="24"/>
          <w:lang w:eastAsia="en-US"/>
        </w:rPr>
        <w:t xml:space="preserve">The Treatment Principles set out the circumstances in which treatment may be </w:t>
      </w:r>
      <w:r w:rsidRPr="00656940">
        <w:rPr>
          <w:snapToGrid w:val="0"/>
          <w:color w:val="000000"/>
          <w:sz w:val="24"/>
          <w:szCs w:val="24"/>
          <w:lang w:eastAsia="en-US"/>
        </w:rPr>
        <w:t xml:space="preserve">provided to </w:t>
      </w:r>
      <w:r w:rsidR="00101E70" w:rsidRPr="00656940">
        <w:rPr>
          <w:snapToGrid w:val="0"/>
          <w:color w:val="000000"/>
          <w:sz w:val="24"/>
          <w:szCs w:val="24"/>
          <w:lang w:eastAsia="en-US"/>
        </w:rPr>
        <w:t>persons who are eligible to receive treatment under the provisions of various Veterans’ Affairs portfolio Acts.</w:t>
      </w:r>
    </w:p>
    <w:p w14:paraId="08613F54" w14:textId="047F8236" w:rsidR="00F20579" w:rsidRDefault="00A41DAC" w:rsidP="00F20579">
      <w:pPr>
        <w:tabs>
          <w:tab w:val="left" w:pos="1134"/>
        </w:tabs>
        <w:spacing w:after="240"/>
        <w:rPr>
          <w:snapToGrid w:val="0"/>
          <w:color w:val="000000"/>
          <w:sz w:val="24"/>
          <w:szCs w:val="24"/>
          <w:lang w:eastAsia="en-US"/>
        </w:rPr>
      </w:pPr>
      <w:r>
        <w:rPr>
          <w:snapToGrid w:val="0"/>
          <w:color w:val="000000"/>
          <w:sz w:val="24"/>
          <w:szCs w:val="24"/>
          <w:lang w:eastAsia="en-US"/>
        </w:rPr>
        <w:t>Paragraph</w:t>
      </w:r>
      <w:r w:rsidR="00DB108E">
        <w:rPr>
          <w:snapToGrid w:val="0"/>
          <w:color w:val="000000"/>
          <w:sz w:val="24"/>
          <w:szCs w:val="24"/>
          <w:lang w:eastAsia="en-US"/>
        </w:rPr>
        <w:t>s</w:t>
      </w:r>
      <w:r w:rsidR="00F20579" w:rsidRPr="00F20579">
        <w:rPr>
          <w:snapToGrid w:val="0"/>
          <w:color w:val="000000"/>
          <w:sz w:val="24"/>
          <w:szCs w:val="24"/>
          <w:lang w:eastAsia="en-US"/>
        </w:rPr>
        <w:t xml:space="preserve"> 7.1.3 </w:t>
      </w:r>
      <w:r>
        <w:rPr>
          <w:snapToGrid w:val="0"/>
          <w:color w:val="000000"/>
          <w:sz w:val="24"/>
          <w:szCs w:val="24"/>
          <w:lang w:eastAsia="en-US"/>
        </w:rPr>
        <w:t>o</w:t>
      </w:r>
      <w:r w:rsidR="00F20579" w:rsidRPr="00F20579">
        <w:rPr>
          <w:snapToGrid w:val="0"/>
          <w:color w:val="000000"/>
          <w:sz w:val="24"/>
          <w:szCs w:val="24"/>
          <w:lang w:eastAsia="en-US"/>
        </w:rPr>
        <w:t xml:space="preserve">f the </w:t>
      </w:r>
      <w:r w:rsidR="00F52E3B">
        <w:rPr>
          <w:snapToGrid w:val="0"/>
          <w:color w:val="000000"/>
          <w:sz w:val="24"/>
          <w:szCs w:val="24"/>
          <w:lang w:eastAsia="en-US"/>
        </w:rPr>
        <w:t>T</w:t>
      </w:r>
      <w:r w:rsidR="00F20579" w:rsidRPr="00F20579">
        <w:rPr>
          <w:snapToGrid w:val="0"/>
          <w:color w:val="000000"/>
          <w:sz w:val="24"/>
          <w:szCs w:val="24"/>
          <w:lang w:eastAsia="en-US"/>
        </w:rPr>
        <w:t>reatment Principles prevent</w:t>
      </w:r>
      <w:r w:rsidR="006561A0">
        <w:rPr>
          <w:snapToGrid w:val="0"/>
          <w:color w:val="000000"/>
          <w:sz w:val="24"/>
          <w:szCs w:val="24"/>
          <w:lang w:eastAsia="en-US"/>
        </w:rPr>
        <w:t>ed</w:t>
      </w:r>
      <w:r>
        <w:rPr>
          <w:snapToGrid w:val="0"/>
          <w:color w:val="000000"/>
          <w:sz w:val="24"/>
          <w:szCs w:val="24"/>
          <w:lang w:eastAsia="en-US"/>
        </w:rPr>
        <w:t xml:space="preserve"> the</w:t>
      </w:r>
      <w:r w:rsidR="00F20579" w:rsidRPr="00F20579">
        <w:rPr>
          <w:snapToGrid w:val="0"/>
          <w:color w:val="000000"/>
          <w:sz w:val="24"/>
          <w:szCs w:val="24"/>
          <w:lang w:eastAsia="en-US"/>
        </w:rPr>
        <w:t xml:space="preserve"> </w:t>
      </w:r>
      <w:r w:rsidR="00CD1251">
        <w:rPr>
          <w:snapToGrid w:val="0"/>
          <w:color w:val="000000"/>
          <w:sz w:val="24"/>
          <w:szCs w:val="24"/>
          <w:lang w:eastAsia="en-US"/>
        </w:rPr>
        <w:t xml:space="preserve">Repatriation </w:t>
      </w:r>
      <w:r w:rsidR="00F20579" w:rsidRPr="00F20579">
        <w:rPr>
          <w:snapToGrid w:val="0"/>
          <w:color w:val="000000"/>
          <w:sz w:val="24"/>
          <w:szCs w:val="24"/>
          <w:lang w:eastAsia="en-US"/>
        </w:rPr>
        <w:t>Commission</w:t>
      </w:r>
      <w:r w:rsidR="00CD1251">
        <w:rPr>
          <w:snapToGrid w:val="0"/>
          <w:color w:val="000000"/>
          <w:sz w:val="24"/>
          <w:szCs w:val="24"/>
          <w:lang w:eastAsia="en-US"/>
        </w:rPr>
        <w:t xml:space="preserve"> and the Military, Rehabilitation and Compensation Commission (collectively the Commissions)</w:t>
      </w:r>
      <w:r w:rsidR="00F20579" w:rsidRPr="00F20579">
        <w:rPr>
          <w:snapToGrid w:val="0"/>
          <w:color w:val="000000"/>
          <w:sz w:val="24"/>
          <w:szCs w:val="24"/>
          <w:lang w:eastAsia="en-US"/>
        </w:rPr>
        <w:t xml:space="preserve"> from </w:t>
      </w:r>
      <w:r w:rsidR="00DD2F4F">
        <w:rPr>
          <w:snapToGrid w:val="0"/>
          <w:color w:val="000000"/>
          <w:sz w:val="24"/>
          <w:szCs w:val="24"/>
          <w:lang w:eastAsia="en-US"/>
        </w:rPr>
        <w:t>accepting financial responsibility for</w:t>
      </w:r>
      <w:r w:rsidR="00F20579" w:rsidRPr="00F20579">
        <w:rPr>
          <w:snapToGrid w:val="0"/>
          <w:color w:val="000000"/>
          <w:sz w:val="24"/>
          <w:szCs w:val="24"/>
          <w:lang w:eastAsia="en-US"/>
        </w:rPr>
        <w:t xml:space="preserve"> services </w:t>
      </w:r>
      <w:r w:rsidR="00DD2F4F">
        <w:rPr>
          <w:snapToGrid w:val="0"/>
          <w:color w:val="000000"/>
          <w:sz w:val="24"/>
          <w:szCs w:val="24"/>
          <w:lang w:eastAsia="en-US"/>
        </w:rPr>
        <w:t xml:space="preserve">listed at </w:t>
      </w:r>
      <w:r w:rsidR="00DD2F4F" w:rsidRPr="00E44917">
        <w:rPr>
          <w:snapToGrid w:val="0"/>
          <w:color w:val="000000"/>
          <w:sz w:val="24"/>
          <w:szCs w:val="24"/>
          <w:lang w:eastAsia="en-US"/>
        </w:rPr>
        <w:t>paragraph</w:t>
      </w:r>
      <w:r w:rsidR="00DD2F4F">
        <w:rPr>
          <w:snapToGrid w:val="0"/>
          <w:color w:val="000000"/>
          <w:sz w:val="24"/>
          <w:szCs w:val="24"/>
          <w:lang w:eastAsia="en-US"/>
        </w:rPr>
        <w:t xml:space="preserve"> 7.1.2 </w:t>
      </w:r>
      <w:r w:rsidR="00CD1251">
        <w:rPr>
          <w:snapToGrid w:val="0"/>
          <w:color w:val="000000"/>
          <w:sz w:val="24"/>
          <w:szCs w:val="24"/>
          <w:lang w:eastAsia="en-US"/>
        </w:rPr>
        <w:t>of the</w:t>
      </w:r>
      <w:r w:rsidR="00DB108E">
        <w:rPr>
          <w:snapToGrid w:val="0"/>
          <w:color w:val="000000"/>
          <w:sz w:val="24"/>
          <w:szCs w:val="24"/>
          <w:lang w:eastAsia="en-US"/>
        </w:rPr>
        <w:t xml:space="preserve"> </w:t>
      </w:r>
      <w:r w:rsidR="00CD1251">
        <w:rPr>
          <w:snapToGrid w:val="0"/>
          <w:color w:val="000000"/>
          <w:sz w:val="24"/>
          <w:szCs w:val="24"/>
          <w:lang w:eastAsia="en-US"/>
        </w:rPr>
        <w:t xml:space="preserve">Treatment Principles </w:t>
      </w:r>
      <w:r w:rsidR="00DD2F4F">
        <w:rPr>
          <w:snapToGrid w:val="0"/>
          <w:color w:val="000000"/>
          <w:sz w:val="24"/>
          <w:szCs w:val="24"/>
          <w:lang w:eastAsia="en-US"/>
        </w:rPr>
        <w:t xml:space="preserve">for a person receiving </w:t>
      </w:r>
      <w:r w:rsidR="00CD1251">
        <w:rPr>
          <w:snapToGrid w:val="0"/>
          <w:color w:val="000000"/>
          <w:sz w:val="24"/>
          <w:szCs w:val="24"/>
          <w:lang w:eastAsia="en-US"/>
        </w:rPr>
        <w:t xml:space="preserve">residential care </w:t>
      </w:r>
      <w:r w:rsidR="00DD2F4F">
        <w:rPr>
          <w:snapToGrid w:val="0"/>
          <w:color w:val="000000"/>
          <w:sz w:val="24"/>
          <w:szCs w:val="24"/>
          <w:lang w:eastAsia="en-US"/>
        </w:rPr>
        <w:t xml:space="preserve">if the person </w:t>
      </w:r>
      <w:r w:rsidR="00CD1251">
        <w:rPr>
          <w:snapToGrid w:val="0"/>
          <w:color w:val="000000"/>
          <w:sz w:val="24"/>
          <w:szCs w:val="24"/>
          <w:lang w:eastAsia="en-US"/>
        </w:rPr>
        <w:t>i</w:t>
      </w:r>
      <w:r w:rsidR="00DD2F4F">
        <w:rPr>
          <w:snapToGrid w:val="0"/>
          <w:color w:val="000000"/>
          <w:sz w:val="24"/>
          <w:szCs w:val="24"/>
          <w:lang w:eastAsia="en-US"/>
        </w:rPr>
        <w:t>s a person described in paragraph 7(6)(a) of the</w:t>
      </w:r>
      <w:r w:rsidR="0033623B">
        <w:rPr>
          <w:snapToGrid w:val="0"/>
          <w:color w:val="000000"/>
          <w:sz w:val="24"/>
          <w:szCs w:val="24"/>
          <w:lang w:eastAsia="en-US"/>
        </w:rPr>
        <w:t xml:space="preserve"> </w:t>
      </w:r>
      <w:r w:rsidR="00DD2F4F">
        <w:rPr>
          <w:i/>
          <w:color w:val="000000"/>
          <w:sz w:val="24"/>
          <w:szCs w:val="24"/>
        </w:rPr>
        <w:t xml:space="preserve">Quality </w:t>
      </w:r>
      <w:r w:rsidR="00803681">
        <w:rPr>
          <w:i/>
          <w:color w:val="000000"/>
          <w:sz w:val="24"/>
          <w:szCs w:val="24"/>
        </w:rPr>
        <w:t xml:space="preserve">of </w:t>
      </w:r>
      <w:r w:rsidR="00DD2F4F">
        <w:rPr>
          <w:i/>
          <w:color w:val="000000"/>
          <w:sz w:val="24"/>
          <w:szCs w:val="24"/>
        </w:rPr>
        <w:t>Care Principles</w:t>
      </w:r>
      <w:r w:rsidR="0033623B" w:rsidRPr="0033623B">
        <w:rPr>
          <w:i/>
          <w:color w:val="000000"/>
          <w:sz w:val="24"/>
          <w:szCs w:val="24"/>
        </w:rPr>
        <w:t xml:space="preserve"> 2014</w:t>
      </w:r>
      <w:r w:rsidR="00F52E3B">
        <w:rPr>
          <w:i/>
          <w:color w:val="000000"/>
          <w:sz w:val="24"/>
          <w:szCs w:val="24"/>
        </w:rPr>
        <w:t xml:space="preserve">, </w:t>
      </w:r>
      <w:r w:rsidR="001C0515">
        <w:rPr>
          <w:i/>
          <w:color w:val="000000"/>
          <w:sz w:val="24"/>
          <w:szCs w:val="24"/>
        </w:rPr>
        <w:t>i.e.</w:t>
      </w:r>
      <w:r w:rsidR="00CD1251">
        <w:rPr>
          <w:snapToGrid w:val="0"/>
          <w:color w:val="000000"/>
          <w:sz w:val="24"/>
          <w:szCs w:val="24"/>
          <w:lang w:eastAsia="en-US"/>
        </w:rPr>
        <w:t>:</w:t>
      </w:r>
    </w:p>
    <w:p w14:paraId="6D0E38F7" w14:textId="6A7939E8" w:rsidR="00CD1251" w:rsidRPr="00CD1251" w:rsidRDefault="00CD1251" w:rsidP="00CD1251">
      <w:pPr>
        <w:pStyle w:val="paragraph"/>
        <w:shd w:val="clear" w:color="auto" w:fill="FFFFFF"/>
        <w:spacing w:before="40" w:beforeAutospacing="0" w:after="0" w:afterAutospacing="0"/>
        <w:ind w:left="1644" w:hanging="1644"/>
        <w:rPr>
          <w:color w:val="000000"/>
        </w:rPr>
      </w:pPr>
      <w:r w:rsidRPr="00CD1251">
        <w:rPr>
          <w:color w:val="000000"/>
        </w:rPr>
        <w:t xml:space="preserve">                     </w:t>
      </w:r>
      <w:r>
        <w:rPr>
          <w:color w:val="000000"/>
        </w:rPr>
        <w:t>“</w:t>
      </w:r>
      <w:r w:rsidRPr="00CD1251">
        <w:rPr>
          <w:color w:val="000000"/>
        </w:rPr>
        <w:t>(a)</w:t>
      </w:r>
      <w:proofErr w:type="gramStart"/>
      <w:r w:rsidRPr="00CD1251">
        <w:rPr>
          <w:color w:val="000000"/>
        </w:rPr>
        <w:t>  a</w:t>
      </w:r>
      <w:proofErr w:type="gramEnd"/>
      <w:r w:rsidRPr="00CD1251">
        <w:rPr>
          <w:color w:val="000000"/>
        </w:rPr>
        <w:t xml:space="preserve"> care recipient whose classification level includes any of the following:</w:t>
      </w:r>
    </w:p>
    <w:p w14:paraId="55AC43F4" w14:textId="77777777" w:rsidR="00CD1251" w:rsidRPr="00CD1251" w:rsidRDefault="00CD1251" w:rsidP="00CD1251">
      <w:pPr>
        <w:pStyle w:val="paragraphsub"/>
        <w:shd w:val="clear" w:color="auto" w:fill="FFFFFF"/>
        <w:spacing w:before="40" w:beforeAutospacing="0" w:after="0" w:afterAutospacing="0"/>
        <w:ind w:left="2098" w:hanging="2098"/>
        <w:rPr>
          <w:color w:val="000000"/>
        </w:rPr>
      </w:pPr>
      <w:r w:rsidRPr="00CD1251">
        <w:rPr>
          <w:color w:val="000000"/>
        </w:rPr>
        <w:t>                              (</w:t>
      </w:r>
      <w:proofErr w:type="spellStart"/>
      <w:r w:rsidRPr="00CD1251">
        <w:rPr>
          <w:color w:val="000000"/>
        </w:rPr>
        <w:t>i</w:t>
      </w:r>
      <w:proofErr w:type="spellEnd"/>
      <w:r w:rsidRPr="00CD1251">
        <w:rPr>
          <w:color w:val="000000"/>
        </w:rPr>
        <w:t xml:space="preserve">)  </w:t>
      </w:r>
      <w:proofErr w:type="gramStart"/>
      <w:r w:rsidRPr="00CD1251">
        <w:rPr>
          <w:color w:val="000000"/>
        </w:rPr>
        <w:t>high</w:t>
      </w:r>
      <w:proofErr w:type="gramEnd"/>
      <w:r w:rsidRPr="00CD1251">
        <w:rPr>
          <w:color w:val="000000"/>
        </w:rPr>
        <w:t xml:space="preserve"> ADL domain category;</w:t>
      </w:r>
    </w:p>
    <w:p w14:paraId="4CB7DAF4" w14:textId="77777777" w:rsidR="00CD1251" w:rsidRPr="00CD1251" w:rsidRDefault="00CD1251" w:rsidP="00CD1251">
      <w:pPr>
        <w:pStyle w:val="paragraphsub"/>
        <w:shd w:val="clear" w:color="auto" w:fill="FFFFFF"/>
        <w:spacing w:before="40" w:beforeAutospacing="0" w:after="0" w:afterAutospacing="0"/>
        <w:ind w:left="2098" w:hanging="2098"/>
        <w:rPr>
          <w:color w:val="000000"/>
        </w:rPr>
      </w:pPr>
      <w:r w:rsidRPr="00CD1251">
        <w:rPr>
          <w:color w:val="000000"/>
        </w:rPr>
        <w:t xml:space="preserve">                             (ii)  </w:t>
      </w:r>
      <w:proofErr w:type="gramStart"/>
      <w:r w:rsidRPr="00CD1251">
        <w:rPr>
          <w:color w:val="000000"/>
        </w:rPr>
        <w:t>high</w:t>
      </w:r>
      <w:proofErr w:type="gramEnd"/>
      <w:r w:rsidRPr="00CD1251">
        <w:rPr>
          <w:color w:val="000000"/>
        </w:rPr>
        <w:t xml:space="preserve"> CHC domain category;</w:t>
      </w:r>
    </w:p>
    <w:p w14:paraId="4457B162" w14:textId="77777777" w:rsidR="00CD1251" w:rsidRPr="00CD1251" w:rsidRDefault="00CD1251" w:rsidP="00CD1251">
      <w:pPr>
        <w:pStyle w:val="paragraphsub"/>
        <w:shd w:val="clear" w:color="auto" w:fill="FFFFFF"/>
        <w:spacing w:before="40" w:beforeAutospacing="0" w:after="0" w:afterAutospacing="0"/>
        <w:ind w:left="2098" w:hanging="2098"/>
        <w:rPr>
          <w:color w:val="000000"/>
        </w:rPr>
      </w:pPr>
      <w:r w:rsidRPr="00CD1251">
        <w:rPr>
          <w:color w:val="000000"/>
        </w:rPr>
        <w:t xml:space="preserve">                            (iii)  </w:t>
      </w:r>
      <w:proofErr w:type="gramStart"/>
      <w:r w:rsidRPr="00CD1251">
        <w:rPr>
          <w:color w:val="000000"/>
        </w:rPr>
        <w:t>high</w:t>
      </w:r>
      <w:proofErr w:type="gramEnd"/>
      <w:r w:rsidRPr="00CD1251">
        <w:rPr>
          <w:color w:val="000000"/>
        </w:rPr>
        <w:t xml:space="preserve"> behaviour domain category;</w:t>
      </w:r>
    </w:p>
    <w:p w14:paraId="733CE845" w14:textId="49EDCC1F" w:rsidR="00CD1251" w:rsidRDefault="00CD1251" w:rsidP="00CD1251">
      <w:pPr>
        <w:pStyle w:val="paragraphsub"/>
        <w:shd w:val="clear" w:color="auto" w:fill="FFFFFF"/>
        <w:spacing w:before="40" w:beforeAutospacing="0" w:after="0" w:afterAutospacing="0"/>
        <w:ind w:left="2098" w:hanging="2098"/>
        <w:rPr>
          <w:color w:val="000000"/>
        </w:rPr>
      </w:pPr>
      <w:r w:rsidRPr="00CD1251">
        <w:rPr>
          <w:color w:val="000000"/>
        </w:rPr>
        <w:t>                            (</w:t>
      </w:r>
      <w:proofErr w:type="gramStart"/>
      <w:r w:rsidRPr="00CD1251">
        <w:rPr>
          <w:color w:val="000000"/>
        </w:rPr>
        <w:t>iv</w:t>
      </w:r>
      <w:proofErr w:type="gramEnd"/>
      <w:r w:rsidRPr="00CD1251">
        <w:rPr>
          <w:color w:val="000000"/>
        </w:rPr>
        <w:t>)  a medium domain category in at least 2 domains;</w:t>
      </w:r>
      <w:r>
        <w:rPr>
          <w:color w:val="000000"/>
        </w:rPr>
        <w:t>”</w:t>
      </w:r>
      <w:r w:rsidR="00F52E3B">
        <w:rPr>
          <w:color w:val="000000"/>
        </w:rPr>
        <w:t>.</w:t>
      </w:r>
    </w:p>
    <w:p w14:paraId="5E7BF0F0" w14:textId="77777777" w:rsidR="00803681" w:rsidRPr="00CD1251" w:rsidRDefault="00803681" w:rsidP="00E44917">
      <w:pPr>
        <w:pStyle w:val="paragraphsub"/>
        <w:shd w:val="clear" w:color="auto" w:fill="FFFFFF"/>
        <w:spacing w:before="40" w:beforeAutospacing="0" w:after="0" w:afterAutospacing="0"/>
        <w:rPr>
          <w:color w:val="000000"/>
        </w:rPr>
      </w:pPr>
    </w:p>
    <w:p w14:paraId="4D9515E8" w14:textId="7B59FB8B" w:rsidR="00CD1251" w:rsidRDefault="006561A0" w:rsidP="00357D6D">
      <w:pPr>
        <w:tabs>
          <w:tab w:val="left" w:pos="1134"/>
        </w:tabs>
        <w:spacing w:after="240"/>
        <w:rPr>
          <w:snapToGrid w:val="0"/>
          <w:color w:val="000000"/>
          <w:sz w:val="24"/>
          <w:szCs w:val="24"/>
          <w:lang w:eastAsia="en-US"/>
        </w:rPr>
      </w:pPr>
      <w:r>
        <w:rPr>
          <w:snapToGrid w:val="0"/>
          <w:color w:val="000000"/>
          <w:sz w:val="24"/>
          <w:szCs w:val="24"/>
          <w:lang w:eastAsia="en-US"/>
        </w:rPr>
        <w:t xml:space="preserve">The </w:t>
      </w:r>
      <w:r w:rsidRPr="00185BFB">
        <w:rPr>
          <w:i/>
          <w:color w:val="000000"/>
          <w:sz w:val="24"/>
          <w:szCs w:val="24"/>
        </w:rPr>
        <w:t>Veterans’ Affairs (Treatment Principles – Extend Eligibility for Allied Health Treatment to Residential Care Recipients) Determination 2020</w:t>
      </w:r>
      <w:r w:rsidR="000F289A">
        <w:rPr>
          <w:i/>
          <w:color w:val="000000"/>
          <w:sz w:val="24"/>
          <w:szCs w:val="24"/>
        </w:rPr>
        <w:t xml:space="preserve"> </w:t>
      </w:r>
      <w:r w:rsidR="000F289A" w:rsidRPr="00DB108E">
        <w:rPr>
          <w:color w:val="000000"/>
          <w:sz w:val="24"/>
          <w:szCs w:val="24"/>
        </w:rPr>
        <w:t>(the Determination)</w:t>
      </w:r>
      <w:r w:rsidRPr="00DB108E">
        <w:rPr>
          <w:color w:val="000000"/>
          <w:sz w:val="24"/>
          <w:szCs w:val="24"/>
        </w:rPr>
        <w:t>,</w:t>
      </w:r>
      <w:r>
        <w:rPr>
          <w:color w:val="000000"/>
          <w:sz w:val="24"/>
          <w:szCs w:val="24"/>
        </w:rPr>
        <w:t xml:space="preserve"> amended the Treatment Principles to</w:t>
      </w:r>
      <w:r w:rsidR="00D73533">
        <w:rPr>
          <w:snapToGrid w:val="0"/>
          <w:color w:val="000000"/>
          <w:sz w:val="24"/>
          <w:szCs w:val="24"/>
          <w:lang w:eastAsia="en-US"/>
        </w:rPr>
        <w:t xml:space="preserve"> </w:t>
      </w:r>
      <w:r w:rsidR="00F52E3B">
        <w:rPr>
          <w:snapToGrid w:val="0"/>
          <w:color w:val="000000"/>
          <w:sz w:val="24"/>
          <w:szCs w:val="24"/>
          <w:lang w:eastAsia="en-US"/>
        </w:rPr>
        <w:t xml:space="preserve">provide temporary eligibility for </w:t>
      </w:r>
      <w:r w:rsidR="00F3751E" w:rsidRPr="00E44917">
        <w:rPr>
          <w:snapToGrid w:val="0"/>
          <w:color w:val="000000"/>
          <w:sz w:val="24"/>
          <w:szCs w:val="24"/>
          <w:lang w:eastAsia="en-US"/>
        </w:rPr>
        <w:t xml:space="preserve">persons </w:t>
      </w:r>
      <w:r w:rsidR="00F52E3B" w:rsidRPr="00E44917">
        <w:rPr>
          <w:snapToGrid w:val="0"/>
          <w:color w:val="000000"/>
          <w:sz w:val="24"/>
          <w:szCs w:val="24"/>
          <w:lang w:eastAsia="en-US"/>
        </w:rPr>
        <w:t xml:space="preserve">otherwise </w:t>
      </w:r>
      <w:r w:rsidRPr="00E44917">
        <w:rPr>
          <w:snapToGrid w:val="0"/>
          <w:color w:val="000000"/>
          <w:sz w:val="24"/>
          <w:szCs w:val="24"/>
          <w:lang w:eastAsia="en-US"/>
        </w:rPr>
        <w:t xml:space="preserve">excluded by paragraph 7.1.3 </w:t>
      </w:r>
      <w:r w:rsidR="00883A2B">
        <w:rPr>
          <w:snapToGrid w:val="0"/>
          <w:color w:val="000000"/>
          <w:sz w:val="24"/>
          <w:szCs w:val="24"/>
          <w:lang w:eastAsia="en-US"/>
        </w:rPr>
        <w:t xml:space="preserve"> for </w:t>
      </w:r>
      <w:r w:rsidR="00CD1251">
        <w:rPr>
          <w:snapToGrid w:val="0"/>
          <w:color w:val="000000"/>
          <w:sz w:val="24"/>
          <w:szCs w:val="24"/>
          <w:lang w:eastAsia="en-US"/>
        </w:rPr>
        <w:t xml:space="preserve">the following </w:t>
      </w:r>
      <w:r w:rsidR="0033623B">
        <w:rPr>
          <w:sz w:val="24"/>
          <w:szCs w:val="24"/>
        </w:rPr>
        <w:t xml:space="preserve">allied health and mental health services </w:t>
      </w:r>
      <w:r w:rsidR="00CD1251">
        <w:rPr>
          <w:snapToGrid w:val="0"/>
          <w:color w:val="000000"/>
          <w:sz w:val="24"/>
          <w:szCs w:val="24"/>
          <w:lang w:eastAsia="en-US"/>
        </w:rPr>
        <w:t xml:space="preserve">specified at paragraph 7.1.2 of </w:t>
      </w:r>
      <w:r w:rsidR="000F289A">
        <w:rPr>
          <w:snapToGrid w:val="0"/>
          <w:color w:val="000000"/>
          <w:sz w:val="24"/>
          <w:szCs w:val="24"/>
          <w:lang w:eastAsia="en-US"/>
        </w:rPr>
        <w:t>the Treatment Principles</w:t>
      </w:r>
      <w:r w:rsidR="00CD1251">
        <w:rPr>
          <w:snapToGrid w:val="0"/>
          <w:color w:val="000000"/>
          <w:sz w:val="24"/>
          <w:szCs w:val="24"/>
          <w:lang w:eastAsia="en-US"/>
        </w:rPr>
        <w:t>:</w:t>
      </w:r>
    </w:p>
    <w:p w14:paraId="2306E62A"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audiology (paragraph (a));</w:t>
      </w:r>
    </w:p>
    <w:p w14:paraId="5AB89640"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lastRenderedPageBreak/>
        <w:t>diabetes educator services (paragraph (aa));</w:t>
      </w:r>
    </w:p>
    <w:p w14:paraId="7668E98B"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dietetics (paragraph (b));</w:t>
      </w:r>
    </w:p>
    <w:p w14:paraId="31D46099"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chiropractic services (paragraph (c));</w:t>
      </w:r>
    </w:p>
    <w:p w14:paraId="3B8AA506"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exercise physiology (paragraph (</w:t>
      </w:r>
      <w:proofErr w:type="spellStart"/>
      <w:r w:rsidRPr="008978DF">
        <w:rPr>
          <w:rFonts w:ascii="Times New Roman" w:hAnsi="Times New Roman"/>
          <w:sz w:val="24"/>
          <w:szCs w:val="24"/>
        </w:rPr>
        <w:t>dd</w:t>
      </w:r>
      <w:proofErr w:type="spellEnd"/>
      <w:r w:rsidRPr="008978DF">
        <w:rPr>
          <w:rFonts w:ascii="Times New Roman" w:hAnsi="Times New Roman"/>
          <w:sz w:val="24"/>
          <w:szCs w:val="24"/>
        </w:rPr>
        <w:t>));</w:t>
      </w:r>
    </w:p>
    <w:p w14:paraId="50E9B00B" w14:textId="77777777" w:rsidR="00CD1251" w:rsidRPr="008978DF" w:rsidRDefault="00CD1251" w:rsidP="00CD1251">
      <w:pPr>
        <w:pStyle w:val="ListParagraph"/>
        <w:numPr>
          <w:ilvl w:val="0"/>
          <w:numId w:val="3"/>
        </w:numPr>
        <w:rPr>
          <w:rFonts w:ascii="Times New Roman" w:hAnsi="Times New Roman"/>
          <w:sz w:val="24"/>
          <w:szCs w:val="24"/>
        </w:rPr>
      </w:pPr>
      <w:r>
        <w:rPr>
          <w:rFonts w:ascii="Times New Roman" w:hAnsi="Times New Roman"/>
          <w:sz w:val="24"/>
          <w:szCs w:val="24"/>
        </w:rPr>
        <w:t>occupational therapy (par</w:t>
      </w:r>
      <w:r w:rsidRPr="008978DF">
        <w:rPr>
          <w:rFonts w:ascii="Times New Roman" w:hAnsi="Times New Roman"/>
          <w:sz w:val="24"/>
          <w:szCs w:val="24"/>
        </w:rPr>
        <w:t>agraph (e));</w:t>
      </w:r>
    </w:p>
    <w:p w14:paraId="3013802C"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osteopathic services (paragraph (h));</w:t>
      </w:r>
    </w:p>
    <w:p w14:paraId="7728DA38"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physiotherapy (paragraph (j)</w:t>
      </w:r>
      <w:r>
        <w:rPr>
          <w:rFonts w:ascii="Times New Roman" w:hAnsi="Times New Roman"/>
          <w:sz w:val="24"/>
          <w:szCs w:val="24"/>
        </w:rPr>
        <w:t>)</w:t>
      </w:r>
      <w:r w:rsidRPr="008978DF">
        <w:rPr>
          <w:rFonts w:ascii="Times New Roman" w:hAnsi="Times New Roman"/>
          <w:sz w:val="24"/>
          <w:szCs w:val="24"/>
        </w:rPr>
        <w:t>;</w:t>
      </w:r>
    </w:p>
    <w:p w14:paraId="7548860F" w14:textId="77777777" w:rsidR="00CD1251" w:rsidRPr="008978DF" w:rsidRDefault="00CD1251" w:rsidP="00CD1251">
      <w:pPr>
        <w:pStyle w:val="ListParagraph"/>
        <w:numPr>
          <w:ilvl w:val="0"/>
          <w:numId w:val="3"/>
        </w:numPr>
        <w:rPr>
          <w:rFonts w:ascii="Times New Roman" w:hAnsi="Times New Roman"/>
          <w:sz w:val="24"/>
          <w:szCs w:val="24"/>
        </w:rPr>
      </w:pPr>
      <w:r w:rsidRPr="008978DF">
        <w:rPr>
          <w:rFonts w:ascii="Times New Roman" w:hAnsi="Times New Roman"/>
          <w:sz w:val="24"/>
          <w:szCs w:val="24"/>
        </w:rPr>
        <w:t>podiatry (paragraph (k));</w:t>
      </w:r>
    </w:p>
    <w:p w14:paraId="7A4BE70E" w14:textId="77777777" w:rsidR="00CD1251" w:rsidRDefault="00CD1251" w:rsidP="00CD1251">
      <w:pPr>
        <w:pStyle w:val="ListParagraph"/>
        <w:numPr>
          <w:ilvl w:val="0"/>
          <w:numId w:val="3"/>
        </w:numPr>
        <w:rPr>
          <w:rFonts w:ascii="Times New Roman" w:hAnsi="Times New Roman"/>
          <w:sz w:val="24"/>
          <w:szCs w:val="24"/>
        </w:rPr>
      </w:pPr>
      <w:r>
        <w:rPr>
          <w:rFonts w:ascii="Times New Roman" w:hAnsi="Times New Roman"/>
          <w:sz w:val="24"/>
          <w:szCs w:val="24"/>
        </w:rPr>
        <w:t>psychology (paragraph (l));</w:t>
      </w:r>
    </w:p>
    <w:p w14:paraId="4CEBFCCC" w14:textId="77777777" w:rsidR="00CD1251" w:rsidRPr="008978DF" w:rsidRDefault="00CD1251" w:rsidP="00CD1251">
      <w:pPr>
        <w:pStyle w:val="ListParagraph"/>
        <w:numPr>
          <w:ilvl w:val="0"/>
          <w:numId w:val="3"/>
        </w:numPr>
        <w:rPr>
          <w:rFonts w:ascii="Times New Roman" w:hAnsi="Times New Roman"/>
          <w:sz w:val="24"/>
          <w:szCs w:val="24"/>
        </w:rPr>
      </w:pPr>
      <w:r>
        <w:rPr>
          <w:rFonts w:ascii="Times New Roman" w:hAnsi="Times New Roman"/>
          <w:sz w:val="24"/>
          <w:szCs w:val="24"/>
        </w:rPr>
        <w:t>social work (paragraph (m)); and</w:t>
      </w:r>
    </w:p>
    <w:p w14:paraId="144DE991" w14:textId="0A95F9DA" w:rsidR="00CD1251" w:rsidRDefault="00CD1251" w:rsidP="00CD1251">
      <w:pPr>
        <w:pStyle w:val="ListParagraph"/>
        <w:numPr>
          <w:ilvl w:val="0"/>
          <w:numId w:val="3"/>
        </w:numPr>
        <w:rPr>
          <w:rFonts w:ascii="Times New Roman" w:hAnsi="Times New Roman"/>
          <w:sz w:val="18"/>
          <w:szCs w:val="24"/>
        </w:rPr>
      </w:pPr>
      <w:proofErr w:type="gramStart"/>
      <w:r w:rsidRPr="008978DF">
        <w:rPr>
          <w:rFonts w:ascii="Times New Roman" w:hAnsi="Times New Roman"/>
          <w:sz w:val="24"/>
          <w:szCs w:val="24"/>
        </w:rPr>
        <w:t>speech</w:t>
      </w:r>
      <w:proofErr w:type="gramEnd"/>
      <w:r w:rsidRPr="008978DF">
        <w:rPr>
          <w:rFonts w:ascii="Times New Roman" w:hAnsi="Times New Roman"/>
          <w:sz w:val="24"/>
          <w:szCs w:val="24"/>
        </w:rPr>
        <w:t xml:space="preserve"> pathology (paragraph (n</w:t>
      </w:r>
      <w:r w:rsidRPr="007114BC">
        <w:rPr>
          <w:rFonts w:ascii="Times New Roman" w:hAnsi="Times New Roman"/>
          <w:sz w:val="24"/>
          <w:szCs w:val="24"/>
        </w:rPr>
        <w:t>))</w:t>
      </w:r>
      <w:r w:rsidRPr="00BA04C8">
        <w:rPr>
          <w:rFonts w:ascii="Times New Roman" w:hAnsi="Times New Roman"/>
          <w:sz w:val="18"/>
          <w:szCs w:val="24"/>
        </w:rPr>
        <w:t>.</w:t>
      </w:r>
    </w:p>
    <w:p w14:paraId="369ED09A" w14:textId="77777777" w:rsidR="00CD1251" w:rsidRPr="00BA04C8" w:rsidRDefault="00CD1251" w:rsidP="00CD1251">
      <w:pPr>
        <w:pStyle w:val="ListParagraph"/>
        <w:rPr>
          <w:rFonts w:ascii="Times New Roman" w:hAnsi="Times New Roman"/>
          <w:sz w:val="18"/>
          <w:szCs w:val="24"/>
        </w:rPr>
      </w:pPr>
    </w:p>
    <w:p w14:paraId="4B7CD40B" w14:textId="6362AE3D" w:rsidR="00F3751E" w:rsidRPr="003876F2" w:rsidRDefault="000F289A" w:rsidP="00357D6D">
      <w:pPr>
        <w:tabs>
          <w:tab w:val="left" w:pos="1134"/>
        </w:tabs>
        <w:spacing w:after="240"/>
        <w:rPr>
          <w:snapToGrid w:val="0"/>
          <w:color w:val="000000"/>
          <w:sz w:val="24"/>
          <w:szCs w:val="24"/>
          <w:lang w:eastAsia="en-US"/>
        </w:rPr>
      </w:pPr>
      <w:r>
        <w:rPr>
          <w:snapToGrid w:val="0"/>
          <w:color w:val="000000"/>
          <w:sz w:val="24"/>
          <w:szCs w:val="24"/>
          <w:lang w:eastAsia="en-US"/>
        </w:rPr>
        <w:t xml:space="preserve">The </w:t>
      </w:r>
      <w:r w:rsidR="00F52E3B">
        <w:rPr>
          <w:snapToGrid w:val="0"/>
          <w:color w:val="000000"/>
          <w:sz w:val="24"/>
          <w:szCs w:val="24"/>
          <w:lang w:eastAsia="en-US"/>
        </w:rPr>
        <w:t xml:space="preserve">temporary </w:t>
      </w:r>
      <w:r w:rsidR="001D01A4" w:rsidRPr="00E44917">
        <w:rPr>
          <w:snapToGrid w:val="0"/>
          <w:color w:val="000000"/>
          <w:sz w:val="24"/>
          <w:szCs w:val="24"/>
          <w:lang w:eastAsia="en-US"/>
        </w:rPr>
        <w:t>eligibility</w:t>
      </w:r>
      <w:r w:rsidR="001D01A4" w:rsidRPr="003876F2">
        <w:rPr>
          <w:snapToGrid w:val="0"/>
          <w:color w:val="000000"/>
          <w:sz w:val="24"/>
          <w:szCs w:val="24"/>
          <w:lang w:eastAsia="en-US"/>
        </w:rPr>
        <w:t xml:space="preserve"> to</w:t>
      </w:r>
      <w:r w:rsidR="00F823D5" w:rsidRPr="003876F2">
        <w:rPr>
          <w:snapToGrid w:val="0"/>
          <w:color w:val="000000"/>
          <w:sz w:val="24"/>
          <w:szCs w:val="24"/>
          <w:lang w:eastAsia="en-US"/>
        </w:rPr>
        <w:t>ok effect</w:t>
      </w:r>
      <w:r w:rsidRPr="003876F2">
        <w:rPr>
          <w:snapToGrid w:val="0"/>
          <w:color w:val="000000"/>
          <w:sz w:val="24"/>
          <w:szCs w:val="24"/>
          <w:lang w:eastAsia="en-US"/>
        </w:rPr>
        <w:t xml:space="preserve"> on 1 July 2020 and will cease on 30 June 2022. </w:t>
      </w:r>
      <w:r w:rsidR="008F756C" w:rsidRPr="003876F2">
        <w:rPr>
          <w:snapToGrid w:val="0"/>
          <w:color w:val="000000"/>
          <w:sz w:val="24"/>
          <w:szCs w:val="24"/>
          <w:lang w:eastAsia="en-US"/>
        </w:rPr>
        <w:t xml:space="preserve">The Determination was made as part of the </w:t>
      </w:r>
      <w:r w:rsidR="008F756C" w:rsidRPr="003876F2">
        <w:rPr>
          <w:sz w:val="24"/>
          <w:szCs w:val="24"/>
        </w:rPr>
        <w:t xml:space="preserve">Australian Government’s response to recommendation three of the Royal Commission into Aged Care Quality and Safety’s </w:t>
      </w:r>
      <w:r w:rsidR="008F756C" w:rsidRPr="00117CFE">
        <w:rPr>
          <w:sz w:val="24"/>
          <w:szCs w:val="24"/>
        </w:rPr>
        <w:t>COVID-19 special report</w:t>
      </w:r>
      <w:r w:rsidR="00117CFE" w:rsidRPr="00117CFE">
        <w:rPr>
          <w:sz w:val="24"/>
          <w:szCs w:val="24"/>
        </w:rPr>
        <w:t xml:space="preserve"> </w:t>
      </w:r>
      <w:r w:rsidR="00117CFE">
        <w:rPr>
          <w:sz w:val="24"/>
          <w:szCs w:val="24"/>
        </w:rPr>
        <w:t>published on 1 October 2020</w:t>
      </w:r>
      <w:r w:rsidR="008F756C" w:rsidRPr="003876F2">
        <w:rPr>
          <w:sz w:val="24"/>
          <w:szCs w:val="24"/>
        </w:rPr>
        <w:t>.</w:t>
      </w:r>
    </w:p>
    <w:p w14:paraId="4A361031" w14:textId="079556E7" w:rsidR="00E8369E" w:rsidRDefault="00CE2ABC" w:rsidP="00CE2ABC">
      <w:pPr>
        <w:autoSpaceDE w:val="0"/>
        <w:autoSpaceDN w:val="0"/>
        <w:adjustRightInd w:val="0"/>
        <w:rPr>
          <w:sz w:val="24"/>
          <w:szCs w:val="24"/>
        </w:rPr>
      </w:pPr>
      <w:r w:rsidRPr="003876F2">
        <w:rPr>
          <w:sz w:val="24"/>
          <w:szCs w:val="24"/>
        </w:rPr>
        <w:t>Th</w:t>
      </w:r>
      <w:r w:rsidR="00F52E3B" w:rsidRPr="003876F2">
        <w:rPr>
          <w:sz w:val="24"/>
          <w:szCs w:val="24"/>
        </w:rPr>
        <w:t>e instrument var</w:t>
      </w:r>
      <w:r w:rsidR="00F22D69" w:rsidRPr="003876F2">
        <w:rPr>
          <w:sz w:val="24"/>
          <w:szCs w:val="24"/>
        </w:rPr>
        <w:t>ie</w:t>
      </w:r>
      <w:r w:rsidR="00727AB0">
        <w:rPr>
          <w:sz w:val="24"/>
          <w:szCs w:val="24"/>
        </w:rPr>
        <w:t>s</w:t>
      </w:r>
      <w:r w:rsidRPr="003876F2">
        <w:rPr>
          <w:sz w:val="24"/>
          <w:szCs w:val="24"/>
        </w:rPr>
        <w:t xml:space="preserve"> </w:t>
      </w:r>
      <w:r w:rsidRPr="00E44917">
        <w:rPr>
          <w:sz w:val="24"/>
          <w:szCs w:val="24"/>
        </w:rPr>
        <w:t>paragraph 7.1C</w:t>
      </w:r>
      <w:r w:rsidR="00F52E3B" w:rsidRPr="00E44917">
        <w:rPr>
          <w:sz w:val="24"/>
          <w:szCs w:val="24"/>
        </w:rPr>
        <w:t>.1 in the Treatment Principles</w:t>
      </w:r>
      <w:r w:rsidRPr="00E44917">
        <w:rPr>
          <w:sz w:val="24"/>
          <w:szCs w:val="24"/>
        </w:rPr>
        <w:t xml:space="preserve"> to</w:t>
      </w:r>
      <w:r w:rsidRPr="003876F2">
        <w:rPr>
          <w:sz w:val="24"/>
          <w:szCs w:val="24"/>
        </w:rPr>
        <w:t xml:space="preserve"> </w:t>
      </w:r>
      <w:r w:rsidR="00F823D5" w:rsidRPr="003876F2">
        <w:rPr>
          <w:sz w:val="24"/>
          <w:szCs w:val="24"/>
        </w:rPr>
        <w:t>allow the Commissions</w:t>
      </w:r>
      <w:r w:rsidR="00F823D5">
        <w:rPr>
          <w:sz w:val="24"/>
          <w:szCs w:val="24"/>
        </w:rPr>
        <w:t xml:space="preserve"> to </w:t>
      </w:r>
      <w:r w:rsidR="000D4C29">
        <w:rPr>
          <w:sz w:val="24"/>
          <w:szCs w:val="24"/>
        </w:rPr>
        <w:t xml:space="preserve">continue to </w:t>
      </w:r>
      <w:r w:rsidR="00F823D5">
        <w:rPr>
          <w:sz w:val="24"/>
          <w:szCs w:val="24"/>
        </w:rPr>
        <w:t xml:space="preserve">accept financial responsibility for the following </w:t>
      </w:r>
      <w:r>
        <w:rPr>
          <w:sz w:val="24"/>
          <w:szCs w:val="24"/>
        </w:rPr>
        <w:t>services</w:t>
      </w:r>
      <w:r w:rsidR="00F823D5">
        <w:rPr>
          <w:sz w:val="24"/>
          <w:szCs w:val="24"/>
        </w:rPr>
        <w:t>, specified at paragraph</w:t>
      </w:r>
      <w:bookmarkStart w:id="3" w:name="_GoBack"/>
      <w:bookmarkEnd w:id="3"/>
      <w:r w:rsidR="00F823D5">
        <w:rPr>
          <w:sz w:val="24"/>
          <w:szCs w:val="24"/>
        </w:rPr>
        <w:t xml:space="preserve"> 7.1.2,</w:t>
      </w:r>
      <w:r>
        <w:rPr>
          <w:sz w:val="24"/>
          <w:szCs w:val="24"/>
        </w:rPr>
        <w:t xml:space="preserve"> for a further six months, </w:t>
      </w:r>
      <w:r w:rsidR="00E8369E">
        <w:rPr>
          <w:sz w:val="24"/>
          <w:szCs w:val="24"/>
        </w:rPr>
        <w:t>beginning on</w:t>
      </w:r>
      <w:r>
        <w:rPr>
          <w:sz w:val="24"/>
          <w:szCs w:val="24"/>
        </w:rPr>
        <w:t xml:space="preserve"> 1 July 2022 </w:t>
      </w:r>
      <w:r w:rsidR="00E8369E">
        <w:rPr>
          <w:sz w:val="24"/>
          <w:szCs w:val="24"/>
        </w:rPr>
        <w:t>and ending on</w:t>
      </w:r>
      <w:r>
        <w:rPr>
          <w:sz w:val="24"/>
          <w:szCs w:val="24"/>
        </w:rPr>
        <w:t xml:space="preserve"> 31 December 2022</w:t>
      </w:r>
      <w:r w:rsidR="00F823D5">
        <w:rPr>
          <w:sz w:val="24"/>
          <w:szCs w:val="24"/>
        </w:rPr>
        <w:t>:</w:t>
      </w:r>
      <w:r w:rsidR="00F823D5">
        <w:rPr>
          <w:snapToGrid w:val="0"/>
          <w:color w:val="000000"/>
          <w:sz w:val="24"/>
          <w:szCs w:val="24"/>
          <w:lang w:eastAsia="en-US"/>
        </w:rPr>
        <w:t xml:space="preserve"> </w:t>
      </w:r>
    </w:p>
    <w:p w14:paraId="0F465E64" w14:textId="7ECEBAC2" w:rsidR="00E8369E" w:rsidRPr="00F823D5" w:rsidRDefault="00F823D5" w:rsidP="00F823D5">
      <w:pPr>
        <w:pStyle w:val="ListParagraph"/>
        <w:numPr>
          <w:ilvl w:val="0"/>
          <w:numId w:val="7"/>
        </w:numPr>
        <w:autoSpaceDE w:val="0"/>
        <w:autoSpaceDN w:val="0"/>
        <w:adjustRightInd w:val="0"/>
        <w:rPr>
          <w:rFonts w:ascii="Times New Roman" w:hAnsi="Times New Roman"/>
          <w:sz w:val="24"/>
          <w:szCs w:val="24"/>
        </w:rPr>
      </w:pPr>
      <w:r w:rsidRPr="00F823D5">
        <w:rPr>
          <w:rFonts w:ascii="Times New Roman" w:hAnsi="Times New Roman"/>
          <w:sz w:val="24"/>
          <w:szCs w:val="24"/>
        </w:rPr>
        <w:t>occupational therapy (paragraph (e));</w:t>
      </w:r>
    </w:p>
    <w:p w14:paraId="2EAFCB8C" w14:textId="4250B53A" w:rsidR="00F823D5" w:rsidRDefault="00F823D5" w:rsidP="00F823D5">
      <w:pPr>
        <w:pStyle w:val="ListParagraph"/>
        <w:numPr>
          <w:ilvl w:val="0"/>
          <w:numId w:val="7"/>
        </w:numPr>
        <w:rPr>
          <w:rFonts w:ascii="Times New Roman" w:hAnsi="Times New Roman"/>
          <w:sz w:val="24"/>
          <w:szCs w:val="24"/>
        </w:rPr>
      </w:pPr>
      <w:r>
        <w:rPr>
          <w:rFonts w:ascii="Times New Roman" w:hAnsi="Times New Roman"/>
          <w:sz w:val="24"/>
          <w:szCs w:val="24"/>
        </w:rPr>
        <w:t>psychology (paragraph (l)); and</w:t>
      </w:r>
    </w:p>
    <w:p w14:paraId="5BDFA74D" w14:textId="6C8D777A" w:rsidR="00F823D5" w:rsidRPr="00F823D5" w:rsidRDefault="00F823D5" w:rsidP="00F823D5">
      <w:pPr>
        <w:pStyle w:val="ListParagraph"/>
        <w:numPr>
          <w:ilvl w:val="0"/>
          <w:numId w:val="7"/>
        </w:numPr>
        <w:rPr>
          <w:rFonts w:ascii="Times New Roman" w:hAnsi="Times New Roman"/>
          <w:sz w:val="24"/>
          <w:szCs w:val="24"/>
        </w:rPr>
      </w:pPr>
      <w:proofErr w:type="gramStart"/>
      <w:r>
        <w:rPr>
          <w:rFonts w:ascii="Times New Roman" w:hAnsi="Times New Roman"/>
          <w:sz w:val="24"/>
          <w:szCs w:val="24"/>
        </w:rPr>
        <w:t>social</w:t>
      </w:r>
      <w:proofErr w:type="gramEnd"/>
      <w:r>
        <w:rPr>
          <w:rFonts w:ascii="Times New Roman" w:hAnsi="Times New Roman"/>
          <w:sz w:val="24"/>
          <w:szCs w:val="24"/>
        </w:rPr>
        <w:t xml:space="preserve"> work (paragraph (m)).</w:t>
      </w:r>
    </w:p>
    <w:p w14:paraId="730848C7" w14:textId="77777777" w:rsidR="00E8369E" w:rsidRDefault="00E8369E" w:rsidP="00CE2ABC">
      <w:pPr>
        <w:autoSpaceDE w:val="0"/>
        <w:autoSpaceDN w:val="0"/>
        <w:adjustRightInd w:val="0"/>
        <w:rPr>
          <w:sz w:val="24"/>
          <w:szCs w:val="24"/>
        </w:rPr>
      </w:pPr>
    </w:p>
    <w:p w14:paraId="7D905493" w14:textId="0F2D7887" w:rsidR="00CE2ABC" w:rsidRDefault="00CE2ABC" w:rsidP="00CE2ABC">
      <w:pPr>
        <w:autoSpaceDE w:val="0"/>
        <w:autoSpaceDN w:val="0"/>
        <w:adjustRightInd w:val="0"/>
        <w:rPr>
          <w:sz w:val="24"/>
          <w:szCs w:val="24"/>
        </w:rPr>
      </w:pPr>
      <w:r>
        <w:rPr>
          <w:sz w:val="24"/>
          <w:szCs w:val="24"/>
        </w:rPr>
        <w:t xml:space="preserve">The </w:t>
      </w:r>
      <w:r w:rsidR="00BE7C65">
        <w:rPr>
          <w:sz w:val="24"/>
          <w:szCs w:val="24"/>
        </w:rPr>
        <w:t xml:space="preserve">variation to paragraph 7.1C.1 </w:t>
      </w:r>
      <w:r>
        <w:rPr>
          <w:sz w:val="24"/>
          <w:szCs w:val="24"/>
        </w:rPr>
        <w:t xml:space="preserve">is a result of the Australian </w:t>
      </w:r>
      <w:r w:rsidRPr="00CE2ABC">
        <w:rPr>
          <w:sz w:val="24"/>
          <w:szCs w:val="24"/>
        </w:rPr>
        <w:t>Government</w:t>
      </w:r>
      <w:r>
        <w:rPr>
          <w:sz w:val="24"/>
          <w:szCs w:val="24"/>
        </w:rPr>
        <w:t xml:space="preserve">’s </w:t>
      </w:r>
      <w:r w:rsidRPr="00CE2ABC">
        <w:rPr>
          <w:sz w:val="24"/>
          <w:szCs w:val="24"/>
        </w:rPr>
        <w:t xml:space="preserve">Covid-19 response package – ‘prioritising mental health’, </w:t>
      </w:r>
      <w:r>
        <w:rPr>
          <w:sz w:val="24"/>
          <w:szCs w:val="24"/>
        </w:rPr>
        <w:t xml:space="preserve">which included </w:t>
      </w:r>
      <w:r w:rsidRPr="00CE2ABC">
        <w:rPr>
          <w:sz w:val="24"/>
          <w:szCs w:val="24"/>
        </w:rPr>
        <w:t xml:space="preserve">$58.8 million in 2022-23 to extend the COVID-19 mental health support services available under the </w:t>
      </w:r>
      <w:r w:rsidRPr="008F756C">
        <w:rPr>
          <w:i/>
          <w:sz w:val="24"/>
          <w:szCs w:val="24"/>
        </w:rPr>
        <w:t xml:space="preserve">Better Access initiative to psychiatrists, psychologists, and general practitioners through the Medicare Benefits Schedule </w:t>
      </w:r>
      <w:r w:rsidRPr="00CE2ABC">
        <w:rPr>
          <w:sz w:val="24"/>
          <w:szCs w:val="24"/>
        </w:rPr>
        <w:t xml:space="preserve">until 31 December 2022.  </w:t>
      </w:r>
    </w:p>
    <w:p w14:paraId="00DDFFF8" w14:textId="5BFCCA7B" w:rsidR="008F756C" w:rsidRDefault="008F756C" w:rsidP="00CE2ABC">
      <w:pPr>
        <w:autoSpaceDE w:val="0"/>
        <w:autoSpaceDN w:val="0"/>
        <w:adjustRightInd w:val="0"/>
        <w:rPr>
          <w:sz w:val="24"/>
          <w:szCs w:val="24"/>
        </w:rPr>
      </w:pPr>
    </w:p>
    <w:p w14:paraId="55D8A73E" w14:textId="35DF80F4" w:rsidR="008F756C" w:rsidRDefault="008F756C" w:rsidP="00CE2ABC">
      <w:pPr>
        <w:autoSpaceDE w:val="0"/>
        <w:autoSpaceDN w:val="0"/>
        <w:adjustRightInd w:val="0"/>
        <w:rPr>
          <w:sz w:val="24"/>
          <w:szCs w:val="24"/>
        </w:rPr>
      </w:pPr>
      <w:r w:rsidRPr="008F756C">
        <w:rPr>
          <w:sz w:val="24"/>
          <w:szCs w:val="24"/>
        </w:rPr>
        <w:t xml:space="preserve">The </w:t>
      </w:r>
      <w:r w:rsidR="00E44917">
        <w:rPr>
          <w:sz w:val="24"/>
          <w:szCs w:val="24"/>
        </w:rPr>
        <w:t xml:space="preserve">variation to paragraph 7.1C.1 </w:t>
      </w:r>
      <w:r w:rsidRPr="008F756C">
        <w:rPr>
          <w:sz w:val="24"/>
          <w:szCs w:val="24"/>
        </w:rPr>
        <w:t xml:space="preserve">recognises the impacts of the COVID-19 pandemic on the mental health and wellbeing of people in residential aged care, and addresses recommendations from the Royal Commission into Aged Care Quality and </w:t>
      </w:r>
      <w:r w:rsidR="00E44917" w:rsidRPr="008F756C">
        <w:rPr>
          <w:sz w:val="24"/>
          <w:szCs w:val="24"/>
        </w:rPr>
        <w:t>Safety</w:t>
      </w:r>
      <w:r w:rsidR="00E44917">
        <w:rPr>
          <w:sz w:val="24"/>
          <w:szCs w:val="24"/>
        </w:rPr>
        <w:t>’s</w:t>
      </w:r>
      <w:r w:rsidR="00E44917" w:rsidRPr="008F756C">
        <w:rPr>
          <w:sz w:val="24"/>
          <w:szCs w:val="24"/>
        </w:rPr>
        <w:t xml:space="preserve"> COVID</w:t>
      </w:r>
      <w:r w:rsidRPr="00E44917">
        <w:rPr>
          <w:sz w:val="24"/>
          <w:szCs w:val="24"/>
        </w:rPr>
        <w:t>-19 special report.</w:t>
      </w:r>
      <w:r>
        <w:rPr>
          <w:sz w:val="24"/>
          <w:szCs w:val="24"/>
        </w:rPr>
        <w:t xml:space="preserve"> </w:t>
      </w:r>
      <w:r w:rsidRPr="008F756C">
        <w:rPr>
          <w:sz w:val="24"/>
          <w:szCs w:val="24"/>
        </w:rPr>
        <w:t>Psycholog</w:t>
      </w:r>
      <w:r w:rsidR="00E44917">
        <w:rPr>
          <w:sz w:val="24"/>
          <w:szCs w:val="24"/>
        </w:rPr>
        <w:t>y services</w:t>
      </w:r>
      <w:r w:rsidR="00F22D69">
        <w:rPr>
          <w:sz w:val="24"/>
          <w:szCs w:val="24"/>
        </w:rPr>
        <w:t xml:space="preserve">, social work </w:t>
      </w:r>
      <w:r w:rsidR="00E44917">
        <w:rPr>
          <w:sz w:val="24"/>
          <w:szCs w:val="24"/>
        </w:rPr>
        <w:t xml:space="preserve">services </w:t>
      </w:r>
      <w:r w:rsidR="00F22D69">
        <w:rPr>
          <w:sz w:val="24"/>
          <w:szCs w:val="24"/>
        </w:rPr>
        <w:t>and occupational therapy</w:t>
      </w:r>
      <w:r w:rsidRPr="008F756C">
        <w:rPr>
          <w:sz w:val="24"/>
          <w:szCs w:val="24"/>
        </w:rPr>
        <w:t xml:space="preserve"> services will be provided by eligible general practitioners, psychologists, social workers or occupational therapists.</w:t>
      </w:r>
    </w:p>
    <w:p w14:paraId="51DE4E99" w14:textId="05610D20" w:rsidR="00CE2ABC" w:rsidRDefault="00CE2ABC" w:rsidP="00CE2ABC">
      <w:pPr>
        <w:autoSpaceDE w:val="0"/>
        <w:autoSpaceDN w:val="0"/>
        <w:adjustRightInd w:val="0"/>
        <w:rPr>
          <w:sz w:val="24"/>
          <w:szCs w:val="24"/>
        </w:rPr>
      </w:pPr>
    </w:p>
    <w:p w14:paraId="5830C007" w14:textId="7F487959" w:rsidR="006B39D6" w:rsidRDefault="00546D9E" w:rsidP="006C40F2">
      <w:pPr>
        <w:autoSpaceDE w:val="0"/>
        <w:autoSpaceDN w:val="0"/>
        <w:adjustRightInd w:val="0"/>
        <w:rPr>
          <w:sz w:val="24"/>
          <w:szCs w:val="24"/>
        </w:rPr>
      </w:pPr>
      <w:r>
        <w:rPr>
          <w:sz w:val="24"/>
          <w:szCs w:val="24"/>
        </w:rPr>
        <w:t xml:space="preserve">The </w:t>
      </w:r>
      <w:r w:rsidR="003C37F0">
        <w:rPr>
          <w:sz w:val="24"/>
          <w:szCs w:val="24"/>
        </w:rPr>
        <w:t xml:space="preserve">variations </w:t>
      </w:r>
      <w:r w:rsidR="00EA48F6">
        <w:rPr>
          <w:sz w:val="24"/>
          <w:szCs w:val="24"/>
        </w:rPr>
        <w:t xml:space="preserve">to the Treatment Principles </w:t>
      </w:r>
      <w:r>
        <w:rPr>
          <w:sz w:val="24"/>
          <w:szCs w:val="24"/>
        </w:rPr>
        <w:t xml:space="preserve">take effect </w:t>
      </w:r>
      <w:r w:rsidR="00D947EA">
        <w:rPr>
          <w:sz w:val="24"/>
          <w:szCs w:val="24"/>
        </w:rPr>
        <w:t>on</w:t>
      </w:r>
      <w:r w:rsidR="00CE2ABC">
        <w:rPr>
          <w:sz w:val="24"/>
          <w:szCs w:val="24"/>
        </w:rPr>
        <w:t xml:space="preserve">1 July </w:t>
      </w:r>
      <w:r w:rsidR="008B5FA8">
        <w:rPr>
          <w:sz w:val="24"/>
          <w:szCs w:val="24"/>
        </w:rPr>
        <w:t>202</w:t>
      </w:r>
      <w:r w:rsidR="00CE2ABC">
        <w:rPr>
          <w:sz w:val="24"/>
          <w:szCs w:val="24"/>
        </w:rPr>
        <w:t>2</w:t>
      </w:r>
      <w:r w:rsidR="008B5FA8">
        <w:rPr>
          <w:sz w:val="24"/>
          <w:szCs w:val="24"/>
        </w:rPr>
        <w:t>.</w:t>
      </w:r>
    </w:p>
    <w:p w14:paraId="6143C21B" w14:textId="77777777" w:rsidR="00835B52" w:rsidRDefault="00835B52" w:rsidP="006C40F2">
      <w:pPr>
        <w:autoSpaceDE w:val="0"/>
        <w:autoSpaceDN w:val="0"/>
        <w:adjustRightInd w:val="0"/>
        <w:rPr>
          <w:sz w:val="24"/>
          <w:szCs w:val="24"/>
        </w:rPr>
      </w:pPr>
    </w:p>
    <w:p w14:paraId="7F7A5F6B" w14:textId="77777777" w:rsidR="001A1903" w:rsidRDefault="001A1903" w:rsidP="00D73533">
      <w:pPr>
        <w:autoSpaceDE w:val="0"/>
        <w:autoSpaceDN w:val="0"/>
        <w:adjustRightInd w:val="0"/>
        <w:rPr>
          <w:b/>
          <w:bCs/>
          <w:color w:val="000000"/>
          <w:sz w:val="28"/>
          <w:szCs w:val="28"/>
        </w:rPr>
      </w:pPr>
      <w:r>
        <w:rPr>
          <w:b/>
          <w:bCs/>
          <w:color w:val="000000"/>
          <w:sz w:val="28"/>
          <w:szCs w:val="28"/>
        </w:rPr>
        <w:t>CONSULTATION</w:t>
      </w:r>
    </w:p>
    <w:p w14:paraId="14AB955E" w14:textId="77777777" w:rsidR="001A1903" w:rsidRDefault="001A1903">
      <w:pPr>
        <w:autoSpaceDE w:val="0"/>
        <w:autoSpaceDN w:val="0"/>
        <w:adjustRightInd w:val="0"/>
        <w:rPr>
          <w:b/>
          <w:bCs/>
          <w:color w:val="000000"/>
          <w:sz w:val="28"/>
          <w:szCs w:val="28"/>
        </w:rPr>
      </w:pPr>
    </w:p>
    <w:p w14:paraId="158DF69E" w14:textId="3EE69335" w:rsidR="00AC0824" w:rsidRDefault="00A456EF" w:rsidP="00A456EF">
      <w:pPr>
        <w:ind w:right="-568"/>
        <w:rPr>
          <w:color w:val="000000"/>
          <w:sz w:val="24"/>
          <w:szCs w:val="24"/>
        </w:rPr>
      </w:pPr>
      <w:r w:rsidRPr="00A456EF">
        <w:rPr>
          <w:color w:val="000000"/>
          <w:sz w:val="24"/>
          <w:szCs w:val="24"/>
        </w:rPr>
        <w:t xml:space="preserve">Section 17 of the </w:t>
      </w:r>
      <w:r w:rsidRPr="00A456EF">
        <w:rPr>
          <w:i/>
          <w:color w:val="000000"/>
          <w:sz w:val="24"/>
          <w:szCs w:val="24"/>
        </w:rPr>
        <w:t>Legislation Act 2003</w:t>
      </w:r>
      <w:r w:rsidR="00C351E0">
        <w:rPr>
          <w:color w:val="000000"/>
          <w:sz w:val="24"/>
          <w:szCs w:val="24"/>
        </w:rPr>
        <w:t xml:space="preserve"> requires a rule-m</w:t>
      </w:r>
      <w:r w:rsidRPr="00A456EF">
        <w:rPr>
          <w:color w:val="000000"/>
          <w:sz w:val="24"/>
          <w:szCs w:val="24"/>
        </w:rPr>
        <w:t xml:space="preserve">aker to be satisfied, before making a legislative </w:t>
      </w:r>
      <w:r w:rsidR="004A3D74" w:rsidRPr="00A456EF">
        <w:rPr>
          <w:color w:val="000000"/>
          <w:sz w:val="24"/>
          <w:szCs w:val="24"/>
        </w:rPr>
        <w:t>instrument that</w:t>
      </w:r>
      <w:r w:rsidR="00C351E0">
        <w:rPr>
          <w:color w:val="000000"/>
          <w:sz w:val="24"/>
          <w:szCs w:val="24"/>
        </w:rPr>
        <w:t xml:space="preserve"> any consultation the rule-m</w:t>
      </w:r>
      <w:r w:rsidRPr="00A456EF">
        <w:rPr>
          <w:color w:val="000000"/>
          <w:sz w:val="24"/>
          <w:szCs w:val="24"/>
        </w:rPr>
        <w:t>aker considered appropriate</w:t>
      </w:r>
      <w:r w:rsidR="00B35105">
        <w:rPr>
          <w:color w:val="000000"/>
          <w:sz w:val="24"/>
          <w:szCs w:val="24"/>
        </w:rPr>
        <w:t xml:space="preserve"> and reasonably practicable</w:t>
      </w:r>
      <w:r w:rsidRPr="00A456EF">
        <w:rPr>
          <w:color w:val="000000"/>
          <w:sz w:val="24"/>
          <w:szCs w:val="24"/>
        </w:rPr>
        <w:t>, ha</w:t>
      </w:r>
      <w:r w:rsidR="00EC5834">
        <w:rPr>
          <w:color w:val="000000"/>
          <w:sz w:val="24"/>
          <w:szCs w:val="24"/>
        </w:rPr>
        <w:t>s</w:t>
      </w:r>
      <w:r w:rsidRPr="00A456EF">
        <w:rPr>
          <w:color w:val="000000"/>
          <w:sz w:val="24"/>
          <w:szCs w:val="24"/>
        </w:rPr>
        <w:t xml:space="preserve"> been undertaken. </w:t>
      </w:r>
    </w:p>
    <w:p w14:paraId="2EAA1DB7" w14:textId="1466FAB7" w:rsidR="00EB72D2" w:rsidRDefault="00EB72D2" w:rsidP="00A456EF">
      <w:pPr>
        <w:ind w:right="-568"/>
        <w:rPr>
          <w:color w:val="000000"/>
          <w:sz w:val="24"/>
          <w:szCs w:val="24"/>
        </w:rPr>
      </w:pPr>
    </w:p>
    <w:p w14:paraId="07E1B293" w14:textId="2EAC08E1" w:rsidR="00B76C4C" w:rsidRPr="00B76C4C" w:rsidRDefault="00B76C4C" w:rsidP="00B76C4C">
      <w:pPr>
        <w:ind w:right="-568"/>
        <w:rPr>
          <w:color w:val="000000"/>
          <w:sz w:val="24"/>
          <w:szCs w:val="24"/>
        </w:rPr>
      </w:pPr>
      <w:r w:rsidRPr="00B76C4C">
        <w:rPr>
          <w:color w:val="000000"/>
          <w:sz w:val="24"/>
          <w:szCs w:val="24"/>
        </w:rPr>
        <w:t xml:space="preserve">The </w:t>
      </w:r>
      <w:r w:rsidR="004042A5">
        <w:rPr>
          <w:color w:val="000000"/>
          <w:sz w:val="24"/>
          <w:szCs w:val="24"/>
        </w:rPr>
        <w:t>Commonwealth</w:t>
      </w:r>
      <w:r w:rsidRPr="00B76C4C">
        <w:rPr>
          <w:color w:val="000000"/>
          <w:sz w:val="24"/>
          <w:szCs w:val="24"/>
        </w:rPr>
        <w:t xml:space="preserve"> has received stakeholder advice supporting the </w:t>
      </w:r>
      <w:r w:rsidR="00497CEC">
        <w:rPr>
          <w:color w:val="000000"/>
          <w:sz w:val="24"/>
          <w:szCs w:val="24"/>
        </w:rPr>
        <w:t>extension</w:t>
      </w:r>
      <w:r w:rsidRPr="00B76C4C">
        <w:rPr>
          <w:color w:val="000000"/>
          <w:sz w:val="24"/>
          <w:szCs w:val="24"/>
        </w:rPr>
        <w:t xml:space="preserve"> of </w:t>
      </w:r>
      <w:r w:rsidR="00497CEC">
        <w:rPr>
          <w:color w:val="000000"/>
          <w:sz w:val="24"/>
          <w:szCs w:val="24"/>
        </w:rPr>
        <w:t>p</w:t>
      </w:r>
      <w:r w:rsidR="00497CEC" w:rsidRPr="008F756C">
        <w:rPr>
          <w:sz w:val="24"/>
          <w:szCs w:val="24"/>
        </w:rPr>
        <w:t>sycholog</w:t>
      </w:r>
      <w:r w:rsidR="00497CEC">
        <w:rPr>
          <w:sz w:val="24"/>
          <w:szCs w:val="24"/>
        </w:rPr>
        <w:t>y services, social work services and occupational therapy</w:t>
      </w:r>
      <w:r w:rsidR="00497CEC" w:rsidRPr="008F756C">
        <w:rPr>
          <w:sz w:val="24"/>
          <w:szCs w:val="24"/>
        </w:rPr>
        <w:t xml:space="preserve"> </w:t>
      </w:r>
      <w:r w:rsidRPr="00B76C4C">
        <w:rPr>
          <w:color w:val="000000"/>
          <w:sz w:val="24"/>
          <w:szCs w:val="24"/>
        </w:rPr>
        <w:t>services for care recipients in a</w:t>
      </w:r>
      <w:r w:rsidR="00497CEC">
        <w:rPr>
          <w:color w:val="000000"/>
          <w:sz w:val="24"/>
          <w:szCs w:val="24"/>
        </w:rPr>
        <w:t xml:space="preserve"> residential aged care facility. </w:t>
      </w:r>
      <w:r w:rsidRPr="00B76C4C">
        <w:rPr>
          <w:color w:val="000000"/>
          <w:sz w:val="24"/>
          <w:szCs w:val="24"/>
        </w:rPr>
        <w:t xml:space="preserve">Due to the short timeframe in drafting this legislative instrument to implement the </w:t>
      </w:r>
      <w:r w:rsidR="00E44917">
        <w:rPr>
          <w:color w:val="000000"/>
          <w:sz w:val="24"/>
          <w:szCs w:val="24"/>
        </w:rPr>
        <w:t>extension</w:t>
      </w:r>
      <w:r w:rsidRPr="00B76C4C">
        <w:rPr>
          <w:color w:val="000000"/>
          <w:sz w:val="24"/>
          <w:szCs w:val="24"/>
        </w:rPr>
        <w:t>, further consultation on the drafting of the legislative instrument was not undertaken</w:t>
      </w:r>
      <w:r>
        <w:rPr>
          <w:color w:val="000000"/>
          <w:sz w:val="24"/>
          <w:szCs w:val="24"/>
        </w:rPr>
        <w:t>.</w:t>
      </w:r>
    </w:p>
    <w:p w14:paraId="788C74FC" w14:textId="77777777" w:rsidR="00B76C4C" w:rsidRPr="00B76C4C" w:rsidRDefault="00B76C4C" w:rsidP="00B76C4C">
      <w:pPr>
        <w:ind w:right="-568"/>
        <w:rPr>
          <w:color w:val="000000"/>
          <w:sz w:val="24"/>
          <w:szCs w:val="24"/>
        </w:rPr>
      </w:pPr>
    </w:p>
    <w:p w14:paraId="138FD177" w14:textId="4EA59574" w:rsidR="00B06A98" w:rsidRDefault="004042A5" w:rsidP="00A456EF">
      <w:pPr>
        <w:ind w:right="-568"/>
        <w:rPr>
          <w:color w:val="000000"/>
          <w:sz w:val="24"/>
          <w:szCs w:val="24"/>
        </w:rPr>
      </w:pPr>
      <w:r>
        <w:rPr>
          <w:color w:val="000000"/>
          <w:sz w:val="24"/>
          <w:szCs w:val="24"/>
        </w:rPr>
        <w:t>I</w:t>
      </w:r>
      <w:r w:rsidR="00B06A98">
        <w:rPr>
          <w:color w:val="000000"/>
          <w:sz w:val="24"/>
          <w:szCs w:val="24"/>
        </w:rPr>
        <w:t>t is consider</w:t>
      </w:r>
      <w:r w:rsidR="00A741FD">
        <w:rPr>
          <w:color w:val="000000"/>
          <w:sz w:val="24"/>
          <w:szCs w:val="24"/>
        </w:rPr>
        <w:t>ed</w:t>
      </w:r>
      <w:r w:rsidR="00B06A98">
        <w:rPr>
          <w:color w:val="000000"/>
          <w:sz w:val="24"/>
          <w:szCs w:val="24"/>
        </w:rPr>
        <w:t xml:space="preserve"> the requirements of section 17 </w:t>
      </w:r>
      <w:r w:rsidR="00A741FD">
        <w:rPr>
          <w:color w:val="000000"/>
          <w:sz w:val="24"/>
          <w:szCs w:val="24"/>
        </w:rPr>
        <w:t xml:space="preserve">of the </w:t>
      </w:r>
      <w:r w:rsidR="00A741FD" w:rsidRPr="00A741FD">
        <w:rPr>
          <w:i/>
          <w:color w:val="000000"/>
          <w:sz w:val="24"/>
          <w:szCs w:val="24"/>
        </w:rPr>
        <w:t xml:space="preserve">Legislation Act 2003 </w:t>
      </w:r>
      <w:r w:rsidR="00B06A98">
        <w:rPr>
          <w:color w:val="000000"/>
          <w:sz w:val="24"/>
          <w:szCs w:val="24"/>
        </w:rPr>
        <w:t xml:space="preserve">have been fulfilled. </w:t>
      </w:r>
    </w:p>
    <w:p w14:paraId="41635E7A" w14:textId="19BB030B" w:rsidR="00B73B7B" w:rsidRDefault="00B73B7B" w:rsidP="00A456EF">
      <w:pPr>
        <w:ind w:right="-568"/>
        <w:rPr>
          <w:color w:val="000000"/>
          <w:sz w:val="24"/>
          <w:szCs w:val="24"/>
        </w:rPr>
      </w:pPr>
    </w:p>
    <w:p w14:paraId="427AA6EA" w14:textId="47125C3F" w:rsidR="00B73B7B" w:rsidRDefault="00B73B7B" w:rsidP="00B73B7B">
      <w:pPr>
        <w:ind w:right="-568"/>
        <w:rPr>
          <w:b/>
          <w:bCs/>
          <w:color w:val="000000"/>
          <w:sz w:val="24"/>
          <w:szCs w:val="24"/>
        </w:rPr>
      </w:pPr>
      <w:r w:rsidRPr="00B73B7B">
        <w:rPr>
          <w:b/>
          <w:bCs/>
          <w:color w:val="000000"/>
          <w:sz w:val="24"/>
          <w:szCs w:val="24"/>
        </w:rPr>
        <w:t>MERITS REVIEW</w:t>
      </w:r>
    </w:p>
    <w:p w14:paraId="2669B6A7" w14:textId="77777777" w:rsidR="00B73B7B" w:rsidRPr="00B73B7B" w:rsidRDefault="00B73B7B" w:rsidP="00B73B7B">
      <w:pPr>
        <w:ind w:right="-568"/>
        <w:rPr>
          <w:color w:val="000000"/>
          <w:sz w:val="24"/>
          <w:szCs w:val="24"/>
        </w:rPr>
      </w:pPr>
    </w:p>
    <w:p w14:paraId="238232DC" w14:textId="40D346BC" w:rsidR="00B73B7B" w:rsidRDefault="00B73B7B" w:rsidP="00B73B7B">
      <w:pPr>
        <w:ind w:right="-568"/>
        <w:rPr>
          <w:color w:val="000000"/>
          <w:sz w:val="24"/>
          <w:szCs w:val="24"/>
        </w:rPr>
      </w:pPr>
      <w:r>
        <w:rPr>
          <w:color w:val="000000"/>
          <w:sz w:val="24"/>
          <w:szCs w:val="24"/>
        </w:rPr>
        <w:t>The extension of the provision of p</w:t>
      </w:r>
      <w:r w:rsidRPr="00B73B7B">
        <w:rPr>
          <w:color w:val="000000"/>
          <w:sz w:val="24"/>
          <w:szCs w:val="24"/>
        </w:rPr>
        <w:t>sychological services by eligible general practitioners, psychologists, social wor</w:t>
      </w:r>
      <w:r>
        <w:rPr>
          <w:color w:val="000000"/>
          <w:sz w:val="24"/>
          <w:szCs w:val="24"/>
        </w:rPr>
        <w:t xml:space="preserve">kers or occupational therapists to eligible </w:t>
      </w:r>
      <w:r w:rsidR="00E5113F">
        <w:rPr>
          <w:color w:val="000000"/>
          <w:sz w:val="24"/>
          <w:szCs w:val="24"/>
        </w:rPr>
        <w:t xml:space="preserve">residential </w:t>
      </w:r>
      <w:r>
        <w:rPr>
          <w:color w:val="000000"/>
          <w:sz w:val="24"/>
          <w:szCs w:val="24"/>
        </w:rPr>
        <w:t xml:space="preserve">care </w:t>
      </w:r>
      <w:r w:rsidRPr="00B73B7B">
        <w:rPr>
          <w:color w:val="000000"/>
          <w:sz w:val="24"/>
          <w:szCs w:val="24"/>
        </w:rPr>
        <w:t xml:space="preserve">residents will </w:t>
      </w:r>
      <w:r>
        <w:rPr>
          <w:color w:val="000000"/>
          <w:sz w:val="24"/>
          <w:szCs w:val="24"/>
        </w:rPr>
        <w:t>ena</w:t>
      </w:r>
      <w:r w:rsidRPr="00B73B7B">
        <w:rPr>
          <w:color w:val="000000"/>
          <w:sz w:val="24"/>
          <w:szCs w:val="24"/>
        </w:rPr>
        <w:t>b</w:t>
      </w:r>
      <w:r>
        <w:rPr>
          <w:color w:val="000000"/>
          <w:sz w:val="24"/>
          <w:szCs w:val="24"/>
        </w:rPr>
        <w:t>l</w:t>
      </w:r>
      <w:r w:rsidRPr="00B73B7B">
        <w:rPr>
          <w:color w:val="000000"/>
          <w:sz w:val="24"/>
          <w:szCs w:val="24"/>
        </w:rPr>
        <w:t xml:space="preserve">e </w:t>
      </w:r>
      <w:r>
        <w:rPr>
          <w:color w:val="000000"/>
          <w:sz w:val="24"/>
          <w:szCs w:val="24"/>
        </w:rPr>
        <w:t xml:space="preserve">the residents </w:t>
      </w:r>
      <w:r w:rsidRPr="00B73B7B">
        <w:rPr>
          <w:color w:val="000000"/>
          <w:sz w:val="24"/>
          <w:szCs w:val="24"/>
        </w:rPr>
        <w:t xml:space="preserve">to access up to 20 individual psychological services each calendar year from 10 December 2020 until 31 December 2022. </w:t>
      </w:r>
    </w:p>
    <w:p w14:paraId="098443A0" w14:textId="77777777" w:rsidR="00B73B7B" w:rsidRPr="00B73B7B" w:rsidRDefault="00B73B7B" w:rsidP="00B73B7B">
      <w:pPr>
        <w:ind w:right="-568"/>
        <w:rPr>
          <w:color w:val="000000"/>
          <w:sz w:val="24"/>
          <w:szCs w:val="24"/>
        </w:rPr>
      </w:pPr>
    </w:p>
    <w:p w14:paraId="7662261D" w14:textId="3588FD11" w:rsidR="00B73B7B" w:rsidRPr="00B73B7B" w:rsidRDefault="00B73B7B" w:rsidP="00B73B7B">
      <w:pPr>
        <w:ind w:right="-568"/>
        <w:rPr>
          <w:color w:val="000000"/>
          <w:sz w:val="24"/>
          <w:szCs w:val="24"/>
        </w:rPr>
      </w:pPr>
      <w:r w:rsidRPr="00B73B7B">
        <w:rPr>
          <w:color w:val="000000"/>
          <w:sz w:val="24"/>
          <w:szCs w:val="24"/>
        </w:rPr>
        <w:t xml:space="preserve">Eligibility for </w:t>
      </w:r>
      <w:r>
        <w:rPr>
          <w:color w:val="000000"/>
          <w:sz w:val="24"/>
          <w:szCs w:val="24"/>
        </w:rPr>
        <w:t>the psychological services will</w:t>
      </w:r>
      <w:r w:rsidR="00E5113F">
        <w:rPr>
          <w:color w:val="000000"/>
          <w:sz w:val="24"/>
          <w:szCs w:val="24"/>
        </w:rPr>
        <w:t xml:space="preserve"> be</w:t>
      </w:r>
      <w:r>
        <w:rPr>
          <w:color w:val="000000"/>
          <w:sz w:val="24"/>
          <w:szCs w:val="24"/>
        </w:rPr>
        <w:t xml:space="preserve"> automatic</w:t>
      </w:r>
      <w:r w:rsidR="00E44917">
        <w:rPr>
          <w:color w:val="000000"/>
          <w:sz w:val="24"/>
          <w:szCs w:val="24"/>
        </w:rPr>
        <w:t xml:space="preserve"> </w:t>
      </w:r>
      <w:r w:rsidR="00E5113F">
        <w:rPr>
          <w:color w:val="000000"/>
          <w:sz w:val="24"/>
          <w:szCs w:val="24"/>
        </w:rPr>
        <w:t xml:space="preserve">for </w:t>
      </w:r>
      <w:r w:rsidR="0039648F">
        <w:rPr>
          <w:color w:val="000000"/>
          <w:sz w:val="24"/>
          <w:szCs w:val="24"/>
        </w:rPr>
        <w:t>entitled persons under the provisions of Principle 7.1C</w:t>
      </w:r>
      <w:r w:rsidRPr="00B73B7B">
        <w:rPr>
          <w:color w:val="000000"/>
          <w:sz w:val="24"/>
          <w:szCs w:val="24"/>
        </w:rPr>
        <w:t xml:space="preserve">.  The criteria </w:t>
      </w:r>
      <w:r w:rsidR="00E5113F">
        <w:rPr>
          <w:color w:val="000000"/>
          <w:sz w:val="24"/>
          <w:szCs w:val="24"/>
        </w:rPr>
        <w:t xml:space="preserve">for eligibility </w:t>
      </w:r>
      <w:r w:rsidRPr="00B73B7B">
        <w:rPr>
          <w:color w:val="000000"/>
          <w:sz w:val="24"/>
          <w:szCs w:val="24"/>
        </w:rPr>
        <w:t>are either factual, or assessed by a general practitioner.  There is no scope for the Commission</w:t>
      </w:r>
      <w:r w:rsidR="0039648F">
        <w:rPr>
          <w:color w:val="000000"/>
          <w:sz w:val="24"/>
          <w:szCs w:val="24"/>
        </w:rPr>
        <w:t>s</w:t>
      </w:r>
      <w:r w:rsidRPr="00B73B7B">
        <w:rPr>
          <w:color w:val="000000"/>
          <w:sz w:val="24"/>
          <w:szCs w:val="24"/>
        </w:rPr>
        <w:t xml:space="preserve"> to have any discretion whether or not the </w:t>
      </w:r>
      <w:r w:rsidR="0039648F">
        <w:rPr>
          <w:color w:val="000000"/>
          <w:sz w:val="24"/>
          <w:szCs w:val="24"/>
        </w:rPr>
        <w:t>entitled person who meets the criteria is provided with psychological services under the limitations and within the period they will be available</w:t>
      </w:r>
      <w:r w:rsidRPr="00B73B7B">
        <w:rPr>
          <w:color w:val="000000"/>
          <w:sz w:val="24"/>
          <w:szCs w:val="24"/>
        </w:rPr>
        <w:t>.</w:t>
      </w:r>
    </w:p>
    <w:p w14:paraId="2E5D0ED6" w14:textId="77777777" w:rsidR="00B73B7B" w:rsidRPr="00B73B7B" w:rsidRDefault="00B73B7B" w:rsidP="00B73B7B">
      <w:pPr>
        <w:ind w:right="-568"/>
        <w:rPr>
          <w:color w:val="000000"/>
          <w:sz w:val="24"/>
          <w:szCs w:val="24"/>
        </w:rPr>
      </w:pPr>
      <w:r w:rsidRPr="00B73B7B">
        <w:rPr>
          <w:color w:val="000000"/>
          <w:sz w:val="24"/>
          <w:szCs w:val="24"/>
        </w:rPr>
        <w:t> </w:t>
      </w:r>
    </w:p>
    <w:p w14:paraId="430EFB96" w14:textId="6DE8EB99" w:rsidR="00B73B7B" w:rsidRPr="00B73B7B" w:rsidRDefault="00B73B7B" w:rsidP="00B73B7B">
      <w:pPr>
        <w:ind w:right="-568"/>
        <w:rPr>
          <w:color w:val="000000"/>
          <w:sz w:val="24"/>
          <w:szCs w:val="24"/>
        </w:rPr>
      </w:pPr>
      <w:r w:rsidRPr="00B73B7B">
        <w:rPr>
          <w:color w:val="000000"/>
          <w:sz w:val="24"/>
          <w:szCs w:val="24"/>
        </w:rPr>
        <w:t xml:space="preserve">As a consequence, the application of the criteria </w:t>
      </w:r>
      <w:r w:rsidR="0039648F">
        <w:rPr>
          <w:color w:val="000000"/>
          <w:sz w:val="24"/>
          <w:szCs w:val="24"/>
        </w:rPr>
        <w:t xml:space="preserve">and the limits to the provision of the psychological services </w:t>
      </w:r>
      <w:r w:rsidRPr="00B73B7B">
        <w:rPr>
          <w:color w:val="000000"/>
          <w:sz w:val="24"/>
          <w:szCs w:val="24"/>
        </w:rPr>
        <w:t>can be categorised in accordance with the Administrative Review Council’s publication ‘</w:t>
      </w:r>
      <w:r w:rsidRPr="00B73B7B">
        <w:rPr>
          <w:i/>
          <w:iCs/>
          <w:color w:val="000000"/>
          <w:sz w:val="24"/>
          <w:szCs w:val="24"/>
        </w:rPr>
        <w:t>What decisions should be subject to merits review?’</w:t>
      </w:r>
      <w:r w:rsidRPr="00B73B7B">
        <w:rPr>
          <w:color w:val="000000"/>
          <w:sz w:val="24"/>
          <w:szCs w:val="24"/>
        </w:rPr>
        <w:t> as a type of decision that is, by its nature, unsuitable for merits review or which leaves no room for merits review.</w:t>
      </w:r>
    </w:p>
    <w:p w14:paraId="3FBAEF6E" w14:textId="16B0A97C" w:rsidR="00B73B7B" w:rsidRPr="00B73B7B" w:rsidRDefault="00B73B7B" w:rsidP="00B73B7B">
      <w:pPr>
        <w:ind w:right="-568"/>
        <w:rPr>
          <w:color w:val="000000"/>
          <w:sz w:val="24"/>
          <w:szCs w:val="24"/>
        </w:rPr>
      </w:pPr>
    </w:p>
    <w:p w14:paraId="06C39B7D" w14:textId="247C478C" w:rsidR="00EB72D2" w:rsidRDefault="00EB72D2" w:rsidP="00A456EF">
      <w:pPr>
        <w:ind w:right="-568"/>
        <w:rPr>
          <w:color w:val="000000"/>
          <w:sz w:val="24"/>
          <w:szCs w:val="24"/>
        </w:rPr>
      </w:pPr>
    </w:p>
    <w:p w14:paraId="76FAA32A" w14:textId="77777777" w:rsidR="007D62DD" w:rsidRDefault="007D62DD" w:rsidP="00A41DAC">
      <w:pPr>
        <w:spacing w:after="90"/>
        <w:rPr>
          <w:b/>
          <w:color w:val="000000"/>
          <w:sz w:val="28"/>
          <w:szCs w:val="28"/>
        </w:rPr>
      </w:pPr>
      <w:r w:rsidRPr="00305558">
        <w:rPr>
          <w:b/>
          <w:color w:val="000000"/>
          <w:sz w:val="28"/>
          <w:szCs w:val="28"/>
        </w:rPr>
        <w:t>RETROSPECTIVITY</w:t>
      </w:r>
    </w:p>
    <w:p w14:paraId="5C6FE823" w14:textId="43B144D6" w:rsidR="00AA1AF7" w:rsidRDefault="00311156" w:rsidP="006C40F2">
      <w:pPr>
        <w:pStyle w:val="BodyTextIndent2"/>
        <w:ind w:left="0" w:firstLine="0"/>
        <w:rPr>
          <w:color w:val="000000"/>
          <w:szCs w:val="24"/>
        </w:rPr>
      </w:pPr>
      <w:r>
        <w:rPr>
          <w:color w:val="000000"/>
          <w:szCs w:val="24"/>
        </w:rPr>
        <w:t>No.</w:t>
      </w:r>
    </w:p>
    <w:p w14:paraId="4C295FE1" w14:textId="77777777" w:rsidR="00C70A75" w:rsidRDefault="00C70A75" w:rsidP="00AA1AF7">
      <w:pPr>
        <w:pStyle w:val="BodyTextIndent2"/>
        <w:ind w:left="0" w:firstLine="0"/>
        <w:rPr>
          <w:color w:val="000000"/>
          <w:szCs w:val="24"/>
        </w:rPr>
      </w:pPr>
    </w:p>
    <w:p w14:paraId="6A501A6B" w14:textId="77777777" w:rsidR="003310B8" w:rsidRDefault="00376935" w:rsidP="00A41DAC">
      <w:pPr>
        <w:pStyle w:val="BodyTextIndent2"/>
        <w:spacing w:after="90"/>
        <w:ind w:left="0" w:firstLine="0"/>
        <w:rPr>
          <w:b/>
          <w:color w:val="000000"/>
          <w:sz w:val="28"/>
          <w:szCs w:val="28"/>
        </w:rPr>
      </w:pPr>
      <w:r w:rsidRPr="00305558">
        <w:rPr>
          <w:b/>
          <w:color w:val="000000"/>
          <w:sz w:val="28"/>
          <w:szCs w:val="28"/>
        </w:rPr>
        <w:t>DOCUMENTS INCORPORATED BY REFERENCE</w:t>
      </w:r>
    </w:p>
    <w:p w14:paraId="45C63C8C" w14:textId="208E7B75" w:rsidR="000F04D5" w:rsidRDefault="00AC0F76" w:rsidP="006917F1">
      <w:pPr>
        <w:pStyle w:val="NormalWeb"/>
        <w:spacing w:before="0" w:beforeAutospacing="0" w:after="0" w:afterAutospacing="0"/>
        <w:rPr>
          <w:color w:val="000000"/>
        </w:rPr>
      </w:pPr>
      <w:r>
        <w:rPr>
          <w:color w:val="000000"/>
        </w:rPr>
        <w:t>None.</w:t>
      </w:r>
    </w:p>
    <w:p w14:paraId="152305F5" w14:textId="77777777" w:rsidR="008B5FA8" w:rsidRDefault="008B5FA8" w:rsidP="006917F1">
      <w:pPr>
        <w:pStyle w:val="NormalWeb"/>
        <w:spacing w:before="0" w:beforeAutospacing="0" w:after="0" w:afterAutospacing="0"/>
        <w:rPr>
          <w:color w:val="000000"/>
        </w:rPr>
      </w:pPr>
    </w:p>
    <w:p w14:paraId="657E464E" w14:textId="77777777" w:rsidR="00305558" w:rsidRDefault="00305558" w:rsidP="00A41DAC">
      <w:pPr>
        <w:autoSpaceDE w:val="0"/>
        <w:autoSpaceDN w:val="0"/>
        <w:adjustRightInd w:val="0"/>
        <w:spacing w:after="90"/>
        <w:rPr>
          <w:b/>
          <w:bCs/>
          <w:color w:val="000000"/>
          <w:sz w:val="28"/>
          <w:szCs w:val="28"/>
        </w:rPr>
      </w:pPr>
      <w:r>
        <w:rPr>
          <w:b/>
          <w:bCs/>
          <w:color w:val="000000"/>
          <w:sz w:val="28"/>
          <w:szCs w:val="28"/>
        </w:rPr>
        <w:t>REGULATORY IMPACT</w:t>
      </w:r>
    </w:p>
    <w:p w14:paraId="50856762" w14:textId="4D60964D" w:rsidR="008663C4" w:rsidRDefault="008663C4" w:rsidP="008663C4">
      <w:pPr>
        <w:pStyle w:val="BodyText"/>
        <w:autoSpaceDE w:val="0"/>
        <w:autoSpaceDN w:val="0"/>
        <w:adjustRightInd w:val="0"/>
        <w:rPr>
          <w:bCs/>
          <w:sz w:val="24"/>
          <w:szCs w:val="24"/>
        </w:rPr>
      </w:pPr>
      <w:r w:rsidRPr="008663C4">
        <w:rPr>
          <w:bCs/>
          <w:sz w:val="24"/>
          <w:szCs w:val="24"/>
        </w:rPr>
        <w:t>This proposal does not have any regulatory impact on businesses, community organisations or individuals.</w:t>
      </w:r>
    </w:p>
    <w:p w14:paraId="4BA073DE" w14:textId="491AB852" w:rsidR="00A41DAC" w:rsidRDefault="00A41DAC" w:rsidP="00121E9E">
      <w:pPr>
        <w:pStyle w:val="BodyText"/>
        <w:autoSpaceDE w:val="0"/>
        <w:autoSpaceDN w:val="0"/>
        <w:adjustRightInd w:val="0"/>
        <w:rPr>
          <w:bCs/>
          <w:sz w:val="24"/>
          <w:szCs w:val="24"/>
        </w:rPr>
      </w:pPr>
    </w:p>
    <w:p w14:paraId="5B8699BB" w14:textId="77777777" w:rsidR="00F22FAA" w:rsidRPr="00F22FAA" w:rsidRDefault="00F22FAA" w:rsidP="00F22FAA">
      <w:pPr>
        <w:jc w:val="both"/>
        <w:rPr>
          <w:b/>
          <w:sz w:val="28"/>
          <w:szCs w:val="28"/>
        </w:rPr>
      </w:pPr>
      <w:r w:rsidRPr="00F22FAA">
        <w:rPr>
          <w:b/>
          <w:sz w:val="28"/>
          <w:szCs w:val="28"/>
        </w:rPr>
        <w:t>FURTHER EXPLANATION OF PROVISIONS</w:t>
      </w:r>
    </w:p>
    <w:p w14:paraId="55C48E06" w14:textId="77777777" w:rsidR="00F22FAA" w:rsidRDefault="00F22FAA" w:rsidP="00F22FAA">
      <w:pPr>
        <w:jc w:val="both"/>
        <w:rPr>
          <w:sz w:val="24"/>
          <w:szCs w:val="24"/>
        </w:rPr>
      </w:pPr>
    </w:p>
    <w:p w14:paraId="0257FCBE" w14:textId="77777777" w:rsidR="00A41DAC" w:rsidRDefault="00F22FAA" w:rsidP="00F22FAA">
      <w:pPr>
        <w:jc w:val="both"/>
        <w:rPr>
          <w:sz w:val="24"/>
          <w:szCs w:val="24"/>
          <w:u w:val="single"/>
        </w:rPr>
        <w:sectPr w:rsidR="00A41DAC" w:rsidSect="00806BAA">
          <w:headerReference w:type="even" r:id="rId8"/>
          <w:headerReference w:type="default" r:id="rId9"/>
          <w:footerReference w:type="default" r:id="rId10"/>
          <w:footerReference w:type="first" r:id="rId11"/>
          <w:pgSz w:w="11906" w:h="16838"/>
          <w:pgMar w:top="1440" w:right="1797" w:bottom="567" w:left="1797" w:header="720" w:footer="720" w:gutter="0"/>
          <w:cols w:space="720"/>
          <w:titlePg/>
        </w:sectPr>
      </w:pPr>
      <w:r>
        <w:rPr>
          <w:sz w:val="24"/>
          <w:szCs w:val="24"/>
        </w:rPr>
        <w:t xml:space="preserve">See </w:t>
      </w:r>
      <w:r w:rsidRPr="009F4862">
        <w:rPr>
          <w:sz w:val="24"/>
          <w:szCs w:val="24"/>
          <w:u w:val="single"/>
        </w:rPr>
        <w:t>Attachment A.</w:t>
      </w:r>
    </w:p>
    <w:p w14:paraId="59BC5F8F" w14:textId="77777777" w:rsidR="009804C1" w:rsidRPr="009F4862" w:rsidRDefault="009804C1" w:rsidP="00E1483E">
      <w:pPr>
        <w:jc w:val="right"/>
        <w:rPr>
          <w:color w:val="000000"/>
          <w:sz w:val="28"/>
          <w:szCs w:val="28"/>
          <w:u w:val="single"/>
        </w:rPr>
      </w:pPr>
      <w:r w:rsidRPr="009F4862">
        <w:rPr>
          <w:color w:val="000000"/>
          <w:sz w:val="28"/>
          <w:szCs w:val="28"/>
          <w:u w:val="single"/>
        </w:rPr>
        <w:lastRenderedPageBreak/>
        <w:t>Attachment A</w:t>
      </w:r>
    </w:p>
    <w:p w14:paraId="2AAAE41E" w14:textId="77777777" w:rsidR="006C2871" w:rsidRDefault="006C2871" w:rsidP="002C18FC">
      <w:pPr>
        <w:rPr>
          <w:color w:val="000000"/>
          <w:sz w:val="24"/>
          <w:szCs w:val="24"/>
        </w:rPr>
      </w:pPr>
    </w:p>
    <w:p w14:paraId="78FE0D57" w14:textId="77777777" w:rsidR="006C2871" w:rsidRPr="00305558" w:rsidRDefault="006C2871" w:rsidP="006C2871">
      <w:pPr>
        <w:rPr>
          <w:b/>
          <w:color w:val="000000"/>
          <w:sz w:val="28"/>
          <w:szCs w:val="28"/>
        </w:rPr>
      </w:pPr>
      <w:r w:rsidRPr="00305558">
        <w:rPr>
          <w:b/>
          <w:color w:val="000000"/>
          <w:sz w:val="28"/>
          <w:szCs w:val="28"/>
        </w:rPr>
        <w:t>FURTHER EXPLANATION</w:t>
      </w:r>
      <w:r>
        <w:rPr>
          <w:b/>
          <w:color w:val="000000"/>
          <w:sz w:val="28"/>
          <w:szCs w:val="28"/>
        </w:rPr>
        <w:t xml:space="preserve"> OF </w:t>
      </w:r>
      <w:r w:rsidR="004355A1">
        <w:rPr>
          <w:b/>
          <w:color w:val="000000"/>
          <w:sz w:val="28"/>
          <w:szCs w:val="28"/>
        </w:rPr>
        <w:t>PROVISIONS</w:t>
      </w:r>
    </w:p>
    <w:p w14:paraId="4552B685" w14:textId="77777777" w:rsidR="00944203" w:rsidRDefault="00944203" w:rsidP="00944203">
      <w:pPr>
        <w:rPr>
          <w:sz w:val="24"/>
          <w:szCs w:val="24"/>
        </w:rPr>
      </w:pPr>
    </w:p>
    <w:p w14:paraId="1130E629" w14:textId="77777777" w:rsidR="00944203" w:rsidRPr="004016E0" w:rsidRDefault="00944203" w:rsidP="004E4317">
      <w:pPr>
        <w:spacing w:after="120"/>
        <w:rPr>
          <w:b/>
          <w:sz w:val="24"/>
          <w:szCs w:val="24"/>
          <w:u w:val="single"/>
        </w:rPr>
      </w:pPr>
      <w:r w:rsidRPr="004016E0">
        <w:rPr>
          <w:b/>
          <w:sz w:val="24"/>
          <w:szCs w:val="24"/>
          <w:u w:val="single"/>
        </w:rPr>
        <w:t>Section 1</w:t>
      </w:r>
    </w:p>
    <w:p w14:paraId="1BFA5E35" w14:textId="54D21F21" w:rsidR="00944203" w:rsidRPr="00344D38" w:rsidRDefault="00944203" w:rsidP="00E1483E">
      <w:pPr>
        <w:rPr>
          <w:i/>
          <w:sz w:val="24"/>
          <w:szCs w:val="24"/>
        </w:rPr>
      </w:pPr>
      <w:r w:rsidRPr="00C768C8">
        <w:rPr>
          <w:sz w:val="24"/>
          <w:szCs w:val="24"/>
        </w:rPr>
        <w:t xml:space="preserve">This section sets out the name of the </w:t>
      </w:r>
      <w:r w:rsidR="009B461B" w:rsidRPr="00344D38">
        <w:rPr>
          <w:sz w:val="24"/>
          <w:szCs w:val="24"/>
        </w:rPr>
        <w:t>instrument</w:t>
      </w:r>
      <w:r w:rsidR="009B461B" w:rsidRPr="00344D38">
        <w:t xml:space="preserve"> -</w:t>
      </w:r>
      <w:r w:rsidR="006F5260" w:rsidRPr="00344D38">
        <w:t xml:space="preserve"> </w:t>
      </w:r>
      <w:r w:rsidR="006F5260" w:rsidRPr="00344D38">
        <w:rPr>
          <w:sz w:val="24"/>
          <w:szCs w:val="24"/>
        </w:rPr>
        <w:t>the</w:t>
      </w:r>
      <w:r w:rsidR="006F5260" w:rsidRPr="00344D38">
        <w:rPr>
          <w:i/>
          <w:sz w:val="24"/>
          <w:szCs w:val="24"/>
        </w:rPr>
        <w:t xml:space="preserve"> </w:t>
      </w:r>
      <w:r w:rsidR="00DB2F73" w:rsidRPr="00DB2F73">
        <w:rPr>
          <w:i/>
          <w:color w:val="000000"/>
          <w:sz w:val="24"/>
          <w:szCs w:val="24"/>
        </w:rPr>
        <w:t>Veterans’ Affairs (Extend Eligibility for Treatment by Allied Health Providers for Entitled Persons Receiving Residential Care) Amendment Determination 2022</w:t>
      </w:r>
      <w:r w:rsidR="004E4317" w:rsidRPr="00344D38">
        <w:rPr>
          <w:i/>
          <w:sz w:val="24"/>
          <w:szCs w:val="24"/>
        </w:rPr>
        <w:t>.</w:t>
      </w:r>
    </w:p>
    <w:p w14:paraId="6EFCCA47" w14:textId="77777777" w:rsidR="004E4317" w:rsidRDefault="004E4317" w:rsidP="00944203">
      <w:pPr>
        <w:rPr>
          <w:sz w:val="24"/>
          <w:szCs w:val="24"/>
        </w:rPr>
      </w:pPr>
    </w:p>
    <w:p w14:paraId="72E8FA61" w14:textId="77777777" w:rsidR="00944203" w:rsidRPr="004016E0" w:rsidRDefault="00944203" w:rsidP="004E4317">
      <w:pPr>
        <w:spacing w:after="120"/>
        <w:rPr>
          <w:b/>
          <w:sz w:val="24"/>
          <w:szCs w:val="24"/>
          <w:u w:val="single"/>
        </w:rPr>
      </w:pPr>
      <w:r w:rsidRPr="004016E0">
        <w:rPr>
          <w:b/>
          <w:sz w:val="24"/>
          <w:szCs w:val="24"/>
          <w:u w:val="single"/>
        </w:rPr>
        <w:t>Section 2</w:t>
      </w:r>
    </w:p>
    <w:p w14:paraId="6EDA4D5A" w14:textId="0DA9E7C8" w:rsidR="00944203" w:rsidRDefault="00944203" w:rsidP="00944203">
      <w:pPr>
        <w:rPr>
          <w:sz w:val="24"/>
          <w:szCs w:val="24"/>
        </w:rPr>
      </w:pPr>
      <w:r>
        <w:rPr>
          <w:sz w:val="24"/>
          <w:szCs w:val="24"/>
        </w:rPr>
        <w:t>This section provides that the instrument commences</w:t>
      </w:r>
      <w:r w:rsidR="00EE279E">
        <w:rPr>
          <w:sz w:val="24"/>
          <w:szCs w:val="24"/>
        </w:rPr>
        <w:t xml:space="preserve"> on</w:t>
      </w:r>
      <w:r w:rsidR="00907B13">
        <w:rPr>
          <w:sz w:val="24"/>
          <w:szCs w:val="24"/>
        </w:rPr>
        <w:t xml:space="preserve"> </w:t>
      </w:r>
      <w:r w:rsidR="00344D38">
        <w:rPr>
          <w:sz w:val="24"/>
          <w:szCs w:val="24"/>
        </w:rPr>
        <w:t xml:space="preserve">1 </w:t>
      </w:r>
      <w:r w:rsidR="00DB2F73">
        <w:rPr>
          <w:sz w:val="24"/>
          <w:szCs w:val="24"/>
        </w:rPr>
        <w:t>July</w:t>
      </w:r>
      <w:r w:rsidR="00344D38">
        <w:rPr>
          <w:sz w:val="24"/>
          <w:szCs w:val="24"/>
        </w:rPr>
        <w:t xml:space="preserve"> 202</w:t>
      </w:r>
      <w:r w:rsidR="00DB2F73">
        <w:rPr>
          <w:sz w:val="24"/>
          <w:szCs w:val="24"/>
        </w:rPr>
        <w:t>2</w:t>
      </w:r>
      <w:r w:rsidR="00C353F4">
        <w:rPr>
          <w:sz w:val="24"/>
          <w:szCs w:val="24"/>
        </w:rPr>
        <w:t>.</w:t>
      </w:r>
    </w:p>
    <w:p w14:paraId="47D6681C" w14:textId="77777777" w:rsidR="00293230" w:rsidRDefault="00293230" w:rsidP="00944203">
      <w:pPr>
        <w:rPr>
          <w:sz w:val="24"/>
          <w:szCs w:val="24"/>
        </w:rPr>
      </w:pPr>
    </w:p>
    <w:p w14:paraId="0764E21A" w14:textId="77777777" w:rsidR="00293230" w:rsidRPr="004016E0" w:rsidRDefault="00293230" w:rsidP="004E4317">
      <w:pPr>
        <w:spacing w:after="120"/>
        <w:rPr>
          <w:b/>
          <w:sz w:val="24"/>
          <w:szCs w:val="24"/>
          <w:u w:val="single"/>
        </w:rPr>
      </w:pPr>
      <w:r w:rsidRPr="004016E0">
        <w:rPr>
          <w:b/>
          <w:sz w:val="24"/>
          <w:szCs w:val="24"/>
          <w:u w:val="single"/>
        </w:rPr>
        <w:t>Section 3</w:t>
      </w:r>
    </w:p>
    <w:p w14:paraId="6AF855C1" w14:textId="77777777" w:rsidR="00E66FF1" w:rsidRDefault="00E66FF1" w:rsidP="00E66FF1">
      <w:pPr>
        <w:rPr>
          <w:sz w:val="24"/>
          <w:szCs w:val="24"/>
        </w:rPr>
      </w:pPr>
      <w:r w:rsidRPr="00C768C8">
        <w:rPr>
          <w:sz w:val="24"/>
          <w:szCs w:val="24"/>
        </w:rPr>
        <w:t xml:space="preserve">This </w:t>
      </w:r>
      <w:r>
        <w:rPr>
          <w:sz w:val="24"/>
          <w:szCs w:val="24"/>
        </w:rPr>
        <w:t>section sets out the legislative authority for the making of the variations to the Treatment Principles.</w:t>
      </w:r>
    </w:p>
    <w:p w14:paraId="4D77FDAC" w14:textId="77777777" w:rsidR="00293230" w:rsidRDefault="00293230" w:rsidP="00293230">
      <w:pPr>
        <w:rPr>
          <w:sz w:val="24"/>
          <w:szCs w:val="24"/>
        </w:rPr>
      </w:pPr>
    </w:p>
    <w:p w14:paraId="0F4B9DC8" w14:textId="77777777" w:rsidR="00293230" w:rsidRPr="004016E0" w:rsidRDefault="00293230" w:rsidP="004E4317">
      <w:pPr>
        <w:spacing w:after="120"/>
        <w:rPr>
          <w:b/>
          <w:sz w:val="24"/>
          <w:szCs w:val="24"/>
          <w:u w:val="single"/>
        </w:rPr>
      </w:pPr>
      <w:r w:rsidRPr="004016E0">
        <w:rPr>
          <w:b/>
          <w:sz w:val="24"/>
          <w:szCs w:val="24"/>
          <w:u w:val="single"/>
        </w:rPr>
        <w:t>Section 4</w:t>
      </w:r>
    </w:p>
    <w:p w14:paraId="62F0C384" w14:textId="5E1426A2" w:rsidR="00293230" w:rsidRDefault="00121E9E" w:rsidP="00293230">
      <w:pPr>
        <w:rPr>
          <w:sz w:val="24"/>
          <w:szCs w:val="24"/>
        </w:rPr>
      </w:pPr>
      <w:r>
        <w:rPr>
          <w:sz w:val="24"/>
          <w:szCs w:val="24"/>
        </w:rPr>
        <w:t xml:space="preserve">Section 4 </w:t>
      </w:r>
      <w:r w:rsidR="00293230">
        <w:rPr>
          <w:sz w:val="24"/>
          <w:szCs w:val="24"/>
        </w:rPr>
        <w:t>provides that the variations to the Treatment Principle</w:t>
      </w:r>
      <w:r w:rsidR="005A6D5D">
        <w:rPr>
          <w:sz w:val="24"/>
          <w:szCs w:val="24"/>
        </w:rPr>
        <w:t>s, as</w:t>
      </w:r>
      <w:r w:rsidR="00293230">
        <w:rPr>
          <w:sz w:val="24"/>
          <w:szCs w:val="24"/>
        </w:rPr>
        <w:t xml:space="preserve"> outlined in each of</w:t>
      </w:r>
      <w:r w:rsidR="00EE279E">
        <w:rPr>
          <w:sz w:val="24"/>
          <w:szCs w:val="24"/>
        </w:rPr>
        <w:t xml:space="preserve"> the </w:t>
      </w:r>
      <w:r w:rsidR="00153968">
        <w:rPr>
          <w:sz w:val="24"/>
          <w:szCs w:val="24"/>
        </w:rPr>
        <w:t>S</w:t>
      </w:r>
      <w:r w:rsidR="00293230">
        <w:rPr>
          <w:sz w:val="24"/>
          <w:szCs w:val="24"/>
        </w:rPr>
        <w:t>chedules</w:t>
      </w:r>
      <w:r w:rsidR="00EE279E">
        <w:rPr>
          <w:sz w:val="24"/>
          <w:szCs w:val="24"/>
        </w:rPr>
        <w:t xml:space="preserve"> to the instrument</w:t>
      </w:r>
      <w:r w:rsidR="00E1483E">
        <w:rPr>
          <w:sz w:val="24"/>
          <w:szCs w:val="24"/>
        </w:rPr>
        <w:t>, have effect.</w:t>
      </w:r>
    </w:p>
    <w:p w14:paraId="49899231" w14:textId="77777777" w:rsidR="00293230" w:rsidRDefault="00293230" w:rsidP="00944203">
      <w:pPr>
        <w:rPr>
          <w:sz w:val="24"/>
          <w:szCs w:val="24"/>
        </w:rPr>
      </w:pPr>
    </w:p>
    <w:p w14:paraId="3DBA4994" w14:textId="77777777" w:rsidR="00153968" w:rsidRDefault="00153968" w:rsidP="00153968">
      <w:pPr>
        <w:rPr>
          <w:b/>
          <w:sz w:val="24"/>
          <w:szCs w:val="24"/>
          <w:u w:val="single"/>
        </w:rPr>
      </w:pPr>
      <w:r w:rsidRPr="00946056">
        <w:rPr>
          <w:b/>
          <w:sz w:val="24"/>
          <w:szCs w:val="24"/>
          <w:u w:val="single"/>
        </w:rPr>
        <w:t xml:space="preserve">Schedule 1 – (Variations to the </w:t>
      </w:r>
      <w:r w:rsidRPr="00946056">
        <w:rPr>
          <w:b/>
          <w:i/>
          <w:sz w:val="24"/>
          <w:szCs w:val="24"/>
          <w:u w:val="single"/>
        </w:rPr>
        <w:t>Treatment Principles</w:t>
      </w:r>
      <w:r w:rsidRPr="00946056">
        <w:rPr>
          <w:b/>
          <w:sz w:val="24"/>
          <w:szCs w:val="24"/>
          <w:u w:val="single"/>
        </w:rPr>
        <w:t xml:space="preserve"> under the </w:t>
      </w:r>
      <w:r w:rsidRPr="00946056">
        <w:rPr>
          <w:b/>
          <w:i/>
          <w:sz w:val="24"/>
          <w:szCs w:val="24"/>
          <w:u w:val="single"/>
        </w:rPr>
        <w:t>Veterans’ Entitlements Act 1986</w:t>
      </w:r>
      <w:r w:rsidRPr="00946056">
        <w:rPr>
          <w:b/>
          <w:sz w:val="24"/>
          <w:szCs w:val="24"/>
          <w:u w:val="single"/>
        </w:rPr>
        <w:t>)</w:t>
      </w:r>
    </w:p>
    <w:p w14:paraId="2EA57C32" w14:textId="77777777" w:rsidR="00B97B81" w:rsidRDefault="00B97B81" w:rsidP="00B97B81">
      <w:pPr>
        <w:pStyle w:val="LogoHeader"/>
        <w:keepLines w:val="0"/>
        <w:ind w:firstLine="720"/>
        <w:rPr>
          <w:rFonts w:ascii="Times New Roman" w:hAnsi="Times New Roman"/>
          <w:i/>
          <w:sz w:val="20"/>
          <w:lang w:val="en-AU" w:eastAsia="en-AU"/>
        </w:rPr>
      </w:pPr>
    </w:p>
    <w:p w14:paraId="1D9A644E" w14:textId="6C9704A4" w:rsidR="005C6C7B" w:rsidRDefault="00B97B81" w:rsidP="00E1483E">
      <w:pPr>
        <w:spacing w:after="90"/>
        <w:rPr>
          <w:sz w:val="24"/>
          <w:szCs w:val="24"/>
        </w:rPr>
      </w:pPr>
      <w:r w:rsidRPr="004016E0">
        <w:rPr>
          <w:b/>
          <w:sz w:val="24"/>
          <w:szCs w:val="24"/>
        </w:rPr>
        <w:t xml:space="preserve">Item </w:t>
      </w:r>
      <w:r w:rsidR="00BB0F38">
        <w:rPr>
          <w:b/>
          <w:sz w:val="24"/>
          <w:szCs w:val="24"/>
        </w:rPr>
        <w:t>1</w:t>
      </w:r>
      <w:r w:rsidRPr="004016E0">
        <w:rPr>
          <w:sz w:val="24"/>
          <w:szCs w:val="24"/>
        </w:rPr>
        <w:t xml:space="preserve"> </w:t>
      </w:r>
      <w:r w:rsidR="0013149F">
        <w:rPr>
          <w:sz w:val="24"/>
          <w:szCs w:val="24"/>
        </w:rPr>
        <w:t xml:space="preserve">omits and substitutes </w:t>
      </w:r>
      <w:r w:rsidR="00CB0CE1">
        <w:rPr>
          <w:sz w:val="24"/>
          <w:szCs w:val="24"/>
        </w:rPr>
        <w:t xml:space="preserve">certain words contained in </w:t>
      </w:r>
      <w:r w:rsidR="00E66FF1">
        <w:rPr>
          <w:sz w:val="24"/>
          <w:szCs w:val="24"/>
        </w:rPr>
        <w:t>paragraph 7.1C.1</w:t>
      </w:r>
      <w:r w:rsidR="00C3564F">
        <w:rPr>
          <w:sz w:val="24"/>
          <w:szCs w:val="24"/>
        </w:rPr>
        <w:t xml:space="preserve"> of the Treatment Principles to allow the Repatriation Commission to continue </w:t>
      </w:r>
      <w:r w:rsidR="00372163">
        <w:rPr>
          <w:sz w:val="24"/>
          <w:szCs w:val="24"/>
        </w:rPr>
        <w:t xml:space="preserve">to </w:t>
      </w:r>
      <w:r w:rsidR="00C3564F">
        <w:rPr>
          <w:sz w:val="24"/>
          <w:szCs w:val="24"/>
        </w:rPr>
        <w:t xml:space="preserve">accept financial responsibility for the following </w:t>
      </w:r>
      <w:r w:rsidR="00D90997">
        <w:rPr>
          <w:sz w:val="24"/>
          <w:szCs w:val="24"/>
        </w:rPr>
        <w:t xml:space="preserve">listed </w:t>
      </w:r>
      <w:r w:rsidR="00C3564F">
        <w:rPr>
          <w:sz w:val="24"/>
          <w:szCs w:val="24"/>
        </w:rPr>
        <w:t xml:space="preserve">services received by entitled persons in residential care, </w:t>
      </w:r>
      <w:r w:rsidR="001C0515">
        <w:rPr>
          <w:sz w:val="24"/>
          <w:szCs w:val="24"/>
        </w:rPr>
        <w:t xml:space="preserve">in the period </w:t>
      </w:r>
      <w:r w:rsidR="00C3564F">
        <w:rPr>
          <w:sz w:val="24"/>
          <w:szCs w:val="24"/>
        </w:rPr>
        <w:t xml:space="preserve">beginning </w:t>
      </w:r>
      <w:r w:rsidR="00FA5349">
        <w:rPr>
          <w:sz w:val="24"/>
          <w:szCs w:val="24"/>
        </w:rPr>
        <w:t xml:space="preserve">on </w:t>
      </w:r>
      <w:r w:rsidR="00C3564F">
        <w:rPr>
          <w:sz w:val="24"/>
          <w:szCs w:val="24"/>
        </w:rPr>
        <w:t>1 July 2022 and ending on 31 December 2022</w:t>
      </w:r>
      <w:r w:rsidR="00E66FF1">
        <w:rPr>
          <w:sz w:val="24"/>
          <w:szCs w:val="24"/>
        </w:rPr>
        <w:t>:</w:t>
      </w:r>
    </w:p>
    <w:p w14:paraId="583DCCED" w14:textId="5C520C36" w:rsidR="00E66FF1" w:rsidRPr="008978DF" w:rsidRDefault="00E66FF1" w:rsidP="00E66FF1">
      <w:pPr>
        <w:pStyle w:val="ListParagraph"/>
        <w:numPr>
          <w:ilvl w:val="0"/>
          <w:numId w:val="3"/>
        </w:numPr>
        <w:rPr>
          <w:rFonts w:ascii="Times New Roman" w:hAnsi="Times New Roman"/>
          <w:sz w:val="24"/>
          <w:szCs w:val="24"/>
        </w:rPr>
      </w:pPr>
      <w:r>
        <w:rPr>
          <w:rFonts w:ascii="Times New Roman" w:hAnsi="Times New Roman"/>
          <w:sz w:val="24"/>
          <w:szCs w:val="24"/>
        </w:rPr>
        <w:t>occupational therapy (par</w:t>
      </w:r>
      <w:r w:rsidRPr="008978DF">
        <w:rPr>
          <w:rFonts w:ascii="Times New Roman" w:hAnsi="Times New Roman"/>
          <w:sz w:val="24"/>
          <w:szCs w:val="24"/>
        </w:rPr>
        <w:t xml:space="preserve">agraph </w:t>
      </w:r>
      <w:r w:rsidR="0013149F">
        <w:rPr>
          <w:rFonts w:ascii="Times New Roman" w:hAnsi="Times New Roman"/>
          <w:sz w:val="24"/>
          <w:szCs w:val="24"/>
        </w:rPr>
        <w:t>7.1.2</w:t>
      </w:r>
      <w:r w:rsidRPr="008978DF">
        <w:rPr>
          <w:rFonts w:ascii="Times New Roman" w:hAnsi="Times New Roman"/>
          <w:sz w:val="24"/>
          <w:szCs w:val="24"/>
        </w:rPr>
        <w:t>(e));</w:t>
      </w:r>
    </w:p>
    <w:p w14:paraId="209E6C57" w14:textId="52AB5A7E" w:rsidR="00E66FF1" w:rsidRDefault="00E66FF1" w:rsidP="00E66FF1">
      <w:pPr>
        <w:pStyle w:val="ListParagraph"/>
        <w:numPr>
          <w:ilvl w:val="0"/>
          <w:numId w:val="3"/>
        </w:numPr>
        <w:rPr>
          <w:rFonts w:ascii="Times New Roman" w:hAnsi="Times New Roman"/>
          <w:sz w:val="24"/>
          <w:szCs w:val="24"/>
        </w:rPr>
      </w:pPr>
      <w:r>
        <w:rPr>
          <w:rFonts w:ascii="Times New Roman" w:hAnsi="Times New Roman"/>
          <w:sz w:val="24"/>
          <w:szCs w:val="24"/>
        </w:rPr>
        <w:t xml:space="preserve">psychology (paragraph </w:t>
      </w:r>
      <w:r w:rsidR="0013149F">
        <w:rPr>
          <w:rFonts w:ascii="Times New Roman" w:hAnsi="Times New Roman"/>
          <w:sz w:val="24"/>
          <w:szCs w:val="24"/>
        </w:rPr>
        <w:t>7.1.2</w:t>
      </w:r>
      <w:r>
        <w:rPr>
          <w:rFonts w:ascii="Times New Roman" w:hAnsi="Times New Roman"/>
          <w:sz w:val="24"/>
          <w:szCs w:val="24"/>
        </w:rPr>
        <w:t>(l)); and</w:t>
      </w:r>
    </w:p>
    <w:p w14:paraId="2D557007" w14:textId="12BB7CAD" w:rsidR="00E66FF1" w:rsidRPr="007F1A8C" w:rsidRDefault="00E66FF1" w:rsidP="00E66FF1">
      <w:pPr>
        <w:pStyle w:val="ListParagraph"/>
        <w:numPr>
          <w:ilvl w:val="0"/>
          <w:numId w:val="3"/>
        </w:numPr>
        <w:rPr>
          <w:sz w:val="24"/>
          <w:szCs w:val="24"/>
        </w:rPr>
      </w:pPr>
      <w:proofErr w:type="gramStart"/>
      <w:r>
        <w:rPr>
          <w:rFonts w:ascii="Times New Roman" w:hAnsi="Times New Roman"/>
          <w:sz w:val="24"/>
          <w:szCs w:val="24"/>
        </w:rPr>
        <w:t>social</w:t>
      </w:r>
      <w:proofErr w:type="gramEnd"/>
      <w:r>
        <w:rPr>
          <w:rFonts w:ascii="Times New Roman" w:hAnsi="Times New Roman"/>
          <w:sz w:val="24"/>
          <w:szCs w:val="24"/>
        </w:rPr>
        <w:t xml:space="preserve"> work (paragraph </w:t>
      </w:r>
      <w:r w:rsidR="0013149F">
        <w:rPr>
          <w:rFonts w:ascii="Times New Roman" w:hAnsi="Times New Roman"/>
          <w:sz w:val="24"/>
          <w:szCs w:val="24"/>
        </w:rPr>
        <w:t>7.1.2</w:t>
      </w:r>
      <w:r>
        <w:rPr>
          <w:rFonts w:ascii="Times New Roman" w:hAnsi="Times New Roman"/>
          <w:sz w:val="24"/>
          <w:szCs w:val="24"/>
        </w:rPr>
        <w:t>(m))</w:t>
      </w:r>
      <w:r w:rsidR="00FA5349">
        <w:rPr>
          <w:rFonts w:ascii="Times New Roman" w:hAnsi="Times New Roman"/>
          <w:sz w:val="24"/>
          <w:szCs w:val="24"/>
        </w:rPr>
        <w:t>.</w:t>
      </w:r>
    </w:p>
    <w:p w14:paraId="2B671DAC" w14:textId="77777777" w:rsidR="007F1A8C" w:rsidRDefault="007F1A8C" w:rsidP="007F1A8C">
      <w:pPr>
        <w:pStyle w:val="ListParagraph"/>
        <w:rPr>
          <w:sz w:val="24"/>
          <w:szCs w:val="24"/>
        </w:rPr>
      </w:pPr>
    </w:p>
    <w:p w14:paraId="7B642F4B" w14:textId="7412308B" w:rsidR="00871BB9" w:rsidRDefault="00871BB9" w:rsidP="00871BB9">
      <w:pPr>
        <w:autoSpaceDE w:val="0"/>
        <w:autoSpaceDN w:val="0"/>
        <w:adjustRightInd w:val="0"/>
        <w:rPr>
          <w:sz w:val="24"/>
          <w:szCs w:val="24"/>
        </w:rPr>
      </w:pPr>
    </w:p>
    <w:p w14:paraId="2FFAFCB0" w14:textId="7F0F99F8" w:rsidR="00EE279E" w:rsidRDefault="00EE279E" w:rsidP="00EE279E">
      <w:pPr>
        <w:rPr>
          <w:b/>
          <w:sz w:val="24"/>
          <w:szCs w:val="24"/>
          <w:u w:val="single"/>
        </w:rPr>
      </w:pPr>
      <w:r w:rsidRPr="00946056">
        <w:rPr>
          <w:b/>
          <w:sz w:val="24"/>
          <w:szCs w:val="24"/>
          <w:u w:val="single"/>
        </w:rPr>
        <w:t>Schedule 2 – (Variations to the</w:t>
      </w:r>
      <w:r w:rsidR="004074CC" w:rsidRPr="00946056">
        <w:rPr>
          <w:b/>
          <w:i/>
          <w:sz w:val="24"/>
          <w:szCs w:val="24"/>
          <w:u w:val="single"/>
        </w:rPr>
        <w:t xml:space="preserve"> </w:t>
      </w:r>
      <w:r w:rsidRPr="00946056">
        <w:rPr>
          <w:b/>
          <w:i/>
          <w:sz w:val="24"/>
          <w:szCs w:val="24"/>
          <w:u w:val="single"/>
        </w:rPr>
        <w:t>Treatment Principles</w:t>
      </w:r>
      <w:r w:rsidR="00DD1586" w:rsidRPr="00946056">
        <w:rPr>
          <w:b/>
          <w:i/>
          <w:sz w:val="24"/>
          <w:szCs w:val="24"/>
          <w:u w:val="single"/>
        </w:rPr>
        <w:t xml:space="preserve"> </w:t>
      </w:r>
      <w:r w:rsidR="00DD1586" w:rsidRPr="00946056">
        <w:rPr>
          <w:b/>
          <w:sz w:val="24"/>
          <w:szCs w:val="24"/>
          <w:u w:val="single"/>
        </w:rPr>
        <w:t xml:space="preserve">under the </w:t>
      </w:r>
      <w:r w:rsidR="00DD1586" w:rsidRPr="00946056">
        <w:rPr>
          <w:b/>
          <w:i/>
          <w:sz w:val="24"/>
          <w:szCs w:val="24"/>
          <w:u w:val="single"/>
        </w:rPr>
        <w:t>Military Rehabilitation and Compensation Act 2004</w:t>
      </w:r>
      <w:r w:rsidRPr="00946056">
        <w:rPr>
          <w:b/>
          <w:sz w:val="24"/>
          <w:szCs w:val="24"/>
          <w:u w:val="single"/>
        </w:rPr>
        <w:t>)</w:t>
      </w:r>
    </w:p>
    <w:p w14:paraId="6F2D7E86" w14:textId="1BB07939" w:rsidR="00E1483E" w:rsidRDefault="00E1483E" w:rsidP="00EE279E">
      <w:pPr>
        <w:rPr>
          <w:b/>
          <w:sz w:val="24"/>
          <w:szCs w:val="24"/>
          <w:u w:val="single"/>
        </w:rPr>
      </w:pPr>
    </w:p>
    <w:p w14:paraId="549718DA" w14:textId="56B10D0C" w:rsidR="00C3564F" w:rsidRDefault="00E1483E" w:rsidP="00C3564F">
      <w:pPr>
        <w:spacing w:after="90"/>
        <w:rPr>
          <w:sz w:val="24"/>
          <w:szCs w:val="24"/>
        </w:rPr>
      </w:pPr>
      <w:r w:rsidRPr="004016E0">
        <w:rPr>
          <w:b/>
          <w:sz w:val="24"/>
          <w:szCs w:val="24"/>
        </w:rPr>
        <w:t xml:space="preserve">Item </w:t>
      </w:r>
      <w:r>
        <w:rPr>
          <w:b/>
          <w:sz w:val="24"/>
          <w:szCs w:val="24"/>
        </w:rPr>
        <w:t>1</w:t>
      </w:r>
      <w:r w:rsidRPr="004016E0">
        <w:rPr>
          <w:sz w:val="24"/>
          <w:szCs w:val="24"/>
        </w:rPr>
        <w:t xml:space="preserve"> </w:t>
      </w:r>
      <w:r w:rsidR="0013149F">
        <w:rPr>
          <w:sz w:val="24"/>
          <w:szCs w:val="24"/>
        </w:rPr>
        <w:t xml:space="preserve">omits and substitutes </w:t>
      </w:r>
      <w:r w:rsidR="007C49C2">
        <w:rPr>
          <w:sz w:val="24"/>
          <w:szCs w:val="24"/>
        </w:rPr>
        <w:t xml:space="preserve">certain words contained in </w:t>
      </w:r>
      <w:r w:rsidR="00C3564F">
        <w:rPr>
          <w:sz w:val="24"/>
          <w:szCs w:val="24"/>
        </w:rPr>
        <w:t>paragraph 7.1C.1 of the Treatment Principles to allow the Military, Rehabilitation and Compensation Commission to continue</w:t>
      </w:r>
      <w:r w:rsidR="00372163">
        <w:rPr>
          <w:sz w:val="24"/>
          <w:szCs w:val="24"/>
        </w:rPr>
        <w:t xml:space="preserve"> to</w:t>
      </w:r>
      <w:r w:rsidR="00C3564F">
        <w:rPr>
          <w:sz w:val="24"/>
          <w:szCs w:val="24"/>
        </w:rPr>
        <w:t xml:space="preserve"> accept financial responsibility for the following </w:t>
      </w:r>
      <w:r w:rsidR="00D90997">
        <w:rPr>
          <w:sz w:val="24"/>
          <w:szCs w:val="24"/>
        </w:rPr>
        <w:t xml:space="preserve">listed </w:t>
      </w:r>
      <w:r w:rsidR="00C3564F">
        <w:rPr>
          <w:sz w:val="24"/>
          <w:szCs w:val="24"/>
        </w:rPr>
        <w:t xml:space="preserve">services received by entitled persons in residential care, </w:t>
      </w:r>
      <w:r w:rsidR="001C0515">
        <w:rPr>
          <w:sz w:val="24"/>
          <w:szCs w:val="24"/>
        </w:rPr>
        <w:t xml:space="preserve">in the period </w:t>
      </w:r>
      <w:r w:rsidR="00C3564F">
        <w:rPr>
          <w:sz w:val="24"/>
          <w:szCs w:val="24"/>
        </w:rPr>
        <w:t>beginning from 1 July 2022 and ending on 31 December 2022:</w:t>
      </w:r>
    </w:p>
    <w:p w14:paraId="43A14953" w14:textId="3DAAB7B7" w:rsidR="00C3564F" w:rsidRPr="008978DF" w:rsidRDefault="00C3564F" w:rsidP="00C3564F">
      <w:pPr>
        <w:pStyle w:val="ListParagraph"/>
        <w:numPr>
          <w:ilvl w:val="0"/>
          <w:numId w:val="3"/>
        </w:numPr>
        <w:rPr>
          <w:rFonts w:ascii="Times New Roman" w:hAnsi="Times New Roman"/>
          <w:sz w:val="24"/>
          <w:szCs w:val="24"/>
        </w:rPr>
      </w:pPr>
      <w:r>
        <w:rPr>
          <w:rFonts w:ascii="Times New Roman" w:hAnsi="Times New Roman"/>
          <w:sz w:val="24"/>
          <w:szCs w:val="24"/>
        </w:rPr>
        <w:t>occupational therapy (par</w:t>
      </w:r>
      <w:r w:rsidRPr="008978DF">
        <w:rPr>
          <w:rFonts w:ascii="Times New Roman" w:hAnsi="Times New Roman"/>
          <w:sz w:val="24"/>
          <w:szCs w:val="24"/>
        </w:rPr>
        <w:t xml:space="preserve">agraph </w:t>
      </w:r>
      <w:r w:rsidR="0013149F">
        <w:rPr>
          <w:rFonts w:ascii="Times New Roman" w:hAnsi="Times New Roman"/>
          <w:sz w:val="24"/>
          <w:szCs w:val="24"/>
        </w:rPr>
        <w:t>7.1.2</w:t>
      </w:r>
      <w:r w:rsidRPr="008978DF">
        <w:rPr>
          <w:rFonts w:ascii="Times New Roman" w:hAnsi="Times New Roman"/>
          <w:sz w:val="24"/>
          <w:szCs w:val="24"/>
        </w:rPr>
        <w:t>(e));</w:t>
      </w:r>
    </w:p>
    <w:p w14:paraId="1D86BEBC" w14:textId="5956AA2A" w:rsidR="00C3564F" w:rsidRDefault="00C3564F" w:rsidP="00C3564F">
      <w:pPr>
        <w:pStyle w:val="ListParagraph"/>
        <w:numPr>
          <w:ilvl w:val="0"/>
          <w:numId w:val="3"/>
        </w:numPr>
        <w:rPr>
          <w:rFonts w:ascii="Times New Roman" w:hAnsi="Times New Roman"/>
          <w:sz w:val="24"/>
          <w:szCs w:val="24"/>
        </w:rPr>
      </w:pPr>
      <w:r>
        <w:rPr>
          <w:rFonts w:ascii="Times New Roman" w:hAnsi="Times New Roman"/>
          <w:sz w:val="24"/>
          <w:szCs w:val="24"/>
        </w:rPr>
        <w:t xml:space="preserve">psychology (paragraph </w:t>
      </w:r>
      <w:r w:rsidR="0013149F">
        <w:rPr>
          <w:rFonts w:ascii="Times New Roman" w:hAnsi="Times New Roman"/>
          <w:sz w:val="24"/>
          <w:szCs w:val="24"/>
        </w:rPr>
        <w:t>7.1.2</w:t>
      </w:r>
      <w:r>
        <w:rPr>
          <w:rFonts w:ascii="Times New Roman" w:hAnsi="Times New Roman"/>
          <w:sz w:val="24"/>
          <w:szCs w:val="24"/>
        </w:rPr>
        <w:t>(l)); and</w:t>
      </w:r>
    </w:p>
    <w:p w14:paraId="554FF402" w14:textId="6CCB006C" w:rsidR="00C3564F" w:rsidRDefault="00C3564F" w:rsidP="00C3564F">
      <w:pPr>
        <w:pStyle w:val="ListParagraph"/>
        <w:numPr>
          <w:ilvl w:val="0"/>
          <w:numId w:val="3"/>
        </w:numPr>
        <w:rPr>
          <w:sz w:val="24"/>
          <w:szCs w:val="24"/>
        </w:rPr>
      </w:pPr>
      <w:proofErr w:type="gramStart"/>
      <w:r>
        <w:rPr>
          <w:rFonts w:ascii="Times New Roman" w:hAnsi="Times New Roman"/>
          <w:sz w:val="24"/>
          <w:szCs w:val="24"/>
        </w:rPr>
        <w:t>social</w:t>
      </w:r>
      <w:proofErr w:type="gramEnd"/>
      <w:r>
        <w:rPr>
          <w:rFonts w:ascii="Times New Roman" w:hAnsi="Times New Roman"/>
          <w:sz w:val="24"/>
          <w:szCs w:val="24"/>
        </w:rPr>
        <w:t xml:space="preserve"> work (paragraph </w:t>
      </w:r>
      <w:r w:rsidR="0013149F">
        <w:rPr>
          <w:rFonts w:ascii="Times New Roman" w:hAnsi="Times New Roman"/>
          <w:sz w:val="24"/>
          <w:szCs w:val="24"/>
        </w:rPr>
        <w:t>7.1.2</w:t>
      </w:r>
      <w:r>
        <w:rPr>
          <w:rFonts w:ascii="Times New Roman" w:hAnsi="Times New Roman"/>
          <w:sz w:val="24"/>
          <w:szCs w:val="24"/>
        </w:rPr>
        <w:t>(m))</w:t>
      </w:r>
      <w:r w:rsidR="00FA5349">
        <w:rPr>
          <w:rFonts w:ascii="Times New Roman" w:hAnsi="Times New Roman"/>
          <w:sz w:val="24"/>
          <w:szCs w:val="24"/>
        </w:rPr>
        <w:t>.</w:t>
      </w:r>
    </w:p>
    <w:p w14:paraId="5C274683" w14:textId="7DBCF1D9" w:rsidR="00E1483E" w:rsidRDefault="00E1483E" w:rsidP="00C3564F">
      <w:pPr>
        <w:spacing w:after="90"/>
        <w:rPr>
          <w:b/>
          <w:sz w:val="24"/>
          <w:szCs w:val="24"/>
          <w:u w:val="single"/>
        </w:rPr>
      </w:pPr>
    </w:p>
    <w:p w14:paraId="4ABCC481" w14:textId="4AF9563D" w:rsidR="00AC2CCB" w:rsidRDefault="00AC2CCB" w:rsidP="00EE279E">
      <w:pPr>
        <w:rPr>
          <w:b/>
          <w:sz w:val="24"/>
          <w:szCs w:val="24"/>
          <w:u w:val="single"/>
        </w:rPr>
      </w:pPr>
    </w:p>
    <w:p w14:paraId="061338DD" w14:textId="77777777" w:rsidR="00344D38" w:rsidRDefault="00344D38" w:rsidP="0005568D">
      <w:pPr>
        <w:spacing w:after="120"/>
        <w:jc w:val="center"/>
        <w:rPr>
          <w:b/>
          <w:bCs/>
          <w:color w:val="444444"/>
          <w:sz w:val="28"/>
          <w:szCs w:val="28"/>
        </w:rPr>
      </w:pPr>
    </w:p>
    <w:p w14:paraId="408169E8" w14:textId="77777777" w:rsidR="00344D38" w:rsidRDefault="00344D38" w:rsidP="0005568D">
      <w:pPr>
        <w:spacing w:after="120"/>
        <w:jc w:val="center"/>
        <w:rPr>
          <w:b/>
          <w:bCs/>
          <w:color w:val="444444"/>
          <w:sz w:val="28"/>
          <w:szCs w:val="28"/>
        </w:rPr>
        <w:sectPr w:rsidR="00344D38" w:rsidSect="00806BAA">
          <w:pgSz w:w="11906" w:h="16838"/>
          <w:pgMar w:top="1440" w:right="1797" w:bottom="567" w:left="1797" w:header="720" w:footer="720" w:gutter="0"/>
          <w:cols w:space="720"/>
          <w:titlePg/>
        </w:sectPr>
      </w:pPr>
    </w:p>
    <w:p w14:paraId="575DCBBA" w14:textId="486F2F77" w:rsidR="0005568D" w:rsidRPr="0005568D" w:rsidRDefault="0005568D" w:rsidP="0005568D">
      <w:pPr>
        <w:spacing w:after="120"/>
        <w:jc w:val="center"/>
        <w:rPr>
          <w:color w:val="444444"/>
          <w:sz w:val="28"/>
          <w:szCs w:val="28"/>
        </w:rPr>
      </w:pPr>
      <w:r w:rsidRPr="0005568D">
        <w:rPr>
          <w:b/>
          <w:bCs/>
          <w:color w:val="444444"/>
          <w:sz w:val="28"/>
          <w:szCs w:val="28"/>
        </w:rPr>
        <w:lastRenderedPageBreak/>
        <w:t>Statement of Compatibility with Human Rights</w:t>
      </w:r>
    </w:p>
    <w:p w14:paraId="445D7CC1" w14:textId="77777777" w:rsidR="0005568D" w:rsidRPr="007F1A8C" w:rsidRDefault="0005568D" w:rsidP="007F1A8C">
      <w:pPr>
        <w:spacing w:before="120" w:after="120"/>
        <w:rPr>
          <w:sz w:val="24"/>
          <w:szCs w:val="24"/>
        </w:rPr>
      </w:pPr>
      <w:r w:rsidRPr="007F1A8C">
        <w:rPr>
          <w:sz w:val="24"/>
          <w:szCs w:val="24"/>
        </w:rPr>
        <w:t xml:space="preserve">Prepared in accordance with Part 3 of the </w:t>
      </w:r>
      <w:r w:rsidRPr="007F1A8C">
        <w:rPr>
          <w:i/>
          <w:iCs/>
          <w:sz w:val="24"/>
          <w:szCs w:val="24"/>
        </w:rPr>
        <w:t>Human Rights (Parliamentary Scrutiny) Act 2011</w:t>
      </w:r>
    </w:p>
    <w:p w14:paraId="3EE1F259" w14:textId="735AEDF5" w:rsidR="00DD39CE" w:rsidRPr="007F1A8C" w:rsidRDefault="00DD39CE" w:rsidP="007F1A8C">
      <w:pPr>
        <w:spacing w:before="120" w:after="120"/>
        <w:rPr>
          <w:i/>
          <w:sz w:val="24"/>
          <w:szCs w:val="24"/>
        </w:rPr>
      </w:pPr>
      <w:r w:rsidRPr="007F1A8C">
        <w:rPr>
          <w:i/>
          <w:sz w:val="24"/>
          <w:szCs w:val="24"/>
        </w:rPr>
        <w:t>Veterans’ Affairs (Treatment Principles – Extend Eligibility for Treatment by Allied Health Providers for Entitled Persons Receiving Residential Care)</w:t>
      </w:r>
      <w:r w:rsidR="00513FA0">
        <w:rPr>
          <w:i/>
          <w:sz w:val="24"/>
          <w:szCs w:val="24"/>
        </w:rPr>
        <w:t xml:space="preserve"> Amendment</w:t>
      </w:r>
      <w:r w:rsidRPr="007F1A8C">
        <w:rPr>
          <w:i/>
          <w:sz w:val="24"/>
          <w:szCs w:val="24"/>
        </w:rPr>
        <w:t xml:space="preserve"> Determination 2022 </w:t>
      </w:r>
    </w:p>
    <w:p w14:paraId="56C46811" w14:textId="3D77FAEC" w:rsidR="0026264F" w:rsidRPr="007F1A8C" w:rsidRDefault="00F3751E" w:rsidP="007F1A8C">
      <w:pPr>
        <w:spacing w:before="120" w:after="120"/>
        <w:rPr>
          <w:b/>
          <w:bCs/>
          <w:sz w:val="24"/>
          <w:szCs w:val="24"/>
        </w:rPr>
      </w:pPr>
      <w:r w:rsidRPr="007F1A8C">
        <w:rPr>
          <w:b/>
          <w:bCs/>
          <w:sz w:val="24"/>
          <w:szCs w:val="24"/>
        </w:rPr>
        <w:t>Overview of the Determination</w:t>
      </w:r>
    </w:p>
    <w:p w14:paraId="527567F1" w14:textId="74016E99" w:rsidR="00ED3D51" w:rsidRPr="007F1A8C" w:rsidRDefault="00ED3D51" w:rsidP="007F1A8C">
      <w:pPr>
        <w:spacing w:before="120" w:after="120"/>
        <w:rPr>
          <w:iCs/>
          <w:snapToGrid w:val="0"/>
          <w:sz w:val="24"/>
          <w:szCs w:val="24"/>
          <w:lang w:eastAsia="en-US"/>
        </w:rPr>
      </w:pPr>
      <w:r w:rsidRPr="007F1A8C">
        <w:rPr>
          <w:sz w:val="24"/>
          <w:szCs w:val="24"/>
        </w:rPr>
        <w:t xml:space="preserve">The purpose of the Determination is </w:t>
      </w:r>
      <w:r w:rsidR="00863A8F">
        <w:rPr>
          <w:sz w:val="24"/>
          <w:szCs w:val="24"/>
        </w:rPr>
        <w:t xml:space="preserve">to extend the ability of the Commissions to accept financial responsibility for psychological, occupational therapy and social work services for </w:t>
      </w:r>
      <w:r w:rsidRPr="007F1A8C">
        <w:rPr>
          <w:sz w:val="24"/>
          <w:szCs w:val="24"/>
        </w:rPr>
        <w:t>persons in residential care</w:t>
      </w:r>
      <w:r w:rsidRPr="007F1A8C">
        <w:rPr>
          <w:iCs/>
          <w:snapToGrid w:val="0"/>
          <w:sz w:val="24"/>
          <w:szCs w:val="24"/>
          <w:lang w:eastAsia="en-US"/>
        </w:rPr>
        <w:t>.</w:t>
      </w:r>
    </w:p>
    <w:p w14:paraId="015DC746" w14:textId="77777777" w:rsidR="00DD39CE" w:rsidRPr="007F1A8C" w:rsidRDefault="00DD39CE" w:rsidP="007F1A8C">
      <w:pPr>
        <w:autoSpaceDE w:val="0"/>
        <w:autoSpaceDN w:val="0"/>
        <w:adjustRightInd w:val="0"/>
        <w:spacing w:before="120" w:after="120"/>
        <w:rPr>
          <w:sz w:val="24"/>
          <w:szCs w:val="24"/>
        </w:rPr>
      </w:pPr>
      <w:r w:rsidRPr="007F1A8C">
        <w:rPr>
          <w:sz w:val="24"/>
          <w:szCs w:val="24"/>
        </w:rPr>
        <w:t xml:space="preserve">The measure is a result of the Australian Government’s Covid-19 response package – ‘prioritising mental health’, which included $58.8 million in 2022-23 to extend the COVID-19 mental health support services available under the </w:t>
      </w:r>
      <w:r w:rsidRPr="007F1A8C">
        <w:rPr>
          <w:i/>
          <w:sz w:val="24"/>
          <w:szCs w:val="24"/>
        </w:rPr>
        <w:t xml:space="preserve">Better Access initiative to psychiatrists, psychologists, and general practitioners through the Medicare Benefits Schedule </w:t>
      </w:r>
      <w:r w:rsidRPr="007F1A8C">
        <w:rPr>
          <w:sz w:val="24"/>
          <w:szCs w:val="24"/>
        </w:rPr>
        <w:t xml:space="preserve">until 31 December 2022.  </w:t>
      </w:r>
    </w:p>
    <w:p w14:paraId="2C173BA5" w14:textId="57E514CE" w:rsidR="00DD39CE" w:rsidRPr="007F1A8C" w:rsidRDefault="00DD39CE" w:rsidP="007F1A8C">
      <w:pPr>
        <w:autoSpaceDE w:val="0"/>
        <w:autoSpaceDN w:val="0"/>
        <w:adjustRightInd w:val="0"/>
        <w:spacing w:before="120" w:after="120"/>
        <w:rPr>
          <w:sz w:val="24"/>
          <w:szCs w:val="24"/>
        </w:rPr>
      </w:pPr>
      <w:r w:rsidRPr="007F1A8C">
        <w:rPr>
          <w:sz w:val="24"/>
          <w:szCs w:val="24"/>
        </w:rPr>
        <w:t xml:space="preserve">The </w:t>
      </w:r>
      <w:r w:rsidR="00AC25DF">
        <w:rPr>
          <w:sz w:val="24"/>
          <w:szCs w:val="24"/>
        </w:rPr>
        <w:t>extension</w:t>
      </w:r>
      <w:r w:rsidR="00AC25DF" w:rsidRPr="007F1A8C">
        <w:rPr>
          <w:sz w:val="24"/>
          <w:szCs w:val="24"/>
        </w:rPr>
        <w:t xml:space="preserve"> </w:t>
      </w:r>
      <w:r w:rsidRPr="007F1A8C">
        <w:rPr>
          <w:sz w:val="24"/>
          <w:szCs w:val="24"/>
        </w:rPr>
        <w:t>recognises the impacts of the COVID-19 pandemic on the mental health and wellbeing of people in residential care, and addresses recommendations from the Royal Commission into Aged Care Quality and Safety’s </w:t>
      </w:r>
      <w:r w:rsidRPr="00497CEC">
        <w:rPr>
          <w:sz w:val="24"/>
          <w:szCs w:val="24"/>
        </w:rPr>
        <w:t>COVID-19 special report</w:t>
      </w:r>
      <w:r w:rsidRPr="007F1A8C">
        <w:rPr>
          <w:sz w:val="24"/>
          <w:szCs w:val="24"/>
        </w:rPr>
        <w:t xml:space="preserve">. </w:t>
      </w:r>
      <w:r w:rsidR="004C4DD0">
        <w:rPr>
          <w:sz w:val="24"/>
          <w:szCs w:val="24"/>
        </w:rPr>
        <w:t>Mental health</w:t>
      </w:r>
      <w:r w:rsidRPr="007F1A8C">
        <w:rPr>
          <w:sz w:val="24"/>
          <w:szCs w:val="24"/>
        </w:rPr>
        <w:t xml:space="preserve"> services will be provided by eligible general practitioners, psychologists, social workers or occupational therapists.</w:t>
      </w:r>
    </w:p>
    <w:p w14:paraId="10AAB3CE" w14:textId="77777777" w:rsidR="00F3751E" w:rsidRPr="007F1A8C" w:rsidRDefault="00F3751E" w:rsidP="007F1A8C">
      <w:pPr>
        <w:spacing w:before="120" w:after="120"/>
        <w:rPr>
          <w:b/>
          <w:bCs/>
          <w:sz w:val="24"/>
          <w:szCs w:val="24"/>
        </w:rPr>
      </w:pPr>
      <w:r w:rsidRPr="007F1A8C">
        <w:rPr>
          <w:b/>
          <w:bCs/>
          <w:sz w:val="24"/>
          <w:szCs w:val="24"/>
        </w:rPr>
        <w:t>Human rights implications</w:t>
      </w:r>
    </w:p>
    <w:p w14:paraId="49DDC590" w14:textId="77777777" w:rsidR="00EF7451" w:rsidRDefault="00F3751E" w:rsidP="007F1A8C">
      <w:pPr>
        <w:spacing w:before="120" w:after="120"/>
        <w:rPr>
          <w:sz w:val="24"/>
          <w:szCs w:val="24"/>
        </w:rPr>
      </w:pPr>
      <w:r w:rsidRPr="007F1A8C">
        <w:rPr>
          <w:sz w:val="24"/>
          <w:szCs w:val="24"/>
        </w:rPr>
        <w:t>This instrument engages Articles 9 and 12 of the International Covenant on Economic Social and Cultural Rights (ICESCR), specifically the rights to health and social security.</w:t>
      </w:r>
    </w:p>
    <w:p w14:paraId="1E63FA18" w14:textId="424E1DE6" w:rsidR="00F3751E" w:rsidRPr="007F1A8C" w:rsidRDefault="00F3751E" w:rsidP="007F1A8C">
      <w:pPr>
        <w:spacing w:before="120" w:after="120"/>
        <w:rPr>
          <w:i/>
          <w:iCs/>
          <w:sz w:val="24"/>
          <w:szCs w:val="24"/>
        </w:rPr>
      </w:pPr>
      <w:r w:rsidRPr="007F1A8C">
        <w:rPr>
          <w:i/>
          <w:iCs/>
          <w:sz w:val="24"/>
          <w:szCs w:val="24"/>
        </w:rPr>
        <w:t>The Right to Health</w:t>
      </w:r>
    </w:p>
    <w:p w14:paraId="7C7E2D7A" w14:textId="77777777" w:rsidR="00F3751E" w:rsidRPr="007F1A8C" w:rsidRDefault="00F3751E" w:rsidP="007F1A8C">
      <w:pPr>
        <w:spacing w:before="120" w:after="120"/>
        <w:rPr>
          <w:sz w:val="24"/>
          <w:szCs w:val="24"/>
        </w:rPr>
      </w:pPr>
      <w:r w:rsidRPr="007F1A8C">
        <w:rPr>
          <w:sz w:val="24"/>
          <w:szCs w:val="24"/>
        </w:rPr>
        <w:t>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w:t>
      </w:r>
    </w:p>
    <w:p w14:paraId="0FA39B75" w14:textId="7FD1CE3E" w:rsidR="00F3751E" w:rsidRPr="007F1A8C" w:rsidRDefault="00F3751E" w:rsidP="007F1A8C">
      <w:pPr>
        <w:spacing w:before="120" w:after="120"/>
        <w:rPr>
          <w:sz w:val="24"/>
          <w:szCs w:val="24"/>
        </w:rPr>
      </w:pPr>
      <w:r w:rsidRPr="007F1A8C">
        <w:rPr>
          <w:sz w:val="24"/>
          <w:szCs w:val="24"/>
        </w:rPr>
        <w:t xml:space="preserve">The Committee reports that the </w:t>
      </w:r>
      <w:r w:rsidRPr="007F1A8C">
        <w:rPr>
          <w:i/>
          <w:iCs/>
          <w:sz w:val="24"/>
          <w:szCs w:val="24"/>
        </w:rPr>
        <w:t xml:space="preserve">‘highest attainable standard of health’ </w:t>
      </w:r>
      <w:r w:rsidRPr="007F1A8C">
        <w:rPr>
          <w:sz w:val="24"/>
          <w:szCs w:val="24"/>
        </w:rPr>
        <w:t xml:space="preserve">takes into account the country’s available resources. </w:t>
      </w:r>
      <w:r w:rsidR="004B7202" w:rsidRPr="007F1A8C">
        <w:rPr>
          <w:sz w:val="24"/>
          <w:szCs w:val="24"/>
        </w:rPr>
        <w:t xml:space="preserve"> </w:t>
      </w:r>
      <w:r w:rsidRPr="007F1A8C">
        <w:rPr>
          <w:sz w:val="24"/>
          <w:szCs w:val="24"/>
        </w:rPr>
        <w:t>This right may be understood as a right of access to a variety of public health and health care facilities, goods, services, programs, and conditions necessary for the realisation of the highest attainable standard of health.</w:t>
      </w:r>
    </w:p>
    <w:p w14:paraId="128F8DFB" w14:textId="77777777" w:rsidR="00F3751E" w:rsidRPr="007F1A8C" w:rsidRDefault="00F3751E" w:rsidP="007F1A8C">
      <w:pPr>
        <w:spacing w:before="120" w:after="120"/>
        <w:rPr>
          <w:i/>
          <w:iCs/>
          <w:sz w:val="24"/>
          <w:szCs w:val="24"/>
        </w:rPr>
      </w:pPr>
      <w:r w:rsidRPr="007F1A8C">
        <w:rPr>
          <w:i/>
          <w:iCs/>
          <w:sz w:val="24"/>
          <w:szCs w:val="24"/>
        </w:rPr>
        <w:t>The Right to Social Security</w:t>
      </w:r>
    </w:p>
    <w:p w14:paraId="28468BAF" w14:textId="566A7731" w:rsidR="00F3751E" w:rsidRPr="007F1A8C" w:rsidRDefault="00F3751E" w:rsidP="007F1A8C">
      <w:pPr>
        <w:spacing w:before="120" w:after="120"/>
        <w:rPr>
          <w:sz w:val="24"/>
          <w:szCs w:val="24"/>
        </w:rPr>
      </w:pPr>
      <w:r w:rsidRPr="007F1A8C">
        <w:rPr>
          <w:sz w:val="24"/>
          <w:szCs w:val="24"/>
        </w:rPr>
        <w:t>The right to social security is contained in Article 9 of the ICESCR.</w:t>
      </w:r>
      <w:r w:rsidR="004B7202" w:rsidRPr="007F1A8C">
        <w:rPr>
          <w:sz w:val="24"/>
          <w:szCs w:val="24"/>
        </w:rPr>
        <w:t xml:space="preserve"> </w:t>
      </w:r>
      <w:r w:rsidRPr="007F1A8C">
        <w:rPr>
          <w:sz w:val="24"/>
          <w:szCs w:val="24"/>
        </w:rPr>
        <w:t xml:space="preserve"> It requires that a country must, within its maximum available resources, ensure access to a social security scheme that provides a minimum essential level of benefits to all individuals and families that will enable them to acquire at least essential health care. </w:t>
      </w:r>
      <w:r w:rsidR="00CC4B8F" w:rsidRPr="007F1A8C">
        <w:rPr>
          <w:sz w:val="24"/>
          <w:szCs w:val="24"/>
        </w:rPr>
        <w:t xml:space="preserve"> </w:t>
      </w:r>
      <w:r w:rsidRPr="007F1A8C">
        <w:rPr>
          <w:sz w:val="24"/>
          <w:szCs w:val="24"/>
        </w:rPr>
        <w:t xml:space="preserve">Countries </w:t>
      </w:r>
      <w:r w:rsidRPr="007F1A8C">
        <w:rPr>
          <w:sz w:val="24"/>
          <w:szCs w:val="24"/>
        </w:rPr>
        <w:lastRenderedPageBreak/>
        <w:t>are obliged to demonstrate that every effort has been made to use all resources that are at their disposal in an effort to satisfy, as a matter of priority, this minimum obligation.</w:t>
      </w:r>
    </w:p>
    <w:p w14:paraId="2C5C929D" w14:textId="77777777" w:rsidR="00F3751E" w:rsidRPr="007F1A8C" w:rsidRDefault="00F3751E" w:rsidP="007F1A8C">
      <w:pPr>
        <w:spacing w:before="120" w:after="120"/>
        <w:rPr>
          <w:sz w:val="24"/>
          <w:szCs w:val="24"/>
          <w:u w:val="single"/>
        </w:rPr>
      </w:pPr>
      <w:r w:rsidRPr="007F1A8C">
        <w:rPr>
          <w:sz w:val="24"/>
          <w:szCs w:val="24"/>
          <w:u w:val="single"/>
        </w:rPr>
        <w:t>Analysis</w:t>
      </w:r>
    </w:p>
    <w:p w14:paraId="338B7E51" w14:textId="7B0C2B9F" w:rsidR="0029636B" w:rsidRPr="007F1A8C" w:rsidRDefault="00F3751E" w:rsidP="007F1A8C">
      <w:pPr>
        <w:spacing w:before="120" w:after="120"/>
        <w:rPr>
          <w:sz w:val="24"/>
          <w:szCs w:val="24"/>
        </w:rPr>
      </w:pPr>
      <w:r w:rsidRPr="007F1A8C">
        <w:rPr>
          <w:sz w:val="24"/>
          <w:szCs w:val="24"/>
        </w:rPr>
        <w:t xml:space="preserve">This instrument advances the right to health and the right to social security </w:t>
      </w:r>
      <w:r w:rsidR="004B7202" w:rsidRPr="007F1A8C">
        <w:rPr>
          <w:sz w:val="24"/>
          <w:szCs w:val="24"/>
        </w:rPr>
        <w:t xml:space="preserve">of </w:t>
      </w:r>
      <w:r w:rsidRPr="007F1A8C">
        <w:rPr>
          <w:sz w:val="24"/>
          <w:szCs w:val="24"/>
        </w:rPr>
        <w:t xml:space="preserve">care recipients </w:t>
      </w:r>
      <w:r w:rsidR="004B7202" w:rsidRPr="007F1A8C">
        <w:rPr>
          <w:sz w:val="24"/>
          <w:szCs w:val="24"/>
        </w:rPr>
        <w:t>with eligibility for treatment under the Treatment P</w:t>
      </w:r>
      <w:r w:rsidR="0029636B" w:rsidRPr="007F1A8C">
        <w:rPr>
          <w:sz w:val="24"/>
          <w:szCs w:val="24"/>
        </w:rPr>
        <w:t>rinci</w:t>
      </w:r>
      <w:r w:rsidR="004B7202" w:rsidRPr="007F1A8C">
        <w:rPr>
          <w:sz w:val="24"/>
          <w:szCs w:val="24"/>
        </w:rPr>
        <w:t xml:space="preserve">ples </w:t>
      </w:r>
      <w:r w:rsidRPr="007F1A8C">
        <w:rPr>
          <w:sz w:val="24"/>
          <w:szCs w:val="24"/>
        </w:rPr>
        <w:t xml:space="preserve">of a residential aged care facility </w:t>
      </w:r>
      <w:r w:rsidR="0029636B" w:rsidRPr="007F1A8C">
        <w:rPr>
          <w:sz w:val="24"/>
          <w:szCs w:val="24"/>
        </w:rPr>
        <w:t>by providing for an</w:t>
      </w:r>
      <w:r w:rsidRPr="007F1A8C">
        <w:rPr>
          <w:sz w:val="24"/>
          <w:szCs w:val="24"/>
        </w:rPr>
        <w:t xml:space="preserve"> </w:t>
      </w:r>
      <w:r w:rsidR="00AC25DF">
        <w:rPr>
          <w:sz w:val="24"/>
          <w:szCs w:val="24"/>
        </w:rPr>
        <w:t>extension of certain s</w:t>
      </w:r>
      <w:r w:rsidRPr="007F1A8C">
        <w:rPr>
          <w:sz w:val="24"/>
          <w:szCs w:val="24"/>
        </w:rPr>
        <w:t xml:space="preserve">ervices </w:t>
      </w:r>
      <w:r w:rsidR="0035153F" w:rsidRPr="007F1A8C">
        <w:rPr>
          <w:sz w:val="24"/>
          <w:szCs w:val="24"/>
        </w:rPr>
        <w:t>that are funded by DVA at no cost to the eligible DVA client</w:t>
      </w:r>
      <w:r w:rsidR="0029636B" w:rsidRPr="007F1A8C">
        <w:rPr>
          <w:sz w:val="24"/>
          <w:szCs w:val="24"/>
        </w:rPr>
        <w:t>.</w:t>
      </w:r>
    </w:p>
    <w:p w14:paraId="7671695F" w14:textId="70EB4FF7" w:rsidR="00F3751E" w:rsidRPr="007F1A8C" w:rsidRDefault="00F3751E" w:rsidP="007F1A8C">
      <w:pPr>
        <w:spacing w:before="120" w:after="120"/>
        <w:rPr>
          <w:sz w:val="24"/>
          <w:szCs w:val="24"/>
        </w:rPr>
      </w:pPr>
      <w:r w:rsidRPr="007F1A8C">
        <w:rPr>
          <w:sz w:val="24"/>
          <w:szCs w:val="24"/>
        </w:rPr>
        <w:t xml:space="preserve">This will ensure </w:t>
      </w:r>
      <w:r w:rsidR="0035153F" w:rsidRPr="007F1A8C">
        <w:rPr>
          <w:sz w:val="24"/>
          <w:szCs w:val="24"/>
        </w:rPr>
        <w:t xml:space="preserve">that DVA clients who are </w:t>
      </w:r>
      <w:r w:rsidRPr="007F1A8C">
        <w:rPr>
          <w:sz w:val="24"/>
          <w:szCs w:val="24"/>
        </w:rPr>
        <w:t xml:space="preserve">care recipients of a residential care facility receive access to </w:t>
      </w:r>
      <w:r w:rsidR="0035153F" w:rsidRPr="007F1A8C">
        <w:rPr>
          <w:sz w:val="24"/>
          <w:szCs w:val="24"/>
        </w:rPr>
        <w:t xml:space="preserve">mental health support </w:t>
      </w:r>
      <w:r w:rsidRPr="007F1A8C">
        <w:rPr>
          <w:sz w:val="24"/>
          <w:szCs w:val="24"/>
        </w:rPr>
        <w:t xml:space="preserve">under </w:t>
      </w:r>
      <w:r w:rsidR="0029636B" w:rsidRPr="007F1A8C">
        <w:rPr>
          <w:sz w:val="24"/>
          <w:szCs w:val="24"/>
        </w:rPr>
        <w:t xml:space="preserve">the Treatment Principles </w:t>
      </w:r>
      <w:r w:rsidRPr="007F1A8C">
        <w:rPr>
          <w:sz w:val="24"/>
          <w:szCs w:val="24"/>
        </w:rPr>
        <w:t xml:space="preserve">in the same way as </w:t>
      </w:r>
      <w:r w:rsidR="0035153F" w:rsidRPr="007F1A8C">
        <w:rPr>
          <w:sz w:val="24"/>
          <w:szCs w:val="24"/>
        </w:rPr>
        <w:t xml:space="preserve">other </w:t>
      </w:r>
      <w:r w:rsidRPr="007F1A8C">
        <w:rPr>
          <w:sz w:val="24"/>
          <w:szCs w:val="24"/>
        </w:rPr>
        <w:t xml:space="preserve">older Australians residing in </w:t>
      </w:r>
      <w:r w:rsidR="0035153F" w:rsidRPr="007F1A8C">
        <w:rPr>
          <w:sz w:val="24"/>
          <w:szCs w:val="24"/>
        </w:rPr>
        <w:t>a residential care facility</w:t>
      </w:r>
      <w:r w:rsidRPr="007F1A8C">
        <w:rPr>
          <w:sz w:val="24"/>
          <w:szCs w:val="24"/>
        </w:rPr>
        <w:t xml:space="preserve"> in recognition of the impacts of the COVID-19 pandemic and the measures taken to contain its spread.</w:t>
      </w:r>
    </w:p>
    <w:p w14:paraId="77E467A1" w14:textId="77777777" w:rsidR="00F3751E" w:rsidRPr="007F1A8C" w:rsidRDefault="00F3751E" w:rsidP="007F1A8C">
      <w:pPr>
        <w:spacing w:before="120" w:after="120"/>
        <w:rPr>
          <w:bCs/>
          <w:sz w:val="24"/>
          <w:szCs w:val="24"/>
          <w:u w:val="single"/>
        </w:rPr>
      </w:pPr>
      <w:r w:rsidRPr="007F1A8C">
        <w:rPr>
          <w:bCs/>
          <w:sz w:val="24"/>
          <w:szCs w:val="24"/>
          <w:u w:val="single"/>
        </w:rPr>
        <w:t>Conclusion</w:t>
      </w:r>
    </w:p>
    <w:p w14:paraId="10689117" w14:textId="77777777" w:rsidR="00F3751E" w:rsidRPr="007F1A8C" w:rsidRDefault="00F3751E" w:rsidP="007F1A8C">
      <w:pPr>
        <w:spacing w:before="120" w:after="120"/>
        <w:rPr>
          <w:sz w:val="24"/>
          <w:szCs w:val="24"/>
        </w:rPr>
      </w:pPr>
      <w:r w:rsidRPr="007F1A8C">
        <w:rPr>
          <w:sz w:val="24"/>
          <w:szCs w:val="24"/>
        </w:rPr>
        <w:t>This instrument is compatible with human rights as it advances the right to health and the right to social security.</w:t>
      </w:r>
    </w:p>
    <w:p w14:paraId="40D88BEA" w14:textId="77777777" w:rsidR="00235F3B" w:rsidRPr="007F1A8C" w:rsidRDefault="00235F3B" w:rsidP="007F1A8C">
      <w:pPr>
        <w:spacing w:before="120" w:after="120"/>
        <w:jc w:val="both"/>
        <w:rPr>
          <w:sz w:val="24"/>
          <w:szCs w:val="24"/>
          <w:lang w:val="en-US"/>
        </w:rPr>
      </w:pPr>
    </w:p>
    <w:p w14:paraId="15EFBBC4" w14:textId="0C22A1A4" w:rsidR="0005568D" w:rsidRPr="007F1A8C" w:rsidRDefault="00C81DED" w:rsidP="007F1A8C">
      <w:pPr>
        <w:jc w:val="both"/>
        <w:rPr>
          <w:sz w:val="24"/>
          <w:szCs w:val="24"/>
        </w:rPr>
      </w:pPr>
      <w:r w:rsidRPr="007F1A8C">
        <w:rPr>
          <w:sz w:val="24"/>
          <w:szCs w:val="24"/>
        </w:rPr>
        <w:t>Vicki Rundle</w:t>
      </w:r>
    </w:p>
    <w:p w14:paraId="1F98F5FD" w14:textId="77777777" w:rsidR="00C81DED" w:rsidRPr="007F1A8C" w:rsidRDefault="00C81DED" w:rsidP="007F1A8C">
      <w:pPr>
        <w:jc w:val="both"/>
        <w:rPr>
          <w:bCs/>
          <w:sz w:val="24"/>
          <w:szCs w:val="24"/>
        </w:rPr>
      </w:pPr>
      <w:r w:rsidRPr="007F1A8C">
        <w:rPr>
          <w:bCs/>
          <w:sz w:val="24"/>
          <w:szCs w:val="24"/>
        </w:rPr>
        <w:t>Rule-Maker</w:t>
      </w:r>
    </w:p>
    <w:p w14:paraId="4D964FE6" w14:textId="784FCB08" w:rsidR="00C81DED" w:rsidRPr="007F1A8C" w:rsidRDefault="00C81DED" w:rsidP="007F1A8C">
      <w:pPr>
        <w:jc w:val="both"/>
        <w:rPr>
          <w:sz w:val="24"/>
          <w:szCs w:val="24"/>
        </w:rPr>
      </w:pPr>
      <w:r w:rsidRPr="007F1A8C">
        <w:rPr>
          <w:sz w:val="24"/>
          <w:szCs w:val="24"/>
        </w:rPr>
        <w:t>Deputy Secretary, Veterans and Families Services</w:t>
      </w:r>
    </w:p>
    <w:p w14:paraId="5DF6C929" w14:textId="0E0A1009" w:rsidR="00F37126" w:rsidRPr="007F1A8C" w:rsidRDefault="00C81DED" w:rsidP="007F1A8C">
      <w:pPr>
        <w:jc w:val="both"/>
        <w:rPr>
          <w:sz w:val="24"/>
          <w:szCs w:val="24"/>
          <w:u w:val="single"/>
        </w:rPr>
      </w:pPr>
      <w:r w:rsidRPr="007F1A8C">
        <w:rPr>
          <w:sz w:val="24"/>
          <w:szCs w:val="24"/>
        </w:rPr>
        <w:t xml:space="preserve">Department of </w:t>
      </w:r>
      <w:r w:rsidR="0005568D" w:rsidRPr="007F1A8C">
        <w:rPr>
          <w:sz w:val="24"/>
          <w:szCs w:val="24"/>
        </w:rPr>
        <w:t>Veterans’ Affairs</w:t>
      </w:r>
    </w:p>
    <w:sectPr w:rsidR="00F37126" w:rsidRPr="007F1A8C" w:rsidSect="0035153F">
      <w:pgSz w:w="11906" w:h="16838"/>
      <w:pgMar w:top="1440" w:right="1797" w:bottom="567" w:left="1797" w:header="283"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DF641" w14:textId="77777777" w:rsidR="003263A8" w:rsidRDefault="003263A8">
      <w:r>
        <w:separator/>
      </w:r>
    </w:p>
  </w:endnote>
  <w:endnote w:type="continuationSeparator" w:id="0">
    <w:p w14:paraId="05970F84" w14:textId="77777777" w:rsidR="003263A8" w:rsidRDefault="0032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AE2F" w14:textId="056F4EA1" w:rsidR="00ED3D51" w:rsidRDefault="00ED3D51">
    <w:pPr>
      <w:pStyle w:val="Footer"/>
      <w:jc w:val="right"/>
    </w:pPr>
    <w:r>
      <w:fldChar w:fldCharType="begin"/>
    </w:r>
    <w:r>
      <w:instrText xml:space="preserve"> PAGE   \* MERGEFORMAT </w:instrText>
    </w:r>
    <w:r>
      <w:fldChar w:fldCharType="separate"/>
    </w:r>
    <w:r w:rsidR="00117CFE">
      <w:rPr>
        <w:noProof/>
      </w:rPr>
      <w:t>3</w:t>
    </w:r>
    <w:r>
      <w:rPr>
        <w:noProof/>
      </w:rPr>
      <w:fldChar w:fldCharType="end"/>
    </w:r>
  </w:p>
  <w:p w14:paraId="3CB9197D" w14:textId="77777777" w:rsidR="00ED3D51" w:rsidRDefault="00ED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79275"/>
      <w:docPartObj>
        <w:docPartGallery w:val="Page Numbers (Bottom of Page)"/>
        <w:docPartUnique/>
      </w:docPartObj>
    </w:sdtPr>
    <w:sdtEndPr>
      <w:rPr>
        <w:noProof/>
      </w:rPr>
    </w:sdtEndPr>
    <w:sdtContent>
      <w:p w14:paraId="76B9275F" w14:textId="20919352" w:rsidR="0035153F" w:rsidRDefault="0035153F" w:rsidP="0035153F">
        <w:pPr>
          <w:pStyle w:val="Footer"/>
          <w:jc w:val="right"/>
        </w:pPr>
        <w:r>
          <w:fldChar w:fldCharType="begin"/>
        </w:r>
        <w:r>
          <w:instrText xml:space="preserve"> PAGE   \* MERGEFORMAT </w:instrText>
        </w:r>
        <w:r>
          <w:fldChar w:fldCharType="separate"/>
        </w:r>
        <w:r w:rsidR="00117CF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59526" w14:textId="77777777" w:rsidR="003263A8" w:rsidRDefault="003263A8">
      <w:r>
        <w:separator/>
      </w:r>
    </w:p>
  </w:footnote>
  <w:footnote w:type="continuationSeparator" w:id="0">
    <w:p w14:paraId="352A895F" w14:textId="77777777" w:rsidR="003263A8" w:rsidRDefault="0032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55FD" w14:textId="77777777" w:rsidR="00ED3D51" w:rsidRDefault="00ED3D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6CA51F" w14:textId="77777777" w:rsidR="00ED3D51" w:rsidRDefault="00ED3D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B927" w14:textId="77777777" w:rsidR="00ED3D51" w:rsidRDefault="00ED3D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3E1C"/>
    <w:multiLevelType w:val="hybridMultilevel"/>
    <w:tmpl w:val="F5BE0C9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 w15:restartNumberingAfterBreak="0">
    <w:nsid w:val="1B164C20"/>
    <w:multiLevelType w:val="hybridMultilevel"/>
    <w:tmpl w:val="4E384EFA"/>
    <w:lvl w:ilvl="0" w:tplc="44BEB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3F46A4"/>
    <w:multiLevelType w:val="hybridMultilevel"/>
    <w:tmpl w:val="F3E2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92666B"/>
    <w:multiLevelType w:val="hybridMultilevel"/>
    <w:tmpl w:val="8F868454"/>
    <w:lvl w:ilvl="0" w:tplc="31B2DC5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5B4E1E"/>
    <w:multiLevelType w:val="hybridMultilevel"/>
    <w:tmpl w:val="454A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75D37F11"/>
    <w:multiLevelType w:val="hybridMultilevel"/>
    <w:tmpl w:val="0C6A9C8A"/>
    <w:lvl w:ilvl="0" w:tplc="0C090001">
      <w:start w:val="1"/>
      <w:numFmt w:val="bullet"/>
      <w:lvlText w:val=""/>
      <w:lvlJc w:val="left"/>
      <w:pPr>
        <w:ind w:left="1980" w:hanging="1440"/>
      </w:pPr>
      <w:rPr>
        <w:rFonts w:ascii="Symbol" w:hAnsi="Symbol" w:hint="default"/>
      </w:rPr>
    </w:lvl>
    <w:lvl w:ilvl="1" w:tplc="0C090019">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E73"/>
    <w:rsid w:val="00001910"/>
    <w:rsid w:val="00003F9D"/>
    <w:rsid w:val="000044E7"/>
    <w:rsid w:val="00004FB4"/>
    <w:rsid w:val="000050C1"/>
    <w:rsid w:val="00007A5C"/>
    <w:rsid w:val="000110FD"/>
    <w:rsid w:val="00012265"/>
    <w:rsid w:val="00012F60"/>
    <w:rsid w:val="000137D0"/>
    <w:rsid w:val="0001390F"/>
    <w:rsid w:val="00014939"/>
    <w:rsid w:val="0001537C"/>
    <w:rsid w:val="0001549A"/>
    <w:rsid w:val="00016EEC"/>
    <w:rsid w:val="0001710C"/>
    <w:rsid w:val="00017798"/>
    <w:rsid w:val="00017A88"/>
    <w:rsid w:val="00021AAA"/>
    <w:rsid w:val="00021BC2"/>
    <w:rsid w:val="00021C70"/>
    <w:rsid w:val="000240D7"/>
    <w:rsid w:val="00024228"/>
    <w:rsid w:val="0002467D"/>
    <w:rsid w:val="00024D42"/>
    <w:rsid w:val="0002715B"/>
    <w:rsid w:val="00027EFA"/>
    <w:rsid w:val="000302EC"/>
    <w:rsid w:val="0003190B"/>
    <w:rsid w:val="00032C9B"/>
    <w:rsid w:val="00033168"/>
    <w:rsid w:val="0003356A"/>
    <w:rsid w:val="0003598D"/>
    <w:rsid w:val="000402A8"/>
    <w:rsid w:val="00041D91"/>
    <w:rsid w:val="0004281E"/>
    <w:rsid w:val="00042B51"/>
    <w:rsid w:val="00044436"/>
    <w:rsid w:val="0004643D"/>
    <w:rsid w:val="00046B5E"/>
    <w:rsid w:val="000528C8"/>
    <w:rsid w:val="000537E5"/>
    <w:rsid w:val="00054974"/>
    <w:rsid w:val="00055175"/>
    <w:rsid w:val="0005568D"/>
    <w:rsid w:val="000557DB"/>
    <w:rsid w:val="00055868"/>
    <w:rsid w:val="00056185"/>
    <w:rsid w:val="0005628E"/>
    <w:rsid w:val="00056CD5"/>
    <w:rsid w:val="000606C6"/>
    <w:rsid w:val="000606F0"/>
    <w:rsid w:val="00060BB7"/>
    <w:rsid w:val="00061C39"/>
    <w:rsid w:val="00063E45"/>
    <w:rsid w:val="00064060"/>
    <w:rsid w:val="0006687D"/>
    <w:rsid w:val="00066A2B"/>
    <w:rsid w:val="00066DF7"/>
    <w:rsid w:val="000703AF"/>
    <w:rsid w:val="00071EBB"/>
    <w:rsid w:val="0007255D"/>
    <w:rsid w:val="0007468B"/>
    <w:rsid w:val="0007613A"/>
    <w:rsid w:val="00076BFB"/>
    <w:rsid w:val="00077BAF"/>
    <w:rsid w:val="00080127"/>
    <w:rsid w:val="000814C6"/>
    <w:rsid w:val="000815B1"/>
    <w:rsid w:val="000835A8"/>
    <w:rsid w:val="00084E76"/>
    <w:rsid w:val="00086739"/>
    <w:rsid w:val="00086C95"/>
    <w:rsid w:val="00091285"/>
    <w:rsid w:val="00094098"/>
    <w:rsid w:val="000947C7"/>
    <w:rsid w:val="000948C2"/>
    <w:rsid w:val="00094CE6"/>
    <w:rsid w:val="000951BE"/>
    <w:rsid w:val="00096170"/>
    <w:rsid w:val="0009637D"/>
    <w:rsid w:val="00096762"/>
    <w:rsid w:val="00096D6B"/>
    <w:rsid w:val="000A0CE0"/>
    <w:rsid w:val="000A19B9"/>
    <w:rsid w:val="000A1CA9"/>
    <w:rsid w:val="000A1EB6"/>
    <w:rsid w:val="000A3780"/>
    <w:rsid w:val="000A3D2F"/>
    <w:rsid w:val="000A409D"/>
    <w:rsid w:val="000A5CFA"/>
    <w:rsid w:val="000B0377"/>
    <w:rsid w:val="000B1ACD"/>
    <w:rsid w:val="000B1C8F"/>
    <w:rsid w:val="000B1DAC"/>
    <w:rsid w:val="000B23D7"/>
    <w:rsid w:val="000B787B"/>
    <w:rsid w:val="000B7C24"/>
    <w:rsid w:val="000C0835"/>
    <w:rsid w:val="000C13F9"/>
    <w:rsid w:val="000C1D5E"/>
    <w:rsid w:val="000C4D78"/>
    <w:rsid w:val="000C6684"/>
    <w:rsid w:val="000C6BC0"/>
    <w:rsid w:val="000C71B0"/>
    <w:rsid w:val="000C7487"/>
    <w:rsid w:val="000C7B90"/>
    <w:rsid w:val="000D0C73"/>
    <w:rsid w:val="000D0EF4"/>
    <w:rsid w:val="000D1349"/>
    <w:rsid w:val="000D15EC"/>
    <w:rsid w:val="000D1DBB"/>
    <w:rsid w:val="000D248E"/>
    <w:rsid w:val="000D25FE"/>
    <w:rsid w:val="000D3740"/>
    <w:rsid w:val="000D3EFA"/>
    <w:rsid w:val="000D48D4"/>
    <w:rsid w:val="000D4C29"/>
    <w:rsid w:val="000D7DB4"/>
    <w:rsid w:val="000E056C"/>
    <w:rsid w:val="000E0DD2"/>
    <w:rsid w:val="000E1AD6"/>
    <w:rsid w:val="000E26FF"/>
    <w:rsid w:val="000E2C21"/>
    <w:rsid w:val="000E4459"/>
    <w:rsid w:val="000E7268"/>
    <w:rsid w:val="000E7CAD"/>
    <w:rsid w:val="000F04CA"/>
    <w:rsid w:val="000F04D5"/>
    <w:rsid w:val="000F1BE8"/>
    <w:rsid w:val="000F289A"/>
    <w:rsid w:val="000F2F80"/>
    <w:rsid w:val="000F4E14"/>
    <w:rsid w:val="000F4E3B"/>
    <w:rsid w:val="000F673E"/>
    <w:rsid w:val="000F77F7"/>
    <w:rsid w:val="000F7AFE"/>
    <w:rsid w:val="00101AA4"/>
    <w:rsid w:val="00101E70"/>
    <w:rsid w:val="00102793"/>
    <w:rsid w:val="00102B25"/>
    <w:rsid w:val="00103B0F"/>
    <w:rsid w:val="00104DF4"/>
    <w:rsid w:val="00105118"/>
    <w:rsid w:val="001106C7"/>
    <w:rsid w:val="00111CA0"/>
    <w:rsid w:val="00112176"/>
    <w:rsid w:val="0011312A"/>
    <w:rsid w:val="001133C3"/>
    <w:rsid w:val="00114273"/>
    <w:rsid w:val="00114DBE"/>
    <w:rsid w:val="0011709D"/>
    <w:rsid w:val="0011745C"/>
    <w:rsid w:val="00117CFE"/>
    <w:rsid w:val="001207E5"/>
    <w:rsid w:val="00120A32"/>
    <w:rsid w:val="001216A9"/>
    <w:rsid w:val="001219D8"/>
    <w:rsid w:val="00121A5C"/>
    <w:rsid w:val="00121E9E"/>
    <w:rsid w:val="001228F8"/>
    <w:rsid w:val="0012337E"/>
    <w:rsid w:val="00123AC0"/>
    <w:rsid w:val="00123CD6"/>
    <w:rsid w:val="001246E6"/>
    <w:rsid w:val="001250EB"/>
    <w:rsid w:val="001265A9"/>
    <w:rsid w:val="00131343"/>
    <w:rsid w:val="0013149F"/>
    <w:rsid w:val="0013400C"/>
    <w:rsid w:val="00134751"/>
    <w:rsid w:val="0013621E"/>
    <w:rsid w:val="00140A4D"/>
    <w:rsid w:val="00140D4B"/>
    <w:rsid w:val="00146922"/>
    <w:rsid w:val="00146E95"/>
    <w:rsid w:val="00146F74"/>
    <w:rsid w:val="00147294"/>
    <w:rsid w:val="0014737E"/>
    <w:rsid w:val="001473E2"/>
    <w:rsid w:val="00150200"/>
    <w:rsid w:val="00151071"/>
    <w:rsid w:val="001511D2"/>
    <w:rsid w:val="00151496"/>
    <w:rsid w:val="00151527"/>
    <w:rsid w:val="0015210E"/>
    <w:rsid w:val="00153968"/>
    <w:rsid w:val="00153CC9"/>
    <w:rsid w:val="001556C8"/>
    <w:rsid w:val="00155CD7"/>
    <w:rsid w:val="00156DE3"/>
    <w:rsid w:val="0015739C"/>
    <w:rsid w:val="001578EA"/>
    <w:rsid w:val="00157B95"/>
    <w:rsid w:val="00157BA6"/>
    <w:rsid w:val="00161A1B"/>
    <w:rsid w:val="00162012"/>
    <w:rsid w:val="001624D2"/>
    <w:rsid w:val="00164FC3"/>
    <w:rsid w:val="00166861"/>
    <w:rsid w:val="00167FA1"/>
    <w:rsid w:val="00171F7C"/>
    <w:rsid w:val="001720E5"/>
    <w:rsid w:val="00173BA7"/>
    <w:rsid w:val="00175758"/>
    <w:rsid w:val="00176094"/>
    <w:rsid w:val="00176979"/>
    <w:rsid w:val="0017767E"/>
    <w:rsid w:val="00180AAF"/>
    <w:rsid w:val="00183778"/>
    <w:rsid w:val="001847FC"/>
    <w:rsid w:val="00184A2C"/>
    <w:rsid w:val="0018571C"/>
    <w:rsid w:val="00185B5A"/>
    <w:rsid w:val="00185BFB"/>
    <w:rsid w:val="00186BE6"/>
    <w:rsid w:val="001919D9"/>
    <w:rsid w:val="00191DF0"/>
    <w:rsid w:val="0019238D"/>
    <w:rsid w:val="001938F7"/>
    <w:rsid w:val="00194674"/>
    <w:rsid w:val="001978E6"/>
    <w:rsid w:val="001A078B"/>
    <w:rsid w:val="001A1903"/>
    <w:rsid w:val="001A4822"/>
    <w:rsid w:val="001A48D0"/>
    <w:rsid w:val="001A521C"/>
    <w:rsid w:val="001A6D43"/>
    <w:rsid w:val="001A7754"/>
    <w:rsid w:val="001A7805"/>
    <w:rsid w:val="001A7CC1"/>
    <w:rsid w:val="001B0D1B"/>
    <w:rsid w:val="001B16EA"/>
    <w:rsid w:val="001B39A1"/>
    <w:rsid w:val="001B51D6"/>
    <w:rsid w:val="001B7BD6"/>
    <w:rsid w:val="001B7C72"/>
    <w:rsid w:val="001C01CC"/>
    <w:rsid w:val="001C0515"/>
    <w:rsid w:val="001C1668"/>
    <w:rsid w:val="001C2A1E"/>
    <w:rsid w:val="001C31F5"/>
    <w:rsid w:val="001C33E3"/>
    <w:rsid w:val="001C35B9"/>
    <w:rsid w:val="001C387D"/>
    <w:rsid w:val="001C3FDC"/>
    <w:rsid w:val="001C43A4"/>
    <w:rsid w:val="001C5777"/>
    <w:rsid w:val="001C5F03"/>
    <w:rsid w:val="001C62C8"/>
    <w:rsid w:val="001C668E"/>
    <w:rsid w:val="001D01A4"/>
    <w:rsid w:val="001D04EB"/>
    <w:rsid w:val="001D09EE"/>
    <w:rsid w:val="001D0D18"/>
    <w:rsid w:val="001D1403"/>
    <w:rsid w:val="001D6E99"/>
    <w:rsid w:val="001D7FDF"/>
    <w:rsid w:val="001E027F"/>
    <w:rsid w:val="001E0E2F"/>
    <w:rsid w:val="001E0F30"/>
    <w:rsid w:val="001E1D3B"/>
    <w:rsid w:val="001E394A"/>
    <w:rsid w:val="001E44EB"/>
    <w:rsid w:val="001E4754"/>
    <w:rsid w:val="001E51B4"/>
    <w:rsid w:val="001E54CC"/>
    <w:rsid w:val="001E6087"/>
    <w:rsid w:val="001E67F5"/>
    <w:rsid w:val="001E6D50"/>
    <w:rsid w:val="001E7485"/>
    <w:rsid w:val="001E7527"/>
    <w:rsid w:val="001E7AD0"/>
    <w:rsid w:val="001E7F64"/>
    <w:rsid w:val="001F03FD"/>
    <w:rsid w:val="001F077E"/>
    <w:rsid w:val="001F248F"/>
    <w:rsid w:val="001F4B34"/>
    <w:rsid w:val="001F6618"/>
    <w:rsid w:val="00200C8C"/>
    <w:rsid w:val="00202DB3"/>
    <w:rsid w:val="002050F6"/>
    <w:rsid w:val="0020563D"/>
    <w:rsid w:val="00205A0B"/>
    <w:rsid w:val="00207F8E"/>
    <w:rsid w:val="00210E27"/>
    <w:rsid w:val="00211363"/>
    <w:rsid w:val="00217A68"/>
    <w:rsid w:val="002213AB"/>
    <w:rsid w:val="00221640"/>
    <w:rsid w:val="00226159"/>
    <w:rsid w:val="002308B6"/>
    <w:rsid w:val="002332AA"/>
    <w:rsid w:val="00233E74"/>
    <w:rsid w:val="00234F04"/>
    <w:rsid w:val="00235F3B"/>
    <w:rsid w:val="002362ED"/>
    <w:rsid w:val="002365F3"/>
    <w:rsid w:val="002374FD"/>
    <w:rsid w:val="002377BE"/>
    <w:rsid w:val="00242AB4"/>
    <w:rsid w:val="00243DCA"/>
    <w:rsid w:val="00244022"/>
    <w:rsid w:val="00244DC6"/>
    <w:rsid w:val="00246DB0"/>
    <w:rsid w:val="002474E9"/>
    <w:rsid w:val="002474EC"/>
    <w:rsid w:val="00253D92"/>
    <w:rsid w:val="002562F7"/>
    <w:rsid w:val="002563AA"/>
    <w:rsid w:val="00256B0F"/>
    <w:rsid w:val="00256E1F"/>
    <w:rsid w:val="002570C9"/>
    <w:rsid w:val="00260E46"/>
    <w:rsid w:val="00261F0B"/>
    <w:rsid w:val="00261FD6"/>
    <w:rsid w:val="0026264F"/>
    <w:rsid w:val="00264CAD"/>
    <w:rsid w:val="0026632C"/>
    <w:rsid w:val="00267116"/>
    <w:rsid w:val="00267EC2"/>
    <w:rsid w:val="00271102"/>
    <w:rsid w:val="00271F56"/>
    <w:rsid w:val="00273306"/>
    <w:rsid w:val="002734FE"/>
    <w:rsid w:val="0027464E"/>
    <w:rsid w:val="00275D17"/>
    <w:rsid w:val="00276A9A"/>
    <w:rsid w:val="00276EB5"/>
    <w:rsid w:val="00277ADE"/>
    <w:rsid w:val="00284AE9"/>
    <w:rsid w:val="002870EB"/>
    <w:rsid w:val="002906BB"/>
    <w:rsid w:val="00291FF1"/>
    <w:rsid w:val="00292ABF"/>
    <w:rsid w:val="00293230"/>
    <w:rsid w:val="0029545F"/>
    <w:rsid w:val="00295AF7"/>
    <w:rsid w:val="0029636B"/>
    <w:rsid w:val="0029761F"/>
    <w:rsid w:val="002A0F88"/>
    <w:rsid w:val="002A1157"/>
    <w:rsid w:val="002A2833"/>
    <w:rsid w:val="002A411C"/>
    <w:rsid w:val="002A5053"/>
    <w:rsid w:val="002A5CF1"/>
    <w:rsid w:val="002A64AB"/>
    <w:rsid w:val="002A7C1C"/>
    <w:rsid w:val="002B06A0"/>
    <w:rsid w:val="002B175F"/>
    <w:rsid w:val="002B3A1E"/>
    <w:rsid w:val="002B40F3"/>
    <w:rsid w:val="002B57BE"/>
    <w:rsid w:val="002B5CD5"/>
    <w:rsid w:val="002B72BB"/>
    <w:rsid w:val="002B7B5D"/>
    <w:rsid w:val="002B7C56"/>
    <w:rsid w:val="002C06E1"/>
    <w:rsid w:val="002C087F"/>
    <w:rsid w:val="002C18FC"/>
    <w:rsid w:val="002C282B"/>
    <w:rsid w:val="002D0439"/>
    <w:rsid w:val="002D07CB"/>
    <w:rsid w:val="002D190F"/>
    <w:rsid w:val="002D59D2"/>
    <w:rsid w:val="002D5D45"/>
    <w:rsid w:val="002D7D1F"/>
    <w:rsid w:val="002E2160"/>
    <w:rsid w:val="002E2262"/>
    <w:rsid w:val="002E33EA"/>
    <w:rsid w:val="002E3C26"/>
    <w:rsid w:val="002E5919"/>
    <w:rsid w:val="002E5D8B"/>
    <w:rsid w:val="002F038D"/>
    <w:rsid w:val="002F063D"/>
    <w:rsid w:val="002F0A0C"/>
    <w:rsid w:val="002F18CE"/>
    <w:rsid w:val="002F2F0B"/>
    <w:rsid w:val="002F30DC"/>
    <w:rsid w:val="002F408B"/>
    <w:rsid w:val="002F45FE"/>
    <w:rsid w:val="002F4DC7"/>
    <w:rsid w:val="002F7998"/>
    <w:rsid w:val="003002FA"/>
    <w:rsid w:val="00302878"/>
    <w:rsid w:val="00302883"/>
    <w:rsid w:val="003029E9"/>
    <w:rsid w:val="003053D2"/>
    <w:rsid w:val="00305558"/>
    <w:rsid w:val="00305BC9"/>
    <w:rsid w:val="003107AE"/>
    <w:rsid w:val="00311156"/>
    <w:rsid w:val="0031204F"/>
    <w:rsid w:val="00312948"/>
    <w:rsid w:val="00313B62"/>
    <w:rsid w:val="00317BC3"/>
    <w:rsid w:val="003207E7"/>
    <w:rsid w:val="00323300"/>
    <w:rsid w:val="00325046"/>
    <w:rsid w:val="003257F9"/>
    <w:rsid w:val="003261D2"/>
    <w:rsid w:val="003263A8"/>
    <w:rsid w:val="003267AF"/>
    <w:rsid w:val="003310B8"/>
    <w:rsid w:val="0033284A"/>
    <w:rsid w:val="00333848"/>
    <w:rsid w:val="00335592"/>
    <w:rsid w:val="0033623B"/>
    <w:rsid w:val="003362A9"/>
    <w:rsid w:val="00337A61"/>
    <w:rsid w:val="003425AA"/>
    <w:rsid w:val="00342655"/>
    <w:rsid w:val="00342A66"/>
    <w:rsid w:val="003430DF"/>
    <w:rsid w:val="00343100"/>
    <w:rsid w:val="00343232"/>
    <w:rsid w:val="00344D38"/>
    <w:rsid w:val="00346FDF"/>
    <w:rsid w:val="003471AA"/>
    <w:rsid w:val="003475AF"/>
    <w:rsid w:val="003500CC"/>
    <w:rsid w:val="00350F49"/>
    <w:rsid w:val="0035153F"/>
    <w:rsid w:val="00351B83"/>
    <w:rsid w:val="003526EE"/>
    <w:rsid w:val="00352B54"/>
    <w:rsid w:val="00352CE2"/>
    <w:rsid w:val="00356EB9"/>
    <w:rsid w:val="00357D6D"/>
    <w:rsid w:val="00360455"/>
    <w:rsid w:val="00361337"/>
    <w:rsid w:val="00361ED6"/>
    <w:rsid w:val="0036376A"/>
    <w:rsid w:val="00363A91"/>
    <w:rsid w:val="003650ED"/>
    <w:rsid w:val="00366400"/>
    <w:rsid w:val="00366EA7"/>
    <w:rsid w:val="00367246"/>
    <w:rsid w:val="00367265"/>
    <w:rsid w:val="003704B7"/>
    <w:rsid w:val="0037112E"/>
    <w:rsid w:val="00371F8C"/>
    <w:rsid w:val="00372163"/>
    <w:rsid w:val="0037273D"/>
    <w:rsid w:val="00373D83"/>
    <w:rsid w:val="00376935"/>
    <w:rsid w:val="003778B4"/>
    <w:rsid w:val="00377B7A"/>
    <w:rsid w:val="003812FE"/>
    <w:rsid w:val="003827F7"/>
    <w:rsid w:val="00382CCF"/>
    <w:rsid w:val="00383840"/>
    <w:rsid w:val="00384236"/>
    <w:rsid w:val="00387192"/>
    <w:rsid w:val="003876F2"/>
    <w:rsid w:val="003923C9"/>
    <w:rsid w:val="0039420E"/>
    <w:rsid w:val="00394A40"/>
    <w:rsid w:val="00394EC4"/>
    <w:rsid w:val="0039530C"/>
    <w:rsid w:val="0039648F"/>
    <w:rsid w:val="00397DE7"/>
    <w:rsid w:val="003A11FE"/>
    <w:rsid w:val="003A2CAD"/>
    <w:rsid w:val="003A31FC"/>
    <w:rsid w:val="003A383E"/>
    <w:rsid w:val="003A3BB4"/>
    <w:rsid w:val="003A3DF9"/>
    <w:rsid w:val="003A4D65"/>
    <w:rsid w:val="003A544C"/>
    <w:rsid w:val="003A619E"/>
    <w:rsid w:val="003A7A32"/>
    <w:rsid w:val="003A7E6B"/>
    <w:rsid w:val="003B09B6"/>
    <w:rsid w:val="003B0F13"/>
    <w:rsid w:val="003B1D52"/>
    <w:rsid w:val="003B2625"/>
    <w:rsid w:val="003B4DBF"/>
    <w:rsid w:val="003B68B3"/>
    <w:rsid w:val="003B721A"/>
    <w:rsid w:val="003B7A7B"/>
    <w:rsid w:val="003B7BB5"/>
    <w:rsid w:val="003B7CAB"/>
    <w:rsid w:val="003C0573"/>
    <w:rsid w:val="003C10A4"/>
    <w:rsid w:val="003C1E30"/>
    <w:rsid w:val="003C25FD"/>
    <w:rsid w:val="003C2B35"/>
    <w:rsid w:val="003C2D9A"/>
    <w:rsid w:val="003C33F8"/>
    <w:rsid w:val="003C37F0"/>
    <w:rsid w:val="003C389A"/>
    <w:rsid w:val="003C447F"/>
    <w:rsid w:val="003C5AA5"/>
    <w:rsid w:val="003C6855"/>
    <w:rsid w:val="003C6ACF"/>
    <w:rsid w:val="003D0087"/>
    <w:rsid w:val="003D1A4B"/>
    <w:rsid w:val="003D2B4A"/>
    <w:rsid w:val="003D307E"/>
    <w:rsid w:val="003D3F79"/>
    <w:rsid w:val="003D426F"/>
    <w:rsid w:val="003D453B"/>
    <w:rsid w:val="003D5EA1"/>
    <w:rsid w:val="003D6DF1"/>
    <w:rsid w:val="003D7395"/>
    <w:rsid w:val="003D7FDC"/>
    <w:rsid w:val="003E08D9"/>
    <w:rsid w:val="003E0FDA"/>
    <w:rsid w:val="003E1851"/>
    <w:rsid w:val="003E2B3B"/>
    <w:rsid w:val="003E2D2D"/>
    <w:rsid w:val="003E38C6"/>
    <w:rsid w:val="003E3A3C"/>
    <w:rsid w:val="003E427A"/>
    <w:rsid w:val="003E450F"/>
    <w:rsid w:val="003E4EB2"/>
    <w:rsid w:val="003E513D"/>
    <w:rsid w:val="003E54E7"/>
    <w:rsid w:val="003E5657"/>
    <w:rsid w:val="003E676C"/>
    <w:rsid w:val="003E67CC"/>
    <w:rsid w:val="003F00E2"/>
    <w:rsid w:val="003F04DF"/>
    <w:rsid w:val="003F0BAB"/>
    <w:rsid w:val="003F3757"/>
    <w:rsid w:val="003F39A1"/>
    <w:rsid w:val="003F4ED6"/>
    <w:rsid w:val="003F4F45"/>
    <w:rsid w:val="003F5AF6"/>
    <w:rsid w:val="003F77B3"/>
    <w:rsid w:val="004016E0"/>
    <w:rsid w:val="004025AC"/>
    <w:rsid w:val="004028C6"/>
    <w:rsid w:val="00402D0C"/>
    <w:rsid w:val="00402D98"/>
    <w:rsid w:val="004042A5"/>
    <w:rsid w:val="004066E6"/>
    <w:rsid w:val="004074CC"/>
    <w:rsid w:val="004108BA"/>
    <w:rsid w:val="00411168"/>
    <w:rsid w:val="004113F9"/>
    <w:rsid w:val="0041169E"/>
    <w:rsid w:val="004117E6"/>
    <w:rsid w:val="00412BF5"/>
    <w:rsid w:val="00413EC7"/>
    <w:rsid w:val="004144CB"/>
    <w:rsid w:val="00416DC1"/>
    <w:rsid w:val="00416E1D"/>
    <w:rsid w:val="00420D47"/>
    <w:rsid w:val="004239F6"/>
    <w:rsid w:val="00424168"/>
    <w:rsid w:val="00424224"/>
    <w:rsid w:val="00424C59"/>
    <w:rsid w:val="00424FC7"/>
    <w:rsid w:val="00425957"/>
    <w:rsid w:val="00425EBA"/>
    <w:rsid w:val="004268EA"/>
    <w:rsid w:val="00426D9B"/>
    <w:rsid w:val="00430C4D"/>
    <w:rsid w:val="00432240"/>
    <w:rsid w:val="0043277E"/>
    <w:rsid w:val="0043449F"/>
    <w:rsid w:val="004355A1"/>
    <w:rsid w:val="0043587C"/>
    <w:rsid w:val="00436554"/>
    <w:rsid w:val="0044141F"/>
    <w:rsid w:val="0044168C"/>
    <w:rsid w:val="00441C41"/>
    <w:rsid w:val="00442B58"/>
    <w:rsid w:val="00442B5B"/>
    <w:rsid w:val="00443C30"/>
    <w:rsid w:val="00444BCD"/>
    <w:rsid w:val="0044586B"/>
    <w:rsid w:val="00446779"/>
    <w:rsid w:val="00451EE4"/>
    <w:rsid w:val="00454386"/>
    <w:rsid w:val="004553AA"/>
    <w:rsid w:val="00457AD5"/>
    <w:rsid w:val="00460677"/>
    <w:rsid w:val="0046135C"/>
    <w:rsid w:val="00461B16"/>
    <w:rsid w:val="0046353B"/>
    <w:rsid w:val="00464069"/>
    <w:rsid w:val="00464D0F"/>
    <w:rsid w:val="00466C1C"/>
    <w:rsid w:val="00466FBE"/>
    <w:rsid w:val="00472020"/>
    <w:rsid w:val="00472E17"/>
    <w:rsid w:val="00473627"/>
    <w:rsid w:val="0047599B"/>
    <w:rsid w:val="004764C9"/>
    <w:rsid w:val="00480500"/>
    <w:rsid w:val="00482666"/>
    <w:rsid w:val="004831D5"/>
    <w:rsid w:val="00490ACF"/>
    <w:rsid w:val="00492A33"/>
    <w:rsid w:val="00493901"/>
    <w:rsid w:val="004941B2"/>
    <w:rsid w:val="00494819"/>
    <w:rsid w:val="00494CA8"/>
    <w:rsid w:val="004961D7"/>
    <w:rsid w:val="00497CEC"/>
    <w:rsid w:val="004A1A1E"/>
    <w:rsid w:val="004A2191"/>
    <w:rsid w:val="004A2459"/>
    <w:rsid w:val="004A29BC"/>
    <w:rsid w:val="004A3773"/>
    <w:rsid w:val="004A3D74"/>
    <w:rsid w:val="004A4E95"/>
    <w:rsid w:val="004A4F48"/>
    <w:rsid w:val="004A7A5E"/>
    <w:rsid w:val="004A7BFE"/>
    <w:rsid w:val="004B2673"/>
    <w:rsid w:val="004B4776"/>
    <w:rsid w:val="004B566D"/>
    <w:rsid w:val="004B5ABA"/>
    <w:rsid w:val="004B7202"/>
    <w:rsid w:val="004B7F26"/>
    <w:rsid w:val="004C0DDA"/>
    <w:rsid w:val="004C18F4"/>
    <w:rsid w:val="004C2B5D"/>
    <w:rsid w:val="004C2BCD"/>
    <w:rsid w:val="004C3129"/>
    <w:rsid w:val="004C3D00"/>
    <w:rsid w:val="004C4952"/>
    <w:rsid w:val="004C4DD0"/>
    <w:rsid w:val="004C4FD6"/>
    <w:rsid w:val="004C5517"/>
    <w:rsid w:val="004C5A68"/>
    <w:rsid w:val="004C75ED"/>
    <w:rsid w:val="004D1409"/>
    <w:rsid w:val="004D2683"/>
    <w:rsid w:val="004D367D"/>
    <w:rsid w:val="004D4E7D"/>
    <w:rsid w:val="004D65EF"/>
    <w:rsid w:val="004D6861"/>
    <w:rsid w:val="004D6BF0"/>
    <w:rsid w:val="004D71E5"/>
    <w:rsid w:val="004E0708"/>
    <w:rsid w:val="004E08B4"/>
    <w:rsid w:val="004E1D1A"/>
    <w:rsid w:val="004E1EB5"/>
    <w:rsid w:val="004E4317"/>
    <w:rsid w:val="004E4A08"/>
    <w:rsid w:val="004E51CF"/>
    <w:rsid w:val="004E7BDE"/>
    <w:rsid w:val="004F0604"/>
    <w:rsid w:val="004F11C8"/>
    <w:rsid w:val="004F4756"/>
    <w:rsid w:val="004F7BDC"/>
    <w:rsid w:val="005009C8"/>
    <w:rsid w:val="005011DC"/>
    <w:rsid w:val="0050143C"/>
    <w:rsid w:val="005069B4"/>
    <w:rsid w:val="00506A65"/>
    <w:rsid w:val="00507CC5"/>
    <w:rsid w:val="00510ED8"/>
    <w:rsid w:val="00512CA9"/>
    <w:rsid w:val="00512D21"/>
    <w:rsid w:val="00512F25"/>
    <w:rsid w:val="00513C9F"/>
    <w:rsid w:val="00513F7F"/>
    <w:rsid w:val="00513FA0"/>
    <w:rsid w:val="00514799"/>
    <w:rsid w:val="005151AC"/>
    <w:rsid w:val="00515B46"/>
    <w:rsid w:val="00520EE8"/>
    <w:rsid w:val="00521BF1"/>
    <w:rsid w:val="005237A5"/>
    <w:rsid w:val="00523EEA"/>
    <w:rsid w:val="005264F0"/>
    <w:rsid w:val="0052739D"/>
    <w:rsid w:val="00531E15"/>
    <w:rsid w:val="0053258C"/>
    <w:rsid w:val="0053294B"/>
    <w:rsid w:val="00533725"/>
    <w:rsid w:val="00535CAC"/>
    <w:rsid w:val="0053721D"/>
    <w:rsid w:val="00537D7E"/>
    <w:rsid w:val="00540486"/>
    <w:rsid w:val="00540A3F"/>
    <w:rsid w:val="00540C9B"/>
    <w:rsid w:val="00540CA4"/>
    <w:rsid w:val="00540D3C"/>
    <w:rsid w:val="0054143A"/>
    <w:rsid w:val="00541806"/>
    <w:rsid w:val="0054285E"/>
    <w:rsid w:val="00542FF7"/>
    <w:rsid w:val="0054410A"/>
    <w:rsid w:val="00545904"/>
    <w:rsid w:val="00545F1E"/>
    <w:rsid w:val="00546D9E"/>
    <w:rsid w:val="00550EBF"/>
    <w:rsid w:val="00552337"/>
    <w:rsid w:val="00556022"/>
    <w:rsid w:val="00556B3F"/>
    <w:rsid w:val="005612C4"/>
    <w:rsid w:val="005623EB"/>
    <w:rsid w:val="00562732"/>
    <w:rsid w:val="00562F59"/>
    <w:rsid w:val="0056390D"/>
    <w:rsid w:val="00564328"/>
    <w:rsid w:val="00564786"/>
    <w:rsid w:val="00566248"/>
    <w:rsid w:val="00567136"/>
    <w:rsid w:val="00567C00"/>
    <w:rsid w:val="005737D8"/>
    <w:rsid w:val="00574A51"/>
    <w:rsid w:val="00576A96"/>
    <w:rsid w:val="00576DB8"/>
    <w:rsid w:val="00576EEB"/>
    <w:rsid w:val="0057782C"/>
    <w:rsid w:val="005818A7"/>
    <w:rsid w:val="005824B2"/>
    <w:rsid w:val="005827C2"/>
    <w:rsid w:val="005828B9"/>
    <w:rsid w:val="00582A01"/>
    <w:rsid w:val="005835B9"/>
    <w:rsid w:val="0058377C"/>
    <w:rsid w:val="005840E7"/>
    <w:rsid w:val="00584EF5"/>
    <w:rsid w:val="005872D0"/>
    <w:rsid w:val="00587703"/>
    <w:rsid w:val="005877D2"/>
    <w:rsid w:val="00590399"/>
    <w:rsid w:val="00592D8A"/>
    <w:rsid w:val="00594818"/>
    <w:rsid w:val="00594957"/>
    <w:rsid w:val="00594B46"/>
    <w:rsid w:val="00594ECE"/>
    <w:rsid w:val="005A09F8"/>
    <w:rsid w:val="005A109A"/>
    <w:rsid w:val="005A27F0"/>
    <w:rsid w:val="005A38E9"/>
    <w:rsid w:val="005A47C7"/>
    <w:rsid w:val="005A521B"/>
    <w:rsid w:val="005A5C54"/>
    <w:rsid w:val="005A6D5D"/>
    <w:rsid w:val="005A7CAE"/>
    <w:rsid w:val="005B0089"/>
    <w:rsid w:val="005B02E0"/>
    <w:rsid w:val="005B0997"/>
    <w:rsid w:val="005B0EA0"/>
    <w:rsid w:val="005B127B"/>
    <w:rsid w:val="005B16E3"/>
    <w:rsid w:val="005B1BF1"/>
    <w:rsid w:val="005B3592"/>
    <w:rsid w:val="005B68B4"/>
    <w:rsid w:val="005C0A6D"/>
    <w:rsid w:val="005C0CB1"/>
    <w:rsid w:val="005C3163"/>
    <w:rsid w:val="005C6274"/>
    <w:rsid w:val="005C6342"/>
    <w:rsid w:val="005C6C7B"/>
    <w:rsid w:val="005D0DAA"/>
    <w:rsid w:val="005D1447"/>
    <w:rsid w:val="005D1E55"/>
    <w:rsid w:val="005D3C6D"/>
    <w:rsid w:val="005D4380"/>
    <w:rsid w:val="005D4864"/>
    <w:rsid w:val="005D5865"/>
    <w:rsid w:val="005D6314"/>
    <w:rsid w:val="005D6A01"/>
    <w:rsid w:val="005D70ED"/>
    <w:rsid w:val="005E1039"/>
    <w:rsid w:val="005E3AE8"/>
    <w:rsid w:val="005E50DA"/>
    <w:rsid w:val="005E5822"/>
    <w:rsid w:val="005E5C0A"/>
    <w:rsid w:val="005E632F"/>
    <w:rsid w:val="005E7A91"/>
    <w:rsid w:val="005F0F92"/>
    <w:rsid w:val="005F11FD"/>
    <w:rsid w:val="005F2EE9"/>
    <w:rsid w:val="005F48AA"/>
    <w:rsid w:val="005F5EB3"/>
    <w:rsid w:val="005F7091"/>
    <w:rsid w:val="00600B92"/>
    <w:rsid w:val="00600DC0"/>
    <w:rsid w:val="00600F2D"/>
    <w:rsid w:val="00602630"/>
    <w:rsid w:val="00602E12"/>
    <w:rsid w:val="006033A9"/>
    <w:rsid w:val="0060503F"/>
    <w:rsid w:val="00606FF0"/>
    <w:rsid w:val="00607ACF"/>
    <w:rsid w:val="00612239"/>
    <w:rsid w:val="00612F79"/>
    <w:rsid w:val="00614E77"/>
    <w:rsid w:val="00616374"/>
    <w:rsid w:val="0061660E"/>
    <w:rsid w:val="00616986"/>
    <w:rsid w:val="006169C5"/>
    <w:rsid w:val="00617CAA"/>
    <w:rsid w:val="00620460"/>
    <w:rsid w:val="00621977"/>
    <w:rsid w:val="006225B9"/>
    <w:rsid w:val="00623064"/>
    <w:rsid w:val="00623150"/>
    <w:rsid w:val="00625954"/>
    <w:rsid w:val="006266FC"/>
    <w:rsid w:val="00626779"/>
    <w:rsid w:val="00626ADA"/>
    <w:rsid w:val="00626D85"/>
    <w:rsid w:val="0063022B"/>
    <w:rsid w:val="0063250B"/>
    <w:rsid w:val="0063267C"/>
    <w:rsid w:val="006338E4"/>
    <w:rsid w:val="00634211"/>
    <w:rsid w:val="00634A0E"/>
    <w:rsid w:val="006374C9"/>
    <w:rsid w:val="00640A0A"/>
    <w:rsid w:val="00641ACC"/>
    <w:rsid w:val="006425A0"/>
    <w:rsid w:val="00642732"/>
    <w:rsid w:val="006434EC"/>
    <w:rsid w:val="00643B6F"/>
    <w:rsid w:val="00644187"/>
    <w:rsid w:val="00645C86"/>
    <w:rsid w:val="00645E66"/>
    <w:rsid w:val="00646095"/>
    <w:rsid w:val="00646CA3"/>
    <w:rsid w:val="0064734B"/>
    <w:rsid w:val="006512BA"/>
    <w:rsid w:val="00652805"/>
    <w:rsid w:val="006534B2"/>
    <w:rsid w:val="00654C78"/>
    <w:rsid w:val="00654FFB"/>
    <w:rsid w:val="006561A0"/>
    <w:rsid w:val="006568B2"/>
    <w:rsid w:val="00656940"/>
    <w:rsid w:val="00661043"/>
    <w:rsid w:val="006610FA"/>
    <w:rsid w:val="006629C2"/>
    <w:rsid w:val="00663C10"/>
    <w:rsid w:val="0066444C"/>
    <w:rsid w:val="00666033"/>
    <w:rsid w:val="006668F8"/>
    <w:rsid w:val="00666928"/>
    <w:rsid w:val="00667150"/>
    <w:rsid w:val="00667941"/>
    <w:rsid w:val="00673577"/>
    <w:rsid w:val="006737BA"/>
    <w:rsid w:val="00673A9D"/>
    <w:rsid w:val="00675E59"/>
    <w:rsid w:val="00676447"/>
    <w:rsid w:val="006770C1"/>
    <w:rsid w:val="006776D0"/>
    <w:rsid w:val="00680DC0"/>
    <w:rsid w:val="0068218F"/>
    <w:rsid w:val="00682252"/>
    <w:rsid w:val="0068302E"/>
    <w:rsid w:val="00683309"/>
    <w:rsid w:val="0068362F"/>
    <w:rsid w:val="006851C1"/>
    <w:rsid w:val="00686B5C"/>
    <w:rsid w:val="00687EA2"/>
    <w:rsid w:val="0069082B"/>
    <w:rsid w:val="006917F1"/>
    <w:rsid w:val="00691E54"/>
    <w:rsid w:val="006945A4"/>
    <w:rsid w:val="0069764D"/>
    <w:rsid w:val="006A089A"/>
    <w:rsid w:val="006A2689"/>
    <w:rsid w:val="006A2C2F"/>
    <w:rsid w:val="006A5D7E"/>
    <w:rsid w:val="006B1B34"/>
    <w:rsid w:val="006B22CD"/>
    <w:rsid w:val="006B39D6"/>
    <w:rsid w:val="006B4A24"/>
    <w:rsid w:val="006B6655"/>
    <w:rsid w:val="006C1B13"/>
    <w:rsid w:val="006C1D9D"/>
    <w:rsid w:val="006C265B"/>
    <w:rsid w:val="006C2871"/>
    <w:rsid w:val="006C2ADB"/>
    <w:rsid w:val="006C2CFF"/>
    <w:rsid w:val="006C2EA2"/>
    <w:rsid w:val="006C31E7"/>
    <w:rsid w:val="006C40F2"/>
    <w:rsid w:val="006C50DF"/>
    <w:rsid w:val="006C6D5C"/>
    <w:rsid w:val="006C6ECA"/>
    <w:rsid w:val="006C79FA"/>
    <w:rsid w:val="006D14DE"/>
    <w:rsid w:val="006D1E71"/>
    <w:rsid w:val="006D2544"/>
    <w:rsid w:val="006D31BC"/>
    <w:rsid w:val="006D3E1E"/>
    <w:rsid w:val="006D4FE1"/>
    <w:rsid w:val="006D790C"/>
    <w:rsid w:val="006D7FC0"/>
    <w:rsid w:val="006E0E39"/>
    <w:rsid w:val="006E2668"/>
    <w:rsid w:val="006E2E6A"/>
    <w:rsid w:val="006E3586"/>
    <w:rsid w:val="006E48F8"/>
    <w:rsid w:val="006E5B98"/>
    <w:rsid w:val="006E651E"/>
    <w:rsid w:val="006E7E2F"/>
    <w:rsid w:val="006E7E9B"/>
    <w:rsid w:val="006F075C"/>
    <w:rsid w:val="006F1F0C"/>
    <w:rsid w:val="006F22E9"/>
    <w:rsid w:val="006F2723"/>
    <w:rsid w:val="006F45CB"/>
    <w:rsid w:val="006F4B2D"/>
    <w:rsid w:val="006F5260"/>
    <w:rsid w:val="006F5C45"/>
    <w:rsid w:val="006F636F"/>
    <w:rsid w:val="006F7FB2"/>
    <w:rsid w:val="00700110"/>
    <w:rsid w:val="00700EAB"/>
    <w:rsid w:val="0070227D"/>
    <w:rsid w:val="00702464"/>
    <w:rsid w:val="00702BAF"/>
    <w:rsid w:val="0070334D"/>
    <w:rsid w:val="00703BA8"/>
    <w:rsid w:val="00703D43"/>
    <w:rsid w:val="00706FB9"/>
    <w:rsid w:val="0070753E"/>
    <w:rsid w:val="007114BC"/>
    <w:rsid w:val="00714D82"/>
    <w:rsid w:val="00716509"/>
    <w:rsid w:val="00716A41"/>
    <w:rsid w:val="00716C36"/>
    <w:rsid w:val="007173FE"/>
    <w:rsid w:val="0072077F"/>
    <w:rsid w:val="007250ED"/>
    <w:rsid w:val="0072717E"/>
    <w:rsid w:val="00727AB0"/>
    <w:rsid w:val="00730FAE"/>
    <w:rsid w:val="00732520"/>
    <w:rsid w:val="007332A2"/>
    <w:rsid w:val="00733D03"/>
    <w:rsid w:val="00735143"/>
    <w:rsid w:val="00735933"/>
    <w:rsid w:val="00736F90"/>
    <w:rsid w:val="00737BE1"/>
    <w:rsid w:val="00740387"/>
    <w:rsid w:val="0074081F"/>
    <w:rsid w:val="0074109D"/>
    <w:rsid w:val="00742A4E"/>
    <w:rsid w:val="00742EA9"/>
    <w:rsid w:val="007448B6"/>
    <w:rsid w:val="00744DBB"/>
    <w:rsid w:val="007457FF"/>
    <w:rsid w:val="007458BD"/>
    <w:rsid w:val="0074620F"/>
    <w:rsid w:val="007466D2"/>
    <w:rsid w:val="00746852"/>
    <w:rsid w:val="00746CA8"/>
    <w:rsid w:val="00746F13"/>
    <w:rsid w:val="00747A7E"/>
    <w:rsid w:val="007508E2"/>
    <w:rsid w:val="007509D2"/>
    <w:rsid w:val="007509EC"/>
    <w:rsid w:val="00750A8B"/>
    <w:rsid w:val="00750A8C"/>
    <w:rsid w:val="00751B64"/>
    <w:rsid w:val="0075421A"/>
    <w:rsid w:val="007543EB"/>
    <w:rsid w:val="00755B66"/>
    <w:rsid w:val="0075700F"/>
    <w:rsid w:val="00757A4C"/>
    <w:rsid w:val="00757FF6"/>
    <w:rsid w:val="007627EC"/>
    <w:rsid w:val="007635E4"/>
    <w:rsid w:val="0076383D"/>
    <w:rsid w:val="007640C1"/>
    <w:rsid w:val="0076453C"/>
    <w:rsid w:val="00765D2C"/>
    <w:rsid w:val="00766298"/>
    <w:rsid w:val="00770371"/>
    <w:rsid w:val="00770603"/>
    <w:rsid w:val="007735EA"/>
    <w:rsid w:val="007736D0"/>
    <w:rsid w:val="00773FF5"/>
    <w:rsid w:val="00774941"/>
    <w:rsid w:val="0077618B"/>
    <w:rsid w:val="007764CB"/>
    <w:rsid w:val="00777341"/>
    <w:rsid w:val="00780FA3"/>
    <w:rsid w:val="007821DF"/>
    <w:rsid w:val="00783E9C"/>
    <w:rsid w:val="00784ACC"/>
    <w:rsid w:val="0078502B"/>
    <w:rsid w:val="00785AC0"/>
    <w:rsid w:val="00786392"/>
    <w:rsid w:val="007878B1"/>
    <w:rsid w:val="00787A9D"/>
    <w:rsid w:val="0079504D"/>
    <w:rsid w:val="0079554F"/>
    <w:rsid w:val="00795DE4"/>
    <w:rsid w:val="00795FA0"/>
    <w:rsid w:val="00796373"/>
    <w:rsid w:val="007964C3"/>
    <w:rsid w:val="00796D8E"/>
    <w:rsid w:val="007A0CA0"/>
    <w:rsid w:val="007A1885"/>
    <w:rsid w:val="007A33C1"/>
    <w:rsid w:val="007A5D8D"/>
    <w:rsid w:val="007A620D"/>
    <w:rsid w:val="007A67E0"/>
    <w:rsid w:val="007A7E20"/>
    <w:rsid w:val="007B073D"/>
    <w:rsid w:val="007B492E"/>
    <w:rsid w:val="007B5119"/>
    <w:rsid w:val="007B600A"/>
    <w:rsid w:val="007B65B3"/>
    <w:rsid w:val="007B77FF"/>
    <w:rsid w:val="007C20B1"/>
    <w:rsid w:val="007C30A4"/>
    <w:rsid w:val="007C49C2"/>
    <w:rsid w:val="007C7F3C"/>
    <w:rsid w:val="007D107B"/>
    <w:rsid w:val="007D2CE1"/>
    <w:rsid w:val="007D42B0"/>
    <w:rsid w:val="007D59B1"/>
    <w:rsid w:val="007D6116"/>
    <w:rsid w:val="007D62DD"/>
    <w:rsid w:val="007D70EA"/>
    <w:rsid w:val="007D73E7"/>
    <w:rsid w:val="007D7449"/>
    <w:rsid w:val="007E05BC"/>
    <w:rsid w:val="007E0FBB"/>
    <w:rsid w:val="007E0FE6"/>
    <w:rsid w:val="007E17FD"/>
    <w:rsid w:val="007E1DD3"/>
    <w:rsid w:val="007E2017"/>
    <w:rsid w:val="007E33E2"/>
    <w:rsid w:val="007E4A8A"/>
    <w:rsid w:val="007E5C46"/>
    <w:rsid w:val="007F0494"/>
    <w:rsid w:val="007F1A8C"/>
    <w:rsid w:val="007F1B8A"/>
    <w:rsid w:val="007F3FBA"/>
    <w:rsid w:val="007F610D"/>
    <w:rsid w:val="007F7219"/>
    <w:rsid w:val="007F748A"/>
    <w:rsid w:val="007F750B"/>
    <w:rsid w:val="00800E6E"/>
    <w:rsid w:val="00801018"/>
    <w:rsid w:val="008027FC"/>
    <w:rsid w:val="00802890"/>
    <w:rsid w:val="00802AB6"/>
    <w:rsid w:val="00802C21"/>
    <w:rsid w:val="00802F9D"/>
    <w:rsid w:val="00803086"/>
    <w:rsid w:val="00803681"/>
    <w:rsid w:val="00804FFE"/>
    <w:rsid w:val="00806BAA"/>
    <w:rsid w:val="008077E0"/>
    <w:rsid w:val="00807ABC"/>
    <w:rsid w:val="00810116"/>
    <w:rsid w:val="008103B7"/>
    <w:rsid w:val="00810674"/>
    <w:rsid w:val="00811DDC"/>
    <w:rsid w:val="00811E2C"/>
    <w:rsid w:val="00812726"/>
    <w:rsid w:val="00813D87"/>
    <w:rsid w:val="00813F9F"/>
    <w:rsid w:val="0081400D"/>
    <w:rsid w:val="008142FD"/>
    <w:rsid w:val="008144CB"/>
    <w:rsid w:val="00814A82"/>
    <w:rsid w:val="00815AE5"/>
    <w:rsid w:val="00816920"/>
    <w:rsid w:val="00817F48"/>
    <w:rsid w:val="00817F59"/>
    <w:rsid w:val="00821914"/>
    <w:rsid w:val="00822667"/>
    <w:rsid w:val="00832216"/>
    <w:rsid w:val="008325F6"/>
    <w:rsid w:val="00835B52"/>
    <w:rsid w:val="00836EAA"/>
    <w:rsid w:val="0084272C"/>
    <w:rsid w:val="00843732"/>
    <w:rsid w:val="0084615C"/>
    <w:rsid w:val="008464F2"/>
    <w:rsid w:val="008502C4"/>
    <w:rsid w:val="008514B5"/>
    <w:rsid w:val="00852E8C"/>
    <w:rsid w:val="00853AB1"/>
    <w:rsid w:val="00854547"/>
    <w:rsid w:val="00854928"/>
    <w:rsid w:val="00860546"/>
    <w:rsid w:val="00860615"/>
    <w:rsid w:val="00861E68"/>
    <w:rsid w:val="00862130"/>
    <w:rsid w:val="0086284F"/>
    <w:rsid w:val="00863A8F"/>
    <w:rsid w:val="00864FAF"/>
    <w:rsid w:val="008663C4"/>
    <w:rsid w:val="00866979"/>
    <w:rsid w:val="008676AC"/>
    <w:rsid w:val="00867ECA"/>
    <w:rsid w:val="00870527"/>
    <w:rsid w:val="00871BB9"/>
    <w:rsid w:val="00873E9C"/>
    <w:rsid w:val="008748CB"/>
    <w:rsid w:val="008753C5"/>
    <w:rsid w:val="00875D4C"/>
    <w:rsid w:val="008801B3"/>
    <w:rsid w:val="008805D9"/>
    <w:rsid w:val="00880EFD"/>
    <w:rsid w:val="00883A2B"/>
    <w:rsid w:val="0088451B"/>
    <w:rsid w:val="0088571D"/>
    <w:rsid w:val="00886542"/>
    <w:rsid w:val="00886D8D"/>
    <w:rsid w:val="00887E59"/>
    <w:rsid w:val="0089353F"/>
    <w:rsid w:val="00894476"/>
    <w:rsid w:val="00895BBC"/>
    <w:rsid w:val="00897767"/>
    <w:rsid w:val="008978DF"/>
    <w:rsid w:val="008A003D"/>
    <w:rsid w:val="008A077D"/>
    <w:rsid w:val="008A21E7"/>
    <w:rsid w:val="008A39C5"/>
    <w:rsid w:val="008A3C93"/>
    <w:rsid w:val="008A4DD9"/>
    <w:rsid w:val="008A661B"/>
    <w:rsid w:val="008A79A8"/>
    <w:rsid w:val="008B41F4"/>
    <w:rsid w:val="008B4F74"/>
    <w:rsid w:val="008B5557"/>
    <w:rsid w:val="008B5FA8"/>
    <w:rsid w:val="008B66AA"/>
    <w:rsid w:val="008C115C"/>
    <w:rsid w:val="008C278B"/>
    <w:rsid w:val="008C584E"/>
    <w:rsid w:val="008C73DF"/>
    <w:rsid w:val="008C764C"/>
    <w:rsid w:val="008D0002"/>
    <w:rsid w:val="008D0AF6"/>
    <w:rsid w:val="008D0D41"/>
    <w:rsid w:val="008D1885"/>
    <w:rsid w:val="008D46F2"/>
    <w:rsid w:val="008D5513"/>
    <w:rsid w:val="008D7266"/>
    <w:rsid w:val="008D788A"/>
    <w:rsid w:val="008D78C1"/>
    <w:rsid w:val="008D78C9"/>
    <w:rsid w:val="008E02AB"/>
    <w:rsid w:val="008E11CD"/>
    <w:rsid w:val="008E1967"/>
    <w:rsid w:val="008E1B24"/>
    <w:rsid w:val="008E242C"/>
    <w:rsid w:val="008E2504"/>
    <w:rsid w:val="008E365E"/>
    <w:rsid w:val="008E367A"/>
    <w:rsid w:val="008E4329"/>
    <w:rsid w:val="008E4440"/>
    <w:rsid w:val="008E4750"/>
    <w:rsid w:val="008E4BAA"/>
    <w:rsid w:val="008E5460"/>
    <w:rsid w:val="008E55F9"/>
    <w:rsid w:val="008E61C9"/>
    <w:rsid w:val="008F0FDD"/>
    <w:rsid w:val="008F1087"/>
    <w:rsid w:val="008F119B"/>
    <w:rsid w:val="008F13DA"/>
    <w:rsid w:val="008F2F67"/>
    <w:rsid w:val="008F43D2"/>
    <w:rsid w:val="008F756C"/>
    <w:rsid w:val="0090043E"/>
    <w:rsid w:val="00900EFF"/>
    <w:rsid w:val="009010B3"/>
    <w:rsid w:val="00901D2B"/>
    <w:rsid w:val="00903AD7"/>
    <w:rsid w:val="0090582B"/>
    <w:rsid w:val="00905F83"/>
    <w:rsid w:val="00906E36"/>
    <w:rsid w:val="00907B13"/>
    <w:rsid w:val="00907BD8"/>
    <w:rsid w:val="0091130B"/>
    <w:rsid w:val="009117D4"/>
    <w:rsid w:val="0091214C"/>
    <w:rsid w:val="009129D3"/>
    <w:rsid w:val="0091310A"/>
    <w:rsid w:val="009135AF"/>
    <w:rsid w:val="009139D4"/>
    <w:rsid w:val="009139D8"/>
    <w:rsid w:val="0091544B"/>
    <w:rsid w:val="00916F6C"/>
    <w:rsid w:val="00921A22"/>
    <w:rsid w:val="00922741"/>
    <w:rsid w:val="00923D3F"/>
    <w:rsid w:val="00923D51"/>
    <w:rsid w:val="0092464F"/>
    <w:rsid w:val="0092497C"/>
    <w:rsid w:val="00926513"/>
    <w:rsid w:val="00927408"/>
    <w:rsid w:val="00927B5A"/>
    <w:rsid w:val="00927F76"/>
    <w:rsid w:val="00930F4C"/>
    <w:rsid w:val="0093169B"/>
    <w:rsid w:val="009317C6"/>
    <w:rsid w:val="00932235"/>
    <w:rsid w:val="00932300"/>
    <w:rsid w:val="00934A10"/>
    <w:rsid w:val="0094018F"/>
    <w:rsid w:val="00941FF0"/>
    <w:rsid w:val="00942133"/>
    <w:rsid w:val="00944203"/>
    <w:rsid w:val="00944961"/>
    <w:rsid w:val="00946056"/>
    <w:rsid w:val="009460C8"/>
    <w:rsid w:val="00947676"/>
    <w:rsid w:val="00947DBD"/>
    <w:rsid w:val="009535D5"/>
    <w:rsid w:val="0095653A"/>
    <w:rsid w:val="00956DF0"/>
    <w:rsid w:val="00957FC6"/>
    <w:rsid w:val="00960744"/>
    <w:rsid w:val="009624F3"/>
    <w:rsid w:val="00962C52"/>
    <w:rsid w:val="009634C4"/>
    <w:rsid w:val="00964FB3"/>
    <w:rsid w:val="00965D26"/>
    <w:rsid w:val="00966AD2"/>
    <w:rsid w:val="00970880"/>
    <w:rsid w:val="0097185E"/>
    <w:rsid w:val="0097204F"/>
    <w:rsid w:val="009729A2"/>
    <w:rsid w:val="00973374"/>
    <w:rsid w:val="00973778"/>
    <w:rsid w:val="00974963"/>
    <w:rsid w:val="0097522F"/>
    <w:rsid w:val="00975298"/>
    <w:rsid w:val="00975C44"/>
    <w:rsid w:val="00975E0F"/>
    <w:rsid w:val="009767C0"/>
    <w:rsid w:val="009804C1"/>
    <w:rsid w:val="00981299"/>
    <w:rsid w:val="009821EB"/>
    <w:rsid w:val="009823C5"/>
    <w:rsid w:val="00982592"/>
    <w:rsid w:val="0098322B"/>
    <w:rsid w:val="009860F0"/>
    <w:rsid w:val="00986411"/>
    <w:rsid w:val="00986CCC"/>
    <w:rsid w:val="00986E79"/>
    <w:rsid w:val="00990D19"/>
    <w:rsid w:val="00994674"/>
    <w:rsid w:val="00994A78"/>
    <w:rsid w:val="009A054E"/>
    <w:rsid w:val="009A145B"/>
    <w:rsid w:val="009A17D4"/>
    <w:rsid w:val="009A29CA"/>
    <w:rsid w:val="009A2ADF"/>
    <w:rsid w:val="009A5E46"/>
    <w:rsid w:val="009A7096"/>
    <w:rsid w:val="009A7D43"/>
    <w:rsid w:val="009B31B0"/>
    <w:rsid w:val="009B461B"/>
    <w:rsid w:val="009B4EB6"/>
    <w:rsid w:val="009B5B5A"/>
    <w:rsid w:val="009B73AD"/>
    <w:rsid w:val="009C0270"/>
    <w:rsid w:val="009C151D"/>
    <w:rsid w:val="009C1F83"/>
    <w:rsid w:val="009C21F8"/>
    <w:rsid w:val="009C3799"/>
    <w:rsid w:val="009C3CA0"/>
    <w:rsid w:val="009C760B"/>
    <w:rsid w:val="009C7C24"/>
    <w:rsid w:val="009D13C9"/>
    <w:rsid w:val="009D27D5"/>
    <w:rsid w:val="009D3180"/>
    <w:rsid w:val="009D3B06"/>
    <w:rsid w:val="009D3C96"/>
    <w:rsid w:val="009D5472"/>
    <w:rsid w:val="009D5800"/>
    <w:rsid w:val="009D5F57"/>
    <w:rsid w:val="009E1054"/>
    <w:rsid w:val="009E16A8"/>
    <w:rsid w:val="009E1785"/>
    <w:rsid w:val="009E2304"/>
    <w:rsid w:val="009E3901"/>
    <w:rsid w:val="009E40F6"/>
    <w:rsid w:val="009E5405"/>
    <w:rsid w:val="009E5430"/>
    <w:rsid w:val="009E6B48"/>
    <w:rsid w:val="009F23D6"/>
    <w:rsid w:val="009F2780"/>
    <w:rsid w:val="009F3017"/>
    <w:rsid w:val="009F440E"/>
    <w:rsid w:val="009F4862"/>
    <w:rsid w:val="009F537B"/>
    <w:rsid w:val="009F56C4"/>
    <w:rsid w:val="009F6B3C"/>
    <w:rsid w:val="009F70C1"/>
    <w:rsid w:val="00A07E4E"/>
    <w:rsid w:val="00A10BC1"/>
    <w:rsid w:val="00A1187F"/>
    <w:rsid w:val="00A12A22"/>
    <w:rsid w:val="00A135ED"/>
    <w:rsid w:val="00A15AF6"/>
    <w:rsid w:val="00A163F6"/>
    <w:rsid w:val="00A17AA8"/>
    <w:rsid w:val="00A17F41"/>
    <w:rsid w:val="00A255BA"/>
    <w:rsid w:val="00A26401"/>
    <w:rsid w:val="00A265DD"/>
    <w:rsid w:val="00A3024A"/>
    <w:rsid w:val="00A32B58"/>
    <w:rsid w:val="00A344E5"/>
    <w:rsid w:val="00A34F4B"/>
    <w:rsid w:val="00A34FBB"/>
    <w:rsid w:val="00A3674D"/>
    <w:rsid w:val="00A37BAE"/>
    <w:rsid w:val="00A414F8"/>
    <w:rsid w:val="00A4178B"/>
    <w:rsid w:val="00A41DAC"/>
    <w:rsid w:val="00A44FBB"/>
    <w:rsid w:val="00A45683"/>
    <w:rsid w:val="00A456EF"/>
    <w:rsid w:val="00A45985"/>
    <w:rsid w:val="00A46BB1"/>
    <w:rsid w:val="00A46C85"/>
    <w:rsid w:val="00A47C70"/>
    <w:rsid w:val="00A5083A"/>
    <w:rsid w:val="00A518F6"/>
    <w:rsid w:val="00A5246A"/>
    <w:rsid w:val="00A52606"/>
    <w:rsid w:val="00A5641F"/>
    <w:rsid w:val="00A56909"/>
    <w:rsid w:val="00A56CBE"/>
    <w:rsid w:val="00A57918"/>
    <w:rsid w:val="00A600AA"/>
    <w:rsid w:val="00A605D4"/>
    <w:rsid w:val="00A60992"/>
    <w:rsid w:val="00A62244"/>
    <w:rsid w:val="00A62D2C"/>
    <w:rsid w:val="00A639A1"/>
    <w:rsid w:val="00A63C19"/>
    <w:rsid w:val="00A63C54"/>
    <w:rsid w:val="00A644E4"/>
    <w:rsid w:val="00A64F24"/>
    <w:rsid w:val="00A66568"/>
    <w:rsid w:val="00A67085"/>
    <w:rsid w:val="00A678E9"/>
    <w:rsid w:val="00A703A2"/>
    <w:rsid w:val="00A71B98"/>
    <w:rsid w:val="00A7271E"/>
    <w:rsid w:val="00A73959"/>
    <w:rsid w:val="00A73971"/>
    <w:rsid w:val="00A73E4C"/>
    <w:rsid w:val="00A741FD"/>
    <w:rsid w:val="00A7435E"/>
    <w:rsid w:val="00A7485C"/>
    <w:rsid w:val="00A748AD"/>
    <w:rsid w:val="00A74AB4"/>
    <w:rsid w:val="00A77829"/>
    <w:rsid w:val="00A8079A"/>
    <w:rsid w:val="00A82CE0"/>
    <w:rsid w:val="00A834DE"/>
    <w:rsid w:val="00A84121"/>
    <w:rsid w:val="00A84617"/>
    <w:rsid w:val="00A8534E"/>
    <w:rsid w:val="00A862B5"/>
    <w:rsid w:val="00A86938"/>
    <w:rsid w:val="00A93843"/>
    <w:rsid w:val="00A945A3"/>
    <w:rsid w:val="00A96B3D"/>
    <w:rsid w:val="00A97B39"/>
    <w:rsid w:val="00AA1AF7"/>
    <w:rsid w:val="00AA21B3"/>
    <w:rsid w:val="00AA383A"/>
    <w:rsid w:val="00AA4EE1"/>
    <w:rsid w:val="00AA5E33"/>
    <w:rsid w:val="00AA610A"/>
    <w:rsid w:val="00AA68CB"/>
    <w:rsid w:val="00AA72CA"/>
    <w:rsid w:val="00AA7338"/>
    <w:rsid w:val="00AB04CA"/>
    <w:rsid w:val="00AB051D"/>
    <w:rsid w:val="00AB1115"/>
    <w:rsid w:val="00AB1180"/>
    <w:rsid w:val="00AB1D7E"/>
    <w:rsid w:val="00AB2D12"/>
    <w:rsid w:val="00AB3A9C"/>
    <w:rsid w:val="00AB452D"/>
    <w:rsid w:val="00AB55A5"/>
    <w:rsid w:val="00AB5ED4"/>
    <w:rsid w:val="00AB6233"/>
    <w:rsid w:val="00AC0824"/>
    <w:rsid w:val="00AC0F76"/>
    <w:rsid w:val="00AC15C1"/>
    <w:rsid w:val="00AC25DF"/>
    <w:rsid w:val="00AC2CCB"/>
    <w:rsid w:val="00AC4574"/>
    <w:rsid w:val="00AC47AD"/>
    <w:rsid w:val="00AC50BB"/>
    <w:rsid w:val="00AC5D11"/>
    <w:rsid w:val="00AC5F62"/>
    <w:rsid w:val="00AC7343"/>
    <w:rsid w:val="00AC7740"/>
    <w:rsid w:val="00AD0B2D"/>
    <w:rsid w:val="00AD1227"/>
    <w:rsid w:val="00AD160D"/>
    <w:rsid w:val="00AD429D"/>
    <w:rsid w:val="00AD5B04"/>
    <w:rsid w:val="00AD66AD"/>
    <w:rsid w:val="00AD7662"/>
    <w:rsid w:val="00AD785E"/>
    <w:rsid w:val="00AD7B28"/>
    <w:rsid w:val="00AE319E"/>
    <w:rsid w:val="00AE4AFB"/>
    <w:rsid w:val="00AE4B9A"/>
    <w:rsid w:val="00AE560F"/>
    <w:rsid w:val="00AE5C3E"/>
    <w:rsid w:val="00AE5FB7"/>
    <w:rsid w:val="00AE75A7"/>
    <w:rsid w:val="00AE7A17"/>
    <w:rsid w:val="00AF02C2"/>
    <w:rsid w:val="00AF1AC8"/>
    <w:rsid w:val="00AF1BD1"/>
    <w:rsid w:val="00AF7436"/>
    <w:rsid w:val="00AF7AEE"/>
    <w:rsid w:val="00AF7B15"/>
    <w:rsid w:val="00AF7BD1"/>
    <w:rsid w:val="00B001A7"/>
    <w:rsid w:val="00B00805"/>
    <w:rsid w:val="00B0088C"/>
    <w:rsid w:val="00B02CF1"/>
    <w:rsid w:val="00B03CC8"/>
    <w:rsid w:val="00B05DB1"/>
    <w:rsid w:val="00B06A98"/>
    <w:rsid w:val="00B06FD3"/>
    <w:rsid w:val="00B07D68"/>
    <w:rsid w:val="00B10BCE"/>
    <w:rsid w:val="00B10F7D"/>
    <w:rsid w:val="00B119BE"/>
    <w:rsid w:val="00B153F5"/>
    <w:rsid w:val="00B16916"/>
    <w:rsid w:val="00B16AF9"/>
    <w:rsid w:val="00B179F5"/>
    <w:rsid w:val="00B20D59"/>
    <w:rsid w:val="00B2218E"/>
    <w:rsid w:val="00B25756"/>
    <w:rsid w:val="00B269B7"/>
    <w:rsid w:val="00B320CA"/>
    <w:rsid w:val="00B324FD"/>
    <w:rsid w:val="00B35105"/>
    <w:rsid w:val="00B356DC"/>
    <w:rsid w:val="00B365D8"/>
    <w:rsid w:val="00B373E8"/>
    <w:rsid w:val="00B37EC6"/>
    <w:rsid w:val="00B4090B"/>
    <w:rsid w:val="00B40DF7"/>
    <w:rsid w:val="00B41749"/>
    <w:rsid w:val="00B429C8"/>
    <w:rsid w:val="00B4463E"/>
    <w:rsid w:val="00B45A1F"/>
    <w:rsid w:val="00B465B0"/>
    <w:rsid w:val="00B51296"/>
    <w:rsid w:val="00B516DA"/>
    <w:rsid w:val="00B51D54"/>
    <w:rsid w:val="00B52495"/>
    <w:rsid w:val="00B52CA6"/>
    <w:rsid w:val="00B53534"/>
    <w:rsid w:val="00B54751"/>
    <w:rsid w:val="00B55CBF"/>
    <w:rsid w:val="00B5613E"/>
    <w:rsid w:val="00B563D0"/>
    <w:rsid w:val="00B5673B"/>
    <w:rsid w:val="00B56F17"/>
    <w:rsid w:val="00B5705F"/>
    <w:rsid w:val="00B57FFD"/>
    <w:rsid w:val="00B60483"/>
    <w:rsid w:val="00B6195C"/>
    <w:rsid w:val="00B61BC3"/>
    <w:rsid w:val="00B62381"/>
    <w:rsid w:val="00B62AAA"/>
    <w:rsid w:val="00B65646"/>
    <w:rsid w:val="00B6576D"/>
    <w:rsid w:val="00B679FE"/>
    <w:rsid w:val="00B70E20"/>
    <w:rsid w:val="00B71C0D"/>
    <w:rsid w:val="00B72707"/>
    <w:rsid w:val="00B728B7"/>
    <w:rsid w:val="00B735DF"/>
    <w:rsid w:val="00B73B7B"/>
    <w:rsid w:val="00B73C81"/>
    <w:rsid w:val="00B7418E"/>
    <w:rsid w:val="00B751DB"/>
    <w:rsid w:val="00B766C1"/>
    <w:rsid w:val="00B76C4C"/>
    <w:rsid w:val="00B76CD8"/>
    <w:rsid w:val="00B7713E"/>
    <w:rsid w:val="00B821D1"/>
    <w:rsid w:val="00B847B6"/>
    <w:rsid w:val="00B84820"/>
    <w:rsid w:val="00B84865"/>
    <w:rsid w:val="00B849FA"/>
    <w:rsid w:val="00B87E95"/>
    <w:rsid w:val="00B90760"/>
    <w:rsid w:val="00B909CF"/>
    <w:rsid w:val="00B90DD6"/>
    <w:rsid w:val="00B91D6B"/>
    <w:rsid w:val="00B9210C"/>
    <w:rsid w:val="00B92F10"/>
    <w:rsid w:val="00B943DC"/>
    <w:rsid w:val="00B9481A"/>
    <w:rsid w:val="00B95FF4"/>
    <w:rsid w:val="00B97B81"/>
    <w:rsid w:val="00BA04C8"/>
    <w:rsid w:val="00BA0FE8"/>
    <w:rsid w:val="00BA3D4B"/>
    <w:rsid w:val="00BA49B0"/>
    <w:rsid w:val="00BA5B34"/>
    <w:rsid w:val="00BA6153"/>
    <w:rsid w:val="00BA795B"/>
    <w:rsid w:val="00BA7C00"/>
    <w:rsid w:val="00BB0F38"/>
    <w:rsid w:val="00BB22A7"/>
    <w:rsid w:val="00BB2FB9"/>
    <w:rsid w:val="00BB3179"/>
    <w:rsid w:val="00BB3BA3"/>
    <w:rsid w:val="00BB3DC5"/>
    <w:rsid w:val="00BB6C0D"/>
    <w:rsid w:val="00BB7102"/>
    <w:rsid w:val="00BB717C"/>
    <w:rsid w:val="00BB7E34"/>
    <w:rsid w:val="00BC0A3B"/>
    <w:rsid w:val="00BC281F"/>
    <w:rsid w:val="00BC3529"/>
    <w:rsid w:val="00BC37C4"/>
    <w:rsid w:val="00BC47A1"/>
    <w:rsid w:val="00BD00DB"/>
    <w:rsid w:val="00BD05E2"/>
    <w:rsid w:val="00BD16D0"/>
    <w:rsid w:val="00BD2DAE"/>
    <w:rsid w:val="00BD454C"/>
    <w:rsid w:val="00BD4A97"/>
    <w:rsid w:val="00BD4DB9"/>
    <w:rsid w:val="00BD5609"/>
    <w:rsid w:val="00BD57DA"/>
    <w:rsid w:val="00BD6756"/>
    <w:rsid w:val="00BE0266"/>
    <w:rsid w:val="00BE026C"/>
    <w:rsid w:val="00BE0A2B"/>
    <w:rsid w:val="00BE1C32"/>
    <w:rsid w:val="00BE31D0"/>
    <w:rsid w:val="00BE4AB9"/>
    <w:rsid w:val="00BE7C65"/>
    <w:rsid w:val="00BF13DD"/>
    <w:rsid w:val="00BF16E4"/>
    <w:rsid w:val="00BF17B4"/>
    <w:rsid w:val="00BF2137"/>
    <w:rsid w:val="00BF2A4A"/>
    <w:rsid w:val="00BF43CD"/>
    <w:rsid w:val="00BF5130"/>
    <w:rsid w:val="00BF6DD3"/>
    <w:rsid w:val="00BF7523"/>
    <w:rsid w:val="00BF77F5"/>
    <w:rsid w:val="00BF79D2"/>
    <w:rsid w:val="00C005B6"/>
    <w:rsid w:val="00C01A74"/>
    <w:rsid w:val="00C0535D"/>
    <w:rsid w:val="00C05D0D"/>
    <w:rsid w:val="00C06E65"/>
    <w:rsid w:val="00C07616"/>
    <w:rsid w:val="00C10033"/>
    <w:rsid w:val="00C11E85"/>
    <w:rsid w:val="00C13614"/>
    <w:rsid w:val="00C14A9E"/>
    <w:rsid w:val="00C15D53"/>
    <w:rsid w:val="00C166E8"/>
    <w:rsid w:val="00C16CA2"/>
    <w:rsid w:val="00C17436"/>
    <w:rsid w:val="00C17E4A"/>
    <w:rsid w:val="00C208B5"/>
    <w:rsid w:val="00C24595"/>
    <w:rsid w:val="00C24AF7"/>
    <w:rsid w:val="00C2573F"/>
    <w:rsid w:val="00C25CB0"/>
    <w:rsid w:val="00C26817"/>
    <w:rsid w:val="00C26BEE"/>
    <w:rsid w:val="00C30202"/>
    <w:rsid w:val="00C30B7D"/>
    <w:rsid w:val="00C31F00"/>
    <w:rsid w:val="00C33F24"/>
    <w:rsid w:val="00C351E0"/>
    <w:rsid w:val="00C353F4"/>
    <w:rsid w:val="00C3564F"/>
    <w:rsid w:val="00C36003"/>
    <w:rsid w:val="00C37380"/>
    <w:rsid w:val="00C40F53"/>
    <w:rsid w:val="00C40F55"/>
    <w:rsid w:val="00C41B9B"/>
    <w:rsid w:val="00C42818"/>
    <w:rsid w:val="00C43F94"/>
    <w:rsid w:val="00C457DA"/>
    <w:rsid w:val="00C47B0D"/>
    <w:rsid w:val="00C51545"/>
    <w:rsid w:val="00C522E3"/>
    <w:rsid w:val="00C534BE"/>
    <w:rsid w:val="00C5429E"/>
    <w:rsid w:val="00C55FCB"/>
    <w:rsid w:val="00C629A9"/>
    <w:rsid w:val="00C63B1B"/>
    <w:rsid w:val="00C652CD"/>
    <w:rsid w:val="00C66179"/>
    <w:rsid w:val="00C674F8"/>
    <w:rsid w:val="00C70A75"/>
    <w:rsid w:val="00C73061"/>
    <w:rsid w:val="00C74E98"/>
    <w:rsid w:val="00C758B1"/>
    <w:rsid w:val="00C76E19"/>
    <w:rsid w:val="00C80C85"/>
    <w:rsid w:val="00C81039"/>
    <w:rsid w:val="00C81B1F"/>
    <w:rsid w:val="00C81DED"/>
    <w:rsid w:val="00C844F1"/>
    <w:rsid w:val="00C84FC8"/>
    <w:rsid w:val="00C85E5B"/>
    <w:rsid w:val="00C86ED2"/>
    <w:rsid w:val="00C926A3"/>
    <w:rsid w:val="00C92B02"/>
    <w:rsid w:val="00C94280"/>
    <w:rsid w:val="00C95C4C"/>
    <w:rsid w:val="00C963C9"/>
    <w:rsid w:val="00C967B6"/>
    <w:rsid w:val="00CA06C4"/>
    <w:rsid w:val="00CA1663"/>
    <w:rsid w:val="00CA2AAC"/>
    <w:rsid w:val="00CA2E64"/>
    <w:rsid w:val="00CA4941"/>
    <w:rsid w:val="00CA692D"/>
    <w:rsid w:val="00CA6AA6"/>
    <w:rsid w:val="00CB0CE1"/>
    <w:rsid w:val="00CB1018"/>
    <w:rsid w:val="00CB1A1A"/>
    <w:rsid w:val="00CB2ACE"/>
    <w:rsid w:val="00CB3657"/>
    <w:rsid w:val="00CB466B"/>
    <w:rsid w:val="00CB5EE6"/>
    <w:rsid w:val="00CB6105"/>
    <w:rsid w:val="00CB6124"/>
    <w:rsid w:val="00CB6740"/>
    <w:rsid w:val="00CB6DA3"/>
    <w:rsid w:val="00CC0BD1"/>
    <w:rsid w:val="00CC112F"/>
    <w:rsid w:val="00CC4716"/>
    <w:rsid w:val="00CC4B8F"/>
    <w:rsid w:val="00CC5704"/>
    <w:rsid w:val="00CC5B9F"/>
    <w:rsid w:val="00CC63B2"/>
    <w:rsid w:val="00CD1251"/>
    <w:rsid w:val="00CD1C00"/>
    <w:rsid w:val="00CD2FE6"/>
    <w:rsid w:val="00CD45DA"/>
    <w:rsid w:val="00CD5A86"/>
    <w:rsid w:val="00CD6659"/>
    <w:rsid w:val="00CE045B"/>
    <w:rsid w:val="00CE045D"/>
    <w:rsid w:val="00CE0CD0"/>
    <w:rsid w:val="00CE223F"/>
    <w:rsid w:val="00CE2330"/>
    <w:rsid w:val="00CE2ABC"/>
    <w:rsid w:val="00CE2D0B"/>
    <w:rsid w:val="00CE3249"/>
    <w:rsid w:val="00CE3C96"/>
    <w:rsid w:val="00CE461D"/>
    <w:rsid w:val="00CE4B34"/>
    <w:rsid w:val="00CE57AA"/>
    <w:rsid w:val="00CF199A"/>
    <w:rsid w:val="00CF1DAC"/>
    <w:rsid w:val="00CF243E"/>
    <w:rsid w:val="00CF2B4D"/>
    <w:rsid w:val="00CF2FBB"/>
    <w:rsid w:val="00CF472B"/>
    <w:rsid w:val="00CF58C9"/>
    <w:rsid w:val="00D000A8"/>
    <w:rsid w:val="00D0171D"/>
    <w:rsid w:val="00D01A5B"/>
    <w:rsid w:val="00D01D40"/>
    <w:rsid w:val="00D0387B"/>
    <w:rsid w:val="00D056C7"/>
    <w:rsid w:val="00D05BAD"/>
    <w:rsid w:val="00D05E1D"/>
    <w:rsid w:val="00D06569"/>
    <w:rsid w:val="00D075BB"/>
    <w:rsid w:val="00D11003"/>
    <w:rsid w:val="00D16240"/>
    <w:rsid w:val="00D17701"/>
    <w:rsid w:val="00D2015F"/>
    <w:rsid w:val="00D22060"/>
    <w:rsid w:val="00D22A5B"/>
    <w:rsid w:val="00D2391C"/>
    <w:rsid w:val="00D24C08"/>
    <w:rsid w:val="00D26364"/>
    <w:rsid w:val="00D26F09"/>
    <w:rsid w:val="00D27947"/>
    <w:rsid w:val="00D30292"/>
    <w:rsid w:val="00D3070B"/>
    <w:rsid w:val="00D32E74"/>
    <w:rsid w:val="00D34D38"/>
    <w:rsid w:val="00D3620E"/>
    <w:rsid w:val="00D362C6"/>
    <w:rsid w:val="00D368AC"/>
    <w:rsid w:val="00D422D5"/>
    <w:rsid w:val="00D45B2B"/>
    <w:rsid w:val="00D46427"/>
    <w:rsid w:val="00D46921"/>
    <w:rsid w:val="00D50E76"/>
    <w:rsid w:val="00D5160E"/>
    <w:rsid w:val="00D52023"/>
    <w:rsid w:val="00D5446D"/>
    <w:rsid w:val="00D56CD2"/>
    <w:rsid w:val="00D61AA8"/>
    <w:rsid w:val="00D6255A"/>
    <w:rsid w:val="00D62CF0"/>
    <w:rsid w:val="00D6329A"/>
    <w:rsid w:val="00D63328"/>
    <w:rsid w:val="00D6376A"/>
    <w:rsid w:val="00D65AA1"/>
    <w:rsid w:val="00D65C6A"/>
    <w:rsid w:val="00D670C3"/>
    <w:rsid w:val="00D677F4"/>
    <w:rsid w:val="00D67AF6"/>
    <w:rsid w:val="00D73533"/>
    <w:rsid w:val="00D75714"/>
    <w:rsid w:val="00D76CE9"/>
    <w:rsid w:val="00D8113C"/>
    <w:rsid w:val="00D82C73"/>
    <w:rsid w:val="00D84538"/>
    <w:rsid w:val="00D848A0"/>
    <w:rsid w:val="00D84E69"/>
    <w:rsid w:val="00D86C1E"/>
    <w:rsid w:val="00D87099"/>
    <w:rsid w:val="00D87594"/>
    <w:rsid w:val="00D90103"/>
    <w:rsid w:val="00D90997"/>
    <w:rsid w:val="00D90A84"/>
    <w:rsid w:val="00D90D50"/>
    <w:rsid w:val="00D91CFC"/>
    <w:rsid w:val="00D921D9"/>
    <w:rsid w:val="00D947EA"/>
    <w:rsid w:val="00D94C74"/>
    <w:rsid w:val="00D95A41"/>
    <w:rsid w:val="00D96312"/>
    <w:rsid w:val="00D97DC1"/>
    <w:rsid w:val="00DA195C"/>
    <w:rsid w:val="00DA2A79"/>
    <w:rsid w:val="00DA3B68"/>
    <w:rsid w:val="00DA530E"/>
    <w:rsid w:val="00DA5714"/>
    <w:rsid w:val="00DA61AB"/>
    <w:rsid w:val="00DA77F5"/>
    <w:rsid w:val="00DA7941"/>
    <w:rsid w:val="00DB03E8"/>
    <w:rsid w:val="00DB108E"/>
    <w:rsid w:val="00DB14A0"/>
    <w:rsid w:val="00DB2F73"/>
    <w:rsid w:val="00DB41AE"/>
    <w:rsid w:val="00DB453E"/>
    <w:rsid w:val="00DB51AF"/>
    <w:rsid w:val="00DB5AE2"/>
    <w:rsid w:val="00DC20A5"/>
    <w:rsid w:val="00DC2150"/>
    <w:rsid w:val="00DC260F"/>
    <w:rsid w:val="00DC39F0"/>
    <w:rsid w:val="00DC3E78"/>
    <w:rsid w:val="00DC494D"/>
    <w:rsid w:val="00DC65F2"/>
    <w:rsid w:val="00DC6C8B"/>
    <w:rsid w:val="00DC6CFE"/>
    <w:rsid w:val="00DC76EA"/>
    <w:rsid w:val="00DD040A"/>
    <w:rsid w:val="00DD1586"/>
    <w:rsid w:val="00DD1740"/>
    <w:rsid w:val="00DD2F4F"/>
    <w:rsid w:val="00DD33DE"/>
    <w:rsid w:val="00DD39CE"/>
    <w:rsid w:val="00DD60F6"/>
    <w:rsid w:val="00DD779D"/>
    <w:rsid w:val="00DD7B0F"/>
    <w:rsid w:val="00DE0265"/>
    <w:rsid w:val="00DE1938"/>
    <w:rsid w:val="00DE35FA"/>
    <w:rsid w:val="00DE3B92"/>
    <w:rsid w:val="00DE4B98"/>
    <w:rsid w:val="00DE7409"/>
    <w:rsid w:val="00DE779C"/>
    <w:rsid w:val="00DF0445"/>
    <w:rsid w:val="00DF17D1"/>
    <w:rsid w:val="00DF5BAB"/>
    <w:rsid w:val="00DF6A8F"/>
    <w:rsid w:val="00DF6E60"/>
    <w:rsid w:val="00DF7A4A"/>
    <w:rsid w:val="00E003AE"/>
    <w:rsid w:val="00E01F36"/>
    <w:rsid w:val="00E0360E"/>
    <w:rsid w:val="00E04D49"/>
    <w:rsid w:val="00E07873"/>
    <w:rsid w:val="00E10569"/>
    <w:rsid w:val="00E10994"/>
    <w:rsid w:val="00E123D1"/>
    <w:rsid w:val="00E1358C"/>
    <w:rsid w:val="00E1420A"/>
    <w:rsid w:val="00E1483E"/>
    <w:rsid w:val="00E16AB4"/>
    <w:rsid w:val="00E1701C"/>
    <w:rsid w:val="00E177B2"/>
    <w:rsid w:val="00E21E38"/>
    <w:rsid w:val="00E21E7C"/>
    <w:rsid w:val="00E23EEF"/>
    <w:rsid w:val="00E24950"/>
    <w:rsid w:val="00E26D4E"/>
    <w:rsid w:val="00E304C5"/>
    <w:rsid w:val="00E3096C"/>
    <w:rsid w:val="00E31482"/>
    <w:rsid w:val="00E320DC"/>
    <w:rsid w:val="00E336F3"/>
    <w:rsid w:val="00E346BB"/>
    <w:rsid w:val="00E34D5E"/>
    <w:rsid w:val="00E37B4C"/>
    <w:rsid w:val="00E37BCD"/>
    <w:rsid w:val="00E42BC6"/>
    <w:rsid w:val="00E44917"/>
    <w:rsid w:val="00E44D6B"/>
    <w:rsid w:val="00E4592A"/>
    <w:rsid w:val="00E460E0"/>
    <w:rsid w:val="00E47CDC"/>
    <w:rsid w:val="00E47E94"/>
    <w:rsid w:val="00E50B74"/>
    <w:rsid w:val="00E50BB1"/>
    <w:rsid w:val="00E5113F"/>
    <w:rsid w:val="00E5156C"/>
    <w:rsid w:val="00E51E55"/>
    <w:rsid w:val="00E53C55"/>
    <w:rsid w:val="00E541B3"/>
    <w:rsid w:val="00E54E46"/>
    <w:rsid w:val="00E600A6"/>
    <w:rsid w:val="00E606EF"/>
    <w:rsid w:val="00E61BA5"/>
    <w:rsid w:val="00E6284E"/>
    <w:rsid w:val="00E62D87"/>
    <w:rsid w:val="00E640AD"/>
    <w:rsid w:val="00E6457F"/>
    <w:rsid w:val="00E6680A"/>
    <w:rsid w:val="00E66A3C"/>
    <w:rsid w:val="00E66FF1"/>
    <w:rsid w:val="00E702B2"/>
    <w:rsid w:val="00E70B00"/>
    <w:rsid w:val="00E71AB9"/>
    <w:rsid w:val="00E734B5"/>
    <w:rsid w:val="00E7554D"/>
    <w:rsid w:val="00E75773"/>
    <w:rsid w:val="00E758A7"/>
    <w:rsid w:val="00E75A9B"/>
    <w:rsid w:val="00E8334E"/>
    <w:rsid w:val="00E8369E"/>
    <w:rsid w:val="00E84F9D"/>
    <w:rsid w:val="00E85797"/>
    <w:rsid w:val="00E87304"/>
    <w:rsid w:val="00E8732E"/>
    <w:rsid w:val="00E8741D"/>
    <w:rsid w:val="00E93955"/>
    <w:rsid w:val="00E9461B"/>
    <w:rsid w:val="00E97171"/>
    <w:rsid w:val="00EA0246"/>
    <w:rsid w:val="00EA0C27"/>
    <w:rsid w:val="00EA0EFD"/>
    <w:rsid w:val="00EA253C"/>
    <w:rsid w:val="00EA4506"/>
    <w:rsid w:val="00EA48F6"/>
    <w:rsid w:val="00EA532E"/>
    <w:rsid w:val="00EA653D"/>
    <w:rsid w:val="00EA715D"/>
    <w:rsid w:val="00EA797D"/>
    <w:rsid w:val="00EB0989"/>
    <w:rsid w:val="00EB11E3"/>
    <w:rsid w:val="00EB1397"/>
    <w:rsid w:val="00EB2684"/>
    <w:rsid w:val="00EB3D2D"/>
    <w:rsid w:val="00EB4458"/>
    <w:rsid w:val="00EB513C"/>
    <w:rsid w:val="00EB5BEF"/>
    <w:rsid w:val="00EB5C40"/>
    <w:rsid w:val="00EB6AD4"/>
    <w:rsid w:val="00EB71AC"/>
    <w:rsid w:val="00EB72D2"/>
    <w:rsid w:val="00EB7FC0"/>
    <w:rsid w:val="00EC0B1B"/>
    <w:rsid w:val="00EC0BDA"/>
    <w:rsid w:val="00EC107C"/>
    <w:rsid w:val="00EC1152"/>
    <w:rsid w:val="00EC3212"/>
    <w:rsid w:val="00EC4AB8"/>
    <w:rsid w:val="00EC5834"/>
    <w:rsid w:val="00EC7DC8"/>
    <w:rsid w:val="00ED1E70"/>
    <w:rsid w:val="00ED3D51"/>
    <w:rsid w:val="00EE091C"/>
    <w:rsid w:val="00EE257D"/>
    <w:rsid w:val="00EE279E"/>
    <w:rsid w:val="00EE2960"/>
    <w:rsid w:val="00EE4D7A"/>
    <w:rsid w:val="00EE5640"/>
    <w:rsid w:val="00EE6C65"/>
    <w:rsid w:val="00EF0570"/>
    <w:rsid w:val="00EF094D"/>
    <w:rsid w:val="00EF26ED"/>
    <w:rsid w:val="00EF4B10"/>
    <w:rsid w:val="00EF5A16"/>
    <w:rsid w:val="00EF6351"/>
    <w:rsid w:val="00EF7451"/>
    <w:rsid w:val="00EF774A"/>
    <w:rsid w:val="00F0015F"/>
    <w:rsid w:val="00F00BCB"/>
    <w:rsid w:val="00F02656"/>
    <w:rsid w:val="00F029AF"/>
    <w:rsid w:val="00F03792"/>
    <w:rsid w:val="00F0385B"/>
    <w:rsid w:val="00F048C2"/>
    <w:rsid w:val="00F04F13"/>
    <w:rsid w:val="00F05102"/>
    <w:rsid w:val="00F07C7C"/>
    <w:rsid w:val="00F107D2"/>
    <w:rsid w:val="00F10E6E"/>
    <w:rsid w:val="00F146AC"/>
    <w:rsid w:val="00F15624"/>
    <w:rsid w:val="00F158D9"/>
    <w:rsid w:val="00F170D0"/>
    <w:rsid w:val="00F20579"/>
    <w:rsid w:val="00F2099D"/>
    <w:rsid w:val="00F2100D"/>
    <w:rsid w:val="00F21338"/>
    <w:rsid w:val="00F224BC"/>
    <w:rsid w:val="00F224E3"/>
    <w:rsid w:val="00F22D69"/>
    <w:rsid w:val="00F22FAA"/>
    <w:rsid w:val="00F23370"/>
    <w:rsid w:val="00F23593"/>
    <w:rsid w:val="00F24C4F"/>
    <w:rsid w:val="00F250A4"/>
    <w:rsid w:val="00F25369"/>
    <w:rsid w:val="00F26445"/>
    <w:rsid w:val="00F26498"/>
    <w:rsid w:val="00F27162"/>
    <w:rsid w:val="00F27DE3"/>
    <w:rsid w:val="00F3026B"/>
    <w:rsid w:val="00F30C88"/>
    <w:rsid w:val="00F31CB0"/>
    <w:rsid w:val="00F32A74"/>
    <w:rsid w:val="00F32CFC"/>
    <w:rsid w:val="00F33160"/>
    <w:rsid w:val="00F33E12"/>
    <w:rsid w:val="00F35A34"/>
    <w:rsid w:val="00F37126"/>
    <w:rsid w:val="00F3751E"/>
    <w:rsid w:val="00F37D6A"/>
    <w:rsid w:val="00F4130F"/>
    <w:rsid w:val="00F42241"/>
    <w:rsid w:val="00F42CAB"/>
    <w:rsid w:val="00F4417E"/>
    <w:rsid w:val="00F447B9"/>
    <w:rsid w:val="00F4505C"/>
    <w:rsid w:val="00F45195"/>
    <w:rsid w:val="00F46159"/>
    <w:rsid w:val="00F475C7"/>
    <w:rsid w:val="00F507A0"/>
    <w:rsid w:val="00F50EDE"/>
    <w:rsid w:val="00F52291"/>
    <w:rsid w:val="00F52A23"/>
    <w:rsid w:val="00F52E3B"/>
    <w:rsid w:val="00F53459"/>
    <w:rsid w:val="00F53AF4"/>
    <w:rsid w:val="00F54277"/>
    <w:rsid w:val="00F545A2"/>
    <w:rsid w:val="00F556FE"/>
    <w:rsid w:val="00F558D1"/>
    <w:rsid w:val="00F5622E"/>
    <w:rsid w:val="00F56FE6"/>
    <w:rsid w:val="00F576F9"/>
    <w:rsid w:val="00F623F2"/>
    <w:rsid w:val="00F62478"/>
    <w:rsid w:val="00F629A5"/>
    <w:rsid w:val="00F65EFC"/>
    <w:rsid w:val="00F66421"/>
    <w:rsid w:val="00F67695"/>
    <w:rsid w:val="00F70ED8"/>
    <w:rsid w:val="00F70FEC"/>
    <w:rsid w:val="00F71FE0"/>
    <w:rsid w:val="00F71FF6"/>
    <w:rsid w:val="00F72337"/>
    <w:rsid w:val="00F72CFD"/>
    <w:rsid w:val="00F76BCF"/>
    <w:rsid w:val="00F823D5"/>
    <w:rsid w:val="00F82A48"/>
    <w:rsid w:val="00F82BBF"/>
    <w:rsid w:val="00F82C13"/>
    <w:rsid w:val="00F83207"/>
    <w:rsid w:val="00F86960"/>
    <w:rsid w:val="00F8742B"/>
    <w:rsid w:val="00F90FA6"/>
    <w:rsid w:val="00F924EB"/>
    <w:rsid w:val="00F93185"/>
    <w:rsid w:val="00F939E6"/>
    <w:rsid w:val="00F95A95"/>
    <w:rsid w:val="00FA0CB3"/>
    <w:rsid w:val="00FA15AF"/>
    <w:rsid w:val="00FA1783"/>
    <w:rsid w:val="00FA1AB8"/>
    <w:rsid w:val="00FA26DD"/>
    <w:rsid w:val="00FA3AB7"/>
    <w:rsid w:val="00FA4B48"/>
    <w:rsid w:val="00FA5013"/>
    <w:rsid w:val="00FA5349"/>
    <w:rsid w:val="00FA7ABE"/>
    <w:rsid w:val="00FB2897"/>
    <w:rsid w:val="00FB2DBA"/>
    <w:rsid w:val="00FB3DA2"/>
    <w:rsid w:val="00FB4472"/>
    <w:rsid w:val="00FB46BA"/>
    <w:rsid w:val="00FB4E78"/>
    <w:rsid w:val="00FC1300"/>
    <w:rsid w:val="00FC1CE1"/>
    <w:rsid w:val="00FC2ADC"/>
    <w:rsid w:val="00FC3132"/>
    <w:rsid w:val="00FC3218"/>
    <w:rsid w:val="00FC3C0A"/>
    <w:rsid w:val="00FC3E50"/>
    <w:rsid w:val="00FC45B5"/>
    <w:rsid w:val="00FC5C3A"/>
    <w:rsid w:val="00FC5FC3"/>
    <w:rsid w:val="00FC728A"/>
    <w:rsid w:val="00FD0A84"/>
    <w:rsid w:val="00FD1F58"/>
    <w:rsid w:val="00FD2143"/>
    <w:rsid w:val="00FD2340"/>
    <w:rsid w:val="00FD296F"/>
    <w:rsid w:val="00FD60E8"/>
    <w:rsid w:val="00FD67D2"/>
    <w:rsid w:val="00FD6D2A"/>
    <w:rsid w:val="00FD70CB"/>
    <w:rsid w:val="00FE0B15"/>
    <w:rsid w:val="00FE10B2"/>
    <w:rsid w:val="00FE230F"/>
    <w:rsid w:val="00FE2F7C"/>
    <w:rsid w:val="00FE30D2"/>
    <w:rsid w:val="00FE3A5B"/>
    <w:rsid w:val="00FE3C0F"/>
    <w:rsid w:val="00FE4BFB"/>
    <w:rsid w:val="00FE6319"/>
    <w:rsid w:val="00FE637D"/>
    <w:rsid w:val="00FE6D1B"/>
    <w:rsid w:val="00FE7180"/>
    <w:rsid w:val="00FE7210"/>
    <w:rsid w:val="00FE72C6"/>
    <w:rsid w:val="00FF032E"/>
    <w:rsid w:val="00FF0884"/>
    <w:rsid w:val="00FF1F21"/>
    <w:rsid w:val="00FF250D"/>
    <w:rsid w:val="00FF3E8B"/>
    <w:rsid w:val="00FF41E4"/>
    <w:rsid w:val="00FF54B2"/>
    <w:rsid w:val="00FF582F"/>
    <w:rsid w:val="00FF5F30"/>
    <w:rsid w:val="00FF6041"/>
    <w:rsid w:val="00FF7B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9771B9"/>
  <w15:chartTrackingRefBased/>
  <w15:docId w15:val="{E8728B88-186D-4CBE-B7AF-ADF662B3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 w:val="24"/>
      <w:szCs w:val="24"/>
    </w:rPr>
  </w:style>
  <w:style w:type="paragraph" w:styleId="Header">
    <w:name w:val="header"/>
    <w:aliases w:val="Subheading (body)"/>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rsid w:val="00207F8E"/>
    <w:rPr>
      <w:sz w:val="28"/>
      <w:szCs w:val="28"/>
    </w:rPr>
  </w:style>
  <w:style w:type="paragraph" w:customStyle="1" w:styleId="BulletText1">
    <w:name w:val="Bullet Text 1"/>
    <w:basedOn w:val="Normal"/>
    <w:rsid w:val="00D05BAD"/>
    <w:pPr>
      <w:numPr>
        <w:numId w:val="1"/>
      </w:numPr>
      <w:ind w:left="187" w:hanging="187"/>
    </w:pPr>
  </w:style>
  <w:style w:type="paragraph" w:customStyle="1" w:styleId="LogoHeader">
    <w:name w:val="LogoHeader"/>
    <w:basedOn w:val="Normal"/>
    <w:rsid w:val="00BA49B0"/>
    <w:pPr>
      <w:keepLines/>
    </w:pPr>
    <w:rPr>
      <w:rFonts w:ascii="Univers" w:hAnsi="Univers"/>
      <w:sz w:val="24"/>
      <w:lang w:val="en-GB" w:eastAsia="en-US"/>
    </w:rPr>
  </w:style>
  <w:style w:type="paragraph" w:customStyle="1" w:styleId="definition">
    <w:name w:val="definition"/>
    <w:basedOn w:val="Normal"/>
    <w:rsid w:val="002E33EA"/>
    <w:pPr>
      <w:spacing w:before="100" w:beforeAutospacing="1" w:after="100" w:afterAutospacing="1"/>
    </w:pPr>
    <w:rPr>
      <w:sz w:val="24"/>
      <w:szCs w:val="24"/>
    </w:rPr>
  </w:style>
  <w:style w:type="paragraph" w:customStyle="1" w:styleId="paragraph">
    <w:name w:val="paragraph"/>
    <w:basedOn w:val="Normal"/>
    <w:rsid w:val="002E33EA"/>
    <w:pPr>
      <w:spacing w:before="100" w:beforeAutospacing="1" w:after="100" w:afterAutospacing="1"/>
    </w:pPr>
    <w:rPr>
      <w:sz w:val="24"/>
      <w:szCs w:val="24"/>
    </w:rPr>
  </w:style>
  <w:style w:type="paragraph" w:customStyle="1" w:styleId="paragraphsub">
    <w:name w:val="paragraphsub"/>
    <w:basedOn w:val="Normal"/>
    <w:rsid w:val="002E33EA"/>
    <w:pPr>
      <w:spacing w:before="100" w:beforeAutospacing="1" w:after="100" w:afterAutospacing="1"/>
    </w:pPr>
    <w:rPr>
      <w:sz w:val="24"/>
      <w:szCs w:val="24"/>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style>
  <w:style w:type="paragraph" w:styleId="BodyText3">
    <w:name w:val="Body Text 3"/>
    <w:basedOn w:val="Normal"/>
    <w:rsid w:val="00E21E38"/>
    <w:pPr>
      <w:spacing w:after="200"/>
      <w:ind w:right="544"/>
    </w:pPr>
    <w:rPr>
      <w:sz w:val="28"/>
      <w:szCs w:val="28"/>
    </w:rPr>
  </w:style>
  <w:style w:type="paragraph" w:customStyle="1" w:styleId="Normal1">
    <w:name w:val="Normal1"/>
    <w:basedOn w:val="Normal"/>
    <w:link w:val="normalChar"/>
    <w:rsid w:val="001E1D3B"/>
    <w:pPr>
      <w:spacing w:before="100" w:beforeAutospacing="1" w:after="100" w:afterAutospacing="1"/>
    </w:pPr>
    <w:rPr>
      <w:sz w:val="24"/>
      <w:szCs w:val="24"/>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sz w:val="24"/>
      <w:szCs w:val="24"/>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sz w:val="24"/>
      <w:szCs w:val="24"/>
      <w:lang w:eastAsia="en-US"/>
    </w:rPr>
  </w:style>
  <w:style w:type="paragraph" w:styleId="PlainText">
    <w:name w:val="Plain Text"/>
    <w:basedOn w:val="Normal"/>
    <w:link w:val="PlainTextChar"/>
    <w:rsid w:val="00886D8D"/>
    <w:rPr>
      <w:rFonts w:ascii="Arial" w:hAnsi="Arial" w:cs="Arial"/>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basedOn w:val="Normal"/>
    <w:uiPriority w:val="34"/>
    <w:qFormat/>
    <w:rsid w:val="00922741"/>
    <w:pPr>
      <w:ind w:left="720"/>
    </w:pPr>
    <w:rPr>
      <w:rFonts w:ascii="Calibri" w:hAnsi="Calibri"/>
      <w:sz w:val="22"/>
      <w:szCs w:val="22"/>
      <w:lang w:eastAsia="en-US"/>
    </w:rPr>
  </w:style>
  <w:style w:type="character" w:styleId="FollowedHyperlink">
    <w:name w:val="FollowedHyperlink"/>
    <w:rsid w:val="003C389A"/>
    <w:rPr>
      <w:color w:val="954F72"/>
      <w:u w:val="single"/>
    </w:rPr>
  </w:style>
  <w:style w:type="paragraph" w:customStyle="1" w:styleId="Firstpara">
    <w:name w:val="First para"/>
    <w:basedOn w:val="Normal"/>
    <w:rsid w:val="004117E6"/>
    <w:pPr>
      <w:spacing w:before="240" w:after="120"/>
    </w:pPr>
    <w:rPr>
      <w:sz w:val="24"/>
    </w:rPr>
  </w:style>
  <w:style w:type="paragraph" w:styleId="Revision">
    <w:name w:val="Revision"/>
    <w:hidden/>
    <w:uiPriority w:val="99"/>
    <w:semiHidden/>
    <w:rsid w:val="006E651E"/>
  </w:style>
  <w:style w:type="paragraph" w:customStyle="1" w:styleId="subsection">
    <w:name w:val="subsection"/>
    <w:basedOn w:val="Normal"/>
    <w:rsid w:val="0080368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557">
      <w:bodyDiv w:val="1"/>
      <w:marLeft w:val="0"/>
      <w:marRight w:val="0"/>
      <w:marTop w:val="0"/>
      <w:marBottom w:val="0"/>
      <w:divBdr>
        <w:top w:val="none" w:sz="0" w:space="0" w:color="auto"/>
        <w:left w:val="none" w:sz="0" w:space="0" w:color="auto"/>
        <w:bottom w:val="none" w:sz="0" w:space="0" w:color="auto"/>
        <w:right w:val="none" w:sz="0" w:space="0" w:color="auto"/>
      </w:divBdr>
    </w:div>
    <w:div w:id="159345927">
      <w:bodyDiv w:val="1"/>
      <w:marLeft w:val="0"/>
      <w:marRight w:val="0"/>
      <w:marTop w:val="0"/>
      <w:marBottom w:val="0"/>
      <w:divBdr>
        <w:top w:val="none" w:sz="0" w:space="0" w:color="auto"/>
        <w:left w:val="none" w:sz="0" w:space="0" w:color="auto"/>
        <w:bottom w:val="none" w:sz="0" w:space="0" w:color="auto"/>
        <w:right w:val="none" w:sz="0" w:space="0" w:color="auto"/>
      </w:divBdr>
    </w:div>
    <w:div w:id="340933915">
      <w:bodyDiv w:val="1"/>
      <w:marLeft w:val="0"/>
      <w:marRight w:val="0"/>
      <w:marTop w:val="0"/>
      <w:marBottom w:val="0"/>
      <w:divBdr>
        <w:top w:val="none" w:sz="0" w:space="0" w:color="auto"/>
        <w:left w:val="none" w:sz="0" w:space="0" w:color="auto"/>
        <w:bottom w:val="none" w:sz="0" w:space="0" w:color="auto"/>
        <w:right w:val="none" w:sz="0" w:space="0" w:color="auto"/>
      </w:divBdr>
    </w:div>
    <w:div w:id="489322815">
      <w:bodyDiv w:val="1"/>
      <w:marLeft w:val="0"/>
      <w:marRight w:val="0"/>
      <w:marTop w:val="0"/>
      <w:marBottom w:val="0"/>
      <w:divBdr>
        <w:top w:val="none" w:sz="0" w:space="0" w:color="auto"/>
        <w:left w:val="none" w:sz="0" w:space="0" w:color="auto"/>
        <w:bottom w:val="none" w:sz="0" w:space="0" w:color="auto"/>
        <w:right w:val="none" w:sz="0" w:space="0" w:color="auto"/>
      </w:divBdr>
    </w:div>
    <w:div w:id="572545712">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367518">
      <w:bodyDiv w:val="1"/>
      <w:marLeft w:val="0"/>
      <w:marRight w:val="0"/>
      <w:marTop w:val="0"/>
      <w:marBottom w:val="0"/>
      <w:divBdr>
        <w:top w:val="none" w:sz="0" w:space="0" w:color="auto"/>
        <w:left w:val="none" w:sz="0" w:space="0" w:color="auto"/>
        <w:bottom w:val="none" w:sz="0" w:space="0" w:color="auto"/>
        <w:right w:val="none" w:sz="0" w:space="0" w:color="auto"/>
      </w:divBdr>
    </w:div>
    <w:div w:id="1326129295">
      <w:bodyDiv w:val="1"/>
      <w:marLeft w:val="0"/>
      <w:marRight w:val="0"/>
      <w:marTop w:val="0"/>
      <w:marBottom w:val="0"/>
      <w:divBdr>
        <w:top w:val="none" w:sz="0" w:space="0" w:color="auto"/>
        <w:left w:val="none" w:sz="0" w:space="0" w:color="auto"/>
        <w:bottom w:val="none" w:sz="0" w:space="0" w:color="auto"/>
        <w:right w:val="none" w:sz="0" w:space="0" w:color="auto"/>
      </w:divBdr>
    </w:div>
    <w:div w:id="1348289090">
      <w:bodyDiv w:val="1"/>
      <w:marLeft w:val="0"/>
      <w:marRight w:val="0"/>
      <w:marTop w:val="0"/>
      <w:marBottom w:val="0"/>
      <w:divBdr>
        <w:top w:val="none" w:sz="0" w:space="0" w:color="auto"/>
        <w:left w:val="none" w:sz="0" w:space="0" w:color="auto"/>
        <w:bottom w:val="none" w:sz="0" w:space="0" w:color="auto"/>
        <w:right w:val="none" w:sz="0" w:space="0" w:color="auto"/>
      </w:divBdr>
    </w:div>
    <w:div w:id="1358505478">
      <w:bodyDiv w:val="1"/>
      <w:marLeft w:val="0"/>
      <w:marRight w:val="0"/>
      <w:marTop w:val="0"/>
      <w:marBottom w:val="0"/>
      <w:divBdr>
        <w:top w:val="none" w:sz="0" w:space="0" w:color="auto"/>
        <w:left w:val="none" w:sz="0" w:space="0" w:color="auto"/>
        <w:bottom w:val="none" w:sz="0" w:space="0" w:color="auto"/>
        <w:right w:val="none" w:sz="0" w:space="0" w:color="auto"/>
      </w:divBdr>
    </w:div>
    <w:div w:id="1368482781">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895642">
      <w:bodyDiv w:val="1"/>
      <w:marLeft w:val="0"/>
      <w:marRight w:val="0"/>
      <w:marTop w:val="0"/>
      <w:marBottom w:val="0"/>
      <w:divBdr>
        <w:top w:val="none" w:sz="0" w:space="0" w:color="auto"/>
        <w:left w:val="none" w:sz="0" w:space="0" w:color="auto"/>
        <w:bottom w:val="none" w:sz="0" w:space="0" w:color="auto"/>
        <w:right w:val="none" w:sz="0" w:space="0" w:color="auto"/>
      </w:divBdr>
    </w:div>
    <w:div w:id="1467704453">
      <w:bodyDiv w:val="1"/>
      <w:marLeft w:val="0"/>
      <w:marRight w:val="0"/>
      <w:marTop w:val="0"/>
      <w:marBottom w:val="0"/>
      <w:divBdr>
        <w:top w:val="none" w:sz="0" w:space="0" w:color="auto"/>
        <w:left w:val="none" w:sz="0" w:space="0" w:color="auto"/>
        <w:bottom w:val="none" w:sz="0" w:space="0" w:color="auto"/>
        <w:right w:val="none" w:sz="0" w:space="0" w:color="auto"/>
      </w:divBdr>
    </w:div>
    <w:div w:id="1476029803">
      <w:bodyDiv w:val="1"/>
      <w:marLeft w:val="0"/>
      <w:marRight w:val="0"/>
      <w:marTop w:val="0"/>
      <w:marBottom w:val="0"/>
      <w:divBdr>
        <w:top w:val="none" w:sz="0" w:space="0" w:color="auto"/>
        <w:left w:val="none" w:sz="0" w:space="0" w:color="auto"/>
        <w:bottom w:val="none" w:sz="0" w:space="0" w:color="auto"/>
        <w:right w:val="none" w:sz="0" w:space="0" w:color="auto"/>
      </w:divBdr>
    </w:div>
    <w:div w:id="1568302187">
      <w:bodyDiv w:val="1"/>
      <w:marLeft w:val="0"/>
      <w:marRight w:val="0"/>
      <w:marTop w:val="0"/>
      <w:marBottom w:val="0"/>
      <w:divBdr>
        <w:top w:val="none" w:sz="0" w:space="0" w:color="auto"/>
        <w:left w:val="none" w:sz="0" w:space="0" w:color="auto"/>
        <w:bottom w:val="none" w:sz="0" w:space="0" w:color="auto"/>
        <w:right w:val="none" w:sz="0" w:space="0" w:color="auto"/>
      </w:divBdr>
    </w:div>
    <w:div w:id="1598096941">
      <w:bodyDiv w:val="1"/>
      <w:marLeft w:val="0"/>
      <w:marRight w:val="0"/>
      <w:marTop w:val="0"/>
      <w:marBottom w:val="0"/>
      <w:divBdr>
        <w:top w:val="none" w:sz="0" w:space="0" w:color="auto"/>
        <w:left w:val="none" w:sz="0" w:space="0" w:color="auto"/>
        <w:bottom w:val="none" w:sz="0" w:space="0" w:color="auto"/>
        <w:right w:val="none" w:sz="0" w:space="0" w:color="auto"/>
      </w:divBdr>
    </w:div>
    <w:div w:id="1603681181">
      <w:bodyDiv w:val="1"/>
      <w:marLeft w:val="0"/>
      <w:marRight w:val="0"/>
      <w:marTop w:val="0"/>
      <w:marBottom w:val="0"/>
      <w:divBdr>
        <w:top w:val="none" w:sz="0" w:space="0" w:color="auto"/>
        <w:left w:val="none" w:sz="0" w:space="0" w:color="auto"/>
        <w:bottom w:val="none" w:sz="0" w:space="0" w:color="auto"/>
        <w:right w:val="none" w:sz="0" w:space="0" w:color="auto"/>
      </w:divBdr>
    </w:div>
    <w:div w:id="1606378300">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623500">
      <w:bodyDiv w:val="1"/>
      <w:marLeft w:val="0"/>
      <w:marRight w:val="0"/>
      <w:marTop w:val="0"/>
      <w:marBottom w:val="0"/>
      <w:divBdr>
        <w:top w:val="none" w:sz="0" w:space="0" w:color="auto"/>
        <w:left w:val="none" w:sz="0" w:space="0" w:color="auto"/>
        <w:bottom w:val="none" w:sz="0" w:space="0" w:color="auto"/>
        <w:right w:val="none" w:sz="0" w:space="0" w:color="auto"/>
      </w:divBdr>
      <w:divsChild>
        <w:div w:id="1541093352">
          <w:marLeft w:val="0"/>
          <w:marRight w:val="0"/>
          <w:marTop w:val="0"/>
          <w:marBottom w:val="0"/>
          <w:divBdr>
            <w:top w:val="none" w:sz="0" w:space="0" w:color="auto"/>
            <w:left w:val="none" w:sz="0" w:space="0" w:color="auto"/>
            <w:bottom w:val="none" w:sz="0" w:space="0" w:color="auto"/>
            <w:right w:val="none" w:sz="0" w:space="0" w:color="auto"/>
          </w:divBdr>
          <w:divsChild>
            <w:div w:id="1331370225">
              <w:marLeft w:val="0"/>
              <w:marRight w:val="0"/>
              <w:marTop w:val="0"/>
              <w:marBottom w:val="0"/>
              <w:divBdr>
                <w:top w:val="none" w:sz="0" w:space="0" w:color="auto"/>
                <w:left w:val="none" w:sz="0" w:space="0" w:color="auto"/>
                <w:bottom w:val="none" w:sz="0" w:space="0" w:color="auto"/>
                <w:right w:val="none" w:sz="0" w:space="0" w:color="auto"/>
              </w:divBdr>
              <w:divsChild>
                <w:div w:id="1282683039">
                  <w:marLeft w:val="0"/>
                  <w:marRight w:val="0"/>
                  <w:marTop w:val="0"/>
                  <w:marBottom w:val="0"/>
                  <w:divBdr>
                    <w:top w:val="none" w:sz="0" w:space="0" w:color="auto"/>
                    <w:left w:val="none" w:sz="0" w:space="0" w:color="auto"/>
                    <w:bottom w:val="none" w:sz="0" w:space="0" w:color="auto"/>
                    <w:right w:val="none" w:sz="0" w:space="0" w:color="auto"/>
                  </w:divBdr>
                  <w:divsChild>
                    <w:div w:id="1608544779">
                      <w:marLeft w:val="0"/>
                      <w:marRight w:val="0"/>
                      <w:marTop w:val="0"/>
                      <w:marBottom w:val="0"/>
                      <w:divBdr>
                        <w:top w:val="none" w:sz="0" w:space="0" w:color="auto"/>
                        <w:left w:val="none" w:sz="0" w:space="0" w:color="auto"/>
                        <w:bottom w:val="none" w:sz="0" w:space="0" w:color="auto"/>
                        <w:right w:val="none" w:sz="0" w:space="0" w:color="auto"/>
                      </w:divBdr>
                      <w:divsChild>
                        <w:div w:id="457724252">
                          <w:marLeft w:val="90"/>
                          <w:marRight w:val="0"/>
                          <w:marTop w:val="0"/>
                          <w:marBottom w:val="0"/>
                          <w:divBdr>
                            <w:top w:val="none" w:sz="0" w:space="0" w:color="auto"/>
                            <w:left w:val="none" w:sz="0" w:space="0" w:color="auto"/>
                            <w:bottom w:val="none" w:sz="0" w:space="0" w:color="auto"/>
                            <w:right w:val="none" w:sz="0" w:space="0" w:color="auto"/>
                          </w:divBdr>
                          <w:divsChild>
                            <w:div w:id="1888952663">
                              <w:marLeft w:val="0"/>
                              <w:marRight w:val="0"/>
                              <w:marTop w:val="0"/>
                              <w:marBottom w:val="0"/>
                              <w:divBdr>
                                <w:top w:val="none" w:sz="0" w:space="0" w:color="auto"/>
                                <w:left w:val="none" w:sz="0" w:space="0" w:color="auto"/>
                                <w:bottom w:val="none" w:sz="0" w:space="0" w:color="auto"/>
                                <w:right w:val="none" w:sz="0" w:space="0" w:color="auto"/>
                              </w:divBdr>
                              <w:divsChild>
                                <w:div w:id="41908922">
                                  <w:marLeft w:val="0"/>
                                  <w:marRight w:val="0"/>
                                  <w:marTop w:val="0"/>
                                  <w:marBottom w:val="0"/>
                                  <w:divBdr>
                                    <w:top w:val="none" w:sz="0" w:space="0" w:color="auto"/>
                                    <w:left w:val="none" w:sz="0" w:space="0" w:color="auto"/>
                                    <w:bottom w:val="none" w:sz="0" w:space="0" w:color="auto"/>
                                    <w:right w:val="none" w:sz="0" w:space="0" w:color="auto"/>
                                  </w:divBdr>
                                  <w:divsChild>
                                    <w:div w:id="718168558">
                                      <w:marLeft w:val="0"/>
                                      <w:marRight w:val="0"/>
                                      <w:marTop w:val="0"/>
                                      <w:marBottom w:val="0"/>
                                      <w:divBdr>
                                        <w:top w:val="none" w:sz="0" w:space="0" w:color="auto"/>
                                        <w:left w:val="none" w:sz="0" w:space="0" w:color="auto"/>
                                        <w:bottom w:val="none" w:sz="0" w:space="0" w:color="auto"/>
                                        <w:right w:val="none" w:sz="0" w:space="0" w:color="auto"/>
                                      </w:divBdr>
                                      <w:divsChild>
                                        <w:div w:id="2016032349">
                                          <w:marLeft w:val="0"/>
                                          <w:marRight w:val="0"/>
                                          <w:marTop w:val="0"/>
                                          <w:marBottom w:val="0"/>
                                          <w:divBdr>
                                            <w:top w:val="none" w:sz="0" w:space="0" w:color="auto"/>
                                            <w:left w:val="none" w:sz="0" w:space="0" w:color="auto"/>
                                            <w:bottom w:val="none" w:sz="0" w:space="0" w:color="auto"/>
                                            <w:right w:val="none" w:sz="0" w:space="0" w:color="auto"/>
                                          </w:divBdr>
                                          <w:divsChild>
                                            <w:div w:id="665130259">
                                              <w:marLeft w:val="0"/>
                                              <w:marRight w:val="0"/>
                                              <w:marTop w:val="0"/>
                                              <w:marBottom w:val="0"/>
                                              <w:divBdr>
                                                <w:top w:val="none" w:sz="0" w:space="0" w:color="auto"/>
                                                <w:left w:val="none" w:sz="0" w:space="0" w:color="auto"/>
                                                <w:bottom w:val="none" w:sz="0" w:space="0" w:color="auto"/>
                                                <w:right w:val="none" w:sz="0" w:space="0" w:color="auto"/>
                                              </w:divBdr>
                                              <w:divsChild>
                                                <w:div w:id="1629970313">
                                                  <w:marLeft w:val="0"/>
                                                  <w:marRight w:val="0"/>
                                                  <w:marTop w:val="0"/>
                                                  <w:marBottom w:val="0"/>
                                                  <w:divBdr>
                                                    <w:top w:val="none" w:sz="0" w:space="0" w:color="auto"/>
                                                    <w:left w:val="none" w:sz="0" w:space="0" w:color="auto"/>
                                                    <w:bottom w:val="none" w:sz="0" w:space="0" w:color="auto"/>
                                                    <w:right w:val="none" w:sz="0" w:space="0" w:color="auto"/>
                                                  </w:divBdr>
                                                  <w:divsChild>
                                                    <w:div w:id="4420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463755">
      <w:bodyDiv w:val="1"/>
      <w:marLeft w:val="0"/>
      <w:marRight w:val="0"/>
      <w:marTop w:val="0"/>
      <w:marBottom w:val="0"/>
      <w:divBdr>
        <w:top w:val="none" w:sz="0" w:space="0" w:color="auto"/>
        <w:left w:val="none" w:sz="0" w:space="0" w:color="auto"/>
        <w:bottom w:val="none" w:sz="0" w:space="0" w:color="auto"/>
        <w:right w:val="none" w:sz="0" w:space="0" w:color="auto"/>
      </w:divBdr>
    </w:div>
    <w:div w:id="1958371990">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4E09-22DB-4F42-AE32-3864A428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1709</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12084</CharactersWithSpaces>
  <SharedDoc>false</SharedDoc>
  <HLinks>
    <vt:vector size="6" baseType="variant">
      <vt:variant>
        <vt:i4>5046298</vt:i4>
      </vt:variant>
      <vt:variant>
        <vt:i4>0</vt:i4>
      </vt:variant>
      <vt:variant>
        <vt:i4>0</vt:i4>
      </vt:variant>
      <vt:variant>
        <vt:i4>5</vt:i4>
      </vt:variant>
      <vt:variant>
        <vt:lpwstr>https://www.dva.gov.au/providers/fee-schedules/dental-and-allied-health-fee-schedules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Salib, Edward</cp:lastModifiedBy>
  <cp:revision>11</cp:revision>
  <cp:lastPrinted>2020-03-02T04:43:00Z</cp:lastPrinted>
  <dcterms:created xsi:type="dcterms:W3CDTF">2022-06-07T03:17:00Z</dcterms:created>
  <dcterms:modified xsi:type="dcterms:W3CDTF">2022-06-07T04:50:00Z</dcterms:modified>
</cp:coreProperties>
</file>