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0982" w14:textId="77777777" w:rsidR="00715914" w:rsidRPr="0073293F" w:rsidRDefault="00DA186E" w:rsidP="0073293F">
      <w:pPr>
        <w:rPr>
          <w:sz w:val="28"/>
        </w:rPr>
      </w:pPr>
      <w:r w:rsidRPr="0073293F">
        <w:rPr>
          <w:noProof/>
          <w:lang w:eastAsia="en-AU"/>
        </w:rPr>
        <w:drawing>
          <wp:inline distT="0" distB="0" distL="0" distR="0" wp14:anchorId="32E59284" wp14:editId="2C32A42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8FB7A00" w14:textId="77777777" w:rsidR="00715914" w:rsidRPr="0073293F" w:rsidRDefault="00715914" w:rsidP="0073293F">
      <w:pPr>
        <w:rPr>
          <w:sz w:val="19"/>
        </w:rPr>
      </w:pPr>
    </w:p>
    <w:p w14:paraId="32840733" w14:textId="2083FA7E" w:rsidR="00554826" w:rsidRPr="0073293F" w:rsidRDefault="00D07CE0" w:rsidP="0073293F">
      <w:pPr>
        <w:pStyle w:val="ShortT"/>
      </w:pPr>
      <w:bookmarkStart w:id="0" w:name="_Hlk71724890"/>
      <w:r w:rsidRPr="0073293F">
        <w:t>Automatic M</w:t>
      </w:r>
      <w:r w:rsidR="003E5EC7" w:rsidRPr="0073293F">
        <w:t>utual Recognition (</w:t>
      </w:r>
      <w:r w:rsidR="000F6D08" w:rsidRPr="0073293F">
        <w:t>Australian Capital Territory</w:t>
      </w:r>
      <w:r w:rsidR="003E5EC7" w:rsidRPr="0073293F">
        <w:t>) (Exemption</w:t>
      </w:r>
      <w:r w:rsidR="00D7496B" w:rsidRPr="0073293F">
        <w:t>s</w:t>
      </w:r>
      <w:r w:rsidR="004F0883" w:rsidRPr="0073293F">
        <w:t>—</w:t>
      </w:r>
      <w:r w:rsidR="00524721" w:rsidRPr="0073293F">
        <w:t>Casino Employee</w:t>
      </w:r>
      <w:r w:rsidR="003E5EC7" w:rsidRPr="0073293F">
        <w:t xml:space="preserve">) Declaration </w:t>
      </w:r>
      <w:r w:rsidR="000F6D08" w:rsidRPr="0073293F">
        <w:t>2022</w:t>
      </w:r>
    </w:p>
    <w:p w14:paraId="0E150805" w14:textId="0F499124" w:rsidR="00554826" w:rsidRPr="0073293F" w:rsidRDefault="00554826" w:rsidP="0073293F">
      <w:pPr>
        <w:pStyle w:val="SignCoverPageStart"/>
        <w:spacing w:before="240"/>
        <w:ind w:right="91"/>
        <w:rPr>
          <w:szCs w:val="22"/>
        </w:rPr>
      </w:pPr>
      <w:r w:rsidRPr="0073293F">
        <w:rPr>
          <w:szCs w:val="22"/>
        </w:rPr>
        <w:t xml:space="preserve">I, </w:t>
      </w:r>
      <w:r w:rsidR="000F6D08" w:rsidRPr="0073293F">
        <w:rPr>
          <w:szCs w:val="22"/>
        </w:rPr>
        <w:t>Andrew Barr</w:t>
      </w:r>
      <w:r w:rsidRPr="0073293F">
        <w:rPr>
          <w:szCs w:val="22"/>
        </w:rPr>
        <w:t xml:space="preserve">, </w:t>
      </w:r>
      <w:r w:rsidR="000F6D08" w:rsidRPr="0073293F">
        <w:rPr>
          <w:szCs w:val="22"/>
        </w:rPr>
        <w:t>Chief Minister for the Australian Capital Territory</w:t>
      </w:r>
      <w:r w:rsidRPr="0073293F">
        <w:rPr>
          <w:szCs w:val="22"/>
        </w:rPr>
        <w:t>, make the following</w:t>
      </w:r>
      <w:r w:rsidR="00D07CE0" w:rsidRPr="0073293F">
        <w:rPr>
          <w:szCs w:val="22"/>
        </w:rPr>
        <w:t xml:space="preserve"> declaration</w:t>
      </w:r>
      <w:r w:rsidRPr="0073293F">
        <w:rPr>
          <w:szCs w:val="22"/>
        </w:rPr>
        <w:t>.</w:t>
      </w:r>
    </w:p>
    <w:p w14:paraId="57E16F26" w14:textId="1259A2FB" w:rsidR="00554826" w:rsidRPr="0073293F" w:rsidRDefault="00554826" w:rsidP="0073293F">
      <w:pPr>
        <w:keepNext/>
        <w:spacing w:before="300" w:line="240" w:lineRule="atLeast"/>
        <w:ind w:right="397"/>
        <w:jc w:val="both"/>
        <w:rPr>
          <w:szCs w:val="22"/>
        </w:rPr>
      </w:pPr>
      <w:r w:rsidRPr="0073293F">
        <w:rPr>
          <w:szCs w:val="22"/>
        </w:rPr>
        <w:t>Dated</w:t>
      </w:r>
      <w:r w:rsidRPr="0073293F">
        <w:rPr>
          <w:szCs w:val="22"/>
        </w:rPr>
        <w:tab/>
      </w:r>
      <w:r w:rsidRPr="0073293F">
        <w:rPr>
          <w:szCs w:val="22"/>
        </w:rPr>
        <w:tab/>
      </w:r>
      <w:r w:rsidR="0073293F" w:rsidRPr="0073293F">
        <w:rPr>
          <w:szCs w:val="22"/>
        </w:rPr>
        <w:t>27 June 2022</w:t>
      </w:r>
      <w:r w:rsidRPr="0073293F">
        <w:rPr>
          <w:szCs w:val="22"/>
        </w:rPr>
        <w:tab/>
      </w:r>
      <w:r w:rsidRPr="0073293F">
        <w:rPr>
          <w:szCs w:val="22"/>
        </w:rPr>
        <w:tab/>
      </w:r>
    </w:p>
    <w:p w14:paraId="7E71DBA5" w14:textId="31703992" w:rsidR="00554826" w:rsidRPr="0073293F" w:rsidRDefault="000F6D08" w:rsidP="0073293F">
      <w:pPr>
        <w:keepNext/>
        <w:tabs>
          <w:tab w:val="left" w:pos="3402"/>
        </w:tabs>
        <w:spacing w:before="1440" w:line="300" w:lineRule="atLeast"/>
        <w:ind w:right="397"/>
        <w:rPr>
          <w:b/>
          <w:szCs w:val="22"/>
        </w:rPr>
      </w:pPr>
      <w:r w:rsidRPr="0073293F">
        <w:rPr>
          <w:szCs w:val="22"/>
        </w:rPr>
        <w:t>Andrew Barr</w:t>
      </w:r>
      <w:r w:rsidR="00554826" w:rsidRPr="0073293F">
        <w:rPr>
          <w:szCs w:val="22"/>
        </w:rPr>
        <w:t xml:space="preserve"> </w:t>
      </w:r>
    </w:p>
    <w:p w14:paraId="710436C9" w14:textId="6BE61CEF" w:rsidR="00554826" w:rsidRPr="0073293F" w:rsidRDefault="000F6D08" w:rsidP="0073293F">
      <w:pPr>
        <w:pStyle w:val="SignCoverPageEnd"/>
        <w:ind w:right="91"/>
        <w:rPr>
          <w:sz w:val="22"/>
        </w:rPr>
      </w:pPr>
      <w:r w:rsidRPr="0073293F">
        <w:rPr>
          <w:sz w:val="22"/>
        </w:rPr>
        <w:t>Chief Minister</w:t>
      </w:r>
    </w:p>
    <w:p w14:paraId="49B6A1F3" w14:textId="77777777" w:rsidR="00554826" w:rsidRPr="0073293F" w:rsidRDefault="00554826" w:rsidP="0073293F"/>
    <w:p w14:paraId="7E6FB486" w14:textId="77777777" w:rsidR="00554826" w:rsidRPr="0073293F" w:rsidRDefault="00554826" w:rsidP="0073293F"/>
    <w:bookmarkEnd w:id="0"/>
    <w:p w14:paraId="1E6D834D" w14:textId="77777777" w:rsidR="00F6696E" w:rsidRPr="0073293F" w:rsidRDefault="00F6696E" w:rsidP="0073293F"/>
    <w:p w14:paraId="6A52D5F2" w14:textId="77777777" w:rsidR="00F6696E" w:rsidRPr="0073293F" w:rsidRDefault="00F6696E" w:rsidP="0073293F">
      <w:pPr>
        <w:sectPr w:rsidR="00F6696E" w:rsidRPr="0073293F"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06E68EDE" w14:textId="77777777" w:rsidR="007500C8" w:rsidRPr="0073293F" w:rsidRDefault="00715914" w:rsidP="0073293F">
      <w:pPr>
        <w:outlineLvl w:val="0"/>
        <w:rPr>
          <w:sz w:val="36"/>
        </w:rPr>
      </w:pPr>
      <w:bookmarkStart w:id="1" w:name="_Hlk71724986"/>
      <w:r w:rsidRPr="0073293F">
        <w:rPr>
          <w:sz w:val="36"/>
        </w:rPr>
        <w:lastRenderedPageBreak/>
        <w:t>Contents</w:t>
      </w:r>
    </w:p>
    <w:p w14:paraId="372D4539" w14:textId="0B664478" w:rsidR="007640FB" w:rsidRPr="0073293F" w:rsidRDefault="00B418CB" w:rsidP="0073293F">
      <w:pPr>
        <w:pStyle w:val="TOC5"/>
        <w:rPr>
          <w:rFonts w:asciiTheme="minorHAnsi" w:eastAsiaTheme="minorEastAsia" w:hAnsiTheme="minorHAnsi" w:cstheme="minorBidi"/>
          <w:noProof/>
          <w:kern w:val="0"/>
          <w:sz w:val="22"/>
          <w:szCs w:val="22"/>
        </w:rPr>
      </w:pPr>
      <w:r w:rsidRPr="0073293F">
        <w:fldChar w:fldCharType="begin"/>
      </w:r>
      <w:r w:rsidRPr="0073293F">
        <w:instrText xml:space="preserve"> TOC \o "1-9" </w:instrText>
      </w:r>
      <w:r w:rsidRPr="0073293F">
        <w:fldChar w:fldCharType="separate"/>
      </w:r>
      <w:r w:rsidR="007640FB" w:rsidRPr="0073293F">
        <w:rPr>
          <w:noProof/>
        </w:rPr>
        <w:t>1  Name</w:t>
      </w:r>
      <w:r w:rsidR="007640FB" w:rsidRPr="0073293F">
        <w:rPr>
          <w:noProof/>
        </w:rPr>
        <w:tab/>
      </w:r>
      <w:r w:rsidR="007640FB" w:rsidRPr="0073293F">
        <w:rPr>
          <w:noProof/>
        </w:rPr>
        <w:fldChar w:fldCharType="begin"/>
      </w:r>
      <w:r w:rsidR="007640FB" w:rsidRPr="0073293F">
        <w:rPr>
          <w:noProof/>
        </w:rPr>
        <w:instrText xml:space="preserve"> PAGEREF _Toc106982790 \h </w:instrText>
      </w:r>
      <w:r w:rsidR="007640FB" w:rsidRPr="0073293F">
        <w:rPr>
          <w:noProof/>
        </w:rPr>
      </w:r>
      <w:r w:rsidR="007640FB" w:rsidRPr="0073293F">
        <w:rPr>
          <w:noProof/>
        </w:rPr>
        <w:fldChar w:fldCharType="separate"/>
      </w:r>
      <w:r w:rsidR="007640FB" w:rsidRPr="0073293F">
        <w:rPr>
          <w:noProof/>
        </w:rPr>
        <w:t>1</w:t>
      </w:r>
      <w:r w:rsidR="007640FB" w:rsidRPr="0073293F">
        <w:rPr>
          <w:noProof/>
        </w:rPr>
        <w:fldChar w:fldCharType="end"/>
      </w:r>
    </w:p>
    <w:p w14:paraId="5EC56C7A" w14:textId="4EE2040B"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2  Commencement</w:t>
      </w:r>
      <w:r w:rsidRPr="0073293F">
        <w:rPr>
          <w:noProof/>
        </w:rPr>
        <w:tab/>
      </w:r>
      <w:r w:rsidRPr="0073293F">
        <w:rPr>
          <w:noProof/>
        </w:rPr>
        <w:fldChar w:fldCharType="begin"/>
      </w:r>
      <w:r w:rsidRPr="0073293F">
        <w:rPr>
          <w:noProof/>
        </w:rPr>
        <w:instrText xml:space="preserve"> PAGEREF _Toc106982791 \h </w:instrText>
      </w:r>
      <w:r w:rsidRPr="0073293F">
        <w:rPr>
          <w:noProof/>
        </w:rPr>
      </w:r>
      <w:r w:rsidRPr="0073293F">
        <w:rPr>
          <w:noProof/>
        </w:rPr>
        <w:fldChar w:fldCharType="separate"/>
      </w:r>
      <w:r w:rsidRPr="0073293F">
        <w:rPr>
          <w:noProof/>
        </w:rPr>
        <w:t>1</w:t>
      </w:r>
      <w:r w:rsidRPr="0073293F">
        <w:rPr>
          <w:noProof/>
        </w:rPr>
        <w:fldChar w:fldCharType="end"/>
      </w:r>
    </w:p>
    <w:p w14:paraId="56DF7D2E" w14:textId="64200D02"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3  Authority</w:t>
      </w:r>
      <w:r w:rsidRPr="0073293F">
        <w:rPr>
          <w:noProof/>
        </w:rPr>
        <w:tab/>
      </w:r>
      <w:r w:rsidRPr="0073293F">
        <w:rPr>
          <w:noProof/>
        </w:rPr>
        <w:fldChar w:fldCharType="begin"/>
      </w:r>
      <w:r w:rsidRPr="0073293F">
        <w:rPr>
          <w:noProof/>
        </w:rPr>
        <w:instrText xml:space="preserve"> PAGEREF _Toc106982792 \h </w:instrText>
      </w:r>
      <w:r w:rsidRPr="0073293F">
        <w:rPr>
          <w:noProof/>
        </w:rPr>
      </w:r>
      <w:r w:rsidRPr="0073293F">
        <w:rPr>
          <w:noProof/>
        </w:rPr>
        <w:fldChar w:fldCharType="separate"/>
      </w:r>
      <w:r w:rsidRPr="0073293F">
        <w:rPr>
          <w:noProof/>
        </w:rPr>
        <w:t>1</w:t>
      </w:r>
      <w:r w:rsidRPr="0073293F">
        <w:rPr>
          <w:noProof/>
        </w:rPr>
        <w:fldChar w:fldCharType="end"/>
      </w:r>
    </w:p>
    <w:p w14:paraId="56D22706" w14:textId="059A513B"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4  Simplified outline of this instrument</w:t>
      </w:r>
      <w:r w:rsidRPr="0073293F">
        <w:rPr>
          <w:noProof/>
        </w:rPr>
        <w:tab/>
      </w:r>
      <w:r w:rsidRPr="0073293F">
        <w:rPr>
          <w:noProof/>
        </w:rPr>
        <w:fldChar w:fldCharType="begin"/>
      </w:r>
      <w:r w:rsidRPr="0073293F">
        <w:rPr>
          <w:noProof/>
        </w:rPr>
        <w:instrText xml:space="preserve"> PAGEREF _Toc106982793 \h </w:instrText>
      </w:r>
      <w:r w:rsidRPr="0073293F">
        <w:rPr>
          <w:noProof/>
        </w:rPr>
      </w:r>
      <w:r w:rsidRPr="0073293F">
        <w:rPr>
          <w:noProof/>
        </w:rPr>
        <w:fldChar w:fldCharType="separate"/>
      </w:r>
      <w:r w:rsidRPr="0073293F">
        <w:rPr>
          <w:noProof/>
        </w:rPr>
        <w:t>1</w:t>
      </w:r>
      <w:r w:rsidRPr="0073293F">
        <w:rPr>
          <w:noProof/>
        </w:rPr>
        <w:fldChar w:fldCharType="end"/>
      </w:r>
    </w:p>
    <w:p w14:paraId="572FFECC" w14:textId="6B043B45"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5  Definitions</w:t>
      </w:r>
      <w:r w:rsidRPr="0073293F">
        <w:rPr>
          <w:noProof/>
        </w:rPr>
        <w:tab/>
      </w:r>
      <w:r w:rsidRPr="0073293F">
        <w:rPr>
          <w:noProof/>
        </w:rPr>
        <w:fldChar w:fldCharType="begin"/>
      </w:r>
      <w:r w:rsidRPr="0073293F">
        <w:rPr>
          <w:noProof/>
        </w:rPr>
        <w:instrText xml:space="preserve"> PAGEREF _Toc106982794 \h </w:instrText>
      </w:r>
      <w:r w:rsidRPr="0073293F">
        <w:rPr>
          <w:noProof/>
        </w:rPr>
      </w:r>
      <w:r w:rsidRPr="0073293F">
        <w:rPr>
          <w:noProof/>
        </w:rPr>
        <w:fldChar w:fldCharType="separate"/>
      </w:r>
      <w:r w:rsidRPr="0073293F">
        <w:rPr>
          <w:noProof/>
        </w:rPr>
        <w:t>1</w:t>
      </w:r>
      <w:r w:rsidRPr="0073293F">
        <w:rPr>
          <w:noProof/>
        </w:rPr>
        <w:fldChar w:fldCharType="end"/>
      </w:r>
    </w:p>
    <w:p w14:paraId="674ECE58" w14:textId="75B43623"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6  Exemption</w:t>
      </w:r>
      <w:r w:rsidRPr="0073293F">
        <w:rPr>
          <w:noProof/>
        </w:rPr>
        <w:tab/>
      </w:r>
      <w:r w:rsidRPr="0073293F">
        <w:rPr>
          <w:noProof/>
        </w:rPr>
        <w:fldChar w:fldCharType="begin"/>
      </w:r>
      <w:r w:rsidRPr="0073293F">
        <w:rPr>
          <w:noProof/>
        </w:rPr>
        <w:instrText xml:space="preserve"> PAGEREF _Toc106982795 \h </w:instrText>
      </w:r>
      <w:r w:rsidRPr="0073293F">
        <w:rPr>
          <w:noProof/>
        </w:rPr>
      </w:r>
      <w:r w:rsidRPr="0073293F">
        <w:rPr>
          <w:noProof/>
        </w:rPr>
        <w:fldChar w:fldCharType="separate"/>
      </w:r>
      <w:r w:rsidRPr="0073293F">
        <w:rPr>
          <w:noProof/>
        </w:rPr>
        <w:t>2</w:t>
      </w:r>
      <w:r w:rsidRPr="0073293F">
        <w:rPr>
          <w:noProof/>
        </w:rPr>
        <w:fldChar w:fldCharType="end"/>
      </w:r>
    </w:p>
    <w:p w14:paraId="554EF7EF" w14:textId="6C25604F"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7  Significant risk statement</w:t>
      </w:r>
      <w:r w:rsidRPr="0073293F">
        <w:rPr>
          <w:noProof/>
        </w:rPr>
        <w:tab/>
      </w:r>
      <w:r w:rsidRPr="0073293F">
        <w:rPr>
          <w:noProof/>
        </w:rPr>
        <w:fldChar w:fldCharType="begin"/>
      </w:r>
      <w:r w:rsidRPr="0073293F">
        <w:rPr>
          <w:noProof/>
        </w:rPr>
        <w:instrText xml:space="preserve"> PAGEREF _Toc106982796 \h </w:instrText>
      </w:r>
      <w:r w:rsidRPr="0073293F">
        <w:rPr>
          <w:noProof/>
        </w:rPr>
      </w:r>
      <w:r w:rsidRPr="0073293F">
        <w:rPr>
          <w:noProof/>
        </w:rPr>
        <w:fldChar w:fldCharType="separate"/>
      </w:r>
      <w:r w:rsidRPr="0073293F">
        <w:rPr>
          <w:noProof/>
        </w:rPr>
        <w:t>2</w:t>
      </w:r>
      <w:r w:rsidRPr="0073293F">
        <w:rPr>
          <w:noProof/>
        </w:rPr>
        <w:fldChar w:fldCharType="end"/>
      </w:r>
    </w:p>
    <w:p w14:paraId="518A703A" w14:textId="096A4677" w:rsidR="007640FB" w:rsidRPr="0073293F" w:rsidRDefault="007640FB" w:rsidP="0073293F">
      <w:pPr>
        <w:pStyle w:val="TOC5"/>
        <w:rPr>
          <w:rFonts w:asciiTheme="minorHAnsi" w:eastAsiaTheme="minorEastAsia" w:hAnsiTheme="minorHAnsi" w:cstheme="minorBidi"/>
          <w:noProof/>
          <w:kern w:val="0"/>
          <w:sz w:val="22"/>
          <w:szCs w:val="22"/>
        </w:rPr>
      </w:pPr>
      <w:r w:rsidRPr="0073293F">
        <w:rPr>
          <w:noProof/>
        </w:rPr>
        <w:t>8  Human Rights Act statement</w:t>
      </w:r>
      <w:r w:rsidRPr="0073293F">
        <w:rPr>
          <w:noProof/>
        </w:rPr>
        <w:tab/>
      </w:r>
      <w:r w:rsidRPr="0073293F">
        <w:rPr>
          <w:noProof/>
        </w:rPr>
        <w:fldChar w:fldCharType="begin"/>
      </w:r>
      <w:r w:rsidRPr="0073293F">
        <w:rPr>
          <w:noProof/>
        </w:rPr>
        <w:instrText xml:space="preserve"> PAGEREF _Toc106982797 \h </w:instrText>
      </w:r>
      <w:r w:rsidRPr="0073293F">
        <w:rPr>
          <w:noProof/>
        </w:rPr>
      </w:r>
      <w:r w:rsidRPr="0073293F">
        <w:rPr>
          <w:noProof/>
        </w:rPr>
        <w:fldChar w:fldCharType="separate"/>
      </w:r>
      <w:r w:rsidRPr="0073293F">
        <w:rPr>
          <w:noProof/>
        </w:rPr>
        <w:t>2</w:t>
      </w:r>
      <w:r w:rsidRPr="0073293F">
        <w:rPr>
          <w:noProof/>
        </w:rPr>
        <w:fldChar w:fldCharType="end"/>
      </w:r>
    </w:p>
    <w:p w14:paraId="26115257" w14:textId="47004A32" w:rsidR="00F6696E" w:rsidRPr="0073293F" w:rsidRDefault="00B418CB" w:rsidP="0073293F">
      <w:pPr>
        <w:outlineLvl w:val="0"/>
      </w:pPr>
      <w:r w:rsidRPr="0073293F">
        <w:fldChar w:fldCharType="end"/>
      </w:r>
    </w:p>
    <w:bookmarkEnd w:id="1"/>
    <w:p w14:paraId="01908B22" w14:textId="77777777" w:rsidR="00F6696E" w:rsidRPr="0073293F" w:rsidRDefault="00F6696E" w:rsidP="0073293F">
      <w:pPr>
        <w:outlineLvl w:val="0"/>
        <w:rPr>
          <w:sz w:val="20"/>
        </w:rPr>
      </w:pPr>
    </w:p>
    <w:p w14:paraId="21363B52" w14:textId="77777777" w:rsidR="00F6696E" w:rsidRPr="0073293F" w:rsidRDefault="00F6696E" w:rsidP="0073293F">
      <w:pPr>
        <w:sectPr w:rsidR="00F6696E" w:rsidRPr="0073293F" w:rsidSect="008648A8">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388E7376" w14:textId="77777777" w:rsidR="00554826" w:rsidRPr="0073293F" w:rsidRDefault="00554826" w:rsidP="0073293F">
      <w:pPr>
        <w:pStyle w:val="ActHead5"/>
      </w:pPr>
      <w:bookmarkStart w:id="2" w:name="_Toc106982790"/>
      <w:bookmarkStart w:id="3" w:name="_Hlk71724957"/>
      <w:r w:rsidRPr="0073293F">
        <w:lastRenderedPageBreak/>
        <w:t>1  Name</w:t>
      </w:r>
      <w:bookmarkEnd w:id="2"/>
    </w:p>
    <w:p w14:paraId="622FDE8A" w14:textId="25024B3D" w:rsidR="004F0883" w:rsidRPr="0073293F" w:rsidRDefault="00554826" w:rsidP="0073293F">
      <w:pPr>
        <w:pStyle w:val="subsection"/>
      </w:pPr>
      <w:r w:rsidRPr="0073293F">
        <w:tab/>
      </w:r>
      <w:r w:rsidRPr="0073293F">
        <w:tab/>
        <w:t xml:space="preserve">This instrument is the </w:t>
      </w:r>
      <w:bookmarkStart w:id="4" w:name="BKCheck15B_3"/>
      <w:bookmarkEnd w:id="4"/>
      <w:r w:rsidR="00D07CE0" w:rsidRPr="0073293F">
        <w:t>Automatic Mutual Recognition (</w:t>
      </w:r>
      <w:r w:rsidR="000F6D08" w:rsidRPr="0073293F">
        <w:t>Australian Capital Territory</w:t>
      </w:r>
      <w:r w:rsidR="00D07CE0" w:rsidRPr="0073293F">
        <w:t>) (Exemption</w:t>
      </w:r>
      <w:r w:rsidR="000C28FC" w:rsidRPr="0073293F">
        <w:t>s—</w:t>
      </w:r>
      <w:r w:rsidR="00524721" w:rsidRPr="0073293F">
        <w:t>Casino Employee</w:t>
      </w:r>
      <w:r w:rsidR="00D07CE0" w:rsidRPr="0073293F">
        <w:t xml:space="preserve">) Declaration </w:t>
      </w:r>
      <w:r w:rsidR="000F6D08" w:rsidRPr="0073293F">
        <w:t>2022</w:t>
      </w:r>
      <w:r w:rsidRPr="0073293F">
        <w:t>.</w:t>
      </w:r>
    </w:p>
    <w:p w14:paraId="66D55BE8" w14:textId="77777777" w:rsidR="00554826" w:rsidRPr="0073293F" w:rsidRDefault="00554826" w:rsidP="0073293F">
      <w:pPr>
        <w:pStyle w:val="ActHead5"/>
      </w:pPr>
      <w:bookmarkStart w:id="5" w:name="_Toc106982791"/>
      <w:r w:rsidRPr="0073293F">
        <w:t>2  Commencement</w:t>
      </w:r>
      <w:bookmarkEnd w:id="5"/>
    </w:p>
    <w:p w14:paraId="2233CDA4" w14:textId="77777777" w:rsidR="003767E2" w:rsidRPr="0073293F" w:rsidRDefault="003767E2" w:rsidP="0073293F">
      <w:pPr>
        <w:pStyle w:val="subsection"/>
      </w:pPr>
      <w:r w:rsidRPr="0073293F">
        <w:tab/>
        <w:t>(1)</w:t>
      </w:r>
      <w:r w:rsidRPr="0073293F">
        <w:tab/>
        <w:t>Each provision of this instrument specified in column 1 of the table commences, or is taken to have commenced, in accordance with column 2 of the table. Any other statement in column 2 has effect according to its terms.</w:t>
      </w:r>
    </w:p>
    <w:p w14:paraId="3864D7CF" w14:textId="77777777" w:rsidR="003767E2" w:rsidRPr="0073293F" w:rsidRDefault="003767E2" w:rsidP="0073293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73293F" w14:paraId="1C5CCD35" w14:textId="77777777" w:rsidTr="008648A8">
        <w:trPr>
          <w:tblHeader/>
        </w:trPr>
        <w:tc>
          <w:tcPr>
            <w:tcW w:w="8364" w:type="dxa"/>
            <w:gridSpan w:val="3"/>
            <w:tcBorders>
              <w:top w:val="single" w:sz="12" w:space="0" w:color="auto"/>
              <w:bottom w:val="single" w:sz="6" w:space="0" w:color="auto"/>
            </w:tcBorders>
            <w:shd w:val="clear" w:color="auto" w:fill="auto"/>
            <w:hideMark/>
          </w:tcPr>
          <w:p w14:paraId="0FB7E1C4" w14:textId="77777777" w:rsidR="003767E2" w:rsidRPr="0073293F" w:rsidRDefault="003767E2" w:rsidP="0073293F">
            <w:pPr>
              <w:pStyle w:val="TableHeading"/>
            </w:pPr>
            <w:r w:rsidRPr="0073293F">
              <w:t>Commencement information</w:t>
            </w:r>
          </w:p>
        </w:tc>
      </w:tr>
      <w:tr w:rsidR="003767E2" w:rsidRPr="0073293F" w14:paraId="61AD1A93" w14:textId="77777777" w:rsidTr="008648A8">
        <w:trPr>
          <w:tblHeader/>
        </w:trPr>
        <w:tc>
          <w:tcPr>
            <w:tcW w:w="2127" w:type="dxa"/>
            <w:tcBorders>
              <w:top w:val="single" w:sz="6" w:space="0" w:color="auto"/>
              <w:bottom w:val="single" w:sz="6" w:space="0" w:color="auto"/>
            </w:tcBorders>
            <w:shd w:val="clear" w:color="auto" w:fill="auto"/>
            <w:hideMark/>
          </w:tcPr>
          <w:p w14:paraId="2F393C27" w14:textId="77777777" w:rsidR="003767E2" w:rsidRPr="0073293F" w:rsidRDefault="003767E2" w:rsidP="0073293F">
            <w:pPr>
              <w:pStyle w:val="TableHeading"/>
            </w:pPr>
            <w:r w:rsidRPr="0073293F">
              <w:t>Column 1</w:t>
            </w:r>
          </w:p>
        </w:tc>
        <w:tc>
          <w:tcPr>
            <w:tcW w:w="4394" w:type="dxa"/>
            <w:tcBorders>
              <w:top w:val="single" w:sz="6" w:space="0" w:color="auto"/>
              <w:bottom w:val="single" w:sz="6" w:space="0" w:color="auto"/>
            </w:tcBorders>
            <w:shd w:val="clear" w:color="auto" w:fill="auto"/>
            <w:hideMark/>
          </w:tcPr>
          <w:p w14:paraId="41C56C19" w14:textId="77777777" w:rsidR="003767E2" w:rsidRPr="0073293F" w:rsidRDefault="003767E2" w:rsidP="0073293F">
            <w:pPr>
              <w:pStyle w:val="TableHeading"/>
            </w:pPr>
            <w:r w:rsidRPr="0073293F">
              <w:t>Column 2</w:t>
            </w:r>
          </w:p>
        </w:tc>
        <w:tc>
          <w:tcPr>
            <w:tcW w:w="1843" w:type="dxa"/>
            <w:tcBorders>
              <w:top w:val="single" w:sz="6" w:space="0" w:color="auto"/>
              <w:bottom w:val="single" w:sz="6" w:space="0" w:color="auto"/>
            </w:tcBorders>
            <w:shd w:val="clear" w:color="auto" w:fill="auto"/>
            <w:hideMark/>
          </w:tcPr>
          <w:p w14:paraId="4DD0E34F" w14:textId="77777777" w:rsidR="003767E2" w:rsidRPr="0073293F" w:rsidRDefault="003767E2" w:rsidP="0073293F">
            <w:pPr>
              <w:pStyle w:val="TableHeading"/>
            </w:pPr>
            <w:r w:rsidRPr="0073293F">
              <w:t>Column 3</w:t>
            </w:r>
          </w:p>
        </w:tc>
      </w:tr>
      <w:tr w:rsidR="003767E2" w:rsidRPr="0073293F" w14:paraId="35289187" w14:textId="77777777" w:rsidTr="008648A8">
        <w:trPr>
          <w:tblHeader/>
        </w:trPr>
        <w:tc>
          <w:tcPr>
            <w:tcW w:w="2127" w:type="dxa"/>
            <w:tcBorders>
              <w:top w:val="single" w:sz="6" w:space="0" w:color="auto"/>
              <w:bottom w:val="single" w:sz="12" w:space="0" w:color="auto"/>
            </w:tcBorders>
            <w:shd w:val="clear" w:color="auto" w:fill="auto"/>
            <w:hideMark/>
          </w:tcPr>
          <w:p w14:paraId="48E1612E" w14:textId="77777777" w:rsidR="003767E2" w:rsidRPr="0073293F" w:rsidRDefault="003767E2" w:rsidP="0073293F">
            <w:pPr>
              <w:pStyle w:val="TableHeading"/>
            </w:pPr>
            <w:r w:rsidRPr="0073293F">
              <w:t>Provisions</w:t>
            </w:r>
          </w:p>
        </w:tc>
        <w:tc>
          <w:tcPr>
            <w:tcW w:w="4394" w:type="dxa"/>
            <w:tcBorders>
              <w:top w:val="single" w:sz="6" w:space="0" w:color="auto"/>
              <w:bottom w:val="single" w:sz="12" w:space="0" w:color="auto"/>
            </w:tcBorders>
            <w:shd w:val="clear" w:color="auto" w:fill="auto"/>
            <w:hideMark/>
          </w:tcPr>
          <w:p w14:paraId="0959EB25" w14:textId="77777777" w:rsidR="003767E2" w:rsidRPr="0073293F" w:rsidRDefault="003767E2" w:rsidP="0073293F">
            <w:pPr>
              <w:pStyle w:val="TableHeading"/>
            </w:pPr>
            <w:r w:rsidRPr="0073293F">
              <w:t>Commencement</w:t>
            </w:r>
          </w:p>
        </w:tc>
        <w:tc>
          <w:tcPr>
            <w:tcW w:w="1843" w:type="dxa"/>
            <w:tcBorders>
              <w:top w:val="single" w:sz="6" w:space="0" w:color="auto"/>
              <w:bottom w:val="single" w:sz="12" w:space="0" w:color="auto"/>
            </w:tcBorders>
            <w:shd w:val="clear" w:color="auto" w:fill="auto"/>
            <w:hideMark/>
          </w:tcPr>
          <w:p w14:paraId="599E9E37" w14:textId="77777777" w:rsidR="003767E2" w:rsidRPr="0073293F" w:rsidRDefault="003767E2" w:rsidP="0073293F">
            <w:pPr>
              <w:pStyle w:val="TableHeading"/>
            </w:pPr>
            <w:r w:rsidRPr="0073293F">
              <w:t>Date/Details</w:t>
            </w:r>
          </w:p>
        </w:tc>
      </w:tr>
      <w:tr w:rsidR="003767E2" w:rsidRPr="0073293F" w14:paraId="737FC730" w14:textId="77777777" w:rsidTr="008648A8">
        <w:tc>
          <w:tcPr>
            <w:tcW w:w="2127" w:type="dxa"/>
            <w:tcBorders>
              <w:top w:val="single" w:sz="12" w:space="0" w:color="auto"/>
              <w:bottom w:val="single" w:sz="12" w:space="0" w:color="auto"/>
            </w:tcBorders>
            <w:shd w:val="clear" w:color="auto" w:fill="auto"/>
            <w:hideMark/>
          </w:tcPr>
          <w:p w14:paraId="7063B0F2" w14:textId="77777777" w:rsidR="003767E2" w:rsidRPr="0073293F" w:rsidRDefault="003767E2" w:rsidP="0073293F">
            <w:pPr>
              <w:pStyle w:val="Tabletext"/>
              <w:rPr>
                <w:i/>
              </w:rPr>
            </w:pPr>
            <w:r w:rsidRPr="0073293F">
              <w:t xml:space="preserve">1.  </w:t>
            </w:r>
            <w:r w:rsidR="00D07CE0" w:rsidRPr="0073293F">
              <w:t>The whole of this instrument</w:t>
            </w:r>
          </w:p>
        </w:tc>
        <w:tc>
          <w:tcPr>
            <w:tcW w:w="4394" w:type="dxa"/>
            <w:tcBorders>
              <w:top w:val="single" w:sz="12" w:space="0" w:color="auto"/>
              <w:bottom w:val="single" w:sz="12" w:space="0" w:color="auto"/>
            </w:tcBorders>
            <w:shd w:val="clear" w:color="auto" w:fill="auto"/>
            <w:hideMark/>
          </w:tcPr>
          <w:p w14:paraId="3B882A00" w14:textId="099757F8" w:rsidR="003767E2" w:rsidRPr="0073293F" w:rsidRDefault="000F6D08" w:rsidP="0073293F">
            <w:pPr>
              <w:pStyle w:val="Tabletext"/>
            </w:pPr>
            <w:r w:rsidRPr="0073293F">
              <w:t>1 July 2022</w:t>
            </w:r>
            <w:r w:rsidR="003767E2" w:rsidRPr="0073293F">
              <w:t>.</w:t>
            </w:r>
          </w:p>
        </w:tc>
        <w:tc>
          <w:tcPr>
            <w:tcW w:w="1843" w:type="dxa"/>
            <w:tcBorders>
              <w:top w:val="single" w:sz="12" w:space="0" w:color="auto"/>
              <w:bottom w:val="single" w:sz="12" w:space="0" w:color="auto"/>
            </w:tcBorders>
            <w:shd w:val="clear" w:color="auto" w:fill="auto"/>
          </w:tcPr>
          <w:p w14:paraId="71C02607" w14:textId="500B7983" w:rsidR="003767E2" w:rsidRPr="0073293F" w:rsidRDefault="000F6D08" w:rsidP="0073293F">
            <w:pPr>
              <w:pStyle w:val="Tabletext"/>
            </w:pPr>
            <w:r w:rsidRPr="0073293F">
              <w:t>1 July 2022</w:t>
            </w:r>
            <w:r w:rsidR="003767E2" w:rsidRPr="0073293F">
              <w:t>.</w:t>
            </w:r>
          </w:p>
        </w:tc>
      </w:tr>
    </w:tbl>
    <w:p w14:paraId="080964F7" w14:textId="77777777" w:rsidR="003767E2" w:rsidRPr="0073293F" w:rsidRDefault="003767E2" w:rsidP="0073293F">
      <w:pPr>
        <w:pStyle w:val="notetext"/>
      </w:pPr>
      <w:r w:rsidRPr="0073293F">
        <w:rPr>
          <w:snapToGrid w:val="0"/>
          <w:lang w:eastAsia="en-US"/>
        </w:rPr>
        <w:t>Note:</w:t>
      </w:r>
      <w:r w:rsidRPr="0073293F">
        <w:rPr>
          <w:snapToGrid w:val="0"/>
          <w:lang w:eastAsia="en-US"/>
        </w:rPr>
        <w:tab/>
        <w:t>This table relates only to the provisions of this instrument</w:t>
      </w:r>
      <w:r w:rsidRPr="0073293F">
        <w:t xml:space="preserve"> </w:t>
      </w:r>
      <w:r w:rsidRPr="0073293F">
        <w:rPr>
          <w:snapToGrid w:val="0"/>
          <w:lang w:eastAsia="en-US"/>
        </w:rPr>
        <w:t>as originally made. It will not be amended to deal with any later amendments of this instrument.</w:t>
      </w:r>
    </w:p>
    <w:p w14:paraId="01179759" w14:textId="24028F1B" w:rsidR="008648A8" w:rsidRPr="0073293F" w:rsidRDefault="003767E2" w:rsidP="0073293F">
      <w:pPr>
        <w:pStyle w:val="subsection"/>
      </w:pPr>
      <w:r w:rsidRPr="0073293F">
        <w:tab/>
        <w:t>(2)</w:t>
      </w:r>
      <w:r w:rsidRPr="0073293F">
        <w:tab/>
        <w:t>Any information in column 3 of the table is not part of this instrument. Information may be inserted in this column, or information in it may be edited, in any published version of this instrument.</w:t>
      </w:r>
    </w:p>
    <w:p w14:paraId="0115DC92" w14:textId="77777777" w:rsidR="00554826" w:rsidRPr="0073293F" w:rsidRDefault="00554826" w:rsidP="0073293F">
      <w:pPr>
        <w:pStyle w:val="ActHead5"/>
      </w:pPr>
      <w:bookmarkStart w:id="6" w:name="_Toc106982792"/>
      <w:r w:rsidRPr="0073293F">
        <w:t>3  Authority</w:t>
      </w:r>
      <w:bookmarkEnd w:id="6"/>
    </w:p>
    <w:p w14:paraId="3EBB7919" w14:textId="26971CF8" w:rsidR="00554826" w:rsidRPr="0073293F" w:rsidRDefault="00554826" w:rsidP="0073293F">
      <w:pPr>
        <w:pStyle w:val="subsection"/>
      </w:pPr>
      <w:r w:rsidRPr="0073293F">
        <w:tab/>
      </w:r>
      <w:r w:rsidRPr="0073293F">
        <w:tab/>
        <w:t>This instrument is made under</w:t>
      </w:r>
      <w:r w:rsidR="00D07CE0" w:rsidRPr="0073293F">
        <w:t xml:space="preserve"> section 42S of the </w:t>
      </w:r>
      <w:r w:rsidR="00D07CE0" w:rsidRPr="0073293F">
        <w:rPr>
          <w:i/>
        </w:rPr>
        <w:t>Mutual Recognition Act</w:t>
      </w:r>
      <w:r w:rsidR="00B00CD8" w:rsidRPr="0073293F">
        <w:rPr>
          <w:i/>
        </w:rPr>
        <w:t> </w:t>
      </w:r>
      <w:r w:rsidR="00D07CE0" w:rsidRPr="0073293F">
        <w:rPr>
          <w:i/>
        </w:rPr>
        <w:t>1992</w:t>
      </w:r>
      <w:r w:rsidR="00D07CE0" w:rsidRPr="0073293F">
        <w:t xml:space="preserve"> of the Commonwealth.</w:t>
      </w:r>
    </w:p>
    <w:p w14:paraId="392191EE" w14:textId="77777777" w:rsidR="008648A8" w:rsidRPr="0073293F" w:rsidRDefault="00AE5AFE" w:rsidP="0073293F">
      <w:pPr>
        <w:pStyle w:val="ActHead5"/>
      </w:pPr>
      <w:bookmarkStart w:id="7" w:name="_Toc106982793"/>
      <w:r w:rsidRPr="0073293F">
        <w:t>4</w:t>
      </w:r>
      <w:r w:rsidR="008648A8" w:rsidRPr="0073293F">
        <w:t xml:space="preserve">  Simplified outline of this instrument</w:t>
      </w:r>
      <w:bookmarkEnd w:id="7"/>
    </w:p>
    <w:p w14:paraId="57E81A85" w14:textId="6EC25AB2" w:rsidR="008648A8" w:rsidRPr="0073293F" w:rsidRDefault="008648A8" w:rsidP="0073293F">
      <w:pPr>
        <w:pStyle w:val="SOText"/>
      </w:pPr>
      <w:r w:rsidRPr="0073293F">
        <w:t xml:space="preserve">The purpose of this instrument is to exempt </w:t>
      </w:r>
      <w:r w:rsidR="00AE5AFE" w:rsidRPr="0073293F">
        <w:t>registration</w:t>
      </w:r>
      <w:r w:rsidR="008400C3" w:rsidRPr="0073293F">
        <w:t xml:space="preserve">s for </w:t>
      </w:r>
      <w:r w:rsidR="00A00842" w:rsidRPr="0073293F">
        <w:t xml:space="preserve">casino employee </w:t>
      </w:r>
      <w:r w:rsidR="008400C3" w:rsidRPr="0073293F">
        <w:t xml:space="preserve">occupations, or for activities covered by </w:t>
      </w:r>
      <w:r w:rsidR="00A00842" w:rsidRPr="0073293F">
        <w:t xml:space="preserve">casino employee </w:t>
      </w:r>
      <w:r w:rsidR="008400C3" w:rsidRPr="0073293F">
        <w:t>occupations,</w:t>
      </w:r>
      <w:r w:rsidR="00AE5AFE" w:rsidRPr="0073293F">
        <w:t xml:space="preserve"> from the automatic deemed registration provisions of the </w:t>
      </w:r>
      <w:r w:rsidR="00AE5AFE" w:rsidRPr="0073293F">
        <w:rPr>
          <w:i/>
        </w:rPr>
        <w:t>Mutual Recognition Act 1992</w:t>
      </w:r>
      <w:r w:rsidR="00AE5AFE" w:rsidRPr="0073293F">
        <w:t xml:space="preserve"> of the Commonwealth</w:t>
      </w:r>
      <w:r w:rsidR="00A00842" w:rsidRPr="0073293F">
        <w:t xml:space="preserve"> until 1 July 2023 because of a significant risk to public safety</w:t>
      </w:r>
      <w:r w:rsidR="00AE5AFE" w:rsidRPr="0073293F">
        <w:t>.</w:t>
      </w:r>
    </w:p>
    <w:p w14:paraId="7E4E4FF5" w14:textId="62808A58" w:rsidR="00AE5AFE" w:rsidRPr="0073293F" w:rsidRDefault="00AE5AFE" w:rsidP="0073293F">
      <w:pPr>
        <w:pStyle w:val="SOText"/>
      </w:pPr>
      <w:r w:rsidRPr="0073293F">
        <w:t>This instrument has effect only in</w:t>
      </w:r>
      <w:r w:rsidR="00302DF0" w:rsidRPr="0073293F">
        <w:t xml:space="preserve"> relation to</w:t>
      </w:r>
      <w:r w:rsidRPr="0073293F">
        <w:t xml:space="preserve"> </w:t>
      </w:r>
      <w:r w:rsidR="00B00CD8" w:rsidRPr="0073293F">
        <w:t>the Australian Capital Territory</w:t>
      </w:r>
      <w:r w:rsidRPr="0073293F">
        <w:t>.</w:t>
      </w:r>
    </w:p>
    <w:p w14:paraId="48121C8A" w14:textId="77777777" w:rsidR="00554826" w:rsidRPr="0073293F" w:rsidRDefault="00AE5AFE" w:rsidP="0073293F">
      <w:pPr>
        <w:pStyle w:val="ActHead5"/>
      </w:pPr>
      <w:bookmarkStart w:id="8" w:name="_Toc106982794"/>
      <w:r w:rsidRPr="0073293F">
        <w:t>5</w:t>
      </w:r>
      <w:r w:rsidR="00554826" w:rsidRPr="0073293F">
        <w:t xml:space="preserve">  Definitions</w:t>
      </w:r>
      <w:bookmarkEnd w:id="8"/>
    </w:p>
    <w:p w14:paraId="79DDA941" w14:textId="77777777" w:rsidR="00554826" w:rsidRPr="0073293F" w:rsidRDefault="00554826" w:rsidP="0073293F">
      <w:pPr>
        <w:pStyle w:val="subsection"/>
      </w:pPr>
      <w:r w:rsidRPr="0073293F">
        <w:tab/>
      </w:r>
      <w:r w:rsidRPr="0073293F">
        <w:tab/>
        <w:t>In this instrument:</w:t>
      </w:r>
    </w:p>
    <w:p w14:paraId="47B31B9F" w14:textId="1689E09F" w:rsidR="00554826" w:rsidRPr="0073293F" w:rsidRDefault="00D07CE0" w:rsidP="0073293F">
      <w:pPr>
        <w:pStyle w:val="Definition"/>
      </w:pPr>
      <w:r w:rsidRPr="0073293F">
        <w:rPr>
          <w:b/>
          <w:i/>
        </w:rPr>
        <w:t>Act</w:t>
      </w:r>
      <w:r w:rsidRPr="0073293F">
        <w:t xml:space="preserve"> means the </w:t>
      </w:r>
      <w:r w:rsidRPr="0073293F">
        <w:rPr>
          <w:i/>
        </w:rPr>
        <w:t>Mutual Recognition Act</w:t>
      </w:r>
      <w:r w:rsidR="00DD60B0" w:rsidRPr="0073293F">
        <w:rPr>
          <w:i/>
        </w:rPr>
        <w:t> </w:t>
      </w:r>
      <w:r w:rsidRPr="0073293F">
        <w:rPr>
          <w:i/>
        </w:rPr>
        <w:t>1992</w:t>
      </w:r>
      <w:r w:rsidRPr="0073293F">
        <w:t xml:space="preserve"> of the Commonwealth.</w:t>
      </w:r>
    </w:p>
    <w:p w14:paraId="3005906C" w14:textId="4CB8B84C" w:rsidR="00D16FD1" w:rsidRPr="0073293F" w:rsidRDefault="000F4D5A" w:rsidP="0073293F">
      <w:pPr>
        <w:pStyle w:val="ActHead5"/>
      </w:pPr>
      <w:bookmarkStart w:id="9" w:name="_Toc106982795"/>
      <w:bookmarkStart w:id="10" w:name="_Toc454781205"/>
      <w:r w:rsidRPr="0073293F">
        <w:lastRenderedPageBreak/>
        <w:t>6</w:t>
      </w:r>
      <w:r w:rsidR="006018FF" w:rsidRPr="0073293F">
        <w:t xml:space="preserve">  Exemption</w:t>
      </w:r>
      <w:bookmarkEnd w:id="9"/>
    </w:p>
    <w:p w14:paraId="5D994BC7" w14:textId="57059CF2" w:rsidR="00F31491" w:rsidRPr="0073293F" w:rsidRDefault="00F31491" w:rsidP="0073293F">
      <w:pPr>
        <w:pStyle w:val="subsection"/>
        <w:tabs>
          <w:tab w:val="clear" w:pos="1021"/>
        </w:tabs>
        <w:ind w:left="1129" w:firstLine="0"/>
      </w:pPr>
      <w:r w:rsidRPr="0073293F">
        <w:rPr>
          <w:szCs w:val="22"/>
        </w:rPr>
        <w:t xml:space="preserve">For section 42S(1)(a) of the Act, a registration under the </w:t>
      </w:r>
      <w:r w:rsidR="00524721" w:rsidRPr="0073293F">
        <w:rPr>
          <w:i/>
          <w:iCs/>
          <w:szCs w:val="22"/>
        </w:rPr>
        <w:t>Casino Control Act 2006</w:t>
      </w:r>
      <w:r w:rsidR="006A03BB" w:rsidRPr="0073293F">
        <w:rPr>
          <w:i/>
          <w:iCs/>
          <w:szCs w:val="22"/>
        </w:rPr>
        <w:t xml:space="preserve"> </w:t>
      </w:r>
      <w:r w:rsidRPr="0073293F">
        <w:rPr>
          <w:szCs w:val="22"/>
        </w:rPr>
        <w:t xml:space="preserve">of the Australian Capital Territory </w:t>
      </w:r>
      <w:r w:rsidRPr="0073293F">
        <w:rPr>
          <w:szCs w:val="18"/>
        </w:rPr>
        <w:t>is excluded from the operation of automatic deemed registration in the Australian Capital Territory</w:t>
      </w:r>
      <w:r w:rsidR="00A00842" w:rsidRPr="0073293F">
        <w:rPr>
          <w:szCs w:val="18"/>
        </w:rPr>
        <w:t xml:space="preserve"> until 1 July 2023 because of the significant risk to public safety</w:t>
      </w:r>
      <w:r w:rsidRPr="0073293F">
        <w:t>.</w:t>
      </w:r>
    </w:p>
    <w:p w14:paraId="4FA4C14C" w14:textId="3AF18F80" w:rsidR="00A00842" w:rsidRPr="0073293F" w:rsidRDefault="00A00842" w:rsidP="0073293F">
      <w:pPr>
        <w:pStyle w:val="ActHead5"/>
      </w:pPr>
      <w:bookmarkStart w:id="11" w:name="_Toc106982796"/>
      <w:r w:rsidRPr="0073293F">
        <w:t>7  Significant risk statement</w:t>
      </w:r>
      <w:bookmarkEnd w:id="11"/>
    </w:p>
    <w:p w14:paraId="3DE7F1E8" w14:textId="62577DD0" w:rsidR="007D1065" w:rsidRPr="0073293F" w:rsidRDefault="00A00842" w:rsidP="0073293F">
      <w:pPr>
        <w:pStyle w:val="subsection"/>
        <w:tabs>
          <w:tab w:val="clear" w:pos="1021"/>
        </w:tabs>
        <w:ind w:left="1129" w:firstLine="0"/>
        <w:rPr>
          <w:szCs w:val="22"/>
        </w:rPr>
      </w:pPr>
      <w:r w:rsidRPr="0073293F">
        <w:rPr>
          <w:szCs w:val="22"/>
        </w:rPr>
        <w:t xml:space="preserve">For section 42S(2) of the Act, the exclusion </w:t>
      </w:r>
      <w:r w:rsidR="007D1065" w:rsidRPr="0073293F">
        <w:rPr>
          <w:szCs w:val="22"/>
        </w:rPr>
        <w:t>in section</w:t>
      </w:r>
      <w:r w:rsidRPr="0073293F">
        <w:rPr>
          <w:szCs w:val="22"/>
        </w:rPr>
        <w:t xml:space="preserve"> 6</w:t>
      </w:r>
      <w:r w:rsidR="007D1065" w:rsidRPr="0073293F">
        <w:rPr>
          <w:szCs w:val="22"/>
        </w:rPr>
        <w:t xml:space="preserve"> is necessary because of the significant risk in the ACT to public safety. The potential for criminal infiltration of casino operations is well understood. Employee complicity is a recognised method which third parties may use to achieve this. </w:t>
      </w:r>
    </w:p>
    <w:p w14:paraId="6BFB4ADD" w14:textId="77777777" w:rsidR="007D1065" w:rsidRPr="0073293F" w:rsidRDefault="007D1065" w:rsidP="0073293F">
      <w:pPr>
        <w:pStyle w:val="subsection"/>
        <w:tabs>
          <w:tab w:val="clear" w:pos="1021"/>
        </w:tabs>
        <w:ind w:left="1129" w:firstLine="0"/>
        <w:rPr>
          <w:szCs w:val="22"/>
        </w:rPr>
      </w:pPr>
      <w:r w:rsidRPr="0073293F">
        <w:rPr>
          <w:szCs w:val="22"/>
        </w:rPr>
        <w:t>Compared to existing licensing pathways for casino employees in the ACT, and notwithstanding arrangements that can be put in place under the automatic mutual recognition (AMR) framework for notification of an intent to work and information transfer between regulators, AMR will lessen oversight by the regulator, the ACT Gambling and Racing Commission.</w:t>
      </w:r>
    </w:p>
    <w:p w14:paraId="2502FB02" w14:textId="54025701" w:rsidR="00692AC5" w:rsidRPr="0073293F" w:rsidRDefault="007D1065" w:rsidP="0073293F">
      <w:pPr>
        <w:pStyle w:val="subsection"/>
        <w:tabs>
          <w:tab w:val="clear" w:pos="1021"/>
        </w:tabs>
        <w:ind w:left="1129" w:firstLine="0"/>
        <w:rPr>
          <w:szCs w:val="22"/>
        </w:rPr>
      </w:pPr>
      <w:r w:rsidRPr="0073293F">
        <w:rPr>
          <w:szCs w:val="22"/>
        </w:rPr>
        <w:t xml:space="preserve">Under existing licensing </w:t>
      </w:r>
      <w:r w:rsidR="001526FB" w:rsidRPr="0073293F">
        <w:rPr>
          <w:szCs w:val="22"/>
        </w:rPr>
        <w:t>pathways</w:t>
      </w:r>
      <w:r w:rsidRPr="0073293F">
        <w:rPr>
          <w:szCs w:val="22"/>
        </w:rPr>
        <w:t xml:space="preserve">, a casino employee is issued with an ACT licence, creating a regular regime of assessment of eligibility and fitness. In the ACT, this occurs every three years as a risk mitigation strategy. This will not occur under automatic mutual recognition. </w:t>
      </w:r>
      <w:r w:rsidR="00692AC5" w:rsidRPr="0073293F">
        <w:rPr>
          <w:szCs w:val="22"/>
        </w:rPr>
        <w:t>Under AMR, interstate casino employees will renew their substantive licences according to the timeframes under their home State frameworks. Typically, the renewal periods in other jurisdictions are much longer than those in the ACT, including up to ten years. Compared to the ACT</w:t>
      </w:r>
      <w:r w:rsidR="00A00842" w:rsidRPr="0073293F">
        <w:rPr>
          <w:szCs w:val="22"/>
        </w:rPr>
        <w:t>’s</w:t>
      </w:r>
      <w:r w:rsidR="00692AC5" w:rsidRPr="0073293F">
        <w:rPr>
          <w:szCs w:val="22"/>
        </w:rPr>
        <w:t xml:space="preserve"> current approach for a three</w:t>
      </w:r>
      <w:r w:rsidR="007640FB" w:rsidRPr="0073293F">
        <w:rPr>
          <w:szCs w:val="22"/>
        </w:rPr>
        <w:t>-</w:t>
      </w:r>
      <w:r w:rsidR="00692AC5" w:rsidRPr="0073293F">
        <w:rPr>
          <w:szCs w:val="22"/>
        </w:rPr>
        <w:t>yearly assessment eligibility and fitness as a casino employee, AMR will lessen the frequency of assessment of an individual’s eligibility and fitness by a local registration authority.</w:t>
      </w:r>
    </w:p>
    <w:p w14:paraId="5461A9D7" w14:textId="03A85A44" w:rsidR="00692AC5" w:rsidRPr="0073293F" w:rsidRDefault="00692AC5" w:rsidP="0073293F">
      <w:pPr>
        <w:pStyle w:val="subsection"/>
        <w:tabs>
          <w:tab w:val="clear" w:pos="1021"/>
        </w:tabs>
        <w:ind w:left="1129" w:firstLine="0"/>
        <w:rPr>
          <w:szCs w:val="22"/>
        </w:rPr>
      </w:pPr>
      <w:r w:rsidRPr="0073293F">
        <w:t>This poses a significant risk for public safety in the ACT as casino employees with organised crime affiliations may be able to work in the Canberra Casino undetected.</w:t>
      </w:r>
    </w:p>
    <w:bookmarkEnd w:id="3"/>
    <w:bookmarkEnd w:id="10"/>
    <w:p w14:paraId="7CF90122" w14:textId="53FC03E3" w:rsidR="007D1065" w:rsidRPr="0073293F" w:rsidRDefault="006D149F" w:rsidP="0073293F">
      <w:pPr>
        <w:pStyle w:val="subsection"/>
        <w:tabs>
          <w:tab w:val="clear" w:pos="1021"/>
        </w:tabs>
        <w:ind w:left="1129" w:firstLine="0"/>
        <w:rPr>
          <w:szCs w:val="22"/>
        </w:rPr>
      </w:pPr>
      <w:r w:rsidRPr="0073293F">
        <w:rPr>
          <w:szCs w:val="22"/>
        </w:rPr>
        <w:t xml:space="preserve">The exclusion </w:t>
      </w:r>
      <w:r w:rsidR="003557CD" w:rsidRPr="0073293F">
        <w:rPr>
          <w:szCs w:val="22"/>
        </w:rPr>
        <w:t xml:space="preserve">for one year </w:t>
      </w:r>
      <w:r w:rsidRPr="0073293F">
        <w:rPr>
          <w:szCs w:val="22"/>
        </w:rPr>
        <w:t>is necessary as alternative arrangements to address this risk are not present and could not be developed or implemented during the temporary exemption period due to their complexity. These include the development and implementation of procedures and protocols to effectively monitor individuals working in the ACT under A</w:t>
      </w:r>
      <w:r w:rsidR="002C70DB" w:rsidRPr="0073293F">
        <w:rPr>
          <w:szCs w:val="22"/>
        </w:rPr>
        <w:t>M</w:t>
      </w:r>
      <w:r w:rsidRPr="0073293F">
        <w:rPr>
          <w:szCs w:val="22"/>
        </w:rPr>
        <w:t>R. It would also include an examination of existing regulatory frameworks to understand how this risk might be addressed through other mechanisms including working with other jurisdictions on greater uniformity in the licensing of casino employees.</w:t>
      </w:r>
    </w:p>
    <w:p w14:paraId="01B2285D" w14:textId="1F8F3ACB" w:rsidR="00A00842" w:rsidRPr="0073293F" w:rsidRDefault="00A00842" w:rsidP="0073293F">
      <w:pPr>
        <w:pStyle w:val="ActHead5"/>
      </w:pPr>
      <w:bookmarkStart w:id="12" w:name="_Toc106982797"/>
      <w:r w:rsidRPr="0073293F">
        <w:t>8  Human Rights Act statement</w:t>
      </w:r>
      <w:bookmarkEnd w:id="12"/>
    </w:p>
    <w:p w14:paraId="0DF4CF79" w14:textId="0B4D1BCF" w:rsidR="003557CD" w:rsidRPr="0073293F" w:rsidRDefault="003557CD" w:rsidP="0073293F">
      <w:pPr>
        <w:pStyle w:val="subsection"/>
        <w:tabs>
          <w:tab w:val="clear" w:pos="1021"/>
          <w:tab w:val="right" w:pos="1276"/>
        </w:tabs>
        <w:ind w:firstLine="0"/>
        <w:rPr>
          <w:szCs w:val="18"/>
        </w:rPr>
      </w:pPr>
      <w:r w:rsidRPr="0073293F">
        <w:rPr>
          <w:szCs w:val="18"/>
        </w:rPr>
        <w:t xml:space="preserve">Section 40B(1) of the </w:t>
      </w:r>
      <w:r w:rsidRPr="0073293F">
        <w:rPr>
          <w:i/>
          <w:iCs/>
          <w:szCs w:val="18"/>
        </w:rPr>
        <w:t>Human Rights Act 2004</w:t>
      </w:r>
      <w:r w:rsidRPr="0073293F">
        <w:rPr>
          <w:szCs w:val="18"/>
        </w:rPr>
        <w:t xml:space="preserve"> (ACT) provides that it is unlawful for public authorities to act in a way that is incompatible with a human right or, in making a decision, fail to give proper consideration to a relevant human right. Accordingly, in making this exclusion in section</w:t>
      </w:r>
      <w:r w:rsidR="00A00842" w:rsidRPr="0073293F">
        <w:rPr>
          <w:szCs w:val="18"/>
        </w:rPr>
        <w:t xml:space="preserve"> 6, </w:t>
      </w:r>
      <w:r w:rsidRPr="0073293F">
        <w:rPr>
          <w:szCs w:val="18"/>
        </w:rPr>
        <w:t xml:space="preserve">I have considered any </w:t>
      </w:r>
      <w:r w:rsidRPr="0073293F">
        <w:rPr>
          <w:szCs w:val="18"/>
        </w:rPr>
        <w:lastRenderedPageBreak/>
        <w:t xml:space="preserve">relevant human rights that may be impacted as required by s40B. Section 27B(1) of the </w:t>
      </w:r>
      <w:r w:rsidRPr="0073293F">
        <w:rPr>
          <w:i/>
          <w:iCs/>
          <w:szCs w:val="18"/>
        </w:rPr>
        <w:t>Human Rights Act 2004</w:t>
      </w:r>
      <w:r w:rsidRPr="0073293F">
        <w:rPr>
          <w:szCs w:val="18"/>
        </w:rPr>
        <w:t xml:space="preserve"> provides that everyone has the right to work, including the right to choose their occupation or profession freely. I am satisfied that the making of the exclusion in section</w:t>
      </w:r>
      <w:r w:rsidR="00A00842" w:rsidRPr="0073293F">
        <w:rPr>
          <w:szCs w:val="18"/>
        </w:rPr>
        <w:t xml:space="preserve"> 6</w:t>
      </w:r>
      <w:r w:rsidRPr="0073293F">
        <w:rPr>
          <w:szCs w:val="18"/>
        </w:rPr>
        <w:t xml:space="preserve"> would not be incompatible with the right to work and the right to choose an occupation or profession freely. </w:t>
      </w:r>
    </w:p>
    <w:p w14:paraId="03C7FC4C" w14:textId="13815189" w:rsidR="003557CD" w:rsidRPr="00255C54" w:rsidRDefault="003557CD" w:rsidP="0073293F">
      <w:pPr>
        <w:pStyle w:val="subsection"/>
        <w:tabs>
          <w:tab w:val="clear" w:pos="1021"/>
          <w:tab w:val="right" w:pos="1276"/>
        </w:tabs>
        <w:ind w:firstLine="0"/>
        <w:rPr>
          <w:szCs w:val="18"/>
        </w:rPr>
      </w:pPr>
      <w:r w:rsidRPr="0073293F">
        <w:rPr>
          <w:szCs w:val="18"/>
        </w:rPr>
        <w:t xml:space="preserve">While the exclusion may limit the right to work, it is important to note that the making of the exclusion does not prevent an individual from carrying on an activity covered by the occupation of casino employee in the ACT. Rather, the making of the exclusion will mean that all individuals who wish to carry on an activity covered by the occupation of casino employee in the ACT must meet particular registration requirements set out in ACT law. Upon meeting the relevant registration requirements, individuals would be able to carry on an activity covered by the occupation of casino employee in the ACT. The registration requirements are a necessary, proportionate and reasonable measure through </w:t>
      </w:r>
      <w:r w:rsidR="00A00842" w:rsidRPr="0073293F">
        <w:rPr>
          <w:szCs w:val="18"/>
        </w:rPr>
        <w:t xml:space="preserve">which </w:t>
      </w:r>
      <w:r w:rsidRPr="0073293F">
        <w:rPr>
          <w:szCs w:val="18"/>
        </w:rPr>
        <w:t xml:space="preserve">safeguards are provided for public safety. Any limitation on the right to work is reasonable and justified because the exclusion will allow the ACT to address risks associated with the transitioning to AMR while ensuring there is no diminution in current levels of safeguards in relation to public safety. The exclusion will enable the risks to public safety to be addressed through the </w:t>
      </w:r>
      <w:r w:rsidRPr="0073293F">
        <w:rPr>
          <w:szCs w:val="22"/>
        </w:rPr>
        <w:t>development and implementation of procedures and protocols to effectively monitor individuals working in the ACT under A</w:t>
      </w:r>
      <w:r w:rsidR="002C70DB" w:rsidRPr="0073293F">
        <w:rPr>
          <w:szCs w:val="22"/>
        </w:rPr>
        <w:t>M</w:t>
      </w:r>
      <w:r w:rsidRPr="0073293F">
        <w:rPr>
          <w:szCs w:val="22"/>
        </w:rPr>
        <w:t>R</w:t>
      </w:r>
      <w:r w:rsidRPr="0073293F">
        <w:rPr>
          <w:szCs w:val="18"/>
        </w:rPr>
        <w:t>.</w:t>
      </w:r>
    </w:p>
    <w:p w14:paraId="4625CB1E" w14:textId="77777777" w:rsidR="003557CD" w:rsidRPr="00692AC5" w:rsidRDefault="003557CD" w:rsidP="0073293F">
      <w:pPr>
        <w:pStyle w:val="subsection"/>
        <w:tabs>
          <w:tab w:val="clear" w:pos="1021"/>
        </w:tabs>
        <w:ind w:left="1129" w:firstLine="0"/>
        <w:rPr>
          <w:szCs w:val="22"/>
        </w:rPr>
      </w:pPr>
    </w:p>
    <w:p w14:paraId="4708AD1A" w14:textId="563A32D7" w:rsidR="00D07CE0" w:rsidRPr="007D1065" w:rsidRDefault="00D07CE0" w:rsidP="0073293F">
      <w:pPr>
        <w:pStyle w:val="ActHead5"/>
        <w:rPr>
          <w:b w:val="0"/>
          <w:kern w:val="0"/>
          <w:sz w:val="22"/>
          <w:szCs w:val="18"/>
        </w:rPr>
      </w:pPr>
    </w:p>
    <w:sectPr w:rsidR="00D07CE0" w:rsidRPr="007D1065"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3BBC" w14:textId="77777777" w:rsidR="00053B09" w:rsidRDefault="00053B09" w:rsidP="00715914">
      <w:pPr>
        <w:spacing w:line="240" w:lineRule="auto"/>
      </w:pPr>
      <w:r>
        <w:separator/>
      </w:r>
    </w:p>
  </w:endnote>
  <w:endnote w:type="continuationSeparator" w:id="0">
    <w:p w14:paraId="21E1DAF5" w14:textId="77777777" w:rsidR="00053B09" w:rsidRDefault="00053B0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C58D"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185F" w14:paraId="65BA7DB8" w14:textId="77777777" w:rsidTr="00B33709">
      <w:tc>
        <w:tcPr>
          <w:tcW w:w="709" w:type="dxa"/>
          <w:tcBorders>
            <w:top w:val="nil"/>
            <w:left w:val="nil"/>
            <w:bottom w:val="nil"/>
            <w:right w:val="nil"/>
          </w:tcBorders>
        </w:tcPr>
        <w:p w14:paraId="6A8CB798" w14:textId="77777777" w:rsidR="000D185F" w:rsidRDefault="000D185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36C2859" w14:textId="77777777" w:rsidR="000D185F" w:rsidRPr="004E1307" w:rsidRDefault="000D185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1383" w:type="dxa"/>
          <w:tcBorders>
            <w:top w:val="nil"/>
            <w:left w:val="nil"/>
            <w:bottom w:val="nil"/>
            <w:right w:val="nil"/>
          </w:tcBorders>
        </w:tcPr>
        <w:p w14:paraId="5754A7E9" w14:textId="77777777" w:rsidR="000D185F" w:rsidRDefault="000D185F" w:rsidP="00A369E3">
          <w:pPr>
            <w:spacing w:line="0" w:lineRule="atLeast"/>
            <w:jc w:val="right"/>
            <w:rPr>
              <w:sz w:val="18"/>
            </w:rPr>
          </w:pPr>
        </w:p>
      </w:tc>
    </w:tr>
    <w:tr w:rsidR="000D185F" w14:paraId="4B4B3875"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E75E126" w14:textId="77777777" w:rsidR="000D185F" w:rsidRDefault="000D185F" w:rsidP="00A369E3">
          <w:pPr>
            <w:jc w:val="right"/>
            <w:rPr>
              <w:sz w:val="18"/>
            </w:rPr>
          </w:pPr>
        </w:p>
      </w:tc>
    </w:tr>
  </w:tbl>
  <w:p w14:paraId="1FC1CF8D" w14:textId="77777777" w:rsidR="000D185F" w:rsidRPr="00ED79B6" w:rsidRDefault="000D185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E306"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D185F" w14:paraId="1B149072" w14:textId="77777777" w:rsidTr="00A369E3">
      <w:tc>
        <w:tcPr>
          <w:tcW w:w="1384" w:type="dxa"/>
          <w:tcBorders>
            <w:top w:val="nil"/>
            <w:left w:val="nil"/>
            <w:bottom w:val="nil"/>
            <w:right w:val="nil"/>
          </w:tcBorders>
        </w:tcPr>
        <w:p w14:paraId="2A6F48B4" w14:textId="77777777" w:rsidR="000D185F" w:rsidRDefault="000D185F" w:rsidP="00A369E3">
          <w:pPr>
            <w:spacing w:line="0" w:lineRule="atLeast"/>
            <w:rPr>
              <w:sz w:val="18"/>
            </w:rPr>
          </w:pPr>
        </w:p>
      </w:tc>
      <w:tc>
        <w:tcPr>
          <w:tcW w:w="6379" w:type="dxa"/>
          <w:tcBorders>
            <w:top w:val="nil"/>
            <w:left w:val="nil"/>
            <w:bottom w:val="nil"/>
            <w:right w:val="nil"/>
          </w:tcBorders>
        </w:tcPr>
        <w:p w14:paraId="0A44EE0C" w14:textId="77777777" w:rsidR="000D185F" w:rsidRDefault="000D185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709" w:type="dxa"/>
          <w:tcBorders>
            <w:top w:val="nil"/>
            <w:left w:val="nil"/>
            <w:bottom w:val="nil"/>
            <w:right w:val="nil"/>
          </w:tcBorders>
        </w:tcPr>
        <w:p w14:paraId="116CEEDF" w14:textId="77777777" w:rsidR="000D185F" w:rsidRDefault="000D185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185F" w14:paraId="420615EC"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EF61810" w14:textId="77777777" w:rsidR="000D185F" w:rsidRDefault="000D185F" w:rsidP="00A369E3">
          <w:pPr>
            <w:rPr>
              <w:sz w:val="18"/>
            </w:rPr>
          </w:pPr>
        </w:p>
      </w:tc>
    </w:tr>
  </w:tbl>
  <w:p w14:paraId="7E83DF2A" w14:textId="77777777" w:rsidR="000D185F" w:rsidRPr="00ED79B6" w:rsidRDefault="000D185F"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85D2" w14:textId="77777777" w:rsidR="000D185F" w:rsidRPr="00E33C1C" w:rsidRDefault="000D185F"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185F" w14:paraId="2B6D5AEF" w14:textId="77777777" w:rsidTr="00B33709">
      <w:tc>
        <w:tcPr>
          <w:tcW w:w="1384" w:type="dxa"/>
          <w:tcBorders>
            <w:top w:val="nil"/>
            <w:left w:val="nil"/>
            <w:bottom w:val="nil"/>
            <w:right w:val="nil"/>
          </w:tcBorders>
        </w:tcPr>
        <w:p w14:paraId="575DA00E" w14:textId="77777777" w:rsidR="000D185F" w:rsidRDefault="000D185F" w:rsidP="00A369E3">
          <w:pPr>
            <w:spacing w:line="0" w:lineRule="atLeast"/>
            <w:rPr>
              <w:sz w:val="18"/>
            </w:rPr>
          </w:pPr>
        </w:p>
      </w:tc>
      <w:tc>
        <w:tcPr>
          <w:tcW w:w="6379" w:type="dxa"/>
          <w:tcBorders>
            <w:top w:val="nil"/>
            <w:left w:val="nil"/>
            <w:bottom w:val="nil"/>
            <w:right w:val="nil"/>
          </w:tcBorders>
        </w:tcPr>
        <w:p w14:paraId="3DD21FF7" w14:textId="77777777" w:rsidR="000D185F" w:rsidRDefault="000D185F" w:rsidP="00A369E3">
          <w:pPr>
            <w:spacing w:line="0" w:lineRule="atLeast"/>
            <w:jc w:val="center"/>
            <w:rPr>
              <w:sz w:val="18"/>
            </w:rPr>
          </w:pPr>
        </w:p>
      </w:tc>
      <w:tc>
        <w:tcPr>
          <w:tcW w:w="709" w:type="dxa"/>
          <w:tcBorders>
            <w:top w:val="nil"/>
            <w:left w:val="nil"/>
            <w:bottom w:val="nil"/>
            <w:right w:val="nil"/>
          </w:tcBorders>
        </w:tcPr>
        <w:p w14:paraId="41210944" w14:textId="77777777" w:rsidR="000D185F" w:rsidRDefault="000D185F" w:rsidP="00A369E3">
          <w:pPr>
            <w:spacing w:line="0" w:lineRule="atLeast"/>
            <w:jc w:val="right"/>
            <w:rPr>
              <w:sz w:val="18"/>
            </w:rPr>
          </w:pPr>
        </w:p>
      </w:tc>
    </w:tr>
  </w:tbl>
  <w:p w14:paraId="1D464583" w14:textId="77777777" w:rsidR="000D185F" w:rsidRPr="00ED79B6" w:rsidRDefault="000D185F"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451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626FFB68" w14:textId="77777777" w:rsidTr="008648A8">
      <w:tc>
        <w:tcPr>
          <w:tcW w:w="365" w:type="pct"/>
        </w:tcPr>
        <w:p w14:paraId="6C62841C"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A731BD0" w14:textId="77777777"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947" w:type="pct"/>
        </w:tcPr>
        <w:p w14:paraId="4CFEB4EE" w14:textId="77777777" w:rsidR="000D185F" w:rsidRDefault="000D185F" w:rsidP="008648A8">
          <w:pPr>
            <w:spacing w:line="0" w:lineRule="atLeast"/>
            <w:jc w:val="right"/>
            <w:rPr>
              <w:sz w:val="18"/>
            </w:rPr>
          </w:pPr>
        </w:p>
      </w:tc>
    </w:tr>
    <w:tr w:rsidR="000D185F" w14:paraId="68C94473" w14:textId="77777777" w:rsidTr="008648A8">
      <w:tc>
        <w:tcPr>
          <w:tcW w:w="5000" w:type="pct"/>
          <w:gridSpan w:val="3"/>
        </w:tcPr>
        <w:p w14:paraId="7D0CA2AA" w14:textId="77777777" w:rsidR="000D185F" w:rsidRDefault="000D185F" w:rsidP="008648A8">
          <w:pPr>
            <w:jc w:val="right"/>
            <w:rPr>
              <w:sz w:val="18"/>
            </w:rPr>
          </w:pPr>
        </w:p>
      </w:tc>
    </w:tr>
  </w:tbl>
  <w:p w14:paraId="0C53D0D0" w14:textId="77777777" w:rsidR="000D185F" w:rsidRPr="00ED79B6" w:rsidRDefault="000D185F" w:rsidP="008648A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356F"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42B02781" w14:textId="77777777" w:rsidTr="008648A8">
      <w:tc>
        <w:tcPr>
          <w:tcW w:w="947" w:type="pct"/>
        </w:tcPr>
        <w:p w14:paraId="5B2BAF26" w14:textId="77777777" w:rsidR="000D185F" w:rsidRDefault="000D185F" w:rsidP="008648A8">
          <w:pPr>
            <w:spacing w:line="0" w:lineRule="atLeast"/>
            <w:rPr>
              <w:sz w:val="18"/>
            </w:rPr>
          </w:pPr>
        </w:p>
      </w:tc>
      <w:tc>
        <w:tcPr>
          <w:tcW w:w="3688" w:type="pct"/>
        </w:tcPr>
        <w:p w14:paraId="35EB3E1D" w14:textId="363551D5"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3293F">
            <w:rPr>
              <w:i/>
              <w:noProof/>
              <w:sz w:val="18"/>
            </w:rPr>
            <w:t>Automatic Mutual Recognition (Australian Capital Territory) (Exemptions—Casino Employee) Declaration 2022</w:t>
          </w:r>
          <w:r w:rsidRPr="004E1307">
            <w:rPr>
              <w:i/>
              <w:sz w:val="18"/>
            </w:rPr>
            <w:fldChar w:fldCharType="end"/>
          </w:r>
        </w:p>
      </w:tc>
      <w:tc>
        <w:tcPr>
          <w:tcW w:w="365" w:type="pct"/>
        </w:tcPr>
        <w:p w14:paraId="1CBABB4D"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D185F" w14:paraId="3D9E0D62" w14:textId="77777777" w:rsidTr="008648A8">
      <w:tc>
        <w:tcPr>
          <w:tcW w:w="5000" w:type="pct"/>
          <w:gridSpan w:val="3"/>
        </w:tcPr>
        <w:p w14:paraId="7AE851FB" w14:textId="77777777" w:rsidR="000D185F" w:rsidRDefault="000D185F" w:rsidP="008648A8">
          <w:pPr>
            <w:rPr>
              <w:sz w:val="18"/>
            </w:rPr>
          </w:pPr>
        </w:p>
      </w:tc>
    </w:tr>
  </w:tbl>
  <w:p w14:paraId="73744489" w14:textId="77777777" w:rsidR="000D185F" w:rsidRPr="00ED79B6" w:rsidRDefault="000D185F" w:rsidP="008648A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A557"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21DB7950" w14:textId="77777777" w:rsidTr="008648A8">
      <w:tc>
        <w:tcPr>
          <w:tcW w:w="365" w:type="pct"/>
        </w:tcPr>
        <w:p w14:paraId="74ABA204"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7773621F" w14:textId="1C3B2EA6"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3293F">
            <w:rPr>
              <w:i/>
              <w:noProof/>
              <w:sz w:val="18"/>
            </w:rPr>
            <w:t>Automatic Mutual Recognition (Australian Capital Territory) (Exemptions—Casino Employee) Declaration 2022</w:t>
          </w:r>
          <w:r w:rsidRPr="004E1307">
            <w:rPr>
              <w:i/>
              <w:sz w:val="18"/>
            </w:rPr>
            <w:fldChar w:fldCharType="end"/>
          </w:r>
        </w:p>
      </w:tc>
      <w:tc>
        <w:tcPr>
          <w:tcW w:w="947" w:type="pct"/>
        </w:tcPr>
        <w:p w14:paraId="2088240B" w14:textId="77777777" w:rsidR="000D185F" w:rsidRDefault="000D185F" w:rsidP="008648A8">
          <w:pPr>
            <w:spacing w:line="0" w:lineRule="atLeast"/>
            <w:jc w:val="right"/>
            <w:rPr>
              <w:sz w:val="18"/>
            </w:rPr>
          </w:pPr>
        </w:p>
      </w:tc>
    </w:tr>
    <w:tr w:rsidR="000D185F" w14:paraId="04AC309B" w14:textId="77777777" w:rsidTr="008648A8">
      <w:tc>
        <w:tcPr>
          <w:tcW w:w="5000" w:type="pct"/>
          <w:gridSpan w:val="3"/>
        </w:tcPr>
        <w:p w14:paraId="7BC9B831" w14:textId="77777777" w:rsidR="000D185F" w:rsidRDefault="000D185F" w:rsidP="008648A8">
          <w:pPr>
            <w:jc w:val="right"/>
            <w:rPr>
              <w:sz w:val="18"/>
            </w:rPr>
          </w:pPr>
        </w:p>
      </w:tc>
    </w:tr>
  </w:tbl>
  <w:p w14:paraId="5CD16713" w14:textId="77777777" w:rsidR="000D185F" w:rsidRPr="00ED79B6" w:rsidRDefault="000D185F" w:rsidP="008648A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DF23"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5BF29407" w14:textId="77777777" w:rsidTr="009A2A12">
      <w:trPr>
        <w:trHeight w:val="709"/>
      </w:trPr>
      <w:tc>
        <w:tcPr>
          <w:tcW w:w="947" w:type="pct"/>
        </w:tcPr>
        <w:p w14:paraId="092AF1AC" w14:textId="77777777" w:rsidR="000D185F" w:rsidRDefault="000D185F" w:rsidP="008648A8">
          <w:pPr>
            <w:spacing w:line="0" w:lineRule="atLeast"/>
            <w:rPr>
              <w:sz w:val="18"/>
            </w:rPr>
          </w:pPr>
        </w:p>
      </w:tc>
      <w:tc>
        <w:tcPr>
          <w:tcW w:w="3688" w:type="pct"/>
        </w:tcPr>
        <w:p w14:paraId="4F86108D" w14:textId="74CECDB2"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3293F">
            <w:rPr>
              <w:i/>
              <w:noProof/>
              <w:sz w:val="18"/>
            </w:rPr>
            <w:t>Automatic Mutual Recognition (Australian Capital Territory) (Exemptions—Casino Employee) Declaration 2022</w:t>
          </w:r>
          <w:r w:rsidRPr="004E1307">
            <w:rPr>
              <w:i/>
              <w:sz w:val="18"/>
            </w:rPr>
            <w:fldChar w:fldCharType="end"/>
          </w:r>
        </w:p>
      </w:tc>
      <w:tc>
        <w:tcPr>
          <w:tcW w:w="365" w:type="pct"/>
        </w:tcPr>
        <w:p w14:paraId="6535CC7C"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0D185F" w14:paraId="33B8A6C4" w14:textId="77777777" w:rsidTr="008648A8">
      <w:tc>
        <w:tcPr>
          <w:tcW w:w="5000" w:type="pct"/>
          <w:gridSpan w:val="3"/>
        </w:tcPr>
        <w:p w14:paraId="0425A85D" w14:textId="77777777" w:rsidR="000D185F" w:rsidRDefault="000D185F" w:rsidP="008648A8">
          <w:pPr>
            <w:rPr>
              <w:sz w:val="18"/>
            </w:rPr>
          </w:pPr>
        </w:p>
      </w:tc>
    </w:tr>
  </w:tbl>
  <w:p w14:paraId="4DE282C5" w14:textId="77777777" w:rsidR="000D185F" w:rsidRPr="00ED79B6" w:rsidRDefault="000D185F" w:rsidP="008648A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6FD4" w14:textId="77777777" w:rsidR="00053B09" w:rsidRDefault="00053B09" w:rsidP="00715914">
      <w:pPr>
        <w:spacing w:line="240" w:lineRule="auto"/>
      </w:pPr>
      <w:r>
        <w:separator/>
      </w:r>
    </w:p>
  </w:footnote>
  <w:footnote w:type="continuationSeparator" w:id="0">
    <w:p w14:paraId="550C3865" w14:textId="77777777" w:rsidR="00053B09" w:rsidRDefault="00053B0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B032" w14:textId="77777777" w:rsidR="000D185F" w:rsidRPr="005F1388" w:rsidRDefault="000D185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F9B2" w14:textId="77777777" w:rsidR="000D185F" w:rsidRPr="005F1388" w:rsidRDefault="000D185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0023" w14:textId="77777777" w:rsidR="000D185F" w:rsidRPr="00ED79B6" w:rsidRDefault="000D185F" w:rsidP="008648A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6678" w14:textId="77777777" w:rsidR="000D185F" w:rsidRPr="00ED79B6" w:rsidRDefault="000D185F" w:rsidP="008648A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B9B0" w14:textId="77777777" w:rsidR="000D185F" w:rsidRPr="00ED79B6" w:rsidRDefault="000D185F"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6610" w14:textId="77777777" w:rsidR="000D185F" w:rsidRDefault="000D185F" w:rsidP="00715914">
    <w:pPr>
      <w:rPr>
        <w:sz w:val="20"/>
      </w:rPr>
    </w:pPr>
  </w:p>
  <w:p w14:paraId="6C5E6567" w14:textId="77777777" w:rsidR="000D185F" w:rsidRDefault="000D185F" w:rsidP="00715914">
    <w:pPr>
      <w:rPr>
        <w:sz w:val="20"/>
      </w:rPr>
    </w:pPr>
  </w:p>
  <w:p w14:paraId="7C650857" w14:textId="77777777" w:rsidR="000D185F" w:rsidRPr="007A1328" w:rsidRDefault="000D185F" w:rsidP="00715914">
    <w:pPr>
      <w:rPr>
        <w:sz w:val="20"/>
      </w:rPr>
    </w:pPr>
  </w:p>
  <w:p w14:paraId="4AFDEF69" w14:textId="77777777" w:rsidR="000D185F" w:rsidRPr="007A1328" w:rsidRDefault="000D185F" w:rsidP="00715914">
    <w:pPr>
      <w:rPr>
        <w:b/>
        <w:sz w:val="24"/>
      </w:rPr>
    </w:pPr>
  </w:p>
  <w:p w14:paraId="0AD66817" w14:textId="77777777" w:rsidR="000D185F" w:rsidRPr="007A1328" w:rsidRDefault="000D185F"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100C" w14:textId="77777777" w:rsidR="000D185F" w:rsidRPr="007A1328" w:rsidRDefault="000D185F" w:rsidP="00715914">
    <w:pPr>
      <w:jc w:val="right"/>
      <w:rPr>
        <w:sz w:val="20"/>
      </w:rPr>
    </w:pPr>
  </w:p>
  <w:p w14:paraId="3E826617" w14:textId="77777777" w:rsidR="000D185F" w:rsidRPr="007A1328" w:rsidRDefault="000D185F" w:rsidP="00715914">
    <w:pPr>
      <w:jc w:val="right"/>
      <w:rPr>
        <w:sz w:val="20"/>
      </w:rPr>
    </w:pPr>
  </w:p>
  <w:p w14:paraId="2B935001" w14:textId="77777777" w:rsidR="000D185F" w:rsidRPr="007A1328" w:rsidRDefault="000D185F" w:rsidP="00715914">
    <w:pPr>
      <w:jc w:val="right"/>
      <w:rPr>
        <w:sz w:val="20"/>
      </w:rPr>
    </w:pPr>
  </w:p>
  <w:p w14:paraId="4D71136C" w14:textId="77777777" w:rsidR="000D185F" w:rsidRPr="007A1328" w:rsidRDefault="000D185F" w:rsidP="00715914">
    <w:pPr>
      <w:jc w:val="right"/>
      <w:rPr>
        <w:b/>
        <w:sz w:val="24"/>
      </w:rPr>
    </w:pPr>
  </w:p>
  <w:p w14:paraId="06030701" w14:textId="77777777" w:rsidR="000D185F" w:rsidRPr="007A1328" w:rsidRDefault="000D185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5872B8"/>
    <w:multiLevelType w:val="hybridMultilevel"/>
    <w:tmpl w:val="61E2BA2C"/>
    <w:lvl w:ilvl="0" w:tplc="6DBAF65E">
      <w:start w:val="1"/>
      <w:numFmt w:val="decimal"/>
      <w:pStyle w:val="CS-Paragraphnumbering"/>
      <w:lvlText w:val="%1."/>
      <w:lvlJc w:val="left"/>
      <w:pPr>
        <w:ind w:left="785"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DE3194"/>
    <w:multiLevelType w:val="hybridMultilevel"/>
    <w:tmpl w:val="4DD67564"/>
    <w:lvl w:ilvl="0" w:tplc="0C090019">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F24336B"/>
    <w:multiLevelType w:val="hybridMultilevel"/>
    <w:tmpl w:val="7F02CCD8"/>
    <w:lvl w:ilvl="0" w:tplc="222407A4">
      <w:start w:val="1"/>
      <w:numFmt w:val="decimal"/>
      <w:lvlText w:val="(%1)"/>
      <w:lvlJc w:val="left"/>
      <w:pPr>
        <w:ind w:left="1129" w:hanging="4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7AD62516"/>
    <w:multiLevelType w:val="hybridMultilevel"/>
    <w:tmpl w:val="12E2AE3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7F9F4E6D"/>
    <w:multiLevelType w:val="hybridMultilevel"/>
    <w:tmpl w:val="D360B460"/>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6"/>
  </w:num>
  <w:num w:numId="15">
    <w:abstractNumId w:val="17"/>
  </w:num>
  <w:num w:numId="16">
    <w:abstractNumId w:val="13"/>
  </w:num>
  <w:num w:numId="17">
    <w:abstractNumId w:val="12"/>
  </w:num>
  <w:num w:numId="18">
    <w:abstractNumId w:val="12"/>
  </w:num>
  <w:num w:numId="19">
    <w:abstractNumId w:val="15"/>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A"/>
    <w:rsid w:val="00004174"/>
    <w:rsid w:val="00004470"/>
    <w:rsid w:val="000136AF"/>
    <w:rsid w:val="00017264"/>
    <w:rsid w:val="000258B1"/>
    <w:rsid w:val="00033FEB"/>
    <w:rsid w:val="00040A89"/>
    <w:rsid w:val="000437C1"/>
    <w:rsid w:val="000440F1"/>
    <w:rsid w:val="0004455A"/>
    <w:rsid w:val="0005365D"/>
    <w:rsid w:val="00053B09"/>
    <w:rsid w:val="000614BF"/>
    <w:rsid w:val="0006709C"/>
    <w:rsid w:val="00070E80"/>
    <w:rsid w:val="00074376"/>
    <w:rsid w:val="000978F5"/>
    <w:rsid w:val="000B0964"/>
    <w:rsid w:val="000B15CD"/>
    <w:rsid w:val="000B35EB"/>
    <w:rsid w:val="000C28FC"/>
    <w:rsid w:val="000D05EF"/>
    <w:rsid w:val="000D185F"/>
    <w:rsid w:val="000E2261"/>
    <w:rsid w:val="000E78B7"/>
    <w:rsid w:val="000F21C1"/>
    <w:rsid w:val="000F4D5A"/>
    <w:rsid w:val="000F6D08"/>
    <w:rsid w:val="0010745C"/>
    <w:rsid w:val="001170A4"/>
    <w:rsid w:val="00132CEB"/>
    <w:rsid w:val="001339B0"/>
    <w:rsid w:val="00142B62"/>
    <w:rsid w:val="001441B7"/>
    <w:rsid w:val="001516CB"/>
    <w:rsid w:val="00152336"/>
    <w:rsid w:val="001526FB"/>
    <w:rsid w:val="00157B8B"/>
    <w:rsid w:val="001658AE"/>
    <w:rsid w:val="00166C2F"/>
    <w:rsid w:val="001809D7"/>
    <w:rsid w:val="001939E1"/>
    <w:rsid w:val="00194C3E"/>
    <w:rsid w:val="00195382"/>
    <w:rsid w:val="001A4535"/>
    <w:rsid w:val="001B2CB6"/>
    <w:rsid w:val="001C61C5"/>
    <w:rsid w:val="001C69C4"/>
    <w:rsid w:val="001D37EF"/>
    <w:rsid w:val="001E3590"/>
    <w:rsid w:val="001E7407"/>
    <w:rsid w:val="001F17B8"/>
    <w:rsid w:val="001F5D5E"/>
    <w:rsid w:val="001F6219"/>
    <w:rsid w:val="001F6CD4"/>
    <w:rsid w:val="00206C4D"/>
    <w:rsid w:val="00215AF1"/>
    <w:rsid w:val="00216E36"/>
    <w:rsid w:val="002321E8"/>
    <w:rsid w:val="00232984"/>
    <w:rsid w:val="0024010F"/>
    <w:rsid w:val="00240749"/>
    <w:rsid w:val="00243018"/>
    <w:rsid w:val="002564A4"/>
    <w:rsid w:val="0026516D"/>
    <w:rsid w:val="0026736C"/>
    <w:rsid w:val="00281308"/>
    <w:rsid w:val="00284719"/>
    <w:rsid w:val="00285B4E"/>
    <w:rsid w:val="00285E9C"/>
    <w:rsid w:val="00297ECB"/>
    <w:rsid w:val="002A7BCF"/>
    <w:rsid w:val="002B54D9"/>
    <w:rsid w:val="002C3FD1"/>
    <w:rsid w:val="002C70DB"/>
    <w:rsid w:val="002D043A"/>
    <w:rsid w:val="002D266B"/>
    <w:rsid w:val="002D6224"/>
    <w:rsid w:val="002E3666"/>
    <w:rsid w:val="002F0A3E"/>
    <w:rsid w:val="00302DF0"/>
    <w:rsid w:val="00304F8B"/>
    <w:rsid w:val="00335BC6"/>
    <w:rsid w:val="003415D3"/>
    <w:rsid w:val="00344338"/>
    <w:rsid w:val="00344701"/>
    <w:rsid w:val="00352B0F"/>
    <w:rsid w:val="003557CD"/>
    <w:rsid w:val="00360459"/>
    <w:rsid w:val="003767E2"/>
    <w:rsid w:val="0038049F"/>
    <w:rsid w:val="00392F19"/>
    <w:rsid w:val="00395075"/>
    <w:rsid w:val="003C6231"/>
    <w:rsid w:val="003D0BFE"/>
    <w:rsid w:val="003D5700"/>
    <w:rsid w:val="003E341B"/>
    <w:rsid w:val="003E4D00"/>
    <w:rsid w:val="003E5EC7"/>
    <w:rsid w:val="004116CD"/>
    <w:rsid w:val="00414FB2"/>
    <w:rsid w:val="00417EB9"/>
    <w:rsid w:val="00420BB0"/>
    <w:rsid w:val="00424CA9"/>
    <w:rsid w:val="004276DF"/>
    <w:rsid w:val="00431E9B"/>
    <w:rsid w:val="004379E3"/>
    <w:rsid w:val="0044015E"/>
    <w:rsid w:val="0044291A"/>
    <w:rsid w:val="00467661"/>
    <w:rsid w:val="00472DBE"/>
    <w:rsid w:val="00474A19"/>
    <w:rsid w:val="00477830"/>
    <w:rsid w:val="00487764"/>
    <w:rsid w:val="00496F97"/>
    <w:rsid w:val="004B6C48"/>
    <w:rsid w:val="004C4E59"/>
    <w:rsid w:val="004C6809"/>
    <w:rsid w:val="004D4F0B"/>
    <w:rsid w:val="004E063A"/>
    <w:rsid w:val="004E1307"/>
    <w:rsid w:val="004E7BEC"/>
    <w:rsid w:val="004F0883"/>
    <w:rsid w:val="00505D3D"/>
    <w:rsid w:val="00506AF6"/>
    <w:rsid w:val="00516B8D"/>
    <w:rsid w:val="00524721"/>
    <w:rsid w:val="005303C8"/>
    <w:rsid w:val="00537FBC"/>
    <w:rsid w:val="0054018D"/>
    <w:rsid w:val="00554826"/>
    <w:rsid w:val="00562877"/>
    <w:rsid w:val="005708D4"/>
    <w:rsid w:val="00584811"/>
    <w:rsid w:val="00584D6F"/>
    <w:rsid w:val="00585784"/>
    <w:rsid w:val="00593AA6"/>
    <w:rsid w:val="00594161"/>
    <w:rsid w:val="00594749"/>
    <w:rsid w:val="005A0660"/>
    <w:rsid w:val="005A65D5"/>
    <w:rsid w:val="005B4067"/>
    <w:rsid w:val="005B63A1"/>
    <w:rsid w:val="005C3F41"/>
    <w:rsid w:val="005D1D92"/>
    <w:rsid w:val="005D2D09"/>
    <w:rsid w:val="005E562C"/>
    <w:rsid w:val="00600219"/>
    <w:rsid w:val="006018FF"/>
    <w:rsid w:val="00604F2A"/>
    <w:rsid w:val="00606674"/>
    <w:rsid w:val="00620076"/>
    <w:rsid w:val="00627E0A"/>
    <w:rsid w:val="0065488B"/>
    <w:rsid w:val="00670EA1"/>
    <w:rsid w:val="00677CC2"/>
    <w:rsid w:val="0068744B"/>
    <w:rsid w:val="006905DE"/>
    <w:rsid w:val="0069207B"/>
    <w:rsid w:val="00692AC5"/>
    <w:rsid w:val="006A03BB"/>
    <w:rsid w:val="006A154F"/>
    <w:rsid w:val="006A437B"/>
    <w:rsid w:val="006B34F0"/>
    <w:rsid w:val="006B5789"/>
    <w:rsid w:val="006C30C5"/>
    <w:rsid w:val="006C7F8C"/>
    <w:rsid w:val="006D149F"/>
    <w:rsid w:val="006E2E1C"/>
    <w:rsid w:val="006E6246"/>
    <w:rsid w:val="006E69C2"/>
    <w:rsid w:val="006E6DCC"/>
    <w:rsid w:val="006F318F"/>
    <w:rsid w:val="0070017E"/>
    <w:rsid w:val="00700B2C"/>
    <w:rsid w:val="007050A2"/>
    <w:rsid w:val="00711DEA"/>
    <w:rsid w:val="00713084"/>
    <w:rsid w:val="00714F20"/>
    <w:rsid w:val="0071590F"/>
    <w:rsid w:val="00715914"/>
    <w:rsid w:val="0072147A"/>
    <w:rsid w:val="00723791"/>
    <w:rsid w:val="00727EAB"/>
    <w:rsid w:val="00731E00"/>
    <w:rsid w:val="0073293F"/>
    <w:rsid w:val="007440B7"/>
    <w:rsid w:val="007443B8"/>
    <w:rsid w:val="007500C8"/>
    <w:rsid w:val="00756272"/>
    <w:rsid w:val="00762D38"/>
    <w:rsid w:val="007640FB"/>
    <w:rsid w:val="007715C9"/>
    <w:rsid w:val="00771613"/>
    <w:rsid w:val="00774EDD"/>
    <w:rsid w:val="007757EC"/>
    <w:rsid w:val="00783E89"/>
    <w:rsid w:val="00793915"/>
    <w:rsid w:val="007C2253"/>
    <w:rsid w:val="007D1065"/>
    <w:rsid w:val="007D7911"/>
    <w:rsid w:val="007E163D"/>
    <w:rsid w:val="007E385C"/>
    <w:rsid w:val="007E667A"/>
    <w:rsid w:val="007F28C9"/>
    <w:rsid w:val="007F51B2"/>
    <w:rsid w:val="008040DD"/>
    <w:rsid w:val="008117E9"/>
    <w:rsid w:val="00824498"/>
    <w:rsid w:val="00824E38"/>
    <w:rsid w:val="00826BD1"/>
    <w:rsid w:val="00835421"/>
    <w:rsid w:val="008400C3"/>
    <w:rsid w:val="00851AB1"/>
    <w:rsid w:val="00854D0B"/>
    <w:rsid w:val="00856A31"/>
    <w:rsid w:val="008609BB"/>
    <w:rsid w:val="00860B4E"/>
    <w:rsid w:val="008626A0"/>
    <w:rsid w:val="008648A8"/>
    <w:rsid w:val="00867B37"/>
    <w:rsid w:val="008754D0"/>
    <w:rsid w:val="00875D13"/>
    <w:rsid w:val="00882907"/>
    <w:rsid w:val="008855C9"/>
    <w:rsid w:val="00886456"/>
    <w:rsid w:val="00896176"/>
    <w:rsid w:val="008A46E1"/>
    <w:rsid w:val="008A4F43"/>
    <w:rsid w:val="008B2706"/>
    <w:rsid w:val="008C2EAC"/>
    <w:rsid w:val="008D0EE0"/>
    <w:rsid w:val="008D2B71"/>
    <w:rsid w:val="008E0027"/>
    <w:rsid w:val="008E6067"/>
    <w:rsid w:val="008F3562"/>
    <w:rsid w:val="008F54E7"/>
    <w:rsid w:val="00903422"/>
    <w:rsid w:val="009254C3"/>
    <w:rsid w:val="00932377"/>
    <w:rsid w:val="00941236"/>
    <w:rsid w:val="00943FD5"/>
    <w:rsid w:val="00947D5A"/>
    <w:rsid w:val="00947DC8"/>
    <w:rsid w:val="009532A5"/>
    <w:rsid w:val="009545BD"/>
    <w:rsid w:val="00964CF0"/>
    <w:rsid w:val="00977806"/>
    <w:rsid w:val="00982242"/>
    <w:rsid w:val="009868E9"/>
    <w:rsid w:val="009900A3"/>
    <w:rsid w:val="00996615"/>
    <w:rsid w:val="009A2A12"/>
    <w:rsid w:val="009C3413"/>
    <w:rsid w:val="009E07CC"/>
    <w:rsid w:val="009E2C81"/>
    <w:rsid w:val="00A00842"/>
    <w:rsid w:val="00A0441E"/>
    <w:rsid w:val="00A12128"/>
    <w:rsid w:val="00A22C98"/>
    <w:rsid w:val="00A231E2"/>
    <w:rsid w:val="00A369E3"/>
    <w:rsid w:val="00A57600"/>
    <w:rsid w:val="00A61BAE"/>
    <w:rsid w:val="00A623F9"/>
    <w:rsid w:val="00A624F4"/>
    <w:rsid w:val="00A62D3F"/>
    <w:rsid w:val="00A64912"/>
    <w:rsid w:val="00A70A74"/>
    <w:rsid w:val="00A75FE9"/>
    <w:rsid w:val="00AD53CC"/>
    <w:rsid w:val="00AD5641"/>
    <w:rsid w:val="00AE5AFE"/>
    <w:rsid w:val="00AF06CF"/>
    <w:rsid w:val="00AF774D"/>
    <w:rsid w:val="00B00CD8"/>
    <w:rsid w:val="00B0482E"/>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A220B"/>
    <w:rsid w:val="00BA3A57"/>
    <w:rsid w:val="00BB1533"/>
    <w:rsid w:val="00BB2810"/>
    <w:rsid w:val="00BB4E1A"/>
    <w:rsid w:val="00BC015E"/>
    <w:rsid w:val="00BC76AC"/>
    <w:rsid w:val="00BD0ECB"/>
    <w:rsid w:val="00BE2155"/>
    <w:rsid w:val="00BE56C1"/>
    <w:rsid w:val="00BE719A"/>
    <w:rsid w:val="00BE720A"/>
    <w:rsid w:val="00BF0B51"/>
    <w:rsid w:val="00BF0D73"/>
    <w:rsid w:val="00BF2465"/>
    <w:rsid w:val="00BF5BE5"/>
    <w:rsid w:val="00C16619"/>
    <w:rsid w:val="00C25E7F"/>
    <w:rsid w:val="00C2746F"/>
    <w:rsid w:val="00C323D6"/>
    <w:rsid w:val="00C324A0"/>
    <w:rsid w:val="00C32AF5"/>
    <w:rsid w:val="00C42BF8"/>
    <w:rsid w:val="00C42F1A"/>
    <w:rsid w:val="00C50043"/>
    <w:rsid w:val="00C7573B"/>
    <w:rsid w:val="00C913B8"/>
    <w:rsid w:val="00C97A54"/>
    <w:rsid w:val="00CA0B82"/>
    <w:rsid w:val="00CA5B23"/>
    <w:rsid w:val="00CB602E"/>
    <w:rsid w:val="00CB7E90"/>
    <w:rsid w:val="00CC3839"/>
    <w:rsid w:val="00CE051D"/>
    <w:rsid w:val="00CE1335"/>
    <w:rsid w:val="00CE493D"/>
    <w:rsid w:val="00CF07FA"/>
    <w:rsid w:val="00CF0BB2"/>
    <w:rsid w:val="00CF3EE8"/>
    <w:rsid w:val="00D07CE0"/>
    <w:rsid w:val="00D13441"/>
    <w:rsid w:val="00D150E7"/>
    <w:rsid w:val="00D16FD1"/>
    <w:rsid w:val="00D33F53"/>
    <w:rsid w:val="00D52DC2"/>
    <w:rsid w:val="00D53BCC"/>
    <w:rsid w:val="00D54C9E"/>
    <w:rsid w:val="00D6537E"/>
    <w:rsid w:val="00D70DFB"/>
    <w:rsid w:val="00D7496B"/>
    <w:rsid w:val="00D766DF"/>
    <w:rsid w:val="00D8206C"/>
    <w:rsid w:val="00D91F10"/>
    <w:rsid w:val="00DA186E"/>
    <w:rsid w:val="00DA4116"/>
    <w:rsid w:val="00DB251C"/>
    <w:rsid w:val="00DB4630"/>
    <w:rsid w:val="00DC4F88"/>
    <w:rsid w:val="00DD60B0"/>
    <w:rsid w:val="00DE107C"/>
    <w:rsid w:val="00DF2388"/>
    <w:rsid w:val="00E05704"/>
    <w:rsid w:val="00E338EF"/>
    <w:rsid w:val="00E544BB"/>
    <w:rsid w:val="00E74DC7"/>
    <w:rsid w:val="00E8075A"/>
    <w:rsid w:val="00E9329A"/>
    <w:rsid w:val="00E93D5C"/>
    <w:rsid w:val="00E940D8"/>
    <w:rsid w:val="00E94D5E"/>
    <w:rsid w:val="00EA7100"/>
    <w:rsid w:val="00EA7F9F"/>
    <w:rsid w:val="00EB1274"/>
    <w:rsid w:val="00ED0ABF"/>
    <w:rsid w:val="00ED2BB6"/>
    <w:rsid w:val="00ED34E1"/>
    <w:rsid w:val="00ED3B8D"/>
    <w:rsid w:val="00EE5E36"/>
    <w:rsid w:val="00EF2E3A"/>
    <w:rsid w:val="00F02C7C"/>
    <w:rsid w:val="00F072A7"/>
    <w:rsid w:val="00F078DC"/>
    <w:rsid w:val="00F31491"/>
    <w:rsid w:val="00F32BA8"/>
    <w:rsid w:val="00F32EE0"/>
    <w:rsid w:val="00F349F1"/>
    <w:rsid w:val="00F4350D"/>
    <w:rsid w:val="00F479C4"/>
    <w:rsid w:val="00F567F7"/>
    <w:rsid w:val="00F63B4B"/>
    <w:rsid w:val="00F6696E"/>
    <w:rsid w:val="00F73BD6"/>
    <w:rsid w:val="00F83989"/>
    <w:rsid w:val="00F85099"/>
    <w:rsid w:val="00F9379C"/>
    <w:rsid w:val="00F94114"/>
    <w:rsid w:val="00F9632C"/>
    <w:rsid w:val="00FA1E52"/>
    <w:rsid w:val="00FB5A08"/>
    <w:rsid w:val="00FC6A80"/>
    <w:rsid w:val="00FE4688"/>
    <w:rsid w:val="00FF52FD"/>
    <w:rsid w:val="00FF57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07A5"/>
  <w15:docId w15:val="{289DA576-1488-4BE4-A0D1-DF456116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07CE0"/>
    <w:rPr>
      <w:rFonts w:eastAsia="Times New Roman" w:cs="Times New Roman"/>
      <w:b/>
      <w:kern w:val="28"/>
      <w:sz w:val="24"/>
      <w:lang w:eastAsia="en-AU"/>
    </w:rPr>
  </w:style>
  <w:style w:type="character" w:styleId="Hyperlink">
    <w:name w:val="Hyperlink"/>
    <w:basedOn w:val="DefaultParagraphFont"/>
    <w:uiPriority w:val="99"/>
    <w:unhideWhenUsed/>
    <w:rsid w:val="00AE5AFE"/>
    <w:rPr>
      <w:color w:val="0000FF" w:themeColor="hyperlink"/>
      <w:u w:val="single"/>
    </w:rPr>
  </w:style>
  <w:style w:type="character" w:styleId="UnresolvedMention">
    <w:name w:val="Unresolved Mention"/>
    <w:basedOn w:val="DefaultParagraphFont"/>
    <w:uiPriority w:val="99"/>
    <w:semiHidden/>
    <w:unhideWhenUsed/>
    <w:rsid w:val="00AE5AFE"/>
    <w:rPr>
      <w:color w:val="605E5C"/>
      <w:shd w:val="clear" w:color="auto" w:fill="E1DFDD"/>
    </w:rPr>
  </w:style>
  <w:style w:type="character" w:styleId="CommentReference">
    <w:name w:val="annotation reference"/>
    <w:basedOn w:val="DefaultParagraphFont"/>
    <w:uiPriority w:val="99"/>
    <w:semiHidden/>
    <w:unhideWhenUsed/>
    <w:rsid w:val="00C32AF5"/>
    <w:rPr>
      <w:sz w:val="16"/>
      <w:szCs w:val="16"/>
    </w:rPr>
  </w:style>
  <w:style w:type="paragraph" w:styleId="CommentText">
    <w:name w:val="annotation text"/>
    <w:basedOn w:val="Normal"/>
    <w:link w:val="CommentTextChar"/>
    <w:uiPriority w:val="99"/>
    <w:semiHidden/>
    <w:unhideWhenUsed/>
    <w:rsid w:val="00C32AF5"/>
    <w:pPr>
      <w:spacing w:line="240" w:lineRule="auto"/>
    </w:pPr>
    <w:rPr>
      <w:sz w:val="20"/>
    </w:rPr>
  </w:style>
  <w:style w:type="character" w:customStyle="1" w:styleId="CommentTextChar">
    <w:name w:val="Comment Text Char"/>
    <w:basedOn w:val="DefaultParagraphFont"/>
    <w:link w:val="CommentText"/>
    <w:uiPriority w:val="99"/>
    <w:semiHidden/>
    <w:rsid w:val="00C32AF5"/>
  </w:style>
  <w:style w:type="paragraph" w:styleId="CommentSubject">
    <w:name w:val="annotation subject"/>
    <w:basedOn w:val="CommentText"/>
    <w:next w:val="CommentText"/>
    <w:link w:val="CommentSubjectChar"/>
    <w:uiPriority w:val="99"/>
    <w:semiHidden/>
    <w:unhideWhenUsed/>
    <w:rsid w:val="00C32AF5"/>
    <w:rPr>
      <w:b/>
      <w:bCs/>
    </w:rPr>
  </w:style>
  <w:style w:type="character" w:customStyle="1" w:styleId="CommentSubjectChar">
    <w:name w:val="Comment Subject Char"/>
    <w:basedOn w:val="CommentTextChar"/>
    <w:link w:val="CommentSubject"/>
    <w:uiPriority w:val="99"/>
    <w:semiHidden/>
    <w:rsid w:val="00C32AF5"/>
    <w:rPr>
      <w:b/>
      <w:bCs/>
    </w:rPr>
  </w:style>
  <w:style w:type="paragraph" w:customStyle="1" w:styleId="CS-Paragraphnumbering">
    <w:name w:val="CS - Paragraph numbering"/>
    <w:basedOn w:val="Normal"/>
    <w:rsid w:val="007D1065"/>
    <w:pPr>
      <w:numPr>
        <w:numId w:val="17"/>
      </w:numPr>
      <w:spacing w:after="120" w:line="276" w:lineRule="auto"/>
      <w:ind w:right="-45"/>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zelll\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2080-3A4F-44C0-82FD-69F4B9AD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3</TotalTime>
  <Pages>7</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Henzell, Linley</dc:creator>
  <cp:lastModifiedBy>Hosie, Donna</cp:lastModifiedBy>
  <cp:revision>3</cp:revision>
  <cp:lastPrinted>2021-05-17T02:20:00Z</cp:lastPrinted>
  <dcterms:created xsi:type="dcterms:W3CDTF">2022-06-28T00:38:00Z</dcterms:created>
  <dcterms:modified xsi:type="dcterms:W3CDTF">2022-06-28T00:40:00Z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ies>
</file>