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5FB9" w14:textId="77777777" w:rsidR="004D7AF7" w:rsidRDefault="004D7AF7" w:rsidP="004D7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73FE4699" w14:textId="77777777" w:rsidR="004D7AF7" w:rsidRDefault="004D7AF7" w:rsidP="004D7A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7CE7484D" w14:textId="77777777" w:rsidR="004D7AF7" w:rsidRDefault="004D7AF7" w:rsidP="004D7AF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 Act 1992</w:t>
      </w:r>
    </w:p>
    <w:p w14:paraId="4FCDA164" w14:textId="5CFFEE66" w:rsidR="004D7AF7" w:rsidRDefault="004F045B" w:rsidP="004D7AF7">
      <w:pPr>
        <w:jc w:val="center"/>
        <w:rPr>
          <w:rFonts w:ascii="Times New Roman" w:hAnsi="Times New Roman" w:cs="Times New Roman"/>
          <w:b/>
          <w:i/>
        </w:rPr>
      </w:pPr>
      <w:r w:rsidRPr="004F045B">
        <w:rPr>
          <w:rFonts w:ascii="Times New Roman" w:hAnsi="Times New Roman" w:cs="Times New Roman"/>
          <w:b/>
          <w:i/>
        </w:rPr>
        <w:t>Radiocommunications (Television Outside Broadcasting) (2010–2110 MHz and 2200–2300 MHz) Frequency Band Plan 2022</w:t>
      </w:r>
    </w:p>
    <w:p w14:paraId="1EB55711" w14:textId="77777777" w:rsidR="004D7AF7" w:rsidRDefault="004D7AF7" w:rsidP="004D7AF7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2DD9E392" w14:textId="663BEB18" w:rsidR="004D7AF7" w:rsidRPr="00683E72" w:rsidRDefault="004D7AF7" w:rsidP="004D7AF7">
      <w:pPr>
        <w:shd w:val="clear" w:color="auto" w:fill="FFFFFF" w:themeFill="background1"/>
        <w:spacing w:line="235" w:lineRule="atLeast"/>
        <w:rPr>
          <w:rFonts w:ascii="Times New Roman" w:hAnsi="Times New Roman" w:cs="Times New Roman"/>
          <w:color w:val="000000"/>
        </w:rPr>
      </w:pPr>
      <w:r w:rsidRPr="429C535D">
        <w:rPr>
          <w:rFonts w:ascii="Times New Roman" w:hAnsi="Times New Roman" w:cs="Times New Roman"/>
          <w:color w:val="000000" w:themeColor="text1"/>
        </w:rPr>
        <w:t>The Australian Communications and Media Authority (</w:t>
      </w:r>
      <w:r w:rsidRPr="00404EAE">
        <w:rPr>
          <w:rFonts w:ascii="Times New Roman" w:hAnsi="Times New Roman" w:cs="Times New Roman"/>
          <w:b/>
          <w:bCs/>
          <w:color w:val="000000" w:themeColor="text1"/>
        </w:rPr>
        <w:t>the ACMA</w:t>
      </w:r>
      <w:r w:rsidRPr="429C535D">
        <w:rPr>
          <w:rFonts w:ascii="Times New Roman" w:hAnsi="Times New Roman" w:cs="Times New Roman"/>
          <w:color w:val="000000" w:themeColor="text1"/>
        </w:rPr>
        <w:t xml:space="preserve">) has made the </w:t>
      </w:r>
      <w:r w:rsidR="004F045B" w:rsidRPr="004F045B">
        <w:rPr>
          <w:rFonts w:ascii="Times New Roman" w:hAnsi="Times New Roman" w:cs="Times New Roman"/>
          <w:i/>
          <w:iCs/>
          <w:color w:val="000000" w:themeColor="text1"/>
        </w:rPr>
        <w:t>Radiocommunications (Television Outside Broadcasting) (2010–2110 MHz and 2200–2300 MHz) Frequency Band Plan 2022</w:t>
      </w:r>
      <w:r w:rsidRPr="429C535D">
        <w:rPr>
          <w:rFonts w:ascii="Times New Roman" w:hAnsi="Times New Roman" w:cs="Times New Roman"/>
          <w:color w:val="000000" w:themeColor="text1"/>
        </w:rPr>
        <w:t xml:space="preserve"> (</w:t>
      </w:r>
      <w:r w:rsidRPr="00404EAE">
        <w:rPr>
          <w:rFonts w:ascii="Times New Roman" w:hAnsi="Times New Roman" w:cs="Times New Roman"/>
          <w:b/>
          <w:bCs/>
          <w:color w:val="000000" w:themeColor="text1"/>
        </w:rPr>
        <w:t>the instrument</w:t>
      </w:r>
      <w:r w:rsidRPr="429C535D">
        <w:rPr>
          <w:rFonts w:ascii="Times New Roman" w:hAnsi="Times New Roman" w:cs="Times New Roman"/>
          <w:color w:val="000000" w:themeColor="text1"/>
        </w:rPr>
        <w:t xml:space="preserve">) under </w:t>
      </w:r>
      <w:r w:rsidR="00201FD1">
        <w:rPr>
          <w:rFonts w:ascii="Times New Roman" w:hAnsi="Times New Roman" w:cs="Times New Roman"/>
          <w:color w:val="000000" w:themeColor="text1"/>
        </w:rPr>
        <w:t>sub</w:t>
      </w:r>
      <w:r w:rsidRPr="429C535D">
        <w:rPr>
          <w:rFonts w:ascii="Times New Roman" w:hAnsi="Times New Roman" w:cs="Times New Roman"/>
          <w:color w:val="000000" w:themeColor="text1"/>
        </w:rPr>
        <w:t xml:space="preserve">section </w:t>
      </w:r>
      <w:r w:rsidR="00201FD1">
        <w:rPr>
          <w:rFonts w:ascii="Times New Roman" w:hAnsi="Times New Roman" w:cs="Times New Roman"/>
          <w:color w:val="000000" w:themeColor="text1"/>
        </w:rPr>
        <w:t>3</w:t>
      </w:r>
      <w:r w:rsidR="00F45244">
        <w:rPr>
          <w:rFonts w:ascii="Times New Roman" w:hAnsi="Times New Roman" w:cs="Times New Roman"/>
          <w:color w:val="000000" w:themeColor="text1"/>
        </w:rPr>
        <w:t>2</w:t>
      </w:r>
      <w:r w:rsidR="00201FD1">
        <w:rPr>
          <w:rFonts w:ascii="Times New Roman" w:hAnsi="Times New Roman" w:cs="Times New Roman"/>
          <w:color w:val="000000" w:themeColor="text1"/>
        </w:rPr>
        <w:t>(</w:t>
      </w:r>
      <w:r w:rsidR="00F45244">
        <w:rPr>
          <w:rFonts w:ascii="Times New Roman" w:hAnsi="Times New Roman" w:cs="Times New Roman"/>
          <w:color w:val="000000" w:themeColor="text1"/>
        </w:rPr>
        <w:t>1</w:t>
      </w:r>
      <w:r w:rsidR="00201FD1">
        <w:rPr>
          <w:rFonts w:ascii="Times New Roman" w:hAnsi="Times New Roman" w:cs="Times New Roman"/>
          <w:color w:val="000000" w:themeColor="text1"/>
        </w:rPr>
        <w:t>)</w:t>
      </w:r>
      <w:r w:rsidRPr="429C535D">
        <w:rPr>
          <w:rFonts w:ascii="Times New Roman" w:hAnsi="Times New Roman" w:cs="Times New Roman"/>
          <w:color w:val="000000" w:themeColor="text1"/>
        </w:rPr>
        <w:t xml:space="preserve"> of the </w:t>
      </w:r>
      <w:r w:rsidRPr="00404EAE">
        <w:rPr>
          <w:rFonts w:ascii="Times New Roman" w:hAnsi="Times New Roman" w:cs="Times New Roman"/>
          <w:i/>
          <w:iCs/>
          <w:color w:val="000000" w:themeColor="text1"/>
        </w:rPr>
        <w:t>Radiocommunications Act 1992</w:t>
      </w:r>
      <w:r w:rsidRPr="429C535D">
        <w:rPr>
          <w:rFonts w:ascii="Times New Roman" w:hAnsi="Times New Roman" w:cs="Times New Roman"/>
          <w:color w:val="000000" w:themeColor="text1"/>
        </w:rPr>
        <w:t xml:space="preserve"> (</w:t>
      </w:r>
      <w:r w:rsidRPr="00404EAE">
        <w:rPr>
          <w:rFonts w:ascii="Times New Roman" w:hAnsi="Times New Roman" w:cs="Times New Roman"/>
          <w:b/>
          <w:bCs/>
          <w:color w:val="000000" w:themeColor="text1"/>
        </w:rPr>
        <w:t>the Act</w:t>
      </w:r>
      <w:r w:rsidRPr="429C535D">
        <w:rPr>
          <w:rFonts w:ascii="Times New Roman" w:hAnsi="Times New Roman" w:cs="Times New Roman"/>
          <w:color w:val="000000" w:themeColor="text1"/>
        </w:rPr>
        <w:t>)</w:t>
      </w:r>
      <w:r w:rsidR="004E5843">
        <w:rPr>
          <w:rFonts w:ascii="Times New Roman" w:hAnsi="Times New Roman" w:cs="Times New Roman"/>
          <w:color w:val="000000" w:themeColor="text1"/>
        </w:rPr>
        <w:t xml:space="preserve"> and subsection 33(3) of the </w:t>
      </w:r>
      <w:r w:rsidR="004E5843">
        <w:rPr>
          <w:rFonts w:ascii="Times New Roman" w:hAnsi="Times New Roman" w:cs="Times New Roman"/>
          <w:i/>
          <w:iCs/>
          <w:color w:val="000000" w:themeColor="text1"/>
        </w:rPr>
        <w:t>Acts Interpretation Act 1901</w:t>
      </w:r>
      <w:r w:rsidR="004E5843">
        <w:rPr>
          <w:rFonts w:ascii="Times New Roman" w:hAnsi="Times New Roman" w:cs="Times New Roman"/>
          <w:color w:val="000000" w:themeColor="text1"/>
        </w:rPr>
        <w:t xml:space="preserve"> (</w:t>
      </w:r>
      <w:r w:rsidR="004E5843" w:rsidRPr="004E5843">
        <w:rPr>
          <w:rFonts w:ascii="Times New Roman" w:hAnsi="Times New Roman" w:cs="Times New Roman"/>
          <w:b/>
          <w:bCs/>
          <w:color w:val="000000" w:themeColor="text1"/>
        </w:rPr>
        <w:t>AIA</w:t>
      </w:r>
      <w:r w:rsidR="004E5843">
        <w:rPr>
          <w:rFonts w:ascii="Times New Roman" w:hAnsi="Times New Roman" w:cs="Times New Roman"/>
          <w:color w:val="000000" w:themeColor="text1"/>
        </w:rPr>
        <w:t>)</w:t>
      </w:r>
      <w:r w:rsidRPr="429C535D">
        <w:rPr>
          <w:rFonts w:ascii="Times New Roman" w:hAnsi="Times New Roman" w:cs="Times New Roman"/>
          <w:color w:val="000000" w:themeColor="text1"/>
        </w:rPr>
        <w:t>.</w:t>
      </w:r>
    </w:p>
    <w:p w14:paraId="1AFC1AF4" w14:textId="62C1875C" w:rsidR="004D7AF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83E72">
        <w:rPr>
          <w:rFonts w:ascii="Times New Roman" w:hAnsi="Times New Roman" w:cs="Times New Roman"/>
          <w:color w:val="000000"/>
        </w:rPr>
        <w:t xml:space="preserve">Under </w:t>
      </w:r>
      <w:r w:rsidR="00201FD1">
        <w:rPr>
          <w:rFonts w:ascii="Times New Roman" w:hAnsi="Times New Roman" w:cs="Times New Roman"/>
          <w:color w:val="000000"/>
        </w:rPr>
        <w:t>sub</w:t>
      </w:r>
      <w:r w:rsidRPr="00683E72">
        <w:rPr>
          <w:rFonts w:ascii="Times New Roman" w:hAnsi="Times New Roman" w:cs="Times New Roman"/>
          <w:color w:val="000000"/>
        </w:rPr>
        <w:t xml:space="preserve">section </w:t>
      </w:r>
      <w:r w:rsidR="00201FD1">
        <w:rPr>
          <w:rFonts w:ascii="Times New Roman" w:hAnsi="Times New Roman" w:cs="Times New Roman"/>
          <w:color w:val="000000"/>
        </w:rPr>
        <w:t>3</w:t>
      </w:r>
      <w:r w:rsidR="00F45244">
        <w:rPr>
          <w:rFonts w:ascii="Times New Roman" w:hAnsi="Times New Roman" w:cs="Times New Roman"/>
          <w:color w:val="000000"/>
        </w:rPr>
        <w:t>2</w:t>
      </w:r>
      <w:r w:rsidR="00201FD1">
        <w:rPr>
          <w:rFonts w:ascii="Times New Roman" w:hAnsi="Times New Roman" w:cs="Times New Roman"/>
          <w:color w:val="000000"/>
        </w:rPr>
        <w:t>(</w:t>
      </w:r>
      <w:r w:rsidR="00F45244">
        <w:rPr>
          <w:rFonts w:ascii="Times New Roman" w:hAnsi="Times New Roman" w:cs="Times New Roman"/>
          <w:color w:val="000000"/>
        </w:rPr>
        <w:t>1</w:t>
      </w:r>
      <w:r w:rsidR="00201FD1">
        <w:rPr>
          <w:rFonts w:ascii="Times New Roman" w:hAnsi="Times New Roman" w:cs="Times New Roman"/>
          <w:color w:val="000000"/>
        </w:rPr>
        <w:t>)</w:t>
      </w:r>
      <w:r w:rsidR="004E5843">
        <w:rPr>
          <w:rFonts w:ascii="Times New Roman" w:hAnsi="Times New Roman" w:cs="Times New Roman"/>
          <w:color w:val="000000"/>
        </w:rPr>
        <w:t xml:space="preserve"> of the Act</w:t>
      </w:r>
      <w:r w:rsidRPr="00683E72">
        <w:rPr>
          <w:rFonts w:ascii="Times New Roman" w:hAnsi="Times New Roman" w:cs="Times New Roman"/>
          <w:color w:val="000000"/>
        </w:rPr>
        <w:t xml:space="preserve">, the ACMA may, by legislative instrument, </w:t>
      </w:r>
      <w:r w:rsidR="00A324C0" w:rsidRPr="00A324C0">
        <w:rPr>
          <w:rFonts w:ascii="Times New Roman" w:hAnsi="Times New Roman" w:cs="Times New Roman"/>
          <w:color w:val="000000"/>
        </w:rPr>
        <w:t>prepare frequency band plans, each relating to one or more frequency bands</w:t>
      </w:r>
      <w:r w:rsidRPr="00683E72">
        <w:rPr>
          <w:rFonts w:ascii="Times New Roman" w:hAnsi="Times New Roman" w:cs="Times New Roman"/>
          <w:color w:val="000000"/>
        </w:rPr>
        <w:t xml:space="preserve">. </w:t>
      </w:r>
    </w:p>
    <w:p w14:paraId="3572C8B6" w14:textId="49D8D9A8" w:rsidR="0010304B" w:rsidRPr="00683E72" w:rsidRDefault="0010304B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Subsection 33(3) of the AIA relevantly provides that where an Act confers a power to make a legislative instrument, the power shall be construed as including a power exercisable in the like manner and subject to the like conditions (if any) </w:t>
      </w:r>
      <w:r w:rsidR="004117DC">
        <w:rPr>
          <w:rFonts w:ascii="Times New Roman" w:hAnsi="Times New Roman" w:cs="Times New Roman"/>
          <w:color w:val="000000"/>
        </w:rPr>
        <w:t>to repeal, rescind, revoke, amend, or vary any such instrument.</w:t>
      </w:r>
    </w:p>
    <w:p w14:paraId="1B4D1EF3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and operation of the instrument</w:t>
      </w:r>
    </w:p>
    <w:p w14:paraId="223188F1" w14:textId="77777777" w:rsidR="004E5843" w:rsidRPr="00683E72" w:rsidRDefault="004E5843" w:rsidP="004E5843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83E72">
        <w:rPr>
          <w:rFonts w:ascii="Times New Roman" w:hAnsi="Times New Roman" w:cs="Times New Roman"/>
          <w:color w:val="000000"/>
        </w:rPr>
        <w:t xml:space="preserve">Under </w:t>
      </w:r>
      <w:r>
        <w:rPr>
          <w:rFonts w:ascii="Times New Roman" w:hAnsi="Times New Roman" w:cs="Times New Roman"/>
          <w:color w:val="000000"/>
        </w:rPr>
        <w:t>paragraph</w:t>
      </w:r>
      <w:r w:rsidRPr="00683E72"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</w:rPr>
        <w:t>2(4)(a)</w:t>
      </w:r>
      <w:r w:rsidRPr="00683E72">
        <w:rPr>
          <w:rFonts w:ascii="Times New Roman" w:hAnsi="Times New Roman" w:cs="Times New Roman"/>
          <w:color w:val="000000"/>
        </w:rPr>
        <w:t xml:space="preserve"> of the Act, </w:t>
      </w:r>
      <w:r>
        <w:rPr>
          <w:rFonts w:ascii="Times New Roman" w:hAnsi="Times New Roman" w:cs="Times New Roman"/>
          <w:color w:val="000000"/>
        </w:rPr>
        <w:t xml:space="preserve">a frequency band plan </w:t>
      </w:r>
      <w:r w:rsidRPr="00DE39CB">
        <w:rPr>
          <w:rFonts w:ascii="Times New Roman" w:hAnsi="Times New Roman" w:cs="Times New Roman"/>
          <w:color w:val="000000"/>
        </w:rPr>
        <w:t>must make provision in relation to the purpose or purposes for which the band or bands may be used</w:t>
      </w:r>
      <w:r w:rsidRPr="00683E72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The instrument makes such provision.</w:t>
      </w:r>
    </w:p>
    <w:p w14:paraId="30904DAD" w14:textId="7B9682A8" w:rsidR="00086C0D" w:rsidRPr="004B7EBB" w:rsidRDefault="001053EF" w:rsidP="004B7EBB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="00F72735">
        <w:rPr>
          <w:rFonts w:ascii="Times New Roman" w:hAnsi="Times New Roman" w:cs="Times New Roman"/>
          <w:color w:val="000000"/>
        </w:rPr>
        <w:t xml:space="preserve">primary </w:t>
      </w:r>
      <w:r>
        <w:rPr>
          <w:rFonts w:ascii="Times New Roman" w:hAnsi="Times New Roman" w:cs="Times New Roman"/>
          <w:color w:val="000000"/>
        </w:rPr>
        <w:t xml:space="preserve">purpose of the instrument is to make provision </w:t>
      </w:r>
      <w:r w:rsidR="00DB48E7">
        <w:rPr>
          <w:rFonts w:ascii="Times New Roman" w:hAnsi="Times New Roman" w:cs="Times New Roman"/>
          <w:color w:val="000000"/>
        </w:rPr>
        <w:t xml:space="preserve">in relation to the purposes for which the </w:t>
      </w:r>
      <w:r w:rsidR="003152CD">
        <w:rPr>
          <w:rFonts w:ascii="Times New Roman" w:hAnsi="Times New Roman" w:cs="Times New Roman"/>
          <w:color w:val="000000"/>
        </w:rPr>
        <w:t xml:space="preserve">frequency bands </w:t>
      </w:r>
      <w:r w:rsidR="00271F52">
        <w:rPr>
          <w:rFonts w:ascii="Times New Roman" w:hAnsi="Times New Roman" w:cs="Times New Roman"/>
          <w:color w:val="000000"/>
        </w:rPr>
        <w:t>2</w:t>
      </w:r>
      <w:r w:rsidR="003152CD">
        <w:rPr>
          <w:rFonts w:ascii="Times New Roman" w:hAnsi="Times New Roman" w:cs="Times New Roman"/>
          <w:color w:val="000000"/>
        </w:rPr>
        <w:t>010</w:t>
      </w:r>
      <w:r w:rsidR="00F27B77">
        <w:rPr>
          <w:rFonts w:ascii="Times New Roman" w:hAnsi="Times New Roman" w:cs="Times New Roman"/>
          <w:color w:val="000000"/>
        </w:rPr>
        <w:t xml:space="preserve"> MHz to </w:t>
      </w:r>
      <w:r w:rsidR="00271F52">
        <w:rPr>
          <w:rFonts w:ascii="Times New Roman" w:hAnsi="Times New Roman" w:cs="Times New Roman"/>
          <w:color w:val="000000"/>
        </w:rPr>
        <w:t>2110</w:t>
      </w:r>
      <w:r w:rsidR="003152CD">
        <w:rPr>
          <w:rFonts w:ascii="Times New Roman" w:hAnsi="Times New Roman" w:cs="Times New Roman"/>
          <w:color w:val="000000"/>
        </w:rPr>
        <w:t xml:space="preserve"> MHz and 2</w:t>
      </w:r>
      <w:r w:rsidR="00271F52">
        <w:rPr>
          <w:rFonts w:ascii="Times New Roman" w:hAnsi="Times New Roman" w:cs="Times New Roman"/>
          <w:color w:val="000000"/>
        </w:rPr>
        <w:t>20</w:t>
      </w:r>
      <w:r w:rsidR="003152CD">
        <w:rPr>
          <w:rFonts w:ascii="Times New Roman" w:hAnsi="Times New Roman" w:cs="Times New Roman"/>
          <w:color w:val="000000"/>
        </w:rPr>
        <w:t>0</w:t>
      </w:r>
      <w:r w:rsidR="00F27B77">
        <w:rPr>
          <w:rFonts w:ascii="Times New Roman" w:hAnsi="Times New Roman" w:cs="Times New Roman"/>
          <w:color w:val="000000"/>
        </w:rPr>
        <w:t xml:space="preserve"> MHz to </w:t>
      </w:r>
      <w:r w:rsidR="003152CD">
        <w:rPr>
          <w:rFonts w:ascii="Times New Roman" w:hAnsi="Times New Roman" w:cs="Times New Roman"/>
          <w:color w:val="000000"/>
        </w:rPr>
        <w:t>2</w:t>
      </w:r>
      <w:r w:rsidR="00271F52">
        <w:rPr>
          <w:rFonts w:ascii="Times New Roman" w:hAnsi="Times New Roman" w:cs="Times New Roman"/>
          <w:color w:val="000000"/>
        </w:rPr>
        <w:t>3</w:t>
      </w:r>
      <w:r w:rsidR="003152CD">
        <w:rPr>
          <w:rFonts w:ascii="Times New Roman" w:hAnsi="Times New Roman" w:cs="Times New Roman"/>
          <w:color w:val="000000"/>
        </w:rPr>
        <w:t>00 MHz</w:t>
      </w:r>
      <w:r w:rsidR="00452008">
        <w:rPr>
          <w:rFonts w:ascii="Times New Roman" w:hAnsi="Times New Roman" w:cs="Times New Roman"/>
          <w:color w:val="000000"/>
        </w:rPr>
        <w:t xml:space="preserve"> </w:t>
      </w:r>
      <w:r w:rsidR="003152CD">
        <w:rPr>
          <w:rFonts w:ascii="Times New Roman" w:hAnsi="Times New Roman" w:cs="Times New Roman"/>
          <w:color w:val="000000"/>
        </w:rPr>
        <w:t>may be used.</w:t>
      </w:r>
      <w:r w:rsidR="007B2ED8">
        <w:rPr>
          <w:rFonts w:ascii="Times New Roman" w:hAnsi="Times New Roman" w:cs="Times New Roman"/>
          <w:color w:val="000000"/>
        </w:rPr>
        <w:t xml:space="preserve"> </w:t>
      </w:r>
    </w:p>
    <w:p w14:paraId="5B5E4D01" w14:textId="46BA06B3" w:rsidR="00E87D93" w:rsidRDefault="00E87D93" w:rsidP="00E87D93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Use of </w:t>
      </w:r>
      <w:r w:rsidR="0096537E">
        <w:rPr>
          <w:rFonts w:ascii="Times New Roman" w:hAnsi="Times New Roman" w:cs="Times New Roman"/>
          <w:color w:val="000000"/>
        </w:rPr>
        <w:t>these frequency bands</w:t>
      </w:r>
      <w:r>
        <w:rPr>
          <w:rFonts w:ascii="Times New Roman" w:hAnsi="Times New Roman" w:cs="Times New Roman"/>
          <w:color w:val="000000"/>
        </w:rPr>
        <w:t xml:space="preserve"> was previously subject to the requirements of the </w:t>
      </w:r>
      <w:r w:rsidRPr="00D06733">
        <w:rPr>
          <w:rFonts w:ascii="Times New Roman" w:hAnsi="Times New Roman" w:cs="Times New Roman"/>
          <w:i/>
          <w:iCs/>
          <w:color w:val="000000"/>
        </w:rPr>
        <w:t>Television Outside Broadcast (1980-2110 MHz and 2170-2300 MHz) Frequency Band Plan 2012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</w:rPr>
        <w:t xml:space="preserve">the </w:t>
      </w:r>
      <w:r w:rsidR="00FF3CAD">
        <w:rPr>
          <w:rFonts w:ascii="Times New Roman" w:hAnsi="Times New Roman" w:cs="Times New Roman"/>
          <w:b/>
          <w:bCs/>
          <w:color w:val="000000"/>
        </w:rPr>
        <w:t xml:space="preserve">2012 </w:t>
      </w:r>
      <w:r>
        <w:rPr>
          <w:rFonts w:ascii="Times New Roman" w:hAnsi="Times New Roman" w:cs="Times New Roman"/>
          <w:b/>
          <w:bCs/>
          <w:color w:val="000000"/>
        </w:rPr>
        <w:t>band plan</w:t>
      </w:r>
      <w:r w:rsidRPr="0082754D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. </w:t>
      </w:r>
      <w:r w:rsidR="00464574">
        <w:rPr>
          <w:rFonts w:ascii="Times New Roman" w:hAnsi="Times New Roman" w:cs="Times New Roman"/>
          <w:color w:val="000000"/>
        </w:rPr>
        <w:t>Th</w:t>
      </w:r>
      <w:r w:rsidR="00A87973">
        <w:rPr>
          <w:rFonts w:ascii="Times New Roman" w:hAnsi="Times New Roman" w:cs="Times New Roman"/>
          <w:color w:val="000000"/>
        </w:rPr>
        <w:t>e 2012 band plan</w:t>
      </w:r>
      <w:r>
        <w:rPr>
          <w:rFonts w:ascii="Times New Roman" w:hAnsi="Times New Roman" w:cs="Times New Roman"/>
          <w:color w:val="000000"/>
        </w:rPr>
        <w:t xml:space="preserve"> </w:t>
      </w:r>
      <w:r w:rsidR="00404D40">
        <w:rPr>
          <w:rFonts w:ascii="Times New Roman" w:hAnsi="Times New Roman" w:cs="Times New Roman"/>
          <w:color w:val="000000"/>
        </w:rPr>
        <w:t>has been</w:t>
      </w:r>
      <w:r>
        <w:rPr>
          <w:rFonts w:ascii="Times New Roman" w:hAnsi="Times New Roman" w:cs="Times New Roman"/>
          <w:color w:val="000000"/>
        </w:rPr>
        <w:t xml:space="preserve"> revoked by the </w:t>
      </w:r>
      <w:r w:rsidR="00154FD9">
        <w:rPr>
          <w:rFonts w:ascii="Times New Roman" w:hAnsi="Times New Roman" w:cs="Times New Roman"/>
          <w:color w:val="000000"/>
        </w:rPr>
        <w:t>instrument</w:t>
      </w:r>
      <w:r>
        <w:rPr>
          <w:rFonts w:ascii="Times New Roman" w:hAnsi="Times New Roman" w:cs="Times New Roman"/>
          <w:color w:val="000000"/>
        </w:rPr>
        <w:t>.</w:t>
      </w:r>
    </w:p>
    <w:p w14:paraId="56DB103C" w14:textId="3626169B" w:rsidR="00C13055" w:rsidRDefault="00001DA3" w:rsidP="00C13055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January 2021, the ACMA concluded a review of the 2 GHz band</w:t>
      </w:r>
      <w:r w:rsidR="008F7779">
        <w:rPr>
          <w:rFonts w:ascii="Times New Roman" w:hAnsi="Times New Roman" w:cs="Times New Roman"/>
          <w:color w:val="000000"/>
        </w:rPr>
        <w:t xml:space="preserve"> </w:t>
      </w:r>
      <w:r w:rsidR="008F7779" w:rsidRPr="008F7779">
        <w:rPr>
          <w:rFonts w:ascii="Times New Roman" w:hAnsi="Times New Roman" w:cs="Times New Roman"/>
          <w:color w:val="000000"/>
        </w:rPr>
        <w:t>(1980</w:t>
      </w:r>
      <w:r w:rsidR="00F27B77">
        <w:rPr>
          <w:rFonts w:ascii="Times New Roman" w:hAnsi="Times New Roman" w:cs="Times New Roman"/>
          <w:color w:val="000000"/>
        </w:rPr>
        <w:t xml:space="preserve"> MHz to </w:t>
      </w:r>
      <w:r w:rsidR="008F7779" w:rsidRPr="008F7779">
        <w:rPr>
          <w:rFonts w:ascii="Times New Roman" w:hAnsi="Times New Roman" w:cs="Times New Roman"/>
          <w:color w:val="000000"/>
        </w:rPr>
        <w:t xml:space="preserve">2010 </w:t>
      </w:r>
      <w:r w:rsidR="008F7779">
        <w:rPr>
          <w:rFonts w:ascii="Times New Roman" w:hAnsi="Times New Roman" w:cs="Times New Roman"/>
          <w:color w:val="000000"/>
        </w:rPr>
        <w:t xml:space="preserve">MHz </w:t>
      </w:r>
      <w:r w:rsidR="008F7779" w:rsidRPr="008F7779">
        <w:rPr>
          <w:rFonts w:ascii="Times New Roman" w:hAnsi="Times New Roman" w:cs="Times New Roman"/>
          <w:color w:val="000000"/>
        </w:rPr>
        <w:t>and 2170</w:t>
      </w:r>
      <w:r w:rsidR="00F27B77">
        <w:rPr>
          <w:rFonts w:ascii="Times New Roman" w:hAnsi="Times New Roman" w:cs="Times New Roman"/>
          <w:color w:val="000000"/>
        </w:rPr>
        <w:t xml:space="preserve"> MHz to </w:t>
      </w:r>
      <w:r w:rsidR="008F7779" w:rsidRPr="008F7779">
        <w:rPr>
          <w:rFonts w:ascii="Times New Roman" w:hAnsi="Times New Roman" w:cs="Times New Roman"/>
          <w:color w:val="000000"/>
        </w:rPr>
        <w:t>2200</w:t>
      </w:r>
      <w:r w:rsidR="00667F17">
        <w:rPr>
          <w:rFonts w:ascii="Times New Roman" w:hAnsi="Times New Roman" w:cs="Times New Roman"/>
          <w:color w:val="000000"/>
        </w:rPr>
        <w:t> </w:t>
      </w:r>
      <w:r w:rsidR="008F7779" w:rsidRPr="008F7779">
        <w:rPr>
          <w:rFonts w:ascii="Times New Roman" w:hAnsi="Times New Roman" w:cs="Times New Roman"/>
          <w:color w:val="000000"/>
        </w:rPr>
        <w:t>MHz)</w:t>
      </w:r>
      <w:r w:rsidR="00E409B4">
        <w:rPr>
          <w:rFonts w:ascii="Times New Roman" w:hAnsi="Times New Roman" w:cs="Times New Roman"/>
          <w:color w:val="000000"/>
        </w:rPr>
        <w:t xml:space="preserve"> with </w:t>
      </w:r>
      <w:r w:rsidR="00A562DB">
        <w:rPr>
          <w:rFonts w:ascii="Times New Roman" w:hAnsi="Times New Roman" w:cs="Times New Roman"/>
          <w:color w:val="000000"/>
        </w:rPr>
        <w:t>a</w:t>
      </w:r>
      <w:r w:rsidR="00E409B4">
        <w:rPr>
          <w:rFonts w:ascii="Times New Roman" w:hAnsi="Times New Roman" w:cs="Times New Roman"/>
          <w:color w:val="000000"/>
        </w:rPr>
        <w:t xml:space="preserve"> decision to replan the band for mobile-satellite services.</w:t>
      </w:r>
      <w:r w:rsidR="0096323C">
        <w:rPr>
          <w:rFonts w:ascii="Times New Roman" w:hAnsi="Times New Roman" w:cs="Times New Roman"/>
          <w:color w:val="000000"/>
        </w:rPr>
        <w:t xml:space="preserve"> </w:t>
      </w:r>
      <w:r w:rsidR="007B4D52">
        <w:rPr>
          <w:rFonts w:ascii="Times New Roman" w:hAnsi="Times New Roman" w:cs="Times New Roman"/>
          <w:color w:val="000000"/>
        </w:rPr>
        <w:t xml:space="preserve">The </w:t>
      </w:r>
      <w:r w:rsidR="00AD5EAC">
        <w:rPr>
          <w:rFonts w:ascii="Times New Roman" w:hAnsi="Times New Roman" w:cs="Times New Roman"/>
          <w:color w:val="000000"/>
        </w:rPr>
        <w:t>2 GHz band comprises a subset of frequenc</w:t>
      </w:r>
      <w:r w:rsidR="00EC11B6">
        <w:rPr>
          <w:rFonts w:ascii="Times New Roman" w:hAnsi="Times New Roman" w:cs="Times New Roman"/>
          <w:color w:val="000000"/>
        </w:rPr>
        <w:t>y bands</w:t>
      </w:r>
      <w:r w:rsidR="00AD5EAC">
        <w:rPr>
          <w:rFonts w:ascii="Times New Roman" w:hAnsi="Times New Roman" w:cs="Times New Roman"/>
          <w:color w:val="000000"/>
        </w:rPr>
        <w:t xml:space="preserve"> </w:t>
      </w:r>
      <w:r w:rsidR="0096537E">
        <w:rPr>
          <w:rFonts w:ascii="Times New Roman" w:hAnsi="Times New Roman" w:cs="Times New Roman"/>
          <w:color w:val="000000"/>
        </w:rPr>
        <w:t>that were previously covered by the 2012 band plan.</w:t>
      </w:r>
      <w:r w:rsidR="000F0E71">
        <w:rPr>
          <w:rFonts w:ascii="Times New Roman" w:hAnsi="Times New Roman" w:cs="Times New Roman"/>
          <w:color w:val="000000"/>
        </w:rPr>
        <w:t xml:space="preserve"> </w:t>
      </w:r>
      <w:r w:rsidR="0036738B">
        <w:rPr>
          <w:rFonts w:ascii="Times New Roman" w:hAnsi="Times New Roman" w:cs="Times New Roman"/>
          <w:color w:val="000000"/>
        </w:rPr>
        <w:t xml:space="preserve">To make provision for the purposes for which </w:t>
      </w:r>
      <w:r w:rsidR="00C1528C">
        <w:rPr>
          <w:rFonts w:ascii="Times New Roman" w:hAnsi="Times New Roman" w:cs="Times New Roman"/>
          <w:color w:val="000000"/>
        </w:rPr>
        <w:t>these frequency bands</w:t>
      </w:r>
      <w:r w:rsidR="00C13055">
        <w:rPr>
          <w:rFonts w:ascii="Times New Roman" w:hAnsi="Times New Roman" w:cs="Times New Roman"/>
          <w:color w:val="000000"/>
        </w:rPr>
        <w:t xml:space="preserve"> </w:t>
      </w:r>
      <w:r w:rsidR="00EC11B6">
        <w:rPr>
          <w:rFonts w:ascii="Times New Roman" w:hAnsi="Times New Roman" w:cs="Times New Roman"/>
          <w:color w:val="000000"/>
        </w:rPr>
        <w:t>may be used</w:t>
      </w:r>
      <w:r w:rsidR="008D5C62">
        <w:rPr>
          <w:rFonts w:ascii="Times New Roman" w:hAnsi="Times New Roman" w:cs="Times New Roman"/>
          <w:color w:val="000000"/>
        </w:rPr>
        <w:t xml:space="preserve">, the ACMA has made two new frequency band </w:t>
      </w:r>
      <w:r w:rsidR="002269B6">
        <w:rPr>
          <w:rFonts w:ascii="Times New Roman" w:hAnsi="Times New Roman" w:cs="Times New Roman"/>
          <w:color w:val="000000"/>
        </w:rPr>
        <w:t>plans</w:t>
      </w:r>
      <w:r w:rsidR="00C13055">
        <w:rPr>
          <w:rFonts w:ascii="Times New Roman" w:hAnsi="Times New Roman" w:cs="Times New Roman"/>
          <w:color w:val="000000"/>
        </w:rPr>
        <w:t>:</w:t>
      </w:r>
    </w:p>
    <w:p w14:paraId="2DB909F2" w14:textId="7FED37E5" w:rsidR="00315BCA" w:rsidRPr="00C13055" w:rsidRDefault="00315BCA" w:rsidP="00C13055">
      <w:pPr>
        <w:pStyle w:val="ListParagraph"/>
        <w:numPr>
          <w:ilvl w:val="0"/>
          <w:numId w:val="44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C13055">
        <w:rPr>
          <w:rFonts w:ascii="Times New Roman" w:hAnsi="Times New Roman" w:cs="Times New Roman"/>
          <w:color w:val="000000"/>
        </w:rPr>
        <w:t xml:space="preserve">the </w:t>
      </w:r>
      <w:r w:rsidRPr="00C13055">
        <w:rPr>
          <w:rFonts w:ascii="Times New Roman" w:hAnsi="Times New Roman" w:cs="Times New Roman"/>
          <w:i/>
          <w:iCs/>
          <w:color w:val="000000"/>
        </w:rPr>
        <w:t>Radiocommunications (Mobile-Satellite Service) (1980–2010 MHz and 2170–2200 MHz) Frequency Band Plan 2022</w:t>
      </w:r>
      <w:r w:rsidRPr="00C13055">
        <w:rPr>
          <w:rFonts w:ascii="Times New Roman" w:hAnsi="Times New Roman" w:cs="Times New Roman"/>
          <w:color w:val="000000"/>
        </w:rPr>
        <w:t>, which deals with the 2 GHz band; and</w:t>
      </w:r>
    </w:p>
    <w:p w14:paraId="01D23ABD" w14:textId="5A1ADDB7" w:rsidR="002269B6" w:rsidRPr="00315BCA" w:rsidRDefault="00315BCA" w:rsidP="00315BCA">
      <w:pPr>
        <w:pStyle w:val="ListParagraph"/>
        <w:numPr>
          <w:ilvl w:val="0"/>
          <w:numId w:val="44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315BCA">
        <w:rPr>
          <w:rFonts w:ascii="Times New Roman" w:hAnsi="Times New Roman" w:cs="Times New Roman"/>
          <w:color w:val="000000"/>
        </w:rPr>
        <w:t>the</w:t>
      </w:r>
      <w:r w:rsidR="00C13055">
        <w:rPr>
          <w:rFonts w:ascii="Times New Roman" w:hAnsi="Times New Roman" w:cs="Times New Roman"/>
          <w:color w:val="000000"/>
        </w:rPr>
        <w:t xml:space="preserve"> instrument</w:t>
      </w:r>
      <w:r w:rsidRPr="00315BCA">
        <w:rPr>
          <w:rFonts w:ascii="Times New Roman" w:hAnsi="Times New Roman" w:cs="Times New Roman"/>
          <w:color w:val="000000"/>
        </w:rPr>
        <w:t xml:space="preserve">, </w:t>
      </w:r>
      <w:r w:rsidR="0072553F">
        <w:rPr>
          <w:rFonts w:ascii="Times New Roman" w:hAnsi="Times New Roman" w:cs="Times New Roman"/>
          <w:color w:val="000000"/>
        </w:rPr>
        <w:t xml:space="preserve">which </w:t>
      </w:r>
      <w:r w:rsidRPr="00315BCA">
        <w:rPr>
          <w:rFonts w:ascii="Times New Roman" w:hAnsi="Times New Roman" w:cs="Times New Roman"/>
          <w:color w:val="000000"/>
        </w:rPr>
        <w:t>deal</w:t>
      </w:r>
      <w:r w:rsidR="0072553F">
        <w:rPr>
          <w:rFonts w:ascii="Times New Roman" w:hAnsi="Times New Roman" w:cs="Times New Roman"/>
          <w:color w:val="000000"/>
        </w:rPr>
        <w:t>s</w:t>
      </w:r>
      <w:r w:rsidRPr="00315BCA">
        <w:rPr>
          <w:rFonts w:ascii="Times New Roman" w:hAnsi="Times New Roman" w:cs="Times New Roman"/>
          <w:color w:val="000000"/>
        </w:rPr>
        <w:t xml:space="preserve"> with the remaining frequencies</w:t>
      </w:r>
      <w:r w:rsidR="0072553F">
        <w:rPr>
          <w:rFonts w:ascii="Times New Roman" w:hAnsi="Times New Roman" w:cs="Times New Roman"/>
          <w:color w:val="000000"/>
        </w:rPr>
        <w:t xml:space="preserve">, namely </w:t>
      </w:r>
      <w:r w:rsidR="0094505A" w:rsidRPr="0094505A">
        <w:rPr>
          <w:rFonts w:ascii="Times New Roman" w:hAnsi="Times New Roman" w:cs="Times New Roman"/>
          <w:color w:val="000000"/>
        </w:rPr>
        <w:t>2010</w:t>
      </w:r>
      <w:r w:rsidR="00F27B77">
        <w:rPr>
          <w:rFonts w:ascii="Times New Roman" w:hAnsi="Times New Roman" w:cs="Times New Roman"/>
          <w:color w:val="000000"/>
        </w:rPr>
        <w:t xml:space="preserve"> MHz to </w:t>
      </w:r>
      <w:r w:rsidR="0094505A" w:rsidRPr="0094505A">
        <w:rPr>
          <w:rFonts w:ascii="Times New Roman" w:hAnsi="Times New Roman" w:cs="Times New Roman"/>
          <w:color w:val="000000"/>
        </w:rPr>
        <w:t>2110 MHz and 2200</w:t>
      </w:r>
      <w:r w:rsidR="00F27B77">
        <w:rPr>
          <w:rFonts w:ascii="Times New Roman" w:hAnsi="Times New Roman" w:cs="Times New Roman"/>
          <w:color w:val="000000"/>
        </w:rPr>
        <w:t xml:space="preserve"> MHz to </w:t>
      </w:r>
      <w:r w:rsidR="0094505A" w:rsidRPr="0094505A">
        <w:rPr>
          <w:rFonts w:ascii="Times New Roman" w:hAnsi="Times New Roman" w:cs="Times New Roman"/>
          <w:color w:val="000000"/>
        </w:rPr>
        <w:t>2300</w:t>
      </w:r>
      <w:r w:rsidR="0094505A">
        <w:rPr>
          <w:rFonts w:ascii="Times New Roman" w:hAnsi="Times New Roman" w:cs="Times New Roman"/>
          <w:color w:val="000000"/>
        </w:rPr>
        <w:t> </w:t>
      </w:r>
      <w:r w:rsidR="0094505A" w:rsidRPr="0094505A">
        <w:rPr>
          <w:rFonts w:ascii="Times New Roman" w:hAnsi="Times New Roman" w:cs="Times New Roman"/>
          <w:color w:val="000000"/>
        </w:rPr>
        <w:t>MHz</w:t>
      </w:r>
      <w:r w:rsidR="0072553F">
        <w:rPr>
          <w:rFonts w:ascii="Times New Roman" w:hAnsi="Times New Roman" w:cs="Times New Roman"/>
          <w:color w:val="000000"/>
        </w:rPr>
        <w:t xml:space="preserve"> (</w:t>
      </w:r>
      <w:r w:rsidR="0072553F" w:rsidRPr="0072553F">
        <w:rPr>
          <w:rFonts w:ascii="Times New Roman" w:hAnsi="Times New Roman" w:cs="Times New Roman"/>
          <w:b/>
          <w:bCs/>
          <w:color w:val="000000"/>
        </w:rPr>
        <w:t>the TOB band</w:t>
      </w:r>
      <w:r w:rsidR="0072553F">
        <w:rPr>
          <w:rFonts w:ascii="Times New Roman" w:hAnsi="Times New Roman" w:cs="Times New Roman"/>
          <w:color w:val="000000"/>
        </w:rPr>
        <w:t>)</w:t>
      </w:r>
      <w:r w:rsidR="00DC70AD">
        <w:rPr>
          <w:rFonts w:ascii="Times New Roman" w:hAnsi="Times New Roman" w:cs="Times New Roman"/>
          <w:color w:val="000000"/>
        </w:rPr>
        <w:t>,</w:t>
      </w:r>
      <w:r w:rsidR="0094505A" w:rsidRPr="0094505A">
        <w:rPr>
          <w:rFonts w:ascii="Times New Roman" w:hAnsi="Times New Roman" w:cs="Times New Roman"/>
          <w:color w:val="000000"/>
        </w:rPr>
        <w:t xml:space="preserve"> </w:t>
      </w:r>
      <w:r w:rsidRPr="00315BCA">
        <w:rPr>
          <w:rFonts w:ascii="Times New Roman" w:hAnsi="Times New Roman" w:cs="Times New Roman"/>
          <w:color w:val="000000"/>
        </w:rPr>
        <w:t xml:space="preserve">which </w:t>
      </w:r>
      <w:r w:rsidR="00A44A2A">
        <w:rPr>
          <w:rFonts w:ascii="Times New Roman" w:hAnsi="Times New Roman" w:cs="Times New Roman"/>
          <w:color w:val="000000"/>
        </w:rPr>
        <w:t>were</w:t>
      </w:r>
      <w:r w:rsidRPr="00315BCA">
        <w:rPr>
          <w:rFonts w:ascii="Times New Roman" w:hAnsi="Times New Roman" w:cs="Times New Roman"/>
          <w:color w:val="000000"/>
        </w:rPr>
        <w:t xml:space="preserve"> not </w:t>
      </w:r>
      <w:r w:rsidR="0094505A">
        <w:rPr>
          <w:rFonts w:ascii="Times New Roman" w:hAnsi="Times New Roman" w:cs="Times New Roman"/>
          <w:color w:val="000000"/>
        </w:rPr>
        <w:t xml:space="preserve">part of the </w:t>
      </w:r>
      <w:r w:rsidR="00DD631A">
        <w:rPr>
          <w:rFonts w:ascii="Times New Roman" w:hAnsi="Times New Roman" w:cs="Times New Roman"/>
          <w:color w:val="000000"/>
        </w:rPr>
        <w:t xml:space="preserve">review of the </w:t>
      </w:r>
      <w:r w:rsidRPr="00315BCA">
        <w:rPr>
          <w:rFonts w:ascii="Times New Roman" w:hAnsi="Times New Roman" w:cs="Times New Roman"/>
          <w:color w:val="000000"/>
        </w:rPr>
        <w:t>2</w:t>
      </w:r>
      <w:r w:rsidR="00A44A2A">
        <w:rPr>
          <w:rFonts w:ascii="Times New Roman" w:hAnsi="Times New Roman" w:cs="Times New Roman"/>
          <w:color w:val="000000"/>
        </w:rPr>
        <w:t> </w:t>
      </w:r>
      <w:r w:rsidRPr="00315BCA">
        <w:rPr>
          <w:rFonts w:ascii="Times New Roman" w:hAnsi="Times New Roman" w:cs="Times New Roman"/>
          <w:color w:val="000000"/>
        </w:rPr>
        <w:t>GHz band</w:t>
      </w:r>
      <w:r w:rsidR="00DD631A">
        <w:rPr>
          <w:rFonts w:ascii="Times New Roman" w:hAnsi="Times New Roman" w:cs="Times New Roman"/>
          <w:color w:val="000000"/>
        </w:rPr>
        <w:t>.</w:t>
      </w:r>
    </w:p>
    <w:p w14:paraId="339E8B38" w14:textId="2933A50D" w:rsidR="0096537E" w:rsidRDefault="00B84D6D" w:rsidP="007D7D3C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B84D6D">
        <w:rPr>
          <w:rFonts w:ascii="Times New Roman" w:hAnsi="Times New Roman" w:cs="Times New Roman"/>
          <w:color w:val="000000"/>
        </w:rPr>
        <w:t xml:space="preserve">The </w:t>
      </w:r>
      <w:r w:rsidR="00F6773D">
        <w:rPr>
          <w:rFonts w:ascii="Times New Roman" w:hAnsi="Times New Roman" w:cs="Times New Roman"/>
          <w:color w:val="000000"/>
        </w:rPr>
        <w:t xml:space="preserve">purpose of the </w:t>
      </w:r>
      <w:r w:rsidR="00DB5C41">
        <w:rPr>
          <w:rFonts w:ascii="Times New Roman" w:hAnsi="Times New Roman" w:cs="Times New Roman"/>
          <w:color w:val="000000"/>
        </w:rPr>
        <w:t xml:space="preserve">instrument </w:t>
      </w:r>
      <w:r w:rsidR="00F6773D">
        <w:rPr>
          <w:rFonts w:ascii="Times New Roman" w:hAnsi="Times New Roman" w:cs="Times New Roman"/>
          <w:color w:val="000000"/>
        </w:rPr>
        <w:t xml:space="preserve">is to </w:t>
      </w:r>
      <w:r w:rsidR="00DB5C41">
        <w:rPr>
          <w:rFonts w:ascii="Times New Roman" w:hAnsi="Times New Roman" w:cs="Times New Roman"/>
          <w:color w:val="000000"/>
        </w:rPr>
        <w:t xml:space="preserve">support the </w:t>
      </w:r>
      <w:r>
        <w:rPr>
          <w:rFonts w:ascii="Times New Roman" w:hAnsi="Times New Roman" w:cs="Times New Roman"/>
          <w:color w:val="000000"/>
        </w:rPr>
        <w:t>television outside broadcasting</w:t>
      </w:r>
      <w:r w:rsidRPr="00B84D6D">
        <w:rPr>
          <w:rFonts w:ascii="Times New Roman" w:hAnsi="Times New Roman" w:cs="Times New Roman"/>
          <w:color w:val="000000"/>
        </w:rPr>
        <w:t xml:space="preserve"> </w:t>
      </w:r>
      <w:r w:rsidR="00530223">
        <w:rPr>
          <w:rFonts w:ascii="Times New Roman" w:hAnsi="Times New Roman" w:cs="Times New Roman"/>
          <w:color w:val="000000"/>
        </w:rPr>
        <w:t>(</w:t>
      </w:r>
      <w:r w:rsidR="00530223">
        <w:rPr>
          <w:rFonts w:ascii="Times New Roman" w:hAnsi="Times New Roman" w:cs="Times New Roman"/>
          <w:b/>
          <w:bCs/>
          <w:color w:val="000000"/>
        </w:rPr>
        <w:t>TOB</w:t>
      </w:r>
      <w:r w:rsidR="00530223" w:rsidRPr="00530223">
        <w:rPr>
          <w:rFonts w:ascii="Times New Roman" w:hAnsi="Times New Roman" w:cs="Times New Roman"/>
          <w:color w:val="000000"/>
        </w:rPr>
        <w:t>)</w:t>
      </w:r>
      <w:r w:rsidR="00787B3B">
        <w:rPr>
          <w:rFonts w:ascii="Times New Roman" w:hAnsi="Times New Roman" w:cs="Times New Roman"/>
          <w:color w:val="000000"/>
        </w:rPr>
        <w:t xml:space="preserve"> </w:t>
      </w:r>
      <w:r w:rsidRPr="00B84D6D">
        <w:rPr>
          <w:rFonts w:ascii="Times New Roman" w:hAnsi="Times New Roman" w:cs="Times New Roman"/>
          <w:color w:val="000000"/>
        </w:rPr>
        <w:t xml:space="preserve">operations of the free-to-air </w:t>
      </w:r>
      <w:r w:rsidR="002C11AD">
        <w:rPr>
          <w:rFonts w:ascii="Times New Roman" w:hAnsi="Times New Roman" w:cs="Times New Roman"/>
          <w:color w:val="000000"/>
        </w:rPr>
        <w:t xml:space="preserve">and subscription </w:t>
      </w:r>
      <w:r w:rsidR="00DB5C41">
        <w:rPr>
          <w:rFonts w:ascii="Times New Roman" w:hAnsi="Times New Roman" w:cs="Times New Roman"/>
          <w:color w:val="000000"/>
        </w:rPr>
        <w:t xml:space="preserve">television </w:t>
      </w:r>
      <w:r w:rsidRPr="00B84D6D">
        <w:rPr>
          <w:rFonts w:ascii="Times New Roman" w:hAnsi="Times New Roman" w:cs="Times New Roman"/>
          <w:color w:val="000000"/>
        </w:rPr>
        <w:t>broadcasters</w:t>
      </w:r>
      <w:r w:rsidR="002C11AD">
        <w:rPr>
          <w:rFonts w:ascii="Times New Roman" w:hAnsi="Times New Roman" w:cs="Times New Roman"/>
          <w:color w:val="000000"/>
        </w:rPr>
        <w:t>.</w:t>
      </w:r>
      <w:r w:rsidRPr="00B84D6D">
        <w:rPr>
          <w:rFonts w:ascii="Times New Roman" w:hAnsi="Times New Roman" w:cs="Times New Roman"/>
          <w:color w:val="000000"/>
        </w:rPr>
        <w:t xml:space="preserve"> </w:t>
      </w:r>
      <w:r w:rsidR="004322E8">
        <w:rPr>
          <w:rFonts w:ascii="Times New Roman" w:hAnsi="Times New Roman" w:cs="Times New Roman"/>
          <w:color w:val="000000"/>
        </w:rPr>
        <w:t xml:space="preserve">The instrument </w:t>
      </w:r>
      <w:r w:rsidR="001E61C2">
        <w:rPr>
          <w:rFonts w:ascii="Times New Roman" w:hAnsi="Times New Roman" w:cs="Times New Roman"/>
          <w:color w:val="000000"/>
        </w:rPr>
        <w:t>provides for</w:t>
      </w:r>
      <w:r w:rsidR="004322E8">
        <w:rPr>
          <w:rFonts w:ascii="Times New Roman" w:hAnsi="Times New Roman" w:cs="Times New Roman"/>
          <w:color w:val="000000"/>
        </w:rPr>
        <w:t xml:space="preserve"> </w:t>
      </w:r>
      <w:r w:rsidR="004322E8" w:rsidRPr="00047C7E">
        <w:rPr>
          <w:rFonts w:ascii="Times New Roman" w:hAnsi="Times New Roman" w:cs="Times New Roman"/>
          <w:color w:val="000000"/>
        </w:rPr>
        <w:t xml:space="preserve">the same arrangements for </w:t>
      </w:r>
      <w:r w:rsidR="001C2641">
        <w:rPr>
          <w:rFonts w:ascii="Times New Roman" w:hAnsi="Times New Roman" w:cs="Times New Roman"/>
          <w:color w:val="000000"/>
        </w:rPr>
        <w:t xml:space="preserve">the </w:t>
      </w:r>
      <w:r w:rsidR="0020550F">
        <w:rPr>
          <w:rFonts w:ascii="Times New Roman" w:hAnsi="Times New Roman" w:cs="Times New Roman"/>
          <w:color w:val="000000"/>
        </w:rPr>
        <w:t>TOB</w:t>
      </w:r>
      <w:r w:rsidR="004322E8">
        <w:rPr>
          <w:rFonts w:ascii="Times New Roman" w:hAnsi="Times New Roman" w:cs="Times New Roman"/>
          <w:color w:val="000000"/>
        </w:rPr>
        <w:t xml:space="preserve"> band</w:t>
      </w:r>
      <w:r w:rsidR="004322E8" w:rsidRPr="00047C7E">
        <w:rPr>
          <w:rFonts w:ascii="Times New Roman" w:hAnsi="Times New Roman" w:cs="Times New Roman"/>
          <w:color w:val="000000"/>
        </w:rPr>
        <w:t xml:space="preserve"> as </w:t>
      </w:r>
      <w:r w:rsidR="008D0A43">
        <w:rPr>
          <w:rFonts w:ascii="Times New Roman" w:hAnsi="Times New Roman" w:cs="Times New Roman"/>
          <w:color w:val="000000"/>
        </w:rPr>
        <w:t>specified</w:t>
      </w:r>
      <w:r w:rsidR="004322E8" w:rsidRPr="00047C7E">
        <w:rPr>
          <w:rFonts w:ascii="Times New Roman" w:hAnsi="Times New Roman" w:cs="Times New Roman"/>
          <w:color w:val="000000"/>
        </w:rPr>
        <w:t xml:space="preserve"> in the </w:t>
      </w:r>
      <w:r w:rsidR="004322E8">
        <w:rPr>
          <w:rFonts w:ascii="Times New Roman" w:hAnsi="Times New Roman" w:cs="Times New Roman"/>
          <w:color w:val="000000"/>
        </w:rPr>
        <w:t>2012 band plan</w:t>
      </w:r>
      <w:r w:rsidR="004322E8" w:rsidRPr="00047C7E">
        <w:rPr>
          <w:rFonts w:ascii="Times New Roman" w:hAnsi="Times New Roman" w:cs="Times New Roman"/>
          <w:color w:val="000000"/>
        </w:rPr>
        <w:t xml:space="preserve">. </w:t>
      </w:r>
      <w:r w:rsidR="0020550F">
        <w:rPr>
          <w:rFonts w:ascii="Times New Roman" w:hAnsi="Times New Roman" w:cs="Times New Roman"/>
          <w:color w:val="000000"/>
        </w:rPr>
        <w:t xml:space="preserve">The band </w:t>
      </w:r>
      <w:r w:rsidRPr="00B84D6D">
        <w:rPr>
          <w:rFonts w:ascii="Times New Roman" w:hAnsi="Times New Roman" w:cs="Times New Roman"/>
          <w:color w:val="000000"/>
        </w:rPr>
        <w:t>remain</w:t>
      </w:r>
      <w:r w:rsidR="0020550F">
        <w:rPr>
          <w:rFonts w:ascii="Times New Roman" w:hAnsi="Times New Roman" w:cs="Times New Roman"/>
          <w:color w:val="000000"/>
        </w:rPr>
        <w:t>s</w:t>
      </w:r>
      <w:r w:rsidRPr="00B84D6D">
        <w:rPr>
          <w:rFonts w:ascii="Times New Roman" w:hAnsi="Times New Roman" w:cs="Times New Roman"/>
          <w:color w:val="000000"/>
        </w:rPr>
        <w:t xml:space="preserve"> planned and available for TOB </w:t>
      </w:r>
      <w:r w:rsidR="00B87082">
        <w:rPr>
          <w:rFonts w:ascii="Times New Roman" w:hAnsi="Times New Roman" w:cs="Times New Roman"/>
          <w:color w:val="000000"/>
        </w:rPr>
        <w:t>purposes</w:t>
      </w:r>
      <w:r w:rsidRPr="00B84D6D">
        <w:rPr>
          <w:rFonts w:ascii="Times New Roman" w:hAnsi="Times New Roman" w:cs="Times New Roman"/>
          <w:color w:val="000000"/>
        </w:rPr>
        <w:t xml:space="preserve"> by existing licensees, as well as </w:t>
      </w:r>
      <w:r w:rsidR="006C6460">
        <w:rPr>
          <w:rFonts w:ascii="Times New Roman" w:hAnsi="Times New Roman" w:cs="Times New Roman"/>
          <w:color w:val="000000"/>
        </w:rPr>
        <w:t xml:space="preserve">some </w:t>
      </w:r>
      <w:r w:rsidRPr="00B84D6D">
        <w:rPr>
          <w:rFonts w:ascii="Times New Roman" w:hAnsi="Times New Roman" w:cs="Times New Roman"/>
          <w:color w:val="000000"/>
        </w:rPr>
        <w:t xml:space="preserve">other </w:t>
      </w:r>
      <w:r w:rsidR="00DC52F2">
        <w:rPr>
          <w:rFonts w:ascii="Times New Roman" w:hAnsi="Times New Roman" w:cs="Times New Roman"/>
          <w:color w:val="000000"/>
        </w:rPr>
        <w:t>purposes</w:t>
      </w:r>
      <w:r w:rsidRPr="00B84D6D">
        <w:rPr>
          <w:rFonts w:ascii="Times New Roman" w:hAnsi="Times New Roman" w:cs="Times New Roman"/>
          <w:color w:val="000000"/>
        </w:rPr>
        <w:t xml:space="preserve"> (subject to restrictions) such as </w:t>
      </w:r>
      <w:r w:rsidR="00DC52F2">
        <w:rPr>
          <w:rFonts w:ascii="Times New Roman" w:hAnsi="Times New Roman" w:cs="Times New Roman"/>
          <w:color w:val="000000"/>
        </w:rPr>
        <w:t xml:space="preserve">in relation to </w:t>
      </w:r>
      <w:r w:rsidRPr="00B84D6D">
        <w:rPr>
          <w:rFonts w:ascii="Times New Roman" w:hAnsi="Times New Roman" w:cs="Times New Roman"/>
          <w:color w:val="000000"/>
        </w:rPr>
        <w:t>earth stations, fixed point-to-point links and defence aeronautical telemetry services.</w:t>
      </w:r>
    </w:p>
    <w:p w14:paraId="5D60EC4B" w14:textId="312BE2EC" w:rsidR="00203ED7" w:rsidRDefault="009657C6" w:rsidP="007D7D3C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instrument </w:t>
      </w:r>
      <w:r w:rsidR="0076520D">
        <w:rPr>
          <w:rFonts w:ascii="Times New Roman" w:hAnsi="Times New Roman" w:cs="Times New Roman"/>
          <w:color w:val="000000"/>
        </w:rPr>
        <w:t xml:space="preserve">makes provision for the </w:t>
      </w:r>
      <w:r w:rsidR="008C7615">
        <w:rPr>
          <w:rFonts w:ascii="Times New Roman" w:hAnsi="Times New Roman" w:cs="Times New Roman"/>
          <w:color w:val="000000"/>
        </w:rPr>
        <w:t>TOB</w:t>
      </w:r>
      <w:r w:rsidR="0076520D">
        <w:rPr>
          <w:rFonts w:ascii="Times New Roman" w:hAnsi="Times New Roman" w:cs="Times New Roman"/>
          <w:color w:val="000000"/>
        </w:rPr>
        <w:t xml:space="preserve"> band to be used for</w:t>
      </w:r>
      <w:r w:rsidR="00A120A6">
        <w:rPr>
          <w:rFonts w:ascii="Times New Roman" w:hAnsi="Times New Roman" w:cs="Times New Roman"/>
          <w:color w:val="000000"/>
        </w:rPr>
        <w:t xml:space="preserve"> the purposes of</w:t>
      </w:r>
      <w:r w:rsidR="00203ED7">
        <w:rPr>
          <w:rFonts w:ascii="Times New Roman" w:hAnsi="Times New Roman" w:cs="Times New Roman"/>
          <w:color w:val="000000"/>
        </w:rPr>
        <w:t>:</w:t>
      </w:r>
    </w:p>
    <w:p w14:paraId="50D666AF" w14:textId="3D4FADE7" w:rsidR="00DF2294" w:rsidRDefault="00DF2294" w:rsidP="00DF2294">
      <w:pPr>
        <w:pStyle w:val="ListParagraph"/>
        <w:numPr>
          <w:ilvl w:val="0"/>
          <w:numId w:val="43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TOB service</w:t>
      </w:r>
      <w:r w:rsidR="00A120A6">
        <w:rPr>
          <w:rFonts w:ascii="Times New Roman" w:hAnsi="Times New Roman" w:cs="Times New Roman"/>
          <w:color w:val="000000"/>
        </w:rPr>
        <w:t>s</w:t>
      </w:r>
      <w:r w:rsidR="00F76957">
        <w:rPr>
          <w:rFonts w:ascii="Times New Roman" w:hAnsi="Times New Roman" w:cs="Times New Roman"/>
          <w:color w:val="000000"/>
        </w:rPr>
        <w:t>;</w:t>
      </w:r>
    </w:p>
    <w:p w14:paraId="0B523EB4" w14:textId="0F573FCB" w:rsidR="00F05776" w:rsidRDefault="006C6460" w:rsidP="00DF2294">
      <w:pPr>
        <w:pStyle w:val="ListParagraph"/>
        <w:numPr>
          <w:ilvl w:val="0"/>
          <w:numId w:val="43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point</w:t>
      </w:r>
      <w:r w:rsidR="00522D90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to</w:t>
      </w:r>
      <w:r w:rsidR="00522D90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point fixed service</w:t>
      </w:r>
      <w:r w:rsidR="00A120A6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(subject to rest</w:t>
      </w:r>
      <w:r w:rsidR="00F05776">
        <w:rPr>
          <w:rFonts w:ascii="Times New Roman" w:hAnsi="Times New Roman" w:cs="Times New Roman"/>
          <w:color w:val="000000"/>
        </w:rPr>
        <w:t>rictions)</w:t>
      </w:r>
      <w:r w:rsidR="00F76957">
        <w:rPr>
          <w:rFonts w:ascii="Times New Roman" w:hAnsi="Times New Roman" w:cs="Times New Roman"/>
          <w:color w:val="000000"/>
        </w:rPr>
        <w:t>;</w:t>
      </w:r>
    </w:p>
    <w:p w14:paraId="17651D05" w14:textId="2136F509" w:rsidR="00575DE2" w:rsidRDefault="00F05776" w:rsidP="005B2367">
      <w:pPr>
        <w:pStyle w:val="ListParagraph"/>
        <w:numPr>
          <w:ilvl w:val="0"/>
          <w:numId w:val="43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575DE2">
        <w:rPr>
          <w:rFonts w:ascii="Times New Roman" w:hAnsi="Times New Roman" w:cs="Times New Roman"/>
          <w:color w:val="000000"/>
        </w:rPr>
        <w:lastRenderedPageBreak/>
        <w:t xml:space="preserve">the operation of an earth station in the </w:t>
      </w:r>
      <w:r w:rsidR="00F76957" w:rsidRPr="00575DE2">
        <w:rPr>
          <w:rFonts w:ascii="Times New Roman" w:hAnsi="Times New Roman" w:cs="Times New Roman"/>
          <w:color w:val="000000"/>
        </w:rPr>
        <w:t>2025</w:t>
      </w:r>
      <w:r w:rsidR="00A120A6">
        <w:rPr>
          <w:rFonts w:ascii="Times New Roman" w:hAnsi="Times New Roman" w:cs="Times New Roman"/>
          <w:color w:val="000000"/>
        </w:rPr>
        <w:t xml:space="preserve"> MHz to </w:t>
      </w:r>
      <w:r w:rsidR="00F76957" w:rsidRPr="00575DE2">
        <w:rPr>
          <w:rFonts w:ascii="Times New Roman" w:hAnsi="Times New Roman" w:cs="Times New Roman"/>
          <w:color w:val="000000"/>
        </w:rPr>
        <w:t>2110 MHz frequency band</w:t>
      </w:r>
      <w:r w:rsidR="00575DE2" w:rsidRPr="00575DE2">
        <w:rPr>
          <w:rFonts w:ascii="Times New Roman" w:hAnsi="Times New Roman" w:cs="Times New Roman"/>
          <w:color w:val="000000"/>
        </w:rPr>
        <w:t xml:space="preserve"> (subject to restrictions);</w:t>
      </w:r>
    </w:p>
    <w:p w14:paraId="1760E0A3" w14:textId="54632D24" w:rsidR="00DF2294" w:rsidRPr="00575DE2" w:rsidRDefault="00575DE2" w:rsidP="005B2367">
      <w:pPr>
        <w:pStyle w:val="ListParagraph"/>
        <w:numPr>
          <w:ilvl w:val="0"/>
          <w:numId w:val="43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575DE2">
        <w:rPr>
          <w:rFonts w:ascii="Times New Roman" w:hAnsi="Times New Roman" w:cs="Times New Roman"/>
          <w:color w:val="000000"/>
        </w:rPr>
        <w:t xml:space="preserve">the operation of </w:t>
      </w:r>
      <w:r w:rsidR="004A5FC3" w:rsidRPr="00575DE2">
        <w:rPr>
          <w:rFonts w:ascii="Times New Roman" w:hAnsi="Times New Roman" w:cs="Times New Roman"/>
          <w:color w:val="000000"/>
        </w:rPr>
        <w:t xml:space="preserve">an earth receive station </w:t>
      </w:r>
      <w:r w:rsidRPr="00575DE2">
        <w:rPr>
          <w:rFonts w:ascii="Times New Roman" w:hAnsi="Times New Roman" w:cs="Times New Roman"/>
          <w:color w:val="000000"/>
        </w:rPr>
        <w:t>in the 2200</w:t>
      </w:r>
      <w:r w:rsidR="00A120A6">
        <w:rPr>
          <w:rFonts w:ascii="Times New Roman" w:hAnsi="Times New Roman" w:cs="Times New Roman"/>
          <w:color w:val="000000"/>
        </w:rPr>
        <w:t xml:space="preserve"> MHz to </w:t>
      </w:r>
      <w:r w:rsidRPr="00575DE2">
        <w:rPr>
          <w:rFonts w:ascii="Times New Roman" w:hAnsi="Times New Roman" w:cs="Times New Roman"/>
          <w:color w:val="000000"/>
        </w:rPr>
        <w:t xml:space="preserve">2300 MHz frequency band </w:t>
      </w:r>
      <w:r w:rsidR="00F76957" w:rsidRPr="00575DE2">
        <w:rPr>
          <w:rFonts w:ascii="Times New Roman" w:hAnsi="Times New Roman" w:cs="Times New Roman"/>
          <w:color w:val="000000"/>
        </w:rPr>
        <w:t>(subject to restrictions)</w:t>
      </w:r>
      <w:r w:rsidR="00A120A6">
        <w:rPr>
          <w:rFonts w:ascii="Times New Roman" w:hAnsi="Times New Roman" w:cs="Times New Roman"/>
          <w:color w:val="000000"/>
        </w:rPr>
        <w:t>; and</w:t>
      </w:r>
    </w:p>
    <w:p w14:paraId="03A55092" w14:textId="483C76D5" w:rsidR="00044420" w:rsidRDefault="00044420" w:rsidP="00DF2294">
      <w:pPr>
        <w:pStyle w:val="ListParagraph"/>
        <w:numPr>
          <w:ilvl w:val="0"/>
          <w:numId w:val="43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B30C9D">
        <w:rPr>
          <w:rFonts w:ascii="Times New Roman" w:hAnsi="Times New Roman" w:cs="Times New Roman"/>
          <w:color w:val="000000"/>
        </w:rPr>
        <w:t>ny other</w:t>
      </w:r>
      <w:r>
        <w:rPr>
          <w:rFonts w:ascii="Times New Roman" w:hAnsi="Times New Roman" w:cs="Times New Roman"/>
          <w:color w:val="000000"/>
        </w:rPr>
        <w:t xml:space="preserve"> service mentioned in the </w:t>
      </w:r>
      <w:r w:rsidRPr="00CD68A1">
        <w:rPr>
          <w:rFonts w:ascii="Times New Roman" w:hAnsi="Times New Roman" w:cs="Times New Roman"/>
          <w:i/>
          <w:iCs/>
          <w:color w:val="000000"/>
        </w:rPr>
        <w:t xml:space="preserve">Australian Radiofrequency Spectrum Plan </w:t>
      </w:r>
      <w:r w:rsidR="00A120A6" w:rsidRPr="00CD68A1">
        <w:rPr>
          <w:rFonts w:ascii="Times New Roman" w:hAnsi="Times New Roman" w:cs="Times New Roman"/>
          <w:i/>
          <w:iCs/>
          <w:color w:val="000000"/>
        </w:rPr>
        <w:t>2021</w:t>
      </w:r>
      <w:r w:rsidR="00A120A6">
        <w:rPr>
          <w:rFonts w:ascii="Times New Roman" w:hAnsi="Times New Roman" w:cs="Times New Roman"/>
          <w:color w:val="000000"/>
        </w:rPr>
        <w:t xml:space="preserve"> </w:t>
      </w:r>
      <w:r w:rsidR="00D2567C">
        <w:rPr>
          <w:rFonts w:ascii="Times New Roman" w:hAnsi="Times New Roman" w:cs="Times New Roman"/>
          <w:color w:val="000000"/>
        </w:rPr>
        <w:t>(</w:t>
      </w:r>
      <w:r w:rsidR="00D2567C">
        <w:rPr>
          <w:rFonts w:ascii="Times New Roman" w:hAnsi="Times New Roman" w:cs="Times New Roman"/>
          <w:b/>
          <w:bCs/>
          <w:color w:val="000000"/>
        </w:rPr>
        <w:t>the spectrum</w:t>
      </w:r>
      <w:r w:rsidR="00D2567C" w:rsidRPr="00D2567C">
        <w:rPr>
          <w:rFonts w:ascii="Times New Roman" w:hAnsi="Times New Roman" w:cs="Times New Roman"/>
          <w:b/>
          <w:bCs/>
          <w:color w:val="000000"/>
        </w:rPr>
        <w:t xml:space="preserve"> plan</w:t>
      </w:r>
      <w:r w:rsidR="00D2567C">
        <w:rPr>
          <w:rFonts w:ascii="Times New Roman" w:hAnsi="Times New Roman" w:cs="Times New Roman"/>
          <w:color w:val="000000"/>
        </w:rPr>
        <w:t xml:space="preserve">) </w:t>
      </w:r>
      <w:r w:rsidR="00B30C9D" w:rsidRPr="00D2567C">
        <w:rPr>
          <w:rFonts w:ascii="Times New Roman" w:hAnsi="Times New Roman" w:cs="Times New Roman"/>
          <w:color w:val="000000"/>
        </w:rPr>
        <w:t>for</w:t>
      </w:r>
      <w:r w:rsidR="00B30C9D">
        <w:rPr>
          <w:rFonts w:ascii="Times New Roman" w:hAnsi="Times New Roman" w:cs="Times New Roman"/>
          <w:color w:val="000000"/>
        </w:rPr>
        <w:t xml:space="preserve"> </w:t>
      </w:r>
      <w:r w:rsidR="003633CB">
        <w:rPr>
          <w:rFonts w:ascii="Times New Roman" w:hAnsi="Times New Roman" w:cs="Times New Roman"/>
          <w:color w:val="000000"/>
        </w:rPr>
        <w:t>the entire TOB band or part of the TOB band.</w:t>
      </w:r>
    </w:p>
    <w:p w14:paraId="5740CEBF" w14:textId="2D68102E" w:rsidR="00BC477B" w:rsidRDefault="003214DB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instrument places restrictions on the use of</w:t>
      </w:r>
      <w:r w:rsidR="00A120A6">
        <w:rPr>
          <w:rFonts w:ascii="Times New Roman" w:hAnsi="Times New Roman" w:cs="Times New Roman"/>
          <w:color w:val="000000"/>
        </w:rPr>
        <w:t xml:space="preserve"> the TOB band for the purpose of</w:t>
      </w:r>
      <w:r>
        <w:rPr>
          <w:rFonts w:ascii="Times New Roman" w:hAnsi="Times New Roman" w:cs="Times New Roman"/>
          <w:color w:val="000000"/>
        </w:rPr>
        <w:t xml:space="preserve"> point</w:t>
      </w:r>
      <w:r w:rsidR="00106B6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 w:rsidR="00106B6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point </w:t>
      </w:r>
      <w:r w:rsidR="00522D90">
        <w:rPr>
          <w:rFonts w:ascii="Times New Roman" w:hAnsi="Times New Roman" w:cs="Times New Roman"/>
          <w:color w:val="000000"/>
        </w:rPr>
        <w:t>fixed services</w:t>
      </w:r>
      <w:r w:rsidR="0020098D">
        <w:rPr>
          <w:rFonts w:ascii="Times New Roman" w:hAnsi="Times New Roman" w:cs="Times New Roman"/>
          <w:color w:val="000000"/>
        </w:rPr>
        <w:t xml:space="preserve">. </w:t>
      </w:r>
      <w:r w:rsidR="003532BC">
        <w:rPr>
          <w:rFonts w:ascii="Times New Roman" w:hAnsi="Times New Roman" w:cs="Times New Roman"/>
          <w:color w:val="000000"/>
        </w:rPr>
        <w:t>A</w:t>
      </w:r>
      <w:r w:rsidR="000E6931">
        <w:rPr>
          <w:rFonts w:ascii="Times New Roman" w:hAnsi="Times New Roman" w:cs="Times New Roman"/>
          <w:color w:val="000000"/>
        </w:rPr>
        <w:t xml:space="preserve"> point</w:t>
      </w:r>
      <w:r w:rsidR="00106B62">
        <w:rPr>
          <w:rFonts w:ascii="Times New Roman" w:hAnsi="Times New Roman" w:cs="Times New Roman"/>
          <w:color w:val="000000"/>
        </w:rPr>
        <w:t xml:space="preserve"> </w:t>
      </w:r>
      <w:r w:rsidR="000E6931">
        <w:rPr>
          <w:rFonts w:ascii="Times New Roman" w:hAnsi="Times New Roman" w:cs="Times New Roman"/>
          <w:color w:val="000000"/>
        </w:rPr>
        <w:t>to</w:t>
      </w:r>
      <w:r w:rsidR="00106B62">
        <w:rPr>
          <w:rFonts w:ascii="Times New Roman" w:hAnsi="Times New Roman" w:cs="Times New Roman"/>
          <w:color w:val="000000"/>
        </w:rPr>
        <w:t xml:space="preserve"> </w:t>
      </w:r>
      <w:r w:rsidR="000E6931">
        <w:rPr>
          <w:rFonts w:ascii="Times New Roman" w:hAnsi="Times New Roman" w:cs="Times New Roman"/>
          <w:color w:val="000000"/>
        </w:rPr>
        <w:t xml:space="preserve">point fixed service </w:t>
      </w:r>
      <w:r w:rsidR="00B70941">
        <w:rPr>
          <w:rFonts w:ascii="Times New Roman" w:hAnsi="Times New Roman" w:cs="Times New Roman"/>
          <w:color w:val="000000"/>
        </w:rPr>
        <w:t xml:space="preserve">operating in the </w:t>
      </w:r>
      <w:r w:rsidR="00DE3512" w:rsidRPr="00DE3512">
        <w:rPr>
          <w:rFonts w:ascii="Times New Roman" w:hAnsi="Times New Roman" w:cs="Times New Roman"/>
          <w:color w:val="000000"/>
        </w:rPr>
        <w:t>2010</w:t>
      </w:r>
      <w:r w:rsidR="00A120A6">
        <w:rPr>
          <w:rFonts w:ascii="Times New Roman" w:hAnsi="Times New Roman" w:cs="Times New Roman"/>
          <w:color w:val="000000"/>
        </w:rPr>
        <w:t xml:space="preserve"> MHz to </w:t>
      </w:r>
      <w:r w:rsidR="00DE3512" w:rsidRPr="00DE3512">
        <w:rPr>
          <w:rFonts w:ascii="Times New Roman" w:hAnsi="Times New Roman" w:cs="Times New Roman"/>
          <w:color w:val="000000"/>
        </w:rPr>
        <w:t>2110 MHz</w:t>
      </w:r>
      <w:r w:rsidR="00B70941">
        <w:rPr>
          <w:rFonts w:ascii="Times New Roman" w:hAnsi="Times New Roman" w:cs="Times New Roman"/>
          <w:color w:val="000000"/>
        </w:rPr>
        <w:t xml:space="preserve"> </w:t>
      </w:r>
      <w:r w:rsidR="00D132CD">
        <w:rPr>
          <w:rFonts w:ascii="Times New Roman" w:hAnsi="Times New Roman" w:cs="Times New Roman"/>
          <w:color w:val="000000"/>
        </w:rPr>
        <w:t xml:space="preserve">frequency </w:t>
      </w:r>
      <w:r w:rsidR="00B70941">
        <w:rPr>
          <w:rFonts w:ascii="Times New Roman" w:hAnsi="Times New Roman" w:cs="Times New Roman"/>
          <w:color w:val="000000"/>
        </w:rPr>
        <w:t xml:space="preserve">band must not be used </w:t>
      </w:r>
      <w:r w:rsidR="00FB520A">
        <w:rPr>
          <w:rFonts w:ascii="Times New Roman" w:hAnsi="Times New Roman" w:cs="Times New Roman"/>
          <w:color w:val="000000"/>
        </w:rPr>
        <w:t xml:space="preserve">in </w:t>
      </w:r>
      <w:r w:rsidR="00722C15">
        <w:rPr>
          <w:rFonts w:ascii="Times New Roman" w:hAnsi="Times New Roman" w:cs="Times New Roman"/>
          <w:color w:val="000000"/>
        </w:rPr>
        <w:t xml:space="preserve">the area </w:t>
      </w:r>
      <w:r w:rsidR="00B07E41">
        <w:rPr>
          <w:rFonts w:ascii="Times New Roman" w:hAnsi="Times New Roman" w:cs="Times New Roman"/>
          <w:color w:val="000000"/>
        </w:rPr>
        <w:t xml:space="preserve">defined by the table in </w:t>
      </w:r>
      <w:r w:rsidR="00BE40B6">
        <w:rPr>
          <w:rFonts w:ascii="Times New Roman" w:hAnsi="Times New Roman" w:cs="Times New Roman"/>
          <w:color w:val="000000"/>
        </w:rPr>
        <w:t xml:space="preserve">item 1 of </w:t>
      </w:r>
      <w:r w:rsidR="00B07E41">
        <w:rPr>
          <w:rFonts w:ascii="Times New Roman" w:hAnsi="Times New Roman" w:cs="Times New Roman"/>
          <w:color w:val="000000"/>
        </w:rPr>
        <w:t>Schedule 1</w:t>
      </w:r>
      <w:r w:rsidR="006719A5">
        <w:rPr>
          <w:rFonts w:ascii="Times New Roman" w:hAnsi="Times New Roman" w:cs="Times New Roman"/>
          <w:color w:val="000000"/>
        </w:rPr>
        <w:t xml:space="preserve">, </w:t>
      </w:r>
      <w:r w:rsidR="00573B07">
        <w:rPr>
          <w:rFonts w:ascii="Times New Roman" w:hAnsi="Times New Roman" w:cs="Times New Roman"/>
          <w:color w:val="000000"/>
        </w:rPr>
        <w:t xml:space="preserve">which includes all Australian capital cities and </w:t>
      </w:r>
      <w:r w:rsidR="00092136">
        <w:rPr>
          <w:rFonts w:ascii="Times New Roman" w:hAnsi="Times New Roman" w:cs="Times New Roman"/>
          <w:color w:val="000000"/>
        </w:rPr>
        <w:t>subst</w:t>
      </w:r>
      <w:r w:rsidR="009C1349">
        <w:rPr>
          <w:rFonts w:ascii="Times New Roman" w:hAnsi="Times New Roman" w:cs="Times New Roman"/>
          <w:color w:val="000000"/>
        </w:rPr>
        <w:t xml:space="preserve">antial parts of </w:t>
      </w:r>
      <w:r w:rsidR="00573B07">
        <w:rPr>
          <w:rFonts w:ascii="Times New Roman" w:hAnsi="Times New Roman" w:cs="Times New Roman"/>
          <w:color w:val="000000"/>
        </w:rPr>
        <w:t>the east coast</w:t>
      </w:r>
      <w:r w:rsidR="00923064">
        <w:rPr>
          <w:rFonts w:ascii="Times New Roman" w:hAnsi="Times New Roman" w:cs="Times New Roman"/>
          <w:color w:val="000000"/>
        </w:rPr>
        <w:t xml:space="preserve">. </w:t>
      </w:r>
    </w:p>
    <w:p w14:paraId="04F56E07" w14:textId="3C2B216A" w:rsidR="00D132CD" w:rsidRDefault="00D132CD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Similarly, the instrument requires that </w:t>
      </w:r>
      <w:r w:rsidR="00AA463F">
        <w:rPr>
          <w:rFonts w:ascii="Times New Roman" w:hAnsi="Times New Roman" w:cs="Times New Roman"/>
          <w:color w:val="000000"/>
        </w:rPr>
        <w:t xml:space="preserve">the </w:t>
      </w:r>
      <w:r w:rsidR="00AA463F" w:rsidRPr="00AA463F">
        <w:rPr>
          <w:rFonts w:ascii="Times New Roman" w:hAnsi="Times New Roman" w:cs="Times New Roman"/>
          <w:color w:val="000000"/>
        </w:rPr>
        <w:t>2200</w:t>
      </w:r>
      <w:r w:rsidR="00A120A6">
        <w:rPr>
          <w:rFonts w:ascii="Times New Roman" w:hAnsi="Times New Roman" w:cs="Times New Roman"/>
          <w:color w:val="000000"/>
        </w:rPr>
        <w:t xml:space="preserve"> MHz to </w:t>
      </w:r>
      <w:r w:rsidR="00AA463F" w:rsidRPr="00AA463F">
        <w:rPr>
          <w:rFonts w:ascii="Times New Roman" w:hAnsi="Times New Roman" w:cs="Times New Roman"/>
          <w:color w:val="000000"/>
        </w:rPr>
        <w:t>2300 MHz</w:t>
      </w:r>
      <w:r w:rsidR="00AA463F">
        <w:rPr>
          <w:rFonts w:ascii="Times New Roman" w:hAnsi="Times New Roman" w:cs="Times New Roman"/>
          <w:color w:val="000000"/>
        </w:rPr>
        <w:t xml:space="preserve"> frequency band</w:t>
      </w:r>
      <w:r w:rsidR="00AA463F" w:rsidRPr="00AA463F">
        <w:rPr>
          <w:rFonts w:ascii="Times New Roman" w:hAnsi="Times New Roman" w:cs="Times New Roman"/>
          <w:color w:val="000000"/>
        </w:rPr>
        <w:t xml:space="preserve"> </w:t>
      </w:r>
      <w:r w:rsidR="00AA463F">
        <w:rPr>
          <w:rFonts w:ascii="Times New Roman" w:hAnsi="Times New Roman" w:cs="Times New Roman"/>
          <w:color w:val="000000"/>
        </w:rPr>
        <w:t xml:space="preserve">must not be used </w:t>
      </w:r>
      <w:r w:rsidR="00A120A6">
        <w:rPr>
          <w:rFonts w:ascii="Times New Roman" w:hAnsi="Times New Roman" w:cs="Times New Roman"/>
          <w:color w:val="000000"/>
        </w:rPr>
        <w:t xml:space="preserve">for the purpose of a point-to-point fixed service </w:t>
      </w:r>
      <w:r w:rsidR="00AA463F">
        <w:rPr>
          <w:rFonts w:ascii="Times New Roman" w:hAnsi="Times New Roman" w:cs="Times New Roman"/>
          <w:color w:val="000000"/>
        </w:rPr>
        <w:t xml:space="preserve">in the area defined by item </w:t>
      </w:r>
      <w:r w:rsidR="00833AF9">
        <w:rPr>
          <w:rFonts w:ascii="Times New Roman" w:hAnsi="Times New Roman" w:cs="Times New Roman"/>
          <w:color w:val="000000"/>
        </w:rPr>
        <w:t>2</w:t>
      </w:r>
      <w:r w:rsidR="00AA463F">
        <w:rPr>
          <w:rFonts w:ascii="Times New Roman" w:hAnsi="Times New Roman" w:cs="Times New Roman"/>
          <w:color w:val="000000"/>
        </w:rPr>
        <w:t xml:space="preserve"> of Schedule</w:t>
      </w:r>
      <w:r w:rsidR="003861E7">
        <w:rPr>
          <w:rFonts w:ascii="Times New Roman" w:hAnsi="Times New Roman" w:cs="Times New Roman"/>
          <w:color w:val="000000"/>
        </w:rPr>
        <w:t> </w:t>
      </w:r>
      <w:r w:rsidR="00AA463F">
        <w:rPr>
          <w:rFonts w:ascii="Times New Roman" w:hAnsi="Times New Roman" w:cs="Times New Roman"/>
          <w:color w:val="000000"/>
        </w:rPr>
        <w:t>1,</w:t>
      </w:r>
      <w:r w:rsidR="00431064">
        <w:rPr>
          <w:rFonts w:ascii="Times New Roman" w:hAnsi="Times New Roman" w:cs="Times New Roman"/>
          <w:color w:val="000000"/>
        </w:rPr>
        <w:t xml:space="preserve"> which includes </w:t>
      </w:r>
      <w:r w:rsidR="00923064">
        <w:rPr>
          <w:rFonts w:ascii="Times New Roman" w:hAnsi="Times New Roman" w:cs="Times New Roman"/>
          <w:color w:val="000000"/>
        </w:rPr>
        <w:t xml:space="preserve">areas surrounding </w:t>
      </w:r>
      <w:r w:rsidR="00431064">
        <w:rPr>
          <w:rFonts w:ascii="Times New Roman" w:hAnsi="Times New Roman" w:cs="Times New Roman"/>
          <w:color w:val="000000"/>
        </w:rPr>
        <w:t>all capital cities</w:t>
      </w:r>
      <w:r w:rsidR="00D007D0">
        <w:rPr>
          <w:rFonts w:ascii="Times New Roman" w:hAnsi="Times New Roman" w:cs="Times New Roman"/>
          <w:color w:val="000000"/>
        </w:rPr>
        <w:t>,</w:t>
      </w:r>
      <w:r w:rsidR="00431064">
        <w:rPr>
          <w:rFonts w:ascii="Times New Roman" w:hAnsi="Times New Roman" w:cs="Times New Roman"/>
          <w:color w:val="000000"/>
        </w:rPr>
        <w:t xml:space="preserve"> except Darwin. </w:t>
      </w:r>
      <w:r w:rsidR="0069570E">
        <w:rPr>
          <w:rFonts w:ascii="Times New Roman" w:hAnsi="Times New Roman" w:cs="Times New Roman"/>
          <w:color w:val="000000"/>
        </w:rPr>
        <w:t xml:space="preserve">Item 2 </w:t>
      </w:r>
      <w:r w:rsidR="004813AB">
        <w:rPr>
          <w:rFonts w:ascii="Times New Roman" w:hAnsi="Times New Roman" w:cs="Times New Roman"/>
          <w:color w:val="000000"/>
        </w:rPr>
        <w:t>describe</w:t>
      </w:r>
      <w:r w:rsidR="0069570E">
        <w:rPr>
          <w:rFonts w:ascii="Times New Roman" w:hAnsi="Times New Roman" w:cs="Times New Roman"/>
          <w:color w:val="000000"/>
        </w:rPr>
        <w:t>s a series of circles which</w:t>
      </w:r>
      <w:r w:rsidR="004813AB">
        <w:rPr>
          <w:rFonts w:ascii="Times New Roman" w:hAnsi="Times New Roman" w:cs="Times New Roman"/>
          <w:color w:val="000000"/>
        </w:rPr>
        <w:t xml:space="preserve"> </w:t>
      </w:r>
      <w:r w:rsidR="005909DB">
        <w:rPr>
          <w:rFonts w:ascii="Times New Roman" w:hAnsi="Times New Roman" w:cs="Times New Roman"/>
          <w:color w:val="000000"/>
        </w:rPr>
        <w:t>comprise</w:t>
      </w:r>
      <w:r w:rsidR="00A80FFB">
        <w:rPr>
          <w:rFonts w:ascii="Times New Roman" w:hAnsi="Times New Roman" w:cs="Times New Roman"/>
          <w:color w:val="000000"/>
        </w:rPr>
        <w:t xml:space="preserve"> areas surrounding TOB receiving sites</w:t>
      </w:r>
      <w:r w:rsidR="005909DB">
        <w:rPr>
          <w:rFonts w:ascii="Times New Roman" w:hAnsi="Times New Roman" w:cs="Times New Roman"/>
          <w:color w:val="000000"/>
        </w:rPr>
        <w:t xml:space="preserve">, many of which are overlapping because the receiving sites </w:t>
      </w:r>
      <w:r w:rsidR="004E139B">
        <w:rPr>
          <w:rFonts w:ascii="Times New Roman" w:hAnsi="Times New Roman" w:cs="Times New Roman"/>
          <w:color w:val="000000"/>
        </w:rPr>
        <w:t xml:space="preserve">are often located in close proximity. </w:t>
      </w:r>
    </w:p>
    <w:p w14:paraId="13F3D3E8" w14:textId="27566D60" w:rsidR="00923064" w:rsidRDefault="00923064" w:rsidP="00923064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These restrictions were originally for the purpose of clearing fixed services from the band </w:t>
      </w:r>
      <w:r w:rsidR="009A0783">
        <w:rPr>
          <w:rFonts w:ascii="Times New Roman" w:hAnsi="Times New Roman" w:cs="Times New Roman"/>
          <w:color w:val="000000"/>
        </w:rPr>
        <w:t>under</w:t>
      </w:r>
      <w:r>
        <w:rPr>
          <w:rFonts w:ascii="Times New Roman" w:hAnsi="Times New Roman" w:cs="Times New Roman"/>
          <w:color w:val="000000"/>
        </w:rPr>
        <w:t xml:space="preserve"> the </w:t>
      </w:r>
      <w:r w:rsidR="009A0783">
        <w:rPr>
          <w:rFonts w:ascii="Times New Roman" w:hAnsi="Times New Roman" w:cs="Times New Roman"/>
          <w:color w:val="000000"/>
        </w:rPr>
        <w:t xml:space="preserve">requirements of the </w:t>
      </w:r>
      <w:r>
        <w:rPr>
          <w:rFonts w:ascii="Times New Roman" w:hAnsi="Times New Roman" w:cs="Times New Roman"/>
          <w:color w:val="000000"/>
        </w:rPr>
        <w:t>2012 band plan</w:t>
      </w:r>
      <w:r w:rsidR="00E6030E">
        <w:rPr>
          <w:rFonts w:ascii="Times New Roman" w:hAnsi="Times New Roman" w:cs="Times New Roman"/>
          <w:color w:val="000000"/>
        </w:rPr>
        <w:t xml:space="preserve">. They are </w:t>
      </w:r>
      <w:r w:rsidR="00B76C14">
        <w:rPr>
          <w:rFonts w:ascii="Times New Roman" w:hAnsi="Times New Roman" w:cs="Times New Roman"/>
          <w:color w:val="000000"/>
        </w:rPr>
        <w:t>now</w:t>
      </w:r>
      <w:r>
        <w:rPr>
          <w:rFonts w:ascii="Times New Roman" w:hAnsi="Times New Roman" w:cs="Times New Roman"/>
          <w:color w:val="000000"/>
        </w:rPr>
        <w:t xml:space="preserve"> intended to provide </w:t>
      </w:r>
      <w:r w:rsidR="00C81B0A">
        <w:rPr>
          <w:rFonts w:ascii="Times New Roman" w:hAnsi="Times New Roman" w:cs="Times New Roman"/>
          <w:color w:val="000000"/>
        </w:rPr>
        <w:t>confidence</w:t>
      </w:r>
      <w:r>
        <w:rPr>
          <w:rFonts w:ascii="Times New Roman" w:hAnsi="Times New Roman" w:cs="Times New Roman"/>
          <w:color w:val="000000"/>
        </w:rPr>
        <w:t xml:space="preserve"> to </w:t>
      </w:r>
      <w:r w:rsidR="00C81B0A">
        <w:rPr>
          <w:rFonts w:ascii="Times New Roman" w:hAnsi="Times New Roman" w:cs="Times New Roman"/>
          <w:color w:val="000000"/>
        </w:rPr>
        <w:t xml:space="preserve">persons using the band for </w:t>
      </w:r>
      <w:r>
        <w:rPr>
          <w:rFonts w:ascii="Times New Roman" w:hAnsi="Times New Roman" w:cs="Times New Roman"/>
          <w:color w:val="000000"/>
        </w:rPr>
        <w:t xml:space="preserve">TOB </w:t>
      </w:r>
      <w:r w:rsidR="00C81B0A">
        <w:rPr>
          <w:rFonts w:ascii="Times New Roman" w:hAnsi="Times New Roman" w:cs="Times New Roman"/>
          <w:color w:val="000000"/>
        </w:rPr>
        <w:t xml:space="preserve">purposes </w:t>
      </w:r>
      <w:r w:rsidRPr="00026C19">
        <w:rPr>
          <w:rFonts w:ascii="Times New Roman" w:hAnsi="Times New Roman" w:cs="Times New Roman"/>
          <w:color w:val="000000"/>
        </w:rPr>
        <w:t xml:space="preserve">in areas of high or frequent </w:t>
      </w:r>
      <w:r>
        <w:rPr>
          <w:rFonts w:ascii="Times New Roman" w:hAnsi="Times New Roman" w:cs="Times New Roman"/>
          <w:color w:val="000000"/>
        </w:rPr>
        <w:t>TOB</w:t>
      </w:r>
      <w:r w:rsidRPr="00026C19">
        <w:rPr>
          <w:rFonts w:ascii="Times New Roman" w:hAnsi="Times New Roman" w:cs="Times New Roman"/>
          <w:color w:val="000000"/>
        </w:rPr>
        <w:t xml:space="preserve"> operation</w:t>
      </w:r>
      <w:r w:rsidR="00C81B0A">
        <w:rPr>
          <w:rFonts w:ascii="Times New Roman" w:hAnsi="Times New Roman" w:cs="Times New Roman"/>
          <w:color w:val="000000"/>
        </w:rPr>
        <w:t>,</w:t>
      </w:r>
      <w:r w:rsidR="00E6030E">
        <w:rPr>
          <w:rFonts w:ascii="Times New Roman" w:hAnsi="Times New Roman" w:cs="Times New Roman"/>
          <w:color w:val="000000"/>
        </w:rPr>
        <w:t xml:space="preserve"> where co-channel sharing </w:t>
      </w:r>
      <w:r w:rsidR="00A425CA">
        <w:rPr>
          <w:rFonts w:ascii="Times New Roman" w:hAnsi="Times New Roman" w:cs="Times New Roman"/>
          <w:color w:val="000000"/>
        </w:rPr>
        <w:t xml:space="preserve">with other fixed services </w:t>
      </w:r>
      <w:r w:rsidR="00E6030E">
        <w:rPr>
          <w:rFonts w:ascii="Times New Roman" w:hAnsi="Times New Roman" w:cs="Times New Roman"/>
          <w:color w:val="000000"/>
        </w:rPr>
        <w:t xml:space="preserve">is not </w:t>
      </w:r>
      <w:r w:rsidR="004D4FA1">
        <w:rPr>
          <w:rFonts w:ascii="Times New Roman" w:hAnsi="Times New Roman" w:cs="Times New Roman"/>
          <w:color w:val="000000"/>
        </w:rPr>
        <w:t>considered possible.</w:t>
      </w:r>
    </w:p>
    <w:p w14:paraId="7C75FDBC" w14:textId="4970B3B8" w:rsidR="00F05267" w:rsidRDefault="006719A5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instrument further </w:t>
      </w:r>
      <w:r w:rsidR="00C81B0A">
        <w:rPr>
          <w:rFonts w:ascii="Times New Roman" w:hAnsi="Times New Roman" w:cs="Times New Roman"/>
          <w:color w:val="000000"/>
        </w:rPr>
        <w:t xml:space="preserve">provides </w:t>
      </w:r>
      <w:r>
        <w:rPr>
          <w:rFonts w:ascii="Times New Roman" w:hAnsi="Times New Roman" w:cs="Times New Roman"/>
          <w:color w:val="000000"/>
        </w:rPr>
        <w:t>that i</w:t>
      </w:r>
      <w:r w:rsidR="00BC3F0C">
        <w:rPr>
          <w:rFonts w:ascii="Times New Roman" w:hAnsi="Times New Roman" w:cs="Times New Roman"/>
          <w:color w:val="000000"/>
        </w:rPr>
        <w:t xml:space="preserve">f </w:t>
      </w:r>
      <w:r w:rsidR="00FA2DCE">
        <w:rPr>
          <w:rFonts w:ascii="Times New Roman" w:hAnsi="Times New Roman" w:cs="Times New Roman"/>
          <w:color w:val="000000"/>
        </w:rPr>
        <w:t xml:space="preserve">the </w:t>
      </w:r>
      <w:r w:rsidR="00FA2DCE" w:rsidRPr="00FA2DCE">
        <w:rPr>
          <w:rFonts w:ascii="Times New Roman" w:hAnsi="Times New Roman" w:cs="Times New Roman"/>
          <w:color w:val="000000"/>
        </w:rPr>
        <w:t>2010</w:t>
      </w:r>
      <w:r w:rsidR="00C81B0A">
        <w:rPr>
          <w:rFonts w:ascii="Times New Roman" w:hAnsi="Times New Roman" w:cs="Times New Roman"/>
          <w:color w:val="000000"/>
        </w:rPr>
        <w:t xml:space="preserve"> MHz to </w:t>
      </w:r>
      <w:r w:rsidR="00FA2DCE" w:rsidRPr="00FA2DCE">
        <w:rPr>
          <w:rFonts w:ascii="Times New Roman" w:hAnsi="Times New Roman" w:cs="Times New Roman"/>
          <w:color w:val="000000"/>
        </w:rPr>
        <w:t xml:space="preserve">2110 MHz frequency band </w:t>
      </w:r>
      <w:r w:rsidR="00FA2DCE">
        <w:rPr>
          <w:rFonts w:ascii="Times New Roman" w:hAnsi="Times New Roman" w:cs="Times New Roman"/>
          <w:color w:val="000000"/>
        </w:rPr>
        <w:t xml:space="preserve">is used for </w:t>
      </w:r>
      <w:r w:rsidR="00C81B0A">
        <w:rPr>
          <w:rFonts w:ascii="Times New Roman" w:hAnsi="Times New Roman" w:cs="Times New Roman"/>
          <w:color w:val="000000"/>
        </w:rPr>
        <w:t xml:space="preserve">the purpose of </w:t>
      </w:r>
      <w:r w:rsidR="00601326">
        <w:rPr>
          <w:rFonts w:ascii="Times New Roman" w:hAnsi="Times New Roman" w:cs="Times New Roman"/>
          <w:color w:val="000000"/>
        </w:rPr>
        <w:t xml:space="preserve">point-to-point fixed </w:t>
      </w:r>
      <w:r w:rsidR="00090660">
        <w:rPr>
          <w:rFonts w:ascii="Times New Roman" w:hAnsi="Times New Roman" w:cs="Times New Roman"/>
          <w:color w:val="000000"/>
        </w:rPr>
        <w:t>service</w:t>
      </w:r>
      <w:r w:rsidR="00C81B0A">
        <w:rPr>
          <w:rFonts w:ascii="Times New Roman" w:hAnsi="Times New Roman" w:cs="Times New Roman"/>
          <w:color w:val="000000"/>
        </w:rPr>
        <w:t>s</w:t>
      </w:r>
      <w:r w:rsidR="00BC3F0C">
        <w:rPr>
          <w:rFonts w:ascii="Times New Roman" w:hAnsi="Times New Roman" w:cs="Times New Roman"/>
          <w:color w:val="000000"/>
        </w:rPr>
        <w:t xml:space="preserve"> in </w:t>
      </w:r>
      <w:r w:rsidR="00BC3F0C" w:rsidRPr="00601326">
        <w:rPr>
          <w:rFonts w:ascii="Times New Roman" w:hAnsi="Times New Roman" w:cs="Times New Roman"/>
          <w:color w:val="000000"/>
        </w:rPr>
        <w:t>the area</w:t>
      </w:r>
      <w:r w:rsidR="00BC3F0C">
        <w:rPr>
          <w:rFonts w:ascii="Times New Roman" w:hAnsi="Times New Roman" w:cs="Times New Roman"/>
          <w:color w:val="000000"/>
        </w:rPr>
        <w:t xml:space="preserve"> define</w:t>
      </w:r>
      <w:r w:rsidR="00090660">
        <w:rPr>
          <w:rFonts w:ascii="Times New Roman" w:hAnsi="Times New Roman" w:cs="Times New Roman"/>
          <w:color w:val="000000"/>
        </w:rPr>
        <w:t>d by the table in Schedule 2</w:t>
      </w:r>
      <w:r w:rsidR="00D2567C">
        <w:rPr>
          <w:rFonts w:ascii="Times New Roman" w:hAnsi="Times New Roman" w:cs="Times New Roman"/>
          <w:color w:val="000000"/>
        </w:rPr>
        <w:t xml:space="preserve">, then </w:t>
      </w:r>
      <w:r w:rsidR="00C81B0A">
        <w:rPr>
          <w:rFonts w:ascii="Times New Roman" w:hAnsi="Times New Roman" w:cs="Times New Roman"/>
          <w:color w:val="000000"/>
        </w:rPr>
        <w:t xml:space="preserve">those services are </w:t>
      </w:r>
      <w:r w:rsidR="00D2567C">
        <w:rPr>
          <w:rFonts w:ascii="Times New Roman" w:hAnsi="Times New Roman" w:cs="Times New Roman"/>
          <w:color w:val="000000"/>
        </w:rPr>
        <w:t xml:space="preserve">operated as a secondary service for the purposes of the </w:t>
      </w:r>
      <w:r w:rsidR="00F12B4A">
        <w:rPr>
          <w:rFonts w:ascii="Times New Roman" w:hAnsi="Times New Roman" w:cs="Times New Roman"/>
          <w:color w:val="000000"/>
        </w:rPr>
        <w:t xml:space="preserve">spectrum plan. </w:t>
      </w:r>
      <w:r w:rsidR="00F00A45">
        <w:rPr>
          <w:rFonts w:ascii="Times New Roman" w:hAnsi="Times New Roman" w:cs="Times New Roman"/>
          <w:color w:val="000000"/>
        </w:rPr>
        <w:t xml:space="preserve">The area defined </w:t>
      </w:r>
      <w:r w:rsidR="00CA326F">
        <w:rPr>
          <w:rFonts w:ascii="Times New Roman" w:hAnsi="Times New Roman" w:cs="Times New Roman"/>
          <w:color w:val="000000"/>
        </w:rPr>
        <w:t>consists of</w:t>
      </w:r>
      <w:r w:rsidR="00F00A45">
        <w:rPr>
          <w:rFonts w:ascii="Times New Roman" w:hAnsi="Times New Roman" w:cs="Times New Roman"/>
          <w:color w:val="000000"/>
        </w:rPr>
        <w:t xml:space="preserve"> regional areas. </w:t>
      </w:r>
      <w:r w:rsidR="00B83461">
        <w:rPr>
          <w:rFonts w:ascii="Times New Roman" w:hAnsi="Times New Roman" w:cs="Times New Roman"/>
          <w:color w:val="000000"/>
        </w:rPr>
        <w:t xml:space="preserve">The spectrum plan </w:t>
      </w:r>
      <w:r w:rsidR="00411F68">
        <w:rPr>
          <w:rFonts w:ascii="Times New Roman" w:hAnsi="Times New Roman" w:cs="Times New Roman"/>
          <w:color w:val="000000"/>
        </w:rPr>
        <w:t xml:space="preserve">provides </w:t>
      </w:r>
      <w:r w:rsidR="00B83461">
        <w:rPr>
          <w:rFonts w:ascii="Times New Roman" w:hAnsi="Times New Roman" w:cs="Times New Roman"/>
          <w:color w:val="000000"/>
        </w:rPr>
        <w:t>that a</w:t>
      </w:r>
      <w:r w:rsidR="00330EB3">
        <w:rPr>
          <w:rFonts w:ascii="Times New Roman" w:hAnsi="Times New Roman" w:cs="Times New Roman"/>
          <w:color w:val="000000"/>
        </w:rPr>
        <w:t xml:space="preserve"> secondary service must not cause harmful interference to a primary service </w:t>
      </w:r>
      <w:r w:rsidR="000D1C93">
        <w:rPr>
          <w:rFonts w:ascii="Times New Roman" w:hAnsi="Times New Roman" w:cs="Times New Roman"/>
          <w:color w:val="000000"/>
        </w:rPr>
        <w:t>using the frequency band</w:t>
      </w:r>
      <w:r w:rsidR="00411F68">
        <w:rPr>
          <w:rFonts w:ascii="Times New Roman" w:hAnsi="Times New Roman" w:cs="Times New Roman"/>
          <w:color w:val="000000"/>
        </w:rPr>
        <w:t>,</w:t>
      </w:r>
      <w:r w:rsidR="000D1C93">
        <w:rPr>
          <w:rFonts w:ascii="Times New Roman" w:hAnsi="Times New Roman" w:cs="Times New Roman"/>
          <w:color w:val="000000"/>
        </w:rPr>
        <w:t xml:space="preserve"> and cannot claim protection from harmful interference </w:t>
      </w:r>
      <w:r w:rsidR="00C61195">
        <w:rPr>
          <w:rFonts w:ascii="Times New Roman" w:hAnsi="Times New Roman" w:cs="Times New Roman"/>
          <w:color w:val="000000"/>
        </w:rPr>
        <w:t xml:space="preserve">caused by a primary service using the frequency band. </w:t>
      </w:r>
    </w:p>
    <w:p w14:paraId="0FCD9A53" w14:textId="52121222" w:rsidR="00912A2E" w:rsidRDefault="0020098D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instrument also places restrictions on the use of</w:t>
      </w:r>
      <w:r w:rsidR="00B158B6">
        <w:rPr>
          <w:rFonts w:ascii="Times New Roman" w:hAnsi="Times New Roman" w:cs="Times New Roman"/>
          <w:color w:val="000000"/>
        </w:rPr>
        <w:t xml:space="preserve"> the band for the purpose of operating</w:t>
      </w:r>
      <w:r>
        <w:rPr>
          <w:rFonts w:ascii="Times New Roman" w:hAnsi="Times New Roman" w:cs="Times New Roman"/>
          <w:color w:val="000000"/>
        </w:rPr>
        <w:t xml:space="preserve"> earth stations and earth receive stations.</w:t>
      </w:r>
      <w:r w:rsidR="003532BC">
        <w:rPr>
          <w:rFonts w:ascii="Times New Roman" w:hAnsi="Times New Roman" w:cs="Times New Roman"/>
          <w:color w:val="000000"/>
        </w:rPr>
        <w:t xml:space="preserve"> </w:t>
      </w:r>
      <w:r w:rsidR="00B178A6">
        <w:rPr>
          <w:rFonts w:ascii="Times New Roman" w:hAnsi="Times New Roman" w:cs="Times New Roman"/>
          <w:color w:val="000000"/>
        </w:rPr>
        <w:t>The</w:t>
      </w:r>
      <w:r w:rsidR="001F264F" w:rsidRPr="001F264F">
        <w:rPr>
          <w:rFonts w:ascii="Times New Roman" w:hAnsi="Times New Roman" w:cs="Times New Roman"/>
          <w:color w:val="000000"/>
        </w:rPr>
        <w:t xml:space="preserve"> part of the 2010</w:t>
      </w:r>
      <w:r w:rsidR="00B158B6">
        <w:rPr>
          <w:rFonts w:ascii="Times New Roman" w:hAnsi="Times New Roman" w:cs="Times New Roman"/>
          <w:color w:val="000000"/>
        </w:rPr>
        <w:t xml:space="preserve"> MHz to </w:t>
      </w:r>
      <w:r w:rsidR="001F264F" w:rsidRPr="001F264F">
        <w:rPr>
          <w:rFonts w:ascii="Times New Roman" w:hAnsi="Times New Roman" w:cs="Times New Roman"/>
          <w:color w:val="000000"/>
        </w:rPr>
        <w:t>2110 MHz frequency band above 2025 MHz must not be used for the purposes of operating an earth station in the Perth area.</w:t>
      </w:r>
      <w:r w:rsidR="003532BC">
        <w:rPr>
          <w:rFonts w:ascii="Times New Roman" w:hAnsi="Times New Roman" w:cs="Times New Roman"/>
          <w:color w:val="000000"/>
        </w:rPr>
        <w:t xml:space="preserve"> </w:t>
      </w:r>
      <w:r w:rsidR="00B158B6">
        <w:rPr>
          <w:rFonts w:ascii="Times New Roman" w:hAnsi="Times New Roman" w:cs="Times New Roman"/>
          <w:color w:val="000000"/>
        </w:rPr>
        <w:t>T</w:t>
      </w:r>
      <w:r w:rsidR="00857F10" w:rsidRPr="00857F10">
        <w:rPr>
          <w:rFonts w:ascii="Times New Roman" w:hAnsi="Times New Roman" w:cs="Times New Roman"/>
          <w:color w:val="000000"/>
        </w:rPr>
        <w:t>he 2200</w:t>
      </w:r>
      <w:r w:rsidR="00213746">
        <w:rPr>
          <w:rFonts w:ascii="Times New Roman" w:hAnsi="Times New Roman" w:cs="Times New Roman"/>
          <w:color w:val="000000"/>
        </w:rPr>
        <w:t> </w:t>
      </w:r>
      <w:r w:rsidR="00B158B6">
        <w:rPr>
          <w:rFonts w:ascii="Times New Roman" w:hAnsi="Times New Roman" w:cs="Times New Roman"/>
          <w:color w:val="000000"/>
        </w:rPr>
        <w:t xml:space="preserve">MHz to </w:t>
      </w:r>
      <w:r w:rsidR="00857F10" w:rsidRPr="00857F10">
        <w:rPr>
          <w:rFonts w:ascii="Times New Roman" w:hAnsi="Times New Roman" w:cs="Times New Roman"/>
          <w:color w:val="000000"/>
        </w:rPr>
        <w:t>2300 MHz frequency band must not be used for the purposes of operating an earth receive station in the Perth area</w:t>
      </w:r>
      <w:r w:rsidR="00857F10">
        <w:rPr>
          <w:rFonts w:ascii="Times New Roman" w:hAnsi="Times New Roman" w:cs="Times New Roman"/>
          <w:color w:val="000000"/>
        </w:rPr>
        <w:t xml:space="preserve">. These restrictions </w:t>
      </w:r>
      <w:r w:rsidR="00EA3F96">
        <w:rPr>
          <w:rFonts w:ascii="Times New Roman" w:hAnsi="Times New Roman" w:cs="Times New Roman"/>
          <w:color w:val="000000"/>
        </w:rPr>
        <w:t xml:space="preserve">were originally for the purpose of clearing </w:t>
      </w:r>
      <w:r w:rsidR="003827D9">
        <w:rPr>
          <w:rFonts w:ascii="Times New Roman" w:hAnsi="Times New Roman" w:cs="Times New Roman"/>
          <w:color w:val="000000"/>
        </w:rPr>
        <w:t xml:space="preserve">earth </w:t>
      </w:r>
      <w:r w:rsidR="00147E05">
        <w:rPr>
          <w:rFonts w:ascii="Times New Roman" w:hAnsi="Times New Roman" w:cs="Times New Roman"/>
          <w:color w:val="000000"/>
        </w:rPr>
        <w:t>and earth receive</w:t>
      </w:r>
      <w:r w:rsidR="003827D9">
        <w:rPr>
          <w:rFonts w:ascii="Times New Roman" w:hAnsi="Times New Roman" w:cs="Times New Roman"/>
          <w:color w:val="000000"/>
        </w:rPr>
        <w:t xml:space="preserve"> services</w:t>
      </w:r>
      <w:r w:rsidR="00EA3F96">
        <w:rPr>
          <w:rFonts w:ascii="Times New Roman" w:hAnsi="Times New Roman" w:cs="Times New Roman"/>
          <w:color w:val="000000"/>
        </w:rPr>
        <w:t xml:space="preserve"> from the band </w:t>
      </w:r>
      <w:r w:rsidR="00FA258C">
        <w:rPr>
          <w:rFonts w:ascii="Times New Roman" w:hAnsi="Times New Roman" w:cs="Times New Roman"/>
          <w:color w:val="000000"/>
        </w:rPr>
        <w:t>under the requirements of</w:t>
      </w:r>
      <w:r w:rsidR="00EA3F96">
        <w:rPr>
          <w:rFonts w:ascii="Times New Roman" w:hAnsi="Times New Roman" w:cs="Times New Roman"/>
          <w:color w:val="000000"/>
        </w:rPr>
        <w:t xml:space="preserve"> the 2012 band plan.</w:t>
      </w:r>
      <w:r w:rsidR="00945216">
        <w:rPr>
          <w:rFonts w:ascii="Times New Roman" w:hAnsi="Times New Roman" w:cs="Times New Roman"/>
          <w:color w:val="000000"/>
        </w:rPr>
        <w:t xml:space="preserve"> </w:t>
      </w:r>
      <w:r w:rsidR="00683B8C">
        <w:rPr>
          <w:rFonts w:ascii="Times New Roman" w:hAnsi="Times New Roman" w:cs="Times New Roman"/>
          <w:color w:val="000000"/>
        </w:rPr>
        <w:t>T</w:t>
      </w:r>
      <w:r w:rsidR="000E349D">
        <w:rPr>
          <w:rFonts w:ascii="Times New Roman" w:hAnsi="Times New Roman" w:cs="Times New Roman"/>
          <w:color w:val="000000"/>
        </w:rPr>
        <w:t xml:space="preserve">he </w:t>
      </w:r>
      <w:r w:rsidR="00E66BEB">
        <w:rPr>
          <w:rFonts w:ascii="Times New Roman" w:hAnsi="Times New Roman" w:cs="Times New Roman"/>
          <w:color w:val="000000"/>
        </w:rPr>
        <w:t>operation of e</w:t>
      </w:r>
      <w:r w:rsidR="00945216">
        <w:rPr>
          <w:rFonts w:ascii="Times New Roman" w:hAnsi="Times New Roman" w:cs="Times New Roman"/>
          <w:color w:val="000000"/>
        </w:rPr>
        <w:t xml:space="preserve">arth and earth receive </w:t>
      </w:r>
      <w:r w:rsidR="00E66BEB">
        <w:rPr>
          <w:rFonts w:ascii="Times New Roman" w:hAnsi="Times New Roman" w:cs="Times New Roman"/>
          <w:color w:val="000000"/>
        </w:rPr>
        <w:t xml:space="preserve">stations </w:t>
      </w:r>
      <w:r w:rsidR="00C26A11">
        <w:rPr>
          <w:rFonts w:ascii="Times New Roman" w:hAnsi="Times New Roman" w:cs="Times New Roman"/>
          <w:color w:val="000000"/>
        </w:rPr>
        <w:t xml:space="preserve">in the Perth area </w:t>
      </w:r>
      <w:r w:rsidR="000E349D">
        <w:rPr>
          <w:rFonts w:ascii="Times New Roman" w:hAnsi="Times New Roman" w:cs="Times New Roman"/>
          <w:color w:val="000000"/>
        </w:rPr>
        <w:t>was</w:t>
      </w:r>
      <w:r w:rsidR="00945216">
        <w:rPr>
          <w:rFonts w:ascii="Times New Roman" w:hAnsi="Times New Roman" w:cs="Times New Roman"/>
          <w:color w:val="000000"/>
        </w:rPr>
        <w:t xml:space="preserve"> considered </w:t>
      </w:r>
      <w:r w:rsidR="00912A2E">
        <w:rPr>
          <w:rFonts w:ascii="Times New Roman" w:hAnsi="Times New Roman" w:cs="Times New Roman"/>
          <w:color w:val="000000"/>
        </w:rPr>
        <w:t>likely to have an impact on TOB operations</w:t>
      </w:r>
      <w:r w:rsidR="00683B8C">
        <w:rPr>
          <w:rFonts w:ascii="Times New Roman" w:hAnsi="Times New Roman" w:cs="Times New Roman"/>
          <w:color w:val="000000"/>
        </w:rPr>
        <w:t>, and accordingly</w:t>
      </w:r>
      <w:r w:rsidR="000E349D">
        <w:rPr>
          <w:rFonts w:ascii="Times New Roman" w:hAnsi="Times New Roman" w:cs="Times New Roman"/>
          <w:color w:val="000000"/>
        </w:rPr>
        <w:t xml:space="preserve"> operators of these stations were </w:t>
      </w:r>
      <w:r w:rsidR="00F84D8B">
        <w:rPr>
          <w:rFonts w:ascii="Times New Roman" w:hAnsi="Times New Roman" w:cs="Times New Roman"/>
          <w:color w:val="000000"/>
        </w:rPr>
        <w:t xml:space="preserve">required to </w:t>
      </w:r>
      <w:r w:rsidR="00BC50C3">
        <w:rPr>
          <w:rFonts w:ascii="Times New Roman" w:hAnsi="Times New Roman" w:cs="Times New Roman"/>
          <w:color w:val="000000"/>
        </w:rPr>
        <w:t>stop using</w:t>
      </w:r>
      <w:r w:rsidR="00F84D8B">
        <w:rPr>
          <w:rFonts w:ascii="Times New Roman" w:hAnsi="Times New Roman" w:cs="Times New Roman"/>
          <w:color w:val="000000"/>
        </w:rPr>
        <w:t xml:space="preserve"> the band by specified dates</w:t>
      </w:r>
      <w:r w:rsidR="00912A2E">
        <w:rPr>
          <w:rFonts w:ascii="Times New Roman" w:hAnsi="Times New Roman" w:cs="Times New Roman"/>
          <w:color w:val="000000"/>
        </w:rPr>
        <w:t>.</w:t>
      </w:r>
    </w:p>
    <w:p w14:paraId="139C5EC1" w14:textId="44A8AFB9" w:rsidR="00EA3F96" w:rsidRDefault="00912A2E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These restrictions </w:t>
      </w:r>
      <w:r w:rsidR="00EA3F96">
        <w:rPr>
          <w:rFonts w:ascii="Times New Roman" w:hAnsi="Times New Roman" w:cs="Times New Roman"/>
          <w:color w:val="000000"/>
        </w:rPr>
        <w:t xml:space="preserve">are now intended to provide </w:t>
      </w:r>
      <w:r w:rsidR="00683B8C">
        <w:rPr>
          <w:rFonts w:ascii="Times New Roman" w:hAnsi="Times New Roman" w:cs="Times New Roman"/>
          <w:color w:val="000000"/>
        </w:rPr>
        <w:t>confidence</w:t>
      </w:r>
      <w:r w:rsidR="00EA3F96">
        <w:rPr>
          <w:rFonts w:ascii="Times New Roman" w:hAnsi="Times New Roman" w:cs="Times New Roman"/>
          <w:color w:val="000000"/>
        </w:rPr>
        <w:t xml:space="preserve"> to </w:t>
      </w:r>
      <w:r w:rsidR="00683B8C">
        <w:rPr>
          <w:rFonts w:ascii="Times New Roman" w:hAnsi="Times New Roman" w:cs="Times New Roman"/>
          <w:color w:val="000000"/>
        </w:rPr>
        <w:t xml:space="preserve">persons using the band for </w:t>
      </w:r>
      <w:r w:rsidR="00EA3F96">
        <w:rPr>
          <w:rFonts w:ascii="Times New Roman" w:hAnsi="Times New Roman" w:cs="Times New Roman"/>
          <w:color w:val="000000"/>
        </w:rPr>
        <w:t xml:space="preserve">TOB </w:t>
      </w:r>
      <w:r w:rsidR="00683B8C">
        <w:rPr>
          <w:rFonts w:ascii="Times New Roman" w:hAnsi="Times New Roman" w:cs="Times New Roman"/>
          <w:color w:val="000000"/>
        </w:rPr>
        <w:t xml:space="preserve">purposes </w:t>
      </w:r>
      <w:r w:rsidR="00EA3F96" w:rsidRPr="00026C19">
        <w:rPr>
          <w:rFonts w:ascii="Times New Roman" w:hAnsi="Times New Roman" w:cs="Times New Roman"/>
          <w:color w:val="000000"/>
        </w:rPr>
        <w:t xml:space="preserve">in </w:t>
      </w:r>
      <w:r w:rsidR="001B013B">
        <w:rPr>
          <w:rFonts w:ascii="Times New Roman" w:hAnsi="Times New Roman" w:cs="Times New Roman"/>
          <w:color w:val="000000"/>
        </w:rPr>
        <w:t>the Perth area that earth station</w:t>
      </w:r>
      <w:r w:rsidR="00D466D5">
        <w:rPr>
          <w:rFonts w:ascii="Times New Roman" w:hAnsi="Times New Roman" w:cs="Times New Roman"/>
          <w:color w:val="000000"/>
        </w:rPr>
        <w:t>s</w:t>
      </w:r>
      <w:r w:rsidR="001B013B">
        <w:rPr>
          <w:rFonts w:ascii="Times New Roman" w:hAnsi="Times New Roman" w:cs="Times New Roman"/>
          <w:color w:val="000000"/>
        </w:rPr>
        <w:t xml:space="preserve"> will not be permitted to </w:t>
      </w:r>
      <w:r w:rsidR="00683B8C">
        <w:rPr>
          <w:rFonts w:ascii="Times New Roman" w:hAnsi="Times New Roman" w:cs="Times New Roman"/>
          <w:color w:val="000000"/>
        </w:rPr>
        <w:t>operate in those bands</w:t>
      </w:r>
      <w:r w:rsidR="001B013B">
        <w:rPr>
          <w:rFonts w:ascii="Times New Roman" w:hAnsi="Times New Roman" w:cs="Times New Roman"/>
          <w:color w:val="000000"/>
        </w:rPr>
        <w:t>.</w:t>
      </w:r>
    </w:p>
    <w:p w14:paraId="7340F67C" w14:textId="2DA09F1E" w:rsidR="004E5843" w:rsidRDefault="004E5843" w:rsidP="004E5843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 sub</w:t>
      </w:r>
      <w:r w:rsidRPr="00683E72">
        <w:rPr>
          <w:rFonts w:ascii="Times New Roman" w:hAnsi="Times New Roman" w:cs="Times New Roman"/>
          <w:color w:val="000000"/>
        </w:rPr>
        <w:t>section 3</w:t>
      </w:r>
      <w:r>
        <w:rPr>
          <w:rFonts w:ascii="Times New Roman" w:hAnsi="Times New Roman" w:cs="Times New Roman"/>
          <w:color w:val="000000"/>
        </w:rPr>
        <w:t>2(3)</w:t>
      </w:r>
      <w:r w:rsidRPr="00683E72">
        <w:rPr>
          <w:rFonts w:ascii="Times New Roman" w:hAnsi="Times New Roman" w:cs="Times New Roman"/>
          <w:color w:val="000000"/>
        </w:rPr>
        <w:t xml:space="preserve"> of the Act</w:t>
      </w:r>
      <w:r>
        <w:rPr>
          <w:rFonts w:ascii="Times New Roman" w:hAnsi="Times New Roman" w:cs="Times New Roman"/>
          <w:color w:val="000000"/>
        </w:rPr>
        <w:t xml:space="preserve">, a frequency band plan </w:t>
      </w:r>
      <w:r w:rsidRPr="00683E72">
        <w:rPr>
          <w:rFonts w:ascii="Times New Roman" w:hAnsi="Times New Roman" w:cs="Times New Roman"/>
          <w:color w:val="000000"/>
        </w:rPr>
        <w:t xml:space="preserve">must not </w:t>
      </w:r>
      <w:r>
        <w:rPr>
          <w:rFonts w:ascii="Times New Roman" w:hAnsi="Times New Roman" w:cs="Times New Roman"/>
          <w:color w:val="000000"/>
        </w:rPr>
        <w:t xml:space="preserve">be </w:t>
      </w:r>
      <w:r w:rsidRPr="00683E72">
        <w:rPr>
          <w:rFonts w:ascii="Times New Roman" w:hAnsi="Times New Roman" w:cs="Times New Roman"/>
          <w:color w:val="000000"/>
        </w:rPr>
        <w:t>inconsistent with the</w:t>
      </w:r>
      <w:r w:rsidR="00187DCB">
        <w:rPr>
          <w:rFonts w:ascii="Times New Roman" w:hAnsi="Times New Roman" w:cs="Times New Roman"/>
          <w:color w:val="000000"/>
        </w:rPr>
        <w:t xml:space="preserve"> spectrum plan</w:t>
      </w:r>
      <w:r w:rsidRPr="00683E72">
        <w:rPr>
          <w:rFonts w:ascii="Times New Roman" w:hAnsi="Times New Roman" w:cs="Times New Roman"/>
          <w:color w:val="000000"/>
        </w:rPr>
        <w:t xml:space="preserve">. The instrument is </w:t>
      </w:r>
      <w:r>
        <w:rPr>
          <w:rFonts w:ascii="Times New Roman" w:hAnsi="Times New Roman" w:cs="Times New Roman"/>
          <w:color w:val="000000"/>
        </w:rPr>
        <w:t>not in</w:t>
      </w:r>
      <w:r w:rsidRPr="00683E72">
        <w:rPr>
          <w:rFonts w:ascii="Times New Roman" w:hAnsi="Times New Roman" w:cs="Times New Roman"/>
          <w:color w:val="000000"/>
        </w:rPr>
        <w:t>consistent with the spectrum plan.</w:t>
      </w:r>
    </w:p>
    <w:p w14:paraId="2A0A1A2E" w14:textId="77777777" w:rsidR="00E54646" w:rsidRDefault="00E54646" w:rsidP="00E54646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Operation of a radiocommunications transmitter is not authorised by a transmitter licence if it is not in accordance with the conditions of the licence (subsection 97(4) of the Act). Paragraph 108(2)(a) of the Act makes it a condition of each transmitter licence that the licensee, and any person authorised to operate a radiocommunications transmitter under the licence, must not operate, or permit the operation, of the transmitter for a purpose that is inconsistent with a purpose of a kind specified in the appropriate frequency band plan (if any).</w:t>
      </w:r>
    </w:p>
    <w:p w14:paraId="609B27C8" w14:textId="77777777" w:rsidR="00E54646" w:rsidRDefault="00E54646" w:rsidP="00BF6E0C">
      <w:pPr>
        <w:keepNext/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It is an offence, and subject to a civil penalty, to operate a radiocommunications device otherwise than as authorised by a licence (section 46 of the Act). The Act prescribes the following maximum penalties for the offence:</w:t>
      </w:r>
    </w:p>
    <w:p w14:paraId="3B521207" w14:textId="77777777" w:rsidR="00E54646" w:rsidRDefault="00E54646" w:rsidP="00E5464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radiocommunications device is a radiocommunications transmitter and the offender is an individual – imprisonment for 2 years;</w:t>
      </w:r>
    </w:p>
    <w:p w14:paraId="568A5F5F" w14:textId="77777777" w:rsidR="00E54646" w:rsidRDefault="00E54646" w:rsidP="00E5464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radiocommunications device is a radiocommunications transmitter and the offender is not an individual – 1,500 penalty units (which is $333,000 based on the current penalty unit amount of $222);</w:t>
      </w:r>
    </w:p>
    <w:p w14:paraId="1579AEA2" w14:textId="77777777" w:rsidR="00E54646" w:rsidRPr="001762CC" w:rsidRDefault="00E54646" w:rsidP="00E5464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1762CC">
        <w:rPr>
          <w:rFonts w:ascii="Times New Roman" w:hAnsi="Times New Roman" w:cs="Times New Roman"/>
          <w:color w:val="000000"/>
        </w:rPr>
        <w:t>if the radiocommunications device is not a radiocommunications transmitter – 20 penalty units ($4,440).</w:t>
      </w:r>
    </w:p>
    <w:p w14:paraId="782D3EA3" w14:textId="77777777" w:rsidR="00E54646" w:rsidRDefault="00E54646" w:rsidP="00E54646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Act prescribes the following maximum civil penalties:</w:t>
      </w:r>
    </w:p>
    <w:p w14:paraId="7AC8DF7C" w14:textId="77777777" w:rsidR="00E54646" w:rsidRDefault="00E54646" w:rsidP="00E5464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radiocommunications device is a radiocommunications transmitter – 300 penalty units ($66,600);</w:t>
      </w:r>
    </w:p>
    <w:p w14:paraId="07328406" w14:textId="77777777" w:rsidR="00E54646" w:rsidRDefault="00E54646" w:rsidP="00E54646">
      <w:pPr>
        <w:pStyle w:val="ListParagraph"/>
        <w:numPr>
          <w:ilvl w:val="0"/>
          <w:numId w:val="39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 radiocommunications device is not a radiocommunications transmitter – 20 penalty units ($4,440).</w:t>
      </w:r>
    </w:p>
    <w:p w14:paraId="37FF83EA" w14:textId="77777777" w:rsidR="00E54646" w:rsidRDefault="00E54646" w:rsidP="00E54646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an offence, and subject to a civil penalty, to possess a radiocommunications device for the purpose of operating the device otherwise than as authorised by a licence (section 47 of the Act). The Act prescribes the same penalties for this offence and civil penalty contravention as for the offence and civil penalty contravention in section 46.</w:t>
      </w:r>
    </w:p>
    <w:p w14:paraId="60748884" w14:textId="77777777" w:rsidR="00E54646" w:rsidRDefault="00E54646" w:rsidP="00E54646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addition, an apparatus licensee, or a person authorised under section 114 of the Act in relation to an apparatus licence, must not contravene a condition of the licence. Contravention is subject to a civil penalty (section 113 of the Act). The Act prescribes a maximum civil penalty of 100 penalty units ($22,200).</w:t>
      </w:r>
    </w:p>
    <w:p w14:paraId="67007E16" w14:textId="00E2B091" w:rsidR="004D7AF7" w:rsidRPr="00683E72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83E72">
        <w:rPr>
          <w:rFonts w:ascii="Times New Roman" w:hAnsi="Times New Roman" w:cs="Times New Roman"/>
          <w:color w:val="000000"/>
        </w:rPr>
        <w:t xml:space="preserve">A provision-by-provision description of the instrument is set out in the notes at </w:t>
      </w:r>
      <w:r w:rsidRPr="00404EAE">
        <w:rPr>
          <w:rFonts w:ascii="Times New Roman" w:hAnsi="Times New Roman" w:cs="Times New Roman"/>
          <w:b/>
          <w:bCs/>
          <w:color w:val="000000"/>
        </w:rPr>
        <w:t>Attachment A</w:t>
      </w:r>
      <w:r w:rsidRPr="00683E72">
        <w:rPr>
          <w:rFonts w:ascii="Times New Roman" w:hAnsi="Times New Roman" w:cs="Times New Roman"/>
          <w:color w:val="000000"/>
        </w:rPr>
        <w:t>.</w:t>
      </w:r>
    </w:p>
    <w:p w14:paraId="18F2115F" w14:textId="77777777" w:rsidR="004D7AF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83E72">
        <w:rPr>
          <w:rFonts w:ascii="Times New Roman" w:hAnsi="Times New Roman" w:cs="Times New Roman"/>
          <w:color w:val="000000"/>
        </w:rPr>
        <w:t xml:space="preserve">The instrument is a </w:t>
      </w:r>
      <w:r>
        <w:rPr>
          <w:rFonts w:ascii="Times New Roman" w:hAnsi="Times New Roman" w:cs="Times New Roman"/>
          <w:color w:val="000000"/>
        </w:rPr>
        <w:t xml:space="preserve">disallowable </w:t>
      </w:r>
      <w:r w:rsidRPr="00683E72">
        <w:rPr>
          <w:rFonts w:ascii="Times New Roman" w:hAnsi="Times New Roman" w:cs="Times New Roman"/>
          <w:color w:val="000000"/>
        </w:rPr>
        <w:t xml:space="preserve">legislative instrument for the purposes of the </w:t>
      </w:r>
      <w:r w:rsidRPr="00404EAE">
        <w:rPr>
          <w:rFonts w:ascii="Times New Roman" w:hAnsi="Times New Roman" w:cs="Times New Roman"/>
          <w:i/>
          <w:iCs/>
          <w:color w:val="000000"/>
        </w:rPr>
        <w:t>Legislation Act 2003</w:t>
      </w:r>
      <w:r w:rsidRPr="00683E72">
        <w:rPr>
          <w:rFonts w:ascii="Times New Roman" w:hAnsi="Times New Roman" w:cs="Times New Roman"/>
          <w:color w:val="000000"/>
        </w:rPr>
        <w:t xml:space="preserve"> (</w:t>
      </w:r>
      <w:r w:rsidRPr="009E24EF">
        <w:rPr>
          <w:rFonts w:ascii="Times New Roman" w:hAnsi="Times New Roman" w:cs="Times New Roman"/>
          <w:b/>
          <w:bCs/>
          <w:color w:val="000000"/>
        </w:rPr>
        <w:t>the LA</w:t>
      </w:r>
      <w:r w:rsidRPr="00683E72">
        <w:rPr>
          <w:rFonts w:ascii="Times New Roman" w:hAnsi="Times New Roman" w:cs="Times New Roman"/>
          <w:color w:val="000000"/>
        </w:rPr>
        <w:t xml:space="preserve">). </w:t>
      </w:r>
    </w:p>
    <w:p w14:paraId="19913B43" w14:textId="77777777" w:rsidR="004D7AF7" w:rsidRPr="00683E72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instrument is subject to the sunsetting provisions of the LA.</w:t>
      </w:r>
    </w:p>
    <w:p w14:paraId="739B3355" w14:textId="77777777" w:rsidR="004D7AF7" w:rsidRPr="004329FF" w:rsidRDefault="004D7AF7" w:rsidP="004D7AF7">
      <w:pPr>
        <w:rPr>
          <w:rFonts w:ascii="Times New Roman" w:hAnsi="Times New Roman" w:cs="Times New Roman"/>
          <w:b/>
        </w:rPr>
      </w:pPr>
      <w:r w:rsidRPr="004329FF">
        <w:rPr>
          <w:rFonts w:ascii="Times New Roman" w:hAnsi="Times New Roman" w:cs="Times New Roman"/>
          <w:b/>
        </w:rPr>
        <w:t>Documents incorporated by reference</w:t>
      </w:r>
    </w:p>
    <w:p w14:paraId="240D3459" w14:textId="52381957" w:rsidR="004D7AF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6302BF">
        <w:rPr>
          <w:rFonts w:ascii="Times New Roman" w:hAnsi="Times New Roman" w:cs="Times New Roman"/>
          <w:color w:val="000000"/>
        </w:rPr>
        <w:t>Section 314A of the Act provides that an instrument under the Act may make provision in relation to a matter by applying, adopting or incorporating (with or without modifications) matters contained in any Act or any other instrument or writing as in force or existing at a particular time or from time to time.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240C4C5" w14:textId="579661D6" w:rsidR="003563C9" w:rsidRDefault="005A17BD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instrument incorporates the Geodetic Datum of Australia known as GDA94, gazetted in the Commonwealth of Australia </w:t>
      </w:r>
      <w:r w:rsidRPr="0072004E">
        <w:rPr>
          <w:rFonts w:ascii="Times New Roman" w:hAnsi="Times New Roman" w:cs="Times New Roman"/>
          <w:i/>
          <w:iCs/>
          <w:color w:val="000000"/>
        </w:rPr>
        <w:t>Gazette</w:t>
      </w:r>
      <w:r>
        <w:rPr>
          <w:rFonts w:ascii="Times New Roman" w:hAnsi="Times New Roman" w:cs="Times New Roman"/>
          <w:color w:val="000000"/>
        </w:rPr>
        <w:t xml:space="preserve"> No. GN 35 on 6 September 1995, as existing on that day. </w:t>
      </w:r>
      <w:r>
        <w:rPr>
          <w:rFonts w:ascii="Times New Roman" w:hAnsi="Times New Roman" w:cs="Times New Roman"/>
          <w:i/>
          <w:iCs/>
          <w:color w:val="000000"/>
        </w:rPr>
        <w:t xml:space="preserve">Gazette </w:t>
      </w:r>
      <w:r>
        <w:rPr>
          <w:rFonts w:ascii="Times New Roman" w:hAnsi="Times New Roman" w:cs="Times New Roman"/>
          <w:color w:val="000000"/>
        </w:rPr>
        <w:t xml:space="preserve">No. GN 35 is available free of charge from the Federal Register of Legislation at </w:t>
      </w:r>
      <w:hyperlink r:id="rId12" w:history="1">
        <w:r w:rsidRPr="00150AD5">
          <w:rPr>
            <w:rStyle w:val="Hyperlink"/>
            <w:rFonts w:ascii="Times New Roman" w:hAnsi="Times New Roman" w:cs="Times New Roman"/>
          </w:rPr>
          <w:t>www.legislation.gov.au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04078519" w14:textId="77777777" w:rsidR="004D7AF7" w:rsidRDefault="004D7AF7" w:rsidP="008331B4">
      <w:pPr>
        <w:keepNext/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Consultation</w:t>
      </w:r>
    </w:p>
    <w:p w14:paraId="2F89C701" w14:textId="77777777" w:rsidR="004D7AF7" w:rsidRPr="005D03E9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5D03E9">
        <w:rPr>
          <w:rFonts w:ascii="Times New Roman" w:hAnsi="Times New Roman" w:cs="Times New Roman"/>
          <w:color w:val="000000"/>
        </w:rPr>
        <w:t xml:space="preserve">Before making the instrument, the ACMA was satisfied that consultation was undertaken to the extent appropriate and reasonably practicable, in accordance with section 17 of the LA.  </w:t>
      </w:r>
    </w:p>
    <w:p w14:paraId="47608DF0" w14:textId="77777777" w:rsidR="00771370" w:rsidRDefault="00771370" w:rsidP="00771370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Section 33 of the Act provides that, before the ACMA prepares a frequency band plan, the ACMA must by notice published on its website state that a draft of the plan is available for public comment, set out the draft plan, and invite interested parties to make representations about the draft plan on or before a day specified in the notice (at least one month later than the publication of the notice). The </w:t>
      </w:r>
      <w:r>
        <w:rPr>
          <w:rFonts w:ascii="Times New Roman" w:hAnsi="Times New Roman" w:cs="Times New Roman"/>
          <w:color w:val="000000"/>
        </w:rPr>
        <w:lastRenderedPageBreak/>
        <w:t>ACMA must give due consideration to any representations so made and may, having considered the representations, alter the draft plan.</w:t>
      </w:r>
    </w:p>
    <w:p w14:paraId="29506CC1" w14:textId="05924E86" w:rsidR="00D95D14" w:rsidRDefault="00E91781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17 December 2021</w:t>
      </w:r>
      <w:r w:rsidR="004D7AF7" w:rsidRPr="005D03E9">
        <w:rPr>
          <w:rFonts w:ascii="Times New Roman" w:hAnsi="Times New Roman" w:cs="Times New Roman"/>
          <w:color w:val="000000"/>
        </w:rPr>
        <w:t xml:space="preserve">, the ACMA </w:t>
      </w:r>
      <w:r w:rsidR="00AA68E1">
        <w:rPr>
          <w:rFonts w:ascii="Times New Roman" w:hAnsi="Times New Roman" w:cs="Times New Roman"/>
          <w:color w:val="000000"/>
        </w:rPr>
        <w:t xml:space="preserve">commenced a </w:t>
      </w:r>
      <w:hyperlink r:id="rId13" w:history="1">
        <w:r w:rsidR="00AA68E1" w:rsidRPr="00B41F9B">
          <w:rPr>
            <w:rStyle w:val="Hyperlink"/>
            <w:rFonts w:ascii="Times New Roman" w:hAnsi="Times New Roman" w:cs="Times New Roman"/>
          </w:rPr>
          <w:t>public consultation</w:t>
        </w:r>
      </w:hyperlink>
      <w:r w:rsidR="00AA68E1">
        <w:rPr>
          <w:rFonts w:ascii="Times New Roman" w:hAnsi="Times New Roman" w:cs="Times New Roman"/>
          <w:color w:val="000000"/>
        </w:rPr>
        <w:t xml:space="preserve"> on </w:t>
      </w:r>
      <w:r w:rsidR="00DA2536">
        <w:rPr>
          <w:rFonts w:ascii="Times New Roman" w:hAnsi="Times New Roman" w:cs="Times New Roman"/>
          <w:color w:val="000000"/>
        </w:rPr>
        <w:t>a review of the</w:t>
      </w:r>
      <w:r w:rsidR="00BE020B">
        <w:rPr>
          <w:rFonts w:ascii="Times New Roman" w:hAnsi="Times New Roman" w:cs="Times New Roman"/>
          <w:color w:val="000000"/>
        </w:rPr>
        <w:t xml:space="preserve"> </w:t>
      </w:r>
      <w:r w:rsidR="006C7F67">
        <w:rPr>
          <w:rFonts w:ascii="Times New Roman" w:hAnsi="Times New Roman" w:cs="Times New Roman"/>
          <w:color w:val="000000"/>
        </w:rPr>
        <w:t>2012 band plan</w:t>
      </w:r>
      <w:r w:rsidR="00522CD0">
        <w:rPr>
          <w:rFonts w:ascii="Times New Roman" w:hAnsi="Times New Roman" w:cs="Times New Roman"/>
          <w:color w:val="000000"/>
        </w:rPr>
        <w:t xml:space="preserve">. </w:t>
      </w:r>
      <w:r w:rsidR="007079D0">
        <w:rPr>
          <w:rFonts w:ascii="Times New Roman" w:hAnsi="Times New Roman" w:cs="Times New Roman"/>
          <w:color w:val="000000"/>
        </w:rPr>
        <w:t xml:space="preserve">A draft instrument was released as part of the consultation. </w:t>
      </w:r>
      <w:r w:rsidR="008B69CE">
        <w:rPr>
          <w:rFonts w:ascii="Times New Roman" w:hAnsi="Times New Roman" w:cs="Times New Roman"/>
          <w:color w:val="000000"/>
        </w:rPr>
        <w:t>In relation to the instrument, t</w:t>
      </w:r>
      <w:r w:rsidR="00EB0AEE">
        <w:rPr>
          <w:rFonts w:ascii="Times New Roman" w:hAnsi="Times New Roman" w:cs="Times New Roman"/>
          <w:color w:val="000000"/>
        </w:rPr>
        <w:t xml:space="preserve">he consultation sought comment on </w:t>
      </w:r>
      <w:r w:rsidR="0069038E">
        <w:rPr>
          <w:rFonts w:ascii="Times New Roman" w:hAnsi="Times New Roman" w:cs="Times New Roman"/>
          <w:color w:val="000000"/>
        </w:rPr>
        <w:t>the ACMA’s proposals to</w:t>
      </w:r>
      <w:r w:rsidR="00EB0AEE">
        <w:rPr>
          <w:rFonts w:ascii="Times New Roman" w:hAnsi="Times New Roman" w:cs="Times New Roman"/>
          <w:color w:val="000000"/>
        </w:rPr>
        <w:t>:</w:t>
      </w:r>
    </w:p>
    <w:p w14:paraId="324C3953" w14:textId="16DE75D6" w:rsidR="00B25D72" w:rsidRDefault="0069038E" w:rsidP="008E270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revoke the </w:t>
      </w:r>
      <w:r w:rsidR="00A1210D">
        <w:rPr>
          <w:rFonts w:ascii="Times New Roman" w:hAnsi="Times New Roman" w:cs="Times New Roman"/>
          <w:color w:val="000000"/>
        </w:rPr>
        <w:t>2012</w:t>
      </w:r>
      <w:r>
        <w:rPr>
          <w:rFonts w:ascii="Times New Roman" w:hAnsi="Times New Roman" w:cs="Times New Roman"/>
          <w:color w:val="000000"/>
        </w:rPr>
        <w:t xml:space="preserve"> band plan</w:t>
      </w:r>
      <w:r w:rsidR="00FC5470">
        <w:rPr>
          <w:rFonts w:ascii="Times New Roman" w:hAnsi="Times New Roman" w:cs="Times New Roman"/>
          <w:color w:val="000000"/>
        </w:rPr>
        <w:t xml:space="preserve"> and replace it </w:t>
      </w:r>
      <w:r w:rsidR="009B05F7">
        <w:rPr>
          <w:rFonts w:ascii="Times New Roman" w:hAnsi="Times New Roman" w:cs="Times New Roman"/>
          <w:color w:val="000000"/>
        </w:rPr>
        <w:t xml:space="preserve">with </w:t>
      </w:r>
      <w:r w:rsidR="00B25D72">
        <w:rPr>
          <w:rFonts w:ascii="Times New Roman" w:hAnsi="Times New Roman" w:cs="Times New Roman"/>
          <w:color w:val="000000"/>
        </w:rPr>
        <w:t>two new frequency band plans (the instrument and the</w:t>
      </w:r>
      <w:r w:rsidR="00B25D72" w:rsidRPr="00B25D72">
        <w:t xml:space="preserve"> </w:t>
      </w:r>
      <w:r w:rsidR="00F360D5" w:rsidRPr="00F360D5">
        <w:rPr>
          <w:rFonts w:ascii="Times New Roman" w:hAnsi="Times New Roman" w:cs="Times New Roman"/>
          <w:i/>
          <w:iCs/>
          <w:color w:val="000000"/>
        </w:rPr>
        <w:t>Radiocommunications (Mobile-Satellite Service) (1980–2010 MHz and 2170–2200 MHz) Frequency Band Plan 2022</w:t>
      </w:r>
      <w:r w:rsidR="00B25D72">
        <w:rPr>
          <w:rFonts w:ascii="Times New Roman" w:hAnsi="Times New Roman" w:cs="Times New Roman"/>
          <w:color w:val="000000"/>
        </w:rPr>
        <w:t>)</w:t>
      </w:r>
      <w:r w:rsidR="00C81793">
        <w:rPr>
          <w:rFonts w:ascii="Times New Roman" w:hAnsi="Times New Roman" w:cs="Times New Roman"/>
          <w:color w:val="000000"/>
        </w:rPr>
        <w:t>;</w:t>
      </w:r>
    </w:p>
    <w:p w14:paraId="7CB4AC6E" w14:textId="45A0B1D3" w:rsidR="005D6507" w:rsidRPr="00545709" w:rsidRDefault="00B0437E" w:rsidP="00545709">
      <w:pPr>
        <w:pStyle w:val="ListParagraph"/>
        <w:numPr>
          <w:ilvl w:val="0"/>
          <w:numId w:val="35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give effect to the same arrangements for the</w:t>
      </w:r>
      <w:r w:rsidR="00BE1815">
        <w:rPr>
          <w:rFonts w:ascii="Times New Roman" w:hAnsi="Times New Roman" w:cs="Times New Roman"/>
          <w:color w:val="000000"/>
        </w:rPr>
        <w:t xml:space="preserve"> TOB band</w:t>
      </w:r>
      <w:r w:rsidR="00545709">
        <w:rPr>
          <w:rFonts w:ascii="Times New Roman" w:hAnsi="Times New Roman" w:cs="Times New Roman"/>
          <w:color w:val="000000"/>
        </w:rPr>
        <w:t xml:space="preserve"> as specified in the 2012 band plan.</w:t>
      </w:r>
    </w:p>
    <w:p w14:paraId="6FE59BD9" w14:textId="1EA4D7F6" w:rsidR="005D6507" w:rsidRPr="005D03E9" w:rsidRDefault="00F2333C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consultation closed on 28 February 2022. </w:t>
      </w:r>
      <w:r w:rsidR="004D7AF7" w:rsidRPr="005D03E9">
        <w:rPr>
          <w:rFonts w:ascii="Times New Roman" w:hAnsi="Times New Roman" w:cs="Times New Roman"/>
          <w:color w:val="000000"/>
        </w:rPr>
        <w:t xml:space="preserve">The ACMA received </w:t>
      </w:r>
      <w:r w:rsidR="001A7F44">
        <w:rPr>
          <w:rFonts w:ascii="Times New Roman" w:hAnsi="Times New Roman" w:cs="Times New Roman"/>
          <w:color w:val="000000"/>
        </w:rPr>
        <w:t xml:space="preserve">14 written </w:t>
      </w:r>
      <w:r w:rsidR="00BC119A">
        <w:rPr>
          <w:rFonts w:ascii="Times New Roman" w:hAnsi="Times New Roman" w:cs="Times New Roman"/>
          <w:color w:val="000000"/>
        </w:rPr>
        <w:t xml:space="preserve">submissions </w:t>
      </w:r>
      <w:r w:rsidR="001A7F44">
        <w:rPr>
          <w:rFonts w:ascii="Times New Roman" w:hAnsi="Times New Roman" w:cs="Times New Roman"/>
          <w:color w:val="000000"/>
        </w:rPr>
        <w:t>in response</w:t>
      </w:r>
      <w:r w:rsidR="00BC119A">
        <w:rPr>
          <w:rFonts w:ascii="Times New Roman" w:hAnsi="Times New Roman" w:cs="Times New Roman"/>
          <w:color w:val="000000"/>
        </w:rPr>
        <w:t xml:space="preserve"> to the consultation</w:t>
      </w:r>
      <w:r w:rsidR="004D7AF7">
        <w:rPr>
          <w:rFonts w:ascii="Times New Roman" w:hAnsi="Times New Roman" w:cs="Times New Roman"/>
          <w:color w:val="000000"/>
        </w:rPr>
        <w:t>.</w:t>
      </w:r>
      <w:r w:rsidR="00BC119A">
        <w:rPr>
          <w:rFonts w:ascii="Times New Roman" w:hAnsi="Times New Roman" w:cs="Times New Roman"/>
          <w:color w:val="000000"/>
        </w:rPr>
        <w:t xml:space="preserve"> </w:t>
      </w:r>
      <w:r w:rsidR="00CF668E">
        <w:rPr>
          <w:rFonts w:ascii="Times New Roman" w:hAnsi="Times New Roman" w:cs="Times New Roman"/>
          <w:color w:val="000000"/>
        </w:rPr>
        <w:t xml:space="preserve">Several </w:t>
      </w:r>
      <w:r w:rsidR="00E42502">
        <w:rPr>
          <w:rFonts w:ascii="Times New Roman" w:hAnsi="Times New Roman" w:cs="Times New Roman"/>
          <w:color w:val="000000"/>
        </w:rPr>
        <w:t>respond</w:t>
      </w:r>
      <w:r w:rsidR="005C4F45">
        <w:rPr>
          <w:rFonts w:ascii="Times New Roman" w:hAnsi="Times New Roman" w:cs="Times New Roman"/>
          <w:color w:val="000000"/>
        </w:rPr>
        <w:t xml:space="preserve">ents </w:t>
      </w:r>
      <w:r w:rsidR="00FA446A">
        <w:rPr>
          <w:rFonts w:ascii="Times New Roman" w:hAnsi="Times New Roman" w:cs="Times New Roman"/>
          <w:color w:val="000000"/>
        </w:rPr>
        <w:t xml:space="preserve">commented that </w:t>
      </w:r>
      <w:r w:rsidR="009F61DE">
        <w:rPr>
          <w:rFonts w:ascii="Times New Roman" w:hAnsi="Times New Roman" w:cs="Times New Roman"/>
          <w:color w:val="000000"/>
        </w:rPr>
        <w:t xml:space="preserve">the </w:t>
      </w:r>
      <w:r w:rsidR="00253F04">
        <w:rPr>
          <w:rFonts w:ascii="Times New Roman" w:hAnsi="Times New Roman" w:cs="Times New Roman"/>
          <w:color w:val="000000"/>
        </w:rPr>
        <w:t xml:space="preserve">draft </w:t>
      </w:r>
      <w:r w:rsidR="009F61DE">
        <w:rPr>
          <w:rFonts w:ascii="Times New Roman" w:hAnsi="Times New Roman" w:cs="Times New Roman"/>
          <w:color w:val="000000"/>
        </w:rPr>
        <w:t>instrument</w:t>
      </w:r>
      <w:r w:rsidR="00253F04">
        <w:rPr>
          <w:rFonts w:ascii="Times New Roman" w:hAnsi="Times New Roman" w:cs="Times New Roman"/>
          <w:color w:val="000000"/>
        </w:rPr>
        <w:t xml:space="preserve"> </w:t>
      </w:r>
      <w:r w:rsidR="00BE1815">
        <w:rPr>
          <w:rFonts w:ascii="Times New Roman" w:hAnsi="Times New Roman" w:cs="Times New Roman"/>
          <w:color w:val="000000"/>
        </w:rPr>
        <w:t xml:space="preserve">proposed </w:t>
      </w:r>
      <w:r w:rsidR="002A14E0" w:rsidRPr="002A14E0">
        <w:rPr>
          <w:rFonts w:ascii="Times New Roman" w:hAnsi="Times New Roman" w:cs="Times New Roman"/>
          <w:color w:val="000000"/>
        </w:rPr>
        <w:t xml:space="preserve">changes </w:t>
      </w:r>
      <w:r w:rsidR="00BE1815">
        <w:rPr>
          <w:rFonts w:ascii="Times New Roman" w:hAnsi="Times New Roman" w:cs="Times New Roman"/>
          <w:color w:val="000000"/>
        </w:rPr>
        <w:t xml:space="preserve">to the </w:t>
      </w:r>
      <w:r w:rsidR="002A14E0" w:rsidRPr="002A14E0">
        <w:rPr>
          <w:rFonts w:ascii="Times New Roman" w:hAnsi="Times New Roman" w:cs="Times New Roman"/>
          <w:color w:val="000000"/>
        </w:rPr>
        <w:t xml:space="preserve">arrangements for services in the </w:t>
      </w:r>
      <w:r w:rsidR="00BE1815">
        <w:rPr>
          <w:rFonts w:ascii="Times New Roman" w:hAnsi="Times New Roman" w:cs="Times New Roman"/>
          <w:color w:val="000000"/>
        </w:rPr>
        <w:t xml:space="preserve">TOB </w:t>
      </w:r>
      <w:r w:rsidR="002A14E0" w:rsidRPr="002A14E0">
        <w:rPr>
          <w:rFonts w:ascii="Times New Roman" w:hAnsi="Times New Roman" w:cs="Times New Roman"/>
          <w:color w:val="000000"/>
        </w:rPr>
        <w:t>band (for example, earth stations)</w:t>
      </w:r>
      <w:r w:rsidR="00F81422">
        <w:rPr>
          <w:rFonts w:ascii="Times New Roman" w:hAnsi="Times New Roman" w:cs="Times New Roman"/>
          <w:color w:val="000000"/>
        </w:rPr>
        <w:t xml:space="preserve"> when compared to the 2012 band plan. They noted this was </w:t>
      </w:r>
      <w:r w:rsidR="002A14E0" w:rsidRPr="002A14E0">
        <w:rPr>
          <w:rFonts w:ascii="Times New Roman" w:hAnsi="Times New Roman" w:cs="Times New Roman"/>
          <w:color w:val="000000"/>
        </w:rPr>
        <w:t xml:space="preserve">contrary to </w:t>
      </w:r>
      <w:r w:rsidR="00F81422">
        <w:rPr>
          <w:rFonts w:ascii="Times New Roman" w:hAnsi="Times New Roman" w:cs="Times New Roman"/>
          <w:color w:val="000000"/>
        </w:rPr>
        <w:t>the ACMA’s</w:t>
      </w:r>
      <w:r w:rsidR="002A14E0" w:rsidRPr="002A14E0">
        <w:rPr>
          <w:rFonts w:ascii="Times New Roman" w:hAnsi="Times New Roman" w:cs="Times New Roman"/>
          <w:color w:val="000000"/>
        </w:rPr>
        <w:t xml:space="preserve"> objective of no change to arrangements in these bands. These changes were unintentional. </w:t>
      </w:r>
      <w:r w:rsidR="00E03DEA">
        <w:rPr>
          <w:rFonts w:ascii="Times New Roman" w:hAnsi="Times New Roman" w:cs="Times New Roman"/>
          <w:color w:val="000000"/>
        </w:rPr>
        <w:t xml:space="preserve">Before making the </w:t>
      </w:r>
      <w:r w:rsidR="007A04B0">
        <w:rPr>
          <w:rFonts w:ascii="Times New Roman" w:hAnsi="Times New Roman" w:cs="Times New Roman"/>
          <w:color w:val="000000"/>
        </w:rPr>
        <w:t>instrument</w:t>
      </w:r>
      <w:r w:rsidR="00E03DEA">
        <w:rPr>
          <w:rFonts w:ascii="Times New Roman" w:hAnsi="Times New Roman" w:cs="Times New Roman"/>
          <w:color w:val="000000"/>
        </w:rPr>
        <w:t xml:space="preserve">, the ACMA revised </w:t>
      </w:r>
      <w:r w:rsidR="006F5C66">
        <w:rPr>
          <w:rFonts w:ascii="Times New Roman" w:hAnsi="Times New Roman" w:cs="Times New Roman"/>
          <w:color w:val="000000"/>
        </w:rPr>
        <w:t xml:space="preserve">the </w:t>
      </w:r>
      <w:r w:rsidR="00D031D9">
        <w:rPr>
          <w:rFonts w:ascii="Times New Roman" w:hAnsi="Times New Roman" w:cs="Times New Roman"/>
          <w:color w:val="000000"/>
        </w:rPr>
        <w:t>instrument</w:t>
      </w:r>
      <w:r w:rsidR="00E03DEA">
        <w:rPr>
          <w:rFonts w:ascii="Times New Roman" w:hAnsi="Times New Roman" w:cs="Times New Roman"/>
          <w:color w:val="000000"/>
        </w:rPr>
        <w:t xml:space="preserve"> </w:t>
      </w:r>
      <w:r w:rsidR="006C43BC">
        <w:rPr>
          <w:rFonts w:ascii="Times New Roman" w:hAnsi="Times New Roman" w:cs="Times New Roman"/>
          <w:color w:val="000000"/>
        </w:rPr>
        <w:t>t</w:t>
      </w:r>
      <w:r w:rsidR="002A14E0" w:rsidRPr="002A14E0">
        <w:rPr>
          <w:rFonts w:ascii="Times New Roman" w:hAnsi="Times New Roman" w:cs="Times New Roman"/>
          <w:color w:val="000000"/>
        </w:rPr>
        <w:t xml:space="preserve">o ensure it </w:t>
      </w:r>
      <w:r w:rsidR="00CF668E">
        <w:rPr>
          <w:rFonts w:ascii="Times New Roman" w:hAnsi="Times New Roman" w:cs="Times New Roman"/>
          <w:color w:val="000000"/>
        </w:rPr>
        <w:t>makes</w:t>
      </w:r>
      <w:r w:rsidR="00CF668E" w:rsidRPr="002A14E0">
        <w:rPr>
          <w:rFonts w:ascii="Times New Roman" w:hAnsi="Times New Roman" w:cs="Times New Roman"/>
          <w:color w:val="000000"/>
        </w:rPr>
        <w:t xml:space="preserve"> </w:t>
      </w:r>
      <w:r w:rsidR="002A14E0" w:rsidRPr="002A14E0">
        <w:rPr>
          <w:rFonts w:ascii="Times New Roman" w:hAnsi="Times New Roman" w:cs="Times New Roman"/>
          <w:color w:val="000000"/>
        </w:rPr>
        <w:t xml:space="preserve">the same arrangements </w:t>
      </w:r>
      <w:r w:rsidR="00CF668E">
        <w:rPr>
          <w:rFonts w:ascii="Times New Roman" w:hAnsi="Times New Roman" w:cs="Times New Roman"/>
          <w:color w:val="000000"/>
        </w:rPr>
        <w:t>for</w:t>
      </w:r>
      <w:r w:rsidR="002A14E0" w:rsidRPr="002A14E0">
        <w:rPr>
          <w:rFonts w:ascii="Times New Roman" w:hAnsi="Times New Roman" w:cs="Times New Roman"/>
          <w:color w:val="000000"/>
        </w:rPr>
        <w:t xml:space="preserve"> </w:t>
      </w:r>
      <w:r w:rsidR="00BE1815">
        <w:rPr>
          <w:rFonts w:ascii="Times New Roman" w:hAnsi="Times New Roman" w:cs="Times New Roman"/>
          <w:color w:val="000000"/>
        </w:rPr>
        <w:t>the TOB band</w:t>
      </w:r>
      <w:r w:rsidR="002A14E0" w:rsidRPr="002A14E0">
        <w:rPr>
          <w:rFonts w:ascii="Times New Roman" w:hAnsi="Times New Roman" w:cs="Times New Roman"/>
          <w:color w:val="000000"/>
        </w:rPr>
        <w:t xml:space="preserve"> as </w:t>
      </w:r>
      <w:r w:rsidR="00CF668E">
        <w:rPr>
          <w:rFonts w:ascii="Times New Roman" w:hAnsi="Times New Roman" w:cs="Times New Roman"/>
          <w:color w:val="000000"/>
        </w:rPr>
        <w:t xml:space="preserve">were </w:t>
      </w:r>
      <w:r w:rsidR="002A14E0" w:rsidRPr="002A14E0">
        <w:rPr>
          <w:rFonts w:ascii="Times New Roman" w:hAnsi="Times New Roman" w:cs="Times New Roman"/>
          <w:color w:val="000000"/>
        </w:rPr>
        <w:t xml:space="preserve">specified in the </w:t>
      </w:r>
      <w:r w:rsidR="00A56EC6">
        <w:rPr>
          <w:rFonts w:ascii="Times New Roman" w:hAnsi="Times New Roman" w:cs="Times New Roman"/>
          <w:color w:val="000000"/>
        </w:rPr>
        <w:t xml:space="preserve">2012 </w:t>
      </w:r>
      <w:r w:rsidR="002A14E0" w:rsidRPr="002A14E0">
        <w:rPr>
          <w:rFonts w:ascii="Times New Roman" w:hAnsi="Times New Roman" w:cs="Times New Roman"/>
          <w:color w:val="000000"/>
        </w:rPr>
        <w:t xml:space="preserve">band plan.  </w:t>
      </w:r>
    </w:p>
    <w:p w14:paraId="3F17B40F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0B637773" w14:textId="3D6781DA" w:rsidR="004D7AF7" w:rsidRPr="008D2CA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8D2CA7">
        <w:rPr>
          <w:rFonts w:ascii="Times New Roman" w:hAnsi="Times New Roman" w:cs="Times New Roman"/>
          <w:color w:val="000000"/>
        </w:rPr>
        <w:t>A preliminary assessment of the proposal to make the instrument was conducted by the Office of Best Practice Regulation (</w:t>
      </w:r>
      <w:r w:rsidRPr="00404EAE">
        <w:rPr>
          <w:rFonts w:ascii="Times New Roman" w:hAnsi="Times New Roman" w:cs="Times New Roman"/>
          <w:b/>
          <w:bCs/>
          <w:color w:val="000000"/>
        </w:rPr>
        <w:t>OBPR</w:t>
      </w:r>
      <w:r w:rsidRPr="008D2CA7">
        <w:rPr>
          <w:rFonts w:ascii="Times New Roman" w:hAnsi="Times New Roman" w:cs="Times New Roman"/>
          <w:color w:val="000000"/>
        </w:rPr>
        <w:t>), based on information provided by the ACMA, for the purposes of determining whether a Regulation Impact Statement (</w:t>
      </w:r>
      <w:r w:rsidRPr="00404EAE">
        <w:rPr>
          <w:rFonts w:ascii="Times New Roman" w:hAnsi="Times New Roman" w:cs="Times New Roman"/>
          <w:b/>
          <w:bCs/>
          <w:color w:val="000000"/>
        </w:rPr>
        <w:t>RIS</w:t>
      </w:r>
      <w:r w:rsidRPr="008D2CA7">
        <w:rPr>
          <w:rFonts w:ascii="Times New Roman" w:hAnsi="Times New Roman" w:cs="Times New Roman"/>
          <w:color w:val="000000"/>
        </w:rPr>
        <w:t xml:space="preserve">) would be required. OBPR advised that a RIS would not be required because the proposed regulatory change is </w:t>
      </w:r>
      <w:r w:rsidR="001C27AA">
        <w:rPr>
          <w:rFonts w:ascii="Times New Roman" w:hAnsi="Times New Roman" w:cs="Times New Roman"/>
          <w:color w:val="000000"/>
        </w:rPr>
        <w:t xml:space="preserve">within scope of </w:t>
      </w:r>
      <w:r w:rsidR="00EE6CBD">
        <w:rPr>
          <w:rFonts w:ascii="Times New Roman" w:hAnsi="Times New Roman" w:cs="Times New Roman"/>
          <w:color w:val="000000"/>
        </w:rPr>
        <w:t>the previous RI</w:t>
      </w:r>
      <w:r w:rsidR="00D27BA2">
        <w:rPr>
          <w:rFonts w:ascii="Times New Roman" w:hAnsi="Times New Roman" w:cs="Times New Roman"/>
          <w:color w:val="000000"/>
        </w:rPr>
        <w:t>S</w:t>
      </w:r>
      <w:r w:rsidR="00EE6CBD">
        <w:rPr>
          <w:rFonts w:ascii="Times New Roman" w:hAnsi="Times New Roman" w:cs="Times New Roman"/>
          <w:color w:val="000000"/>
        </w:rPr>
        <w:t>-like process conducted as part of the review of the 2 GHz b</w:t>
      </w:r>
      <w:r w:rsidR="00212BF0">
        <w:rPr>
          <w:rFonts w:ascii="Times New Roman" w:hAnsi="Times New Roman" w:cs="Times New Roman"/>
          <w:color w:val="000000"/>
        </w:rPr>
        <w:t xml:space="preserve">and. </w:t>
      </w:r>
      <w:r w:rsidR="001D0BC7">
        <w:rPr>
          <w:rFonts w:ascii="Times New Roman" w:hAnsi="Times New Roman" w:cs="Times New Roman"/>
          <w:color w:val="000000"/>
        </w:rPr>
        <w:t>OBPR</w:t>
      </w:r>
      <w:r w:rsidRPr="008D2CA7">
        <w:rPr>
          <w:rFonts w:ascii="Times New Roman" w:hAnsi="Times New Roman" w:cs="Times New Roman"/>
          <w:color w:val="000000"/>
        </w:rPr>
        <w:t xml:space="preserve"> </w:t>
      </w:r>
      <w:r w:rsidR="001D0BC7">
        <w:rPr>
          <w:rFonts w:ascii="Times New Roman" w:hAnsi="Times New Roman" w:cs="Times New Roman"/>
          <w:color w:val="000000"/>
        </w:rPr>
        <w:t>confirmed</w:t>
      </w:r>
      <w:r w:rsidRPr="008D2CA7">
        <w:rPr>
          <w:rFonts w:ascii="Times New Roman" w:hAnsi="Times New Roman" w:cs="Times New Roman"/>
          <w:color w:val="000000"/>
        </w:rPr>
        <w:t xml:space="preserve"> that no further regulatory impact analysis is required – OBPR reference number </w:t>
      </w:r>
      <w:r w:rsidR="001D0BC7">
        <w:rPr>
          <w:rFonts w:ascii="Times New Roman" w:hAnsi="Times New Roman" w:cs="Times New Roman"/>
          <w:color w:val="000000"/>
        </w:rPr>
        <w:t>44173</w:t>
      </w:r>
      <w:r w:rsidRPr="008D2CA7">
        <w:rPr>
          <w:rFonts w:ascii="Times New Roman" w:hAnsi="Times New Roman" w:cs="Times New Roman"/>
          <w:color w:val="000000"/>
        </w:rPr>
        <w:t>.  </w:t>
      </w:r>
    </w:p>
    <w:p w14:paraId="01EA1BA5" w14:textId="77777777" w:rsidR="004D7AF7" w:rsidRDefault="004D7AF7" w:rsidP="00D26F9E">
      <w:pPr>
        <w:keepNext/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rights</w:t>
      </w:r>
    </w:p>
    <w:p w14:paraId="0D334A82" w14:textId="77777777" w:rsidR="004D7AF7" w:rsidRPr="008D2CA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8D2CA7">
        <w:rPr>
          <w:rFonts w:ascii="Times New Roman" w:hAnsi="Times New Roman" w:cs="Times New Roman"/>
          <w:color w:val="000000"/>
        </w:rPr>
        <w:t xml:space="preserve">Subsection 9(1) of the </w:t>
      </w:r>
      <w:r w:rsidRPr="00404EAE">
        <w:rPr>
          <w:rFonts w:ascii="Times New Roman" w:hAnsi="Times New Roman" w:cs="Times New Roman"/>
          <w:i/>
          <w:iCs/>
          <w:color w:val="000000"/>
        </w:rPr>
        <w:t>Human Rights (Parliamentary Scrutiny) Act 2011</w:t>
      </w:r>
      <w:r w:rsidRPr="008D2CA7">
        <w:rPr>
          <w:rFonts w:ascii="Times New Roman" w:hAnsi="Times New Roman" w:cs="Times New Roman"/>
          <w:color w:val="000000"/>
        </w:rPr>
        <w:t xml:space="preserve"> requires the rule-maker in relation to a legislative instrument to which section 42 (disallowance) of the LA applies </w:t>
      </w:r>
      <w:r>
        <w:rPr>
          <w:rFonts w:ascii="Times New Roman" w:hAnsi="Times New Roman" w:cs="Times New Roman"/>
        </w:rPr>
        <w:t>to cause a statement of compatibility with human rights to be prepared in respect of that legislative instrument</w:t>
      </w:r>
      <w:r w:rsidRPr="00460A82">
        <w:rPr>
          <w:rFonts w:ascii="Times New Roman" w:eastAsia="Times New Roman" w:hAnsi="Times New Roman" w:cs="Times New Roman"/>
          <w:color w:val="000000"/>
          <w:lang w:eastAsia="en-AU"/>
        </w:rPr>
        <w:t>. </w:t>
      </w:r>
    </w:p>
    <w:p w14:paraId="03BE0E3C" w14:textId="4ACC421F" w:rsidR="004D7AF7" w:rsidRPr="008D2CA7" w:rsidRDefault="004D7AF7" w:rsidP="004D7AF7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8D2CA7">
        <w:rPr>
          <w:rFonts w:ascii="Times New Roman" w:hAnsi="Times New Roman" w:cs="Times New Roman"/>
          <w:color w:val="000000"/>
        </w:rPr>
        <w:t xml:space="preserve">The statement of compatibility set out </w:t>
      </w:r>
      <w:r w:rsidR="00A2686C">
        <w:rPr>
          <w:rFonts w:ascii="Times New Roman" w:hAnsi="Times New Roman" w:cs="Times New Roman"/>
          <w:color w:val="000000"/>
        </w:rPr>
        <w:t>below</w:t>
      </w:r>
      <w:r w:rsidRPr="008D2CA7">
        <w:rPr>
          <w:rFonts w:ascii="Times New Roman" w:hAnsi="Times New Roman" w:cs="Times New Roman"/>
          <w:color w:val="000000"/>
        </w:rPr>
        <w:t> has been prepared to meet that requirement.</w:t>
      </w:r>
    </w:p>
    <w:p w14:paraId="2D34D653" w14:textId="0C8C047E" w:rsidR="004D7AF7" w:rsidRDefault="00231B6F" w:rsidP="004D7AF7">
      <w:pPr>
        <w:rPr>
          <w:rFonts w:ascii="Times New Roman" w:hAnsi="Times New Roman" w:cs="Times New Roman"/>
          <w:b/>
          <w:bCs/>
          <w:i/>
          <w:iCs/>
        </w:rPr>
      </w:pPr>
      <w:r w:rsidRPr="00231B6F">
        <w:rPr>
          <w:rFonts w:ascii="Times New Roman" w:hAnsi="Times New Roman" w:cs="Times New Roman"/>
          <w:b/>
          <w:bCs/>
          <w:i/>
          <w:iCs/>
        </w:rPr>
        <w:t>Overview of the instrument</w:t>
      </w:r>
    </w:p>
    <w:p w14:paraId="02DD41C7" w14:textId="032435E9" w:rsidR="00135445" w:rsidRDefault="002E0555" w:rsidP="00135445">
      <w:pPr>
        <w:shd w:val="clear" w:color="auto" w:fill="FFFFFF"/>
        <w:spacing w:line="23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8C4DAE">
        <w:rPr>
          <w:rFonts w:ascii="Times New Roman" w:hAnsi="Times New Roman" w:cs="Times New Roman"/>
          <w:bCs/>
        </w:rPr>
        <w:t>ACMA</w:t>
      </w:r>
      <w:r>
        <w:rPr>
          <w:rFonts w:ascii="Times New Roman" w:hAnsi="Times New Roman" w:cs="Times New Roman"/>
        </w:rPr>
        <w:t xml:space="preserve"> has made the </w:t>
      </w:r>
      <w:r w:rsidRPr="00C65E09">
        <w:rPr>
          <w:rFonts w:ascii="Times New Roman" w:hAnsi="Times New Roman" w:cs="Times New Roman"/>
          <w:i/>
        </w:rPr>
        <w:t>Radiocommunications (</w:t>
      </w:r>
      <w:r w:rsidR="0013577A" w:rsidRPr="0013577A">
        <w:rPr>
          <w:rFonts w:ascii="Times New Roman" w:hAnsi="Times New Roman" w:cs="Times New Roman"/>
          <w:i/>
        </w:rPr>
        <w:t>Television Outside Broadcasting) (2010–2110 MHz and 2200–2300 MHz</w:t>
      </w:r>
      <w:r w:rsidRPr="00C65E09">
        <w:rPr>
          <w:rFonts w:ascii="Times New Roman" w:hAnsi="Times New Roman" w:cs="Times New Roman"/>
          <w:i/>
        </w:rPr>
        <w:t>) Frequency Band Plan 2022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the instrument</w:t>
      </w:r>
      <w:r>
        <w:rPr>
          <w:rFonts w:ascii="Times New Roman" w:hAnsi="Times New Roman" w:cs="Times New Roman"/>
        </w:rPr>
        <w:t xml:space="preserve">) under section 32(1) of the </w:t>
      </w:r>
      <w:r w:rsidRPr="00404EAE">
        <w:rPr>
          <w:rFonts w:ascii="Times New Roman" w:hAnsi="Times New Roman" w:cs="Times New Roman"/>
          <w:i/>
          <w:iCs/>
        </w:rPr>
        <w:t>Radiocommunications Act 1992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</w:rPr>
        <w:t>the Act</w:t>
      </w:r>
      <w:r>
        <w:rPr>
          <w:rFonts w:ascii="Times New Roman" w:hAnsi="Times New Roman" w:cs="Times New Roman"/>
        </w:rPr>
        <w:t xml:space="preserve">). The instrument </w:t>
      </w:r>
      <w:r w:rsidRPr="00D213E4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>s</w:t>
      </w:r>
      <w:r w:rsidRPr="00D213E4">
        <w:rPr>
          <w:rFonts w:ascii="Times New Roman" w:hAnsi="Times New Roman" w:cs="Times New Roman"/>
        </w:rPr>
        <w:t xml:space="preserve"> provision in relation to the purposes for which the frequency bands </w:t>
      </w:r>
      <w:r w:rsidR="0013577A" w:rsidRPr="0013577A">
        <w:rPr>
          <w:rFonts w:ascii="Times New Roman" w:hAnsi="Times New Roman" w:cs="Times New Roman"/>
        </w:rPr>
        <w:t>2010</w:t>
      </w:r>
      <w:r w:rsidR="00C94E6A">
        <w:rPr>
          <w:rFonts w:ascii="Times New Roman" w:hAnsi="Times New Roman" w:cs="Times New Roman"/>
        </w:rPr>
        <w:t xml:space="preserve"> MHz to </w:t>
      </w:r>
      <w:r w:rsidR="0013577A" w:rsidRPr="0013577A">
        <w:rPr>
          <w:rFonts w:ascii="Times New Roman" w:hAnsi="Times New Roman" w:cs="Times New Roman"/>
        </w:rPr>
        <w:t xml:space="preserve">2110 </w:t>
      </w:r>
      <w:r w:rsidRPr="00D213E4">
        <w:rPr>
          <w:rFonts w:ascii="Times New Roman" w:hAnsi="Times New Roman" w:cs="Times New Roman"/>
        </w:rPr>
        <w:t xml:space="preserve">MHz and </w:t>
      </w:r>
      <w:r w:rsidR="0013577A" w:rsidRPr="0013577A">
        <w:rPr>
          <w:rFonts w:ascii="Times New Roman" w:hAnsi="Times New Roman" w:cs="Times New Roman"/>
        </w:rPr>
        <w:t>2200</w:t>
      </w:r>
      <w:r w:rsidR="00C94E6A">
        <w:rPr>
          <w:rFonts w:ascii="Times New Roman" w:hAnsi="Times New Roman" w:cs="Times New Roman"/>
        </w:rPr>
        <w:t xml:space="preserve"> MHz to </w:t>
      </w:r>
      <w:r w:rsidR="0013577A" w:rsidRPr="0013577A">
        <w:rPr>
          <w:rFonts w:ascii="Times New Roman" w:hAnsi="Times New Roman" w:cs="Times New Roman"/>
        </w:rPr>
        <w:t xml:space="preserve">2300 </w:t>
      </w:r>
      <w:r w:rsidRPr="00D213E4">
        <w:rPr>
          <w:rFonts w:ascii="Times New Roman" w:hAnsi="Times New Roman" w:cs="Times New Roman"/>
        </w:rPr>
        <w:t>MHz may be used</w:t>
      </w:r>
      <w:r>
        <w:rPr>
          <w:rFonts w:ascii="Times New Roman" w:hAnsi="Times New Roman" w:cs="Times New Roman"/>
        </w:rPr>
        <w:t>.</w:t>
      </w:r>
      <w:r w:rsidR="00135445">
        <w:rPr>
          <w:rFonts w:ascii="Times New Roman" w:hAnsi="Times New Roman" w:cs="Times New Roman"/>
        </w:rPr>
        <w:t xml:space="preserve"> </w:t>
      </w:r>
    </w:p>
    <w:p w14:paraId="4AAB4A1E" w14:textId="1F4950F0" w:rsidR="00A01735" w:rsidRDefault="00A01735" w:rsidP="00A01735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Use of these frequency bands was previously subject to the requirements of the </w:t>
      </w:r>
      <w:r w:rsidRPr="00D06733">
        <w:rPr>
          <w:rFonts w:ascii="Times New Roman" w:hAnsi="Times New Roman" w:cs="Times New Roman"/>
          <w:i/>
          <w:iCs/>
          <w:color w:val="000000"/>
        </w:rPr>
        <w:t>Television Outside Broadcast (1980-2110 MHz and 2170-2300 MHz) Frequency Band Plan 2012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</w:rPr>
        <w:t>the 2012 band plan</w:t>
      </w:r>
      <w:r w:rsidRPr="0082754D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 Th</w:t>
      </w:r>
      <w:r w:rsidR="00D40E06">
        <w:rPr>
          <w:rFonts w:ascii="Times New Roman" w:hAnsi="Times New Roman" w:cs="Times New Roman"/>
          <w:color w:val="000000"/>
        </w:rPr>
        <w:t>e 2012 band plan</w:t>
      </w:r>
      <w:r>
        <w:rPr>
          <w:rFonts w:ascii="Times New Roman" w:hAnsi="Times New Roman" w:cs="Times New Roman"/>
          <w:color w:val="000000"/>
        </w:rPr>
        <w:t xml:space="preserve"> </w:t>
      </w:r>
      <w:r w:rsidR="00DF2B0F">
        <w:rPr>
          <w:rFonts w:ascii="Times New Roman" w:hAnsi="Times New Roman" w:cs="Times New Roman"/>
          <w:color w:val="000000"/>
        </w:rPr>
        <w:t>has been</w:t>
      </w:r>
      <w:r>
        <w:rPr>
          <w:rFonts w:ascii="Times New Roman" w:hAnsi="Times New Roman" w:cs="Times New Roman"/>
          <w:color w:val="000000"/>
        </w:rPr>
        <w:t xml:space="preserve"> revoked by the instrument.</w:t>
      </w:r>
    </w:p>
    <w:p w14:paraId="28473CFD" w14:textId="1AA94424" w:rsidR="00A01735" w:rsidRDefault="00A01735" w:rsidP="00A01735">
      <w:p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January 2021, the ACMA concluded a review of the 2 GHz band </w:t>
      </w:r>
      <w:r w:rsidRPr="008F7779">
        <w:rPr>
          <w:rFonts w:ascii="Times New Roman" w:hAnsi="Times New Roman" w:cs="Times New Roman"/>
          <w:color w:val="000000"/>
        </w:rPr>
        <w:t>(1980</w:t>
      </w:r>
      <w:r w:rsidR="00DF2B0F">
        <w:rPr>
          <w:rFonts w:ascii="Times New Roman" w:hAnsi="Times New Roman" w:cs="Times New Roman"/>
          <w:color w:val="000000"/>
        </w:rPr>
        <w:t xml:space="preserve"> MHz to </w:t>
      </w:r>
      <w:r w:rsidRPr="008F7779">
        <w:rPr>
          <w:rFonts w:ascii="Times New Roman" w:hAnsi="Times New Roman" w:cs="Times New Roman"/>
          <w:color w:val="000000"/>
        </w:rPr>
        <w:t xml:space="preserve">2010 </w:t>
      </w:r>
      <w:r>
        <w:rPr>
          <w:rFonts w:ascii="Times New Roman" w:hAnsi="Times New Roman" w:cs="Times New Roman"/>
          <w:color w:val="000000"/>
        </w:rPr>
        <w:t xml:space="preserve">MHz </w:t>
      </w:r>
      <w:r w:rsidRPr="008F7779">
        <w:rPr>
          <w:rFonts w:ascii="Times New Roman" w:hAnsi="Times New Roman" w:cs="Times New Roman"/>
          <w:color w:val="000000"/>
        </w:rPr>
        <w:t>and 2170</w:t>
      </w:r>
      <w:r w:rsidR="00DF2B0F">
        <w:rPr>
          <w:rFonts w:ascii="Times New Roman" w:hAnsi="Times New Roman" w:cs="Times New Roman"/>
          <w:color w:val="000000"/>
        </w:rPr>
        <w:t xml:space="preserve"> MHz to </w:t>
      </w:r>
      <w:r w:rsidRPr="008F7779">
        <w:rPr>
          <w:rFonts w:ascii="Times New Roman" w:hAnsi="Times New Roman" w:cs="Times New Roman"/>
          <w:color w:val="000000"/>
        </w:rPr>
        <w:t>2200</w:t>
      </w:r>
      <w:r>
        <w:rPr>
          <w:rFonts w:ascii="Times New Roman" w:hAnsi="Times New Roman" w:cs="Times New Roman"/>
          <w:color w:val="000000"/>
        </w:rPr>
        <w:t> </w:t>
      </w:r>
      <w:r w:rsidRPr="008F7779">
        <w:rPr>
          <w:rFonts w:ascii="Times New Roman" w:hAnsi="Times New Roman" w:cs="Times New Roman"/>
          <w:color w:val="000000"/>
        </w:rPr>
        <w:t>MHz)</w:t>
      </w:r>
      <w:r>
        <w:rPr>
          <w:rFonts w:ascii="Times New Roman" w:hAnsi="Times New Roman" w:cs="Times New Roman"/>
          <w:color w:val="000000"/>
        </w:rPr>
        <w:t xml:space="preserve"> with a decision to replan the band for mobile-satellite services. The 2 GHz band comprises a subset of frequency bands that were previously covered by the 2012 band plan</w:t>
      </w:r>
      <w:r w:rsidR="000F5E09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To make provision for the purposes for which these frequency bands may be used, the ACMA has made two new frequency band plans:</w:t>
      </w:r>
    </w:p>
    <w:p w14:paraId="4FFB7274" w14:textId="77777777" w:rsidR="00A01735" w:rsidRPr="00C13055" w:rsidRDefault="00A01735" w:rsidP="00A01735">
      <w:pPr>
        <w:pStyle w:val="ListParagraph"/>
        <w:numPr>
          <w:ilvl w:val="0"/>
          <w:numId w:val="44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C13055">
        <w:rPr>
          <w:rFonts w:ascii="Times New Roman" w:hAnsi="Times New Roman" w:cs="Times New Roman"/>
          <w:color w:val="000000"/>
        </w:rPr>
        <w:t xml:space="preserve">the </w:t>
      </w:r>
      <w:r w:rsidRPr="00C13055">
        <w:rPr>
          <w:rFonts w:ascii="Times New Roman" w:hAnsi="Times New Roman" w:cs="Times New Roman"/>
          <w:i/>
          <w:iCs/>
          <w:color w:val="000000"/>
        </w:rPr>
        <w:t>Radiocommunications (Mobile-Satellite Service) (1980–2010 MHz and 2170–2200 MHz) Frequency Band Plan 2022</w:t>
      </w:r>
      <w:r w:rsidRPr="00C13055">
        <w:rPr>
          <w:rFonts w:ascii="Times New Roman" w:hAnsi="Times New Roman" w:cs="Times New Roman"/>
          <w:color w:val="000000"/>
        </w:rPr>
        <w:t>, which deals with the 2 GHz band; and</w:t>
      </w:r>
    </w:p>
    <w:p w14:paraId="7C629CFC" w14:textId="44AC7ABF" w:rsidR="00A01735" w:rsidRPr="00315BCA" w:rsidRDefault="00A01735" w:rsidP="00A01735">
      <w:pPr>
        <w:pStyle w:val="ListParagraph"/>
        <w:numPr>
          <w:ilvl w:val="0"/>
          <w:numId w:val="44"/>
        </w:numPr>
        <w:shd w:val="clear" w:color="auto" w:fill="FFFFFF"/>
        <w:spacing w:line="235" w:lineRule="atLeast"/>
        <w:rPr>
          <w:rFonts w:ascii="Times New Roman" w:hAnsi="Times New Roman" w:cs="Times New Roman"/>
          <w:color w:val="000000"/>
        </w:rPr>
      </w:pPr>
      <w:r w:rsidRPr="00315BCA">
        <w:rPr>
          <w:rFonts w:ascii="Times New Roman" w:hAnsi="Times New Roman" w:cs="Times New Roman"/>
          <w:color w:val="000000"/>
        </w:rPr>
        <w:lastRenderedPageBreak/>
        <w:t>the</w:t>
      </w:r>
      <w:r>
        <w:rPr>
          <w:rFonts w:ascii="Times New Roman" w:hAnsi="Times New Roman" w:cs="Times New Roman"/>
          <w:color w:val="000000"/>
        </w:rPr>
        <w:t xml:space="preserve"> instrument</w:t>
      </w:r>
      <w:r w:rsidRPr="00315BCA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which </w:t>
      </w:r>
      <w:r w:rsidRPr="00315BCA">
        <w:rPr>
          <w:rFonts w:ascii="Times New Roman" w:hAnsi="Times New Roman" w:cs="Times New Roman"/>
          <w:color w:val="000000"/>
        </w:rPr>
        <w:t>deal</w:t>
      </w:r>
      <w:r>
        <w:rPr>
          <w:rFonts w:ascii="Times New Roman" w:hAnsi="Times New Roman" w:cs="Times New Roman"/>
          <w:color w:val="000000"/>
        </w:rPr>
        <w:t>s</w:t>
      </w:r>
      <w:r w:rsidRPr="00315BCA">
        <w:rPr>
          <w:rFonts w:ascii="Times New Roman" w:hAnsi="Times New Roman" w:cs="Times New Roman"/>
          <w:color w:val="000000"/>
        </w:rPr>
        <w:t xml:space="preserve"> with the remaining frequencies</w:t>
      </w:r>
      <w:r>
        <w:rPr>
          <w:rFonts w:ascii="Times New Roman" w:hAnsi="Times New Roman" w:cs="Times New Roman"/>
          <w:color w:val="000000"/>
        </w:rPr>
        <w:t xml:space="preserve">, namely </w:t>
      </w:r>
      <w:r w:rsidRPr="0094505A">
        <w:rPr>
          <w:rFonts w:ascii="Times New Roman" w:hAnsi="Times New Roman" w:cs="Times New Roman"/>
          <w:color w:val="000000"/>
        </w:rPr>
        <w:t>2010</w:t>
      </w:r>
      <w:r w:rsidR="00DF2B0F">
        <w:rPr>
          <w:rFonts w:ascii="Times New Roman" w:hAnsi="Times New Roman" w:cs="Times New Roman"/>
          <w:color w:val="000000"/>
        </w:rPr>
        <w:t xml:space="preserve"> MHz to </w:t>
      </w:r>
      <w:r w:rsidRPr="0094505A">
        <w:rPr>
          <w:rFonts w:ascii="Times New Roman" w:hAnsi="Times New Roman" w:cs="Times New Roman"/>
          <w:color w:val="000000"/>
        </w:rPr>
        <w:t>2110 MHz and 2200</w:t>
      </w:r>
      <w:r w:rsidR="00DF2B0F">
        <w:rPr>
          <w:rFonts w:ascii="Times New Roman" w:hAnsi="Times New Roman" w:cs="Times New Roman"/>
          <w:color w:val="000000"/>
        </w:rPr>
        <w:t xml:space="preserve"> MHz to </w:t>
      </w:r>
      <w:r w:rsidRPr="0094505A">
        <w:rPr>
          <w:rFonts w:ascii="Times New Roman" w:hAnsi="Times New Roman" w:cs="Times New Roman"/>
          <w:color w:val="000000"/>
        </w:rPr>
        <w:t>2300</w:t>
      </w:r>
      <w:r>
        <w:rPr>
          <w:rFonts w:ascii="Times New Roman" w:hAnsi="Times New Roman" w:cs="Times New Roman"/>
          <w:color w:val="000000"/>
        </w:rPr>
        <w:t> </w:t>
      </w:r>
      <w:r w:rsidRPr="0094505A">
        <w:rPr>
          <w:rFonts w:ascii="Times New Roman" w:hAnsi="Times New Roman" w:cs="Times New Roman"/>
          <w:color w:val="000000"/>
        </w:rPr>
        <w:t>MHz</w:t>
      </w:r>
      <w:r>
        <w:rPr>
          <w:rFonts w:ascii="Times New Roman" w:hAnsi="Times New Roman" w:cs="Times New Roman"/>
          <w:color w:val="000000"/>
        </w:rPr>
        <w:t xml:space="preserve"> (</w:t>
      </w:r>
      <w:r w:rsidRPr="0072553F">
        <w:rPr>
          <w:rFonts w:ascii="Times New Roman" w:hAnsi="Times New Roman" w:cs="Times New Roman"/>
          <w:b/>
          <w:bCs/>
          <w:color w:val="000000"/>
        </w:rPr>
        <w:t>the TOB band</w:t>
      </w:r>
      <w:r>
        <w:rPr>
          <w:rFonts w:ascii="Times New Roman" w:hAnsi="Times New Roman" w:cs="Times New Roman"/>
          <w:color w:val="000000"/>
        </w:rPr>
        <w:t>),</w:t>
      </w:r>
      <w:r w:rsidRPr="0094505A">
        <w:rPr>
          <w:rFonts w:ascii="Times New Roman" w:hAnsi="Times New Roman" w:cs="Times New Roman"/>
          <w:color w:val="000000"/>
        </w:rPr>
        <w:t xml:space="preserve"> </w:t>
      </w:r>
      <w:r w:rsidRPr="00315BCA">
        <w:rPr>
          <w:rFonts w:ascii="Times New Roman" w:hAnsi="Times New Roman" w:cs="Times New Roman"/>
          <w:color w:val="000000"/>
        </w:rPr>
        <w:t xml:space="preserve">which </w:t>
      </w:r>
      <w:r>
        <w:rPr>
          <w:rFonts w:ascii="Times New Roman" w:hAnsi="Times New Roman" w:cs="Times New Roman"/>
          <w:color w:val="000000"/>
        </w:rPr>
        <w:t>were</w:t>
      </w:r>
      <w:r w:rsidRPr="00315BCA">
        <w:rPr>
          <w:rFonts w:ascii="Times New Roman" w:hAnsi="Times New Roman" w:cs="Times New Roman"/>
          <w:color w:val="000000"/>
        </w:rPr>
        <w:t xml:space="preserve"> not </w:t>
      </w:r>
      <w:r>
        <w:rPr>
          <w:rFonts w:ascii="Times New Roman" w:hAnsi="Times New Roman" w:cs="Times New Roman"/>
          <w:color w:val="000000"/>
        </w:rPr>
        <w:t xml:space="preserve">part of the review of the </w:t>
      </w:r>
      <w:r w:rsidRPr="00315BC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 </w:t>
      </w:r>
      <w:r w:rsidRPr="00315BCA">
        <w:rPr>
          <w:rFonts w:ascii="Times New Roman" w:hAnsi="Times New Roman" w:cs="Times New Roman"/>
          <w:color w:val="000000"/>
        </w:rPr>
        <w:t>GHz band</w:t>
      </w:r>
      <w:r>
        <w:rPr>
          <w:rFonts w:ascii="Times New Roman" w:hAnsi="Times New Roman" w:cs="Times New Roman"/>
          <w:color w:val="000000"/>
        </w:rPr>
        <w:t>.</w:t>
      </w:r>
    </w:p>
    <w:p w14:paraId="2A5B9DFE" w14:textId="548AEFA4" w:rsidR="00180B8B" w:rsidRDefault="00A01735" w:rsidP="00A01735">
      <w:pPr>
        <w:rPr>
          <w:rFonts w:ascii="Times New Roman" w:hAnsi="Times New Roman" w:cs="Times New Roman"/>
        </w:rPr>
      </w:pPr>
      <w:r w:rsidRPr="00B84D6D">
        <w:rPr>
          <w:rFonts w:ascii="Times New Roman" w:hAnsi="Times New Roman" w:cs="Times New Roman"/>
          <w:color w:val="000000"/>
        </w:rPr>
        <w:t xml:space="preserve">The </w:t>
      </w:r>
      <w:r w:rsidR="004D7EBA">
        <w:rPr>
          <w:rFonts w:ascii="Times New Roman" w:hAnsi="Times New Roman" w:cs="Times New Roman"/>
          <w:color w:val="000000"/>
        </w:rPr>
        <w:t xml:space="preserve">principal </w:t>
      </w:r>
      <w:r>
        <w:rPr>
          <w:rFonts w:ascii="Times New Roman" w:hAnsi="Times New Roman" w:cs="Times New Roman"/>
          <w:color w:val="000000"/>
        </w:rPr>
        <w:t>purpose of the instrument is to support the television outside broadcasting</w:t>
      </w:r>
      <w:r w:rsidRPr="00B84D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b/>
          <w:bCs/>
          <w:color w:val="000000"/>
        </w:rPr>
        <w:t>TOB</w:t>
      </w:r>
      <w:r w:rsidRPr="00530223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B84D6D">
        <w:rPr>
          <w:rFonts w:ascii="Times New Roman" w:hAnsi="Times New Roman" w:cs="Times New Roman"/>
          <w:color w:val="000000"/>
        </w:rPr>
        <w:t xml:space="preserve">operations of the free-to-air </w:t>
      </w:r>
      <w:r>
        <w:rPr>
          <w:rFonts w:ascii="Times New Roman" w:hAnsi="Times New Roman" w:cs="Times New Roman"/>
          <w:color w:val="000000"/>
        </w:rPr>
        <w:t xml:space="preserve">and subscription television </w:t>
      </w:r>
      <w:r w:rsidRPr="00B84D6D">
        <w:rPr>
          <w:rFonts w:ascii="Times New Roman" w:hAnsi="Times New Roman" w:cs="Times New Roman"/>
          <w:color w:val="000000"/>
        </w:rPr>
        <w:t>broadcasters</w:t>
      </w:r>
      <w:r w:rsidR="00DF2B0F">
        <w:rPr>
          <w:rFonts w:ascii="Times New Roman" w:hAnsi="Times New Roman" w:cs="Times New Roman"/>
          <w:color w:val="000000"/>
        </w:rPr>
        <w:t xml:space="preserve"> in the TOB band</w:t>
      </w:r>
      <w:r>
        <w:rPr>
          <w:rFonts w:ascii="Times New Roman" w:hAnsi="Times New Roman" w:cs="Times New Roman"/>
          <w:color w:val="000000"/>
        </w:rPr>
        <w:t>.</w:t>
      </w:r>
      <w:r w:rsidRPr="00B84D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The instrument provides for </w:t>
      </w:r>
      <w:r w:rsidRPr="00047C7E">
        <w:rPr>
          <w:rFonts w:ascii="Times New Roman" w:hAnsi="Times New Roman" w:cs="Times New Roman"/>
          <w:color w:val="000000"/>
        </w:rPr>
        <w:t xml:space="preserve">the same arrangements for </w:t>
      </w:r>
      <w:r>
        <w:rPr>
          <w:rFonts w:ascii="Times New Roman" w:hAnsi="Times New Roman" w:cs="Times New Roman"/>
          <w:color w:val="000000"/>
        </w:rPr>
        <w:t>the TOB band</w:t>
      </w:r>
      <w:r w:rsidRPr="00047C7E">
        <w:rPr>
          <w:rFonts w:ascii="Times New Roman" w:hAnsi="Times New Roman" w:cs="Times New Roman"/>
          <w:color w:val="000000"/>
        </w:rPr>
        <w:t xml:space="preserve"> as </w:t>
      </w:r>
      <w:r w:rsidR="008D0A43">
        <w:rPr>
          <w:rFonts w:ascii="Times New Roman" w:hAnsi="Times New Roman" w:cs="Times New Roman"/>
          <w:color w:val="000000"/>
        </w:rPr>
        <w:t>specified</w:t>
      </w:r>
      <w:r w:rsidRPr="00047C7E">
        <w:rPr>
          <w:rFonts w:ascii="Times New Roman" w:hAnsi="Times New Roman" w:cs="Times New Roman"/>
          <w:color w:val="000000"/>
        </w:rPr>
        <w:t xml:space="preserve"> in the </w:t>
      </w:r>
      <w:r>
        <w:rPr>
          <w:rFonts w:ascii="Times New Roman" w:hAnsi="Times New Roman" w:cs="Times New Roman"/>
          <w:color w:val="000000"/>
        </w:rPr>
        <w:t>2012 band plan</w:t>
      </w:r>
      <w:r w:rsidRPr="00047C7E">
        <w:rPr>
          <w:rFonts w:ascii="Times New Roman" w:hAnsi="Times New Roman" w:cs="Times New Roman"/>
          <w:color w:val="000000"/>
        </w:rPr>
        <w:t>.</w:t>
      </w:r>
    </w:p>
    <w:p w14:paraId="4FF8151A" w14:textId="77777777" w:rsidR="000B09BA" w:rsidRDefault="000B09BA" w:rsidP="000B09B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7B4E7064" w14:textId="77777777" w:rsidR="000B09BA" w:rsidRDefault="000B09BA" w:rsidP="000B0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the instrument is compatible with human rights, being the rights and freedoms recognised or declared by the international instruments listed in subsection 3(1)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as they apply to Australia. </w:t>
      </w:r>
    </w:p>
    <w:p w14:paraId="0B3AA664" w14:textId="77777777" w:rsidR="000B09BA" w:rsidRDefault="000B09BA" w:rsidP="000B09BA">
      <w:pPr>
        <w:rPr>
          <w:rFonts w:ascii="Times New Roman" w:hAnsi="Times New Roman" w:cs="Times New Roman"/>
        </w:rPr>
      </w:pPr>
      <w:r w:rsidRPr="00A03405">
        <w:rPr>
          <w:rFonts w:ascii="Times New Roman" w:hAnsi="Times New Roman" w:cs="Times New Roman"/>
        </w:rPr>
        <w:t xml:space="preserve">Having considered the likely impact of the instrument and the nature of the applicable rights and freedoms, the ACMA has formed the view that the instrument </w:t>
      </w:r>
      <w:r w:rsidRPr="00A213A8">
        <w:rPr>
          <w:rFonts w:ascii="Times New Roman" w:hAnsi="Times New Roman" w:cs="Times New Roman"/>
        </w:rPr>
        <w:t xml:space="preserve">does not engage any of </w:t>
      </w:r>
      <w:r>
        <w:rPr>
          <w:rFonts w:ascii="Times New Roman" w:hAnsi="Times New Roman" w:cs="Times New Roman"/>
        </w:rPr>
        <w:t>those rights or freedoms</w:t>
      </w:r>
      <w:r w:rsidRPr="00A213A8">
        <w:rPr>
          <w:rFonts w:ascii="Times New Roman" w:hAnsi="Times New Roman" w:cs="Times New Roman"/>
        </w:rPr>
        <w:t>.</w:t>
      </w:r>
    </w:p>
    <w:p w14:paraId="5B7C7E81" w14:textId="77777777" w:rsidR="00334F56" w:rsidRDefault="00334F56" w:rsidP="00334F5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Conclusion</w:t>
      </w:r>
    </w:p>
    <w:p w14:paraId="5F0F041F" w14:textId="0903967D" w:rsidR="004D7AF7" w:rsidRDefault="00334F56" w:rsidP="00334F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instrument is compatible with human rights as it does not raise any human rights issues.</w:t>
      </w:r>
      <w:r w:rsidR="004D7AF7">
        <w:rPr>
          <w:rFonts w:ascii="Times New Roman" w:hAnsi="Times New Roman" w:cs="Times New Roman"/>
          <w:b/>
        </w:rPr>
        <w:br w:type="page"/>
      </w:r>
    </w:p>
    <w:p w14:paraId="5E1E07A1" w14:textId="77777777" w:rsidR="004D7AF7" w:rsidRDefault="004D7AF7" w:rsidP="004D7A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41179AAF" w14:textId="07139AED" w:rsidR="004D7AF7" w:rsidRPr="00F07165" w:rsidRDefault="004D7AF7" w:rsidP="004D7AF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Notes to the </w:t>
      </w:r>
      <w:r w:rsidR="00C260C9" w:rsidRPr="00C260C9">
        <w:rPr>
          <w:rFonts w:ascii="Times New Roman" w:hAnsi="Times New Roman" w:cs="Times New Roman"/>
          <w:b/>
          <w:i/>
          <w:sz w:val="28"/>
          <w:szCs w:val="28"/>
        </w:rPr>
        <w:t>Radiocommunications (Television Outside Broadcasting) (2010–2110 MHz and 2200–2300 MHz) Frequency Band Plan 2022</w:t>
      </w:r>
    </w:p>
    <w:p w14:paraId="4195F454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30CB22AB" w14:textId="49C8B646" w:rsidR="004D7AF7" w:rsidRPr="00F07165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be </w:t>
      </w:r>
      <w:r w:rsidRPr="00F07165">
        <w:rPr>
          <w:rFonts w:ascii="Times New Roman" w:hAnsi="Times New Roman" w:cs="Times New Roman"/>
        </w:rPr>
        <w:t xml:space="preserve">cited as the </w:t>
      </w:r>
      <w:r w:rsidR="006F0192" w:rsidRPr="006F0192">
        <w:rPr>
          <w:rFonts w:ascii="Times New Roman" w:hAnsi="Times New Roman" w:cs="Times New Roman"/>
          <w:i/>
          <w:iCs/>
        </w:rPr>
        <w:t>Radiocommunications (</w:t>
      </w:r>
      <w:r w:rsidR="008C332C">
        <w:rPr>
          <w:rFonts w:ascii="Times New Roman" w:hAnsi="Times New Roman" w:cs="Times New Roman"/>
          <w:i/>
          <w:iCs/>
        </w:rPr>
        <w:t>Television Outside Broadcasting</w:t>
      </w:r>
      <w:r w:rsidR="006F0192" w:rsidRPr="006F0192">
        <w:rPr>
          <w:rFonts w:ascii="Times New Roman" w:hAnsi="Times New Roman" w:cs="Times New Roman"/>
          <w:i/>
          <w:iCs/>
        </w:rPr>
        <w:t>) (2010</w:t>
      </w:r>
      <w:r w:rsidR="008C332C">
        <w:rPr>
          <w:rFonts w:ascii="Times New Roman" w:hAnsi="Times New Roman" w:cs="Times New Roman"/>
          <w:i/>
          <w:iCs/>
        </w:rPr>
        <w:t>–2110</w:t>
      </w:r>
      <w:r w:rsidR="006F0192" w:rsidRPr="006F0192">
        <w:rPr>
          <w:rFonts w:ascii="Times New Roman" w:hAnsi="Times New Roman" w:cs="Times New Roman"/>
          <w:i/>
          <w:iCs/>
        </w:rPr>
        <w:t xml:space="preserve"> MHz and 2200</w:t>
      </w:r>
      <w:r w:rsidR="008C332C">
        <w:rPr>
          <w:rFonts w:ascii="Times New Roman" w:hAnsi="Times New Roman" w:cs="Times New Roman"/>
          <w:i/>
          <w:iCs/>
        </w:rPr>
        <w:t>–2300</w:t>
      </w:r>
      <w:r w:rsidR="006F0192" w:rsidRPr="006F0192">
        <w:rPr>
          <w:rFonts w:ascii="Times New Roman" w:hAnsi="Times New Roman" w:cs="Times New Roman"/>
          <w:i/>
          <w:iCs/>
        </w:rPr>
        <w:t xml:space="preserve"> MHz) Frequency Band Plan 2022</w:t>
      </w:r>
      <w:r w:rsidRPr="00404EAE">
        <w:rPr>
          <w:rFonts w:ascii="Times New Roman" w:hAnsi="Times New Roman" w:cs="Times New Roman"/>
        </w:rPr>
        <w:t>.</w:t>
      </w:r>
    </w:p>
    <w:p w14:paraId="7BFDC007" w14:textId="77777777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50BCB870" w14:textId="3C9BC95D" w:rsidR="004D7AF7" w:rsidRDefault="00D122DC" w:rsidP="004D7AF7">
      <w:pPr>
        <w:rPr>
          <w:rFonts w:ascii="Times New Roman" w:hAnsi="Times New Roman" w:cs="Times New Roman"/>
        </w:rPr>
      </w:pPr>
      <w:r w:rsidRPr="00D122DC">
        <w:rPr>
          <w:rFonts w:ascii="Times New Roman" w:hAnsi="Times New Roman" w:cs="Times New Roman"/>
        </w:rPr>
        <w:t>This section provides for the instrument to commence at the start of the day after the day it is registered on the Federal Register of Legislation</w:t>
      </w:r>
      <w:r w:rsidR="004D7AF7" w:rsidRPr="00404EAE">
        <w:rPr>
          <w:rFonts w:ascii="Times New Roman" w:hAnsi="Times New Roman" w:cs="Times New Roman"/>
        </w:rPr>
        <w:t>.</w:t>
      </w:r>
      <w:r w:rsidR="004D7AF7">
        <w:rPr>
          <w:rFonts w:ascii="Times New Roman" w:hAnsi="Times New Roman" w:cs="Times New Roman"/>
        </w:rPr>
        <w:t xml:space="preserve">  </w:t>
      </w:r>
    </w:p>
    <w:p w14:paraId="72FC901A" w14:textId="7015E771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</w:r>
      <w:r w:rsidR="00BD1447">
        <w:rPr>
          <w:rFonts w:ascii="Times New Roman" w:hAnsi="Times New Roman" w:cs="Times New Roman"/>
          <w:b/>
        </w:rPr>
        <w:t>Revocation</w:t>
      </w:r>
    </w:p>
    <w:p w14:paraId="5E313978" w14:textId="7309CED8" w:rsidR="004D7AF7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</w:t>
      </w:r>
      <w:r w:rsidR="00BD1447">
        <w:rPr>
          <w:rFonts w:ascii="Times New Roman" w:hAnsi="Times New Roman" w:cs="Times New Roman"/>
        </w:rPr>
        <w:t xml:space="preserve">revokes the </w:t>
      </w:r>
      <w:r w:rsidR="006B20C2" w:rsidRPr="006B20C2">
        <w:rPr>
          <w:rFonts w:ascii="Times New Roman" w:hAnsi="Times New Roman" w:cs="Times New Roman"/>
          <w:i/>
          <w:iCs/>
        </w:rPr>
        <w:t>Television Outside Broadcast Service (1980–2110 MHz and 2170–2300 MHz) Frequency Band Plan 2012</w:t>
      </w:r>
      <w:r>
        <w:rPr>
          <w:rFonts w:ascii="Times New Roman" w:hAnsi="Times New Roman" w:cs="Times New Roman"/>
        </w:rPr>
        <w:t>.</w:t>
      </w:r>
    </w:p>
    <w:p w14:paraId="4AE96F70" w14:textId="73E96693" w:rsidR="00BD1447" w:rsidRDefault="00BD1447" w:rsidP="00BD14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6B20C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ab/>
        <w:t>Authority</w:t>
      </w:r>
    </w:p>
    <w:p w14:paraId="7864F333" w14:textId="77777777" w:rsidR="00BD1447" w:rsidRDefault="00BD1447" w:rsidP="00BD1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identifies the provision of the Act that authorises the making of the instrument, namely section 32(1) of the Act.</w:t>
      </w:r>
    </w:p>
    <w:p w14:paraId="21768C88" w14:textId="140CA8CA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6B20C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  <w:t>Interpretation</w:t>
      </w:r>
    </w:p>
    <w:p w14:paraId="239FC5F8" w14:textId="720FCB16" w:rsidR="004D7AF7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defines a number of key terms used throughout the instrument</w:t>
      </w:r>
      <w:r w:rsidR="00486E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 number of other expressions used in the instrument are defined in the Act or in an instrument made under subsection 64(1) of the </w:t>
      </w:r>
      <w:r>
        <w:rPr>
          <w:rFonts w:ascii="Times New Roman" w:hAnsi="Times New Roman" w:cs="Times New Roman"/>
          <w:i/>
          <w:iCs/>
        </w:rPr>
        <w:t>Australian Communications and Media Authority Act 2005</w:t>
      </w:r>
      <w:r>
        <w:rPr>
          <w:rFonts w:ascii="Times New Roman" w:hAnsi="Times New Roman" w:cs="Times New Roman"/>
        </w:rPr>
        <w:t>.</w:t>
      </w:r>
    </w:p>
    <w:p w14:paraId="437A6D72" w14:textId="490D6408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6B20C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ab/>
        <w:t>References to other instruments</w:t>
      </w:r>
    </w:p>
    <w:p w14:paraId="4AC58AA7" w14:textId="77777777" w:rsidR="004D7AF7" w:rsidRDefault="004D7AF7" w:rsidP="004D7AF7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provides that in the instrument, unless the contrary intention appears:</w:t>
      </w:r>
    </w:p>
    <w:p w14:paraId="1764F326" w14:textId="77777777" w:rsidR="004D7AF7" w:rsidRDefault="004D7AF7" w:rsidP="004D7A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reference to any other legislative instrument is a reference to that other legislative instrument as in force from time to time; and</w:t>
      </w:r>
    </w:p>
    <w:p w14:paraId="16D0C16A" w14:textId="77777777" w:rsidR="004D7AF7" w:rsidRDefault="004D7AF7" w:rsidP="004D7A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reference to any other kind of instrument or writing is a reference to that other instrument or writing as in force, or existing, from time to time.</w:t>
      </w:r>
    </w:p>
    <w:p w14:paraId="6198B35B" w14:textId="09701420" w:rsidR="004D7AF7" w:rsidRDefault="004D7AF7" w:rsidP="004D7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4E1D4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</w:r>
      <w:r w:rsidR="00C57DFB" w:rsidRPr="00C57DFB">
        <w:rPr>
          <w:rFonts w:ascii="Times New Roman" w:hAnsi="Times New Roman" w:cs="Times New Roman"/>
          <w:b/>
        </w:rPr>
        <w:t>Purpose</w:t>
      </w:r>
      <w:r w:rsidR="00CF668E">
        <w:rPr>
          <w:rFonts w:ascii="Times New Roman" w:hAnsi="Times New Roman" w:cs="Times New Roman"/>
          <w:b/>
        </w:rPr>
        <w:t>s</w:t>
      </w:r>
      <w:r w:rsidR="00C57DFB" w:rsidRPr="00C57DFB">
        <w:rPr>
          <w:rFonts w:ascii="Times New Roman" w:hAnsi="Times New Roman" w:cs="Times New Roman"/>
          <w:b/>
        </w:rPr>
        <w:t xml:space="preserve"> of </w:t>
      </w:r>
      <w:r w:rsidR="00311561">
        <w:rPr>
          <w:rFonts w:ascii="Times New Roman" w:hAnsi="Times New Roman" w:cs="Times New Roman"/>
          <w:b/>
        </w:rPr>
        <w:t xml:space="preserve">the </w:t>
      </w:r>
      <w:r w:rsidR="00A97810" w:rsidRPr="00A97810">
        <w:rPr>
          <w:rFonts w:ascii="Times New Roman" w:hAnsi="Times New Roman" w:cs="Times New Roman"/>
          <w:b/>
        </w:rPr>
        <w:t xml:space="preserve">2010–2110 </w:t>
      </w:r>
      <w:r w:rsidR="00A6777F">
        <w:rPr>
          <w:rFonts w:ascii="Times New Roman" w:hAnsi="Times New Roman" w:cs="Times New Roman"/>
          <w:b/>
        </w:rPr>
        <w:t xml:space="preserve">MHz </w:t>
      </w:r>
      <w:r w:rsidR="00311561">
        <w:rPr>
          <w:rFonts w:ascii="Times New Roman" w:hAnsi="Times New Roman" w:cs="Times New Roman"/>
          <w:b/>
        </w:rPr>
        <w:t xml:space="preserve">and </w:t>
      </w:r>
      <w:r w:rsidR="00A6777F" w:rsidRPr="00A6777F">
        <w:rPr>
          <w:rFonts w:ascii="Times New Roman" w:hAnsi="Times New Roman" w:cs="Times New Roman"/>
          <w:b/>
        </w:rPr>
        <w:t xml:space="preserve">2200–2300 </w:t>
      </w:r>
      <w:r w:rsidR="00C57DFB" w:rsidRPr="00C57DFB">
        <w:rPr>
          <w:rFonts w:ascii="Times New Roman" w:hAnsi="Times New Roman" w:cs="Times New Roman"/>
          <w:b/>
        </w:rPr>
        <w:t>MHz frequency bands</w:t>
      </w:r>
    </w:p>
    <w:p w14:paraId="3A259E93" w14:textId="4EAD5E0B" w:rsidR="004D7AF7" w:rsidRDefault="004D7AF7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</w:t>
      </w:r>
      <w:r w:rsidR="00E22D8C">
        <w:rPr>
          <w:rFonts w:ascii="Times New Roman" w:hAnsi="Times New Roman" w:cs="Times New Roman"/>
        </w:rPr>
        <w:t xml:space="preserve">specifies the purposes for which the </w:t>
      </w:r>
      <w:r w:rsidR="00BF34C6" w:rsidRPr="00BF34C6">
        <w:rPr>
          <w:rFonts w:ascii="Times New Roman" w:hAnsi="Times New Roman" w:cs="Times New Roman"/>
        </w:rPr>
        <w:t>2010</w:t>
      </w:r>
      <w:r w:rsidR="00C668C6">
        <w:rPr>
          <w:rFonts w:ascii="Times New Roman" w:hAnsi="Times New Roman" w:cs="Times New Roman"/>
        </w:rPr>
        <w:t xml:space="preserve"> MHz to </w:t>
      </w:r>
      <w:r w:rsidR="00BF34C6" w:rsidRPr="00BF34C6">
        <w:rPr>
          <w:rFonts w:ascii="Times New Roman" w:hAnsi="Times New Roman" w:cs="Times New Roman"/>
        </w:rPr>
        <w:t xml:space="preserve">2110 MHz </w:t>
      </w:r>
      <w:r w:rsidR="004E1D41" w:rsidRPr="004E1D41">
        <w:rPr>
          <w:rFonts w:ascii="Times New Roman" w:hAnsi="Times New Roman" w:cs="Times New Roman"/>
        </w:rPr>
        <w:t>and 2200</w:t>
      </w:r>
      <w:r w:rsidR="00C668C6">
        <w:rPr>
          <w:rFonts w:ascii="Times New Roman" w:hAnsi="Times New Roman" w:cs="Times New Roman"/>
        </w:rPr>
        <w:t xml:space="preserve"> MHz to </w:t>
      </w:r>
      <w:r w:rsidR="00C668C6" w:rsidRPr="004E1D41">
        <w:rPr>
          <w:rFonts w:ascii="Times New Roman" w:hAnsi="Times New Roman" w:cs="Times New Roman"/>
        </w:rPr>
        <w:t>2300</w:t>
      </w:r>
      <w:r w:rsidR="00C668C6">
        <w:rPr>
          <w:rFonts w:ascii="Times New Roman" w:hAnsi="Times New Roman" w:cs="Times New Roman"/>
        </w:rPr>
        <w:t> </w:t>
      </w:r>
      <w:r w:rsidR="004E1D41" w:rsidRPr="004E1D41">
        <w:rPr>
          <w:rFonts w:ascii="Times New Roman" w:hAnsi="Times New Roman" w:cs="Times New Roman"/>
        </w:rPr>
        <w:t xml:space="preserve">MHz </w:t>
      </w:r>
      <w:r w:rsidR="005B0773" w:rsidRPr="005B0773">
        <w:rPr>
          <w:rFonts w:ascii="Times New Roman" w:hAnsi="Times New Roman" w:cs="Times New Roman"/>
        </w:rPr>
        <w:t>frequency bands</w:t>
      </w:r>
      <w:r w:rsidR="005B0773">
        <w:rPr>
          <w:rFonts w:ascii="Times New Roman" w:hAnsi="Times New Roman" w:cs="Times New Roman"/>
        </w:rPr>
        <w:t xml:space="preserve"> may be used. </w:t>
      </w:r>
    </w:p>
    <w:p w14:paraId="7AB63FA2" w14:textId="6BFDA037" w:rsidR="004E1D41" w:rsidRDefault="004E1D41" w:rsidP="004D7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7(1) specifies that the band </w:t>
      </w:r>
      <w:r w:rsidR="00323D9B" w:rsidRPr="00323D9B">
        <w:rPr>
          <w:rFonts w:ascii="Times New Roman" w:hAnsi="Times New Roman" w:cs="Times New Roman"/>
        </w:rPr>
        <w:t>2010</w:t>
      </w:r>
      <w:r w:rsidR="008F2B37">
        <w:rPr>
          <w:rFonts w:ascii="Times New Roman" w:hAnsi="Times New Roman" w:cs="Times New Roman"/>
        </w:rPr>
        <w:t xml:space="preserve"> MHz to </w:t>
      </w:r>
      <w:r w:rsidR="00323D9B" w:rsidRPr="00323D9B">
        <w:rPr>
          <w:rFonts w:ascii="Times New Roman" w:hAnsi="Times New Roman" w:cs="Times New Roman"/>
        </w:rPr>
        <w:t>2110 MHz</w:t>
      </w:r>
      <w:r w:rsidR="00323D9B">
        <w:rPr>
          <w:rFonts w:ascii="Times New Roman" w:hAnsi="Times New Roman" w:cs="Times New Roman"/>
        </w:rPr>
        <w:t xml:space="preserve"> may be used for</w:t>
      </w:r>
      <w:r w:rsidR="004E49E0">
        <w:rPr>
          <w:rFonts w:ascii="Times New Roman" w:hAnsi="Times New Roman" w:cs="Times New Roman"/>
        </w:rPr>
        <w:t xml:space="preserve"> the purposes of</w:t>
      </w:r>
      <w:r w:rsidR="008638C0">
        <w:rPr>
          <w:rFonts w:ascii="Times New Roman" w:hAnsi="Times New Roman" w:cs="Times New Roman"/>
        </w:rPr>
        <w:t>:</w:t>
      </w:r>
    </w:p>
    <w:p w14:paraId="33AE026C" w14:textId="77777777" w:rsidR="00921DAA" w:rsidRPr="00921DAA" w:rsidRDefault="00921DAA" w:rsidP="00921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1DAA">
        <w:rPr>
          <w:rFonts w:ascii="Times New Roman" w:hAnsi="Times New Roman" w:cs="Times New Roman"/>
        </w:rPr>
        <w:t>a television outside broadcast service;</w:t>
      </w:r>
    </w:p>
    <w:p w14:paraId="359FA627" w14:textId="241F195C" w:rsidR="00921DAA" w:rsidRPr="00921DAA" w:rsidRDefault="00921DAA" w:rsidP="00921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1DAA">
        <w:rPr>
          <w:rFonts w:ascii="Times New Roman" w:hAnsi="Times New Roman" w:cs="Times New Roman"/>
        </w:rPr>
        <w:t>a fixed service (point to point)</w:t>
      </w:r>
      <w:r w:rsidR="008B54D0">
        <w:rPr>
          <w:rFonts w:ascii="Times New Roman" w:hAnsi="Times New Roman" w:cs="Times New Roman"/>
        </w:rPr>
        <w:t>, subject to the provisions in section 8 of the instrument</w:t>
      </w:r>
      <w:r w:rsidRPr="00921DAA">
        <w:rPr>
          <w:rFonts w:ascii="Times New Roman" w:hAnsi="Times New Roman" w:cs="Times New Roman"/>
        </w:rPr>
        <w:t>;</w:t>
      </w:r>
    </w:p>
    <w:p w14:paraId="48B5F37E" w14:textId="1ADD7B9B" w:rsidR="00921DAA" w:rsidRPr="00921DAA" w:rsidRDefault="00921DAA" w:rsidP="00921D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1DAA">
        <w:rPr>
          <w:rFonts w:ascii="Times New Roman" w:hAnsi="Times New Roman" w:cs="Times New Roman"/>
        </w:rPr>
        <w:t>the operation of an earth station in the 2025 MHz to 2110 MHz frequency band</w:t>
      </w:r>
      <w:r w:rsidR="00FF0DE9">
        <w:rPr>
          <w:rFonts w:ascii="Times New Roman" w:hAnsi="Times New Roman" w:cs="Times New Roman"/>
        </w:rPr>
        <w:t>, subject to the provisions in section 9 of the instrument</w:t>
      </w:r>
      <w:r w:rsidRPr="00921DAA">
        <w:rPr>
          <w:rFonts w:ascii="Times New Roman" w:hAnsi="Times New Roman" w:cs="Times New Roman"/>
        </w:rPr>
        <w:t xml:space="preserve">; </w:t>
      </w:r>
      <w:r w:rsidR="00F04AA8">
        <w:rPr>
          <w:rFonts w:ascii="Times New Roman" w:hAnsi="Times New Roman" w:cs="Times New Roman"/>
        </w:rPr>
        <w:t>and</w:t>
      </w:r>
    </w:p>
    <w:p w14:paraId="1E23DC71" w14:textId="7E6EEBFA" w:rsidR="00E65260" w:rsidRDefault="000E7121" w:rsidP="00E652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other service mentioned in the spectrum plan for </w:t>
      </w:r>
      <w:r w:rsidR="00921DAA" w:rsidRPr="00921DAA">
        <w:rPr>
          <w:rFonts w:ascii="Times New Roman" w:hAnsi="Times New Roman" w:cs="Times New Roman"/>
        </w:rPr>
        <w:t>the entire frequency band</w:t>
      </w:r>
      <w:r w:rsidR="003C05DF">
        <w:rPr>
          <w:rFonts w:ascii="Times New Roman" w:hAnsi="Times New Roman" w:cs="Times New Roman"/>
        </w:rPr>
        <w:t xml:space="preserve"> or part of the </w:t>
      </w:r>
      <w:r w:rsidR="00A40308">
        <w:rPr>
          <w:rFonts w:ascii="Times New Roman" w:hAnsi="Times New Roman" w:cs="Times New Roman"/>
        </w:rPr>
        <w:t>frequency band.</w:t>
      </w:r>
    </w:p>
    <w:p w14:paraId="3F696821" w14:textId="7BF83E1C" w:rsidR="007E3E24" w:rsidRDefault="007E3E24" w:rsidP="00276BD1">
      <w:pPr>
        <w:keepNext/>
        <w:spacing w:line="257" w:lineRule="auto"/>
        <w:rPr>
          <w:rFonts w:ascii="Times New Roman" w:hAnsi="Times New Roman" w:cs="Times New Roman"/>
        </w:rPr>
      </w:pPr>
      <w:r w:rsidRPr="007E3E24">
        <w:rPr>
          <w:rFonts w:ascii="Times New Roman" w:hAnsi="Times New Roman" w:cs="Times New Roman"/>
        </w:rPr>
        <w:lastRenderedPageBreak/>
        <w:t>Subsection 7(</w:t>
      </w:r>
      <w:r w:rsidR="001457A0">
        <w:rPr>
          <w:rFonts w:ascii="Times New Roman" w:hAnsi="Times New Roman" w:cs="Times New Roman"/>
        </w:rPr>
        <w:t>2</w:t>
      </w:r>
      <w:r w:rsidRPr="007E3E24">
        <w:rPr>
          <w:rFonts w:ascii="Times New Roman" w:hAnsi="Times New Roman" w:cs="Times New Roman"/>
        </w:rPr>
        <w:t>) specifies that the band 2</w:t>
      </w:r>
      <w:r w:rsidR="001457A0">
        <w:rPr>
          <w:rFonts w:ascii="Times New Roman" w:hAnsi="Times New Roman" w:cs="Times New Roman"/>
        </w:rPr>
        <w:t>200</w:t>
      </w:r>
      <w:r w:rsidR="001C22C4">
        <w:rPr>
          <w:rFonts w:ascii="Times New Roman" w:hAnsi="Times New Roman" w:cs="Times New Roman"/>
        </w:rPr>
        <w:t xml:space="preserve"> MHz to </w:t>
      </w:r>
      <w:r w:rsidRPr="007E3E24">
        <w:rPr>
          <w:rFonts w:ascii="Times New Roman" w:hAnsi="Times New Roman" w:cs="Times New Roman"/>
        </w:rPr>
        <w:t>2110 MHz may be used for</w:t>
      </w:r>
      <w:r w:rsidR="004A0EA9">
        <w:rPr>
          <w:rFonts w:ascii="Times New Roman" w:hAnsi="Times New Roman" w:cs="Times New Roman"/>
        </w:rPr>
        <w:t xml:space="preserve"> the purposes of</w:t>
      </w:r>
      <w:r w:rsidRPr="007E3E24">
        <w:rPr>
          <w:rFonts w:ascii="Times New Roman" w:hAnsi="Times New Roman" w:cs="Times New Roman"/>
        </w:rPr>
        <w:t>:</w:t>
      </w:r>
    </w:p>
    <w:p w14:paraId="7FBD6131" w14:textId="1288C309" w:rsidR="008C3CAB" w:rsidRPr="00921DAA" w:rsidRDefault="008C3CAB" w:rsidP="008C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1DAA">
        <w:rPr>
          <w:rFonts w:ascii="Times New Roman" w:hAnsi="Times New Roman" w:cs="Times New Roman"/>
        </w:rPr>
        <w:t>a television outside broadcast service</w:t>
      </w:r>
      <w:r w:rsidR="00F04AA8">
        <w:rPr>
          <w:rFonts w:ascii="Times New Roman" w:hAnsi="Times New Roman" w:cs="Times New Roman"/>
        </w:rPr>
        <w:t xml:space="preserve">, </w:t>
      </w:r>
      <w:r w:rsidR="00F04AA8" w:rsidRPr="00F04AA8">
        <w:rPr>
          <w:rFonts w:ascii="Times New Roman" w:hAnsi="Times New Roman" w:cs="Times New Roman"/>
        </w:rPr>
        <w:t>other than a service involving the operation of an airborne television outside broadcast station</w:t>
      </w:r>
      <w:r w:rsidR="00F04AA8">
        <w:rPr>
          <w:rFonts w:ascii="Times New Roman" w:hAnsi="Times New Roman" w:cs="Times New Roman"/>
        </w:rPr>
        <w:t>;</w:t>
      </w:r>
    </w:p>
    <w:p w14:paraId="1F468E30" w14:textId="77777777" w:rsidR="008C3CAB" w:rsidRPr="00921DAA" w:rsidRDefault="008C3CAB" w:rsidP="008C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1DAA">
        <w:rPr>
          <w:rFonts w:ascii="Times New Roman" w:hAnsi="Times New Roman" w:cs="Times New Roman"/>
        </w:rPr>
        <w:t>a fixed service (point to point)</w:t>
      </w:r>
      <w:r>
        <w:rPr>
          <w:rFonts w:ascii="Times New Roman" w:hAnsi="Times New Roman" w:cs="Times New Roman"/>
        </w:rPr>
        <w:t>, subject to the provisions in section 8 of the instrument</w:t>
      </w:r>
      <w:r w:rsidRPr="00921DAA">
        <w:rPr>
          <w:rFonts w:ascii="Times New Roman" w:hAnsi="Times New Roman" w:cs="Times New Roman"/>
        </w:rPr>
        <w:t>;</w:t>
      </w:r>
    </w:p>
    <w:p w14:paraId="70C984CD" w14:textId="08D1F7E1" w:rsidR="008C3CAB" w:rsidRPr="00921DAA" w:rsidRDefault="008C3CAB" w:rsidP="008C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21DAA">
        <w:rPr>
          <w:rFonts w:ascii="Times New Roman" w:hAnsi="Times New Roman" w:cs="Times New Roman"/>
        </w:rPr>
        <w:t>the operation of an earth</w:t>
      </w:r>
      <w:r w:rsidR="000F5ADB">
        <w:rPr>
          <w:rFonts w:ascii="Times New Roman" w:hAnsi="Times New Roman" w:cs="Times New Roman"/>
        </w:rPr>
        <w:t xml:space="preserve"> receive</w:t>
      </w:r>
      <w:r w:rsidRPr="00921DAA">
        <w:rPr>
          <w:rFonts w:ascii="Times New Roman" w:hAnsi="Times New Roman" w:cs="Times New Roman"/>
        </w:rPr>
        <w:t xml:space="preserve"> station</w:t>
      </w:r>
      <w:r>
        <w:rPr>
          <w:rFonts w:ascii="Times New Roman" w:hAnsi="Times New Roman" w:cs="Times New Roman"/>
        </w:rPr>
        <w:t>, subject to the provisions in section 9 of the instrument</w:t>
      </w:r>
      <w:r w:rsidRPr="00921DAA">
        <w:rPr>
          <w:rFonts w:ascii="Times New Roman" w:hAnsi="Times New Roman" w:cs="Times New Roman"/>
        </w:rPr>
        <w:t xml:space="preserve">; </w:t>
      </w:r>
    </w:p>
    <w:p w14:paraId="7DF8A39B" w14:textId="476D0339" w:rsidR="008C3CAB" w:rsidRDefault="008C3CAB" w:rsidP="008C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other service mentioned in the spectrum plan for </w:t>
      </w:r>
      <w:r w:rsidRPr="00921DAA">
        <w:rPr>
          <w:rFonts w:ascii="Times New Roman" w:hAnsi="Times New Roman" w:cs="Times New Roman"/>
        </w:rPr>
        <w:t>the entire frequency band</w:t>
      </w:r>
      <w:r>
        <w:rPr>
          <w:rFonts w:ascii="Times New Roman" w:hAnsi="Times New Roman" w:cs="Times New Roman"/>
        </w:rPr>
        <w:t xml:space="preserve"> or part of the frequency band.</w:t>
      </w:r>
    </w:p>
    <w:p w14:paraId="42422FCA" w14:textId="259BF456" w:rsidR="00BF6299" w:rsidRDefault="00BF6299" w:rsidP="00BF62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8</w:t>
      </w:r>
      <w:r>
        <w:rPr>
          <w:rFonts w:ascii="Times New Roman" w:hAnsi="Times New Roman" w:cs="Times New Roman"/>
          <w:b/>
        </w:rPr>
        <w:tab/>
        <w:t>Fixed service</w:t>
      </w:r>
      <w:r w:rsidR="00385562">
        <w:rPr>
          <w:rFonts w:ascii="Times New Roman" w:hAnsi="Times New Roman" w:cs="Times New Roman"/>
          <w:b/>
        </w:rPr>
        <w:t xml:space="preserve"> (point to point)</w:t>
      </w:r>
    </w:p>
    <w:p w14:paraId="7275B7FA" w14:textId="7AF955DD" w:rsidR="00FF3AEF" w:rsidRDefault="006B64DA" w:rsidP="00BF629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Subsection 8(1) </w:t>
      </w:r>
      <w:r w:rsidR="007F6891">
        <w:rPr>
          <w:rFonts w:ascii="Times New Roman" w:hAnsi="Times New Roman" w:cs="Times New Roman"/>
          <w:bCs/>
        </w:rPr>
        <w:t xml:space="preserve">provides </w:t>
      </w:r>
      <w:r>
        <w:rPr>
          <w:rFonts w:ascii="Times New Roman" w:hAnsi="Times New Roman" w:cs="Times New Roman"/>
          <w:bCs/>
        </w:rPr>
        <w:t>that a fixed service</w:t>
      </w:r>
      <w:r w:rsidR="0063699B">
        <w:rPr>
          <w:rFonts w:ascii="Times New Roman" w:hAnsi="Times New Roman" w:cs="Times New Roman"/>
          <w:bCs/>
        </w:rPr>
        <w:t xml:space="preserve"> (point to point)</w:t>
      </w:r>
      <w:r>
        <w:rPr>
          <w:rFonts w:ascii="Times New Roman" w:hAnsi="Times New Roman" w:cs="Times New Roman"/>
          <w:bCs/>
        </w:rPr>
        <w:t xml:space="preserve"> </w:t>
      </w:r>
      <w:r w:rsidR="009F6E12">
        <w:rPr>
          <w:rFonts w:ascii="Times New Roman" w:hAnsi="Times New Roman" w:cs="Times New Roman"/>
          <w:bCs/>
        </w:rPr>
        <w:t>must</w:t>
      </w:r>
      <w:r>
        <w:rPr>
          <w:rFonts w:ascii="Times New Roman" w:hAnsi="Times New Roman" w:cs="Times New Roman"/>
          <w:bCs/>
        </w:rPr>
        <w:t xml:space="preserve"> be used only in accordance with section</w:t>
      </w:r>
      <w:r w:rsidR="007F6891">
        <w:rPr>
          <w:rFonts w:ascii="Times New Roman" w:hAnsi="Times New Roman" w:cs="Times New Roman"/>
          <w:bCs/>
        </w:rPr>
        <w:t xml:space="preserve"> 8</w:t>
      </w:r>
      <w:r w:rsidR="005F4DBB">
        <w:rPr>
          <w:rFonts w:ascii="Times New Roman" w:hAnsi="Times New Roman" w:cs="Times New Roman"/>
          <w:bCs/>
        </w:rPr>
        <w:t>.</w:t>
      </w:r>
    </w:p>
    <w:p w14:paraId="2AADD5F7" w14:textId="1E338215" w:rsidR="005F4DBB" w:rsidRDefault="005F4DBB" w:rsidP="005F4DBB">
      <w:pPr>
        <w:keepNext/>
        <w:spacing w:line="257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Subsection 8(2) </w:t>
      </w:r>
      <w:r w:rsidR="00403C92">
        <w:rPr>
          <w:rFonts w:ascii="Times New Roman" w:hAnsi="Times New Roman" w:cs="Times New Roman"/>
          <w:bCs/>
        </w:rPr>
        <w:t xml:space="preserve">provides </w:t>
      </w:r>
      <w:r>
        <w:rPr>
          <w:rFonts w:ascii="Times New Roman" w:hAnsi="Times New Roman" w:cs="Times New Roman"/>
          <w:bCs/>
        </w:rPr>
        <w:t xml:space="preserve">that </w:t>
      </w:r>
      <w:r w:rsidR="003114F8">
        <w:rPr>
          <w:rFonts w:ascii="Times New Roman" w:hAnsi="Times New Roman" w:cs="Times New Roman"/>
          <w:bCs/>
        </w:rPr>
        <w:t>t</w:t>
      </w:r>
      <w:r w:rsidR="003114F8" w:rsidRPr="003114F8">
        <w:rPr>
          <w:rFonts w:ascii="Times New Roman" w:hAnsi="Times New Roman" w:cs="Times New Roman"/>
          <w:bCs/>
        </w:rPr>
        <w:t>he 2010</w:t>
      </w:r>
      <w:r w:rsidR="00403C92">
        <w:rPr>
          <w:rFonts w:ascii="Times New Roman" w:hAnsi="Times New Roman" w:cs="Times New Roman"/>
          <w:bCs/>
        </w:rPr>
        <w:t xml:space="preserve"> MHz to </w:t>
      </w:r>
      <w:r w:rsidR="003114F8" w:rsidRPr="003114F8">
        <w:rPr>
          <w:rFonts w:ascii="Times New Roman" w:hAnsi="Times New Roman" w:cs="Times New Roman"/>
          <w:bCs/>
        </w:rPr>
        <w:t>2110 MHz frequency band must not be used for the purposes of a fixed service (point to point) in an area described in item 1 of Schedule 1</w:t>
      </w:r>
      <w:r w:rsidR="003114F8">
        <w:rPr>
          <w:rFonts w:ascii="Times New Roman" w:hAnsi="Times New Roman" w:cs="Times New Roman"/>
          <w:bCs/>
        </w:rPr>
        <w:t>.</w:t>
      </w:r>
    </w:p>
    <w:p w14:paraId="49FC16A7" w14:textId="523455E8" w:rsidR="00A1335E" w:rsidRDefault="00A1335E" w:rsidP="00A1335E">
      <w:pPr>
        <w:keepNext/>
        <w:spacing w:line="257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Subsection 8(3) </w:t>
      </w:r>
      <w:r w:rsidR="00135CC5">
        <w:rPr>
          <w:rFonts w:ascii="Times New Roman" w:hAnsi="Times New Roman" w:cs="Times New Roman"/>
          <w:bCs/>
        </w:rPr>
        <w:t>provides that</w:t>
      </w:r>
      <w:r w:rsidR="005B6F5A">
        <w:rPr>
          <w:rFonts w:ascii="Times New Roman" w:hAnsi="Times New Roman" w:cs="Times New Roman"/>
          <w:bCs/>
        </w:rPr>
        <w:t xml:space="preserve"> i</w:t>
      </w:r>
      <w:r w:rsidR="005B6F5A" w:rsidRPr="005B6F5A">
        <w:rPr>
          <w:rFonts w:ascii="Times New Roman" w:hAnsi="Times New Roman" w:cs="Times New Roman"/>
          <w:bCs/>
        </w:rPr>
        <w:t>f the 2010</w:t>
      </w:r>
      <w:r w:rsidR="005B6F5A">
        <w:rPr>
          <w:rFonts w:ascii="Times New Roman" w:hAnsi="Times New Roman" w:cs="Times New Roman"/>
          <w:bCs/>
        </w:rPr>
        <w:t>–</w:t>
      </w:r>
      <w:r w:rsidR="005B6F5A" w:rsidRPr="005B6F5A">
        <w:rPr>
          <w:rFonts w:ascii="Times New Roman" w:hAnsi="Times New Roman" w:cs="Times New Roman"/>
          <w:bCs/>
        </w:rPr>
        <w:t>2110 MHz frequency band is used for the purposes of a fixed service (point to point) in the area described in item 1 of Schedule 2, the service is operated as a secondary service for the purposes of the spectrum plan</w:t>
      </w:r>
      <w:r w:rsidR="00700948">
        <w:rPr>
          <w:rFonts w:ascii="Times New Roman" w:hAnsi="Times New Roman" w:cs="Times New Roman"/>
          <w:bCs/>
        </w:rPr>
        <w:t xml:space="preserve"> (see section 6 of the spectrum plan)</w:t>
      </w:r>
      <w:r>
        <w:rPr>
          <w:rFonts w:ascii="Times New Roman" w:hAnsi="Times New Roman" w:cs="Times New Roman"/>
          <w:bCs/>
        </w:rPr>
        <w:t>.</w:t>
      </w:r>
    </w:p>
    <w:p w14:paraId="60D40961" w14:textId="18571FE6" w:rsidR="005B6F5A" w:rsidRDefault="005B6F5A" w:rsidP="00A1335E">
      <w:pPr>
        <w:keepNext/>
        <w:spacing w:line="257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Subsection 8(4) </w:t>
      </w:r>
      <w:r w:rsidR="00700948">
        <w:rPr>
          <w:rFonts w:ascii="Times New Roman" w:hAnsi="Times New Roman" w:cs="Times New Roman"/>
          <w:bCs/>
        </w:rPr>
        <w:t xml:space="preserve">provides </w:t>
      </w:r>
      <w:r>
        <w:rPr>
          <w:rFonts w:ascii="Times New Roman" w:hAnsi="Times New Roman" w:cs="Times New Roman"/>
          <w:bCs/>
        </w:rPr>
        <w:t>that t</w:t>
      </w:r>
      <w:r w:rsidRPr="003114F8">
        <w:rPr>
          <w:rFonts w:ascii="Times New Roman" w:hAnsi="Times New Roman" w:cs="Times New Roman"/>
          <w:bCs/>
        </w:rPr>
        <w:t>he</w:t>
      </w:r>
      <w:r w:rsidR="008F7A32">
        <w:rPr>
          <w:rFonts w:ascii="Times New Roman" w:hAnsi="Times New Roman" w:cs="Times New Roman"/>
          <w:bCs/>
        </w:rPr>
        <w:t xml:space="preserve"> 2200</w:t>
      </w:r>
      <w:r w:rsidR="00700948">
        <w:rPr>
          <w:rFonts w:ascii="Times New Roman" w:hAnsi="Times New Roman" w:cs="Times New Roman"/>
          <w:bCs/>
        </w:rPr>
        <w:t xml:space="preserve"> MHz to </w:t>
      </w:r>
      <w:r w:rsidR="008F7A32">
        <w:rPr>
          <w:rFonts w:ascii="Times New Roman" w:hAnsi="Times New Roman" w:cs="Times New Roman"/>
          <w:bCs/>
        </w:rPr>
        <w:t>2300 MHz frequency band</w:t>
      </w:r>
      <w:r w:rsidR="008E69AA">
        <w:rPr>
          <w:rFonts w:ascii="Times New Roman" w:hAnsi="Times New Roman" w:cs="Times New Roman"/>
          <w:bCs/>
        </w:rPr>
        <w:t xml:space="preserve"> </w:t>
      </w:r>
      <w:r w:rsidR="008E69AA" w:rsidRPr="008E69AA">
        <w:rPr>
          <w:rFonts w:ascii="Times New Roman" w:hAnsi="Times New Roman" w:cs="Times New Roman"/>
          <w:bCs/>
        </w:rPr>
        <w:t>must not be used for the purposes of a fixed service (point to point) in an area described in item 2 of Schedule 1</w:t>
      </w:r>
      <w:r w:rsidR="008E69AA">
        <w:rPr>
          <w:rFonts w:ascii="Times New Roman" w:hAnsi="Times New Roman" w:cs="Times New Roman"/>
          <w:bCs/>
        </w:rPr>
        <w:t>.</w:t>
      </w:r>
    </w:p>
    <w:p w14:paraId="260EDD4A" w14:textId="05017507" w:rsidR="008E69AA" w:rsidRDefault="008E69AA" w:rsidP="008E6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9</w:t>
      </w:r>
      <w:r>
        <w:rPr>
          <w:rFonts w:ascii="Times New Roman" w:hAnsi="Times New Roman" w:cs="Times New Roman"/>
          <w:b/>
        </w:rPr>
        <w:tab/>
      </w:r>
      <w:r w:rsidR="00D758DF" w:rsidRPr="00D758DF">
        <w:rPr>
          <w:rFonts w:ascii="Times New Roman" w:hAnsi="Times New Roman" w:cs="Times New Roman"/>
          <w:b/>
        </w:rPr>
        <w:t>Use of earth stations and earth receive stations</w:t>
      </w:r>
    </w:p>
    <w:p w14:paraId="4B40339A" w14:textId="6F517DAD" w:rsidR="00D758DF" w:rsidRDefault="00D758DF" w:rsidP="00D758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Subsection 9(</w:t>
      </w:r>
      <w:r w:rsidR="009F6E12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) </w:t>
      </w:r>
      <w:r w:rsidR="00DA4640">
        <w:rPr>
          <w:rFonts w:ascii="Times New Roman" w:hAnsi="Times New Roman" w:cs="Times New Roman"/>
          <w:bCs/>
        </w:rPr>
        <w:t xml:space="preserve">provides </w:t>
      </w:r>
      <w:r>
        <w:rPr>
          <w:rFonts w:ascii="Times New Roman" w:hAnsi="Times New Roman" w:cs="Times New Roman"/>
          <w:bCs/>
        </w:rPr>
        <w:t xml:space="preserve">that </w:t>
      </w:r>
      <w:r w:rsidR="00A375D6" w:rsidRPr="00A375D6">
        <w:rPr>
          <w:rFonts w:ascii="Times New Roman" w:hAnsi="Times New Roman" w:cs="Times New Roman"/>
          <w:bCs/>
        </w:rPr>
        <w:t xml:space="preserve">an earth station or earth receive station </w:t>
      </w:r>
      <w:r w:rsidR="00A375D6">
        <w:rPr>
          <w:rFonts w:ascii="Times New Roman" w:hAnsi="Times New Roman" w:cs="Times New Roman"/>
          <w:bCs/>
        </w:rPr>
        <w:t xml:space="preserve">must </w:t>
      </w:r>
      <w:r>
        <w:rPr>
          <w:rFonts w:ascii="Times New Roman" w:hAnsi="Times New Roman" w:cs="Times New Roman"/>
          <w:bCs/>
        </w:rPr>
        <w:t>be used only in accordance with section</w:t>
      </w:r>
      <w:r w:rsidR="00DA4640">
        <w:rPr>
          <w:rFonts w:ascii="Times New Roman" w:hAnsi="Times New Roman" w:cs="Times New Roman"/>
          <w:bCs/>
        </w:rPr>
        <w:t xml:space="preserve"> 9</w:t>
      </w:r>
      <w:r>
        <w:rPr>
          <w:rFonts w:ascii="Times New Roman" w:hAnsi="Times New Roman" w:cs="Times New Roman"/>
          <w:bCs/>
        </w:rPr>
        <w:t>.</w:t>
      </w:r>
    </w:p>
    <w:p w14:paraId="35C60CB2" w14:textId="12E43FA1" w:rsidR="00A375D6" w:rsidRDefault="00A375D6" w:rsidP="00D758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Subsection 9(2) </w:t>
      </w:r>
      <w:r w:rsidR="00DA4640">
        <w:rPr>
          <w:rFonts w:ascii="Times New Roman" w:hAnsi="Times New Roman" w:cs="Times New Roman"/>
          <w:bCs/>
        </w:rPr>
        <w:t xml:space="preserve">provides </w:t>
      </w:r>
      <w:r>
        <w:rPr>
          <w:rFonts w:ascii="Times New Roman" w:hAnsi="Times New Roman" w:cs="Times New Roman"/>
          <w:bCs/>
        </w:rPr>
        <w:t>that</w:t>
      </w:r>
      <w:r w:rsidR="00D002E8">
        <w:rPr>
          <w:rFonts w:ascii="Times New Roman" w:hAnsi="Times New Roman" w:cs="Times New Roman"/>
          <w:bCs/>
        </w:rPr>
        <w:t xml:space="preserve"> t</w:t>
      </w:r>
      <w:r w:rsidR="00D002E8" w:rsidRPr="00D002E8">
        <w:rPr>
          <w:rFonts w:ascii="Times New Roman" w:hAnsi="Times New Roman" w:cs="Times New Roman"/>
          <w:bCs/>
        </w:rPr>
        <w:t>he part of the 2010</w:t>
      </w:r>
      <w:r w:rsidR="00DA4640">
        <w:rPr>
          <w:rFonts w:ascii="Times New Roman" w:hAnsi="Times New Roman" w:cs="Times New Roman"/>
          <w:bCs/>
        </w:rPr>
        <w:t xml:space="preserve"> MHz to </w:t>
      </w:r>
      <w:r w:rsidR="00D002E8" w:rsidRPr="00D002E8">
        <w:rPr>
          <w:rFonts w:ascii="Times New Roman" w:hAnsi="Times New Roman" w:cs="Times New Roman"/>
          <w:bCs/>
        </w:rPr>
        <w:t>2110 MHz frequency band above 2025 MHz must not be used for the purposes of operating an earth station in the Perth area</w:t>
      </w:r>
      <w:r w:rsidR="00D002E8">
        <w:rPr>
          <w:rFonts w:ascii="Times New Roman" w:hAnsi="Times New Roman" w:cs="Times New Roman"/>
          <w:bCs/>
        </w:rPr>
        <w:t>.</w:t>
      </w:r>
    </w:p>
    <w:p w14:paraId="15F7AA61" w14:textId="46806035" w:rsidR="00D002E8" w:rsidRDefault="00D002E8" w:rsidP="00D758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Subsection 9(3) </w:t>
      </w:r>
      <w:r w:rsidR="00DA4640">
        <w:rPr>
          <w:rFonts w:ascii="Times New Roman" w:hAnsi="Times New Roman" w:cs="Times New Roman"/>
          <w:bCs/>
        </w:rPr>
        <w:t xml:space="preserve">provides </w:t>
      </w:r>
      <w:r>
        <w:rPr>
          <w:rFonts w:ascii="Times New Roman" w:hAnsi="Times New Roman" w:cs="Times New Roman"/>
          <w:bCs/>
        </w:rPr>
        <w:t xml:space="preserve">that </w:t>
      </w:r>
      <w:r w:rsidR="001D50B7">
        <w:rPr>
          <w:rFonts w:ascii="Times New Roman" w:hAnsi="Times New Roman" w:cs="Times New Roman"/>
          <w:bCs/>
        </w:rPr>
        <w:t>t</w:t>
      </w:r>
      <w:r w:rsidR="001D50B7" w:rsidRPr="001D50B7">
        <w:rPr>
          <w:rFonts w:ascii="Times New Roman" w:hAnsi="Times New Roman" w:cs="Times New Roman"/>
          <w:bCs/>
        </w:rPr>
        <w:t>he 2200</w:t>
      </w:r>
      <w:r w:rsidR="00DA4640">
        <w:rPr>
          <w:rFonts w:ascii="Times New Roman" w:hAnsi="Times New Roman" w:cs="Times New Roman"/>
          <w:bCs/>
        </w:rPr>
        <w:t xml:space="preserve"> MHz to </w:t>
      </w:r>
      <w:r w:rsidR="001D50B7" w:rsidRPr="001D50B7">
        <w:rPr>
          <w:rFonts w:ascii="Times New Roman" w:hAnsi="Times New Roman" w:cs="Times New Roman"/>
          <w:bCs/>
        </w:rPr>
        <w:t>2300 MHz frequency band must not be used for the purposes of operating an earth receive station in the Perth area.</w:t>
      </w:r>
    </w:p>
    <w:p w14:paraId="6AD6AE30" w14:textId="1A6CC5D2" w:rsidR="001D50B7" w:rsidRDefault="002E4A97" w:rsidP="00D758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Subsection 9(4) </w:t>
      </w:r>
      <w:r w:rsidR="00DA4640">
        <w:rPr>
          <w:rFonts w:ascii="Times New Roman" w:hAnsi="Times New Roman" w:cs="Times New Roman"/>
          <w:bCs/>
        </w:rPr>
        <w:t>defines</w:t>
      </w:r>
      <w:r w:rsidR="004F4C74">
        <w:rPr>
          <w:rFonts w:ascii="Times New Roman" w:hAnsi="Times New Roman" w:cs="Times New Roman"/>
          <w:bCs/>
        </w:rPr>
        <w:t xml:space="preserve"> the </w:t>
      </w:r>
      <w:r w:rsidRPr="001E7225">
        <w:rPr>
          <w:rFonts w:ascii="Times New Roman" w:hAnsi="Times New Roman" w:cs="Times New Roman"/>
          <w:b/>
          <w:i/>
          <w:iCs/>
        </w:rPr>
        <w:t>Perth area</w:t>
      </w:r>
      <w:r w:rsidRPr="002E4A97">
        <w:rPr>
          <w:rFonts w:ascii="Times New Roman" w:hAnsi="Times New Roman" w:cs="Times New Roman"/>
          <w:bCs/>
        </w:rPr>
        <w:t xml:space="preserve"> </w:t>
      </w:r>
      <w:r w:rsidR="00DA4640">
        <w:rPr>
          <w:rFonts w:ascii="Times New Roman" w:hAnsi="Times New Roman" w:cs="Times New Roman"/>
          <w:bCs/>
        </w:rPr>
        <w:t xml:space="preserve">to </w:t>
      </w:r>
      <w:r w:rsidRPr="002E4A97">
        <w:rPr>
          <w:rFonts w:ascii="Times New Roman" w:hAnsi="Times New Roman" w:cs="Times New Roman"/>
          <w:bCs/>
        </w:rPr>
        <w:t xml:space="preserve">mean the area described by a circle with a radius of </w:t>
      </w:r>
      <w:r w:rsidR="00B16700" w:rsidRPr="002E4A97">
        <w:rPr>
          <w:rFonts w:ascii="Times New Roman" w:hAnsi="Times New Roman" w:cs="Times New Roman"/>
          <w:bCs/>
        </w:rPr>
        <w:t>15</w:t>
      </w:r>
      <w:r w:rsidR="00B16700">
        <w:rPr>
          <w:rFonts w:ascii="Times New Roman" w:hAnsi="Times New Roman" w:cs="Times New Roman"/>
          <w:bCs/>
        </w:rPr>
        <w:t> </w:t>
      </w:r>
      <w:r w:rsidRPr="002E4A97">
        <w:rPr>
          <w:rFonts w:ascii="Times New Roman" w:hAnsi="Times New Roman" w:cs="Times New Roman"/>
          <w:bCs/>
        </w:rPr>
        <w:t>kilometres whose centre is located at latitude 31.802522 South and longitude 115.885160 East.</w:t>
      </w:r>
    </w:p>
    <w:p w14:paraId="1A656300" w14:textId="69101BB8" w:rsidR="00274AE2" w:rsidRDefault="00274AE2" w:rsidP="00274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Schedule 1</w:t>
      </w:r>
      <w:r>
        <w:rPr>
          <w:rFonts w:ascii="Times New Roman" w:hAnsi="Times New Roman" w:cs="Times New Roman"/>
          <w:b/>
        </w:rPr>
        <w:tab/>
      </w:r>
      <w:r w:rsidR="006D6346" w:rsidRPr="006D6346">
        <w:rPr>
          <w:rFonts w:ascii="Times New Roman" w:hAnsi="Times New Roman" w:cs="Times New Roman"/>
          <w:b/>
        </w:rPr>
        <w:t>Areas not for fixed service (point to point)</w:t>
      </w:r>
    </w:p>
    <w:p w14:paraId="54698713" w14:textId="59EDDBEF" w:rsidR="00257986" w:rsidRDefault="00E54F1C" w:rsidP="00274AE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Item 1 </w:t>
      </w:r>
      <w:r w:rsidR="00531EC2">
        <w:rPr>
          <w:rFonts w:ascii="Times New Roman" w:hAnsi="Times New Roman" w:cs="Times New Roman"/>
          <w:bCs/>
        </w:rPr>
        <w:t xml:space="preserve">specifies areas where a fixed service (point to point) </w:t>
      </w:r>
      <w:r w:rsidR="001E2E43">
        <w:rPr>
          <w:rFonts w:ascii="Times New Roman" w:hAnsi="Times New Roman" w:cs="Times New Roman"/>
          <w:bCs/>
        </w:rPr>
        <w:t>must not be operated</w:t>
      </w:r>
      <w:r w:rsidR="008A3E69">
        <w:rPr>
          <w:rFonts w:ascii="Times New Roman" w:hAnsi="Times New Roman" w:cs="Times New Roman"/>
          <w:bCs/>
        </w:rPr>
        <w:t xml:space="preserve"> </w:t>
      </w:r>
      <w:r w:rsidR="0055279C">
        <w:rPr>
          <w:rFonts w:ascii="Times New Roman" w:hAnsi="Times New Roman" w:cs="Times New Roman"/>
          <w:bCs/>
        </w:rPr>
        <w:t>in the 2010</w:t>
      </w:r>
      <w:r w:rsidR="008E13F0">
        <w:rPr>
          <w:rFonts w:ascii="Times New Roman" w:hAnsi="Times New Roman" w:cs="Times New Roman"/>
          <w:bCs/>
        </w:rPr>
        <w:t xml:space="preserve"> MHz to 2110 </w:t>
      </w:r>
      <w:r w:rsidR="0055279C">
        <w:rPr>
          <w:rFonts w:ascii="Times New Roman" w:hAnsi="Times New Roman" w:cs="Times New Roman"/>
          <w:bCs/>
        </w:rPr>
        <w:t>M</w:t>
      </w:r>
      <w:r w:rsidR="00AD6249">
        <w:rPr>
          <w:rFonts w:ascii="Times New Roman" w:hAnsi="Times New Roman" w:cs="Times New Roman"/>
          <w:bCs/>
        </w:rPr>
        <w:t xml:space="preserve">Hz frequency band </w:t>
      </w:r>
      <w:r w:rsidR="008A3E69">
        <w:rPr>
          <w:rFonts w:ascii="Times New Roman" w:hAnsi="Times New Roman" w:cs="Times New Roman"/>
          <w:bCs/>
        </w:rPr>
        <w:t>for the purposes of subsection 8(2).</w:t>
      </w:r>
    </w:p>
    <w:p w14:paraId="3DB12643" w14:textId="6A290B91" w:rsidR="00E54F1C" w:rsidRDefault="00257986" w:rsidP="00274AE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table </w:t>
      </w:r>
      <w:r w:rsidR="005F68B5">
        <w:rPr>
          <w:rFonts w:ascii="Times New Roman" w:hAnsi="Times New Roman" w:cs="Times New Roman"/>
          <w:bCs/>
        </w:rPr>
        <w:t xml:space="preserve">in item 1 </w:t>
      </w:r>
      <w:r>
        <w:rPr>
          <w:rFonts w:ascii="Times New Roman" w:hAnsi="Times New Roman" w:cs="Times New Roman"/>
          <w:bCs/>
        </w:rPr>
        <w:t xml:space="preserve">defines </w:t>
      </w:r>
      <w:r w:rsidR="008E13F0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>a</w:t>
      </w:r>
      <w:r w:rsidR="00442CCC">
        <w:rPr>
          <w:rFonts w:ascii="Times New Roman" w:hAnsi="Times New Roman" w:cs="Times New Roman"/>
          <w:bCs/>
        </w:rPr>
        <w:t>reas</w:t>
      </w:r>
      <w:r w:rsidR="00F30CA5">
        <w:rPr>
          <w:rFonts w:ascii="Times New Roman" w:hAnsi="Times New Roman" w:cs="Times New Roman"/>
          <w:bCs/>
        </w:rPr>
        <w:t xml:space="preserve"> as a series of circles </w:t>
      </w:r>
      <w:r w:rsidR="00831BE8">
        <w:rPr>
          <w:rFonts w:ascii="Times New Roman" w:hAnsi="Times New Roman" w:cs="Times New Roman"/>
          <w:bCs/>
        </w:rPr>
        <w:t>where</w:t>
      </w:r>
      <w:r w:rsidR="004D2B9D">
        <w:rPr>
          <w:rFonts w:ascii="Times New Roman" w:hAnsi="Times New Roman" w:cs="Times New Roman"/>
          <w:bCs/>
        </w:rPr>
        <w:t xml:space="preserve"> each circle:</w:t>
      </w:r>
    </w:p>
    <w:p w14:paraId="0F312989" w14:textId="769CD4C3" w:rsidR="004D2B9D" w:rsidRDefault="004D2B9D" w:rsidP="004D2B9D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is </w:t>
      </w:r>
      <w:r w:rsidR="004656BB" w:rsidRPr="004656BB">
        <w:rPr>
          <w:rFonts w:ascii="Times New Roman" w:hAnsi="Times New Roman" w:cs="Times New Roman"/>
          <w:bCs/>
        </w:rPr>
        <w:t>centred at a point with the latitude in an item in column 1 and the longitude in the corresponding item in column 2</w:t>
      </w:r>
      <w:r w:rsidR="004656BB">
        <w:rPr>
          <w:rFonts w:ascii="Times New Roman" w:hAnsi="Times New Roman" w:cs="Times New Roman"/>
          <w:bCs/>
        </w:rPr>
        <w:t>; and</w:t>
      </w:r>
    </w:p>
    <w:p w14:paraId="510C1CFD" w14:textId="3B50EBFE" w:rsidR="004656BB" w:rsidRPr="004D2B9D" w:rsidRDefault="00442CCC" w:rsidP="004D2B9D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has</w:t>
      </w:r>
      <w:r w:rsidRPr="00442CCC">
        <w:rPr>
          <w:rFonts w:ascii="Times New Roman" w:hAnsi="Times New Roman" w:cs="Times New Roman"/>
          <w:bCs/>
        </w:rPr>
        <w:t xml:space="preserve"> a radius of 150 kilometres</w:t>
      </w:r>
      <w:r w:rsidR="00F30CA5">
        <w:rPr>
          <w:rFonts w:ascii="Times New Roman" w:hAnsi="Times New Roman" w:cs="Times New Roman"/>
          <w:bCs/>
        </w:rPr>
        <w:t>.</w:t>
      </w:r>
    </w:p>
    <w:p w14:paraId="5521F276" w14:textId="7723AEA3" w:rsidR="00123A82" w:rsidRDefault="00123A82" w:rsidP="00123A8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Item 2 specifies areas where a fixed service (point to point) must not be operated</w:t>
      </w:r>
      <w:r w:rsidR="00543E4F">
        <w:rPr>
          <w:rFonts w:ascii="Times New Roman" w:hAnsi="Times New Roman" w:cs="Times New Roman"/>
          <w:bCs/>
        </w:rPr>
        <w:t xml:space="preserve"> in the </w:t>
      </w:r>
      <w:r w:rsidR="00543E4F" w:rsidRPr="00543E4F">
        <w:rPr>
          <w:rFonts w:ascii="Times New Roman" w:hAnsi="Times New Roman" w:cs="Times New Roman"/>
          <w:bCs/>
        </w:rPr>
        <w:t>2200</w:t>
      </w:r>
      <w:r w:rsidR="005F68B5">
        <w:rPr>
          <w:rFonts w:ascii="Times New Roman" w:hAnsi="Times New Roman" w:cs="Times New Roman"/>
          <w:bCs/>
        </w:rPr>
        <w:t xml:space="preserve"> MHz to </w:t>
      </w:r>
      <w:r w:rsidR="005F68B5" w:rsidRPr="00543E4F">
        <w:rPr>
          <w:rFonts w:ascii="Times New Roman" w:hAnsi="Times New Roman" w:cs="Times New Roman"/>
          <w:bCs/>
        </w:rPr>
        <w:t>2300</w:t>
      </w:r>
      <w:r w:rsidR="005F68B5">
        <w:rPr>
          <w:rFonts w:ascii="Times New Roman" w:hAnsi="Times New Roman" w:cs="Times New Roman"/>
          <w:bCs/>
        </w:rPr>
        <w:t> </w:t>
      </w:r>
      <w:r w:rsidR="00543E4F" w:rsidRPr="00543E4F">
        <w:rPr>
          <w:rFonts w:ascii="Times New Roman" w:hAnsi="Times New Roman" w:cs="Times New Roman"/>
          <w:bCs/>
        </w:rPr>
        <w:t>MHz</w:t>
      </w:r>
      <w:r>
        <w:rPr>
          <w:rFonts w:ascii="Times New Roman" w:hAnsi="Times New Roman" w:cs="Times New Roman"/>
          <w:bCs/>
        </w:rPr>
        <w:t xml:space="preserve"> </w:t>
      </w:r>
      <w:r w:rsidR="00543E4F">
        <w:rPr>
          <w:rFonts w:ascii="Times New Roman" w:hAnsi="Times New Roman" w:cs="Times New Roman"/>
          <w:bCs/>
        </w:rPr>
        <w:t xml:space="preserve">frequency band </w:t>
      </w:r>
      <w:r>
        <w:rPr>
          <w:rFonts w:ascii="Times New Roman" w:hAnsi="Times New Roman" w:cs="Times New Roman"/>
          <w:bCs/>
        </w:rPr>
        <w:t>for the purposes of subsection 8(</w:t>
      </w:r>
      <w:r w:rsidR="00543E4F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).</w:t>
      </w:r>
    </w:p>
    <w:p w14:paraId="125F6A51" w14:textId="76C72C30" w:rsidR="00123A82" w:rsidRDefault="00123A82" w:rsidP="004F473B">
      <w:pPr>
        <w:keepNext/>
        <w:spacing w:line="257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The table </w:t>
      </w:r>
      <w:r w:rsidR="005F68B5">
        <w:rPr>
          <w:rFonts w:ascii="Times New Roman" w:hAnsi="Times New Roman" w:cs="Times New Roman"/>
          <w:bCs/>
        </w:rPr>
        <w:t xml:space="preserve">in item 2 </w:t>
      </w:r>
      <w:r>
        <w:rPr>
          <w:rFonts w:ascii="Times New Roman" w:hAnsi="Times New Roman" w:cs="Times New Roman"/>
          <w:bCs/>
        </w:rPr>
        <w:t xml:space="preserve">defines </w:t>
      </w:r>
      <w:r w:rsidR="005F68B5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 xml:space="preserve">areas as a series of circles </w:t>
      </w:r>
      <w:r w:rsidR="00831BE8">
        <w:rPr>
          <w:rFonts w:ascii="Times New Roman" w:hAnsi="Times New Roman" w:cs="Times New Roman"/>
          <w:bCs/>
        </w:rPr>
        <w:t>where</w:t>
      </w:r>
      <w:r>
        <w:rPr>
          <w:rFonts w:ascii="Times New Roman" w:hAnsi="Times New Roman" w:cs="Times New Roman"/>
          <w:bCs/>
        </w:rPr>
        <w:t xml:space="preserve"> each circle:</w:t>
      </w:r>
    </w:p>
    <w:p w14:paraId="717E69E8" w14:textId="77777777" w:rsidR="00123A82" w:rsidRDefault="00123A82" w:rsidP="00123A82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is </w:t>
      </w:r>
      <w:r w:rsidRPr="004656BB">
        <w:rPr>
          <w:rFonts w:ascii="Times New Roman" w:hAnsi="Times New Roman" w:cs="Times New Roman"/>
          <w:bCs/>
        </w:rPr>
        <w:t>centred at a point with the latitude in an item in column 1 and the longitude in the corresponding item in column 2</w:t>
      </w:r>
      <w:r>
        <w:rPr>
          <w:rFonts w:ascii="Times New Roman" w:hAnsi="Times New Roman" w:cs="Times New Roman"/>
          <w:bCs/>
        </w:rPr>
        <w:t>; and</w:t>
      </w:r>
    </w:p>
    <w:p w14:paraId="19B1EA3C" w14:textId="77777777" w:rsidR="00123A82" w:rsidRPr="004D2B9D" w:rsidRDefault="00123A82" w:rsidP="00123A82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has</w:t>
      </w:r>
      <w:r w:rsidRPr="00442CCC">
        <w:rPr>
          <w:rFonts w:ascii="Times New Roman" w:hAnsi="Times New Roman" w:cs="Times New Roman"/>
          <w:bCs/>
        </w:rPr>
        <w:t xml:space="preserve"> a radius of 150 kilometres</w:t>
      </w:r>
      <w:r>
        <w:rPr>
          <w:rFonts w:ascii="Times New Roman" w:hAnsi="Times New Roman" w:cs="Times New Roman"/>
          <w:bCs/>
        </w:rPr>
        <w:t>.</w:t>
      </w:r>
    </w:p>
    <w:p w14:paraId="4D4E4914" w14:textId="24EF5905" w:rsidR="00787206" w:rsidRDefault="00787206" w:rsidP="007872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Schedule 2</w:t>
      </w:r>
      <w:r>
        <w:rPr>
          <w:rFonts w:ascii="Times New Roman" w:hAnsi="Times New Roman" w:cs="Times New Roman"/>
          <w:b/>
        </w:rPr>
        <w:tab/>
      </w:r>
      <w:r w:rsidRPr="006D6346">
        <w:rPr>
          <w:rFonts w:ascii="Times New Roman" w:hAnsi="Times New Roman" w:cs="Times New Roman"/>
          <w:b/>
        </w:rPr>
        <w:t>Areas for fixed service (point to point)</w:t>
      </w:r>
      <w:r>
        <w:rPr>
          <w:rFonts w:ascii="Times New Roman" w:hAnsi="Times New Roman" w:cs="Times New Roman"/>
          <w:b/>
        </w:rPr>
        <w:t xml:space="preserve"> – </w:t>
      </w:r>
      <w:r w:rsidR="00961BD6">
        <w:rPr>
          <w:rFonts w:ascii="Times New Roman" w:hAnsi="Times New Roman" w:cs="Times New Roman"/>
          <w:b/>
        </w:rPr>
        <w:t>where secondary service</w:t>
      </w:r>
    </w:p>
    <w:p w14:paraId="7715C6E9" w14:textId="51F72E3D" w:rsidR="00787206" w:rsidRPr="00781237" w:rsidRDefault="00781237" w:rsidP="00787206">
      <w:pPr>
        <w:rPr>
          <w:rFonts w:ascii="Times New Roman" w:hAnsi="Times New Roman" w:cs="Times New Roman"/>
          <w:bCs/>
        </w:rPr>
      </w:pPr>
      <w:r w:rsidRPr="00781237">
        <w:rPr>
          <w:rFonts w:ascii="Times New Roman" w:hAnsi="Times New Roman" w:cs="Times New Roman"/>
          <w:bCs/>
        </w:rPr>
        <w:t xml:space="preserve">Item 1 specifies </w:t>
      </w:r>
      <w:r w:rsidR="000C66B3">
        <w:rPr>
          <w:rFonts w:ascii="Times New Roman" w:hAnsi="Times New Roman" w:cs="Times New Roman"/>
          <w:bCs/>
        </w:rPr>
        <w:t>the area</w:t>
      </w:r>
      <w:r w:rsidRPr="00781237">
        <w:rPr>
          <w:rFonts w:ascii="Times New Roman" w:hAnsi="Times New Roman" w:cs="Times New Roman"/>
          <w:bCs/>
        </w:rPr>
        <w:t xml:space="preserve"> where a fixed service (point to point) </w:t>
      </w:r>
      <w:r w:rsidR="00831BE8">
        <w:rPr>
          <w:rFonts w:ascii="Times New Roman" w:hAnsi="Times New Roman" w:cs="Times New Roman"/>
          <w:bCs/>
        </w:rPr>
        <w:t xml:space="preserve">is treated as a secondary service </w:t>
      </w:r>
      <w:r w:rsidR="007D34F4">
        <w:rPr>
          <w:rFonts w:ascii="Times New Roman" w:hAnsi="Times New Roman" w:cs="Times New Roman"/>
          <w:bCs/>
        </w:rPr>
        <w:t xml:space="preserve">in the frequency band </w:t>
      </w:r>
      <w:r w:rsidR="004B3BC5">
        <w:rPr>
          <w:rFonts w:ascii="Times New Roman" w:hAnsi="Times New Roman" w:cs="Times New Roman"/>
          <w:bCs/>
        </w:rPr>
        <w:t>2010</w:t>
      </w:r>
      <w:r w:rsidR="005F68B5">
        <w:rPr>
          <w:rFonts w:ascii="Times New Roman" w:hAnsi="Times New Roman" w:cs="Times New Roman"/>
          <w:bCs/>
        </w:rPr>
        <w:t xml:space="preserve"> MHz to </w:t>
      </w:r>
      <w:r w:rsidR="004B3BC5">
        <w:rPr>
          <w:rFonts w:ascii="Times New Roman" w:hAnsi="Times New Roman" w:cs="Times New Roman"/>
          <w:bCs/>
        </w:rPr>
        <w:t xml:space="preserve">2110 MHz </w:t>
      </w:r>
      <w:r w:rsidRPr="00781237">
        <w:rPr>
          <w:rFonts w:ascii="Times New Roman" w:hAnsi="Times New Roman" w:cs="Times New Roman"/>
          <w:bCs/>
        </w:rPr>
        <w:t>for the purposes of subsection 8(</w:t>
      </w:r>
      <w:r w:rsidR="008223D1">
        <w:rPr>
          <w:rFonts w:ascii="Times New Roman" w:hAnsi="Times New Roman" w:cs="Times New Roman"/>
          <w:bCs/>
        </w:rPr>
        <w:t>3</w:t>
      </w:r>
      <w:r w:rsidRPr="00781237">
        <w:rPr>
          <w:rFonts w:ascii="Times New Roman" w:hAnsi="Times New Roman" w:cs="Times New Roman"/>
          <w:bCs/>
        </w:rPr>
        <w:t>)</w:t>
      </w:r>
      <w:r w:rsidR="0023424B">
        <w:rPr>
          <w:rFonts w:ascii="Times New Roman" w:hAnsi="Times New Roman" w:cs="Times New Roman"/>
          <w:bCs/>
        </w:rPr>
        <w:t xml:space="preserve"> and the spectrum plan</w:t>
      </w:r>
      <w:r w:rsidRPr="00781237">
        <w:rPr>
          <w:rFonts w:ascii="Times New Roman" w:hAnsi="Times New Roman" w:cs="Times New Roman"/>
          <w:bCs/>
        </w:rPr>
        <w:t>.</w:t>
      </w:r>
    </w:p>
    <w:p w14:paraId="6CA4F9C3" w14:textId="6FF753D7" w:rsidR="00FE78C5" w:rsidRDefault="00FE78C5" w:rsidP="00FE78C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table </w:t>
      </w:r>
      <w:r w:rsidR="005F68B5">
        <w:rPr>
          <w:rFonts w:ascii="Times New Roman" w:hAnsi="Times New Roman" w:cs="Times New Roman"/>
          <w:bCs/>
        </w:rPr>
        <w:t xml:space="preserve">in item 1 </w:t>
      </w:r>
      <w:r>
        <w:rPr>
          <w:rFonts w:ascii="Times New Roman" w:hAnsi="Times New Roman" w:cs="Times New Roman"/>
          <w:bCs/>
        </w:rPr>
        <w:t xml:space="preserve">defines </w:t>
      </w:r>
      <w:r w:rsidR="000C66B3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 xml:space="preserve">area as </w:t>
      </w:r>
      <w:r w:rsidR="004E0C7C">
        <w:rPr>
          <w:rFonts w:ascii="Times New Roman" w:hAnsi="Times New Roman" w:cs="Times New Roman"/>
          <w:bCs/>
        </w:rPr>
        <w:t xml:space="preserve">that </w:t>
      </w:r>
      <w:r w:rsidR="00BE1511">
        <w:rPr>
          <w:rFonts w:ascii="Times New Roman" w:hAnsi="Times New Roman" w:cs="Times New Roman"/>
          <w:bCs/>
        </w:rPr>
        <w:t xml:space="preserve">bounded by </w:t>
      </w:r>
      <w:r w:rsidR="00BA79AB">
        <w:rPr>
          <w:rFonts w:ascii="Times New Roman" w:hAnsi="Times New Roman" w:cs="Times New Roman"/>
          <w:bCs/>
        </w:rPr>
        <w:t>the</w:t>
      </w:r>
      <w:r w:rsidR="00BE1511">
        <w:rPr>
          <w:rFonts w:ascii="Times New Roman" w:hAnsi="Times New Roman" w:cs="Times New Roman"/>
          <w:bCs/>
        </w:rPr>
        <w:t xml:space="preserve"> polygon</w:t>
      </w:r>
      <w:r>
        <w:rPr>
          <w:rFonts w:ascii="Times New Roman" w:hAnsi="Times New Roman" w:cs="Times New Roman"/>
          <w:bCs/>
        </w:rPr>
        <w:t>:</w:t>
      </w:r>
    </w:p>
    <w:p w14:paraId="74128691" w14:textId="2BE4C691" w:rsidR="008A15A9" w:rsidRPr="008A15A9" w:rsidRDefault="008A15A9" w:rsidP="008A15A9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</w:rPr>
      </w:pPr>
      <w:r w:rsidRPr="008A15A9">
        <w:rPr>
          <w:rFonts w:ascii="Times New Roman" w:hAnsi="Times New Roman" w:cs="Times New Roman"/>
          <w:bCs/>
        </w:rPr>
        <w:t>starting at the point with the latitude in column 1 of item 1 and the longitude in column 2 of item 1 (</w:t>
      </w:r>
      <w:r w:rsidRPr="008A15A9">
        <w:rPr>
          <w:rFonts w:ascii="Times New Roman" w:hAnsi="Times New Roman" w:cs="Times New Roman"/>
          <w:b/>
          <w:i/>
          <w:iCs/>
        </w:rPr>
        <w:t>starting point</w:t>
      </w:r>
      <w:r w:rsidRPr="008A15A9">
        <w:rPr>
          <w:rFonts w:ascii="Times New Roman" w:hAnsi="Times New Roman" w:cs="Times New Roman"/>
          <w:bCs/>
        </w:rPr>
        <w:t>); and</w:t>
      </w:r>
    </w:p>
    <w:p w14:paraId="05C159AC" w14:textId="3CA321F7" w:rsidR="008A15A9" w:rsidRPr="008A15A9" w:rsidRDefault="008A15A9" w:rsidP="008A15A9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</w:rPr>
      </w:pPr>
      <w:r w:rsidRPr="008A15A9">
        <w:rPr>
          <w:rFonts w:ascii="Times New Roman" w:hAnsi="Times New Roman" w:cs="Times New Roman"/>
          <w:bCs/>
        </w:rPr>
        <w:t>moving sequentially through each point (after the starting point) with the latitude in an item in column 1 and the longitude in the corresponding item in column 2; and</w:t>
      </w:r>
    </w:p>
    <w:p w14:paraId="6599CBA9" w14:textId="07534272" w:rsidR="008A15A9" w:rsidRPr="008A15A9" w:rsidRDefault="008A15A9" w:rsidP="008A15A9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</w:rPr>
      </w:pPr>
      <w:r w:rsidRPr="008A15A9">
        <w:rPr>
          <w:rFonts w:ascii="Times New Roman" w:hAnsi="Times New Roman" w:cs="Times New Roman"/>
          <w:bCs/>
        </w:rPr>
        <w:t>after the last point, returning to the starting point;</w:t>
      </w:r>
    </w:p>
    <w:p w14:paraId="58270ABA" w14:textId="001D76E5" w:rsidR="008A15A9" w:rsidRPr="007F6EA4" w:rsidRDefault="00BF17DF" w:rsidP="007F6EA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but </w:t>
      </w:r>
      <w:r w:rsidR="008A15A9" w:rsidRPr="007F6EA4">
        <w:rPr>
          <w:rFonts w:ascii="Times New Roman" w:hAnsi="Times New Roman" w:cs="Times New Roman"/>
          <w:bCs/>
        </w:rPr>
        <w:t>excluding each area described in item 2.</w:t>
      </w:r>
    </w:p>
    <w:p w14:paraId="006E5238" w14:textId="612BA5A2" w:rsidR="0077669C" w:rsidRDefault="008A15A9" w:rsidP="0077669C">
      <w:pPr>
        <w:rPr>
          <w:rFonts w:ascii="Times New Roman" w:hAnsi="Times New Roman" w:cs="Times New Roman"/>
          <w:bCs/>
        </w:rPr>
      </w:pPr>
      <w:r w:rsidRPr="00781237">
        <w:rPr>
          <w:rFonts w:ascii="Times New Roman" w:hAnsi="Times New Roman" w:cs="Times New Roman"/>
          <w:bCs/>
        </w:rPr>
        <w:t xml:space="preserve">Item </w:t>
      </w:r>
      <w:r>
        <w:rPr>
          <w:rFonts w:ascii="Times New Roman" w:hAnsi="Times New Roman" w:cs="Times New Roman"/>
          <w:bCs/>
        </w:rPr>
        <w:t>2</w:t>
      </w:r>
      <w:r w:rsidRPr="00781237">
        <w:rPr>
          <w:rFonts w:ascii="Times New Roman" w:hAnsi="Times New Roman" w:cs="Times New Roman"/>
          <w:bCs/>
        </w:rPr>
        <w:t xml:space="preserve"> specifies</w:t>
      </w:r>
      <w:r w:rsidR="003A179C">
        <w:rPr>
          <w:rFonts w:ascii="Times New Roman" w:hAnsi="Times New Roman" w:cs="Times New Roman"/>
          <w:bCs/>
        </w:rPr>
        <w:t xml:space="preserve"> the</w:t>
      </w:r>
      <w:r>
        <w:rPr>
          <w:rFonts w:ascii="Times New Roman" w:hAnsi="Times New Roman" w:cs="Times New Roman"/>
          <w:bCs/>
        </w:rPr>
        <w:t xml:space="preserve"> areas </w:t>
      </w:r>
      <w:r w:rsidR="006C4209">
        <w:rPr>
          <w:rFonts w:ascii="Times New Roman" w:hAnsi="Times New Roman" w:cs="Times New Roman"/>
          <w:bCs/>
        </w:rPr>
        <w:t xml:space="preserve">excluded from the area </w:t>
      </w:r>
      <w:r w:rsidR="00D61426">
        <w:rPr>
          <w:rFonts w:ascii="Times New Roman" w:hAnsi="Times New Roman" w:cs="Times New Roman"/>
          <w:bCs/>
        </w:rPr>
        <w:t xml:space="preserve">defined </w:t>
      </w:r>
      <w:r w:rsidR="006C4209">
        <w:rPr>
          <w:rFonts w:ascii="Times New Roman" w:hAnsi="Times New Roman" w:cs="Times New Roman"/>
          <w:bCs/>
        </w:rPr>
        <w:t xml:space="preserve">in item 1. </w:t>
      </w:r>
      <w:r w:rsidR="0077669C">
        <w:rPr>
          <w:rFonts w:ascii="Times New Roman" w:hAnsi="Times New Roman" w:cs="Times New Roman"/>
          <w:bCs/>
        </w:rPr>
        <w:t xml:space="preserve">The table </w:t>
      </w:r>
      <w:r w:rsidR="003A179C">
        <w:rPr>
          <w:rFonts w:ascii="Times New Roman" w:hAnsi="Times New Roman" w:cs="Times New Roman"/>
          <w:bCs/>
        </w:rPr>
        <w:t xml:space="preserve">in item 2 </w:t>
      </w:r>
      <w:r w:rsidR="0077669C">
        <w:rPr>
          <w:rFonts w:ascii="Times New Roman" w:hAnsi="Times New Roman" w:cs="Times New Roman"/>
          <w:bCs/>
        </w:rPr>
        <w:t xml:space="preserve">defines </w:t>
      </w:r>
      <w:r w:rsidR="003A179C">
        <w:rPr>
          <w:rFonts w:ascii="Times New Roman" w:hAnsi="Times New Roman" w:cs="Times New Roman"/>
          <w:bCs/>
        </w:rPr>
        <w:t xml:space="preserve">the </w:t>
      </w:r>
      <w:r w:rsidR="0077669C">
        <w:rPr>
          <w:rFonts w:ascii="Times New Roman" w:hAnsi="Times New Roman" w:cs="Times New Roman"/>
          <w:bCs/>
        </w:rPr>
        <w:t xml:space="preserve">areas as a series of circles </w:t>
      </w:r>
      <w:r w:rsidR="0023424B">
        <w:rPr>
          <w:rFonts w:ascii="Times New Roman" w:hAnsi="Times New Roman" w:cs="Times New Roman"/>
          <w:bCs/>
        </w:rPr>
        <w:t>where</w:t>
      </w:r>
      <w:r w:rsidR="0077669C">
        <w:rPr>
          <w:rFonts w:ascii="Times New Roman" w:hAnsi="Times New Roman" w:cs="Times New Roman"/>
          <w:bCs/>
        </w:rPr>
        <w:t xml:space="preserve"> each circle:</w:t>
      </w:r>
    </w:p>
    <w:p w14:paraId="2354EF02" w14:textId="77777777" w:rsidR="0077669C" w:rsidRDefault="0077669C" w:rsidP="0077669C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is </w:t>
      </w:r>
      <w:r w:rsidRPr="004656BB">
        <w:rPr>
          <w:rFonts w:ascii="Times New Roman" w:hAnsi="Times New Roman" w:cs="Times New Roman"/>
          <w:bCs/>
        </w:rPr>
        <w:t>centred at a point with the latitude in an item in column 1 and the longitude in the corresponding item in column 2</w:t>
      </w:r>
      <w:r>
        <w:rPr>
          <w:rFonts w:ascii="Times New Roman" w:hAnsi="Times New Roman" w:cs="Times New Roman"/>
          <w:bCs/>
        </w:rPr>
        <w:t>; and</w:t>
      </w:r>
    </w:p>
    <w:p w14:paraId="0C61F034" w14:textId="77777777" w:rsidR="0077669C" w:rsidRPr="004D2B9D" w:rsidRDefault="0077669C" w:rsidP="0077669C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has</w:t>
      </w:r>
      <w:r w:rsidRPr="00442CCC">
        <w:rPr>
          <w:rFonts w:ascii="Times New Roman" w:hAnsi="Times New Roman" w:cs="Times New Roman"/>
          <w:bCs/>
        </w:rPr>
        <w:t xml:space="preserve"> a radius of 150 kilometres</w:t>
      </w:r>
      <w:r>
        <w:rPr>
          <w:rFonts w:ascii="Times New Roman" w:hAnsi="Times New Roman" w:cs="Times New Roman"/>
          <w:bCs/>
        </w:rPr>
        <w:t>.</w:t>
      </w:r>
    </w:p>
    <w:p w14:paraId="62249BE6" w14:textId="77777777" w:rsidR="007E3E24" w:rsidRPr="007E3E24" w:rsidRDefault="007E3E24" w:rsidP="007E3E24">
      <w:pPr>
        <w:rPr>
          <w:rFonts w:ascii="Times New Roman" w:hAnsi="Times New Roman" w:cs="Times New Roman"/>
        </w:rPr>
      </w:pPr>
    </w:p>
    <w:sectPr w:rsidR="007E3E24" w:rsidRPr="007E3E24" w:rsidSect="0008235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E79B" w14:textId="77777777" w:rsidR="008C616E" w:rsidRDefault="008C616E" w:rsidP="00025ACE">
      <w:pPr>
        <w:spacing w:after="0" w:line="240" w:lineRule="auto"/>
      </w:pPr>
      <w:r>
        <w:separator/>
      </w:r>
    </w:p>
  </w:endnote>
  <w:endnote w:type="continuationSeparator" w:id="0">
    <w:p w14:paraId="4CDF5305" w14:textId="77777777" w:rsidR="008C616E" w:rsidRDefault="008C616E" w:rsidP="00025ACE">
      <w:pPr>
        <w:spacing w:after="0" w:line="240" w:lineRule="auto"/>
      </w:pPr>
      <w:r>
        <w:continuationSeparator/>
      </w:r>
    </w:p>
  </w:endnote>
  <w:endnote w:type="continuationNotice" w:id="1">
    <w:p w14:paraId="1EC7638C" w14:textId="77777777" w:rsidR="008C616E" w:rsidRDefault="008C6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AD3414" w:rsidRDefault="00AD3414" w:rsidP="00AD3414">
        <w:pPr>
          <w:pStyle w:val="Footer"/>
          <w:pBdr>
            <w:top w:val="single" w:sz="4" w:space="1" w:color="auto"/>
          </w:pBdr>
          <w:jc w:val="center"/>
        </w:pPr>
      </w:p>
      <w:p w14:paraId="556B0C98" w14:textId="59EB95E8" w:rsidR="00AD3414" w:rsidRDefault="00AD3414" w:rsidP="00974527">
        <w:pPr>
          <w:pStyle w:val="Footer"/>
          <w:jc w:val="center"/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="00C260C9" w:rsidRPr="00C260C9">
          <w:rPr>
            <w:rFonts w:ascii="Times New Roman" w:hAnsi="Times New Roman" w:cs="Times New Roman"/>
            <w:i/>
            <w:iCs/>
            <w:color w:val="000000" w:themeColor="text1"/>
          </w:rPr>
          <w:t>Radiocommunications (Television Outside Broadcasting) (2010–2110 MHz and 2200–2300 MHz) Frequency Band Plan 2022</w:t>
        </w:r>
      </w:p>
      <w:p w14:paraId="4E36910F" w14:textId="06CF02C2" w:rsidR="00025ACE" w:rsidRPr="00AD3414" w:rsidRDefault="00025ACE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D23BD5"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025ACE" w:rsidRPr="00AD3414" w:rsidRDefault="00025ACE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09AE" w14:textId="77777777" w:rsidR="008C616E" w:rsidRDefault="008C616E" w:rsidP="00025ACE">
      <w:pPr>
        <w:spacing w:after="0" w:line="240" w:lineRule="auto"/>
      </w:pPr>
      <w:r>
        <w:separator/>
      </w:r>
    </w:p>
  </w:footnote>
  <w:footnote w:type="continuationSeparator" w:id="0">
    <w:p w14:paraId="515F3E5C" w14:textId="77777777" w:rsidR="008C616E" w:rsidRDefault="008C616E" w:rsidP="00025ACE">
      <w:pPr>
        <w:spacing w:after="0" w:line="240" w:lineRule="auto"/>
      </w:pPr>
      <w:r>
        <w:continuationSeparator/>
      </w:r>
    </w:p>
  </w:footnote>
  <w:footnote w:type="continuationNotice" w:id="1">
    <w:p w14:paraId="5FB7532C" w14:textId="77777777" w:rsidR="008C616E" w:rsidRDefault="008C61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CED" w14:textId="77777777" w:rsidR="00025ACE" w:rsidRDefault="00025ACE">
    <w:pPr>
      <w:pStyle w:val="Header"/>
    </w:pPr>
  </w:p>
  <w:p w14:paraId="1FE48E17" w14:textId="77777777" w:rsidR="00025ACE" w:rsidRPr="00AD3414" w:rsidRDefault="00025AC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D4D"/>
    <w:multiLevelType w:val="hybridMultilevel"/>
    <w:tmpl w:val="EEC6C042"/>
    <w:lvl w:ilvl="0" w:tplc="0C090001">
      <w:start w:val="1"/>
      <w:numFmt w:val="bullet"/>
      <w:lvlText w:val=""/>
      <w:lvlJc w:val="left"/>
      <w:pPr>
        <w:ind w:left="926" w:hanging="56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894"/>
    <w:multiLevelType w:val="hybridMultilevel"/>
    <w:tmpl w:val="061833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039F"/>
    <w:multiLevelType w:val="hybridMultilevel"/>
    <w:tmpl w:val="58146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2088"/>
    <w:multiLevelType w:val="hybridMultilevel"/>
    <w:tmpl w:val="0FA20E32"/>
    <w:lvl w:ilvl="0" w:tplc="A314E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61E9"/>
    <w:multiLevelType w:val="hybridMultilevel"/>
    <w:tmpl w:val="04A44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42E4"/>
    <w:multiLevelType w:val="hybridMultilevel"/>
    <w:tmpl w:val="A9FA4AD2"/>
    <w:lvl w:ilvl="0" w:tplc="0C090001">
      <w:start w:val="1"/>
      <w:numFmt w:val="bullet"/>
      <w:pStyle w:val="ACMANumb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64621"/>
    <w:multiLevelType w:val="hybridMultilevel"/>
    <w:tmpl w:val="0FA20E32"/>
    <w:lvl w:ilvl="0" w:tplc="A314E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515"/>
    <w:multiLevelType w:val="hybridMultilevel"/>
    <w:tmpl w:val="4E1C1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253E4"/>
    <w:multiLevelType w:val="hybridMultilevel"/>
    <w:tmpl w:val="E8BAB360"/>
    <w:lvl w:ilvl="0" w:tplc="1C8A2E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03A6"/>
    <w:multiLevelType w:val="hybridMultilevel"/>
    <w:tmpl w:val="4C163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D1869"/>
    <w:multiLevelType w:val="hybridMultilevel"/>
    <w:tmpl w:val="44CCDBB4"/>
    <w:lvl w:ilvl="0" w:tplc="B4DE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2AEF"/>
    <w:multiLevelType w:val="hybridMultilevel"/>
    <w:tmpl w:val="950C5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96A29"/>
    <w:multiLevelType w:val="hybridMultilevel"/>
    <w:tmpl w:val="4E80FABE"/>
    <w:lvl w:ilvl="0" w:tplc="2BF018E4">
      <w:numFmt w:val="bullet"/>
      <w:lvlText w:val="·"/>
      <w:lvlJc w:val="left"/>
      <w:pPr>
        <w:ind w:left="926" w:hanging="566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45EC4"/>
    <w:multiLevelType w:val="hybridMultilevel"/>
    <w:tmpl w:val="294472DC"/>
    <w:lvl w:ilvl="0" w:tplc="9E20D7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734D4"/>
    <w:multiLevelType w:val="hybridMultilevel"/>
    <w:tmpl w:val="C9DEED16"/>
    <w:lvl w:ilvl="0" w:tplc="26CE0246">
      <w:start w:val="1"/>
      <w:numFmt w:val="decimal"/>
      <w:lvlText w:val="%1."/>
      <w:lvlJc w:val="left"/>
      <w:pPr>
        <w:ind w:left="720" w:hanging="360"/>
      </w:pPr>
    </w:lvl>
    <w:lvl w:ilvl="1" w:tplc="7E6E9F9A">
      <w:start w:val="1"/>
      <w:numFmt w:val="lowerLetter"/>
      <w:lvlText w:val="%2."/>
      <w:lvlJc w:val="left"/>
      <w:pPr>
        <w:ind w:left="1440" w:hanging="360"/>
      </w:pPr>
    </w:lvl>
    <w:lvl w:ilvl="2" w:tplc="6E82039C" w:tentative="1">
      <w:start w:val="1"/>
      <w:numFmt w:val="lowerRoman"/>
      <w:lvlText w:val="%3."/>
      <w:lvlJc w:val="right"/>
      <w:pPr>
        <w:ind w:left="2160" w:hanging="180"/>
      </w:pPr>
    </w:lvl>
    <w:lvl w:ilvl="3" w:tplc="C098FF1E" w:tentative="1">
      <w:start w:val="1"/>
      <w:numFmt w:val="decimal"/>
      <w:lvlText w:val="%4."/>
      <w:lvlJc w:val="left"/>
      <w:pPr>
        <w:ind w:left="2880" w:hanging="360"/>
      </w:pPr>
    </w:lvl>
    <w:lvl w:ilvl="4" w:tplc="C7FE15C6" w:tentative="1">
      <w:start w:val="1"/>
      <w:numFmt w:val="lowerLetter"/>
      <w:lvlText w:val="%5."/>
      <w:lvlJc w:val="left"/>
      <w:pPr>
        <w:ind w:left="3600" w:hanging="360"/>
      </w:pPr>
    </w:lvl>
    <w:lvl w:ilvl="5" w:tplc="8C041C2E" w:tentative="1">
      <w:start w:val="1"/>
      <w:numFmt w:val="lowerRoman"/>
      <w:lvlText w:val="%6."/>
      <w:lvlJc w:val="right"/>
      <w:pPr>
        <w:ind w:left="4320" w:hanging="180"/>
      </w:pPr>
    </w:lvl>
    <w:lvl w:ilvl="6" w:tplc="5E925A48" w:tentative="1">
      <w:start w:val="1"/>
      <w:numFmt w:val="decimal"/>
      <w:lvlText w:val="%7."/>
      <w:lvlJc w:val="left"/>
      <w:pPr>
        <w:ind w:left="5040" w:hanging="360"/>
      </w:pPr>
    </w:lvl>
    <w:lvl w:ilvl="7" w:tplc="0526F52C" w:tentative="1">
      <w:start w:val="1"/>
      <w:numFmt w:val="lowerLetter"/>
      <w:lvlText w:val="%8."/>
      <w:lvlJc w:val="left"/>
      <w:pPr>
        <w:ind w:left="5760" w:hanging="360"/>
      </w:pPr>
    </w:lvl>
    <w:lvl w:ilvl="8" w:tplc="21503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060E5"/>
    <w:multiLevelType w:val="hybridMultilevel"/>
    <w:tmpl w:val="82E88162"/>
    <w:lvl w:ilvl="0" w:tplc="4F7475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20905"/>
    <w:multiLevelType w:val="hybridMultilevel"/>
    <w:tmpl w:val="3766C170"/>
    <w:lvl w:ilvl="0" w:tplc="FA94A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F2730"/>
    <w:multiLevelType w:val="hybridMultilevel"/>
    <w:tmpl w:val="F7B45BB4"/>
    <w:lvl w:ilvl="0" w:tplc="9CD4E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732FC"/>
    <w:multiLevelType w:val="hybridMultilevel"/>
    <w:tmpl w:val="5EAC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E71A7"/>
    <w:multiLevelType w:val="hybridMultilevel"/>
    <w:tmpl w:val="C02E1D7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7044A6"/>
    <w:multiLevelType w:val="hybridMultilevel"/>
    <w:tmpl w:val="C4187446"/>
    <w:lvl w:ilvl="0" w:tplc="E9947B96">
      <w:start w:val="1"/>
      <w:numFmt w:val="decimal"/>
      <w:pStyle w:val="EMlistparas"/>
      <w:lvlText w:val="%1."/>
      <w:lvlJc w:val="left"/>
      <w:pPr>
        <w:ind w:left="720" w:hanging="360"/>
      </w:pPr>
      <w:rPr>
        <w:b w:val="0"/>
        <w:i w:val="0"/>
      </w:rPr>
    </w:lvl>
    <w:lvl w:ilvl="1" w:tplc="C3F2CB04" w:tentative="1">
      <w:start w:val="1"/>
      <w:numFmt w:val="lowerLetter"/>
      <w:lvlText w:val="%2."/>
      <w:lvlJc w:val="left"/>
      <w:pPr>
        <w:ind w:left="1440" w:hanging="360"/>
      </w:pPr>
    </w:lvl>
    <w:lvl w:ilvl="2" w:tplc="11A07BA4" w:tentative="1">
      <w:start w:val="1"/>
      <w:numFmt w:val="lowerRoman"/>
      <w:lvlText w:val="%3."/>
      <w:lvlJc w:val="right"/>
      <w:pPr>
        <w:ind w:left="2160" w:hanging="180"/>
      </w:pPr>
    </w:lvl>
    <w:lvl w:ilvl="3" w:tplc="BE1E2490" w:tentative="1">
      <w:start w:val="1"/>
      <w:numFmt w:val="decimal"/>
      <w:lvlText w:val="%4."/>
      <w:lvlJc w:val="left"/>
      <w:pPr>
        <w:ind w:left="2880" w:hanging="360"/>
      </w:pPr>
    </w:lvl>
    <w:lvl w:ilvl="4" w:tplc="F8A0CE6E" w:tentative="1">
      <w:start w:val="1"/>
      <w:numFmt w:val="lowerLetter"/>
      <w:lvlText w:val="%5."/>
      <w:lvlJc w:val="left"/>
      <w:pPr>
        <w:ind w:left="3600" w:hanging="360"/>
      </w:pPr>
    </w:lvl>
    <w:lvl w:ilvl="5" w:tplc="F1E44AC4" w:tentative="1">
      <w:start w:val="1"/>
      <w:numFmt w:val="lowerRoman"/>
      <w:lvlText w:val="%6."/>
      <w:lvlJc w:val="right"/>
      <w:pPr>
        <w:ind w:left="4320" w:hanging="180"/>
      </w:pPr>
    </w:lvl>
    <w:lvl w:ilvl="6" w:tplc="D2BC06DE" w:tentative="1">
      <w:start w:val="1"/>
      <w:numFmt w:val="decimal"/>
      <w:lvlText w:val="%7."/>
      <w:lvlJc w:val="left"/>
      <w:pPr>
        <w:ind w:left="5040" w:hanging="360"/>
      </w:pPr>
    </w:lvl>
    <w:lvl w:ilvl="7" w:tplc="E2A0B666" w:tentative="1">
      <w:start w:val="1"/>
      <w:numFmt w:val="lowerLetter"/>
      <w:lvlText w:val="%8."/>
      <w:lvlJc w:val="left"/>
      <w:pPr>
        <w:ind w:left="5760" w:hanging="360"/>
      </w:pPr>
    </w:lvl>
    <w:lvl w:ilvl="8" w:tplc="FD844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95003"/>
    <w:multiLevelType w:val="hybridMultilevel"/>
    <w:tmpl w:val="7C9A7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B35F8"/>
    <w:multiLevelType w:val="hybridMultilevel"/>
    <w:tmpl w:val="CD829DC6"/>
    <w:lvl w:ilvl="0" w:tplc="F65A7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47049"/>
    <w:multiLevelType w:val="hybridMultilevel"/>
    <w:tmpl w:val="DFA08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34A2B"/>
    <w:multiLevelType w:val="hybridMultilevel"/>
    <w:tmpl w:val="0FA20E32"/>
    <w:lvl w:ilvl="0" w:tplc="A314E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274AE"/>
    <w:multiLevelType w:val="hybridMultilevel"/>
    <w:tmpl w:val="327E7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46E15"/>
    <w:multiLevelType w:val="hybridMultilevel"/>
    <w:tmpl w:val="B2F88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C159C"/>
    <w:multiLevelType w:val="hybridMultilevel"/>
    <w:tmpl w:val="618C8D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B55159"/>
    <w:multiLevelType w:val="hybridMultilevel"/>
    <w:tmpl w:val="0FA20E32"/>
    <w:lvl w:ilvl="0" w:tplc="A314E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D09BD"/>
    <w:multiLevelType w:val="hybridMultilevel"/>
    <w:tmpl w:val="98184C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FD4FCD"/>
    <w:multiLevelType w:val="hybridMultilevel"/>
    <w:tmpl w:val="780C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7192C"/>
    <w:multiLevelType w:val="hybridMultilevel"/>
    <w:tmpl w:val="0FA20E32"/>
    <w:lvl w:ilvl="0" w:tplc="A314E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2"/>
  </w:num>
  <w:num w:numId="7">
    <w:abstractNumId w:val="12"/>
  </w:num>
  <w:num w:numId="8">
    <w:abstractNumId w:val="31"/>
  </w:num>
  <w:num w:numId="9">
    <w:abstractNumId w:val="3"/>
  </w:num>
  <w:num w:numId="10">
    <w:abstractNumId w:val="12"/>
  </w:num>
  <w:num w:numId="11">
    <w:abstractNumId w:val="16"/>
  </w:num>
  <w:num w:numId="12">
    <w:abstractNumId w:val="14"/>
  </w:num>
  <w:num w:numId="13">
    <w:abstractNumId w:val="31"/>
  </w:num>
  <w:num w:numId="14">
    <w:abstractNumId w:val="3"/>
  </w:num>
  <w:num w:numId="15">
    <w:abstractNumId w:val="12"/>
  </w:num>
  <w:num w:numId="16">
    <w:abstractNumId w:val="16"/>
  </w:num>
  <w:num w:numId="17">
    <w:abstractNumId w:val="14"/>
  </w:num>
  <w:num w:numId="18">
    <w:abstractNumId w:val="36"/>
  </w:num>
  <w:num w:numId="19">
    <w:abstractNumId w:val="17"/>
  </w:num>
  <w:num w:numId="20">
    <w:abstractNumId w:val="0"/>
  </w:num>
  <w:num w:numId="21">
    <w:abstractNumId w:val="9"/>
  </w:num>
  <w:num w:numId="22">
    <w:abstractNumId w:val="7"/>
  </w:num>
  <w:num w:numId="23">
    <w:abstractNumId w:val="13"/>
  </w:num>
  <w:num w:numId="24">
    <w:abstractNumId w:val="21"/>
  </w:num>
  <w:num w:numId="25">
    <w:abstractNumId w:val="37"/>
  </w:num>
  <w:num w:numId="26">
    <w:abstractNumId w:val="1"/>
  </w:num>
  <w:num w:numId="27">
    <w:abstractNumId w:val="6"/>
  </w:num>
  <w:num w:numId="28">
    <w:abstractNumId w:val="7"/>
  </w:num>
  <w:num w:numId="29">
    <w:abstractNumId w:val="19"/>
  </w:num>
  <w:num w:numId="30">
    <w:abstractNumId w:val="26"/>
  </w:num>
  <w:num w:numId="31">
    <w:abstractNumId w:val="33"/>
  </w:num>
  <w:num w:numId="32">
    <w:abstractNumId w:val="25"/>
  </w:num>
  <w:num w:numId="33">
    <w:abstractNumId w:val="34"/>
  </w:num>
  <w:num w:numId="34">
    <w:abstractNumId w:val="27"/>
  </w:num>
  <w:num w:numId="35">
    <w:abstractNumId w:val="23"/>
  </w:num>
  <w:num w:numId="36">
    <w:abstractNumId w:val="15"/>
  </w:num>
  <w:num w:numId="37">
    <w:abstractNumId w:val="24"/>
  </w:num>
  <w:num w:numId="38">
    <w:abstractNumId w:val="11"/>
  </w:num>
  <w:num w:numId="39">
    <w:abstractNumId w:val="10"/>
  </w:num>
  <w:num w:numId="40">
    <w:abstractNumId w:val="18"/>
  </w:num>
  <w:num w:numId="41">
    <w:abstractNumId w:val="32"/>
  </w:num>
  <w:num w:numId="42">
    <w:abstractNumId w:val="29"/>
  </w:num>
  <w:num w:numId="43">
    <w:abstractNumId w:val="20"/>
  </w:num>
  <w:num w:numId="44">
    <w:abstractNumId w:val="28"/>
  </w:num>
  <w:num w:numId="45">
    <w:abstractNumId w:val="35"/>
  </w:num>
  <w:num w:numId="46">
    <w:abstractNumId w:val="30"/>
  </w:num>
  <w:num w:numId="47">
    <w:abstractNumId w:val="8"/>
  </w:num>
  <w:num w:numId="48">
    <w:abstractNumId w:val="38"/>
  </w:num>
  <w:num w:numId="49">
    <w:abstractNumId w:val="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79"/>
    <w:rsid w:val="00000735"/>
    <w:rsid w:val="00001DA3"/>
    <w:rsid w:val="00002640"/>
    <w:rsid w:val="00003720"/>
    <w:rsid w:val="00007780"/>
    <w:rsid w:val="000124F9"/>
    <w:rsid w:val="00013079"/>
    <w:rsid w:val="00025967"/>
    <w:rsid w:val="00025ACE"/>
    <w:rsid w:val="00026C19"/>
    <w:rsid w:val="00037F0E"/>
    <w:rsid w:val="00044420"/>
    <w:rsid w:val="00047C7E"/>
    <w:rsid w:val="00053554"/>
    <w:rsid w:val="00053961"/>
    <w:rsid w:val="00053A2C"/>
    <w:rsid w:val="00057A64"/>
    <w:rsid w:val="00060D72"/>
    <w:rsid w:val="00061B6C"/>
    <w:rsid w:val="00065DF8"/>
    <w:rsid w:val="00070D91"/>
    <w:rsid w:val="000726C7"/>
    <w:rsid w:val="00072B9D"/>
    <w:rsid w:val="00074A8D"/>
    <w:rsid w:val="00082354"/>
    <w:rsid w:val="00084066"/>
    <w:rsid w:val="00085EEE"/>
    <w:rsid w:val="00086C0D"/>
    <w:rsid w:val="00090660"/>
    <w:rsid w:val="00092136"/>
    <w:rsid w:val="00095AB3"/>
    <w:rsid w:val="00097045"/>
    <w:rsid w:val="000A07D0"/>
    <w:rsid w:val="000A0A57"/>
    <w:rsid w:val="000A1AED"/>
    <w:rsid w:val="000A3A94"/>
    <w:rsid w:val="000A7079"/>
    <w:rsid w:val="000B09BA"/>
    <w:rsid w:val="000B0BA7"/>
    <w:rsid w:val="000B0EB8"/>
    <w:rsid w:val="000B3149"/>
    <w:rsid w:val="000B33B6"/>
    <w:rsid w:val="000B4B6C"/>
    <w:rsid w:val="000B4E3C"/>
    <w:rsid w:val="000C0114"/>
    <w:rsid w:val="000C6436"/>
    <w:rsid w:val="000C66B3"/>
    <w:rsid w:val="000D0018"/>
    <w:rsid w:val="000D1C93"/>
    <w:rsid w:val="000D4ECE"/>
    <w:rsid w:val="000E01D8"/>
    <w:rsid w:val="000E0967"/>
    <w:rsid w:val="000E1045"/>
    <w:rsid w:val="000E349D"/>
    <w:rsid w:val="000E38C9"/>
    <w:rsid w:val="000E4572"/>
    <w:rsid w:val="000E46D6"/>
    <w:rsid w:val="000E6931"/>
    <w:rsid w:val="000E6EC7"/>
    <w:rsid w:val="000E6F58"/>
    <w:rsid w:val="000E7121"/>
    <w:rsid w:val="000F02B7"/>
    <w:rsid w:val="000F0E71"/>
    <w:rsid w:val="000F255E"/>
    <w:rsid w:val="000F3405"/>
    <w:rsid w:val="000F5ADB"/>
    <w:rsid w:val="000F5E09"/>
    <w:rsid w:val="000F6255"/>
    <w:rsid w:val="000F6A01"/>
    <w:rsid w:val="000F6BBB"/>
    <w:rsid w:val="000F6F04"/>
    <w:rsid w:val="000F7DAB"/>
    <w:rsid w:val="00100799"/>
    <w:rsid w:val="0010304B"/>
    <w:rsid w:val="00104130"/>
    <w:rsid w:val="001053EF"/>
    <w:rsid w:val="00106B62"/>
    <w:rsid w:val="00111B25"/>
    <w:rsid w:val="00112987"/>
    <w:rsid w:val="00117351"/>
    <w:rsid w:val="00120463"/>
    <w:rsid w:val="00120904"/>
    <w:rsid w:val="00121B9E"/>
    <w:rsid w:val="00121BEA"/>
    <w:rsid w:val="00122072"/>
    <w:rsid w:val="00123A82"/>
    <w:rsid w:val="00126D56"/>
    <w:rsid w:val="00130918"/>
    <w:rsid w:val="00134705"/>
    <w:rsid w:val="00135445"/>
    <w:rsid w:val="0013577A"/>
    <w:rsid w:val="00135CC5"/>
    <w:rsid w:val="001360F5"/>
    <w:rsid w:val="00145009"/>
    <w:rsid w:val="001457A0"/>
    <w:rsid w:val="00146879"/>
    <w:rsid w:val="00146A0C"/>
    <w:rsid w:val="00147E05"/>
    <w:rsid w:val="00152032"/>
    <w:rsid w:val="00152416"/>
    <w:rsid w:val="00154FD9"/>
    <w:rsid w:val="001610E7"/>
    <w:rsid w:val="00161C73"/>
    <w:rsid w:val="00162ED7"/>
    <w:rsid w:val="00164CD0"/>
    <w:rsid w:val="0016630D"/>
    <w:rsid w:val="001675AE"/>
    <w:rsid w:val="00167A41"/>
    <w:rsid w:val="00171A54"/>
    <w:rsid w:val="001743AC"/>
    <w:rsid w:val="0017496D"/>
    <w:rsid w:val="00174EBB"/>
    <w:rsid w:val="00175F30"/>
    <w:rsid w:val="00180B8B"/>
    <w:rsid w:val="00185BDC"/>
    <w:rsid w:val="00185D8A"/>
    <w:rsid w:val="00187DCB"/>
    <w:rsid w:val="00193D67"/>
    <w:rsid w:val="00194190"/>
    <w:rsid w:val="001942D4"/>
    <w:rsid w:val="00194541"/>
    <w:rsid w:val="00195196"/>
    <w:rsid w:val="001974EC"/>
    <w:rsid w:val="001A7B17"/>
    <w:rsid w:val="001A7F44"/>
    <w:rsid w:val="001B013B"/>
    <w:rsid w:val="001B1982"/>
    <w:rsid w:val="001B26F1"/>
    <w:rsid w:val="001C14F5"/>
    <w:rsid w:val="001C184E"/>
    <w:rsid w:val="001C22C4"/>
    <w:rsid w:val="001C2641"/>
    <w:rsid w:val="001C27AA"/>
    <w:rsid w:val="001C4BF8"/>
    <w:rsid w:val="001C5421"/>
    <w:rsid w:val="001C5E9C"/>
    <w:rsid w:val="001D0BC7"/>
    <w:rsid w:val="001D1015"/>
    <w:rsid w:val="001D136D"/>
    <w:rsid w:val="001D335B"/>
    <w:rsid w:val="001D50B7"/>
    <w:rsid w:val="001D5C25"/>
    <w:rsid w:val="001E1034"/>
    <w:rsid w:val="001E2E43"/>
    <w:rsid w:val="001E343E"/>
    <w:rsid w:val="001E4790"/>
    <w:rsid w:val="001E61C2"/>
    <w:rsid w:val="001E7225"/>
    <w:rsid w:val="001F1E36"/>
    <w:rsid w:val="001F264F"/>
    <w:rsid w:val="001F39C2"/>
    <w:rsid w:val="001F6BF4"/>
    <w:rsid w:val="0020098D"/>
    <w:rsid w:val="00201FD1"/>
    <w:rsid w:val="00203ED7"/>
    <w:rsid w:val="0020550F"/>
    <w:rsid w:val="0021021B"/>
    <w:rsid w:val="00212847"/>
    <w:rsid w:val="00212BF0"/>
    <w:rsid w:val="00213746"/>
    <w:rsid w:val="00221D53"/>
    <w:rsid w:val="002269B6"/>
    <w:rsid w:val="002314C6"/>
    <w:rsid w:val="00231647"/>
    <w:rsid w:val="00231B6F"/>
    <w:rsid w:val="0023424B"/>
    <w:rsid w:val="002358B5"/>
    <w:rsid w:val="002456A7"/>
    <w:rsid w:val="00250305"/>
    <w:rsid w:val="002508F7"/>
    <w:rsid w:val="002539C2"/>
    <w:rsid w:val="00253F04"/>
    <w:rsid w:val="00256973"/>
    <w:rsid w:val="00257986"/>
    <w:rsid w:val="00262BB8"/>
    <w:rsid w:val="002674E7"/>
    <w:rsid w:val="00267C10"/>
    <w:rsid w:val="00267CA0"/>
    <w:rsid w:val="00271F52"/>
    <w:rsid w:val="0027361F"/>
    <w:rsid w:val="00274AE2"/>
    <w:rsid w:val="00275283"/>
    <w:rsid w:val="00276BD1"/>
    <w:rsid w:val="002779CD"/>
    <w:rsid w:val="00281E14"/>
    <w:rsid w:val="00292072"/>
    <w:rsid w:val="0029255E"/>
    <w:rsid w:val="00295DCA"/>
    <w:rsid w:val="002A015B"/>
    <w:rsid w:val="002A14E0"/>
    <w:rsid w:val="002A1C3D"/>
    <w:rsid w:val="002A2AA7"/>
    <w:rsid w:val="002B6699"/>
    <w:rsid w:val="002C11AD"/>
    <w:rsid w:val="002C2256"/>
    <w:rsid w:val="002C67A7"/>
    <w:rsid w:val="002D31F7"/>
    <w:rsid w:val="002E0555"/>
    <w:rsid w:val="002E165C"/>
    <w:rsid w:val="002E17FD"/>
    <w:rsid w:val="002E3B2A"/>
    <w:rsid w:val="002E4A97"/>
    <w:rsid w:val="002F36E0"/>
    <w:rsid w:val="00300250"/>
    <w:rsid w:val="00301549"/>
    <w:rsid w:val="003107BC"/>
    <w:rsid w:val="0031086F"/>
    <w:rsid w:val="003114F8"/>
    <w:rsid w:val="00311561"/>
    <w:rsid w:val="003152CD"/>
    <w:rsid w:val="00315BCA"/>
    <w:rsid w:val="00320317"/>
    <w:rsid w:val="0032140E"/>
    <w:rsid w:val="003214DB"/>
    <w:rsid w:val="00323D9B"/>
    <w:rsid w:val="00330EB3"/>
    <w:rsid w:val="003314C2"/>
    <w:rsid w:val="003319D0"/>
    <w:rsid w:val="00334F56"/>
    <w:rsid w:val="00335B7B"/>
    <w:rsid w:val="00336F28"/>
    <w:rsid w:val="003376E4"/>
    <w:rsid w:val="00340C28"/>
    <w:rsid w:val="00342DBA"/>
    <w:rsid w:val="003434D4"/>
    <w:rsid w:val="00346D0B"/>
    <w:rsid w:val="00346F94"/>
    <w:rsid w:val="0035124E"/>
    <w:rsid w:val="003532BC"/>
    <w:rsid w:val="0035467C"/>
    <w:rsid w:val="00354FB7"/>
    <w:rsid w:val="00355061"/>
    <w:rsid w:val="003563C9"/>
    <w:rsid w:val="00356B8F"/>
    <w:rsid w:val="003633CB"/>
    <w:rsid w:val="0036738B"/>
    <w:rsid w:val="0036752E"/>
    <w:rsid w:val="00370620"/>
    <w:rsid w:val="00370F91"/>
    <w:rsid w:val="0037177A"/>
    <w:rsid w:val="00375FA7"/>
    <w:rsid w:val="003827D9"/>
    <w:rsid w:val="00385523"/>
    <w:rsid w:val="00385562"/>
    <w:rsid w:val="00385EF1"/>
    <w:rsid w:val="003861E7"/>
    <w:rsid w:val="00391189"/>
    <w:rsid w:val="00396D2D"/>
    <w:rsid w:val="003A179C"/>
    <w:rsid w:val="003A3635"/>
    <w:rsid w:val="003A5F1A"/>
    <w:rsid w:val="003A7407"/>
    <w:rsid w:val="003B3D92"/>
    <w:rsid w:val="003B4E2C"/>
    <w:rsid w:val="003B5C7E"/>
    <w:rsid w:val="003C01EF"/>
    <w:rsid w:val="003C05DF"/>
    <w:rsid w:val="003C1F66"/>
    <w:rsid w:val="003C2F82"/>
    <w:rsid w:val="003C44B4"/>
    <w:rsid w:val="003C7E52"/>
    <w:rsid w:val="003D2E75"/>
    <w:rsid w:val="003D72D7"/>
    <w:rsid w:val="003D74BE"/>
    <w:rsid w:val="003E3BEF"/>
    <w:rsid w:val="003F2878"/>
    <w:rsid w:val="003F40C1"/>
    <w:rsid w:val="00400A30"/>
    <w:rsid w:val="00403C92"/>
    <w:rsid w:val="00404D40"/>
    <w:rsid w:val="00407468"/>
    <w:rsid w:val="0041003E"/>
    <w:rsid w:val="00410F05"/>
    <w:rsid w:val="004117DC"/>
    <w:rsid w:val="00411F68"/>
    <w:rsid w:val="00414378"/>
    <w:rsid w:val="00421CC1"/>
    <w:rsid w:val="00422CFA"/>
    <w:rsid w:val="00422D41"/>
    <w:rsid w:val="004240AC"/>
    <w:rsid w:val="004270F0"/>
    <w:rsid w:val="00430A1B"/>
    <w:rsid w:val="00431064"/>
    <w:rsid w:val="004311FD"/>
    <w:rsid w:val="004322E8"/>
    <w:rsid w:val="004362E3"/>
    <w:rsid w:val="00437FE1"/>
    <w:rsid w:val="00440B55"/>
    <w:rsid w:val="00442CCC"/>
    <w:rsid w:val="004444ED"/>
    <w:rsid w:val="00446273"/>
    <w:rsid w:val="00446CB7"/>
    <w:rsid w:val="0045039C"/>
    <w:rsid w:val="00450F48"/>
    <w:rsid w:val="00452008"/>
    <w:rsid w:val="0045489F"/>
    <w:rsid w:val="00456CFA"/>
    <w:rsid w:val="004571D7"/>
    <w:rsid w:val="00460A82"/>
    <w:rsid w:val="00464574"/>
    <w:rsid w:val="004647FD"/>
    <w:rsid w:val="00465383"/>
    <w:rsid w:val="00465600"/>
    <w:rsid w:val="004656BB"/>
    <w:rsid w:val="00466546"/>
    <w:rsid w:val="00466953"/>
    <w:rsid w:val="00467E12"/>
    <w:rsid w:val="00470466"/>
    <w:rsid w:val="004705BB"/>
    <w:rsid w:val="00472D7C"/>
    <w:rsid w:val="00474889"/>
    <w:rsid w:val="004802E6"/>
    <w:rsid w:val="004813AB"/>
    <w:rsid w:val="004826DD"/>
    <w:rsid w:val="00486E8E"/>
    <w:rsid w:val="00486FB0"/>
    <w:rsid w:val="004943E9"/>
    <w:rsid w:val="0049669D"/>
    <w:rsid w:val="004971D6"/>
    <w:rsid w:val="004A0003"/>
    <w:rsid w:val="004A0EA9"/>
    <w:rsid w:val="004A1064"/>
    <w:rsid w:val="004A2A04"/>
    <w:rsid w:val="004A5FC3"/>
    <w:rsid w:val="004B3BC5"/>
    <w:rsid w:val="004B55A4"/>
    <w:rsid w:val="004B7DB2"/>
    <w:rsid w:val="004B7EBB"/>
    <w:rsid w:val="004C002C"/>
    <w:rsid w:val="004C4A29"/>
    <w:rsid w:val="004C5618"/>
    <w:rsid w:val="004C583E"/>
    <w:rsid w:val="004C58B9"/>
    <w:rsid w:val="004C7F7C"/>
    <w:rsid w:val="004D144C"/>
    <w:rsid w:val="004D1949"/>
    <w:rsid w:val="004D2843"/>
    <w:rsid w:val="004D2B9D"/>
    <w:rsid w:val="004D3147"/>
    <w:rsid w:val="004D4FA1"/>
    <w:rsid w:val="004D7AF7"/>
    <w:rsid w:val="004D7EBA"/>
    <w:rsid w:val="004E0C7C"/>
    <w:rsid w:val="004E139B"/>
    <w:rsid w:val="004E1D41"/>
    <w:rsid w:val="004E48CF"/>
    <w:rsid w:val="004E49E0"/>
    <w:rsid w:val="004E5843"/>
    <w:rsid w:val="004E69CF"/>
    <w:rsid w:val="004E71D0"/>
    <w:rsid w:val="004E790E"/>
    <w:rsid w:val="004F045B"/>
    <w:rsid w:val="004F1B12"/>
    <w:rsid w:val="004F473B"/>
    <w:rsid w:val="004F4C74"/>
    <w:rsid w:val="0050389F"/>
    <w:rsid w:val="00512524"/>
    <w:rsid w:val="00513516"/>
    <w:rsid w:val="00513AE6"/>
    <w:rsid w:val="005143A5"/>
    <w:rsid w:val="00517D62"/>
    <w:rsid w:val="005208DF"/>
    <w:rsid w:val="00522CD0"/>
    <w:rsid w:val="00522D90"/>
    <w:rsid w:val="00523166"/>
    <w:rsid w:val="00524ECC"/>
    <w:rsid w:val="00525F7E"/>
    <w:rsid w:val="0052687A"/>
    <w:rsid w:val="00530223"/>
    <w:rsid w:val="00530284"/>
    <w:rsid w:val="00531EC2"/>
    <w:rsid w:val="00532CD8"/>
    <w:rsid w:val="00543E4F"/>
    <w:rsid w:val="00544078"/>
    <w:rsid w:val="00545709"/>
    <w:rsid w:val="00551C7C"/>
    <w:rsid w:val="00552495"/>
    <w:rsid w:val="0055279C"/>
    <w:rsid w:val="005602B1"/>
    <w:rsid w:val="005621EC"/>
    <w:rsid w:val="005676B7"/>
    <w:rsid w:val="00567D6B"/>
    <w:rsid w:val="00570974"/>
    <w:rsid w:val="005714C9"/>
    <w:rsid w:val="005716AC"/>
    <w:rsid w:val="005722A5"/>
    <w:rsid w:val="00573B07"/>
    <w:rsid w:val="0057479E"/>
    <w:rsid w:val="00575DE2"/>
    <w:rsid w:val="0058047C"/>
    <w:rsid w:val="00580655"/>
    <w:rsid w:val="005835C9"/>
    <w:rsid w:val="005909DB"/>
    <w:rsid w:val="00590B8D"/>
    <w:rsid w:val="0059361D"/>
    <w:rsid w:val="005958D6"/>
    <w:rsid w:val="005964CF"/>
    <w:rsid w:val="005A17BD"/>
    <w:rsid w:val="005A5C50"/>
    <w:rsid w:val="005A617F"/>
    <w:rsid w:val="005A76E2"/>
    <w:rsid w:val="005B0773"/>
    <w:rsid w:val="005B63FA"/>
    <w:rsid w:val="005B6F5A"/>
    <w:rsid w:val="005C3EDA"/>
    <w:rsid w:val="005C4F45"/>
    <w:rsid w:val="005C65EB"/>
    <w:rsid w:val="005C733A"/>
    <w:rsid w:val="005C752E"/>
    <w:rsid w:val="005C7F45"/>
    <w:rsid w:val="005D03E9"/>
    <w:rsid w:val="005D6507"/>
    <w:rsid w:val="005D6AD7"/>
    <w:rsid w:val="005D7029"/>
    <w:rsid w:val="005D76FE"/>
    <w:rsid w:val="005D7D2A"/>
    <w:rsid w:val="005E0ED6"/>
    <w:rsid w:val="005F02B5"/>
    <w:rsid w:val="005F4DBB"/>
    <w:rsid w:val="005F5BE6"/>
    <w:rsid w:val="005F5FBF"/>
    <w:rsid w:val="005F64E8"/>
    <w:rsid w:val="005F68B5"/>
    <w:rsid w:val="00601326"/>
    <w:rsid w:val="006022CE"/>
    <w:rsid w:val="00603B3F"/>
    <w:rsid w:val="00603BE6"/>
    <w:rsid w:val="0060490F"/>
    <w:rsid w:val="00606F7C"/>
    <w:rsid w:val="00613C84"/>
    <w:rsid w:val="0062088E"/>
    <w:rsid w:val="00621DAB"/>
    <w:rsid w:val="006220ED"/>
    <w:rsid w:val="006234AF"/>
    <w:rsid w:val="006302BF"/>
    <w:rsid w:val="00633832"/>
    <w:rsid w:val="0063699B"/>
    <w:rsid w:val="00637126"/>
    <w:rsid w:val="006378CD"/>
    <w:rsid w:val="00641906"/>
    <w:rsid w:val="006433BB"/>
    <w:rsid w:val="00643E01"/>
    <w:rsid w:val="00644082"/>
    <w:rsid w:val="00644A90"/>
    <w:rsid w:val="00651D49"/>
    <w:rsid w:val="006545EA"/>
    <w:rsid w:val="00656D5F"/>
    <w:rsid w:val="00657D0C"/>
    <w:rsid w:val="006638F5"/>
    <w:rsid w:val="00663AF2"/>
    <w:rsid w:val="00664CFE"/>
    <w:rsid w:val="00667F17"/>
    <w:rsid w:val="00670716"/>
    <w:rsid w:val="00671216"/>
    <w:rsid w:val="006719A5"/>
    <w:rsid w:val="00672849"/>
    <w:rsid w:val="006729DB"/>
    <w:rsid w:val="00674E42"/>
    <w:rsid w:val="00676B72"/>
    <w:rsid w:val="006770B4"/>
    <w:rsid w:val="00681986"/>
    <w:rsid w:val="00681D78"/>
    <w:rsid w:val="00683B8C"/>
    <w:rsid w:val="00683E72"/>
    <w:rsid w:val="00686F06"/>
    <w:rsid w:val="00687290"/>
    <w:rsid w:val="006873C8"/>
    <w:rsid w:val="0069038E"/>
    <w:rsid w:val="00693486"/>
    <w:rsid w:val="006940DB"/>
    <w:rsid w:val="0069570E"/>
    <w:rsid w:val="00696659"/>
    <w:rsid w:val="006A0BDF"/>
    <w:rsid w:val="006A2D7A"/>
    <w:rsid w:val="006A2FFA"/>
    <w:rsid w:val="006A53BB"/>
    <w:rsid w:val="006A7D79"/>
    <w:rsid w:val="006B166A"/>
    <w:rsid w:val="006B20C2"/>
    <w:rsid w:val="006B460C"/>
    <w:rsid w:val="006B4D00"/>
    <w:rsid w:val="006B64DA"/>
    <w:rsid w:val="006C00D2"/>
    <w:rsid w:val="006C366C"/>
    <w:rsid w:val="006C4209"/>
    <w:rsid w:val="006C43BC"/>
    <w:rsid w:val="006C59D5"/>
    <w:rsid w:val="006C6460"/>
    <w:rsid w:val="006C7F67"/>
    <w:rsid w:val="006D0224"/>
    <w:rsid w:val="006D0916"/>
    <w:rsid w:val="006D09D8"/>
    <w:rsid w:val="006D28BB"/>
    <w:rsid w:val="006D5128"/>
    <w:rsid w:val="006D6346"/>
    <w:rsid w:val="006F0192"/>
    <w:rsid w:val="006F1682"/>
    <w:rsid w:val="006F29A6"/>
    <w:rsid w:val="006F32BF"/>
    <w:rsid w:val="006F5C66"/>
    <w:rsid w:val="006F6F33"/>
    <w:rsid w:val="007005B8"/>
    <w:rsid w:val="00700948"/>
    <w:rsid w:val="007045A5"/>
    <w:rsid w:val="0070611D"/>
    <w:rsid w:val="00706F43"/>
    <w:rsid w:val="007079D0"/>
    <w:rsid w:val="0071781E"/>
    <w:rsid w:val="007205CF"/>
    <w:rsid w:val="00722C15"/>
    <w:rsid w:val="0072553F"/>
    <w:rsid w:val="00725B10"/>
    <w:rsid w:val="00731E9E"/>
    <w:rsid w:val="00740597"/>
    <w:rsid w:val="00740749"/>
    <w:rsid w:val="00744002"/>
    <w:rsid w:val="0074661C"/>
    <w:rsid w:val="00747FA6"/>
    <w:rsid w:val="00750397"/>
    <w:rsid w:val="00751F14"/>
    <w:rsid w:val="00754F38"/>
    <w:rsid w:val="00755C05"/>
    <w:rsid w:val="007577EB"/>
    <w:rsid w:val="00757A50"/>
    <w:rsid w:val="00763CCE"/>
    <w:rsid w:val="0076480F"/>
    <w:rsid w:val="0076520D"/>
    <w:rsid w:val="00766475"/>
    <w:rsid w:val="00766FDE"/>
    <w:rsid w:val="00771370"/>
    <w:rsid w:val="0077145C"/>
    <w:rsid w:val="0077364D"/>
    <w:rsid w:val="00774020"/>
    <w:rsid w:val="0077669C"/>
    <w:rsid w:val="00781237"/>
    <w:rsid w:val="00787206"/>
    <w:rsid w:val="00787B3B"/>
    <w:rsid w:val="00794C5F"/>
    <w:rsid w:val="00797A9D"/>
    <w:rsid w:val="007A0103"/>
    <w:rsid w:val="007A04B0"/>
    <w:rsid w:val="007A09E1"/>
    <w:rsid w:val="007A16FD"/>
    <w:rsid w:val="007A2277"/>
    <w:rsid w:val="007A36AB"/>
    <w:rsid w:val="007B2ED8"/>
    <w:rsid w:val="007B4D52"/>
    <w:rsid w:val="007C1548"/>
    <w:rsid w:val="007C65DE"/>
    <w:rsid w:val="007C6A83"/>
    <w:rsid w:val="007C74BF"/>
    <w:rsid w:val="007D05DB"/>
    <w:rsid w:val="007D1F20"/>
    <w:rsid w:val="007D34F4"/>
    <w:rsid w:val="007D7D3C"/>
    <w:rsid w:val="007E0CF9"/>
    <w:rsid w:val="007E3E24"/>
    <w:rsid w:val="007E76CB"/>
    <w:rsid w:val="007F4889"/>
    <w:rsid w:val="007F6891"/>
    <w:rsid w:val="007F6EA4"/>
    <w:rsid w:val="00800C29"/>
    <w:rsid w:val="00805358"/>
    <w:rsid w:val="008070A8"/>
    <w:rsid w:val="00810499"/>
    <w:rsid w:val="0081166D"/>
    <w:rsid w:val="0081203C"/>
    <w:rsid w:val="008135BE"/>
    <w:rsid w:val="00813848"/>
    <w:rsid w:val="0081460B"/>
    <w:rsid w:val="00815723"/>
    <w:rsid w:val="00816234"/>
    <w:rsid w:val="00817F14"/>
    <w:rsid w:val="00820EFB"/>
    <w:rsid w:val="008212D9"/>
    <w:rsid w:val="0082159B"/>
    <w:rsid w:val="00821F3F"/>
    <w:rsid w:val="008223D1"/>
    <w:rsid w:val="00823605"/>
    <w:rsid w:val="0082481B"/>
    <w:rsid w:val="008263B8"/>
    <w:rsid w:val="008269F4"/>
    <w:rsid w:val="0082754D"/>
    <w:rsid w:val="00831B30"/>
    <w:rsid w:val="00831BE8"/>
    <w:rsid w:val="008331B4"/>
    <w:rsid w:val="00833AF9"/>
    <w:rsid w:val="00837157"/>
    <w:rsid w:val="00840AF2"/>
    <w:rsid w:val="008441CF"/>
    <w:rsid w:val="0084470A"/>
    <w:rsid w:val="008476A1"/>
    <w:rsid w:val="008509F4"/>
    <w:rsid w:val="008544F4"/>
    <w:rsid w:val="00854F60"/>
    <w:rsid w:val="0085578D"/>
    <w:rsid w:val="00855E03"/>
    <w:rsid w:val="00857F10"/>
    <w:rsid w:val="00861064"/>
    <w:rsid w:val="00861AA0"/>
    <w:rsid w:val="008638C0"/>
    <w:rsid w:val="00865176"/>
    <w:rsid w:val="00865D3E"/>
    <w:rsid w:val="00871C8E"/>
    <w:rsid w:val="0087707C"/>
    <w:rsid w:val="00877F70"/>
    <w:rsid w:val="00880949"/>
    <w:rsid w:val="00882F6C"/>
    <w:rsid w:val="00883113"/>
    <w:rsid w:val="00885AB2"/>
    <w:rsid w:val="00891B33"/>
    <w:rsid w:val="0089225C"/>
    <w:rsid w:val="00897AED"/>
    <w:rsid w:val="008A15A9"/>
    <w:rsid w:val="008A1FDF"/>
    <w:rsid w:val="008A3E69"/>
    <w:rsid w:val="008A6201"/>
    <w:rsid w:val="008B54D0"/>
    <w:rsid w:val="008B69CE"/>
    <w:rsid w:val="008C037D"/>
    <w:rsid w:val="008C0397"/>
    <w:rsid w:val="008C332C"/>
    <w:rsid w:val="008C3CAB"/>
    <w:rsid w:val="008C584E"/>
    <w:rsid w:val="008C616E"/>
    <w:rsid w:val="008C7615"/>
    <w:rsid w:val="008D0A43"/>
    <w:rsid w:val="008D2CA7"/>
    <w:rsid w:val="008D33EE"/>
    <w:rsid w:val="008D568D"/>
    <w:rsid w:val="008D5C62"/>
    <w:rsid w:val="008E13F0"/>
    <w:rsid w:val="008E24FA"/>
    <w:rsid w:val="008E270B"/>
    <w:rsid w:val="008E3483"/>
    <w:rsid w:val="008E3B94"/>
    <w:rsid w:val="008E5630"/>
    <w:rsid w:val="008E69AA"/>
    <w:rsid w:val="008E6E1E"/>
    <w:rsid w:val="008E701C"/>
    <w:rsid w:val="008F2B37"/>
    <w:rsid w:val="008F315E"/>
    <w:rsid w:val="008F437D"/>
    <w:rsid w:val="008F4728"/>
    <w:rsid w:val="008F4C58"/>
    <w:rsid w:val="008F7779"/>
    <w:rsid w:val="008F7A32"/>
    <w:rsid w:val="00902F36"/>
    <w:rsid w:val="00903D4A"/>
    <w:rsid w:val="0090572C"/>
    <w:rsid w:val="0091050D"/>
    <w:rsid w:val="00910742"/>
    <w:rsid w:val="0091080B"/>
    <w:rsid w:val="00911D54"/>
    <w:rsid w:val="00912A2E"/>
    <w:rsid w:val="00921DAA"/>
    <w:rsid w:val="009220BD"/>
    <w:rsid w:val="00923064"/>
    <w:rsid w:val="009230B7"/>
    <w:rsid w:val="009256DA"/>
    <w:rsid w:val="00926833"/>
    <w:rsid w:val="009328C9"/>
    <w:rsid w:val="00932B9E"/>
    <w:rsid w:val="009363FB"/>
    <w:rsid w:val="0093762D"/>
    <w:rsid w:val="00940156"/>
    <w:rsid w:val="00940260"/>
    <w:rsid w:val="0094505A"/>
    <w:rsid w:val="00945216"/>
    <w:rsid w:val="009452CD"/>
    <w:rsid w:val="00947231"/>
    <w:rsid w:val="00947436"/>
    <w:rsid w:val="0095078F"/>
    <w:rsid w:val="0095124C"/>
    <w:rsid w:val="00951F7C"/>
    <w:rsid w:val="0095759B"/>
    <w:rsid w:val="00961BD6"/>
    <w:rsid w:val="0096323C"/>
    <w:rsid w:val="009641E8"/>
    <w:rsid w:val="0096537E"/>
    <w:rsid w:val="009657C6"/>
    <w:rsid w:val="009670B7"/>
    <w:rsid w:val="009723D1"/>
    <w:rsid w:val="009732C1"/>
    <w:rsid w:val="00974527"/>
    <w:rsid w:val="00977705"/>
    <w:rsid w:val="00977EEB"/>
    <w:rsid w:val="00981CFC"/>
    <w:rsid w:val="009824A8"/>
    <w:rsid w:val="00990107"/>
    <w:rsid w:val="00995A5B"/>
    <w:rsid w:val="0099763B"/>
    <w:rsid w:val="009A0783"/>
    <w:rsid w:val="009A0B83"/>
    <w:rsid w:val="009A4338"/>
    <w:rsid w:val="009A7548"/>
    <w:rsid w:val="009B05F7"/>
    <w:rsid w:val="009B0BCF"/>
    <w:rsid w:val="009B400C"/>
    <w:rsid w:val="009B6ACC"/>
    <w:rsid w:val="009C0566"/>
    <w:rsid w:val="009C07B7"/>
    <w:rsid w:val="009C1349"/>
    <w:rsid w:val="009C24F4"/>
    <w:rsid w:val="009C73DF"/>
    <w:rsid w:val="009D0EC2"/>
    <w:rsid w:val="009D11FA"/>
    <w:rsid w:val="009D37B6"/>
    <w:rsid w:val="009D5783"/>
    <w:rsid w:val="009D67A8"/>
    <w:rsid w:val="009E20C4"/>
    <w:rsid w:val="009E24EF"/>
    <w:rsid w:val="009E2F49"/>
    <w:rsid w:val="009E36F2"/>
    <w:rsid w:val="009E3EBF"/>
    <w:rsid w:val="009E4875"/>
    <w:rsid w:val="009F0CB1"/>
    <w:rsid w:val="009F362A"/>
    <w:rsid w:val="009F3E22"/>
    <w:rsid w:val="009F61DE"/>
    <w:rsid w:val="009F6E12"/>
    <w:rsid w:val="009F7219"/>
    <w:rsid w:val="009F7546"/>
    <w:rsid w:val="009F7E2A"/>
    <w:rsid w:val="00A01735"/>
    <w:rsid w:val="00A02D0D"/>
    <w:rsid w:val="00A044EE"/>
    <w:rsid w:val="00A07A2F"/>
    <w:rsid w:val="00A07D7F"/>
    <w:rsid w:val="00A120A6"/>
    <w:rsid w:val="00A1210D"/>
    <w:rsid w:val="00A1335E"/>
    <w:rsid w:val="00A15056"/>
    <w:rsid w:val="00A213A8"/>
    <w:rsid w:val="00A21F3E"/>
    <w:rsid w:val="00A2686C"/>
    <w:rsid w:val="00A30929"/>
    <w:rsid w:val="00A31D27"/>
    <w:rsid w:val="00A324C0"/>
    <w:rsid w:val="00A325B0"/>
    <w:rsid w:val="00A340BC"/>
    <w:rsid w:val="00A3691E"/>
    <w:rsid w:val="00A375D6"/>
    <w:rsid w:val="00A37822"/>
    <w:rsid w:val="00A401FA"/>
    <w:rsid w:val="00A40308"/>
    <w:rsid w:val="00A425CA"/>
    <w:rsid w:val="00A43957"/>
    <w:rsid w:val="00A44A2A"/>
    <w:rsid w:val="00A5001C"/>
    <w:rsid w:val="00A50A58"/>
    <w:rsid w:val="00A55F5D"/>
    <w:rsid w:val="00A562DB"/>
    <w:rsid w:val="00A56EC6"/>
    <w:rsid w:val="00A64A1C"/>
    <w:rsid w:val="00A64EC4"/>
    <w:rsid w:val="00A65DF5"/>
    <w:rsid w:val="00A65FD2"/>
    <w:rsid w:val="00A6638D"/>
    <w:rsid w:val="00A6777F"/>
    <w:rsid w:val="00A7023B"/>
    <w:rsid w:val="00A75026"/>
    <w:rsid w:val="00A766FE"/>
    <w:rsid w:val="00A80590"/>
    <w:rsid w:val="00A80FFB"/>
    <w:rsid w:val="00A87973"/>
    <w:rsid w:val="00A96592"/>
    <w:rsid w:val="00A97810"/>
    <w:rsid w:val="00AA2E7F"/>
    <w:rsid w:val="00AA463F"/>
    <w:rsid w:val="00AA6088"/>
    <w:rsid w:val="00AA68E1"/>
    <w:rsid w:val="00AA6C57"/>
    <w:rsid w:val="00AB2F64"/>
    <w:rsid w:val="00AB5B1E"/>
    <w:rsid w:val="00AB65E7"/>
    <w:rsid w:val="00AB79EA"/>
    <w:rsid w:val="00AC1E99"/>
    <w:rsid w:val="00AC49B2"/>
    <w:rsid w:val="00AC4BC5"/>
    <w:rsid w:val="00AC582C"/>
    <w:rsid w:val="00AD3414"/>
    <w:rsid w:val="00AD500F"/>
    <w:rsid w:val="00AD5DC5"/>
    <w:rsid w:val="00AD5EAC"/>
    <w:rsid w:val="00AD6249"/>
    <w:rsid w:val="00AE0196"/>
    <w:rsid w:val="00AE2CB4"/>
    <w:rsid w:val="00AE6898"/>
    <w:rsid w:val="00AF080D"/>
    <w:rsid w:val="00AF21B2"/>
    <w:rsid w:val="00AF6545"/>
    <w:rsid w:val="00B00FC3"/>
    <w:rsid w:val="00B02541"/>
    <w:rsid w:val="00B0437E"/>
    <w:rsid w:val="00B046C4"/>
    <w:rsid w:val="00B07E41"/>
    <w:rsid w:val="00B14F17"/>
    <w:rsid w:val="00B15722"/>
    <w:rsid w:val="00B158B6"/>
    <w:rsid w:val="00B15B55"/>
    <w:rsid w:val="00B16700"/>
    <w:rsid w:val="00B178A6"/>
    <w:rsid w:val="00B25D72"/>
    <w:rsid w:val="00B26B58"/>
    <w:rsid w:val="00B30C9D"/>
    <w:rsid w:val="00B31476"/>
    <w:rsid w:val="00B35EFD"/>
    <w:rsid w:val="00B41EC6"/>
    <w:rsid w:val="00B41F9B"/>
    <w:rsid w:val="00B52584"/>
    <w:rsid w:val="00B52F5E"/>
    <w:rsid w:val="00B54F58"/>
    <w:rsid w:val="00B56E8A"/>
    <w:rsid w:val="00B575BF"/>
    <w:rsid w:val="00B6466A"/>
    <w:rsid w:val="00B65B66"/>
    <w:rsid w:val="00B665E6"/>
    <w:rsid w:val="00B671C1"/>
    <w:rsid w:val="00B677E9"/>
    <w:rsid w:val="00B70941"/>
    <w:rsid w:val="00B727F3"/>
    <w:rsid w:val="00B76C14"/>
    <w:rsid w:val="00B7722C"/>
    <w:rsid w:val="00B83461"/>
    <w:rsid w:val="00B84D6D"/>
    <w:rsid w:val="00B84E07"/>
    <w:rsid w:val="00B87082"/>
    <w:rsid w:val="00B90F17"/>
    <w:rsid w:val="00B91FCE"/>
    <w:rsid w:val="00B94B30"/>
    <w:rsid w:val="00B95F45"/>
    <w:rsid w:val="00BA728A"/>
    <w:rsid w:val="00BA7702"/>
    <w:rsid w:val="00BA79AB"/>
    <w:rsid w:val="00BA7D17"/>
    <w:rsid w:val="00BB076E"/>
    <w:rsid w:val="00BB0DFB"/>
    <w:rsid w:val="00BB1838"/>
    <w:rsid w:val="00BB1CF2"/>
    <w:rsid w:val="00BB3A62"/>
    <w:rsid w:val="00BB7A25"/>
    <w:rsid w:val="00BC0A3C"/>
    <w:rsid w:val="00BC119A"/>
    <w:rsid w:val="00BC2B56"/>
    <w:rsid w:val="00BC37F7"/>
    <w:rsid w:val="00BC3F0C"/>
    <w:rsid w:val="00BC477B"/>
    <w:rsid w:val="00BC50C3"/>
    <w:rsid w:val="00BC51AF"/>
    <w:rsid w:val="00BC5916"/>
    <w:rsid w:val="00BC621F"/>
    <w:rsid w:val="00BD1447"/>
    <w:rsid w:val="00BD1A12"/>
    <w:rsid w:val="00BE020B"/>
    <w:rsid w:val="00BE1511"/>
    <w:rsid w:val="00BE1815"/>
    <w:rsid w:val="00BE2140"/>
    <w:rsid w:val="00BE40B6"/>
    <w:rsid w:val="00BE5D79"/>
    <w:rsid w:val="00BE5F5A"/>
    <w:rsid w:val="00BE6196"/>
    <w:rsid w:val="00BE6EF6"/>
    <w:rsid w:val="00BF0B43"/>
    <w:rsid w:val="00BF17DF"/>
    <w:rsid w:val="00BF34C6"/>
    <w:rsid w:val="00BF6299"/>
    <w:rsid w:val="00BF6D26"/>
    <w:rsid w:val="00BF6E0C"/>
    <w:rsid w:val="00C032F0"/>
    <w:rsid w:val="00C03503"/>
    <w:rsid w:val="00C0494F"/>
    <w:rsid w:val="00C070A9"/>
    <w:rsid w:val="00C10E3A"/>
    <w:rsid w:val="00C13055"/>
    <w:rsid w:val="00C14388"/>
    <w:rsid w:val="00C1528C"/>
    <w:rsid w:val="00C20022"/>
    <w:rsid w:val="00C20621"/>
    <w:rsid w:val="00C21933"/>
    <w:rsid w:val="00C260C9"/>
    <w:rsid w:val="00C26A11"/>
    <w:rsid w:val="00C44908"/>
    <w:rsid w:val="00C44F85"/>
    <w:rsid w:val="00C45712"/>
    <w:rsid w:val="00C50D0B"/>
    <w:rsid w:val="00C52152"/>
    <w:rsid w:val="00C52681"/>
    <w:rsid w:val="00C540B1"/>
    <w:rsid w:val="00C571CE"/>
    <w:rsid w:val="00C57DFB"/>
    <w:rsid w:val="00C57E29"/>
    <w:rsid w:val="00C60790"/>
    <w:rsid w:val="00C61195"/>
    <w:rsid w:val="00C637D1"/>
    <w:rsid w:val="00C63E8C"/>
    <w:rsid w:val="00C65214"/>
    <w:rsid w:val="00C659A7"/>
    <w:rsid w:val="00C65E09"/>
    <w:rsid w:val="00C668C6"/>
    <w:rsid w:val="00C75605"/>
    <w:rsid w:val="00C76B42"/>
    <w:rsid w:val="00C76FFC"/>
    <w:rsid w:val="00C81793"/>
    <w:rsid w:val="00C81B0A"/>
    <w:rsid w:val="00C822D6"/>
    <w:rsid w:val="00C84FA1"/>
    <w:rsid w:val="00C87580"/>
    <w:rsid w:val="00C9259F"/>
    <w:rsid w:val="00C94E6A"/>
    <w:rsid w:val="00C954FD"/>
    <w:rsid w:val="00C95E2A"/>
    <w:rsid w:val="00C96650"/>
    <w:rsid w:val="00CA14A2"/>
    <w:rsid w:val="00CA326F"/>
    <w:rsid w:val="00CA3398"/>
    <w:rsid w:val="00CA40FA"/>
    <w:rsid w:val="00CA576F"/>
    <w:rsid w:val="00CA6926"/>
    <w:rsid w:val="00CA6DF3"/>
    <w:rsid w:val="00CA735C"/>
    <w:rsid w:val="00CB3AD5"/>
    <w:rsid w:val="00CB3CFB"/>
    <w:rsid w:val="00CB5010"/>
    <w:rsid w:val="00CB6844"/>
    <w:rsid w:val="00CC5CBE"/>
    <w:rsid w:val="00CC67AE"/>
    <w:rsid w:val="00CD080A"/>
    <w:rsid w:val="00CD0D86"/>
    <w:rsid w:val="00CD2473"/>
    <w:rsid w:val="00CD36E1"/>
    <w:rsid w:val="00CD68A1"/>
    <w:rsid w:val="00CD71EB"/>
    <w:rsid w:val="00CE033D"/>
    <w:rsid w:val="00CE04F8"/>
    <w:rsid w:val="00CE30BA"/>
    <w:rsid w:val="00CE3CC8"/>
    <w:rsid w:val="00CE55AD"/>
    <w:rsid w:val="00CE5861"/>
    <w:rsid w:val="00CF0074"/>
    <w:rsid w:val="00CF0C21"/>
    <w:rsid w:val="00CF0CC3"/>
    <w:rsid w:val="00CF3BBD"/>
    <w:rsid w:val="00CF5DA3"/>
    <w:rsid w:val="00CF668E"/>
    <w:rsid w:val="00CF6D3A"/>
    <w:rsid w:val="00CF71D4"/>
    <w:rsid w:val="00CF7F53"/>
    <w:rsid w:val="00D002E8"/>
    <w:rsid w:val="00D007D0"/>
    <w:rsid w:val="00D031D9"/>
    <w:rsid w:val="00D06733"/>
    <w:rsid w:val="00D071E0"/>
    <w:rsid w:val="00D122DC"/>
    <w:rsid w:val="00D132CD"/>
    <w:rsid w:val="00D13D39"/>
    <w:rsid w:val="00D1454D"/>
    <w:rsid w:val="00D15DF9"/>
    <w:rsid w:val="00D20E14"/>
    <w:rsid w:val="00D213E4"/>
    <w:rsid w:val="00D22795"/>
    <w:rsid w:val="00D237DE"/>
    <w:rsid w:val="00D23BD5"/>
    <w:rsid w:val="00D2518B"/>
    <w:rsid w:val="00D2567C"/>
    <w:rsid w:val="00D268CD"/>
    <w:rsid w:val="00D26F9E"/>
    <w:rsid w:val="00D27393"/>
    <w:rsid w:val="00D274F4"/>
    <w:rsid w:val="00D27BA2"/>
    <w:rsid w:val="00D30042"/>
    <w:rsid w:val="00D3154F"/>
    <w:rsid w:val="00D32E4E"/>
    <w:rsid w:val="00D35790"/>
    <w:rsid w:val="00D40061"/>
    <w:rsid w:val="00D40E06"/>
    <w:rsid w:val="00D43F72"/>
    <w:rsid w:val="00D461EF"/>
    <w:rsid w:val="00D466D5"/>
    <w:rsid w:val="00D50CC0"/>
    <w:rsid w:val="00D52C6B"/>
    <w:rsid w:val="00D52E91"/>
    <w:rsid w:val="00D5385A"/>
    <w:rsid w:val="00D54A9C"/>
    <w:rsid w:val="00D56DCA"/>
    <w:rsid w:val="00D57387"/>
    <w:rsid w:val="00D57D34"/>
    <w:rsid w:val="00D61426"/>
    <w:rsid w:val="00D624D8"/>
    <w:rsid w:val="00D63111"/>
    <w:rsid w:val="00D73734"/>
    <w:rsid w:val="00D758DF"/>
    <w:rsid w:val="00D76C11"/>
    <w:rsid w:val="00D77350"/>
    <w:rsid w:val="00D840A0"/>
    <w:rsid w:val="00D86715"/>
    <w:rsid w:val="00D95D14"/>
    <w:rsid w:val="00D96493"/>
    <w:rsid w:val="00D97F2D"/>
    <w:rsid w:val="00DA09A7"/>
    <w:rsid w:val="00DA0D39"/>
    <w:rsid w:val="00DA0F7E"/>
    <w:rsid w:val="00DA2536"/>
    <w:rsid w:val="00DA3ED9"/>
    <w:rsid w:val="00DA4640"/>
    <w:rsid w:val="00DB4878"/>
    <w:rsid w:val="00DB48E7"/>
    <w:rsid w:val="00DB4A50"/>
    <w:rsid w:val="00DB5837"/>
    <w:rsid w:val="00DB5C41"/>
    <w:rsid w:val="00DC06AE"/>
    <w:rsid w:val="00DC52F2"/>
    <w:rsid w:val="00DC6ADF"/>
    <w:rsid w:val="00DC70AD"/>
    <w:rsid w:val="00DD1D75"/>
    <w:rsid w:val="00DD520D"/>
    <w:rsid w:val="00DD631A"/>
    <w:rsid w:val="00DE3512"/>
    <w:rsid w:val="00DE39CB"/>
    <w:rsid w:val="00DF1007"/>
    <w:rsid w:val="00DF2294"/>
    <w:rsid w:val="00DF2758"/>
    <w:rsid w:val="00DF2B0F"/>
    <w:rsid w:val="00DF2CD0"/>
    <w:rsid w:val="00DF3E34"/>
    <w:rsid w:val="00DF44A2"/>
    <w:rsid w:val="00DF58DF"/>
    <w:rsid w:val="00DF664C"/>
    <w:rsid w:val="00E00617"/>
    <w:rsid w:val="00E00BAF"/>
    <w:rsid w:val="00E02284"/>
    <w:rsid w:val="00E03DEA"/>
    <w:rsid w:val="00E04BB3"/>
    <w:rsid w:val="00E156C7"/>
    <w:rsid w:val="00E22D8C"/>
    <w:rsid w:val="00E316FC"/>
    <w:rsid w:val="00E32705"/>
    <w:rsid w:val="00E354F0"/>
    <w:rsid w:val="00E37BDC"/>
    <w:rsid w:val="00E409B4"/>
    <w:rsid w:val="00E42502"/>
    <w:rsid w:val="00E4613F"/>
    <w:rsid w:val="00E476DE"/>
    <w:rsid w:val="00E513FB"/>
    <w:rsid w:val="00E54646"/>
    <w:rsid w:val="00E54F1C"/>
    <w:rsid w:val="00E55DE3"/>
    <w:rsid w:val="00E6030E"/>
    <w:rsid w:val="00E645A6"/>
    <w:rsid w:val="00E65260"/>
    <w:rsid w:val="00E66BEB"/>
    <w:rsid w:val="00E66C39"/>
    <w:rsid w:val="00E66C5E"/>
    <w:rsid w:val="00E73624"/>
    <w:rsid w:val="00E83035"/>
    <w:rsid w:val="00E83226"/>
    <w:rsid w:val="00E833DA"/>
    <w:rsid w:val="00E84032"/>
    <w:rsid w:val="00E87771"/>
    <w:rsid w:val="00E87CF7"/>
    <w:rsid w:val="00E87D93"/>
    <w:rsid w:val="00E91781"/>
    <w:rsid w:val="00E94B85"/>
    <w:rsid w:val="00E957B0"/>
    <w:rsid w:val="00E966A0"/>
    <w:rsid w:val="00E96E51"/>
    <w:rsid w:val="00E96EF7"/>
    <w:rsid w:val="00E96FAD"/>
    <w:rsid w:val="00EA2A70"/>
    <w:rsid w:val="00EA2C4F"/>
    <w:rsid w:val="00EA3F96"/>
    <w:rsid w:val="00EA418D"/>
    <w:rsid w:val="00EA5325"/>
    <w:rsid w:val="00EA652C"/>
    <w:rsid w:val="00EA66AB"/>
    <w:rsid w:val="00EA716C"/>
    <w:rsid w:val="00EA7B34"/>
    <w:rsid w:val="00EB0579"/>
    <w:rsid w:val="00EB0AEE"/>
    <w:rsid w:val="00EB0C79"/>
    <w:rsid w:val="00EB3EB1"/>
    <w:rsid w:val="00EB4677"/>
    <w:rsid w:val="00EC11B6"/>
    <w:rsid w:val="00EC20F9"/>
    <w:rsid w:val="00EC2503"/>
    <w:rsid w:val="00EC2F7F"/>
    <w:rsid w:val="00EC54C3"/>
    <w:rsid w:val="00EC5A5D"/>
    <w:rsid w:val="00EC76A0"/>
    <w:rsid w:val="00ED4301"/>
    <w:rsid w:val="00ED6357"/>
    <w:rsid w:val="00EE5E7F"/>
    <w:rsid w:val="00EE6CBD"/>
    <w:rsid w:val="00EE72DD"/>
    <w:rsid w:val="00EF3752"/>
    <w:rsid w:val="00EF46D9"/>
    <w:rsid w:val="00EF665B"/>
    <w:rsid w:val="00F00A45"/>
    <w:rsid w:val="00F0181E"/>
    <w:rsid w:val="00F04AA8"/>
    <w:rsid w:val="00F05267"/>
    <w:rsid w:val="00F05776"/>
    <w:rsid w:val="00F06644"/>
    <w:rsid w:val="00F07165"/>
    <w:rsid w:val="00F07B2F"/>
    <w:rsid w:val="00F12B4A"/>
    <w:rsid w:val="00F14B65"/>
    <w:rsid w:val="00F160A5"/>
    <w:rsid w:val="00F170B5"/>
    <w:rsid w:val="00F17783"/>
    <w:rsid w:val="00F2333C"/>
    <w:rsid w:val="00F26190"/>
    <w:rsid w:val="00F27897"/>
    <w:rsid w:val="00F27B77"/>
    <w:rsid w:val="00F30CA5"/>
    <w:rsid w:val="00F33BD8"/>
    <w:rsid w:val="00F360D5"/>
    <w:rsid w:val="00F37C1B"/>
    <w:rsid w:val="00F406BB"/>
    <w:rsid w:val="00F4414D"/>
    <w:rsid w:val="00F45244"/>
    <w:rsid w:val="00F47516"/>
    <w:rsid w:val="00F559C0"/>
    <w:rsid w:val="00F561A5"/>
    <w:rsid w:val="00F617CD"/>
    <w:rsid w:val="00F6210D"/>
    <w:rsid w:val="00F675AA"/>
    <w:rsid w:val="00F6773D"/>
    <w:rsid w:val="00F72735"/>
    <w:rsid w:val="00F74587"/>
    <w:rsid w:val="00F75E81"/>
    <w:rsid w:val="00F76815"/>
    <w:rsid w:val="00F76957"/>
    <w:rsid w:val="00F81422"/>
    <w:rsid w:val="00F81B57"/>
    <w:rsid w:val="00F81C05"/>
    <w:rsid w:val="00F84C7C"/>
    <w:rsid w:val="00F84D8B"/>
    <w:rsid w:val="00F93D39"/>
    <w:rsid w:val="00F963C2"/>
    <w:rsid w:val="00F97163"/>
    <w:rsid w:val="00FA0DD4"/>
    <w:rsid w:val="00FA258C"/>
    <w:rsid w:val="00FA2A5E"/>
    <w:rsid w:val="00FA2DCE"/>
    <w:rsid w:val="00FA446A"/>
    <w:rsid w:val="00FA5BC3"/>
    <w:rsid w:val="00FB2A3D"/>
    <w:rsid w:val="00FB4437"/>
    <w:rsid w:val="00FB520A"/>
    <w:rsid w:val="00FB5EF3"/>
    <w:rsid w:val="00FC0BF3"/>
    <w:rsid w:val="00FC26CF"/>
    <w:rsid w:val="00FC33D1"/>
    <w:rsid w:val="00FC5470"/>
    <w:rsid w:val="00FC62A6"/>
    <w:rsid w:val="00FC67DA"/>
    <w:rsid w:val="00FD147C"/>
    <w:rsid w:val="00FD2263"/>
    <w:rsid w:val="00FD2A9E"/>
    <w:rsid w:val="00FD3523"/>
    <w:rsid w:val="00FD6A58"/>
    <w:rsid w:val="00FD70C4"/>
    <w:rsid w:val="00FE0EFC"/>
    <w:rsid w:val="00FE5989"/>
    <w:rsid w:val="00FE78C5"/>
    <w:rsid w:val="00FE7B9A"/>
    <w:rsid w:val="00FF0CE6"/>
    <w:rsid w:val="00FF0DE9"/>
    <w:rsid w:val="00FF3AEF"/>
    <w:rsid w:val="00FF3C3D"/>
    <w:rsid w:val="00FF3CAD"/>
    <w:rsid w:val="2FC78C50"/>
    <w:rsid w:val="429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2793DF"/>
  <w15:chartTrackingRefBased/>
  <w15:docId w15:val="{64636AFB-41B6-4E71-BBC6-C38A7A2D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aliases w:val="List Paragraph1,Recommendation,bullet point list,FooterText,Bullet Lis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qFormat/>
    <w:rsid w:val="00370F91"/>
    <w:pPr>
      <w:spacing w:after="240" w:line="240" w:lineRule="atLeast"/>
    </w:pPr>
    <w:rPr>
      <w:rFonts w:ascii="Arial" w:eastAsia="Times New Roman" w:hAnsi="Arial" w:cs="Arial"/>
      <w:sz w:val="20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3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2B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943E9"/>
  </w:style>
  <w:style w:type="character" w:customStyle="1" w:styleId="eop">
    <w:name w:val="eop"/>
    <w:basedOn w:val="DefaultParagraphFont"/>
    <w:rsid w:val="004943E9"/>
  </w:style>
  <w:style w:type="paragraph" w:customStyle="1" w:styleId="ACMANumberedList">
    <w:name w:val="ACMA Numbered List"/>
    <w:rsid w:val="004943E9"/>
    <w:pPr>
      <w:numPr>
        <w:numId w:val="22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DefaultParagraphFont"/>
    <w:rsid w:val="00DB583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B5837"/>
    <w:rPr>
      <w:rFonts w:ascii="Segoe UI" w:hAnsi="Segoe UI" w:cs="Segoe UI" w:hint="default"/>
      <w:b/>
      <w:bCs/>
      <w:sz w:val="18"/>
      <w:szCs w:val="18"/>
    </w:rPr>
  </w:style>
  <w:style w:type="character" w:customStyle="1" w:styleId="ListParagraphChar">
    <w:name w:val="List Paragraph Char"/>
    <w:aliases w:val="List Paragraph1 Char,Recommendation Char,bullet point list Char,FooterText Char,Bullet List Char,numbered Char,Paragraphe de liste1 Char,Bulletr List Paragraph Char,列出段落 Char,列出段落1 Char,List Paragraph2 Char,List Paragraph21 Char"/>
    <w:basedOn w:val="DefaultParagraphFont"/>
    <w:link w:val="ListParagraph"/>
    <w:uiPriority w:val="34"/>
    <w:locked/>
    <w:rsid w:val="00DB5837"/>
  </w:style>
  <w:style w:type="paragraph" w:customStyle="1" w:styleId="notetext">
    <w:name w:val="note(text)"/>
    <w:aliases w:val="n"/>
    <w:basedOn w:val="Normal"/>
    <w:link w:val="notetextChar"/>
    <w:rsid w:val="00EB057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057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EMlistparas">
    <w:name w:val="EM list paras"/>
    <w:basedOn w:val="ListParagraph"/>
    <w:link w:val="EMlistparasChar"/>
    <w:qFormat/>
    <w:rsid w:val="001C184E"/>
    <w:pPr>
      <w:numPr>
        <w:numId w:val="30"/>
      </w:numPr>
      <w:spacing w:before="240" w:after="0" w:line="240" w:lineRule="auto"/>
      <w:ind w:left="0" w:firstLine="0"/>
      <w:contextualSpacing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MlistparasChar">
    <w:name w:val="EM list paras Char"/>
    <w:basedOn w:val="DefaultParagraphFont"/>
    <w:link w:val="EMlistparas"/>
    <w:rsid w:val="001C184E"/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02284"/>
    <w:rPr>
      <w:color w:val="605E5C"/>
      <w:shd w:val="clear" w:color="auto" w:fill="E1DFDD"/>
    </w:rPr>
  </w:style>
  <w:style w:type="paragraph" w:customStyle="1" w:styleId="paragraph0">
    <w:name w:val="paragraph"/>
    <w:aliases w:val="a"/>
    <w:basedOn w:val="Normal"/>
    <w:rsid w:val="008A15A9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DC6AD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ma.gov.au/consultations/2021-12/replanning-2-ghz-band-review-2-ghz-television-outside-broadcast-frequency-band-plan-consultation-45202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UQVA7MFFXVNW-2139912385-926</_dlc_DocId>
    <_dlc_DocIdUrl xmlns="04b8ec43-391f-4ce4-8841-d6a482add564">
      <Url>http://collaboration/organisation/auth/Chair/Auth/_layouts/15/DocIdRedir.aspx?ID=UQVA7MFFXVNW-2139912385-926</Url>
      <Description>UQVA7MFFXVNW-2139912385-926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A20D3-5249-4064-B676-33B74048141D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E85A1BA0-EC11-4FE8-8DD1-8322FEE98A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375C24-F006-4D7D-BA55-DC2B28E70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6D54D-3E66-4AF7-B83C-EBEE5F4E59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88E647-FB6C-49D4-8E75-03B5196F5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20887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Patrick Belton</cp:lastModifiedBy>
  <cp:revision>4</cp:revision>
  <cp:lastPrinted>2016-07-25T00:08:00Z</cp:lastPrinted>
  <dcterms:created xsi:type="dcterms:W3CDTF">2022-06-17T00:47:00Z</dcterms:created>
  <dcterms:modified xsi:type="dcterms:W3CDTF">2022-06-17T02:31:00Z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f16ee754-90b0-4beb-947f-379ec3d94164</vt:lpwstr>
  </property>
  <property fmtid="{D5CDD505-2E9C-101B-9397-08002B2CF9AE}" pid="4" name="Order">
    <vt:r8>236600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