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40B" w:rsidRPr="008B24C8" w:rsidRDefault="0057002B" w:rsidP="00BB0CF2">
      <w:pPr>
        <w:pStyle w:val="ESTitleHeader"/>
      </w:pPr>
      <w:bookmarkStart w:id="0" w:name="_GoBack"/>
      <w:bookmarkEnd w:id="0"/>
      <w:r w:rsidRPr="008B24C8">
        <w:t>EXPLANATORY STATEMENT</w:t>
      </w:r>
    </w:p>
    <w:p w:rsidR="0057002B" w:rsidRPr="008B24C8" w:rsidRDefault="0057002B" w:rsidP="00BB0CF2">
      <w:pPr>
        <w:pStyle w:val="ESTitleDecisionMaker"/>
      </w:pPr>
      <w:r w:rsidRPr="008B24C8">
        <w:t>Issued by authority of the</w:t>
      </w:r>
      <w:r w:rsidR="00E11411" w:rsidRPr="00E11411">
        <w:t xml:space="preserve"> </w:t>
      </w:r>
      <w:r w:rsidR="00E11411" w:rsidRPr="000839EC">
        <w:t>Minister for Immigration, C</w:t>
      </w:r>
      <w:r w:rsidR="00E11411">
        <w:t xml:space="preserve">itizenship, Migrant Affairs and </w:t>
      </w:r>
      <w:r w:rsidR="00E11411" w:rsidRPr="000839EC">
        <w:t>Multicultural Affairs</w:t>
      </w:r>
    </w:p>
    <w:p w:rsidR="0057002B" w:rsidRPr="008B24C8" w:rsidRDefault="00E11411" w:rsidP="00BB0CF2">
      <w:pPr>
        <w:pStyle w:val="ESTitleEnablingLegislation"/>
      </w:pPr>
      <w:r w:rsidRPr="008B24C8">
        <w:t>Migration Regulations 1994</w:t>
      </w:r>
    </w:p>
    <w:p w:rsidR="0057002B" w:rsidRPr="008B24C8" w:rsidRDefault="00E11411" w:rsidP="00BB0CF2">
      <w:pPr>
        <w:pStyle w:val="ESTitleInstrumentName"/>
      </w:pPr>
      <w:bookmarkStart w:id="1" w:name="Title"/>
      <w:r>
        <w:t>Migration (Required medical assessment</w:t>
      </w:r>
      <w:r w:rsidR="001C1FD4">
        <w:t>s</w:t>
      </w:r>
      <w:r>
        <w:t xml:space="preserve">) </w:t>
      </w:r>
      <w:r w:rsidR="000332AF">
        <w:t>Amendment Instrument (LIN 22/065</w:t>
      </w:r>
      <w:r>
        <w:t>) 2022</w:t>
      </w:r>
      <w:bookmarkEnd w:id="1"/>
    </w:p>
    <w:p w:rsidR="0057002B" w:rsidRPr="008B24C8" w:rsidRDefault="0057002B" w:rsidP="002D167E">
      <w:pPr>
        <w:pStyle w:val="ESPara"/>
      </w:pPr>
      <w:r w:rsidRPr="008B24C8">
        <w:t xml:space="preserve">The instrument, Departmental reference </w:t>
      </w:r>
      <w:r w:rsidR="00E11411">
        <w:t>LIN 22/06</w:t>
      </w:r>
      <w:r w:rsidR="000332AF">
        <w:t>5</w:t>
      </w:r>
      <w:r w:rsidRPr="008B24C8">
        <w:t xml:space="preserve">, is made under </w:t>
      </w:r>
      <w:r w:rsidR="001C1FD4">
        <w:t>paragraphs 4005(1</w:t>
      </w:r>
      <w:r w:rsidR="001C1FD4" w:rsidRPr="0039718E">
        <w:t>)</w:t>
      </w:r>
      <w:r w:rsidR="001C1FD4">
        <w:t>(aa)</w:t>
      </w:r>
      <w:r w:rsidR="001C1FD4" w:rsidRPr="0039718E">
        <w:t xml:space="preserve"> and 4007</w:t>
      </w:r>
      <w:r w:rsidR="001C1FD4">
        <w:t>(1</w:t>
      </w:r>
      <w:r w:rsidR="001C1FD4" w:rsidRPr="0039718E">
        <w:t>)</w:t>
      </w:r>
      <w:r w:rsidR="001C1FD4">
        <w:t xml:space="preserve">(aa) </w:t>
      </w:r>
      <w:r w:rsidR="00E11411" w:rsidRPr="008870C0">
        <w:t>of Schedule 4</w:t>
      </w:r>
      <w:r w:rsidR="00E11411">
        <w:t xml:space="preserve"> to the</w:t>
      </w:r>
      <w:r w:rsidR="00E11411" w:rsidRPr="008B24C8">
        <w:t xml:space="preserve"> </w:t>
      </w:r>
      <w:r w:rsidR="00E11411" w:rsidRPr="008B24C8">
        <w:rPr>
          <w:i/>
        </w:rPr>
        <w:t>Migration Regulations 1994</w:t>
      </w:r>
      <w:r w:rsidR="00E11411">
        <w:t xml:space="preserve"> (the Regulations)</w:t>
      </w:r>
      <w:r w:rsidRPr="008B24C8">
        <w:t xml:space="preserve">.  </w:t>
      </w:r>
    </w:p>
    <w:p w:rsidR="00EA12C9" w:rsidRPr="008B24C8" w:rsidRDefault="00EA12C9" w:rsidP="002D167E">
      <w:pPr>
        <w:pStyle w:val="ESPara"/>
      </w:pPr>
      <w:r w:rsidRPr="008B24C8">
        <w:t>The instrument</w:t>
      </w:r>
      <w:r w:rsidR="00E11411" w:rsidRPr="00E11411">
        <w:t xml:space="preserve"> </w:t>
      </w:r>
      <w:r w:rsidR="00E11411">
        <w:t xml:space="preserve">amends </w:t>
      </w:r>
      <w:r w:rsidR="00E11411" w:rsidRPr="0039718E">
        <w:rPr>
          <w:i/>
        </w:rPr>
        <w:t>REQUIRED MEDICAL ASSESSMENT</w:t>
      </w:r>
      <w:r w:rsidR="00E11411">
        <w:t xml:space="preserve"> (</w:t>
      </w:r>
      <w:r w:rsidR="00E11411" w:rsidRPr="0039718E">
        <w:t>F2015L01826</w:t>
      </w:r>
      <w:r w:rsidR="00E11411">
        <w:t xml:space="preserve">) (IMMI 15/144) </w:t>
      </w:r>
      <w:r w:rsidRPr="008B24C8">
        <w:t xml:space="preserve">in accordance with subsection 33(3) of the </w:t>
      </w:r>
      <w:r w:rsidRPr="008B24C8">
        <w:rPr>
          <w:i/>
        </w:rPr>
        <w:t>Acts Interpretation Act 1901</w:t>
      </w:r>
      <w:r w:rsidR="00BD598E" w:rsidRPr="008B24C8">
        <w:rPr>
          <w:i/>
        </w:rPr>
        <w:t xml:space="preserve"> </w:t>
      </w:r>
      <w:r w:rsidR="00BD598E" w:rsidRPr="008B24C8">
        <w:t>(the Acts Interpretation Act)</w:t>
      </w:r>
      <w:r w:rsidRPr="008B24C8">
        <w:t xml:space="preserve">.  That subsection provides that </w:t>
      </w:r>
      <w:r w:rsidR="00100DFC">
        <w:t>a power to make a legislative instrument includes a power to amend or repeal that instrument in the same manner, and subject to the same conditions, as the power to make the instrument</w:t>
      </w:r>
      <w:r w:rsidR="00BD598E" w:rsidRPr="008B24C8">
        <w:t xml:space="preserve">.  </w:t>
      </w:r>
      <w:r w:rsidR="00E11411" w:rsidRPr="00875E85">
        <w:t>This means that</w:t>
      </w:r>
      <w:r w:rsidR="00E11411" w:rsidRPr="00E11411">
        <w:t xml:space="preserve"> </w:t>
      </w:r>
      <w:r w:rsidR="001C1FD4">
        <w:t>paragraphs 4005(1</w:t>
      </w:r>
      <w:r w:rsidR="001C1FD4" w:rsidRPr="0039718E">
        <w:t>)</w:t>
      </w:r>
      <w:r w:rsidR="001C1FD4">
        <w:t>(aa)</w:t>
      </w:r>
      <w:r w:rsidR="001C1FD4" w:rsidRPr="0039718E">
        <w:t xml:space="preserve"> and 4007</w:t>
      </w:r>
      <w:r w:rsidR="001C1FD4">
        <w:t>(1</w:t>
      </w:r>
      <w:r w:rsidR="001C1FD4" w:rsidRPr="0039718E">
        <w:t>)</w:t>
      </w:r>
      <w:r w:rsidR="001C1FD4">
        <w:t>(aa)</w:t>
      </w:r>
      <w:r w:rsidR="00E11411" w:rsidRPr="008870C0">
        <w:t xml:space="preserve"> of Schedule 4</w:t>
      </w:r>
      <w:r w:rsidR="00E11411">
        <w:t xml:space="preserve"> to</w:t>
      </w:r>
      <w:r w:rsidR="00E11411" w:rsidRPr="00875E85">
        <w:t xml:space="preserve"> the Regulations also include a power to amend or repe</w:t>
      </w:r>
      <w:r w:rsidR="001C1FD4">
        <w:t>al an instrument made under those</w:t>
      </w:r>
      <w:r w:rsidR="00E11411" w:rsidRPr="00875E85">
        <w:t xml:space="preserve"> provision</w:t>
      </w:r>
      <w:r w:rsidR="001C1FD4">
        <w:t>s</w:t>
      </w:r>
      <w:r w:rsidR="00E11411" w:rsidRPr="00875E85">
        <w:t>.</w:t>
      </w:r>
      <w:r w:rsidR="001C1FD4">
        <w:t xml:space="preserve"> </w:t>
      </w:r>
    </w:p>
    <w:p w:rsidR="00BD598E" w:rsidRPr="0031056E" w:rsidRDefault="00AA4557" w:rsidP="002D167E">
      <w:pPr>
        <w:pStyle w:val="ESPara"/>
      </w:pPr>
      <w:r>
        <w:t xml:space="preserve">The instrument commences </w:t>
      </w:r>
      <w:r w:rsidR="00E11411">
        <w:t>on 1 July 2022</w:t>
      </w:r>
      <w:r>
        <w:t>, and i</w:t>
      </w:r>
      <w:r w:rsidR="00BD598E" w:rsidRPr="008B24C8">
        <w:t xml:space="preserve">s a </w:t>
      </w:r>
      <w:r>
        <w:t>legislative</w:t>
      </w:r>
      <w:r w:rsidR="00BD598E" w:rsidRPr="008B24C8">
        <w:t xml:space="preserve"> instrument for </w:t>
      </w:r>
      <w:r w:rsidR="00B75478">
        <w:t xml:space="preserve">the </w:t>
      </w:r>
      <w:r w:rsidR="00100DFC">
        <w:rPr>
          <w:i/>
        </w:rPr>
        <w:t>Legislation Act 2003</w:t>
      </w:r>
      <w:r w:rsidR="00100DFC">
        <w:t xml:space="preserve"> (th</w:t>
      </w:r>
      <w:r w:rsidR="00100DFC" w:rsidRPr="0031056E">
        <w:t>e Legislation Act)</w:t>
      </w:r>
      <w:r w:rsidR="00BD598E" w:rsidRPr="0031056E">
        <w:t xml:space="preserve">.  </w:t>
      </w:r>
    </w:p>
    <w:p w:rsidR="00EA12C9" w:rsidRPr="0031056E" w:rsidRDefault="00BD598E" w:rsidP="00100DFC">
      <w:pPr>
        <w:pStyle w:val="ESHeading"/>
      </w:pPr>
      <w:r w:rsidRPr="0031056E">
        <w:t>Purpose</w:t>
      </w:r>
      <w:r w:rsidR="00BB0CF2" w:rsidRPr="0031056E">
        <w:t xml:space="preserve"> </w:t>
      </w:r>
    </w:p>
    <w:p w:rsidR="00103EEB" w:rsidRDefault="00103EEB" w:rsidP="00103EEB">
      <w:pPr>
        <w:pStyle w:val="ESPara"/>
      </w:pPr>
      <w:r>
        <w:t>Paragraphs 4005(1</w:t>
      </w:r>
      <w:r w:rsidRPr="0039718E">
        <w:t>)</w:t>
      </w:r>
      <w:r>
        <w:t>(aa)</w:t>
      </w:r>
      <w:r w:rsidRPr="0039718E">
        <w:t xml:space="preserve"> and 4007</w:t>
      </w:r>
      <w:r>
        <w:t>(1</w:t>
      </w:r>
      <w:r w:rsidRPr="0039718E">
        <w:t>)</w:t>
      </w:r>
      <w:r>
        <w:t>(aa)</w:t>
      </w:r>
      <w:r w:rsidRPr="008870C0">
        <w:t xml:space="preserve"> of Schedule 4</w:t>
      </w:r>
      <w:r>
        <w:t xml:space="preserve"> to</w:t>
      </w:r>
      <w:r w:rsidRPr="00875E85">
        <w:t xml:space="preserve"> the Regulations</w:t>
      </w:r>
      <w:r w:rsidRPr="00103EEB">
        <w:t xml:space="preserve"> </w:t>
      </w:r>
      <w:r w:rsidR="003E4117">
        <w:t xml:space="preserve">each </w:t>
      </w:r>
      <w:r>
        <w:t>provide</w:t>
      </w:r>
      <w:r w:rsidR="003E4117">
        <w:t>s</w:t>
      </w:r>
      <w:r>
        <w:t xml:space="preserve"> that </w:t>
      </w:r>
      <w:r w:rsidRPr="00103EEB">
        <w:t>if an applicant is in a class of persons specified by the Minister in a</w:t>
      </w:r>
      <w:r w:rsidR="000A7AD3">
        <w:t>n</w:t>
      </w:r>
      <w:r w:rsidR="003E4117">
        <w:t xml:space="preserve"> instrument in writing for that</w:t>
      </w:r>
      <w:r w:rsidRPr="00103EEB">
        <w:t xml:space="preserve"> paragraph, then the applicant must undertake any medical assessment specified in the instrument and must be assessed by the person specified in the instrument unless a Medical Officer of the Commonwealth decides otherwise.  </w:t>
      </w:r>
    </w:p>
    <w:p w:rsidR="00F77CA7" w:rsidRDefault="0030384A" w:rsidP="00F77CA7">
      <w:pPr>
        <w:pStyle w:val="ESPara"/>
      </w:pPr>
      <w:r>
        <w:t xml:space="preserve">IMMI 15/144 provides that </w:t>
      </w:r>
      <w:r w:rsidRPr="000A7AD3">
        <w:t xml:space="preserve">applicants </w:t>
      </w:r>
      <w:r w:rsidR="00696C92">
        <w:t xml:space="preserve">mentioned in that instrument for </w:t>
      </w:r>
      <w:r w:rsidR="009E3A77">
        <w:t xml:space="preserve">paragraphs 4005(1)(aa) </w:t>
      </w:r>
      <w:r w:rsidR="00696C92">
        <w:t xml:space="preserve">and 4007(1)(aa) </w:t>
      </w:r>
      <w:r w:rsidR="00696C92" w:rsidRPr="00771659">
        <w:t>of Schedule 4 to the Regulations</w:t>
      </w:r>
      <w:r w:rsidR="00696C92">
        <w:t xml:space="preserve"> </w:t>
      </w:r>
      <w:r>
        <w:t xml:space="preserve">must </w:t>
      </w:r>
      <w:r w:rsidRPr="000A7AD3">
        <w:t>undertake medi</w:t>
      </w:r>
      <w:r w:rsidR="00CD56E5">
        <w:t xml:space="preserve">cal assessments by reference to </w:t>
      </w:r>
      <w:r w:rsidRPr="000A7AD3">
        <w:t>their country of citizenship or residence, intended activities, and their intended stay period in Australia.</w:t>
      </w:r>
      <w:r w:rsidRPr="0030384A">
        <w:t xml:space="preserve"> </w:t>
      </w:r>
      <w:r>
        <w:t xml:space="preserve"> </w:t>
      </w:r>
      <w:r w:rsidR="00CD56E5">
        <w:t xml:space="preserve"> </w:t>
      </w:r>
    </w:p>
    <w:p w:rsidR="003D3183" w:rsidRDefault="00605968" w:rsidP="008462D6">
      <w:pPr>
        <w:pStyle w:val="ESPara"/>
      </w:pPr>
      <w:r>
        <w:t>The purpose of the instrument is to amend IMMI 15/144</w:t>
      </w:r>
      <w:r w:rsidR="005940BD">
        <w:t xml:space="preserve"> by</w:t>
      </w:r>
      <w:r w:rsidR="000B2060">
        <w:t xml:space="preserve"> </w:t>
      </w:r>
      <w:r w:rsidR="005940BD">
        <w:t>updating</w:t>
      </w:r>
      <w:r>
        <w:t xml:space="preserve"> the additional medical assessments for the class of persons mentioned in</w:t>
      </w:r>
      <w:r w:rsidRPr="0046417F">
        <w:t xml:space="preserve"> paragraph 2(c)</w:t>
      </w:r>
      <w:r>
        <w:t xml:space="preserve"> of IMMI 15/144</w:t>
      </w:r>
      <w:r w:rsidRPr="0046417F">
        <w:t xml:space="preserve"> </w:t>
      </w:r>
      <w:r>
        <w:t xml:space="preserve">for paragraphs 4005(1)(aa) and 4007(1)(aa) </w:t>
      </w:r>
      <w:r w:rsidRPr="00771659">
        <w:t>of Schedule 4 to the Regulations</w:t>
      </w:r>
      <w:r>
        <w:t xml:space="preserve">.  </w:t>
      </w:r>
    </w:p>
    <w:p w:rsidR="004E0B9A" w:rsidRDefault="003355A5" w:rsidP="00A61F27">
      <w:pPr>
        <w:pStyle w:val="ESPara"/>
      </w:pPr>
      <w:r>
        <w:t>U</w:t>
      </w:r>
      <w:r w:rsidRPr="00A61F27">
        <w:t xml:space="preserve">nless the applicants </w:t>
      </w:r>
      <w:r>
        <w:t>have applied</w:t>
      </w:r>
      <w:r w:rsidRPr="00A61F27">
        <w:t xml:space="preserve"> for a Visitor (Subclass 600) visa </w:t>
      </w:r>
      <w:r>
        <w:t>for</w:t>
      </w:r>
      <w:r w:rsidRPr="00A61F27">
        <w:t xml:space="preserve"> temporary stay </w:t>
      </w:r>
      <w:r>
        <w:t xml:space="preserve">in Australia </w:t>
      </w:r>
      <w:r w:rsidRPr="00B65A2D">
        <w:t>of</w:t>
      </w:r>
      <w:r>
        <w:t xml:space="preserve"> not more than 6</w:t>
      </w:r>
      <w:r w:rsidRPr="00B65A2D">
        <w:t xml:space="preserve"> months</w:t>
      </w:r>
      <w:r>
        <w:t>, t</w:t>
      </w:r>
      <w:r w:rsidR="00B16F94">
        <w:t>he instrument requires v</w:t>
      </w:r>
      <w:r w:rsidR="00704F93" w:rsidRPr="00704F93">
        <w:t xml:space="preserve">isa applicants from higher </w:t>
      </w:r>
      <w:r w:rsidR="009A29C6">
        <w:t>tuberculosis risk countries</w:t>
      </w:r>
      <w:r w:rsidR="00704F93" w:rsidRPr="00704F93">
        <w:t xml:space="preserve"> </w:t>
      </w:r>
      <w:r w:rsidR="00B16F94">
        <w:t>to</w:t>
      </w:r>
      <w:r w:rsidR="00704F93" w:rsidRPr="00704F93">
        <w:t xml:space="preserve"> undertake </w:t>
      </w:r>
      <w:r w:rsidR="009A29C6">
        <w:t>latent tuberculosis s</w:t>
      </w:r>
      <w:r w:rsidR="009A29C6" w:rsidRPr="00153E76">
        <w:t>creening</w:t>
      </w:r>
      <w:r w:rsidR="00704F93" w:rsidRPr="00704F93">
        <w:t xml:space="preserve"> as part of their immigration medical examination</w:t>
      </w:r>
      <w:r w:rsidR="000C3870">
        <w:t xml:space="preserve">, </w:t>
      </w:r>
      <w:r>
        <w:t>if the applicants intend</w:t>
      </w:r>
      <w:r w:rsidR="000C3870" w:rsidRPr="000C3870">
        <w:t xml:space="preserve"> to</w:t>
      </w:r>
      <w:r w:rsidR="004E0B9A">
        <w:t>:</w:t>
      </w:r>
    </w:p>
    <w:p w:rsidR="004E0B9A" w:rsidRDefault="00E82713" w:rsidP="004E0B9A">
      <w:pPr>
        <w:pStyle w:val="ESPara"/>
        <w:numPr>
          <w:ilvl w:val="0"/>
          <w:numId w:val="6"/>
        </w:numPr>
      </w:pPr>
      <w:r>
        <w:t>work as,</w:t>
      </w:r>
      <w:r w:rsidR="000C3870" w:rsidRPr="000C3870">
        <w:t xml:space="preserve"> or study or train to </w:t>
      </w:r>
      <w:r>
        <w:t>be,</w:t>
      </w:r>
      <w:r w:rsidR="00611716">
        <w:t xml:space="preserve"> a doctor, dentist, nurse or </w:t>
      </w:r>
      <w:r w:rsidR="000C3870" w:rsidRPr="000C3870">
        <w:t>paramedic</w:t>
      </w:r>
      <w:r w:rsidR="004E0B9A">
        <w:t xml:space="preserve">; </w:t>
      </w:r>
      <w:r w:rsidR="000C3870">
        <w:t xml:space="preserve">or </w:t>
      </w:r>
    </w:p>
    <w:p w:rsidR="000C3870" w:rsidRDefault="00E82713" w:rsidP="00E82713">
      <w:pPr>
        <w:pStyle w:val="ESPara"/>
        <w:numPr>
          <w:ilvl w:val="0"/>
          <w:numId w:val="6"/>
        </w:numPr>
      </w:pPr>
      <w:r>
        <w:t>w</w:t>
      </w:r>
      <w:r w:rsidRPr="00153E76">
        <w:t>ork as, or study or train to be</w:t>
      </w:r>
      <w:r>
        <w:t>,</w:t>
      </w:r>
      <w:r w:rsidRPr="00153E76">
        <w:t xml:space="preserve"> a health care worker</w:t>
      </w:r>
      <w:r>
        <w:t>,</w:t>
      </w:r>
      <w:r w:rsidRPr="00153E76">
        <w:t xml:space="preserve"> or </w:t>
      </w:r>
      <w:r>
        <w:t xml:space="preserve">to </w:t>
      </w:r>
      <w:r w:rsidRPr="00153E76">
        <w:t xml:space="preserve">work within </w:t>
      </w:r>
      <w:r>
        <w:t>a health care,</w:t>
      </w:r>
      <w:r w:rsidRPr="00153E76">
        <w:t xml:space="preserve"> aged care or disability care</w:t>
      </w:r>
      <w:r>
        <w:t xml:space="preserve"> facility, in a </w:t>
      </w:r>
      <w:r w:rsidRPr="00153E76">
        <w:t>health care profession</w:t>
      </w:r>
      <w:r>
        <w:t xml:space="preserve"> not mentioned above</w:t>
      </w:r>
      <w:r w:rsidR="004E0B9A">
        <w:t>.</w:t>
      </w:r>
    </w:p>
    <w:p w:rsidR="00E11411" w:rsidRPr="000839EC" w:rsidRDefault="00E11411" w:rsidP="00704F93">
      <w:pPr>
        <w:keepNext/>
        <w:spacing w:before="240" w:after="24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Continuation of effect of </w:t>
      </w:r>
      <w:r w:rsidR="003A0B3A" w:rsidRPr="003A0B3A">
        <w:rPr>
          <w:rFonts w:ascii="Times New Roman" w:hAnsi="Times New Roman" w:cs="Times New Roman"/>
          <w:i/>
        </w:rPr>
        <w:t>paragraph 4006A(1)(aa)</w:t>
      </w:r>
    </w:p>
    <w:p w:rsidR="00E11411" w:rsidRDefault="00E11411" w:rsidP="00704F93">
      <w:pPr>
        <w:pStyle w:val="ESSubparaHeader"/>
        <w:keepNext w:val="0"/>
      </w:pPr>
      <w:r w:rsidRPr="00E11411">
        <w:t>IMMI 15/144</w:t>
      </w:r>
      <w:r w:rsidR="003A0B3A">
        <w:t xml:space="preserve"> wa</w:t>
      </w:r>
      <w:r>
        <w:t>s</w:t>
      </w:r>
      <w:r w:rsidRPr="00E858DB">
        <w:t xml:space="preserve"> also made under </w:t>
      </w:r>
      <w:r w:rsidR="003A0B3A" w:rsidRPr="003A0B3A">
        <w:t>paragraph 4006A(1)(aa)</w:t>
      </w:r>
      <w:r w:rsidRPr="00E858DB">
        <w:t xml:space="preserve"> of Schedule 4 to the Regulations.  Clause 4006A</w:t>
      </w:r>
      <w:r>
        <w:t>, however,</w:t>
      </w:r>
      <w:r w:rsidRPr="00E858DB">
        <w:t xml:space="preserve"> was repealed on 18 March 2018 by the </w:t>
      </w:r>
      <w:r w:rsidRPr="00E858DB">
        <w:rPr>
          <w:i/>
        </w:rPr>
        <w:t>Migration Legislation Amendment (Temporary Skill Shortage Visa and Complementary Reforms) Regulations 2018</w:t>
      </w:r>
      <w:r w:rsidRPr="00E858DB">
        <w:t xml:space="preserve">.  </w:t>
      </w:r>
      <w:r w:rsidR="00395878">
        <w:t xml:space="preserve"> </w:t>
      </w:r>
    </w:p>
    <w:p w:rsidR="00704F93" w:rsidRDefault="00E11411" w:rsidP="00704F93">
      <w:pPr>
        <w:pStyle w:val="ESSubparaHeader"/>
        <w:keepNext w:val="0"/>
      </w:pPr>
      <w:r w:rsidRPr="00E858DB">
        <w:t xml:space="preserve">Subclause 6702(2) of Schedule 13 to the Regulations provides that clause 4006A of Schedule 4 to the Regulations </w:t>
      </w:r>
      <w:r>
        <w:t>and</w:t>
      </w:r>
      <w:r w:rsidRPr="00E858DB">
        <w:t xml:space="preserve"> any instruments made under </w:t>
      </w:r>
      <w:r w:rsidR="00F825B8">
        <w:t>that clause continue</w:t>
      </w:r>
      <w:r>
        <w:t xml:space="preserve"> to apply</w:t>
      </w:r>
      <w:r w:rsidRPr="00E858DB">
        <w:t xml:space="preserve"> as in force immediately before 18 March 2018 in relation to an application for a visa made before that date.  T</w:t>
      </w:r>
      <w:r>
        <w:t xml:space="preserve">he effect of this is that IMMI </w:t>
      </w:r>
      <w:r w:rsidRPr="00E11411">
        <w:t>15/144</w:t>
      </w:r>
      <w:r w:rsidRPr="00E858DB">
        <w:t>, as in force immediately before 18 March 2018, continues to apply in relation to clause 4006A of Schedule 4 to the Regulations and relevant v</w:t>
      </w:r>
      <w:r>
        <w:t>isa applications made before 18 March </w:t>
      </w:r>
      <w:r w:rsidRPr="00E858DB">
        <w:t>2018.</w:t>
      </w:r>
    </w:p>
    <w:p w:rsidR="00E11411" w:rsidRPr="00E858DB" w:rsidRDefault="00704F93" w:rsidP="00704F93">
      <w:pPr>
        <w:pStyle w:val="ESSubparaHeader"/>
        <w:keepNext w:val="0"/>
      </w:pPr>
      <w:r>
        <w:t xml:space="preserve">The instrument </w:t>
      </w:r>
      <w:r w:rsidR="009A29C6">
        <w:t>does not make changes to the</w:t>
      </w:r>
      <w:r w:rsidR="00502E30">
        <w:t xml:space="preserve"> class of persons or</w:t>
      </w:r>
      <w:r w:rsidR="009A29C6">
        <w:t xml:space="preserve"> additional medical assessments mentioned in IMMI </w:t>
      </w:r>
      <w:r w:rsidR="009A29C6" w:rsidRPr="00E11411">
        <w:t>15/144</w:t>
      </w:r>
      <w:r w:rsidR="009A29C6">
        <w:t xml:space="preserve"> for </w:t>
      </w:r>
      <w:r w:rsidR="009A29C6" w:rsidRPr="00771659">
        <w:t>paragraph</w:t>
      </w:r>
      <w:r w:rsidR="009A29C6">
        <w:t> </w:t>
      </w:r>
      <w:r w:rsidR="009A29C6" w:rsidRPr="00771659">
        <w:t>4006A(1)(aa)</w:t>
      </w:r>
      <w:r w:rsidR="009A29C6">
        <w:t xml:space="preserve"> </w:t>
      </w:r>
      <w:r w:rsidR="009A29C6" w:rsidRPr="00771659">
        <w:t>of Schedule 4 to the Regulations</w:t>
      </w:r>
      <w:r w:rsidR="009A29C6">
        <w:t xml:space="preserve">.  </w:t>
      </w:r>
    </w:p>
    <w:p w:rsidR="008B24C8" w:rsidRDefault="008B24C8" w:rsidP="00100DFC">
      <w:pPr>
        <w:pStyle w:val="ESHeading"/>
      </w:pPr>
      <w:r w:rsidRPr="008B24C8">
        <w:t>Consultation</w:t>
      </w:r>
    </w:p>
    <w:p w:rsidR="008B24C8" w:rsidRDefault="0014703D" w:rsidP="0061163F">
      <w:pPr>
        <w:pStyle w:val="ESPara"/>
      </w:pPr>
      <w:r w:rsidRPr="00095008">
        <w:t xml:space="preserve">Consultation was undertaken with external stakeholders including the </w:t>
      </w:r>
      <w:r w:rsidRPr="0014703D">
        <w:t xml:space="preserve">State and Territory </w:t>
      </w:r>
      <w:r w:rsidR="00395878">
        <w:t>t</w:t>
      </w:r>
      <w:r w:rsidR="002971A5" w:rsidRPr="002971A5">
        <w:t>uberculosis</w:t>
      </w:r>
      <w:r w:rsidRPr="0014703D">
        <w:t xml:space="preserve"> programs and chest clinics, </w:t>
      </w:r>
      <w:r w:rsidR="002971A5">
        <w:t xml:space="preserve">the </w:t>
      </w:r>
      <w:r w:rsidR="002971A5" w:rsidRPr="002971A5">
        <w:t>National Tuberculosis Advisory Committee</w:t>
      </w:r>
      <w:r w:rsidRPr="0014703D">
        <w:t xml:space="preserve">, </w:t>
      </w:r>
      <w:r w:rsidR="002971A5">
        <w:t xml:space="preserve">the </w:t>
      </w:r>
      <w:r w:rsidRPr="0014703D">
        <w:t xml:space="preserve">Department of Health, </w:t>
      </w:r>
      <w:r w:rsidR="002971A5">
        <w:t xml:space="preserve">and </w:t>
      </w:r>
      <w:r w:rsidR="003277CC">
        <w:t>migration medical service p</w:t>
      </w:r>
      <w:r w:rsidRPr="0014703D">
        <w:t>rovider</w:t>
      </w:r>
      <w:r w:rsidR="002971A5">
        <w:t>s</w:t>
      </w:r>
      <w:r w:rsidRPr="00095008">
        <w:t>.</w:t>
      </w:r>
      <w:r>
        <w:t xml:space="preserve"> </w:t>
      </w:r>
      <w:r w:rsidR="00395878">
        <w:t xml:space="preserve"> </w:t>
      </w:r>
      <w:r>
        <w:t>No concerns were raised with</w:t>
      </w:r>
      <w:r w:rsidR="00F0494F">
        <w:t xml:space="preserve"> </w:t>
      </w:r>
      <w:r w:rsidR="0061163F">
        <w:t xml:space="preserve">the </w:t>
      </w:r>
      <w:r w:rsidR="00395878">
        <w:t xml:space="preserve">additional </w:t>
      </w:r>
      <w:r w:rsidR="0061163F">
        <w:t>medical assessments</w:t>
      </w:r>
      <w:r w:rsidR="002971A5">
        <w:t xml:space="preserve"> </w:t>
      </w:r>
      <w:r w:rsidRPr="00095008">
        <w:t xml:space="preserve">being </w:t>
      </w:r>
      <w:r w:rsidR="0061163F">
        <w:t>amended</w:t>
      </w:r>
      <w:r w:rsidRPr="00095008">
        <w:t xml:space="preserve"> in the instrument.</w:t>
      </w:r>
    </w:p>
    <w:p w:rsidR="008B24C8" w:rsidRPr="008B24C8" w:rsidRDefault="008B24C8" w:rsidP="009921F2">
      <w:pPr>
        <w:pStyle w:val="ESPara"/>
      </w:pPr>
      <w:r w:rsidRPr="008B24C8">
        <w:t>The Office of Best Practice Regulation (OBPR) was also</w:t>
      </w:r>
      <w:r w:rsidR="009921F2">
        <w:t xml:space="preserve"> </w:t>
      </w:r>
      <w:r w:rsidRPr="008B24C8">
        <w:t>consulted and considered that the instrument dealt with m</w:t>
      </w:r>
      <w:r>
        <w:t xml:space="preserve">atters of a </w:t>
      </w:r>
      <w:r w:rsidR="009921F2">
        <w:t>minor or machinery</w:t>
      </w:r>
      <w:r w:rsidRPr="008B24C8">
        <w:t xml:space="preserve"> nature and no regulatory impact statement was required.  </w:t>
      </w:r>
      <w:r>
        <w:t xml:space="preserve">The OBPR reference number is </w:t>
      </w:r>
      <w:r w:rsidR="009921F2" w:rsidRPr="009921F2">
        <w:t>44188</w:t>
      </w:r>
      <w:r w:rsidRPr="008B24C8">
        <w:t>.</w:t>
      </w:r>
    </w:p>
    <w:p w:rsidR="00AA4557" w:rsidRDefault="00464080" w:rsidP="00100DFC">
      <w:pPr>
        <w:pStyle w:val="ESHeading"/>
      </w:pPr>
      <w:r>
        <w:t>Details</w:t>
      </w:r>
      <w:r w:rsidR="00AA4557">
        <w:t xml:space="preserve"> of the instrument</w:t>
      </w:r>
    </w:p>
    <w:p w:rsidR="00AA4557" w:rsidRDefault="00AA4557" w:rsidP="002D167E">
      <w:pPr>
        <w:pStyle w:val="ESPara"/>
      </w:pPr>
      <w:r>
        <w:t>Section 1 sets out</w:t>
      </w:r>
      <w:r w:rsidR="00E03DCC">
        <w:t xml:space="preserve"> the name of the instrument. </w:t>
      </w:r>
    </w:p>
    <w:p w:rsidR="00AA4557" w:rsidRDefault="00AA4557" w:rsidP="002D167E">
      <w:pPr>
        <w:pStyle w:val="ESPara"/>
      </w:pPr>
      <w:r>
        <w:t xml:space="preserve">Section 2 provides for the commencement of the instrument on </w:t>
      </w:r>
      <w:r w:rsidR="0092478D">
        <w:t>1 July 2022.</w:t>
      </w:r>
    </w:p>
    <w:p w:rsidR="00AA4F77" w:rsidRDefault="00AA4F77" w:rsidP="00AA4F77">
      <w:pPr>
        <w:pStyle w:val="ESPara"/>
      </w:pPr>
      <w:r>
        <w:t>Section 3</w:t>
      </w:r>
      <w:r w:rsidR="00F01C75">
        <w:t xml:space="preserve"> provides that Schedule 1 to the instrument amends IMMI 15/144.</w:t>
      </w:r>
      <w:r>
        <w:t xml:space="preserve"> </w:t>
      </w:r>
      <w:r w:rsidR="00F01C75">
        <w:t xml:space="preserve"> </w:t>
      </w:r>
    </w:p>
    <w:p w:rsidR="00F01C75" w:rsidRDefault="00F01C75" w:rsidP="006E3AF4">
      <w:pPr>
        <w:pStyle w:val="ESPara"/>
      </w:pPr>
      <w:r>
        <w:t>Item 1 of Schedule 1 to the instrument amends paragraph 2(d)</w:t>
      </w:r>
      <w:r w:rsidR="00A0117C">
        <w:t xml:space="preserve"> of IMMI 15/144</w:t>
      </w:r>
      <w:r w:rsidR="00777B28">
        <w:t xml:space="preserve"> by</w:t>
      </w:r>
      <w:r w:rsidR="006E3AF4">
        <w:t xml:space="preserve"> </w:t>
      </w:r>
      <w:r w:rsidR="00777B28">
        <w:t>removing</w:t>
      </w:r>
      <w:r w:rsidR="00866EAD">
        <w:t xml:space="preserve"> reference to column E </w:t>
      </w:r>
      <w:r w:rsidR="00717A08">
        <w:t>from that paragraph</w:t>
      </w:r>
      <w:r w:rsidR="006E3AF4">
        <w:t xml:space="preserve">.  </w:t>
      </w:r>
      <w:r w:rsidR="00717A08">
        <w:t xml:space="preserve">That is, only </w:t>
      </w:r>
      <w:r w:rsidR="006E3AF4" w:rsidRPr="006E3AF4">
        <w:t>column</w:t>
      </w:r>
      <w:r w:rsidR="00866EAD">
        <w:t>s</w:t>
      </w:r>
      <w:r w:rsidR="006E3AF4" w:rsidRPr="006E3AF4">
        <w:t xml:space="preserve"> </w:t>
      </w:r>
      <w:r w:rsidR="006E3AF4">
        <w:t>B, C and D</w:t>
      </w:r>
      <w:r w:rsidR="00866EAD">
        <w:t xml:space="preserve"> of Schedule 2 </w:t>
      </w:r>
      <w:r w:rsidR="00717A08">
        <w:t xml:space="preserve">to IMMI 15/144 </w:t>
      </w:r>
      <w:r w:rsidR="00866EAD">
        <w:t xml:space="preserve">apply </w:t>
      </w:r>
      <w:r w:rsidR="00C07B21">
        <w:t>to the class of persons mentioned in</w:t>
      </w:r>
      <w:r w:rsidR="00C07B21" w:rsidRPr="0046417F">
        <w:t xml:space="preserve"> paragraph 2(c)</w:t>
      </w:r>
      <w:r w:rsidR="00C07B21">
        <w:t xml:space="preserve"> of IMMI 15/144</w:t>
      </w:r>
      <w:r w:rsidR="00C07B21" w:rsidRPr="0046417F">
        <w:t xml:space="preserve"> </w:t>
      </w:r>
      <w:r w:rsidR="00C07B21">
        <w:t>for</w:t>
      </w:r>
      <w:r w:rsidR="00717A08" w:rsidRPr="00E858DB">
        <w:t xml:space="preserve"> </w:t>
      </w:r>
      <w:r w:rsidR="006E3AF4" w:rsidRPr="006E3AF4">
        <w:t>paragraphs 4005(1)(aa), 4006A(1)(aa) and 4007(1)(aa) of Schedule 4 to the Regulations</w:t>
      </w:r>
      <w:r w:rsidR="006E3AF4">
        <w:t>.</w:t>
      </w:r>
      <w:r w:rsidR="00CC57DD">
        <w:t xml:space="preserve">  </w:t>
      </w:r>
    </w:p>
    <w:p w:rsidR="00A0117C" w:rsidRDefault="00A0117C" w:rsidP="00AA4F77">
      <w:pPr>
        <w:pStyle w:val="ESPara"/>
      </w:pPr>
      <w:r>
        <w:t>Item 2 of Schedule 1 to the instrument amends section</w:t>
      </w:r>
      <w:r w:rsidR="00777B28">
        <w:t xml:space="preserve"> 2 of IMMI 15/144 by </w:t>
      </w:r>
      <w:r w:rsidR="00332347">
        <w:t>adding</w:t>
      </w:r>
      <w:r w:rsidR="00A01A62">
        <w:t xml:space="preserve"> paragraphs 2(f) and (g).  </w:t>
      </w:r>
      <w:r w:rsidR="00E32D24">
        <w:t>P</w:t>
      </w:r>
      <w:r w:rsidR="00232BD5">
        <w:t>aragraph</w:t>
      </w:r>
      <w:r w:rsidR="00E32D24">
        <w:t xml:space="preserve"> 2(g) provides that the additional medical assessments mentioned in</w:t>
      </w:r>
      <w:r w:rsidR="00232BD5">
        <w:t xml:space="preserve"> new</w:t>
      </w:r>
      <w:r w:rsidR="00E32D24">
        <w:t xml:space="preserve"> Schedule 3 </w:t>
      </w:r>
      <w:r w:rsidR="00232BD5">
        <w:t>to IMMI </w:t>
      </w:r>
      <w:r w:rsidR="00E32D24">
        <w:t>15/144 apply to the class of persons mentioned in</w:t>
      </w:r>
      <w:r w:rsidR="00E32D24" w:rsidRPr="0046417F">
        <w:t xml:space="preserve"> paragraph 2(c) </w:t>
      </w:r>
      <w:r w:rsidR="00E32D24">
        <w:t>of IMMI 15/144 for</w:t>
      </w:r>
      <w:r w:rsidR="00E32D24" w:rsidRPr="0046417F">
        <w:t xml:space="preserve"> </w:t>
      </w:r>
      <w:r w:rsidR="00E32D24">
        <w:t xml:space="preserve">paragraphs 4005(1)(aa) </w:t>
      </w:r>
      <w:r w:rsidR="00E32D24" w:rsidRPr="00771659">
        <w:t xml:space="preserve">and 4007(1)(aa) of </w:t>
      </w:r>
      <w:r w:rsidR="00E32D24">
        <w:t>Schedule </w:t>
      </w:r>
      <w:r w:rsidR="00E32D24" w:rsidRPr="00771659">
        <w:t>4 to the Regulations</w:t>
      </w:r>
      <w:r w:rsidR="00E32D24">
        <w:t xml:space="preserve">.  </w:t>
      </w:r>
      <w:r w:rsidR="00232BD5">
        <w:t>C</w:t>
      </w:r>
      <w:r w:rsidR="00D42AD5">
        <w:t>olumn E of</w:t>
      </w:r>
      <w:r w:rsidR="00A01A62">
        <w:t xml:space="preserve"> Sche</w:t>
      </w:r>
      <w:r w:rsidR="00232BD5">
        <w:t>dule 2 to IMMI 15/144 applies</w:t>
      </w:r>
      <w:r w:rsidR="00E32D24">
        <w:t xml:space="preserve"> only in relation to</w:t>
      </w:r>
      <w:r w:rsidR="00A01A62">
        <w:t xml:space="preserve"> </w:t>
      </w:r>
      <w:r w:rsidR="00A01A62" w:rsidRPr="00771659">
        <w:t>paragraph</w:t>
      </w:r>
      <w:r w:rsidR="00A01A62">
        <w:t> </w:t>
      </w:r>
      <w:r w:rsidR="00A01A62" w:rsidRPr="00771659">
        <w:t>4006A(1)(aa)</w:t>
      </w:r>
      <w:r w:rsidR="00A01A62">
        <w:t xml:space="preserve"> </w:t>
      </w:r>
      <w:r w:rsidR="00A01A62" w:rsidRPr="00771659">
        <w:t>of Schedule 4 to the Regulations</w:t>
      </w:r>
      <w:r w:rsidR="00E32D24">
        <w:t>.</w:t>
      </w:r>
    </w:p>
    <w:p w:rsidR="004148A8" w:rsidRDefault="004148A8" w:rsidP="004148A8">
      <w:pPr>
        <w:pStyle w:val="ESPara"/>
      </w:pPr>
      <w:r>
        <w:t>Item 3 of Schedule 1 to the instrument amends Schedule 2 to IMMI 15/144.  It is a technical amendment that is consequential to the insertion of new Schedule 3 to IMMI 15/144 by item 5.</w:t>
      </w:r>
    </w:p>
    <w:p w:rsidR="00A0117C" w:rsidRDefault="00A0117C" w:rsidP="00F168A5">
      <w:pPr>
        <w:pStyle w:val="ESPara"/>
        <w:jc w:val="both"/>
      </w:pPr>
      <w:r>
        <w:lastRenderedPageBreak/>
        <w:t>I</w:t>
      </w:r>
      <w:r w:rsidR="004148A8">
        <w:t>tem 4</w:t>
      </w:r>
      <w:r>
        <w:t xml:space="preserve"> of Schedule 1 to the instrument amends</w:t>
      </w:r>
      <w:r w:rsidR="00095842">
        <w:t xml:space="preserve"> </w:t>
      </w:r>
      <w:r w:rsidR="008462D6">
        <w:t xml:space="preserve">the heading of </w:t>
      </w:r>
      <w:r w:rsidR="00095842">
        <w:t>column E of</w:t>
      </w:r>
      <w:r w:rsidR="006F7D9A">
        <w:t xml:space="preserve"> Schedule 2 to IMMI 15/144. </w:t>
      </w:r>
      <w:r w:rsidR="008F06C8">
        <w:t xml:space="preserve"> </w:t>
      </w:r>
      <w:r w:rsidR="006F7D9A">
        <w:t xml:space="preserve">The effect is </w:t>
      </w:r>
      <w:r w:rsidR="008F06C8">
        <w:t xml:space="preserve">to make it clear that column </w:t>
      </w:r>
      <w:r w:rsidR="00095842">
        <w:t xml:space="preserve">E </w:t>
      </w:r>
      <w:r w:rsidR="00AD4294">
        <w:t xml:space="preserve">does not apply in relation to paragraphs 4005(1)(aa) </w:t>
      </w:r>
      <w:r w:rsidR="00AD4294" w:rsidRPr="00771659">
        <w:t xml:space="preserve">and 4007(1)(aa) of </w:t>
      </w:r>
      <w:r w:rsidR="00AD4294">
        <w:t>Schedule </w:t>
      </w:r>
      <w:r w:rsidR="00AD4294" w:rsidRPr="00771659">
        <w:t>4 to the Regulations</w:t>
      </w:r>
      <w:r w:rsidR="00AD4294">
        <w:t xml:space="preserve"> anymore</w:t>
      </w:r>
      <w:r w:rsidR="008F06C8">
        <w:t>.</w:t>
      </w:r>
      <w:r w:rsidR="00AD4294">
        <w:t xml:space="preserve">  </w:t>
      </w:r>
    </w:p>
    <w:p w:rsidR="00A0117C" w:rsidRDefault="004148A8" w:rsidP="00AA4F77">
      <w:pPr>
        <w:pStyle w:val="ESPara"/>
      </w:pPr>
      <w:r>
        <w:t>Item 5</w:t>
      </w:r>
      <w:r w:rsidR="00A0117C">
        <w:t xml:space="preserve"> of Schedule 1 to the instrument amends IMMI 15/144</w:t>
      </w:r>
      <w:r w:rsidR="00127D41">
        <w:t xml:space="preserve"> by adding </w:t>
      </w:r>
      <w:r w:rsidR="007C69CD">
        <w:t xml:space="preserve">new </w:t>
      </w:r>
      <w:r w:rsidR="00127D41">
        <w:t>Schedule 3 to it</w:t>
      </w:r>
      <w:r w:rsidR="00C9745B">
        <w:t xml:space="preserve">.  </w:t>
      </w:r>
      <w:r w:rsidR="00127D41">
        <w:t>Schedule 3 specifies the additional medical assessments which apply</w:t>
      </w:r>
      <w:r w:rsidR="00825D9A" w:rsidRPr="00825D9A">
        <w:t xml:space="preserve"> </w:t>
      </w:r>
      <w:r w:rsidR="00825D9A">
        <w:t>only</w:t>
      </w:r>
      <w:r w:rsidR="00127D41">
        <w:t xml:space="preserve"> to the</w:t>
      </w:r>
      <w:r w:rsidR="004A60C1">
        <w:t xml:space="preserve"> class of persons mentioned in</w:t>
      </w:r>
      <w:r w:rsidR="004A60C1" w:rsidRPr="0046417F">
        <w:t xml:space="preserve"> paragraph 2(c)</w:t>
      </w:r>
      <w:r w:rsidR="004A60C1">
        <w:t xml:space="preserve"> of IMMI 15/144</w:t>
      </w:r>
      <w:r w:rsidR="004A60C1" w:rsidRPr="0046417F">
        <w:t xml:space="preserve"> </w:t>
      </w:r>
      <w:r w:rsidR="004A60C1">
        <w:t xml:space="preserve">for paragraphs 4005(1)(aa) and 4007(1)(aa) </w:t>
      </w:r>
      <w:r w:rsidR="004A60C1" w:rsidRPr="00771659">
        <w:t>of Schedule 4 to the Regulations</w:t>
      </w:r>
      <w:r w:rsidR="004A60C1">
        <w:t>.</w:t>
      </w:r>
    </w:p>
    <w:p w:rsidR="00AA4557" w:rsidRPr="00AA4557" w:rsidRDefault="00AA4557" w:rsidP="00100DFC">
      <w:pPr>
        <w:pStyle w:val="ESHeading"/>
      </w:pPr>
      <w:r>
        <w:t xml:space="preserve">Parliamentary scrutiny etc.  </w:t>
      </w:r>
    </w:p>
    <w:p w:rsidR="00EF7184" w:rsidRDefault="00EF7184" w:rsidP="002D167E">
      <w:pPr>
        <w:pStyle w:val="ESPara"/>
      </w:pPr>
      <w:r>
        <w:t xml:space="preserve">The instrument is exempt from disallowance under section 42 of the Legislation Act.  </w:t>
      </w:r>
      <w:r w:rsidRPr="00005F0C">
        <w:t>This is because it is an instrument made under</w:t>
      </w:r>
      <w:r w:rsidRPr="001919D7">
        <w:t xml:space="preserve"> </w:t>
      </w:r>
      <w:r>
        <w:t>paragraphs 4005(1</w:t>
      </w:r>
      <w:r w:rsidRPr="0039718E">
        <w:t>)</w:t>
      </w:r>
      <w:r>
        <w:t>(aa)</w:t>
      </w:r>
      <w:r w:rsidRPr="0039718E">
        <w:t xml:space="preserve"> and 4007</w:t>
      </w:r>
      <w:r>
        <w:t>(1</w:t>
      </w:r>
      <w:r w:rsidRPr="0039718E">
        <w:t>)</w:t>
      </w:r>
      <w:r>
        <w:t xml:space="preserve">(aa) </w:t>
      </w:r>
      <w:r w:rsidRPr="008870C0">
        <w:t>of Schedule 4</w:t>
      </w:r>
      <w:r>
        <w:t xml:space="preserve"> to</w:t>
      </w:r>
      <w:r w:rsidRPr="009C339B">
        <w:t xml:space="preserve"> </w:t>
      </w:r>
      <w:r w:rsidRPr="00005F0C">
        <w:t xml:space="preserve">the Regulations, which is exempt from disallowance under paragraph (b) of item 20 in section 10 of the </w:t>
      </w:r>
      <w:r w:rsidRPr="00005F0C">
        <w:rPr>
          <w:i/>
          <w:iCs/>
        </w:rPr>
        <w:t>Legislation (Exemptions and Other Matters) Regulation 2015</w:t>
      </w:r>
      <w:r w:rsidRPr="00005F0C">
        <w:t>.</w:t>
      </w:r>
    </w:p>
    <w:p w:rsidR="00B75478" w:rsidRDefault="00CE77A1" w:rsidP="002D167E">
      <w:pPr>
        <w:pStyle w:val="ESPara"/>
      </w:pPr>
      <w:r>
        <w:t>The instrument i</w:t>
      </w:r>
      <w:r w:rsidR="009921F2" w:rsidRPr="00375567">
        <w:t xml:space="preserve">s made by a delegate of the Minister, </w:t>
      </w:r>
      <w:r w:rsidR="009921F2">
        <w:t>Chief Medical Officer</w:t>
      </w:r>
      <w:r w:rsidR="009921F2" w:rsidRPr="00375567">
        <w:t>, in accordance with</w:t>
      </w:r>
      <w:r w:rsidR="009921F2">
        <w:t xml:space="preserve"> </w:t>
      </w:r>
      <w:r w:rsidR="00380696">
        <w:t>paragraphs 4005(1</w:t>
      </w:r>
      <w:r w:rsidR="00380696" w:rsidRPr="0039718E">
        <w:t>)</w:t>
      </w:r>
      <w:r w:rsidR="00380696">
        <w:t>(aa)</w:t>
      </w:r>
      <w:r w:rsidR="00380696" w:rsidRPr="0039718E">
        <w:t xml:space="preserve"> and 4007</w:t>
      </w:r>
      <w:r w:rsidR="00380696">
        <w:t>(1</w:t>
      </w:r>
      <w:r w:rsidR="00380696" w:rsidRPr="0039718E">
        <w:t>)</w:t>
      </w:r>
      <w:r w:rsidR="00380696">
        <w:t xml:space="preserve">(aa) </w:t>
      </w:r>
      <w:r w:rsidR="00380696" w:rsidRPr="008870C0">
        <w:t>of Schedule 4</w:t>
      </w:r>
      <w:r w:rsidR="00380696">
        <w:t xml:space="preserve"> to</w:t>
      </w:r>
      <w:r w:rsidR="00380696" w:rsidRPr="00375567">
        <w:t xml:space="preserve"> </w:t>
      </w:r>
      <w:r w:rsidR="009921F2" w:rsidRPr="00375567">
        <w:t>the Regulations.</w:t>
      </w:r>
    </w:p>
    <w:p w:rsidR="00915032" w:rsidRPr="00825D9A" w:rsidRDefault="00915032" w:rsidP="00825D9A">
      <w:pPr>
        <w:rPr>
          <w:rFonts w:ascii="Times New Roman" w:hAnsi="Times New Roman" w:cs="Times New Roman"/>
        </w:rPr>
      </w:pPr>
    </w:p>
    <w:sectPr w:rsidR="00915032" w:rsidRPr="00825D9A" w:rsidSect="004F5CE4">
      <w:footerReference w:type="default" r:id="rId7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9C6" w:rsidRDefault="006829C6" w:rsidP="006829C6">
      <w:pPr>
        <w:spacing w:after="0" w:line="240" w:lineRule="auto"/>
      </w:pPr>
      <w:r>
        <w:separator/>
      </w:r>
    </w:p>
  </w:endnote>
  <w:endnote w:type="continuationSeparator" w:id="0">
    <w:p w:rsidR="006829C6" w:rsidRDefault="006829C6" w:rsidP="0068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C6" w:rsidRPr="006829C6" w:rsidRDefault="006829C6" w:rsidP="006829C6">
    <w:pPr>
      <w:pStyle w:val="LDFooter"/>
      <w:rPr>
        <w:i/>
      </w:rPr>
    </w:pPr>
    <w:r w:rsidRPr="006829C6">
      <w:rPr>
        <w:i/>
      </w:rPr>
      <w:fldChar w:fldCharType="begin"/>
    </w:r>
    <w:r w:rsidRPr="006829C6">
      <w:rPr>
        <w:i/>
      </w:rPr>
      <w:instrText xml:space="preserve"> REF Title \h  \* MERGEFORMAT </w:instrText>
    </w:r>
    <w:r w:rsidRPr="006829C6">
      <w:rPr>
        <w:i/>
      </w:rPr>
    </w:r>
    <w:r w:rsidRPr="006829C6">
      <w:rPr>
        <w:i/>
      </w:rPr>
      <w:fldChar w:fldCharType="separate"/>
    </w:r>
    <w:r w:rsidRPr="006829C6">
      <w:rPr>
        <w:i/>
      </w:rPr>
      <w:t>Migration (Required medical assessments) Amendment Instrument (LIN 22/065) 2022</w:t>
    </w:r>
    <w:r w:rsidRPr="006829C6">
      <w:rPr>
        <w:i/>
      </w:rPr>
      <w:fldChar w:fldCharType="end"/>
    </w:r>
  </w:p>
  <w:p w:rsidR="006829C6" w:rsidRDefault="006829C6" w:rsidP="006829C6">
    <w:pPr>
      <w:pStyle w:val="LDFooter"/>
      <w:tabs>
        <w:tab w:val="right" w:pos="9639"/>
      </w:tabs>
    </w:pPr>
    <w:r>
      <w:t>LIN 22/065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87B3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9C6" w:rsidRDefault="006829C6" w:rsidP="006829C6">
      <w:pPr>
        <w:spacing w:after="0" w:line="240" w:lineRule="auto"/>
      </w:pPr>
      <w:r>
        <w:separator/>
      </w:r>
    </w:p>
  </w:footnote>
  <w:footnote w:type="continuationSeparator" w:id="0">
    <w:p w:rsidR="006829C6" w:rsidRDefault="006829C6" w:rsidP="00682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CC2"/>
    <w:multiLevelType w:val="hybridMultilevel"/>
    <w:tmpl w:val="441899A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AE532A9"/>
    <w:multiLevelType w:val="hybridMultilevel"/>
    <w:tmpl w:val="16DE8FA2"/>
    <w:lvl w:ilvl="0" w:tplc="C80632DA">
      <w:start w:val="1"/>
      <w:numFmt w:val="decimal"/>
      <w:pStyle w:val="ESSubparaHeader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ABC2DF26">
      <w:start w:val="1"/>
      <w:numFmt w:val="bullet"/>
      <w:pStyle w:val="ESSubparaLis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B22CF"/>
    <w:multiLevelType w:val="hybridMultilevel"/>
    <w:tmpl w:val="2DCEB73C"/>
    <w:lvl w:ilvl="0" w:tplc="2A36B062">
      <w:start w:val="2"/>
      <w:numFmt w:val="bullet"/>
      <w:pStyle w:val="ESAttLis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D713E"/>
    <w:multiLevelType w:val="hybridMultilevel"/>
    <w:tmpl w:val="3CA29D40"/>
    <w:lvl w:ilvl="0" w:tplc="0C0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A2"/>
    <w:rsid w:val="000332AF"/>
    <w:rsid w:val="00053FA2"/>
    <w:rsid w:val="00095842"/>
    <w:rsid w:val="000A7AD3"/>
    <w:rsid w:val="000B2060"/>
    <w:rsid w:val="000C3870"/>
    <w:rsid w:val="000D014F"/>
    <w:rsid w:val="00100DFC"/>
    <w:rsid w:val="00103EEB"/>
    <w:rsid w:val="00127D41"/>
    <w:rsid w:val="00137283"/>
    <w:rsid w:val="0014703D"/>
    <w:rsid w:val="0019164E"/>
    <w:rsid w:val="001C1FD4"/>
    <w:rsid w:val="00232BD5"/>
    <w:rsid w:val="002402E0"/>
    <w:rsid w:val="002971A5"/>
    <w:rsid w:val="002D167E"/>
    <w:rsid w:val="0030384A"/>
    <w:rsid w:val="00304482"/>
    <w:rsid w:val="0031056E"/>
    <w:rsid w:val="003277CC"/>
    <w:rsid w:val="00332347"/>
    <w:rsid w:val="003355A5"/>
    <w:rsid w:val="00345AA3"/>
    <w:rsid w:val="00347512"/>
    <w:rsid w:val="00380696"/>
    <w:rsid w:val="00395878"/>
    <w:rsid w:val="003A0B3A"/>
    <w:rsid w:val="003D3183"/>
    <w:rsid w:val="003E3391"/>
    <w:rsid w:val="003E4117"/>
    <w:rsid w:val="004148A8"/>
    <w:rsid w:val="00457D4A"/>
    <w:rsid w:val="00464080"/>
    <w:rsid w:val="004A60C1"/>
    <w:rsid w:val="004B7958"/>
    <w:rsid w:val="004E0B9A"/>
    <w:rsid w:val="004F5CE4"/>
    <w:rsid w:val="00502E30"/>
    <w:rsid w:val="00560B24"/>
    <w:rsid w:val="00563245"/>
    <w:rsid w:val="0057002B"/>
    <w:rsid w:val="005940BD"/>
    <w:rsid w:val="005A3733"/>
    <w:rsid w:val="005B7EE9"/>
    <w:rsid w:val="00604E06"/>
    <w:rsid w:val="00605968"/>
    <w:rsid w:val="0061163F"/>
    <w:rsid w:val="00611716"/>
    <w:rsid w:val="006302C4"/>
    <w:rsid w:val="006829C6"/>
    <w:rsid w:val="00696C92"/>
    <w:rsid w:val="006E3AF4"/>
    <w:rsid w:val="006F7D9A"/>
    <w:rsid w:val="007021A3"/>
    <w:rsid w:val="00704F93"/>
    <w:rsid w:val="00717A08"/>
    <w:rsid w:val="00763436"/>
    <w:rsid w:val="00777B28"/>
    <w:rsid w:val="007976AD"/>
    <w:rsid w:val="007A2331"/>
    <w:rsid w:val="007C69CD"/>
    <w:rsid w:val="007E4691"/>
    <w:rsid w:val="008242C8"/>
    <w:rsid w:val="00825D9A"/>
    <w:rsid w:val="008462D6"/>
    <w:rsid w:val="00866EAD"/>
    <w:rsid w:val="00874CE7"/>
    <w:rsid w:val="0088407D"/>
    <w:rsid w:val="00887B3B"/>
    <w:rsid w:val="00887EF4"/>
    <w:rsid w:val="008B24C8"/>
    <w:rsid w:val="008F06C8"/>
    <w:rsid w:val="00915032"/>
    <w:rsid w:val="0092478D"/>
    <w:rsid w:val="009921F2"/>
    <w:rsid w:val="009A29C6"/>
    <w:rsid w:val="009E3A77"/>
    <w:rsid w:val="00A0117C"/>
    <w:rsid w:val="00A01A62"/>
    <w:rsid w:val="00A46A58"/>
    <w:rsid w:val="00A61F27"/>
    <w:rsid w:val="00AA4557"/>
    <w:rsid w:val="00AA4F77"/>
    <w:rsid w:val="00AD4294"/>
    <w:rsid w:val="00AF7101"/>
    <w:rsid w:val="00B16F94"/>
    <w:rsid w:val="00B445D9"/>
    <w:rsid w:val="00B65A06"/>
    <w:rsid w:val="00B75478"/>
    <w:rsid w:val="00BB0CF2"/>
    <w:rsid w:val="00BD598E"/>
    <w:rsid w:val="00BE3E7F"/>
    <w:rsid w:val="00C07B21"/>
    <w:rsid w:val="00C81A5E"/>
    <w:rsid w:val="00C930F2"/>
    <w:rsid w:val="00C9745B"/>
    <w:rsid w:val="00CC57DD"/>
    <w:rsid w:val="00CD56E5"/>
    <w:rsid w:val="00CE77A1"/>
    <w:rsid w:val="00D155DB"/>
    <w:rsid w:val="00D308AA"/>
    <w:rsid w:val="00D40E1E"/>
    <w:rsid w:val="00D42AD5"/>
    <w:rsid w:val="00E03DCC"/>
    <w:rsid w:val="00E11411"/>
    <w:rsid w:val="00E32D24"/>
    <w:rsid w:val="00E45FE2"/>
    <w:rsid w:val="00E82713"/>
    <w:rsid w:val="00EA12C9"/>
    <w:rsid w:val="00EF7184"/>
    <w:rsid w:val="00F01C75"/>
    <w:rsid w:val="00F0494F"/>
    <w:rsid w:val="00F168A5"/>
    <w:rsid w:val="00F77CA7"/>
    <w:rsid w:val="00F825B8"/>
    <w:rsid w:val="00F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8DA4A019-6EC1-4908-B301-8EE68CBC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002B"/>
    <w:pPr>
      <w:ind w:left="720"/>
      <w:contextualSpacing/>
    </w:pPr>
  </w:style>
  <w:style w:type="paragraph" w:customStyle="1" w:styleId="ESParagraph">
    <w:name w:val="ES_Paragraph"/>
    <w:basedOn w:val="ListParagraph"/>
    <w:link w:val="ESParagraphChar"/>
    <w:rsid w:val="00100DFC"/>
    <w:p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paragraph" w:customStyle="1" w:styleId="ESHeading">
    <w:name w:val="ES_Heading"/>
    <w:basedOn w:val="ListParagraph"/>
    <w:link w:val="ESHeadingChar"/>
    <w:qFormat/>
    <w:rsid w:val="00100DFC"/>
    <w:pPr>
      <w:keepNext/>
      <w:spacing w:before="240" w:after="240" w:line="276" w:lineRule="auto"/>
      <w:ind w:left="0"/>
      <w:contextualSpacing w:val="0"/>
    </w:pPr>
    <w:rPr>
      <w:rFonts w:ascii="Times New Roman" w:hAnsi="Times New Roman" w:cs="Times New Roman"/>
      <w:b/>
      <w:i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0DFC"/>
  </w:style>
  <w:style w:type="character" w:customStyle="1" w:styleId="ESParagraphChar">
    <w:name w:val="ES_Paragraph Char"/>
    <w:basedOn w:val="ListParagraphChar"/>
    <w:link w:val="ESParagraph"/>
    <w:rsid w:val="00100DFC"/>
    <w:rPr>
      <w:rFonts w:ascii="Times New Roman" w:hAnsi="Times New Roman" w:cs="Times New Roman"/>
    </w:rPr>
  </w:style>
  <w:style w:type="paragraph" w:customStyle="1" w:styleId="ESAttAttName">
    <w:name w:val="ESAtt_AttName"/>
    <w:basedOn w:val="Normal"/>
    <w:link w:val="ESAttAttNameChar"/>
    <w:qFormat/>
    <w:rsid w:val="00100DFC"/>
    <w:pPr>
      <w:spacing w:before="240" w:after="240" w:line="276" w:lineRule="auto"/>
      <w:jc w:val="right"/>
    </w:pPr>
    <w:rPr>
      <w:rFonts w:ascii="Times New Roman" w:hAnsi="Times New Roman" w:cs="Times New Roman"/>
      <w:b/>
      <w:u w:val="single"/>
    </w:rPr>
  </w:style>
  <w:style w:type="character" w:customStyle="1" w:styleId="ESHeadingChar">
    <w:name w:val="ES_Heading Char"/>
    <w:basedOn w:val="ListParagraphChar"/>
    <w:link w:val="ESHeading"/>
    <w:rsid w:val="00100DFC"/>
    <w:rPr>
      <w:rFonts w:ascii="Times New Roman" w:hAnsi="Times New Roman" w:cs="Times New Roman"/>
      <w:b/>
      <w:i/>
    </w:rPr>
  </w:style>
  <w:style w:type="paragraph" w:customStyle="1" w:styleId="ESAttHeading">
    <w:name w:val="ESAtt_Heading"/>
    <w:basedOn w:val="Normal"/>
    <w:link w:val="ESAttHeading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  <w:b/>
    </w:rPr>
  </w:style>
  <w:style w:type="character" w:customStyle="1" w:styleId="ESAttAttNameChar">
    <w:name w:val="ESAtt_AttName Char"/>
    <w:basedOn w:val="DefaultParagraphFont"/>
    <w:link w:val="ESAttAttName"/>
    <w:rsid w:val="00100DFC"/>
    <w:rPr>
      <w:rFonts w:ascii="Times New Roman" w:hAnsi="Times New Roman" w:cs="Times New Roman"/>
      <w:b/>
      <w:u w:val="single"/>
    </w:rPr>
  </w:style>
  <w:style w:type="paragraph" w:customStyle="1" w:styleId="ESAttNormal">
    <w:name w:val="ESAtt_Normal"/>
    <w:basedOn w:val="Normal"/>
    <w:link w:val="ESAttNormalChar"/>
    <w:qFormat/>
    <w:rsid w:val="00100DFC"/>
    <w:pPr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HeadingChar">
    <w:name w:val="ESAtt_Heading Char"/>
    <w:basedOn w:val="DefaultParagraphFont"/>
    <w:link w:val="ESAttHeading"/>
    <w:rsid w:val="00100DFC"/>
    <w:rPr>
      <w:rFonts w:ascii="Times New Roman" w:hAnsi="Times New Roman" w:cs="Times New Roman"/>
      <w:b/>
    </w:rPr>
  </w:style>
  <w:style w:type="paragraph" w:customStyle="1" w:styleId="ESAttListHeader">
    <w:name w:val="ESAtt_ListHeader"/>
    <w:basedOn w:val="Normal"/>
    <w:link w:val="ESAttListHeader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NormalChar">
    <w:name w:val="ESAtt_Normal Char"/>
    <w:basedOn w:val="DefaultParagraphFont"/>
    <w:link w:val="ESAttNormal"/>
    <w:rsid w:val="00100DFC"/>
    <w:rPr>
      <w:rFonts w:ascii="Times New Roman" w:hAnsi="Times New Roman" w:cs="Times New Roman"/>
    </w:rPr>
  </w:style>
  <w:style w:type="paragraph" w:customStyle="1" w:styleId="ESAttList">
    <w:name w:val="ESAtt_List"/>
    <w:basedOn w:val="ListParagraph"/>
    <w:link w:val="ESAttListChar"/>
    <w:qFormat/>
    <w:rsid w:val="00100DFC"/>
    <w:pPr>
      <w:numPr>
        <w:numId w:val="2"/>
      </w:numPr>
      <w:spacing w:before="240" w:after="240" w:line="276" w:lineRule="auto"/>
      <w:contextualSpacing w:val="0"/>
    </w:pPr>
    <w:rPr>
      <w:rFonts w:ascii="Times New Roman" w:hAnsi="Times New Roman" w:cs="Times New Roman"/>
    </w:rPr>
  </w:style>
  <w:style w:type="character" w:customStyle="1" w:styleId="ESAttListHeaderChar">
    <w:name w:val="ESAtt_ListHeader Char"/>
    <w:basedOn w:val="DefaultParagraphFont"/>
    <w:link w:val="ESAttListHeader"/>
    <w:rsid w:val="00100DFC"/>
    <w:rPr>
      <w:rFonts w:ascii="Times New Roman" w:hAnsi="Times New Roman" w:cs="Times New Roman"/>
    </w:rPr>
  </w:style>
  <w:style w:type="paragraph" w:customStyle="1" w:styleId="ESSubHeading">
    <w:name w:val="ES_SubHeading"/>
    <w:basedOn w:val="ESHeading"/>
    <w:link w:val="ESSubHeadingChar"/>
    <w:qFormat/>
    <w:rsid w:val="00BB0CF2"/>
    <w:rPr>
      <w:b w:val="0"/>
    </w:rPr>
  </w:style>
  <w:style w:type="character" w:customStyle="1" w:styleId="ESAttListChar">
    <w:name w:val="ESAtt_List Char"/>
    <w:basedOn w:val="ListParagraphChar"/>
    <w:link w:val="ESAttList"/>
    <w:rsid w:val="00100DFC"/>
    <w:rPr>
      <w:rFonts w:ascii="Times New Roman" w:hAnsi="Times New Roman" w:cs="Times New Roman"/>
    </w:rPr>
  </w:style>
  <w:style w:type="paragraph" w:customStyle="1" w:styleId="ESTitleInstrumentName">
    <w:name w:val="ESTitle_InstrumentName"/>
    <w:basedOn w:val="Normal"/>
    <w:link w:val="ESTitleInstrumentNameChar"/>
    <w:qFormat/>
    <w:rsid w:val="00BB0CF2"/>
    <w:pPr>
      <w:spacing w:before="360" w:after="600" w:line="276" w:lineRule="auto"/>
      <w:jc w:val="center"/>
    </w:pPr>
    <w:rPr>
      <w:rFonts w:ascii="Times New Roman" w:hAnsi="Times New Roman" w:cs="Times New Roman"/>
      <w:b/>
      <w:i/>
    </w:rPr>
  </w:style>
  <w:style w:type="character" w:customStyle="1" w:styleId="ESSubHeadingChar">
    <w:name w:val="ES_SubHeading Char"/>
    <w:basedOn w:val="ESHeadingChar"/>
    <w:link w:val="ESSubHeading"/>
    <w:rsid w:val="00BB0CF2"/>
    <w:rPr>
      <w:rFonts w:ascii="Times New Roman" w:hAnsi="Times New Roman" w:cs="Times New Roman"/>
      <w:b w:val="0"/>
      <w:i/>
    </w:rPr>
  </w:style>
  <w:style w:type="paragraph" w:customStyle="1" w:styleId="ESTitleEnablingLegislation">
    <w:name w:val="ESTitle_EnablingLegislation"/>
    <w:basedOn w:val="Normal"/>
    <w:link w:val="ESTitleEnablingLegislationChar"/>
    <w:qFormat/>
    <w:rsid w:val="00BB0CF2"/>
    <w:pPr>
      <w:spacing w:line="276" w:lineRule="auto"/>
      <w:jc w:val="center"/>
    </w:pPr>
    <w:rPr>
      <w:rFonts w:ascii="Times New Roman" w:hAnsi="Times New Roman" w:cs="Times New Roman"/>
      <w:i/>
    </w:rPr>
  </w:style>
  <w:style w:type="character" w:customStyle="1" w:styleId="ESTitleInstrumentNameChar">
    <w:name w:val="ESTitle_InstrumentName Char"/>
    <w:basedOn w:val="DefaultParagraphFont"/>
    <w:link w:val="ESTitleInstrumentName"/>
    <w:rsid w:val="00BB0CF2"/>
    <w:rPr>
      <w:rFonts w:ascii="Times New Roman" w:hAnsi="Times New Roman" w:cs="Times New Roman"/>
      <w:b/>
      <w:i/>
    </w:rPr>
  </w:style>
  <w:style w:type="paragraph" w:customStyle="1" w:styleId="ESTitleDecisionMaker">
    <w:name w:val="ESTitle_DecisionMaker"/>
    <w:basedOn w:val="Normal"/>
    <w:link w:val="ESTitleDecisionMakerChar"/>
    <w:qFormat/>
    <w:rsid w:val="00BB0CF2"/>
    <w:pPr>
      <w:spacing w:line="276" w:lineRule="auto"/>
      <w:jc w:val="center"/>
    </w:pPr>
    <w:rPr>
      <w:rFonts w:ascii="Times New Roman" w:hAnsi="Times New Roman" w:cs="Times New Roman"/>
    </w:rPr>
  </w:style>
  <w:style w:type="character" w:customStyle="1" w:styleId="ESTitleEnablingLegislationChar">
    <w:name w:val="ESTitle_EnablingLegislation Char"/>
    <w:basedOn w:val="DefaultParagraphFont"/>
    <w:link w:val="ESTitleEnablingLegislation"/>
    <w:rsid w:val="00BB0CF2"/>
    <w:rPr>
      <w:rFonts w:ascii="Times New Roman" w:hAnsi="Times New Roman" w:cs="Times New Roman"/>
      <w:i/>
    </w:rPr>
  </w:style>
  <w:style w:type="paragraph" w:customStyle="1" w:styleId="ESTitleHeader">
    <w:name w:val="ESTitle_Header"/>
    <w:basedOn w:val="Normal"/>
    <w:link w:val="ESTitleHeaderChar"/>
    <w:qFormat/>
    <w:rsid w:val="00BB0CF2"/>
    <w:pPr>
      <w:spacing w:line="276" w:lineRule="auto"/>
      <w:jc w:val="center"/>
    </w:pPr>
    <w:rPr>
      <w:rFonts w:ascii="Times New Roman" w:hAnsi="Times New Roman" w:cs="Times New Roman"/>
      <w:u w:val="single"/>
    </w:rPr>
  </w:style>
  <w:style w:type="character" w:customStyle="1" w:styleId="ESTitleDecisionMakerChar">
    <w:name w:val="ESTitle_DecisionMaker Char"/>
    <w:basedOn w:val="DefaultParagraphFont"/>
    <w:link w:val="ESTitleDecisionMaker"/>
    <w:rsid w:val="00BB0CF2"/>
    <w:rPr>
      <w:rFonts w:ascii="Times New Roman" w:hAnsi="Times New Roman" w:cs="Times New Roman"/>
    </w:rPr>
  </w:style>
  <w:style w:type="paragraph" w:customStyle="1" w:styleId="ESSubparaHeader">
    <w:name w:val="ES_SubparaHeader"/>
    <w:basedOn w:val="ListParagraph"/>
    <w:next w:val="ESSubparaList"/>
    <w:link w:val="ESSubparaHeaderChar"/>
    <w:qFormat/>
    <w:rsid w:val="00BB0CF2"/>
    <w:pPr>
      <w:keepNext/>
      <w:numPr>
        <w:numId w:val="1"/>
      </w:num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character" w:customStyle="1" w:styleId="ESTitleHeaderChar">
    <w:name w:val="ESTitle_Header Char"/>
    <w:basedOn w:val="DefaultParagraphFont"/>
    <w:link w:val="ESTitleHeader"/>
    <w:rsid w:val="00BB0CF2"/>
    <w:rPr>
      <w:rFonts w:ascii="Times New Roman" w:hAnsi="Times New Roman" w:cs="Times New Roman"/>
      <w:u w:val="single"/>
    </w:rPr>
  </w:style>
  <w:style w:type="paragraph" w:customStyle="1" w:styleId="ESSubparaList">
    <w:name w:val="ES_SubparaList"/>
    <w:basedOn w:val="ListParagraph"/>
    <w:link w:val="ESSubparaListChar"/>
    <w:qFormat/>
    <w:rsid w:val="00BB0CF2"/>
    <w:pPr>
      <w:numPr>
        <w:ilvl w:val="1"/>
        <w:numId w:val="1"/>
      </w:numPr>
      <w:spacing w:before="240" w:after="240" w:line="276" w:lineRule="auto"/>
      <w:ind w:left="1276" w:hanging="425"/>
      <w:contextualSpacing w:val="0"/>
    </w:pPr>
    <w:rPr>
      <w:rFonts w:ascii="Times New Roman" w:hAnsi="Times New Roman" w:cs="Times New Roman"/>
    </w:rPr>
  </w:style>
  <w:style w:type="character" w:customStyle="1" w:styleId="ESSubparaHeaderChar">
    <w:name w:val="ES_SubparaHeader Char"/>
    <w:basedOn w:val="ListParagraphChar"/>
    <w:link w:val="ESSubparaHeader"/>
    <w:rsid w:val="00BB0CF2"/>
    <w:rPr>
      <w:rFonts w:ascii="Times New Roman" w:hAnsi="Times New Roman" w:cs="Times New Roman"/>
    </w:rPr>
  </w:style>
  <w:style w:type="character" w:customStyle="1" w:styleId="ESSubparaListChar">
    <w:name w:val="ES_SubparaList Char"/>
    <w:basedOn w:val="ListParagraphChar"/>
    <w:link w:val="ESSubparaList"/>
    <w:rsid w:val="00BB0CF2"/>
    <w:rPr>
      <w:rFonts w:ascii="Times New Roman" w:hAnsi="Times New Roman" w:cs="Times New Roman"/>
    </w:rPr>
  </w:style>
  <w:style w:type="paragraph" w:customStyle="1" w:styleId="ESPara">
    <w:name w:val="ES_Para"/>
    <w:basedOn w:val="ESSubparaHeader"/>
    <w:link w:val="ESParaChar"/>
    <w:qFormat/>
    <w:rsid w:val="002D167E"/>
    <w:pPr>
      <w:keepNext w:val="0"/>
    </w:pPr>
  </w:style>
  <w:style w:type="character" w:customStyle="1" w:styleId="ESParaChar">
    <w:name w:val="ES_Para Char"/>
    <w:basedOn w:val="ESSubparaHeaderChar"/>
    <w:link w:val="ESPara"/>
    <w:rsid w:val="002D167E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82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9C6"/>
  </w:style>
  <w:style w:type="paragraph" w:styleId="Footer">
    <w:name w:val="footer"/>
    <w:basedOn w:val="Normal"/>
    <w:link w:val="FooterChar"/>
    <w:uiPriority w:val="99"/>
    <w:unhideWhenUsed/>
    <w:rsid w:val="00682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9C6"/>
  </w:style>
  <w:style w:type="paragraph" w:customStyle="1" w:styleId="LDFooter">
    <w:name w:val="LDFooter"/>
    <w:rsid w:val="006829C6"/>
    <w:pPr>
      <w:pBdr>
        <w:top w:val="single" w:sz="4" w:space="1" w:color="auto"/>
      </w:pBdr>
      <w:spacing w:after="0" w:line="240" w:lineRule="auto"/>
    </w:pPr>
    <w:rPr>
      <w:rFonts w:ascii="Times New Roman" w:hAnsi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T\BEL\legal\LegServLEG\2.%20LEGISLATIVE%20INSTRUMENTS\4.%20TEMPLATES%20-%20instruments%20LEG%20and%20NON-LEG\Patrick's%20templates\ES%20template%202112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ES template 211208</Template>
  <TotalTime>0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HU</dc:creator>
  <cp:keywords/>
  <dc:description/>
  <cp:lastModifiedBy>Hannah HU</cp:lastModifiedBy>
  <cp:revision>2</cp:revision>
  <dcterms:created xsi:type="dcterms:W3CDTF">2022-06-23T07:34:00Z</dcterms:created>
  <dcterms:modified xsi:type="dcterms:W3CDTF">2022-06-23T07:34:00Z</dcterms:modified>
</cp:coreProperties>
</file>