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40B" w:rsidRPr="008B24C8" w:rsidRDefault="0057002B" w:rsidP="00BB0CF2">
      <w:pPr>
        <w:pStyle w:val="ESTitleHeader"/>
      </w:pPr>
      <w:bookmarkStart w:id="0" w:name="_GoBack"/>
      <w:bookmarkEnd w:id="0"/>
      <w:r w:rsidRPr="008B24C8">
        <w:t>EXPLANATORY STATEMENT</w:t>
      </w:r>
    </w:p>
    <w:p w:rsidR="0057002B" w:rsidRPr="008B24C8" w:rsidRDefault="0067599A" w:rsidP="00BB0CF2">
      <w:pPr>
        <w:pStyle w:val="ESTitleDecisionMaker"/>
      </w:pPr>
      <w:r w:rsidRPr="008B24C8">
        <w:t xml:space="preserve">Issued by authority of the </w:t>
      </w:r>
      <w:r w:rsidRPr="00D32B5C">
        <w:t>Minister for Immigration, Citizenship and Multicultural Affairs</w:t>
      </w:r>
    </w:p>
    <w:p w:rsidR="0057002B" w:rsidRPr="008B24C8" w:rsidRDefault="0067599A" w:rsidP="00BB0CF2">
      <w:pPr>
        <w:pStyle w:val="ESTitleEnablingLegislation"/>
      </w:pPr>
      <w:r w:rsidRPr="009A1970">
        <w:t>Migration Regulations 1994</w:t>
      </w:r>
    </w:p>
    <w:p w:rsidR="0057002B" w:rsidRPr="0062172A" w:rsidRDefault="00893F8F" w:rsidP="0062172A">
      <w:pPr>
        <w:pStyle w:val="ESTitleInstrumentName"/>
      </w:pPr>
      <w:bookmarkStart w:id="1" w:name="Title"/>
      <w:r w:rsidRPr="0062172A">
        <w:t>Migration (Arrangements for subclass 417 visa</w:t>
      </w:r>
      <w:r w:rsidR="00A00514">
        <w:t xml:space="preserve"> applications) Instrument (LIN </w:t>
      </w:r>
      <w:r w:rsidRPr="0062172A">
        <w:t>22/051) 2022</w:t>
      </w:r>
      <w:bookmarkEnd w:id="1"/>
    </w:p>
    <w:p w:rsidR="00893F8F" w:rsidRPr="008B24C8" w:rsidRDefault="00893F8F" w:rsidP="00893F8F">
      <w:pPr>
        <w:pStyle w:val="ESPara"/>
      </w:pPr>
      <w:r w:rsidRPr="008B24C8">
        <w:t xml:space="preserve">The instrument, Departmental reference </w:t>
      </w:r>
      <w:r w:rsidR="00A00514">
        <w:t>LIN </w:t>
      </w:r>
      <w:r>
        <w:t>22/051</w:t>
      </w:r>
      <w:r w:rsidRPr="008B24C8">
        <w:t xml:space="preserve">, is made under </w:t>
      </w:r>
      <w:r w:rsidRPr="00D32B5C">
        <w:t xml:space="preserve">subregulation 2.07(5) of the </w:t>
      </w:r>
      <w:r w:rsidRPr="00D32B5C">
        <w:rPr>
          <w:i/>
        </w:rPr>
        <w:t>Migration Regulations 1994</w:t>
      </w:r>
      <w:r w:rsidRPr="00D32B5C">
        <w:t xml:space="preserve"> (the Regulations)</w:t>
      </w:r>
      <w:r w:rsidRPr="008B24C8">
        <w:t xml:space="preserve">.  </w:t>
      </w:r>
    </w:p>
    <w:p w:rsidR="00893F8F" w:rsidRPr="008B24C8" w:rsidRDefault="00893F8F" w:rsidP="00893F8F">
      <w:pPr>
        <w:pStyle w:val="ESPara"/>
      </w:pPr>
      <w:r w:rsidRPr="008B24C8">
        <w:t>The instrument</w:t>
      </w:r>
      <w:r>
        <w:t xml:space="preserve"> </w:t>
      </w:r>
      <w:r w:rsidR="00592879">
        <w:t>repeal</w:t>
      </w:r>
      <w:r>
        <w:t xml:space="preserve">s </w:t>
      </w:r>
      <w:r w:rsidRPr="001F23F9">
        <w:rPr>
          <w:i/>
        </w:rPr>
        <w:t>Migration (LIN 19/183: Arrangements for Working Holiday Visa Applications) Instrument 2019</w:t>
      </w:r>
      <w:r>
        <w:t xml:space="preserve"> (</w:t>
      </w:r>
      <w:r w:rsidRPr="001F23F9">
        <w:t>F2019L00903</w:t>
      </w:r>
      <w:r>
        <w:t xml:space="preserve">) (LIN </w:t>
      </w:r>
      <w:r w:rsidRPr="00893F8F">
        <w:t>19/183</w:t>
      </w:r>
      <w:r>
        <w:t xml:space="preserve">) </w:t>
      </w:r>
      <w:r w:rsidRPr="008B24C8">
        <w:t xml:space="preserve">in accordance with subsection 33(3) of the </w:t>
      </w:r>
      <w:r w:rsidRPr="00A54646">
        <w:rPr>
          <w:i/>
        </w:rPr>
        <w:t>Acts Interpretation Act 1901</w:t>
      </w:r>
      <w:r w:rsidRPr="008B24C8">
        <w:t xml:space="preserve">.  That subsection provides that </w:t>
      </w:r>
      <w:r>
        <w:t>a power to make a legislative instrument includes a power to amend or repeal that instrument in the same manner, and subject to the same conditions, as the power to make the instrument</w:t>
      </w:r>
      <w:r w:rsidRPr="008B24C8">
        <w:t xml:space="preserve">.  </w:t>
      </w:r>
      <w:r w:rsidRPr="00875E85">
        <w:t xml:space="preserve">This means that </w:t>
      </w:r>
      <w:r>
        <w:t>subregulation 2.07(5)</w:t>
      </w:r>
      <w:r w:rsidRPr="00875E85">
        <w:t xml:space="preserve"> of the Regulations also include</w:t>
      </w:r>
      <w:r w:rsidR="003E15BA">
        <w:t>s</w:t>
      </w:r>
      <w:r w:rsidRPr="00875E85">
        <w:t xml:space="preserve"> a power to amend or repeal an instrument made under that provision.</w:t>
      </w:r>
    </w:p>
    <w:p w:rsidR="00893F8F" w:rsidRPr="00D32B5C" w:rsidRDefault="00893F8F" w:rsidP="00893F8F">
      <w:pPr>
        <w:pStyle w:val="ESPara"/>
      </w:pPr>
      <w:r>
        <w:t>The instrument commences on 1 July 2022, and i</w:t>
      </w:r>
      <w:r w:rsidRPr="008B24C8">
        <w:t xml:space="preserve">s a </w:t>
      </w:r>
      <w:r>
        <w:t>legislative</w:t>
      </w:r>
      <w:r w:rsidRPr="008B24C8">
        <w:t xml:space="preserve"> instrument for </w:t>
      </w:r>
      <w:r>
        <w:t xml:space="preserve">the </w:t>
      </w:r>
      <w:r>
        <w:rPr>
          <w:i/>
        </w:rPr>
        <w:t>Legislation Act 2003</w:t>
      </w:r>
      <w:r>
        <w:t xml:space="preserve"> (the L</w:t>
      </w:r>
      <w:r w:rsidRPr="00D32B5C">
        <w:t xml:space="preserve">egislation Act).  </w:t>
      </w:r>
    </w:p>
    <w:p w:rsidR="00B75478" w:rsidRDefault="00BD598E" w:rsidP="00893F8F">
      <w:pPr>
        <w:pStyle w:val="ESHeading"/>
      </w:pPr>
      <w:r w:rsidRPr="008B24C8">
        <w:t>Purpose</w:t>
      </w:r>
      <w:r w:rsidR="00BB0CF2">
        <w:t xml:space="preserve"> </w:t>
      </w:r>
    </w:p>
    <w:p w:rsidR="001E2A7D" w:rsidRDefault="001E2A7D" w:rsidP="0008214F">
      <w:pPr>
        <w:pStyle w:val="ESPara"/>
      </w:pPr>
      <w:r>
        <w:t>The instrument operates to specify arrangements for making a Working Holiday (Subclass 417) visa (subclass 417 visa) application.</w:t>
      </w:r>
    </w:p>
    <w:p w:rsidR="00D031EC" w:rsidRDefault="00A5640B" w:rsidP="00EB557B">
      <w:pPr>
        <w:pStyle w:val="ESPara"/>
      </w:pPr>
      <w:r>
        <w:t>Item 1225 of Schedule 1 to the Regulations prescribes the requirements that an applicant for a subclass 417 visa must meet to make a valid visa application.  Subitems 1225(1) and (3) of Schedule 1 to the Regulations require that the application for a subclass 417 visa must be made using the approved form, at the place and in the manner</w:t>
      </w:r>
      <w:r w:rsidR="00EB557B">
        <w:t xml:space="preserve">, specified </w:t>
      </w:r>
      <w:r w:rsidR="00EB557B" w:rsidRPr="00EB557B">
        <w:t>in relation to a class of persons that includes the applicant</w:t>
      </w:r>
      <w:r>
        <w:t xml:space="preserve"> in a legislative instrument made under subregulation 2.07(5) of the Regulations.  </w:t>
      </w:r>
    </w:p>
    <w:p w:rsidR="0008214F" w:rsidRDefault="00D031EC" w:rsidP="00F57486">
      <w:pPr>
        <w:pStyle w:val="ESPara"/>
      </w:pPr>
      <w:r>
        <w:t>Division 417</w:t>
      </w:r>
      <w:r w:rsidR="003B3CF3" w:rsidRPr="00122D18">
        <w:t xml:space="preserve"> of Schedule 2 to the Regulations prescribes the criteria to be considered for the grant of </w:t>
      </w:r>
      <w:r w:rsidR="003B3CF3">
        <w:t>a s</w:t>
      </w:r>
      <w:r>
        <w:t>ubclass 417</w:t>
      </w:r>
      <w:r w:rsidR="003B3CF3" w:rsidRPr="00122D18">
        <w:t xml:space="preserve"> visa once an application for </w:t>
      </w:r>
      <w:r w:rsidR="003B3CF3">
        <w:t>that</w:t>
      </w:r>
      <w:r w:rsidR="003B3CF3" w:rsidRPr="00122D18">
        <w:t xml:space="preserve"> visa has been made.</w:t>
      </w:r>
      <w:r w:rsidR="003B3CF3">
        <w:t xml:space="preserve">  </w:t>
      </w:r>
      <w:r w:rsidR="0008214F">
        <w:t xml:space="preserve">Subclause 417.211(2) of Schedule 2 </w:t>
      </w:r>
      <w:r w:rsidR="00F57486" w:rsidRPr="00122D18">
        <w:t>to the Regulations</w:t>
      </w:r>
      <w:r w:rsidR="00F57486">
        <w:t xml:space="preserve"> </w:t>
      </w:r>
      <w:r w:rsidR="0008214F">
        <w:t xml:space="preserve">provides that an applicant </w:t>
      </w:r>
      <w:r w:rsidR="00F57486">
        <w:t xml:space="preserve">for a subclass 417 visa </w:t>
      </w:r>
      <w:r w:rsidR="0008214F">
        <w:t>must hold a working holiday eligible passport of the kind or of one of the kinds, specified in a legislative instrum</w:t>
      </w:r>
      <w:r w:rsidR="00F57486">
        <w:t>ent made for that</w:t>
      </w:r>
      <w:r w:rsidR="0008214F">
        <w:t xml:space="preserve"> subclause. </w:t>
      </w:r>
      <w:r w:rsidR="00F57486">
        <w:t xml:space="preserve"> </w:t>
      </w:r>
      <w:r w:rsidR="0008214F">
        <w:t xml:space="preserve">The subclause further provides that the applicant must be at least 18 years of age and no more than 35 years of age, or a younger age if that age is specified </w:t>
      </w:r>
      <w:r w:rsidR="007C46A7">
        <w:t xml:space="preserve">in a legislative instrument </w:t>
      </w:r>
      <w:r w:rsidR="0008214F">
        <w:t>for the kind of pass</w:t>
      </w:r>
      <w:r w:rsidR="00F57486">
        <w:t xml:space="preserve">port that the applicant holds.  </w:t>
      </w:r>
      <w:r w:rsidR="0008214F">
        <w:t xml:space="preserve">A </w:t>
      </w:r>
      <w:r w:rsidR="0008214F" w:rsidRPr="00C57379">
        <w:rPr>
          <w:i/>
        </w:rPr>
        <w:t>working holiday eligible</w:t>
      </w:r>
      <w:r w:rsidR="00F57486" w:rsidRPr="00C57379">
        <w:rPr>
          <w:i/>
        </w:rPr>
        <w:t xml:space="preserve"> passport</w:t>
      </w:r>
      <w:r w:rsidR="00F57486">
        <w:t xml:space="preserve"> is defined in subitem </w:t>
      </w:r>
      <w:r w:rsidR="0008214F">
        <w:t xml:space="preserve">1225(5) of Schedule 1 </w:t>
      </w:r>
      <w:r w:rsidR="00F57486">
        <w:t xml:space="preserve">and clause 417.111 of Schedule 2 </w:t>
      </w:r>
      <w:r w:rsidR="00F57486" w:rsidRPr="00122D18">
        <w:t>to the Regulations</w:t>
      </w:r>
      <w:r w:rsidR="00F57486">
        <w:t xml:space="preserve"> </w:t>
      </w:r>
      <w:r w:rsidR="0008214F">
        <w:t>to mean a valid passport held by a person who is a member of a class of</w:t>
      </w:r>
      <w:r w:rsidR="00F57486">
        <w:t xml:space="preserve"> persons specified in </w:t>
      </w:r>
      <w:r w:rsidR="00476975">
        <w:t>a legislative</w:t>
      </w:r>
      <w:r w:rsidR="00F57486">
        <w:t xml:space="preserve"> </w:t>
      </w:r>
      <w:r w:rsidR="0008214F">
        <w:t>instrument mentioned in subitem 1225(3)</w:t>
      </w:r>
      <w:r w:rsidR="00F57486">
        <w:t xml:space="preserve"> of Schedule 1</w:t>
      </w:r>
      <w:r w:rsidR="00F57486" w:rsidRPr="00F57486">
        <w:t xml:space="preserve"> </w:t>
      </w:r>
      <w:r w:rsidR="00F57486" w:rsidRPr="00122D18">
        <w:t>to the Regulations</w:t>
      </w:r>
      <w:r w:rsidR="00F57486">
        <w:t>.</w:t>
      </w:r>
    </w:p>
    <w:p w:rsidR="001E2A7D" w:rsidRDefault="001E2A7D" w:rsidP="001E2A7D">
      <w:pPr>
        <w:pStyle w:val="ESPara"/>
      </w:pPr>
      <w:r w:rsidRPr="00554A2B">
        <w:t xml:space="preserve">The purpose of the instrument is to </w:t>
      </w:r>
      <w:r>
        <w:t xml:space="preserve">update the </w:t>
      </w:r>
      <w:r w:rsidRPr="00E67CB0">
        <w:t>abovementioned matters</w:t>
      </w:r>
      <w:r>
        <w:t xml:space="preserve"> specified in</w:t>
      </w:r>
      <w:r w:rsidRPr="00E85F2F">
        <w:t xml:space="preserve"> </w:t>
      </w:r>
      <w:r>
        <w:t xml:space="preserve">LIN </w:t>
      </w:r>
      <w:r w:rsidRPr="00893F8F">
        <w:t>19/183</w:t>
      </w:r>
      <w:r>
        <w:t>.</w:t>
      </w:r>
    </w:p>
    <w:p w:rsidR="00BD0605" w:rsidRDefault="005A2929" w:rsidP="00BD0605">
      <w:pPr>
        <w:pStyle w:val="ESPara"/>
        <w:keepNext/>
      </w:pPr>
      <w:r>
        <w:lastRenderedPageBreak/>
        <w:t xml:space="preserve">The instrument specifies that an applicant </w:t>
      </w:r>
      <w:r w:rsidR="00BD0605">
        <w:t>is in a class of persons, if</w:t>
      </w:r>
      <w:r w:rsidR="00B76FC2" w:rsidRPr="00B76FC2">
        <w:t xml:space="preserve"> </w:t>
      </w:r>
      <w:r w:rsidR="00B76FC2">
        <w:t>the applicant</w:t>
      </w:r>
      <w:r w:rsidR="00BD0605">
        <w:t>:</w:t>
      </w:r>
    </w:p>
    <w:p w:rsidR="00BD0605" w:rsidRDefault="00EB557B" w:rsidP="00694786">
      <w:pPr>
        <w:pStyle w:val="ESPara"/>
        <w:keepNext/>
        <w:numPr>
          <w:ilvl w:val="0"/>
          <w:numId w:val="5"/>
        </w:numPr>
        <w:spacing w:before="120" w:after="120" w:line="240" w:lineRule="auto"/>
        <w:ind w:hanging="357"/>
      </w:pPr>
      <w:r>
        <w:t>hold</w:t>
      </w:r>
      <w:r w:rsidR="00BD0605">
        <w:t>s</w:t>
      </w:r>
      <w:r>
        <w:t xml:space="preserve"> a passport that</w:t>
      </w:r>
      <w:r w:rsidR="00BD0605">
        <w:t>:</w:t>
      </w:r>
    </w:p>
    <w:p w:rsidR="00BD0605" w:rsidRDefault="00BD0605" w:rsidP="00694786">
      <w:pPr>
        <w:pStyle w:val="ESPara"/>
        <w:numPr>
          <w:ilvl w:val="1"/>
          <w:numId w:val="5"/>
        </w:numPr>
        <w:spacing w:before="120" w:after="120" w:line="240" w:lineRule="auto"/>
        <w:ind w:hanging="357"/>
      </w:pPr>
      <w:r>
        <w:t>i</w:t>
      </w:r>
      <w:r w:rsidR="00EB557B">
        <w:t xml:space="preserve">s issued by a country or region mentioned in </w:t>
      </w:r>
      <w:r>
        <w:t xml:space="preserve">an item of </w:t>
      </w:r>
      <w:r w:rsidR="00EB557B">
        <w:t>Schedule 1</w:t>
      </w:r>
      <w:r>
        <w:t xml:space="preserve"> to the instrument; and </w:t>
      </w:r>
    </w:p>
    <w:p w:rsidR="00EB557B" w:rsidRDefault="00BD0605" w:rsidP="00694786">
      <w:pPr>
        <w:pStyle w:val="ESPara"/>
        <w:numPr>
          <w:ilvl w:val="1"/>
          <w:numId w:val="5"/>
        </w:numPr>
        <w:spacing w:before="120" w:after="120" w:line="240" w:lineRule="auto"/>
        <w:ind w:hanging="357"/>
      </w:pPr>
      <w:r>
        <w:t xml:space="preserve">satisfies the conditions </w:t>
      </w:r>
      <w:r w:rsidR="00EB557B">
        <w:t>mentioned in the item; or</w:t>
      </w:r>
    </w:p>
    <w:p w:rsidR="00EB557B" w:rsidRDefault="00BD0605" w:rsidP="00694786">
      <w:pPr>
        <w:pStyle w:val="ESPara"/>
        <w:numPr>
          <w:ilvl w:val="0"/>
          <w:numId w:val="5"/>
        </w:numPr>
        <w:spacing w:before="120" w:after="120" w:line="240" w:lineRule="auto"/>
        <w:ind w:hanging="357"/>
      </w:pPr>
      <w:r>
        <w:t xml:space="preserve">is in Australia and </w:t>
      </w:r>
      <w:r w:rsidR="00733774">
        <w:t xml:space="preserve">previously </w:t>
      </w:r>
      <w:r>
        <w:t xml:space="preserve">held a passport </w:t>
      </w:r>
      <w:r w:rsidR="00EB557B">
        <w:t>that:</w:t>
      </w:r>
    </w:p>
    <w:p w:rsidR="00BD0605" w:rsidRDefault="00BD0605" w:rsidP="00694786">
      <w:pPr>
        <w:pStyle w:val="ESPara"/>
        <w:numPr>
          <w:ilvl w:val="1"/>
          <w:numId w:val="5"/>
        </w:numPr>
        <w:spacing w:before="120" w:after="120" w:line="240" w:lineRule="auto"/>
        <w:ind w:hanging="357"/>
      </w:pPr>
      <w:r>
        <w:t>was issued by a country or region mentioned in an item of Schedule 1</w:t>
      </w:r>
      <w:r w:rsidR="00E26995">
        <w:t xml:space="preserve"> to the instrument</w:t>
      </w:r>
      <w:r>
        <w:t>, when the applicant entered Australia; and</w:t>
      </w:r>
    </w:p>
    <w:p w:rsidR="00BD0605" w:rsidRDefault="00BD0605" w:rsidP="00694786">
      <w:pPr>
        <w:pStyle w:val="ESPara"/>
        <w:numPr>
          <w:ilvl w:val="1"/>
          <w:numId w:val="5"/>
        </w:numPr>
        <w:spacing w:before="120" w:after="120" w:line="240" w:lineRule="auto"/>
        <w:ind w:hanging="357"/>
      </w:pPr>
      <w:r>
        <w:t>satisfied the conditions mentioned in the item, when the applicant entered Australia; and</w:t>
      </w:r>
      <w:r w:rsidR="00E26995">
        <w:t xml:space="preserve">  </w:t>
      </w:r>
    </w:p>
    <w:p w:rsidR="00EB557B" w:rsidRDefault="00BD0605" w:rsidP="00694786">
      <w:pPr>
        <w:pStyle w:val="ESPara"/>
        <w:numPr>
          <w:ilvl w:val="1"/>
          <w:numId w:val="5"/>
        </w:numPr>
        <w:spacing w:before="120" w:after="120" w:line="240" w:lineRule="auto"/>
        <w:ind w:hanging="357"/>
      </w:pPr>
      <w:r>
        <w:t>expired after the applicant entered Australia.</w:t>
      </w:r>
    </w:p>
    <w:p w:rsidR="003B3CF3" w:rsidRDefault="005A37D6" w:rsidP="0091565B">
      <w:pPr>
        <w:pStyle w:val="ESPara"/>
      </w:pPr>
      <w:r>
        <w:t xml:space="preserve">If </w:t>
      </w:r>
      <w:r w:rsidR="00EB557B">
        <w:t xml:space="preserve">an applicant </w:t>
      </w:r>
      <w:r w:rsidR="006353E7">
        <w:t xml:space="preserve">is a member of a </w:t>
      </w:r>
      <w:r>
        <w:t xml:space="preserve">class of persons specified in the instrument, the applicant </w:t>
      </w:r>
      <w:r w:rsidR="005A2929">
        <w:t xml:space="preserve">must </w:t>
      </w:r>
      <w:r w:rsidR="003B3CF3" w:rsidRPr="00F034EF">
        <w:t>make</w:t>
      </w:r>
      <w:r w:rsidR="003B3CF3">
        <w:t xml:space="preserve"> </w:t>
      </w:r>
      <w:r w:rsidR="005A2929">
        <w:t>a su</w:t>
      </w:r>
      <w:r w:rsidR="008C2ADB">
        <w:t>b</w:t>
      </w:r>
      <w:r w:rsidR="005A2929">
        <w:t>class 417 visa</w:t>
      </w:r>
      <w:r w:rsidR="003B3CF3">
        <w:t xml:space="preserve"> </w:t>
      </w:r>
      <w:r w:rsidR="003B3CF3" w:rsidRPr="00F034EF">
        <w:t>application</w:t>
      </w:r>
      <w:r w:rsidR="003B3CF3">
        <w:t xml:space="preserve"> </w:t>
      </w:r>
      <w:r w:rsidR="003B3CF3" w:rsidRPr="00DA4B11">
        <w:t>using Form 1150 (Internet) in ImmiAccount as an Internet application.</w:t>
      </w:r>
      <w:r w:rsidR="003B3CF3">
        <w:t xml:space="preserve">  </w:t>
      </w:r>
      <w:r w:rsidR="0091565B">
        <w:t>However, if a</w:t>
      </w:r>
      <w:r w:rsidR="00F30DB5">
        <w:t>n application</w:t>
      </w:r>
      <w:r w:rsidR="0091565B">
        <w:t xml:space="preserve"> for a subclass 417 visa</w:t>
      </w:r>
      <w:r w:rsidR="0091565B" w:rsidRPr="0091565B">
        <w:t xml:space="preserve"> cannot be made </w:t>
      </w:r>
      <w:r w:rsidR="0091565B" w:rsidRPr="00DA4B11">
        <w:t>as an Internet application</w:t>
      </w:r>
      <w:r w:rsidR="0091565B">
        <w:t>, it may b</w:t>
      </w:r>
      <w:r w:rsidR="003B3CF3">
        <w:t xml:space="preserve">e made </w:t>
      </w:r>
      <w:r w:rsidR="003B3CF3" w:rsidRPr="00497C53">
        <w:t xml:space="preserve">using </w:t>
      </w:r>
      <w:r w:rsidR="003B3CF3">
        <w:t xml:space="preserve">Form 1150 by email to </w:t>
      </w:r>
      <w:r w:rsidR="003B3CF3" w:rsidRPr="004F202F">
        <w:rPr>
          <w:u w:val="single"/>
        </w:rPr>
        <w:t>WHM.invited.applications@homeaffairs.gov.au</w:t>
      </w:r>
      <w:r w:rsidR="003B3CF3" w:rsidRPr="00271ED9">
        <w:rPr>
          <w:sz w:val="23"/>
          <w:szCs w:val="23"/>
        </w:rPr>
        <w:t xml:space="preserve">, </w:t>
      </w:r>
      <w:r w:rsidR="003B3CF3">
        <w:rPr>
          <w:sz w:val="23"/>
          <w:szCs w:val="23"/>
        </w:rPr>
        <w:t xml:space="preserve">if the </w:t>
      </w:r>
      <w:r w:rsidR="00F30DB5">
        <w:rPr>
          <w:sz w:val="23"/>
          <w:szCs w:val="23"/>
        </w:rPr>
        <w:t>applicant</w:t>
      </w:r>
      <w:r w:rsidR="003B3CF3" w:rsidRPr="00271ED9">
        <w:rPr>
          <w:sz w:val="23"/>
          <w:szCs w:val="23"/>
        </w:rPr>
        <w:t xml:space="preserve"> </w:t>
      </w:r>
      <w:r w:rsidR="00F30DB5">
        <w:t>has</w:t>
      </w:r>
      <w:r w:rsidR="003B3CF3">
        <w:t xml:space="preserve"> </w:t>
      </w:r>
      <w:r w:rsidR="003B3CF3" w:rsidRPr="009A1970">
        <w:t>received a</w:t>
      </w:r>
      <w:r w:rsidR="008C2ADB">
        <w:t xml:space="preserve"> written notice</w:t>
      </w:r>
      <w:r w:rsidR="003B3CF3">
        <w:t xml:space="preserve"> from the</w:t>
      </w:r>
      <w:r w:rsidR="003B3CF3" w:rsidRPr="00C32A91">
        <w:t xml:space="preserve"> </w:t>
      </w:r>
      <w:r w:rsidR="003B3CF3" w:rsidRPr="00061440">
        <w:t>Department</w:t>
      </w:r>
      <w:r w:rsidR="003B3CF3">
        <w:t xml:space="preserve"> </w:t>
      </w:r>
      <w:r w:rsidR="0091565B">
        <w:t xml:space="preserve">authorising </w:t>
      </w:r>
      <w:r w:rsidR="0091565B">
        <w:rPr>
          <w:sz w:val="23"/>
          <w:szCs w:val="23"/>
        </w:rPr>
        <w:t>the applicant</w:t>
      </w:r>
      <w:r w:rsidR="003B3CF3">
        <w:t xml:space="preserve"> to do so.</w:t>
      </w:r>
      <w:r w:rsidR="008C2ADB">
        <w:t xml:space="preserve">  </w:t>
      </w:r>
      <w:r w:rsidR="00F30DB5">
        <w:t>In which case, the application must be submitted within 7</w:t>
      </w:r>
      <w:r w:rsidR="006A26BD">
        <w:t> </w:t>
      </w:r>
      <w:r w:rsidR="00F30DB5">
        <w:t xml:space="preserve">calendar days after which the </w:t>
      </w:r>
      <w:r w:rsidR="00F30DB5">
        <w:rPr>
          <w:color w:val="000000"/>
          <w:shd w:val="clear" w:color="auto" w:fill="FFFFFF"/>
        </w:rPr>
        <w:t>written notice</w:t>
      </w:r>
      <w:r w:rsidR="00F30DB5">
        <w:t xml:space="preserve"> was sent.</w:t>
      </w:r>
      <w:r w:rsidR="0091565B">
        <w:t xml:space="preserve">  </w:t>
      </w:r>
    </w:p>
    <w:p w:rsidR="00682E97" w:rsidRDefault="004F4B0D" w:rsidP="00733774">
      <w:pPr>
        <w:pStyle w:val="ESPara"/>
      </w:pPr>
      <w:r w:rsidRPr="004F4B0D">
        <w:t xml:space="preserve">The instrument specifies </w:t>
      </w:r>
      <w:r w:rsidR="00C57379">
        <w:t xml:space="preserve">valid passports held by applicants who are members of </w:t>
      </w:r>
      <w:r w:rsidR="006353E7">
        <w:t xml:space="preserve">a </w:t>
      </w:r>
      <w:r w:rsidR="00C57379">
        <w:t xml:space="preserve">class of persons specified in the instrument as </w:t>
      </w:r>
      <w:r w:rsidRPr="004F4B0D">
        <w:t>working holiday eligible passport</w:t>
      </w:r>
      <w:r>
        <w:t xml:space="preserve">s.  </w:t>
      </w:r>
      <w:r w:rsidR="00CB4BDA">
        <w:t>I</w:t>
      </w:r>
      <w:r w:rsidR="00733774">
        <w:t>t is noted that a</w:t>
      </w:r>
      <w:r w:rsidR="00733774" w:rsidRPr="00733774">
        <w:t xml:space="preserve"> passport is not a working holiday eligible passport if it is not issued by a country or region mentioned in Schedule 1</w:t>
      </w:r>
      <w:r w:rsidR="00733774">
        <w:t xml:space="preserve"> to the instrument</w:t>
      </w:r>
      <w:r w:rsidR="00733774" w:rsidRPr="00733774">
        <w:t>.</w:t>
      </w:r>
      <w:r w:rsidR="00733774">
        <w:t xml:space="preserve">  </w:t>
      </w:r>
      <w:r>
        <w:t>T</w:t>
      </w:r>
      <w:r w:rsidRPr="004F4B0D">
        <w:t xml:space="preserve">he instrument </w:t>
      </w:r>
      <w:r w:rsidR="00CB4BDA">
        <w:t>updates the</w:t>
      </w:r>
      <w:r w:rsidRPr="004F4B0D">
        <w:t xml:space="preserve"> younger</w:t>
      </w:r>
      <w:r>
        <w:t xml:space="preserve"> </w:t>
      </w:r>
      <w:r w:rsidRPr="004F4B0D">
        <w:t xml:space="preserve">age </w:t>
      </w:r>
      <w:r w:rsidR="00B76FC2">
        <w:t xml:space="preserve">specified </w:t>
      </w:r>
      <w:r w:rsidRPr="004F4B0D">
        <w:t xml:space="preserve">for </w:t>
      </w:r>
      <w:r w:rsidR="00CB4BDA" w:rsidRPr="004F4B0D">
        <w:t>working holiday eligible passport</w:t>
      </w:r>
      <w:r w:rsidR="00CB4BDA">
        <w:t>s issued by Denmark or Italy</w:t>
      </w:r>
      <w:r w:rsidRPr="004F4B0D">
        <w:t xml:space="preserve">, to increase the eligible age for </w:t>
      </w:r>
      <w:r w:rsidR="00B76FC2">
        <w:t>Danish or</w:t>
      </w:r>
      <w:r w:rsidR="00CB4BDA">
        <w:t xml:space="preserve"> Italian</w:t>
      </w:r>
      <w:r w:rsidRPr="004F4B0D">
        <w:t xml:space="preserve"> applicants for</w:t>
      </w:r>
      <w:r w:rsidR="00CB4BDA" w:rsidRPr="00CB4BDA">
        <w:t xml:space="preserve"> </w:t>
      </w:r>
      <w:r w:rsidR="00CB4BDA">
        <w:t>a subclass 417 visa</w:t>
      </w:r>
      <w:r w:rsidR="005E19CC">
        <w:t xml:space="preserve"> to the maximum of 35 </w:t>
      </w:r>
      <w:r w:rsidR="0051691D">
        <w:t xml:space="preserve">years of age </w:t>
      </w:r>
      <w:r w:rsidR="0047399D">
        <w:t>(see</w:t>
      </w:r>
      <w:r w:rsidR="005E19CC">
        <w:t xml:space="preserve"> subparagraph 417.211(2)(b)(i) </w:t>
      </w:r>
      <w:r w:rsidR="005E19CC" w:rsidRPr="00122D18">
        <w:t>of Schedule 2 to the Regulations</w:t>
      </w:r>
      <w:r w:rsidR="0047399D">
        <w:t>)</w:t>
      </w:r>
      <w:r w:rsidRPr="004F4B0D">
        <w:t xml:space="preserve">. </w:t>
      </w:r>
      <w:r w:rsidR="003F12C2">
        <w:t xml:space="preserve"> </w:t>
      </w:r>
    </w:p>
    <w:p w:rsidR="00A518CD" w:rsidRPr="00B75478" w:rsidRDefault="003B3CF3" w:rsidP="005E02B9">
      <w:pPr>
        <w:pStyle w:val="ESPara"/>
      </w:pPr>
      <w:r w:rsidRPr="00C26A89">
        <w:t xml:space="preserve">It has been consistent practice that specific detail regarding the lodgement of visa applications be included in delegated legislation.  This facilitates the operation of a dynamic and responsive immigration program.  Changing </w:t>
      </w:r>
      <w:r w:rsidR="00D051A9">
        <w:t>the manner in which subclass 417</w:t>
      </w:r>
      <w:r w:rsidRPr="00C26A89">
        <w:t xml:space="preserve"> visa applications are lodged and other minor administrative matters would not be an appropriate use of the parliament’s time.  Amending primary legislation would also likely cause a </w:t>
      </w:r>
      <w:r w:rsidR="00D051A9">
        <w:t>time delay in which subclass 417</w:t>
      </w:r>
      <w:r w:rsidRPr="00C26A89">
        <w:t xml:space="preserve"> visa applicants can be lodged.  For these reasons, it is appropriate that the matters contained in the instrument and </w:t>
      </w:r>
      <w:r w:rsidR="00D051A9">
        <w:t xml:space="preserve">LIN </w:t>
      </w:r>
      <w:r w:rsidR="00D051A9" w:rsidRPr="00893F8F">
        <w:t>19/183</w:t>
      </w:r>
      <w:r w:rsidRPr="00C26A89">
        <w:t xml:space="preserve"> are specified in delegated legislation.</w:t>
      </w:r>
    </w:p>
    <w:p w:rsidR="008B24C8" w:rsidRDefault="008B24C8" w:rsidP="00100DFC">
      <w:pPr>
        <w:pStyle w:val="ESHeading"/>
      </w:pPr>
      <w:r w:rsidRPr="008B24C8">
        <w:t>Consultation</w:t>
      </w:r>
    </w:p>
    <w:p w:rsidR="00893F8F" w:rsidRDefault="00893F8F" w:rsidP="00156CA8">
      <w:pPr>
        <w:pStyle w:val="ESPara"/>
      </w:pPr>
      <w:r>
        <w:t xml:space="preserve">The Department of Home Affairs has undertaken bilateral negotiations with the </w:t>
      </w:r>
      <w:r w:rsidRPr="00893F8F">
        <w:t xml:space="preserve">Government of Denmark and </w:t>
      </w:r>
      <w:r>
        <w:t xml:space="preserve">the </w:t>
      </w:r>
      <w:r w:rsidRPr="00893F8F">
        <w:t>Government of Italy</w:t>
      </w:r>
      <w:r w:rsidR="003B3CF3">
        <w:t>, respectively.  The negotiations have been supported by t</w:t>
      </w:r>
      <w:r w:rsidR="003B3CF3" w:rsidRPr="00893F8F">
        <w:t>he Department of Foreign Affairs and Trade</w:t>
      </w:r>
      <w:r w:rsidR="003B3CF3">
        <w:t>.</w:t>
      </w:r>
      <w:r w:rsidR="00156CA8">
        <w:t xml:space="preserve">  </w:t>
      </w:r>
      <w:r w:rsidR="00156CA8" w:rsidRPr="00156CA8">
        <w:t>No concerns were raised with</w:t>
      </w:r>
      <w:r w:rsidR="003B3CF3">
        <w:t xml:space="preserve"> </w:t>
      </w:r>
      <w:r w:rsidR="00943CCB">
        <w:t xml:space="preserve">the </w:t>
      </w:r>
      <w:r w:rsidR="003B3CF3" w:rsidRPr="00156CA8">
        <w:t xml:space="preserve">maximum eligible age for Danish and Italian applicants for a </w:t>
      </w:r>
      <w:r w:rsidR="003B3CF3">
        <w:t>subclass 417 visa</w:t>
      </w:r>
      <w:r w:rsidR="00BA11C0">
        <w:t xml:space="preserve"> being updated in the instrument</w:t>
      </w:r>
      <w:r w:rsidR="00156CA8" w:rsidRPr="00156CA8">
        <w:t>.</w:t>
      </w:r>
    </w:p>
    <w:p w:rsidR="008B24C8" w:rsidRPr="008B24C8" w:rsidRDefault="00893F8F" w:rsidP="002D167E">
      <w:pPr>
        <w:pStyle w:val="ESPara"/>
      </w:pPr>
      <w:r w:rsidRPr="008B24C8">
        <w:t xml:space="preserve">The Office of Best Practice Regulation (OBPR) was </w:t>
      </w:r>
      <w:r>
        <w:t xml:space="preserve">also </w:t>
      </w:r>
      <w:r w:rsidRPr="008B24C8">
        <w:t>consulted and considered that the instrument dealt with m</w:t>
      </w:r>
      <w:r>
        <w:t>atters of a minor or machinery</w:t>
      </w:r>
      <w:r w:rsidRPr="008B24C8">
        <w:t xml:space="preserve"> nat</w:t>
      </w:r>
      <w:r w:rsidRPr="00FC78F3">
        <w:t>ure and no regulatory impact statement was required.  The OBPR reference number</w:t>
      </w:r>
      <w:r>
        <w:t xml:space="preserve"> i</w:t>
      </w:r>
      <w:r w:rsidRPr="00FC78F3">
        <w:t>s OBPR22-</w:t>
      </w:r>
      <w:r>
        <w:t>01839</w:t>
      </w:r>
      <w:r w:rsidRPr="00FC78F3">
        <w:t>.</w:t>
      </w:r>
    </w:p>
    <w:p w:rsidR="00AA4557" w:rsidRDefault="00464080" w:rsidP="00100DFC">
      <w:pPr>
        <w:pStyle w:val="ESHeading"/>
      </w:pPr>
      <w:r>
        <w:lastRenderedPageBreak/>
        <w:t>Details</w:t>
      </w:r>
      <w:r w:rsidR="00AA4557">
        <w:t xml:space="preserve"> of the instrument</w:t>
      </w:r>
    </w:p>
    <w:p w:rsidR="00AA4557" w:rsidRDefault="00AA4557" w:rsidP="002D167E">
      <w:pPr>
        <w:pStyle w:val="ESPara"/>
      </w:pPr>
      <w:r>
        <w:t>Section 1 sets out</w:t>
      </w:r>
      <w:r w:rsidR="00E03DCC">
        <w:t xml:space="preserve"> the name of the instrument. </w:t>
      </w:r>
    </w:p>
    <w:p w:rsidR="00AA4557" w:rsidRDefault="00AA4557" w:rsidP="002D167E">
      <w:pPr>
        <w:pStyle w:val="ESPara"/>
      </w:pPr>
      <w:r>
        <w:t xml:space="preserve">Section 2 provides for the commencement of the instrument on </w:t>
      </w:r>
      <w:r w:rsidR="00202381">
        <w:t>1 July 2022</w:t>
      </w:r>
      <w:r>
        <w:t>.</w:t>
      </w:r>
    </w:p>
    <w:p w:rsidR="009640D3" w:rsidRDefault="009640D3" w:rsidP="002D167E">
      <w:pPr>
        <w:pStyle w:val="ESPara"/>
      </w:pPr>
      <w:r>
        <w:t xml:space="preserve">Section 3 sets out </w:t>
      </w:r>
      <w:r w:rsidR="00421659">
        <w:t xml:space="preserve">the </w:t>
      </w:r>
      <w:r>
        <w:t>d</w:t>
      </w:r>
      <w:r w:rsidR="00701397">
        <w:t>efinitions of terms used in the</w:t>
      </w:r>
      <w:r>
        <w:t xml:space="preserve"> instrument.</w:t>
      </w:r>
    </w:p>
    <w:p w:rsidR="00AA4F77" w:rsidRDefault="000A5D74" w:rsidP="00AA4F77">
      <w:pPr>
        <w:pStyle w:val="ESPara"/>
      </w:pPr>
      <w:r>
        <w:t>Sect</w:t>
      </w:r>
      <w:r w:rsidR="009640D3">
        <w:t>ion 4</w:t>
      </w:r>
      <w:r>
        <w:t xml:space="preserve"> provides that the instrument </w:t>
      </w:r>
      <w:r w:rsidR="009640D3">
        <w:t>repeal</w:t>
      </w:r>
      <w:r>
        <w:t xml:space="preserve">s LIN </w:t>
      </w:r>
      <w:r w:rsidRPr="00893F8F">
        <w:t>19/183</w:t>
      </w:r>
      <w:r>
        <w:t>.</w:t>
      </w:r>
      <w:r w:rsidR="00AA4F77">
        <w:t xml:space="preserve"> </w:t>
      </w:r>
      <w:r w:rsidR="00133A14">
        <w:t xml:space="preserve"> </w:t>
      </w:r>
    </w:p>
    <w:p w:rsidR="00A90F71" w:rsidRDefault="00A90F71" w:rsidP="00AA4F77">
      <w:pPr>
        <w:pStyle w:val="ESPara"/>
      </w:pPr>
      <w:r>
        <w:t>Section 5 sets out</w:t>
      </w:r>
      <w:r w:rsidR="00E43CA9">
        <w:t xml:space="preserve"> the </w:t>
      </w:r>
      <w:r w:rsidR="00D543E6">
        <w:t xml:space="preserve">approved forms and the </w:t>
      </w:r>
      <w:r w:rsidR="00D543E6" w:rsidRPr="00095008">
        <w:t xml:space="preserve">place and manner in which a </w:t>
      </w:r>
      <w:r w:rsidR="00D543E6">
        <w:t>subclass 417</w:t>
      </w:r>
      <w:r w:rsidR="00D543E6" w:rsidRPr="00095008">
        <w:t xml:space="preserve"> visa application </w:t>
      </w:r>
      <w:r w:rsidR="00D543E6">
        <w:t>must be</w:t>
      </w:r>
      <w:r w:rsidR="00D543E6" w:rsidRPr="00095008">
        <w:t xml:space="preserve"> lodged</w:t>
      </w:r>
      <w:r w:rsidR="00701397">
        <w:t xml:space="preserve"> by</w:t>
      </w:r>
      <w:r w:rsidR="00701397" w:rsidRPr="00701397">
        <w:t xml:space="preserve"> </w:t>
      </w:r>
      <w:r w:rsidR="00701397">
        <w:t>an applicant who is a member of a class of persons specified in the instrument</w:t>
      </w:r>
      <w:r w:rsidR="00D543E6" w:rsidRPr="00095008">
        <w:t>.</w:t>
      </w:r>
    </w:p>
    <w:p w:rsidR="00D543E6" w:rsidRDefault="00D543E6" w:rsidP="009E391F">
      <w:pPr>
        <w:pStyle w:val="ESPara"/>
      </w:pPr>
      <w:r>
        <w:t>Section 6 sets out</w:t>
      </w:r>
      <w:r w:rsidR="00E43CA9">
        <w:t xml:space="preserve"> the</w:t>
      </w:r>
      <w:r w:rsidR="00D321DE">
        <w:t xml:space="preserve"> wor</w:t>
      </w:r>
      <w:r w:rsidR="00E43CA9">
        <w:t>king holiday eligible passports</w:t>
      </w:r>
      <w:r w:rsidR="009E391F" w:rsidRPr="009E391F">
        <w:t xml:space="preserve"> held</w:t>
      </w:r>
      <w:r w:rsidR="00F20343">
        <w:t xml:space="preserve"> by an applicant </w:t>
      </w:r>
      <w:r w:rsidR="009E391F" w:rsidRPr="009E391F">
        <w:t>who is a member of a class of persons</w:t>
      </w:r>
      <w:r w:rsidR="00E43CA9">
        <w:t xml:space="preserve"> </w:t>
      </w:r>
      <w:r w:rsidR="00F20343">
        <w:t xml:space="preserve">specified in the instrument, </w:t>
      </w:r>
      <w:r w:rsidR="00D321DE">
        <w:t xml:space="preserve">and </w:t>
      </w:r>
      <w:r w:rsidR="00290F4B">
        <w:t xml:space="preserve">the </w:t>
      </w:r>
      <w:r w:rsidR="00D321DE">
        <w:t>younger age</w:t>
      </w:r>
      <w:r w:rsidR="00290F4B">
        <w:t xml:space="preserve"> </w:t>
      </w:r>
      <w:r w:rsidR="00657AE5">
        <w:t xml:space="preserve">for </w:t>
      </w:r>
      <w:r w:rsidR="00657AE5" w:rsidRPr="009C4CC9">
        <w:t>working holiday eligible passport</w:t>
      </w:r>
      <w:r w:rsidR="00657AE5">
        <w:t>s issued by the countries or regions mentioned in Schedule 1 to the instrument</w:t>
      </w:r>
      <w:r w:rsidR="00D321DE">
        <w:t>.</w:t>
      </w:r>
    </w:p>
    <w:p w:rsidR="00133A14" w:rsidRDefault="00D321DE" w:rsidP="005E02B9">
      <w:pPr>
        <w:pStyle w:val="ESPara"/>
      </w:pPr>
      <w:r>
        <w:t xml:space="preserve">Schedule 1 to the instrument </w:t>
      </w:r>
      <w:r w:rsidR="00A44425">
        <w:t xml:space="preserve">mentions the countries or regions </w:t>
      </w:r>
      <w:r w:rsidR="002F5D60">
        <w:t>which</w:t>
      </w:r>
      <w:r w:rsidR="00E40E90" w:rsidRPr="00E40E90">
        <w:t xml:space="preserve"> </w:t>
      </w:r>
      <w:r w:rsidR="002F5D60">
        <w:t xml:space="preserve">may </w:t>
      </w:r>
      <w:r w:rsidR="00E40E90" w:rsidRPr="00E40E90">
        <w:t>issue</w:t>
      </w:r>
      <w:r w:rsidR="002F5D60">
        <w:t xml:space="preserve"> </w:t>
      </w:r>
      <w:r w:rsidR="00E40E90" w:rsidRPr="00E40E90">
        <w:t>working holiday eligible passport</w:t>
      </w:r>
      <w:r w:rsidR="002F5D60">
        <w:t>s</w:t>
      </w:r>
      <w:r w:rsidR="00A44425">
        <w:t xml:space="preserve">, the conditions </w:t>
      </w:r>
      <w:r w:rsidR="00451F13">
        <w:t>those</w:t>
      </w:r>
      <w:r w:rsidR="002F5D60">
        <w:t xml:space="preserve"> </w:t>
      </w:r>
      <w:r w:rsidR="00A44425" w:rsidRPr="009C4CC9">
        <w:t>passport</w:t>
      </w:r>
      <w:r w:rsidR="002F5D60">
        <w:t>s</w:t>
      </w:r>
      <w:r w:rsidR="00A44425">
        <w:t xml:space="preserve"> must satisfy</w:t>
      </w:r>
      <w:r w:rsidR="002E2EEE">
        <w:t>, and the younger age</w:t>
      </w:r>
      <w:r w:rsidR="00A44425">
        <w:t xml:space="preserve"> </w:t>
      </w:r>
      <w:r w:rsidR="000A4FF9">
        <w:t xml:space="preserve">specified </w:t>
      </w:r>
      <w:r w:rsidR="002F5D60">
        <w:t>for</w:t>
      </w:r>
      <w:r w:rsidR="002F5D60" w:rsidRPr="009C4CC9">
        <w:t xml:space="preserve"> </w:t>
      </w:r>
      <w:r w:rsidR="00451F13">
        <w:t xml:space="preserve">those </w:t>
      </w:r>
      <w:r w:rsidR="002F5D60" w:rsidRPr="009C4CC9">
        <w:t>passport</w:t>
      </w:r>
      <w:r w:rsidR="002F5D60">
        <w:t>s</w:t>
      </w:r>
      <w:r w:rsidR="00A44425">
        <w:t>.</w:t>
      </w:r>
    </w:p>
    <w:p w:rsidR="00AA4557" w:rsidRPr="00AA4557" w:rsidRDefault="00AA4557" w:rsidP="00100DFC">
      <w:pPr>
        <w:pStyle w:val="ESHeading"/>
      </w:pPr>
      <w:r>
        <w:t xml:space="preserve">Parliamentary scrutiny etc.  </w:t>
      </w:r>
    </w:p>
    <w:p w:rsidR="00A12AC8" w:rsidRPr="00464080" w:rsidRDefault="00A12AC8" w:rsidP="00A12AC8">
      <w:pPr>
        <w:pStyle w:val="ESPara"/>
      </w:pPr>
      <w:r>
        <w:t xml:space="preserve">The instrument is exempt from disallowance under section 42 of the Legislation Act.  </w:t>
      </w:r>
      <w:r w:rsidRPr="00005F0C">
        <w:t>This is because it is an instrument made under</w:t>
      </w:r>
      <w:r w:rsidRPr="001919D7">
        <w:t xml:space="preserve"> </w:t>
      </w:r>
      <w:r>
        <w:t>subregulation 2.07(5)</w:t>
      </w:r>
      <w:r w:rsidRPr="009C339B">
        <w:t xml:space="preserve"> of </w:t>
      </w:r>
      <w:r w:rsidRPr="00005F0C">
        <w:t xml:space="preserve">the Regulations, which is exempt from disallowance under paragraph (b) of item 20 in section 10 of the </w:t>
      </w:r>
      <w:r w:rsidRPr="00005F0C">
        <w:rPr>
          <w:i/>
          <w:iCs/>
        </w:rPr>
        <w:t>Legislation (Exemptions and Other Matters) Regulation 2015</w:t>
      </w:r>
      <w:r w:rsidRPr="00005F0C">
        <w:t>.</w:t>
      </w:r>
      <w:r w:rsidRPr="00464080">
        <w:t xml:space="preserve">  </w:t>
      </w:r>
    </w:p>
    <w:p w:rsidR="00A12AC8" w:rsidRDefault="00A12AC8" w:rsidP="00A12AC8">
      <w:pPr>
        <w:pStyle w:val="ESPara"/>
      </w:pPr>
      <w:r>
        <w:t>The instrument is appropriate to be exempt from disallowance as it concerns matters of an administrative nature.  Updating legislative instruments that specify administrative matters allows for consistent internal management of the migration policy framework in accordance with Departmental resources and arrangements.</w:t>
      </w:r>
    </w:p>
    <w:p w:rsidR="00A12AC8" w:rsidRDefault="00A12AC8" w:rsidP="00A12AC8">
      <w:pPr>
        <w:pStyle w:val="ESPara"/>
      </w:pPr>
      <w:r w:rsidRPr="00B75478">
        <w:t xml:space="preserve">The </w:t>
      </w:r>
      <w:r w:rsidR="00B83F35">
        <w:t>instrument i</w:t>
      </w:r>
      <w:r>
        <w:t>s made by a delegate of the Minister, in accordance with subregulation 2.07(5) of the Regulations.</w:t>
      </w:r>
    </w:p>
    <w:sectPr w:rsidR="00A12AC8" w:rsidSect="004F5CE4">
      <w:footerReference w:type="default" r:id="rId7"/>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F8F" w:rsidRDefault="00893F8F" w:rsidP="00893F8F">
      <w:pPr>
        <w:spacing w:after="0" w:line="240" w:lineRule="auto"/>
      </w:pPr>
      <w:r>
        <w:separator/>
      </w:r>
    </w:p>
  </w:endnote>
  <w:endnote w:type="continuationSeparator" w:id="0">
    <w:p w:rsidR="00893F8F" w:rsidRDefault="00893F8F" w:rsidP="0089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F8F" w:rsidRPr="00893F8F" w:rsidRDefault="00893F8F" w:rsidP="00893F8F">
    <w:pPr>
      <w:pStyle w:val="LDFooter"/>
      <w:rPr>
        <w:rFonts w:cs="Times New Roman"/>
        <w:i/>
        <w:szCs w:val="18"/>
      </w:rPr>
    </w:pPr>
    <w:r w:rsidRPr="00893F8F">
      <w:rPr>
        <w:rFonts w:cs="Times New Roman"/>
        <w:i/>
        <w:szCs w:val="18"/>
      </w:rPr>
      <w:t>Migration (Arrangements for subclass 417 visa applications) Instrument (LIN</w:t>
    </w:r>
    <w:r w:rsidR="00A00514">
      <w:rPr>
        <w:rFonts w:cs="Times New Roman"/>
        <w:i/>
        <w:szCs w:val="18"/>
      </w:rPr>
      <w:t> </w:t>
    </w:r>
    <w:r w:rsidRPr="00893F8F">
      <w:rPr>
        <w:rFonts w:cs="Times New Roman"/>
        <w:i/>
        <w:szCs w:val="18"/>
      </w:rPr>
      <w:t>22/051) 2022</w:t>
    </w:r>
  </w:p>
  <w:p w:rsidR="00893F8F" w:rsidRDefault="00A00514" w:rsidP="00893F8F">
    <w:pPr>
      <w:pStyle w:val="LDFooter"/>
      <w:tabs>
        <w:tab w:val="right" w:pos="9639"/>
      </w:tabs>
    </w:pPr>
    <w:r>
      <w:rPr>
        <w:rFonts w:cs="Times New Roman"/>
        <w:szCs w:val="18"/>
      </w:rPr>
      <w:t>LIN </w:t>
    </w:r>
    <w:r w:rsidR="00893F8F" w:rsidRPr="00893F8F">
      <w:rPr>
        <w:rFonts w:cs="Times New Roman"/>
        <w:szCs w:val="18"/>
      </w:rPr>
      <w:t>22/051</w:t>
    </w:r>
    <w:r w:rsidR="00893F8F">
      <w:tab/>
    </w:r>
    <w:r w:rsidR="00893F8F">
      <w:fldChar w:fldCharType="begin"/>
    </w:r>
    <w:r w:rsidR="00893F8F">
      <w:instrText xml:space="preserve"> PAGE  \* Arabic  \* MERGEFORMAT </w:instrText>
    </w:r>
    <w:r w:rsidR="00893F8F">
      <w:fldChar w:fldCharType="separate"/>
    </w:r>
    <w:r w:rsidR="009942BE">
      <w:rPr>
        <w:noProof/>
      </w:rPr>
      <w:t>1</w:t>
    </w:r>
    <w:r w:rsidR="00893F8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F8F" w:rsidRDefault="00893F8F" w:rsidP="00893F8F">
      <w:pPr>
        <w:spacing w:after="0" w:line="240" w:lineRule="auto"/>
      </w:pPr>
      <w:r>
        <w:separator/>
      </w:r>
    </w:p>
  </w:footnote>
  <w:footnote w:type="continuationSeparator" w:id="0">
    <w:p w:rsidR="00893F8F" w:rsidRDefault="00893F8F" w:rsidP="00893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848D2"/>
    <w:multiLevelType w:val="hybridMultilevel"/>
    <w:tmpl w:val="EEFCE7A0"/>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A8"/>
    <w:rsid w:val="00066EB8"/>
    <w:rsid w:val="00080C17"/>
    <w:rsid w:val="0008214F"/>
    <w:rsid w:val="000A4FF9"/>
    <w:rsid w:val="000A5D74"/>
    <w:rsid w:val="000D014F"/>
    <w:rsid w:val="00100DFC"/>
    <w:rsid w:val="00133A14"/>
    <w:rsid w:val="00156CA8"/>
    <w:rsid w:val="0019164E"/>
    <w:rsid w:val="001E2A7D"/>
    <w:rsid w:val="001F69E8"/>
    <w:rsid w:val="00202381"/>
    <w:rsid w:val="002402E0"/>
    <w:rsid w:val="00271CB7"/>
    <w:rsid w:val="00290F4B"/>
    <w:rsid w:val="002B057D"/>
    <w:rsid w:val="002D167E"/>
    <w:rsid w:val="002E2EEE"/>
    <w:rsid w:val="002F5D60"/>
    <w:rsid w:val="003268C0"/>
    <w:rsid w:val="003B3CF3"/>
    <w:rsid w:val="003E15BA"/>
    <w:rsid w:val="003F12C2"/>
    <w:rsid w:val="00421659"/>
    <w:rsid w:val="00451F13"/>
    <w:rsid w:val="00457D4A"/>
    <w:rsid w:val="00464080"/>
    <w:rsid w:val="00466972"/>
    <w:rsid w:val="0047399D"/>
    <w:rsid w:val="00476975"/>
    <w:rsid w:val="004F4B0D"/>
    <w:rsid w:val="004F5CE4"/>
    <w:rsid w:val="0051691D"/>
    <w:rsid w:val="00560B24"/>
    <w:rsid w:val="0057002B"/>
    <w:rsid w:val="00592879"/>
    <w:rsid w:val="005A2929"/>
    <w:rsid w:val="005A3733"/>
    <w:rsid w:val="005A37D6"/>
    <w:rsid w:val="005E02B9"/>
    <w:rsid w:val="005E19CC"/>
    <w:rsid w:val="00604E06"/>
    <w:rsid w:val="0062172A"/>
    <w:rsid w:val="006353E7"/>
    <w:rsid w:val="00657AE5"/>
    <w:rsid w:val="0067599A"/>
    <w:rsid w:val="00682E97"/>
    <w:rsid w:val="0068440D"/>
    <w:rsid w:val="00694786"/>
    <w:rsid w:val="006A26BD"/>
    <w:rsid w:val="006F3261"/>
    <w:rsid w:val="006F4E1F"/>
    <w:rsid w:val="00701397"/>
    <w:rsid w:val="00726C3C"/>
    <w:rsid w:val="00733774"/>
    <w:rsid w:val="00770B92"/>
    <w:rsid w:val="007C46A7"/>
    <w:rsid w:val="007E4691"/>
    <w:rsid w:val="007F360B"/>
    <w:rsid w:val="00856D52"/>
    <w:rsid w:val="0088407D"/>
    <w:rsid w:val="00893F8F"/>
    <w:rsid w:val="008B24C8"/>
    <w:rsid w:val="008C2ADB"/>
    <w:rsid w:val="00905ED5"/>
    <w:rsid w:val="00915032"/>
    <w:rsid w:val="0091565B"/>
    <w:rsid w:val="00943CCB"/>
    <w:rsid w:val="009640D3"/>
    <w:rsid w:val="009942BE"/>
    <w:rsid w:val="009E391F"/>
    <w:rsid w:val="00A00514"/>
    <w:rsid w:val="00A12AC8"/>
    <w:rsid w:val="00A44425"/>
    <w:rsid w:val="00A518CD"/>
    <w:rsid w:val="00A54646"/>
    <w:rsid w:val="00A5640B"/>
    <w:rsid w:val="00A90F71"/>
    <w:rsid w:val="00AA4557"/>
    <w:rsid w:val="00AA4F77"/>
    <w:rsid w:val="00AC10A8"/>
    <w:rsid w:val="00B445D9"/>
    <w:rsid w:val="00B65A06"/>
    <w:rsid w:val="00B75478"/>
    <w:rsid w:val="00B76FC2"/>
    <w:rsid w:val="00B83F35"/>
    <w:rsid w:val="00BA11C0"/>
    <w:rsid w:val="00BB0CF2"/>
    <w:rsid w:val="00BD0605"/>
    <w:rsid w:val="00BD598E"/>
    <w:rsid w:val="00BE3E7F"/>
    <w:rsid w:val="00C57379"/>
    <w:rsid w:val="00C81A5E"/>
    <w:rsid w:val="00C930F2"/>
    <w:rsid w:val="00CB4BDA"/>
    <w:rsid w:val="00CE062D"/>
    <w:rsid w:val="00D031EC"/>
    <w:rsid w:val="00D051A9"/>
    <w:rsid w:val="00D321DE"/>
    <w:rsid w:val="00D345B5"/>
    <w:rsid w:val="00D40E1E"/>
    <w:rsid w:val="00D4770F"/>
    <w:rsid w:val="00D543E6"/>
    <w:rsid w:val="00D57196"/>
    <w:rsid w:val="00E03DCC"/>
    <w:rsid w:val="00E26995"/>
    <w:rsid w:val="00E40E90"/>
    <w:rsid w:val="00E43CA9"/>
    <w:rsid w:val="00E45FE2"/>
    <w:rsid w:val="00EA12C9"/>
    <w:rsid w:val="00EB557B"/>
    <w:rsid w:val="00F20343"/>
    <w:rsid w:val="00F30DB5"/>
    <w:rsid w:val="00F57486"/>
    <w:rsid w:val="00F72BB1"/>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1A504C4C-02A8-4A7C-A1D1-C1FFD52A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paragraph" w:styleId="Header">
    <w:name w:val="header"/>
    <w:basedOn w:val="Normal"/>
    <w:link w:val="HeaderChar"/>
    <w:uiPriority w:val="99"/>
    <w:unhideWhenUsed/>
    <w:rsid w:val="00893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F8F"/>
  </w:style>
  <w:style w:type="paragraph" w:styleId="Footer">
    <w:name w:val="footer"/>
    <w:basedOn w:val="Normal"/>
    <w:link w:val="FooterChar"/>
    <w:uiPriority w:val="99"/>
    <w:unhideWhenUsed/>
    <w:rsid w:val="00893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F8F"/>
  </w:style>
  <w:style w:type="paragraph" w:customStyle="1" w:styleId="LDFooter">
    <w:name w:val="LDFooter"/>
    <w:rsid w:val="00893F8F"/>
    <w:pPr>
      <w:pBdr>
        <w:top w:val="single" w:sz="4" w:space="1" w:color="auto"/>
      </w:pBdr>
      <w:spacing w:after="0" w:line="240" w:lineRule="auto"/>
    </w:pPr>
    <w:rPr>
      <w:rFonts w:ascii="Times New Roman" w:hAnsi="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74507">
      <w:bodyDiv w:val="1"/>
      <w:marLeft w:val="0"/>
      <w:marRight w:val="0"/>
      <w:marTop w:val="0"/>
      <w:marBottom w:val="0"/>
      <w:divBdr>
        <w:top w:val="none" w:sz="0" w:space="0" w:color="auto"/>
        <w:left w:val="none" w:sz="0" w:space="0" w:color="auto"/>
        <w:bottom w:val="none" w:sz="0" w:space="0" w:color="auto"/>
        <w:right w:val="none" w:sz="0" w:space="0" w:color="auto"/>
      </w:divBdr>
      <w:divsChild>
        <w:div w:id="1923635960">
          <w:marLeft w:val="0"/>
          <w:marRight w:val="0"/>
          <w:marTop w:val="0"/>
          <w:marBottom w:val="0"/>
          <w:divBdr>
            <w:top w:val="none" w:sz="0" w:space="0" w:color="auto"/>
            <w:left w:val="none" w:sz="0" w:space="0" w:color="auto"/>
            <w:bottom w:val="none" w:sz="0" w:space="0" w:color="auto"/>
            <w:right w:val="none" w:sz="0" w:space="0" w:color="auto"/>
          </w:divBdr>
          <w:divsChild>
            <w:div w:id="1762295419">
              <w:marLeft w:val="0"/>
              <w:marRight w:val="0"/>
              <w:marTop w:val="0"/>
              <w:marBottom w:val="0"/>
              <w:divBdr>
                <w:top w:val="none" w:sz="0" w:space="0" w:color="auto"/>
                <w:left w:val="none" w:sz="0" w:space="0" w:color="auto"/>
                <w:bottom w:val="none" w:sz="0" w:space="0" w:color="auto"/>
                <w:right w:val="none" w:sz="0" w:space="0" w:color="auto"/>
              </w:divBdr>
              <w:divsChild>
                <w:div w:id="745809582">
                  <w:marLeft w:val="0"/>
                  <w:marRight w:val="0"/>
                  <w:marTop w:val="0"/>
                  <w:marBottom w:val="0"/>
                  <w:divBdr>
                    <w:top w:val="none" w:sz="0" w:space="0" w:color="auto"/>
                    <w:left w:val="none" w:sz="0" w:space="0" w:color="auto"/>
                    <w:bottom w:val="none" w:sz="0" w:space="0" w:color="auto"/>
                    <w:right w:val="none" w:sz="0" w:space="0" w:color="auto"/>
                  </w:divBdr>
                  <w:divsChild>
                    <w:div w:id="1648439948">
                      <w:marLeft w:val="0"/>
                      <w:marRight w:val="0"/>
                      <w:marTop w:val="0"/>
                      <w:marBottom w:val="0"/>
                      <w:divBdr>
                        <w:top w:val="none" w:sz="0" w:space="0" w:color="auto"/>
                        <w:left w:val="none" w:sz="0" w:space="0" w:color="auto"/>
                        <w:bottom w:val="none" w:sz="0" w:space="0" w:color="auto"/>
                        <w:right w:val="none" w:sz="0" w:space="0" w:color="auto"/>
                      </w:divBdr>
                      <w:divsChild>
                        <w:div w:id="37166398">
                          <w:marLeft w:val="0"/>
                          <w:marRight w:val="0"/>
                          <w:marTop w:val="0"/>
                          <w:marBottom w:val="0"/>
                          <w:divBdr>
                            <w:top w:val="none" w:sz="0" w:space="0" w:color="auto"/>
                            <w:left w:val="none" w:sz="0" w:space="0" w:color="auto"/>
                            <w:bottom w:val="none" w:sz="0" w:space="0" w:color="auto"/>
                            <w:right w:val="none" w:sz="0" w:space="0" w:color="auto"/>
                          </w:divBdr>
                          <w:divsChild>
                            <w:div w:id="1239051949">
                              <w:marLeft w:val="0"/>
                              <w:marRight w:val="0"/>
                              <w:marTop w:val="0"/>
                              <w:marBottom w:val="0"/>
                              <w:divBdr>
                                <w:top w:val="none" w:sz="0" w:space="0" w:color="auto"/>
                                <w:left w:val="none" w:sz="0" w:space="0" w:color="auto"/>
                                <w:bottom w:val="none" w:sz="0" w:space="0" w:color="auto"/>
                                <w:right w:val="none" w:sz="0" w:space="0" w:color="auto"/>
                              </w:divBdr>
                              <w:divsChild>
                                <w:div w:id="1875650284">
                                  <w:marLeft w:val="0"/>
                                  <w:marRight w:val="0"/>
                                  <w:marTop w:val="0"/>
                                  <w:marBottom w:val="0"/>
                                  <w:divBdr>
                                    <w:top w:val="none" w:sz="0" w:space="0" w:color="auto"/>
                                    <w:left w:val="none" w:sz="0" w:space="0" w:color="auto"/>
                                    <w:bottom w:val="none" w:sz="0" w:space="0" w:color="auto"/>
                                    <w:right w:val="none" w:sz="0" w:space="0" w:color="auto"/>
                                  </w:divBdr>
                                  <w:divsChild>
                                    <w:div w:id="1469474182">
                                      <w:marLeft w:val="0"/>
                                      <w:marRight w:val="0"/>
                                      <w:marTop w:val="0"/>
                                      <w:marBottom w:val="0"/>
                                      <w:divBdr>
                                        <w:top w:val="none" w:sz="0" w:space="0" w:color="auto"/>
                                        <w:left w:val="none" w:sz="0" w:space="0" w:color="auto"/>
                                        <w:bottom w:val="none" w:sz="0" w:space="0" w:color="auto"/>
                                        <w:right w:val="none" w:sz="0" w:space="0" w:color="auto"/>
                                      </w:divBdr>
                                      <w:divsChild>
                                        <w:div w:id="1627152606">
                                          <w:marLeft w:val="0"/>
                                          <w:marRight w:val="0"/>
                                          <w:marTop w:val="0"/>
                                          <w:marBottom w:val="0"/>
                                          <w:divBdr>
                                            <w:top w:val="none" w:sz="0" w:space="0" w:color="auto"/>
                                            <w:left w:val="none" w:sz="0" w:space="0" w:color="auto"/>
                                            <w:bottom w:val="none" w:sz="0" w:space="0" w:color="auto"/>
                                            <w:right w:val="none" w:sz="0" w:space="0" w:color="auto"/>
                                          </w:divBdr>
                                          <w:divsChild>
                                            <w:div w:id="174459690">
                                              <w:marLeft w:val="0"/>
                                              <w:marRight w:val="0"/>
                                              <w:marTop w:val="0"/>
                                              <w:marBottom w:val="0"/>
                                              <w:divBdr>
                                                <w:top w:val="none" w:sz="0" w:space="0" w:color="auto"/>
                                                <w:left w:val="none" w:sz="0" w:space="0" w:color="auto"/>
                                                <w:bottom w:val="none" w:sz="0" w:space="0" w:color="auto"/>
                                                <w:right w:val="none" w:sz="0" w:space="0" w:color="auto"/>
                                              </w:divBdr>
                                              <w:divsChild>
                                                <w:div w:id="1332100991">
                                                  <w:marLeft w:val="0"/>
                                                  <w:marRight w:val="0"/>
                                                  <w:marTop w:val="0"/>
                                                  <w:marBottom w:val="0"/>
                                                  <w:divBdr>
                                                    <w:top w:val="none" w:sz="0" w:space="0" w:color="auto"/>
                                                    <w:left w:val="none" w:sz="0" w:space="0" w:color="auto"/>
                                                    <w:bottom w:val="none" w:sz="0" w:space="0" w:color="auto"/>
                                                    <w:right w:val="none" w:sz="0" w:space="0" w:color="auto"/>
                                                  </w:divBdr>
                                                  <w:divsChild>
                                                    <w:div w:id="554849928">
                                                      <w:marLeft w:val="0"/>
                                                      <w:marRight w:val="0"/>
                                                      <w:marTop w:val="0"/>
                                                      <w:marBottom w:val="0"/>
                                                      <w:divBdr>
                                                        <w:top w:val="none" w:sz="0" w:space="0" w:color="auto"/>
                                                        <w:left w:val="none" w:sz="0" w:space="0" w:color="auto"/>
                                                        <w:bottom w:val="none" w:sz="0" w:space="0" w:color="auto"/>
                                                        <w:right w:val="none" w:sz="0" w:space="0" w:color="auto"/>
                                                      </w:divBdr>
                                                      <w:divsChild>
                                                        <w:div w:id="17176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4831145">
      <w:bodyDiv w:val="1"/>
      <w:marLeft w:val="0"/>
      <w:marRight w:val="0"/>
      <w:marTop w:val="0"/>
      <w:marBottom w:val="0"/>
      <w:divBdr>
        <w:top w:val="none" w:sz="0" w:space="0" w:color="auto"/>
        <w:left w:val="none" w:sz="0" w:space="0" w:color="auto"/>
        <w:bottom w:val="none" w:sz="0" w:space="0" w:color="auto"/>
        <w:right w:val="none" w:sz="0" w:space="0" w:color="auto"/>
      </w:divBdr>
      <w:divsChild>
        <w:div w:id="544294224">
          <w:marLeft w:val="0"/>
          <w:marRight w:val="0"/>
          <w:marTop w:val="0"/>
          <w:marBottom w:val="0"/>
          <w:divBdr>
            <w:top w:val="none" w:sz="0" w:space="0" w:color="auto"/>
            <w:left w:val="none" w:sz="0" w:space="0" w:color="auto"/>
            <w:bottom w:val="none" w:sz="0" w:space="0" w:color="auto"/>
            <w:right w:val="none" w:sz="0" w:space="0" w:color="auto"/>
          </w:divBdr>
          <w:divsChild>
            <w:div w:id="1782603403">
              <w:marLeft w:val="0"/>
              <w:marRight w:val="0"/>
              <w:marTop w:val="0"/>
              <w:marBottom w:val="0"/>
              <w:divBdr>
                <w:top w:val="none" w:sz="0" w:space="0" w:color="auto"/>
                <w:left w:val="none" w:sz="0" w:space="0" w:color="auto"/>
                <w:bottom w:val="none" w:sz="0" w:space="0" w:color="auto"/>
                <w:right w:val="none" w:sz="0" w:space="0" w:color="auto"/>
              </w:divBdr>
              <w:divsChild>
                <w:div w:id="1077094008">
                  <w:marLeft w:val="0"/>
                  <w:marRight w:val="0"/>
                  <w:marTop w:val="0"/>
                  <w:marBottom w:val="0"/>
                  <w:divBdr>
                    <w:top w:val="none" w:sz="0" w:space="0" w:color="auto"/>
                    <w:left w:val="none" w:sz="0" w:space="0" w:color="auto"/>
                    <w:bottom w:val="none" w:sz="0" w:space="0" w:color="auto"/>
                    <w:right w:val="none" w:sz="0" w:space="0" w:color="auto"/>
                  </w:divBdr>
                  <w:divsChild>
                    <w:div w:id="961231341">
                      <w:marLeft w:val="0"/>
                      <w:marRight w:val="0"/>
                      <w:marTop w:val="0"/>
                      <w:marBottom w:val="0"/>
                      <w:divBdr>
                        <w:top w:val="none" w:sz="0" w:space="0" w:color="auto"/>
                        <w:left w:val="none" w:sz="0" w:space="0" w:color="auto"/>
                        <w:bottom w:val="none" w:sz="0" w:space="0" w:color="auto"/>
                        <w:right w:val="none" w:sz="0" w:space="0" w:color="auto"/>
                      </w:divBdr>
                      <w:divsChild>
                        <w:div w:id="426733113">
                          <w:marLeft w:val="0"/>
                          <w:marRight w:val="0"/>
                          <w:marTop w:val="0"/>
                          <w:marBottom w:val="0"/>
                          <w:divBdr>
                            <w:top w:val="none" w:sz="0" w:space="0" w:color="auto"/>
                            <w:left w:val="none" w:sz="0" w:space="0" w:color="auto"/>
                            <w:bottom w:val="none" w:sz="0" w:space="0" w:color="auto"/>
                            <w:right w:val="none" w:sz="0" w:space="0" w:color="auto"/>
                          </w:divBdr>
                          <w:divsChild>
                            <w:div w:id="1191606464">
                              <w:marLeft w:val="0"/>
                              <w:marRight w:val="0"/>
                              <w:marTop w:val="0"/>
                              <w:marBottom w:val="0"/>
                              <w:divBdr>
                                <w:top w:val="none" w:sz="0" w:space="0" w:color="auto"/>
                                <w:left w:val="none" w:sz="0" w:space="0" w:color="auto"/>
                                <w:bottom w:val="none" w:sz="0" w:space="0" w:color="auto"/>
                                <w:right w:val="none" w:sz="0" w:space="0" w:color="auto"/>
                              </w:divBdr>
                              <w:divsChild>
                                <w:div w:id="1314945161">
                                  <w:marLeft w:val="0"/>
                                  <w:marRight w:val="0"/>
                                  <w:marTop w:val="0"/>
                                  <w:marBottom w:val="0"/>
                                  <w:divBdr>
                                    <w:top w:val="none" w:sz="0" w:space="0" w:color="auto"/>
                                    <w:left w:val="none" w:sz="0" w:space="0" w:color="auto"/>
                                    <w:bottom w:val="none" w:sz="0" w:space="0" w:color="auto"/>
                                    <w:right w:val="none" w:sz="0" w:space="0" w:color="auto"/>
                                  </w:divBdr>
                                  <w:divsChild>
                                    <w:div w:id="1831288051">
                                      <w:marLeft w:val="0"/>
                                      <w:marRight w:val="0"/>
                                      <w:marTop w:val="0"/>
                                      <w:marBottom w:val="0"/>
                                      <w:divBdr>
                                        <w:top w:val="none" w:sz="0" w:space="0" w:color="auto"/>
                                        <w:left w:val="none" w:sz="0" w:space="0" w:color="auto"/>
                                        <w:bottom w:val="none" w:sz="0" w:space="0" w:color="auto"/>
                                        <w:right w:val="none" w:sz="0" w:space="0" w:color="auto"/>
                                      </w:divBdr>
                                      <w:divsChild>
                                        <w:div w:id="1744831524">
                                          <w:marLeft w:val="0"/>
                                          <w:marRight w:val="0"/>
                                          <w:marTop w:val="0"/>
                                          <w:marBottom w:val="0"/>
                                          <w:divBdr>
                                            <w:top w:val="none" w:sz="0" w:space="0" w:color="auto"/>
                                            <w:left w:val="none" w:sz="0" w:space="0" w:color="auto"/>
                                            <w:bottom w:val="none" w:sz="0" w:space="0" w:color="auto"/>
                                            <w:right w:val="none" w:sz="0" w:space="0" w:color="auto"/>
                                          </w:divBdr>
                                          <w:divsChild>
                                            <w:div w:id="893154775">
                                              <w:marLeft w:val="0"/>
                                              <w:marRight w:val="0"/>
                                              <w:marTop w:val="0"/>
                                              <w:marBottom w:val="0"/>
                                              <w:divBdr>
                                                <w:top w:val="none" w:sz="0" w:space="0" w:color="auto"/>
                                                <w:left w:val="none" w:sz="0" w:space="0" w:color="auto"/>
                                                <w:bottom w:val="none" w:sz="0" w:space="0" w:color="auto"/>
                                                <w:right w:val="none" w:sz="0" w:space="0" w:color="auto"/>
                                              </w:divBdr>
                                              <w:divsChild>
                                                <w:div w:id="114955083">
                                                  <w:marLeft w:val="0"/>
                                                  <w:marRight w:val="0"/>
                                                  <w:marTop w:val="0"/>
                                                  <w:marBottom w:val="0"/>
                                                  <w:divBdr>
                                                    <w:top w:val="none" w:sz="0" w:space="0" w:color="auto"/>
                                                    <w:left w:val="none" w:sz="0" w:space="0" w:color="auto"/>
                                                    <w:bottom w:val="none" w:sz="0" w:space="0" w:color="auto"/>
                                                    <w:right w:val="none" w:sz="0" w:space="0" w:color="auto"/>
                                                  </w:divBdr>
                                                  <w:divsChild>
                                                    <w:div w:id="1991981070">
                                                      <w:marLeft w:val="0"/>
                                                      <w:marRight w:val="0"/>
                                                      <w:marTop w:val="0"/>
                                                      <w:marBottom w:val="0"/>
                                                      <w:divBdr>
                                                        <w:top w:val="none" w:sz="0" w:space="0" w:color="auto"/>
                                                        <w:left w:val="none" w:sz="0" w:space="0" w:color="auto"/>
                                                        <w:bottom w:val="none" w:sz="0" w:space="0" w:color="auto"/>
                                                        <w:right w:val="none" w:sz="0" w:space="0" w:color="auto"/>
                                                      </w:divBdr>
                                                      <w:divsChild>
                                                        <w:div w:id="551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ACT\BEL\legal\LegServLEG\2.%20LEGISLATIVE%20INSTRUMENTS\4.%20TEMPLATES%20-%20instruments%20LEG%20and%20NON-LEG\Patrick's%20templates\ES%20template%20211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 template 211208</Template>
  <TotalTime>0</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HU</dc:creator>
  <cp:keywords/>
  <dc:description/>
  <cp:lastModifiedBy>Hannah HU</cp:lastModifiedBy>
  <cp:revision>2</cp:revision>
  <dcterms:created xsi:type="dcterms:W3CDTF">2022-06-24T00:08:00Z</dcterms:created>
  <dcterms:modified xsi:type="dcterms:W3CDTF">2022-06-24T00:08:00Z</dcterms:modified>
</cp:coreProperties>
</file>