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77777777" w:rsidR="001F2A1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15AC1B50" w14:textId="77777777" w:rsidR="001F2A16" w:rsidRPr="007E0A01" w:rsidRDefault="001F2A16" w:rsidP="00E96940">
      <w:pPr>
        <w:pStyle w:val="Header"/>
        <w:pBdr>
          <w:top w:val="double" w:sz="4" w:space="1" w:color="auto"/>
          <w:bottom w:val="double" w:sz="4" w:space="1" w:color="auto"/>
        </w:pBdr>
        <w:tabs>
          <w:tab w:val="clear" w:pos="4153"/>
          <w:tab w:val="clear" w:pos="8306"/>
        </w:tabs>
        <w:rPr>
          <w:rFonts w:ascii="Arial" w:hAnsi="Arial" w:cs="Arial"/>
          <w:sz w:val="34"/>
          <w:szCs w:val="34"/>
        </w:rPr>
      </w:pPr>
    </w:p>
    <w:p w14:paraId="6B8F7B13" w14:textId="3557C411" w:rsidR="009371D0" w:rsidRDefault="006B554E" w:rsidP="006B554E">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Hlk106277219"/>
      <w:r w:rsidRPr="006B554E">
        <w:rPr>
          <w:rFonts w:ascii="Arial" w:hAnsi="Arial" w:cs="Arial"/>
          <w:sz w:val="34"/>
          <w:szCs w:val="34"/>
        </w:rPr>
        <w:t>Business Names Regist</w:t>
      </w:r>
      <w:r w:rsidR="0057088E">
        <w:rPr>
          <w:rFonts w:ascii="Arial" w:hAnsi="Arial" w:cs="Arial"/>
          <w:sz w:val="34"/>
          <w:szCs w:val="34"/>
        </w:rPr>
        <w:t>ration</w:t>
      </w:r>
      <w:r w:rsidRPr="006B554E">
        <w:rPr>
          <w:rFonts w:ascii="Arial" w:hAnsi="Arial" w:cs="Arial"/>
          <w:sz w:val="34"/>
          <w:szCs w:val="34"/>
        </w:rPr>
        <w:t>—Transitional Registry Disclosure Framework 2022</w:t>
      </w:r>
    </w:p>
    <w:bookmarkEnd w:id="0"/>
    <w:p w14:paraId="15AC1B52" w14:textId="5B65CDA8" w:rsidR="0099555F" w:rsidRPr="007E0A01" w:rsidRDefault="0099555F" w:rsidP="0021496E">
      <w:pPr>
        <w:pStyle w:val="Header"/>
        <w:tabs>
          <w:tab w:val="clear" w:pos="4153"/>
          <w:tab w:val="clear" w:pos="8306"/>
        </w:tabs>
        <w:jc w:val="center"/>
        <w:rPr>
          <w:rFonts w:ascii="Arial" w:hAnsi="Arial" w:cs="Arial"/>
          <w:szCs w:val="24"/>
        </w:rPr>
      </w:pPr>
    </w:p>
    <w:p w14:paraId="15AC1B53" w14:textId="77777777" w:rsidR="001F2A16" w:rsidRPr="007E0A01" w:rsidRDefault="001F2A16" w:rsidP="0021496E">
      <w:pPr>
        <w:pStyle w:val="Header"/>
        <w:tabs>
          <w:tab w:val="clear" w:pos="4153"/>
          <w:tab w:val="clear" w:pos="8306"/>
        </w:tabs>
        <w:jc w:val="center"/>
        <w:rPr>
          <w:rFonts w:ascii="Arial" w:hAnsi="Arial" w:cs="Arial"/>
          <w:szCs w:val="24"/>
        </w:rPr>
      </w:pPr>
    </w:p>
    <w:p w14:paraId="15AC1B54" w14:textId="179E8BC3" w:rsidR="00486653" w:rsidRDefault="00486653" w:rsidP="00910595">
      <w:pPr>
        <w:pStyle w:val="Heading2"/>
      </w:pPr>
      <w:r w:rsidRPr="00240CFB">
        <w:t>General Outline of Instrument</w:t>
      </w:r>
    </w:p>
    <w:p w14:paraId="3864779B" w14:textId="1623CE49" w:rsidR="00640CC2" w:rsidRDefault="00640CC2" w:rsidP="00640CC2"/>
    <w:p w14:paraId="76AD8FF2" w14:textId="77777777" w:rsidR="00E96940" w:rsidRPr="00640CC2" w:rsidRDefault="00E96940" w:rsidP="00640CC2"/>
    <w:p w14:paraId="15AC1B56" w14:textId="640E48AF" w:rsidR="00486653" w:rsidRPr="00240CFB" w:rsidRDefault="00486653" w:rsidP="00317957">
      <w:pPr>
        <w:numPr>
          <w:ilvl w:val="0"/>
          <w:numId w:val="16"/>
        </w:numPr>
        <w:tabs>
          <w:tab w:val="clear" w:pos="360"/>
          <w:tab w:val="num" w:pos="567"/>
        </w:tabs>
        <w:spacing w:after="120" w:line="276" w:lineRule="auto"/>
        <w:ind w:left="567" w:hanging="567"/>
        <w:rPr>
          <w:rFonts w:ascii="Arial" w:hAnsi="Arial" w:cs="Arial"/>
          <w:sz w:val="22"/>
          <w:szCs w:val="22"/>
        </w:rPr>
      </w:pPr>
      <w:r w:rsidRPr="00240CFB">
        <w:rPr>
          <w:rFonts w:ascii="Arial" w:hAnsi="Arial" w:cs="Arial"/>
          <w:sz w:val="22"/>
          <w:szCs w:val="22"/>
        </w:rPr>
        <w:t>This instrument is made under</w:t>
      </w:r>
      <w:r w:rsidR="006B554E">
        <w:rPr>
          <w:rFonts w:ascii="Arial" w:hAnsi="Arial" w:cs="Arial"/>
          <w:sz w:val="22"/>
          <w:szCs w:val="22"/>
        </w:rPr>
        <w:t xml:space="preserve"> sub</w:t>
      </w:r>
      <w:r w:rsidR="006B554E" w:rsidRPr="00771DC0">
        <w:rPr>
          <w:rFonts w:ascii="Arial" w:hAnsi="Arial" w:cs="Arial"/>
          <w:sz w:val="22"/>
          <w:szCs w:val="22"/>
        </w:rPr>
        <w:t xml:space="preserve">section </w:t>
      </w:r>
      <w:r w:rsidR="006B554E">
        <w:rPr>
          <w:rFonts w:ascii="Arial" w:hAnsi="Arial" w:cs="Arial"/>
          <w:sz w:val="22"/>
          <w:szCs w:val="22"/>
        </w:rPr>
        <w:t xml:space="preserve">62L(1) of the </w:t>
      </w:r>
      <w:r w:rsidR="006B554E" w:rsidRPr="009F2F4A">
        <w:rPr>
          <w:rFonts w:ascii="Arial" w:hAnsi="Arial" w:cs="Arial"/>
          <w:i/>
          <w:iCs/>
          <w:sz w:val="22"/>
          <w:szCs w:val="22"/>
        </w:rPr>
        <w:t>Business Names Registration Act 2011</w:t>
      </w:r>
      <w:r w:rsidR="006B554E">
        <w:rPr>
          <w:rFonts w:ascii="Arial" w:hAnsi="Arial" w:cs="Arial"/>
          <w:i/>
          <w:iCs/>
          <w:sz w:val="22"/>
          <w:szCs w:val="22"/>
        </w:rPr>
        <w:t>.</w:t>
      </w:r>
    </w:p>
    <w:p w14:paraId="5A051BFC" w14:textId="4DAB7C66" w:rsidR="006B554E" w:rsidRDefault="006B554E" w:rsidP="00317957">
      <w:pPr>
        <w:numPr>
          <w:ilvl w:val="0"/>
          <w:numId w:val="16"/>
        </w:numPr>
        <w:tabs>
          <w:tab w:val="clear" w:pos="360"/>
          <w:tab w:val="num" w:pos="567"/>
        </w:tabs>
        <w:spacing w:after="120" w:line="276" w:lineRule="auto"/>
        <w:ind w:left="567" w:hanging="567"/>
        <w:rPr>
          <w:rFonts w:ascii="Arial" w:hAnsi="Arial" w:cs="Arial"/>
          <w:sz w:val="22"/>
          <w:szCs w:val="22"/>
        </w:rPr>
      </w:pPr>
      <w:r>
        <w:rPr>
          <w:rFonts w:ascii="Arial" w:hAnsi="Arial" w:cs="Arial"/>
          <w:sz w:val="22"/>
          <w:szCs w:val="22"/>
        </w:rPr>
        <w:t xml:space="preserve">This instrument provides a disclosure framework relating to the continued </w:t>
      </w:r>
      <w:r w:rsidR="002A7544">
        <w:rPr>
          <w:rFonts w:ascii="Arial" w:hAnsi="Arial" w:cs="Arial"/>
          <w:sz w:val="22"/>
          <w:szCs w:val="22"/>
        </w:rPr>
        <w:t>disclosure</w:t>
      </w:r>
      <w:r>
        <w:rPr>
          <w:rFonts w:ascii="Arial" w:hAnsi="Arial" w:cs="Arial"/>
          <w:sz w:val="22"/>
          <w:szCs w:val="22"/>
        </w:rPr>
        <w:t xml:space="preserve"> of registry information under current practices (i</w:t>
      </w:r>
      <w:r w:rsidR="002A7544">
        <w:rPr>
          <w:rFonts w:ascii="Arial" w:hAnsi="Arial" w:cs="Arial"/>
          <w:sz w:val="22"/>
          <w:szCs w:val="22"/>
        </w:rPr>
        <w:t>.</w:t>
      </w:r>
      <w:r>
        <w:rPr>
          <w:rFonts w:ascii="Arial" w:hAnsi="Arial" w:cs="Arial"/>
          <w:sz w:val="22"/>
          <w:szCs w:val="22"/>
        </w:rPr>
        <w:t>e</w:t>
      </w:r>
      <w:r w:rsidR="002A7544">
        <w:rPr>
          <w:rFonts w:ascii="Arial" w:hAnsi="Arial" w:cs="Arial"/>
          <w:sz w:val="22"/>
          <w:szCs w:val="22"/>
        </w:rPr>
        <w:t>.</w:t>
      </w:r>
      <w:r>
        <w:rPr>
          <w:rFonts w:ascii="Arial" w:hAnsi="Arial" w:cs="Arial"/>
          <w:sz w:val="22"/>
          <w:szCs w:val="22"/>
        </w:rPr>
        <w:t xml:space="preserve"> through Australian Investment Securities Commission (ASIC) forms and systems)  after the commencement of this instrument.</w:t>
      </w:r>
    </w:p>
    <w:p w14:paraId="15AC1B5F" w14:textId="59DFD3D6" w:rsidR="00486653" w:rsidRPr="00240CFB" w:rsidRDefault="00486653" w:rsidP="00317957">
      <w:pPr>
        <w:numPr>
          <w:ilvl w:val="0"/>
          <w:numId w:val="16"/>
        </w:numPr>
        <w:tabs>
          <w:tab w:val="clear" w:pos="360"/>
          <w:tab w:val="num" w:pos="567"/>
        </w:tabs>
        <w:spacing w:after="120" w:line="276" w:lineRule="auto"/>
        <w:ind w:left="567" w:hanging="567"/>
        <w:rPr>
          <w:rFonts w:ascii="Arial" w:hAnsi="Arial" w:cs="Arial"/>
          <w:sz w:val="22"/>
          <w:szCs w:val="22"/>
        </w:rPr>
      </w:pPr>
      <w:r w:rsidRPr="00240CFB">
        <w:rPr>
          <w:rFonts w:ascii="Arial" w:hAnsi="Arial" w:cs="Arial"/>
          <w:sz w:val="22"/>
          <w:szCs w:val="22"/>
        </w:rPr>
        <w:t xml:space="preserve">The instrument is a legislative instrument for the purposes of the </w:t>
      </w:r>
      <w:r w:rsidR="00C4143E" w:rsidRPr="00240CFB">
        <w:rPr>
          <w:rFonts w:ascii="Arial" w:hAnsi="Arial" w:cs="Arial"/>
          <w:i/>
          <w:sz w:val="22"/>
          <w:szCs w:val="22"/>
        </w:rPr>
        <w:t xml:space="preserve">Legislation </w:t>
      </w:r>
      <w:r w:rsidRPr="00240CFB">
        <w:rPr>
          <w:rFonts w:ascii="Arial" w:hAnsi="Arial" w:cs="Arial"/>
          <w:i/>
          <w:sz w:val="22"/>
          <w:szCs w:val="22"/>
        </w:rPr>
        <w:t>Act 2003</w:t>
      </w:r>
      <w:r w:rsidRPr="00240CFB">
        <w:rPr>
          <w:rFonts w:ascii="Arial" w:hAnsi="Arial" w:cs="Arial"/>
          <w:sz w:val="22"/>
          <w:szCs w:val="22"/>
        </w:rPr>
        <w:t>.</w:t>
      </w:r>
    </w:p>
    <w:p w14:paraId="15AC1B61" w14:textId="30409D66" w:rsidR="00B31550" w:rsidRPr="002268D6" w:rsidRDefault="00B31550" w:rsidP="00317957">
      <w:pPr>
        <w:pStyle w:val="ListParagraph"/>
        <w:numPr>
          <w:ilvl w:val="0"/>
          <w:numId w:val="16"/>
        </w:numPr>
        <w:tabs>
          <w:tab w:val="clear" w:pos="360"/>
          <w:tab w:val="num" w:pos="567"/>
        </w:tabs>
        <w:spacing w:after="120"/>
        <w:ind w:left="567" w:hanging="567"/>
        <w:rPr>
          <w:rFonts w:ascii="Arial" w:hAnsi="Arial" w:cs="Arial"/>
        </w:rPr>
      </w:pPr>
      <w:r w:rsidRPr="002268D6">
        <w:rPr>
          <w:rFonts w:ascii="Arial" w:hAnsi="Arial" w:cs="Arial"/>
        </w:rPr>
        <w:t xml:space="preserve">Under subsection 33(3) of the </w:t>
      </w:r>
      <w:r w:rsidRPr="002268D6">
        <w:rPr>
          <w:rFonts w:ascii="Arial" w:hAnsi="Arial" w:cs="Arial"/>
          <w:i/>
        </w:rPr>
        <w:t>Acts Interpretation Act 1901</w:t>
      </w:r>
      <w:r w:rsidRPr="002268D6">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240CFB" w:rsidRDefault="006302F7" w:rsidP="00910595">
      <w:pPr>
        <w:spacing w:after="120"/>
        <w:rPr>
          <w:rFonts w:ascii="Arial" w:hAnsi="Arial" w:cs="Arial"/>
          <w:sz w:val="22"/>
          <w:szCs w:val="22"/>
        </w:rPr>
      </w:pPr>
    </w:p>
    <w:p w14:paraId="15AC1B63" w14:textId="77777777" w:rsidR="001D02E6" w:rsidRPr="00240CFB" w:rsidRDefault="001D02E6" w:rsidP="00910595">
      <w:pPr>
        <w:pStyle w:val="Heading2"/>
      </w:pPr>
      <w:r w:rsidRPr="00240CFB">
        <w:t>Date of effect</w:t>
      </w:r>
    </w:p>
    <w:p w14:paraId="7E12539F" w14:textId="77777777" w:rsidR="002A0876" w:rsidRDefault="002A0876" w:rsidP="00690A47">
      <w:pPr>
        <w:pStyle w:val="ListParagraph"/>
        <w:numPr>
          <w:ilvl w:val="0"/>
          <w:numId w:val="16"/>
        </w:numPr>
        <w:tabs>
          <w:tab w:val="clear" w:pos="360"/>
          <w:tab w:val="num" w:pos="567"/>
        </w:tabs>
        <w:ind w:left="567" w:hanging="567"/>
        <w:rPr>
          <w:rFonts w:ascii="Arial" w:hAnsi="Arial" w:cs="Arial"/>
        </w:rPr>
      </w:pPr>
      <w:r>
        <w:rPr>
          <w:rFonts w:ascii="Arial" w:hAnsi="Arial" w:cs="Arial"/>
        </w:rPr>
        <w:t xml:space="preserve">This instrument commences on 22 June 2022. </w:t>
      </w:r>
    </w:p>
    <w:p w14:paraId="15AC1B6C" w14:textId="77777777" w:rsidR="00486653" w:rsidRPr="00240CFB" w:rsidRDefault="00486653" w:rsidP="00910595">
      <w:pPr>
        <w:pStyle w:val="Heading2"/>
      </w:pPr>
      <w:r w:rsidRPr="00240CFB">
        <w:t>What is the effect of this instrument</w:t>
      </w:r>
    </w:p>
    <w:p w14:paraId="3A95C6DA" w14:textId="77777777" w:rsidR="00111D40" w:rsidRDefault="00111D40" w:rsidP="00690A47">
      <w:pPr>
        <w:pStyle w:val="ListParagraph"/>
        <w:numPr>
          <w:ilvl w:val="0"/>
          <w:numId w:val="16"/>
        </w:numPr>
        <w:tabs>
          <w:tab w:val="clear" w:pos="360"/>
          <w:tab w:val="num" w:pos="567"/>
        </w:tabs>
        <w:spacing w:after="120"/>
        <w:ind w:left="567" w:hanging="567"/>
        <w:rPr>
          <w:rFonts w:ascii="Arial" w:hAnsi="Arial" w:cs="Arial"/>
          <w:color w:val="000000"/>
        </w:rPr>
      </w:pPr>
      <w:r>
        <w:rPr>
          <w:rFonts w:ascii="Arial" w:hAnsi="Arial" w:cs="Arial"/>
          <w:color w:val="000000"/>
        </w:rPr>
        <w:t xml:space="preserve">The effect of this instrument is to authorise the disclosure of registry information in any circumstances in which the disclosure would have been permitted immediately prior to the commencement of the </w:t>
      </w:r>
      <w:r w:rsidRPr="00BF5D89">
        <w:rPr>
          <w:rFonts w:ascii="Arial" w:hAnsi="Arial" w:cs="Arial"/>
          <w:color w:val="000000"/>
        </w:rPr>
        <w:t>instrument,</w:t>
      </w:r>
      <w:r>
        <w:rPr>
          <w:rFonts w:ascii="Arial" w:hAnsi="Arial" w:cs="Arial"/>
          <w:color w:val="000000"/>
        </w:rPr>
        <w:t xml:space="preserve"> effectively continuing the current access and disclosure arrangements, as previously required, or permitted by ASIC. </w:t>
      </w:r>
    </w:p>
    <w:p w14:paraId="1EFA73A3" w14:textId="77777777" w:rsidR="00111D40" w:rsidRPr="004C0E3B" w:rsidRDefault="00111D40" w:rsidP="00690A47">
      <w:pPr>
        <w:pStyle w:val="ListParagraph"/>
        <w:numPr>
          <w:ilvl w:val="0"/>
          <w:numId w:val="16"/>
        </w:numPr>
        <w:tabs>
          <w:tab w:val="clear" w:pos="360"/>
          <w:tab w:val="num" w:pos="567"/>
        </w:tabs>
        <w:spacing w:after="120"/>
        <w:ind w:left="567" w:hanging="567"/>
        <w:rPr>
          <w:rFonts w:ascii="Arial" w:hAnsi="Arial" w:cs="Arial"/>
        </w:rPr>
      </w:pPr>
      <w:r w:rsidRPr="004C0E3B">
        <w:rPr>
          <w:rFonts w:ascii="Arial" w:hAnsi="Arial" w:cs="Arial"/>
        </w:rPr>
        <w:t xml:space="preserve">To ensure the continued operation of registry services in accordance with current practices this instrument authorises </w:t>
      </w:r>
      <w:r>
        <w:rPr>
          <w:rFonts w:ascii="Arial" w:hAnsi="Arial" w:cs="Arial"/>
        </w:rPr>
        <w:t>disclosures</w:t>
      </w:r>
      <w:r w:rsidRPr="004C0E3B">
        <w:rPr>
          <w:rFonts w:ascii="Arial" w:hAnsi="Arial" w:cs="Arial"/>
        </w:rPr>
        <w:t xml:space="preserve"> in relation to registry </w:t>
      </w:r>
      <w:r>
        <w:rPr>
          <w:rFonts w:ascii="Arial" w:hAnsi="Arial" w:cs="Arial"/>
        </w:rPr>
        <w:t>information</w:t>
      </w:r>
      <w:r w:rsidRPr="004C0E3B">
        <w:rPr>
          <w:rFonts w:ascii="Arial" w:hAnsi="Arial" w:cs="Arial"/>
        </w:rPr>
        <w:t xml:space="preserve"> </w:t>
      </w:r>
      <w:r w:rsidRPr="000247A5">
        <w:rPr>
          <w:rFonts w:ascii="Arial" w:hAnsi="Arial" w:cs="Arial"/>
        </w:rPr>
        <w:t>using</w:t>
      </w:r>
      <w:r w:rsidRPr="000247A5">
        <w:rPr>
          <w:rFonts w:ascii="Arial" w:hAnsi="Arial" w:cs="Arial"/>
          <w:color w:val="000000" w:themeColor="text1"/>
        </w:rPr>
        <w:t xml:space="preserve"> notices, forms or systems or any other means by which the disclosure would have been made by ASIC immediately before the</w:t>
      </w:r>
      <w:r w:rsidRPr="004C0E3B">
        <w:rPr>
          <w:rFonts w:ascii="Arial" w:hAnsi="Arial" w:cs="Arial"/>
        </w:rPr>
        <w:t xml:space="preserve"> commencement of this instrument.</w:t>
      </w:r>
    </w:p>
    <w:p w14:paraId="6C5E1701" w14:textId="1596A1F5" w:rsidR="00640CC2" w:rsidRPr="00640CC2" w:rsidRDefault="00640CC2" w:rsidP="00640CC2">
      <w:pPr>
        <w:pStyle w:val="Heading2"/>
      </w:pPr>
      <w:r w:rsidRPr="00640CC2">
        <w:t xml:space="preserve">Compliance cost assessment </w:t>
      </w:r>
    </w:p>
    <w:p w14:paraId="15AC1B72" w14:textId="07B38FD6" w:rsidR="00493CA7" w:rsidRPr="004B4E2A" w:rsidRDefault="00FD7475" w:rsidP="00690A47">
      <w:pPr>
        <w:pStyle w:val="ListParagraph"/>
        <w:numPr>
          <w:ilvl w:val="0"/>
          <w:numId w:val="16"/>
        </w:numPr>
        <w:tabs>
          <w:tab w:val="clear" w:pos="360"/>
          <w:tab w:val="num" w:pos="709"/>
        </w:tabs>
        <w:spacing w:after="120"/>
        <w:ind w:left="567" w:hanging="567"/>
        <w:rPr>
          <w:rFonts w:ascii="Arial" w:hAnsi="Arial" w:cs="Arial"/>
        </w:rPr>
      </w:pPr>
      <w:r w:rsidRPr="004B4E2A">
        <w:rPr>
          <w:rFonts w:ascii="Arial" w:hAnsi="Arial" w:cs="Arial"/>
        </w:rPr>
        <w:t>Minor - There will be no additional regulatory impacts as the instrument</w:t>
      </w:r>
      <w:r w:rsidR="00286F5F">
        <w:rPr>
          <w:rFonts w:ascii="Arial" w:hAnsi="Arial" w:cs="Arial"/>
        </w:rPr>
        <w:t xml:space="preserve"> is</w:t>
      </w:r>
      <w:r w:rsidRPr="004B4E2A">
        <w:rPr>
          <w:rFonts w:ascii="Arial" w:hAnsi="Arial" w:cs="Arial"/>
        </w:rPr>
        <w:t xml:space="preserve"> minor and machinery in nature.</w:t>
      </w:r>
    </w:p>
    <w:p w14:paraId="15AC1B73" w14:textId="77777777" w:rsidR="00486653" w:rsidRPr="00240CFB" w:rsidRDefault="00486653" w:rsidP="00910595">
      <w:pPr>
        <w:pStyle w:val="Heading2"/>
      </w:pPr>
      <w:r w:rsidRPr="004B4E2A">
        <w:t>Bac</w:t>
      </w:r>
      <w:r w:rsidRPr="00240CFB">
        <w:t>kground</w:t>
      </w:r>
    </w:p>
    <w:p w14:paraId="5BAB0088" w14:textId="2D4C2635" w:rsidR="00FD7475" w:rsidRDefault="00FD7475" w:rsidP="00690A47">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T</w:t>
      </w:r>
      <w:r w:rsidRPr="007C26B4">
        <w:rPr>
          <w:rFonts w:ascii="Arial" w:hAnsi="Arial" w:cs="Arial"/>
        </w:rPr>
        <w:t xml:space="preserve">he </w:t>
      </w:r>
      <w:r w:rsidRPr="007C26B4">
        <w:rPr>
          <w:rFonts w:ascii="Arial" w:hAnsi="Arial" w:cs="Arial"/>
          <w:i/>
          <w:iCs/>
        </w:rPr>
        <w:t>Treasury Laws Amendment (Registries Modernisation and Other Measures) Act 2020</w:t>
      </w:r>
      <w:r w:rsidRPr="007C26B4">
        <w:rPr>
          <w:rFonts w:ascii="Arial" w:hAnsi="Arial" w:cs="Arial"/>
        </w:rPr>
        <w:t xml:space="preserve"> (Registries Modernisation Act)</w:t>
      </w:r>
      <w:r w:rsidRPr="00EF1487">
        <w:t xml:space="preserve"> </w:t>
      </w:r>
      <w:r w:rsidRPr="00EF1487">
        <w:rPr>
          <w:rFonts w:ascii="Arial" w:hAnsi="Arial" w:cs="Arial"/>
        </w:rPr>
        <w:t>provide</w:t>
      </w:r>
      <w:r>
        <w:rPr>
          <w:rFonts w:ascii="Arial" w:hAnsi="Arial" w:cs="Arial"/>
        </w:rPr>
        <w:t xml:space="preserve">s </w:t>
      </w:r>
      <w:r w:rsidRPr="00EF1487">
        <w:rPr>
          <w:rFonts w:ascii="Arial" w:hAnsi="Arial" w:cs="Arial"/>
        </w:rPr>
        <w:t>for the transfer of registry functions</w:t>
      </w:r>
      <w:r>
        <w:rPr>
          <w:rFonts w:ascii="Arial" w:hAnsi="Arial" w:cs="Arial"/>
        </w:rPr>
        <w:t xml:space="preserve"> and power</w:t>
      </w:r>
      <w:r w:rsidR="00586521">
        <w:rPr>
          <w:rFonts w:ascii="Arial" w:hAnsi="Arial" w:cs="Arial"/>
        </w:rPr>
        <w:t>s</w:t>
      </w:r>
      <w:r w:rsidRPr="00EF1487">
        <w:rPr>
          <w:rFonts w:ascii="Arial" w:hAnsi="Arial" w:cs="Arial"/>
        </w:rPr>
        <w:t xml:space="preserve"> from ASIC to the </w:t>
      </w:r>
      <w:r>
        <w:rPr>
          <w:rFonts w:ascii="Arial" w:hAnsi="Arial" w:cs="Arial"/>
        </w:rPr>
        <w:t xml:space="preserve">Registrar, </w:t>
      </w:r>
      <w:r w:rsidRPr="00EF1487">
        <w:rPr>
          <w:rFonts w:ascii="Arial" w:hAnsi="Arial" w:cs="Arial"/>
        </w:rPr>
        <w:t xml:space="preserve">as well as other changes to modernise the registry law. </w:t>
      </w:r>
      <w:r>
        <w:rPr>
          <w:rFonts w:ascii="Arial" w:hAnsi="Arial" w:cs="Arial"/>
        </w:rPr>
        <w:t>The</w:t>
      </w:r>
      <w:r w:rsidRPr="00EF1487">
        <w:rPr>
          <w:rFonts w:ascii="Arial" w:hAnsi="Arial" w:cs="Arial"/>
        </w:rPr>
        <w:t xml:space="preserve"> </w:t>
      </w:r>
      <w:r w:rsidRPr="00EF1487">
        <w:rPr>
          <w:rFonts w:ascii="Arial" w:hAnsi="Arial" w:cs="Arial"/>
        </w:rPr>
        <w:lastRenderedPageBreak/>
        <w:t>amendments</w:t>
      </w:r>
      <w:r>
        <w:rPr>
          <w:rFonts w:ascii="Arial" w:hAnsi="Arial" w:cs="Arial"/>
        </w:rPr>
        <w:t xml:space="preserve"> in the </w:t>
      </w:r>
      <w:r w:rsidRPr="007C26B4">
        <w:rPr>
          <w:rFonts w:ascii="Arial" w:hAnsi="Arial" w:cs="Arial"/>
        </w:rPr>
        <w:t>Registries Modernisation Act</w:t>
      </w:r>
      <w:r w:rsidRPr="00EF1487">
        <w:rPr>
          <w:rFonts w:ascii="Arial" w:hAnsi="Arial" w:cs="Arial"/>
        </w:rPr>
        <w:t xml:space="preserve"> commence from a date fixed by proclamation or, if not commenced prior to 2</w:t>
      </w:r>
      <w:r>
        <w:rPr>
          <w:rFonts w:ascii="Arial" w:hAnsi="Arial" w:cs="Arial"/>
        </w:rPr>
        <w:t>2</w:t>
      </w:r>
      <w:r w:rsidRPr="00EF1487">
        <w:rPr>
          <w:rFonts w:ascii="Arial" w:hAnsi="Arial" w:cs="Arial"/>
        </w:rPr>
        <w:t xml:space="preserve"> June 2022, from 2</w:t>
      </w:r>
      <w:r>
        <w:rPr>
          <w:rFonts w:ascii="Arial" w:hAnsi="Arial" w:cs="Arial"/>
        </w:rPr>
        <w:t>2</w:t>
      </w:r>
      <w:r w:rsidRPr="00EF1487">
        <w:rPr>
          <w:rFonts w:ascii="Arial" w:hAnsi="Arial" w:cs="Arial"/>
        </w:rPr>
        <w:t xml:space="preserve"> June 2022 (auto-commencement).</w:t>
      </w:r>
    </w:p>
    <w:p w14:paraId="4A40540C" w14:textId="77777777" w:rsidR="00FD7475" w:rsidRDefault="00FD7475" w:rsidP="00690A47">
      <w:pPr>
        <w:pStyle w:val="ListParagraph"/>
        <w:numPr>
          <w:ilvl w:val="0"/>
          <w:numId w:val="16"/>
        </w:numPr>
        <w:tabs>
          <w:tab w:val="clear" w:pos="360"/>
          <w:tab w:val="num" w:pos="567"/>
        </w:tabs>
        <w:spacing w:after="120"/>
        <w:ind w:left="567" w:hanging="567"/>
        <w:rPr>
          <w:rFonts w:ascii="Arial" w:hAnsi="Arial" w:cs="Arial"/>
        </w:rPr>
      </w:pPr>
      <w:r w:rsidRPr="00EF1487">
        <w:rPr>
          <w:rFonts w:ascii="Arial" w:hAnsi="Arial" w:cs="Arial"/>
        </w:rPr>
        <w:t>The inclusion of an auto-commencement date in the</w:t>
      </w:r>
      <w:r>
        <w:rPr>
          <w:rFonts w:ascii="Arial" w:hAnsi="Arial" w:cs="Arial"/>
        </w:rPr>
        <w:t xml:space="preserve"> </w:t>
      </w:r>
      <w:r w:rsidRPr="007C26B4">
        <w:rPr>
          <w:rFonts w:ascii="Arial" w:hAnsi="Arial" w:cs="Arial"/>
        </w:rPr>
        <w:t>Registries Modernisation Act</w:t>
      </w:r>
      <w:r>
        <w:rPr>
          <w:rFonts w:ascii="Arial" w:hAnsi="Arial" w:cs="Arial"/>
        </w:rPr>
        <w:t xml:space="preserve"> was a technical requirement designed to ensure that laws passed by Parliament are not left un-commenced because the amendments were never commenced by proclamation.</w:t>
      </w:r>
    </w:p>
    <w:p w14:paraId="20E526C1" w14:textId="58B56252" w:rsidR="00FD7475" w:rsidRDefault="00FD7475" w:rsidP="00690A47">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 xml:space="preserve">However, it was intended that the Registrar would assume legal responsibility for registry functions and powers with the </w:t>
      </w:r>
      <w:r w:rsidRPr="00EF1487">
        <w:rPr>
          <w:rFonts w:ascii="Arial" w:hAnsi="Arial" w:cs="Arial"/>
        </w:rPr>
        <w:t xml:space="preserve">progressive transfers of the registers onto the new </w:t>
      </w:r>
      <w:r>
        <w:rPr>
          <w:rFonts w:ascii="Arial" w:hAnsi="Arial" w:cs="Arial"/>
        </w:rPr>
        <w:t>Australian Business Registry Services (ABRS)</w:t>
      </w:r>
      <w:r w:rsidRPr="00EF1487">
        <w:rPr>
          <w:rFonts w:ascii="Arial" w:hAnsi="Arial" w:cs="Arial"/>
        </w:rPr>
        <w:t xml:space="preserve"> platform in line with the </w:t>
      </w:r>
      <w:r>
        <w:rPr>
          <w:rFonts w:ascii="Arial" w:hAnsi="Arial" w:cs="Arial"/>
        </w:rPr>
        <w:t xml:space="preserve">Modernising </w:t>
      </w:r>
      <w:r w:rsidR="00586521">
        <w:rPr>
          <w:rFonts w:ascii="Arial" w:hAnsi="Arial" w:cs="Arial"/>
        </w:rPr>
        <w:t>B</w:t>
      </w:r>
      <w:r>
        <w:rPr>
          <w:rFonts w:ascii="Arial" w:hAnsi="Arial" w:cs="Arial"/>
        </w:rPr>
        <w:t>usiness Registers (</w:t>
      </w:r>
      <w:r w:rsidRPr="00EF1487">
        <w:rPr>
          <w:rFonts w:ascii="Arial" w:hAnsi="Arial" w:cs="Arial"/>
        </w:rPr>
        <w:t>MBR</w:t>
      </w:r>
      <w:r>
        <w:rPr>
          <w:rFonts w:ascii="Arial" w:hAnsi="Arial" w:cs="Arial"/>
        </w:rPr>
        <w:t>)</w:t>
      </w:r>
      <w:r w:rsidRPr="00EF1487">
        <w:rPr>
          <w:rFonts w:ascii="Arial" w:hAnsi="Arial" w:cs="Arial"/>
        </w:rPr>
        <w:t xml:space="preserve"> program delivery</w:t>
      </w:r>
      <w:r>
        <w:rPr>
          <w:rFonts w:ascii="Arial" w:hAnsi="Arial" w:cs="Arial"/>
        </w:rPr>
        <w:t>.</w:t>
      </w:r>
    </w:p>
    <w:p w14:paraId="120C7E27" w14:textId="1E32E866" w:rsidR="00FD7475" w:rsidRDefault="00FD7475" w:rsidP="00690A47">
      <w:pPr>
        <w:pStyle w:val="ListParagraph"/>
        <w:numPr>
          <w:ilvl w:val="0"/>
          <w:numId w:val="16"/>
        </w:numPr>
        <w:tabs>
          <w:tab w:val="clear" w:pos="360"/>
          <w:tab w:val="num" w:pos="567"/>
        </w:tabs>
        <w:spacing w:after="120"/>
        <w:ind w:left="567" w:hanging="567"/>
        <w:rPr>
          <w:rFonts w:ascii="Arial" w:hAnsi="Arial" w:cs="Arial"/>
        </w:rPr>
      </w:pPr>
      <w:r w:rsidRPr="00222166">
        <w:rPr>
          <w:rFonts w:ascii="Arial" w:hAnsi="Arial" w:cs="Arial"/>
          <w:i/>
          <w:iCs/>
        </w:rPr>
        <w:t>Treasury Laws Amendment (Enhancing Tax Integrity and Supporting Business Investment) Bill 2022</w:t>
      </w:r>
      <w:r w:rsidRPr="00217199">
        <w:rPr>
          <w:rFonts w:ascii="Arial" w:hAnsi="Arial" w:cs="Arial"/>
        </w:rPr>
        <w:t xml:space="preserve"> (Bill) was introduced in the previous parliament to defer the auto-commencement date until 1 July 2024 (or an earlier date specified by proclamation) and </w:t>
      </w:r>
      <w:r w:rsidR="00516C23">
        <w:rPr>
          <w:rFonts w:ascii="Arial" w:hAnsi="Arial" w:cs="Arial"/>
        </w:rPr>
        <w:t xml:space="preserve">to </w:t>
      </w:r>
      <w:r w:rsidRPr="00217199">
        <w:rPr>
          <w:rFonts w:ascii="Arial" w:hAnsi="Arial" w:cs="Arial"/>
        </w:rPr>
        <w:t>enable the progressive transfer of registers.  However, the Bill lapsed when the federal election of 2022 was called.</w:t>
      </w:r>
    </w:p>
    <w:p w14:paraId="492E6991" w14:textId="77777777" w:rsidR="00586521" w:rsidRPr="00B42391" w:rsidRDefault="00586521" w:rsidP="00586521">
      <w:pPr>
        <w:pStyle w:val="ListParagraph"/>
        <w:numPr>
          <w:ilvl w:val="0"/>
          <w:numId w:val="16"/>
        </w:numPr>
        <w:tabs>
          <w:tab w:val="clear" w:pos="360"/>
          <w:tab w:val="num" w:pos="786"/>
        </w:tabs>
        <w:spacing w:after="120"/>
        <w:ind w:left="567" w:hanging="567"/>
        <w:rPr>
          <w:rFonts w:ascii="Arial" w:hAnsi="Arial" w:cs="Arial"/>
        </w:rPr>
      </w:pPr>
      <w:r w:rsidRPr="00B42391">
        <w:rPr>
          <w:rFonts w:ascii="Arial" w:hAnsi="Arial" w:cs="Arial"/>
        </w:rPr>
        <w:t xml:space="preserve">To ensure business continuity, this transitional </w:t>
      </w:r>
      <w:r>
        <w:rPr>
          <w:rFonts w:ascii="Arial" w:hAnsi="Arial" w:cs="Arial"/>
        </w:rPr>
        <w:t>disclosure framework</w:t>
      </w:r>
      <w:r w:rsidRPr="00B42391">
        <w:rPr>
          <w:rFonts w:ascii="Arial" w:hAnsi="Arial" w:cs="Arial"/>
        </w:rPr>
        <w:t xml:space="preserve"> allows </w:t>
      </w:r>
      <w:r>
        <w:rPr>
          <w:rFonts w:ascii="Arial" w:hAnsi="Arial" w:cs="Arial"/>
        </w:rPr>
        <w:t>disclosures</w:t>
      </w:r>
      <w:r w:rsidRPr="00B42391">
        <w:rPr>
          <w:rFonts w:ascii="Arial" w:hAnsi="Arial" w:cs="Arial"/>
        </w:rPr>
        <w:t xml:space="preserve"> to be </w:t>
      </w:r>
      <w:r>
        <w:rPr>
          <w:rFonts w:ascii="Arial" w:hAnsi="Arial" w:cs="Arial"/>
        </w:rPr>
        <w:t>made</w:t>
      </w:r>
      <w:r w:rsidRPr="00B42391">
        <w:rPr>
          <w:rFonts w:ascii="Arial" w:hAnsi="Arial" w:cs="Arial"/>
        </w:rPr>
        <w:t xml:space="preserve"> through ASIC notices, forms, or systems or any other means by which the </w:t>
      </w:r>
      <w:r>
        <w:rPr>
          <w:rFonts w:ascii="Arial" w:hAnsi="Arial" w:cs="Arial"/>
        </w:rPr>
        <w:t>disclosure</w:t>
      </w:r>
      <w:r w:rsidRPr="00B42391">
        <w:rPr>
          <w:rFonts w:ascii="Arial" w:hAnsi="Arial" w:cs="Arial"/>
        </w:rPr>
        <w:t xml:space="preserve"> would have been done by ASIC prior to the commencement of this instrument.</w:t>
      </w:r>
    </w:p>
    <w:p w14:paraId="15AC1B76" w14:textId="0934EEC7" w:rsidR="00486653" w:rsidRPr="004B4E2A" w:rsidRDefault="00586521" w:rsidP="00690A47">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It is intended that this instrument will be transitional, as consideration is given to legislative options to align the commencement of relevant law with the delivery of the MBR program.  It is expected to only operate until legislative changes to support the delivery of the MBR program are in place, at which time it is anticipated that this instrument will be repealed</w:t>
      </w:r>
      <w:r w:rsidR="00FD7475">
        <w:rPr>
          <w:rFonts w:ascii="Arial" w:hAnsi="Arial" w:cs="Arial"/>
        </w:rPr>
        <w:t xml:space="preserve">. </w:t>
      </w:r>
    </w:p>
    <w:p w14:paraId="7F937230" w14:textId="77777777" w:rsidR="00B914F8" w:rsidRDefault="00B914F8" w:rsidP="00B914F8">
      <w:pPr>
        <w:pStyle w:val="AdviceNumLevel1"/>
        <w:numPr>
          <w:ilvl w:val="0"/>
          <w:numId w:val="0"/>
        </w:numPr>
        <w:rPr>
          <w:b/>
          <w:bCs/>
        </w:rPr>
      </w:pPr>
      <w:r>
        <w:rPr>
          <w:b/>
          <w:bCs/>
        </w:rPr>
        <w:t>Definitions</w:t>
      </w:r>
    </w:p>
    <w:p w14:paraId="0E569841" w14:textId="17BC9DA3" w:rsidR="009C04E5" w:rsidRDefault="009C04E5" w:rsidP="00690A47">
      <w:pPr>
        <w:pStyle w:val="AdviceNumLevel1"/>
        <w:numPr>
          <w:ilvl w:val="0"/>
          <w:numId w:val="16"/>
        </w:numPr>
        <w:tabs>
          <w:tab w:val="clear" w:pos="360"/>
          <w:tab w:val="num" w:pos="567"/>
        </w:tabs>
        <w:ind w:left="567" w:hanging="567"/>
      </w:pPr>
      <w:r>
        <w:t xml:space="preserve">The instrument defines a number of terms for the purpose of ensuring registry disclosures that operated before the commencement of this instrument will continue to operate in the same way under this instrument. </w:t>
      </w:r>
    </w:p>
    <w:p w14:paraId="39F82DAA" w14:textId="53E81902" w:rsidR="00A06326" w:rsidRDefault="00A06326" w:rsidP="00690A47">
      <w:pPr>
        <w:pStyle w:val="AdviceNumLevel1"/>
        <w:numPr>
          <w:ilvl w:val="0"/>
          <w:numId w:val="16"/>
        </w:numPr>
        <w:tabs>
          <w:tab w:val="clear" w:pos="360"/>
          <w:tab w:val="num" w:pos="567"/>
        </w:tabs>
        <w:ind w:left="567" w:hanging="567"/>
      </w:pPr>
      <w:bookmarkStart w:id="1" w:name="_Hlk105494280"/>
      <w:r>
        <w:t>This includes the definition of old BNR Act</w:t>
      </w:r>
      <w:r w:rsidR="00C234B1">
        <w:t>s</w:t>
      </w:r>
      <w:r>
        <w:t xml:space="preserve"> and old BNR </w:t>
      </w:r>
      <w:r w:rsidR="00E773C7">
        <w:t>instrument</w:t>
      </w:r>
      <w:r>
        <w:t xml:space="preserve">, being the </w:t>
      </w:r>
      <w:r w:rsidRPr="008E05F2">
        <w:rPr>
          <w:i/>
          <w:iCs/>
        </w:rPr>
        <w:t>Business Names Registration Act 2011</w:t>
      </w:r>
      <w:r w:rsidRPr="008E05F2">
        <w:t xml:space="preserve"> and </w:t>
      </w:r>
      <w:r w:rsidRPr="008E05F2">
        <w:rPr>
          <w:i/>
          <w:iCs/>
        </w:rPr>
        <w:t xml:space="preserve">Business Names Registration (Transitional and Consequential Provisions) Act </w:t>
      </w:r>
      <w:r w:rsidRPr="00B719C4">
        <w:t>2011</w:t>
      </w:r>
      <w:r>
        <w:t xml:space="preserve"> </w:t>
      </w:r>
      <w:r w:rsidRPr="00B719C4">
        <w:t>or</w:t>
      </w:r>
      <w:r>
        <w:t xml:space="preserve"> any instrument made under the </w:t>
      </w:r>
      <w:r w:rsidRPr="008E05F2">
        <w:rPr>
          <w:i/>
          <w:iCs/>
        </w:rPr>
        <w:t>Business Names Registration Act 2011</w:t>
      </w:r>
      <w:r w:rsidRPr="008E05F2">
        <w:t xml:space="preserve"> and </w:t>
      </w:r>
      <w:r w:rsidRPr="008E05F2">
        <w:rPr>
          <w:i/>
          <w:iCs/>
        </w:rPr>
        <w:t>Business Names Registration (Transitional and Consequential Provisions) Act 2011</w:t>
      </w:r>
      <w:r>
        <w:t xml:space="preserve">, as in force immediately before the commencement of this instrument. </w:t>
      </w:r>
      <w:bookmarkEnd w:id="1"/>
    </w:p>
    <w:p w14:paraId="0ACD6C09" w14:textId="24D99C54" w:rsidR="00A06326" w:rsidRPr="00A06326" w:rsidRDefault="00A06326" w:rsidP="00690A47">
      <w:pPr>
        <w:pStyle w:val="ListParagraph"/>
        <w:numPr>
          <w:ilvl w:val="0"/>
          <w:numId w:val="16"/>
        </w:numPr>
        <w:tabs>
          <w:tab w:val="clear" w:pos="360"/>
          <w:tab w:val="num" w:pos="567"/>
        </w:tabs>
        <w:spacing w:after="120"/>
        <w:ind w:left="567" w:hanging="567"/>
        <w:rPr>
          <w:rFonts w:ascii="Arial" w:hAnsi="Arial" w:cs="Arial"/>
          <w:i/>
          <w:iCs/>
        </w:rPr>
      </w:pPr>
      <w:r w:rsidRPr="00AC049E">
        <w:rPr>
          <w:rFonts w:ascii="Arial" w:hAnsi="Arial" w:cs="Arial"/>
        </w:rPr>
        <w:t>BNR Acts</w:t>
      </w:r>
      <w:r>
        <w:rPr>
          <w:rFonts w:ascii="Arial" w:hAnsi="Arial" w:cs="Arial"/>
        </w:rPr>
        <w:t xml:space="preserve"> is also defined as </w:t>
      </w:r>
      <w:r w:rsidRPr="00AC049E">
        <w:rPr>
          <w:rFonts w:ascii="Arial" w:hAnsi="Arial"/>
        </w:rPr>
        <w:t xml:space="preserve">the </w:t>
      </w:r>
      <w:r w:rsidRPr="00AC049E">
        <w:rPr>
          <w:rFonts w:ascii="Arial" w:hAnsi="Arial"/>
          <w:i/>
          <w:iCs/>
        </w:rPr>
        <w:t>Business Names Registration Act 2011</w:t>
      </w:r>
      <w:r w:rsidRPr="00AC049E">
        <w:rPr>
          <w:rFonts w:ascii="Arial" w:hAnsi="Arial"/>
        </w:rPr>
        <w:t xml:space="preserve"> and </w:t>
      </w:r>
      <w:r w:rsidRPr="00AC049E">
        <w:rPr>
          <w:rFonts w:ascii="Arial" w:hAnsi="Arial"/>
          <w:i/>
          <w:iCs/>
        </w:rPr>
        <w:t>Business Names Registration (Transitional and Consequential Provisions) Act 2011</w:t>
      </w:r>
      <w:r w:rsidRPr="00AC049E">
        <w:rPr>
          <w:rFonts w:ascii="Arial" w:hAnsi="Arial" w:cs="Arial"/>
        </w:rPr>
        <w:t>.</w:t>
      </w:r>
    </w:p>
    <w:p w14:paraId="32F6C798" w14:textId="1C8885BB" w:rsidR="009C04E5" w:rsidRDefault="009C04E5" w:rsidP="00690A47">
      <w:pPr>
        <w:pStyle w:val="ListParagraph"/>
        <w:numPr>
          <w:ilvl w:val="0"/>
          <w:numId w:val="16"/>
        </w:numPr>
        <w:tabs>
          <w:tab w:val="clear" w:pos="360"/>
          <w:tab w:val="num" w:pos="567"/>
        </w:tabs>
        <w:spacing w:after="120"/>
        <w:ind w:left="567" w:hanging="567"/>
        <w:rPr>
          <w:rFonts w:ascii="Arial" w:hAnsi="Arial" w:cs="Arial"/>
          <w:color w:val="000000"/>
        </w:rPr>
      </w:pPr>
      <w:r w:rsidRPr="00393409">
        <w:rPr>
          <w:rFonts w:ascii="Arial" w:hAnsi="Arial" w:cs="Arial"/>
        </w:rPr>
        <w:t>Registry information is defined</w:t>
      </w:r>
      <w:r>
        <w:rPr>
          <w:rFonts w:ascii="Arial" w:hAnsi="Arial" w:cs="Arial"/>
        </w:rPr>
        <w:t xml:space="preserve"> as</w:t>
      </w:r>
      <w:r>
        <w:t xml:space="preserve"> </w:t>
      </w:r>
      <w:r w:rsidRPr="00F57693">
        <w:rPr>
          <w:rFonts w:ascii="Arial" w:hAnsi="Arial" w:cs="Arial"/>
          <w:color w:val="000000"/>
        </w:rPr>
        <w:t xml:space="preserve">any information that is protected information within the meaning of the </w:t>
      </w:r>
      <w:r w:rsidR="00DA4851" w:rsidRPr="00D478FC">
        <w:rPr>
          <w:rFonts w:ascii="Arial" w:hAnsi="Arial" w:cs="Arial"/>
        </w:rPr>
        <w:t>BNR Acts</w:t>
      </w:r>
      <w:r>
        <w:rPr>
          <w:rFonts w:ascii="Arial" w:hAnsi="Arial" w:cs="Arial"/>
        </w:rPr>
        <w:t xml:space="preserve"> </w:t>
      </w:r>
      <w:r w:rsidR="00A06326">
        <w:rPr>
          <w:rFonts w:ascii="Arial" w:hAnsi="Arial" w:cs="Arial"/>
          <w:color w:val="000000"/>
        </w:rPr>
        <w:t>and f</w:t>
      </w:r>
      <w:r w:rsidR="00A06326" w:rsidRPr="00F57693">
        <w:rPr>
          <w:rFonts w:ascii="Arial" w:hAnsi="Arial" w:cs="Arial"/>
          <w:color w:val="000000"/>
        </w:rPr>
        <w:t>or the avoidance of doubt, includes information</w:t>
      </w:r>
      <w:r>
        <w:rPr>
          <w:rFonts w:ascii="Arial" w:hAnsi="Arial" w:cs="Arial"/>
          <w:color w:val="000000"/>
        </w:rPr>
        <w:t>:</w:t>
      </w:r>
    </w:p>
    <w:p w14:paraId="4053E9BC" w14:textId="77777777" w:rsidR="009C04E5" w:rsidRPr="00393409" w:rsidRDefault="009C04E5" w:rsidP="00317957">
      <w:pPr>
        <w:pStyle w:val="ListParagraph"/>
        <w:numPr>
          <w:ilvl w:val="1"/>
          <w:numId w:val="51"/>
        </w:numPr>
        <w:spacing w:after="120"/>
        <w:ind w:hanging="501"/>
        <w:rPr>
          <w:rFonts w:ascii="Arial" w:hAnsi="Arial" w:cs="Arial"/>
          <w:color w:val="000000"/>
        </w:rPr>
      </w:pPr>
      <w:r w:rsidRPr="00393409">
        <w:rPr>
          <w:rFonts w:ascii="Arial" w:hAnsi="Arial" w:cs="Arial"/>
          <w:color w:val="000000"/>
        </w:rPr>
        <w:t>provided to, obtained or held by the Registrar in connection with particular functions or powers of the Registrar; or</w:t>
      </w:r>
    </w:p>
    <w:p w14:paraId="6E3AB121" w14:textId="77777777" w:rsidR="009C04E5" w:rsidRPr="00F57693" w:rsidRDefault="009C04E5" w:rsidP="00317957">
      <w:pPr>
        <w:pStyle w:val="ListParagraph"/>
        <w:numPr>
          <w:ilvl w:val="1"/>
          <w:numId w:val="51"/>
        </w:numPr>
        <w:spacing w:after="120"/>
        <w:ind w:hanging="501"/>
        <w:rPr>
          <w:rFonts w:ascii="Arial" w:hAnsi="Arial" w:cs="Arial"/>
          <w:color w:val="000000"/>
        </w:rPr>
      </w:pPr>
      <w:r w:rsidRPr="00F57693">
        <w:rPr>
          <w:rFonts w:ascii="Arial" w:hAnsi="Arial" w:cs="Arial"/>
          <w:color w:val="000000"/>
        </w:rPr>
        <w:t xml:space="preserve">provided to, obtained or held by ASIC on behalf of the Registrar in connection with particular functions or powers of the Registrar. </w:t>
      </w:r>
    </w:p>
    <w:p w14:paraId="4BA143B9" w14:textId="77777777" w:rsidR="004E04E7" w:rsidRDefault="004E04E7" w:rsidP="004E04E7">
      <w:pPr>
        <w:pStyle w:val="AdviceNumLevel1"/>
        <w:numPr>
          <w:ilvl w:val="0"/>
          <w:numId w:val="0"/>
        </w:numPr>
        <w:rPr>
          <w:b/>
          <w:bCs/>
        </w:rPr>
      </w:pPr>
      <w:r>
        <w:rPr>
          <w:b/>
          <w:bCs/>
        </w:rPr>
        <w:t>Disclosure of registry information</w:t>
      </w:r>
    </w:p>
    <w:p w14:paraId="04AFEB66" w14:textId="2946970F" w:rsidR="004E04E7" w:rsidRPr="00D478FC" w:rsidRDefault="00FD7475" w:rsidP="00317957">
      <w:pPr>
        <w:pStyle w:val="ListParagraph"/>
        <w:numPr>
          <w:ilvl w:val="0"/>
          <w:numId w:val="16"/>
        </w:numPr>
        <w:tabs>
          <w:tab w:val="clear" w:pos="360"/>
          <w:tab w:val="num" w:pos="567"/>
        </w:tabs>
        <w:spacing w:after="120"/>
        <w:ind w:left="567" w:hanging="567"/>
        <w:rPr>
          <w:rFonts w:ascii="Arial" w:eastAsia="Times New Roman" w:hAnsi="Arial" w:cs="Arial"/>
          <w:color w:val="000000"/>
          <w:lang w:eastAsia="en-AU"/>
        </w:rPr>
      </w:pPr>
      <w:r w:rsidRPr="00FD7475">
        <w:rPr>
          <w:rFonts w:ascii="Arial" w:eastAsia="Times New Roman" w:hAnsi="Arial" w:cs="Arial"/>
          <w:color w:val="000000"/>
          <w:lang w:eastAsia="en-AU"/>
        </w:rPr>
        <w:t>During the transitional period this instrument authorises the disclosure of registry information where:</w:t>
      </w:r>
    </w:p>
    <w:p w14:paraId="6BE65DB3" w14:textId="77777777" w:rsidR="004E04E7" w:rsidRPr="00C93E8C" w:rsidRDefault="004E04E7" w:rsidP="00E773C7">
      <w:pPr>
        <w:pStyle w:val="ListParagraph"/>
        <w:numPr>
          <w:ilvl w:val="1"/>
          <w:numId w:val="49"/>
        </w:numPr>
        <w:spacing w:after="120"/>
        <w:ind w:leftChars="530" w:left="1841" w:hanging="569"/>
        <w:contextualSpacing/>
        <w:rPr>
          <w:rFonts w:ascii="Arial" w:hAnsi="Arial" w:cs="Arial"/>
        </w:rPr>
      </w:pPr>
      <w:r>
        <w:rPr>
          <w:rFonts w:ascii="Arial" w:hAnsi="Arial" w:cs="Arial"/>
        </w:rPr>
        <w:t xml:space="preserve">ASIC would have been permitted to make the disclosure </w:t>
      </w:r>
      <w:r w:rsidRPr="00C93E8C">
        <w:rPr>
          <w:rFonts w:ascii="Arial" w:hAnsi="Arial" w:cs="Arial"/>
        </w:rPr>
        <w:t>immediately prior to the commencement da</w:t>
      </w:r>
      <w:r>
        <w:rPr>
          <w:rFonts w:ascii="Arial" w:hAnsi="Arial" w:cs="Arial"/>
        </w:rPr>
        <w:t>y</w:t>
      </w:r>
      <w:r w:rsidRPr="00C93E8C">
        <w:rPr>
          <w:rFonts w:ascii="Arial" w:hAnsi="Arial" w:cs="Arial"/>
        </w:rPr>
        <w:t xml:space="preserve"> under:</w:t>
      </w:r>
    </w:p>
    <w:p w14:paraId="7FA59E53" w14:textId="2F6FE463" w:rsidR="004E04E7" w:rsidRPr="00C93E8C" w:rsidRDefault="004E04E7" w:rsidP="00E773C7">
      <w:pPr>
        <w:pStyle w:val="ListParagraph"/>
        <w:numPr>
          <w:ilvl w:val="2"/>
          <w:numId w:val="49"/>
        </w:numPr>
        <w:spacing w:after="120"/>
        <w:ind w:leftChars="944" w:left="2835" w:hanging="569"/>
        <w:contextualSpacing/>
        <w:rPr>
          <w:rFonts w:ascii="Arial" w:hAnsi="Arial" w:cs="Arial"/>
        </w:rPr>
      </w:pPr>
      <w:r>
        <w:rPr>
          <w:rFonts w:ascii="Arial" w:hAnsi="Arial" w:cs="Arial"/>
        </w:rPr>
        <w:lastRenderedPageBreak/>
        <w:t xml:space="preserve">the </w:t>
      </w:r>
      <w:r w:rsidRPr="00C93E8C">
        <w:rPr>
          <w:rFonts w:ascii="Arial" w:hAnsi="Arial" w:cs="Arial"/>
        </w:rPr>
        <w:t xml:space="preserve">old </w:t>
      </w:r>
      <w:r>
        <w:rPr>
          <w:rFonts w:ascii="Arial" w:hAnsi="Arial" w:cs="Arial"/>
        </w:rPr>
        <w:t>BNR</w:t>
      </w:r>
      <w:r w:rsidRPr="00C93E8C">
        <w:rPr>
          <w:rFonts w:ascii="Arial" w:hAnsi="Arial" w:cs="Arial"/>
        </w:rPr>
        <w:t xml:space="preserve"> Act</w:t>
      </w:r>
      <w:r>
        <w:rPr>
          <w:rFonts w:ascii="Arial" w:hAnsi="Arial" w:cs="Arial"/>
        </w:rPr>
        <w:t>s</w:t>
      </w:r>
      <w:r w:rsidR="00A06326">
        <w:rPr>
          <w:rFonts w:ascii="Arial" w:hAnsi="Arial" w:cs="Arial"/>
        </w:rPr>
        <w:t>,</w:t>
      </w:r>
    </w:p>
    <w:p w14:paraId="0FB7D190" w14:textId="3C7F0949" w:rsidR="004E04E7" w:rsidRPr="00C93E8C" w:rsidRDefault="00A97C9B" w:rsidP="00E773C7">
      <w:pPr>
        <w:pStyle w:val="ListParagraph"/>
        <w:numPr>
          <w:ilvl w:val="2"/>
          <w:numId w:val="49"/>
        </w:numPr>
        <w:spacing w:after="120"/>
        <w:ind w:leftChars="944" w:left="2835" w:hanging="569"/>
        <w:contextualSpacing/>
        <w:rPr>
          <w:rFonts w:ascii="Arial" w:hAnsi="Arial" w:cs="Arial"/>
        </w:rPr>
      </w:pPr>
      <w:r>
        <w:rPr>
          <w:rFonts w:ascii="Arial" w:hAnsi="Arial" w:cs="Arial"/>
        </w:rPr>
        <w:t xml:space="preserve">an </w:t>
      </w:r>
      <w:r w:rsidR="004E04E7" w:rsidRPr="00C93E8C">
        <w:rPr>
          <w:rFonts w:ascii="Arial" w:hAnsi="Arial" w:cs="Arial"/>
        </w:rPr>
        <w:t xml:space="preserve">old </w:t>
      </w:r>
      <w:r w:rsidR="004E04E7">
        <w:rPr>
          <w:rFonts w:ascii="Arial" w:hAnsi="Arial" w:cs="Arial"/>
        </w:rPr>
        <w:t>BNR</w:t>
      </w:r>
      <w:r w:rsidR="004E04E7" w:rsidRPr="00C93E8C">
        <w:rPr>
          <w:rFonts w:ascii="Arial" w:hAnsi="Arial" w:cs="Arial"/>
        </w:rPr>
        <w:t xml:space="preserve"> instrument</w:t>
      </w:r>
      <w:r w:rsidR="00FD7475">
        <w:rPr>
          <w:rFonts w:ascii="Arial" w:hAnsi="Arial" w:cs="Arial"/>
        </w:rPr>
        <w:t>,</w:t>
      </w:r>
      <w:r w:rsidR="004E04E7" w:rsidRPr="00C93E8C">
        <w:rPr>
          <w:rFonts w:ascii="Arial" w:hAnsi="Arial" w:cs="Arial"/>
        </w:rPr>
        <w:t xml:space="preserve"> or</w:t>
      </w:r>
    </w:p>
    <w:p w14:paraId="19EF3B16" w14:textId="0BBCE2DB" w:rsidR="004E04E7" w:rsidRPr="00C93E8C" w:rsidRDefault="004E04E7" w:rsidP="00E773C7">
      <w:pPr>
        <w:pStyle w:val="ListParagraph"/>
        <w:numPr>
          <w:ilvl w:val="2"/>
          <w:numId w:val="49"/>
        </w:numPr>
        <w:spacing w:after="120"/>
        <w:ind w:leftChars="944" w:left="2835" w:hanging="569"/>
        <w:contextualSpacing/>
        <w:rPr>
          <w:rFonts w:ascii="Arial" w:hAnsi="Arial" w:cs="Arial"/>
        </w:rPr>
      </w:pPr>
      <w:r w:rsidRPr="00C93E8C">
        <w:rPr>
          <w:rFonts w:ascii="Arial" w:hAnsi="Arial" w:cs="Arial"/>
        </w:rPr>
        <w:t xml:space="preserve">the </w:t>
      </w:r>
      <w:r w:rsidRPr="00C93E8C">
        <w:rPr>
          <w:rFonts w:ascii="Arial" w:hAnsi="Arial" w:cs="Arial"/>
          <w:i/>
          <w:iCs/>
        </w:rPr>
        <w:t>Australian Securities and Investment</w:t>
      </w:r>
      <w:r>
        <w:rPr>
          <w:rFonts w:ascii="Arial" w:hAnsi="Arial" w:cs="Arial"/>
          <w:i/>
          <w:iCs/>
        </w:rPr>
        <w:t>s</w:t>
      </w:r>
      <w:r w:rsidRPr="00C93E8C">
        <w:rPr>
          <w:rFonts w:ascii="Arial" w:hAnsi="Arial" w:cs="Arial"/>
          <w:i/>
          <w:iCs/>
        </w:rPr>
        <w:t xml:space="preserve"> Commission Act 2001</w:t>
      </w:r>
      <w:r w:rsidR="00FD7475">
        <w:rPr>
          <w:rFonts w:ascii="Arial" w:hAnsi="Arial" w:cs="Arial"/>
        </w:rPr>
        <w:t>,</w:t>
      </w:r>
      <w:r w:rsidRPr="00C93E8C">
        <w:rPr>
          <w:rFonts w:ascii="Arial" w:hAnsi="Arial" w:cs="Arial"/>
        </w:rPr>
        <w:t xml:space="preserve"> or</w:t>
      </w:r>
    </w:p>
    <w:p w14:paraId="09BA7032" w14:textId="72683370" w:rsidR="004E04E7" w:rsidRPr="00C93E8C" w:rsidRDefault="00FD7475" w:rsidP="00E773C7">
      <w:pPr>
        <w:pStyle w:val="ListParagraph"/>
        <w:numPr>
          <w:ilvl w:val="1"/>
          <w:numId w:val="49"/>
        </w:numPr>
        <w:spacing w:after="120"/>
        <w:ind w:leftChars="530" w:left="1841" w:hanging="569"/>
        <w:contextualSpacing/>
        <w:rPr>
          <w:rFonts w:ascii="Arial" w:hAnsi="Arial" w:cs="Arial"/>
        </w:rPr>
      </w:pPr>
      <w:r w:rsidRPr="00FD7475">
        <w:rPr>
          <w:rFonts w:ascii="Arial" w:hAnsi="Arial" w:cs="Arial"/>
        </w:rPr>
        <w:t>the disclosure is to ASIC or persons in official employment of ASIC,</w:t>
      </w:r>
      <w:r>
        <w:rPr>
          <w:rFonts w:ascii="Arial" w:hAnsi="Arial" w:cs="Arial"/>
        </w:rPr>
        <w:t xml:space="preserve"> </w:t>
      </w:r>
      <w:r w:rsidR="004E04E7" w:rsidRPr="00C93E8C">
        <w:rPr>
          <w:rFonts w:ascii="Arial" w:hAnsi="Arial" w:cs="Arial"/>
        </w:rPr>
        <w:t>or</w:t>
      </w:r>
    </w:p>
    <w:p w14:paraId="506EE04A" w14:textId="63874604" w:rsidR="004E04E7" w:rsidRPr="00C52DC7" w:rsidRDefault="00FD7475" w:rsidP="00E773C7">
      <w:pPr>
        <w:pStyle w:val="ListParagraph"/>
        <w:numPr>
          <w:ilvl w:val="1"/>
          <w:numId w:val="49"/>
        </w:numPr>
        <w:spacing w:after="120"/>
        <w:ind w:leftChars="530" w:left="1841" w:hanging="569"/>
        <w:contextualSpacing/>
        <w:rPr>
          <w:rFonts w:ascii="Arial" w:hAnsi="Arial" w:cs="Arial"/>
        </w:rPr>
      </w:pPr>
      <w:r w:rsidRPr="00FD7475">
        <w:rPr>
          <w:rFonts w:ascii="Arial" w:hAnsi="Arial" w:cs="Arial"/>
        </w:rPr>
        <w:t>the disclosure is of information that has been lawfully made available to the public before the commencement of this instrument</w:t>
      </w:r>
      <w:r w:rsidR="004E04E7" w:rsidRPr="00C93E8C">
        <w:rPr>
          <w:rFonts w:ascii="Arial" w:hAnsi="Arial" w:cs="Arial"/>
        </w:rPr>
        <w:t xml:space="preserve">. </w:t>
      </w:r>
    </w:p>
    <w:p w14:paraId="6DACC1D2" w14:textId="4FA1BE04" w:rsidR="00FF477E" w:rsidRDefault="00FD7475" w:rsidP="00317957">
      <w:pPr>
        <w:pStyle w:val="AdviceNumLevel1"/>
        <w:numPr>
          <w:ilvl w:val="0"/>
          <w:numId w:val="16"/>
        </w:numPr>
        <w:tabs>
          <w:tab w:val="clear" w:pos="360"/>
          <w:tab w:val="num" w:pos="567"/>
        </w:tabs>
        <w:spacing w:before="0" w:after="120" w:line="276" w:lineRule="auto"/>
        <w:ind w:left="567" w:hanging="567"/>
      </w:pPr>
      <w:r>
        <w:rPr>
          <w:color w:val="000000"/>
        </w:rPr>
        <w:t xml:space="preserve">The instrument makes it clear that the disclosures of registry information may be done </w:t>
      </w:r>
      <w:r w:rsidRPr="000247A5">
        <w:t>using</w:t>
      </w:r>
      <w:r w:rsidRPr="000247A5">
        <w:rPr>
          <w:color w:val="000000" w:themeColor="text1"/>
          <w:lang w:eastAsia="en-US"/>
        </w:rPr>
        <w:t xml:space="preserve"> notices, forms or systems or any other means by which the disclosure would have been made by ASIC immediately before the</w:t>
      </w:r>
      <w:r w:rsidRPr="004C0E3B">
        <w:t xml:space="preserve"> commencement of this instrument</w:t>
      </w:r>
      <w:r>
        <w:t>. Further, that a</w:t>
      </w:r>
      <w:r w:rsidRPr="00E05A4C">
        <w:t xml:space="preserve">ll arrangements in relation to payments for registry information in place immediately before the commencement </w:t>
      </w:r>
      <w:r w:rsidR="00C234B1">
        <w:t>of this instrument</w:t>
      </w:r>
      <w:r w:rsidR="00C234B1" w:rsidRPr="00E05A4C">
        <w:t xml:space="preserve"> </w:t>
      </w:r>
      <w:r w:rsidRPr="00E05A4C">
        <w:t xml:space="preserve">apply on and from the commencement </w:t>
      </w:r>
      <w:r>
        <w:t>of this instrument.</w:t>
      </w:r>
    </w:p>
    <w:p w14:paraId="0117FE64" w14:textId="034448E2" w:rsidR="004E04E7" w:rsidRPr="00C52DC7" w:rsidRDefault="004E04E7" w:rsidP="004E04E7">
      <w:pPr>
        <w:pStyle w:val="AdviceNumLevel1"/>
        <w:numPr>
          <w:ilvl w:val="0"/>
          <w:numId w:val="0"/>
        </w:numPr>
        <w:rPr>
          <w:b/>
          <w:bCs/>
        </w:rPr>
      </w:pPr>
      <w:r>
        <w:rPr>
          <w:b/>
          <w:bCs/>
        </w:rPr>
        <w:t>Applications to prevent the disclosure of registry information</w:t>
      </w:r>
    </w:p>
    <w:p w14:paraId="3485EB2C" w14:textId="1CB44ED5" w:rsidR="00B914F8" w:rsidRPr="004B4E2A" w:rsidRDefault="004B1896" w:rsidP="00317957">
      <w:pPr>
        <w:pStyle w:val="AdviceNumLevel1"/>
        <w:numPr>
          <w:ilvl w:val="0"/>
          <w:numId w:val="16"/>
        </w:numPr>
        <w:tabs>
          <w:tab w:val="clear" w:pos="360"/>
          <w:tab w:val="num" w:pos="567"/>
        </w:tabs>
        <w:spacing w:before="0" w:after="120" w:line="276" w:lineRule="auto"/>
        <w:ind w:left="567" w:hanging="567"/>
      </w:pPr>
      <w:r>
        <w:t xml:space="preserve">The instrument provides that any person making an application to prevent the disclosure of protected information under the instrument must be made on the same basis (both the application and the Registrar’s decision) </w:t>
      </w:r>
      <w:r w:rsidRPr="0089059F">
        <w:t xml:space="preserve">as an application under </w:t>
      </w:r>
      <w:r w:rsidR="004E04E7" w:rsidRPr="000247A5">
        <w:rPr>
          <w:lang w:eastAsia="en-US"/>
        </w:rPr>
        <w:t>s</w:t>
      </w:r>
      <w:r w:rsidR="004E04E7">
        <w:rPr>
          <w:lang w:eastAsia="en-US"/>
        </w:rPr>
        <w:t>ubs</w:t>
      </w:r>
      <w:r w:rsidR="004E04E7" w:rsidRPr="000247A5">
        <w:rPr>
          <w:lang w:eastAsia="en-US"/>
        </w:rPr>
        <w:t xml:space="preserve">ection </w:t>
      </w:r>
      <w:r w:rsidR="004E04E7">
        <w:rPr>
          <w:lang w:eastAsia="en-US"/>
        </w:rPr>
        <w:t>60(6)</w:t>
      </w:r>
      <w:r w:rsidR="004E04E7" w:rsidRPr="000247A5">
        <w:rPr>
          <w:lang w:eastAsia="en-US"/>
        </w:rPr>
        <w:t xml:space="preserve"> </w:t>
      </w:r>
      <w:r w:rsidR="004E04E7" w:rsidRPr="0089059F">
        <w:t>of the</w:t>
      </w:r>
      <w:r>
        <w:t xml:space="preserve"> </w:t>
      </w:r>
      <w:r w:rsidR="004E04E7" w:rsidRPr="00C52DC7">
        <w:rPr>
          <w:i/>
          <w:iCs/>
        </w:rPr>
        <w:t>Business Names Registration Act 2011</w:t>
      </w:r>
      <w:r w:rsidR="004E04E7" w:rsidRPr="00C52DC7">
        <w:t xml:space="preserve"> as in force immediately before the commencement of this instrument, </w:t>
      </w:r>
      <w:r w:rsidRPr="0089059F">
        <w:t>was permitted to be made to</w:t>
      </w:r>
      <w:r>
        <w:t>, and decided by,</w:t>
      </w:r>
      <w:r w:rsidRPr="0089059F">
        <w:t xml:space="preserve"> ASIC</w:t>
      </w:r>
      <w:r>
        <w:t>.</w:t>
      </w:r>
    </w:p>
    <w:p w14:paraId="35DD7216" w14:textId="77777777" w:rsidR="000B36F7" w:rsidRPr="0005668D" w:rsidRDefault="000B36F7" w:rsidP="000B36F7">
      <w:pPr>
        <w:spacing w:after="120"/>
        <w:rPr>
          <w:rFonts w:ascii="Arial" w:hAnsi="Arial" w:cs="Arial"/>
          <w:b/>
          <w:bCs/>
          <w:sz w:val="22"/>
          <w:szCs w:val="22"/>
        </w:rPr>
      </w:pPr>
      <w:r w:rsidRPr="0005668D">
        <w:rPr>
          <w:rFonts w:ascii="Arial" w:hAnsi="Arial" w:cs="Arial"/>
          <w:b/>
          <w:bCs/>
          <w:sz w:val="22"/>
          <w:szCs w:val="22"/>
        </w:rPr>
        <w:t xml:space="preserve">Risks and Benefits </w:t>
      </w:r>
    </w:p>
    <w:p w14:paraId="3FDC32AA" w14:textId="77777777" w:rsidR="004B1896" w:rsidRDefault="00F14BD8" w:rsidP="00317957">
      <w:pPr>
        <w:numPr>
          <w:ilvl w:val="0"/>
          <w:numId w:val="16"/>
        </w:numPr>
        <w:tabs>
          <w:tab w:val="clear" w:pos="360"/>
          <w:tab w:val="num" w:pos="567"/>
        </w:tabs>
        <w:spacing w:after="120" w:line="276" w:lineRule="auto"/>
        <w:ind w:left="567" w:hanging="567"/>
        <w:rPr>
          <w:rFonts w:ascii="Arial" w:hAnsi="Arial" w:cs="Arial"/>
          <w:sz w:val="22"/>
          <w:szCs w:val="22"/>
        </w:rPr>
      </w:pPr>
      <w:r w:rsidRPr="008E05F2">
        <w:rPr>
          <w:rFonts w:ascii="Arial" w:hAnsi="Arial" w:cs="Arial"/>
          <w:sz w:val="22"/>
          <w:szCs w:val="22"/>
        </w:rPr>
        <w:t xml:space="preserve">Subsection 62L(5) of the </w:t>
      </w:r>
      <w:r w:rsidRPr="008E05F2">
        <w:rPr>
          <w:rFonts w:ascii="Arial" w:hAnsi="Arial" w:cs="Arial"/>
          <w:i/>
          <w:iCs/>
          <w:sz w:val="22"/>
          <w:szCs w:val="22"/>
        </w:rPr>
        <w:t xml:space="preserve">Business Names Registration Act 2011 </w:t>
      </w:r>
      <w:r w:rsidRPr="008E05F2">
        <w:rPr>
          <w:rFonts w:ascii="Arial" w:hAnsi="Arial" w:cs="Arial"/>
          <w:sz w:val="22"/>
          <w:szCs w:val="22"/>
        </w:rPr>
        <w:t xml:space="preserve">provides that </w:t>
      </w:r>
      <w:r w:rsidR="004B1896">
        <w:rPr>
          <w:rFonts w:ascii="Arial" w:hAnsi="Arial" w:cs="Arial"/>
          <w:sz w:val="22"/>
          <w:szCs w:val="22"/>
        </w:rPr>
        <w:t>a</w:t>
      </w:r>
      <w:r w:rsidR="004B1896" w:rsidRPr="00A17A12">
        <w:rPr>
          <w:rFonts w:ascii="Arial" w:hAnsi="Arial" w:cs="Arial"/>
          <w:sz w:val="22"/>
          <w:szCs w:val="22"/>
        </w:rPr>
        <w:t xml:space="preserve"> disclosure framework must only provide for the </w:t>
      </w:r>
      <w:r w:rsidR="004B1896">
        <w:rPr>
          <w:rFonts w:ascii="Arial" w:hAnsi="Arial" w:cs="Arial"/>
          <w:sz w:val="22"/>
          <w:szCs w:val="22"/>
        </w:rPr>
        <w:t xml:space="preserve">disclosure of protected information if the Registrar is satisfied that the benefits of the </w:t>
      </w:r>
      <w:r w:rsidR="004B1896" w:rsidRPr="004F3E30">
        <w:rPr>
          <w:rFonts w:ascii="Arial" w:eastAsia="Calibri" w:hAnsi="Arial" w:cs="Arial"/>
          <w:color w:val="000000"/>
          <w:sz w:val="22"/>
          <w:szCs w:val="22"/>
          <w:shd w:val="clear" w:color="auto" w:fill="FFFFFF"/>
          <w:lang w:eastAsia="en-US"/>
        </w:rPr>
        <w:t>disclosure</w:t>
      </w:r>
      <w:r w:rsidR="004B1896">
        <w:rPr>
          <w:rFonts w:ascii="Arial" w:hAnsi="Arial" w:cs="Arial"/>
          <w:sz w:val="22"/>
          <w:szCs w:val="22"/>
        </w:rPr>
        <w:t xml:space="preserve"> outweigh the risk of the disclosure (taking into an account any mitigation of those risks in accordance with the disclosure framework). </w:t>
      </w:r>
    </w:p>
    <w:p w14:paraId="7D90720E" w14:textId="77777777" w:rsidR="004B1896" w:rsidRDefault="004B1896" w:rsidP="00317957">
      <w:pPr>
        <w:numPr>
          <w:ilvl w:val="0"/>
          <w:numId w:val="16"/>
        </w:numPr>
        <w:tabs>
          <w:tab w:val="clear" w:pos="360"/>
          <w:tab w:val="num" w:pos="567"/>
        </w:tabs>
        <w:spacing w:after="120" w:line="276" w:lineRule="auto"/>
        <w:ind w:left="567" w:hanging="567"/>
        <w:rPr>
          <w:rFonts w:ascii="Arial" w:hAnsi="Arial" w:cs="Arial"/>
          <w:sz w:val="22"/>
          <w:szCs w:val="22"/>
        </w:rPr>
      </w:pPr>
      <w:r>
        <w:rPr>
          <w:rFonts w:ascii="Arial" w:hAnsi="Arial" w:cs="Arial"/>
          <w:sz w:val="22"/>
          <w:szCs w:val="22"/>
        </w:rPr>
        <w:t xml:space="preserve">This instrument authorises the disclosure of registry information on the same basis as previously required or permitted prior to the commencement of this instrument. This includes the disclosure of information to ASIC and the disclosure of information that has been lawfully made available to the public before the commencement of this instrument. </w:t>
      </w:r>
    </w:p>
    <w:p w14:paraId="29747C2C" w14:textId="26B3F6F7" w:rsidR="004B1896" w:rsidRDefault="004B1896" w:rsidP="00317957">
      <w:pPr>
        <w:numPr>
          <w:ilvl w:val="0"/>
          <w:numId w:val="16"/>
        </w:numPr>
        <w:tabs>
          <w:tab w:val="clear" w:pos="360"/>
          <w:tab w:val="num" w:pos="567"/>
        </w:tabs>
        <w:spacing w:after="120" w:line="276" w:lineRule="auto"/>
        <w:ind w:left="567" w:hanging="567"/>
        <w:rPr>
          <w:rFonts w:ascii="Arial" w:hAnsi="Arial" w:cs="Arial"/>
          <w:sz w:val="22"/>
          <w:szCs w:val="22"/>
        </w:rPr>
      </w:pPr>
      <w:r>
        <w:rPr>
          <w:rFonts w:ascii="Arial" w:hAnsi="Arial" w:cs="Arial"/>
          <w:sz w:val="22"/>
          <w:szCs w:val="22"/>
        </w:rPr>
        <w:t xml:space="preserve">While there will be disclosure of some personal information, which may pose a risk to </w:t>
      </w:r>
      <w:r w:rsidR="000868C3">
        <w:rPr>
          <w:rFonts w:ascii="Arial" w:hAnsi="Arial" w:cs="Arial"/>
          <w:sz w:val="22"/>
          <w:szCs w:val="22"/>
        </w:rPr>
        <w:t xml:space="preserve">some </w:t>
      </w:r>
      <w:r>
        <w:rPr>
          <w:rFonts w:ascii="Arial" w:hAnsi="Arial" w:cs="Arial"/>
          <w:sz w:val="22"/>
          <w:szCs w:val="22"/>
        </w:rPr>
        <w:t>individuals, the Registrar is of the view that the benefits of the disclosure outweigh the risks, as the alternative, in the current circumstances where the registers cannot yet transfer to the new ABRS platform, is that no registry information is disclosed at all.</w:t>
      </w:r>
    </w:p>
    <w:p w14:paraId="74CC6BD6" w14:textId="77777777" w:rsidR="004B1896" w:rsidRPr="00EC2F27" w:rsidRDefault="004B1896" w:rsidP="00317957">
      <w:pPr>
        <w:numPr>
          <w:ilvl w:val="0"/>
          <w:numId w:val="16"/>
        </w:numPr>
        <w:tabs>
          <w:tab w:val="clear" w:pos="360"/>
          <w:tab w:val="num" w:pos="567"/>
        </w:tabs>
        <w:spacing w:after="120" w:line="276" w:lineRule="auto"/>
        <w:ind w:left="567" w:hanging="567"/>
        <w:rPr>
          <w:rFonts w:ascii="Arial" w:hAnsi="Arial" w:cs="Arial"/>
          <w:sz w:val="22"/>
          <w:szCs w:val="22"/>
        </w:rPr>
      </w:pPr>
      <w:r>
        <w:rPr>
          <w:rFonts w:ascii="Arial" w:hAnsi="Arial" w:cs="Arial"/>
          <w:sz w:val="22"/>
          <w:szCs w:val="22"/>
        </w:rPr>
        <w:t xml:space="preserve">If the alternative position was adopted (disclosure of no registry information) there would be </w:t>
      </w:r>
      <w:r w:rsidRPr="00EC2F27">
        <w:rPr>
          <w:rFonts w:ascii="Arial" w:hAnsi="Arial" w:cs="Arial"/>
          <w:sz w:val="22"/>
          <w:szCs w:val="22"/>
        </w:rPr>
        <w:t xml:space="preserve">significant and serious impacts for government, businesses, and </w:t>
      </w:r>
      <w:r>
        <w:rPr>
          <w:rFonts w:ascii="Arial" w:hAnsi="Arial" w:cs="Arial"/>
          <w:sz w:val="22"/>
          <w:szCs w:val="22"/>
        </w:rPr>
        <w:t xml:space="preserve">the </w:t>
      </w:r>
      <w:r w:rsidRPr="00EC2F27">
        <w:rPr>
          <w:rFonts w:ascii="Arial" w:hAnsi="Arial" w:cs="Arial"/>
          <w:sz w:val="22"/>
          <w:szCs w:val="22"/>
        </w:rPr>
        <w:t>community</w:t>
      </w:r>
      <w:r>
        <w:rPr>
          <w:rFonts w:ascii="Arial" w:hAnsi="Arial" w:cs="Arial"/>
          <w:sz w:val="22"/>
          <w:szCs w:val="22"/>
        </w:rPr>
        <w:t>,</w:t>
      </w:r>
      <w:r w:rsidRPr="00EC2F27">
        <w:rPr>
          <w:rFonts w:ascii="Arial" w:hAnsi="Arial" w:cs="Arial"/>
          <w:sz w:val="22"/>
          <w:szCs w:val="22"/>
        </w:rPr>
        <w:t xml:space="preserve"> </w:t>
      </w:r>
      <w:r>
        <w:rPr>
          <w:rFonts w:ascii="Arial" w:hAnsi="Arial" w:cs="Arial"/>
          <w:sz w:val="22"/>
          <w:szCs w:val="22"/>
        </w:rPr>
        <w:t xml:space="preserve">as the registers and registry information is a </w:t>
      </w:r>
      <w:r w:rsidRPr="00EC2F27">
        <w:rPr>
          <w:rFonts w:ascii="Arial" w:hAnsi="Arial" w:cs="Arial"/>
          <w:sz w:val="22"/>
          <w:szCs w:val="22"/>
        </w:rPr>
        <w:t xml:space="preserve">critical </w:t>
      </w:r>
      <w:r>
        <w:rPr>
          <w:rFonts w:ascii="Arial" w:hAnsi="Arial" w:cs="Arial"/>
          <w:sz w:val="22"/>
          <w:szCs w:val="22"/>
        </w:rPr>
        <w:t xml:space="preserve">piece of </w:t>
      </w:r>
      <w:r w:rsidRPr="00EC2F27">
        <w:rPr>
          <w:rFonts w:ascii="Arial" w:hAnsi="Arial" w:cs="Arial"/>
          <w:sz w:val="22"/>
          <w:szCs w:val="22"/>
        </w:rPr>
        <w:t>infrastructure for the Australian economy.</w:t>
      </w:r>
    </w:p>
    <w:p w14:paraId="6151F85C" w14:textId="6A374C34" w:rsidR="004B1896" w:rsidRDefault="004B1896" w:rsidP="00317957">
      <w:pPr>
        <w:numPr>
          <w:ilvl w:val="0"/>
          <w:numId w:val="16"/>
        </w:numPr>
        <w:tabs>
          <w:tab w:val="clear" w:pos="360"/>
          <w:tab w:val="num" w:pos="567"/>
        </w:tabs>
        <w:spacing w:after="120" w:line="276" w:lineRule="auto"/>
        <w:ind w:left="567" w:hanging="567"/>
        <w:rPr>
          <w:rFonts w:ascii="Arial" w:hAnsi="Arial" w:cs="Arial"/>
          <w:sz w:val="22"/>
          <w:szCs w:val="22"/>
        </w:rPr>
      </w:pPr>
      <w:r>
        <w:rPr>
          <w:rFonts w:ascii="Arial" w:hAnsi="Arial" w:cs="Arial"/>
          <w:sz w:val="22"/>
          <w:szCs w:val="22"/>
        </w:rPr>
        <w:t xml:space="preserve">The Registrar is satisfied that the benefits of disclosing information on the same basis, to ensure the </w:t>
      </w:r>
      <w:r w:rsidRPr="004C0E3B">
        <w:rPr>
          <w:rFonts w:ascii="Arial" w:hAnsi="Arial" w:cs="Arial"/>
          <w:sz w:val="22"/>
          <w:szCs w:val="22"/>
        </w:rPr>
        <w:t>continued operation of registry services in accordance with current practices</w:t>
      </w:r>
      <w:r>
        <w:rPr>
          <w:rFonts w:ascii="Arial" w:hAnsi="Arial" w:cs="Arial"/>
          <w:sz w:val="22"/>
          <w:szCs w:val="22"/>
        </w:rPr>
        <w:t>,</w:t>
      </w:r>
      <w:r w:rsidRPr="004C0E3B">
        <w:rPr>
          <w:rFonts w:ascii="Arial" w:hAnsi="Arial" w:cs="Arial"/>
          <w:sz w:val="22"/>
          <w:szCs w:val="22"/>
        </w:rPr>
        <w:t xml:space="preserve"> </w:t>
      </w:r>
      <w:r>
        <w:rPr>
          <w:rFonts w:ascii="Arial" w:hAnsi="Arial" w:cs="Arial"/>
          <w:sz w:val="22"/>
          <w:szCs w:val="22"/>
        </w:rPr>
        <w:t xml:space="preserve">are significant and outweigh the potential risks of disclosure of registry information. </w:t>
      </w:r>
    </w:p>
    <w:p w14:paraId="5481B1C9" w14:textId="34A23325" w:rsidR="004E04E7" w:rsidRPr="004B4E2A" w:rsidRDefault="00F14BD8" w:rsidP="00317957">
      <w:pPr>
        <w:numPr>
          <w:ilvl w:val="0"/>
          <w:numId w:val="16"/>
        </w:numPr>
        <w:tabs>
          <w:tab w:val="clear" w:pos="360"/>
          <w:tab w:val="num" w:pos="567"/>
        </w:tabs>
        <w:spacing w:after="120" w:line="276" w:lineRule="auto"/>
        <w:ind w:left="567" w:hanging="567"/>
        <w:rPr>
          <w:rFonts w:ascii="Arial" w:hAnsi="Arial" w:cs="Arial"/>
          <w:sz w:val="22"/>
          <w:szCs w:val="22"/>
        </w:rPr>
      </w:pPr>
      <w:r w:rsidRPr="008E05F2">
        <w:rPr>
          <w:rFonts w:ascii="Arial" w:hAnsi="Arial" w:cs="Arial"/>
          <w:sz w:val="22"/>
          <w:szCs w:val="22"/>
        </w:rPr>
        <w:t>Further, persons who are concerned about their personal safety as a result of personal information being available can make an application</w:t>
      </w:r>
      <w:r w:rsidRPr="008E05F2">
        <w:rPr>
          <w:rFonts w:ascii="Arial" w:hAnsi="Arial" w:cs="Arial"/>
          <w:sz w:val="22"/>
          <w:szCs w:val="22"/>
          <w:lang w:eastAsia="en-US"/>
        </w:rPr>
        <w:t xml:space="preserve"> </w:t>
      </w:r>
      <w:r w:rsidR="000868C3">
        <w:rPr>
          <w:rFonts w:ascii="Arial" w:hAnsi="Arial" w:cs="Arial"/>
          <w:sz w:val="22"/>
          <w:szCs w:val="22"/>
          <w:lang w:eastAsia="en-US"/>
        </w:rPr>
        <w:t>o</w:t>
      </w:r>
      <w:r w:rsidRPr="008E05F2">
        <w:rPr>
          <w:rFonts w:ascii="Arial" w:hAnsi="Arial" w:cs="Arial"/>
          <w:sz w:val="22"/>
          <w:szCs w:val="22"/>
          <w:lang w:eastAsia="en-US"/>
        </w:rPr>
        <w:t xml:space="preserve">n the same </w:t>
      </w:r>
      <w:r w:rsidR="000868C3">
        <w:rPr>
          <w:rFonts w:ascii="Arial" w:hAnsi="Arial" w:cs="Arial"/>
          <w:sz w:val="22"/>
          <w:szCs w:val="22"/>
          <w:lang w:eastAsia="en-US"/>
        </w:rPr>
        <w:t>basis</w:t>
      </w:r>
      <w:r w:rsidR="000868C3" w:rsidRPr="008E05F2">
        <w:rPr>
          <w:rFonts w:ascii="Arial" w:hAnsi="Arial" w:cs="Arial"/>
          <w:sz w:val="22"/>
          <w:szCs w:val="22"/>
          <w:lang w:eastAsia="en-US"/>
        </w:rPr>
        <w:t xml:space="preserve"> </w:t>
      </w:r>
      <w:r w:rsidRPr="008E05F2">
        <w:rPr>
          <w:rFonts w:ascii="Arial" w:hAnsi="Arial" w:cs="Arial"/>
          <w:sz w:val="22"/>
          <w:szCs w:val="22"/>
          <w:lang w:eastAsia="en-US"/>
        </w:rPr>
        <w:t xml:space="preserve">as </w:t>
      </w:r>
      <w:r w:rsidR="000868C3">
        <w:rPr>
          <w:rFonts w:ascii="Arial" w:hAnsi="Arial" w:cs="Arial"/>
          <w:sz w:val="22"/>
          <w:szCs w:val="22"/>
          <w:lang w:eastAsia="en-US"/>
        </w:rPr>
        <w:t xml:space="preserve">an application </w:t>
      </w:r>
      <w:r w:rsidRPr="008E05F2">
        <w:rPr>
          <w:rFonts w:ascii="Arial" w:hAnsi="Arial" w:cs="Arial"/>
          <w:sz w:val="22"/>
          <w:szCs w:val="22"/>
          <w:lang w:eastAsia="en-US"/>
        </w:rPr>
        <w:t xml:space="preserve">under subsection 60(6) </w:t>
      </w:r>
      <w:r w:rsidRPr="008E05F2">
        <w:rPr>
          <w:rFonts w:ascii="Arial" w:hAnsi="Arial" w:cs="Arial"/>
          <w:sz w:val="22"/>
          <w:szCs w:val="22"/>
        </w:rPr>
        <w:t xml:space="preserve">of the </w:t>
      </w:r>
      <w:r w:rsidRPr="008E05F2">
        <w:rPr>
          <w:rFonts w:ascii="Arial" w:hAnsi="Arial" w:cs="Arial"/>
          <w:i/>
          <w:iCs/>
          <w:sz w:val="22"/>
          <w:szCs w:val="22"/>
        </w:rPr>
        <w:t>Business Names Registration Act 2011</w:t>
      </w:r>
      <w:r w:rsidRPr="008E05F2">
        <w:rPr>
          <w:rFonts w:ascii="Arial" w:hAnsi="Arial" w:cs="Arial"/>
          <w:sz w:val="22"/>
          <w:szCs w:val="22"/>
        </w:rPr>
        <w:t>.</w:t>
      </w:r>
      <w:r w:rsidRPr="008E05F2" w:rsidDel="00CD48C4">
        <w:rPr>
          <w:rFonts w:ascii="Arial" w:hAnsi="Arial" w:cs="Arial"/>
          <w:sz w:val="22"/>
          <w:szCs w:val="22"/>
        </w:rPr>
        <w:t xml:space="preserve"> </w:t>
      </w:r>
      <w:r w:rsidR="00EA08A7">
        <w:rPr>
          <w:rFonts w:ascii="Arial" w:hAnsi="Arial" w:cs="Arial"/>
          <w:sz w:val="22"/>
          <w:szCs w:val="22"/>
        </w:rPr>
        <w:t xml:space="preserve"> </w:t>
      </w:r>
    </w:p>
    <w:p w14:paraId="1AD8067D" w14:textId="68B1DD90" w:rsidR="00240CFB" w:rsidRDefault="00E10B37" w:rsidP="004B4E2A">
      <w:pPr>
        <w:pStyle w:val="Heading2"/>
      </w:pPr>
      <w:r w:rsidRPr="00240CFB">
        <w:t>Consultation</w:t>
      </w:r>
    </w:p>
    <w:p w14:paraId="6C1FEB93" w14:textId="77777777" w:rsidR="00483BCB" w:rsidRPr="00222166" w:rsidRDefault="00483BCB" w:rsidP="00317957">
      <w:pPr>
        <w:numPr>
          <w:ilvl w:val="0"/>
          <w:numId w:val="16"/>
        </w:numPr>
        <w:tabs>
          <w:tab w:val="clear" w:pos="360"/>
          <w:tab w:val="num" w:pos="567"/>
        </w:tabs>
        <w:spacing w:after="120" w:line="276" w:lineRule="auto"/>
        <w:ind w:left="567" w:hanging="567"/>
        <w:rPr>
          <w:rFonts w:ascii="Arial" w:hAnsi="Arial" w:cs="Arial"/>
          <w:color w:val="000000"/>
          <w:sz w:val="22"/>
          <w:szCs w:val="22"/>
        </w:rPr>
      </w:pPr>
      <w:r w:rsidRPr="00B96D76">
        <w:rPr>
          <w:rFonts w:ascii="Arial" w:hAnsi="Arial" w:cs="Arial"/>
          <w:color w:val="000000"/>
          <w:sz w:val="22"/>
          <w:szCs w:val="22"/>
        </w:rPr>
        <w:t xml:space="preserve">Subsection 17(1) of the </w:t>
      </w:r>
      <w:r w:rsidRPr="00E773C7">
        <w:rPr>
          <w:rFonts w:ascii="Arial" w:hAnsi="Arial" w:cs="Arial"/>
          <w:i/>
          <w:iCs/>
          <w:color w:val="000000"/>
          <w:sz w:val="22"/>
          <w:szCs w:val="22"/>
        </w:rPr>
        <w:t>Legislation Act 2003</w:t>
      </w:r>
      <w:r w:rsidRPr="00B96D76">
        <w:rPr>
          <w:rFonts w:ascii="Arial" w:hAnsi="Arial" w:cs="Arial"/>
          <w:color w:val="000000"/>
          <w:sz w:val="22"/>
          <w:szCs w:val="22"/>
        </w:rPr>
        <w:t xml:space="preserve"> requires that the rule-maker undertake an appropriate level of consultation that is reasonably practicable to underta</w:t>
      </w:r>
      <w:r w:rsidRPr="00222166">
        <w:rPr>
          <w:rFonts w:ascii="Arial" w:hAnsi="Arial" w:cs="Arial"/>
          <w:color w:val="000000"/>
          <w:sz w:val="22"/>
          <w:szCs w:val="22"/>
        </w:rPr>
        <w:t>ke before making a legislative instrument.</w:t>
      </w:r>
    </w:p>
    <w:p w14:paraId="7214B578" w14:textId="7B7A09F4" w:rsidR="00483BCB" w:rsidRPr="00222166" w:rsidRDefault="00483BCB" w:rsidP="00317957">
      <w:pPr>
        <w:numPr>
          <w:ilvl w:val="0"/>
          <w:numId w:val="16"/>
        </w:numPr>
        <w:tabs>
          <w:tab w:val="clear" w:pos="360"/>
          <w:tab w:val="num" w:pos="567"/>
        </w:tabs>
        <w:spacing w:after="120" w:line="276" w:lineRule="auto"/>
        <w:ind w:left="567" w:hanging="567"/>
        <w:rPr>
          <w:rFonts w:ascii="Arial" w:hAnsi="Arial" w:cs="Arial"/>
          <w:color w:val="000000"/>
          <w:sz w:val="22"/>
          <w:szCs w:val="22"/>
        </w:rPr>
      </w:pPr>
      <w:r w:rsidRPr="00222166">
        <w:rPr>
          <w:rFonts w:ascii="Arial" w:hAnsi="Arial" w:cs="Arial"/>
          <w:color w:val="000000"/>
          <w:sz w:val="22"/>
          <w:szCs w:val="22"/>
        </w:rPr>
        <w:lastRenderedPageBreak/>
        <w:t>Targeted consultation on the draft legislative instrument and explanatory statement was undertaken for a period of 2 weeks</w:t>
      </w:r>
      <w:r w:rsidRPr="00222166" w:rsidDel="006829B8">
        <w:rPr>
          <w:rFonts w:ascii="Arial" w:hAnsi="Arial" w:cs="Arial"/>
          <w:color w:val="000000"/>
          <w:sz w:val="22"/>
          <w:szCs w:val="22"/>
        </w:rPr>
        <w:t xml:space="preserve"> </w:t>
      </w:r>
      <w:r w:rsidRPr="00222166">
        <w:rPr>
          <w:rFonts w:ascii="Arial" w:hAnsi="Arial" w:cs="Arial"/>
          <w:color w:val="000000"/>
          <w:sz w:val="22"/>
          <w:szCs w:val="22"/>
        </w:rPr>
        <w:t>with the Modernising Business Registers Business Advisory Group.</w:t>
      </w:r>
      <w:r>
        <w:rPr>
          <w:rStyle w:val="FootnoteReference"/>
          <w:rFonts w:ascii="Arial" w:hAnsi="Arial" w:cs="Arial"/>
          <w:color w:val="000000"/>
          <w:sz w:val="22"/>
          <w:szCs w:val="22"/>
        </w:rPr>
        <w:footnoteReference w:id="1"/>
      </w:r>
    </w:p>
    <w:p w14:paraId="1F82BAA0" w14:textId="1826136B" w:rsidR="00483BCB" w:rsidRDefault="00483BCB" w:rsidP="00317957">
      <w:pPr>
        <w:numPr>
          <w:ilvl w:val="0"/>
          <w:numId w:val="16"/>
        </w:numPr>
        <w:tabs>
          <w:tab w:val="clear" w:pos="360"/>
          <w:tab w:val="num" w:pos="567"/>
        </w:tabs>
        <w:spacing w:after="120" w:line="276" w:lineRule="auto"/>
        <w:ind w:left="567" w:hanging="567"/>
        <w:rPr>
          <w:rFonts w:ascii="Arial" w:hAnsi="Arial" w:cs="Arial"/>
          <w:color w:val="000000"/>
          <w:sz w:val="22"/>
          <w:szCs w:val="22"/>
        </w:rPr>
      </w:pPr>
      <w:r w:rsidRPr="00222166">
        <w:rPr>
          <w:rFonts w:ascii="Arial" w:hAnsi="Arial" w:cs="Arial"/>
          <w:color w:val="000000"/>
          <w:sz w:val="22"/>
          <w:szCs w:val="22"/>
        </w:rPr>
        <w:t xml:space="preserve">Targeted consultation was undertaken to ensure that the instrument could be made prior to the 22 June 2022 and was reasonable and appropriate in the timeframe available as the instrument </w:t>
      </w:r>
      <w:r w:rsidR="00A97C9B">
        <w:rPr>
          <w:rFonts w:ascii="Arial" w:hAnsi="Arial" w:cs="Arial"/>
          <w:color w:val="000000"/>
          <w:sz w:val="22"/>
          <w:szCs w:val="22"/>
        </w:rPr>
        <w:t>is</w:t>
      </w:r>
      <w:r w:rsidR="00A97C9B" w:rsidRPr="00222166">
        <w:rPr>
          <w:rFonts w:ascii="Arial" w:hAnsi="Arial" w:cs="Arial"/>
          <w:color w:val="000000"/>
          <w:sz w:val="22"/>
          <w:szCs w:val="22"/>
        </w:rPr>
        <w:t xml:space="preserve"> </w:t>
      </w:r>
      <w:r w:rsidRPr="00222166">
        <w:rPr>
          <w:rFonts w:ascii="Arial" w:hAnsi="Arial" w:cs="Arial"/>
          <w:color w:val="000000"/>
          <w:sz w:val="22"/>
          <w:szCs w:val="22"/>
        </w:rPr>
        <w:t>machinery in nature. Further the MBR Program has also been subject to extensive public consultation and has received broad support from industry and government stakeholders.</w:t>
      </w:r>
    </w:p>
    <w:p w14:paraId="20265FB8" w14:textId="5B2FFE1A" w:rsidR="00910595" w:rsidRPr="00317957" w:rsidRDefault="00317957" w:rsidP="00317957">
      <w:pPr>
        <w:numPr>
          <w:ilvl w:val="0"/>
          <w:numId w:val="16"/>
        </w:numPr>
        <w:tabs>
          <w:tab w:val="clear" w:pos="360"/>
          <w:tab w:val="num" w:pos="567"/>
        </w:tabs>
        <w:spacing w:after="120" w:line="276" w:lineRule="auto"/>
        <w:ind w:left="567" w:hanging="567"/>
        <w:rPr>
          <w:rFonts w:ascii="Arial" w:hAnsi="Arial" w:cs="Arial"/>
          <w:color w:val="000000"/>
          <w:sz w:val="22"/>
          <w:szCs w:val="22"/>
        </w:rPr>
      </w:pPr>
      <w:r>
        <w:rPr>
          <w:rFonts w:ascii="Arial" w:hAnsi="Arial" w:cs="Arial"/>
          <w:color w:val="000000"/>
          <w:sz w:val="22"/>
          <w:szCs w:val="22"/>
        </w:rPr>
        <w:t>Comments</w:t>
      </w:r>
      <w:r w:rsidR="00483BCB" w:rsidRPr="00317957">
        <w:rPr>
          <w:rFonts w:ascii="Arial" w:hAnsi="Arial" w:cs="Arial"/>
          <w:color w:val="000000"/>
          <w:sz w:val="22"/>
          <w:szCs w:val="22"/>
        </w:rPr>
        <w:t xml:space="preserve"> from Modernising Business Registers Business Advisory Group members were supportive of the instrument, with suggestions for minor edits to the explanatory statement to provide further clarity.</w:t>
      </w:r>
    </w:p>
    <w:p w14:paraId="69FE8C27" w14:textId="77777777" w:rsidR="009371D0" w:rsidRPr="00101CD5" w:rsidRDefault="007E0A01" w:rsidP="00910595">
      <w:pPr>
        <w:pStyle w:val="Heading3"/>
        <w:rPr>
          <w:i/>
          <w:sz w:val="22"/>
          <w:szCs w:val="22"/>
        </w:rPr>
      </w:pPr>
      <w:r w:rsidRPr="00101CD5">
        <w:rPr>
          <w:i/>
          <w:sz w:val="22"/>
          <w:szCs w:val="22"/>
        </w:rPr>
        <w:t>Legislative references</w:t>
      </w:r>
    </w:p>
    <w:p w14:paraId="3DE817A9" w14:textId="09D8651B" w:rsidR="00FF69B7" w:rsidRPr="00FF69B7" w:rsidRDefault="00FF69B7" w:rsidP="00FF477E">
      <w:pPr>
        <w:rPr>
          <w:rFonts w:ascii="Arial" w:hAnsi="Arial" w:cs="Arial"/>
          <w:i/>
          <w:iCs/>
          <w:sz w:val="22"/>
        </w:rPr>
      </w:pPr>
      <w:r w:rsidRPr="00240CFB">
        <w:rPr>
          <w:rFonts w:ascii="Arial" w:hAnsi="Arial" w:cs="Arial"/>
          <w:i/>
          <w:sz w:val="22"/>
          <w:szCs w:val="22"/>
        </w:rPr>
        <w:t>Acts Interpretation Act 1901</w:t>
      </w:r>
    </w:p>
    <w:p w14:paraId="3A836184" w14:textId="632C849B" w:rsidR="00FF477E" w:rsidRPr="00A721C3" w:rsidRDefault="00FF477E" w:rsidP="00FF477E">
      <w:pPr>
        <w:rPr>
          <w:rFonts w:ascii="Arial" w:hAnsi="Arial" w:cs="Arial"/>
          <w:i/>
          <w:iCs/>
          <w:sz w:val="22"/>
          <w:szCs w:val="18"/>
        </w:rPr>
      </w:pPr>
      <w:r w:rsidRPr="00C93E8C">
        <w:rPr>
          <w:rFonts w:ascii="Arial" w:hAnsi="Arial" w:cs="Arial"/>
          <w:i/>
          <w:iCs/>
          <w:sz w:val="22"/>
          <w:szCs w:val="22"/>
        </w:rPr>
        <w:t>Australian Securities and Investment</w:t>
      </w:r>
      <w:r>
        <w:rPr>
          <w:rFonts w:ascii="Arial" w:hAnsi="Arial" w:cs="Arial"/>
          <w:i/>
          <w:iCs/>
          <w:sz w:val="22"/>
          <w:szCs w:val="22"/>
        </w:rPr>
        <w:t>s</w:t>
      </w:r>
      <w:r w:rsidRPr="00C93E8C">
        <w:rPr>
          <w:rFonts w:ascii="Arial" w:hAnsi="Arial" w:cs="Arial"/>
          <w:i/>
          <w:iCs/>
          <w:sz w:val="22"/>
          <w:szCs w:val="22"/>
        </w:rPr>
        <w:t xml:space="preserve"> Commission Act 2001</w:t>
      </w:r>
    </w:p>
    <w:p w14:paraId="5D40E53C" w14:textId="77777777" w:rsidR="00FF477E" w:rsidRPr="00BD7065" w:rsidRDefault="00FF477E" w:rsidP="00FF477E">
      <w:pPr>
        <w:rPr>
          <w:rFonts w:ascii="Arial" w:hAnsi="Arial" w:cs="Arial"/>
          <w:i/>
        </w:rPr>
      </w:pPr>
      <w:r w:rsidRPr="00BD7065">
        <w:rPr>
          <w:rFonts w:ascii="Arial" w:hAnsi="Arial" w:cs="Arial"/>
          <w:i/>
          <w:sz w:val="22"/>
        </w:rPr>
        <w:t>Business Names Registration Act 2011</w:t>
      </w:r>
    </w:p>
    <w:p w14:paraId="1DA7184C" w14:textId="77777777" w:rsidR="00FF477E" w:rsidRPr="00ED27FA" w:rsidRDefault="00FF477E" w:rsidP="00FF477E">
      <w:pPr>
        <w:rPr>
          <w:rFonts w:ascii="Arial" w:hAnsi="Arial" w:cs="Arial"/>
          <w:i/>
          <w:iCs/>
        </w:rPr>
      </w:pPr>
      <w:r w:rsidRPr="00ED27FA">
        <w:rPr>
          <w:rFonts w:ascii="Arial" w:hAnsi="Arial" w:cs="Arial"/>
          <w:i/>
          <w:iCs/>
          <w:sz w:val="22"/>
        </w:rPr>
        <w:t>Business Names Registration (Transitional and Consequential Provisions) Act 2011</w:t>
      </w:r>
    </w:p>
    <w:p w14:paraId="2E5BEBDC" w14:textId="77777777" w:rsidR="00FF477E" w:rsidRPr="00ED27FA" w:rsidRDefault="00FF477E" w:rsidP="00FF477E">
      <w:pPr>
        <w:rPr>
          <w:rFonts w:ascii="Arial" w:hAnsi="Arial" w:cs="Arial"/>
        </w:rPr>
      </w:pPr>
      <w:r w:rsidRPr="00ED27FA">
        <w:rPr>
          <w:rFonts w:ascii="Arial" w:hAnsi="Arial" w:cs="Arial"/>
          <w:i/>
          <w:iCs/>
          <w:sz w:val="22"/>
          <w:szCs w:val="22"/>
        </w:rPr>
        <w:t>Human Rights (Parliamentary Scrutiny) Act 2011</w:t>
      </w:r>
    </w:p>
    <w:p w14:paraId="17741F01" w14:textId="158BE1C4" w:rsidR="00FF477E" w:rsidRDefault="00FF477E" w:rsidP="00FF477E">
      <w:pPr>
        <w:rPr>
          <w:rFonts w:ascii="Arial" w:hAnsi="Arial" w:cs="Arial"/>
          <w:i/>
          <w:sz w:val="22"/>
          <w:szCs w:val="22"/>
        </w:rPr>
      </w:pPr>
      <w:r w:rsidRPr="0078542C">
        <w:rPr>
          <w:rFonts w:ascii="Arial" w:hAnsi="Arial" w:cs="Arial"/>
          <w:i/>
          <w:sz w:val="22"/>
          <w:szCs w:val="22"/>
        </w:rPr>
        <w:t>Legislation Act 2003</w:t>
      </w:r>
    </w:p>
    <w:p w14:paraId="3260E077" w14:textId="7F92D2D5" w:rsidR="00B936F4" w:rsidRPr="00E773C7" w:rsidRDefault="00B936F4" w:rsidP="00FF477E">
      <w:pPr>
        <w:rPr>
          <w:rFonts w:ascii="Arial" w:hAnsi="Arial" w:cs="Arial"/>
          <w:i/>
          <w:iCs/>
          <w:sz w:val="22"/>
        </w:rPr>
      </w:pPr>
      <w:bookmarkStart w:id="2" w:name="_Hlk105676569"/>
      <w:r>
        <w:rPr>
          <w:rFonts w:ascii="Arial" w:hAnsi="Arial" w:cs="Arial"/>
          <w:i/>
          <w:iCs/>
          <w:sz w:val="22"/>
        </w:rPr>
        <w:t>Privacy Act 1988</w:t>
      </w:r>
      <w:bookmarkEnd w:id="2"/>
      <w:r w:rsidRPr="000B0A64">
        <w:rPr>
          <w:rFonts w:ascii="Arial" w:hAnsi="Arial" w:cs="Arial"/>
          <w:i/>
          <w:iCs/>
          <w:sz w:val="22"/>
        </w:rPr>
        <w:t xml:space="preserve"> </w:t>
      </w:r>
    </w:p>
    <w:p w14:paraId="5CD63929" w14:textId="77777777" w:rsidR="00FF477E" w:rsidRPr="00926F1B" w:rsidRDefault="00FF477E" w:rsidP="00FF477E">
      <w:pPr>
        <w:rPr>
          <w:rFonts w:ascii="Arial" w:hAnsi="Arial" w:cs="Arial"/>
          <w:iCs/>
        </w:rPr>
      </w:pPr>
      <w:r w:rsidRPr="0078542C">
        <w:rPr>
          <w:rFonts w:ascii="Arial" w:hAnsi="Arial" w:cs="Arial"/>
          <w:i/>
          <w:iCs/>
          <w:sz w:val="22"/>
        </w:rPr>
        <w:t>Treasury Laws Amendment (Registries Modernisation and Other Measures Act 2020</w:t>
      </w:r>
    </w:p>
    <w:p w14:paraId="15AC1BA5" w14:textId="7AA8952E" w:rsidR="00333567" w:rsidRPr="00240CFB" w:rsidRDefault="00333567" w:rsidP="00910595">
      <w:pPr>
        <w:spacing w:after="120"/>
        <w:rPr>
          <w:rFonts w:ascii="Arial" w:hAnsi="Arial" w:cs="Arial"/>
          <w:sz w:val="22"/>
          <w:szCs w:val="22"/>
        </w:rPr>
      </w:pPr>
    </w:p>
    <w:p w14:paraId="15AC1BA6" w14:textId="071C8BC4" w:rsidR="00101CD5" w:rsidRDefault="00101CD5">
      <w:pPr>
        <w:rPr>
          <w:rFonts w:ascii="Arial" w:hAnsi="Arial" w:cs="Arial"/>
          <w:sz w:val="22"/>
          <w:szCs w:val="22"/>
        </w:rPr>
      </w:pPr>
      <w:r>
        <w:rPr>
          <w:rFonts w:ascii="Arial" w:hAnsi="Arial" w:cs="Arial"/>
          <w:sz w:val="22"/>
          <w:szCs w:val="22"/>
        </w:rPr>
        <w:br w:type="page"/>
      </w:r>
    </w:p>
    <w:p w14:paraId="15AC1BAB" w14:textId="08BC1495" w:rsidR="00526403" w:rsidRPr="00526403" w:rsidRDefault="00526403" w:rsidP="00101CD5">
      <w:pPr>
        <w:spacing w:after="120"/>
      </w:pPr>
    </w:p>
    <w:p w14:paraId="15AC1BAC" w14:textId="6B4B8273" w:rsidR="00333567" w:rsidRPr="007E0A01" w:rsidRDefault="00E53399" w:rsidP="00101CD5">
      <w:pPr>
        <w:pStyle w:val="Heading3"/>
        <w:spacing w:before="0" w:after="120"/>
        <w:jc w:val="center"/>
        <w:rPr>
          <w:sz w:val="24"/>
        </w:rPr>
      </w:pPr>
      <w:r w:rsidRPr="007E0A01">
        <w:rPr>
          <w:sz w:val="24"/>
        </w:rPr>
        <w:t xml:space="preserve">Statement of compatibility </w:t>
      </w:r>
      <w:r w:rsidR="00C11D03" w:rsidRPr="007E0A01">
        <w:rPr>
          <w:sz w:val="24"/>
        </w:rPr>
        <w:t>with Human Rights</w:t>
      </w:r>
    </w:p>
    <w:p w14:paraId="15AC1BAD" w14:textId="4AD858FB" w:rsidR="00E53399" w:rsidRPr="007E0A01" w:rsidRDefault="004F5EB1" w:rsidP="00101CD5">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p>
    <w:p w14:paraId="15AC1BAE" w14:textId="68DA81E7" w:rsidR="00D77015" w:rsidRPr="00101CD5" w:rsidRDefault="00D77015" w:rsidP="00101CD5">
      <w:pPr>
        <w:spacing w:after="120"/>
        <w:rPr>
          <w:rFonts w:ascii="Arial" w:hAnsi="Arial" w:cs="Arial"/>
          <w:sz w:val="22"/>
          <w:szCs w:val="22"/>
        </w:rPr>
      </w:pPr>
    </w:p>
    <w:p w14:paraId="7C40F2AE" w14:textId="77777777" w:rsidR="00171A35" w:rsidRPr="00171A35" w:rsidRDefault="00171A35" w:rsidP="00171A35">
      <w:pPr>
        <w:autoSpaceDE w:val="0"/>
        <w:autoSpaceDN w:val="0"/>
        <w:adjustRightInd w:val="0"/>
        <w:spacing w:after="120"/>
        <w:jc w:val="center"/>
        <w:rPr>
          <w:rFonts w:ascii="Arial" w:hAnsi="Arial" w:cs="Arial"/>
          <w:b/>
          <w:sz w:val="22"/>
          <w:szCs w:val="22"/>
        </w:rPr>
      </w:pPr>
      <w:r w:rsidRPr="00171A35">
        <w:rPr>
          <w:rFonts w:ascii="Arial" w:hAnsi="Arial" w:cs="Arial"/>
          <w:b/>
          <w:sz w:val="22"/>
          <w:szCs w:val="22"/>
        </w:rPr>
        <w:t>Business Names Registration—Transitional Registry Disclosure Framework 2022</w:t>
      </w:r>
    </w:p>
    <w:p w14:paraId="54F9AC2D" w14:textId="0DAEA147" w:rsidR="009371D0" w:rsidRDefault="00075B58" w:rsidP="00101CD5">
      <w:pPr>
        <w:autoSpaceDE w:val="0"/>
        <w:autoSpaceDN w:val="0"/>
        <w:adjustRightInd w:val="0"/>
        <w:spacing w:after="120"/>
        <w:rPr>
          <w:rFonts w:ascii="Arial" w:hAnsi="Arial" w:cs="Arial"/>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sidR="00101CD5">
        <w:rPr>
          <w:rFonts w:ascii="Arial" w:hAnsi="Arial" w:cs="Arial"/>
          <w:i/>
          <w:color w:val="000000"/>
          <w:sz w:val="22"/>
        </w:rPr>
        <w:t>ts (Parliamentary Scrutiny) Act </w:t>
      </w:r>
      <w:r w:rsidRPr="007E0A01">
        <w:rPr>
          <w:rFonts w:ascii="Arial" w:hAnsi="Arial" w:cs="Arial"/>
          <w:i/>
          <w:color w:val="000000"/>
          <w:sz w:val="22"/>
        </w:rPr>
        <w:t>2011.</w:t>
      </w:r>
    </w:p>
    <w:p w14:paraId="15AC1BB2" w14:textId="6553A54F" w:rsidR="00075B58" w:rsidRPr="00101CD5" w:rsidRDefault="00075B58" w:rsidP="00101CD5">
      <w:pPr>
        <w:spacing w:after="120"/>
        <w:rPr>
          <w:rFonts w:ascii="Arial" w:hAnsi="Arial" w:cs="Arial"/>
          <w:sz w:val="22"/>
          <w:szCs w:val="22"/>
        </w:rPr>
      </w:pPr>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43C23B8A" w14:textId="77777777" w:rsidR="00483BCB" w:rsidRDefault="00483BCB" w:rsidP="00483BCB">
      <w:pPr>
        <w:spacing w:after="120"/>
        <w:rPr>
          <w:rFonts w:ascii="Arial" w:hAnsi="Arial" w:cs="Arial"/>
          <w:sz w:val="22"/>
        </w:rPr>
      </w:pPr>
      <w:r w:rsidRPr="00FC612C">
        <w:rPr>
          <w:rFonts w:ascii="Arial" w:hAnsi="Arial" w:cs="Arial"/>
          <w:sz w:val="22"/>
        </w:rPr>
        <w:t xml:space="preserve">The effect of this instrument is to authorise </w:t>
      </w:r>
      <w:r>
        <w:rPr>
          <w:rFonts w:ascii="Arial" w:hAnsi="Arial" w:cs="Arial"/>
          <w:sz w:val="22"/>
        </w:rPr>
        <w:t xml:space="preserve">the </w:t>
      </w:r>
      <w:r w:rsidRPr="00FC612C">
        <w:rPr>
          <w:rFonts w:ascii="Arial" w:hAnsi="Arial" w:cs="Arial"/>
          <w:sz w:val="22"/>
        </w:rPr>
        <w:t xml:space="preserve">disclosure of </w:t>
      </w:r>
      <w:r>
        <w:rPr>
          <w:rFonts w:ascii="Arial" w:hAnsi="Arial" w:cs="Arial"/>
          <w:sz w:val="22"/>
        </w:rPr>
        <w:t>registry</w:t>
      </w:r>
      <w:r w:rsidRPr="00FC612C">
        <w:rPr>
          <w:rFonts w:ascii="Arial" w:hAnsi="Arial" w:cs="Arial"/>
          <w:sz w:val="22"/>
        </w:rPr>
        <w:t xml:space="preserve"> information in any circumstances in which the disclosure would have been permitted immediately prior to the commencement of the </w:t>
      </w:r>
      <w:r>
        <w:rPr>
          <w:rFonts w:ascii="Arial" w:hAnsi="Arial" w:cs="Arial"/>
          <w:sz w:val="22"/>
          <w:szCs w:val="22"/>
        </w:rPr>
        <w:t>instrument,</w:t>
      </w:r>
      <w:r w:rsidRPr="00FC612C">
        <w:rPr>
          <w:rFonts w:ascii="Arial" w:hAnsi="Arial" w:cs="Arial"/>
          <w:sz w:val="22"/>
        </w:rPr>
        <w:t xml:space="preserve"> effectively continuing the current access and disclosure arrangements</w:t>
      </w:r>
      <w:r>
        <w:rPr>
          <w:rFonts w:ascii="Arial" w:hAnsi="Arial" w:cs="Arial"/>
          <w:sz w:val="22"/>
        </w:rPr>
        <w:t>,</w:t>
      </w:r>
      <w:r w:rsidRPr="00FC612C">
        <w:rPr>
          <w:rFonts w:ascii="Arial" w:hAnsi="Arial" w:cs="Arial"/>
          <w:sz w:val="22"/>
        </w:rPr>
        <w:t xml:space="preserve"> as previously required, or permitted by ASIC. </w:t>
      </w:r>
    </w:p>
    <w:p w14:paraId="0D72E37E" w14:textId="77777777" w:rsidR="00483BCB" w:rsidRPr="004F3465" w:rsidRDefault="00483BCB" w:rsidP="00483BCB">
      <w:pPr>
        <w:spacing w:after="120"/>
        <w:rPr>
          <w:rFonts w:ascii="Arial" w:hAnsi="Arial" w:cs="Arial"/>
        </w:rPr>
      </w:pPr>
      <w:r w:rsidRPr="004F3465">
        <w:rPr>
          <w:rFonts w:ascii="Arial" w:hAnsi="Arial" w:cs="Arial"/>
          <w:sz w:val="22"/>
          <w:szCs w:val="22"/>
        </w:rPr>
        <w:t xml:space="preserve">To ensure the continued operation of registry services in accordance with current practices this instrument </w:t>
      </w:r>
      <w:r w:rsidRPr="001C58E4">
        <w:rPr>
          <w:rFonts w:ascii="Arial" w:hAnsi="Arial" w:cs="Arial"/>
          <w:sz w:val="22"/>
          <w:szCs w:val="22"/>
        </w:rPr>
        <w:t>authorises</w:t>
      </w:r>
      <w:r w:rsidRPr="004F3465">
        <w:rPr>
          <w:rFonts w:ascii="Arial" w:hAnsi="Arial" w:cs="Arial"/>
          <w:sz w:val="22"/>
          <w:szCs w:val="22"/>
        </w:rPr>
        <w:t xml:space="preserve"> disclosures in relation to registry information using</w:t>
      </w:r>
      <w:r w:rsidRPr="004F3465">
        <w:rPr>
          <w:rFonts w:ascii="Arial" w:hAnsi="Arial" w:cs="Arial"/>
          <w:color w:val="000000" w:themeColor="text1"/>
          <w:sz w:val="22"/>
          <w:szCs w:val="22"/>
        </w:rPr>
        <w:t xml:space="preserve"> notices, forms or systems or any other means by which the disclosure would have been made by ASIC immediately before the</w:t>
      </w:r>
      <w:r w:rsidRPr="004F3465">
        <w:rPr>
          <w:rFonts w:ascii="Arial" w:hAnsi="Arial" w:cs="Arial"/>
          <w:sz w:val="22"/>
          <w:szCs w:val="22"/>
        </w:rPr>
        <w:t xml:space="preserve"> commencement of this instrument.</w:t>
      </w:r>
    </w:p>
    <w:p w14:paraId="23625614" w14:textId="70E74F3A" w:rsidR="00C84296" w:rsidRPr="00101CD5" w:rsidRDefault="00483BCB" w:rsidP="00101CD5">
      <w:pPr>
        <w:spacing w:after="120"/>
        <w:rPr>
          <w:rFonts w:ascii="Arial" w:hAnsi="Arial" w:cs="Arial"/>
          <w:sz w:val="22"/>
          <w:szCs w:val="22"/>
        </w:rPr>
      </w:pPr>
      <w:r>
        <w:rPr>
          <w:rFonts w:ascii="Arial" w:hAnsi="Arial" w:cs="Arial"/>
          <w:sz w:val="22"/>
          <w:szCs w:val="22"/>
        </w:rPr>
        <w:t xml:space="preserve"> </w:t>
      </w:r>
    </w:p>
    <w:p w14:paraId="15AC1BB6" w14:textId="446C3282" w:rsidR="00075B58" w:rsidRDefault="00075B58" w:rsidP="00101CD5">
      <w:pPr>
        <w:pStyle w:val="Heading2"/>
      </w:pPr>
      <w:r w:rsidRPr="007E0A01">
        <w:t>Human rights implications</w:t>
      </w:r>
    </w:p>
    <w:p w14:paraId="05DA73D5" w14:textId="38162D6C" w:rsidR="00B54CC3" w:rsidRDefault="00B54CC3" w:rsidP="00B54CC3">
      <w:pPr>
        <w:rPr>
          <w:rFonts w:ascii="Arial" w:hAnsi="Arial" w:cs="Arial"/>
          <w:sz w:val="22"/>
          <w:szCs w:val="22"/>
        </w:rPr>
      </w:pPr>
      <w:bookmarkStart w:id="3" w:name="_Hlk105680319"/>
      <w:r w:rsidRPr="00B60EA6">
        <w:rPr>
          <w:rFonts w:ascii="Arial" w:hAnsi="Arial" w:cs="Arial"/>
          <w:sz w:val="22"/>
          <w:szCs w:val="22"/>
        </w:rPr>
        <w:t>This d</w:t>
      </w:r>
      <w:r>
        <w:rPr>
          <w:rFonts w:ascii="Arial" w:hAnsi="Arial" w:cs="Arial"/>
          <w:sz w:val="22"/>
          <w:szCs w:val="22"/>
        </w:rPr>
        <w:t>isclosure framework</w:t>
      </w:r>
      <w:r w:rsidRPr="00B60EA6">
        <w:rPr>
          <w:rFonts w:ascii="Arial" w:hAnsi="Arial" w:cs="Arial"/>
          <w:sz w:val="22"/>
          <w:szCs w:val="22"/>
        </w:rPr>
        <w:t xml:space="preserve"> potentially engages the right to pr</w:t>
      </w:r>
      <w:r>
        <w:rPr>
          <w:rFonts w:ascii="Arial" w:hAnsi="Arial" w:cs="Arial"/>
          <w:sz w:val="22"/>
          <w:szCs w:val="22"/>
        </w:rPr>
        <w:t>i</w:t>
      </w:r>
      <w:r w:rsidRPr="00B60EA6">
        <w:rPr>
          <w:rFonts w:ascii="Arial" w:hAnsi="Arial" w:cs="Arial"/>
          <w:sz w:val="22"/>
          <w:szCs w:val="22"/>
        </w:rPr>
        <w:t>vacy</w:t>
      </w:r>
      <w:r>
        <w:rPr>
          <w:rFonts w:ascii="Arial" w:hAnsi="Arial" w:cs="Arial"/>
          <w:sz w:val="22"/>
          <w:szCs w:val="22"/>
        </w:rPr>
        <w:t>.</w:t>
      </w:r>
    </w:p>
    <w:bookmarkEnd w:id="3"/>
    <w:p w14:paraId="45D94ED1" w14:textId="77777777" w:rsidR="00B54CC3" w:rsidRPr="00B54CC3" w:rsidRDefault="00B54CC3" w:rsidP="00E773C7"/>
    <w:p w14:paraId="0CB306B9" w14:textId="77777777" w:rsidR="003D683F" w:rsidRPr="00FC612C" w:rsidRDefault="003D683F" w:rsidP="003D683F">
      <w:pPr>
        <w:spacing w:after="120"/>
        <w:rPr>
          <w:rFonts w:ascii="Arial" w:hAnsi="Arial" w:cs="Arial"/>
          <w:b/>
          <w:bCs/>
          <w:sz w:val="22"/>
        </w:rPr>
      </w:pPr>
      <w:r w:rsidRPr="00FC612C">
        <w:rPr>
          <w:rFonts w:ascii="Arial" w:hAnsi="Arial" w:cs="Arial"/>
          <w:b/>
          <w:bCs/>
          <w:sz w:val="22"/>
        </w:rPr>
        <w:t>Engagement of the right to privacy</w:t>
      </w:r>
    </w:p>
    <w:p w14:paraId="0FD53488" w14:textId="77777777" w:rsidR="00483BCB" w:rsidRDefault="00483BCB" w:rsidP="00483BCB">
      <w:pPr>
        <w:spacing w:after="120"/>
        <w:rPr>
          <w:rFonts w:ascii="Arial" w:hAnsi="Arial" w:cs="Arial"/>
          <w:sz w:val="22"/>
        </w:rPr>
      </w:pPr>
      <w:r>
        <w:rPr>
          <w:rFonts w:ascii="Arial" w:hAnsi="Arial" w:cs="Arial"/>
          <w:sz w:val="22"/>
        </w:rPr>
        <w:t xml:space="preserve">Article 17 of the International Covenant on Civil and Political Rights provides that no one shall be subjected to arbitrary or unlawful interference with their privacy, family, home or correspondence, nor to unlawful attacks on their honour and reputation. The right to privacy is not an absolute right. In some circumstances, it must be weighed against the equally justified rights of others and against matters that benefit society as whole. </w:t>
      </w:r>
    </w:p>
    <w:p w14:paraId="014CED92" w14:textId="77777777" w:rsidR="00483BCB" w:rsidRPr="00FC612C" w:rsidRDefault="00483BCB" w:rsidP="00483BCB">
      <w:pPr>
        <w:spacing w:after="120"/>
        <w:rPr>
          <w:rFonts w:ascii="Arial" w:hAnsi="Arial" w:cs="Arial"/>
          <w:sz w:val="22"/>
          <w:szCs w:val="22"/>
        </w:rPr>
      </w:pPr>
      <w:r w:rsidRPr="00FC612C">
        <w:rPr>
          <w:rFonts w:ascii="Arial" w:hAnsi="Arial" w:cs="Arial"/>
          <w:sz w:val="22"/>
          <w:szCs w:val="22"/>
        </w:rPr>
        <w:t xml:space="preserve">The disclosure of registry information </w:t>
      </w:r>
      <w:r w:rsidRPr="00536694">
        <w:rPr>
          <w:rFonts w:ascii="Arial" w:hAnsi="Arial" w:cs="Arial"/>
          <w:sz w:val="22"/>
          <w:szCs w:val="22"/>
        </w:rPr>
        <w:t>in line with how registry information</w:t>
      </w:r>
      <w:r>
        <w:rPr>
          <w:rFonts w:ascii="Arial" w:hAnsi="Arial" w:cs="Arial"/>
          <w:sz w:val="22"/>
          <w:szCs w:val="22"/>
        </w:rPr>
        <w:t xml:space="preserve"> is disclosed </w:t>
      </w:r>
      <w:r w:rsidRPr="00FC612C">
        <w:rPr>
          <w:rFonts w:ascii="Arial" w:hAnsi="Arial" w:cs="Arial"/>
          <w:sz w:val="22"/>
          <w:szCs w:val="22"/>
        </w:rPr>
        <w:t xml:space="preserve">prior to the commencement of </w:t>
      </w:r>
      <w:r>
        <w:rPr>
          <w:rFonts w:ascii="Arial" w:hAnsi="Arial" w:cs="Arial"/>
          <w:sz w:val="22"/>
          <w:szCs w:val="22"/>
        </w:rPr>
        <w:t>the instrument</w:t>
      </w:r>
      <w:r>
        <w:rPr>
          <w:rFonts w:ascii="Arial" w:hAnsi="Arial" w:cs="Arial"/>
          <w:color w:val="000000"/>
          <w:sz w:val="22"/>
          <w:szCs w:val="22"/>
        </w:rPr>
        <w:t xml:space="preserve"> </w:t>
      </w:r>
      <w:r w:rsidRPr="00FC612C">
        <w:rPr>
          <w:rFonts w:ascii="Arial" w:hAnsi="Arial" w:cs="Arial"/>
          <w:sz w:val="22"/>
          <w:szCs w:val="22"/>
        </w:rPr>
        <w:t xml:space="preserve">will </w:t>
      </w:r>
      <w:r w:rsidRPr="00393409">
        <w:rPr>
          <w:rFonts w:ascii="Arial" w:hAnsi="Arial" w:cs="Arial"/>
          <w:color w:val="000000"/>
          <w:sz w:val="22"/>
          <w:szCs w:val="22"/>
        </w:rPr>
        <w:t>continue current access and disclosure arrangements (as previously required or permitted by ASIC)</w:t>
      </w:r>
      <w:r w:rsidRPr="00FC612C">
        <w:rPr>
          <w:rFonts w:ascii="Arial" w:hAnsi="Arial" w:cs="Arial"/>
          <w:sz w:val="22"/>
          <w:szCs w:val="22"/>
        </w:rPr>
        <w:t>. The impact of not disclosing any registry information would have</w:t>
      </w:r>
      <w:r>
        <w:rPr>
          <w:rFonts w:ascii="Arial" w:hAnsi="Arial" w:cs="Arial"/>
          <w:sz w:val="22"/>
          <w:szCs w:val="22"/>
        </w:rPr>
        <w:t xml:space="preserve"> significant and serious impacts for government, businesses and community. </w:t>
      </w:r>
    </w:p>
    <w:p w14:paraId="7F42BB4C" w14:textId="77777777" w:rsidR="00483BCB" w:rsidRDefault="00483BCB" w:rsidP="00483BCB">
      <w:pPr>
        <w:spacing w:after="120"/>
        <w:rPr>
          <w:rFonts w:ascii="Arial" w:hAnsi="Arial" w:cs="Arial"/>
          <w:sz w:val="22"/>
        </w:rPr>
      </w:pPr>
      <w:r>
        <w:rPr>
          <w:rFonts w:ascii="Arial" w:hAnsi="Arial" w:cs="Arial"/>
          <w:sz w:val="22"/>
        </w:rPr>
        <w:t xml:space="preserve">The disclosure of registry information authorised by this instrument will engage the right to privacy because it provides for the disclosure of personal information within the meaning of the </w:t>
      </w:r>
      <w:r>
        <w:rPr>
          <w:rFonts w:ascii="Arial" w:hAnsi="Arial" w:cs="Arial"/>
          <w:i/>
          <w:iCs/>
          <w:sz w:val="22"/>
        </w:rPr>
        <w:t>Privacy Act 1988</w:t>
      </w:r>
      <w:r>
        <w:rPr>
          <w:rFonts w:ascii="Arial" w:hAnsi="Arial" w:cs="Arial"/>
          <w:sz w:val="22"/>
        </w:rPr>
        <w:t xml:space="preserve">. </w:t>
      </w:r>
    </w:p>
    <w:p w14:paraId="3E185AD5" w14:textId="77777777" w:rsidR="00483BCB" w:rsidRDefault="00483BCB" w:rsidP="00483BCB">
      <w:pPr>
        <w:spacing w:after="120"/>
        <w:rPr>
          <w:rFonts w:ascii="Arial" w:hAnsi="Arial" w:cs="Arial"/>
          <w:sz w:val="22"/>
        </w:rPr>
      </w:pPr>
      <w:r>
        <w:rPr>
          <w:rFonts w:ascii="Arial" w:hAnsi="Arial" w:cs="Arial"/>
          <w:sz w:val="22"/>
        </w:rPr>
        <w:t>To any extent which the disclosure of this information constitutes a limitation on the individual’s right to be protected from interference with their privacy, the limitation is justified because the disclosure of registry information is in the pursuit of the legitimate objective identified and rationally connected and proportionate to the objective being sought, being the administration of the registry system.</w:t>
      </w:r>
    </w:p>
    <w:p w14:paraId="476164EF" w14:textId="77777777" w:rsidR="00483BCB" w:rsidRDefault="00483BCB" w:rsidP="00483BCB">
      <w:pPr>
        <w:spacing w:after="120"/>
        <w:rPr>
          <w:rFonts w:ascii="Arial" w:hAnsi="Arial" w:cs="Arial"/>
          <w:sz w:val="22"/>
        </w:rPr>
      </w:pPr>
      <w:r w:rsidRPr="0015031A">
        <w:rPr>
          <w:rFonts w:ascii="Arial" w:hAnsi="Arial" w:cs="Arial"/>
          <w:sz w:val="22"/>
        </w:rPr>
        <w:t xml:space="preserve">The instrument itself will be a disallowable instrument and therefore subject to proper Parliamentary oversight and the consultation requirements contained in the </w:t>
      </w:r>
      <w:r w:rsidRPr="00FC612C">
        <w:rPr>
          <w:rFonts w:ascii="Arial" w:hAnsi="Arial" w:cs="Arial"/>
          <w:i/>
          <w:iCs/>
          <w:sz w:val="22"/>
        </w:rPr>
        <w:t>Legislation Act 2003</w:t>
      </w:r>
      <w:r w:rsidRPr="0015031A">
        <w:rPr>
          <w:rFonts w:ascii="Arial" w:hAnsi="Arial" w:cs="Arial"/>
          <w:sz w:val="22"/>
        </w:rPr>
        <w:t>.</w:t>
      </w:r>
    </w:p>
    <w:p w14:paraId="7E6A1091" w14:textId="77777777" w:rsidR="00483BCB" w:rsidRDefault="00483BCB" w:rsidP="00483BCB">
      <w:pPr>
        <w:spacing w:after="120"/>
        <w:rPr>
          <w:rFonts w:ascii="Arial" w:hAnsi="Arial" w:cs="Arial"/>
          <w:sz w:val="22"/>
        </w:rPr>
      </w:pPr>
      <w:r>
        <w:rPr>
          <w:rFonts w:ascii="Arial" w:hAnsi="Arial" w:cs="Arial"/>
          <w:sz w:val="22"/>
        </w:rPr>
        <w:t>For these reasons, this instrument authorising the disclosure of registry information does not unnecessarily and unreasonably restrict an individual’s right to privacy. Information is only disclosed to the extent required to achieve the legitimate objective of administering the registry system or the functioning of government, with the limitation reasonable, necessary and proportionate.</w:t>
      </w:r>
    </w:p>
    <w:p w14:paraId="29217037" w14:textId="060944F0" w:rsidR="00FF477E" w:rsidRDefault="00FF477E" w:rsidP="00FF477E">
      <w:pPr>
        <w:spacing w:after="120"/>
        <w:rPr>
          <w:rFonts w:ascii="Arial" w:hAnsi="Arial" w:cs="Arial"/>
          <w:sz w:val="22"/>
        </w:rPr>
      </w:pPr>
    </w:p>
    <w:p w14:paraId="02DAC3ED" w14:textId="77777777" w:rsidR="00FF477E" w:rsidRPr="00240CFB" w:rsidRDefault="00FF477E" w:rsidP="00FF477E">
      <w:pPr>
        <w:pStyle w:val="Heading2"/>
      </w:pPr>
      <w:r w:rsidRPr="007E0A01">
        <w:lastRenderedPageBreak/>
        <w:t>Conclusion</w:t>
      </w:r>
    </w:p>
    <w:p w14:paraId="6E30C418" w14:textId="77777777" w:rsidR="00483BCB" w:rsidRPr="0015031A" w:rsidRDefault="00483BCB" w:rsidP="00483BCB">
      <w:pPr>
        <w:shd w:val="clear" w:color="auto" w:fill="FFFFFF"/>
        <w:spacing w:after="120"/>
        <w:ind w:left="-5" w:hanging="10"/>
        <w:rPr>
          <w:rFonts w:ascii="Arial" w:hAnsi="Arial" w:cs="Arial"/>
          <w:color w:val="000000"/>
          <w:sz w:val="22"/>
          <w:szCs w:val="22"/>
        </w:rPr>
      </w:pPr>
      <w:r w:rsidRPr="0015031A">
        <w:rPr>
          <w:rFonts w:ascii="Arial" w:hAnsi="Arial" w:cs="Arial"/>
          <w:sz w:val="22"/>
          <w:szCs w:val="22"/>
        </w:rPr>
        <w:t>This Legislative Instrument is compatible with human rights and freedoms recognised or declared in the international instruments listed in section 3 of the </w:t>
      </w:r>
      <w:r w:rsidRPr="0015031A">
        <w:rPr>
          <w:rFonts w:ascii="Arial" w:hAnsi="Arial" w:cs="Arial"/>
          <w:i/>
          <w:iCs/>
          <w:sz w:val="22"/>
          <w:szCs w:val="22"/>
        </w:rPr>
        <w:t>Human Rights (Parliamentary Scrutiny) Act 2011</w:t>
      </w:r>
      <w:r w:rsidRPr="0015031A">
        <w:rPr>
          <w:rFonts w:ascii="Arial" w:hAnsi="Arial" w:cs="Arial"/>
          <w:sz w:val="22"/>
          <w:szCs w:val="22"/>
        </w:rPr>
        <w:t>.</w:t>
      </w:r>
    </w:p>
    <w:p w14:paraId="5FDFBBC3" w14:textId="77777777" w:rsidR="00483BCB" w:rsidRPr="0015031A" w:rsidRDefault="00483BCB" w:rsidP="00483BCB">
      <w:pPr>
        <w:shd w:val="clear" w:color="auto" w:fill="FFFFFF"/>
        <w:spacing w:after="120"/>
        <w:ind w:left="-5" w:hanging="10"/>
        <w:rPr>
          <w:rFonts w:ascii="Arial" w:hAnsi="Arial" w:cs="Arial"/>
          <w:color w:val="000000"/>
          <w:sz w:val="22"/>
          <w:szCs w:val="22"/>
        </w:rPr>
      </w:pPr>
      <w:r w:rsidRPr="0015031A">
        <w:rPr>
          <w:rFonts w:ascii="Arial" w:hAnsi="Arial" w:cs="Arial"/>
          <w:sz w:val="22"/>
          <w:szCs w:val="22"/>
        </w:rPr>
        <w:t>Accordingly, while the right to privacy is engaged, the limitations are:</w:t>
      </w:r>
    </w:p>
    <w:p w14:paraId="2533092C" w14:textId="77777777" w:rsidR="00483BCB" w:rsidRPr="0015031A" w:rsidRDefault="00483BCB" w:rsidP="00483BCB">
      <w:pPr>
        <w:shd w:val="clear" w:color="auto" w:fill="FFFFFF"/>
        <w:spacing w:after="120"/>
        <w:ind w:left="1134" w:hanging="567"/>
        <w:rPr>
          <w:rFonts w:ascii="Arial" w:hAnsi="Arial" w:cs="Arial"/>
          <w:color w:val="000000"/>
          <w:sz w:val="22"/>
          <w:szCs w:val="22"/>
        </w:rPr>
      </w:pPr>
      <w:r w:rsidRPr="0015031A">
        <w:rPr>
          <w:rFonts w:ascii="Arial" w:hAnsi="Arial" w:cs="Arial"/>
          <w:color w:val="000000"/>
          <w:sz w:val="22"/>
          <w:szCs w:val="22"/>
        </w:rPr>
        <w:t>(a)</w:t>
      </w:r>
      <w:r w:rsidRPr="0015031A">
        <w:rPr>
          <w:color w:val="000000"/>
          <w:sz w:val="14"/>
          <w:szCs w:val="14"/>
        </w:rPr>
        <w:t>       </w:t>
      </w:r>
      <w:r w:rsidRPr="0015031A">
        <w:rPr>
          <w:rFonts w:ascii="Arial" w:hAnsi="Arial" w:cs="Arial"/>
          <w:sz w:val="22"/>
          <w:szCs w:val="22"/>
        </w:rPr>
        <w:t>aimed at achieving a legitimate objective</w:t>
      </w:r>
      <w:r>
        <w:rPr>
          <w:rFonts w:ascii="Arial" w:hAnsi="Arial" w:cs="Arial"/>
          <w:sz w:val="22"/>
          <w:szCs w:val="22"/>
        </w:rPr>
        <w:t>,</w:t>
      </w:r>
    </w:p>
    <w:p w14:paraId="31F3B4F4" w14:textId="77777777" w:rsidR="00483BCB" w:rsidRPr="0015031A" w:rsidRDefault="00483BCB" w:rsidP="00483BCB">
      <w:pPr>
        <w:shd w:val="clear" w:color="auto" w:fill="FFFFFF"/>
        <w:spacing w:after="120"/>
        <w:ind w:left="1134" w:hanging="567"/>
        <w:rPr>
          <w:rFonts w:ascii="Arial" w:hAnsi="Arial" w:cs="Arial"/>
          <w:color w:val="000000"/>
          <w:sz w:val="22"/>
          <w:szCs w:val="22"/>
        </w:rPr>
      </w:pPr>
      <w:r w:rsidRPr="0015031A">
        <w:rPr>
          <w:rFonts w:ascii="Arial" w:hAnsi="Arial" w:cs="Arial"/>
          <w:color w:val="000000"/>
          <w:sz w:val="22"/>
          <w:szCs w:val="22"/>
        </w:rPr>
        <w:t>(b)</w:t>
      </w:r>
      <w:r w:rsidRPr="0015031A">
        <w:rPr>
          <w:color w:val="000000"/>
          <w:sz w:val="14"/>
          <w:szCs w:val="14"/>
        </w:rPr>
        <w:t>       </w:t>
      </w:r>
      <w:r w:rsidRPr="0015031A">
        <w:rPr>
          <w:rFonts w:ascii="Arial" w:hAnsi="Arial" w:cs="Arial"/>
          <w:sz w:val="22"/>
          <w:szCs w:val="22"/>
        </w:rPr>
        <w:t>rationally connected with the objective</w:t>
      </w:r>
      <w:r>
        <w:rPr>
          <w:rFonts w:ascii="Arial" w:hAnsi="Arial" w:cs="Arial"/>
          <w:sz w:val="22"/>
          <w:szCs w:val="22"/>
        </w:rPr>
        <w:t>,</w:t>
      </w:r>
      <w:r w:rsidRPr="0015031A">
        <w:rPr>
          <w:rFonts w:ascii="Arial" w:hAnsi="Arial" w:cs="Arial"/>
          <w:sz w:val="22"/>
          <w:szCs w:val="22"/>
        </w:rPr>
        <w:t xml:space="preserve"> and</w:t>
      </w:r>
    </w:p>
    <w:p w14:paraId="6D71B18E" w14:textId="77777777" w:rsidR="00483BCB" w:rsidRDefault="00483BCB" w:rsidP="00483BCB">
      <w:pPr>
        <w:shd w:val="clear" w:color="auto" w:fill="FFFFFF"/>
        <w:spacing w:after="120"/>
        <w:ind w:left="1134" w:hanging="567"/>
        <w:rPr>
          <w:rFonts w:ascii="Arial" w:hAnsi="Arial" w:cs="Arial"/>
          <w:sz w:val="22"/>
          <w:szCs w:val="22"/>
        </w:rPr>
      </w:pPr>
      <w:r w:rsidRPr="0015031A">
        <w:rPr>
          <w:rFonts w:ascii="Arial" w:hAnsi="Arial" w:cs="Arial"/>
          <w:color w:val="000000"/>
          <w:sz w:val="22"/>
          <w:szCs w:val="22"/>
        </w:rPr>
        <w:t>(c)</w:t>
      </w:r>
      <w:r w:rsidRPr="0015031A">
        <w:rPr>
          <w:color w:val="000000"/>
          <w:sz w:val="14"/>
          <w:szCs w:val="14"/>
        </w:rPr>
        <w:t>       </w:t>
      </w:r>
      <w:r w:rsidRPr="0015031A">
        <w:rPr>
          <w:rFonts w:ascii="Arial" w:hAnsi="Arial" w:cs="Arial"/>
          <w:sz w:val="22"/>
          <w:szCs w:val="22"/>
        </w:rPr>
        <w:t>reasonable, necessary and proportionate.</w:t>
      </w:r>
    </w:p>
    <w:p w14:paraId="3DB58847" w14:textId="1B2BD990" w:rsidR="00483BCB" w:rsidRPr="00FC612C" w:rsidRDefault="00483BCB" w:rsidP="00483BCB">
      <w:pPr>
        <w:spacing w:after="120"/>
        <w:rPr>
          <w:rFonts w:ascii="Arial" w:hAnsi="Arial" w:cs="Arial"/>
          <w:sz w:val="22"/>
        </w:rPr>
      </w:pPr>
      <w:r w:rsidRPr="00FC612C">
        <w:rPr>
          <w:rFonts w:ascii="Arial" w:hAnsi="Arial" w:cs="Arial"/>
          <w:sz w:val="22"/>
        </w:rPr>
        <w:t xml:space="preserve">The </w:t>
      </w:r>
      <w:r>
        <w:rPr>
          <w:rFonts w:ascii="Arial" w:hAnsi="Arial" w:cs="Arial"/>
          <w:sz w:val="22"/>
        </w:rPr>
        <w:t>objective</w:t>
      </w:r>
      <w:r w:rsidRPr="00FC612C">
        <w:rPr>
          <w:rFonts w:ascii="Arial" w:hAnsi="Arial" w:cs="Arial"/>
          <w:sz w:val="22"/>
        </w:rPr>
        <w:t xml:space="preserve"> </w:t>
      </w:r>
      <w:r>
        <w:rPr>
          <w:rFonts w:ascii="Arial" w:hAnsi="Arial" w:cs="Arial"/>
          <w:sz w:val="22"/>
        </w:rPr>
        <w:t xml:space="preserve">of </w:t>
      </w:r>
      <w:r w:rsidRPr="00FC612C">
        <w:rPr>
          <w:rFonts w:ascii="Arial" w:hAnsi="Arial" w:cs="Arial"/>
          <w:sz w:val="22"/>
        </w:rPr>
        <w:t xml:space="preserve">this instrument is to authorise disclosure of </w:t>
      </w:r>
      <w:r w:rsidR="00B54CC3">
        <w:rPr>
          <w:rFonts w:ascii="Arial" w:hAnsi="Arial" w:cs="Arial"/>
          <w:sz w:val="22"/>
        </w:rPr>
        <w:t>registry</w:t>
      </w:r>
      <w:r w:rsidR="00B54CC3" w:rsidRPr="00FC612C">
        <w:rPr>
          <w:rFonts w:ascii="Arial" w:hAnsi="Arial" w:cs="Arial"/>
          <w:sz w:val="22"/>
        </w:rPr>
        <w:t xml:space="preserve"> </w:t>
      </w:r>
      <w:r w:rsidRPr="00FC612C">
        <w:rPr>
          <w:rFonts w:ascii="Arial" w:hAnsi="Arial" w:cs="Arial"/>
          <w:sz w:val="22"/>
        </w:rPr>
        <w:t xml:space="preserve">information in any circumstances in which the disclosure would have been permitted immediately prior to the commencement of the </w:t>
      </w:r>
      <w:r>
        <w:rPr>
          <w:rFonts w:ascii="Arial" w:hAnsi="Arial" w:cs="Arial"/>
          <w:sz w:val="22"/>
          <w:szCs w:val="22"/>
        </w:rPr>
        <w:t>instrument,</w:t>
      </w:r>
      <w:r w:rsidRPr="00FC612C">
        <w:rPr>
          <w:rFonts w:ascii="Arial" w:hAnsi="Arial" w:cs="Arial"/>
          <w:sz w:val="22"/>
        </w:rPr>
        <w:t xml:space="preserve"> effectively continuing the current access and disclosure arrangements (as previously required or permitted by ASIC</w:t>
      </w:r>
      <w:r>
        <w:rPr>
          <w:rFonts w:ascii="Arial" w:hAnsi="Arial" w:cs="Arial"/>
          <w:sz w:val="22"/>
        </w:rPr>
        <w:t xml:space="preserve"> or as lawfully made publicly available</w:t>
      </w:r>
      <w:r w:rsidRPr="00FC612C">
        <w:rPr>
          <w:rFonts w:ascii="Arial" w:hAnsi="Arial" w:cs="Arial"/>
          <w:sz w:val="22"/>
        </w:rPr>
        <w:t>) to ensur</w:t>
      </w:r>
      <w:r>
        <w:rPr>
          <w:rFonts w:ascii="Arial" w:hAnsi="Arial" w:cs="Arial"/>
          <w:sz w:val="22"/>
        </w:rPr>
        <w:t>e</w:t>
      </w:r>
      <w:r w:rsidRPr="00FC612C">
        <w:rPr>
          <w:rFonts w:ascii="Arial" w:hAnsi="Arial" w:cs="Arial"/>
          <w:sz w:val="22"/>
        </w:rPr>
        <w:t xml:space="preserve"> business continuity. </w:t>
      </w:r>
      <w:r>
        <w:rPr>
          <w:rFonts w:ascii="Arial" w:hAnsi="Arial" w:cs="Arial"/>
          <w:sz w:val="22"/>
        </w:rPr>
        <w:t>This instrument authorises</w:t>
      </w:r>
      <w:r w:rsidRPr="00FC612C">
        <w:rPr>
          <w:rFonts w:ascii="Arial" w:hAnsi="Arial" w:cs="Arial"/>
          <w:sz w:val="22"/>
        </w:rPr>
        <w:t xml:space="preserve"> disclos</w:t>
      </w:r>
      <w:r>
        <w:rPr>
          <w:rFonts w:ascii="Arial" w:hAnsi="Arial" w:cs="Arial"/>
          <w:sz w:val="22"/>
        </w:rPr>
        <w:t>ur</w:t>
      </w:r>
      <w:r w:rsidRPr="00FC612C">
        <w:rPr>
          <w:rFonts w:ascii="Arial" w:hAnsi="Arial" w:cs="Arial"/>
          <w:sz w:val="22"/>
        </w:rPr>
        <w:t>e</w:t>
      </w:r>
      <w:r>
        <w:rPr>
          <w:rFonts w:ascii="Arial" w:hAnsi="Arial" w:cs="Arial"/>
          <w:sz w:val="22"/>
        </w:rPr>
        <w:t xml:space="preserve"> of</w:t>
      </w:r>
      <w:r w:rsidRPr="00FC612C">
        <w:rPr>
          <w:rFonts w:ascii="Arial" w:hAnsi="Arial" w:cs="Arial"/>
          <w:sz w:val="22"/>
        </w:rPr>
        <w:t xml:space="preserve"> information that is currently disclosed by ASIC </w:t>
      </w:r>
      <w:r>
        <w:rPr>
          <w:rFonts w:ascii="Arial" w:hAnsi="Arial" w:cs="Arial"/>
          <w:sz w:val="22"/>
        </w:rPr>
        <w:t xml:space="preserve">and information that is lawfully made publicly available </w:t>
      </w:r>
      <w:r w:rsidRPr="00FC612C">
        <w:rPr>
          <w:rFonts w:ascii="Arial" w:hAnsi="Arial" w:cs="Arial"/>
          <w:sz w:val="22"/>
        </w:rPr>
        <w:t xml:space="preserve"> and all arrangements in relation to payments for access to registry information will continue to apply.</w:t>
      </w:r>
    </w:p>
    <w:p w14:paraId="35E60BDF" w14:textId="4D4BF38F" w:rsidR="003D683F" w:rsidRPr="00B16508" w:rsidRDefault="00F17C29" w:rsidP="00101CD5">
      <w:pPr>
        <w:autoSpaceDE w:val="0"/>
        <w:autoSpaceDN w:val="0"/>
        <w:adjustRightInd w:val="0"/>
        <w:spacing w:after="120"/>
        <w:rPr>
          <w:rFonts w:ascii="Arial" w:hAnsi="Arial" w:cs="Arial"/>
          <w:bCs/>
          <w:color w:val="0000FF"/>
          <w:sz w:val="22"/>
          <w:szCs w:val="22"/>
        </w:rPr>
      </w:pPr>
      <w:r>
        <w:rPr>
          <w:rFonts w:ascii="Arial" w:hAnsi="Arial" w:cs="Arial"/>
          <w:bCs/>
          <w:color w:val="0000FF"/>
          <w:sz w:val="22"/>
          <w:szCs w:val="22"/>
        </w:rPr>
        <w:t xml:space="preserve"> </w:t>
      </w:r>
    </w:p>
    <w:sectPr w:rsidR="003D683F" w:rsidRPr="00B16508" w:rsidSect="00081520">
      <w:headerReference w:type="even" r:id="rId8"/>
      <w:headerReference w:type="default" r:id="rId9"/>
      <w:headerReference w:type="first" r:id="rId10"/>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EBF2F" w14:textId="77777777" w:rsidR="00255FE2" w:rsidRDefault="00255FE2">
      <w:r>
        <w:separator/>
      </w:r>
    </w:p>
  </w:endnote>
  <w:endnote w:type="continuationSeparator" w:id="0">
    <w:p w14:paraId="053B8D8E" w14:textId="77777777" w:rsidR="00255FE2" w:rsidRDefault="0025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8F83B" w14:textId="77777777" w:rsidR="00255FE2" w:rsidRDefault="00255FE2">
      <w:r>
        <w:separator/>
      </w:r>
    </w:p>
  </w:footnote>
  <w:footnote w:type="continuationSeparator" w:id="0">
    <w:p w14:paraId="1FF2CF64" w14:textId="77777777" w:rsidR="00255FE2" w:rsidRDefault="00255FE2">
      <w:r>
        <w:continuationSeparator/>
      </w:r>
    </w:p>
  </w:footnote>
  <w:footnote w:id="1">
    <w:p w14:paraId="731D25F4" w14:textId="77777777" w:rsidR="00483BCB" w:rsidRPr="00AD5188" w:rsidRDefault="00483BCB" w:rsidP="00483BCB">
      <w:pPr>
        <w:pStyle w:val="FootnoteText"/>
        <w:rPr>
          <w:rFonts w:ascii="Arial" w:hAnsi="Arial" w:cs="Arial"/>
        </w:rPr>
      </w:pPr>
      <w:r w:rsidRPr="00AD5188">
        <w:rPr>
          <w:rStyle w:val="FootnoteReference"/>
          <w:rFonts w:ascii="Arial" w:hAnsi="Arial" w:cs="Arial"/>
        </w:rPr>
        <w:footnoteRef/>
      </w:r>
      <w:r w:rsidRPr="00AD5188">
        <w:rPr>
          <w:rFonts w:ascii="Arial" w:hAnsi="Arial" w:cs="Arial"/>
        </w:rPr>
        <w:t xml:space="preserve"> See </w:t>
      </w:r>
      <w:hyperlink r:id="rId1" w:history="1">
        <w:r w:rsidRPr="00AD5188">
          <w:rPr>
            <w:rStyle w:val="Hyperlink"/>
            <w:rFonts w:ascii="Arial" w:hAnsi="Arial" w:cs="Arial"/>
          </w:rPr>
          <w:t>Modernising Business Registers Business Advisory Group | Australian Taxation Office (ato.gov.au)</w:t>
        </w:r>
      </w:hyperlink>
      <w:r w:rsidRPr="00AD5188">
        <w:rPr>
          <w:rFonts w:ascii="Arial" w:hAnsi="Arial" w:cs="Arial"/>
        </w:rPr>
        <w:t xml:space="preserve"> for complete list.</w:t>
      </w:r>
    </w:p>
    <w:p w14:paraId="404609A3" w14:textId="77777777" w:rsidR="00483BCB" w:rsidRDefault="00483BCB" w:rsidP="00483B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23BD" w14:textId="77777777" w:rsidR="004B4E2A" w:rsidRDefault="004B4E2A" w:rsidP="004B4E2A">
    <w:pPr>
      <w:framePr w:w="3541" w:h="43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Pr>
        <w:rFonts w:ascii="Arial" w:hAnsi="Arial" w:cs="Arial"/>
        <w:b/>
        <w:sz w:val="22"/>
        <w:szCs w:val="22"/>
      </w:rPr>
      <w:t>Instrument ID: 2022/ABRS/0012</w:t>
    </w:r>
  </w:p>
  <w:p w14:paraId="15AC1BCF" w14:textId="6C6DBAE0" w:rsidR="00587C50" w:rsidRDefault="004B4E2A" w:rsidP="001828A4">
    <w:pPr>
      <w:pStyle w:val="Header"/>
      <w:tabs>
        <w:tab w:val="clear" w:pos="4153"/>
        <w:tab w:val="clear" w:pos="8306"/>
      </w:tabs>
      <w:rPr>
        <w:rFonts w:ascii="Arial" w:hAnsi="Arial" w:cs="Arial"/>
        <w:sz w:val="20"/>
      </w:rPr>
    </w:pPr>
    <w:r>
      <w:rPr>
        <w:noProof/>
      </w:rPr>
      <w:drawing>
        <wp:inline distT="0" distB="0" distL="0" distR="0" wp14:anchorId="32808E0C" wp14:editId="08D63AEE">
          <wp:extent cx="2273935" cy="6337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633730"/>
                  </a:xfrm>
                  <a:prstGeom prst="rect">
                    <a:avLst/>
                  </a:prstGeom>
                  <a:noFill/>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47697C"/>
    <w:multiLevelType w:val="hybridMultilevel"/>
    <w:tmpl w:val="F4248D6C"/>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068"/>
        </w:tabs>
        <w:ind w:left="1068" w:hanging="360"/>
      </w:pPr>
      <w:rPr>
        <w:rFonts w:hint="default"/>
        <w:color w:val="auto"/>
        <w:sz w:val="22"/>
        <w:szCs w:val="22"/>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C65F8F"/>
    <w:multiLevelType w:val="hybridMultilevel"/>
    <w:tmpl w:val="61160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0"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1"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9"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780D77"/>
    <w:multiLevelType w:val="hybridMultilevel"/>
    <w:tmpl w:val="646E3D50"/>
    <w:lvl w:ilvl="0" w:tplc="CE8EA444">
      <w:start w:val="1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C569E9"/>
    <w:multiLevelType w:val="hybridMultilevel"/>
    <w:tmpl w:val="52027D88"/>
    <w:lvl w:ilvl="0" w:tplc="32DEFB1E">
      <w:start w:val="20"/>
      <w:numFmt w:val="decimal"/>
      <w:lvlText w:val="%1."/>
      <w:lvlJc w:val="left"/>
      <w:pPr>
        <w:ind w:left="360" w:hanging="360"/>
      </w:pPr>
      <w:rPr>
        <w:rFonts w:hint="default"/>
      </w:rPr>
    </w:lvl>
    <w:lvl w:ilvl="1" w:tplc="A64E933E">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6"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8"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FCC3903"/>
    <w:multiLevelType w:val="hybridMultilevel"/>
    <w:tmpl w:val="0084485E"/>
    <w:lvl w:ilvl="0" w:tplc="DF4E7026">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3"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8424038"/>
    <w:multiLevelType w:val="hybridMultilevel"/>
    <w:tmpl w:val="F1B0AFC0"/>
    <w:lvl w:ilvl="0" w:tplc="5D364D7A">
      <w:start w:val="1"/>
      <w:numFmt w:val="decimal"/>
      <w:lvlText w:val="%1."/>
      <w:lvlJc w:val="left"/>
      <w:pPr>
        <w:tabs>
          <w:tab w:val="num" w:pos="360"/>
        </w:tabs>
        <w:ind w:left="360" w:hanging="360"/>
      </w:pPr>
      <w:rPr>
        <w:rFonts w:hint="default"/>
        <w:color w:val="auto"/>
        <w:sz w:val="22"/>
        <w:szCs w:val="22"/>
      </w:rPr>
    </w:lvl>
    <w:lvl w:ilvl="1" w:tplc="B0E85978">
      <w:start w:val="1"/>
      <w:numFmt w:val="lowerLetter"/>
      <w:lvlText w:val="%2)"/>
      <w:lvlJc w:val="left"/>
      <w:pPr>
        <w:tabs>
          <w:tab w:val="num" w:pos="1440"/>
        </w:tabs>
        <w:ind w:left="1440" w:hanging="360"/>
      </w:pPr>
      <w:rPr>
        <w:rFonts w:hint="default"/>
        <w:color w:val="auto"/>
        <w:sz w:val="22"/>
        <w:szCs w:val="22"/>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1"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31"/>
  </w:num>
  <w:num w:numId="4">
    <w:abstractNumId w:val="48"/>
  </w:num>
  <w:num w:numId="5">
    <w:abstractNumId w:val="8"/>
  </w:num>
  <w:num w:numId="6">
    <w:abstractNumId w:val="17"/>
  </w:num>
  <w:num w:numId="7">
    <w:abstractNumId w:val="43"/>
  </w:num>
  <w:num w:numId="8">
    <w:abstractNumId w:val="42"/>
  </w:num>
  <w:num w:numId="9">
    <w:abstractNumId w:val="33"/>
  </w:num>
  <w:num w:numId="10">
    <w:abstractNumId w:val="28"/>
  </w:num>
  <w:num w:numId="11">
    <w:abstractNumId w:val="49"/>
  </w:num>
  <w:num w:numId="12">
    <w:abstractNumId w:val="44"/>
  </w:num>
  <w:num w:numId="13">
    <w:abstractNumId w:val="47"/>
  </w:num>
  <w:num w:numId="14">
    <w:abstractNumId w:val="46"/>
  </w:num>
  <w:num w:numId="15">
    <w:abstractNumId w:val="26"/>
  </w:num>
  <w:num w:numId="16">
    <w:abstractNumId w:val="30"/>
  </w:num>
  <w:num w:numId="17">
    <w:abstractNumId w:val="14"/>
  </w:num>
  <w:num w:numId="18">
    <w:abstractNumId w:val="20"/>
  </w:num>
  <w:num w:numId="19">
    <w:abstractNumId w:val="5"/>
  </w:num>
  <w:num w:numId="20">
    <w:abstractNumId w:val="1"/>
  </w:num>
  <w:num w:numId="21">
    <w:abstractNumId w:val="16"/>
  </w:num>
  <w:num w:numId="22">
    <w:abstractNumId w:val="40"/>
  </w:num>
  <w:num w:numId="23">
    <w:abstractNumId w:val="13"/>
  </w:num>
  <w:num w:numId="24">
    <w:abstractNumId w:val="25"/>
  </w:num>
  <w:num w:numId="25">
    <w:abstractNumId w:val="38"/>
  </w:num>
  <w:num w:numId="26">
    <w:abstractNumId w:val="37"/>
  </w:num>
  <w:num w:numId="27">
    <w:abstractNumId w:val="12"/>
  </w:num>
  <w:num w:numId="28">
    <w:abstractNumId w:val="41"/>
  </w:num>
  <w:num w:numId="29">
    <w:abstractNumId w:val="24"/>
  </w:num>
  <w:num w:numId="30">
    <w:abstractNumId w:val="18"/>
  </w:num>
  <w:num w:numId="31">
    <w:abstractNumId w:val="9"/>
  </w:num>
  <w:num w:numId="32">
    <w:abstractNumId w:val="0"/>
  </w:num>
  <w:num w:numId="33">
    <w:abstractNumId w:val="10"/>
  </w:num>
  <w:num w:numId="34">
    <w:abstractNumId w:val="32"/>
  </w:num>
  <w:num w:numId="35">
    <w:abstractNumId w:val="45"/>
  </w:num>
  <w:num w:numId="36">
    <w:abstractNumId w:val="23"/>
  </w:num>
  <w:num w:numId="37">
    <w:abstractNumId w:val="15"/>
  </w:num>
  <w:num w:numId="38">
    <w:abstractNumId w:val="27"/>
  </w:num>
  <w:num w:numId="39">
    <w:abstractNumId w:val="2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6"/>
  </w:num>
  <w:num w:numId="43">
    <w:abstractNumId w:val="4"/>
  </w:num>
  <w:num w:numId="44">
    <w:abstractNumId w:val="7"/>
  </w:num>
  <w:num w:numId="45">
    <w:abstractNumId w:val="39"/>
  </w:num>
  <w:num w:numId="46">
    <w:abstractNumId w:val="3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22"/>
  </w:num>
  <w:num w:numId="50">
    <w:abstractNumId w:val="34"/>
  </w:num>
  <w:num w:numId="51">
    <w:abstractNumId w:val="2"/>
  </w:num>
  <w:num w:numId="52">
    <w:abstractNumId w:val="3"/>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43FA7"/>
    <w:rsid w:val="000552E8"/>
    <w:rsid w:val="00056585"/>
    <w:rsid w:val="0005674F"/>
    <w:rsid w:val="00065C6E"/>
    <w:rsid w:val="0007209E"/>
    <w:rsid w:val="00072E6E"/>
    <w:rsid w:val="00073F1B"/>
    <w:rsid w:val="00075B58"/>
    <w:rsid w:val="00081520"/>
    <w:rsid w:val="000868C3"/>
    <w:rsid w:val="000B11DD"/>
    <w:rsid w:val="000B1785"/>
    <w:rsid w:val="000B36F7"/>
    <w:rsid w:val="000C390A"/>
    <w:rsid w:val="000C77DD"/>
    <w:rsid w:val="000E295B"/>
    <w:rsid w:val="000E45A0"/>
    <w:rsid w:val="00101CD5"/>
    <w:rsid w:val="00107460"/>
    <w:rsid w:val="00111D40"/>
    <w:rsid w:val="00112415"/>
    <w:rsid w:val="0013678D"/>
    <w:rsid w:val="00140A34"/>
    <w:rsid w:val="00142036"/>
    <w:rsid w:val="00146ED8"/>
    <w:rsid w:val="00167202"/>
    <w:rsid w:val="00171A35"/>
    <w:rsid w:val="001828A4"/>
    <w:rsid w:val="001A3BE2"/>
    <w:rsid w:val="001A7447"/>
    <w:rsid w:val="001C35E7"/>
    <w:rsid w:val="001C4578"/>
    <w:rsid w:val="001D02E6"/>
    <w:rsid w:val="001F0184"/>
    <w:rsid w:val="001F28A6"/>
    <w:rsid w:val="001F2A16"/>
    <w:rsid w:val="001F6921"/>
    <w:rsid w:val="001F7C3E"/>
    <w:rsid w:val="00201969"/>
    <w:rsid w:val="0021222C"/>
    <w:rsid w:val="00213FA5"/>
    <w:rsid w:val="0021496E"/>
    <w:rsid w:val="00222AFB"/>
    <w:rsid w:val="002268D6"/>
    <w:rsid w:val="0023733A"/>
    <w:rsid w:val="0024044F"/>
    <w:rsid w:val="00240CFB"/>
    <w:rsid w:val="00245D00"/>
    <w:rsid w:val="00255FE2"/>
    <w:rsid w:val="00257F2D"/>
    <w:rsid w:val="00262F9F"/>
    <w:rsid w:val="00266D2D"/>
    <w:rsid w:val="0027331F"/>
    <w:rsid w:val="00285E76"/>
    <w:rsid w:val="00286F5F"/>
    <w:rsid w:val="002949C3"/>
    <w:rsid w:val="002A0876"/>
    <w:rsid w:val="002A10A4"/>
    <w:rsid w:val="002A26FE"/>
    <w:rsid w:val="002A7544"/>
    <w:rsid w:val="002B1423"/>
    <w:rsid w:val="002B62ED"/>
    <w:rsid w:val="002F1257"/>
    <w:rsid w:val="00310C61"/>
    <w:rsid w:val="003171B3"/>
    <w:rsid w:val="00317957"/>
    <w:rsid w:val="0032559D"/>
    <w:rsid w:val="00331616"/>
    <w:rsid w:val="00333567"/>
    <w:rsid w:val="00344575"/>
    <w:rsid w:val="0035113C"/>
    <w:rsid w:val="00354525"/>
    <w:rsid w:val="00374385"/>
    <w:rsid w:val="00380CC4"/>
    <w:rsid w:val="003C0686"/>
    <w:rsid w:val="003D08CF"/>
    <w:rsid w:val="003D0CBA"/>
    <w:rsid w:val="003D0F6A"/>
    <w:rsid w:val="003D4BA8"/>
    <w:rsid w:val="003D683F"/>
    <w:rsid w:val="003E5269"/>
    <w:rsid w:val="00405394"/>
    <w:rsid w:val="004066E4"/>
    <w:rsid w:val="0040680B"/>
    <w:rsid w:val="00407361"/>
    <w:rsid w:val="00417C55"/>
    <w:rsid w:val="00424A7B"/>
    <w:rsid w:val="004447C1"/>
    <w:rsid w:val="00446AA8"/>
    <w:rsid w:val="0045590D"/>
    <w:rsid w:val="0046211F"/>
    <w:rsid w:val="0046787B"/>
    <w:rsid w:val="00483BCB"/>
    <w:rsid w:val="00486653"/>
    <w:rsid w:val="00493CA7"/>
    <w:rsid w:val="004A5FDA"/>
    <w:rsid w:val="004B1896"/>
    <w:rsid w:val="004B4E2A"/>
    <w:rsid w:val="004D098C"/>
    <w:rsid w:val="004D24A9"/>
    <w:rsid w:val="004D41FE"/>
    <w:rsid w:val="004E04E7"/>
    <w:rsid w:val="004E5357"/>
    <w:rsid w:val="004F4A07"/>
    <w:rsid w:val="004F5EB1"/>
    <w:rsid w:val="004F6887"/>
    <w:rsid w:val="005030AD"/>
    <w:rsid w:val="0051249C"/>
    <w:rsid w:val="00516C23"/>
    <w:rsid w:val="005176E7"/>
    <w:rsid w:val="00520330"/>
    <w:rsid w:val="00524B6B"/>
    <w:rsid w:val="00526403"/>
    <w:rsid w:val="005413EE"/>
    <w:rsid w:val="005517E8"/>
    <w:rsid w:val="0057088E"/>
    <w:rsid w:val="00586521"/>
    <w:rsid w:val="00587443"/>
    <w:rsid w:val="00587C50"/>
    <w:rsid w:val="005917F3"/>
    <w:rsid w:val="005B0ACD"/>
    <w:rsid w:val="005B50A2"/>
    <w:rsid w:val="005C3408"/>
    <w:rsid w:val="005D0407"/>
    <w:rsid w:val="005D611B"/>
    <w:rsid w:val="005F1ACE"/>
    <w:rsid w:val="005F256D"/>
    <w:rsid w:val="0060183A"/>
    <w:rsid w:val="00603110"/>
    <w:rsid w:val="00611C8E"/>
    <w:rsid w:val="00624954"/>
    <w:rsid w:val="006302F7"/>
    <w:rsid w:val="00631F30"/>
    <w:rsid w:val="006374D4"/>
    <w:rsid w:val="00640CC2"/>
    <w:rsid w:val="00642420"/>
    <w:rsid w:val="00646158"/>
    <w:rsid w:val="006513F4"/>
    <w:rsid w:val="00654EC2"/>
    <w:rsid w:val="0066622C"/>
    <w:rsid w:val="00666487"/>
    <w:rsid w:val="00673B37"/>
    <w:rsid w:val="00690A47"/>
    <w:rsid w:val="006945EA"/>
    <w:rsid w:val="006B5470"/>
    <w:rsid w:val="006B554E"/>
    <w:rsid w:val="006D0138"/>
    <w:rsid w:val="006D6F52"/>
    <w:rsid w:val="00701718"/>
    <w:rsid w:val="00710359"/>
    <w:rsid w:val="00712FFF"/>
    <w:rsid w:val="00722DBF"/>
    <w:rsid w:val="00730D5B"/>
    <w:rsid w:val="00735157"/>
    <w:rsid w:val="0076271C"/>
    <w:rsid w:val="00767CE8"/>
    <w:rsid w:val="00775490"/>
    <w:rsid w:val="0078572D"/>
    <w:rsid w:val="00795D0C"/>
    <w:rsid w:val="00797F42"/>
    <w:rsid w:val="007A55BA"/>
    <w:rsid w:val="007C1FBD"/>
    <w:rsid w:val="007C54B3"/>
    <w:rsid w:val="007C5622"/>
    <w:rsid w:val="007C5C8E"/>
    <w:rsid w:val="007E0A01"/>
    <w:rsid w:val="007E22F5"/>
    <w:rsid w:val="007F25F3"/>
    <w:rsid w:val="007F4901"/>
    <w:rsid w:val="00826DEB"/>
    <w:rsid w:val="00832A78"/>
    <w:rsid w:val="00836B02"/>
    <w:rsid w:val="008467D4"/>
    <w:rsid w:val="00850FB0"/>
    <w:rsid w:val="0085238E"/>
    <w:rsid w:val="00853428"/>
    <w:rsid w:val="008540EA"/>
    <w:rsid w:val="00866A00"/>
    <w:rsid w:val="008702A6"/>
    <w:rsid w:val="008757CE"/>
    <w:rsid w:val="0088392C"/>
    <w:rsid w:val="00897C0E"/>
    <w:rsid w:val="00897E31"/>
    <w:rsid w:val="008A046F"/>
    <w:rsid w:val="008A405A"/>
    <w:rsid w:val="008A6A6A"/>
    <w:rsid w:val="008B650A"/>
    <w:rsid w:val="008B787C"/>
    <w:rsid w:val="008C3898"/>
    <w:rsid w:val="008C66CC"/>
    <w:rsid w:val="008F483C"/>
    <w:rsid w:val="00910595"/>
    <w:rsid w:val="00910756"/>
    <w:rsid w:val="00912D61"/>
    <w:rsid w:val="00913AA7"/>
    <w:rsid w:val="0092024D"/>
    <w:rsid w:val="009322D7"/>
    <w:rsid w:val="00932BDE"/>
    <w:rsid w:val="009371D0"/>
    <w:rsid w:val="00967725"/>
    <w:rsid w:val="0098195F"/>
    <w:rsid w:val="009902F8"/>
    <w:rsid w:val="00993BB8"/>
    <w:rsid w:val="0099555F"/>
    <w:rsid w:val="009A22A1"/>
    <w:rsid w:val="009B3A1B"/>
    <w:rsid w:val="009B6332"/>
    <w:rsid w:val="009C04E5"/>
    <w:rsid w:val="009C0912"/>
    <w:rsid w:val="009C7443"/>
    <w:rsid w:val="009D6694"/>
    <w:rsid w:val="009F0300"/>
    <w:rsid w:val="00A06326"/>
    <w:rsid w:val="00A167A8"/>
    <w:rsid w:val="00A21F0A"/>
    <w:rsid w:val="00A26011"/>
    <w:rsid w:val="00A506C2"/>
    <w:rsid w:val="00A62886"/>
    <w:rsid w:val="00A74C38"/>
    <w:rsid w:val="00A77D24"/>
    <w:rsid w:val="00A8572F"/>
    <w:rsid w:val="00A93E07"/>
    <w:rsid w:val="00A979CF"/>
    <w:rsid w:val="00A97C9B"/>
    <w:rsid w:val="00AA4DF8"/>
    <w:rsid w:val="00AB780C"/>
    <w:rsid w:val="00AC1422"/>
    <w:rsid w:val="00AC2448"/>
    <w:rsid w:val="00AD0B0B"/>
    <w:rsid w:val="00AD5188"/>
    <w:rsid w:val="00AD5ADE"/>
    <w:rsid w:val="00AE7138"/>
    <w:rsid w:val="00AF4CAF"/>
    <w:rsid w:val="00B117BA"/>
    <w:rsid w:val="00B15586"/>
    <w:rsid w:val="00B15F23"/>
    <w:rsid w:val="00B16508"/>
    <w:rsid w:val="00B20D87"/>
    <w:rsid w:val="00B24053"/>
    <w:rsid w:val="00B31550"/>
    <w:rsid w:val="00B4658F"/>
    <w:rsid w:val="00B54CC3"/>
    <w:rsid w:val="00B578AC"/>
    <w:rsid w:val="00B62F06"/>
    <w:rsid w:val="00B6433F"/>
    <w:rsid w:val="00B64CF5"/>
    <w:rsid w:val="00B76C9B"/>
    <w:rsid w:val="00B823A1"/>
    <w:rsid w:val="00B8428B"/>
    <w:rsid w:val="00B914F8"/>
    <w:rsid w:val="00B936F4"/>
    <w:rsid w:val="00BA033D"/>
    <w:rsid w:val="00BA41F5"/>
    <w:rsid w:val="00BB3C9C"/>
    <w:rsid w:val="00BF4822"/>
    <w:rsid w:val="00C01D22"/>
    <w:rsid w:val="00C104B6"/>
    <w:rsid w:val="00C10F02"/>
    <w:rsid w:val="00C114F4"/>
    <w:rsid w:val="00C11D03"/>
    <w:rsid w:val="00C234B1"/>
    <w:rsid w:val="00C31967"/>
    <w:rsid w:val="00C34C96"/>
    <w:rsid w:val="00C371DE"/>
    <w:rsid w:val="00C409AE"/>
    <w:rsid w:val="00C4143E"/>
    <w:rsid w:val="00C42D50"/>
    <w:rsid w:val="00C54DF8"/>
    <w:rsid w:val="00C60B49"/>
    <w:rsid w:val="00C7440A"/>
    <w:rsid w:val="00C84296"/>
    <w:rsid w:val="00C865ED"/>
    <w:rsid w:val="00C8775A"/>
    <w:rsid w:val="00CA0877"/>
    <w:rsid w:val="00CA6B59"/>
    <w:rsid w:val="00CB138C"/>
    <w:rsid w:val="00CB3B6C"/>
    <w:rsid w:val="00CB75F1"/>
    <w:rsid w:val="00CC1833"/>
    <w:rsid w:val="00CC189F"/>
    <w:rsid w:val="00CC3368"/>
    <w:rsid w:val="00CF19C4"/>
    <w:rsid w:val="00CF2B0A"/>
    <w:rsid w:val="00D13C04"/>
    <w:rsid w:val="00D20A78"/>
    <w:rsid w:val="00D278BA"/>
    <w:rsid w:val="00D30DC1"/>
    <w:rsid w:val="00D40454"/>
    <w:rsid w:val="00D4059C"/>
    <w:rsid w:val="00D478FC"/>
    <w:rsid w:val="00D53D8F"/>
    <w:rsid w:val="00D61C76"/>
    <w:rsid w:val="00D77015"/>
    <w:rsid w:val="00D92B48"/>
    <w:rsid w:val="00DA4851"/>
    <w:rsid w:val="00DB1693"/>
    <w:rsid w:val="00DD5B07"/>
    <w:rsid w:val="00DE6821"/>
    <w:rsid w:val="00DF2022"/>
    <w:rsid w:val="00DF34BE"/>
    <w:rsid w:val="00DF5D59"/>
    <w:rsid w:val="00E10B37"/>
    <w:rsid w:val="00E239E4"/>
    <w:rsid w:val="00E36A38"/>
    <w:rsid w:val="00E53399"/>
    <w:rsid w:val="00E72CD0"/>
    <w:rsid w:val="00E773C7"/>
    <w:rsid w:val="00E77995"/>
    <w:rsid w:val="00E87099"/>
    <w:rsid w:val="00E96940"/>
    <w:rsid w:val="00EA08A7"/>
    <w:rsid w:val="00EA28E6"/>
    <w:rsid w:val="00EF78C4"/>
    <w:rsid w:val="00F04CD7"/>
    <w:rsid w:val="00F14BD8"/>
    <w:rsid w:val="00F17C29"/>
    <w:rsid w:val="00F23E15"/>
    <w:rsid w:val="00F244A2"/>
    <w:rsid w:val="00F35064"/>
    <w:rsid w:val="00F374D8"/>
    <w:rsid w:val="00F458FD"/>
    <w:rsid w:val="00F539FB"/>
    <w:rsid w:val="00F5684D"/>
    <w:rsid w:val="00F57AB6"/>
    <w:rsid w:val="00F6480F"/>
    <w:rsid w:val="00F64868"/>
    <w:rsid w:val="00F70C2E"/>
    <w:rsid w:val="00F84DF2"/>
    <w:rsid w:val="00F86713"/>
    <w:rsid w:val="00F932E0"/>
    <w:rsid w:val="00FB7701"/>
    <w:rsid w:val="00FC40F0"/>
    <w:rsid w:val="00FC6D3B"/>
    <w:rsid w:val="00FD0129"/>
    <w:rsid w:val="00FD7475"/>
    <w:rsid w:val="00FE17ED"/>
    <w:rsid w:val="00FE37A0"/>
    <w:rsid w:val="00FF4315"/>
    <w:rsid w:val="00FF477E"/>
    <w:rsid w:val="00FF6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A35"/>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aliases w:val="NFP GP Bulleted List,List Paragraph1,Recommendation,List Paragraph11,Brief List Paragraph 1,DDM Gen Text,L,Bullet point,List Paragraph2,FooterText,numbered,Paragraphe de liste1,Bulletr List Paragraph,列出段落,列出段落1,List Paragraph21,Dot Points"/>
    <w:basedOn w:val="Normal"/>
    <w:link w:val="ListParagraphChar"/>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ListParagraphChar">
    <w:name w:val="List Paragraph Char"/>
    <w:aliases w:val="NFP GP Bulleted List Char,List Paragraph1 Char,Recommendation Char,List Paragraph11 Char,Brief List Paragraph 1 Char,DDM Gen Text Char,L Char,Bullet point Char,List Paragraph2 Char,FooterText Char,numbered Char,列出段落 Char,列出段落1 Char"/>
    <w:basedOn w:val="DefaultParagraphFont"/>
    <w:link w:val="ListParagraph"/>
    <w:uiPriority w:val="34"/>
    <w:qFormat/>
    <w:locked/>
    <w:rsid w:val="00BA033D"/>
    <w:rPr>
      <w:rFonts w:ascii="Calibri" w:eastAsia="Calibri" w:hAnsi="Calibri"/>
      <w:sz w:val="22"/>
      <w:szCs w:val="22"/>
      <w:lang w:eastAsia="en-US"/>
    </w:rPr>
  </w:style>
  <w:style w:type="paragraph" w:customStyle="1" w:styleId="NumberLevel1">
    <w:name w:val="Number Level 1"/>
    <w:aliases w:val="N1"/>
    <w:basedOn w:val="Normal"/>
    <w:hidden/>
    <w:uiPriority w:val="1"/>
    <w:rsid w:val="00B914F8"/>
    <w:pPr>
      <w:numPr>
        <w:numId w:val="48"/>
      </w:numPr>
      <w:spacing w:before="140" w:after="140" w:line="280" w:lineRule="atLeast"/>
    </w:pPr>
    <w:rPr>
      <w:rFonts w:ascii="Arial" w:hAnsi="Arial" w:cs="Arial"/>
      <w:sz w:val="22"/>
      <w:szCs w:val="22"/>
    </w:rPr>
  </w:style>
  <w:style w:type="paragraph" w:customStyle="1" w:styleId="NumberLevel2">
    <w:name w:val="Number Level 2"/>
    <w:aliases w:val="N2"/>
    <w:basedOn w:val="Normal"/>
    <w:hidden/>
    <w:uiPriority w:val="1"/>
    <w:rsid w:val="00B914F8"/>
    <w:pPr>
      <w:numPr>
        <w:ilvl w:val="1"/>
        <w:numId w:val="48"/>
      </w:numPr>
      <w:spacing w:before="140" w:after="140" w:line="280" w:lineRule="atLeast"/>
    </w:pPr>
    <w:rPr>
      <w:rFonts w:ascii="Arial" w:hAnsi="Arial" w:cs="Arial"/>
      <w:sz w:val="22"/>
      <w:szCs w:val="22"/>
    </w:rPr>
  </w:style>
  <w:style w:type="paragraph" w:customStyle="1" w:styleId="NumberLevel3">
    <w:name w:val="Number Level 3"/>
    <w:aliases w:val="N3"/>
    <w:basedOn w:val="Normal"/>
    <w:hidden/>
    <w:uiPriority w:val="1"/>
    <w:rsid w:val="00B914F8"/>
    <w:pPr>
      <w:numPr>
        <w:ilvl w:val="2"/>
        <w:numId w:val="48"/>
      </w:numPr>
      <w:spacing w:before="140" w:after="140" w:line="280" w:lineRule="atLeast"/>
    </w:pPr>
    <w:rPr>
      <w:rFonts w:ascii="Arial" w:hAnsi="Arial" w:cs="Arial"/>
      <w:sz w:val="22"/>
      <w:szCs w:val="22"/>
    </w:rPr>
  </w:style>
  <w:style w:type="paragraph" w:customStyle="1" w:styleId="NumberLevel4">
    <w:name w:val="Number Level 4"/>
    <w:aliases w:val="N4"/>
    <w:basedOn w:val="Normal"/>
    <w:hidden/>
    <w:uiPriority w:val="1"/>
    <w:rsid w:val="00B914F8"/>
    <w:pPr>
      <w:numPr>
        <w:ilvl w:val="3"/>
        <w:numId w:val="48"/>
      </w:numPr>
      <w:spacing w:after="140" w:line="280" w:lineRule="atLeast"/>
    </w:pPr>
    <w:rPr>
      <w:rFonts w:ascii="Arial" w:hAnsi="Arial" w:cs="Arial"/>
      <w:sz w:val="22"/>
      <w:szCs w:val="22"/>
    </w:rPr>
  </w:style>
  <w:style w:type="paragraph" w:customStyle="1" w:styleId="NumberLevel5">
    <w:name w:val="Number Level 5"/>
    <w:aliases w:val="N5"/>
    <w:basedOn w:val="Normal"/>
    <w:hidden/>
    <w:uiPriority w:val="1"/>
    <w:rsid w:val="00B914F8"/>
    <w:pPr>
      <w:numPr>
        <w:ilvl w:val="4"/>
        <w:numId w:val="48"/>
      </w:numPr>
      <w:spacing w:after="140" w:line="280" w:lineRule="atLeast"/>
    </w:pPr>
    <w:rPr>
      <w:rFonts w:ascii="Arial" w:hAnsi="Arial" w:cs="Arial"/>
      <w:sz w:val="22"/>
      <w:szCs w:val="22"/>
    </w:rPr>
  </w:style>
  <w:style w:type="paragraph" w:customStyle="1" w:styleId="NumberLevel6">
    <w:name w:val="Number Level 6"/>
    <w:basedOn w:val="NumberLevel5"/>
    <w:uiPriority w:val="1"/>
    <w:rsid w:val="00B914F8"/>
    <w:pPr>
      <w:numPr>
        <w:ilvl w:val="5"/>
      </w:numPr>
    </w:pPr>
  </w:style>
  <w:style w:type="paragraph" w:customStyle="1" w:styleId="NumberLevel7">
    <w:name w:val="Number Level 7"/>
    <w:basedOn w:val="NumberLevel6"/>
    <w:uiPriority w:val="1"/>
    <w:rsid w:val="00B914F8"/>
    <w:pPr>
      <w:numPr>
        <w:ilvl w:val="6"/>
      </w:numPr>
    </w:pPr>
  </w:style>
  <w:style w:type="paragraph" w:customStyle="1" w:styleId="NumberLevel8">
    <w:name w:val="Number Level 8"/>
    <w:basedOn w:val="NumberLevel7"/>
    <w:uiPriority w:val="1"/>
    <w:rsid w:val="00B914F8"/>
    <w:pPr>
      <w:numPr>
        <w:ilvl w:val="7"/>
      </w:numPr>
    </w:pPr>
  </w:style>
  <w:style w:type="paragraph" w:customStyle="1" w:styleId="NumberLevel9">
    <w:name w:val="Number Level 9"/>
    <w:basedOn w:val="NumberLevel8"/>
    <w:uiPriority w:val="1"/>
    <w:rsid w:val="00B914F8"/>
    <w:pPr>
      <w:numPr>
        <w:ilvl w:val="8"/>
      </w:numPr>
    </w:pPr>
  </w:style>
  <w:style w:type="paragraph" w:customStyle="1" w:styleId="AdviceNumLevel1">
    <w:name w:val="AdviceNumLevel1"/>
    <w:aliases w:val="Advice N1"/>
    <w:basedOn w:val="NumberLevel1"/>
    <w:qFormat/>
    <w:rsid w:val="00B914F8"/>
  </w:style>
  <w:style w:type="paragraph" w:customStyle="1" w:styleId="subsection">
    <w:name w:val="subsection"/>
    <w:basedOn w:val="Normal"/>
    <w:rsid w:val="00F14BD8"/>
    <w:pPr>
      <w:spacing w:before="100" w:beforeAutospacing="1" w:after="100" w:afterAutospacing="1"/>
    </w:pPr>
    <w:rPr>
      <w:szCs w:val="24"/>
    </w:rPr>
  </w:style>
  <w:style w:type="paragraph" w:customStyle="1" w:styleId="paragraph">
    <w:name w:val="paragraph"/>
    <w:basedOn w:val="Normal"/>
    <w:rsid w:val="00F14BD8"/>
    <w:pPr>
      <w:spacing w:before="100" w:beforeAutospacing="1" w:after="100" w:afterAutospacing="1"/>
    </w:pPr>
    <w:rPr>
      <w:szCs w:val="24"/>
    </w:rPr>
  </w:style>
  <w:style w:type="character" w:customStyle="1" w:styleId="FootnoteTextChar">
    <w:name w:val="Footnote Text Char"/>
    <w:basedOn w:val="DefaultParagraphFont"/>
    <w:link w:val="FootnoteText"/>
    <w:uiPriority w:val="99"/>
    <w:rsid w:val="0048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19882">
      <w:bodyDiv w:val="1"/>
      <w:marLeft w:val="0"/>
      <w:marRight w:val="0"/>
      <w:marTop w:val="0"/>
      <w:marBottom w:val="0"/>
      <w:divBdr>
        <w:top w:val="none" w:sz="0" w:space="0" w:color="auto"/>
        <w:left w:val="none" w:sz="0" w:space="0" w:color="auto"/>
        <w:bottom w:val="none" w:sz="0" w:space="0" w:color="auto"/>
        <w:right w:val="none" w:sz="0" w:space="0" w:color="auto"/>
      </w:divBdr>
    </w:div>
    <w:div w:id="166555712">
      <w:bodyDiv w:val="1"/>
      <w:marLeft w:val="0"/>
      <w:marRight w:val="0"/>
      <w:marTop w:val="0"/>
      <w:marBottom w:val="0"/>
      <w:divBdr>
        <w:top w:val="none" w:sz="0" w:space="0" w:color="auto"/>
        <w:left w:val="none" w:sz="0" w:space="0" w:color="auto"/>
        <w:bottom w:val="none" w:sz="0" w:space="0" w:color="auto"/>
        <w:right w:val="none" w:sz="0" w:space="0" w:color="auto"/>
      </w:divBdr>
    </w:div>
    <w:div w:id="624774573">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37816387">
      <w:bodyDiv w:val="1"/>
      <w:marLeft w:val="0"/>
      <w:marRight w:val="0"/>
      <w:marTop w:val="0"/>
      <w:marBottom w:val="0"/>
      <w:divBdr>
        <w:top w:val="none" w:sz="0" w:space="0" w:color="auto"/>
        <w:left w:val="none" w:sz="0" w:space="0" w:color="auto"/>
        <w:bottom w:val="none" w:sz="0" w:space="0" w:color="auto"/>
        <w:right w:val="none" w:sz="0" w:space="0" w:color="auto"/>
      </w:divBdr>
    </w:div>
    <w:div w:id="195890241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Consultation/Consultation-groups/Stakeholder-relationship-groups/Modernising-Business-Registers-Business-Advisory-Grou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2022-06-16T03:10:00Z</dcterms:created>
  <dcterms:modified xsi:type="dcterms:W3CDTF">2022-06-16T03:12:00Z</dcterms:modified>
</cp:coreProperties>
</file>