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C1B4F" w14:textId="77777777" w:rsidR="001F2A16" w:rsidRDefault="001F2A16" w:rsidP="0021496E">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7E0A01">
        <w:rPr>
          <w:rFonts w:ascii="Arial" w:hAnsi="Arial" w:cs="Arial"/>
          <w:sz w:val="34"/>
          <w:szCs w:val="34"/>
        </w:rPr>
        <w:t>Explanatory Statement</w:t>
      </w:r>
    </w:p>
    <w:p w14:paraId="15AC1B50" w14:textId="77777777" w:rsidR="001F2A16" w:rsidRPr="007E0A01" w:rsidRDefault="001F2A16" w:rsidP="00851849">
      <w:pPr>
        <w:pStyle w:val="Header"/>
        <w:pBdr>
          <w:top w:val="double" w:sz="4" w:space="1" w:color="auto"/>
          <w:bottom w:val="double" w:sz="4" w:space="1" w:color="auto"/>
        </w:pBdr>
        <w:tabs>
          <w:tab w:val="clear" w:pos="4153"/>
          <w:tab w:val="clear" w:pos="8306"/>
        </w:tabs>
        <w:rPr>
          <w:rFonts w:ascii="Arial" w:hAnsi="Arial" w:cs="Arial"/>
          <w:sz w:val="34"/>
          <w:szCs w:val="34"/>
        </w:rPr>
      </w:pPr>
    </w:p>
    <w:p w14:paraId="6B8F7B13" w14:textId="2550154C" w:rsidR="009371D0" w:rsidRDefault="00851849" w:rsidP="00E033CE">
      <w:pPr>
        <w:pStyle w:val="Header"/>
        <w:pBdr>
          <w:top w:val="double" w:sz="4" w:space="1" w:color="auto"/>
          <w:bottom w:val="double" w:sz="4" w:space="1" w:color="auto"/>
        </w:pBdr>
        <w:spacing w:before="120"/>
        <w:jc w:val="center"/>
        <w:rPr>
          <w:rFonts w:ascii="Arial" w:hAnsi="Arial" w:cs="Arial"/>
          <w:sz w:val="34"/>
          <w:szCs w:val="34"/>
        </w:rPr>
      </w:pPr>
      <w:r w:rsidRPr="00851849">
        <w:rPr>
          <w:rFonts w:ascii="Arial" w:hAnsi="Arial" w:cs="Arial"/>
          <w:sz w:val="34"/>
          <w:szCs w:val="34"/>
        </w:rPr>
        <w:t>SMSF Approved Auditor—Transitional Registry Operations</w:t>
      </w:r>
      <w:r w:rsidRPr="00851849">
        <w:rPr>
          <w:rFonts w:ascii="Arial" w:hAnsi="Arial" w:cs="Arial"/>
          <w:sz w:val="34"/>
          <w:szCs w:val="34"/>
        </w:rPr>
        <w:br/>
        <w:t>Data Standard 2022</w:t>
      </w:r>
    </w:p>
    <w:p w14:paraId="15AC1B52" w14:textId="5B65CDA8" w:rsidR="0099555F" w:rsidRPr="007E0A01" w:rsidRDefault="0099555F" w:rsidP="0021496E">
      <w:pPr>
        <w:pStyle w:val="Header"/>
        <w:tabs>
          <w:tab w:val="clear" w:pos="4153"/>
          <w:tab w:val="clear" w:pos="8306"/>
        </w:tabs>
        <w:jc w:val="center"/>
        <w:rPr>
          <w:rFonts w:ascii="Arial" w:hAnsi="Arial" w:cs="Arial"/>
          <w:szCs w:val="24"/>
        </w:rPr>
      </w:pPr>
    </w:p>
    <w:p w14:paraId="15AC1B53" w14:textId="77777777" w:rsidR="001F2A16" w:rsidRPr="007E0A01" w:rsidRDefault="001F2A16" w:rsidP="0021496E">
      <w:pPr>
        <w:pStyle w:val="Header"/>
        <w:tabs>
          <w:tab w:val="clear" w:pos="4153"/>
          <w:tab w:val="clear" w:pos="8306"/>
        </w:tabs>
        <w:jc w:val="center"/>
        <w:rPr>
          <w:rFonts w:ascii="Arial" w:hAnsi="Arial" w:cs="Arial"/>
          <w:szCs w:val="24"/>
        </w:rPr>
      </w:pPr>
    </w:p>
    <w:p w14:paraId="15AC1B54" w14:textId="179E8BC3" w:rsidR="00486653" w:rsidRDefault="00486653" w:rsidP="00910595">
      <w:pPr>
        <w:pStyle w:val="Heading2"/>
      </w:pPr>
      <w:r w:rsidRPr="00240CFB">
        <w:t>General Outline of Instrument</w:t>
      </w:r>
    </w:p>
    <w:p w14:paraId="15AC1B56" w14:textId="3C359588" w:rsidR="00486653" w:rsidRPr="008663FC" w:rsidRDefault="00486653" w:rsidP="00CB3A5C">
      <w:pPr>
        <w:numPr>
          <w:ilvl w:val="0"/>
          <w:numId w:val="1"/>
        </w:numPr>
        <w:tabs>
          <w:tab w:val="clear" w:pos="360"/>
        </w:tabs>
        <w:spacing w:after="120" w:line="276" w:lineRule="auto"/>
        <w:ind w:left="567" w:hanging="567"/>
        <w:rPr>
          <w:rFonts w:ascii="Arial" w:hAnsi="Arial" w:cs="Arial"/>
          <w:sz w:val="22"/>
          <w:szCs w:val="22"/>
        </w:rPr>
      </w:pPr>
      <w:r w:rsidRPr="008663FC">
        <w:rPr>
          <w:rFonts w:ascii="Arial" w:hAnsi="Arial" w:cs="Arial"/>
          <w:sz w:val="22"/>
          <w:szCs w:val="22"/>
        </w:rPr>
        <w:t xml:space="preserve">This instrument is </w:t>
      </w:r>
      <w:r w:rsidRPr="009B69CD">
        <w:rPr>
          <w:rFonts w:ascii="Arial" w:hAnsi="Arial" w:cs="Arial"/>
          <w:sz w:val="22"/>
          <w:szCs w:val="22"/>
        </w:rPr>
        <w:t>made unde</w:t>
      </w:r>
      <w:r w:rsidR="008663FC" w:rsidRPr="009B69CD">
        <w:rPr>
          <w:rFonts w:ascii="Arial" w:hAnsi="Arial" w:cs="Arial"/>
          <w:sz w:val="22"/>
          <w:szCs w:val="22"/>
        </w:rPr>
        <w:t>r</w:t>
      </w:r>
      <w:r w:rsidR="009B69CD" w:rsidRPr="009B69CD">
        <w:rPr>
          <w:rFonts w:ascii="Arial" w:hAnsi="Arial" w:cs="Arial"/>
          <w:sz w:val="22"/>
          <w:szCs w:val="22"/>
        </w:rPr>
        <w:t xml:space="preserve"> subsection 1</w:t>
      </w:r>
      <w:r w:rsidR="00692F08">
        <w:rPr>
          <w:rFonts w:ascii="Arial" w:hAnsi="Arial" w:cs="Arial"/>
          <w:sz w:val="22"/>
          <w:szCs w:val="22"/>
        </w:rPr>
        <w:t>3</w:t>
      </w:r>
      <w:r w:rsidR="009B69CD" w:rsidRPr="009B69CD">
        <w:rPr>
          <w:rFonts w:ascii="Arial" w:hAnsi="Arial" w:cs="Arial"/>
          <w:sz w:val="22"/>
          <w:szCs w:val="22"/>
        </w:rPr>
        <w:t>(1) of</w:t>
      </w:r>
      <w:r w:rsidR="008663FC" w:rsidRPr="009B69CD">
        <w:rPr>
          <w:rFonts w:ascii="Arial" w:hAnsi="Arial" w:cs="Arial"/>
          <w:sz w:val="22"/>
          <w:szCs w:val="22"/>
        </w:rPr>
        <w:t xml:space="preserve"> </w:t>
      </w:r>
      <w:r w:rsidR="008663FC" w:rsidRPr="009B69CD">
        <w:rPr>
          <w:rFonts w:ascii="Arial" w:hAnsi="Arial" w:cs="Arial"/>
          <w:sz w:val="22"/>
        </w:rPr>
        <w:t xml:space="preserve">the </w:t>
      </w:r>
      <w:r w:rsidR="008663FC" w:rsidRPr="009B69CD">
        <w:rPr>
          <w:rFonts w:ascii="Arial" w:hAnsi="Arial" w:cs="Arial"/>
          <w:i/>
          <w:sz w:val="22"/>
        </w:rPr>
        <w:t>Commonwealth Register</w:t>
      </w:r>
      <w:r w:rsidR="00B61314" w:rsidRPr="009B69CD">
        <w:rPr>
          <w:rFonts w:ascii="Arial" w:hAnsi="Arial" w:cs="Arial"/>
          <w:i/>
          <w:sz w:val="22"/>
        </w:rPr>
        <w:t>s</w:t>
      </w:r>
      <w:r w:rsidR="008663FC" w:rsidRPr="009B69CD">
        <w:rPr>
          <w:rFonts w:ascii="Arial" w:hAnsi="Arial" w:cs="Arial"/>
          <w:i/>
          <w:sz w:val="22"/>
        </w:rPr>
        <w:t xml:space="preserve"> Act 2020</w:t>
      </w:r>
      <w:r w:rsidR="008663FC" w:rsidRPr="009B69CD">
        <w:rPr>
          <w:rFonts w:ascii="Arial" w:hAnsi="Arial" w:cs="Arial"/>
          <w:sz w:val="22"/>
        </w:rPr>
        <w:t>.</w:t>
      </w:r>
    </w:p>
    <w:p w14:paraId="652393C8" w14:textId="22E02549" w:rsidR="009371D0" w:rsidRPr="008663FC" w:rsidRDefault="00692F08" w:rsidP="00CB3A5C">
      <w:pPr>
        <w:pStyle w:val="ListParagraph"/>
        <w:numPr>
          <w:ilvl w:val="0"/>
          <w:numId w:val="1"/>
        </w:numPr>
        <w:tabs>
          <w:tab w:val="clear" w:pos="360"/>
        </w:tabs>
        <w:spacing w:before="120" w:after="120"/>
        <w:ind w:left="567" w:hanging="567"/>
        <w:rPr>
          <w:rFonts w:ascii="Arial" w:hAnsi="Arial" w:cs="Arial"/>
        </w:rPr>
      </w:pPr>
      <w:r w:rsidRPr="00424AF8">
        <w:rPr>
          <w:rFonts w:ascii="Arial" w:hAnsi="Arial" w:cs="Arial"/>
        </w:rPr>
        <w:t xml:space="preserve">This instrument </w:t>
      </w:r>
      <w:r>
        <w:rPr>
          <w:rFonts w:ascii="Arial" w:hAnsi="Arial" w:cs="Arial"/>
        </w:rPr>
        <w:t xml:space="preserve">provides </w:t>
      </w:r>
      <w:r w:rsidR="00C97058">
        <w:rPr>
          <w:rFonts w:ascii="Arial" w:hAnsi="Arial" w:cs="Arial"/>
        </w:rPr>
        <w:t xml:space="preserve">a </w:t>
      </w:r>
      <w:r>
        <w:rPr>
          <w:rFonts w:ascii="Arial" w:hAnsi="Arial" w:cs="Arial"/>
        </w:rPr>
        <w:t>data standard</w:t>
      </w:r>
      <w:r w:rsidRPr="00424AF8">
        <w:rPr>
          <w:rFonts w:ascii="Arial" w:hAnsi="Arial" w:cs="Arial"/>
        </w:rPr>
        <w:t xml:space="preserve"> </w:t>
      </w:r>
      <w:r>
        <w:rPr>
          <w:rFonts w:ascii="Arial" w:hAnsi="Arial" w:cs="Arial"/>
        </w:rPr>
        <w:t>relating to</w:t>
      </w:r>
      <w:r w:rsidRPr="00424AF8">
        <w:rPr>
          <w:rFonts w:ascii="Arial" w:hAnsi="Arial" w:cs="Arial"/>
        </w:rPr>
        <w:t xml:space="preserve"> the functions and powers of the Registrar in respect of registry operations under the </w:t>
      </w:r>
      <w:r w:rsidRPr="008663FC">
        <w:rPr>
          <w:rFonts w:ascii="Arial" w:hAnsi="Arial" w:cs="Arial"/>
          <w:i/>
          <w:iCs/>
        </w:rPr>
        <w:t>Superannuation Industry (Supervision) Act 1993</w:t>
      </w:r>
      <w:r>
        <w:rPr>
          <w:rFonts w:ascii="Arial" w:hAnsi="Arial" w:cs="Arial"/>
          <w:i/>
          <w:iCs/>
        </w:rPr>
        <w:t xml:space="preserve"> </w:t>
      </w:r>
      <w:r>
        <w:rPr>
          <w:rFonts w:ascii="Arial" w:hAnsi="Arial" w:cs="Arial"/>
        </w:rPr>
        <w:t>and for the</w:t>
      </w:r>
      <w:r w:rsidRPr="00424AF8">
        <w:rPr>
          <w:rFonts w:ascii="Arial" w:hAnsi="Arial" w:cs="Arial"/>
        </w:rPr>
        <w:t xml:space="preserve"> continue</w:t>
      </w:r>
      <w:r>
        <w:rPr>
          <w:rFonts w:ascii="Arial" w:hAnsi="Arial" w:cs="Arial"/>
        </w:rPr>
        <w:t>d</w:t>
      </w:r>
      <w:r w:rsidRPr="00360B19">
        <w:rPr>
          <w:rFonts w:ascii="Arial" w:hAnsi="Arial" w:cs="Arial"/>
        </w:rPr>
        <w:t xml:space="preserve"> operation of registry services under current practices (</w:t>
      </w:r>
      <w:r>
        <w:rPr>
          <w:rFonts w:ascii="Arial" w:hAnsi="Arial" w:cs="Arial"/>
        </w:rPr>
        <w:t>that is</w:t>
      </w:r>
      <w:r w:rsidRPr="00360B19">
        <w:rPr>
          <w:rFonts w:ascii="Arial" w:hAnsi="Arial" w:cs="Arial"/>
        </w:rPr>
        <w:t xml:space="preserve"> through </w:t>
      </w:r>
      <w:r>
        <w:rPr>
          <w:rFonts w:ascii="Arial" w:hAnsi="Arial" w:cs="Arial"/>
        </w:rPr>
        <w:t>Australian Investment Securities Commission (ASIC)</w:t>
      </w:r>
      <w:r w:rsidRPr="00360B19">
        <w:rPr>
          <w:rFonts w:ascii="Arial" w:hAnsi="Arial" w:cs="Arial"/>
        </w:rPr>
        <w:t xml:space="preserve"> forms and systems)</w:t>
      </w:r>
      <w:r>
        <w:rPr>
          <w:rFonts w:ascii="Arial" w:hAnsi="Arial" w:cs="Arial"/>
        </w:rPr>
        <w:t xml:space="preserve"> after the commencement of this instrument</w:t>
      </w:r>
      <w:r w:rsidR="008663FC" w:rsidRPr="008663FC">
        <w:rPr>
          <w:rFonts w:ascii="Arial" w:hAnsi="Arial" w:cs="Arial"/>
        </w:rPr>
        <w:t>.</w:t>
      </w:r>
    </w:p>
    <w:p w14:paraId="15AC1B5F" w14:textId="41372D8A" w:rsidR="00486653" w:rsidRPr="00240CFB" w:rsidRDefault="00486653" w:rsidP="00CB3A5C">
      <w:pPr>
        <w:numPr>
          <w:ilvl w:val="0"/>
          <w:numId w:val="1"/>
        </w:numPr>
        <w:tabs>
          <w:tab w:val="clear" w:pos="360"/>
        </w:tabs>
        <w:spacing w:after="120" w:line="276" w:lineRule="auto"/>
        <w:ind w:left="567" w:hanging="567"/>
        <w:rPr>
          <w:rFonts w:ascii="Arial" w:hAnsi="Arial" w:cs="Arial"/>
          <w:sz w:val="22"/>
          <w:szCs w:val="22"/>
        </w:rPr>
      </w:pPr>
      <w:r w:rsidRPr="00240CFB">
        <w:rPr>
          <w:rFonts w:ascii="Arial" w:hAnsi="Arial" w:cs="Arial"/>
          <w:sz w:val="22"/>
          <w:szCs w:val="22"/>
        </w:rPr>
        <w:t xml:space="preserve">The instrument is a legislative instrument for the purposes of the </w:t>
      </w:r>
      <w:r w:rsidR="00C4143E" w:rsidRPr="00240CFB">
        <w:rPr>
          <w:rFonts w:ascii="Arial" w:hAnsi="Arial" w:cs="Arial"/>
          <w:i/>
          <w:sz w:val="22"/>
          <w:szCs w:val="22"/>
        </w:rPr>
        <w:t xml:space="preserve">Legislation </w:t>
      </w:r>
      <w:r w:rsidRPr="00240CFB">
        <w:rPr>
          <w:rFonts w:ascii="Arial" w:hAnsi="Arial" w:cs="Arial"/>
          <w:i/>
          <w:sz w:val="22"/>
          <w:szCs w:val="22"/>
        </w:rPr>
        <w:t>Act 2003</w:t>
      </w:r>
      <w:r w:rsidRPr="00240CFB">
        <w:rPr>
          <w:rFonts w:ascii="Arial" w:hAnsi="Arial" w:cs="Arial"/>
          <w:sz w:val="22"/>
          <w:szCs w:val="22"/>
        </w:rPr>
        <w:t>.</w:t>
      </w:r>
    </w:p>
    <w:p w14:paraId="15AC1B61" w14:textId="48A48F35" w:rsidR="00B31550" w:rsidRPr="00240CFB" w:rsidRDefault="00B31550" w:rsidP="00CB3A5C">
      <w:pPr>
        <w:numPr>
          <w:ilvl w:val="0"/>
          <w:numId w:val="1"/>
        </w:numPr>
        <w:tabs>
          <w:tab w:val="clear" w:pos="360"/>
        </w:tabs>
        <w:spacing w:after="120" w:line="276" w:lineRule="auto"/>
        <w:ind w:left="567" w:hanging="567"/>
        <w:rPr>
          <w:rFonts w:ascii="Arial" w:hAnsi="Arial" w:cs="Arial"/>
          <w:sz w:val="22"/>
          <w:szCs w:val="22"/>
        </w:rPr>
      </w:pPr>
      <w:r w:rsidRPr="00240CFB">
        <w:rPr>
          <w:rFonts w:ascii="Arial" w:hAnsi="Arial" w:cs="Arial"/>
          <w:sz w:val="22"/>
          <w:szCs w:val="22"/>
        </w:rPr>
        <w:t xml:space="preserve">Under subsection 33(3) of the </w:t>
      </w:r>
      <w:r w:rsidRPr="00240CFB">
        <w:rPr>
          <w:rFonts w:ascii="Arial" w:hAnsi="Arial" w:cs="Arial"/>
          <w:i/>
          <w:sz w:val="22"/>
          <w:szCs w:val="22"/>
        </w:rPr>
        <w:t>Acts Interpretation Act 1901</w:t>
      </w:r>
      <w:r w:rsidRPr="00240CFB">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5AC1B63" w14:textId="77777777" w:rsidR="001D02E6" w:rsidRPr="00240CFB" w:rsidRDefault="001D02E6" w:rsidP="00910595">
      <w:pPr>
        <w:pStyle w:val="Heading2"/>
      </w:pPr>
      <w:r w:rsidRPr="00240CFB">
        <w:t>Date of effect</w:t>
      </w:r>
    </w:p>
    <w:p w14:paraId="76021CC9" w14:textId="6CB30701" w:rsidR="00C34C96" w:rsidRPr="00052E5B" w:rsidRDefault="00222AFB" w:rsidP="00CB3A5C">
      <w:pPr>
        <w:numPr>
          <w:ilvl w:val="0"/>
          <w:numId w:val="1"/>
        </w:numPr>
        <w:tabs>
          <w:tab w:val="clear" w:pos="360"/>
        </w:tabs>
        <w:spacing w:after="120" w:line="276" w:lineRule="auto"/>
        <w:ind w:left="567" w:hanging="567"/>
        <w:rPr>
          <w:rFonts w:ascii="Arial" w:hAnsi="Arial" w:cs="Arial"/>
          <w:sz w:val="22"/>
          <w:szCs w:val="18"/>
        </w:rPr>
      </w:pPr>
      <w:bookmarkStart w:id="0" w:name="_Ref105680960"/>
      <w:r w:rsidRPr="00240CFB">
        <w:rPr>
          <w:rFonts w:ascii="Arial" w:hAnsi="Arial" w:cs="Arial"/>
          <w:sz w:val="22"/>
          <w:szCs w:val="22"/>
        </w:rPr>
        <w:t>T</w:t>
      </w:r>
      <w:r w:rsidR="00052E5B" w:rsidRPr="00052E5B">
        <w:rPr>
          <w:rFonts w:ascii="Arial" w:hAnsi="Arial" w:cs="Arial"/>
          <w:sz w:val="22"/>
          <w:szCs w:val="18"/>
        </w:rPr>
        <w:t>his instrument commences on 22 June 2022.</w:t>
      </w:r>
      <w:bookmarkEnd w:id="0"/>
      <w:r w:rsidR="00052E5B" w:rsidRPr="00052E5B">
        <w:rPr>
          <w:rFonts w:ascii="Arial" w:hAnsi="Arial" w:cs="Arial"/>
          <w:sz w:val="22"/>
          <w:szCs w:val="18"/>
        </w:rPr>
        <w:t xml:space="preserve"> </w:t>
      </w:r>
    </w:p>
    <w:p w14:paraId="15AC1B6C" w14:textId="77777777" w:rsidR="00486653" w:rsidRPr="00240CFB" w:rsidRDefault="00486653" w:rsidP="00910595">
      <w:pPr>
        <w:pStyle w:val="Heading2"/>
      </w:pPr>
      <w:r w:rsidRPr="00240CFB">
        <w:t>What is the effect of this instrument</w:t>
      </w:r>
    </w:p>
    <w:p w14:paraId="31055A6F" w14:textId="0C03197F" w:rsidR="00052E5B" w:rsidRPr="00052E5B" w:rsidRDefault="00486653" w:rsidP="00CB3A5C">
      <w:pPr>
        <w:numPr>
          <w:ilvl w:val="0"/>
          <w:numId w:val="1"/>
        </w:numPr>
        <w:tabs>
          <w:tab w:val="clear" w:pos="360"/>
        </w:tabs>
        <w:spacing w:after="120" w:line="276" w:lineRule="auto"/>
        <w:ind w:left="567" w:hanging="567"/>
        <w:rPr>
          <w:rFonts w:ascii="Arial" w:hAnsi="Arial" w:cs="Arial"/>
          <w:color w:val="000000"/>
          <w:sz w:val="22"/>
          <w:szCs w:val="22"/>
        </w:rPr>
      </w:pPr>
      <w:r w:rsidRPr="00052E5B">
        <w:rPr>
          <w:rFonts w:ascii="Arial" w:hAnsi="Arial" w:cs="Arial"/>
          <w:color w:val="000000"/>
          <w:sz w:val="22"/>
          <w:szCs w:val="22"/>
        </w:rPr>
        <w:t>The effect of this instrument is</w:t>
      </w:r>
      <w:r w:rsidR="00052E5B">
        <w:rPr>
          <w:rFonts w:ascii="Arial" w:hAnsi="Arial" w:cs="Arial"/>
          <w:color w:val="000000"/>
          <w:sz w:val="22"/>
          <w:szCs w:val="22"/>
        </w:rPr>
        <w:t xml:space="preserve"> </w:t>
      </w:r>
      <w:r w:rsidR="00052E5B" w:rsidRPr="00052E5B">
        <w:rPr>
          <w:rFonts w:ascii="Arial" w:hAnsi="Arial" w:cs="Arial"/>
          <w:color w:val="000000"/>
          <w:sz w:val="22"/>
          <w:szCs w:val="22"/>
        </w:rPr>
        <w:t xml:space="preserve">to provide for </w:t>
      </w:r>
      <w:r w:rsidR="00C97058">
        <w:rPr>
          <w:rFonts w:ascii="Arial" w:hAnsi="Arial" w:cs="Arial"/>
          <w:color w:val="000000"/>
          <w:sz w:val="22"/>
          <w:szCs w:val="22"/>
        </w:rPr>
        <w:t xml:space="preserve">a </w:t>
      </w:r>
      <w:r w:rsidR="00052E5B" w:rsidRPr="00052E5B">
        <w:rPr>
          <w:rFonts w:ascii="Arial" w:hAnsi="Arial" w:cs="Arial"/>
          <w:color w:val="000000"/>
          <w:sz w:val="22"/>
          <w:szCs w:val="22"/>
        </w:rPr>
        <w:t>data standard that ensure</w:t>
      </w:r>
      <w:r w:rsidR="00C97058">
        <w:rPr>
          <w:rFonts w:ascii="Arial" w:hAnsi="Arial" w:cs="Arial"/>
          <w:color w:val="000000"/>
          <w:sz w:val="22"/>
          <w:szCs w:val="22"/>
        </w:rPr>
        <w:t>s</w:t>
      </w:r>
      <w:r w:rsidR="00052E5B" w:rsidRPr="00052E5B">
        <w:rPr>
          <w:rFonts w:ascii="Arial" w:hAnsi="Arial" w:cs="Arial"/>
          <w:color w:val="000000"/>
          <w:sz w:val="22"/>
          <w:szCs w:val="22"/>
        </w:rPr>
        <w:t xml:space="preserve"> the continued operation of registry services in accordance with current practices under the </w:t>
      </w:r>
      <w:r w:rsidR="00692F08" w:rsidRPr="00692F08">
        <w:rPr>
          <w:rFonts w:ascii="Arial" w:hAnsi="Arial" w:cs="Arial"/>
          <w:i/>
          <w:iCs/>
          <w:color w:val="000000"/>
          <w:sz w:val="22"/>
          <w:szCs w:val="22"/>
        </w:rPr>
        <w:t>Superannuation Industry (Supervision) Act 1993</w:t>
      </w:r>
      <w:r w:rsidR="00052E5B" w:rsidRPr="00052E5B">
        <w:rPr>
          <w:rFonts w:ascii="Arial" w:hAnsi="Arial" w:cs="Arial"/>
          <w:color w:val="000000"/>
          <w:sz w:val="22"/>
          <w:szCs w:val="22"/>
        </w:rPr>
        <w:t xml:space="preserve"> from the date of effect. This includes: </w:t>
      </w:r>
    </w:p>
    <w:p w14:paraId="356B1A75" w14:textId="77777777" w:rsidR="00052E5B" w:rsidRPr="00052E5B" w:rsidRDefault="00052E5B" w:rsidP="00CB3A5C">
      <w:pPr>
        <w:numPr>
          <w:ilvl w:val="1"/>
          <w:numId w:val="4"/>
        </w:numPr>
        <w:tabs>
          <w:tab w:val="clear" w:pos="1440"/>
        </w:tabs>
        <w:spacing w:after="120" w:line="276" w:lineRule="auto"/>
        <w:ind w:left="1134" w:hanging="567"/>
        <w:rPr>
          <w:rFonts w:ascii="Arial" w:hAnsi="Arial" w:cs="Arial"/>
          <w:color w:val="000000"/>
          <w:sz w:val="22"/>
          <w:szCs w:val="22"/>
        </w:rPr>
      </w:pPr>
      <w:r w:rsidRPr="00052E5B">
        <w:rPr>
          <w:rFonts w:ascii="Arial" w:hAnsi="Arial" w:cs="Arial"/>
          <w:color w:val="000000"/>
          <w:sz w:val="22"/>
          <w:szCs w:val="22"/>
        </w:rPr>
        <w:t>how actions may be taken by the Registrar or another entity,</w:t>
      </w:r>
    </w:p>
    <w:p w14:paraId="68E2D4F1" w14:textId="77777777" w:rsidR="00052E5B" w:rsidRPr="00052E5B" w:rsidRDefault="00052E5B" w:rsidP="00CB3A5C">
      <w:pPr>
        <w:numPr>
          <w:ilvl w:val="1"/>
          <w:numId w:val="4"/>
        </w:numPr>
        <w:tabs>
          <w:tab w:val="clear" w:pos="1440"/>
        </w:tabs>
        <w:spacing w:after="120" w:line="276" w:lineRule="auto"/>
        <w:ind w:left="1134" w:hanging="567"/>
        <w:rPr>
          <w:rFonts w:ascii="Arial" w:hAnsi="Arial" w:cs="Arial"/>
          <w:color w:val="000000"/>
          <w:sz w:val="22"/>
          <w:szCs w:val="22"/>
        </w:rPr>
      </w:pPr>
      <w:r w:rsidRPr="00052E5B">
        <w:rPr>
          <w:rFonts w:ascii="Arial" w:hAnsi="Arial" w:cs="Arial"/>
          <w:color w:val="000000"/>
          <w:sz w:val="22"/>
          <w:szCs w:val="22"/>
        </w:rPr>
        <w:t>how the Registrar holds, records and stores registry information, and</w:t>
      </w:r>
    </w:p>
    <w:p w14:paraId="6110049B" w14:textId="77777777" w:rsidR="00052E5B" w:rsidRPr="00052E5B" w:rsidRDefault="00052E5B" w:rsidP="00CB3A5C">
      <w:pPr>
        <w:numPr>
          <w:ilvl w:val="1"/>
          <w:numId w:val="4"/>
        </w:numPr>
        <w:tabs>
          <w:tab w:val="clear" w:pos="1440"/>
        </w:tabs>
        <w:spacing w:after="120" w:line="276" w:lineRule="auto"/>
        <w:ind w:left="1134" w:hanging="567"/>
        <w:rPr>
          <w:rFonts w:ascii="Arial" w:hAnsi="Arial" w:cs="Arial"/>
          <w:color w:val="000000"/>
          <w:sz w:val="22"/>
          <w:szCs w:val="22"/>
        </w:rPr>
      </w:pPr>
      <w:r w:rsidRPr="00052E5B">
        <w:rPr>
          <w:rFonts w:ascii="Arial" w:hAnsi="Arial" w:cs="Arial"/>
          <w:color w:val="000000"/>
          <w:sz w:val="22"/>
          <w:szCs w:val="22"/>
        </w:rPr>
        <w:t xml:space="preserve">how the Registrar will use registry information. </w:t>
      </w:r>
    </w:p>
    <w:p w14:paraId="3E8D8D18" w14:textId="77777777" w:rsidR="00052E5B" w:rsidRPr="00052E5B" w:rsidRDefault="00052E5B" w:rsidP="00CB3A5C">
      <w:pPr>
        <w:numPr>
          <w:ilvl w:val="0"/>
          <w:numId w:val="1"/>
        </w:numPr>
        <w:tabs>
          <w:tab w:val="clear" w:pos="360"/>
        </w:tabs>
        <w:spacing w:after="120" w:line="276" w:lineRule="auto"/>
        <w:ind w:left="567" w:hanging="567"/>
        <w:rPr>
          <w:rFonts w:ascii="Arial" w:hAnsi="Arial" w:cs="Arial"/>
          <w:color w:val="000000"/>
          <w:sz w:val="22"/>
          <w:szCs w:val="22"/>
        </w:rPr>
      </w:pPr>
      <w:r w:rsidRPr="00052E5B">
        <w:rPr>
          <w:rFonts w:ascii="Arial" w:hAnsi="Arial" w:cs="Arial"/>
          <w:color w:val="000000"/>
          <w:sz w:val="22"/>
          <w:szCs w:val="22"/>
        </w:rPr>
        <w:t xml:space="preserve">To ensure the continued operation of registry services in accordance with current practices this instrument </w:t>
      </w:r>
      <w:r w:rsidRPr="000C2B95">
        <w:rPr>
          <w:rFonts w:ascii="Arial" w:hAnsi="Arial" w:cs="Arial"/>
          <w:sz w:val="22"/>
          <w:szCs w:val="22"/>
        </w:rPr>
        <w:t>authorises actions in relation to registry provisions being taken using notices, forms or systems or any other means available to or in relation to ASIC that was available immediately before the commencement of this instrument.</w:t>
      </w:r>
    </w:p>
    <w:p w14:paraId="6C5E1701" w14:textId="1596A1F5" w:rsidR="00640CC2" w:rsidRPr="00640CC2" w:rsidRDefault="00640CC2" w:rsidP="00640CC2">
      <w:pPr>
        <w:pStyle w:val="Heading2"/>
      </w:pPr>
      <w:r w:rsidRPr="00640CC2">
        <w:t xml:space="preserve">Compliance cost assessment </w:t>
      </w:r>
    </w:p>
    <w:p w14:paraId="4ED0217C" w14:textId="34BE10B7" w:rsidR="00CE532A" w:rsidRPr="00640CC2" w:rsidRDefault="00CE532A" w:rsidP="00CB3A5C">
      <w:pPr>
        <w:pStyle w:val="ListParagraph"/>
        <w:numPr>
          <w:ilvl w:val="0"/>
          <w:numId w:val="1"/>
        </w:numPr>
        <w:tabs>
          <w:tab w:val="clear" w:pos="360"/>
          <w:tab w:val="num" w:pos="567"/>
        </w:tabs>
        <w:spacing w:after="120"/>
        <w:ind w:left="567" w:hanging="567"/>
        <w:rPr>
          <w:rFonts w:ascii="Arial" w:hAnsi="Arial" w:cs="Arial"/>
          <w:color w:val="0000FF"/>
        </w:rPr>
      </w:pPr>
      <w:bookmarkStart w:id="1" w:name="_Hlk105413111"/>
      <w:r>
        <w:rPr>
          <w:rFonts w:ascii="Arial" w:hAnsi="Arial" w:cs="Arial"/>
        </w:rPr>
        <w:t xml:space="preserve">Minor - </w:t>
      </w:r>
      <w:r w:rsidRPr="0042558C">
        <w:rPr>
          <w:rFonts w:ascii="Arial" w:hAnsi="Arial" w:cs="Arial"/>
        </w:rPr>
        <w:t xml:space="preserve">There will be no additional regulatory impacts as the instrument </w:t>
      </w:r>
      <w:r w:rsidR="000E3FA0">
        <w:rPr>
          <w:rFonts w:ascii="Arial" w:hAnsi="Arial" w:cs="Arial"/>
        </w:rPr>
        <w:t>is</w:t>
      </w:r>
      <w:r w:rsidRPr="0042558C">
        <w:rPr>
          <w:rFonts w:ascii="Arial" w:hAnsi="Arial" w:cs="Arial"/>
        </w:rPr>
        <w:t xml:space="preserve"> minor and machinery in nature.</w:t>
      </w:r>
      <w:bookmarkEnd w:id="1"/>
    </w:p>
    <w:p w14:paraId="15AC1B73" w14:textId="62CBAB92" w:rsidR="00486653" w:rsidRPr="00240CFB" w:rsidRDefault="00486653" w:rsidP="00910595">
      <w:pPr>
        <w:pStyle w:val="Heading2"/>
      </w:pPr>
      <w:r w:rsidRPr="00240CFB">
        <w:t>Background</w:t>
      </w:r>
    </w:p>
    <w:p w14:paraId="27C450A5" w14:textId="7B05BE47" w:rsidR="000D179E" w:rsidRDefault="000D179E" w:rsidP="00CB3A5C">
      <w:pPr>
        <w:pStyle w:val="ListParagraph"/>
        <w:numPr>
          <w:ilvl w:val="0"/>
          <w:numId w:val="1"/>
        </w:numPr>
        <w:tabs>
          <w:tab w:val="clear" w:pos="360"/>
          <w:tab w:val="num" w:pos="567"/>
        </w:tabs>
        <w:spacing w:after="120"/>
        <w:ind w:left="567" w:hanging="567"/>
        <w:rPr>
          <w:rFonts w:ascii="Arial" w:hAnsi="Arial" w:cs="Arial"/>
        </w:rPr>
      </w:pPr>
      <w:r>
        <w:rPr>
          <w:rFonts w:ascii="Arial" w:hAnsi="Arial" w:cs="Arial"/>
        </w:rPr>
        <w:t>T</w:t>
      </w:r>
      <w:r w:rsidRPr="007C26B4">
        <w:rPr>
          <w:rFonts w:ascii="Arial" w:hAnsi="Arial" w:cs="Arial"/>
        </w:rPr>
        <w:t xml:space="preserve">he </w:t>
      </w:r>
      <w:r w:rsidRPr="007C26B4">
        <w:rPr>
          <w:rFonts w:ascii="Arial" w:hAnsi="Arial" w:cs="Arial"/>
          <w:i/>
          <w:iCs/>
        </w:rPr>
        <w:t>Treasury Laws Amendment (Registries Modernisation and Other Measures) Act 2020</w:t>
      </w:r>
      <w:r w:rsidRPr="007C26B4">
        <w:rPr>
          <w:rFonts w:ascii="Arial" w:hAnsi="Arial" w:cs="Arial"/>
        </w:rPr>
        <w:t xml:space="preserve"> (Registries Modernisation Act)</w:t>
      </w:r>
      <w:r w:rsidRPr="00EF1487">
        <w:t xml:space="preserve"> </w:t>
      </w:r>
      <w:r w:rsidRPr="00EF1487">
        <w:rPr>
          <w:rFonts w:ascii="Arial" w:hAnsi="Arial" w:cs="Arial"/>
        </w:rPr>
        <w:t>provide</w:t>
      </w:r>
      <w:r>
        <w:rPr>
          <w:rFonts w:ascii="Arial" w:hAnsi="Arial" w:cs="Arial"/>
        </w:rPr>
        <w:t xml:space="preserve">s </w:t>
      </w:r>
      <w:r w:rsidRPr="00EF1487">
        <w:rPr>
          <w:rFonts w:ascii="Arial" w:hAnsi="Arial" w:cs="Arial"/>
        </w:rPr>
        <w:t>for the transfer of registry functions</w:t>
      </w:r>
      <w:r>
        <w:rPr>
          <w:rFonts w:ascii="Arial" w:hAnsi="Arial" w:cs="Arial"/>
        </w:rPr>
        <w:t xml:space="preserve"> and power</w:t>
      </w:r>
      <w:r w:rsidR="00692F08">
        <w:rPr>
          <w:rFonts w:ascii="Arial" w:hAnsi="Arial" w:cs="Arial"/>
        </w:rPr>
        <w:t>s</w:t>
      </w:r>
      <w:r w:rsidRPr="00EF1487">
        <w:rPr>
          <w:rFonts w:ascii="Arial" w:hAnsi="Arial" w:cs="Arial"/>
        </w:rPr>
        <w:t xml:space="preserve"> from </w:t>
      </w:r>
      <w:r w:rsidRPr="00EF1487">
        <w:rPr>
          <w:rFonts w:ascii="Arial" w:hAnsi="Arial" w:cs="Arial"/>
        </w:rPr>
        <w:lastRenderedPageBreak/>
        <w:t xml:space="preserve">ASIC to the </w:t>
      </w:r>
      <w:r>
        <w:rPr>
          <w:rFonts w:ascii="Arial" w:hAnsi="Arial" w:cs="Arial"/>
        </w:rPr>
        <w:t xml:space="preserve">Registrar, </w:t>
      </w:r>
      <w:r w:rsidRPr="00EF1487">
        <w:rPr>
          <w:rFonts w:ascii="Arial" w:hAnsi="Arial" w:cs="Arial"/>
        </w:rPr>
        <w:t xml:space="preserve">as well as other changes to modernise the registry law. </w:t>
      </w:r>
      <w:r w:rsidR="00C2375C">
        <w:rPr>
          <w:rFonts w:ascii="Arial" w:hAnsi="Arial" w:cs="Arial"/>
        </w:rPr>
        <w:t xml:space="preserve">The </w:t>
      </w:r>
      <w:r w:rsidR="00C2375C" w:rsidRPr="00EF1487">
        <w:rPr>
          <w:rFonts w:ascii="Arial" w:hAnsi="Arial" w:cs="Arial"/>
        </w:rPr>
        <w:t>amendments</w:t>
      </w:r>
      <w:r>
        <w:rPr>
          <w:rFonts w:ascii="Arial" w:hAnsi="Arial" w:cs="Arial"/>
        </w:rPr>
        <w:t xml:space="preserve"> in the </w:t>
      </w:r>
      <w:r w:rsidRPr="007C26B4">
        <w:rPr>
          <w:rFonts w:ascii="Arial" w:hAnsi="Arial" w:cs="Arial"/>
        </w:rPr>
        <w:t>Registries Modernisation Act</w:t>
      </w:r>
      <w:r w:rsidRPr="00EF1487">
        <w:rPr>
          <w:rFonts w:ascii="Arial" w:hAnsi="Arial" w:cs="Arial"/>
        </w:rPr>
        <w:t xml:space="preserve"> commence from a date fixed by proclamation or, if not commenced prior to 2</w:t>
      </w:r>
      <w:r>
        <w:rPr>
          <w:rFonts w:ascii="Arial" w:hAnsi="Arial" w:cs="Arial"/>
        </w:rPr>
        <w:t>2</w:t>
      </w:r>
      <w:r w:rsidRPr="00EF1487">
        <w:rPr>
          <w:rFonts w:ascii="Arial" w:hAnsi="Arial" w:cs="Arial"/>
        </w:rPr>
        <w:t xml:space="preserve"> June 2022, from 2</w:t>
      </w:r>
      <w:r>
        <w:rPr>
          <w:rFonts w:ascii="Arial" w:hAnsi="Arial" w:cs="Arial"/>
        </w:rPr>
        <w:t>2</w:t>
      </w:r>
      <w:r w:rsidRPr="00EF1487">
        <w:rPr>
          <w:rFonts w:ascii="Arial" w:hAnsi="Arial" w:cs="Arial"/>
        </w:rPr>
        <w:t xml:space="preserve"> June 2022 (auto-commencement).</w:t>
      </w:r>
    </w:p>
    <w:p w14:paraId="31569E03" w14:textId="77777777" w:rsidR="000D179E" w:rsidRDefault="000D179E" w:rsidP="00CB3A5C">
      <w:pPr>
        <w:pStyle w:val="ListParagraph"/>
        <w:numPr>
          <w:ilvl w:val="0"/>
          <w:numId w:val="1"/>
        </w:numPr>
        <w:tabs>
          <w:tab w:val="clear" w:pos="360"/>
          <w:tab w:val="num" w:pos="567"/>
        </w:tabs>
        <w:spacing w:after="120"/>
        <w:ind w:left="567" w:hanging="567"/>
        <w:rPr>
          <w:rFonts w:ascii="Arial" w:hAnsi="Arial" w:cs="Arial"/>
        </w:rPr>
      </w:pPr>
      <w:r w:rsidRPr="00EF1487">
        <w:rPr>
          <w:rFonts w:ascii="Arial" w:hAnsi="Arial" w:cs="Arial"/>
        </w:rPr>
        <w:t>The inclusion of an auto-commencement date in the</w:t>
      </w:r>
      <w:r>
        <w:rPr>
          <w:rFonts w:ascii="Arial" w:hAnsi="Arial" w:cs="Arial"/>
        </w:rPr>
        <w:t xml:space="preserve"> </w:t>
      </w:r>
      <w:r w:rsidRPr="007C26B4">
        <w:rPr>
          <w:rFonts w:ascii="Arial" w:hAnsi="Arial" w:cs="Arial"/>
        </w:rPr>
        <w:t>Registries Modernisation Act</w:t>
      </w:r>
      <w:r>
        <w:rPr>
          <w:rFonts w:ascii="Arial" w:hAnsi="Arial" w:cs="Arial"/>
        </w:rPr>
        <w:t xml:space="preserve"> was a technical requirement designed to ensure that laws passed by Parliament are not left un-commenced because the amendments were never commenced by proclamation.</w:t>
      </w:r>
    </w:p>
    <w:p w14:paraId="62F8AB49" w14:textId="77777777" w:rsidR="000D179E" w:rsidRDefault="000D179E" w:rsidP="00CB3A5C">
      <w:pPr>
        <w:pStyle w:val="ListParagraph"/>
        <w:numPr>
          <w:ilvl w:val="0"/>
          <w:numId w:val="1"/>
        </w:numPr>
        <w:tabs>
          <w:tab w:val="clear" w:pos="360"/>
          <w:tab w:val="num" w:pos="567"/>
        </w:tabs>
        <w:spacing w:after="120"/>
        <w:ind w:left="567" w:hanging="567"/>
        <w:rPr>
          <w:rFonts w:ascii="Arial" w:hAnsi="Arial" w:cs="Arial"/>
        </w:rPr>
      </w:pPr>
      <w:r>
        <w:rPr>
          <w:rFonts w:ascii="Arial" w:hAnsi="Arial" w:cs="Arial"/>
        </w:rPr>
        <w:t xml:space="preserve">However, it was intended that the Registrar would assume legal responsibility for registry functions and power with the </w:t>
      </w:r>
      <w:r w:rsidRPr="00EF1487">
        <w:rPr>
          <w:rFonts w:ascii="Arial" w:hAnsi="Arial" w:cs="Arial"/>
        </w:rPr>
        <w:t xml:space="preserve">progressive transfers of the registers onto the new </w:t>
      </w:r>
      <w:r>
        <w:rPr>
          <w:rFonts w:ascii="Arial" w:hAnsi="Arial" w:cs="Arial"/>
        </w:rPr>
        <w:t>Australian Business Registry Services (ABRS)</w:t>
      </w:r>
      <w:r w:rsidRPr="00EF1487">
        <w:rPr>
          <w:rFonts w:ascii="Arial" w:hAnsi="Arial" w:cs="Arial"/>
        </w:rPr>
        <w:t xml:space="preserve"> platform in line with the </w:t>
      </w:r>
      <w:r>
        <w:rPr>
          <w:rFonts w:ascii="Arial" w:hAnsi="Arial" w:cs="Arial"/>
        </w:rPr>
        <w:t>Modernising Business Registers (</w:t>
      </w:r>
      <w:r w:rsidRPr="00EF1487">
        <w:rPr>
          <w:rFonts w:ascii="Arial" w:hAnsi="Arial" w:cs="Arial"/>
        </w:rPr>
        <w:t>MBR</w:t>
      </w:r>
      <w:r>
        <w:rPr>
          <w:rFonts w:ascii="Arial" w:hAnsi="Arial" w:cs="Arial"/>
        </w:rPr>
        <w:t>)</w:t>
      </w:r>
      <w:r w:rsidRPr="00EF1487">
        <w:rPr>
          <w:rFonts w:ascii="Arial" w:hAnsi="Arial" w:cs="Arial"/>
        </w:rPr>
        <w:t xml:space="preserve"> program delivery</w:t>
      </w:r>
      <w:r>
        <w:rPr>
          <w:rFonts w:ascii="Arial" w:hAnsi="Arial" w:cs="Arial"/>
        </w:rPr>
        <w:t>.</w:t>
      </w:r>
    </w:p>
    <w:p w14:paraId="569F9C0F" w14:textId="1120C8BF" w:rsidR="00CE532A" w:rsidRDefault="00CE532A" w:rsidP="00CB3A5C">
      <w:pPr>
        <w:pStyle w:val="ListParagraph"/>
        <w:numPr>
          <w:ilvl w:val="0"/>
          <w:numId w:val="1"/>
        </w:numPr>
        <w:tabs>
          <w:tab w:val="clear" w:pos="360"/>
          <w:tab w:val="num" w:pos="567"/>
        </w:tabs>
        <w:spacing w:after="120"/>
        <w:ind w:left="567" w:hanging="567"/>
        <w:rPr>
          <w:rFonts w:ascii="Arial" w:hAnsi="Arial" w:cs="Arial"/>
        </w:rPr>
      </w:pPr>
      <w:bookmarkStart w:id="2" w:name="_Hlk105415911"/>
      <w:r w:rsidRPr="0042558C">
        <w:rPr>
          <w:rFonts w:ascii="Arial" w:hAnsi="Arial" w:cs="Arial"/>
          <w:i/>
          <w:iCs/>
        </w:rPr>
        <w:t>Treasury Laws Amendment (Enhancing Tax Integrity and Supporting Business Investment) Bill 2022</w:t>
      </w:r>
      <w:r w:rsidRPr="00217199">
        <w:rPr>
          <w:rFonts w:ascii="Arial" w:hAnsi="Arial" w:cs="Arial"/>
        </w:rPr>
        <w:t xml:space="preserve"> (Bill) was introduced in the previous parliament to defer the auto-commencement date until 1 July 2024 (or an earlier date specified by proclamation) and</w:t>
      </w:r>
      <w:r w:rsidR="00FF6D34">
        <w:rPr>
          <w:rFonts w:ascii="Arial" w:hAnsi="Arial" w:cs="Arial"/>
        </w:rPr>
        <w:t xml:space="preserve"> to</w:t>
      </w:r>
      <w:r w:rsidRPr="00217199">
        <w:rPr>
          <w:rFonts w:ascii="Arial" w:hAnsi="Arial" w:cs="Arial"/>
        </w:rPr>
        <w:t xml:space="preserve"> enable the progressive transfer of registers.  However, the Bill lapsed when the federal election of 2022 was called.</w:t>
      </w:r>
      <w:r>
        <w:rPr>
          <w:rFonts w:ascii="Arial" w:hAnsi="Arial" w:cs="Arial"/>
        </w:rPr>
        <w:t xml:space="preserve">. </w:t>
      </w:r>
    </w:p>
    <w:p w14:paraId="4432DBB1" w14:textId="1FF08ED3" w:rsidR="00CE532A" w:rsidRDefault="00CE532A" w:rsidP="00CB3A5C">
      <w:pPr>
        <w:pStyle w:val="ListParagraph"/>
        <w:numPr>
          <w:ilvl w:val="0"/>
          <w:numId w:val="1"/>
        </w:numPr>
        <w:tabs>
          <w:tab w:val="clear" w:pos="360"/>
          <w:tab w:val="num" w:pos="567"/>
        </w:tabs>
        <w:spacing w:after="120"/>
        <w:ind w:left="567" w:hanging="567"/>
        <w:rPr>
          <w:rFonts w:ascii="Arial" w:hAnsi="Arial" w:cs="Arial"/>
        </w:rPr>
      </w:pPr>
      <w:r w:rsidRPr="00217199">
        <w:rPr>
          <w:rFonts w:ascii="Arial" w:hAnsi="Arial" w:cs="Arial"/>
        </w:rPr>
        <w:t xml:space="preserve">To ensure business continuity, this transitional </w:t>
      </w:r>
      <w:r>
        <w:rPr>
          <w:rFonts w:ascii="Arial" w:hAnsi="Arial" w:cs="Arial"/>
        </w:rPr>
        <w:t>data standard</w:t>
      </w:r>
      <w:r w:rsidRPr="00217199">
        <w:rPr>
          <w:rFonts w:ascii="Arial" w:hAnsi="Arial" w:cs="Arial"/>
        </w:rPr>
        <w:t xml:space="preserve"> allows </w:t>
      </w:r>
      <w:r>
        <w:rPr>
          <w:rFonts w:ascii="Arial" w:hAnsi="Arial" w:cs="Arial"/>
        </w:rPr>
        <w:t>actions</w:t>
      </w:r>
      <w:r w:rsidRPr="00217199">
        <w:rPr>
          <w:rFonts w:ascii="Arial" w:hAnsi="Arial" w:cs="Arial"/>
        </w:rPr>
        <w:t xml:space="preserve"> to be taken through ASIC notices, forms, or systems or any other means by which the </w:t>
      </w:r>
      <w:r>
        <w:rPr>
          <w:rFonts w:ascii="Arial" w:hAnsi="Arial" w:cs="Arial"/>
        </w:rPr>
        <w:t>action</w:t>
      </w:r>
      <w:r w:rsidRPr="00217199">
        <w:rPr>
          <w:rFonts w:ascii="Arial" w:hAnsi="Arial" w:cs="Arial"/>
        </w:rPr>
        <w:t xml:space="preserve"> would have been done by ASIC prior to the commencement of this instrument</w:t>
      </w:r>
      <w:r w:rsidRPr="007C26B4">
        <w:rPr>
          <w:rFonts w:ascii="Arial" w:hAnsi="Arial" w:cs="Arial"/>
        </w:rPr>
        <w:t>.</w:t>
      </w:r>
    </w:p>
    <w:p w14:paraId="6E22F2E2" w14:textId="391449B5" w:rsidR="00CE532A" w:rsidRPr="007C26B4" w:rsidRDefault="00CE532A" w:rsidP="00CB3A5C">
      <w:pPr>
        <w:pStyle w:val="ListParagraph"/>
        <w:numPr>
          <w:ilvl w:val="0"/>
          <w:numId w:val="1"/>
        </w:numPr>
        <w:tabs>
          <w:tab w:val="clear" w:pos="360"/>
          <w:tab w:val="num" w:pos="567"/>
        </w:tabs>
        <w:spacing w:after="120"/>
        <w:ind w:left="567" w:hanging="567"/>
        <w:rPr>
          <w:rFonts w:ascii="Arial" w:hAnsi="Arial" w:cs="Arial"/>
        </w:rPr>
      </w:pPr>
      <w:r>
        <w:rPr>
          <w:rFonts w:ascii="Arial" w:hAnsi="Arial" w:cs="Arial"/>
        </w:rPr>
        <w:t>It is intended that this instrument will be transitional</w:t>
      </w:r>
      <w:r w:rsidR="007F7CFE">
        <w:rPr>
          <w:rFonts w:ascii="Arial" w:hAnsi="Arial" w:cs="Arial"/>
        </w:rPr>
        <w:t>, as consideration is given to legislative options</w:t>
      </w:r>
      <w:r w:rsidR="000E3FA0">
        <w:rPr>
          <w:rFonts w:ascii="Arial" w:hAnsi="Arial" w:cs="Arial"/>
        </w:rPr>
        <w:t xml:space="preserve"> </w:t>
      </w:r>
      <w:r w:rsidR="007F7CFE">
        <w:rPr>
          <w:rFonts w:ascii="Arial" w:hAnsi="Arial" w:cs="Arial"/>
        </w:rPr>
        <w:t xml:space="preserve">to align the commencement of relevant law with the delivery of the MBR program. It is expected to </w:t>
      </w:r>
      <w:r>
        <w:rPr>
          <w:rFonts w:ascii="Arial" w:hAnsi="Arial" w:cs="Arial"/>
        </w:rPr>
        <w:t xml:space="preserve">only operate until legislative </w:t>
      </w:r>
      <w:r w:rsidR="007F7CFE">
        <w:rPr>
          <w:rFonts w:ascii="Arial" w:hAnsi="Arial" w:cs="Arial"/>
        </w:rPr>
        <w:t xml:space="preserve">changes </w:t>
      </w:r>
      <w:r>
        <w:rPr>
          <w:rFonts w:ascii="Arial" w:hAnsi="Arial" w:cs="Arial"/>
        </w:rPr>
        <w:t xml:space="preserve">to support the </w:t>
      </w:r>
      <w:r w:rsidRPr="00217199">
        <w:rPr>
          <w:rFonts w:ascii="Arial" w:hAnsi="Arial" w:cs="Arial"/>
        </w:rPr>
        <w:t>delivery of the MBR program</w:t>
      </w:r>
      <w:r>
        <w:rPr>
          <w:rFonts w:ascii="Arial" w:hAnsi="Arial" w:cs="Arial"/>
        </w:rPr>
        <w:t xml:space="preserve"> are in place, at which time it is anticipated that th</w:t>
      </w:r>
      <w:r w:rsidR="007F7CFE">
        <w:rPr>
          <w:rFonts w:ascii="Arial" w:hAnsi="Arial" w:cs="Arial"/>
        </w:rPr>
        <w:t>is</w:t>
      </w:r>
      <w:r>
        <w:rPr>
          <w:rFonts w:ascii="Arial" w:hAnsi="Arial" w:cs="Arial"/>
        </w:rPr>
        <w:t xml:space="preserve"> instrument will be repealed. </w:t>
      </w:r>
    </w:p>
    <w:bookmarkEnd w:id="2"/>
    <w:p w14:paraId="15AC1B76" w14:textId="5ABF9977" w:rsidR="00486653" w:rsidRPr="000D179E" w:rsidRDefault="000D179E" w:rsidP="000D179E">
      <w:pPr>
        <w:spacing w:after="120"/>
        <w:rPr>
          <w:rFonts w:ascii="Arial" w:hAnsi="Arial" w:cs="Arial"/>
          <w:b/>
          <w:bCs/>
          <w:sz w:val="22"/>
          <w:szCs w:val="22"/>
        </w:rPr>
      </w:pPr>
      <w:r w:rsidRPr="00F65FE9">
        <w:rPr>
          <w:rFonts w:ascii="Arial" w:hAnsi="Arial" w:cs="Arial"/>
          <w:b/>
          <w:bCs/>
          <w:sz w:val="22"/>
          <w:szCs w:val="22"/>
        </w:rPr>
        <w:t>Definitions</w:t>
      </w:r>
    </w:p>
    <w:p w14:paraId="3405779C" w14:textId="77777777" w:rsidR="000D179E" w:rsidRDefault="000D179E" w:rsidP="00CB3A5C">
      <w:pPr>
        <w:pStyle w:val="AdviceNumLevel1"/>
        <w:numPr>
          <w:ilvl w:val="0"/>
          <w:numId w:val="1"/>
        </w:numPr>
        <w:tabs>
          <w:tab w:val="clear" w:pos="360"/>
          <w:tab w:val="num" w:pos="567"/>
        </w:tabs>
        <w:spacing w:before="0" w:after="120" w:line="276" w:lineRule="auto"/>
        <w:ind w:left="567" w:hanging="567"/>
      </w:pPr>
      <w:r>
        <w:t xml:space="preserve">The instrument defines a number of terms for the purpose of ensuring that registry practices that operated before the commencement of this instrument will continue to operate in the same way under this instrument. </w:t>
      </w:r>
    </w:p>
    <w:p w14:paraId="50CA66D3" w14:textId="2D72BE0E" w:rsidR="000D179E" w:rsidRDefault="000D179E" w:rsidP="00CB3A5C">
      <w:pPr>
        <w:pStyle w:val="AdviceNumLevel1"/>
        <w:numPr>
          <w:ilvl w:val="0"/>
          <w:numId w:val="1"/>
        </w:numPr>
        <w:tabs>
          <w:tab w:val="clear" w:pos="360"/>
          <w:tab w:val="num" w:pos="567"/>
        </w:tabs>
        <w:spacing w:before="0" w:after="120" w:line="276" w:lineRule="auto"/>
        <w:ind w:left="567" w:hanging="567"/>
      </w:pPr>
      <w:r>
        <w:t>This includes the definition of old</w:t>
      </w:r>
      <w:r w:rsidR="00FB4FF9">
        <w:t xml:space="preserve"> SIS</w:t>
      </w:r>
      <w:r>
        <w:t xml:space="preserve"> Act and old </w:t>
      </w:r>
      <w:r w:rsidR="00FB4FF9">
        <w:t xml:space="preserve">SIS </w:t>
      </w:r>
      <w:r>
        <w:t xml:space="preserve">instrument, being the </w:t>
      </w:r>
      <w:r w:rsidR="00FB4FF9">
        <w:rPr>
          <w:i/>
          <w:iCs/>
        </w:rPr>
        <w:t>Superannuation Industry (Supervision) Act 1993</w:t>
      </w:r>
      <w:r>
        <w:t xml:space="preserve"> or any instrument made under the</w:t>
      </w:r>
      <w:r w:rsidR="00FB4FF9">
        <w:t xml:space="preserve"> </w:t>
      </w:r>
      <w:r w:rsidR="00FB4FF9" w:rsidRPr="00FB4FF9">
        <w:rPr>
          <w:i/>
          <w:iCs/>
        </w:rPr>
        <w:t>Superannuation Industry (Supervision) Act 1993</w:t>
      </w:r>
      <w:r>
        <w:t xml:space="preserve">, as in force immediately before the </w:t>
      </w:r>
      <w:r w:rsidR="00692F08">
        <w:t>commencement of this instrument</w:t>
      </w:r>
      <w:r>
        <w:t xml:space="preserve">. </w:t>
      </w:r>
    </w:p>
    <w:p w14:paraId="0B60752A" w14:textId="36D51D20" w:rsidR="000D179E" w:rsidRDefault="000D179E" w:rsidP="00CB3A5C">
      <w:pPr>
        <w:pStyle w:val="AdviceNumLevel1"/>
        <w:numPr>
          <w:ilvl w:val="0"/>
          <w:numId w:val="1"/>
        </w:numPr>
        <w:tabs>
          <w:tab w:val="clear" w:pos="360"/>
          <w:tab w:val="num" w:pos="567"/>
        </w:tabs>
        <w:spacing w:before="0" w:after="120" w:line="276" w:lineRule="auto"/>
        <w:ind w:left="567" w:hanging="567"/>
      </w:pPr>
      <w:r>
        <w:t>Registry provision is also defined to identify registry functions and powers of ASIC under the old</w:t>
      </w:r>
      <w:r w:rsidR="00FB4FF9">
        <w:t xml:space="preserve"> SIS</w:t>
      </w:r>
      <w:r>
        <w:t xml:space="preserve"> Act or </w:t>
      </w:r>
      <w:r w:rsidR="00C97058">
        <w:t xml:space="preserve">an </w:t>
      </w:r>
      <w:r>
        <w:t xml:space="preserve">old </w:t>
      </w:r>
      <w:r w:rsidR="00FB4FF9">
        <w:t xml:space="preserve">SIS </w:t>
      </w:r>
      <w:r>
        <w:t xml:space="preserve">instrument which transferred to the Registrar under the </w:t>
      </w:r>
      <w:r w:rsidRPr="007C26B4">
        <w:t>Registries Modernisation Act</w:t>
      </w:r>
      <w:r>
        <w:t>.</w:t>
      </w:r>
    </w:p>
    <w:p w14:paraId="05F4F34E" w14:textId="7B499CF8" w:rsidR="007E2976" w:rsidRPr="007E2976" w:rsidRDefault="000D179E" w:rsidP="007E2976">
      <w:pPr>
        <w:pStyle w:val="AdviceNumLevel1"/>
        <w:numPr>
          <w:ilvl w:val="0"/>
          <w:numId w:val="0"/>
        </w:numPr>
        <w:rPr>
          <w:color w:val="000000"/>
        </w:rPr>
      </w:pPr>
      <w:r>
        <w:rPr>
          <w:b/>
          <w:bCs/>
        </w:rPr>
        <w:t>H</w:t>
      </w:r>
      <w:r w:rsidRPr="001400F8">
        <w:rPr>
          <w:b/>
          <w:bCs/>
        </w:rPr>
        <w:t>ow actions relating to functions and powers of the Registrar may be taken by the Registrar or another entity</w:t>
      </w:r>
      <w:r w:rsidRPr="001400F8" w:rsidDel="001400F8">
        <w:rPr>
          <w:b/>
          <w:bCs/>
        </w:rPr>
        <w:t xml:space="preserve"> </w:t>
      </w:r>
    </w:p>
    <w:p w14:paraId="0E7B777F" w14:textId="416065E4" w:rsidR="000D179E" w:rsidRPr="00633F1D" w:rsidRDefault="000D179E" w:rsidP="00CB3A5C">
      <w:pPr>
        <w:pStyle w:val="AdviceNumLevel1"/>
        <w:numPr>
          <w:ilvl w:val="0"/>
          <w:numId w:val="1"/>
        </w:numPr>
        <w:tabs>
          <w:tab w:val="clear" w:pos="360"/>
          <w:tab w:val="num" w:pos="567"/>
        </w:tabs>
        <w:spacing w:before="0" w:after="120" w:line="276" w:lineRule="auto"/>
        <w:ind w:left="567" w:hanging="567"/>
        <w:rPr>
          <w:color w:val="000000"/>
        </w:rPr>
      </w:pPr>
      <w:r>
        <w:t>After the commencement of this instrument,</w:t>
      </w:r>
      <w:r w:rsidRPr="00B818A5">
        <w:rPr>
          <w:color w:val="000000"/>
        </w:rPr>
        <w:t xml:space="preserve"> a</w:t>
      </w:r>
      <w:r w:rsidRPr="001F1BB5">
        <w:rPr>
          <w:color w:val="000000"/>
        </w:rPr>
        <w:t xml:space="preserve">s outlined in </w:t>
      </w:r>
      <w:r w:rsidR="00692F08">
        <w:rPr>
          <w:color w:val="000000"/>
        </w:rPr>
        <w:t xml:space="preserve">paragraph </w:t>
      </w:r>
      <w:r w:rsidR="00692F08">
        <w:rPr>
          <w:color w:val="000000"/>
        </w:rPr>
        <w:fldChar w:fldCharType="begin"/>
      </w:r>
      <w:r w:rsidR="00692F08">
        <w:rPr>
          <w:color w:val="000000"/>
        </w:rPr>
        <w:instrText xml:space="preserve"> REF _Ref105680960 \r \h </w:instrText>
      </w:r>
      <w:r w:rsidR="00692F08">
        <w:rPr>
          <w:color w:val="000000"/>
        </w:rPr>
      </w:r>
      <w:r w:rsidR="00692F08">
        <w:rPr>
          <w:color w:val="000000"/>
        </w:rPr>
        <w:fldChar w:fldCharType="separate"/>
      </w:r>
      <w:r w:rsidR="00692F08">
        <w:rPr>
          <w:color w:val="000000"/>
        </w:rPr>
        <w:t>5</w:t>
      </w:r>
      <w:r w:rsidR="00692F08">
        <w:rPr>
          <w:color w:val="000000"/>
        </w:rPr>
        <w:fldChar w:fldCharType="end"/>
      </w:r>
      <w:r w:rsidRPr="001F1BB5">
        <w:rPr>
          <w:color w:val="000000"/>
        </w:rPr>
        <w:t>, t</w:t>
      </w:r>
      <w:r w:rsidRPr="00B818A5">
        <w:rPr>
          <w:color w:val="000000"/>
        </w:rPr>
        <w:t xml:space="preserve">he Registrar or </w:t>
      </w:r>
      <w:r w:rsidRPr="00B818A5">
        <w:rPr>
          <w:color w:val="000000" w:themeColor="text1"/>
          <w:lang w:eastAsia="en-US"/>
        </w:rPr>
        <w:t xml:space="preserve">an entity meets the requirements of this instrument in relation to registry </w:t>
      </w:r>
      <w:r>
        <w:rPr>
          <w:color w:val="000000" w:themeColor="text1"/>
          <w:lang w:eastAsia="en-US"/>
        </w:rPr>
        <w:t>provisions</w:t>
      </w:r>
      <w:r w:rsidRPr="00B818A5">
        <w:rPr>
          <w:color w:val="000000" w:themeColor="text1"/>
          <w:lang w:eastAsia="en-US"/>
        </w:rPr>
        <w:t xml:space="preserve"> if the action </w:t>
      </w:r>
      <w:r>
        <w:rPr>
          <w:color w:val="000000" w:themeColor="text1"/>
          <w:lang w:eastAsia="en-US"/>
        </w:rPr>
        <w:t>is</w:t>
      </w:r>
      <w:r w:rsidRPr="00B818A5">
        <w:rPr>
          <w:color w:val="000000" w:themeColor="text1"/>
          <w:lang w:eastAsia="en-US"/>
        </w:rPr>
        <w:t xml:space="preserve"> taken</w:t>
      </w:r>
      <w:r>
        <w:rPr>
          <w:color w:val="000000" w:themeColor="text1"/>
          <w:lang w:eastAsia="en-US"/>
        </w:rPr>
        <w:t xml:space="preserve"> in accordance with the requirements (if any)</w:t>
      </w:r>
      <w:r w:rsidRPr="00B818A5">
        <w:rPr>
          <w:color w:val="000000" w:themeColor="text1"/>
          <w:lang w:eastAsia="en-US"/>
        </w:rPr>
        <w:t xml:space="preserve"> </w:t>
      </w:r>
      <w:r>
        <w:rPr>
          <w:color w:val="000000" w:themeColor="text1"/>
          <w:lang w:eastAsia="en-US"/>
        </w:rPr>
        <w:t>of</w:t>
      </w:r>
      <w:r w:rsidRPr="00B818A5">
        <w:rPr>
          <w:color w:val="000000" w:themeColor="text1"/>
          <w:lang w:eastAsia="en-US"/>
        </w:rPr>
        <w:t xml:space="preserve"> the old</w:t>
      </w:r>
      <w:r w:rsidR="00FB4FF9">
        <w:rPr>
          <w:color w:val="000000" w:themeColor="text1"/>
          <w:lang w:eastAsia="en-US"/>
        </w:rPr>
        <w:t xml:space="preserve"> SIS</w:t>
      </w:r>
      <w:r w:rsidRPr="00B818A5">
        <w:rPr>
          <w:color w:val="000000" w:themeColor="text1"/>
          <w:lang w:eastAsia="en-US"/>
        </w:rPr>
        <w:t xml:space="preserve"> Act or </w:t>
      </w:r>
      <w:r w:rsidR="00C97058">
        <w:rPr>
          <w:color w:val="000000" w:themeColor="text1"/>
          <w:lang w:eastAsia="en-US"/>
        </w:rPr>
        <w:t>an</w:t>
      </w:r>
      <w:r w:rsidR="00C97058" w:rsidRPr="00B818A5">
        <w:rPr>
          <w:color w:val="000000" w:themeColor="text1"/>
          <w:lang w:eastAsia="en-US"/>
        </w:rPr>
        <w:t xml:space="preserve"> </w:t>
      </w:r>
      <w:r w:rsidRPr="00B818A5">
        <w:rPr>
          <w:color w:val="000000" w:themeColor="text1"/>
          <w:lang w:eastAsia="en-US"/>
        </w:rPr>
        <w:t>old</w:t>
      </w:r>
      <w:r w:rsidR="00FB4FF9">
        <w:rPr>
          <w:color w:val="000000" w:themeColor="text1"/>
          <w:lang w:eastAsia="en-US"/>
        </w:rPr>
        <w:t xml:space="preserve"> SIS</w:t>
      </w:r>
      <w:r w:rsidRPr="00B818A5">
        <w:rPr>
          <w:color w:val="000000" w:themeColor="text1"/>
          <w:lang w:eastAsia="en-US"/>
        </w:rPr>
        <w:t xml:space="preserve"> instrument.</w:t>
      </w:r>
    </w:p>
    <w:p w14:paraId="31A3EF32" w14:textId="2A31C15C" w:rsidR="000D179E" w:rsidRPr="00A568CA" w:rsidRDefault="000D179E" w:rsidP="00CB3A5C">
      <w:pPr>
        <w:pStyle w:val="AdviceNumLevel1"/>
        <w:numPr>
          <w:ilvl w:val="0"/>
          <w:numId w:val="1"/>
        </w:numPr>
        <w:tabs>
          <w:tab w:val="clear" w:pos="360"/>
          <w:tab w:val="num" w:pos="567"/>
        </w:tabs>
        <w:spacing w:before="0" w:after="120" w:line="276" w:lineRule="auto"/>
        <w:ind w:left="567" w:hanging="567"/>
        <w:rPr>
          <w:color w:val="000000"/>
        </w:rPr>
      </w:pPr>
      <w:r>
        <w:t>The instrument makes clear that taking an action in accordance with a requirement under the</w:t>
      </w:r>
      <w:r w:rsidRPr="004E023A">
        <w:rPr>
          <w:color w:val="000000" w:themeColor="text1"/>
          <w:lang w:eastAsia="en-US"/>
        </w:rPr>
        <w:t xml:space="preserve"> </w:t>
      </w:r>
      <w:r w:rsidRPr="00B818A5">
        <w:rPr>
          <w:color w:val="000000" w:themeColor="text1"/>
          <w:lang w:eastAsia="en-US"/>
        </w:rPr>
        <w:t>old</w:t>
      </w:r>
      <w:r w:rsidR="00FB4FF9">
        <w:rPr>
          <w:color w:val="000000" w:themeColor="text1"/>
          <w:lang w:eastAsia="en-US"/>
        </w:rPr>
        <w:t xml:space="preserve"> SIS</w:t>
      </w:r>
      <w:r w:rsidRPr="00B818A5">
        <w:rPr>
          <w:color w:val="000000" w:themeColor="text1"/>
          <w:lang w:eastAsia="en-US"/>
        </w:rPr>
        <w:t xml:space="preserve"> Act or </w:t>
      </w:r>
      <w:r w:rsidR="00C97058">
        <w:rPr>
          <w:color w:val="000000" w:themeColor="text1"/>
          <w:lang w:eastAsia="en-US"/>
        </w:rPr>
        <w:t>an</w:t>
      </w:r>
      <w:r w:rsidR="00C97058" w:rsidRPr="00B818A5">
        <w:rPr>
          <w:color w:val="000000" w:themeColor="text1"/>
          <w:lang w:eastAsia="en-US"/>
        </w:rPr>
        <w:t xml:space="preserve"> </w:t>
      </w:r>
      <w:r w:rsidRPr="00B818A5">
        <w:rPr>
          <w:color w:val="000000" w:themeColor="text1"/>
          <w:lang w:eastAsia="en-US"/>
        </w:rPr>
        <w:t>old</w:t>
      </w:r>
      <w:r w:rsidR="00FB4FF9">
        <w:rPr>
          <w:color w:val="000000" w:themeColor="text1"/>
          <w:lang w:eastAsia="en-US"/>
        </w:rPr>
        <w:t xml:space="preserve"> SIS</w:t>
      </w:r>
      <w:r w:rsidRPr="00B818A5">
        <w:rPr>
          <w:color w:val="000000" w:themeColor="text1"/>
          <w:lang w:eastAsia="en-US"/>
        </w:rPr>
        <w:t xml:space="preserve"> instrument</w:t>
      </w:r>
      <w:r>
        <w:rPr>
          <w:color w:val="000000" w:themeColor="text1"/>
          <w:lang w:eastAsia="en-US"/>
        </w:rPr>
        <w:t xml:space="preserve"> </w:t>
      </w:r>
      <w:r w:rsidRPr="004E023A">
        <w:t>includes taking an action in accordance with the manner, form, or practice in which such a requirement could be complied with</w:t>
      </w:r>
      <w:r>
        <w:t xml:space="preserve"> prior to the commencement of this instrument.</w:t>
      </w:r>
    </w:p>
    <w:p w14:paraId="791C2382" w14:textId="6EBAB59C" w:rsidR="000D179E" w:rsidRPr="00D607E0" w:rsidRDefault="000D179E" w:rsidP="00CB3A5C">
      <w:pPr>
        <w:pStyle w:val="AdviceNumLevel1"/>
        <w:numPr>
          <w:ilvl w:val="0"/>
          <w:numId w:val="1"/>
        </w:numPr>
        <w:tabs>
          <w:tab w:val="clear" w:pos="360"/>
          <w:tab w:val="num" w:pos="567"/>
        </w:tabs>
        <w:spacing w:before="0" w:after="120" w:line="276" w:lineRule="auto"/>
        <w:ind w:left="567" w:hanging="567"/>
        <w:rPr>
          <w:color w:val="000000"/>
        </w:rPr>
      </w:pPr>
      <w:r>
        <w:rPr>
          <w:color w:val="000000"/>
        </w:rPr>
        <w:t>To avoid doubt, action</w:t>
      </w:r>
      <w:r w:rsidRPr="001F1BB5">
        <w:rPr>
          <w:color w:val="000000"/>
        </w:rPr>
        <w:t xml:space="preserve"> </w:t>
      </w:r>
      <w:r w:rsidRPr="001F1BB5">
        <w:rPr>
          <w:color w:val="000000" w:themeColor="text1"/>
          <w:lang w:eastAsia="en-US"/>
        </w:rPr>
        <w:t>inclu</w:t>
      </w:r>
      <w:r w:rsidRPr="006A22A4">
        <w:rPr>
          <w:color w:val="000000" w:themeColor="text1"/>
          <w:lang w:eastAsia="en-US"/>
        </w:rPr>
        <w:t>des the</w:t>
      </w:r>
      <w:r>
        <w:rPr>
          <w:color w:val="000000" w:themeColor="text1"/>
          <w:lang w:eastAsia="en-US"/>
        </w:rPr>
        <w:t xml:space="preserve"> doing or omission of:</w:t>
      </w:r>
    </w:p>
    <w:p w14:paraId="478B23F8" w14:textId="30ABA85E" w:rsidR="000D179E" w:rsidRPr="00D607E0" w:rsidRDefault="000D179E" w:rsidP="00CB3A5C">
      <w:pPr>
        <w:pStyle w:val="AdviceNumLevel1"/>
        <w:numPr>
          <w:ilvl w:val="1"/>
          <w:numId w:val="9"/>
        </w:numPr>
        <w:spacing w:before="0" w:after="120" w:line="276" w:lineRule="auto"/>
        <w:ind w:left="1134" w:hanging="567"/>
        <w:rPr>
          <w:color w:val="000000" w:themeColor="text1"/>
          <w:lang w:eastAsia="en-US"/>
        </w:rPr>
      </w:pPr>
      <w:r w:rsidRPr="00D607E0">
        <w:rPr>
          <w:color w:val="000000" w:themeColor="text1"/>
          <w:lang w:eastAsia="en-US"/>
        </w:rPr>
        <w:t>deciding, notifying, issuing, publishing, giving</w:t>
      </w:r>
      <w:r w:rsidR="00CE532A">
        <w:rPr>
          <w:color w:val="000000" w:themeColor="text1"/>
          <w:lang w:eastAsia="en-US"/>
        </w:rPr>
        <w:t>; or</w:t>
      </w:r>
    </w:p>
    <w:p w14:paraId="3FEFB0BE" w14:textId="6DE5ABAA" w:rsidR="000D179E" w:rsidRPr="00D607E0" w:rsidRDefault="000D179E" w:rsidP="00CB3A5C">
      <w:pPr>
        <w:pStyle w:val="AdviceNumLevel1"/>
        <w:numPr>
          <w:ilvl w:val="1"/>
          <w:numId w:val="9"/>
        </w:numPr>
        <w:spacing w:before="0" w:after="120" w:line="276" w:lineRule="auto"/>
        <w:ind w:left="1134" w:hanging="567"/>
        <w:rPr>
          <w:color w:val="000000" w:themeColor="text1"/>
          <w:lang w:eastAsia="en-US"/>
        </w:rPr>
      </w:pPr>
      <w:r w:rsidRPr="00D607E0">
        <w:rPr>
          <w:color w:val="000000" w:themeColor="text1"/>
          <w:lang w:eastAsia="en-US"/>
        </w:rPr>
        <w:lastRenderedPageBreak/>
        <w:t>asking, requesting, requiring, directing</w:t>
      </w:r>
      <w:r w:rsidR="00CE532A">
        <w:rPr>
          <w:color w:val="000000" w:themeColor="text1"/>
          <w:lang w:eastAsia="en-US"/>
        </w:rPr>
        <w:t>; or</w:t>
      </w:r>
    </w:p>
    <w:p w14:paraId="695C4615" w14:textId="30BAF2A5" w:rsidR="000D179E" w:rsidRPr="00D607E0" w:rsidRDefault="000D179E" w:rsidP="00CB3A5C">
      <w:pPr>
        <w:pStyle w:val="AdviceNumLevel1"/>
        <w:numPr>
          <w:ilvl w:val="1"/>
          <w:numId w:val="9"/>
        </w:numPr>
        <w:spacing w:before="0" w:after="120" w:line="276" w:lineRule="auto"/>
        <w:ind w:left="1134" w:hanging="567"/>
        <w:rPr>
          <w:color w:val="000000" w:themeColor="text1"/>
          <w:lang w:eastAsia="en-US"/>
        </w:rPr>
      </w:pPr>
      <w:r w:rsidRPr="00D607E0">
        <w:rPr>
          <w:color w:val="000000" w:themeColor="text1"/>
          <w:lang w:eastAsia="en-US"/>
        </w:rPr>
        <w:t>applying, responding, providing, lodging</w:t>
      </w:r>
      <w:r w:rsidR="00CE532A">
        <w:rPr>
          <w:color w:val="000000" w:themeColor="text1"/>
          <w:lang w:eastAsia="en-US"/>
        </w:rPr>
        <w:t>; or</w:t>
      </w:r>
    </w:p>
    <w:p w14:paraId="13F98466" w14:textId="362C56D2" w:rsidR="000D179E" w:rsidRPr="00D607E0" w:rsidRDefault="000D179E" w:rsidP="00CB3A5C">
      <w:pPr>
        <w:pStyle w:val="AdviceNumLevel1"/>
        <w:numPr>
          <w:ilvl w:val="1"/>
          <w:numId w:val="9"/>
        </w:numPr>
        <w:spacing w:before="0" w:after="120" w:line="276" w:lineRule="auto"/>
        <w:ind w:left="1134" w:hanging="567"/>
        <w:rPr>
          <w:color w:val="000000" w:themeColor="text1"/>
          <w:lang w:eastAsia="en-US"/>
        </w:rPr>
      </w:pPr>
      <w:r w:rsidRPr="00D607E0">
        <w:rPr>
          <w:color w:val="000000" w:themeColor="text1"/>
          <w:lang w:eastAsia="en-US"/>
        </w:rPr>
        <w:t>accepting, recording, holding, maintaining</w:t>
      </w:r>
      <w:r w:rsidR="00CE532A">
        <w:rPr>
          <w:color w:val="000000" w:themeColor="text1"/>
          <w:lang w:eastAsia="en-US"/>
        </w:rPr>
        <w:t>; or</w:t>
      </w:r>
    </w:p>
    <w:p w14:paraId="6658FEB1" w14:textId="0E9E7585" w:rsidR="000D179E" w:rsidRPr="00D607E0" w:rsidRDefault="000D179E" w:rsidP="00CB3A5C">
      <w:pPr>
        <w:pStyle w:val="AdviceNumLevel1"/>
        <w:numPr>
          <w:ilvl w:val="1"/>
          <w:numId w:val="9"/>
        </w:numPr>
        <w:spacing w:before="0" w:after="120" w:line="276" w:lineRule="auto"/>
        <w:ind w:left="1134" w:hanging="567"/>
        <w:rPr>
          <w:color w:val="000000" w:themeColor="text1"/>
          <w:lang w:eastAsia="en-US"/>
        </w:rPr>
      </w:pPr>
      <w:r w:rsidRPr="00D607E0">
        <w:rPr>
          <w:color w:val="000000" w:themeColor="text1"/>
          <w:lang w:eastAsia="en-US"/>
        </w:rPr>
        <w:t>certifying, providing extracts</w:t>
      </w:r>
      <w:r w:rsidR="00CE532A">
        <w:rPr>
          <w:color w:val="000000" w:themeColor="text1"/>
          <w:lang w:eastAsia="en-US"/>
        </w:rPr>
        <w:t>; or</w:t>
      </w:r>
    </w:p>
    <w:p w14:paraId="7F2FAAA2" w14:textId="0DB12EB3" w:rsidR="000D179E" w:rsidRDefault="000D179E" w:rsidP="00CB3A5C">
      <w:pPr>
        <w:pStyle w:val="AdviceNumLevel1"/>
        <w:numPr>
          <w:ilvl w:val="1"/>
          <w:numId w:val="9"/>
        </w:numPr>
        <w:spacing w:before="0" w:after="120" w:line="276" w:lineRule="auto"/>
        <w:ind w:left="1134" w:hanging="567"/>
        <w:rPr>
          <w:color w:val="000000" w:themeColor="text1"/>
          <w:lang w:eastAsia="en-US"/>
        </w:rPr>
      </w:pPr>
      <w:r w:rsidRPr="00D607E0">
        <w:rPr>
          <w:color w:val="000000" w:themeColor="text1"/>
          <w:lang w:eastAsia="en-US"/>
        </w:rPr>
        <w:t>accepting payment or making payment</w:t>
      </w:r>
      <w:r w:rsidR="00CE532A">
        <w:rPr>
          <w:color w:val="000000" w:themeColor="text1"/>
          <w:lang w:eastAsia="en-US"/>
        </w:rPr>
        <w:t>.</w:t>
      </w:r>
    </w:p>
    <w:p w14:paraId="717C2635" w14:textId="050CD19B" w:rsidR="000D179E" w:rsidRDefault="000D179E" w:rsidP="00E02CE2">
      <w:pPr>
        <w:pStyle w:val="AdviceNumLevel1"/>
        <w:numPr>
          <w:ilvl w:val="0"/>
          <w:numId w:val="1"/>
        </w:numPr>
        <w:tabs>
          <w:tab w:val="clear" w:pos="360"/>
          <w:tab w:val="num" w:pos="567"/>
        </w:tabs>
        <w:spacing w:before="0" w:after="120" w:line="276" w:lineRule="auto"/>
        <w:ind w:left="567" w:hanging="567"/>
        <w:rPr>
          <w:color w:val="000000"/>
        </w:rPr>
      </w:pPr>
      <w:r>
        <w:rPr>
          <w:color w:val="000000"/>
        </w:rPr>
        <w:t xml:space="preserve">The instrument makes clear that the taking of an action may be done </w:t>
      </w:r>
      <w:r w:rsidRPr="004E023A">
        <w:rPr>
          <w:color w:val="000000"/>
        </w:rPr>
        <w:t>using notices, forms or systems</w:t>
      </w:r>
      <w:r>
        <w:rPr>
          <w:color w:val="000000"/>
        </w:rPr>
        <w:t>,</w:t>
      </w:r>
      <w:r w:rsidRPr="004E023A">
        <w:rPr>
          <w:color w:val="000000"/>
        </w:rPr>
        <w:t xml:space="preserve"> or any other means available to ASIC under the old</w:t>
      </w:r>
      <w:r w:rsidR="00FB4FF9">
        <w:rPr>
          <w:color w:val="000000"/>
        </w:rPr>
        <w:t xml:space="preserve"> SIS</w:t>
      </w:r>
      <w:r w:rsidRPr="004E023A">
        <w:rPr>
          <w:color w:val="000000"/>
        </w:rPr>
        <w:t xml:space="preserve"> Act or an old </w:t>
      </w:r>
      <w:r w:rsidR="00FB4FF9">
        <w:rPr>
          <w:color w:val="000000"/>
        </w:rPr>
        <w:t>SIS</w:t>
      </w:r>
      <w:r w:rsidRPr="004E023A">
        <w:rPr>
          <w:color w:val="000000"/>
        </w:rPr>
        <w:t xml:space="preserve"> instrument</w:t>
      </w:r>
      <w:r>
        <w:rPr>
          <w:color w:val="000000"/>
        </w:rPr>
        <w:t>.</w:t>
      </w:r>
    </w:p>
    <w:p w14:paraId="42D2BC02" w14:textId="3955DCCF" w:rsidR="000D179E" w:rsidRDefault="000D179E" w:rsidP="00E02CE2">
      <w:pPr>
        <w:pStyle w:val="AdviceNumLevel1"/>
        <w:numPr>
          <w:ilvl w:val="0"/>
          <w:numId w:val="1"/>
        </w:numPr>
        <w:tabs>
          <w:tab w:val="clear" w:pos="360"/>
          <w:tab w:val="num" w:pos="567"/>
        </w:tabs>
        <w:spacing w:before="0" w:after="120" w:line="276" w:lineRule="auto"/>
        <w:ind w:left="567" w:hanging="567"/>
        <w:rPr>
          <w:color w:val="000000" w:themeColor="text1"/>
          <w:lang w:eastAsia="en-US"/>
        </w:rPr>
      </w:pPr>
      <w:r>
        <w:rPr>
          <w:color w:val="000000" w:themeColor="text1"/>
          <w:lang w:eastAsia="en-US"/>
        </w:rPr>
        <w:t>This ensures that an</w:t>
      </w:r>
      <w:r w:rsidRPr="00852BFD">
        <w:rPr>
          <w:color w:val="000000" w:themeColor="text1"/>
          <w:lang w:eastAsia="en-US"/>
        </w:rPr>
        <w:t xml:space="preserve"> entity making an application, providing information, or lodging information may </w:t>
      </w:r>
      <w:r>
        <w:rPr>
          <w:color w:val="000000" w:themeColor="text1"/>
          <w:lang w:eastAsia="en-US"/>
        </w:rPr>
        <w:t>continue to use</w:t>
      </w:r>
      <w:r w:rsidRPr="00852BFD">
        <w:rPr>
          <w:color w:val="000000" w:themeColor="text1"/>
          <w:lang w:eastAsia="en-US"/>
        </w:rPr>
        <w:t xml:space="preserve"> </w:t>
      </w:r>
      <w:r>
        <w:rPr>
          <w:color w:val="000000" w:themeColor="text1"/>
          <w:lang w:eastAsia="en-US"/>
        </w:rPr>
        <w:t>the</w:t>
      </w:r>
      <w:r w:rsidRPr="00852BFD">
        <w:rPr>
          <w:color w:val="000000" w:themeColor="text1"/>
          <w:lang w:eastAsia="en-US"/>
        </w:rPr>
        <w:t xml:space="preserve"> </w:t>
      </w:r>
      <w:r>
        <w:rPr>
          <w:color w:val="000000" w:themeColor="text1"/>
          <w:lang w:eastAsia="en-US"/>
        </w:rPr>
        <w:t xml:space="preserve">forms or systems in place </w:t>
      </w:r>
      <w:r w:rsidRPr="00852BFD">
        <w:rPr>
          <w:color w:val="000000" w:themeColor="text1"/>
          <w:lang w:eastAsia="en-US"/>
        </w:rPr>
        <w:t>immediately prior to commencement</w:t>
      </w:r>
      <w:r>
        <w:rPr>
          <w:color w:val="000000" w:themeColor="text1"/>
          <w:lang w:eastAsia="en-US"/>
        </w:rPr>
        <w:t xml:space="preserve"> of this instrument</w:t>
      </w:r>
      <w:r w:rsidRPr="00852BFD">
        <w:rPr>
          <w:color w:val="000000" w:themeColor="text1"/>
          <w:lang w:eastAsia="en-US"/>
        </w:rPr>
        <w:t xml:space="preserve">. The collection of associated fees will </w:t>
      </w:r>
      <w:r>
        <w:rPr>
          <w:color w:val="000000" w:themeColor="text1"/>
          <w:lang w:eastAsia="en-US"/>
        </w:rPr>
        <w:t>also continue to be done through</w:t>
      </w:r>
      <w:r w:rsidRPr="00852BFD">
        <w:rPr>
          <w:color w:val="000000" w:themeColor="text1"/>
          <w:lang w:eastAsia="en-US"/>
        </w:rPr>
        <w:t xml:space="preserve"> ASIC</w:t>
      </w:r>
      <w:r>
        <w:rPr>
          <w:color w:val="000000" w:themeColor="text1"/>
          <w:lang w:eastAsia="en-US"/>
        </w:rPr>
        <w:t>’s</w:t>
      </w:r>
      <w:r w:rsidRPr="00852BFD">
        <w:rPr>
          <w:color w:val="000000" w:themeColor="text1"/>
          <w:lang w:eastAsia="en-US"/>
        </w:rPr>
        <w:t xml:space="preserve"> systems and in the manner </w:t>
      </w:r>
      <w:r>
        <w:rPr>
          <w:color w:val="000000" w:themeColor="text1"/>
          <w:lang w:eastAsia="en-US"/>
        </w:rPr>
        <w:t xml:space="preserve">in place </w:t>
      </w:r>
      <w:r w:rsidRPr="00852BFD">
        <w:rPr>
          <w:color w:val="000000" w:themeColor="text1"/>
          <w:lang w:eastAsia="en-US"/>
        </w:rPr>
        <w:t>immediately prior to commencement.</w:t>
      </w:r>
    </w:p>
    <w:p w14:paraId="2E04C8CB" w14:textId="69D0AC2B" w:rsidR="00CE532A" w:rsidRPr="00CE532A" w:rsidRDefault="00CE532A" w:rsidP="00E02CE2">
      <w:pPr>
        <w:pStyle w:val="AdviceNumLevel1"/>
        <w:numPr>
          <w:ilvl w:val="0"/>
          <w:numId w:val="1"/>
        </w:numPr>
        <w:tabs>
          <w:tab w:val="clear" w:pos="360"/>
          <w:tab w:val="num" w:pos="567"/>
        </w:tabs>
        <w:spacing w:before="0" w:after="120" w:line="276" w:lineRule="auto"/>
        <w:ind w:left="567" w:hanging="567"/>
        <w:rPr>
          <w:color w:val="000000"/>
        </w:rPr>
      </w:pPr>
      <w:r w:rsidRPr="00B96574">
        <w:rPr>
          <w:color w:val="000000" w:themeColor="text1"/>
          <w:lang w:eastAsia="en-US"/>
        </w:rPr>
        <w:t xml:space="preserve">Further, under this instrument a document or a copy of a document that purports to be an extract of information held by ASIC in relation to registry operations will be an extract of information held by the Registrar for evidentiary purposes under section </w:t>
      </w:r>
      <w:r>
        <w:rPr>
          <w:color w:val="000000" w:themeColor="text1"/>
          <w:lang w:eastAsia="en-US"/>
        </w:rPr>
        <w:t>23</w:t>
      </w:r>
      <w:r w:rsidRPr="00B96574">
        <w:rPr>
          <w:color w:val="000000" w:themeColor="text1"/>
          <w:lang w:eastAsia="en-US"/>
        </w:rPr>
        <w:t xml:space="preserve"> of the </w:t>
      </w:r>
      <w:r w:rsidRPr="007E2976">
        <w:rPr>
          <w:i/>
          <w:iCs/>
          <w:color w:val="000000" w:themeColor="text1"/>
          <w:lang w:eastAsia="en-US"/>
        </w:rPr>
        <w:t>Commonwealth Registers Act 2020</w:t>
      </w:r>
      <w:r w:rsidRPr="00B96574">
        <w:rPr>
          <w:color w:val="000000" w:themeColor="text1"/>
          <w:lang w:eastAsia="en-US"/>
        </w:rPr>
        <w:t>.</w:t>
      </w:r>
    </w:p>
    <w:p w14:paraId="69DD6172" w14:textId="2E437E20" w:rsidR="000D179E" w:rsidRPr="00FB4FF9" w:rsidRDefault="000D179E" w:rsidP="00E02CE2">
      <w:pPr>
        <w:pStyle w:val="AdviceNumLevel1"/>
        <w:numPr>
          <w:ilvl w:val="0"/>
          <w:numId w:val="1"/>
        </w:numPr>
        <w:tabs>
          <w:tab w:val="clear" w:pos="360"/>
          <w:tab w:val="num" w:pos="567"/>
        </w:tabs>
        <w:spacing w:before="0" w:after="120" w:line="276" w:lineRule="auto"/>
        <w:ind w:left="567" w:hanging="567"/>
        <w:rPr>
          <w:color w:val="000000"/>
        </w:rPr>
      </w:pPr>
      <w:r w:rsidRPr="00FB4FF9">
        <w:rPr>
          <w:color w:val="000000" w:themeColor="text1"/>
          <w:lang w:eastAsia="en-US"/>
        </w:rPr>
        <w:t>This also ensures that the Registrar may continue to make decisions and issue notices</w:t>
      </w:r>
      <w:r w:rsidRPr="00FB4FF9">
        <w:t xml:space="preserve"> </w:t>
      </w:r>
      <w:r w:rsidRPr="00FB4FF9">
        <w:rPr>
          <w:color w:val="000000" w:themeColor="text1"/>
          <w:lang w:eastAsia="en-US"/>
        </w:rPr>
        <w:t xml:space="preserve">using the forms or systems in place immediately prior to commencement of this instrument. This includes that decisions made through ASIC’s computer systems will satisfy section </w:t>
      </w:r>
      <w:r w:rsidR="00FB4FF9">
        <w:rPr>
          <w:color w:val="000000" w:themeColor="text1"/>
          <w:lang w:eastAsia="en-US"/>
        </w:rPr>
        <w:t>11</w:t>
      </w:r>
      <w:r w:rsidRPr="00FB4FF9">
        <w:rPr>
          <w:color w:val="000000" w:themeColor="text1"/>
          <w:lang w:eastAsia="en-US"/>
        </w:rPr>
        <w:t xml:space="preserve"> of the </w:t>
      </w:r>
      <w:r w:rsidR="00692F08" w:rsidRPr="007E2976">
        <w:rPr>
          <w:i/>
          <w:iCs/>
          <w:color w:val="000000" w:themeColor="text1"/>
          <w:lang w:eastAsia="en-US"/>
        </w:rPr>
        <w:t>Commonwealth Registers Act 2020</w:t>
      </w:r>
      <w:r w:rsidR="00692F08" w:rsidDel="00692F08">
        <w:rPr>
          <w:i/>
          <w:iCs/>
        </w:rPr>
        <w:t xml:space="preserve"> </w:t>
      </w:r>
      <w:r w:rsidRPr="00FB4FF9">
        <w:rPr>
          <w:color w:val="000000" w:themeColor="text1"/>
          <w:lang w:eastAsia="en-US"/>
        </w:rPr>
        <w:t>(which relates to assisted decision making) where the Registrar has control over the processes for assisting decision making in ASIC’s computer systems.</w:t>
      </w:r>
    </w:p>
    <w:p w14:paraId="6CF04D72" w14:textId="77777777" w:rsidR="000D179E" w:rsidRDefault="000D179E" w:rsidP="000D179E">
      <w:pPr>
        <w:pStyle w:val="AdviceNumLevel1"/>
        <w:numPr>
          <w:ilvl w:val="0"/>
          <w:numId w:val="0"/>
        </w:numPr>
        <w:rPr>
          <w:b/>
          <w:bCs/>
        </w:rPr>
      </w:pPr>
      <w:r w:rsidRPr="00424AF8">
        <w:rPr>
          <w:b/>
          <w:bCs/>
        </w:rPr>
        <w:t xml:space="preserve">How the Registrar </w:t>
      </w:r>
      <w:r>
        <w:rPr>
          <w:b/>
          <w:bCs/>
        </w:rPr>
        <w:t xml:space="preserve">holds, </w:t>
      </w:r>
      <w:r w:rsidRPr="00424AF8">
        <w:rPr>
          <w:b/>
          <w:bCs/>
        </w:rPr>
        <w:t>record</w:t>
      </w:r>
      <w:r>
        <w:rPr>
          <w:b/>
          <w:bCs/>
        </w:rPr>
        <w:t xml:space="preserve">s and </w:t>
      </w:r>
      <w:r w:rsidRPr="00424AF8">
        <w:rPr>
          <w:b/>
          <w:bCs/>
        </w:rPr>
        <w:t>st</w:t>
      </w:r>
      <w:r>
        <w:rPr>
          <w:b/>
          <w:bCs/>
        </w:rPr>
        <w:t>o</w:t>
      </w:r>
      <w:r w:rsidRPr="00424AF8">
        <w:rPr>
          <w:b/>
          <w:bCs/>
        </w:rPr>
        <w:t>re</w:t>
      </w:r>
      <w:r>
        <w:rPr>
          <w:b/>
          <w:bCs/>
        </w:rPr>
        <w:t xml:space="preserve">s </w:t>
      </w:r>
      <w:r w:rsidRPr="00424AF8">
        <w:rPr>
          <w:b/>
          <w:bCs/>
        </w:rPr>
        <w:t>registry information</w:t>
      </w:r>
    </w:p>
    <w:p w14:paraId="59D7F1FE" w14:textId="77777777" w:rsidR="000D179E" w:rsidRPr="00C617DF" w:rsidRDefault="000D179E" w:rsidP="00E02CE2">
      <w:pPr>
        <w:pStyle w:val="AdviceNumLevel1"/>
        <w:numPr>
          <w:ilvl w:val="0"/>
          <w:numId w:val="1"/>
        </w:numPr>
        <w:tabs>
          <w:tab w:val="clear" w:pos="360"/>
          <w:tab w:val="num" w:pos="567"/>
        </w:tabs>
        <w:spacing w:before="0" w:after="120" w:line="276" w:lineRule="auto"/>
        <w:ind w:left="567" w:hanging="567"/>
        <w:rPr>
          <w:color w:val="000000" w:themeColor="text1"/>
          <w:lang w:eastAsia="en-US"/>
        </w:rPr>
      </w:pPr>
      <w:r w:rsidRPr="008946C6">
        <w:rPr>
          <w:color w:val="000000" w:themeColor="text1"/>
          <w:lang w:eastAsia="en-US"/>
        </w:rPr>
        <w:t>During the transitional period the Registrar m</w:t>
      </w:r>
      <w:r w:rsidRPr="00B24EF0">
        <w:rPr>
          <w:color w:val="000000" w:themeColor="text1"/>
          <w:lang w:eastAsia="en-US"/>
        </w:rPr>
        <w:t>ay</w:t>
      </w:r>
      <w:r w:rsidRPr="008946C6">
        <w:rPr>
          <w:color w:val="000000" w:themeColor="text1"/>
          <w:lang w:eastAsia="en-US"/>
        </w:rPr>
        <w:t xml:space="preserve"> hold, record</w:t>
      </w:r>
      <w:r>
        <w:rPr>
          <w:color w:val="000000" w:themeColor="text1"/>
          <w:lang w:eastAsia="en-US"/>
        </w:rPr>
        <w:t xml:space="preserve"> and </w:t>
      </w:r>
      <w:r w:rsidRPr="008946C6">
        <w:rPr>
          <w:color w:val="000000" w:themeColor="text1"/>
          <w:lang w:eastAsia="en-US"/>
        </w:rPr>
        <w:t xml:space="preserve">store </w:t>
      </w:r>
      <w:r>
        <w:rPr>
          <w:color w:val="000000" w:themeColor="text1"/>
          <w:lang w:eastAsia="en-US"/>
        </w:rPr>
        <w:t xml:space="preserve">registry </w:t>
      </w:r>
      <w:r w:rsidRPr="008946C6">
        <w:rPr>
          <w:color w:val="000000" w:themeColor="text1"/>
          <w:lang w:eastAsia="en-US"/>
        </w:rPr>
        <w:t xml:space="preserve">information </w:t>
      </w:r>
      <w:r w:rsidRPr="00C617DF">
        <w:rPr>
          <w:color w:val="000000" w:themeColor="text1"/>
          <w:lang w:eastAsia="en-US"/>
        </w:rPr>
        <w:t>on ASIC’s systems</w:t>
      </w:r>
      <w:r w:rsidRPr="00B24EF0">
        <w:rPr>
          <w:color w:val="000000" w:themeColor="text1"/>
          <w:lang w:eastAsia="en-US"/>
        </w:rPr>
        <w:t>.</w:t>
      </w:r>
      <w:r>
        <w:rPr>
          <w:color w:val="000000" w:themeColor="text1"/>
          <w:lang w:eastAsia="en-US"/>
        </w:rPr>
        <w:t xml:space="preserve"> This ensures that there is no disruption in current registry practices and that users of registry services may continue to use ASIC systems to lodge documents and requests.</w:t>
      </w:r>
    </w:p>
    <w:p w14:paraId="4C6B868C" w14:textId="41EB6E60" w:rsidR="000D179E" w:rsidRPr="00B96574" w:rsidRDefault="00973026" w:rsidP="00E02CE2">
      <w:pPr>
        <w:pStyle w:val="AdviceNumLevel1"/>
        <w:numPr>
          <w:ilvl w:val="0"/>
          <w:numId w:val="1"/>
        </w:numPr>
        <w:tabs>
          <w:tab w:val="clear" w:pos="360"/>
          <w:tab w:val="num" w:pos="567"/>
        </w:tabs>
        <w:spacing w:before="0" w:after="120" w:line="276" w:lineRule="auto"/>
        <w:ind w:left="567" w:hanging="567"/>
        <w:rPr>
          <w:color w:val="000000" w:themeColor="text1"/>
          <w:lang w:eastAsia="en-US"/>
        </w:rPr>
      </w:pPr>
      <w:r>
        <w:t>R</w:t>
      </w:r>
      <w:r w:rsidR="000D179E">
        <w:t>ecords authorit</w:t>
      </w:r>
      <w:r>
        <w:t xml:space="preserve">ies are </w:t>
      </w:r>
      <w:r w:rsidR="000D179E">
        <w:t>legal instrument</w:t>
      </w:r>
      <w:r>
        <w:t>s</w:t>
      </w:r>
      <w:r w:rsidR="000D179E">
        <w:t xml:space="preserve"> </w:t>
      </w:r>
      <w:r>
        <w:t xml:space="preserve">that are used by </w:t>
      </w:r>
      <w:r w:rsidR="000D179E">
        <w:t xml:space="preserve">agencies to </w:t>
      </w:r>
      <w:r>
        <w:t xml:space="preserve">determine </w:t>
      </w:r>
      <w:r w:rsidR="000D179E">
        <w:t xml:space="preserve">decisions about keeping, destroying or transferring Australian Government Records. Records Authorities are used to determine how long to keep records and provide permission for the destruction of records once </w:t>
      </w:r>
      <w:r>
        <w:t xml:space="preserve">the legislated time </w:t>
      </w:r>
      <w:r w:rsidR="000D179E">
        <w:t xml:space="preserve">has passed. During the transitional period </w:t>
      </w:r>
      <w:r w:rsidR="000D179E" w:rsidRPr="00210B03">
        <w:t xml:space="preserve">Records Authorities </w:t>
      </w:r>
      <w:r w:rsidR="000D179E" w:rsidRPr="00B24EF0">
        <w:t xml:space="preserve">may be issued by the National Archives of Australia in accordance with the </w:t>
      </w:r>
      <w:bookmarkStart w:id="3" w:name="_Hlk104547275"/>
      <w:r w:rsidR="000D179E" w:rsidRPr="00B24EF0">
        <w:rPr>
          <w:i/>
          <w:iCs/>
        </w:rPr>
        <w:t>Archives Act 1983</w:t>
      </w:r>
      <w:bookmarkEnd w:id="3"/>
      <w:r w:rsidR="000D179E" w:rsidRPr="00B24EF0">
        <w:rPr>
          <w:i/>
          <w:iCs/>
        </w:rPr>
        <w:t>.</w:t>
      </w:r>
    </w:p>
    <w:p w14:paraId="54158A91" w14:textId="0C6EAC9D" w:rsidR="000D179E" w:rsidRPr="00424AF8" w:rsidRDefault="000D179E" w:rsidP="000D179E">
      <w:pPr>
        <w:pStyle w:val="AdviceNumLevel1"/>
        <w:numPr>
          <w:ilvl w:val="0"/>
          <w:numId w:val="0"/>
        </w:numPr>
        <w:rPr>
          <w:b/>
          <w:bCs/>
        </w:rPr>
      </w:pPr>
      <w:r w:rsidRPr="00424AF8">
        <w:rPr>
          <w:b/>
          <w:bCs/>
        </w:rPr>
        <w:t>How the Registrar uses registry information</w:t>
      </w:r>
    </w:p>
    <w:p w14:paraId="5971B11E" w14:textId="6D646513" w:rsidR="000D179E" w:rsidRPr="00B24EF0" w:rsidRDefault="000D179E" w:rsidP="00E02CE2">
      <w:pPr>
        <w:pStyle w:val="AdviceNumLevel1"/>
        <w:numPr>
          <w:ilvl w:val="0"/>
          <w:numId w:val="1"/>
        </w:numPr>
        <w:tabs>
          <w:tab w:val="clear" w:pos="360"/>
          <w:tab w:val="num" w:pos="567"/>
        </w:tabs>
        <w:spacing w:before="0" w:after="120" w:line="276" w:lineRule="auto"/>
        <w:ind w:left="567" w:hanging="567"/>
        <w:rPr>
          <w:color w:val="000000" w:themeColor="text1"/>
          <w:lang w:eastAsia="en-US"/>
        </w:rPr>
      </w:pPr>
      <w:r w:rsidRPr="00B24EF0">
        <w:rPr>
          <w:color w:val="000000" w:themeColor="text1"/>
          <w:lang w:eastAsia="en-US"/>
        </w:rPr>
        <w:t xml:space="preserve">The Registrar may use information provided, </w:t>
      </w:r>
      <w:r w:rsidR="000E3FA0" w:rsidRPr="00B24EF0">
        <w:rPr>
          <w:color w:val="000000" w:themeColor="text1"/>
          <w:lang w:eastAsia="en-US"/>
        </w:rPr>
        <w:t>generated,</w:t>
      </w:r>
      <w:r w:rsidRPr="00B24EF0">
        <w:rPr>
          <w:color w:val="000000" w:themeColor="text1"/>
          <w:lang w:eastAsia="en-US"/>
        </w:rPr>
        <w:t xml:space="preserve"> or held in accordance with this instrument</w:t>
      </w:r>
      <w:r w:rsidR="00C97058">
        <w:rPr>
          <w:color w:val="000000" w:themeColor="text1"/>
          <w:lang w:eastAsia="en-US"/>
        </w:rPr>
        <w:t>:</w:t>
      </w:r>
    </w:p>
    <w:p w14:paraId="79A4C0EF" w14:textId="77777777" w:rsidR="000D179E" w:rsidRPr="00B24EF0" w:rsidRDefault="000D179E" w:rsidP="00E02CE2">
      <w:pPr>
        <w:numPr>
          <w:ilvl w:val="0"/>
          <w:numId w:val="6"/>
        </w:numPr>
        <w:spacing w:after="120" w:line="276" w:lineRule="auto"/>
        <w:ind w:left="1134" w:hanging="567"/>
        <w:rPr>
          <w:rFonts w:ascii="Arial" w:hAnsi="Arial" w:cs="Arial"/>
          <w:sz w:val="22"/>
          <w:szCs w:val="22"/>
          <w:lang w:eastAsia="en-US"/>
        </w:rPr>
      </w:pPr>
      <w:r w:rsidRPr="00B24EF0">
        <w:rPr>
          <w:rFonts w:ascii="Arial" w:hAnsi="Arial" w:cs="Arial"/>
          <w:sz w:val="22"/>
          <w:szCs w:val="22"/>
          <w:lang w:eastAsia="en-US"/>
        </w:rPr>
        <w:t>to make a record of the information collected or generated;</w:t>
      </w:r>
    </w:p>
    <w:p w14:paraId="408A8663" w14:textId="77777777" w:rsidR="000D179E" w:rsidRPr="00B24EF0" w:rsidRDefault="000D179E" w:rsidP="00E02CE2">
      <w:pPr>
        <w:numPr>
          <w:ilvl w:val="0"/>
          <w:numId w:val="6"/>
        </w:numPr>
        <w:spacing w:after="120" w:line="276" w:lineRule="auto"/>
        <w:ind w:left="1134" w:hanging="567"/>
        <w:rPr>
          <w:rFonts w:ascii="Arial" w:hAnsi="Arial" w:cs="Arial"/>
          <w:sz w:val="22"/>
          <w:szCs w:val="22"/>
          <w:lang w:eastAsia="en-US"/>
        </w:rPr>
      </w:pPr>
      <w:r w:rsidRPr="00B24EF0">
        <w:rPr>
          <w:rFonts w:ascii="Arial" w:hAnsi="Arial" w:cs="Arial"/>
          <w:sz w:val="22"/>
          <w:szCs w:val="22"/>
          <w:lang w:eastAsia="en-US"/>
        </w:rPr>
        <w:t>to maintain the accuracy of information held by the Registrar; and</w:t>
      </w:r>
    </w:p>
    <w:p w14:paraId="1D525DA8" w14:textId="77777777" w:rsidR="000D179E" w:rsidRPr="00B24EF0" w:rsidRDefault="000D179E" w:rsidP="00E02CE2">
      <w:pPr>
        <w:numPr>
          <w:ilvl w:val="0"/>
          <w:numId w:val="6"/>
        </w:numPr>
        <w:spacing w:after="120" w:line="276" w:lineRule="auto"/>
        <w:ind w:left="1134" w:hanging="567"/>
        <w:rPr>
          <w:rFonts w:ascii="Arial" w:hAnsi="Arial" w:cs="Arial"/>
          <w:sz w:val="22"/>
          <w:szCs w:val="22"/>
          <w:lang w:eastAsia="en-US"/>
        </w:rPr>
      </w:pPr>
      <w:r w:rsidRPr="00B24EF0">
        <w:rPr>
          <w:rFonts w:ascii="Arial" w:hAnsi="Arial" w:cs="Arial"/>
          <w:sz w:val="22"/>
          <w:szCs w:val="22"/>
          <w:lang w:eastAsia="en-US"/>
        </w:rPr>
        <w:t>for the performance of the Registrar’s functions and the exercise of the Registrar’s powers.</w:t>
      </w:r>
    </w:p>
    <w:p w14:paraId="7BDFB9C3" w14:textId="1F50393F" w:rsidR="000D179E" w:rsidRDefault="000D179E" w:rsidP="00E02CE2">
      <w:pPr>
        <w:pStyle w:val="AdviceNumLevel1"/>
        <w:numPr>
          <w:ilvl w:val="0"/>
          <w:numId w:val="1"/>
        </w:numPr>
        <w:tabs>
          <w:tab w:val="clear" w:pos="360"/>
          <w:tab w:val="num" w:pos="567"/>
        </w:tabs>
        <w:spacing w:before="0" w:after="120" w:line="276" w:lineRule="auto"/>
        <w:ind w:left="567" w:hanging="567"/>
        <w:rPr>
          <w:color w:val="000000" w:themeColor="text1"/>
          <w:lang w:eastAsia="en-US"/>
        </w:rPr>
      </w:pPr>
      <w:r>
        <w:rPr>
          <w:color w:val="000000" w:themeColor="text1"/>
          <w:lang w:eastAsia="en-US"/>
        </w:rPr>
        <w:t>T</w:t>
      </w:r>
      <w:r w:rsidRPr="00C617DF">
        <w:rPr>
          <w:color w:val="000000" w:themeColor="text1"/>
          <w:lang w:eastAsia="en-US"/>
        </w:rPr>
        <w:t>he Registrar may use ASIC’s systems during the transitional period</w:t>
      </w:r>
      <w:r>
        <w:rPr>
          <w:color w:val="000000" w:themeColor="text1"/>
          <w:lang w:eastAsia="en-US"/>
        </w:rPr>
        <w:t xml:space="preserve"> for the purpose of performing these functions and powers under the </w:t>
      </w:r>
      <w:r w:rsidR="00ED6BA3" w:rsidRPr="00692F08">
        <w:rPr>
          <w:i/>
          <w:iCs/>
          <w:color w:val="000000"/>
        </w:rPr>
        <w:t>Superannuation Industry (Supervision) Act 1993</w:t>
      </w:r>
      <w:r>
        <w:rPr>
          <w:color w:val="000000" w:themeColor="text1"/>
          <w:lang w:eastAsia="en-US"/>
        </w:rPr>
        <w:t xml:space="preserve">. </w:t>
      </w:r>
    </w:p>
    <w:p w14:paraId="50E675D6" w14:textId="6961816B" w:rsidR="000D179E" w:rsidRPr="00B24EF0" w:rsidRDefault="000D179E" w:rsidP="00E02CE2">
      <w:pPr>
        <w:pStyle w:val="AdviceNumLevel1"/>
        <w:numPr>
          <w:ilvl w:val="0"/>
          <w:numId w:val="1"/>
        </w:numPr>
        <w:tabs>
          <w:tab w:val="clear" w:pos="360"/>
          <w:tab w:val="num" w:pos="567"/>
        </w:tabs>
        <w:spacing w:before="0" w:after="120" w:line="276" w:lineRule="auto"/>
        <w:ind w:left="567" w:hanging="567"/>
        <w:rPr>
          <w:color w:val="000000" w:themeColor="text1"/>
          <w:lang w:eastAsia="en-US"/>
        </w:rPr>
      </w:pPr>
      <w:r w:rsidRPr="00B24EF0">
        <w:rPr>
          <w:color w:val="000000" w:themeColor="text1"/>
          <w:lang w:eastAsia="en-US"/>
        </w:rPr>
        <w:lastRenderedPageBreak/>
        <w:t xml:space="preserve">Information collected under this instrument is </w:t>
      </w:r>
      <w:r w:rsidR="00973026">
        <w:rPr>
          <w:color w:val="000000" w:themeColor="text1"/>
          <w:lang w:eastAsia="en-US"/>
        </w:rPr>
        <w:t>‘</w:t>
      </w:r>
      <w:r w:rsidRPr="00B24EF0">
        <w:rPr>
          <w:color w:val="000000" w:themeColor="text1"/>
          <w:lang w:eastAsia="en-US"/>
        </w:rPr>
        <w:t>protected information</w:t>
      </w:r>
      <w:r w:rsidR="00973026">
        <w:rPr>
          <w:color w:val="000000" w:themeColor="text1"/>
          <w:lang w:eastAsia="en-US"/>
        </w:rPr>
        <w:t>’</w:t>
      </w:r>
      <w:r w:rsidRPr="00B24EF0">
        <w:rPr>
          <w:color w:val="000000" w:themeColor="text1"/>
          <w:lang w:eastAsia="en-US"/>
        </w:rPr>
        <w:t xml:space="preserve"> within the meaning of section </w:t>
      </w:r>
      <w:r w:rsidR="007E2976">
        <w:rPr>
          <w:color w:val="000000" w:themeColor="text1"/>
          <w:lang w:eastAsia="en-US"/>
        </w:rPr>
        <w:t>5</w:t>
      </w:r>
      <w:r w:rsidRPr="00B24EF0">
        <w:rPr>
          <w:color w:val="000000" w:themeColor="text1"/>
          <w:lang w:eastAsia="en-US"/>
        </w:rPr>
        <w:t xml:space="preserve"> of the </w:t>
      </w:r>
      <w:bookmarkStart w:id="4" w:name="_Hlk104534897"/>
      <w:r w:rsidR="007E2976" w:rsidRPr="007E2976">
        <w:rPr>
          <w:i/>
          <w:iCs/>
          <w:color w:val="000000" w:themeColor="text1"/>
          <w:lang w:eastAsia="en-US"/>
        </w:rPr>
        <w:t>Commonwealth Register</w:t>
      </w:r>
      <w:r w:rsidR="007E2976">
        <w:rPr>
          <w:i/>
          <w:iCs/>
          <w:color w:val="000000" w:themeColor="text1"/>
          <w:lang w:eastAsia="en-US"/>
        </w:rPr>
        <w:t>s</w:t>
      </w:r>
      <w:r w:rsidR="007E2976" w:rsidRPr="007E2976">
        <w:rPr>
          <w:i/>
          <w:iCs/>
          <w:color w:val="000000" w:themeColor="text1"/>
          <w:lang w:eastAsia="en-US"/>
        </w:rPr>
        <w:t xml:space="preserve"> Act </w:t>
      </w:r>
      <w:r w:rsidRPr="007E2976">
        <w:rPr>
          <w:i/>
          <w:iCs/>
        </w:rPr>
        <w:t>20</w:t>
      </w:r>
      <w:bookmarkEnd w:id="4"/>
      <w:r w:rsidR="00B61314">
        <w:rPr>
          <w:i/>
          <w:iCs/>
        </w:rPr>
        <w:t>2</w:t>
      </w:r>
      <w:r w:rsidR="007E2976" w:rsidRPr="007E2976">
        <w:rPr>
          <w:i/>
          <w:iCs/>
        </w:rPr>
        <w:t>0</w:t>
      </w:r>
      <w:r w:rsidR="007E2976">
        <w:rPr>
          <w:i/>
          <w:iCs/>
        </w:rPr>
        <w:t xml:space="preserve"> </w:t>
      </w:r>
      <w:r w:rsidRPr="00B24EF0">
        <w:rPr>
          <w:color w:val="000000" w:themeColor="text1"/>
          <w:lang w:eastAsia="en-US"/>
        </w:rPr>
        <w:t xml:space="preserve">and is subject to the secrecy and disclosure provisions in Part </w:t>
      </w:r>
      <w:r w:rsidR="007E2976">
        <w:rPr>
          <w:color w:val="000000" w:themeColor="text1"/>
          <w:lang w:eastAsia="en-US"/>
        </w:rPr>
        <w:t xml:space="preserve">4 </w:t>
      </w:r>
      <w:r w:rsidRPr="00B24EF0">
        <w:rPr>
          <w:color w:val="000000" w:themeColor="text1"/>
          <w:lang w:eastAsia="en-US"/>
        </w:rPr>
        <w:t>of the</w:t>
      </w:r>
      <w:r w:rsidR="007E2976">
        <w:rPr>
          <w:color w:val="000000" w:themeColor="text1"/>
          <w:lang w:eastAsia="en-US"/>
        </w:rPr>
        <w:t xml:space="preserve"> </w:t>
      </w:r>
      <w:r w:rsidR="007E2976" w:rsidRPr="007E2976">
        <w:rPr>
          <w:i/>
          <w:iCs/>
          <w:color w:val="000000" w:themeColor="text1"/>
          <w:lang w:eastAsia="en-US"/>
        </w:rPr>
        <w:t>Commonwealth Registers Act</w:t>
      </w:r>
      <w:r w:rsidRPr="007E2976">
        <w:rPr>
          <w:i/>
          <w:iCs/>
        </w:rPr>
        <w:t xml:space="preserve"> 20</w:t>
      </w:r>
      <w:r w:rsidR="00B61314">
        <w:rPr>
          <w:i/>
          <w:iCs/>
        </w:rPr>
        <w:t>2</w:t>
      </w:r>
      <w:r w:rsidR="007E2976" w:rsidRPr="007E2976">
        <w:rPr>
          <w:i/>
          <w:iCs/>
        </w:rPr>
        <w:t>0</w:t>
      </w:r>
      <w:r w:rsidRPr="00B24EF0">
        <w:rPr>
          <w:i/>
          <w:iCs/>
          <w:color w:val="000000" w:themeColor="text1"/>
          <w:lang w:eastAsia="en-US"/>
        </w:rPr>
        <w:t>.</w:t>
      </w:r>
    </w:p>
    <w:p w14:paraId="15AC1B77" w14:textId="77777777" w:rsidR="00486653" w:rsidRPr="00240CFB" w:rsidRDefault="00E10B37" w:rsidP="00910595">
      <w:pPr>
        <w:pStyle w:val="Heading2"/>
      </w:pPr>
      <w:r w:rsidRPr="00240CFB">
        <w:t>Consultation</w:t>
      </w:r>
    </w:p>
    <w:p w14:paraId="338E6546" w14:textId="77777777" w:rsidR="00CE532A" w:rsidRPr="001945CA" w:rsidRDefault="00CE532A" w:rsidP="00E02CE2">
      <w:pPr>
        <w:numPr>
          <w:ilvl w:val="0"/>
          <w:numId w:val="1"/>
        </w:numPr>
        <w:tabs>
          <w:tab w:val="clear" w:pos="360"/>
        </w:tabs>
        <w:spacing w:after="120" w:line="276" w:lineRule="auto"/>
        <w:ind w:left="567" w:hanging="567"/>
        <w:rPr>
          <w:rFonts w:ascii="Arial" w:hAnsi="Arial" w:cs="Arial"/>
          <w:color w:val="000000"/>
          <w:sz w:val="22"/>
          <w:szCs w:val="22"/>
        </w:rPr>
      </w:pPr>
      <w:bookmarkStart w:id="5" w:name="_Hlk105417093"/>
      <w:r w:rsidRPr="00B96D76">
        <w:rPr>
          <w:rFonts w:ascii="Arial" w:hAnsi="Arial" w:cs="Arial"/>
          <w:color w:val="000000"/>
          <w:sz w:val="22"/>
          <w:szCs w:val="22"/>
        </w:rPr>
        <w:t>Subsection 17(1) of the</w:t>
      </w:r>
      <w:r w:rsidRPr="00E17693">
        <w:rPr>
          <w:rFonts w:ascii="Arial" w:hAnsi="Arial" w:cs="Arial"/>
          <w:i/>
          <w:iCs/>
          <w:color w:val="000000"/>
          <w:sz w:val="22"/>
          <w:szCs w:val="22"/>
        </w:rPr>
        <w:t xml:space="preserve"> Legislation Act 2003</w:t>
      </w:r>
      <w:r w:rsidRPr="00B96D76">
        <w:rPr>
          <w:rFonts w:ascii="Arial" w:hAnsi="Arial" w:cs="Arial"/>
          <w:color w:val="000000"/>
          <w:sz w:val="22"/>
          <w:szCs w:val="22"/>
        </w:rPr>
        <w:t xml:space="preserve"> requires that the rule-maker undertake an </w:t>
      </w:r>
      <w:r w:rsidRPr="000C2B95">
        <w:rPr>
          <w:rFonts w:ascii="Arial" w:hAnsi="Arial" w:cs="Arial"/>
          <w:sz w:val="22"/>
          <w:szCs w:val="22"/>
        </w:rPr>
        <w:t>appropriate</w:t>
      </w:r>
      <w:r w:rsidRPr="00B96D76">
        <w:rPr>
          <w:rFonts w:ascii="Arial" w:hAnsi="Arial" w:cs="Arial"/>
          <w:color w:val="000000"/>
          <w:sz w:val="22"/>
          <w:szCs w:val="22"/>
        </w:rPr>
        <w:t xml:space="preserve"> level of consultation that is reasonably practicable to underta</w:t>
      </w:r>
      <w:r w:rsidRPr="00AB3474">
        <w:rPr>
          <w:rFonts w:ascii="Arial" w:hAnsi="Arial" w:cs="Arial"/>
          <w:color w:val="000000"/>
          <w:sz w:val="22"/>
          <w:szCs w:val="22"/>
        </w:rPr>
        <w:t>ke before making a legislative instrument.</w:t>
      </w:r>
    </w:p>
    <w:p w14:paraId="6080C93C" w14:textId="5124446C" w:rsidR="00CE532A" w:rsidRPr="0042558C" w:rsidRDefault="00CE532A" w:rsidP="00E02CE2">
      <w:pPr>
        <w:numPr>
          <w:ilvl w:val="0"/>
          <w:numId w:val="1"/>
        </w:numPr>
        <w:tabs>
          <w:tab w:val="clear" w:pos="360"/>
        </w:tabs>
        <w:spacing w:after="120" w:line="276" w:lineRule="auto"/>
        <w:ind w:left="567" w:hanging="567"/>
        <w:rPr>
          <w:rFonts w:ascii="Arial" w:hAnsi="Arial" w:cs="Arial"/>
          <w:color w:val="000000"/>
          <w:sz w:val="22"/>
          <w:szCs w:val="22"/>
        </w:rPr>
      </w:pPr>
      <w:r w:rsidRPr="000C2B95">
        <w:rPr>
          <w:rFonts w:ascii="Arial" w:hAnsi="Arial" w:cs="Arial"/>
          <w:sz w:val="22"/>
          <w:szCs w:val="22"/>
        </w:rPr>
        <w:t>Targeted</w:t>
      </w:r>
      <w:r w:rsidRPr="0042558C">
        <w:rPr>
          <w:rFonts w:ascii="Arial" w:hAnsi="Arial" w:cs="Arial"/>
          <w:color w:val="000000"/>
          <w:sz w:val="22"/>
          <w:szCs w:val="22"/>
        </w:rPr>
        <w:t xml:space="preserve"> consultation on</w:t>
      </w:r>
      <w:r w:rsidR="0063121B">
        <w:rPr>
          <w:rFonts w:ascii="Arial" w:hAnsi="Arial" w:cs="Arial"/>
          <w:color w:val="000000"/>
          <w:sz w:val="22"/>
          <w:szCs w:val="22"/>
        </w:rPr>
        <w:t xml:space="preserve"> the</w:t>
      </w:r>
      <w:r w:rsidRPr="0042558C">
        <w:rPr>
          <w:rFonts w:ascii="Arial" w:hAnsi="Arial" w:cs="Arial"/>
          <w:color w:val="000000"/>
          <w:sz w:val="22"/>
          <w:szCs w:val="22"/>
        </w:rPr>
        <w:t xml:space="preserve"> draft legislative instrument and explanatory statement was undertaken for a period of 2 weeks</w:t>
      </w:r>
      <w:r w:rsidRPr="0042558C" w:rsidDel="006829B8">
        <w:rPr>
          <w:rFonts w:ascii="Arial" w:hAnsi="Arial" w:cs="Arial"/>
          <w:color w:val="000000"/>
          <w:sz w:val="22"/>
          <w:szCs w:val="22"/>
        </w:rPr>
        <w:t xml:space="preserve"> </w:t>
      </w:r>
      <w:r w:rsidRPr="0042558C">
        <w:rPr>
          <w:rFonts w:ascii="Arial" w:hAnsi="Arial" w:cs="Arial"/>
          <w:color w:val="000000"/>
          <w:sz w:val="22"/>
          <w:szCs w:val="22"/>
        </w:rPr>
        <w:t>with the Modernising Business Registers Business Advisory Group.</w:t>
      </w:r>
      <w:r>
        <w:rPr>
          <w:rStyle w:val="FootnoteReference"/>
          <w:rFonts w:ascii="Arial" w:hAnsi="Arial" w:cs="Arial"/>
          <w:color w:val="000000"/>
          <w:sz w:val="22"/>
          <w:szCs w:val="22"/>
        </w:rPr>
        <w:footnoteReference w:id="1"/>
      </w:r>
    </w:p>
    <w:p w14:paraId="47B4F9B5" w14:textId="7ABED4B2" w:rsidR="00CE532A" w:rsidRPr="00B96D76" w:rsidRDefault="00CE532A" w:rsidP="00E02CE2">
      <w:pPr>
        <w:numPr>
          <w:ilvl w:val="0"/>
          <w:numId w:val="1"/>
        </w:numPr>
        <w:tabs>
          <w:tab w:val="clear" w:pos="360"/>
        </w:tabs>
        <w:spacing w:after="120" w:line="276" w:lineRule="auto"/>
        <w:ind w:left="567" w:hanging="567"/>
        <w:rPr>
          <w:rFonts w:ascii="Arial" w:hAnsi="Arial" w:cs="Arial"/>
          <w:color w:val="000000"/>
          <w:sz w:val="22"/>
          <w:szCs w:val="22"/>
        </w:rPr>
      </w:pPr>
      <w:r w:rsidRPr="0042558C">
        <w:rPr>
          <w:rFonts w:ascii="Arial" w:hAnsi="Arial" w:cs="Arial"/>
          <w:color w:val="000000"/>
          <w:sz w:val="22"/>
          <w:szCs w:val="22"/>
        </w:rPr>
        <w:t xml:space="preserve">Targeted consultation was undertaken to ensure that the instrument could be made prior to </w:t>
      </w:r>
      <w:r w:rsidR="000C2B95">
        <w:rPr>
          <w:rFonts w:ascii="Arial" w:hAnsi="Arial" w:cs="Arial"/>
          <w:color w:val="000000"/>
          <w:sz w:val="22"/>
          <w:szCs w:val="22"/>
        </w:rPr>
        <w:br/>
      </w:r>
      <w:r w:rsidRPr="0042558C">
        <w:rPr>
          <w:rFonts w:ascii="Arial" w:hAnsi="Arial" w:cs="Arial"/>
          <w:color w:val="000000"/>
          <w:sz w:val="22"/>
          <w:szCs w:val="22"/>
        </w:rPr>
        <w:t xml:space="preserve">22 June </w:t>
      </w:r>
      <w:r w:rsidRPr="000C2B95">
        <w:rPr>
          <w:rFonts w:ascii="Arial" w:hAnsi="Arial" w:cs="Arial"/>
          <w:sz w:val="22"/>
          <w:szCs w:val="22"/>
        </w:rPr>
        <w:t>2022</w:t>
      </w:r>
      <w:r w:rsidRPr="0042558C">
        <w:rPr>
          <w:rFonts w:ascii="Arial" w:hAnsi="Arial" w:cs="Arial"/>
          <w:color w:val="000000"/>
          <w:sz w:val="22"/>
          <w:szCs w:val="22"/>
        </w:rPr>
        <w:t xml:space="preserve"> and was reasonable and appropriate in the timeframe available as the instrument </w:t>
      </w:r>
      <w:r w:rsidR="0063121B">
        <w:rPr>
          <w:rFonts w:ascii="Arial" w:hAnsi="Arial" w:cs="Arial"/>
          <w:color w:val="000000"/>
          <w:sz w:val="22"/>
          <w:szCs w:val="22"/>
        </w:rPr>
        <w:t>is</w:t>
      </w:r>
      <w:r w:rsidR="0063121B" w:rsidRPr="0042558C">
        <w:rPr>
          <w:rFonts w:ascii="Arial" w:hAnsi="Arial" w:cs="Arial"/>
          <w:color w:val="000000"/>
          <w:sz w:val="22"/>
          <w:szCs w:val="22"/>
        </w:rPr>
        <w:t xml:space="preserve"> </w:t>
      </w:r>
      <w:r w:rsidRPr="0042558C">
        <w:rPr>
          <w:rFonts w:ascii="Arial" w:hAnsi="Arial" w:cs="Arial"/>
          <w:color w:val="000000"/>
          <w:sz w:val="22"/>
          <w:szCs w:val="22"/>
        </w:rPr>
        <w:t>machinery in nature. Further the MBR Program has also been subject to extensive public consultation and has received broad support from industry and government stakeholders.</w:t>
      </w:r>
    </w:p>
    <w:p w14:paraId="04DC78B6" w14:textId="1E131A24" w:rsidR="00CE532A" w:rsidRPr="0042558C" w:rsidRDefault="00CE532A" w:rsidP="00E02CE2">
      <w:pPr>
        <w:numPr>
          <w:ilvl w:val="0"/>
          <w:numId w:val="1"/>
        </w:numPr>
        <w:tabs>
          <w:tab w:val="clear" w:pos="360"/>
        </w:tabs>
        <w:spacing w:after="120" w:line="276" w:lineRule="auto"/>
        <w:ind w:left="567" w:hanging="567"/>
        <w:rPr>
          <w:rFonts w:ascii="Arial" w:hAnsi="Arial" w:cs="Arial"/>
          <w:color w:val="000000"/>
          <w:sz w:val="22"/>
          <w:szCs w:val="22"/>
        </w:rPr>
      </w:pPr>
      <w:r w:rsidRPr="0042558C">
        <w:rPr>
          <w:rFonts w:ascii="Arial" w:hAnsi="Arial" w:cs="Arial"/>
          <w:color w:val="000000"/>
          <w:sz w:val="22"/>
          <w:szCs w:val="22"/>
        </w:rPr>
        <w:t xml:space="preserve">Comments </w:t>
      </w:r>
      <w:r>
        <w:rPr>
          <w:rFonts w:ascii="Arial" w:hAnsi="Arial" w:cs="Arial"/>
          <w:color w:val="000000"/>
          <w:sz w:val="22"/>
          <w:szCs w:val="22"/>
        </w:rPr>
        <w:t xml:space="preserve">from </w:t>
      </w:r>
      <w:r w:rsidRPr="00222166">
        <w:rPr>
          <w:rFonts w:ascii="Arial" w:hAnsi="Arial" w:cs="Arial"/>
          <w:color w:val="000000"/>
          <w:sz w:val="22"/>
          <w:szCs w:val="22"/>
        </w:rPr>
        <w:t>Modernising Business Registers Business Advisory Group</w:t>
      </w:r>
      <w:r>
        <w:rPr>
          <w:rFonts w:ascii="Arial" w:hAnsi="Arial" w:cs="Arial"/>
          <w:color w:val="000000"/>
          <w:sz w:val="22"/>
          <w:szCs w:val="22"/>
        </w:rPr>
        <w:t xml:space="preserve"> members </w:t>
      </w:r>
      <w:r w:rsidRPr="0042558C">
        <w:rPr>
          <w:rFonts w:ascii="Arial" w:hAnsi="Arial" w:cs="Arial"/>
          <w:color w:val="000000"/>
          <w:sz w:val="22"/>
          <w:szCs w:val="22"/>
        </w:rPr>
        <w:t xml:space="preserve">were supportive of the instrument, with suggestions for minor edits to </w:t>
      </w:r>
      <w:r>
        <w:rPr>
          <w:rFonts w:ascii="Arial" w:hAnsi="Arial" w:cs="Arial"/>
          <w:color w:val="000000"/>
          <w:sz w:val="22"/>
          <w:szCs w:val="22"/>
        </w:rPr>
        <w:t xml:space="preserve">the explanatory statement to </w:t>
      </w:r>
      <w:r w:rsidRPr="0042558C">
        <w:rPr>
          <w:rFonts w:ascii="Arial" w:hAnsi="Arial" w:cs="Arial"/>
          <w:color w:val="000000"/>
          <w:sz w:val="22"/>
          <w:szCs w:val="22"/>
        </w:rPr>
        <w:t>provide further clarity</w:t>
      </w:r>
      <w:r>
        <w:rPr>
          <w:rFonts w:ascii="Arial" w:hAnsi="Arial" w:cs="Arial"/>
          <w:color w:val="000000"/>
          <w:sz w:val="22"/>
          <w:szCs w:val="22"/>
        </w:rPr>
        <w:t>.</w:t>
      </w:r>
    </w:p>
    <w:bookmarkEnd w:id="5"/>
    <w:p w14:paraId="20265FB8" w14:textId="6D8F535E" w:rsidR="00910595" w:rsidRDefault="00910595" w:rsidP="00CE532A">
      <w:pPr>
        <w:pStyle w:val="ListParagraph"/>
        <w:spacing w:after="120"/>
        <w:ind w:left="360"/>
        <w:rPr>
          <w:rFonts w:ascii="Arial" w:hAnsi="Arial" w:cs="Arial"/>
        </w:rPr>
      </w:pPr>
    </w:p>
    <w:p w14:paraId="2E7E2A8C" w14:textId="4249CEA0" w:rsidR="00CE532A" w:rsidRDefault="00CE532A" w:rsidP="00CE532A">
      <w:pPr>
        <w:pStyle w:val="ListParagraph"/>
        <w:spacing w:after="120"/>
        <w:ind w:left="360"/>
        <w:rPr>
          <w:rFonts w:ascii="Arial" w:hAnsi="Arial" w:cs="Arial"/>
        </w:rPr>
      </w:pPr>
    </w:p>
    <w:p w14:paraId="2488B0DC" w14:textId="77777777" w:rsidR="00CE532A" w:rsidRPr="00CE532A" w:rsidRDefault="00CE532A" w:rsidP="00CE532A">
      <w:pPr>
        <w:pStyle w:val="ListParagraph"/>
        <w:spacing w:after="120"/>
        <w:ind w:left="360"/>
        <w:rPr>
          <w:rFonts w:ascii="Arial" w:hAnsi="Arial" w:cs="Arial"/>
        </w:rPr>
      </w:pPr>
    </w:p>
    <w:p w14:paraId="74D265C7" w14:textId="72F54F48" w:rsidR="00101CD5" w:rsidRPr="008A2553" w:rsidRDefault="007E0A01" w:rsidP="008A2553">
      <w:pPr>
        <w:pStyle w:val="Heading3"/>
        <w:rPr>
          <w:i/>
          <w:sz w:val="22"/>
          <w:szCs w:val="22"/>
        </w:rPr>
      </w:pPr>
      <w:r w:rsidRPr="00F65FE9">
        <w:rPr>
          <w:i/>
          <w:sz w:val="22"/>
          <w:szCs w:val="22"/>
        </w:rPr>
        <w:t>Legislative references</w:t>
      </w:r>
    </w:p>
    <w:p w14:paraId="7FB8F06E" w14:textId="74ECB766" w:rsidR="00F65FE9" w:rsidRDefault="00F65FE9" w:rsidP="00F65FE9">
      <w:pPr>
        <w:rPr>
          <w:rFonts w:ascii="Arial" w:hAnsi="Arial" w:cs="Arial"/>
          <w:i/>
          <w:iCs/>
          <w:sz w:val="22"/>
          <w:szCs w:val="22"/>
        </w:rPr>
      </w:pPr>
      <w:r w:rsidRPr="00240CFB">
        <w:rPr>
          <w:rFonts w:ascii="Arial" w:hAnsi="Arial" w:cs="Arial"/>
          <w:i/>
          <w:sz w:val="22"/>
          <w:szCs w:val="22"/>
        </w:rPr>
        <w:t>Acts Interpretation Act 1901</w:t>
      </w:r>
    </w:p>
    <w:p w14:paraId="6C609F41" w14:textId="6063879B" w:rsidR="00F65FE9" w:rsidRPr="00F65FE9" w:rsidRDefault="00F65FE9" w:rsidP="00F65FE9">
      <w:pPr>
        <w:rPr>
          <w:rFonts w:ascii="Arial" w:hAnsi="Arial" w:cs="Arial"/>
          <w:i/>
          <w:sz w:val="22"/>
          <w:szCs w:val="22"/>
        </w:rPr>
      </w:pPr>
      <w:r w:rsidRPr="008A2553">
        <w:rPr>
          <w:rFonts w:ascii="Arial" w:hAnsi="Arial" w:cs="Arial"/>
          <w:i/>
          <w:iCs/>
          <w:sz w:val="22"/>
          <w:szCs w:val="22"/>
        </w:rPr>
        <w:t>Archives Act (1983)</w:t>
      </w:r>
    </w:p>
    <w:p w14:paraId="44D8BC5E" w14:textId="77777777" w:rsidR="00F65FE9" w:rsidRDefault="00F65FE9" w:rsidP="00F65FE9">
      <w:pPr>
        <w:rPr>
          <w:rFonts w:ascii="Arial" w:hAnsi="Arial" w:cs="Arial"/>
          <w:i/>
          <w:sz w:val="22"/>
        </w:rPr>
      </w:pPr>
      <w:r w:rsidRPr="008663FC">
        <w:rPr>
          <w:rFonts w:ascii="Arial" w:hAnsi="Arial" w:cs="Arial"/>
          <w:i/>
          <w:sz w:val="22"/>
        </w:rPr>
        <w:t>Commonwealth Register</w:t>
      </w:r>
      <w:r>
        <w:rPr>
          <w:rFonts w:ascii="Arial" w:hAnsi="Arial" w:cs="Arial"/>
          <w:i/>
          <w:sz w:val="22"/>
        </w:rPr>
        <w:t>s</w:t>
      </w:r>
      <w:r w:rsidRPr="008663FC">
        <w:rPr>
          <w:rFonts w:ascii="Arial" w:hAnsi="Arial" w:cs="Arial"/>
          <w:i/>
          <w:sz w:val="22"/>
        </w:rPr>
        <w:t xml:space="preserve"> Act 2020</w:t>
      </w:r>
    </w:p>
    <w:p w14:paraId="57E74CEF" w14:textId="31988FFD" w:rsidR="00F65FE9" w:rsidRPr="00F65FE9" w:rsidRDefault="00F65FE9" w:rsidP="00F65FE9">
      <w:pPr>
        <w:rPr>
          <w:rFonts w:ascii="Arial" w:hAnsi="Arial" w:cs="Arial"/>
          <w:i/>
          <w:sz w:val="22"/>
        </w:rPr>
      </w:pPr>
      <w:r w:rsidRPr="008A2553">
        <w:rPr>
          <w:rFonts w:ascii="Arial" w:hAnsi="Arial" w:cs="Arial"/>
          <w:i/>
          <w:iCs/>
          <w:sz w:val="22"/>
          <w:szCs w:val="22"/>
        </w:rPr>
        <w:t>Human Rights (Parliamentary Scrutiny) Act 2011</w:t>
      </w:r>
    </w:p>
    <w:p w14:paraId="153AD068" w14:textId="6C6FC139" w:rsidR="00910595" w:rsidRDefault="008A2553" w:rsidP="00F65FE9">
      <w:pPr>
        <w:rPr>
          <w:rFonts w:ascii="Arial" w:hAnsi="Arial" w:cs="Arial"/>
          <w:i/>
          <w:sz w:val="22"/>
          <w:szCs w:val="22"/>
        </w:rPr>
      </w:pPr>
      <w:r w:rsidRPr="00240CFB">
        <w:rPr>
          <w:rFonts w:ascii="Arial" w:hAnsi="Arial" w:cs="Arial"/>
          <w:i/>
          <w:sz w:val="22"/>
          <w:szCs w:val="22"/>
        </w:rPr>
        <w:t>Legislation Act 2003</w:t>
      </w:r>
    </w:p>
    <w:p w14:paraId="0A3A08E1" w14:textId="77777777" w:rsidR="00F65FE9" w:rsidRDefault="00F65FE9" w:rsidP="00F65FE9">
      <w:pPr>
        <w:rPr>
          <w:rFonts w:ascii="Arial" w:hAnsi="Arial" w:cs="Arial"/>
          <w:i/>
          <w:iCs/>
          <w:color w:val="000000"/>
          <w:sz w:val="22"/>
          <w:szCs w:val="22"/>
          <w:shd w:val="clear" w:color="auto" w:fill="FFFFFF"/>
        </w:rPr>
      </w:pPr>
      <w:r>
        <w:rPr>
          <w:rFonts w:ascii="Arial" w:hAnsi="Arial" w:cs="Arial"/>
          <w:i/>
          <w:iCs/>
          <w:color w:val="000000"/>
          <w:sz w:val="22"/>
          <w:szCs w:val="22"/>
          <w:shd w:val="clear" w:color="auto" w:fill="FFFFFF"/>
        </w:rPr>
        <w:t>Privacy Act 1988 </w:t>
      </w:r>
    </w:p>
    <w:p w14:paraId="4AC8CF6C" w14:textId="2C145122" w:rsidR="00F65FE9" w:rsidRPr="00F65FE9" w:rsidRDefault="00F65FE9" w:rsidP="00F65FE9">
      <w:pPr>
        <w:rPr>
          <w:rFonts w:ascii="Arial" w:hAnsi="Arial" w:cs="Arial"/>
          <w:i/>
          <w:iCs/>
          <w:sz w:val="22"/>
          <w:szCs w:val="22"/>
        </w:rPr>
      </w:pPr>
      <w:bookmarkStart w:id="6" w:name="_Hlk104547453"/>
      <w:r w:rsidRPr="008663FC">
        <w:rPr>
          <w:rFonts w:ascii="Arial" w:hAnsi="Arial" w:cs="Arial"/>
          <w:i/>
          <w:iCs/>
          <w:sz w:val="22"/>
          <w:szCs w:val="22"/>
        </w:rPr>
        <w:t>Superannuation Industry (Supervision) Act 1993</w:t>
      </w:r>
      <w:bookmarkEnd w:id="6"/>
    </w:p>
    <w:p w14:paraId="16548BE4" w14:textId="49BF4BB9" w:rsidR="008A2553" w:rsidRPr="00150B41" w:rsidRDefault="008A2553" w:rsidP="00F65FE9">
      <w:pPr>
        <w:rPr>
          <w:rFonts w:ascii="Arial" w:hAnsi="Arial" w:cs="Arial"/>
          <w:i/>
          <w:sz w:val="22"/>
          <w:szCs w:val="22"/>
        </w:rPr>
      </w:pPr>
      <w:r w:rsidRPr="00C2375C">
        <w:rPr>
          <w:rFonts w:ascii="Arial" w:hAnsi="Arial" w:cs="Arial"/>
          <w:i/>
          <w:iCs/>
          <w:sz w:val="22"/>
          <w:szCs w:val="22"/>
        </w:rPr>
        <w:t>Treasury Laws Amendment (Registries Modernisation and Other Measures) Act 2020</w:t>
      </w:r>
    </w:p>
    <w:p w14:paraId="0432E95F" w14:textId="00F95356" w:rsidR="008A2553" w:rsidRPr="00101CD5" w:rsidRDefault="008A2553" w:rsidP="00101CD5">
      <w:pPr>
        <w:rPr>
          <w:rFonts w:ascii="Arial" w:hAnsi="Arial" w:cs="Arial"/>
          <w:i/>
          <w:color w:val="0000FF"/>
          <w:sz w:val="22"/>
          <w:szCs w:val="22"/>
        </w:rPr>
      </w:pPr>
    </w:p>
    <w:p w14:paraId="30BAC7B8" w14:textId="77777777" w:rsidR="00457BE4" w:rsidRDefault="00457BE4">
      <w:pPr>
        <w:rPr>
          <w:rFonts w:ascii="Arial" w:hAnsi="Arial" w:cs="Arial"/>
          <w:b/>
          <w:bCs/>
          <w:szCs w:val="26"/>
        </w:rPr>
      </w:pPr>
      <w:r>
        <w:br w:type="page"/>
      </w:r>
    </w:p>
    <w:p w14:paraId="1C4C4902" w14:textId="377F7BBD" w:rsidR="006428FA" w:rsidRPr="007E0A01" w:rsidRDefault="006428FA" w:rsidP="006428FA">
      <w:pPr>
        <w:pStyle w:val="Heading3"/>
        <w:spacing w:before="0" w:after="120"/>
        <w:jc w:val="center"/>
        <w:rPr>
          <w:sz w:val="24"/>
        </w:rPr>
      </w:pPr>
      <w:r w:rsidRPr="007E0A01">
        <w:rPr>
          <w:sz w:val="24"/>
        </w:rPr>
        <w:lastRenderedPageBreak/>
        <w:t>Statement of compatibility with Human Rights</w:t>
      </w:r>
    </w:p>
    <w:p w14:paraId="359991A4" w14:textId="77777777" w:rsidR="006428FA" w:rsidRPr="007E0A01" w:rsidRDefault="006428FA" w:rsidP="006428FA">
      <w:pPr>
        <w:pStyle w:val="Heading3"/>
        <w:spacing w:before="0" w:after="120"/>
        <w:rPr>
          <w:sz w:val="24"/>
        </w:rPr>
      </w:pPr>
      <w:r w:rsidRPr="007E0A01">
        <w:rPr>
          <w:b w:val="0"/>
          <w:sz w:val="22"/>
          <w:szCs w:val="20"/>
        </w:rPr>
        <w:t xml:space="preserve">Prepared in accordance with Part 3 of the </w:t>
      </w:r>
      <w:bookmarkStart w:id="7" w:name="_Hlk103784308"/>
      <w:r w:rsidRPr="007E0A01">
        <w:rPr>
          <w:b w:val="0"/>
          <w:i/>
          <w:sz w:val="22"/>
          <w:szCs w:val="20"/>
        </w:rPr>
        <w:t>Human Rights (Parliamentary Scrutiny) Act 2011</w:t>
      </w:r>
      <w:bookmarkEnd w:id="7"/>
    </w:p>
    <w:p w14:paraId="5F751818" w14:textId="77777777" w:rsidR="006428FA" w:rsidRPr="00101CD5" w:rsidRDefault="006428FA" w:rsidP="006428FA">
      <w:pPr>
        <w:spacing w:after="120"/>
        <w:rPr>
          <w:rFonts w:ascii="Arial" w:hAnsi="Arial" w:cs="Arial"/>
          <w:sz w:val="22"/>
          <w:szCs w:val="22"/>
        </w:rPr>
      </w:pPr>
    </w:p>
    <w:p w14:paraId="037FAA40" w14:textId="77777777" w:rsidR="006428FA" w:rsidRPr="006428FA" w:rsidRDefault="006428FA" w:rsidP="006428FA">
      <w:pPr>
        <w:autoSpaceDE w:val="0"/>
        <w:autoSpaceDN w:val="0"/>
        <w:adjustRightInd w:val="0"/>
        <w:spacing w:after="120"/>
        <w:jc w:val="center"/>
        <w:rPr>
          <w:rFonts w:ascii="Arial" w:hAnsi="Arial" w:cs="Arial"/>
          <w:b/>
          <w:szCs w:val="24"/>
        </w:rPr>
      </w:pPr>
      <w:bookmarkStart w:id="8" w:name="_Hlk83896781"/>
      <w:r w:rsidRPr="006428FA">
        <w:rPr>
          <w:rFonts w:ascii="Arial" w:hAnsi="Arial" w:cs="Arial"/>
          <w:b/>
          <w:szCs w:val="24"/>
        </w:rPr>
        <w:t>SMSF Approved Auditor—Transitional Registry Operations</w:t>
      </w:r>
      <w:r w:rsidRPr="006428FA">
        <w:rPr>
          <w:rFonts w:ascii="Arial" w:hAnsi="Arial" w:cs="Arial"/>
          <w:b/>
          <w:szCs w:val="24"/>
        </w:rPr>
        <w:br/>
        <w:t>Data Standard 2022</w:t>
      </w:r>
    </w:p>
    <w:bookmarkEnd w:id="8"/>
    <w:p w14:paraId="2F957747" w14:textId="77777777" w:rsidR="006428FA" w:rsidRDefault="006428FA" w:rsidP="006428FA">
      <w:pPr>
        <w:autoSpaceDE w:val="0"/>
        <w:autoSpaceDN w:val="0"/>
        <w:adjustRightInd w:val="0"/>
        <w:spacing w:after="120"/>
        <w:rPr>
          <w:rFonts w:ascii="Arial" w:hAnsi="Arial" w:cs="Arial"/>
          <w:color w:val="000000"/>
          <w:sz w:val="22"/>
        </w:rPr>
      </w:pPr>
      <w:r w:rsidRPr="007E0A01">
        <w:rPr>
          <w:rFonts w:ascii="Arial" w:hAnsi="Arial" w:cs="Arial"/>
          <w:color w:val="000000"/>
          <w:sz w:val="22"/>
        </w:rPr>
        <w:t xml:space="preserve">This Legislative Instrument is compatible with the human rights and freedoms recognised or declared in the international instruments listed in section 3 of the </w:t>
      </w:r>
      <w:r w:rsidRPr="007E0A01">
        <w:rPr>
          <w:rFonts w:ascii="Arial" w:hAnsi="Arial" w:cs="Arial"/>
          <w:i/>
          <w:color w:val="000000"/>
          <w:sz w:val="22"/>
        </w:rPr>
        <w:t>Human Righ</w:t>
      </w:r>
      <w:r>
        <w:rPr>
          <w:rFonts w:ascii="Arial" w:hAnsi="Arial" w:cs="Arial"/>
          <w:i/>
          <w:color w:val="000000"/>
          <w:sz w:val="22"/>
        </w:rPr>
        <w:t>ts (Parliamentary Scrutiny) Act </w:t>
      </w:r>
      <w:r w:rsidRPr="007E0A01">
        <w:rPr>
          <w:rFonts w:ascii="Arial" w:hAnsi="Arial" w:cs="Arial"/>
          <w:i/>
          <w:color w:val="000000"/>
          <w:sz w:val="22"/>
        </w:rPr>
        <w:t>2011.</w:t>
      </w:r>
    </w:p>
    <w:p w14:paraId="140DA168" w14:textId="77777777" w:rsidR="006428FA" w:rsidRPr="00240CFB" w:rsidRDefault="006428FA" w:rsidP="006428FA">
      <w:pPr>
        <w:pStyle w:val="Heading2"/>
        <w:spacing w:before="240"/>
      </w:pPr>
      <w:r w:rsidRPr="007E0A01">
        <w:t>Overview of the Legislative Instrument</w:t>
      </w:r>
    </w:p>
    <w:p w14:paraId="69F5D89D" w14:textId="3FAC6EC1" w:rsidR="006428FA" w:rsidRPr="00210B03" w:rsidRDefault="006428FA" w:rsidP="006428FA">
      <w:pPr>
        <w:spacing w:after="120"/>
        <w:rPr>
          <w:rFonts w:ascii="Arial" w:hAnsi="Arial" w:cs="Arial"/>
          <w:bCs/>
          <w:color w:val="0000FF"/>
          <w:sz w:val="22"/>
          <w:szCs w:val="22"/>
        </w:rPr>
      </w:pPr>
      <w:r w:rsidRPr="00210B03">
        <w:rPr>
          <w:rFonts w:ascii="Arial" w:hAnsi="Arial" w:cs="Arial"/>
          <w:bCs/>
          <w:sz w:val="22"/>
          <w:szCs w:val="22"/>
        </w:rPr>
        <w:t xml:space="preserve">This disallowable instrument </w:t>
      </w:r>
      <w:r>
        <w:rPr>
          <w:rFonts w:ascii="Arial" w:hAnsi="Arial" w:cs="Arial"/>
          <w:sz w:val="22"/>
          <w:szCs w:val="22"/>
        </w:rPr>
        <w:t xml:space="preserve">provides </w:t>
      </w:r>
      <w:r w:rsidR="00C97058">
        <w:rPr>
          <w:rFonts w:ascii="Arial" w:hAnsi="Arial" w:cs="Arial"/>
          <w:sz w:val="22"/>
          <w:szCs w:val="22"/>
        </w:rPr>
        <w:t xml:space="preserve">a </w:t>
      </w:r>
      <w:r>
        <w:rPr>
          <w:rFonts w:ascii="Arial" w:hAnsi="Arial" w:cs="Arial"/>
          <w:sz w:val="22"/>
          <w:szCs w:val="22"/>
        </w:rPr>
        <w:t>data standard</w:t>
      </w:r>
      <w:r w:rsidRPr="00424AF8">
        <w:rPr>
          <w:rFonts w:ascii="Arial" w:hAnsi="Arial" w:cs="Arial"/>
          <w:sz w:val="22"/>
          <w:szCs w:val="22"/>
        </w:rPr>
        <w:t xml:space="preserve"> </w:t>
      </w:r>
      <w:r>
        <w:rPr>
          <w:rFonts w:ascii="Arial" w:hAnsi="Arial" w:cs="Arial"/>
          <w:sz w:val="22"/>
          <w:szCs w:val="22"/>
        </w:rPr>
        <w:t>relating to</w:t>
      </w:r>
      <w:r w:rsidRPr="00424AF8">
        <w:rPr>
          <w:rFonts w:ascii="Arial" w:hAnsi="Arial" w:cs="Arial"/>
          <w:sz w:val="22"/>
          <w:szCs w:val="22"/>
        </w:rPr>
        <w:t xml:space="preserve"> the functions and powers of the Registrar in respect of registry operations under the</w:t>
      </w:r>
      <w:r w:rsidR="008A2553">
        <w:rPr>
          <w:rFonts w:ascii="Arial" w:hAnsi="Arial" w:cs="Arial"/>
          <w:sz w:val="22"/>
          <w:szCs w:val="22"/>
        </w:rPr>
        <w:t xml:space="preserve"> </w:t>
      </w:r>
      <w:r w:rsidR="00DD6531" w:rsidRPr="00DD6531">
        <w:rPr>
          <w:rFonts w:ascii="Arial" w:hAnsi="Arial" w:cs="Arial"/>
          <w:i/>
          <w:iCs/>
          <w:sz w:val="22"/>
          <w:szCs w:val="22"/>
        </w:rPr>
        <w:t>Superannuation Industry (Supervision) Act 1993</w:t>
      </w:r>
      <w:r w:rsidR="00C97058">
        <w:rPr>
          <w:rFonts w:ascii="Arial" w:hAnsi="Arial" w:cs="Arial"/>
          <w:i/>
          <w:iCs/>
          <w:sz w:val="22"/>
          <w:szCs w:val="22"/>
        </w:rPr>
        <w:t xml:space="preserve"> </w:t>
      </w:r>
      <w:r>
        <w:rPr>
          <w:rFonts w:ascii="Arial" w:hAnsi="Arial" w:cs="Arial"/>
          <w:sz w:val="22"/>
          <w:szCs w:val="22"/>
        </w:rPr>
        <w:t>and for the</w:t>
      </w:r>
      <w:r w:rsidRPr="00424AF8">
        <w:rPr>
          <w:rFonts w:ascii="Arial" w:hAnsi="Arial" w:cs="Arial"/>
          <w:sz w:val="22"/>
          <w:szCs w:val="22"/>
        </w:rPr>
        <w:t xml:space="preserve"> continue</w:t>
      </w:r>
      <w:r>
        <w:rPr>
          <w:rFonts w:ascii="Arial" w:hAnsi="Arial" w:cs="Arial"/>
          <w:sz w:val="22"/>
          <w:szCs w:val="22"/>
        </w:rPr>
        <w:t>d</w:t>
      </w:r>
      <w:r w:rsidRPr="00360B19">
        <w:rPr>
          <w:rFonts w:ascii="Arial" w:hAnsi="Arial" w:cs="Arial"/>
          <w:sz w:val="22"/>
          <w:szCs w:val="22"/>
        </w:rPr>
        <w:t xml:space="preserve"> operation of registry services under current practices</w:t>
      </w:r>
      <w:r w:rsidRPr="00210B03">
        <w:rPr>
          <w:rFonts w:ascii="Arial" w:hAnsi="Arial" w:cs="Arial"/>
          <w:bCs/>
          <w:sz w:val="22"/>
          <w:szCs w:val="22"/>
        </w:rPr>
        <w:t xml:space="preserve">. </w:t>
      </w:r>
      <w:r w:rsidRPr="00210B03">
        <w:rPr>
          <w:rFonts w:ascii="Arial" w:hAnsi="Arial" w:cs="Arial"/>
          <w:sz w:val="22"/>
          <w:szCs w:val="22"/>
        </w:rPr>
        <w:t>This includes</w:t>
      </w:r>
      <w:r w:rsidRPr="00424AF8">
        <w:rPr>
          <w:rFonts w:ascii="Arial" w:hAnsi="Arial" w:cs="Arial"/>
          <w:sz w:val="22"/>
          <w:szCs w:val="22"/>
        </w:rPr>
        <w:t>:</w:t>
      </w:r>
    </w:p>
    <w:p w14:paraId="1783E3F7" w14:textId="77777777" w:rsidR="006428FA" w:rsidRDefault="006428FA" w:rsidP="00B61314">
      <w:pPr>
        <w:pStyle w:val="ListParagraph"/>
        <w:numPr>
          <w:ilvl w:val="0"/>
          <w:numId w:val="7"/>
        </w:numPr>
        <w:spacing w:after="120"/>
        <w:rPr>
          <w:rFonts w:ascii="Arial" w:hAnsi="Arial" w:cs="Arial"/>
        </w:rPr>
      </w:pPr>
      <w:r>
        <w:rPr>
          <w:rFonts w:ascii="Arial" w:hAnsi="Arial" w:cs="Arial"/>
        </w:rPr>
        <w:t>how actions may be taken by the Registrar or another entity,</w:t>
      </w:r>
    </w:p>
    <w:p w14:paraId="39CD47E8" w14:textId="77777777" w:rsidR="006428FA" w:rsidRDefault="006428FA" w:rsidP="00B61314">
      <w:pPr>
        <w:pStyle w:val="ListParagraph"/>
        <w:numPr>
          <w:ilvl w:val="0"/>
          <w:numId w:val="7"/>
        </w:numPr>
        <w:spacing w:after="120"/>
        <w:rPr>
          <w:rFonts w:ascii="Arial" w:hAnsi="Arial" w:cs="Arial"/>
        </w:rPr>
      </w:pPr>
      <w:r>
        <w:rPr>
          <w:rFonts w:ascii="Arial" w:hAnsi="Arial" w:cs="Arial"/>
        </w:rPr>
        <w:t>how the Registrar holds, records and stores registry information, and</w:t>
      </w:r>
    </w:p>
    <w:p w14:paraId="75EDD5FB" w14:textId="1183425C" w:rsidR="006428FA" w:rsidRPr="006428FA" w:rsidRDefault="006428FA" w:rsidP="00B61314">
      <w:pPr>
        <w:pStyle w:val="ListParagraph"/>
        <w:numPr>
          <w:ilvl w:val="0"/>
          <w:numId w:val="7"/>
        </w:numPr>
        <w:spacing w:after="120"/>
        <w:rPr>
          <w:rFonts w:ascii="Arial" w:hAnsi="Arial" w:cs="Arial"/>
        </w:rPr>
      </w:pPr>
      <w:r>
        <w:rPr>
          <w:rFonts w:ascii="Arial" w:hAnsi="Arial" w:cs="Arial"/>
        </w:rPr>
        <w:t>how the Registrar will use registry information.</w:t>
      </w:r>
    </w:p>
    <w:p w14:paraId="190EEA9C" w14:textId="2E732B42" w:rsidR="006428FA" w:rsidRPr="006428FA" w:rsidRDefault="006428FA" w:rsidP="006428FA">
      <w:pPr>
        <w:spacing w:after="120"/>
        <w:ind w:left="360"/>
        <w:rPr>
          <w:rFonts w:ascii="Arial" w:hAnsi="Arial" w:cs="Arial"/>
        </w:rPr>
      </w:pPr>
      <w:r w:rsidRPr="002941D6">
        <w:rPr>
          <w:rFonts w:ascii="Arial" w:hAnsi="Arial" w:cs="Arial"/>
          <w:sz w:val="22"/>
          <w:szCs w:val="22"/>
        </w:rPr>
        <w:t>To ensure the continued operation of registry services in accordance with current practices this instrument authorises actions in relation to registry provisions being taken using notices, forms or systems or any other means available to ASIC that was available immediately before the commencement of this instrument.</w:t>
      </w:r>
    </w:p>
    <w:p w14:paraId="6C4B2CD9" w14:textId="77777777" w:rsidR="006428FA" w:rsidRPr="00240CFB" w:rsidRDefault="006428FA" w:rsidP="006428FA">
      <w:pPr>
        <w:pStyle w:val="Heading2"/>
        <w:spacing w:before="240"/>
      </w:pPr>
      <w:r w:rsidRPr="007E0A01">
        <w:t>Human rights implications</w:t>
      </w:r>
    </w:p>
    <w:p w14:paraId="1B047A4B" w14:textId="77777777" w:rsidR="006428FA" w:rsidRDefault="006428FA" w:rsidP="006428FA">
      <w:pPr>
        <w:spacing w:after="120"/>
        <w:ind w:left="-5"/>
      </w:pPr>
      <w:r w:rsidRPr="00B60EA6">
        <w:rPr>
          <w:rFonts w:ascii="Arial" w:hAnsi="Arial" w:cs="Arial"/>
          <w:sz w:val="22"/>
          <w:szCs w:val="22"/>
        </w:rPr>
        <w:t>This data standard potentially engages the right to pr</w:t>
      </w:r>
      <w:r>
        <w:rPr>
          <w:rFonts w:ascii="Arial" w:hAnsi="Arial" w:cs="Arial"/>
          <w:sz w:val="22"/>
          <w:szCs w:val="22"/>
        </w:rPr>
        <w:t>i</w:t>
      </w:r>
      <w:r w:rsidRPr="00B60EA6">
        <w:rPr>
          <w:rFonts w:ascii="Arial" w:hAnsi="Arial" w:cs="Arial"/>
          <w:sz w:val="22"/>
          <w:szCs w:val="22"/>
        </w:rPr>
        <w:t>vacy</w:t>
      </w:r>
      <w:r>
        <w:rPr>
          <w:rFonts w:ascii="Arial" w:hAnsi="Arial" w:cs="Arial"/>
          <w:sz w:val="22"/>
          <w:szCs w:val="22"/>
        </w:rPr>
        <w:t>.</w:t>
      </w:r>
    </w:p>
    <w:p w14:paraId="15D453A9" w14:textId="77777777" w:rsidR="006428FA" w:rsidRPr="00DB40A5" w:rsidRDefault="006428FA" w:rsidP="006428FA">
      <w:pPr>
        <w:pStyle w:val="Heading2"/>
        <w:spacing w:before="240"/>
      </w:pPr>
      <w:r>
        <w:t>Engagement on the right of privacy</w:t>
      </w:r>
    </w:p>
    <w:p w14:paraId="0D9A27A8" w14:textId="77777777" w:rsidR="006428FA" w:rsidRDefault="006428FA" w:rsidP="006428FA">
      <w:pPr>
        <w:spacing w:after="120"/>
        <w:ind w:left="-5"/>
        <w:rPr>
          <w:rFonts w:ascii="Arial" w:hAnsi="Arial" w:cs="Arial"/>
          <w:sz w:val="22"/>
          <w:szCs w:val="22"/>
        </w:rPr>
      </w:pPr>
      <w:r w:rsidRPr="00210B03">
        <w:rPr>
          <w:rFonts w:ascii="Arial" w:hAnsi="Arial" w:cs="Arial"/>
          <w:sz w:val="22"/>
          <w:szCs w:val="22"/>
        </w:rPr>
        <w:t>Article 17 of the International Covenant on Civil and Political Rights provides that no one shall be subjected to arbitrary or unlawful interference with their privacy, family, home or correspondence, nor to unlawful attacks on their honour and reputation. The right to privacy is not an absolute right. In some circumstances, it must be weighed against the equally justified right of others and against matters that benefit society as whole.</w:t>
      </w:r>
    </w:p>
    <w:p w14:paraId="6DF0006A" w14:textId="77777777" w:rsidR="006428FA" w:rsidRDefault="006428FA" w:rsidP="006428FA">
      <w:pPr>
        <w:spacing w:after="120"/>
        <w:rPr>
          <w:rFonts w:ascii="Arial" w:hAnsi="Arial" w:cs="Arial"/>
          <w:sz w:val="22"/>
          <w:szCs w:val="22"/>
        </w:rPr>
      </w:pPr>
      <w:r>
        <w:rPr>
          <w:rFonts w:ascii="Arial" w:hAnsi="Arial" w:cs="Arial"/>
          <w:sz w:val="22"/>
          <w:szCs w:val="22"/>
        </w:rPr>
        <w:t xml:space="preserve">This instrument will engage the right to privacy because it provides for the collection of information, including personal information within the meaning of the </w:t>
      </w:r>
      <w:r w:rsidRPr="00DB40A5">
        <w:rPr>
          <w:rFonts w:ascii="Arial" w:hAnsi="Arial" w:cs="Arial"/>
          <w:i/>
          <w:iCs/>
          <w:sz w:val="22"/>
          <w:szCs w:val="22"/>
        </w:rPr>
        <w:t>Privacy Act 1988</w:t>
      </w:r>
      <w:r>
        <w:rPr>
          <w:rFonts w:ascii="Arial" w:hAnsi="Arial" w:cs="Arial"/>
          <w:sz w:val="22"/>
          <w:szCs w:val="22"/>
        </w:rPr>
        <w:t xml:space="preserve">. The Registrar can also </w:t>
      </w:r>
      <w:r w:rsidRPr="00B24EF0">
        <w:rPr>
          <w:rFonts w:ascii="Arial" w:hAnsi="Arial" w:cs="Arial"/>
          <w:sz w:val="22"/>
          <w:szCs w:val="22"/>
          <w:lang w:eastAsia="en-US"/>
        </w:rPr>
        <w:t>make a record of the information collected or generated</w:t>
      </w:r>
      <w:r>
        <w:rPr>
          <w:rFonts w:ascii="Arial" w:hAnsi="Arial" w:cs="Arial"/>
          <w:sz w:val="22"/>
          <w:szCs w:val="22"/>
          <w:lang w:eastAsia="en-US"/>
        </w:rPr>
        <w:t xml:space="preserve">, </w:t>
      </w:r>
      <w:r w:rsidRPr="00B24EF0">
        <w:rPr>
          <w:rFonts w:ascii="Arial" w:hAnsi="Arial" w:cs="Arial"/>
          <w:sz w:val="22"/>
          <w:szCs w:val="22"/>
          <w:lang w:eastAsia="en-US"/>
        </w:rPr>
        <w:t>maintain the accuracy of information held by the Registrar; and</w:t>
      </w:r>
      <w:r>
        <w:rPr>
          <w:rFonts w:ascii="Arial" w:hAnsi="Arial" w:cs="Arial"/>
          <w:sz w:val="22"/>
          <w:szCs w:val="22"/>
          <w:lang w:eastAsia="en-US"/>
        </w:rPr>
        <w:t xml:space="preserve"> perform </w:t>
      </w:r>
      <w:r w:rsidRPr="00B24EF0">
        <w:rPr>
          <w:rFonts w:ascii="Arial" w:hAnsi="Arial" w:cs="Arial"/>
          <w:sz w:val="22"/>
          <w:szCs w:val="22"/>
          <w:lang w:eastAsia="en-US"/>
        </w:rPr>
        <w:t>the Registrar’s functions and the exercise of the Registrar’s powers.</w:t>
      </w:r>
      <w:r>
        <w:rPr>
          <w:rFonts w:ascii="Arial" w:hAnsi="Arial" w:cs="Arial"/>
          <w:sz w:val="22"/>
          <w:szCs w:val="22"/>
        </w:rPr>
        <w:t xml:space="preserve"> This instrument may use personal information to maintain the accuracy of the information held by the Registrar or in the performance of the </w:t>
      </w:r>
      <w:r w:rsidRPr="00DB40A5">
        <w:rPr>
          <w:rFonts w:ascii="Arial" w:hAnsi="Arial" w:cs="Arial"/>
          <w:sz w:val="22"/>
          <w:szCs w:val="22"/>
        </w:rPr>
        <w:t>Registrar’s functions and the exercise of the Registrar’s powers.</w:t>
      </w:r>
    </w:p>
    <w:p w14:paraId="2B4CDF0A" w14:textId="77777777" w:rsidR="006428FA" w:rsidRDefault="006428FA" w:rsidP="006428FA">
      <w:pPr>
        <w:spacing w:after="120"/>
        <w:ind w:left="-5"/>
        <w:rPr>
          <w:rFonts w:ascii="Arial" w:hAnsi="Arial" w:cs="Arial"/>
          <w:color w:val="000000"/>
          <w:sz w:val="22"/>
          <w:szCs w:val="22"/>
          <w:shd w:val="clear" w:color="auto" w:fill="FFFFFF"/>
        </w:rPr>
      </w:pPr>
      <w:r>
        <w:rPr>
          <w:rFonts w:ascii="Arial" w:hAnsi="Arial" w:cs="Arial"/>
          <w:color w:val="000000"/>
          <w:sz w:val="22"/>
          <w:szCs w:val="22"/>
          <w:shd w:val="clear" w:color="auto" w:fill="FFFFFF"/>
        </w:rPr>
        <w:t>Further, allowing the Registrar to collect information to maintain the register is a positive, noting that the Australian Privacy Principles (APP) in the </w:t>
      </w:r>
      <w:r>
        <w:rPr>
          <w:rFonts w:ascii="Arial" w:hAnsi="Arial" w:cs="Arial"/>
          <w:i/>
          <w:iCs/>
          <w:color w:val="000000"/>
          <w:sz w:val="22"/>
          <w:szCs w:val="22"/>
          <w:shd w:val="clear" w:color="auto" w:fill="FFFFFF"/>
        </w:rPr>
        <w:t>Privacy Act 1988 </w:t>
      </w:r>
      <w:r>
        <w:rPr>
          <w:rFonts w:ascii="Arial" w:hAnsi="Arial" w:cs="Arial"/>
          <w:color w:val="000000"/>
          <w:sz w:val="22"/>
          <w:szCs w:val="22"/>
          <w:shd w:val="clear" w:color="auto" w:fill="FFFFFF"/>
        </w:rPr>
        <w:t>requires an APP entity (of which the Registrar is one) to take reasonable steps to ensure the personal information it collects is accurate, up to date and complete and to ensure the personal information it uses or discloses is accurate, up to date, complete and relevant, having regard to the purpose of the use or disclosure.</w:t>
      </w:r>
    </w:p>
    <w:p w14:paraId="3F155847" w14:textId="77777777" w:rsidR="006428FA" w:rsidRPr="000A71D5" w:rsidRDefault="006428FA" w:rsidP="006428FA">
      <w:pPr>
        <w:pStyle w:val="Heading2"/>
        <w:spacing w:before="240"/>
      </w:pPr>
      <w:r w:rsidRPr="000A71D5">
        <w:t>Handling of information</w:t>
      </w:r>
    </w:p>
    <w:p w14:paraId="30E866DF" w14:textId="77777777" w:rsidR="006428FA" w:rsidRPr="000A71D5" w:rsidRDefault="006428FA" w:rsidP="006428FA">
      <w:pPr>
        <w:spacing w:after="120"/>
        <w:ind w:left="-5"/>
        <w:rPr>
          <w:rFonts w:ascii="Arial" w:hAnsi="Arial" w:cs="Arial"/>
          <w:sz w:val="22"/>
          <w:szCs w:val="22"/>
        </w:rPr>
      </w:pPr>
      <w:r w:rsidRPr="000A71D5">
        <w:rPr>
          <w:rFonts w:ascii="Arial" w:hAnsi="Arial" w:cs="Arial"/>
          <w:sz w:val="22"/>
          <w:szCs w:val="22"/>
        </w:rPr>
        <w:t xml:space="preserve">Information given to, or otherwise obtained or generated by the Registrar as a result </w:t>
      </w:r>
      <w:r>
        <w:rPr>
          <w:rFonts w:ascii="Arial" w:hAnsi="Arial" w:cs="Arial"/>
          <w:sz w:val="22"/>
          <w:szCs w:val="22"/>
        </w:rPr>
        <w:t xml:space="preserve">this instrument </w:t>
      </w:r>
      <w:r w:rsidRPr="000A71D5">
        <w:rPr>
          <w:rFonts w:ascii="Arial" w:hAnsi="Arial" w:cs="Arial"/>
          <w:sz w:val="22"/>
          <w:szCs w:val="22"/>
        </w:rPr>
        <w:t>may be stored in a secure platform</w:t>
      </w:r>
      <w:r>
        <w:rPr>
          <w:rFonts w:ascii="Arial" w:hAnsi="Arial" w:cs="Arial"/>
          <w:sz w:val="22"/>
          <w:szCs w:val="22"/>
        </w:rPr>
        <w:t>,</w:t>
      </w:r>
      <w:r w:rsidRPr="000A71D5">
        <w:rPr>
          <w:rFonts w:ascii="Arial" w:hAnsi="Arial" w:cs="Arial"/>
          <w:sz w:val="22"/>
          <w:szCs w:val="22"/>
        </w:rPr>
        <w:t xml:space="preserve"> </w:t>
      </w:r>
      <w:r>
        <w:rPr>
          <w:rFonts w:ascii="Arial" w:hAnsi="Arial" w:cs="Arial"/>
          <w:sz w:val="22"/>
          <w:szCs w:val="22"/>
        </w:rPr>
        <w:t>being ASIC’s systems</w:t>
      </w:r>
      <w:r w:rsidRPr="000A71D5">
        <w:rPr>
          <w:rFonts w:ascii="Arial" w:hAnsi="Arial" w:cs="Arial"/>
          <w:sz w:val="22"/>
          <w:szCs w:val="22"/>
        </w:rPr>
        <w:t xml:space="preserve">. The Registrar will take steps to protect the personal information held about individuals against loss, unauthorised access, use, modification or disclosure and other misuse. </w:t>
      </w:r>
    </w:p>
    <w:p w14:paraId="5EBF5300" w14:textId="77777777" w:rsidR="006428FA" w:rsidRDefault="006428FA" w:rsidP="006428FA">
      <w:pPr>
        <w:spacing w:after="120"/>
        <w:ind w:left="-5"/>
        <w:rPr>
          <w:rFonts w:ascii="Arial" w:hAnsi="Arial" w:cs="Arial"/>
          <w:sz w:val="22"/>
          <w:szCs w:val="22"/>
        </w:rPr>
      </w:pPr>
      <w:r w:rsidRPr="00876D5B">
        <w:rPr>
          <w:rFonts w:ascii="Arial" w:hAnsi="Arial" w:cs="Arial"/>
          <w:sz w:val="22"/>
          <w:szCs w:val="22"/>
        </w:rPr>
        <w:lastRenderedPageBreak/>
        <w:t>To the extent that information collected is personal information</w:t>
      </w:r>
      <w:r>
        <w:rPr>
          <w:rFonts w:ascii="Arial" w:hAnsi="Arial" w:cs="Arial"/>
          <w:sz w:val="22"/>
          <w:szCs w:val="22"/>
        </w:rPr>
        <w:t>,</w:t>
      </w:r>
      <w:r w:rsidRPr="00876D5B">
        <w:rPr>
          <w:rFonts w:ascii="Arial" w:hAnsi="Arial" w:cs="Arial"/>
          <w:sz w:val="22"/>
          <w:szCs w:val="22"/>
        </w:rPr>
        <w:t xml:space="preserve"> there are safeguards to protect an individual's right to privacy. In particular, the Registrar is complying with obligations under the Australian Privacy Principles under the </w:t>
      </w:r>
      <w:r w:rsidRPr="00876D5B">
        <w:rPr>
          <w:rFonts w:ascii="Arial" w:hAnsi="Arial" w:cs="Arial"/>
          <w:i/>
          <w:sz w:val="22"/>
          <w:szCs w:val="22"/>
        </w:rPr>
        <w:t>Privacy Act 1988</w:t>
      </w:r>
      <w:r w:rsidRPr="00876D5B">
        <w:rPr>
          <w:rFonts w:ascii="Arial" w:hAnsi="Arial" w:cs="Arial"/>
          <w:sz w:val="22"/>
          <w:szCs w:val="22"/>
        </w:rPr>
        <w:t>, Records authorities issued by the National Archives of Australia to ensure legislative requirements and community expectations regarding privacy are met.</w:t>
      </w:r>
    </w:p>
    <w:p w14:paraId="6CE0069B" w14:textId="570209F7" w:rsidR="006428FA" w:rsidRPr="000A71D5" w:rsidRDefault="006428FA" w:rsidP="006428FA">
      <w:pPr>
        <w:spacing w:after="120"/>
        <w:rPr>
          <w:rFonts w:ascii="Arial" w:hAnsi="Arial" w:cs="Arial"/>
          <w:sz w:val="22"/>
          <w:szCs w:val="22"/>
        </w:rPr>
      </w:pPr>
      <w:r>
        <w:rPr>
          <w:rFonts w:ascii="Arial" w:hAnsi="Arial" w:cs="Arial"/>
          <w:sz w:val="22"/>
          <w:szCs w:val="22"/>
        </w:rPr>
        <w:t xml:space="preserve">There will be no change in how information is collected and used after the commencement of </w:t>
      </w:r>
      <w:r w:rsidRPr="002941D6">
        <w:rPr>
          <w:rFonts w:ascii="Arial" w:hAnsi="Arial" w:cs="Arial"/>
          <w:sz w:val="22"/>
          <w:szCs w:val="22"/>
        </w:rPr>
        <w:t>this instrument</w:t>
      </w:r>
      <w:r>
        <w:rPr>
          <w:rFonts w:ascii="Arial" w:hAnsi="Arial" w:cs="Arial"/>
          <w:i/>
          <w:iCs/>
          <w:sz w:val="22"/>
          <w:szCs w:val="22"/>
        </w:rPr>
        <w:t xml:space="preserve"> </w:t>
      </w:r>
      <w:r>
        <w:rPr>
          <w:rFonts w:ascii="Arial" w:hAnsi="Arial" w:cs="Arial"/>
          <w:sz w:val="22"/>
          <w:szCs w:val="22"/>
        </w:rPr>
        <w:t>to how it was collected</w:t>
      </w:r>
      <w:r w:rsidR="00DD6531">
        <w:rPr>
          <w:rFonts w:ascii="Arial" w:hAnsi="Arial" w:cs="Arial"/>
          <w:sz w:val="22"/>
          <w:szCs w:val="22"/>
        </w:rPr>
        <w:t xml:space="preserve"> or used</w:t>
      </w:r>
      <w:r>
        <w:rPr>
          <w:rFonts w:ascii="Arial" w:hAnsi="Arial" w:cs="Arial"/>
          <w:sz w:val="22"/>
          <w:szCs w:val="22"/>
        </w:rPr>
        <w:t xml:space="preserve"> previously.</w:t>
      </w:r>
    </w:p>
    <w:p w14:paraId="696A5FD1" w14:textId="77777777" w:rsidR="006428FA" w:rsidRPr="000A71D5" w:rsidRDefault="006428FA" w:rsidP="006428FA">
      <w:pPr>
        <w:spacing w:after="120"/>
        <w:ind w:left="-5"/>
        <w:rPr>
          <w:rFonts w:ascii="Arial" w:hAnsi="Arial" w:cs="Arial"/>
          <w:sz w:val="22"/>
          <w:szCs w:val="22"/>
        </w:rPr>
      </w:pPr>
      <w:r w:rsidRPr="000A71D5">
        <w:rPr>
          <w:rFonts w:ascii="Arial" w:hAnsi="Arial" w:cs="Arial"/>
          <w:sz w:val="22"/>
          <w:szCs w:val="22"/>
        </w:rPr>
        <w:t xml:space="preserve">The instrument itself will be a disallowable instrument and therefore subject to proper Parliamentary oversight and the consultation requirements contained in the </w:t>
      </w:r>
      <w:r w:rsidRPr="00294074">
        <w:rPr>
          <w:rFonts w:ascii="Arial" w:hAnsi="Arial" w:cs="Arial"/>
          <w:i/>
          <w:sz w:val="22"/>
          <w:szCs w:val="22"/>
        </w:rPr>
        <w:t>Legislation Act 2003</w:t>
      </w:r>
      <w:r w:rsidRPr="000A71D5">
        <w:rPr>
          <w:rFonts w:ascii="Arial" w:hAnsi="Arial" w:cs="Arial"/>
          <w:sz w:val="22"/>
          <w:szCs w:val="22"/>
        </w:rPr>
        <w:t>.</w:t>
      </w:r>
    </w:p>
    <w:p w14:paraId="30EACA57" w14:textId="7435E33B" w:rsidR="006428FA" w:rsidRDefault="006428FA" w:rsidP="006428FA">
      <w:pPr>
        <w:spacing w:after="120"/>
        <w:ind w:left="-5"/>
        <w:rPr>
          <w:rFonts w:ascii="Arial" w:hAnsi="Arial" w:cs="Arial"/>
          <w:sz w:val="22"/>
          <w:szCs w:val="22"/>
        </w:rPr>
      </w:pPr>
      <w:r w:rsidRPr="000A71D5">
        <w:rPr>
          <w:rFonts w:ascii="Arial" w:hAnsi="Arial" w:cs="Arial"/>
          <w:sz w:val="22"/>
          <w:szCs w:val="22"/>
        </w:rPr>
        <w:t>For these reasons, the instrument does not unnecessarily and unreasonably restrict an individual’s right to privacy. Information is only collected and disclosed to the extent required to achieve the legitimate objective of administering the</w:t>
      </w:r>
      <w:r w:rsidR="00E033CE">
        <w:rPr>
          <w:rFonts w:ascii="Arial" w:hAnsi="Arial" w:cs="Arial"/>
          <w:i/>
          <w:iCs/>
          <w:sz w:val="22"/>
          <w:szCs w:val="22"/>
        </w:rPr>
        <w:t xml:space="preserve"> </w:t>
      </w:r>
      <w:r w:rsidR="00E033CE" w:rsidRPr="00E033CE">
        <w:rPr>
          <w:rFonts w:ascii="Arial" w:hAnsi="Arial" w:cs="Arial"/>
          <w:i/>
          <w:iCs/>
          <w:sz w:val="22"/>
          <w:szCs w:val="22"/>
        </w:rPr>
        <w:t>Superannuation Industry (Supervision) Act 1993</w:t>
      </w:r>
      <w:r w:rsidRPr="000A71D5">
        <w:rPr>
          <w:rFonts w:ascii="Arial" w:hAnsi="Arial" w:cs="Arial"/>
          <w:sz w:val="22"/>
          <w:szCs w:val="22"/>
        </w:rPr>
        <w:t>, with the limitation reasonable, necessary, and proportionate.</w:t>
      </w:r>
    </w:p>
    <w:p w14:paraId="3A613749" w14:textId="77777777" w:rsidR="006428FA" w:rsidRPr="00240CFB" w:rsidRDefault="006428FA" w:rsidP="006428FA">
      <w:pPr>
        <w:pStyle w:val="Heading2"/>
        <w:spacing w:before="240"/>
      </w:pPr>
      <w:r w:rsidRPr="007E0A01">
        <w:t>Conclusion</w:t>
      </w:r>
    </w:p>
    <w:p w14:paraId="0EC6F5E8" w14:textId="77777777" w:rsidR="00DD6531" w:rsidRPr="002C0C07" w:rsidRDefault="00DD6531" w:rsidP="00DD6531">
      <w:pPr>
        <w:shd w:val="clear" w:color="auto" w:fill="FFFFFF"/>
        <w:spacing w:after="120"/>
        <w:ind w:left="-5" w:hanging="10"/>
        <w:rPr>
          <w:rFonts w:ascii="Arial" w:hAnsi="Arial" w:cs="Arial"/>
          <w:sz w:val="22"/>
          <w:szCs w:val="22"/>
        </w:rPr>
      </w:pPr>
      <w:r w:rsidRPr="002C0C07">
        <w:rPr>
          <w:rFonts w:ascii="Arial" w:hAnsi="Arial" w:cs="Arial"/>
          <w:sz w:val="22"/>
          <w:szCs w:val="22"/>
        </w:rPr>
        <w:t>This Legislative Instrument is compatible with human rights and freedoms recognised or declared in the international instruments listed in section 3 of the </w:t>
      </w:r>
      <w:r w:rsidRPr="002C0C07">
        <w:rPr>
          <w:rFonts w:ascii="Arial" w:hAnsi="Arial" w:cs="Arial"/>
          <w:i/>
          <w:iCs/>
          <w:sz w:val="22"/>
          <w:szCs w:val="22"/>
        </w:rPr>
        <w:t>Human Rights (Parliamentary Scrutiny) Act 2011</w:t>
      </w:r>
      <w:r w:rsidRPr="002C0C07">
        <w:rPr>
          <w:rFonts w:ascii="Arial" w:hAnsi="Arial" w:cs="Arial"/>
          <w:sz w:val="22"/>
          <w:szCs w:val="22"/>
        </w:rPr>
        <w:t>.</w:t>
      </w:r>
    </w:p>
    <w:p w14:paraId="01D471F1" w14:textId="77777777" w:rsidR="00DD6531" w:rsidRPr="002C0C07" w:rsidRDefault="00DD6531" w:rsidP="00DD6531">
      <w:pPr>
        <w:shd w:val="clear" w:color="auto" w:fill="FFFFFF"/>
        <w:spacing w:after="120"/>
        <w:ind w:left="-5" w:hanging="10"/>
        <w:rPr>
          <w:rFonts w:ascii="Arial" w:hAnsi="Arial" w:cs="Arial"/>
          <w:sz w:val="22"/>
          <w:szCs w:val="22"/>
        </w:rPr>
      </w:pPr>
      <w:r w:rsidRPr="002C0C07">
        <w:rPr>
          <w:rFonts w:ascii="Arial" w:hAnsi="Arial" w:cs="Arial"/>
          <w:sz w:val="22"/>
          <w:szCs w:val="22"/>
        </w:rPr>
        <w:t>Accordingly, while the right to privacy is engaged, the limitations are:</w:t>
      </w:r>
    </w:p>
    <w:p w14:paraId="4E23E7EB" w14:textId="77777777" w:rsidR="00DD6531" w:rsidRPr="002C0C07" w:rsidRDefault="00DD6531" w:rsidP="00DD6531">
      <w:pPr>
        <w:shd w:val="clear" w:color="auto" w:fill="FFFFFF"/>
        <w:spacing w:after="120"/>
        <w:ind w:left="1134" w:hanging="567"/>
        <w:rPr>
          <w:rFonts w:ascii="Arial" w:hAnsi="Arial" w:cs="Arial"/>
          <w:sz w:val="22"/>
          <w:szCs w:val="22"/>
        </w:rPr>
      </w:pPr>
      <w:r w:rsidRPr="002C0C07">
        <w:rPr>
          <w:rFonts w:ascii="Arial" w:hAnsi="Arial" w:cs="Arial"/>
          <w:sz w:val="22"/>
          <w:szCs w:val="22"/>
        </w:rPr>
        <w:t>(a)</w:t>
      </w:r>
      <w:r w:rsidRPr="002C0C07">
        <w:rPr>
          <w:sz w:val="14"/>
          <w:szCs w:val="14"/>
        </w:rPr>
        <w:t>       </w:t>
      </w:r>
      <w:r w:rsidRPr="002C0C07">
        <w:rPr>
          <w:rFonts w:ascii="Arial" w:hAnsi="Arial" w:cs="Arial"/>
          <w:sz w:val="22"/>
          <w:szCs w:val="22"/>
        </w:rPr>
        <w:t>aimed at achieving a legitimate objective;</w:t>
      </w:r>
    </w:p>
    <w:p w14:paraId="5284F325" w14:textId="77777777" w:rsidR="00DD6531" w:rsidRPr="002C0C07" w:rsidRDefault="00DD6531" w:rsidP="00DD6531">
      <w:pPr>
        <w:shd w:val="clear" w:color="auto" w:fill="FFFFFF"/>
        <w:spacing w:after="120"/>
        <w:ind w:left="1134" w:hanging="567"/>
        <w:rPr>
          <w:rFonts w:ascii="Arial" w:hAnsi="Arial" w:cs="Arial"/>
          <w:sz w:val="22"/>
          <w:szCs w:val="22"/>
        </w:rPr>
      </w:pPr>
      <w:r w:rsidRPr="002C0C07">
        <w:rPr>
          <w:rFonts w:ascii="Arial" w:hAnsi="Arial" w:cs="Arial"/>
          <w:sz w:val="22"/>
          <w:szCs w:val="22"/>
        </w:rPr>
        <w:t>(b)</w:t>
      </w:r>
      <w:r w:rsidRPr="002C0C07">
        <w:rPr>
          <w:sz w:val="14"/>
          <w:szCs w:val="14"/>
        </w:rPr>
        <w:t>       </w:t>
      </w:r>
      <w:r w:rsidRPr="002C0C07">
        <w:rPr>
          <w:rFonts w:ascii="Arial" w:hAnsi="Arial" w:cs="Arial"/>
          <w:sz w:val="22"/>
          <w:szCs w:val="22"/>
        </w:rPr>
        <w:t>rationally connected with the objective; and</w:t>
      </w:r>
    </w:p>
    <w:p w14:paraId="5170BBF1" w14:textId="77777777" w:rsidR="00DD6531" w:rsidRPr="002C0C07" w:rsidRDefault="00DD6531" w:rsidP="00DD6531">
      <w:pPr>
        <w:shd w:val="clear" w:color="auto" w:fill="FFFFFF"/>
        <w:spacing w:after="120"/>
        <w:ind w:left="1134" w:hanging="567"/>
        <w:rPr>
          <w:rFonts w:ascii="Arial" w:hAnsi="Arial" w:cs="Arial"/>
          <w:sz w:val="22"/>
          <w:szCs w:val="22"/>
        </w:rPr>
      </w:pPr>
      <w:r w:rsidRPr="002C0C07">
        <w:rPr>
          <w:rFonts w:ascii="Arial" w:hAnsi="Arial" w:cs="Arial"/>
          <w:sz w:val="22"/>
          <w:szCs w:val="22"/>
        </w:rPr>
        <w:t>(c)</w:t>
      </w:r>
      <w:r w:rsidRPr="002C0C07">
        <w:rPr>
          <w:sz w:val="14"/>
          <w:szCs w:val="14"/>
        </w:rPr>
        <w:t>       </w:t>
      </w:r>
      <w:r w:rsidRPr="002C0C07">
        <w:rPr>
          <w:rFonts w:ascii="Arial" w:hAnsi="Arial" w:cs="Arial"/>
          <w:sz w:val="22"/>
          <w:szCs w:val="22"/>
        </w:rPr>
        <w:t>reasonable, necessary and proportionate.</w:t>
      </w:r>
    </w:p>
    <w:p w14:paraId="15AC1BA7" w14:textId="57AAEA7F" w:rsidR="006428FA" w:rsidRPr="00C2375C" w:rsidRDefault="00DD6531" w:rsidP="006428FA">
      <w:pPr>
        <w:rPr>
          <w:rFonts w:ascii="Arial" w:hAnsi="Arial" w:cs="Arial"/>
          <w:bCs/>
          <w:color w:val="0000FF"/>
          <w:sz w:val="22"/>
          <w:szCs w:val="22"/>
        </w:rPr>
      </w:pPr>
      <w:r w:rsidRPr="00C2375C">
        <w:rPr>
          <w:rFonts w:ascii="Arial" w:hAnsi="Arial" w:cs="Arial"/>
          <w:bCs/>
          <w:color w:val="000000"/>
          <w:sz w:val="22"/>
          <w:szCs w:val="22"/>
        </w:rPr>
        <w:t>The objective of this instrument is ensure the continued operation of registry services in accordance with current practices and authorises actions in relation to registry provisions being taken using notices, forms or systems or any other means available to ASIC that was available immediately before the commencement of this instrument.</w:t>
      </w:r>
    </w:p>
    <w:p w14:paraId="15AC1BC3" w14:textId="31C55D17" w:rsidR="0076271C" w:rsidRPr="00B16508" w:rsidRDefault="0076271C" w:rsidP="00101CD5">
      <w:pPr>
        <w:autoSpaceDE w:val="0"/>
        <w:autoSpaceDN w:val="0"/>
        <w:adjustRightInd w:val="0"/>
        <w:spacing w:after="120"/>
        <w:rPr>
          <w:rFonts w:ascii="Arial" w:hAnsi="Arial" w:cs="Arial"/>
          <w:bCs/>
          <w:color w:val="0000FF"/>
          <w:sz w:val="22"/>
          <w:szCs w:val="22"/>
        </w:rPr>
      </w:pPr>
    </w:p>
    <w:sectPr w:rsidR="0076271C" w:rsidRPr="00B16508" w:rsidSect="00081520">
      <w:headerReference w:type="even" r:id="rId12"/>
      <w:headerReference w:type="default" r:id="rId13"/>
      <w:footerReference w:type="even" r:id="rId14"/>
      <w:footerReference w:type="default" r:id="rId15"/>
      <w:headerReference w:type="first" r:id="rId16"/>
      <w:footerReference w:type="first" r:id="rId17"/>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54D98" w14:textId="77777777" w:rsidR="00446AA8" w:rsidRDefault="00446AA8">
      <w:r>
        <w:separator/>
      </w:r>
    </w:p>
  </w:endnote>
  <w:endnote w:type="continuationSeparator" w:id="0">
    <w:p w14:paraId="48D6380E" w14:textId="77777777" w:rsidR="00446AA8" w:rsidRDefault="0044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24DCB" w14:textId="77777777" w:rsidR="00DC795C" w:rsidRDefault="00DC7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0F346" w14:textId="77777777" w:rsidR="00DC795C" w:rsidRDefault="00DC79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0709F" w14:textId="77777777" w:rsidR="00DC795C" w:rsidRDefault="00DC7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2A909" w14:textId="77777777" w:rsidR="00446AA8" w:rsidRDefault="00446AA8">
      <w:r>
        <w:separator/>
      </w:r>
    </w:p>
  </w:footnote>
  <w:footnote w:type="continuationSeparator" w:id="0">
    <w:p w14:paraId="675A605B" w14:textId="77777777" w:rsidR="00446AA8" w:rsidRDefault="00446AA8">
      <w:r>
        <w:continuationSeparator/>
      </w:r>
    </w:p>
  </w:footnote>
  <w:footnote w:id="1">
    <w:p w14:paraId="190F9D6F" w14:textId="77777777" w:rsidR="00CE532A" w:rsidRDefault="00CE532A" w:rsidP="00CE532A">
      <w:pPr>
        <w:pStyle w:val="FootnoteText"/>
      </w:pPr>
      <w:r>
        <w:rPr>
          <w:rStyle w:val="FootnoteReference"/>
        </w:rPr>
        <w:footnoteRef/>
      </w:r>
      <w:r>
        <w:t xml:space="preserve"> See </w:t>
      </w:r>
      <w:hyperlink r:id="rId1" w:history="1">
        <w:r>
          <w:rPr>
            <w:rStyle w:val="Hyperlink"/>
          </w:rPr>
          <w:t>Modernising Business Registers Business Advisory Group | Australian Taxation Office (ato.gov.au)</w:t>
        </w:r>
      </w:hyperlink>
      <w:r>
        <w:t xml:space="preserve"> for complete list.</w:t>
      </w:r>
    </w:p>
    <w:p w14:paraId="07177176" w14:textId="77777777" w:rsidR="00CE532A" w:rsidRDefault="00CE532A" w:rsidP="00CE532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C1BCA" w14:textId="77777777" w:rsidR="00587C50" w:rsidRPr="0067541C" w:rsidRDefault="00587C50">
    <w:pPr>
      <w:pStyle w:val="Header"/>
      <w:rPr>
        <w:rFonts w:ascii="Arial" w:hAnsi="Arial" w:cs="Arial"/>
        <w:sz w:val="52"/>
      </w:rPr>
    </w:pPr>
    <w:r w:rsidRPr="0067541C">
      <w:rPr>
        <w:rFonts w:ascii="Arial" w:hAnsi="Arial" w:cs="Arial"/>
        <w:sz w:val="20"/>
      </w:rPr>
      <w:t>Taxation Determination</w:t>
    </w:r>
  </w:p>
  <w:p w14:paraId="15AC1BCB" w14:textId="77777777" w:rsidR="00587C50" w:rsidRPr="0067541C" w:rsidRDefault="00587C50">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end"/>
    </w:r>
  </w:p>
  <w:p w14:paraId="15AC1BCC" w14:textId="77777777"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45590D">
      <w:rPr>
        <w:rFonts w:ascii="Arial" w:hAnsi="Arial" w:cs="Arial"/>
        <w:noProof/>
        <w:snapToGrid w:val="0"/>
        <w:sz w:val="20"/>
        <w:lang w:eastAsia="en-US"/>
      </w:rPr>
      <w:t>5</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C1BCD" w14:textId="77777777"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C1BCE" w14:textId="6AE2B804" w:rsidR="00146ED8" w:rsidRPr="00767CE8" w:rsidRDefault="00146ED8" w:rsidP="00DC795C">
    <w:pPr>
      <w:framePr w:w="3376" w:h="526" w:hSpace="180" w:wrap="around" w:vAnchor="page" w:hAnchor="page" w:x="7561" w:y="1141"/>
      <w:pBdr>
        <w:top w:val="single" w:sz="12" w:space="1" w:color="auto"/>
        <w:left w:val="single" w:sz="12" w:space="1" w:color="auto"/>
        <w:bottom w:val="single" w:sz="12" w:space="1" w:color="auto"/>
        <w:right w:val="single" w:sz="12" w:space="1" w:color="auto"/>
      </w:pBdr>
      <w:rPr>
        <w:rFonts w:ascii="Arial" w:hAnsi="Arial" w:cs="Arial"/>
        <w:sz w:val="22"/>
        <w:szCs w:val="22"/>
      </w:rPr>
    </w:pPr>
    <w:r w:rsidRPr="00767CE8">
      <w:rPr>
        <w:rFonts w:ascii="Arial" w:hAnsi="Arial" w:cs="Arial"/>
        <w:b/>
        <w:sz w:val="22"/>
        <w:szCs w:val="22"/>
      </w:rPr>
      <w:t xml:space="preserve">Instrument ID: </w:t>
    </w:r>
    <w:r w:rsidR="00DC795C">
      <w:rPr>
        <w:rFonts w:ascii="Arial" w:hAnsi="Arial" w:cs="Arial"/>
        <w:b/>
        <w:sz w:val="22"/>
        <w:szCs w:val="22"/>
      </w:rPr>
      <w:t>2022/ABRS/0022</w:t>
    </w:r>
  </w:p>
  <w:p w14:paraId="15AC1BCF" w14:textId="737C9B5E" w:rsidR="00587C50" w:rsidRDefault="00DC795C" w:rsidP="001828A4">
    <w:pPr>
      <w:pStyle w:val="Header"/>
      <w:tabs>
        <w:tab w:val="clear" w:pos="4153"/>
        <w:tab w:val="clear" w:pos="8306"/>
      </w:tabs>
      <w:rPr>
        <w:rFonts w:ascii="Arial" w:hAnsi="Arial" w:cs="Arial"/>
        <w:sz w:val="20"/>
      </w:rPr>
    </w:pPr>
    <w:r>
      <w:rPr>
        <w:rFonts w:ascii="Arial" w:hAnsi="Arial" w:cs="Arial"/>
        <w:noProof/>
        <w:sz w:val="20"/>
      </w:rPr>
      <w:drawing>
        <wp:inline distT="0" distB="0" distL="0" distR="0" wp14:anchorId="18239C88" wp14:editId="343F17B0">
          <wp:extent cx="2273935" cy="633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633730"/>
                  </a:xfrm>
                  <a:prstGeom prst="rect">
                    <a:avLst/>
                  </a:prstGeom>
                  <a:noFill/>
                </pic:spPr>
              </pic:pic>
            </a:graphicData>
          </a:graphic>
        </wp:inline>
      </w:drawing>
    </w:r>
  </w:p>
  <w:p w14:paraId="15AC1BD0"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 w15:restartNumberingAfterBreak="0">
    <w:nsid w:val="18327664"/>
    <w:multiLevelType w:val="multilevel"/>
    <w:tmpl w:val="3338791E"/>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 w15:restartNumberingAfterBreak="0">
    <w:nsid w:val="21492296"/>
    <w:multiLevelType w:val="hybridMultilevel"/>
    <w:tmpl w:val="A9FEF69E"/>
    <w:lvl w:ilvl="0" w:tplc="0C090013">
      <w:start w:val="1"/>
      <w:numFmt w:val="upp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8B3281"/>
    <w:multiLevelType w:val="hybridMultilevel"/>
    <w:tmpl w:val="5C54996E"/>
    <w:lvl w:ilvl="0" w:tplc="987419D8">
      <w:start w:val="1"/>
      <w:numFmt w:val="decimal"/>
      <w:lvlText w:val="%1."/>
      <w:lvlJc w:val="left"/>
      <w:pPr>
        <w:tabs>
          <w:tab w:val="num" w:pos="360"/>
        </w:tabs>
        <w:ind w:left="360" w:hanging="360"/>
      </w:pPr>
      <w:rPr>
        <w:rFonts w:hint="default"/>
        <w:color w:val="auto"/>
        <w:sz w:val="22"/>
        <w:szCs w:val="22"/>
      </w:rPr>
    </w:lvl>
    <w:lvl w:ilvl="1" w:tplc="0C090017">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8083E30"/>
    <w:multiLevelType w:val="hybridMultilevel"/>
    <w:tmpl w:val="D25E0612"/>
    <w:lvl w:ilvl="0" w:tplc="0C090017">
      <w:start w:val="1"/>
      <w:numFmt w:val="lowerLetter"/>
      <w:lvlText w:val="%1)"/>
      <w:lvlJc w:val="left"/>
      <w:pPr>
        <w:ind w:left="1069" w:hanging="360"/>
      </w:pPr>
      <w:rPr>
        <w:rFonts w:hint="default"/>
      </w:rPr>
    </w:lvl>
    <w:lvl w:ilvl="1" w:tplc="A64E933E">
      <w:start w:val="1"/>
      <w:numFmt w:val="lowerLetter"/>
      <w:lvlText w:val="(%2)"/>
      <w:lvlJc w:val="left"/>
      <w:pPr>
        <w:ind w:left="1789" w:hanging="360"/>
      </w:pPr>
      <w:rPr>
        <w:rFonts w:hint="default"/>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3FCC3903"/>
    <w:multiLevelType w:val="hybridMultilevel"/>
    <w:tmpl w:val="B6F6A172"/>
    <w:lvl w:ilvl="0" w:tplc="987419D8">
      <w:start w:val="1"/>
      <w:numFmt w:val="decimal"/>
      <w:lvlText w:val="%1."/>
      <w:lvlJc w:val="left"/>
      <w:pPr>
        <w:tabs>
          <w:tab w:val="num" w:pos="360"/>
        </w:tabs>
        <w:ind w:left="360" w:hanging="360"/>
      </w:pPr>
      <w:rPr>
        <w:rFonts w:hint="default"/>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7FC7FD9"/>
    <w:multiLevelType w:val="hybridMultilevel"/>
    <w:tmpl w:val="92F4020A"/>
    <w:lvl w:ilvl="0" w:tplc="0C090017">
      <w:start w:val="1"/>
      <w:numFmt w:val="lowerLetter"/>
      <w:lvlText w:val="%1)"/>
      <w:lvlJc w:val="left"/>
      <w:pPr>
        <w:tabs>
          <w:tab w:val="num" w:pos="720"/>
        </w:tabs>
        <w:ind w:left="720" w:hanging="360"/>
      </w:pPr>
      <w:rPr>
        <w:rFonts w:hint="default"/>
        <w:color w:val="auto"/>
        <w:sz w:val="22"/>
        <w:szCs w:val="22"/>
      </w:rPr>
    </w:lvl>
    <w:lvl w:ilvl="1" w:tplc="0C090001">
      <w:start w:val="1"/>
      <w:numFmt w:val="bullet"/>
      <w:lvlText w:val=""/>
      <w:lvlJc w:val="left"/>
      <w:pPr>
        <w:tabs>
          <w:tab w:val="num" w:pos="1800"/>
        </w:tabs>
        <w:ind w:left="1800" w:hanging="360"/>
      </w:pPr>
      <w:rPr>
        <w:rFonts w:ascii="Symbol" w:hAnsi="Symbol" w:hint="default"/>
      </w:rPr>
    </w:lvl>
    <w:lvl w:ilvl="2" w:tplc="C2ACD91E">
      <w:start w:val="1"/>
      <w:numFmt w:val="lowerLetter"/>
      <w:lvlText w:val="(%3)"/>
      <w:lvlJc w:val="left"/>
      <w:pPr>
        <w:tabs>
          <w:tab w:val="num" w:pos="2700"/>
        </w:tabs>
        <w:ind w:left="2700" w:hanging="360"/>
      </w:pPr>
      <w:rPr>
        <w:rFonts w:hint="default"/>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8" w15:restartNumberingAfterBreak="0">
    <w:nsid w:val="7F095BE4"/>
    <w:multiLevelType w:val="hybridMultilevel"/>
    <w:tmpl w:val="0EF2DA0C"/>
    <w:lvl w:ilvl="0" w:tplc="987419D8">
      <w:start w:val="1"/>
      <w:numFmt w:val="decimal"/>
      <w:lvlText w:val="%1."/>
      <w:lvlJc w:val="left"/>
      <w:pPr>
        <w:tabs>
          <w:tab w:val="num" w:pos="360"/>
        </w:tabs>
        <w:ind w:left="360" w:hanging="360"/>
      </w:pPr>
      <w:rPr>
        <w:rFonts w:hint="default"/>
        <w:color w:val="auto"/>
        <w:sz w:val="22"/>
        <w:szCs w:val="22"/>
      </w:rPr>
    </w:lvl>
    <w:lvl w:ilvl="1" w:tplc="0C090017">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0"/>
  </w:num>
  <w:num w:numId="4">
    <w:abstractNumId w:val="8"/>
  </w:num>
  <w:num w:numId="5">
    <w:abstractNumId w:val="1"/>
  </w:num>
  <w:num w:numId="6">
    <w:abstractNumId w:val="4"/>
  </w:num>
  <w:num w:numId="7">
    <w:abstractNumId w:val="7"/>
  </w:num>
  <w:num w:numId="8">
    <w:abstractNumId w:val="2"/>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117B2"/>
    <w:rsid w:val="0001796D"/>
    <w:rsid w:val="00017BF0"/>
    <w:rsid w:val="0002568B"/>
    <w:rsid w:val="00043FA7"/>
    <w:rsid w:val="00052E5B"/>
    <w:rsid w:val="000552E8"/>
    <w:rsid w:val="00056585"/>
    <w:rsid w:val="0005674F"/>
    <w:rsid w:val="00065C6E"/>
    <w:rsid w:val="00072E6E"/>
    <w:rsid w:val="00073F1B"/>
    <w:rsid w:val="00075B58"/>
    <w:rsid w:val="00081520"/>
    <w:rsid w:val="000B11DD"/>
    <w:rsid w:val="000B1785"/>
    <w:rsid w:val="000C2B95"/>
    <w:rsid w:val="000C390A"/>
    <w:rsid w:val="000C77DD"/>
    <w:rsid w:val="000D179E"/>
    <w:rsid w:val="000E295B"/>
    <w:rsid w:val="000E3FA0"/>
    <w:rsid w:val="000E45A0"/>
    <w:rsid w:val="00101CD5"/>
    <w:rsid w:val="00107460"/>
    <w:rsid w:val="00112415"/>
    <w:rsid w:val="0013678D"/>
    <w:rsid w:val="00140A34"/>
    <w:rsid w:val="00146ED8"/>
    <w:rsid w:val="00150B41"/>
    <w:rsid w:val="00167202"/>
    <w:rsid w:val="001828A4"/>
    <w:rsid w:val="001A3BE2"/>
    <w:rsid w:val="001C35E7"/>
    <w:rsid w:val="001C4578"/>
    <w:rsid w:val="001D02E6"/>
    <w:rsid w:val="001F0184"/>
    <w:rsid w:val="001F1BB5"/>
    <w:rsid w:val="001F28A6"/>
    <w:rsid w:val="001F2A16"/>
    <w:rsid w:val="001F6921"/>
    <w:rsid w:val="001F7C3E"/>
    <w:rsid w:val="00201969"/>
    <w:rsid w:val="0021222C"/>
    <w:rsid w:val="00213FA5"/>
    <w:rsid w:val="0021496E"/>
    <w:rsid w:val="00222AFB"/>
    <w:rsid w:val="0023733A"/>
    <w:rsid w:val="0024044F"/>
    <w:rsid w:val="00240CFB"/>
    <w:rsid w:val="00245D00"/>
    <w:rsid w:val="00257F2D"/>
    <w:rsid w:val="00262F9F"/>
    <w:rsid w:val="00266D2D"/>
    <w:rsid w:val="0027331F"/>
    <w:rsid w:val="00285E76"/>
    <w:rsid w:val="002949C3"/>
    <w:rsid w:val="002A10A4"/>
    <w:rsid w:val="002A26FE"/>
    <w:rsid w:val="002B1423"/>
    <w:rsid w:val="002F1257"/>
    <w:rsid w:val="00310C61"/>
    <w:rsid w:val="003171B3"/>
    <w:rsid w:val="0032559D"/>
    <w:rsid w:val="00331616"/>
    <w:rsid w:val="00333567"/>
    <w:rsid w:val="00344575"/>
    <w:rsid w:val="0035113C"/>
    <w:rsid w:val="00354525"/>
    <w:rsid w:val="00374385"/>
    <w:rsid w:val="00380CC4"/>
    <w:rsid w:val="003C0686"/>
    <w:rsid w:val="003D08CF"/>
    <w:rsid w:val="003D0CBA"/>
    <w:rsid w:val="003D0F6A"/>
    <w:rsid w:val="003D4BA8"/>
    <w:rsid w:val="003E5269"/>
    <w:rsid w:val="00405394"/>
    <w:rsid w:val="004066E4"/>
    <w:rsid w:val="0040680B"/>
    <w:rsid w:val="00407361"/>
    <w:rsid w:val="00417C55"/>
    <w:rsid w:val="00424A7B"/>
    <w:rsid w:val="004447C1"/>
    <w:rsid w:val="00446AA8"/>
    <w:rsid w:val="0045590D"/>
    <w:rsid w:val="00457BE4"/>
    <w:rsid w:val="0046211F"/>
    <w:rsid w:val="0046787B"/>
    <w:rsid w:val="00486653"/>
    <w:rsid w:val="00493CA7"/>
    <w:rsid w:val="004A5FDA"/>
    <w:rsid w:val="004D098C"/>
    <w:rsid w:val="004D24A9"/>
    <w:rsid w:val="004D41FE"/>
    <w:rsid w:val="004E5357"/>
    <w:rsid w:val="004F4A07"/>
    <w:rsid w:val="004F5EB1"/>
    <w:rsid w:val="004F6887"/>
    <w:rsid w:val="005030AD"/>
    <w:rsid w:val="0051249C"/>
    <w:rsid w:val="005176E7"/>
    <w:rsid w:val="00520330"/>
    <w:rsid w:val="00524B6B"/>
    <w:rsid w:val="00526403"/>
    <w:rsid w:val="005413EE"/>
    <w:rsid w:val="00587443"/>
    <w:rsid w:val="00587C50"/>
    <w:rsid w:val="005917F3"/>
    <w:rsid w:val="005B0ACD"/>
    <w:rsid w:val="005B50A2"/>
    <w:rsid w:val="005C3408"/>
    <w:rsid w:val="005D611B"/>
    <w:rsid w:val="005F1ACE"/>
    <w:rsid w:val="005F256D"/>
    <w:rsid w:val="0060183A"/>
    <w:rsid w:val="00603110"/>
    <w:rsid w:val="00611C8E"/>
    <w:rsid w:val="00624954"/>
    <w:rsid w:val="006302F7"/>
    <w:rsid w:val="0063121B"/>
    <w:rsid w:val="00631F30"/>
    <w:rsid w:val="00640CC2"/>
    <w:rsid w:val="00642420"/>
    <w:rsid w:val="006428FA"/>
    <w:rsid w:val="00646158"/>
    <w:rsid w:val="006513F4"/>
    <w:rsid w:val="0066622C"/>
    <w:rsid w:val="00666487"/>
    <w:rsid w:val="00673B37"/>
    <w:rsid w:val="00692F08"/>
    <w:rsid w:val="006945EA"/>
    <w:rsid w:val="006B5470"/>
    <w:rsid w:val="006D0138"/>
    <w:rsid w:val="006D6F52"/>
    <w:rsid w:val="00701718"/>
    <w:rsid w:val="00710359"/>
    <w:rsid w:val="00712FFF"/>
    <w:rsid w:val="00722DBF"/>
    <w:rsid w:val="00730D5B"/>
    <w:rsid w:val="00735157"/>
    <w:rsid w:val="0076271C"/>
    <w:rsid w:val="00767CE8"/>
    <w:rsid w:val="00775490"/>
    <w:rsid w:val="00795D0C"/>
    <w:rsid w:val="00797F42"/>
    <w:rsid w:val="007A55BA"/>
    <w:rsid w:val="007C1FBD"/>
    <w:rsid w:val="007C54B3"/>
    <w:rsid w:val="007C5C8E"/>
    <w:rsid w:val="007E0A01"/>
    <w:rsid w:val="007E22F5"/>
    <w:rsid w:val="007E2976"/>
    <w:rsid w:val="007F25F3"/>
    <w:rsid w:val="007F4901"/>
    <w:rsid w:val="007F7CFE"/>
    <w:rsid w:val="00826DEB"/>
    <w:rsid w:val="00832A78"/>
    <w:rsid w:val="00836B02"/>
    <w:rsid w:val="008467D4"/>
    <w:rsid w:val="00850FB0"/>
    <w:rsid w:val="00851849"/>
    <w:rsid w:val="0085238E"/>
    <w:rsid w:val="00853428"/>
    <w:rsid w:val="008540EA"/>
    <w:rsid w:val="008663FC"/>
    <w:rsid w:val="00866A00"/>
    <w:rsid w:val="008702A6"/>
    <w:rsid w:val="008757CE"/>
    <w:rsid w:val="0088392C"/>
    <w:rsid w:val="00897C0E"/>
    <w:rsid w:val="00897E31"/>
    <w:rsid w:val="008A046F"/>
    <w:rsid w:val="008A2553"/>
    <w:rsid w:val="008A405A"/>
    <w:rsid w:val="008A6A6A"/>
    <w:rsid w:val="008B650A"/>
    <w:rsid w:val="008B787C"/>
    <w:rsid w:val="008C3898"/>
    <w:rsid w:val="008C66CC"/>
    <w:rsid w:val="008F483C"/>
    <w:rsid w:val="00910595"/>
    <w:rsid w:val="00910756"/>
    <w:rsid w:val="00912D61"/>
    <w:rsid w:val="009322D7"/>
    <w:rsid w:val="00932BDE"/>
    <w:rsid w:val="009371D0"/>
    <w:rsid w:val="00967725"/>
    <w:rsid w:val="0097020E"/>
    <w:rsid w:val="00973026"/>
    <w:rsid w:val="0098195F"/>
    <w:rsid w:val="009902F8"/>
    <w:rsid w:val="00993BB8"/>
    <w:rsid w:val="0099555F"/>
    <w:rsid w:val="009A22A1"/>
    <w:rsid w:val="009B3A1B"/>
    <w:rsid w:val="009B6332"/>
    <w:rsid w:val="009B69CD"/>
    <w:rsid w:val="009C0912"/>
    <w:rsid w:val="009C7443"/>
    <w:rsid w:val="009D6694"/>
    <w:rsid w:val="009F0300"/>
    <w:rsid w:val="00A167A8"/>
    <w:rsid w:val="00A21F0A"/>
    <w:rsid w:val="00A26011"/>
    <w:rsid w:val="00A506C2"/>
    <w:rsid w:val="00A62886"/>
    <w:rsid w:val="00A74C38"/>
    <w:rsid w:val="00A77D24"/>
    <w:rsid w:val="00A8572F"/>
    <w:rsid w:val="00A93E07"/>
    <w:rsid w:val="00A979CF"/>
    <w:rsid w:val="00AA4DF8"/>
    <w:rsid w:val="00AB780C"/>
    <w:rsid w:val="00AC2448"/>
    <w:rsid w:val="00AD0B0B"/>
    <w:rsid w:val="00AD5ADE"/>
    <w:rsid w:val="00AE7138"/>
    <w:rsid w:val="00AF4CAF"/>
    <w:rsid w:val="00B117BA"/>
    <w:rsid w:val="00B15F23"/>
    <w:rsid w:val="00B16508"/>
    <w:rsid w:val="00B20D87"/>
    <w:rsid w:val="00B24053"/>
    <w:rsid w:val="00B31550"/>
    <w:rsid w:val="00B578AC"/>
    <w:rsid w:val="00B61314"/>
    <w:rsid w:val="00B62F06"/>
    <w:rsid w:val="00B6433F"/>
    <w:rsid w:val="00B64CF5"/>
    <w:rsid w:val="00B76C9B"/>
    <w:rsid w:val="00B823A1"/>
    <w:rsid w:val="00B8428B"/>
    <w:rsid w:val="00B96574"/>
    <w:rsid w:val="00BA41F5"/>
    <w:rsid w:val="00BB3C9C"/>
    <w:rsid w:val="00BF4822"/>
    <w:rsid w:val="00C01D22"/>
    <w:rsid w:val="00C104B6"/>
    <w:rsid w:val="00C10F02"/>
    <w:rsid w:val="00C114F4"/>
    <w:rsid w:val="00C11D03"/>
    <w:rsid w:val="00C2375C"/>
    <w:rsid w:val="00C31967"/>
    <w:rsid w:val="00C34C96"/>
    <w:rsid w:val="00C371DE"/>
    <w:rsid w:val="00C409AE"/>
    <w:rsid w:val="00C4143E"/>
    <w:rsid w:val="00C42D50"/>
    <w:rsid w:val="00C54DF8"/>
    <w:rsid w:val="00C60B49"/>
    <w:rsid w:val="00C7440A"/>
    <w:rsid w:val="00C865ED"/>
    <w:rsid w:val="00C8775A"/>
    <w:rsid w:val="00C97058"/>
    <w:rsid w:val="00CA0877"/>
    <w:rsid w:val="00CA6B59"/>
    <w:rsid w:val="00CB3A5C"/>
    <w:rsid w:val="00CB3B6C"/>
    <w:rsid w:val="00CB75F1"/>
    <w:rsid w:val="00CC1833"/>
    <w:rsid w:val="00CC189F"/>
    <w:rsid w:val="00CC3368"/>
    <w:rsid w:val="00CE532A"/>
    <w:rsid w:val="00CF19C4"/>
    <w:rsid w:val="00CF2B0A"/>
    <w:rsid w:val="00D13C04"/>
    <w:rsid w:val="00D20A78"/>
    <w:rsid w:val="00D278BA"/>
    <w:rsid w:val="00D40454"/>
    <w:rsid w:val="00D4059C"/>
    <w:rsid w:val="00D53D8F"/>
    <w:rsid w:val="00D61C76"/>
    <w:rsid w:val="00D77015"/>
    <w:rsid w:val="00D92B48"/>
    <w:rsid w:val="00D93B73"/>
    <w:rsid w:val="00DB1693"/>
    <w:rsid w:val="00DC795C"/>
    <w:rsid w:val="00DD5B07"/>
    <w:rsid w:val="00DD6531"/>
    <w:rsid w:val="00DE6821"/>
    <w:rsid w:val="00DF2022"/>
    <w:rsid w:val="00DF34BE"/>
    <w:rsid w:val="00DF5D59"/>
    <w:rsid w:val="00E02CE2"/>
    <w:rsid w:val="00E033CE"/>
    <w:rsid w:val="00E10B37"/>
    <w:rsid w:val="00E13DCA"/>
    <w:rsid w:val="00E17693"/>
    <w:rsid w:val="00E239E4"/>
    <w:rsid w:val="00E36A38"/>
    <w:rsid w:val="00E53399"/>
    <w:rsid w:val="00E77995"/>
    <w:rsid w:val="00E87099"/>
    <w:rsid w:val="00EA28E6"/>
    <w:rsid w:val="00ED6BA3"/>
    <w:rsid w:val="00EF78C4"/>
    <w:rsid w:val="00F04CD7"/>
    <w:rsid w:val="00F23E15"/>
    <w:rsid w:val="00F244A2"/>
    <w:rsid w:val="00F35064"/>
    <w:rsid w:val="00F374D8"/>
    <w:rsid w:val="00F42451"/>
    <w:rsid w:val="00F539FB"/>
    <w:rsid w:val="00F5684D"/>
    <w:rsid w:val="00F57AB6"/>
    <w:rsid w:val="00F6480F"/>
    <w:rsid w:val="00F64868"/>
    <w:rsid w:val="00F655BF"/>
    <w:rsid w:val="00F65FE9"/>
    <w:rsid w:val="00F70C2E"/>
    <w:rsid w:val="00F84DF2"/>
    <w:rsid w:val="00F86713"/>
    <w:rsid w:val="00F932E0"/>
    <w:rsid w:val="00FB4FF9"/>
    <w:rsid w:val="00FB7701"/>
    <w:rsid w:val="00FC40F0"/>
    <w:rsid w:val="00FC6D3B"/>
    <w:rsid w:val="00FD0129"/>
    <w:rsid w:val="00FE17ED"/>
    <w:rsid w:val="00FF4315"/>
    <w:rsid w:val="00FF6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5AC1B4F"/>
  <w15:docId w15:val="{C9309E70-B130-4D8F-A47F-5F79B840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2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9"/>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link w:val="FootnoteTextChar"/>
    <w:uiPriority w:val="99"/>
    <w:rsid w:val="00F35064"/>
    <w:rPr>
      <w:sz w:val="20"/>
    </w:rPr>
  </w:style>
  <w:style w:type="character" w:styleId="FootnoteReference">
    <w:name w:val="footnote reference"/>
    <w:basedOn w:val="DefaultParagraphFont"/>
    <w:uiPriority w:val="99"/>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uiPriority w:val="29"/>
    <w:rsid w:val="00AC2448"/>
    <w:rPr>
      <w:sz w:val="24"/>
    </w:rPr>
  </w:style>
  <w:style w:type="character" w:customStyle="1" w:styleId="CommentTextChar">
    <w:name w:val="Comment Text Char"/>
    <w:basedOn w:val="DefaultParagraphFont"/>
    <w:link w:val="CommentText"/>
    <w:uiPriority w:val="99"/>
    <w:semiHidden/>
    <w:rsid w:val="00640CC2"/>
  </w:style>
  <w:style w:type="paragraph" w:customStyle="1" w:styleId="NumberLevel1">
    <w:name w:val="Number Level 1"/>
    <w:aliases w:val="N1"/>
    <w:basedOn w:val="Normal"/>
    <w:hidden/>
    <w:uiPriority w:val="1"/>
    <w:rsid w:val="000D179E"/>
    <w:pPr>
      <w:numPr>
        <w:numId w:val="5"/>
      </w:numPr>
      <w:spacing w:before="140" w:after="140" w:line="280" w:lineRule="atLeast"/>
    </w:pPr>
    <w:rPr>
      <w:rFonts w:ascii="Arial" w:hAnsi="Arial" w:cs="Arial"/>
      <w:sz w:val="22"/>
      <w:szCs w:val="22"/>
    </w:rPr>
  </w:style>
  <w:style w:type="paragraph" w:customStyle="1" w:styleId="NumberLevel2">
    <w:name w:val="Number Level 2"/>
    <w:aliases w:val="N2"/>
    <w:basedOn w:val="Normal"/>
    <w:hidden/>
    <w:uiPriority w:val="1"/>
    <w:rsid w:val="000D179E"/>
    <w:pPr>
      <w:numPr>
        <w:ilvl w:val="1"/>
        <w:numId w:val="5"/>
      </w:numPr>
      <w:spacing w:before="140" w:after="140" w:line="280" w:lineRule="atLeast"/>
    </w:pPr>
    <w:rPr>
      <w:rFonts w:ascii="Arial" w:hAnsi="Arial" w:cs="Arial"/>
      <w:sz w:val="22"/>
      <w:szCs w:val="22"/>
    </w:rPr>
  </w:style>
  <w:style w:type="paragraph" w:customStyle="1" w:styleId="NumberLevel3">
    <w:name w:val="Number Level 3"/>
    <w:aliases w:val="N3"/>
    <w:basedOn w:val="Normal"/>
    <w:hidden/>
    <w:uiPriority w:val="1"/>
    <w:rsid w:val="000D179E"/>
    <w:pPr>
      <w:numPr>
        <w:ilvl w:val="2"/>
        <w:numId w:val="5"/>
      </w:numPr>
      <w:spacing w:before="140" w:after="140" w:line="280" w:lineRule="atLeast"/>
    </w:pPr>
    <w:rPr>
      <w:rFonts w:ascii="Arial" w:hAnsi="Arial" w:cs="Arial"/>
      <w:sz w:val="22"/>
      <w:szCs w:val="22"/>
    </w:rPr>
  </w:style>
  <w:style w:type="paragraph" w:customStyle="1" w:styleId="NumberLevel4">
    <w:name w:val="Number Level 4"/>
    <w:aliases w:val="N4"/>
    <w:basedOn w:val="Normal"/>
    <w:hidden/>
    <w:uiPriority w:val="1"/>
    <w:rsid w:val="000D179E"/>
    <w:pPr>
      <w:numPr>
        <w:ilvl w:val="3"/>
        <w:numId w:val="5"/>
      </w:numPr>
      <w:spacing w:after="140" w:line="280" w:lineRule="atLeast"/>
    </w:pPr>
    <w:rPr>
      <w:rFonts w:ascii="Arial" w:hAnsi="Arial" w:cs="Arial"/>
      <w:sz w:val="22"/>
      <w:szCs w:val="22"/>
    </w:rPr>
  </w:style>
  <w:style w:type="paragraph" w:customStyle="1" w:styleId="NumberLevel5">
    <w:name w:val="Number Level 5"/>
    <w:aliases w:val="N5"/>
    <w:basedOn w:val="Normal"/>
    <w:hidden/>
    <w:uiPriority w:val="1"/>
    <w:rsid w:val="000D179E"/>
    <w:pPr>
      <w:numPr>
        <w:ilvl w:val="4"/>
        <w:numId w:val="5"/>
      </w:numPr>
      <w:spacing w:after="140" w:line="280" w:lineRule="atLeast"/>
    </w:pPr>
    <w:rPr>
      <w:rFonts w:ascii="Arial" w:hAnsi="Arial" w:cs="Arial"/>
      <w:sz w:val="22"/>
      <w:szCs w:val="22"/>
    </w:rPr>
  </w:style>
  <w:style w:type="paragraph" w:customStyle="1" w:styleId="NumberLevel6">
    <w:name w:val="Number Level 6"/>
    <w:basedOn w:val="NumberLevel5"/>
    <w:uiPriority w:val="1"/>
    <w:rsid w:val="000D179E"/>
    <w:pPr>
      <w:numPr>
        <w:ilvl w:val="5"/>
      </w:numPr>
    </w:pPr>
  </w:style>
  <w:style w:type="paragraph" w:customStyle="1" w:styleId="NumberLevel7">
    <w:name w:val="Number Level 7"/>
    <w:basedOn w:val="NumberLevel6"/>
    <w:uiPriority w:val="1"/>
    <w:rsid w:val="000D179E"/>
    <w:pPr>
      <w:numPr>
        <w:ilvl w:val="6"/>
      </w:numPr>
    </w:pPr>
  </w:style>
  <w:style w:type="paragraph" w:customStyle="1" w:styleId="NumberLevel8">
    <w:name w:val="Number Level 8"/>
    <w:basedOn w:val="NumberLevel7"/>
    <w:uiPriority w:val="1"/>
    <w:rsid w:val="000D179E"/>
    <w:pPr>
      <w:numPr>
        <w:ilvl w:val="7"/>
      </w:numPr>
    </w:pPr>
  </w:style>
  <w:style w:type="paragraph" w:customStyle="1" w:styleId="NumberLevel9">
    <w:name w:val="Number Level 9"/>
    <w:basedOn w:val="NumberLevel8"/>
    <w:uiPriority w:val="1"/>
    <w:rsid w:val="000D179E"/>
    <w:pPr>
      <w:numPr>
        <w:ilvl w:val="8"/>
      </w:numPr>
    </w:pPr>
  </w:style>
  <w:style w:type="paragraph" w:customStyle="1" w:styleId="AdviceNumLevel1">
    <w:name w:val="AdviceNumLevel1"/>
    <w:aliases w:val="Advice N1"/>
    <w:basedOn w:val="NumberLevel1"/>
    <w:qFormat/>
    <w:rsid w:val="000D179E"/>
  </w:style>
  <w:style w:type="character" w:customStyle="1" w:styleId="FootnoteTextChar">
    <w:name w:val="Footnote Text Char"/>
    <w:basedOn w:val="DefaultParagraphFont"/>
    <w:link w:val="FootnoteText"/>
    <w:uiPriority w:val="99"/>
    <w:rsid w:val="006428FA"/>
  </w:style>
  <w:style w:type="character" w:styleId="FollowedHyperlink">
    <w:name w:val="FollowedHyperlink"/>
    <w:basedOn w:val="DefaultParagraphFont"/>
    <w:semiHidden/>
    <w:unhideWhenUsed/>
    <w:rsid w:val="006428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to.gov.au/General/Consultation/Consultation-groups/Stakeholder-relationship-groups/Modernising-Business-Registers-Business-Advisory-Grou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d82487-3f98-4ccc-a382-797efced1b3b">
      <Value>1</Value>
    </TaxCatchAll>
    <_dlc_DocId xmlns="2fd82487-3f98-4ccc-a382-797efced1b3b">YH2SW7WDVSJ7-392801535-17</_dlc_DocId>
    <_dlc_DocIdUrl xmlns="2fd82487-3f98-4ccc-a382-797efced1b3b">
      <Url>http://sharepoint/GA3Sites/0001/_layouts/15/DocIdRedir.aspx?ID=YH2SW7WDVSJ7-392801535-17</Url>
      <Description>YH2SW7WDVSJ7-392801535-17</Description>
    </_dlc_DocIdUrl>
    <mea9fe69863048c79e1e89bf2afbe296 xmlns="2fd82487-3f98-4ccc-a382-797efced1b3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5d128361-bbb7-4b9a-ac60-b26612a0ec1b</TermId>
        </TermInfo>
      </Terms>
    </mea9fe69863048c79e1e89bf2afbe296>
    <WorkType xmlns="db11d979-5cf3-4a8b-be32-18532050076d">
      <Value>Law Design</Value>
      <Value>Legislative Governance</Value>
    </WorkType>
    <Work_x0020_Type xmlns="db11d979-5cf3-4a8b-be32-1853205007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5DF525056C794DA1C8F0847EABA15F" ma:contentTypeVersion="4" ma:contentTypeDescription="Create a new document." ma:contentTypeScope="" ma:versionID="24fad3227e6fb507a30ab2bc130191d2">
  <xsd:schema xmlns:xsd="http://www.w3.org/2001/XMLSchema" xmlns:xs="http://www.w3.org/2001/XMLSchema" xmlns:p="http://schemas.microsoft.com/office/2006/metadata/properties" xmlns:ns2="2fd82487-3f98-4ccc-a382-797efced1b3b" xmlns:ns3="db11d979-5cf3-4a8b-be32-18532050076d" targetNamespace="http://schemas.microsoft.com/office/2006/metadata/properties" ma:root="true" ma:fieldsID="a3d4be63b43fc0cc08c20b4e8f968d4e" ns2:_="" ns3:_="">
    <xsd:import namespace="2fd82487-3f98-4ccc-a382-797efced1b3b"/>
    <xsd:import namespace="db11d979-5cf3-4a8b-be32-18532050076d"/>
    <xsd:element name="properties">
      <xsd:complexType>
        <xsd:sequence>
          <xsd:element name="documentManagement">
            <xsd:complexType>
              <xsd:all>
                <xsd:element ref="ns2:_dlc_DocId" minOccurs="0"/>
                <xsd:element ref="ns2:_dlc_DocIdUrl" minOccurs="0"/>
                <xsd:element ref="ns2:_dlc_DocIdPersistId" minOccurs="0"/>
                <xsd:element ref="ns2:mea9fe69863048c79e1e89bf2afbe296" minOccurs="0"/>
                <xsd:element ref="ns2:TaxCatchAll" minOccurs="0"/>
                <xsd:element ref="ns2:TaxCatchAllLabel" minOccurs="0"/>
                <xsd:element ref="ns3:Work_x0020_Type" minOccurs="0"/>
                <xsd:element ref="ns3:Work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82487-3f98-4ccc-a382-797efced1b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ea9fe69863048c79e1e89bf2afbe296" ma:index="11" ma:taxonomy="true" ma:internalName="mea9fe69863048c79e1e89bf2afbe296" ma:taxonomyFieldName="Security_x0020_Classification" ma:displayName="Security Classification" ma:readOnly="false" ma:default="1;#OFFICIAL|5d128361-bbb7-4b9a-ac60-b26612a0ec1b" ma:fieldId="{6ea9fe69-8630-48c7-9e1e-89bf2afbe296}"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ff5a8609-0f5a-44e3-8ff2-355674ac90e1}" ma:internalName="TaxCatchAll" ma:showField="CatchAllData" ma:web="2fd82487-3f98-4ccc-a382-797efced1b3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f5a8609-0f5a-44e3-8ff2-355674ac90e1}" ma:internalName="TaxCatchAllLabel" ma:readOnly="true" ma:showField="CatchAllDataLabel" ma:web="2fd82487-3f98-4ccc-a382-797efced1b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11d979-5cf3-4a8b-be32-18532050076d" elementFormDefault="qualified">
    <xsd:import namespace="http://schemas.microsoft.com/office/2006/documentManagement/types"/>
    <xsd:import namespace="http://schemas.microsoft.com/office/infopath/2007/PartnerControls"/>
    <xsd:element name="Work_x0020_Type" ma:index="15" nillable="true" ma:displayName="Work Type" ma:default="Advocacy" ma:format="Dropdown" ma:internalName="Work_x0020_Type">
      <xsd:simpleType>
        <xsd:restriction base="dms:Choice">
          <xsd:enumeration value="Advocacy"/>
          <xsd:enumeration value="CRP"/>
          <xsd:enumeration value="Law Design"/>
          <xsd:enumeration value="Legislative Governance"/>
          <xsd:enumeration value="MTA"/>
          <xsd:enumeration value="Revenue Analysis"/>
          <xsd:enumeration value="Secondments"/>
        </xsd:restriction>
      </xsd:simpleType>
    </xsd:element>
    <xsd:element name="WorkType" ma:index="16" nillable="true" ma:displayName="WorkType" ma:default="Advocacy" ma:internalName="WorkType" ma:requiredMultiChoice="true">
      <xsd:complexType>
        <xsd:complexContent>
          <xsd:extension base="dms:MultiChoice">
            <xsd:sequence>
              <xsd:element name="Value" maxOccurs="unbounded" minOccurs="0" nillable="true">
                <xsd:simpleType>
                  <xsd:restriction base="dms:Choice">
                    <xsd:enumeration value="Advocacy"/>
                    <xsd:enumeration value="CRP"/>
                    <xsd:enumeration value="Law Design"/>
                    <xsd:enumeration value="Legislative Governance"/>
                    <xsd:enumeration value="MTA"/>
                    <xsd:enumeration value="Revenue Analysis"/>
                    <xsd:enumeration value="Secondment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597C1-B965-4E1A-A465-326C0C3A3173}">
  <ds:schemaRefs>
    <ds:schemaRef ds:uri="http://purl.org/dc/elements/1.1/"/>
    <ds:schemaRef ds:uri="http://schemas.microsoft.com/office/2006/metadata/properties"/>
    <ds:schemaRef ds:uri="5e039acd-daf0-4ba3-b421-e9b9ae1a3620"/>
    <ds:schemaRef ds:uri="http://schemas.microsoft.com/office/infopath/2007/PartnerControls"/>
    <ds:schemaRef ds:uri="http://purl.org/dc/terms/"/>
    <ds:schemaRef ds:uri="73f15a1b-1c2d-48b3-bd42-7790edb030af"/>
    <ds:schemaRef ds:uri="http://schemas.microsoft.com/office/2006/documentManagement/types"/>
    <ds:schemaRef ds:uri="http://schemas.microsoft.com/sharepoint/v3"/>
    <ds:schemaRef ds:uri="http://schemas.openxmlformats.org/package/2006/metadata/core-properties"/>
    <ds:schemaRef ds:uri="http://www.w3.org/XML/1998/namespace"/>
    <ds:schemaRef ds:uri="http://purl.org/dc/dcmitype/"/>
    <ds:schemaRef ds:uri="2fd82487-3f98-4ccc-a382-797efced1b3b"/>
    <ds:schemaRef ds:uri="db11d979-5cf3-4a8b-be32-18532050076d"/>
  </ds:schemaRefs>
</ds:datastoreItem>
</file>

<file path=customXml/itemProps2.xml><?xml version="1.0" encoding="utf-8"?>
<ds:datastoreItem xmlns:ds="http://schemas.openxmlformats.org/officeDocument/2006/customXml" ds:itemID="{72E6937E-097F-46AE-B2C9-4E74DA481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82487-3f98-4ccc-a382-797efced1b3b"/>
    <ds:schemaRef ds:uri="db11d979-5cf3-4a8b-be32-185320500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54540-4688-4A8B-A2F6-C5AAB72559F0}">
  <ds:schemaRefs>
    <ds:schemaRef ds:uri="http://schemas.openxmlformats.org/officeDocument/2006/bibliography"/>
  </ds:schemaRefs>
</ds:datastoreItem>
</file>

<file path=customXml/itemProps4.xml><?xml version="1.0" encoding="utf-8"?>
<ds:datastoreItem xmlns:ds="http://schemas.openxmlformats.org/officeDocument/2006/customXml" ds:itemID="{DB3CB236-DA8A-4B08-B723-6EDAB2D1F0F6}">
  <ds:schemaRefs>
    <ds:schemaRef ds:uri="http://schemas.microsoft.com/sharepoint/events"/>
  </ds:schemaRefs>
</ds:datastoreItem>
</file>

<file path=customXml/itemProps5.xml><?xml version="1.0" encoding="utf-8"?>
<ds:datastoreItem xmlns:ds="http://schemas.openxmlformats.org/officeDocument/2006/customXml" ds:itemID="{A9D21B34-0B68-411B-A3EA-94C6FDB92C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2317</Words>
  <Characters>12883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Taxation Office</Company>
  <LinksUpToDate>false</LinksUpToDate>
  <CharactersWithSpaces>15170</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creator>ubafu</dc:creator>
  <cp:lastModifiedBy>Tara McLachlan</cp:lastModifiedBy>
  <cp:revision>2</cp:revision>
  <cp:lastPrinted>2017-04-21T01:19:00Z</cp:lastPrinted>
  <dcterms:created xsi:type="dcterms:W3CDTF">2022-06-13T02:31:00Z</dcterms:created>
  <dcterms:modified xsi:type="dcterms:W3CDTF">2022-06-13T02:31:00Z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0x010100C95DF525056C794DA1C8F0847EABA15F</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91e817ff-d8c8-4a2e-a471-cd44c941b7d5</vt:lpwstr>
  </property>
  <property fmtid="{D5CDD505-2E9C-101B-9397-08002B2CF9AE}" pid="6" name="TaxKeyword">
    <vt:lpwstr/>
  </property>
  <property fmtid="{D5CDD505-2E9C-101B-9397-08002B2CF9AE}" pid="7" name="Security Classification">
    <vt:lpwstr>1;#OFFICIAL|5d128361-bbb7-4b9a-ac60-b26612a0ec1b</vt:lpwstr>
  </property>
  <property fmtid="{D5CDD505-2E9C-101B-9397-08002B2CF9AE}" pid="8" name="_DocHome">
    <vt:i4>-2097574561</vt:i4>
  </property>
</Properties>
</file>