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BAC02" w14:textId="140EAB52" w:rsidR="00017141" w:rsidRPr="00017141" w:rsidRDefault="00017141" w:rsidP="0008081C">
      <w:pPr>
        <w:spacing w:after="240" w:line="259" w:lineRule="auto"/>
        <w:jc w:val="center"/>
        <w:rPr>
          <w:rFonts w:ascii="Times New Roman" w:eastAsia="Calibri" w:hAnsi="Times New Roman"/>
          <w:b/>
          <w:sz w:val="28"/>
          <w:szCs w:val="28"/>
        </w:rPr>
      </w:pPr>
      <w:bookmarkStart w:id="0" w:name="_GoBack"/>
      <w:bookmarkEnd w:id="0"/>
      <w:r w:rsidRPr="00017141">
        <w:rPr>
          <w:rFonts w:ascii="Times New Roman" w:eastAsia="Calibri" w:hAnsi="Times New Roman"/>
          <w:b/>
          <w:sz w:val="28"/>
          <w:szCs w:val="28"/>
        </w:rPr>
        <w:t>EXPLANATORY STATEMENT</w:t>
      </w:r>
    </w:p>
    <w:p w14:paraId="3834CFA0" w14:textId="77777777" w:rsidR="00DA2AA1" w:rsidRPr="00BF6A36" w:rsidRDefault="00DA2AA1" w:rsidP="0008081C">
      <w:pPr>
        <w:spacing w:after="240" w:line="259" w:lineRule="auto"/>
        <w:jc w:val="center"/>
        <w:rPr>
          <w:rFonts w:ascii="Times New Roman" w:eastAsia="Calibri" w:hAnsi="Times New Roman"/>
          <w:sz w:val="24"/>
        </w:rPr>
      </w:pPr>
      <w:r w:rsidRPr="00C46410">
        <w:rPr>
          <w:rFonts w:ascii="Times New Roman" w:eastAsia="Calibri" w:hAnsi="Times New Roman"/>
          <w:sz w:val="24"/>
        </w:rPr>
        <w:t>Issued by authority of the AUSTRAC CEO</w:t>
      </w:r>
    </w:p>
    <w:p w14:paraId="5D0DF0EF" w14:textId="77777777" w:rsidR="00DA2AA1" w:rsidRPr="00C1088D" w:rsidRDefault="00DA2AA1" w:rsidP="0008081C">
      <w:pPr>
        <w:spacing w:after="240" w:line="259" w:lineRule="auto"/>
        <w:jc w:val="center"/>
        <w:rPr>
          <w:rFonts w:ascii="Times New Roman" w:eastAsia="Calibri" w:hAnsi="Times New Roman"/>
          <w:i/>
          <w:sz w:val="24"/>
        </w:rPr>
      </w:pPr>
      <w:r w:rsidRPr="00C1088D">
        <w:rPr>
          <w:rFonts w:ascii="Times New Roman" w:eastAsia="Calibri" w:hAnsi="Times New Roman"/>
          <w:i/>
          <w:sz w:val="24"/>
        </w:rPr>
        <w:t>Anti-Money Laundering and Counter-Terrorism Financing Act 2006</w:t>
      </w:r>
    </w:p>
    <w:p w14:paraId="7AE0E96C" w14:textId="4A8ACF03" w:rsidR="00DA2AA1" w:rsidRPr="00C46410" w:rsidRDefault="00DA012E" w:rsidP="0008081C">
      <w:pPr>
        <w:spacing w:after="240" w:line="259" w:lineRule="auto"/>
        <w:jc w:val="center"/>
        <w:rPr>
          <w:rFonts w:ascii="Times New Roman" w:eastAsia="Calibri" w:hAnsi="Times New Roman"/>
          <w:i/>
          <w:sz w:val="24"/>
        </w:rPr>
      </w:pPr>
      <w:r w:rsidRPr="00DA012E">
        <w:rPr>
          <w:rFonts w:ascii="Times New Roman" w:eastAsia="Calibri" w:hAnsi="Times New Roman"/>
          <w:i/>
          <w:sz w:val="24"/>
        </w:rPr>
        <w:t>Anti-Money Laundering and Counter-Terrorism Financing Rules Amendment (Cross-border Movements) Instrument 2022</w:t>
      </w:r>
    </w:p>
    <w:p w14:paraId="02072A80" w14:textId="358F5200" w:rsidR="00017141" w:rsidRPr="00C46410" w:rsidRDefault="004F00BC" w:rsidP="0094150C">
      <w:pPr>
        <w:spacing w:after="160" w:line="259" w:lineRule="auto"/>
        <w:rPr>
          <w:rFonts w:ascii="Times New Roman" w:eastAsia="Calibri" w:hAnsi="Times New Roman"/>
          <w:sz w:val="24"/>
        </w:rPr>
      </w:pPr>
      <w:r w:rsidRPr="00C46410">
        <w:rPr>
          <w:rFonts w:ascii="Times New Roman" w:eastAsia="Calibri" w:hAnsi="Times New Roman"/>
          <w:b/>
          <w:bCs/>
          <w:sz w:val="24"/>
        </w:rPr>
        <w:t>AUTHORITY</w:t>
      </w:r>
    </w:p>
    <w:p w14:paraId="688A0299" w14:textId="0DAA7B04" w:rsidR="00017141" w:rsidRPr="006D7DED" w:rsidRDefault="00017141" w:rsidP="0094150C">
      <w:pPr>
        <w:spacing w:after="160" w:line="259" w:lineRule="auto"/>
        <w:rPr>
          <w:rFonts w:ascii="Times New Roman" w:eastAsia="Calibri" w:hAnsi="Times New Roman"/>
          <w:iCs/>
          <w:sz w:val="24"/>
        </w:rPr>
      </w:pPr>
      <w:r w:rsidRPr="006D7DED">
        <w:rPr>
          <w:rFonts w:ascii="Times New Roman" w:eastAsia="Calibri" w:hAnsi="Times New Roman"/>
          <w:sz w:val="24"/>
        </w:rPr>
        <w:t>Section 229 of the </w:t>
      </w:r>
      <w:r w:rsidRPr="006D7DED">
        <w:rPr>
          <w:rFonts w:ascii="Times New Roman" w:eastAsia="Calibri" w:hAnsi="Times New Roman"/>
          <w:i/>
          <w:iCs/>
          <w:sz w:val="24"/>
        </w:rPr>
        <w:t xml:space="preserve">Anti-Money Laundering and Counter-Terrorism Financing Act 2006 </w:t>
      </w:r>
      <w:r w:rsidRPr="006D7DED">
        <w:rPr>
          <w:rFonts w:ascii="Times New Roman" w:eastAsia="Calibri" w:hAnsi="Times New Roman"/>
          <w:sz w:val="24"/>
        </w:rPr>
        <w:t>(</w:t>
      </w:r>
      <w:r w:rsidRPr="006D7DED">
        <w:rPr>
          <w:rFonts w:ascii="Times New Roman" w:eastAsia="Calibri" w:hAnsi="Times New Roman"/>
          <w:b/>
          <w:sz w:val="24"/>
        </w:rPr>
        <w:t>AML/CTF Act</w:t>
      </w:r>
      <w:r w:rsidRPr="006D7DED">
        <w:rPr>
          <w:rFonts w:ascii="Times New Roman" w:eastAsia="Calibri" w:hAnsi="Times New Roman"/>
          <w:sz w:val="24"/>
        </w:rPr>
        <w:t xml:space="preserve">) provides that the AUSTRAC CEO may, by legislative instrument, make </w:t>
      </w:r>
      <w:r w:rsidR="00DA2AA1" w:rsidRPr="006D7DED">
        <w:rPr>
          <w:rFonts w:ascii="Times New Roman" w:eastAsia="Calibri" w:hAnsi="Times New Roman"/>
          <w:sz w:val="24"/>
        </w:rPr>
        <w:t xml:space="preserve">Anti-Money Laundering and Counter-Terrorism Financing </w:t>
      </w:r>
      <w:r w:rsidR="00733D11" w:rsidRPr="006D7DED">
        <w:rPr>
          <w:rFonts w:ascii="Times New Roman" w:eastAsia="Calibri" w:hAnsi="Times New Roman"/>
          <w:sz w:val="24"/>
        </w:rPr>
        <w:t>R</w:t>
      </w:r>
      <w:r w:rsidRPr="006D7DED">
        <w:rPr>
          <w:rFonts w:ascii="Times New Roman" w:eastAsia="Calibri" w:hAnsi="Times New Roman"/>
          <w:sz w:val="24"/>
        </w:rPr>
        <w:t>ules</w:t>
      </w:r>
      <w:r w:rsidR="00DA2AA1" w:rsidRPr="006D7DED">
        <w:rPr>
          <w:rFonts w:ascii="Times New Roman" w:eastAsia="Calibri" w:hAnsi="Times New Roman"/>
          <w:sz w:val="24"/>
        </w:rPr>
        <w:t xml:space="preserve"> (</w:t>
      </w:r>
      <w:r w:rsidR="00DA2AA1" w:rsidRPr="006D7DED">
        <w:rPr>
          <w:rFonts w:ascii="Times New Roman" w:eastAsia="Calibri" w:hAnsi="Times New Roman"/>
          <w:b/>
          <w:sz w:val="24"/>
        </w:rPr>
        <w:t>AML/CTF Rules</w:t>
      </w:r>
      <w:r w:rsidR="00DA2AA1" w:rsidRPr="006D7DED">
        <w:rPr>
          <w:rFonts w:ascii="Times New Roman" w:eastAsia="Calibri" w:hAnsi="Times New Roman"/>
          <w:sz w:val="24"/>
        </w:rPr>
        <w:t>)</w:t>
      </w:r>
      <w:r w:rsidRPr="006D7DED">
        <w:rPr>
          <w:rFonts w:ascii="Times New Roman" w:eastAsia="Calibri" w:hAnsi="Times New Roman"/>
          <w:sz w:val="24"/>
        </w:rPr>
        <w:t>.</w:t>
      </w:r>
      <w:r w:rsidR="00DA2AA1" w:rsidRPr="006D7DED">
        <w:rPr>
          <w:rFonts w:ascii="Times New Roman" w:eastAsia="Calibri" w:hAnsi="Times New Roman"/>
          <w:sz w:val="24"/>
        </w:rPr>
        <w:t xml:space="preserve"> The AML/CTF Rules are set out in the </w:t>
      </w:r>
      <w:r w:rsidR="00DA2AA1" w:rsidRPr="006D7DED">
        <w:rPr>
          <w:rFonts w:ascii="Times New Roman" w:eastAsia="Calibri" w:hAnsi="Times New Roman"/>
          <w:i/>
          <w:sz w:val="24"/>
        </w:rPr>
        <w:t>Anti-Money Laundering and Counter-Terrorism Financing Rules Instrument 2007 (No. 1)</w:t>
      </w:r>
      <w:r w:rsidR="00DA2AA1" w:rsidRPr="006D7DED">
        <w:rPr>
          <w:rFonts w:ascii="Times New Roman" w:eastAsia="Calibri" w:hAnsi="Times New Roman"/>
          <w:sz w:val="24"/>
        </w:rPr>
        <w:t>.</w:t>
      </w:r>
    </w:p>
    <w:p w14:paraId="758BC837" w14:textId="164B0A3B" w:rsidR="004F00BC" w:rsidRPr="00BF6A36" w:rsidRDefault="009B309E" w:rsidP="0094150C">
      <w:pPr>
        <w:spacing w:after="160" w:line="259" w:lineRule="auto"/>
        <w:rPr>
          <w:rFonts w:ascii="Times New Roman" w:eastAsia="Calibri" w:hAnsi="Times New Roman"/>
          <w:b/>
          <w:caps/>
          <w:sz w:val="24"/>
        </w:rPr>
      </w:pPr>
      <w:r w:rsidRPr="00C46410">
        <w:rPr>
          <w:rFonts w:ascii="Times New Roman" w:eastAsia="Calibri" w:hAnsi="Times New Roman"/>
          <w:b/>
          <w:caps/>
          <w:sz w:val="24"/>
        </w:rPr>
        <w:t>Purpose and operation of the instrument</w:t>
      </w:r>
    </w:p>
    <w:p w14:paraId="21E9EE3D" w14:textId="1323FC25" w:rsidR="00017141" w:rsidRPr="00BC6A40" w:rsidRDefault="00DA2AA1" w:rsidP="0094150C">
      <w:pPr>
        <w:spacing w:after="160" w:line="259" w:lineRule="auto"/>
        <w:rPr>
          <w:rFonts w:ascii="Times New Roman" w:eastAsia="Calibri" w:hAnsi="Times New Roman"/>
          <w:sz w:val="24"/>
        </w:rPr>
      </w:pPr>
      <w:r w:rsidRPr="00BC6A40">
        <w:rPr>
          <w:rFonts w:ascii="Times New Roman" w:eastAsia="Calibri" w:hAnsi="Times New Roman"/>
          <w:sz w:val="24"/>
        </w:rPr>
        <w:t xml:space="preserve">The </w:t>
      </w:r>
      <w:r w:rsidR="00DA012E" w:rsidRPr="00DA012E">
        <w:rPr>
          <w:rFonts w:ascii="Times New Roman" w:eastAsia="Calibri" w:hAnsi="Times New Roman"/>
          <w:i/>
          <w:sz w:val="24"/>
        </w:rPr>
        <w:t>Anti-Money Laundering and Counter-Terrorism Financing Rules Amendment (Cross-border Movements) Instrument 2022</w:t>
      </w:r>
      <w:r w:rsidRPr="00BC6A40">
        <w:rPr>
          <w:rFonts w:ascii="Times New Roman" w:eastAsia="Calibri" w:hAnsi="Times New Roman"/>
          <w:i/>
          <w:sz w:val="24"/>
        </w:rPr>
        <w:t xml:space="preserve"> </w:t>
      </w:r>
      <w:r w:rsidRPr="00BC6A40">
        <w:rPr>
          <w:rFonts w:ascii="Times New Roman" w:eastAsia="Calibri" w:hAnsi="Times New Roman"/>
          <w:sz w:val="24"/>
        </w:rPr>
        <w:t xml:space="preserve">(the </w:t>
      </w:r>
      <w:r w:rsidRPr="00BC6A40">
        <w:rPr>
          <w:rFonts w:ascii="Times New Roman" w:eastAsia="Calibri" w:hAnsi="Times New Roman"/>
          <w:b/>
          <w:sz w:val="24"/>
        </w:rPr>
        <w:t>Amendment Instrument</w:t>
      </w:r>
      <w:r w:rsidRPr="00BC6A40">
        <w:rPr>
          <w:rFonts w:ascii="Times New Roman" w:eastAsia="Calibri" w:hAnsi="Times New Roman"/>
          <w:sz w:val="24"/>
        </w:rPr>
        <w:t>)</w:t>
      </w:r>
      <w:r w:rsidRPr="00BC6A40">
        <w:rPr>
          <w:rFonts w:ascii="Times New Roman" w:eastAsia="Calibri" w:hAnsi="Times New Roman"/>
          <w:i/>
          <w:sz w:val="24"/>
        </w:rPr>
        <w:t xml:space="preserve"> </w:t>
      </w:r>
      <w:r w:rsidRPr="00BC6A40">
        <w:rPr>
          <w:rFonts w:ascii="Times New Roman" w:eastAsia="Calibri" w:hAnsi="Times New Roman"/>
          <w:sz w:val="24"/>
        </w:rPr>
        <w:t xml:space="preserve">is </w:t>
      </w:r>
      <w:r w:rsidR="00017141" w:rsidRPr="00BC6A40">
        <w:rPr>
          <w:rFonts w:ascii="Times New Roman" w:eastAsia="Calibri" w:hAnsi="Times New Roman"/>
          <w:sz w:val="24"/>
        </w:rPr>
        <w:t xml:space="preserve">a legislative instrument for the purposes of the </w:t>
      </w:r>
      <w:r w:rsidR="00017141" w:rsidRPr="00BC6A40">
        <w:rPr>
          <w:rFonts w:ascii="Times New Roman" w:eastAsia="Calibri" w:hAnsi="Times New Roman"/>
          <w:i/>
          <w:sz w:val="24"/>
        </w:rPr>
        <w:t>Legislation Act 2003</w:t>
      </w:r>
      <w:r w:rsidR="00017141" w:rsidRPr="00BC6A40">
        <w:rPr>
          <w:rFonts w:ascii="Times New Roman" w:eastAsia="Calibri" w:hAnsi="Times New Roman"/>
          <w:sz w:val="24"/>
        </w:rPr>
        <w:t xml:space="preserve">. </w:t>
      </w:r>
    </w:p>
    <w:p w14:paraId="2630780F" w14:textId="20439307" w:rsidR="004F00BC" w:rsidRPr="00BC6A40" w:rsidRDefault="004F00BC" w:rsidP="0094150C">
      <w:pPr>
        <w:spacing w:after="160" w:line="259" w:lineRule="auto"/>
        <w:rPr>
          <w:rFonts w:ascii="Times New Roman" w:eastAsia="Calibri" w:hAnsi="Times New Roman"/>
          <w:sz w:val="24"/>
        </w:rPr>
      </w:pPr>
      <w:r w:rsidRPr="00BC6A40">
        <w:rPr>
          <w:rFonts w:ascii="Times New Roman" w:eastAsia="Calibri" w:hAnsi="Times New Roman"/>
          <w:sz w:val="24"/>
        </w:rPr>
        <w:t xml:space="preserve">Details of the </w:t>
      </w:r>
      <w:r w:rsidR="00DA2AA1" w:rsidRPr="00BC6A40">
        <w:rPr>
          <w:rFonts w:ascii="Times New Roman" w:eastAsia="Calibri" w:hAnsi="Times New Roman"/>
          <w:sz w:val="24"/>
        </w:rPr>
        <w:t xml:space="preserve">Amendment Instrument </w:t>
      </w:r>
      <w:r w:rsidRPr="00BC6A40">
        <w:rPr>
          <w:rFonts w:ascii="Times New Roman" w:eastAsia="Calibri" w:hAnsi="Times New Roman"/>
          <w:sz w:val="24"/>
        </w:rPr>
        <w:t xml:space="preserve">are set out in </w:t>
      </w:r>
      <w:r w:rsidRPr="00BC6A40">
        <w:rPr>
          <w:rFonts w:ascii="Times New Roman" w:eastAsia="Calibri" w:hAnsi="Times New Roman"/>
          <w:sz w:val="24"/>
          <w:u w:val="single"/>
        </w:rPr>
        <w:t>Attachment A.</w:t>
      </w:r>
    </w:p>
    <w:p w14:paraId="2C7A8DEC" w14:textId="1A7E0836" w:rsidR="004F00BC" w:rsidRPr="003B5048" w:rsidRDefault="004F00BC" w:rsidP="0094150C">
      <w:pPr>
        <w:spacing w:after="160" w:line="259" w:lineRule="auto"/>
        <w:rPr>
          <w:rFonts w:ascii="Times New Roman" w:eastAsia="Calibri" w:hAnsi="Times New Roman"/>
          <w:sz w:val="24"/>
        </w:rPr>
      </w:pPr>
      <w:r w:rsidRPr="00BC6A40">
        <w:rPr>
          <w:rFonts w:ascii="Times New Roman" w:eastAsia="Calibri" w:hAnsi="Times New Roman"/>
          <w:sz w:val="24"/>
        </w:rPr>
        <w:t xml:space="preserve">A Statement of Compatibility with Human Rights (the </w:t>
      </w:r>
      <w:r w:rsidRPr="00BC6A40">
        <w:rPr>
          <w:rFonts w:ascii="Times New Roman" w:eastAsia="Calibri" w:hAnsi="Times New Roman"/>
          <w:b/>
          <w:sz w:val="24"/>
        </w:rPr>
        <w:t>Statement</w:t>
      </w:r>
      <w:r w:rsidRPr="00BC6A40">
        <w:rPr>
          <w:rFonts w:ascii="Times New Roman" w:eastAsia="Calibri" w:hAnsi="Times New Roman"/>
          <w:sz w:val="24"/>
        </w:rPr>
        <w:t xml:space="preserve">) </w:t>
      </w:r>
      <w:r w:rsidR="00DA2AA1" w:rsidRPr="00BC6A40">
        <w:rPr>
          <w:rFonts w:ascii="Times New Roman" w:eastAsia="Calibri" w:hAnsi="Times New Roman"/>
          <w:sz w:val="24"/>
        </w:rPr>
        <w:t xml:space="preserve">is at </w:t>
      </w:r>
      <w:r w:rsidR="00DA2AA1" w:rsidRPr="00BC6A40">
        <w:rPr>
          <w:rFonts w:ascii="Times New Roman" w:eastAsia="Calibri" w:hAnsi="Times New Roman"/>
          <w:sz w:val="24"/>
          <w:u w:val="single"/>
        </w:rPr>
        <w:t xml:space="preserve">Attachment </w:t>
      </w:r>
      <w:r w:rsidR="00DA2AA1" w:rsidRPr="00E97BA9">
        <w:rPr>
          <w:rFonts w:ascii="Times New Roman" w:eastAsia="Calibri" w:hAnsi="Times New Roman"/>
          <w:sz w:val="24"/>
          <w:u w:val="single"/>
        </w:rPr>
        <w:t>B</w:t>
      </w:r>
      <w:r w:rsidR="00DA2AA1" w:rsidRPr="003B5048">
        <w:rPr>
          <w:rFonts w:ascii="Times New Roman" w:eastAsia="Calibri" w:hAnsi="Times New Roman"/>
          <w:sz w:val="24"/>
        </w:rPr>
        <w:t xml:space="preserve">. The Statement </w:t>
      </w:r>
      <w:r w:rsidR="00AE3182">
        <w:rPr>
          <w:rFonts w:ascii="Times New Roman" w:eastAsia="Calibri" w:hAnsi="Times New Roman"/>
          <w:sz w:val="24"/>
        </w:rPr>
        <w:t>was</w:t>
      </w:r>
      <w:r w:rsidRPr="003B5048">
        <w:rPr>
          <w:rFonts w:ascii="Times New Roman" w:eastAsia="Calibri" w:hAnsi="Times New Roman"/>
          <w:sz w:val="24"/>
        </w:rPr>
        <w:t xml:space="preserve"> completed in accordance with the </w:t>
      </w:r>
      <w:r w:rsidRPr="003B5048">
        <w:rPr>
          <w:rFonts w:ascii="Times New Roman" w:eastAsia="Calibri" w:hAnsi="Times New Roman"/>
          <w:i/>
          <w:iCs/>
          <w:sz w:val="24"/>
        </w:rPr>
        <w:t>Human Rights (Parliamentary Scrutiny) Act 2011. </w:t>
      </w:r>
      <w:r w:rsidRPr="00E75C18">
        <w:rPr>
          <w:rFonts w:ascii="Times New Roman" w:eastAsia="Calibri" w:hAnsi="Times New Roman"/>
          <w:sz w:val="24"/>
        </w:rPr>
        <w:t xml:space="preserve">The overall assessment is that the </w:t>
      </w:r>
      <w:r w:rsidR="00DA2AA1" w:rsidRPr="00E75C18">
        <w:rPr>
          <w:rFonts w:ascii="Times New Roman" w:eastAsia="Calibri" w:hAnsi="Times New Roman"/>
          <w:sz w:val="24"/>
        </w:rPr>
        <w:t>Amendment Instrument</w:t>
      </w:r>
      <w:r w:rsidR="001C55AA" w:rsidRPr="00E75C18">
        <w:rPr>
          <w:rFonts w:ascii="Times New Roman" w:eastAsia="Calibri" w:hAnsi="Times New Roman"/>
          <w:sz w:val="24"/>
        </w:rPr>
        <w:t xml:space="preserve"> </w:t>
      </w:r>
      <w:r w:rsidR="00DA2AA1" w:rsidRPr="00E75C18">
        <w:rPr>
          <w:rFonts w:ascii="Times New Roman" w:eastAsia="Calibri" w:hAnsi="Times New Roman"/>
          <w:sz w:val="24"/>
        </w:rPr>
        <w:t xml:space="preserve">is </w:t>
      </w:r>
      <w:r w:rsidR="001C55AA" w:rsidRPr="00E75C18">
        <w:rPr>
          <w:rFonts w:ascii="Times New Roman" w:eastAsia="Calibri" w:hAnsi="Times New Roman"/>
          <w:sz w:val="24"/>
        </w:rPr>
        <w:t>compatible with them.</w:t>
      </w:r>
      <w:r w:rsidRPr="003B5048">
        <w:rPr>
          <w:rFonts w:ascii="Times New Roman" w:eastAsia="Calibri" w:hAnsi="Times New Roman"/>
          <w:sz w:val="24"/>
        </w:rPr>
        <w:t xml:space="preserve"> </w:t>
      </w:r>
    </w:p>
    <w:p w14:paraId="7F67CB67" w14:textId="05610210" w:rsidR="004F00BC" w:rsidRDefault="004F00BC" w:rsidP="0094150C">
      <w:pPr>
        <w:spacing w:after="160" w:line="259" w:lineRule="auto"/>
        <w:rPr>
          <w:rFonts w:ascii="Times New Roman" w:eastAsia="Calibri" w:hAnsi="Times New Roman"/>
          <w:b/>
          <w:sz w:val="24"/>
        </w:rPr>
      </w:pPr>
      <w:r w:rsidRPr="003B5048">
        <w:rPr>
          <w:rFonts w:ascii="Times New Roman" w:eastAsia="Calibri" w:hAnsi="Times New Roman"/>
          <w:b/>
          <w:sz w:val="24"/>
        </w:rPr>
        <w:t>Background</w:t>
      </w:r>
    </w:p>
    <w:p w14:paraId="7E9AA5AB" w14:textId="5FBFA3B7" w:rsidR="004A1B8E" w:rsidRPr="00BA3F90" w:rsidRDefault="003938A7" w:rsidP="004A1B8E">
      <w:pPr>
        <w:tabs>
          <w:tab w:val="left" w:pos="360"/>
          <w:tab w:val="left" w:pos="1080"/>
          <w:tab w:val="left" w:pos="3600"/>
        </w:tabs>
        <w:ind w:left="357" w:hanging="357"/>
        <w:rPr>
          <w:rFonts w:ascii="Times New Roman" w:hAnsi="Times New Roman"/>
          <w:b/>
          <w:i/>
          <w:sz w:val="24"/>
        </w:rPr>
      </w:pPr>
      <w:r w:rsidRPr="0094150C">
        <w:rPr>
          <w:rFonts w:ascii="Times New Roman" w:hAnsi="Times New Roman"/>
          <w:b/>
          <w:i/>
          <w:sz w:val="24"/>
        </w:rPr>
        <w:t>(i)</w:t>
      </w:r>
      <w:r w:rsidRPr="0094150C">
        <w:rPr>
          <w:rFonts w:ascii="Times New Roman" w:hAnsi="Times New Roman"/>
          <w:b/>
          <w:i/>
          <w:sz w:val="24"/>
        </w:rPr>
        <w:tab/>
      </w:r>
      <w:r w:rsidR="00F97159" w:rsidRPr="0094150C">
        <w:rPr>
          <w:rFonts w:ascii="Times New Roman" w:hAnsi="Times New Roman"/>
          <w:b/>
          <w:i/>
          <w:sz w:val="24"/>
        </w:rPr>
        <w:t xml:space="preserve">Substitution of Chapter 24 and repeal of Chapters </w:t>
      </w:r>
      <w:r w:rsidR="00800051">
        <w:rPr>
          <w:rFonts w:ascii="Times New Roman" w:hAnsi="Times New Roman"/>
          <w:b/>
          <w:i/>
          <w:sz w:val="24"/>
        </w:rPr>
        <w:t xml:space="preserve">24, </w:t>
      </w:r>
      <w:r w:rsidR="00F97159" w:rsidRPr="0094150C">
        <w:rPr>
          <w:rFonts w:ascii="Times New Roman" w:hAnsi="Times New Roman"/>
          <w:b/>
          <w:i/>
          <w:sz w:val="24"/>
        </w:rPr>
        <w:t xml:space="preserve">25 and 26 </w:t>
      </w:r>
      <w:r w:rsidR="004A1B8E" w:rsidRPr="0094150C">
        <w:rPr>
          <w:rFonts w:ascii="Times New Roman" w:hAnsi="Times New Roman"/>
          <w:b/>
          <w:i/>
          <w:sz w:val="24"/>
        </w:rPr>
        <w:t>- Anti Money</w:t>
      </w:r>
      <w:r w:rsidR="004A1B8E" w:rsidRPr="00BA3F90">
        <w:rPr>
          <w:rFonts w:ascii="Times New Roman" w:hAnsi="Times New Roman"/>
          <w:b/>
          <w:i/>
          <w:sz w:val="24"/>
        </w:rPr>
        <w:t xml:space="preserve"> Laundering and Counter Terrorism Rules for reports about cross border movements of monetary instruments </w:t>
      </w:r>
    </w:p>
    <w:p w14:paraId="62CA6723" w14:textId="77777777" w:rsidR="004A1B8E" w:rsidRPr="00BA3F90" w:rsidRDefault="004A1B8E" w:rsidP="0094150C">
      <w:pPr>
        <w:tabs>
          <w:tab w:val="left" w:pos="360"/>
          <w:tab w:val="left" w:pos="1080"/>
          <w:tab w:val="left" w:pos="3600"/>
        </w:tabs>
        <w:spacing w:before="240"/>
        <w:rPr>
          <w:rFonts w:ascii="Times New Roman" w:hAnsi="Times New Roman"/>
          <w:sz w:val="24"/>
          <w:u w:val="single"/>
        </w:rPr>
      </w:pPr>
      <w:r w:rsidRPr="00BA3F90">
        <w:rPr>
          <w:rFonts w:ascii="Times New Roman" w:hAnsi="Times New Roman"/>
          <w:sz w:val="24"/>
          <w:u w:val="single"/>
        </w:rPr>
        <w:t>Existing legislative requirements</w:t>
      </w:r>
    </w:p>
    <w:p w14:paraId="09E39F5B" w14:textId="66BFF2A8" w:rsidR="004A1B8E" w:rsidRPr="00BA3F90" w:rsidRDefault="004A1B8E" w:rsidP="004A1B8E">
      <w:pPr>
        <w:numPr>
          <w:ilvl w:val="0"/>
          <w:numId w:val="16"/>
        </w:numPr>
        <w:tabs>
          <w:tab w:val="clear" w:pos="720"/>
          <w:tab w:val="num" w:pos="567"/>
        </w:tabs>
        <w:autoSpaceDE w:val="0"/>
        <w:autoSpaceDN w:val="0"/>
        <w:adjustRightInd w:val="0"/>
        <w:spacing w:before="240"/>
        <w:ind w:left="567" w:hanging="567"/>
        <w:rPr>
          <w:rFonts w:ascii="Times New Roman" w:hAnsi="Times New Roman"/>
          <w:sz w:val="24"/>
        </w:rPr>
      </w:pPr>
      <w:r w:rsidRPr="00BA3F90">
        <w:rPr>
          <w:rFonts w:ascii="Times New Roman" w:hAnsi="Times New Roman"/>
          <w:sz w:val="24"/>
        </w:rPr>
        <w:t xml:space="preserve">The existing provisions in Division 2 of Part 4 of the </w:t>
      </w:r>
      <w:r w:rsidR="003938A7">
        <w:rPr>
          <w:rFonts w:ascii="Times New Roman" w:hAnsi="Times New Roman"/>
          <w:sz w:val="24"/>
        </w:rPr>
        <w:t>AML/CTF Act</w:t>
      </w:r>
      <w:r w:rsidRPr="00BA3F90">
        <w:rPr>
          <w:rFonts w:ascii="Times New Roman" w:hAnsi="Times New Roman"/>
          <w:sz w:val="24"/>
        </w:rPr>
        <w:t xml:space="preserve"> require that the movement of physical currency of $10,000 or more into or out of Australia be reported to the AUSTRAC CEO, or a customs or police officer. The offence provision is contained in section 53(1) and the civil penalty provision is contained in section 53(3).</w:t>
      </w:r>
    </w:p>
    <w:p w14:paraId="7C652046" w14:textId="77777777" w:rsidR="004A1B8E" w:rsidRPr="00BA3F90" w:rsidRDefault="004A1B8E" w:rsidP="004A1B8E">
      <w:pPr>
        <w:numPr>
          <w:ilvl w:val="0"/>
          <w:numId w:val="16"/>
        </w:numPr>
        <w:tabs>
          <w:tab w:val="clear" w:pos="720"/>
          <w:tab w:val="num" w:pos="567"/>
        </w:tabs>
        <w:autoSpaceDE w:val="0"/>
        <w:autoSpaceDN w:val="0"/>
        <w:adjustRightInd w:val="0"/>
        <w:spacing w:before="240"/>
        <w:ind w:left="567" w:hanging="567"/>
        <w:rPr>
          <w:rFonts w:ascii="Times New Roman" w:hAnsi="Times New Roman"/>
          <w:sz w:val="24"/>
        </w:rPr>
      </w:pPr>
      <w:r w:rsidRPr="00BA3F90">
        <w:rPr>
          <w:rFonts w:ascii="Times New Roman" w:hAnsi="Times New Roman"/>
          <w:sz w:val="24"/>
        </w:rPr>
        <w:t xml:space="preserve">According to the existing section 53(8) of the AML/CTF Act, a report must be in the approved form, contain the relevant information specified in the </w:t>
      </w:r>
      <w:r w:rsidRPr="006256FF">
        <w:rPr>
          <w:rFonts w:ascii="Times New Roman" w:hAnsi="Times New Roman"/>
          <w:sz w:val="24"/>
        </w:rPr>
        <w:t>AML/CTF Rules</w:t>
      </w:r>
      <w:r w:rsidRPr="00BA3F90">
        <w:rPr>
          <w:rFonts w:ascii="Times New Roman" w:hAnsi="Times New Roman"/>
          <w:sz w:val="24"/>
        </w:rPr>
        <w:t xml:space="preserve">, and comply with the applicable timing rule in section 54(1). </w:t>
      </w:r>
    </w:p>
    <w:p w14:paraId="4E9422CD" w14:textId="77777777" w:rsidR="004A1B8E" w:rsidRPr="00BA3F90" w:rsidRDefault="004A1B8E" w:rsidP="004A1B8E">
      <w:pPr>
        <w:numPr>
          <w:ilvl w:val="0"/>
          <w:numId w:val="16"/>
        </w:numPr>
        <w:tabs>
          <w:tab w:val="clear" w:pos="720"/>
          <w:tab w:val="num" w:pos="567"/>
        </w:tabs>
        <w:autoSpaceDE w:val="0"/>
        <w:autoSpaceDN w:val="0"/>
        <w:adjustRightInd w:val="0"/>
        <w:spacing w:before="240"/>
        <w:ind w:left="567" w:hanging="567"/>
        <w:rPr>
          <w:rFonts w:ascii="Times New Roman" w:hAnsi="Times New Roman"/>
          <w:sz w:val="24"/>
        </w:rPr>
      </w:pPr>
      <w:r w:rsidRPr="00BA3F90">
        <w:rPr>
          <w:rFonts w:ascii="Times New Roman" w:hAnsi="Times New Roman"/>
          <w:sz w:val="24"/>
        </w:rPr>
        <w:t>The existing provisions in Division 3 of Part 4 of the AML/CTF Act also require a person to disclose that they are carrying bearer negotiable instruments (</w:t>
      </w:r>
      <w:r w:rsidRPr="00BA3F90">
        <w:rPr>
          <w:rFonts w:ascii="Times New Roman" w:hAnsi="Times New Roman"/>
          <w:b/>
          <w:sz w:val="24"/>
        </w:rPr>
        <w:t>BNIs</w:t>
      </w:r>
      <w:r w:rsidRPr="00BA3F90">
        <w:rPr>
          <w:rFonts w:ascii="Times New Roman" w:hAnsi="Times New Roman"/>
          <w:sz w:val="24"/>
        </w:rPr>
        <w:t xml:space="preserve">), such as travellers cheques, valued at $10,000 or more when requested by a police or customs officer at the border. </w:t>
      </w:r>
    </w:p>
    <w:p w14:paraId="2407F89A" w14:textId="5CD325BE" w:rsidR="004A1B8E" w:rsidRPr="00BA3F90" w:rsidRDefault="003938A7" w:rsidP="0094150C">
      <w:pPr>
        <w:spacing w:before="240"/>
        <w:rPr>
          <w:rFonts w:ascii="Times New Roman" w:hAnsi="Times New Roman"/>
          <w:sz w:val="24"/>
          <w:u w:val="single"/>
        </w:rPr>
      </w:pPr>
      <w:r>
        <w:rPr>
          <w:rFonts w:ascii="Times New Roman" w:hAnsi="Times New Roman"/>
          <w:sz w:val="24"/>
          <w:u w:val="single"/>
        </w:rPr>
        <w:lastRenderedPageBreak/>
        <w:t>Reforms</w:t>
      </w:r>
      <w:r w:rsidR="004A1B8E" w:rsidRPr="00BA3F90">
        <w:rPr>
          <w:rFonts w:ascii="Times New Roman" w:hAnsi="Times New Roman"/>
          <w:sz w:val="24"/>
          <w:u w:val="single"/>
        </w:rPr>
        <w:t xml:space="preserve"> to Part 4 of the AML/CTF Act</w:t>
      </w:r>
    </w:p>
    <w:p w14:paraId="60D8F586" w14:textId="0A4FDB63" w:rsidR="004A1B8E" w:rsidRPr="00BA3F90" w:rsidRDefault="004A1B8E" w:rsidP="004A1B8E">
      <w:pPr>
        <w:numPr>
          <w:ilvl w:val="0"/>
          <w:numId w:val="16"/>
        </w:numPr>
        <w:tabs>
          <w:tab w:val="clear" w:pos="720"/>
          <w:tab w:val="num" w:pos="567"/>
        </w:tabs>
        <w:autoSpaceDE w:val="0"/>
        <w:autoSpaceDN w:val="0"/>
        <w:adjustRightInd w:val="0"/>
        <w:spacing w:before="240"/>
        <w:ind w:left="567" w:hanging="567"/>
        <w:rPr>
          <w:rFonts w:ascii="Times New Roman" w:hAnsi="Times New Roman"/>
          <w:sz w:val="24"/>
        </w:rPr>
      </w:pPr>
      <w:r w:rsidRPr="00BA3F90">
        <w:rPr>
          <w:rFonts w:ascii="Times New Roman" w:hAnsi="Times New Roman"/>
          <w:sz w:val="24"/>
        </w:rPr>
        <w:t xml:space="preserve">In December 2020, </w:t>
      </w:r>
      <w:r w:rsidR="003938A7">
        <w:rPr>
          <w:rFonts w:ascii="Times New Roman" w:hAnsi="Times New Roman"/>
          <w:sz w:val="24"/>
        </w:rPr>
        <w:t>Parliament</w:t>
      </w:r>
      <w:r w:rsidRPr="00BA3F90">
        <w:rPr>
          <w:rFonts w:ascii="Times New Roman" w:hAnsi="Times New Roman"/>
          <w:sz w:val="24"/>
        </w:rPr>
        <w:t xml:space="preserve"> passed the </w:t>
      </w:r>
      <w:r w:rsidRPr="00BA3F90">
        <w:rPr>
          <w:rFonts w:ascii="Times New Roman" w:hAnsi="Times New Roman"/>
          <w:i/>
          <w:sz w:val="24"/>
        </w:rPr>
        <w:t xml:space="preserve">Anti-Money </w:t>
      </w:r>
      <w:r w:rsidRPr="003938A7">
        <w:rPr>
          <w:rFonts w:ascii="Times New Roman" w:hAnsi="Times New Roman"/>
          <w:i/>
          <w:sz w:val="24"/>
        </w:rPr>
        <w:t>Laundering and Counter-Terrorism Financing and Other Legislation Amendment Act 2020</w:t>
      </w:r>
      <w:r w:rsidRPr="00BA3F90">
        <w:rPr>
          <w:rFonts w:ascii="Times New Roman" w:hAnsi="Times New Roman"/>
          <w:sz w:val="24"/>
        </w:rPr>
        <w:t xml:space="preserve">. </w:t>
      </w:r>
      <w:r w:rsidR="00FB483D">
        <w:rPr>
          <w:rFonts w:ascii="Times New Roman" w:hAnsi="Times New Roman"/>
          <w:sz w:val="24"/>
        </w:rPr>
        <w:t>The</w:t>
      </w:r>
      <w:r w:rsidRPr="00BA3F90">
        <w:rPr>
          <w:rFonts w:ascii="Times New Roman" w:hAnsi="Times New Roman"/>
          <w:sz w:val="24"/>
        </w:rPr>
        <w:t xml:space="preserve"> Act will amend Part 4 of the AML/CTF Act, the </w:t>
      </w:r>
      <w:r w:rsidRPr="006952DC">
        <w:rPr>
          <w:rFonts w:ascii="Times New Roman" w:hAnsi="Times New Roman"/>
          <w:i/>
          <w:sz w:val="24"/>
        </w:rPr>
        <w:t>Proceeds of Crime Act 2002</w:t>
      </w:r>
      <w:r w:rsidRPr="00BA3F90">
        <w:rPr>
          <w:rFonts w:ascii="Times New Roman" w:hAnsi="Times New Roman"/>
          <w:sz w:val="24"/>
        </w:rPr>
        <w:t xml:space="preserve"> and the </w:t>
      </w:r>
      <w:r w:rsidRPr="006952DC">
        <w:rPr>
          <w:rFonts w:ascii="Times New Roman" w:hAnsi="Times New Roman"/>
          <w:i/>
          <w:sz w:val="24"/>
        </w:rPr>
        <w:t>Surveillance Devices Act 2004</w:t>
      </w:r>
      <w:r w:rsidRPr="00BA3F90">
        <w:rPr>
          <w:rFonts w:ascii="Times New Roman" w:hAnsi="Times New Roman"/>
          <w:sz w:val="24"/>
        </w:rPr>
        <w:t xml:space="preserve"> to create a single reporting requirement for the cross-border movement of monetary instruments, which will be defined to include physical currency and BNIs. </w:t>
      </w:r>
    </w:p>
    <w:p w14:paraId="7E4FFDC0" w14:textId="61157364" w:rsidR="004A1B8E" w:rsidRPr="00BA3F90" w:rsidRDefault="004A1B8E" w:rsidP="004A1B8E">
      <w:pPr>
        <w:numPr>
          <w:ilvl w:val="0"/>
          <w:numId w:val="16"/>
        </w:numPr>
        <w:tabs>
          <w:tab w:val="clear" w:pos="720"/>
          <w:tab w:val="num" w:pos="567"/>
        </w:tabs>
        <w:autoSpaceDE w:val="0"/>
        <w:autoSpaceDN w:val="0"/>
        <w:adjustRightInd w:val="0"/>
        <w:spacing w:before="240"/>
        <w:ind w:left="567" w:hanging="567"/>
        <w:rPr>
          <w:rFonts w:ascii="Times New Roman" w:hAnsi="Times New Roman"/>
          <w:sz w:val="24"/>
        </w:rPr>
      </w:pPr>
      <w:r w:rsidRPr="00BA3F90">
        <w:rPr>
          <w:rFonts w:ascii="Times New Roman" w:hAnsi="Times New Roman"/>
          <w:sz w:val="24"/>
        </w:rPr>
        <w:t xml:space="preserve">The reforms to Part 4 of the AML/CTF Act commence on 17 June 2022. </w:t>
      </w:r>
    </w:p>
    <w:p w14:paraId="5DC6BA6A" w14:textId="2962A1E6" w:rsidR="004A1B8E" w:rsidRPr="00BA3F90" w:rsidRDefault="00F97159" w:rsidP="0094150C">
      <w:pPr>
        <w:spacing w:before="240"/>
        <w:rPr>
          <w:rFonts w:ascii="Times New Roman" w:hAnsi="Times New Roman"/>
          <w:sz w:val="24"/>
          <w:u w:val="single"/>
        </w:rPr>
      </w:pPr>
      <w:r>
        <w:rPr>
          <w:rFonts w:ascii="Times New Roman" w:hAnsi="Times New Roman"/>
          <w:sz w:val="24"/>
          <w:u w:val="single"/>
        </w:rPr>
        <w:t>Substitution of Chapter</w:t>
      </w:r>
      <w:r w:rsidR="004A1B8E" w:rsidRPr="00BA3F90">
        <w:rPr>
          <w:rFonts w:ascii="Times New Roman" w:hAnsi="Times New Roman"/>
          <w:sz w:val="24"/>
          <w:u w:val="single"/>
        </w:rPr>
        <w:t xml:space="preserve"> 24 and repeal of Chapters </w:t>
      </w:r>
      <w:r w:rsidR="00800051">
        <w:rPr>
          <w:rFonts w:ascii="Times New Roman" w:hAnsi="Times New Roman"/>
          <w:sz w:val="24"/>
          <w:u w:val="single"/>
        </w:rPr>
        <w:t xml:space="preserve">24, </w:t>
      </w:r>
      <w:r w:rsidR="004A1B8E" w:rsidRPr="00BA3F90">
        <w:rPr>
          <w:rFonts w:ascii="Times New Roman" w:hAnsi="Times New Roman"/>
          <w:sz w:val="24"/>
          <w:u w:val="single"/>
        </w:rPr>
        <w:t>25 and 26</w:t>
      </w:r>
    </w:p>
    <w:p w14:paraId="2BEA6487" w14:textId="0FF98DF2" w:rsidR="004A1B8E" w:rsidRPr="00BA3F90" w:rsidRDefault="006952DC" w:rsidP="004A1B8E">
      <w:pPr>
        <w:numPr>
          <w:ilvl w:val="0"/>
          <w:numId w:val="16"/>
        </w:numPr>
        <w:tabs>
          <w:tab w:val="clear" w:pos="720"/>
          <w:tab w:val="num" w:pos="567"/>
        </w:tabs>
        <w:autoSpaceDE w:val="0"/>
        <w:autoSpaceDN w:val="0"/>
        <w:adjustRightInd w:val="0"/>
        <w:spacing w:before="240"/>
        <w:ind w:left="567" w:hanging="567"/>
        <w:rPr>
          <w:rFonts w:ascii="Times New Roman" w:hAnsi="Times New Roman"/>
          <w:sz w:val="24"/>
        </w:rPr>
      </w:pPr>
      <w:r>
        <w:rPr>
          <w:rFonts w:ascii="Times New Roman" w:hAnsi="Times New Roman"/>
          <w:sz w:val="24"/>
        </w:rPr>
        <w:t>This Instrument</w:t>
      </w:r>
      <w:r w:rsidR="004A1B8E" w:rsidRPr="00BA3F90">
        <w:rPr>
          <w:rFonts w:ascii="Times New Roman" w:hAnsi="Times New Roman"/>
          <w:sz w:val="24"/>
        </w:rPr>
        <w:t xml:space="preserve"> support</w:t>
      </w:r>
      <w:r>
        <w:rPr>
          <w:rFonts w:ascii="Times New Roman" w:hAnsi="Times New Roman"/>
          <w:sz w:val="24"/>
        </w:rPr>
        <w:t>s</w:t>
      </w:r>
      <w:r w:rsidR="004A1B8E" w:rsidRPr="00BA3F90">
        <w:rPr>
          <w:rFonts w:ascii="Times New Roman" w:hAnsi="Times New Roman"/>
          <w:sz w:val="24"/>
        </w:rPr>
        <w:t xml:space="preserve"> the creation of a single reporting requirement for the cross-border movement of monetary instruments by: </w:t>
      </w:r>
    </w:p>
    <w:p w14:paraId="5A1F57B9" w14:textId="090C09E1" w:rsidR="004A1B8E" w:rsidRPr="00BA3F90" w:rsidRDefault="00800051" w:rsidP="004A1B8E">
      <w:pPr>
        <w:numPr>
          <w:ilvl w:val="1"/>
          <w:numId w:val="17"/>
        </w:numPr>
        <w:spacing w:before="240"/>
        <w:rPr>
          <w:rFonts w:ascii="Times New Roman" w:hAnsi="Times New Roman"/>
          <w:sz w:val="24"/>
        </w:rPr>
      </w:pPr>
      <w:r>
        <w:rPr>
          <w:rFonts w:ascii="Times New Roman" w:hAnsi="Times New Roman"/>
          <w:sz w:val="24"/>
        </w:rPr>
        <w:t xml:space="preserve">repealing the existing Chapter 24 </w:t>
      </w:r>
      <w:r w:rsidR="004A1B8E" w:rsidRPr="00BA3F90">
        <w:rPr>
          <w:rFonts w:ascii="Times New Roman" w:hAnsi="Times New Roman"/>
          <w:sz w:val="24"/>
        </w:rPr>
        <w:t xml:space="preserve">- Anti-Money Laundering and Counter-Terrorism Financing Rules for </w:t>
      </w:r>
      <w:r w:rsidR="004A1B8E" w:rsidRPr="00BA3F90">
        <w:rPr>
          <w:rFonts w:ascii="Times New Roman" w:hAnsi="Times New Roman"/>
          <w:i/>
          <w:sz w:val="24"/>
        </w:rPr>
        <w:t>movements of physical currency</w:t>
      </w:r>
      <w:r w:rsidR="004A1B8E" w:rsidRPr="00BA3F90">
        <w:rPr>
          <w:rFonts w:ascii="Times New Roman" w:hAnsi="Times New Roman"/>
          <w:sz w:val="24"/>
        </w:rPr>
        <w:t xml:space="preserve"> into or out of Australia</w:t>
      </w:r>
      <w:r>
        <w:rPr>
          <w:rFonts w:ascii="Times New Roman" w:hAnsi="Times New Roman"/>
          <w:sz w:val="24"/>
        </w:rPr>
        <w:t>, and substituting Chapter 24</w:t>
      </w:r>
      <w:r w:rsidR="004A1B8E" w:rsidRPr="00BA3F90">
        <w:rPr>
          <w:rFonts w:ascii="Times New Roman" w:hAnsi="Times New Roman"/>
          <w:sz w:val="24"/>
        </w:rPr>
        <w:t xml:space="preserve">; </w:t>
      </w:r>
    </w:p>
    <w:p w14:paraId="7F753563" w14:textId="77777777" w:rsidR="004A1B8E" w:rsidRPr="00BA3F90" w:rsidRDefault="004A1B8E" w:rsidP="004A1B8E">
      <w:pPr>
        <w:numPr>
          <w:ilvl w:val="1"/>
          <w:numId w:val="17"/>
        </w:numPr>
        <w:spacing w:before="240"/>
        <w:rPr>
          <w:rFonts w:ascii="Times New Roman" w:hAnsi="Times New Roman"/>
          <w:sz w:val="24"/>
        </w:rPr>
      </w:pPr>
      <w:r w:rsidRPr="00BA3F90">
        <w:rPr>
          <w:rFonts w:ascii="Times New Roman" w:hAnsi="Times New Roman"/>
          <w:sz w:val="24"/>
        </w:rPr>
        <w:t xml:space="preserve">repealing the existing Chapter 25 - Anti-Money Laundering and Counter-Terrorism Financing Rules for </w:t>
      </w:r>
      <w:r w:rsidRPr="00BA3F90">
        <w:rPr>
          <w:rFonts w:ascii="Times New Roman" w:hAnsi="Times New Roman"/>
          <w:i/>
          <w:sz w:val="24"/>
        </w:rPr>
        <w:t>receipts of physical currency</w:t>
      </w:r>
      <w:r w:rsidRPr="00BA3F90">
        <w:rPr>
          <w:rFonts w:ascii="Times New Roman" w:hAnsi="Times New Roman"/>
          <w:sz w:val="24"/>
        </w:rPr>
        <w:t xml:space="preserve"> from outside Australia’; and </w:t>
      </w:r>
    </w:p>
    <w:p w14:paraId="4E8E075B" w14:textId="77777777" w:rsidR="004A1B8E" w:rsidRPr="00BA3F90" w:rsidRDefault="004A1B8E" w:rsidP="004A1B8E">
      <w:pPr>
        <w:numPr>
          <w:ilvl w:val="1"/>
          <w:numId w:val="17"/>
        </w:numPr>
        <w:spacing w:before="240"/>
        <w:rPr>
          <w:rFonts w:ascii="Times New Roman" w:hAnsi="Times New Roman"/>
          <w:sz w:val="24"/>
        </w:rPr>
      </w:pPr>
      <w:r w:rsidRPr="00BA3F90">
        <w:rPr>
          <w:rFonts w:ascii="Times New Roman" w:hAnsi="Times New Roman"/>
          <w:sz w:val="24"/>
        </w:rPr>
        <w:t xml:space="preserve">repealing the existing Chapter 26 - Anti-Money Laundering and Counter-Terrorism Financing Rules for </w:t>
      </w:r>
      <w:r w:rsidRPr="00BA3F90">
        <w:rPr>
          <w:rFonts w:ascii="Times New Roman" w:hAnsi="Times New Roman"/>
          <w:i/>
          <w:sz w:val="24"/>
        </w:rPr>
        <w:t>movements of bearer negotiable instruments</w:t>
      </w:r>
      <w:r w:rsidRPr="00BA3F90">
        <w:rPr>
          <w:rFonts w:ascii="Times New Roman" w:hAnsi="Times New Roman"/>
          <w:sz w:val="24"/>
        </w:rPr>
        <w:t xml:space="preserve"> into or out of Australia.</w:t>
      </w:r>
    </w:p>
    <w:p w14:paraId="39BD1995" w14:textId="7C8A7A97" w:rsidR="004A1B8E" w:rsidRPr="00BA3F90" w:rsidRDefault="004A1B8E" w:rsidP="004A1B8E">
      <w:pPr>
        <w:numPr>
          <w:ilvl w:val="0"/>
          <w:numId w:val="16"/>
        </w:numPr>
        <w:tabs>
          <w:tab w:val="clear" w:pos="720"/>
          <w:tab w:val="num" w:pos="567"/>
        </w:tabs>
        <w:autoSpaceDE w:val="0"/>
        <w:autoSpaceDN w:val="0"/>
        <w:adjustRightInd w:val="0"/>
        <w:spacing w:before="240"/>
        <w:ind w:left="567" w:hanging="567"/>
        <w:rPr>
          <w:rFonts w:ascii="Times New Roman" w:hAnsi="Times New Roman"/>
          <w:sz w:val="24"/>
        </w:rPr>
      </w:pPr>
      <w:r w:rsidRPr="00BA3F90">
        <w:rPr>
          <w:rFonts w:ascii="Times New Roman" w:hAnsi="Times New Roman"/>
          <w:sz w:val="24"/>
        </w:rPr>
        <w:t>Chapter 24 support</w:t>
      </w:r>
      <w:r w:rsidR="00456903">
        <w:rPr>
          <w:rFonts w:ascii="Times New Roman" w:hAnsi="Times New Roman"/>
          <w:sz w:val="24"/>
        </w:rPr>
        <w:t>s</w:t>
      </w:r>
      <w:r w:rsidRPr="00BA3F90">
        <w:rPr>
          <w:rFonts w:ascii="Times New Roman" w:hAnsi="Times New Roman"/>
          <w:sz w:val="24"/>
        </w:rPr>
        <w:t xml:space="preserve"> the implementation of the reforms to Part 4 of the AML/CTF Act, by setting out:</w:t>
      </w:r>
    </w:p>
    <w:p w14:paraId="268B35B5" w14:textId="77777777" w:rsidR="004A1B8E" w:rsidRPr="00BA3F90" w:rsidRDefault="004A1B8E" w:rsidP="004A1B8E">
      <w:pPr>
        <w:numPr>
          <w:ilvl w:val="0"/>
          <w:numId w:val="18"/>
        </w:numPr>
        <w:spacing w:before="240"/>
        <w:rPr>
          <w:rFonts w:ascii="Times New Roman" w:hAnsi="Times New Roman"/>
          <w:sz w:val="24"/>
        </w:rPr>
      </w:pPr>
      <w:r w:rsidRPr="00BA3F90">
        <w:rPr>
          <w:rFonts w:ascii="Times New Roman" w:hAnsi="Times New Roman"/>
          <w:sz w:val="24"/>
        </w:rPr>
        <w:t>the information to be contained in a report about movement of monetary instruments into or out of Australia, submitted by a person moving the monetary instrument (</w:t>
      </w:r>
      <w:r w:rsidRPr="00BA3F90">
        <w:rPr>
          <w:rFonts w:ascii="Times New Roman" w:hAnsi="Times New Roman"/>
          <w:b/>
          <w:sz w:val="24"/>
        </w:rPr>
        <w:t>the traveller</w:t>
      </w:r>
      <w:r w:rsidRPr="00BA3F90">
        <w:rPr>
          <w:rFonts w:ascii="Times New Roman" w:hAnsi="Times New Roman"/>
          <w:sz w:val="24"/>
        </w:rPr>
        <w:t>), as specified in subsection (2);</w:t>
      </w:r>
    </w:p>
    <w:p w14:paraId="45982CA8" w14:textId="77777777" w:rsidR="004A1B8E" w:rsidRPr="00BA3F90" w:rsidRDefault="004A1B8E" w:rsidP="004A1B8E">
      <w:pPr>
        <w:numPr>
          <w:ilvl w:val="0"/>
          <w:numId w:val="18"/>
        </w:numPr>
        <w:spacing w:before="240"/>
        <w:rPr>
          <w:rFonts w:ascii="Times New Roman" w:hAnsi="Times New Roman"/>
          <w:sz w:val="24"/>
        </w:rPr>
      </w:pPr>
      <w:r w:rsidRPr="00BA3F90">
        <w:rPr>
          <w:rFonts w:ascii="Times New Roman" w:hAnsi="Times New Roman"/>
          <w:sz w:val="24"/>
        </w:rPr>
        <w:t>the information to be contained in a report about movement of monetary instruments moved into Australia, submitted by a person receiving or sending the monetary instrument, as specified in subsection (4); and</w:t>
      </w:r>
    </w:p>
    <w:p w14:paraId="79F602F1" w14:textId="77777777" w:rsidR="004A1B8E" w:rsidRPr="00BA3F90" w:rsidRDefault="004A1B8E" w:rsidP="004A1B8E">
      <w:pPr>
        <w:numPr>
          <w:ilvl w:val="0"/>
          <w:numId w:val="18"/>
        </w:numPr>
        <w:spacing w:before="240"/>
        <w:rPr>
          <w:rFonts w:ascii="Times New Roman" w:hAnsi="Times New Roman"/>
          <w:sz w:val="24"/>
        </w:rPr>
      </w:pPr>
      <w:r w:rsidRPr="00BA3F90">
        <w:rPr>
          <w:rFonts w:ascii="Times New Roman" w:hAnsi="Times New Roman"/>
          <w:sz w:val="24"/>
        </w:rPr>
        <w:t>the timing rule for the submission of a report about movement of monetary instruments into or out of Australia, as specified in subsection (3).</w:t>
      </w:r>
    </w:p>
    <w:p w14:paraId="6DDBD68D" w14:textId="77777777" w:rsidR="004A1B8E" w:rsidRPr="00BA3F90" w:rsidRDefault="004A1B8E" w:rsidP="0094150C">
      <w:pPr>
        <w:spacing w:before="240"/>
        <w:rPr>
          <w:rFonts w:ascii="Times New Roman" w:hAnsi="Times New Roman"/>
          <w:sz w:val="24"/>
          <w:u w:val="single"/>
        </w:rPr>
      </w:pPr>
      <w:r w:rsidRPr="00BA3F90">
        <w:rPr>
          <w:rFonts w:ascii="Times New Roman" w:hAnsi="Times New Roman"/>
          <w:sz w:val="24"/>
          <w:u w:val="single"/>
        </w:rPr>
        <w:t>Applicable timing rule</w:t>
      </w:r>
    </w:p>
    <w:p w14:paraId="25C2DAEE" w14:textId="270264DA" w:rsidR="004A1B8E" w:rsidRPr="00BA3F90" w:rsidRDefault="004A1B8E" w:rsidP="004A1B8E">
      <w:pPr>
        <w:numPr>
          <w:ilvl w:val="0"/>
          <w:numId w:val="16"/>
        </w:numPr>
        <w:tabs>
          <w:tab w:val="clear" w:pos="720"/>
          <w:tab w:val="num" w:pos="567"/>
        </w:tabs>
        <w:autoSpaceDE w:val="0"/>
        <w:autoSpaceDN w:val="0"/>
        <w:adjustRightInd w:val="0"/>
        <w:spacing w:before="240"/>
        <w:ind w:left="567" w:hanging="567"/>
        <w:rPr>
          <w:rFonts w:ascii="Times New Roman" w:hAnsi="Times New Roman"/>
          <w:sz w:val="24"/>
        </w:rPr>
      </w:pPr>
      <w:r w:rsidRPr="00BA3F90">
        <w:rPr>
          <w:rFonts w:ascii="Times New Roman" w:hAnsi="Times New Roman"/>
          <w:sz w:val="24"/>
        </w:rPr>
        <w:t xml:space="preserve">The reforms to Part 4 of the AML/CTF Act involve repealing Divisions 1, 2 and 3, including section 54 which currently provides the applicable timing rule for movements of physical currency into and out of Australia. Following these reforms, the AML/CTF Rules will provide the applicable timing rule for </w:t>
      </w:r>
      <w:r w:rsidRPr="00BA3F90">
        <w:rPr>
          <w:rFonts w:ascii="Times New Roman" w:hAnsi="Times New Roman"/>
          <w:sz w:val="24"/>
        </w:rPr>
        <w:lastRenderedPageBreak/>
        <w:t>movements of monetary instruments into and out of Australia. This is addressed in subsection (3) of Chapter 24.</w:t>
      </w:r>
    </w:p>
    <w:p w14:paraId="311E84A2" w14:textId="20A22266" w:rsidR="00F97159" w:rsidRPr="0094150C" w:rsidRDefault="00F97159" w:rsidP="004A1B8E">
      <w:pPr>
        <w:numPr>
          <w:ilvl w:val="0"/>
          <w:numId w:val="16"/>
        </w:numPr>
        <w:tabs>
          <w:tab w:val="clear" w:pos="720"/>
          <w:tab w:val="num" w:pos="567"/>
        </w:tabs>
        <w:autoSpaceDE w:val="0"/>
        <w:autoSpaceDN w:val="0"/>
        <w:adjustRightInd w:val="0"/>
        <w:spacing w:before="240"/>
        <w:ind w:left="567" w:hanging="567"/>
        <w:rPr>
          <w:rFonts w:ascii="Times New Roman" w:hAnsi="Times New Roman"/>
          <w:sz w:val="24"/>
        </w:rPr>
      </w:pPr>
      <w:r w:rsidRPr="0094150C">
        <w:rPr>
          <w:rFonts w:ascii="Times New Roman" w:hAnsi="Times New Roman"/>
          <w:sz w:val="24"/>
        </w:rPr>
        <w:t>Chapter 24</w:t>
      </w:r>
      <w:r w:rsidR="004A1B8E" w:rsidRPr="0094150C">
        <w:rPr>
          <w:rFonts w:ascii="Times New Roman" w:hAnsi="Times New Roman"/>
          <w:sz w:val="24"/>
        </w:rPr>
        <w:t xml:space="preserve"> allow</w:t>
      </w:r>
      <w:r w:rsidR="001F179A" w:rsidRPr="0094150C">
        <w:rPr>
          <w:rFonts w:ascii="Times New Roman" w:hAnsi="Times New Roman"/>
          <w:sz w:val="24"/>
        </w:rPr>
        <w:t>s</w:t>
      </w:r>
      <w:r w:rsidR="004A1B8E" w:rsidRPr="0094150C">
        <w:rPr>
          <w:rFonts w:ascii="Times New Roman" w:hAnsi="Times New Roman"/>
          <w:sz w:val="24"/>
        </w:rPr>
        <w:t xml:space="preserve"> for the person sending the monetary instrument </w:t>
      </w:r>
      <w:r w:rsidRPr="0094150C">
        <w:rPr>
          <w:rFonts w:ascii="Times New Roman" w:hAnsi="Times New Roman"/>
          <w:sz w:val="24"/>
        </w:rPr>
        <w:t xml:space="preserve">into Australia </w:t>
      </w:r>
      <w:r w:rsidR="004A1B8E" w:rsidRPr="0094150C">
        <w:rPr>
          <w:rFonts w:ascii="Times New Roman" w:hAnsi="Times New Roman"/>
          <w:sz w:val="24"/>
        </w:rPr>
        <w:t>to submit a report before the movement of the monetary instrument takes place</w:t>
      </w:r>
      <w:r w:rsidRPr="0094150C">
        <w:rPr>
          <w:rFonts w:ascii="Times New Roman" w:hAnsi="Times New Roman"/>
          <w:sz w:val="24"/>
        </w:rPr>
        <w:t>.</w:t>
      </w:r>
      <w:r w:rsidR="004A1B8E" w:rsidRPr="0094150C">
        <w:rPr>
          <w:rFonts w:ascii="Times New Roman" w:hAnsi="Times New Roman"/>
          <w:sz w:val="24"/>
        </w:rPr>
        <w:t xml:space="preserve"> </w:t>
      </w:r>
    </w:p>
    <w:p w14:paraId="3F55B21B" w14:textId="64977651" w:rsidR="004A1B8E" w:rsidRPr="0094150C" w:rsidRDefault="00F97159" w:rsidP="004A1B8E">
      <w:pPr>
        <w:numPr>
          <w:ilvl w:val="0"/>
          <w:numId w:val="16"/>
        </w:numPr>
        <w:tabs>
          <w:tab w:val="clear" w:pos="720"/>
          <w:tab w:val="num" w:pos="567"/>
        </w:tabs>
        <w:autoSpaceDE w:val="0"/>
        <w:autoSpaceDN w:val="0"/>
        <w:adjustRightInd w:val="0"/>
        <w:spacing w:before="240"/>
        <w:ind w:left="567" w:hanging="567"/>
        <w:rPr>
          <w:rFonts w:ascii="Times New Roman" w:hAnsi="Times New Roman"/>
          <w:sz w:val="24"/>
        </w:rPr>
      </w:pPr>
      <w:r w:rsidRPr="0094150C">
        <w:rPr>
          <w:rFonts w:ascii="Times New Roman" w:hAnsi="Times New Roman"/>
          <w:sz w:val="24"/>
        </w:rPr>
        <w:t xml:space="preserve">Where the person is sending the monetary instrument out of Australia, </w:t>
      </w:r>
      <w:r w:rsidR="00FF6D02" w:rsidRPr="0094150C">
        <w:rPr>
          <w:rFonts w:ascii="Times New Roman" w:hAnsi="Times New Roman"/>
          <w:sz w:val="24"/>
        </w:rPr>
        <w:t xml:space="preserve">the report must be given </w:t>
      </w:r>
      <w:r w:rsidR="004A1B8E" w:rsidRPr="0094150C">
        <w:rPr>
          <w:rFonts w:ascii="Times New Roman" w:hAnsi="Times New Roman"/>
          <w:sz w:val="24"/>
        </w:rPr>
        <w:t>before the instrument is irrevocably committed by the p</w:t>
      </w:r>
      <w:r w:rsidR="00D83CF9">
        <w:rPr>
          <w:rFonts w:ascii="Times New Roman" w:hAnsi="Times New Roman"/>
          <w:sz w:val="24"/>
        </w:rPr>
        <w:t>erson to a postal service or to</w:t>
      </w:r>
      <w:r w:rsidR="004A1B8E" w:rsidRPr="0094150C">
        <w:rPr>
          <w:rFonts w:ascii="Times New Roman" w:hAnsi="Times New Roman"/>
          <w:sz w:val="24"/>
        </w:rPr>
        <w:t xml:space="preserve"> </w:t>
      </w:r>
      <w:r w:rsidR="00FF6D02" w:rsidRPr="0094150C">
        <w:rPr>
          <w:rFonts w:ascii="Times New Roman" w:hAnsi="Times New Roman"/>
          <w:sz w:val="24"/>
        </w:rPr>
        <w:t>an</w:t>
      </w:r>
      <w:r w:rsidR="004A1B8E" w:rsidRPr="0094150C">
        <w:rPr>
          <w:rFonts w:ascii="Times New Roman" w:hAnsi="Times New Roman"/>
          <w:sz w:val="24"/>
        </w:rPr>
        <w:t>other person</w:t>
      </w:r>
      <w:r w:rsidR="00FF6D02" w:rsidRPr="0094150C">
        <w:rPr>
          <w:rFonts w:ascii="Times New Roman" w:hAnsi="Times New Roman"/>
          <w:sz w:val="24"/>
        </w:rPr>
        <w:t xml:space="preserve"> (as the case may be)</w:t>
      </w:r>
      <w:r w:rsidR="004A1B8E" w:rsidRPr="0094150C">
        <w:rPr>
          <w:rFonts w:ascii="Times New Roman" w:hAnsi="Times New Roman"/>
          <w:sz w:val="24"/>
        </w:rPr>
        <w:t>.</w:t>
      </w:r>
    </w:p>
    <w:p w14:paraId="559E80E3" w14:textId="54463269" w:rsidR="004A1B8E" w:rsidRPr="00BA3F90" w:rsidRDefault="004A1B8E" w:rsidP="004A1B8E">
      <w:pPr>
        <w:numPr>
          <w:ilvl w:val="0"/>
          <w:numId w:val="16"/>
        </w:numPr>
        <w:tabs>
          <w:tab w:val="clear" w:pos="720"/>
          <w:tab w:val="num" w:pos="567"/>
        </w:tabs>
        <w:autoSpaceDE w:val="0"/>
        <w:autoSpaceDN w:val="0"/>
        <w:adjustRightInd w:val="0"/>
        <w:spacing w:before="240"/>
        <w:ind w:left="567" w:hanging="567"/>
        <w:rPr>
          <w:rFonts w:ascii="Times New Roman" w:hAnsi="Times New Roman"/>
          <w:sz w:val="24"/>
        </w:rPr>
      </w:pPr>
      <w:r w:rsidRPr="00BA3F90">
        <w:rPr>
          <w:rFonts w:ascii="Times New Roman" w:hAnsi="Times New Roman"/>
          <w:sz w:val="24"/>
        </w:rPr>
        <w:t>In relation to travellers leaving Australia, Chapter 24 allow</w:t>
      </w:r>
      <w:r w:rsidR="00DF036F">
        <w:rPr>
          <w:rFonts w:ascii="Times New Roman" w:hAnsi="Times New Roman"/>
          <w:sz w:val="24"/>
        </w:rPr>
        <w:t>s</w:t>
      </w:r>
      <w:r w:rsidRPr="00BA3F90">
        <w:rPr>
          <w:rFonts w:ascii="Times New Roman" w:hAnsi="Times New Roman"/>
          <w:sz w:val="24"/>
        </w:rPr>
        <w:t xml:space="preserve"> the person to submit a report about the cross border movement of monetary instruments no later than when they reach the place where customs officers examine baggage, or at the last opportunity that the person has to give the report before leaving Australia. The report must accurately reflect the traveller’s circumstances at the time they move across the border.</w:t>
      </w:r>
    </w:p>
    <w:p w14:paraId="089E184B" w14:textId="26C19559" w:rsidR="003E329A" w:rsidRDefault="004A1B8E" w:rsidP="003938A7">
      <w:pPr>
        <w:numPr>
          <w:ilvl w:val="0"/>
          <w:numId w:val="16"/>
        </w:numPr>
        <w:tabs>
          <w:tab w:val="clear" w:pos="720"/>
          <w:tab w:val="num" w:pos="567"/>
        </w:tabs>
        <w:autoSpaceDE w:val="0"/>
        <w:autoSpaceDN w:val="0"/>
        <w:adjustRightInd w:val="0"/>
        <w:spacing w:before="240"/>
        <w:ind w:left="567" w:hanging="567"/>
        <w:rPr>
          <w:rFonts w:ascii="Times New Roman" w:hAnsi="Times New Roman"/>
          <w:sz w:val="24"/>
        </w:rPr>
      </w:pPr>
      <w:r w:rsidRPr="00BA3F90">
        <w:rPr>
          <w:rFonts w:ascii="Times New Roman" w:hAnsi="Times New Roman"/>
          <w:sz w:val="24"/>
        </w:rPr>
        <w:t>In relation to travellers entering Australia, Chapter 24 allow</w:t>
      </w:r>
      <w:r w:rsidR="00DF036F">
        <w:rPr>
          <w:rFonts w:ascii="Times New Roman" w:hAnsi="Times New Roman"/>
          <w:sz w:val="24"/>
        </w:rPr>
        <w:t>s</w:t>
      </w:r>
      <w:r w:rsidRPr="00BA3F90">
        <w:rPr>
          <w:rFonts w:ascii="Times New Roman" w:hAnsi="Times New Roman"/>
          <w:sz w:val="24"/>
        </w:rPr>
        <w:t xml:space="preserve"> the person to submit a report about the cross border movement of monetary instruments no later than when the person reaches the </w:t>
      </w:r>
      <w:r w:rsidR="00D83CF9">
        <w:rPr>
          <w:rFonts w:ascii="Times New Roman" w:hAnsi="Times New Roman"/>
          <w:sz w:val="24"/>
        </w:rPr>
        <w:t xml:space="preserve">place at which </w:t>
      </w:r>
      <w:r w:rsidRPr="00BA3F90">
        <w:rPr>
          <w:rFonts w:ascii="Times New Roman" w:hAnsi="Times New Roman"/>
          <w:sz w:val="24"/>
        </w:rPr>
        <w:t>customs officer</w:t>
      </w:r>
      <w:r w:rsidR="00D83CF9">
        <w:rPr>
          <w:rFonts w:ascii="Times New Roman" w:hAnsi="Times New Roman"/>
          <w:sz w:val="24"/>
        </w:rPr>
        <w:t>s examine baggage</w:t>
      </w:r>
      <w:r w:rsidRPr="00BA3F90">
        <w:rPr>
          <w:rFonts w:ascii="Times New Roman" w:hAnsi="Times New Roman"/>
          <w:sz w:val="24"/>
        </w:rPr>
        <w:t xml:space="preserve">; or if there is no such </w:t>
      </w:r>
      <w:r w:rsidR="00D83CF9">
        <w:rPr>
          <w:rFonts w:ascii="Times New Roman" w:hAnsi="Times New Roman"/>
          <w:sz w:val="24"/>
        </w:rPr>
        <w:t>place</w:t>
      </w:r>
      <w:r w:rsidRPr="00BA3F90">
        <w:rPr>
          <w:rFonts w:ascii="Times New Roman" w:hAnsi="Times New Roman"/>
          <w:sz w:val="24"/>
        </w:rPr>
        <w:t xml:space="preserve">, at </w:t>
      </w:r>
      <w:r w:rsidR="00D83CF9">
        <w:rPr>
          <w:rFonts w:ascii="Times New Roman" w:hAnsi="Times New Roman"/>
          <w:sz w:val="24"/>
        </w:rPr>
        <w:t>the first</w:t>
      </w:r>
      <w:r w:rsidRPr="00BA3F90">
        <w:rPr>
          <w:rFonts w:ascii="Times New Roman" w:hAnsi="Times New Roman"/>
          <w:sz w:val="24"/>
        </w:rPr>
        <w:t xml:space="preserve"> opportunity that the person has t</w:t>
      </w:r>
      <w:r w:rsidR="00D83CF9">
        <w:rPr>
          <w:rFonts w:ascii="Times New Roman" w:hAnsi="Times New Roman"/>
          <w:sz w:val="24"/>
        </w:rPr>
        <w:t>o give the report after arrival in</w:t>
      </w:r>
      <w:r w:rsidRPr="00BA3F90">
        <w:rPr>
          <w:rFonts w:ascii="Times New Roman" w:hAnsi="Times New Roman"/>
          <w:sz w:val="24"/>
        </w:rPr>
        <w:t xml:space="preserve"> Australia.</w:t>
      </w:r>
    </w:p>
    <w:p w14:paraId="7CD1B6F1" w14:textId="77777777" w:rsidR="00C74573" w:rsidRDefault="00C74573" w:rsidP="00BD02D0">
      <w:pPr>
        <w:autoSpaceDE w:val="0"/>
        <w:autoSpaceDN w:val="0"/>
        <w:adjustRightInd w:val="0"/>
        <w:spacing w:before="240"/>
        <w:ind w:left="720"/>
        <w:rPr>
          <w:rFonts w:ascii="Times New Roman" w:hAnsi="Times New Roman"/>
          <w:sz w:val="24"/>
        </w:rPr>
      </w:pPr>
    </w:p>
    <w:p w14:paraId="6BF1CEC3" w14:textId="770D8FD5" w:rsidR="003938A7" w:rsidRPr="00BA3F90" w:rsidRDefault="00DF036F" w:rsidP="001B4DD4">
      <w:pPr>
        <w:tabs>
          <w:tab w:val="left" w:pos="360"/>
          <w:tab w:val="left" w:pos="1080"/>
          <w:tab w:val="left" w:pos="3600"/>
        </w:tabs>
        <w:ind w:left="357" w:hanging="357"/>
        <w:rPr>
          <w:rFonts w:ascii="Times New Roman" w:hAnsi="Times New Roman"/>
          <w:b/>
          <w:i/>
          <w:sz w:val="24"/>
        </w:rPr>
      </w:pPr>
      <w:r>
        <w:rPr>
          <w:rFonts w:ascii="Times New Roman" w:hAnsi="Times New Roman"/>
          <w:b/>
          <w:i/>
          <w:sz w:val="24"/>
        </w:rPr>
        <w:t>(ii)</w:t>
      </w:r>
      <w:r>
        <w:rPr>
          <w:rFonts w:ascii="Times New Roman" w:hAnsi="Times New Roman"/>
          <w:b/>
          <w:i/>
          <w:sz w:val="24"/>
        </w:rPr>
        <w:tab/>
        <w:t>A</w:t>
      </w:r>
      <w:r w:rsidR="003938A7" w:rsidRPr="00BA3F90">
        <w:rPr>
          <w:rFonts w:ascii="Times New Roman" w:hAnsi="Times New Roman"/>
          <w:b/>
          <w:i/>
          <w:sz w:val="24"/>
        </w:rPr>
        <w:t>mendments to Chapter 34 – Affixing of notices about cross-border movement reporting obligations</w:t>
      </w:r>
    </w:p>
    <w:p w14:paraId="36960275" w14:textId="77777777" w:rsidR="003938A7" w:rsidRPr="00BA3F90" w:rsidRDefault="003938A7" w:rsidP="0094150C">
      <w:pPr>
        <w:spacing w:before="240"/>
        <w:rPr>
          <w:rFonts w:ascii="Times New Roman" w:hAnsi="Times New Roman"/>
          <w:sz w:val="24"/>
          <w:u w:val="single"/>
        </w:rPr>
      </w:pPr>
      <w:r w:rsidRPr="00BA3F90">
        <w:rPr>
          <w:rFonts w:ascii="Times New Roman" w:hAnsi="Times New Roman"/>
          <w:sz w:val="24"/>
          <w:u w:val="single"/>
        </w:rPr>
        <w:t>Amendment to existing Chapter 34 - Form and content of notices affixed pursuant to Section 61</w:t>
      </w:r>
    </w:p>
    <w:p w14:paraId="33E90078" w14:textId="77777777" w:rsidR="003938A7" w:rsidRPr="00BA3F90" w:rsidRDefault="003938A7" w:rsidP="003938A7">
      <w:pPr>
        <w:numPr>
          <w:ilvl w:val="0"/>
          <w:numId w:val="16"/>
        </w:numPr>
        <w:tabs>
          <w:tab w:val="clear" w:pos="720"/>
          <w:tab w:val="num" w:pos="567"/>
        </w:tabs>
        <w:autoSpaceDE w:val="0"/>
        <w:autoSpaceDN w:val="0"/>
        <w:adjustRightInd w:val="0"/>
        <w:spacing w:before="240"/>
        <w:ind w:left="567" w:hanging="567"/>
        <w:rPr>
          <w:rFonts w:ascii="Times New Roman" w:hAnsi="Times New Roman"/>
          <w:sz w:val="24"/>
        </w:rPr>
      </w:pPr>
      <w:r w:rsidRPr="00BA3F90">
        <w:rPr>
          <w:rFonts w:ascii="Times New Roman" w:hAnsi="Times New Roman"/>
          <w:sz w:val="24"/>
        </w:rPr>
        <w:t>Section 61 of the AML/CTF Act provides a power to affix notices about reporting obligations under Part 4 of the Act, the form and contents of which are specified in the AML/CTF Rules, to any part of an aircraft or ship, or any other place specified in the Rules.</w:t>
      </w:r>
    </w:p>
    <w:p w14:paraId="01ED9551" w14:textId="22F785D3" w:rsidR="00BC5FBB" w:rsidRPr="0094150C" w:rsidRDefault="003938A7" w:rsidP="0094150C">
      <w:pPr>
        <w:numPr>
          <w:ilvl w:val="0"/>
          <w:numId w:val="16"/>
        </w:numPr>
        <w:tabs>
          <w:tab w:val="clear" w:pos="720"/>
          <w:tab w:val="num" w:pos="567"/>
        </w:tabs>
        <w:autoSpaceDE w:val="0"/>
        <w:autoSpaceDN w:val="0"/>
        <w:adjustRightInd w:val="0"/>
        <w:spacing w:before="240"/>
        <w:ind w:left="567" w:hanging="567"/>
        <w:rPr>
          <w:rFonts w:ascii="Times New Roman" w:hAnsi="Times New Roman"/>
          <w:sz w:val="24"/>
        </w:rPr>
      </w:pPr>
      <w:r w:rsidRPr="001277D5">
        <w:rPr>
          <w:rFonts w:ascii="Times New Roman" w:hAnsi="Times New Roman"/>
          <w:sz w:val="24"/>
        </w:rPr>
        <w:t>The amendments to Chapter 34 revise the form and contents of notices about reporting obligations that can be affixed in ports to inform travellers of reporting obligations. The revisions reflect the reforms to Part 4 of the AML/CTF Act.</w:t>
      </w:r>
    </w:p>
    <w:p w14:paraId="541E8AD2" w14:textId="6FC74155" w:rsidR="00017141" w:rsidRPr="00C46410" w:rsidRDefault="009B309E" w:rsidP="004B5D22">
      <w:pPr>
        <w:spacing w:before="360" w:after="160" w:line="259" w:lineRule="auto"/>
        <w:rPr>
          <w:rFonts w:ascii="Times New Roman" w:eastAsia="Calibri" w:hAnsi="Times New Roman"/>
          <w:b/>
          <w:caps/>
          <w:sz w:val="24"/>
        </w:rPr>
      </w:pPr>
      <w:r w:rsidRPr="00C46410">
        <w:rPr>
          <w:rFonts w:ascii="Times New Roman" w:eastAsia="Calibri" w:hAnsi="Times New Roman"/>
          <w:b/>
          <w:caps/>
          <w:sz w:val="24"/>
        </w:rPr>
        <w:t>Consultation</w:t>
      </w:r>
    </w:p>
    <w:p w14:paraId="20C5CE16" w14:textId="270DC914" w:rsidR="0058710C" w:rsidRDefault="0058710C" w:rsidP="004B5D22">
      <w:pPr>
        <w:numPr>
          <w:ilvl w:val="0"/>
          <w:numId w:val="16"/>
        </w:numPr>
        <w:tabs>
          <w:tab w:val="clear" w:pos="720"/>
          <w:tab w:val="num" w:pos="567"/>
        </w:tabs>
        <w:autoSpaceDE w:val="0"/>
        <w:autoSpaceDN w:val="0"/>
        <w:adjustRightInd w:val="0"/>
        <w:spacing w:before="240"/>
        <w:ind w:left="567" w:hanging="567"/>
        <w:rPr>
          <w:rFonts w:ascii="Times New Roman" w:hAnsi="Times New Roman"/>
          <w:sz w:val="24"/>
        </w:rPr>
      </w:pPr>
      <w:r w:rsidRPr="00617C83">
        <w:rPr>
          <w:rFonts w:ascii="Times New Roman" w:hAnsi="Times New Roman"/>
          <w:sz w:val="24"/>
        </w:rPr>
        <w:t xml:space="preserve">Draft AML/CTF Rules </w:t>
      </w:r>
      <w:r w:rsidR="00063869">
        <w:rPr>
          <w:rFonts w:ascii="Times New Roman" w:hAnsi="Times New Roman"/>
          <w:sz w:val="24"/>
        </w:rPr>
        <w:t xml:space="preserve">on </w:t>
      </w:r>
      <w:r w:rsidR="00BD780F">
        <w:rPr>
          <w:rFonts w:ascii="Times New Roman" w:hAnsi="Times New Roman"/>
          <w:sz w:val="24"/>
        </w:rPr>
        <w:t xml:space="preserve">the </w:t>
      </w:r>
      <w:r w:rsidR="00FF6D02">
        <w:rPr>
          <w:rFonts w:ascii="Times New Roman" w:hAnsi="Times New Roman"/>
          <w:sz w:val="24"/>
        </w:rPr>
        <w:t>substitution of</w:t>
      </w:r>
      <w:r w:rsidR="00BD780F">
        <w:rPr>
          <w:rFonts w:ascii="Times New Roman" w:hAnsi="Times New Roman"/>
          <w:sz w:val="24"/>
        </w:rPr>
        <w:t xml:space="preserve"> Chapter 24</w:t>
      </w:r>
      <w:r w:rsidR="00FF6D02">
        <w:rPr>
          <w:rFonts w:ascii="Times New Roman" w:hAnsi="Times New Roman"/>
          <w:sz w:val="24"/>
        </w:rPr>
        <w:t>, amendment to</w:t>
      </w:r>
      <w:r w:rsidR="00BD780F">
        <w:rPr>
          <w:rFonts w:ascii="Times New Roman" w:hAnsi="Times New Roman"/>
          <w:sz w:val="24"/>
        </w:rPr>
        <w:t xml:space="preserve"> </w:t>
      </w:r>
      <w:r w:rsidR="004C71FA">
        <w:rPr>
          <w:rFonts w:ascii="Times New Roman" w:hAnsi="Times New Roman"/>
          <w:sz w:val="24"/>
        </w:rPr>
        <w:t xml:space="preserve">Chapter </w:t>
      </w:r>
      <w:r w:rsidR="00BD780F">
        <w:rPr>
          <w:rFonts w:ascii="Times New Roman" w:hAnsi="Times New Roman"/>
          <w:sz w:val="24"/>
        </w:rPr>
        <w:t>34</w:t>
      </w:r>
      <w:r w:rsidR="00FF6D02">
        <w:rPr>
          <w:rFonts w:ascii="Times New Roman" w:hAnsi="Times New Roman"/>
          <w:sz w:val="24"/>
        </w:rPr>
        <w:t>,</w:t>
      </w:r>
      <w:r w:rsidR="00BD780F">
        <w:rPr>
          <w:rFonts w:ascii="Times New Roman" w:hAnsi="Times New Roman"/>
          <w:sz w:val="24"/>
        </w:rPr>
        <w:t xml:space="preserve"> and the repeal of Chapters </w:t>
      </w:r>
      <w:r w:rsidR="00800051">
        <w:rPr>
          <w:rFonts w:ascii="Times New Roman" w:hAnsi="Times New Roman"/>
          <w:sz w:val="24"/>
        </w:rPr>
        <w:t xml:space="preserve">24, </w:t>
      </w:r>
      <w:r w:rsidR="00BD780F">
        <w:rPr>
          <w:rFonts w:ascii="Times New Roman" w:hAnsi="Times New Roman"/>
          <w:sz w:val="24"/>
        </w:rPr>
        <w:t xml:space="preserve">25 and 26 </w:t>
      </w:r>
      <w:r w:rsidRPr="00617C83">
        <w:rPr>
          <w:rFonts w:ascii="Times New Roman" w:hAnsi="Times New Roman"/>
          <w:sz w:val="24"/>
        </w:rPr>
        <w:t xml:space="preserve">were released on </w:t>
      </w:r>
      <w:r w:rsidR="006B1869" w:rsidRPr="00617C83">
        <w:rPr>
          <w:rFonts w:ascii="Times New Roman" w:hAnsi="Times New Roman"/>
          <w:sz w:val="24"/>
        </w:rPr>
        <w:t>11 March 2022</w:t>
      </w:r>
      <w:r w:rsidRPr="00617C83">
        <w:rPr>
          <w:rFonts w:ascii="Times New Roman" w:hAnsi="Times New Roman"/>
          <w:sz w:val="24"/>
        </w:rPr>
        <w:t xml:space="preserve"> for a </w:t>
      </w:r>
      <w:r w:rsidR="00507CCA" w:rsidRPr="00617C83">
        <w:rPr>
          <w:rFonts w:ascii="Times New Roman" w:hAnsi="Times New Roman"/>
          <w:sz w:val="24"/>
        </w:rPr>
        <w:t>four</w:t>
      </w:r>
      <w:r w:rsidRPr="00617C83">
        <w:rPr>
          <w:rFonts w:ascii="Times New Roman" w:hAnsi="Times New Roman"/>
          <w:sz w:val="24"/>
        </w:rPr>
        <w:t>-week period of public consultation. Ongoing consultation with industry</w:t>
      </w:r>
      <w:r w:rsidR="008320A3" w:rsidRPr="00617C83">
        <w:rPr>
          <w:rFonts w:ascii="Times New Roman" w:hAnsi="Times New Roman"/>
          <w:sz w:val="24"/>
        </w:rPr>
        <w:t xml:space="preserve"> </w:t>
      </w:r>
      <w:r w:rsidRPr="00617C83">
        <w:rPr>
          <w:rFonts w:ascii="Times New Roman" w:hAnsi="Times New Roman"/>
          <w:sz w:val="24"/>
        </w:rPr>
        <w:t>was undertaken</w:t>
      </w:r>
      <w:r w:rsidR="008320A3" w:rsidRPr="00617C83">
        <w:rPr>
          <w:rFonts w:ascii="Times New Roman" w:hAnsi="Times New Roman"/>
          <w:sz w:val="24"/>
        </w:rPr>
        <w:t xml:space="preserve"> following the public consultation period</w:t>
      </w:r>
      <w:r w:rsidRPr="00617C83">
        <w:rPr>
          <w:rFonts w:ascii="Times New Roman" w:hAnsi="Times New Roman"/>
          <w:sz w:val="24"/>
        </w:rPr>
        <w:t>.</w:t>
      </w:r>
    </w:p>
    <w:p w14:paraId="1BCFABD2" w14:textId="0458C26F" w:rsidR="00617C83" w:rsidRDefault="00617C83" w:rsidP="0094150C">
      <w:pPr>
        <w:autoSpaceDE w:val="0"/>
        <w:autoSpaceDN w:val="0"/>
        <w:adjustRightInd w:val="0"/>
        <w:spacing w:before="240"/>
        <w:rPr>
          <w:rFonts w:ascii="Times New Roman" w:hAnsi="Times New Roman"/>
          <w:b/>
          <w:sz w:val="24"/>
        </w:rPr>
      </w:pPr>
      <w:r w:rsidRPr="00617C83">
        <w:rPr>
          <w:rFonts w:ascii="Times New Roman" w:hAnsi="Times New Roman"/>
          <w:b/>
          <w:sz w:val="24"/>
        </w:rPr>
        <w:t>SUNSETTING</w:t>
      </w:r>
    </w:p>
    <w:p w14:paraId="5C27C934" w14:textId="7961C3A7" w:rsidR="00617C83" w:rsidRDefault="00617C83" w:rsidP="004B5D22">
      <w:pPr>
        <w:numPr>
          <w:ilvl w:val="0"/>
          <w:numId w:val="16"/>
        </w:numPr>
        <w:tabs>
          <w:tab w:val="clear" w:pos="720"/>
          <w:tab w:val="num" w:pos="567"/>
        </w:tabs>
        <w:autoSpaceDE w:val="0"/>
        <w:autoSpaceDN w:val="0"/>
        <w:adjustRightInd w:val="0"/>
        <w:spacing w:before="240"/>
        <w:ind w:left="567" w:hanging="567"/>
        <w:rPr>
          <w:rFonts w:ascii="Times New Roman" w:hAnsi="Times New Roman"/>
          <w:sz w:val="24"/>
        </w:rPr>
      </w:pPr>
      <w:r>
        <w:rPr>
          <w:rFonts w:ascii="Times New Roman" w:hAnsi="Times New Roman"/>
          <w:sz w:val="24"/>
        </w:rPr>
        <w:t xml:space="preserve">Under item 6 of Regulation 12 of the </w:t>
      </w:r>
      <w:r w:rsidRPr="002E165F">
        <w:rPr>
          <w:rFonts w:ascii="Times New Roman" w:hAnsi="Times New Roman"/>
          <w:i/>
          <w:sz w:val="24"/>
        </w:rPr>
        <w:t>Legislation (Exemptions and Other Matters) Regulation 2015</w:t>
      </w:r>
      <w:r>
        <w:rPr>
          <w:rFonts w:ascii="Times New Roman" w:hAnsi="Times New Roman"/>
          <w:sz w:val="24"/>
        </w:rPr>
        <w:t xml:space="preserve"> this Instrument is not subject to sunsetting.</w:t>
      </w:r>
    </w:p>
    <w:p w14:paraId="5ACA3D56" w14:textId="77777777" w:rsidR="0094150C" w:rsidRDefault="003577B9" w:rsidP="0094150C">
      <w:pPr>
        <w:numPr>
          <w:ilvl w:val="0"/>
          <w:numId w:val="16"/>
        </w:numPr>
        <w:tabs>
          <w:tab w:val="clear" w:pos="720"/>
          <w:tab w:val="num" w:pos="567"/>
        </w:tabs>
        <w:autoSpaceDE w:val="0"/>
        <w:autoSpaceDN w:val="0"/>
        <w:adjustRightInd w:val="0"/>
        <w:spacing w:before="240"/>
        <w:ind w:left="567" w:hanging="567"/>
        <w:rPr>
          <w:rFonts w:ascii="Times New Roman" w:hAnsi="Times New Roman"/>
          <w:sz w:val="24"/>
        </w:rPr>
      </w:pPr>
      <w:r>
        <w:rPr>
          <w:rFonts w:ascii="Times New Roman" w:hAnsi="Times New Roman"/>
          <w:sz w:val="24"/>
        </w:rPr>
        <w:lastRenderedPageBreak/>
        <w:t>The AML/CTF Rules are designed to be enduring</w:t>
      </w:r>
      <w:r w:rsidR="00564597">
        <w:rPr>
          <w:rFonts w:ascii="Times New Roman" w:hAnsi="Times New Roman"/>
          <w:sz w:val="24"/>
        </w:rPr>
        <w:t xml:space="preserve"> because they:</w:t>
      </w:r>
      <w:r>
        <w:rPr>
          <w:rFonts w:ascii="Times New Roman" w:hAnsi="Times New Roman"/>
          <w:sz w:val="24"/>
        </w:rPr>
        <w:t xml:space="preserve"> </w:t>
      </w:r>
    </w:p>
    <w:p w14:paraId="20F60921" w14:textId="7742DAA1" w:rsidR="003577B9" w:rsidRPr="0094150C" w:rsidRDefault="003577B9" w:rsidP="0094150C">
      <w:pPr>
        <w:numPr>
          <w:ilvl w:val="0"/>
          <w:numId w:val="25"/>
        </w:numPr>
        <w:spacing w:before="240"/>
        <w:rPr>
          <w:rFonts w:ascii="Times New Roman" w:hAnsi="Times New Roman"/>
          <w:sz w:val="24"/>
        </w:rPr>
      </w:pPr>
      <w:r w:rsidRPr="0094150C">
        <w:rPr>
          <w:rFonts w:ascii="Times New Roman" w:hAnsi="Times New Roman"/>
          <w:sz w:val="24"/>
        </w:rPr>
        <w:t>complement and provide the detail for the broader obligations set out in the AML/CTF Act, aid in meeting Australia’s international obligations and matters of international concern, and support the combatting of money lau</w:t>
      </w:r>
      <w:r w:rsidR="00564597" w:rsidRPr="0094150C">
        <w:rPr>
          <w:rFonts w:ascii="Times New Roman" w:hAnsi="Times New Roman"/>
          <w:sz w:val="24"/>
        </w:rPr>
        <w:t>ndering and terrorism financing</w:t>
      </w:r>
    </w:p>
    <w:p w14:paraId="56DDDE7D" w14:textId="4D4BC34F" w:rsidR="003577B9" w:rsidRPr="00564597" w:rsidRDefault="003577B9" w:rsidP="0094150C">
      <w:pPr>
        <w:numPr>
          <w:ilvl w:val="0"/>
          <w:numId w:val="25"/>
        </w:numPr>
        <w:spacing w:before="240"/>
        <w:rPr>
          <w:rFonts w:ascii="Times New Roman" w:hAnsi="Times New Roman"/>
          <w:sz w:val="24"/>
        </w:rPr>
      </w:pPr>
      <w:r w:rsidRPr="0094150C">
        <w:rPr>
          <w:rFonts w:ascii="Times New Roman" w:hAnsi="Times New Roman"/>
          <w:sz w:val="24"/>
        </w:rPr>
        <w:t xml:space="preserve">assist industry in fulfilling their compliance with the </w:t>
      </w:r>
      <w:r w:rsidRPr="00564597">
        <w:rPr>
          <w:rFonts w:ascii="Times New Roman" w:hAnsi="Times New Roman"/>
          <w:sz w:val="24"/>
        </w:rPr>
        <w:t xml:space="preserve">AML/CTF </w:t>
      </w:r>
      <w:r w:rsidRPr="0094150C">
        <w:rPr>
          <w:rFonts w:ascii="Times New Roman" w:hAnsi="Times New Roman"/>
          <w:sz w:val="24"/>
        </w:rPr>
        <w:t>Act</w:t>
      </w:r>
      <w:r w:rsidR="00564597">
        <w:rPr>
          <w:rFonts w:ascii="Times New Roman" w:hAnsi="Times New Roman"/>
          <w:sz w:val="24"/>
        </w:rPr>
        <w:t xml:space="preserve"> and provide </w:t>
      </w:r>
      <w:r w:rsidRPr="0094150C">
        <w:rPr>
          <w:rFonts w:ascii="Times New Roman" w:hAnsi="Times New Roman"/>
          <w:sz w:val="24"/>
        </w:rPr>
        <w:t>commercial and regu</w:t>
      </w:r>
      <w:r w:rsidR="00564597">
        <w:rPr>
          <w:rFonts w:ascii="Times New Roman" w:hAnsi="Times New Roman"/>
          <w:sz w:val="24"/>
        </w:rPr>
        <w:t xml:space="preserve">latory </w:t>
      </w:r>
      <w:r w:rsidR="00564597" w:rsidRPr="00564597">
        <w:rPr>
          <w:rFonts w:ascii="Times New Roman" w:hAnsi="Times New Roman"/>
          <w:sz w:val="24"/>
        </w:rPr>
        <w:t>certainty for industry, and</w:t>
      </w:r>
    </w:p>
    <w:p w14:paraId="06C20FA7" w14:textId="59F09B53" w:rsidR="003577B9" w:rsidRPr="00564597" w:rsidRDefault="00564597" w:rsidP="0094150C">
      <w:pPr>
        <w:numPr>
          <w:ilvl w:val="0"/>
          <w:numId w:val="25"/>
        </w:numPr>
        <w:spacing w:before="240"/>
        <w:rPr>
          <w:rFonts w:ascii="Times New Roman" w:hAnsi="Times New Roman"/>
          <w:sz w:val="24"/>
        </w:rPr>
      </w:pPr>
      <w:r>
        <w:rPr>
          <w:rFonts w:ascii="Times New Roman" w:hAnsi="Times New Roman"/>
          <w:sz w:val="24"/>
        </w:rPr>
        <w:t>are subject to</w:t>
      </w:r>
      <w:r w:rsidR="003577B9" w:rsidRPr="0094150C">
        <w:rPr>
          <w:rFonts w:ascii="Times New Roman" w:hAnsi="Times New Roman"/>
          <w:sz w:val="24"/>
        </w:rPr>
        <w:t xml:space="preserve"> an ongoing process of development, refinement and review, involving scrutiny and feedback from a wide range of stakeholders including industry, the Financial Action Task Force, Australian Government agencies, law enforcement agencies, and other interested parties</w:t>
      </w:r>
      <w:r w:rsidR="003577B9" w:rsidRPr="00564597">
        <w:rPr>
          <w:rFonts w:ascii="Times New Roman" w:hAnsi="Times New Roman"/>
          <w:sz w:val="24"/>
        </w:rPr>
        <w:t>.</w:t>
      </w:r>
      <w:r w:rsidR="00B53847" w:rsidRPr="00564597">
        <w:rPr>
          <w:rFonts w:ascii="Times New Roman" w:hAnsi="Times New Roman"/>
          <w:sz w:val="24"/>
        </w:rPr>
        <w:t xml:space="preserve"> </w:t>
      </w:r>
    </w:p>
    <w:p w14:paraId="1BD50BEE" w14:textId="45F32D3F" w:rsidR="00017141" w:rsidRPr="00C46410" w:rsidRDefault="009B309E" w:rsidP="0094150C">
      <w:pPr>
        <w:spacing w:before="360" w:after="160" w:line="259" w:lineRule="auto"/>
        <w:rPr>
          <w:rFonts w:ascii="Times New Roman" w:eastAsia="Calibri" w:hAnsi="Times New Roman"/>
          <w:b/>
          <w:caps/>
          <w:sz w:val="24"/>
        </w:rPr>
      </w:pPr>
      <w:r w:rsidRPr="00C46410">
        <w:rPr>
          <w:rFonts w:ascii="Times New Roman" w:eastAsia="Calibri" w:hAnsi="Times New Roman"/>
          <w:b/>
          <w:caps/>
          <w:sz w:val="24"/>
        </w:rPr>
        <w:t xml:space="preserve">Regulation impact statement </w:t>
      </w:r>
    </w:p>
    <w:p w14:paraId="23D4F9E3" w14:textId="34572A94" w:rsidR="00A46A52" w:rsidRPr="0094150C" w:rsidRDefault="002F62ED" w:rsidP="0094150C">
      <w:pPr>
        <w:numPr>
          <w:ilvl w:val="0"/>
          <w:numId w:val="16"/>
        </w:numPr>
        <w:tabs>
          <w:tab w:val="clear" w:pos="720"/>
          <w:tab w:val="num" w:pos="567"/>
        </w:tabs>
        <w:autoSpaceDE w:val="0"/>
        <w:autoSpaceDN w:val="0"/>
        <w:adjustRightInd w:val="0"/>
        <w:spacing w:before="240"/>
        <w:ind w:left="567" w:hanging="567"/>
        <w:rPr>
          <w:rFonts w:ascii="Times New Roman" w:hAnsi="Times New Roman"/>
          <w:sz w:val="24"/>
        </w:rPr>
      </w:pPr>
      <w:r w:rsidRPr="00617C83">
        <w:rPr>
          <w:rFonts w:ascii="Times New Roman" w:hAnsi="Times New Roman"/>
          <w:sz w:val="24"/>
        </w:rPr>
        <w:t xml:space="preserve">The Office of Best Practice </w:t>
      </w:r>
      <w:r w:rsidR="00C46410" w:rsidRPr="00617C83">
        <w:rPr>
          <w:rFonts w:ascii="Times New Roman" w:hAnsi="Times New Roman"/>
          <w:sz w:val="24"/>
        </w:rPr>
        <w:t xml:space="preserve">and </w:t>
      </w:r>
      <w:r w:rsidRPr="00617C83">
        <w:rPr>
          <w:rFonts w:ascii="Times New Roman" w:hAnsi="Times New Roman"/>
          <w:sz w:val="24"/>
        </w:rPr>
        <w:t xml:space="preserve">Regulation has advised that a Regulatory Impact Statement is not required </w:t>
      </w:r>
      <w:r w:rsidR="0094150C">
        <w:rPr>
          <w:rFonts w:ascii="Times New Roman" w:hAnsi="Times New Roman"/>
          <w:sz w:val="24"/>
        </w:rPr>
        <w:t xml:space="preserve">because </w:t>
      </w:r>
      <w:r w:rsidRPr="0094150C">
        <w:rPr>
          <w:rFonts w:ascii="Times New Roman" w:hAnsi="Times New Roman"/>
          <w:sz w:val="24"/>
        </w:rPr>
        <w:t xml:space="preserve">the </w:t>
      </w:r>
      <w:r w:rsidR="00FF6D02" w:rsidRPr="0094150C">
        <w:rPr>
          <w:rFonts w:ascii="Times New Roman" w:hAnsi="Times New Roman"/>
          <w:sz w:val="24"/>
        </w:rPr>
        <w:t xml:space="preserve">substitution of Chapter 24, </w:t>
      </w:r>
      <w:r w:rsidRPr="0094150C">
        <w:rPr>
          <w:rFonts w:ascii="Times New Roman" w:hAnsi="Times New Roman"/>
          <w:sz w:val="24"/>
        </w:rPr>
        <w:t xml:space="preserve">amendment to </w:t>
      </w:r>
      <w:r w:rsidR="00A46A52" w:rsidRPr="0094150C">
        <w:rPr>
          <w:rFonts w:ascii="Times New Roman" w:hAnsi="Times New Roman"/>
          <w:sz w:val="24"/>
        </w:rPr>
        <w:t>Chapter 34, and the repeal of Chapters 25 and 26</w:t>
      </w:r>
      <w:r w:rsidRPr="0094150C">
        <w:rPr>
          <w:rFonts w:ascii="Times New Roman" w:hAnsi="Times New Roman"/>
          <w:sz w:val="24"/>
        </w:rPr>
        <w:t xml:space="preserve"> </w:t>
      </w:r>
      <w:r w:rsidR="00044B95" w:rsidRPr="0094150C">
        <w:rPr>
          <w:rFonts w:ascii="Times New Roman" w:hAnsi="Times New Roman"/>
          <w:sz w:val="24"/>
        </w:rPr>
        <w:t>are unlikely to have a m</w:t>
      </w:r>
      <w:r w:rsidR="0094150C">
        <w:rPr>
          <w:rFonts w:ascii="Times New Roman" w:hAnsi="Times New Roman"/>
          <w:sz w:val="24"/>
        </w:rPr>
        <w:t>ore than minor regulatory impact.</w:t>
      </w:r>
    </w:p>
    <w:p w14:paraId="57377164" w14:textId="77777777" w:rsidR="00017141" w:rsidRPr="004B5D22" w:rsidRDefault="00017141" w:rsidP="00A46A52">
      <w:pPr>
        <w:spacing w:before="240"/>
        <w:rPr>
          <w:rFonts w:ascii="Times New Roman" w:hAnsi="Times New Roman"/>
          <w:sz w:val="24"/>
        </w:rPr>
      </w:pPr>
    </w:p>
    <w:p w14:paraId="3DA72700" w14:textId="2098715E" w:rsidR="00B04F55" w:rsidRPr="00CA7ABD" w:rsidRDefault="009B309E" w:rsidP="0008081C">
      <w:pPr>
        <w:spacing w:after="160" w:line="360" w:lineRule="auto"/>
        <w:ind w:left="720"/>
        <w:jc w:val="right"/>
        <w:rPr>
          <w:rFonts w:ascii="Times New Roman" w:eastAsia="Calibri" w:hAnsi="Times New Roman"/>
          <w:b/>
          <w:caps/>
          <w:sz w:val="24"/>
          <w:u w:val="single"/>
        </w:rPr>
      </w:pPr>
      <w:r w:rsidRPr="00733D11">
        <w:rPr>
          <w:rFonts w:ascii="Times New Roman" w:eastAsia="Calibri" w:hAnsi="Times New Roman"/>
          <w:b/>
          <w:caps/>
          <w:sz w:val="24"/>
        </w:rPr>
        <w:br w:type="page"/>
      </w:r>
      <w:r w:rsidRPr="0060668C">
        <w:rPr>
          <w:rFonts w:ascii="Times New Roman" w:eastAsia="Calibri" w:hAnsi="Times New Roman"/>
          <w:b/>
          <w:caps/>
          <w:sz w:val="24"/>
          <w:u w:val="single"/>
        </w:rPr>
        <w:lastRenderedPageBreak/>
        <w:t>ATTACHMENT A</w:t>
      </w:r>
    </w:p>
    <w:p w14:paraId="27035FD6" w14:textId="571171DB" w:rsidR="00B04F55" w:rsidRPr="00C1088D" w:rsidRDefault="004F603E" w:rsidP="00BD02D0">
      <w:pPr>
        <w:spacing w:before="240" w:after="160" w:line="259" w:lineRule="auto"/>
        <w:ind w:left="720"/>
        <w:rPr>
          <w:rFonts w:ascii="Times New Roman" w:eastAsia="Calibri" w:hAnsi="Times New Roman"/>
          <w:b/>
          <w:i/>
          <w:sz w:val="24"/>
        </w:rPr>
      </w:pPr>
      <w:r w:rsidRPr="004F603E">
        <w:rPr>
          <w:rFonts w:ascii="Times New Roman" w:eastAsia="Calibri" w:hAnsi="Times New Roman"/>
          <w:b/>
          <w:i/>
          <w:sz w:val="24"/>
        </w:rPr>
        <w:t>Anti-Money Laundering and Counter-Terrorism Financing Rules Amendment (Cross-border Movements) Instrument 2022</w:t>
      </w:r>
      <w:r w:rsidR="00B04F55" w:rsidRPr="00C1088D">
        <w:rPr>
          <w:rFonts w:ascii="Times New Roman" w:eastAsia="Calibri" w:hAnsi="Times New Roman"/>
          <w:b/>
          <w:i/>
          <w:sz w:val="24"/>
        </w:rPr>
        <w:t xml:space="preserve"> </w:t>
      </w:r>
    </w:p>
    <w:p w14:paraId="19C4B0D8" w14:textId="77777777" w:rsidR="00C46410" w:rsidRPr="00BF6A36" w:rsidRDefault="00C46410" w:rsidP="00BD02D0">
      <w:pPr>
        <w:spacing w:before="240" w:line="259" w:lineRule="auto"/>
        <w:ind w:left="720"/>
        <w:rPr>
          <w:rFonts w:ascii="Times New Roman" w:hAnsi="Times New Roman"/>
          <w:b/>
          <w:sz w:val="24"/>
        </w:rPr>
      </w:pPr>
      <w:r w:rsidRPr="00BF6A36">
        <w:rPr>
          <w:rFonts w:ascii="Times New Roman" w:hAnsi="Times New Roman"/>
          <w:b/>
          <w:sz w:val="24"/>
        </w:rPr>
        <w:t>Section 1—Name</w:t>
      </w:r>
    </w:p>
    <w:p w14:paraId="110DBB82" w14:textId="00D7DB41" w:rsidR="00B04F55" w:rsidRPr="0060668C" w:rsidRDefault="00B04F55" w:rsidP="00BD02D0">
      <w:pPr>
        <w:autoSpaceDE w:val="0"/>
        <w:autoSpaceDN w:val="0"/>
        <w:adjustRightInd w:val="0"/>
        <w:spacing w:before="240" w:line="259" w:lineRule="auto"/>
        <w:ind w:left="720"/>
        <w:rPr>
          <w:rFonts w:ascii="Times New Roman" w:hAnsi="Times New Roman"/>
          <w:sz w:val="24"/>
        </w:rPr>
      </w:pPr>
      <w:r w:rsidRPr="0060668C">
        <w:rPr>
          <w:rFonts w:ascii="Times New Roman" w:hAnsi="Times New Roman"/>
          <w:sz w:val="24"/>
        </w:rPr>
        <w:t xml:space="preserve">This section </w:t>
      </w:r>
      <w:r w:rsidR="00206C4A" w:rsidRPr="0060668C">
        <w:rPr>
          <w:rFonts w:ascii="Times New Roman" w:hAnsi="Times New Roman"/>
          <w:sz w:val="24"/>
        </w:rPr>
        <w:t>provides that the name of the Instrument is</w:t>
      </w:r>
      <w:r w:rsidRPr="0060668C">
        <w:rPr>
          <w:rFonts w:ascii="Times New Roman" w:hAnsi="Times New Roman"/>
          <w:sz w:val="24"/>
        </w:rPr>
        <w:t xml:space="preserve"> the </w:t>
      </w:r>
      <w:r w:rsidRPr="0060668C">
        <w:rPr>
          <w:rFonts w:ascii="Times New Roman" w:hAnsi="Times New Roman"/>
          <w:i/>
          <w:sz w:val="24"/>
        </w:rPr>
        <w:t>Anti-Money Laundering and Counter-Terrorism Financing Rules Amendment Instrument 20</w:t>
      </w:r>
      <w:r w:rsidR="005C28B5" w:rsidRPr="0060668C">
        <w:rPr>
          <w:rFonts w:ascii="Times New Roman" w:hAnsi="Times New Roman"/>
          <w:i/>
          <w:sz w:val="24"/>
        </w:rPr>
        <w:t>2</w:t>
      </w:r>
      <w:r w:rsidR="006B1869">
        <w:rPr>
          <w:rFonts w:ascii="Times New Roman" w:hAnsi="Times New Roman"/>
          <w:i/>
          <w:sz w:val="24"/>
        </w:rPr>
        <w:t>2</w:t>
      </w:r>
      <w:r w:rsidRPr="0060668C">
        <w:rPr>
          <w:rFonts w:ascii="Times New Roman" w:hAnsi="Times New Roman"/>
          <w:i/>
          <w:sz w:val="24"/>
        </w:rPr>
        <w:t xml:space="preserve"> (No. </w:t>
      </w:r>
      <w:r w:rsidR="00CA67C1">
        <w:rPr>
          <w:rFonts w:ascii="Times New Roman" w:hAnsi="Times New Roman"/>
          <w:i/>
          <w:sz w:val="24"/>
        </w:rPr>
        <w:t>2</w:t>
      </w:r>
      <w:r w:rsidRPr="0060668C">
        <w:rPr>
          <w:rFonts w:ascii="Times New Roman" w:hAnsi="Times New Roman"/>
          <w:sz w:val="24"/>
        </w:rPr>
        <w:t>).</w:t>
      </w:r>
    </w:p>
    <w:p w14:paraId="53188F4B" w14:textId="77777777" w:rsidR="00C46410" w:rsidRPr="00BF6A36" w:rsidRDefault="00C46410" w:rsidP="00BD02D0">
      <w:pPr>
        <w:spacing w:before="240" w:line="259" w:lineRule="auto"/>
        <w:ind w:left="720"/>
        <w:rPr>
          <w:rFonts w:ascii="Times New Roman" w:hAnsi="Times New Roman"/>
          <w:b/>
          <w:sz w:val="24"/>
        </w:rPr>
      </w:pPr>
      <w:r w:rsidRPr="00BF6A36">
        <w:rPr>
          <w:rFonts w:ascii="Times New Roman" w:hAnsi="Times New Roman"/>
          <w:b/>
          <w:sz w:val="24"/>
        </w:rPr>
        <w:t>Section 2—Commencement</w:t>
      </w:r>
    </w:p>
    <w:p w14:paraId="0F7EB19E" w14:textId="3963D53D" w:rsidR="00206C4A" w:rsidRPr="0060668C" w:rsidRDefault="00B04F55" w:rsidP="00BD02D0">
      <w:pPr>
        <w:autoSpaceDE w:val="0"/>
        <w:autoSpaceDN w:val="0"/>
        <w:adjustRightInd w:val="0"/>
        <w:spacing w:before="240" w:line="259" w:lineRule="auto"/>
        <w:ind w:left="720"/>
        <w:rPr>
          <w:rFonts w:ascii="Times New Roman" w:hAnsi="Times New Roman"/>
          <w:sz w:val="24"/>
        </w:rPr>
      </w:pPr>
      <w:r w:rsidRPr="0060668C">
        <w:rPr>
          <w:rFonts w:ascii="Times New Roman" w:hAnsi="Times New Roman"/>
          <w:sz w:val="24"/>
        </w:rPr>
        <w:t>This section</w:t>
      </w:r>
      <w:r w:rsidR="00BF6A36">
        <w:rPr>
          <w:rFonts w:ascii="Times New Roman" w:hAnsi="Times New Roman"/>
          <w:sz w:val="24"/>
        </w:rPr>
        <w:t xml:space="preserve"> provides for the commencement of each provision in the Instrument, as set out in the table in subsection 2(</w:t>
      </w:r>
      <w:r w:rsidR="004076E6">
        <w:rPr>
          <w:rFonts w:ascii="Times New Roman" w:hAnsi="Times New Roman"/>
          <w:sz w:val="24"/>
        </w:rPr>
        <w:t>1</w:t>
      </w:r>
      <w:r w:rsidR="00BF6A36">
        <w:rPr>
          <w:rFonts w:ascii="Times New Roman" w:hAnsi="Times New Roman"/>
          <w:sz w:val="24"/>
        </w:rPr>
        <w:t>).</w:t>
      </w:r>
      <w:r w:rsidRPr="0060668C">
        <w:rPr>
          <w:rFonts w:ascii="Times New Roman" w:hAnsi="Times New Roman"/>
          <w:sz w:val="24"/>
        </w:rPr>
        <w:t xml:space="preserve"> </w:t>
      </w:r>
    </w:p>
    <w:p w14:paraId="46D42776" w14:textId="418C831F" w:rsidR="00B04F55" w:rsidRPr="0060668C" w:rsidRDefault="00206C4A" w:rsidP="00BD02D0">
      <w:pPr>
        <w:autoSpaceDE w:val="0"/>
        <w:autoSpaceDN w:val="0"/>
        <w:adjustRightInd w:val="0"/>
        <w:spacing w:before="240"/>
        <w:ind w:left="720"/>
        <w:rPr>
          <w:rFonts w:ascii="Times New Roman" w:hAnsi="Times New Roman"/>
          <w:sz w:val="24"/>
        </w:rPr>
      </w:pPr>
      <w:r w:rsidRPr="0060668C">
        <w:rPr>
          <w:rFonts w:ascii="Times New Roman" w:hAnsi="Times New Roman"/>
          <w:sz w:val="24"/>
        </w:rPr>
        <w:t xml:space="preserve">The </w:t>
      </w:r>
      <w:r w:rsidR="00BF6A36">
        <w:rPr>
          <w:rFonts w:ascii="Times New Roman" w:hAnsi="Times New Roman"/>
          <w:sz w:val="24"/>
        </w:rPr>
        <w:t>amendments in Schedule 1 commence</w:t>
      </w:r>
      <w:r w:rsidR="00B04F55" w:rsidRPr="0060668C">
        <w:rPr>
          <w:rFonts w:ascii="Times New Roman" w:hAnsi="Times New Roman"/>
          <w:sz w:val="24"/>
        </w:rPr>
        <w:t xml:space="preserve"> </w:t>
      </w:r>
      <w:r w:rsidRPr="0060668C">
        <w:rPr>
          <w:rFonts w:ascii="Times New Roman" w:hAnsi="Times New Roman"/>
          <w:sz w:val="24"/>
        </w:rPr>
        <w:t xml:space="preserve">on </w:t>
      </w:r>
      <w:r w:rsidR="00DA04C5">
        <w:rPr>
          <w:rFonts w:ascii="Times New Roman" w:hAnsi="Times New Roman"/>
          <w:sz w:val="24"/>
        </w:rPr>
        <w:t xml:space="preserve">the latter of the day after the instrument is signed and </w:t>
      </w:r>
      <w:r w:rsidR="00CA67C1">
        <w:rPr>
          <w:rFonts w:ascii="Times New Roman" w:hAnsi="Times New Roman"/>
          <w:sz w:val="24"/>
        </w:rPr>
        <w:t>17 June</w:t>
      </w:r>
      <w:r w:rsidR="00960B38">
        <w:rPr>
          <w:rFonts w:ascii="Times New Roman" w:hAnsi="Times New Roman"/>
          <w:sz w:val="24"/>
        </w:rPr>
        <w:t xml:space="preserve"> 2022</w:t>
      </w:r>
      <w:r w:rsidR="00B04F55" w:rsidRPr="0060668C">
        <w:rPr>
          <w:rFonts w:ascii="Times New Roman" w:hAnsi="Times New Roman"/>
          <w:sz w:val="24"/>
        </w:rPr>
        <w:t>.</w:t>
      </w:r>
      <w:r w:rsidR="00960B38">
        <w:rPr>
          <w:rFonts w:ascii="Times New Roman" w:hAnsi="Times New Roman"/>
          <w:sz w:val="24"/>
        </w:rPr>
        <w:t xml:space="preserve"> </w:t>
      </w:r>
    </w:p>
    <w:p w14:paraId="5D7815ED" w14:textId="77777777" w:rsidR="00C46410" w:rsidRPr="00BF6A36" w:rsidRDefault="00C46410" w:rsidP="00BD02D0">
      <w:pPr>
        <w:spacing w:before="240" w:line="259" w:lineRule="auto"/>
        <w:ind w:left="720"/>
        <w:rPr>
          <w:rFonts w:ascii="Times New Roman" w:hAnsi="Times New Roman"/>
          <w:b/>
          <w:sz w:val="24"/>
        </w:rPr>
      </w:pPr>
      <w:r w:rsidRPr="00BF6A36">
        <w:rPr>
          <w:rFonts w:ascii="Times New Roman" w:hAnsi="Times New Roman"/>
          <w:b/>
          <w:sz w:val="24"/>
        </w:rPr>
        <w:t>Section 3—Authority</w:t>
      </w:r>
    </w:p>
    <w:p w14:paraId="546271B3" w14:textId="31ABE998" w:rsidR="00B04F55" w:rsidRPr="0060108F" w:rsidRDefault="00B04F55" w:rsidP="00BD02D0">
      <w:pPr>
        <w:autoSpaceDE w:val="0"/>
        <w:autoSpaceDN w:val="0"/>
        <w:adjustRightInd w:val="0"/>
        <w:spacing w:before="240" w:line="259" w:lineRule="auto"/>
        <w:ind w:left="720"/>
        <w:rPr>
          <w:rFonts w:ascii="Times New Roman" w:hAnsi="Times New Roman"/>
          <w:sz w:val="24"/>
        </w:rPr>
      </w:pPr>
      <w:r w:rsidRPr="0060668C">
        <w:rPr>
          <w:rFonts w:ascii="Times New Roman" w:hAnsi="Times New Roman"/>
          <w:sz w:val="24"/>
        </w:rPr>
        <w:t>This section</w:t>
      </w:r>
      <w:r w:rsidR="00BF6A36">
        <w:rPr>
          <w:rFonts w:ascii="Times New Roman" w:hAnsi="Times New Roman"/>
          <w:sz w:val="24"/>
        </w:rPr>
        <w:t xml:space="preserve"> provides that the Instrument is made under section 229 of the </w:t>
      </w:r>
      <w:r w:rsidR="00BF6A36">
        <w:rPr>
          <w:rFonts w:ascii="Times New Roman" w:hAnsi="Times New Roman"/>
          <w:i/>
          <w:sz w:val="24"/>
        </w:rPr>
        <w:t>Anti-Money Laundering and Counter-Terrorism Financing Act 2006</w:t>
      </w:r>
      <w:r w:rsidR="00BF6A36">
        <w:rPr>
          <w:rFonts w:ascii="Times New Roman" w:hAnsi="Times New Roman"/>
          <w:sz w:val="24"/>
        </w:rPr>
        <w:t xml:space="preserve">. </w:t>
      </w:r>
    </w:p>
    <w:p w14:paraId="2FD24FAA" w14:textId="77777777" w:rsidR="00C46410" w:rsidRPr="00BF6A36" w:rsidRDefault="00C46410" w:rsidP="00BD02D0">
      <w:pPr>
        <w:autoSpaceDE w:val="0"/>
        <w:autoSpaceDN w:val="0"/>
        <w:adjustRightInd w:val="0"/>
        <w:spacing w:before="240" w:line="259" w:lineRule="auto"/>
        <w:ind w:left="720"/>
        <w:rPr>
          <w:rFonts w:ascii="Times New Roman" w:hAnsi="Times New Roman"/>
          <w:b/>
          <w:sz w:val="24"/>
        </w:rPr>
      </w:pPr>
      <w:r w:rsidRPr="00BF6A36">
        <w:rPr>
          <w:rFonts w:ascii="Times New Roman" w:hAnsi="Times New Roman"/>
          <w:b/>
          <w:sz w:val="24"/>
        </w:rPr>
        <w:t>Section 4—Schedules</w:t>
      </w:r>
    </w:p>
    <w:p w14:paraId="3D99633B" w14:textId="77777777" w:rsidR="00D71B4A" w:rsidRDefault="00206C4A" w:rsidP="00BD02D0">
      <w:pPr>
        <w:autoSpaceDE w:val="0"/>
        <w:autoSpaceDN w:val="0"/>
        <w:adjustRightInd w:val="0"/>
        <w:spacing w:before="240" w:line="259" w:lineRule="auto"/>
        <w:ind w:left="720"/>
        <w:rPr>
          <w:rFonts w:ascii="Times New Roman" w:hAnsi="Times New Roman"/>
          <w:sz w:val="24"/>
        </w:rPr>
      </w:pPr>
      <w:r w:rsidRPr="0060108F">
        <w:rPr>
          <w:rFonts w:ascii="Times New Roman" w:hAnsi="Times New Roman"/>
          <w:sz w:val="24"/>
        </w:rPr>
        <w:t xml:space="preserve">This section provides </w:t>
      </w:r>
      <w:r w:rsidR="00D71B4A">
        <w:rPr>
          <w:rFonts w:ascii="Times New Roman" w:hAnsi="Times New Roman"/>
          <w:sz w:val="24"/>
        </w:rPr>
        <w:t>details of the amendment:</w:t>
      </w:r>
    </w:p>
    <w:p w14:paraId="4FDB3BAD" w14:textId="56588E56" w:rsidR="00206C4A" w:rsidRPr="0060108F" w:rsidRDefault="0094150C" w:rsidP="00BD02D0">
      <w:pPr>
        <w:autoSpaceDE w:val="0"/>
        <w:autoSpaceDN w:val="0"/>
        <w:adjustRightInd w:val="0"/>
        <w:spacing w:before="240" w:line="259" w:lineRule="auto"/>
        <w:ind w:left="720"/>
        <w:rPr>
          <w:rFonts w:ascii="Times New Roman" w:hAnsi="Times New Roman"/>
          <w:sz w:val="24"/>
        </w:rPr>
      </w:pPr>
      <w:r>
        <w:rPr>
          <w:rFonts w:ascii="Times New Roman" w:hAnsi="Times New Roman"/>
          <w:sz w:val="24"/>
        </w:rPr>
        <w:t>Schedule 1</w:t>
      </w:r>
      <w:r w:rsidR="00D71B4A">
        <w:rPr>
          <w:rFonts w:ascii="Times New Roman" w:hAnsi="Times New Roman"/>
          <w:sz w:val="24"/>
        </w:rPr>
        <w:t xml:space="preserve"> amend</w:t>
      </w:r>
      <w:r>
        <w:rPr>
          <w:rFonts w:ascii="Times New Roman" w:hAnsi="Times New Roman"/>
          <w:sz w:val="24"/>
        </w:rPr>
        <w:t>s</w:t>
      </w:r>
      <w:r w:rsidR="00D71B4A">
        <w:rPr>
          <w:rFonts w:ascii="Times New Roman" w:hAnsi="Times New Roman"/>
          <w:sz w:val="24"/>
        </w:rPr>
        <w:t xml:space="preserve"> the </w:t>
      </w:r>
      <w:r w:rsidR="00D71B4A">
        <w:rPr>
          <w:rFonts w:ascii="Times New Roman" w:hAnsi="Times New Roman"/>
          <w:i/>
          <w:sz w:val="24"/>
        </w:rPr>
        <w:t xml:space="preserve">Anti-Money Laundering and Counter-Terrorism Financing Rules Instrument 2007 (No. 1) </w:t>
      </w:r>
      <w:r w:rsidR="00D71B4A">
        <w:rPr>
          <w:rFonts w:ascii="Times New Roman" w:hAnsi="Times New Roman"/>
          <w:sz w:val="24"/>
        </w:rPr>
        <w:t>(the AML/CTF Rules)</w:t>
      </w:r>
      <w:r w:rsidR="00206C4A" w:rsidRPr="0060108F">
        <w:rPr>
          <w:rFonts w:ascii="Times New Roman" w:hAnsi="Times New Roman"/>
          <w:sz w:val="24"/>
        </w:rPr>
        <w:t>.</w:t>
      </w:r>
    </w:p>
    <w:p w14:paraId="031E5818" w14:textId="4CA6EAFC" w:rsidR="00C46410" w:rsidRPr="0094150C" w:rsidRDefault="00C46410" w:rsidP="00BD02D0">
      <w:pPr>
        <w:spacing w:before="240" w:line="259" w:lineRule="auto"/>
        <w:ind w:left="720"/>
        <w:rPr>
          <w:rFonts w:ascii="Times New Roman" w:hAnsi="Times New Roman"/>
          <w:b/>
          <w:sz w:val="24"/>
        </w:rPr>
      </w:pPr>
      <w:r w:rsidRPr="0094150C">
        <w:rPr>
          <w:rFonts w:ascii="Times New Roman" w:hAnsi="Times New Roman"/>
          <w:b/>
          <w:sz w:val="24"/>
        </w:rPr>
        <w:t>Schedule 1</w:t>
      </w:r>
    </w:p>
    <w:p w14:paraId="119DF445" w14:textId="61DA89C3" w:rsidR="00D71B4A" w:rsidRPr="0094150C" w:rsidRDefault="00D71B4A" w:rsidP="0094150C">
      <w:pPr>
        <w:spacing w:before="240" w:line="259" w:lineRule="auto"/>
        <w:ind w:left="720"/>
        <w:rPr>
          <w:rFonts w:ascii="Times New Roman" w:hAnsi="Times New Roman"/>
          <w:sz w:val="24"/>
        </w:rPr>
      </w:pPr>
      <w:r w:rsidRPr="0094150C">
        <w:rPr>
          <w:rFonts w:ascii="Times New Roman" w:hAnsi="Times New Roman"/>
          <w:sz w:val="24"/>
        </w:rPr>
        <w:t>This Schedule repeals Chapters 24, 25, and 26 and substitutes a new Chapter 24, and amends Chapter 34 of the AML/CTF Rules.</w:t>
      </w:r>
    </w:p>
    <w:p w14:paraId="31A4E642" w14:textId="77777777" w:rsidR="00B04F55" w:rsidRPr="0094150C" w:rsidRDefault="00B04F55" w:rsidP="00BD02D0">
      <w:pPr>
        <w:keepNext/>
        <w:spacing w:before="240"/>
        <w:ind w:left="720"/>
        <w:rPr>
          <w:rFonts w:ascii="Times New Roman" w:hAnsi="Times New Roman"/>
          <w:b/>
          <w:sz w:val="24"/>
        </w:rPr>
      </w:pPr>
      <w:r w:rsidRPr="0094150C">
        <w:rPr>
          <w:rFonts w:ascii="Times New Roman" w:hAnsi="Times New Roman"/>
          <w:b/>
          <w:sz w:val="24"/>
        </w:rPr>
        <w:t>Notes on items</w:t>
      </w:r>
    </w:p>
    <w:p w14:paraId="019151B6" w14:textId="27512E8C" w:rsidR="0063776E" w:rsidRPr="0094150C" w:rsidRDefault="0063776E" w:rsidP="00BD02D0">
      <w:pPr>
        <w:keepNext/>
        <w:spacing w:before="240" w:line="259" w:lineRule="auto"/>
        <w:ind w:left="720"/>
        <w:rPr>
          <w:rFonts w:ascii="Times New Roman" w:hAnsi="Times New Roman"/>
          <w:b/>
          <w:sz w:val="24"/>
        </w:rPr>
      </w:pPr>
      <w:r w:rsidRPr="0094150C">
        <w:rPr>
          <w:rFonts w:ascii="Times New Roman" w:hAnsi="Times New Roman"/>
          <w:b/>
          <w:sz w:val="24"/>
        </w:rPr>
        <w:t>Schedule 1</w:t>
      </w:r>
    </w:p>
    <w:p w14:paraId="77ED2EEC" w14:textId="2AA7C730" w:rsidR="00C46410" w:rsidRPr="0094150C" w:rsidRDefault="00C46410" w:rsidP="00BD02D0">
      <w:pPr>
        <w:keepNext/>
        <w:spacing w:before="240" w:line="259" w:lineRule="auto"/>
        <w:ind w:left="720"/>
        <w:rPr>
          <w:rFonts w:ascii="Times New Roman" w:hAnsi="Times New Roman"/>
          <w:b/>
          <w:sz w:val="24"/>
        </w:rPr>
      </w:pPr>
      <w:r w:rsidRPr="0094150C">
        <w:rPr>
          <w:rFonts w:ascii="Times New Roman" w:hAnsi="Times New Roman"/>
          <w:b/>
          <w:sz w:val="24"/>
        </w:rPr>
        <w:t>Item 1—</w:t>
      </w:r>
      <w:r w:rsidR="00BF6A36" w:rsidRPr="0094150C">
        <w:rPr>
          <w:rFonts w:ascii="Times New Roman" w:hAnsi="Times New Roman"/>
          <w:b/>
          <w:sz w:val="24"/>
        </w:rPr>
        <w:t xml:space="preserve">Chapter </w:t>
      </w:r>
      <w:r w:rsidR="00CA67C1" w:rsidRPr="0094150C">
        <w:rPr>
          <w:rFonts w:ascii="Times New Roman" w:hAnsi="Times New Roman"/>
          <w:b/>
          <w:sz w:val="24"/>
        </w:rPr>
        <w:t>24</w:t>
      </w:r>
    </w:p>
    <w:p w14:paraId="53F1E365" w14:textId="1A9102FD" w:rsidR="00B04F55" w:rsidRPr="0094150C" w:rsidRDefault="00B04F55" w:rsidP="00BD02D0">
      <w:pPr>
        <w:autoSpaceDE w:val="0"/>
        <w:autoSpaceDN w:val="0"/>
        <w:adjustRightInd w:val="0"/>
        <w:spacing w:before="240" w:line="259" w:lineRule="auto"/>
        <w:ind w:left="720"/>
        <w:rPr>
          <w:rFonts w:ascii="Times New Roman" w:hAnsi="Times New Roman"/>
          <w:sz w:val="24"/>
        </w:rPr>
      </w:pPr>
      <w:r w:rsidRPr="0094150C">
        <w:rPr>
          <w:rFonts w:ascii="Times New Roman" w:hAnsi="Times New Roman"/>
          <w:sz w:val="24"/>
        </w:rPr>
        <w:t xml:space="preserve">This item </w:t>
      </w:r>
      <w:r w:rsidR="00A247E3" w:rsidRPr="0094150C">
        <w:rPr>
          <w:rFonts w:ascii="Times New Roman" w:hAnsi="Times New Roman"/>
          <w:sz w:val="24"/>
        </w:rPr>
        <w:t xml:space="preserve">repeals Chapters 24, 25, and 26 and substitutes </w:t>
      </w:r>
      <w:r w:rsidR="004B5627" w:rsidRPr="0094150C">
        <w:rPr>
          <w:rFonts w:ascii="Times New Roman" w:hAnsi="Times New Roman"/>
          <w:sz w:val="24"/>
        </w:rPr>
        <w:t xml:space="preserve">a new </w:t>
      </w:r>
      <w:r w:rsidR="00CA67C1" w:rsidRPr="0094150C">
        <w:rPr>
          <w:rFonts w:ascii="Times New Roman" w:hAnsi="Times New Roman"/>
          <w:sz w:val="24"/>
        </w:rPr>
        <w:t>Chapter 24</w:t>
      </w:r>
      <w:r w:rsidR="004076E6" w:rsidRPr="0094150C">
        <w:rPr>
          <w:rFonts w:ascii="Times New Roman" w:hAnsi="Times New Roman"/>
          <w:sz w:val="24"/>
        </w:rPr>
        <w:t xml:space="preserve"> </w:t>
      </w:r>
      <w:r w:rsidR="00E251AF" w:rsidRPr="0094150C">
        <w:rPr>
          <w:rFonts w:ascii="Times New Roman" w:hAnsi="Times New Roman"/>
          <w:sz w:val="24"/>
        </w:rPr>
        <w:t>in</w:t>
      </w:r>
      <w:r w:rsidR="002F525A" w:rsidRPr="0094150C">
        <w:rPr>
          <w:rFonts w:ascii="Times New Roman" w:hAnsi="Times New Roman"/>
          <w:sz w:val="24"/>
        </w:rPr>
        <w:t xml:space="preserve"> the AML/CTF Rules.</w:t>
      </w:r>
    </w:p>
    <w:p w14:paraId="55147F30" w14:textId="7B98F87B" w:rsidR="00A247E3" w:rsidRDefault="00EF21A7" w:rsidP="00BD02D0">
      <w:pPr>
        <w:autoSpaceDE w:val="0"/>
        <w:autoSpaceDN w:val="0"/>
        <w:adjustRightInd w:val="0"/>
        <w:spacing w:before="240" w:line="259" w:lineRule="auto"/>
        <w:ind w:left="720"/>
        <w:rPr>
          <w:rFonts w:ascii="Times New Roman" w:hAnsi="Times New Roman"/>
          <w:sz w:val="24"/>
        </w:rPr>
      </w:pPr>
      <w:r w:rsidRPr="0094150C">
        <w:rPr>
          <w:rFonts w:ascii="Times New Roman" w:hAnsi="Times New Roman"/>
          <w:sz w:val="24"/>
        </w:rPr>
        <w:t>Paragraph 24.1 provides that</w:t>
      </w:r>
      <w:r>
        <w:rPr>
          <w:rFonts w:ascii="Times New Roman" w:hAnsi="Times New Roman"/>
          <w:sz w:val="24"/>
        </w:rPr>
        <w:t xml:space="preserve"> the Chapter is made for the purposes of paragraphs 53(7)(b), 53(7)(d), and 54(4)(b).</w:t>
      </w:r>
    </w:p>
    <w:p w14:paraId="22B9DD0F" w14:textId="4199BC41" w:rsidR="00EF21A7" w:rsidRDefault="00E45E60" w:rsidP="00BD02D0">
      <w:pPr>
        <w:autoSpaceDE w:val="0"/>
        <w:autoSpaceDN w:val="0"/>
        <w:adjustRightInd w:val="0"/>
        <w:spacing w:before="240" w:line="259" w:lineRule="auto"/>
        <w:ind w:left="720"/>
        <w:rPr>
          <w:rFonts w:ascii="Times New Roman" w:hAnsi="Times New Roman"/>
          <w:sz w:val="24"/>
        </w:rPr>
      </w:pPr>
      <w:r>
        <w:rPr>
          <w:rFonts w:ascii="Times New Roman" w:hAnsi="Times New Roman"/>
          <w:sz w:val="24"/>
        </w:rPr>
        <w:t>Sub-p</w:t>
      </w:r>
      <w:r w:rsidR="00EF21A7">
        <w:rPr>
          <w:rFonts w:ascii="Times New Roman" w:hAnsi="Times New Roman"/>
          <w:sz w:val="24"/>
        </w:rPr>
        <w:t>aragraph 24.1</w:t>
      </w:r>
      <w:r>
        <w:rPr>
          <w:rFonts w:ascii="Times New Roman" w:hAnsi="Times New Roman"/>
          <w:sz w:val="24"/>
        </w:rPr>
        <w:t xml:space="preserve">(1) clarifies that a report under section 53 of the AML/CTF Act (reports about movements of monetary instruments into or out of </w:t>
      </w:r>
      <w:r>
        <w:rPr>
          <w:rFonts w:ascii="Times New Roman" w:hAnsi="Times New Roman"/>
          <w:sz w:val="24"/>
        </w:rPr>
        <w:lastRenderedPageBreak/>
        <w:t xml:space="preserve">Australia) must contain the information specified in subsection (2) </w:t>
      </w:r>
      <w:r w:rsidR="004C59ED">
        <w:rPr>
          <w:rFonts w:ascii="Times New Roman" w:hAnsi="Times New Roman"/>
          <w:sz w:val="24"/>
        </w:rPr>
        <w:t xml:space="preserve">(to the extent known), </w:t>
      </w:r>
      <w:r>
        <w:rPr>
          <w:rFonts w:ascii="Times New Roman" w:hAnsi="Times New Roman"/>
          <w:sz w:val="24"/>
        </w:rPr>
        <w:t xml:space="preserve">and be given in accordance with the </w:t>
      </w:r>
      <w:r w:rsidR="004C59ED">
        <w:rPr>
          <w:rFonts w:ascii="Times New Roman" w:hAnsi="Times New Roman"/>
          <w:sz w:val="24"/>
        </w:rPr>
        <w:t>applicable timing rules specified in subsection (3).</w:t>
      </w:r>
    </w:p>
    <w:p w14:paraId="549FA812" w14:textId="1009F619" w:rsidR="004C59ED" w:rsidRDefault="004C59ED" w:rsidP="00BD02D0">
      <w:pPr>
        <w:autoSpaceDE w:val="0"/>
        <w:autoSpaceDN w:val="0"/>
        <w:adjustRightInd w:val="0"/>
        <w:spacing w:before="240" w:line="259" w:lineRule="auto"/>
        <w:ind w:left="720"/>
        <w:rPr>
          <w:rFonts w:ascii="Times New Roman" w:hAnsi="Times New Roman"/>
          <w:sz w:val="24"/>
        </w:rPr>
      </w:pPr>
      <w:r>
        <w:rPr>
          <w:rFonts w:ascii="Times New Roman" w:hAnsi="Times New Roman"/>
          <w:sz w:val="24"/>
        </w:rPr>
        <w:t>Subparagraph 24.1(2) specifies the information required for a report under section 53 of the AML/CTF Act (reports about movements of monetary instruments into or out of Australia):</w:t>
      </w:r>
    </w:p>
    <w:p w14:paraId="6932C611" w14:textId="62713BCB" w:rsidR="004C59ED" w:rsidRDefault="00361FCB" w:rsidP="00CA7ABD">
      <w:pPr>
        <w:numPr>
          <w:ilvl w:val="1"/>
          <w:numId w:val="16"/>
        </w:numPr>
        <w:autoSpaceDE w:val="0"/>
        <w:autoSpaceDN w:val="0"/>
        <w:adjustRightInd w:val="0"/>
        <w:spacing w:before="240" w:line="259" w:lineRule="auto"/>
        <w:rPr>
          <w:rFonts w:ascii="Times New Roman" w:hAnsi="Times New Roman"/>
          <w:sz w:val="24"/>
        </w:rPr>
      </w:pPr>
      <w:r>
        <w:rPr>
          <w:rFonts w:ascii="Times New Roman" w:hAnsi="Times New Roman"/>
          <w:sz w:val="24"/>
        </w:rPr>
        <w:t>for an individual, the person’s full name, date and place of birth, the country or countries of citizenship, residential address, phone number, Australian residency, for non-residents - the person’s address and telephone number while in Australia, the person’s occupation, business or principal activity, and the person’s ABN;</w:t>
      </w:r>
    </w:p>
    <w:p w14:paraId="43B8B915" w14:textId="5BF218A8" w:rsidR="00361FCB" w:rsidRDefault="00361FCB" w:rsidP="00CA7ABD">
      <w:pPr>
        <w:numPr>
          <w:ilvl w:val="1"/>
          <w:numId w:val="16"/>
        </w:numPr>
        <w:autoSpaceDE w:val="0"/>
        <w:autoSpaceDN w:val="0"/>
        <w:adjustRightInd w:val="0"/>
        <w:spacing w:before="240" w:line="259" w:lineRule="auto"/>
        <w:rPr>
          <w:rFonts w:ascii="Times New Roman" w:hAnsi="Times New Roman"/>
          <w:sz w:val="24"/>
        </w:rPr>
      </w:pPr>
      <w:r>
        <w:rPr>
          <w:rFonts w:ascii="Times New Roman" w:hAnsi="Times New Roman"/>
          <w:sz w:val="24"/>
        </w:rPr>
        <w:t xml:space="preserve">for non-individuals, the person’s full name, business or principal activity, address, telephone number, and if the person is registered in Australia – the person’s ABN, </w:t>
      </w:r>
      <w:r w:rsidR="006056DD">
        <w:rPr>
          <w:rFonts w:ascii="Times New Roman" w:hAnsi="Times New Roman"/>
          <w:sz w:val="24"/>
        </w:rPr>
        <w:t>AC</w:t>
      </w:r>
      <w:r>
        <w:rPr>
          <w:rFonts w:ascii="Times New Roman" w:hAnsi="Times New Roman"/>
          <w:sz w:val="24"/>
        </w:rPr>
        <w:t>N and ARBN (as applicable);</w:t>
      </w:r>
    </w:p>
    <w:p w14:paraId="1B567DE4" w14:textId="37CFA6CF" w:rsidR="00F730F1" w:rsidRDefault="00361FCB" w:rsidP="00CA7ABD">
      <w:pPr>
        <w:numPr>
          <w:ilvl w:val="1"/>
          <w:numId w:val="16"/>
        </w:numPr>
        <w:autoSpaceDE w:val="0"/>
        <w:autoSpaceDN w:val="0"/>
        <w:adjustRightInd w:val="0"/>
        <w:spacing w:before="240" w:line="259" w:lineRule="auto"/>
        <w:rPr>
          <w:rFonts w:ascii="Times New Roman" w:hAnsi="Times New Roman"/>
          <w:sz w:val="24"/>
        </w:rPr>
      </w:pPr>
      <w:r>
        <w:rPr>
          <w:rFonts w:ascii="Times New Roman" w:hAnsi="Times New Roman"/>
          <w:sz w:val="24"/>
        </w:rPr>
        <w:t xml:space="preserve">if the person is moving the </w:t>
      </w:r>
      <w:r w:rsidR="00F730F1">
        <w:rPr>
          <w:rFonts w:ascii="Times New Roman" w:hAnsi="Times New Roman"/>
          <w:sz w:val="24"/>
        </w:rPr>
        <w:t>monetary instrument on behalf of another person (the other person), the other person’s name, address, telephone number, occupation or principle activity and ABN, ACN and ARBN (as applicable);</w:t>
      </w:r>
    </w:p>
    <w:p w14:paraId="34533810" w14:textId="77777777" w:rsidR="00F730F1" w:rsidRDefault="00F730F1" w:rsidP="00CA7ABD">
      <w:pPr>
        <w:numPr>
          <w:ilvl w:val="1"/>
          <w:numId w:val="16"/>
        </w:numPr>
        <w:autoSpaceDE w:val="0"/>
        <w:autoSpaceDN w:val="0"/>
        <w:adjustRightInd w:val="0"/>
        <w:spacing w:before="240" w:line="259" w:lineRule="auto"/>
        <w:rPr>
          <w:rFonts w:ascii="Times New Roman" w:hAnsi="Times New Roman"/>
          <w:sz w:val="24"/>
        </w:rPr>
      </w:pPr>
      <w:r>
        <w:rPr>
          <w:rFonts w:ascii="Times New Roman" w:hAnsi="Times New Roman"/>
          <w:sz w:val="24"/>
        </w:rPr>
        <w:t>if the person is delivering the monetary instrument to another person (the other person), the other person’s name, address, telephone number, occupation or principle activity and ABN, ACN and ARBN (as applicable);</w:t>
      </w:r>
    </w:p>
    <w:p w14:paraId="785BE034" w14:textId="77777777" w:rsidR="009E6D5E" w:rsidRDefault="009E6D5E" w:rsidP="00CA7ABD">
      <w:pPr>
        <w:numPr>
          <w:ilvl w:val="1"/>
          <w:numId w:val="16"/>
        </w:numPr>
        <w:autoSpaceDE w:val="0"/>
        <w:autoSpaceDN w:val="0"/>
        <w:adjustRightInd w:val="0"/>
        <w:spacing w:before="240" w:line="259" w:lineRule="auto"/>
        <w:rPr>
          <w:rFonts w:ascii="Times New Roman" w:hAnsi="Times New Roman"/>
          <w:sz w:val="24"/>
        </w:rPr>
      </w:pPr>
      <w:r>
        <w:rPr>
          <w:rFonts w:ascii="Times New Roman" w:hAnsi="Times New Roman"/>
          <w:sz w:val="24"/>
        </w:rPr>
        <w:t>whether the movement is into or out of Australia;</w:t>
      </w:r>
    </w:p>
    <w:p w14:paraId="60E67ECF" w14:textId="77777777" w:rsidR="009E6D5E" w:rsidRDefault="009E6D5E" w:rsidP="00CA7ABD">
      <w:pPr>
        <w:numPr>
          <w:ilvl w:val="1"/>
          <w:numId w:val="16"/>
        </w:numPr>
        <w:autoSpaceDE w:val="0"/>
        <w:autoSpaceDN w:val="0"/>
        <w:adjustRightInd w:val="0"/>
        <w:spacing w:before="240" w:line="259" w:lineRule="auto"/>
        <w:rPr>
          <w:rFonts w:ascii="Times New Roman" w:hAnsi="Times New Roman"/>
          <w:sz w:val="24"/>
        </w:rPr>
      </w:pPr>
      <w:r>
        <w:rPr>
          <w:rFonts w:ascii="Times New Roman" w:hAnsi="Times New Roman"/>
          <w:sz w:val="24"/>
        </w:rPr>
        <w:t>the kind of monetary instrument being moved;</w:t>
      </w:r>
    </w:p>
    <w:p w14:paraId="1B3F0DD8" w14:textId="77777777" w:rsidR="009E6D5E" w:rsidRDefault="009E6D5E" w:rsidP="00CA7ABD">
      <w:pPr>
        <w:numPr>
          <w:ilvl w:val="1"/>
          <w:numId w:val="16"/>
        </w:numPr>
        <w:autoSpaceDE w:val="0"/>
        <w:autoSpaceDN w:val="0"/>
        <w:adjustRightInd w:val="0"/>
        <w:spacing w:before="240" w:line="259" w:lineRule="auto"/>
        <w:rPr>
          <w:rFonts w:ascii="Times New Roman" w:hAnsi="Times New Roman"/>
          <w:sz w:val="24"/>
        </w:rPr>
      </w:pPr>
      <w:r>
        <w:rPr>
          <w:rFonts w:ascii="Times New Roman" w:hAnsi="Times New Roman"/>
          <w:sz w:val="24"/>
        </w:rPr>
        <w:t>the monetary instrument amount;</w:t>
      </w:r>
    </w:p>
    <w:p w14:paraId="3891A776" w14:textId="77777777" w:rsidR="009E6D5E" w:rsidRDefault="009E6D5E" w:rsidP="00CA7ABD">
      <w:pPr>
        <w:numPr>
          <w:ilvl w:val="1"/>
          <w:numId w:val="16"/>
        </w:numPr>
        <w:autoSpaceDE w:val="0"/>
        <w:autoSpaceDN w:val="0"/>
        <w:adjustRightInd w:val="0"/>
        <w:spacing w:before="240" w:line="259" w:lineRule="auto"/>
        <w:rPr>
          <w:rFonts w:ascii="Times New Roman" w:hAnsi="Times New Roman"/>
          <w:sz w:val="24"/>
        </w:rPr>
      </w:pPr>
      <w:r>
        <w:rPr>
          <w:rFonts w:ascii="Times New Roman" w:hAnsi="Times New Roman"/>
          <w:sz w:val="24"/>
        </w:rPr>
        <w:t>the currency of the monetary instrument;</w:t>
      </w:r>
    </w:p>
    <w:p w14:paraId="22BB8665" w14:textId="77777777" w:rsidR="009E6D5E" w:rsidRDefault="009E6D5E" w:rsidP="00CA7ABD">
      <w:pPr>
        <w:numPr>
          <w:ilvl w:val="1"/>
          <w:numId w:val="16"/>
        </w:numPr>
        <w:autoSpaceDE w:val="0"/>
        <w:autoSpaceDN w:val="0"/>
        <w:adjustRightInd w:val="0"/>
        <w:spacing w:before="240" w:line="259" w:lineRule="auto"/>
        <w:rPr>
          <w:rFonts w:ascii="Times New Roman" w:hAnsi="Times New Roman"/>
          <w:sz w:val="24"/>
        </w:rPr>
      </w:pPr>
      <w:r>
        <w:rPr>
          <w:rFonts w:ascii="Times New Roman" w:hAnsi="Times New Roman"/>
          <w:sz w:val="24"/>
        </w:rPr>
        <w:t>if the monetary instrument is a bearer negotiable instrument, the details of the bearer negotiable instrument;</w:t>
      </w:r>
    </w:p>
    <w:p w14:paraId="37180412" w14:textId="77777777" w:rsidR="0092475E" w:rsidRDefault="009E6D5E" w:rsidP="00CA7ABD">
      <w:pPr>
        <w:numPr>
          <w:ilvl w:val="1"/>
          <w:numId w:val="16"/>
        </w:numPr>
        <w:autoSpaceDE w:val="0"/>
        <w:autoSpaceDN w:val="0"/>
        <w:adjustRightInd w:val="0"/>
        <w:spacing w:before="240" w:line="259" w:lineRule="auto"/>
        <w:rPr>
          <w:rFonts w:ascii="Times New Roman" w:hAnsi="Times New Roman"/>
          <w:sz w:val="24"/>
        </w:rPr>
      </w:pPr>
      <w:r>
        <w:rPr>
          <w:rFonts w:ascii="Times New Roman" w:hAnsi="Times New Roman"/>
          <w:sz w:val="24"/>
        </w:rPr>
        <w:t xml:space="preserve">if an individual is bringing the monetary instrument into or out of Australia, whether they are travelling into or out of Australia, the town or city  where they are entering or leaving Australia, the date of arrival or departure, the person’s passport number and country of issue and details of </w:t>
      </w:r>
      <w:r w:rsidR="0092475E">
        <w:rPr>
          <w:rFonts w:ascii="Times New Roman" w:hAnsi="Times New Roman"/>
          <w:sz w:val="24"/>
        </w:rPr>
        <w:t>other passports held, the flight number or name of vessel, and the overseas city and country the monetary instrument is being taken to or brought from;</w:t>
      </w:r>
    </w:p>
    <w:p w14:paraId="72C2B672" w14:textId="77777777" w:rsidR="0092475E" w:rsidRDefault="0092475E" w:rsidP="00CA7ABD">
      <w:pPr>
        <w:numPr>
          <w:ilvl w:val="1"/>
          <w:numId w:val="16"/>
        </w:numPr>
        <w:autoSpaceDE w:val="0"/>
        <w:autoSpaceDN w:val="0"/>
        <w:adjustRightInd w:val="0"/>
        <w:spacing w:before="240" w:line="259" w:lineRule="auto"/>
        <w:rPr>
          <w:rFonts w:ascii="Times New Roman" w:hAnsi="Times New Roman"/>
          <w:sz w:val="24"/>
        </w:rPr>
      </w:pPr>
      <w:r>
        <w:rPr>
          <w:rFonts w:ascii="Times New Roman" w:hAnsi="Times New Roman"/>
          <w:sz w:val="24"/>
        </w:rPr>
        <w:t xml:space="preserve">if the monetary instrument is being sent into or out of Australia, the means by which it is being sent, the name, address and telephone number </w:t>
      </w:r>
      <w:r>
        <w:rPr>
          <w:rFonts w:ascii="Times New Roman" w:hAnsi="Times New Roman"/>
          <w:sz w:val="24"/>
        </w:rPr>
        <w:lastRenderedPageBreak/>
        <w:t>of the individual or service provider carrying the monetary instrument, if the monetary instrument is being shipped - the name of the vessel, the country from which it is sent, and the date sent;</w:t>
      </w:r>
    </w:p>
    <w:p w14:paraId="3FBE62B8" w14:textId="77777777" w:rsidR="0092475E" w:rsidRDefault="0092475E" w:rsidP="00CA7ABD">
      <w:pPr>
        <w:numPr>
          <w:ilvl w:val="1"/>
          <w:numId w:val="16"/>
        </w:numPr>
        <w:autoSpaceDE w:val="0"/>
        <w:autoSpaceDN w:val="0"/>
        <w:adjustRightInd w:val="0"/>
        <w:spacing w:before="240" w:line="259" w:lineRule="auto"/>
        <w:rPr>
          <w:rFonts w:ascii="Times New Roman" w:hAnsi="Times New Roman"/>
          <w:sz w:val="24"/>
        </w:rPr>
      </w:pPr>
      <w:r>
        <w:rPr>
          <w:rFonts w:ascii="Times New Roman" w:hAnsi="Times New Roman"/>
          <w:sz w:val="24"/>
        </w:rPr>
        <w:t>if the monetary instrument is being sent into or out of Australia, the name, address, telephone number, occupation or principle activity and ABN, ACN and ARBN (as applicable) of the person to whom it is being sent; and</w:t>
      </w:r>
    </w:p>
    <w:p w14:paraId="2171F4DD" w14:textId="77777777" w:rsidR="000864DD" w:rsidRDefault="000864DD" w:rsidP="00CA7ABD">
      <w:pPr>
        <w:numPr>
          <w:ilvl w:val="1"/>
          <w:numId w:val="16"/>
        </w:numPr>
        <w:autoSpaceDE w:val="0"/>
        <w:autoSpaceDN w:val="0"/>
        <w:adjustRightInd w:val="0"/>
        <w:spacing w:before="240" w:line="259" w:lineRule="auto"/>
        <w:rPr>
          <w:rFonts w:ascii="Times New Roman" w:hAnsi="Times New Roman"/>
          <w:sz w:val="24"/>
        </w:rPr>
      </w:pPr>
      <w:r>
        <w:rPr>
          <w:rFonts w:ascii="Times New Roman" w:hAnsi="Times New Roman"/>
          <w:sz w:val="24"/>
        </w:rPr>
        <w:t xml:space="preserve"> a declaration that the information provided is true accurate and complete.</w:t>
      </w:r>
    </w:p>
    <w:p w14:paraId="312E37AD" w14:textId="378E8542" w:rsidR="00361FCB" w:rsidRDefault="000864DD" w:rsidP="000864DD">
      <w:pPr>
        <w:autoSpaceDE w:val="0"/>
        <w:autoSpaceDN w:val="0"/>
        <w:adjustRightInd w:val="0"/>
        <w:spacing w:before="240" w:line="259" w:lineRule="auto"/>
        <w:ind w:left="720"/>
        <w:rPr>
          <w:rFonts w:ascii="Times New Roman" w:hAnsi="Times New Roman"/>
          <w:sz w:val="24"/>
        </w:rPr>
      </w:pPr>
      <w:r>
        <w:rPr>
          <w:rFonts w:ascii="Times New Roman" w:hAnsi="Times New Roman"/>
          <w:sz w:val="24"/>
        </w:rPr>
        <w:t xml:space="preserve">Subparagraph 24.1(3) specifies the timing rule applicable to a report under section 53 of the AML/CTF Act about movements of monetary instruments into or out of Australia. The report must be given: </w:t>
      </w:r>
    </w:p>
    <w:p w14:paraId="1E52ED3F" w14:textId="11D99635" w:rsidR="000864DD" w:rsidRDefault="000864DD" w:rsidP="00CA7ABD">
      <w:pPr>
        <w:numPr>
          <w:ilvl w:val="0"/>
          <w:numId w:val="22"/>
        </w:numPr>
        <w:autoSpaceDE w:val="0"/>
        <w:autoSpaceDN w:val="0"/>
        <w:adjustRightInd w:val="0"/>
        <w:spacing w:before="240" w:line="259" w:lineRule="auto"/>
        <w:rPr>
          <w:rFonts w:ascii="Times New Roman" w:hAnsi="Times New Roman"/>
          <w:sz w:val="24"/>
        </w:rPr>
      </w:pPr>
      <w:r>
        <w:rPr>
          <w:rFonts w:ascii="Times New Roman" w:hAnsi="Times New Roman"/>
          <w:sz w:val="24"/>
        </w:rPr>
        <w:t xml:space="preserve">If the person brings the monetary instrument into Australia, no later than when the person reaches the place at which customs examine baggage, or if there is no such place, at the first opportunity </w:t>
      </w:r>
      <w:r w:rsidR="007D3179">
        <w:rPr>
          <w:rFonts w:ascii="Times New Roman" w:hAnsi="Times New Roman"/>
          <w:sz w:val="24"/>
        </w:rPr>
        <w:t>after arrival in Australia;</w:t>
      </w:r>
    </w:p>
    <w:p w14:paraId="63642BDE" w14:textId="5BF87905" w:rsidR="007D3179" w:rsidRDefault="007D3179" w:rsidP="00CA7ABD">
      <w:pPr>
        <w:numPr>
          <w:ilvl w:val="0"/>
          <w:numId w:val="22"/>
        </w:numPr>
        <w:autoSpaceDE w:val="0"/>
        <w:autoSpaceDN w:val="0"/>
        <w:adjustRightInd w:val="0"/>
        <w:spacing w:before="240" w:line="259" w:lineRule="auto"/>
        <w:rPr>
          <w:rFonts w:ascii="Times New Roman" w:hAnsi="Times New Roman"/>
          <w:sz w:val="24"/>
        </w:rPr>
      </w:pPr>
      <w:r>
        <w:rPr>
          <w:rFonts w:ascii="Times New Roman" w:hAnsi="Times New Roman"/>
          <w:sz w:val="24"/>
        </w:rPr>
        <w:t>If the person moves the monetary instrument by sending it into Australia, before the movement takes place;</w:t>
      </w:r>
    </w:p>
    <w:p w14:paraId="66478CB5" w14:textId="70533CE6" w:rsidR="007D3179" w:rsidRDefault="007D3179" w:rsidP="00CA7ABD">
      <w:pPr>
        <w:numPr>
          <w:ilvl w:val="0"/>
          <w:numId w:val="22"/>
        </w:numPr>
        <w:autoSpaceDE w:val="0"/>
        <w:autoSpaceDN w:val="0"/>
        <w:adjustRightInd w:val="0"/>
        <w:spacing w:before="240" w:line="259" w:lineRule="auto"/>
        <w:rPr>
          <w:rFonts w:ascii="Times New Roman" w:hAnsi="Times New Roman"/>
          <w:sz w:val="24"/>
        </w:rPr>
      </w:pPr>
      <w:r>
        <w:rPr>
          <w:rFonts w:ascii="Times New Roman" w:hAnsi="Times New Roman"/>
          <w:sz w:val="24"/>
        </w:rPr>
        <w:t>If the person takes the monetary instrument out of Australia, no later than when the person reaches the place at which customs examine baggage, or if there is no such place, before the last opportunity to give the report before leaving Australia; and</w:t>
      </w:r>
    </w:p>
    <w:p w14:paraId="44543C30" w14:textId="365B64D3" w:rsidR="007D3179" w:rsidRDefault="008B3017" w:rsidP="00CA7ABD">
      <w:pPr>
        <w:numPr>
          <w:ilvl w:val="0"/>
          <w:numId w:val="22"/>
        </w:numPr>
        <w:autoSpaceDE w:val="0"/>
        <w:autoSpaceDN w:val="0"/>
        <w:adjustRightInd w:val="0"/>
        <w:spacing w:before="240" w:line="259" w:lineRule="auto"/>
        <w:rPr>
          <w:rFonts w:ascii="Times New Roman" w:hAnsi="Times New Roman"/>
          <w:sz w:val="24"/>
        </w:rPr>
      </w:pPr>
      <w:r>
        <w:rPr>
          <w:rFonts w:ascii="Times New Roman" w:hAnsi="Times New Roman"/>
          <w:sz w:val="24"/>
        </w:rPr>
        <w:t>If the person send</w:t>
      </w:r>
      <w:r w:rsidR="00566C21">
        <w:rPr>
          <w:rFonts w:ascii="Times New Roman" w:hAnsi="Times New Roman"/>
          <w:sz w:val="24"/>
        </w:rPr>
        <w:t>s</w:t>
      </w:r>
      <w:r>
        <w:rPr>
          <w:rFonts w:ascii="Times New Roman" w:hAnsi="Times New Roman"/>
          <w:sz w:val="24"/>
        </w:rPr>
        <w:t xml:space="preserve"> the monetary instrument out of Australia</w:t>
      </w:r>
      <w:r w:rsidR="00CD62D4">
        <w:rPr>
          <w:rFonts w:ascii="Times New Roman" w:hAnsi="Times New Roman"/>
          <w:sz w:val="24"/>
        </w:rPr>
        <w:t>, before the time when the instrument is irrevocably committed to a postal service or other person (as the case may be).</w:t>
      </w:r>
    </w:p>
    <w:p w14:paraId="551A6806" w14:textId="4EA2BCA3" w:rsidR="00CD62D4" w:rsidRDefault="00CD62D4" w:rsidP="00CA7ABD">
      <w:pPr>
        <w:autoSpaceDE w:val="0"/>
        <w:autoSpaceDN w:val="0"/>
        <w:adjustRightInd w:val="0"/>
        <w:spacing w:before="240" w:line="259" w:lineRule="auto"/>
        <w:ind w:left="720"/>
        <w:rPr>
          <w:rFonts w:ascii="Times New Roman" w:hAnsi="Times New Roman"/>
          <w:sz w:val="24"/>
        </w:rPr>
      </w:pPr>
      <w:r>
        <w:rPr>
          <w:rFonts w:ascii="Times New Roman" w:hAnsi="Times New Roman"/>
          <w:sz w:val="24"/>
        </w:rPr>
        <w:t>Subparagraph 24.1(4) specifies the information required for a report under section 54 of the AML/CTF Act (</w:t>
      </w:r>
      <w:r w:rsidRPr="00CA7ABD">
        <w:rPr>
          <w:rFonts w:ascii="Times New Roman" w:hAnsi="Times New Roman"/>
          <w:sz w:val="24"/>
        </w:rPr>
        <w:t>reports about receipts of monetary instruments moved into Australia)</w:t>
      </w:r>
      <w:r>
        <w:rPr>
          <w:rFonts w:ascii="Times New Roman" w:hAnsi="Times New Roman"/>
          <w:sz w:val="24"/>
        </w:rPr>
        <w:t>:</w:t>
      </w:r>
    </w:p>
    <w:p w14:paraId="7356BB19" w14:textId="1B9E9B99" w:rsidR="00CD62D4" w:rsidRDefault="00CD62D4" w:rsidP="00CA7ABD">
      <w:pPr>
        <w:numPr>
          <w:ilvl w:val="0"/>
          <w:numId w:val="23"/>
        </w:numPr>
        <w:autoSpaceDE w:val="0"/>
        <w:autoSpaceDN w:val="0"/>
        <w:adjustRightInd w:val="0"/>
        <w:spacing w:before="240" w:line="259" w:lineRule="auto"/>
        <w:rPr>
          <w:rFonts w:ascii="Times New Roman" w:hAnsi="Times New Roman"/>
          <w:sz w:val="24"/>
        </w:rPr>
      </w:pPr>
      <w:r>
        <w:rPr>
          <w:rFonts w:ascii="Times New Roman" w:hAnsi="Times New Roman"/>
          <w:sz w:val="24"/>
        </w:rPr>
        <w:t>for an individual, the person’s full name, date and place of birth, the country or countries of citizenship, residential address, phone number, Australian residency, for non-residents - the person’s address and telephone number while in Australia, the person’s occupation, business or principal activity, and the person’s ABN;</w:t>
      </w:r>
    </w:p>
    <w:p w14:paraId="61549987" w14:textId="77777777" w:rsidR="00CD62D4" w:rsidRDefault="00CD62D4" w:rsidP="00CA7ABD">
      <w:pPr>
        <w:numPr>
          <w:ilvl w:val="0"/>
          <w:numId w:val="23"/>
        </w:numPr>
        <w:autoSpaceDE w:val="0"/>
        <w:autoSpaceDN w:val="0"/>
        <w:adjustRightInd w:val="0"/>
        <w:spacing w:before="240" w:line="259" w:lineRule="auto"/>
        <w:rPr>
          <w:rFonts w:ascii="Times New Roman" w:hAnsi="Times New Roman"/>
          <w:sz w:val="24"/>
        </w:rPr>
      </w:pPr>
      <w:r>
        <w:rPr>
          <w:rFonts w:ascii="Times New Roman" w:hAnsi="Times New Roman"/>
          <w:sz w:val="24"/>
        </w:rPr>
        <w:t>for non-individuals, the person’s full name, business or principal activity, address, telephone number, and if the person is registered in Australia – the person’s ABN, CAN and ARBN (as applicable);</w:t>
      </w:r>
    </w:p>
    <w:p w14:paraId="0592BC2B" w14:textId="25646C05" w:rsidR="00CD62D4" w:rsidRDefault="00CD62D4" w:rsidP="00CA7ABD">
      <w:pPr>
        <w:numPr>
          <w:ilvl w:val="0"/>
          <w:numId w:val="23"/>
        </w:numPr>
        <w:autoSpaceDE w:val="0"/>
        <w:autoSpaceDN w:val="0"/>
        <w:adjustRightInd w:val="0"/>
        <w:spacing w:before="240" w:line="259" w:lineRule="auto"/>
        <w:rPr>
          <w:rFonts w:ascii="Times New Roman" w:hAnsi="Times New Roman"/>
          <w:sz w:val="24"/>
        </w:rPr>
      </w:pPr>
      <w:r>
        <w:rPr>
          <w:rFonts w:ascii="Times New Roman" w:hAnsi="Times New Roman"/>
          <w:sz w:val="24"/>
        </w:rPr>
        <w:t xml:space="preserve">if the person received the monetary instrument on behalf of another person (the other person), the other person’s name, address, telephone number, </w:t>
      </w:r>
      <w:r>
        <w:rPr>
          <w:rFonts w:ascii="Times New Roman" w:hAnsi="Times New Roman"/>
          <w:sz w:val="24"/>
        </w:rPr>
        <w:lastRenderedPageBreak/>
        <w:t>occupation or principle activity and ABN, ACN and ARBN (as applicable);</w:t>
      </w:r>
    </w:p>
    <w:p w14:paraId="542B91C7" w14:textId="77824685" w:rsidR="00CD62D4" w:rsidRDefault="00CD62D4" w:rsidP="00CA7ABD">
      <w:pPr>
        <w:numPr>
          <w:ilvl w:val="0"/>
          <w:numId w:val="23"/>
        </w:numPr>
        <w:autoSpaceDE w:val="0"/>
        <w:autoSpaceDN w:val="0"/>
        <w:adjustRightInd w:val="0"/>
        <w:spacing w:before="240" w:line="259" w:lineRule="auto"/>
        <w:rPr>
          <w:rFonts w:ascii="Times New Roman" w:hAnsi="Times New Roman"/>
          <w:sz w:val="24"/>
        </w:rPr>
      </w:pPr>
      <w:r>
        <w:rPr>
          <w:rFonts w:ascii="Times New Roman" w:hAnsi="Times New Roman"/>
          <w:sz w:val="24"/>
        </w:rPr>
        <w:t>if the person is delivering the monetary instrument to another person (the other person), the other person’s name, address, telephone number, occupation or principle activity and ABN, ACN and ARBN (as applicable);</w:t>
      </w:r>
    </w:p>
    <w:p w14:paraId="5BD85C25" w14:textId="4FB1C0BA" w:rsidR="00485C8F" w:rsidRDefault="00485C8F" w:rsidP="00CA7ABD">
      <w:pPr>
        <w:numPr>
          <w:ilvl w:val="0"/>
          <w:numId w:val="23"/>
        </w:numPr>
        <w:autoSpaceDE w:val="0"/>
        <w:autoSpaceDN w:val="0"/>
        <w:adjustRightInd w:val="0"/>
        <w:spacing w:before="240" w:line="259" w:lineRule="auto"/>
        <w:rPr>
          <w:rFonts w:ascii="Times New Roman" w:hAnsi="Times New Roman"/>
          <w:sz w:val="24"/>
        </w:rPr>
      </w:pPr>
      <w:r>
        <w:rPr>
          <w:rFonts w:ascii="Times New Roman" w:hAnsi="Times New Roman"/>
          <w:sz w:val="24"/>
        </w:rPr>
        <w:t>the kind of monetary instrument;</w:t>
      </w:r>
    </w:p>
    <w:p w14:paraId="62C82F37" w14:textId="72EDCEAD" w:rsidR="00485C8F" w:rsidRDefault="00485C8F" w:rsidP="00CA7ABD">
      <w:pPr>
        <w:numPr>
          <w:ilvl w:val="0"/>
          <w:numId w:val="23"/>
        </w:numPr>
        <w:autoSpaceDE w:val="0"/>
        <w:autoSpaceDN w:val="0"/>
        <w:adjustRightInd w:val="0"/>
        <w:spacing w:before="240" w:line="259" w:lineRule="auto"/>
        <w:rPr>
          <w:rFonts w:ascii="Times New Roman" w:hAnsi="Times New Roman"/>
          <w:sz w:val="24"/>
        </w:rPr>
      </w:pPr>
      <w:r>
        <w:rPr>
          <w:rFonts w:ascii="Times New Roman" w:hAnsi="Times New Roman"/>
          <w:sz w:val="24"/>
        </w:rPr>
        <w:t>the monetary instrument amount;</w:t>
      </w:r>
    </w:p>
    <w:p w14:paraId="281EC5D3" w14:textId="63FCDBD6" w:rsidR="00485C8F" w:rsidRDefault="00485C8F" w:rsidP="00CA7ABD">
      <w:pPr>
        <w:numPr>
          <w:ilvl w:val="0"/>
          <w:numId w:val="23"/>
        </w:numPr>
        <w:autoSpaceDE w:val="0"/>
        <w:autoSpaceDN w:val="0"/>
        <w:adjustRightInd w:val="0"/>
        <w:spacing w:before="240" w:line="259" w:lineRule="auto"/>
        <w:rPr>
          <w:rFonts w:ascii="Times New Roman" w:hAnsi="Times New Roman"/>
          <w:sz w:val="24"/>
        </w:rPr>
      </w:pPr>
      <w:r>
        <w:rPr>
          <w:rFonts w:ascii="Times New Roman" w:hAnsi="Times New Roman"/>
          <w:sz w:val="24"/>
        </w:rPr>
        <w:t>the currency of the monetary instrument;</w:t>
      </w:r>
    </w:p>
    <w:p w14:paraId="768A982D" w14:textId="7147AF8D" w:rsidR="00485C8F" w:rsidRDefault="00485C8F" w:rsidP="00CA7ABD">
      <w:pPr>
        <w:numPr>
          <w:ilvl w:val="0"/>
          <w:numId w:val="23"/>
        </w:numPr>
        <w:autoSpaceDE w:val="0"/>
        <w:autoSpaceDN w:val="0"/>
        <w:adjustRightInd w:val="0"/>
        <w:spacing w:before="240" w:line="259" w:lineRule="auto"/>
        <w:rPr>
          <w:rFonts w:ascii="Times New Roman" w:hAnsi="Times New Roman"/>
          <w:sz w:val="24"/>
        </w:rPr>
      </w:pPr>
      <w:r>
        <w:rPr>
          <w:rFonts w:ascii="Times New Roman" w:hAnsi="Times New Roman"/>
          <w:sz w:val="24"/>
        </w:rPr>
        <w:t>if the monetary instrument is a bearer negotiable instrument, the details of the bearer negotiable instrument;</w:t>
      </w:r>
    </w:p>
    <w:p w14:paraId="6626ACDB" w14:textId="05D26289" w:rsidR="00485C8F" w:rsidRDefault="00485C8F" w:rsidP="00CA7ABD">
      <w:pPr>
        <w:numPr>
          <w:ilvl w:val="0"/>
          <w:numId w:val="23"/>
        </w:numPr>
        <w:autoSpaceDE w:val="0"/>
        <w:autoSpaceDN w:val="0"/>
        <w:adjustRightInd w:val="0"/>
        <w:spacing w:before="240" w:line="259" w:lineRule="auto"/>
        <w:rPr>
          <w:rFonts w:ascii="Times New Roman" w:hAnsi="Times New Roman"/>
          <w:sz w:val="24"/>
        </w:rPr>
      </w:pPr>
      <w:r>
        <w:rPr>
          <w:rFonts w:ascii="Times New Roman" w:hAnsi="Times New Roman"/>
          <w:sz w:val="24"/>
        </w:rPr>
        <w:t>the means by which the monetary instrument was moved into Australia;</w:t>
      </w:r>
    </w:p>
    <w:p w14:paraId="731ADD09" w14:textId="4402AA3C" w:rsidR="00485C8F" w:rsidRDefault="00485C8F" w:rsidP="00CA7ABD">
      <w:pPr>
        <w:numPr>
          <w:ilvl w:val="0"/>
          <w:numId w:val="23"/>
        </w:numPr>
        <w:autoSpaceDE w:val="0"/>
        <w:autoSpaceDN w:val="0"/>
        <w:adjustRightInd w:val="0"/>
        <w:spacing w:before="240" w:line="259" w:lineRule="auto"/>
        <w:rPr>
          <w:rFonts w:ascii="Times New Roman" w:hAnsi="Times New Roman"/>
          <w:sz w:val="24"/>
        </w:rPr>
      </w:pPr>
      <w:r>
        <w:rPr>
          <w:rFonts w:ascii="Times New Roman" w:hAnsi="Times New Roman"/>
          <w:sz w:val="24"/>
        </w:rPr>
        <w:t>the name of the individual or service provider who moved the monetary instrument;</w:t>
      </w:r>
    </w:p>
    <w:p w14:paraId="35499EBB" w14:textId="41164287" w:rsidR="00485C8F" w:rsidRDefault="00485C8F" w:rsidP="00CA7ABD">
      <w:pPr>
        <w:numPr>
          <w:ilvl w:val="0"/>
          <w:numId w:val="23"/>
        </w:numPr>
        <w:autoSpaceDE w:val="0"/>
        <w:autoSpaceDN w:val="0"/>
        <w:adjustRightInd w:val="0"/>
        <w:spacing w:before="240" w:line="259" w:lineRule="auto"/>
        <w:rPr>
          <w:rFonts w:ascii="Times New Roman" w:hAnsi="Times New Roman"/>
          <w:sz w:val="24"/>
        </w:rPr>
      </w:pPr>
      <w:r>
        <w:rPr>
          <w:rFonts w:ascii="Times New Roman" w:hAnsi="Times New Roman"/>
          <w:sz w:val="24"/>
        </w:rPr>
        <w:t>if the monetary instrument was sent into Australia, the name, telephone number, address, and ABN, ACN and ARBN (as applicable) of the person who sent the monetary instrument;</w:t>
      </w:r>
    </w:p>
    <w:p w14:paraId="139E78B7" w14:textId="2A3EEAC2" w:rsidR="00485C8F" w:rsidRDefault="00485C8F" w:rsidP="00CA7ABD">
      <w:pPr>
        <w:numPr>
          <w:ilvl w:val="0"/>
          <w:numId w:val="23"/>
        </w:numPr>
        <w:autoSpaceDE w:val="0"/>
        <w:autoSpaceDN w:val="0"/>
        <w:adjustRightInd w:val="0"/>
        <w:spacing w:before="240" w:line="259" w:lineRule="auto"/>
        <w:rPr>
          <w:rFonts w:ascii="Times New Roman" w:hAnsi="Times New Roman"/>
          <w:sz w:val="24"/>
        </w:rPr>
      </w:pPr>
      <w:r>
        <w:rPr>
          <w:rFonts w:ascii="Times New Roman" w:hAnsi="Times New Roman"/>
          <w:sz w:val="24"/>
        </w:rPr>
        <w:t>the city and country from where the monetary instrument was moved;</w:t>
      </w:r>
    </w:p>
    <w:p w14:paraId="4AC0D37E" w14:textId="1D028F07" w:rsidR="00485C8F" w:rsidRDefault="00485C8F" w:rsidP="00CA7ABD">
      <w:pPr>
        <w:numPr>
          <w:ilvl w:val="0"/>
          <w:numId w:val="23"/>
        </w:numPr>
        <w:autoSpaceDE w:val="0"/>
        <w:autoSpaceDN w:val="0"/>
        <w:adjustRightInd w:val="0"/>
        <w:spacing w:before="240" w:line="259" w:lineRule="auto"/>
        <w:rPr>
          <w:rFonts w:ascii="Times New Roman" w:hAnsi="Times New Roman"/>
          <w:sz w:val="24"/>
        </w:rPr>
      </w:pPr>
      <w:r>
        <w:rPr>
          <w:rFonts w:ascii="Times New Roman" w:hAnsi="Times New Roman"/>
          <w:sz w:val="24"/>
        </w:rPr>
        <w:t>the city, town or port where the monetary instrument was received; and</w:t>
      </w:r>
    </w:p>
    <w:p w14:paraId="25D98A78" w14:textId="5B58646E" w:rsidR="00485C8F" w:rsidRDefault="00485C8F" w:rsidP="00CA7ABD">
      <w:pPr>
        <w:numPr>
          <w:ilvl w:val="0"/>
          <w:numId w:val="23"/>
        </w:numPr>
        <w:autoSpaceDE w:val="0"/>
        <w:autoSpaceDN w:val="0"/>
        <w:adjustRightInd w:val="0"/>
        <w:spacing w:before="240" w:line="259" w:lineRule="auto"/>
        <w:rPr>
          <w:rFonts w:ascii="Times New Roman" w:hAnsi="Times New Roman"/>
          <w:sz w:val="24"/>
        </w:rPr>
      </w:pPr>
      <w:r>
        <w:rPr>
          <w:rFonts w:ascii="Times New Roman" w:hAnsi="Times New Roman"/>
          <w:sz w:val="24"/>
        </w:rPr>
        <w:t>a declaration that the information provided is true, accurate and complete.</w:t>
      </w:r>
    </w:p>
    <w:p w14:paraId="6911BB2E" w14:textId="54D0C755" w:rsidR="009C3B6D" w:rsidRDefault="00BD2B9E" w:rsidP="00CA7ABD">
      <w:pPr>
        <w:autoSpaceDE w:val="0"/>
        <w:autoSpaceDN w:val="0"/>
        <w:adjustRightInd w:val="0"/>
        <w:spacing w:before="240" w:line="259" w:lineRule="auto"/>
        <w:ind w:left="720"/>
        <w:rPr>
          <w:rFonts w:ascii="Times New Roman" w:hAnsi="Times New Roman"/>
          <w:sz w:val="24"/>
        </w:rPr>
      </w:pPr>
      <w:r>
        <w:rPr>
          <w:rFonts w:ascii="Times New Roman" w:hAnsi="Times New Roman"/>
          <w:sz w:val="24"/>
        </w:rPr>
        <w:t>24.2 sets out a definition of ‘passport’ for the purpose of Chapter 24.</w:t>
      </w:r>
    </w:p>
    <w:p w14:paraId="687BE9F5" w14:textId="2C4E492F" w:rsidR="00BD2B9E" w:rsidRPr="00CA7ABD" w:rsidRDefault="00BD2B9E" w:rsidP="00CA7ABD">
      <w:pPr>
        <w:autoSpaceDE w:val="0"/>
        <w:autoSpaceDN w:val="0"/>
        <w:adjustRightInd w:val="0"/>
        <w:spacing w:before="240" w:line="259" w:lineRule="auto"/>
        <w:ind w:left="720"/>
        <w:rPr>
          <w:rFonts w:ascii="Times New Roman" w:hAnsi="Times New Roman"/>
          <w:b/>
          <w:sz w:val="24"/>
        </w:rPr>
      </w:pPr>
      <w:r w:rsidRPr="00CA7ABD">
        <w:rPr>
          <w:rFonts w:ascii="Times New Roman" w:hAnsi="Times New Roman"/>
          <w:b/>
          <w:sz w:val="24"/>
        </w:rPr>
        <w:t>Item 2 – Paragraph 34.3</w:t>
      </w:r>
    </w:p>
    <w:p w14:paraId="525A5741" w14:textId="15087AC0" w:rsidR="00BD2B9E" w:rsidRDefault="001300A6" w:rsidP="00CA7ABD">
      <w:pPr>
        <w:autoSpaceDE w:val="0"/>
        <w:autoSpaceDN w:val="0"/>
        <w:adjustRightInd w:val="0"/>
        <w:spacing w:before="240" w:line="259" w:lineRule="auto"/>
        <w:ind w:left="720"/>
        <w:rPr>
          <w:rFonts w:ascii="Times New Roman" w:hAnsi="Times New Roman"/>
          <w:sz w:val="24"/>
        </w:rPr>
      </w:pPr>
      <w:r>
        <w:rPr>
          <w:rFonts w:ascii="Times New Roman" w:hAnsi="Times New Roman"/>
          <w:sz w:val="24"/>
        </w:rPr>
        <w:t xml:space="preserve">This item </w:t>
      </w:r>
      <w:r w:rsidR="000539C7">
        <w:rPr>
          <w:rFonts w:ascii="Times New Roman" w:hAnsi="Times New Roman"/>
          <w:sz w:val="24"/>
        </w:rPr>
        <w:t>revises the content of a written notice about reporting obligations for the purpose of section 61(1)(b) of the AML/CTF Act.</w:t>
      </w:r>
    </w:p>
    <w:p w14:paraId="2D4BABD9" w14:textId="3305DAF9" w:rsidR="000539C7" w:rsidRPr="009F079E" w:rsidRDefault="000539C7" w:rsidP="000539C7">
      <w:pPr>
        <w:autoSpaceDE w:val="0"/>
        <w:autoSpaceDN w:val="0"/>
        <w:adjustRightInd w:val="0"/>
        <w:spacing w:before="240" w:line="259" w:lineRule="auto"/>
        <w:ind w:left="720"/>
        <w:rPr>
          <w:rFonts w:ascii="Times New Roman" w:hAnsi="Times New Roman"/>
          <w:b/>
          <w:sz w:val="24"/>
        </w:rPr>
      </w:pPr>
      <w:r>
        <w:rPr>
          <w:rFonts w:ascii="Times New Roman" w:hAnsi="Times New Roman"/>
          <w:b/>
          <w:sz w:val="24"/>
        </w:rPr>
        <w:t>Item 3</w:t>
      </w:r>
      <w:r w:rsidRPr="009F079E">
        <w:rPr>
          <w:rFonts w:ascii="Times New Roman" w:hAnsi="Times New Roman"/>
          <w:b/>
          <w:sz w:val="24"/>
        </w:rPr>
        <w:t xml:space="preserve"> – Paragraph 34.3</w:t>
      </w:r>
    </w:p>
    <w:p w14:paraId="29A2F702" w14:textId="68DC7E63" w:rsidR="000539C7" w:rsidRDefault="000539C7" w:rsidP="000539C7">
      <w:pPr>
        <w:autoSpaceDE w:val="0"/>
        <w:autoSpaceDN w:val="0"/>
        <w:adjustRightInd w:val="0"/>
        <w:spacing w:before="240" w:line="259" w:lineRule="auto"/>
        <w:ind w:left="720"/>
        <w:rPr>
          <w:rFonts w:ascii="Times New Roman" w:hAnsi="Times New Roman"/>
          <w:sz w:val="24"/>
        </w:rPr>
      </w:pPr>
      <w:r>
        <w:rPr>
          <w:rFonts w:ascii="Times New Roman" w:hAnsi="Times New Roman"/>
          <w:sz w:val="24"/>
        </w:rPr>
        <w:t xml:space="preserve">This item revises the content of a written notice about reporting obligations for the purpose of section 61(1)(b) of the AML/CTF Act. </w:t>
      </w:r>
      <w:r w:rsidRPr="001277D5">
        <w:rPr>
          <w:rFonts w:ascii="Times New Roman" w:hAnsi="Times New Roman"/>
          <w:sz w:val="24"/>
        </w:rPr>
        <w:t>The revisions reflect the reforms to Part 4 of the AML/CTF Act</w:t>
      </w:r>
      <w:r>
        <w:rPr>
          <w:rFonts w:ascii="Times New Roman" w:hAnsi="Times New Roman"/>
          <w:sz w:val="24"/>
        </w:rPr>
        <w:t>.</w:t>
      </w:r>
    </w:p>
    <w:p w14:paraId="65568542" w14:textId="5F56969A" w:rsidR="000539C7" w:rsidRPr="009F079E" w:rsidRDefault="000539C7" w:rsidP="000539C7">
      <w:pPr>
        <w:autoSpaceDE w:val="0"/>
        <w:autoSpaceDN w:val="0"/>
        <w:adjustRightInd w:val="0"/>
        <w:spacing w:before="240" w:line="259" w:lineRule="auto"/>
        <w:ind w:left="720"/>
        <w:rPr>
          <w:rFonts w:ascii="Times New Roman" w:hAnsi="Times New Roman"/>
          <w:b/>
          <w:sz w:val="24"/>
        </w:rPr>
      </w:pPr>
      <w:r>
        <w:rPr>
          <w:rFonts w:ascii="Times New Roman" w:hAnsi="Times New Roman"/>
          <w:b/>
          <w:sz w:val="24"/>
        </w:rPr>
        <w:t>Item 4</w:t>
      </w:r>
      <w:r w:rsidRPr="009F079E">
        <w:rPr>
          <w:rFonts w:ascii="Times New Roman" w:hAnsi="Times New Roman"/>
          <w:b/>
          <w:sz w:val="24"/>
        </w:rPr>
        <w:t xml:space="preserve"> – Paragraph 34.3</w:t>
      </w:r>
    </w:p>
    <w:p w14:paraId="4B0F8F7E" w14:textId="1B67E9C3" w:rsidR="0094150C" w:rsidRPr="0094150C" w:rsidRDefault="000539C7" w:rsidP="0094150C">
      <w:pPr>
        <w:autoSpaceDE w:val="0"/>
        <w:autoSpaceDN w:val="0"/>
        <w:adjustRightInd w:val="0"/>
        <w:spacing w:before="240" w:line="259" w:lineRule="auto"/>
        <w:ind w:left="720"/>
        <w:rPr>
          <w:rFonts w:ascii="Times New Roman" w:hAnsi="Times New Roman"/>
          <w:sz w:val="24"/>
        </w:rPr>
      </w:pPr>
      <w:r>
        <w:rPr>
          <w:rFonts w:ascii="Times New Roman" w:hAnsi="Times New Roman"/>
          <w:sz w:val="24"/>
        </w:rPr>
        <w:t xml:space="preserve">This item revises the content of a written notice about reporting obligations for the purpose of section 61(1)(b) of the AML/CTF Act. </w:t>
      </w:r>
      <w:r w:rsidRPr="001277D5">
        <w:rPr>
          <w:rFonts w:ascii="Times New Roman" w:hAnsi="Times New Roman"/>
          <w:sz w:val="24"/>
        </w:rPr>
        <w:t>The revisions reflect the reforms to Part 4 of the AML/CTF Act</w:t>
      </w:r>
      <w:r>
        <w:rPr>
          <w:rFonts w:ascii="Times New Roman" w:hAnsi="Times New Roman"/>
          <w:sz w:val="24"/>
        </w:rPr>
        <w:t>.</w:t>
      </w:r>
    </w:p>
    <w:p w14:paraId="4AF4F136" w14:textId="00B6698C" w:rsidR="00733D11" w:rsidRPr="0094150C" w:rsidRDefault="0094150C" w:rsidP="0008081C">
      <w:pPr>
        <w:spacing w:after="160" w:line="360" w:lineRule="auto"/>
        <w:ind w:left="720"/>
        <w:jc w:val="right"/>
        <w:rPr>
          <w:rFonts w:ascii="Times New Roman" w:eastAsia="Calibri" w:hAnsi="Times New Roman"/>
          <w:b/>
          <w:caps/>
          <w:sz w:val="24"/>
          <w:u w:val="single"/>
        </w:rPr>
      </w:pPr>
      <w:r>
        <w:rPr>
          <w:rFonts w:ascii="Times New Roman" w:eastAsia="Calibri" w:hAnsi="Times New Roman"/>
          <w:b/>
          <w:caps/>
          <w:sz w:val="24"/>
          <w:u w:val="single"/>
        </w:rPr>
        <w:br w:type="page"/>
      </w:r>
      <w:r w:rsidR="009B309E" w:rsidRPr="009A29DA">
        <w:rPr>
          <w:rFonts w:ascii="Times New Roman" w:eastAsia="Calibri" w:hAnsi="Times New Roman"/>
          <w:b/>
          <w:caps/>
          <w:sz w:val="24"/>
          <w:u w:val="single"/>
        </w:rPr>
        <w:lastRenderedPageBreak/>
        <w:t>ATTACHMENT B</w:t>
      </w:r>
    </w:p>
    <w:p w14:paraId="0505F18F" w14:textId="4BCB2270" w:rsidR="00017141" w:rsidRPr="00017141" w:rsidRDefault="00017141" w:rsidP="0008081C">
      <w:pPr>
        <w:spacing w:after="160" w:line="360" w:lineRule="auto"/>
        <w:ind w:left="720"/>
        <w:jc w:val="center"/>
        <w:rPr>
          <w:rFonts w:ascii="Times New Roman" w:eastAsia="Calibri" w:hAnsi="Times New Roman"/>
          <w:b/>
          <w:caps/>
          <w:sz w:val="24"/>
        </w:rPr>
      </w:pPr>
      <w:r w:rsidRPr="00017141">
        <w:rPr>
          <w:rFonts w:ascii="Times New Roman" w:eastAsia="Calibri" w:hAnsi="Times New Roman"/>
          <w:b/>
          <w:caps/>
          <w:sz w:val="24"/>
        </w:rPr>
        <w:t>Statement of Compatibility with Human Rights</w:t>
      </w:r>
    </w:p>
    <w:p w14:paraId="5010A176" w14:textId="77777777" w:rsidR="00017141" w:rsidRPr="00D54B98" w:rsidRDefault="00017141" w:rsidP="0008081C">
      <w:pPr>
        <w:spacing w:after="160" w:line="360" w:lineRule="auto"/>
        <w:ind w:left="720"/>
        <w:jc w:val="center"/>
        <w:rPr>
          <w:rFonts w:ascii="Times New Roman" w:eastAsia="Calibri" w:hAnsi="Times New Roman"/>
          <w:sz w:val="24"/>
        </w:rPr>
      </w:pPr>
      <w:r w:rsidRPr="00D54B98">
        <w:rPr>
          <w:rFonts w:ascii="Times New Roman" w:eastAsia="Calibri" w:hAnsi="Times New Roman"/>
          <w:i/>
          <w:iCs/>
          <w:sz w:val="24"/>
        </w:rPr>
        <w:t>Prepared in accordance with Part 3 of the Human Rights (Parliamentary Scrutiny) Act 2011</w:t>
      </w:r>
    </w:p>
    <w:p w14:paraId="290F13A5" w14:textId="77777777" w:rsidR="00017141" w:rsidRPr="00D54B98" w:rsidRDefault="00017141" w:rsidP="00BD02D0">
      <w:pPr>
        <w:spacing w:after="160" w:line="360" w:lineRule="auto"/>
        <w:ind w:left="720"/>
        <w:rPr>
          <w:rFonts w:ascii="Times New Roman" w:eastAsia="Calibri" w:hAnsi="Times New Roman"/>
          <w:b/>
          <w:i/>
          <w:sz w:val="24"/>
        </w:rPr>
      </w:pPr>
      <w:r w:rsidRPr="00D54B98">
        <w:rPr>
          <w:rFonts w:ascii="Times New Roman" w:eastAsia="Calibri" w:hAnsi="Times New Roman"/>
          <w:b/>
          <w:i/>
          <w:sz w:val="24"/>
        </w:rPr>
        <w:t xml:space="preserve">Australian Human Rights Commission Regulations 2019 </w:t>
      </w:r>
    </w:p>
    <w:p w14:paraId="42716A5F" w14:textId="7B503024" w:rsidR="00017141" w:rsidRPr="00D54B98" w:rsidRDefault="00017141" w:rsidP="00BD02D0">
      <w:pPr>
        <w:spacing w:after="160" w:line="259" w:lineRule="auto"/>
        <w:ind w:left="720"/>
        <w:rPr>
          <w:rFonts w:ascii="Times New Roman" w:eastAsia="Calibri" w:hAnsi="Times New Roman"/>
          <w:sz w:val="24"/>
        </w:rPr>
      </w:pPr>
      <w:r w:rsidRPr="00D54B98">
        <w:rPr>
          <w:rFonts w:ascii="Times New Roman" w:eastAsia="Calibri" w:hAnsi="Times New Roman"/>
          <w:sz w:val="24"/>
        </w:rPr>
        <w:t>This Disallowable Legislative Instrument</w:t>
      </w:r>
      <w:r w:rsidR="00BF6A36">
        <w:rPr>
          <w:rFonts w:ascii="Times New Roman" w:eastAsia="Calibri" w:hAnsi="Times New Roman"/>
          <w:sz w:val="24"/>
        </w:rPr>
        <w:t xml:space="preserve"> (the </w:t>
      </w:r>
      <w:r w:rsidR="00BF6A36" w:rsidRPr="00D54B98">
        <w:rPr>
          <w:rFonts w:ascii="Times New Roman" w:eastAsia="Calibri" w:hAnsi="Times New Roman"/>
          <w:b/>
          <w:sz w:val="24"/>
        </w:rPr>
        <w:t>Instrument</w:t>
      </w:r>
      <w:r w:rsidR="00BF6A36">
        <w:rPr>
          <w:rFonts w:ascii="Times New Roman" w:eastAsia="Calibri" w:hAnsi="Times New Roman"/>
          <w:sz w:val="24"/>
        </w:rPr>
        <w:t>)</w:t>
      </w:r>
      <w:r w:rsidRPr="00D54B98">
        <w:rPr>
          <w:rFonts w:ascii="Times New Roman" w:eastAsia="Calibri" w:hAnsi="Times New Roman"/>
          <w:sz w:val="24"/>
        </w:rPr>
        <w:t xml:space="preserve"> is compatible with the human rights and freedoms recognised or declared in the international instruments listed in section 3 of the </w:t>
      </w:r>
      <w:r w:rsidRPr="00D54B98">
        <w:rPr>
          <w:rFonts w:ascii="Times New Roman" w:eastAsia="Calibri" w:hAnsi="Times New Roman"/>
          <w:i/>
          <w:sz w:val="24"/>
        </w:rPr>
        <w:t>Human Rights (Parliamentary Scrutiny) Act 2011</w:t>
      </w:r>
      <w:r w:rsidRPr="00D54B98">
        <w:rPr>
          <w:rFonts w:ascii="Times New Roman" w:eastAsia="Calibri" w:hAnsi="Times New Roman"/>
          <w:sz w:val="24"/>
        </w:rPr>
        <w:t>.</w:t>
      </w:r>
    </w:p>
    <w:p w14:paraId="140A98A7" w14:textId="5003C4FF" w:rsidR="00017141" w:rsidRPr="00BC5456" w:rsidRDefault="00017141" w:rsidP="00BD02D0">
      <w:pPr>
        <w:spacing w:after="160" w:line="360" w:lineRule="auto"/>
        <w:ind w:left="720"/>
        <w:rPr>
          <w:rFonts w:ascii="Times New Roman" w:eastAsia="Calibri" w:hAnsi="Times New Roman"/>
          <w:b/>
          <w:sz w:val="24"/>
        </w:rPr>
      </w:pPr>
      <w:r w:rsidRPr="00BC5456">
        <w:rPr>
          <w:rFonts w:ascii="Times New Roman" w:eastAsia="Calibri" w:hAnsi="Times New Roman"/>
          <w:b/>
          <w:sz w:val="24"/>
        </w:rPr>
        <w:t>Overview of the Instrument</w:t>
      </w:r>
    </w:p>
    <w:p w14:paraId="094335BD" w14:textId="4C814BB9" w:rsidR="00555E0C" w:rsidRPr="00555E0C" w:rsidRDefault="00555E0C" w:rsidP="00555E0C">
      <w:pPr>
        <w:spacing w:after="160" w:line="259" w:lineRule="auto"/>
        <w:ind w:left="720"/>
        <w:rPr>
          <w:rFonts w:ascii="Times New Roman" w:eastAsia="Calibri" w:hAnsi="Times New Roman"/>
          <w:sz w:val="24"/>
        </w:rPr>
      </w:pPr>
      <w:r w:rsidRPr="00555E0C">
        <w:rPr>
          <w:rFonts w:ascii="Times New Roman" w:eastAsia="Calibri" w:hAnsi="Times New Roman"/>
          <w:sz w:val="24"/>
        </w:rPr>
        <w:t xml:space="preserve">The existing provisions in Division 2 of Part 4 of the </w:t>
      </w:r>
      <w:r w:rsidRPr="00555E0C">
        <w:rPr>
          <w:rFonts w:ascii="Times New Roman" w:eastAsia="Calibri" w:hAnsi="Times New Roman"/>
          <w:i/>
          <w:sz w:val="24"/>
        </w:rPr>
        <w:t>Anti-Money Laundering and Counter-Terrorism Financing Act 2006</w:t>
      </w:r>
      <w:r>
        <w:rPr>
          <w:rFonts w:ascii="Times New Roman" w:eastAsia="Calibri" w:hAnsi="Times New Roman"/>
          <w:sz w:val="24"/>
        </w:rPr>
        <w:t xml:space="preserve"> (</w:t>
      </w:r>
      <w:r w:rsidRPr="00555E0C">
        <w:rPr>
          <w:rFonts w:ascii="Times New Roman" w:eastAsia="Calibri" w:hAnsi="Times New Roman"/>
          <w:b/>
          <w:sz w:val="24"/>
        </w:rPr>
        <w:t>AML/CTF</w:t>
      </w:r>
      <w:r w:rsidRPr="00555E0C">
        <w:rPr>
          <w:rFonts w:ascii="Times New Roman" w:eastAsia="Calibri" w:hAnsi="Times New Roman"/>
          <w:sz w:val="24"/>
        </w:rPr>
        <w:t xml:space="preserve"> </w:t>
      </w:r>
      <w:r w:rsidRPr="00555E0C">
        <w:rPr>
          <w:rFonts w:ascii="Times New Roman" w:eastAsia="Calibri" w:hAnsi="Times New Roman"/>
          <w:b/>
          <w:sz w:val="24"/>
        </w:rPr>
        <w:t>Act</w:t>
      </w:r>
      <w:r w:rsidRPr="00555E0C">
        <w:rPr>
          <w:rFonts w:ascii="Times New Roman" w:eastAsia="Calibri" w:hAnsi="Times New Roman"/>
          <w:sz w:val="24"/>
        </w:rPr>
        <w:t>) require that the movement of physical currency of $10,000 or more into or out of Australia be reported to the AUSTRAC CEO, or a customs or police officer.</w:t>
      </w:r>
    </w:p>
    <w:p w14:paraId="72715658" w14:textId="77777777" w:rsidR="00555E0C" w:rsidRPr="00555E0C" w:rsidRDefault="00555E0C" w:rsidP="00555E0C">
      <w:pPr>
        <w:spacing w:after="160" w:line="259" w:lineRule="auto"/>
        <w:ind w:left="720"/>
        <w:rPr>
          <w:rFonts w:ascii="Times New Roman" w:eastAsia="Calibri" w:hAnsi="Times New Roman"/>
          <w:sz w:val="24"/>
        </w:rPr>
      </w:pPr>
      <w:r w:rsidRPr="00555E0C">
        <w:rPr>
          <w:rFonts w:ascii="Times New Roman" w:eastAsia="Calibri" w:hAnsi="Times New Roman"/>
          <w:sz w:val="24"/>
        </w:rPr>
        <w:t>The existing provisions in Division 3 of Part 4 of the AML/CTF Act also require a person to disclose that they are carrying bearer negotiable instruments (BNIs), such as travellers cheques, valued at $10,000 or more when requested by a police or customs officer at the border.</w:t>
      </w:r>
    </w:p>
    <w:p w14:paraId="010A6123" w14:textId="3EA7F6D6" w:rsidR="00555E0C" w:rsidRPr="00555E0C" w:rsidRDefault="00555E0C" w:rsidP="00555E0C">
      <w:pPr>
        <w:spacing w:after="160" w:line="259" w:lineRule="auto"/>
        <w:ind w:left="720"/>
        <w:rPr>
          <w:rFonts w:ascii="Times New Roman" w:eastAsia="Calibri" w:hAnsi="Times New Roman"/>
          <w:sz w:val="24"/>
        </w:rPr>
      </w:pPr>
      <w:r w:rsidRPr="00555E0C">
        <w:rPr>
          <w:rFonts w:ascii="Times New Roman" w:eastAsia="Calibri" w:hAnsi="Times New Roman"/>
          <w:sz w:val="24"/>
        </w:rPr>
        <w:t>I</w:t>
      </w:r>
      <w:r>
        <w:rPr>
          <w:rFonts w:ascii="Times New Roman" w:eastAsia="Calibri" w:hAnsi="Times New Roman"/>
          <w:sz w:val="24"/>
        </w:rPr>
        <w:t>n December 2020, Parliament</w:t>
      </w:r>
      <w:r w:rsidRPr="00555E0C">
        <w:rPr>
          <w:rFonts w:ascii="Times New Roman" w:eastAsia="Calibri" w:hAnsi="Times New Roman"/>
          <w:sz w:val="24"/>
        </w:rPr>
        <w:t xml:space="preserve"> passed the </w:t>
      </w:r>
      <w:r w:rsidRPr="00555E0C">
        <w:rPr>
          <w:rFonts w:ascii="Times New Roman" w:eastAsia="Calibri" w:hAnsi="Times New Roman"/>
          <w:i/>
          <w:sz w:val="24"/>
        </w:rPr>
        <w:t>Anti-Money Laundering and Counter-Terrorism Financing and Other Legislation Amendment Act 2020</w:t>
      </w:r>
      <w:r w:rsidRPr="00555E0C">
        <w:rPr>
          <w:rFonts w:ascii="Times New Roman" w:eastAsia="Calibri" w:hAnsi="Times New Roman"/>
          <w:sz w:val="24"/>
        </w:rPr>
        <w:t xml:space="preserve">. </w:t>
      </w:r>
      <w:r>
        <w:rPr>
          <w:rFonts w:ascii="Times New Roman" w:eastAsia="Calibri" w:hAnsi="Times New Roman"/>
          <w:sz w:val="24"/>
        </w:rPr>
        <w:t>T</w:t>
      </w:r>
      <w:r w:rsidRPr="00555E0C">
        <w:rPr>
          <w:rFonts w:ascii="Times New Roman" w:eastAsia="Calibri" w:hAnsi="Times New Roman"/>
          <w:sz w:val="24"/>
        </w:rPr>
        <w:t>he Act will amend Part 4 of the AML/CTF Act to create a single reporting requirement for the cross-border movement of monetary instruments, which will be defined to incl</w:t>
      </w:r>
      <w:r w:rsidR="0094150C">
        <w:rPr>
          <w:rFonts w:ascii="Times New Roman" w:eastAsia="Calibri" w:hAnsi="Times New Roman"/>
          <w:sz w:val="24"/>
        </w:rPr>
        <w:t>ude physical currency and BNIs.</w:t>
      </w:r>
    </w:p>
    <w:p w14:paraId="063D363D" w14:textId="161B47ED" w:rsidR="00555E0C" w:rsidRPr="00555E0C" w:rsidRDefault="00555E0C" w:rsidP="00555E0C">
      <w:pPr>
        <w:spacing w:after="160" w:line="259" w:lineRule="auto"/>
        <w:ind w:left="720"/>
        <w:rPr>
          <w:rFonts w:ascii="Times New Roman" w:eastAsia="Calibri" w:hAnsi="Times New Roman"/>
          <w:sz w:val="24"/>
        </w:rPr>
      </w:pPr>
      <w:r w:rsidRPr="00555E0C">
        <w:rPr>
          <w:rFonts w:ascii="Times New Roman" w:eastAsia="Calibri" w:hAnsi="Times New Roman"/>
          <w:sz w:val="24"/>
        </w:rPr>
        <w:t xml:space="preserve">The </w:t>
      </w:r>
      <w:r>
        <w:rPr>
          <w:rFonts w:ascii="Times New Roman" w:eastAsia="Calibri" w:hAnsi="Times New Roman"/>
          <w:sz w:val="24"/>
        </w:rPr>
        <w:t>Instrument</w:t>
      </w:r>
      <w:r w:rsidRPr="00555E0C">
        <w:rPr>
          <w:rFonts w:ascii="Times New Roman" w:eastAsia="Calibri" w:hAnsi="Times New Roman"/>
          <w:sz w:val="24"/>
        </w:rPr>
        <w:t xml:space="preserve"> </w:t>
      </w:r>
      <w:r>
        <w:rPr>
          <w:rFonts w:ascii="Times New Roman" w:eastAsia="Calibri" w:hAnsi="Times New Roman"/>
          <w:sz w:val="24"/>
        </w:rPr>
        <w:t xml:space="preserve">amends the </w:t>
      </w:r>
      <w:r>
        <w:rPr>
          <w:rFonts w:ascii="Times New Roman" w:eastAsia="Calibri" w:hAnsi="Times New Roman"/>
          <w:i/>
          <w:sz w:val="24"/>
        </w:rPr>
        <w:t xml:space="preserve">Anti-Money Laundering and Counter-Terrorism Financing Rules Instrument 2007 (No. 1) </w:t>
      </w:r>
      <w:r>
        <w:rPr>
          <w:rFonts w:ascii="Times New Roman" w:eastAsia="Calibri" w:hAnsi="Times New Roman"/>
          <w:sz w:val="24"/>
        </w:rPr>
        <w:t>(</w:t>
      </w:r>
      <w:r w:rsidRPr="00555E0C">
        <w:rPr>
          <w:rFonts w:ascii="Times New Roman" w:eastAsia="Calibri" w:hAnsi="Times New Roman"/>
          <w:b/>
          <w:sz w:val="24"/>
        </w:rPr>
        <w:t>AML/CTF Rules</w:t>
      </w:r>
      <w:r>
        <w:rPr>
          <w:rFonts w:ascii="Times New Roman" w:eastAsia="Calibri" w:hAnsi="Times New Roman"/>
          <w:sz w:val="24"/>
        </w:rPr>
        <w:t xml:space="preserve">) </w:t>
      </w:r>
      <w:r w:rsidRPr="00555E0C">
        <w:rPr>
          <w:rFonts w:ascii="Times New Roman" w:eastAsia="Calibri" w:hAnsi="Times New Roman"/>
          <w:sz w:val="24"/>
        </w:rPr>
        <w:t>by</w:t>
      </w:r>
      <w:r>
        <w:rPr>
          <w:rFonts w:ascii="Times New Roman" w:eastAsia="Calibri" w:hAnsi="Times New Roman"/>
          <w:i/>
          <w:sz w:val="24"/>
        </w:rPr>
        <w:t xml:space="preserve"> </w:t>
      </w:r>
      <w:r w:rsidRPr="00555E0C">
        <w:rPr>
          <w:rFonts w:ascii="Times New Roman" w:eastAsia="Calibri" w:hAnsi="Times New Roman"/>
          <w:sz w:val="24"/>
        </w:rPr>
        <w:t>repeal</w:t>
      </w:r>
      <w:r>
        <w:rPr>
          <w:rFonts w:ascii="Times New Roman" w:eastAsia="Calibri" w:hAnsi="Times New Roman"/>
          <w:sz w:val="24"/>
        </w:rPr>
        <w:t>ing</w:t>
      </w:r>
      <w:r w:rsidRPr="00555E0C">
        <w:rPr>
          <w:rFonts w:ascii="Times New Roman" w:eastAsia="Calibri" w:hAnsi="Times New Roman"/>
          <w:sz w:val="24"/>
        </w:rPr>
        <w:t xml:space="preserve"> Chapters </w:t>
      </w:r>
      <w:r w:rsidR="007E5C1A">
        <w:rPr>
          <w:rFonts w:ascii="Times New Roman" w:eastAsia="Calibri" w:hAnsi="Times New Roman"/>
          <w:sz w:val="24"/>
        </w:rPr>
        <w:t xml:space="preserve">24, </w:t>
      </w:r>
      <w:r w:rsidRPr="00555E0C">
        <w:rPr>
          <w:rFonts w:ascii="Times New Roman" w:eastAsia="Calibri" w:hAnsi="Times New Roman"/>
          <w:sz w:val="24"/>
        </w:rPr>
        <w:t>2</w:t>
      </w:r>
      <w:r>
        <w:rPr>
          <w:rFonts w:ascii="Times New Roman" w:eastAsia="Calibri" w:hAnsi="Times New Roman"/>
          <w:sz w:val="24"/>
        </w:rPr>
        <w:t>5</w:t>
      </w:r>
      <w:r w:rsidRPr="00555E0C">
        <w:rPr>
          <w:rFonts w:ascii="Times New Roman" w:eastAsia="Calibri" w:hAnsi="Times New Roman"/>
          <w:sz w:val="24"/>
        </w:rPr>
        <w:t xml:space="preserve"> and 26 and substitut</w:t>
      </w:r>
      <w:r>
        <w:rPr>
          <w:rFonts w:ascii="Times New Roman" w:eastAsia="Calibri" w:hAnsi="Times New Roman"/>
          <w:sz w:val="24"/>
        </w:rPr>
        <w:t>ing a</w:t>
      </w:r>
      <w:r w:rsidRPr="00555E0C">
        <w:rPr>
          <w:rFonts w:ascii="Times New Roman" w:eastAsia="Calibri" w:hAnsi="Times New Roman"/>
          <w:sz w:val="24"/>
        </w:rPr>
        <w:t xml:space="preserve"> new Chapter 24 which sets out the information to be contained in reports about movements of monetary instruments into or out of Australia, and the timing of such reports.</w:t>
      </w:r>
    </w:p>
    <w:p w14:paraId="79099016" w14:textId="2430E1B3" w:rsidR="005C4DD2" w:rsidRPr="005C4DD2" w:rsidRDefault="00555E0C" w:rsidP="00555E0C">
      <w:pPr>
        <w:spacing w:after="160" w:line="259" w:lineRule="auto"/>
        <w:ind w:left="720"/>
        <w:rPr>
          <w:rFonts w:ascii="Times New Roman" w:eastAsia="Calibri" w:hAnsi="Times New Roman"/>
          <w:sz w:val="24"/>
        </w:rPr>
      </w:pPr>
      <w:r w:rsidRPr="00555E0C">
        <w:rPr>
          <w:rFonts w:ascii="Times New Roman" w:eastAsia="Calibri" w:hAnsi="Times New Roman"/>
          <w:sz w:val="24"/>
        </w:rPr>
        <w:t xml:space="preserve">The </w:t>
      </w:r>
      <w:r>
        <w:rPr>
          <w:rFonts w:ascii="Times New Roman" w:eastAsia="Calibri" w:hAnsi="Times New Roman"/>
          <w:sz w:val="24"/>
        </w:rPr>
        <w:t>Instrument also amends</w:t>
      </w:r>
      <w:r w:rsidRPr="00555E0C">
        <w:rPr>
          <w:rFonts w:ascii="Times New Roman" w:eastAsia="Calibri" w:hAnsi="Times New Roman"/>
          <w:sz w:val="24"/>
        </w:rPr>
        <w:t xml:space="preserve"> </w:t>
      </w:r>
      <w:r>
        <w:rPr>
          <w:rFonts w:ascii="Times New Roman" w:eastAsia="Calibri" w:hAnsi="Times New Roman"/>
          <w:sz w:val="24"/>
        </w:rPr>
        <w:t xml:space="preserve">the AML/CTF Rules by amending </w:t>
      </w:r>
      <w:r w:rsidRPr="00555E0C">
        <w:rPr>
          <w:rFonts w:ascii="Times New Roman" w:eastAsia="Calibri" w:hAnsi="Times New Roman"/>
          <w:sz w:val="24"/>
        </w:rPr>
        <w:t xml:space="preserve">Chapter 34 </w:t>
      </w:r>
      <w:r>
        <w:rPr>
          <w:rFonts w:ascii="Times New Roman" w:eastAsia="Calibri" w:hAnsi="Times New Roman"/>
          <w:sz w:val="24"/>
        </w:rPr>
        <w:t xml:space="preserve">to </w:t>
      </w:r>
      <w:r w:rsidRPr="00555E0C">
        <w:rPr>
          <w:rFonts w:ascii="Times New Roman" w:eastAsia="Calibri" w:hAnsi="Times New Roman"/>
          <w:sz w:val="24"/>
        </w:rPr>
        <w:t xml:space="preserve">revise the form and contents of notices about reporting obligations that can be affixed in ports to inform travellers of reporting obligations. </w:t>
      </w:r>
    </w:p>
    <w:p w14:paraId="601F3F0F" w14:textId="246776DB" w:rsidR="00606CF2" w:rsidRPr="00D54B98" w:rsidRDefault="009B309E" w:rsidP="00434820">
      <w:pPr>
        <w:spacing w:after="160" w:line="259" w:lineRule="auto"/>
        <w:ind w:left="720"/>
        <w:rPr>
          <w:rFonts w:ascii="Times New Roman" w:eastAsia="Calibri" w:hAnsi="Times New Roman"/>
          <w:b/>
          <w:sz w:val="24"/>
        </w:rPr>
      </w:pPr>
      <w:r w:rsidRPr="00D54B98">
        <w:rPr>
          <w:rFonts w:ascii="Times New Roman" w:eastAsia="Calibri" w:hAnsi="Times New Roman"/>
          <w:b/>
          <w:sz w:val="24"/>
        </w:rPr>
        <w:t>Human rights implications</w:t>
      </w:r>
    </w:p>
    <w:p w14:paraId="289424C1" w14:textId="77777777" w:rsidR="00606CF2" w:rsidRPr="00D54B98" w:rsidRDefault="00C34C45" w:rsidP="00BD02D0">
      <w:pPr>
        <w:spacing w:after="160" w:line="259" w:lineRule="auto"/>
        <w:ind w:left="720"/>
        <w:rPr>
          <w:rFonts w:ascii="Times New Roman" w:hAnsi="Times New Roman"/>
          <w:sz w:val="24"/>
        </w:rPr>
      </w:pPr>
      <w:r w:rsidRPr="00D54B98">
        <w:rPr>
          <w:rFonts w:ascii="Times New Roman" w:hAnsi="Times New Roman"/>
          <w:sz w:val="24"/>
        </w:rPr>
        <w:t xml:space="preserve">The </w:t>
      </w:r>
      <w:r w:rsidRPr="00D54B98">
        <w:rPr>
          <w:rFonts w:ascii="Times New Roman" w:hAnsi="Times New Roman"/>
          <w:i/>
          <w:sz w:val="24"/>
        </w:rPr>
        <w:t>Human Rights (Parliamentary Scrutiny) Act 2011</w:t>
      </w:r>
      <w:r w:rsidRPr="00D54B98">
        <w:rPr>
          <w:rFonts w:ascii="Times New Roman" w:hAnsi="Times New Roman"/>
          <w:sz w:val="24"/>
        </w:rPr>
        <w:t xml:space="preserve"> requires that Statements of Compatibility must be made by the rule-maker with regard to disallowable legislative instruments, and must contain an assessment of whether the legislative instrument is compatible with the rights and freedoms recognised in the seven core international human rights treaties that Australia has ratified.</w:t>
      </w:r>
    </w:p>
    <w:p w14:paraId="3829A956" w14:textId="426DADE3" w:rsidR="00CA734C" w:rsidRPr="00CA734C" w:rsidRDefault="007E0112" w:rsidP="00CA734C">
      <w:pPr>
        <w:spacing w:after="160" w:line="259" w:lineRule="auto"/>
        <w:ind w:left="720"/>
        <w:rPr>
          <w:rFonts w:ascii="Times New Roman" w:hAnsi="Times New Roman"/>
          <w:sz w:val="24"/>
        </w:rPr>
      </w:pPr>
      <w:r w:rsidRPr="007E0112">
        <w:rPr>
          <w:rFonts w:ascii="Times New Roman" w:hAnsi="Times New Roman"/>
          <w:sz w:val="24"/>
        </w:rPr>
        <w:lastRenderedPageBreak/>
        <w:t>Th</w:t>
      </w:r>
      <w:r w:rsidR="00BB6CD0">
        <w:rPr>
          <w:rFonts w:ascii="Times New Roman" w:hAnsi="Times New Roman"/>
          <w:sz w:val="24"/>
        </w:rPr>
        <w:t>e</w:t>
      </w:r>
      <w:r w:rsidRPr="007E0112">
        <w:rPr>
          <w:rFonts w:ascii="Times New Roman" w:hAnsi="Times New Roman"/>
          <w:sz w:val="24"/>
        </w:rPr>
        <w:t xml:space="preserve"> </w:t>
      </w:r>
      <w:r w:rsidR="005F54C0">
        <w:rPr>
          <w:rFonts w:ascii="Times New Roman" w:hAnsi="Times New Roman"/>
          <w:sz w:val="24"/>
        </w:rPr>
        <w:t>Instrument</w:t>
      </w:r>
      <w:r w:rsidRPr="007E0112">
        <w:rPr>
          <w:rFonts w:ascii="Times New Roman" w:hAnsi="Times New Roman"/>
          <w:sz w:val="24"/>
        </w:rPr>
        <w:t xml:space="preserve"> </w:t>
      </w:r>
      <w:r w:rsidR="00CA734C" w:rsidRPr="00CA734C">
        <w:rPr>
          <w:rFonts w:ascii="Times New Roman" w:hAnsi="Times New Roman"/>
          <w:sz w:val="24"/>
        </w:rPr>
        <w:t xml:space="preserve">engages the right to privacy and reputation. </w:t>
      </w:r>
    </w:p>
    <w:p w14:paraId="315212F3" w14:textId="28C3F87D" w:rsidR="00CA734C" w:rsidRPr="00CA734C" w:rsidRDefault="007E5C1A" w:rsidP="00CA734C">
      <w:pPr>
        <w:spacing w:after="160" w:line="259" w:lineRule="auto"/>
        <w:ind w:left="720"/>
        <w:rPr>
          <w:rFonts w:ascii="Times New Roman" w:hAnsi="Times New Roman"/>
          <w:i/>
          <w:sz w:val="24"/>
        </w:rPr>
      </w:pPr>
      <w:r>
        <w:rPr>
          <w:rFonts w:ascii="Times New Roman" w:hAnsi="Times New Roman"/>
          <w:i/>
          <w:sz w:val="24"/>
        </w:rPr>
        <w:t>Substitution of Chapter</w:t>
      </w:r>
      <w:r w:rsidR="00CA734C" w:rsidRPr="00CA734C">
        <w:rPr>
          <w:rFonts w:ascii="Times New Roman" w:hAnsi="Times New Roman"/>
          <w:i/>
          <w:sz w:val="24"/>
        </w:rPr>
        <w:t xml:space="preserve"> 24 and repeal of Chapters </w:t>
      </w:r>
      <w:r>
        <w:rPr>
          <w:rFonts w:ascii="Times New Roman" w:hAnsi="Times New Roman"/>
          <w:i/>
          <w:sz w:val="24"/>
        </w:rPr>
        <w:t xml:space="preserve">24, </w:t>
      </w:r>
      <w:r w:rsidR="00CA734C" w:rsidRPr="00CA734C">
        <w:rPr>
          <w:rFonts w:ascii="Times New Roman" w:hAnsi="Times New Roman"/>
          <w:i/>
          <w:sz w:val="24"/>
        </w:rPr>
        <w:t xml:space="preserve">25 and 26 </w:t>
      </w:r>
    </w:p>
    <w:p w14:paraId="34ADB6E4" w14:textId="77EB35F6" w:rsidR="00CA734C" w:rsidRPr="00CA734C" w:rsidRDefault="00CA734C" w:rsidP="00CA734C">
      <w:pPr>
        <w:spacing w:after="160" w:line="259" w:lineRule="auto"/>
        <w:ind w:left="720"/>
        <w:rPr>
          <w:rFonts w:ascii="Times New Roman" w:hAnsi="Times New Roman"/>
          <w:sz w:val="24"/>
        </w:rPr>
      </w:pPr>
      <w:r w:rsidRPr="00CA734C">
        <w:rPr>
          <w:rFonts w:ascii="Times New Roman" w:hAnsi="Times New Roman"/>
          <w:sz w:val="24"/>
        </w:rPr>
        <w:t xml:space="preserve">While persons moving monetary instruments into or out of Australia, and persons sending or receiving monetary instruments moved into Australia will be required to provide the information specified in Chapter 24, the </w:t>
      </w:r>
      <w:r w:rsidR="00BB6CD0">
        <w:rPr>
          <w:rFonts w:ascii="Times New Roman" w:hAnsi="Times New Roman"/>
          <w:sz w:val="24"/>
        </w:rPr>
        <w:t>Instrument</w:t>
      </w:r>
      <w:r w:rsidRPr="00CA734C">
        <w:rPr>
          <w:rFonts w:ascii="Times New Roman" w:hAnsi="Times New Roman"/>
          <w:sz w:val="24"/>
        </w:rPr>
        <w:t xml:space="preserve"> reflect</w:t>
      </w:r>
      <w:r w:rsidR="00BB6CD0">
        <w:rPr>
          <w:rFonts w:ascii="Times New Roman" w:hAnsi="Times New Roman"/>
          <w:sz w:val="24"/>
        </w:rPr>
        <w:t>s</w:t>
      </w:r>
      <w:r w:rsidRPr="00CA734C">
        <w:rPr>
          <w:rFonts w:ascii="Times New Roman" w:hAnsi="Times New Roman"/>
          <w:sz w:val="24"/>
        </w:rPr>
        <w:t xml:space="preserve"> the reforms to Part 4 of the Act, by creating a single reporting requirement for cross-border movement of monetary instruments including physical currency and BNIs. The </w:t>
      </w:r>
      <w:r w:rsidR="00BB6CD0">
        <w:rPr>
          <w:rFonts w:ascii="Times New Roman" w:hAnsi="Times New Roman"/>
          <w:sz w:val="24"/>
        </w:rPr>
        <w:t>Instrument</w:t>
      </w:r>
      <w:r w:rsidRPr="00CA734C">
        <w:rPr>
          <w:rFonts w:ascii="Times New Roman" w:hAnsi="Times New Roman"/>
          <w:sz w:val="24"/>
        </w:rPr>
        <w:t xml:space="preserve"> do</w:t>
      </w:r>
      <w:r w:rsidR="00BB6CD0">
        <w:rPr>
          <w:rFonts w:ascii="Times New Roman" w:hAnsi="Times New Roman"/>
          <w:sz w:val="24"/>
        </w:rPr>
        <w:t>es</w:t>
      </w:r>
      <w:r w:rsidRPr="00CA734C">
        <w:rPr>
          <w:rFonts w:ascii="Times New Roman" w:hAnsi="Times New Roman"/>
          <w:sz w:val="24"/>
        </w:rPr>
        <w:t xml:space="preserve"> not amend the existing requirements in relation to the types of information collected about the movement of physical currency or BNIs. </w:t>
      </w:r>
    </w:p>
    <w:p w14:paraId="074E0EAA" w14:textId="77777777" w:rsidR="00CA734C" w:rsidRPr="00CA734C" w:rsidRDefault="00CA734C" w:rsidP="00CA734C">
      <w:pPr>
        <w:spacing w:after="160" w:line="259" w:lineRule="auto"/>
        <w:ind w:left="720"/>
        <w:rPr>
          <w:rFonts w:ascii="Times New Roman" w:hAnsi="Times New Roman"/>
          <w:sz w:val="24"/>
          <w:u w:val="single"/>
        </w:rPr>
      </w:pPr>
      <w:r w:rsidRPr="00CA734C">
        <w:rPr>
          <w:rFonts w:ascii="Times New Roman" w:hAnsi="Times New Roman"/>
          <w:sz w:val="24"/>
          <w:u w:val="single"/>
        </w:rPr>
        <w:t>Article 17 of the ICCPR</w:t>
      </w:r>
    </w:p>
    <w:p w14:paraId="58954E52" w14:textId="77777777" w:rsidR="00CA734C" w:rsidRPr="00CA734C" w:rsidRDefault="00CA734C" w:rsidP="00CA734C">
      <w:pPr>
        <w:spacing w:after="160" w:line="259" w:lineRule="auto"/>
        <w:ind w:left="720"/>
        <w:rPr>
          <w:rFonts w:ascii="Times New Roman" w:hAnsi="Times New Roman"/>
          <w:sz w:val="24"/>
        </w:rPr>
      </w:pPr>
      <w:r w:rsidRPr="00CA734C">
        <w:rPr>
          <w:rFonts w:ascii="Times New Roman" w:hAnsi="Times New Roman"/>
          <w:sz w:val="24"/>
        </w:rPr>
        <w:t>Article 17 of the International Covenant on Civil and Political Rights (ICCPR) provides that no one shall be subjected to arbitrary or unlawful interference with their privacy, family, home or correspondence. The use of the term ‘arbitrary’ means that any interference with privacy must be in accordance with the provisions, aims and objectives of the ICCPR and should be reasonable in the particular circumstances. The United Nations Human Rights Committee has interpreted ‘reasonableness’ to imply that any limitation must be proportionate and necessary in the circumstances. The right to privacy can be limited by necessity in a democratic society in the interests of national security or public order.</w:t>
      </w:r>
    </w:p>
    <w:p w14:paraId="72EA9353" w14:textId="15CD43F0" w:rsidR="00CA734C" w:rsidRPr="00CA734C" w:rsidRDefault="00CA734C" w:rsidP="00CA734C">
      <w:pPr>
        <w:spacing w:after="160" w:line="259" w:lineRule="auto"/>
        <w:ind w:left="720"/>
        <w:rPr>
          <w:rFonts w:ascii="Times New Roman" w:hAnsi="Times New Roman"/>
          <w:sz w:val="24"/>
        </w:rPr>
      </w:pPr>
      <w:r w:rsidRPr="00CA734C">
        <w:rPr>
          <w:rFonts w:ascii="Times New Roman" w:hAnsi="Times New Roman"/>
          <w:sz w:val="24"/>
        </w:rPr>
        <w:t xml:space="preserve">AUSTRAC collects personal information under the requirement of the AML/CTF Act to mitigate and manage the risk of money laundering and financing of terrorism. AUSTRAC considers that the collection of personal information under the AML/CTF Act, and by the operation of Chapter 24, is therefore not an arbitrary or unlawful interference with privacy.  AUSTRAC has considered the types of information prescribed by the </w:t>
      </w:r>
      <w:r w:rsidR="00BB6CD0">
        <w:rPr>
          <w:rFonts w:ascii="Times New Roman" w:hAnsi="Times New Roman"/>
          <w:sz w:val="24"/>
        </w:rPr>
        <w:t>Instrument</w:t>
      </w:r>
      <w:r w:rsidRPr="00CA734C">
        <w:rPr>
          <w:rFonts w:ascii="Times New Roman" w:hAnsi="Times New Roman"/>
          <w:sz w:val="24"/>
        </w:rPr>
        <w:t xml:space="preserve"> and is of the opinion that the collection of this information is necessary, reasonable, and proportionate to achieving the legitimate object of the AML/CTF Act.</w:t>
      </w:r>
    </w:p>
    <w:p w14:paraId="2C22DACE" w14:textId="1D02CBFB" w:rsidR="00CA734C" w:rsidRPr="00CA734C" w:rsidRDefault="00CA734C" w:rsidP="00CA734C">
      <w:pPr>
        <w:spacing w:after="160" w:line="259" w:lineRule="auto"/>
        <w:ind w:left="720"/>
        <w:rPr>
          <w:rFonts w:ascii="Times New Roman" w:hAnsi="Times New Roman"/>
          <w:sz w:val="24"/>
        </w:rPr>
      </w:pPr>
      <w:r w:rsidRPr="00CA734C">
        <w:rPr>
          <w:rFonts w:ascii="Times New Roman" w:hAnsi="Times New Roman"/>
          <w:sz w:val="24"/>
        </w:rPr>
        <w:t xml:space="preserve">AUSTRAC therefore considers that the amendments to Chapter 24 and repeal of Chapters 25 and 26 engages and is consistent with the right to privacy articulated in Article 17 of the ICCPR.  </w:t>
      </w:r>
    </w:p>
    <w:p w14:paraId="5030C9DB" w14:textId="77777777" w:rsidR="00CA734C" w:rsidRPr="00CA734C" w:rsidRDefault="00CA734C" w:rsidP="00CA734C">
      <w:pPr>
        <w:spacing w:after="160" w:line="259" w:lineRule="auto"/>
        <w:ind w:left="720"/>
        <w:rPr>
          <w:rFonts w:ascii="Times New Roman" w:hAnsi="Times New Roman"/>
          <w:i/>
          <w:sz w:val="24"/>
        </w:rPr>
      </w:pPr>
      <w:r w:rsidRPr="00CA734C">
        <w:rPr>
          <w:rFonts w:ascii="Times New Roman" w:hAnsi="Times New Roman"/>
          <w:i/>
          <w:sz w:val="24"/>
        </w:rPr>
        <w:t>Amendments to Chapter 34</w:t>
      </w:r>
    </w:p>
    <w:p w14:paraId="0B5DF4F8" w14:textId="2CD789C3" w:rsidR="007F18B0" w:rsidRPr="0094150C" w:rsidRDefault="00CA734C" w:rsidP="0094150C">
      <w:pPr>
        <w:spacing w:after="160" w:line="259" w:lineRule="auto"/>
        <w:ind w:left="720"/>
        <w:rPr>
          <w:rFonts w:ascii="Times New Roman" w:hAnsi="Times New Roman"/>
          <w:sz w:val="24"/>
        </w:rPr>
      </w:pPr>
      <w:r w:rsidRPr="00CA734C">
        <w:rPr>
          <w:rFonts w:ascii="Times New Roman" w:hAnsi="Times New Roman"/>
          <w:sz w:val="24"/>
        </w:rPr>
        <w:t>AUSTRAC considers that the amendment</w:t>
      </w:r>
      <w:r w:rsidR="004E3C11">
        <w:rPr>
          <w:rFonts w:ascii="Times New Roman" w:hAnsi="Times New Roman"/>
          <w:sz w:val="24"/>
        </w:rPr>
        <w:t>s</w:t>
      </w:r>
      <w:r w:rsidRPr="00CA734C">
        <w:rPr>
          <w:rFonts w:ascii="Times New Roman" w:hAnsi="Times New Roman"/>
          <w:sz w:val="24"/>
        </w:rPr>
        <w:t xml:space="preserve"> to Chapter 34 do not engage any of the applicable rights or freedoms.</w:t>
      </w:r>
    </w:p>
    <w:p w14:paraId="1F1FC570" w14:textId="33835E43" w:rsidR="00B94668" w:rsidRDefault="00B94668" w:rsidP="00BD02D0">
      <w:pPr>
        <w:ind w:left="720"/>
        <w:rPr>
          <w:rFonts w:ascii="Times New Roman" w:hAnsi="Times New Roman"/>
          <w:sz w:val="24"/>
        </w:rPr>
      </w:pPr>
    </w:p>
    <w:p w14:paraId="51C40289" w14:textId="41058B6E" w:rsidR="00A97B24" w:rsidRDefault="00A97B24" w:rsidP="00BD02D0">
      <w:pPr>
        <w:ind w:left="720"/>
        <w:rPr>
          <w:rFonts w:ascii="Times New Roman" w:hAnsi="Times New Roman"/>
          <w:sz w:val="24"/>
        </w:rPr>
      </w:pPr>
    </w:p>
    <w:p w14:paraId="0CC2C538" w14:textId="6E574BD2" w:rsidR="00A97B24" w:rsidRPr="00BC6A40" w:rsidRDefault="00C85B0D" w:rsidP="00BD02D0">
      <w:pPr>
        <w:ind w:left="720"/>
        <w:rPr>
          <w:rFonts w:ascii="Times New Roman" w:hAnsi="Times New Roman"/>
          <w:sz w:val="24"/>
        </w:rPr>
      </w:pPr>
      <w:r>
        <w:rPr>
          <w:rFonts w:ascii="Times New Roman" w:hAnsi="Times New Roman"/>
          <w:sz w:val="24"/>
        </w:rPr>
        <w:t>[signed]</w:t>
      </w:r>
    </w:p>
    <w:p w14:paraId="0F0D2B36" w14:textId="5E7A9129" w:rsidR="009B309E" w:rsidRPr="00BC6A40" w:rsidRDefault="009B309E" w:rsidP="00BD02D0">
      <w:pPr>
        <w:ind w:left="720"/>
        <w:rPr>
          <w:rFonts w:ascii="Times New Roman" w:hAnsi="Times New Roman"/>
          <w:sz w:val="24"/>
        </w:rPr>
      </w:pPr>
      <w:r w:rsidRPr="00BC6A40">
        <w:rPr>
          <w:rFonts w:ascii="Times New Roman" w:hAnsi="Times New Roman"/>
          <w:sz w:val="24"/>
        </w:rPr>
        <w:t>Nicole Rose PSM</w:t>
      </w:r>
    </w:p>
    <w:p w14:paraId="073F635A" w14:textId="77777777" w:rsidR="009B309E" w:rsidRPr="00BC6A40" w:rsidRDefault="009B309E" w:rsidP="00BD02D0">
      <w:pPr>
        <w:ind w:left="720"/>
        <w:rPr>
          <w:rFonts w:ascii="Times New Roman" w:hAnsi="Times New Roman"/>
          <w:sz w:val="24"/>
        </w:rPr>
      </w:pPr>
      <w:r w:rsidRPr="00BC6A40">
        <w:rPr>
          <w:rFonts w:ascii="Times New Roman" w:hAnsi="Times New Roman"/>
          <w:sz w:val="24"/>
        </w:rPr>
        <w:t>Chief Executive Officer</w:t>
      </w:r>
    </w:p>
    <w:p w14:paraId="25D33808" w14:textId="77777777" w:rsidR="009B309E" w:rsidRPr="00BC6A40" w:rsidRDefault="009B309E" w:rsidP="00BD02D0">
      <w:pPr>
        <w:ind w:left="720"/>
        <w:rPr>
          <w:rFonts w:ascii="Times New Roman" w:hAnsi="Times New Roman"/>
          <w:sz w:val="24"/>
        </w:rPr>
      </w:pPr>
      <w:r w:rsidRPr="00BC6A40">
        <w:rPr>
          <w:rFonts w:ascii="Times New Roman" w:hAnsi="Times New Roman"/>
          <w:sz w:val="24"/>
        </w:rPr>
        <w:t>Australian Transaction Reports and Analysis Centre</w:t>
      </w:r>
    </w:p>
    <w:sectPr w:rsidR="009B309E" w:rsidRPr="00BC6A40" w:rsidSect="007A53C1">
      <w:footerReference w:type="even" r:id="rId8"/>
      <w:footerReference w:type="default" r:id="rId9"/>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F540EF" w14:textId="77777777" w:rsidR="00C029B0" w:rsidRDefault="00C029B0">
      <w:r>
        <w:separator/>
      </w:r>
    </w:p>
  </w:endnote>
  <w:endnote w:type="continuationSeparator" w:id="0">
    <w:p w14:paraId="1787E0BE" w14:textId="77777777" w:rsidR="00C029B0" w:rsidRDefault="00C02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Times New Roman"/>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4BEE1" w14:textId="77777777" w:rsidR="00860B5B" w:rsidRDefault="00860B5B" w:rsidP="003F25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4EB9ADF" w14:textId="77777777" w:rsidR="00860B5B" w:rsidRDefault="00860B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D0745" w14:textId="5BD125E2" w:rsidR="00860B5B" w:rsidRPr="007A53C1" w:rsidRDefault="00860B5B" w:rsidP="003F250A">
    <w:pPr>
      <w:pStyle w:val="Footer"/>
      <w:framePr w:wrap="around" w:vAnchor="text" w:hAnchor="margin" w:xAlign="center" w:y="1"/>
      <w:rPr>
        <w:rStyle w:val="PageNumber"/>
        <w:rFonts w:ascii="Times New Roman" w:hAnsi="Times New Roman"/>
      </w:rPr>
    </w:pPr>
    <w:r w:rsidRPr="007A53C1">
      <w:rPr>
        <w:rStyle w:val="PageNumber"/>
        <w:rFonts w:ascii="Times New Roman" w:hAnsi="Times New Roman"/>
      </w:rPr>
      <w:fldChar w:fldCharType="begin"/>
    </w:r>
    <w:r w:rsidRPr="007A53C1">
      <w:rPr>
        <w:rStyle w:val="PageNumber"/>
        <w:rFonts w:ascii="Times New Roman" w:hAnsi="Times New Roman"/>
      </w:rPr>
      <w:instrText xml:space="preserve">PAGE  </w:instrText>
    </w:r>
    <w:r w:rsidRPr="007A53C1">
      <w:rPr>
        <w:rStyle w:val="PageNumber"/>
        <w:rFonts w:ascii="Times New Roman" w:hAnsi="Times New Roman"/>
      </w:rPr>
      <w:fldChar w:fldCharType="separate"/>
    </w:r>
    <w:r w:rsidR="00AF2A48">
      <w:rPr>
        <w:rStyle w:val="PageNumber"/>
        <w:rFonts w:ascii="Times New Roman" w:hAnsi="Times New Roman"/>
        <w:noProof/>
      </w:rPr>
      <w:t>1</w:t>
    </w:r>
    <w:r w:rsidRPr="007A53C1">
      <w:rPr>
        <w:rStyle w:val="PageNumber"/>
        <w:rFonts w:ascii="Times New Roman" w:hAnsi="Times New Roman"/>
      </w:rPr>
      <w:fldChar w:fldCharType="end"/>
    </w:r>
  </w:p>
  <w:p w14:paraId="1D4C9A6A" w14:textId="77777777" w:rsidR="00860B5B" w:rsidRPr="007A53C1" w:rsidRDefault="00860B5B" w:rsidP="003B7524">
    <w:pPr>
      <w:pStyle w:val="Footer"/>
      <w:jc w:val="right"/>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5D81FC" w14:textId="77777777" w:rsidR="00C029B0" w:rsidRDefault="00C029B0">
      <w:r>
        <w:separator/>
      </w:r>
    </w:p>
  </w:footnote>
  <w:footnote w:type="continuationSeparator" w:id="0">
    <w:p w14:paraId="18DA4490" w14:textId="77777777" w:rsidR="00C029B0" w:rsidRDefault="00C029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18D1"/>
    <w:multiLevelType w:val="hybridMultilevel"/>
    <w:tmpl w:val="DA8CD8D0"/>
    <w:lvl w:ilvl="0" w:tplc="E85EDFBC">
      <w:start w:val="1"/>
      <w:numFmt w:val="lowerLetter"/>
      <w:lvlText w:val="(%1)"/>
      <w:lvlJc w:val="left"/>
      <w:pPr>
        <w:ind w:left="1988" w:hanging="570"/>
      </w:pPr>
      <w:rPr>
        <w:rFonts w:hint="default"/>
      </w:rPr>
    </w:lvl>
    <w:lvl w:ilvl="1" w:tplc="0C090019">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1" w15:restartNumberingAfterBreak="0">
    <w:nsid w:val="051D4C11"/>
    <w:multiLevelType w:val="hybridMultilevel"/>
    <w:tmpl w:val="F4980934"/>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058310FB"/>
    <w:multiLevelType w:val="hybridMultilevel"/>
    <w:tmpl w:val="5D865EDE"/>
    <w:lvl w:ilvl="0" w:tplc="0E7ADC14">
      <w:start w:val="1"/>
      <w:numFmt w:val="lowerLetter"/>
      <w:lvlText w:val="(%1)"/>
      <w:lvlJc w:val="left"/>
      <w:pPr>
        <w:ind w:left="1080" w:hanging="360"/>
      </w:pPr>
      <w:rPr>
        <w:rFonts w:hint="default"/>
      </w:rPr>
    </w:lvl>
    <w:lvl w:ilvl="1" w:tplc="D532634A">
      <w:start w:val="1"/>
      <w:numFmt w:val="lowerLetter"/>
      <w:lvlText w:val="(%2)"/>
      <w:lvlJc w:val="left"/>
      <w:pPr>
        <w:ind w:left="1800" w:hanging="360"/>
      </w:pPr>
      <w:rPr>
        <w:rFonts w:ascii="Times New Roman" w:eastAsia="Times New Roman" w:hAnsi="Times New Roman" w:cs="Times New Roman"/>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62142C9"/>
    <w:multiLevelType w:val="hybridMultilevel"/>
    <w:tmpl w:val="F4980934"/>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A3259C8"/>
    <w:multiLevelType w:val="hybridMultilevel"/>
    <w:tmpl w:val="8F682AD6"/>
    <w:lvl w:ilvl="0" w:tplc="B61E548A">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B3B4CE9"/>
    <w:multiLevelType w:val="hybridMultilevel"/>
    <w:tmpl w:val="DA8CD8D0"/>
    <w:lvl w:ilvl="0" w:tplc="E85EDFBC">
      <w:start w:val="1"/>
      <w:numFmt w:val="lowerLetter"/>
      <w:lvlText w:val="(%1)"/>
      <w:lvlJc w:val="left"/>
      <w:pPr>
        <w:ind w:left="1988" w:hanging="570"/>
      </w:pPr>
      <w:rPr>
        <w:rFonts w:hint="default"/>
      </w:rPr>
    </w:lvl>
    <w:lvl w:ilvl="1" w:tplc="0C090019">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6" w15:restartNumberingAfterBreak="0">
    <w:nsid w:val="26BE7BAC"/>
    <w:multiLevelType w:val="hybridMultilevel"/>
    <w:tmpl w:val="82441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FC397F"/>
    <w:multiLevelType w:val="hybridMultilevel"/>
    <w:tmpl w:val="F766CC2E"/>
    <w:lvl w:ilvl="0" w:tplc="0C090001">
      <w:start w:val="1"/>
      <w:numFmt w:val="bullet"/>
      <w:lvlText w:val=""/>
      <w:lvlJc w:val="left"/>
      <w:pPr>
        <w:ind w:left="720" w:hanging="360"/>
      </w:pPr>
      <w:rPr>
        <w:rFonts w:ascii="Symbol" w:hAnsi="Symbol" w:hint="default"/>
        <w:color w:val="00000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D9F7917"/>
    <w:multiLevelType w:val="hybridMultilevel"/>
    <w:tmpl w:val="F4980934"/>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2F691E76"/>
    <w:multiLevelType w:val="hybridMultilevel"/>
    <w:tmpl w:val="9EC6A848"/>
    <w:lvl w:ilvl="0" w:tplc="78ACFE64">
      <w:start w:val="1"/>
      <w:numFmt w:val="decimal"/>
      <w:lvlText w:val="%1."/>
      <w:lvlJc w:val="left"/>
      <w:pPr>
        <w:tabs>
          <w:tab w:val="num" w:pos="720"/>
        </w:tabs>
        <w:ind w:left="720" w:hanging="360"/>
      </w:pPr>
      <w:rPr>
        <w:rFonts w:hint="default"/>
        <w:b w:val="0"/>
        <w:i w:val="0"/>
        <w:sz w:val="24"/>
        <w:szCs w:val="24"/>
      </w:rPr>
    </w:lvl>
    <w:lvl w:ilvl="1" w:tplc="0C090019">
      <w:start w:val="1"/>
      <w:numFmt w:val="lowerLetter"/>
      <w:lvlText w:val="%2."/>
      <w:lvlJc w:val="left"/>
      <w:pPr>
        <w:tabs>
          <w:tab w:val="num" w:pos="1080"/>
        </w:tabs>
        <w:ind w:left="1250" w:hanging="170"/>
      </w:pPr>
      <w:rPr>
        <w:rFonts w:hint="default"/>
        <w:sz w:val="24"/>
        <w:szCs w:val="24"/>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3A2E304C"/>
    <w:multiLevelType w:val="hybridMultilevel"/>
    <w:tmpl w:val="65CE0744"/>
    <w:lvl w:ilvl="0" w:tplc="29BA0E3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32F1976"/>
    <w:multiLevelType w:val="hybridMultilevel"/>
    <w:tmpl w:val="65CE0744"/>
    <w:lvl w:ilvl="0" w:tplc="29BA0E3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A295536"/>
    <w:multiLevelType w:val="hybridMultilevel"/>
    <w:tmpl w:val="C8AE3E42"/>
    <w:lvl w:ilvl="0" w:tplc="7026C1A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54C67765"/>
    <w:multiLevelType w:val="hybridMultilevel"/>
    <w:tmpl w:val="DA8CD8D0"/>
    <w:lvl w:ilvl="0" w:tplc="E85EDFBC">
      <w:start w:val="1"/>
      <w:numFmt w:val="lowerLetter"/>
      <w:lvlText w:val="(%1)"/>
      <w:lvlJc w:val="left"/>
      <w:pPr>
        <w:ind w:left="1988" w:hanging="570"/>
      </w:pPr>
      <w:rPr>
        <w:rFonts w:hint="default"/>
      </w:rPr>
    </w:lvl>
    <w:lvl w:ilvl="1" w:tplc="0C090019">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14" w15:restartNumberingAfterBreak="0">
    <w:nsid w:val="5732736A"/>
    <w:multiLevelType w:val="hybridMultilevel"/>
    <w:tmpl w:val="FE3CE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8B67EA5"/>
    <w:multiLevelType w:val="hybridMultilevel"/>
    <w:tmpl w:val="DA8CD8D0"/>
    <w:lvl w:ilvl="0" w:tplc="E85EDFBC">
      <w:start w:val="1"/>
      <w:numFmt w:val="lowerLetter"/>
      <w:lvlText w:val="(%1)"/>
      <w:lvlJc w:val="left"/>
      <w:pPr>
        <w:ind w:left="1988" w:hanging="570"/>
      </w:pPr>
      <w:rPr>
        <w:rFonts w:hint="default"/>
      </w:rPr>
    </w:lvl>
    <w:lvl w:ilvl="1" w:tplc="0C090019">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16" w15:restartNumberingAfterBreak="0">
    <w:nsid w:val="5FE80D0D"/>
    <w:multiLevelType w:val="hybridMultilevel"/>
    <w:tmpl w:val="25BE4860"/>
    <w:lvl w:ilvl="0" w:tplc="78ACFE64">
      <w:start w:val="1"/>
      <w:numFmt w:val="decimal"/>
      <w:lvlText w:val="%1."/>
      <w:lvlJc w:val="left"/>
      <w:pPr>
        <w:tabs>
          <w:tab w:val="num" w:pos="720"/>
        </w:tabs>
        <w:ind w:left="720" w:hanging="360"/>
      </w:pPr>
      <w:rPr>
        <w:rFonts w:hint="default"/>
        <w:b w:val="0"/>
        <w:i w:val="0"/>
        <w:sz w:val="24"/>
        <w:szCs w:val="24"/>
      </w:rPr>
    </w:lvl>
    <w:lvl w:ilvl="1" w:tplc="FC107410">
      <w:start w:val="1"/>
      <w:numFmt w:val="lowerLetter"/>
      <w:lvlText w:val="(%2)"/>
      <w:lvlJc w:val="left"/>
      <w:pPr>
        <w:tabs>
          <w:tab w:val="num" w:pos="1080"/>
        </w:tabs>
        <w:ind w:left="1250" w:hanging="170"/>
      </w:pPr>
      <w:rPr>
        <w:rFonts w:hint="default"/>
        <w:sz w:val="24"/>
        <w:szCs w:val="24"/>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616E069F"/>
    <w:multiLevelType w:val="hybridMultilevel"/>
    <w:tmpl w:val="DA8CD8D0"/>
    <w:lvl w:ilvl="0" w:tplc="E85EDFBC">
      <w:start w:val="1"/>
      <w:numFmt w:val="lowerLetter"/>
      <w:lvlText w:val="(%1)"/>
      <w:lvlJc w:val="left"/>
      <w:pPr>
        <w:ind w:left="1988" w:hanging="570"/>
      </w:pPr>
      <w:rPr>
        <w:rFonts w:hint="default"/>
      </w:rPr>
    </w:lvl>
    <w:lvl w:ilvl="1" w:tplc="0C090019">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18" w15:restartNumberingAfterBreak="0">
    <w:nsid w:val="68E73AA5"/>
    <w:multiLevelType w:val="hybridMultilevel"/>
    <w:tmpl w:val="F4980934"/>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6AE65171"/>
    <w:multiLevelType w:val="hybridMultilevel"/>
    <w:tmpl w:val="D3D4E7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1AD3B17"/>
    <w:multiLevelType w:val="hybridMultilevel"/>
    <w:tmpl w:val="65CE0744"/>
    <w:lvl w:ilvl="0" w:tplc="29BA0E3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7512918"/>
    <w:multiLevelType w:val="hybridMultilevel"/>
    <w:tmpl w:val="65CCD3BA"/>
    <w:lvl w:ilvl="0" w:tplc="FC10741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8A64D45"/>
    <w:multiLevelType w:val="hybridMultilevel"/>
    <w:tmpl w:val="9B966D8C"/>
    <w:lvl w:ilvl="0" w:tplc="79A4F224">
      <w:start w:val="1"/>
      <w:numFmt w:val="decimal"/>
      <w:lvlText w:val="%1."/>
      <w:lvlJc w:val="left"/>
      <w:pPr>
        <w:ind w:left="360" w:hanging="360"/>
      </w:pPr>
      <w:rPr>
        <w:color w:val="00000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7C692AEE"/>
    <w:multiLevelType w:val="hybridMultilevel"/>
    <w:tmpl w:val="3446BBBA"/>
    <w:lvl w:ilvl="0" w:tplc="0C090001">
      <w:start w:val="1"/>
      <w:numFmt w:val="bullet"/>
      <w:lvlText w:val=""/>
      <w:lvlJc w:val="left"/>
      <w:pPr>
        <w:ind w:left="720" w:hanging="360"/>
      </w:pPr>
      <w:rPr>
        <w:rFonts w:ascii="Symbol" w:hAnsi="Symbol" w:hint="default"/>
        <w:color w:val="00000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E3E69DE"/>
    <w:multiLevelType w:val="hybridMultilevel"/>
    <w:tmpl w:val="DA8CD8D0"/>
    <w:lvl w:ilvl="0" w:tplc="E85EDFBC">
      <w:start w:val="1"/>
      <w:numFmt w:val="lowerLetter"/>
      <w:lvlText w:val="(%1)"/>
      <w:lvlJc w:val="left"/>
      <w:pPr>
        <w:ind w:left="1988" w:hanging="570"/>
      </w:pPr>
      <w:rPr>
        <w:rFonts w:hint="default"/>
      </w:rPr>
    </w:lvl>
    <w:lvl w:ilvl="1" w:tplc="0C090019">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num w:numId="1">
    <w:abstractNumId w:val="22"/>
  </w:num>
  <w:num w:numId="2">
    <w:abstractNumId w:val="7"/>
  </w:num>
  <w:num w:numId="3">
    <w:abstractNumId w:val="23"/>
  </w:num>
  <w:num w:numId="4">
    <w:abstractNumId w:val="24"/>
  </w:num>
  <w:num w:numId="5">
    <w:abstractNumId w:val="0"/>
  </w:num>
  <w:num w:numId="6">
    <w:abstractNumId w:val="5"/>
  </w:num>
  <w:num w:numId="7">
    <w:abstractNumId w:val="17"/>
  </w:num>
  <w:num w:numId="8">
    <w:abstractNumId w:val="13"/>
  </w:num>
  <w:num w:numId="9">
    <w:abstractNumId w:val="15"/>
  </w:num>
  <w:num w:numId="10">
    <w:abstractNumId w:val="6"/>
  </w:num>
  <w:num w:numId="11">
    <w:abstractNumId w:val="11"/>
  </w:num>
  <w:num w:numId="12">
    <w:abstractNumId w:val="10"/>
  </w:num>
  <w:num w:numId="13">
    <w:abstractNumId w:val="20"/>
  </w:num>
  <w:num w:numId="14">
    <w:abstractNumId w:val="14"/>
  </w:num>
  <w:num w:numId="15">
    <w:abstractNumId w:val="19"/>
  </w:num>
  <w:num w:numId="16">
    <w:abstractNumId w:val="16"/>
  </w:num>
  <w:num w:numId="17">
    <w:abstractNumId w:val="4"/>
  </w:num>
  <w:num w:numId="18">
    <w:abstractNumId w:val="1"/>
  </w:num>
  <w:num w:numId="19">
    <w:abstractNumId w:val="21"/>
  </w:num>
  <w:num w:numId="20">
    <w:abstractNumId w:val="18"/>
  </w:num>
  <w:num w:numId="21">
    <w:abstractNumId w:val="3"/>
  </w:num>
  <w:num w:numId="22">
    <w:abstractNumId w:val="12"/>
  </w:num>
  <w:num w:numId="23">
    <w:abstractNumId w:val="2"/>
  </w:num>
  <w:num w:numId="24">
    <w:abstractNumId w:val="9"/>
  </w:num>
  <w:num w:numId="25">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7524"/>
    <w:rsid w:val="0000129C"/>
    <w:rsid w:val="00002D59"/>
    <w:rsid w:val="000041E4"/>
    <w:rsid w:val="00004237"/>
    <w:rsid w:val="00005185"/>
    <w:rsid w:val="00005C87"/>
    <w:rsid w:val="0001158F"/>
    <w:rsid w:val="00011BFD"/>
    <w:rsid w:val="00013686"/>
    <w:rsid w:val="00017141"/>
    <w:rsid w:val="0001730D"/>
    <w:rsid w:val="000217EC"/>
    <w:rsid w:val="00021CB1"/>
    <w:rsid w:val="000222A4"/>
    <w:rsid w:val="00024783"/>
    <w:rsid w:val="00024980"/>
    <w:rsid w:val="00024C66"/>
    <w:rsid w:val="00027479"/>
    <w:rsid w:val="00027747"/>
    <w:rsid w:val="0003033B"/>
    <w:rsid w:val="00031690"/>
    <w:rsid w:val="00033B8D"/>
    <w:rsid w:val="00035748"/>
    <w:rsid w:val="00035795"/>
    <w:rsid w:val="000358DA"/>
    <w:rsid w:val="00035AF4"/>
    <w:rsid w:val="00035CF9"/>
    <w:rsid w:val="00037327"/>
    <w:rsid w:val="00042863"/>
    <w:rsid w:val="000430D4"/>
    <w:rsid w:val="00044B95"/>
    <w:rsid w:val="00050B40"/>
    <w:rsid w:val="00050CE5"/>
    <w:rsid w:val="00051713"/>
    <w:rsid w:val="000539C7"/>
    <w:rsid w:val="00053A7A"/>
    <w:rsid w:val="00053D86"/>
    <w:rsid w:val="000552BF"/>
    <w:rsid w:val="000572EA"/>
    <w:rsid w:val="00057C98"/>
    <w:rsid w:val="0006328D"/>
    <w:rsid w:val="00063869"/>
    <w:rsid w:val="00064B1E"/>
    <w:rsid w:val="000673A4"/>
    <w:rsid w:val="00072759"/>
    <w:rsid w:val="00075472"/>
    <w:rsid w:val="0008081C"/>
    <w:rsid w:val="0008191B"/>
    <w:rsid w:val="00083A52"/>
    <w:rsid w:val="000851F0"/>
    <w:rsid w:val="000864DD"/>
    <w:rsid w:val="000869B9"/>
    <w:rsid w:val="000926BD"/>
    <w:rsid w:val="00092891"/>
    <w:rsid w:val="0009363E"/>
    <w:rsid w:val="000942AF"/>
    <w:rsid w:val="0009570F"/>
    <w:rsid w:val="00095CB4"/>
    <w:rsid w:val="000961DD"/>
    <w:rsid w:val="00097839"/>
    <w:rsid w:val="000A0109"/>
    <w:rsid w:val="000A1B36"/>
    <w:rsid w:val="000A25BE"/>
    <w:rsid w:val="000A448C"/>
    <w:rsid w:val="000A71FF"/>
    <w:rsid w:val="000B07C2"/>
    <w:rsid w:val="000B3A73"/>
    <w:rsid w:val="000B3D22"/>
    <w:rsid w:val="000B4EE1"/>
    <w:rsid w:val="000B7574"/>
    <w:rsid w:val="000B7D16"/>
    <w:rsid w:val="000C048B"/>
    <w:rsid w:val="000C26E9"/>
    <w:rsid w:val="000C3669"/>
    <w:rsid w:val="000C4CBB"/>
    <w:rsid w:val="000C4DEC"/>
    <w:rsid w:val="000C5E2A"/>
    <w:rsid w:val="000C7ED6"/>
    <w:rsid w:val="000D0E25"/>
    <w:rsid w:val="000D13F2"/>
    <w:rsid w:val="000D143A"/>
    <w:rsid w:val="000D180A"/>
    <w:rsid w:val="000D1DA2"/>
    <w:rsid w:val="000D261E"/>
    <w:rsid w:val="000D4F84"/>
    <w:rsid w:val="000D658D"/>
    <w:rsid w:val="000E22B7"/>
    <w:rsid w:val="000E63EE"/>
    <w:rsid w:val="000F0AA0"/>
    <w:rsid w:val="00100A29"/>
    <w:rsid w:val="00100E9D"/>
    <w:rsid w:val="00101C26"/>
    <w:rsid w:val="00101CDF"/>
    <w:rsid w:val="0010234E"/>
    <w:rsid w:val="00106221"/>
    <w:rsid w:val="0010649D"/>
    <w:rsid w:val="00112B9E"/>
    <w:rsid w:val="001138C2"/>
    <w:rsid w:val="00114B13"/>
    <w:rsid w:val="00115CA1"/>
    <w:rsid w:val="001161BA"/>
    <w:rsid w:val="00116245"/>
    <w:rsid w:val="001212F7"/>
    <w:rsid w:val="00121FC3"/>
    <w:rsid w:val="00122D9B"/>
    <w:rsid w:val="001300A6"/>
    <w:rsid w:val="00131A1D"/>
    <w:rsid w:val="00133529"/>
    <w:rsid w:val="0013429C"/>
    <w:rsid w:val="0013441F"/>
    <w:rsid w:val="00134CA6"/>
    <w:rsid w:val="00135E20"/>
    <w:rsid w:val="001369B9"/>
    <w:rsid w:val="00136AE5"/>
    <w:rsid w:val="00142343"/>
    <w:rsid w:val="00142983"/>
    <w:rsid w:val="001434AB"/>
    <w:rsid w:val="00143BAA"/>
    <w:rsid w:val="00146670"/>
    <w:rsid w:val="00146C29"/>
    <w:rsid w:val="001475BE"/>
    <w:rsid w:val="00151851"/>
    <w:rsid w:val="00151CE0"/>
    <w:rsid w:val="0015491C"/>
    <w:rsid w:val="00156041"/>
    <w:rsid w:val="0015621A"/>
    <w:rsid w:val="00156C39"/>
    <w:rsid w:val="00157B80"/>
    <w:rsid w:val="00160041"/>
    <w:rsid w:val="001602B8"/>
    <w:rsid w:val="001625EF"/>
    <w:rsid w:val="00162CC7"/>
    <w:rsid w:val="00163115"/>
    <w:rsid w:val="001663D5"/>
    <w:rsid w:val="0017034F"/>
    <w:rsid w:val="00171BC5"/>
    <w:rsid w:val="00173D1C"/>
    <w:rsid w:val="00190C40"/>
    <w:rsid w:val="00193377"/>
    <w:rsid w:val="001941DA"/>
    <w:rsid w:val="00194C14"/>
    <w:rsid w:val="0019595E"/>
    <w:rsid w:val="001970B1"/>
    <w:rsid w:val="00197E8A"/>
    <w:rsid w:val="001A03E1"/>
    <w:rsid w:val="001A11DA"/>
    <w:rsid w:val="001A25CB"/>
    <w:rsid w:val="001A58BA"/>
    <w:rsid w:val="001A63E8"/>
    <w:rsid w:val="001B005E"/>
    <w:rsid w:val="001B3A61"/>
    <w:rsid w:val="001B4DD4"/>
    <w:rsid w:val="001B679A"/>
    <w:rsid w:val="001B6FCC"/>
    <w:rsid w:val="001B7562"/>
    <w:rsid w:val="001B7DCC"/>
    <w:rsid w:val="001C001A"/>
    <w:rsid w:val="001C2371"/>
    <w:rsid w:val="001C37C9"/>
    <w:rsid w:val="001C55AA"/>
    <w:rsid w:val="001C57DA"/>
    <w:rsid w:val="001C5B36"/>
    <w:rsid w:val="001C5B6B"/>
    <w:rsid w:val="001C60F1"/>
    <w:rsid w:val="001C6C6F"/>
    <w:rsid w:val="001C734E"/>
    <w:rsid w:val="001D022F"/>
    <w:rsid w:val="001D23A8"/>
    <w:rsid w:val="001D3034"/>
    <w:rsid w:val="001D3559"/>
    <w:rsid w:val="001D3968"/>
    <w:rsid w:val="001D3C6E"/>
    <w:rsid w:val="001D5E25"/>
    <w:rsid w:val="001D5F12"/>
    <w:rsid w:val="001D6003"/>
    <w:rsid w:val="001D63FB"/>
    <w:rsid w:val="001E005B"/>
    <w:rsid w:val="001E23BF"/>
    <w:rsid w:val="001E2728"/>
    <w:rsid w:val="001E4D8A"/>
    <w:rsid w:val="001E52A5"/>
    <w:rsid w:val="001F108A"/>
    <w:rsid w:val="001F165F"/>
    <w:rsid w:val="001F179A"/>
    <w:rsid w:val="001F396D"/>
    <w:rsid w:val="001F4CE5"/>
    <w:rsid w:val="002027D7"/>
    <w:rsid w:val="0020292C"/>
    <w:rsid w:val="002041BC"/>
    <w:rsid w:val="00205D35"/>
    <w:rsid w:val="00205D9F"/>
    <w:rsid w:val="00206C4A"/>
    <w:rsid w:val="0020702F"/>
    <w:rsid w:val="00207A4E"/>
    <w:rsid w:val="00207D34"/>
    <w:rsid w:val="00210C12"/>
    <w:rsid w:val="002222BA"/>
    <w:rsid w:val="002227A8"/>
    <w:rsid w:val="00226A90"/>
    <w:rsid w:val="00231302"/>
    <w:rsid w:val="00232C59"/>
    <w:rsid w:val="00234EE9"/>
    <w:rsid w:val="002358FE"/>
    <w:rsid w:val="00236988"/>
    <w:rsid w:val="00237735"/>
    <w:rsid w:val="00241858"/>
    <w:rsid w:val="00243298"/>
    <w:rsid w:val="00243B31"/>
    <w:rsid w:val="00243C97"/>
    <w:rsid w:val="00244D95"/>
    <w:rsid w:val="00246666"/>
    <w:rsid w:val="00247043"/>
    <w:rsid w:val="002475AC"/>
    <w:rsid w:val="002526C4"/>
    <w:rsid w:val="00252A86"/>
    <w:rsid w:val="00252D90"/>
    <w:rsid w:val="0025603C"/>
    <w:rsid w:val="00256A5A"/>
    <w:rsid w:val="002570AB"/>
    <w:rsid w:val="00261776"/>
    <w:rsid w:val="002632D9"/>
    <w:rsid w:val="00263EDA"/>
    <w:rsid w:val="002700FC"/>
    <w:rsid w:val="00270F89"/>
    <w:rsid w:val="002715CB"/>
    <w:rsid w:val="00272368"/>
    <w:rsid w:val="0027417D"/>
    <w:rsid w:val="002748A5"/>
    <w:rsid w:val="00276CC0"/>
    <w:rsid w:val="00285066"/>
    <w:rsid w:val="00285882"/>
    <w:rsid w:val="00291994"/>
    <w:rsid w:val="00292115"/>
    <w:rsid w:val="002948D1"/>
    <w:rsid w:val="0029686B"/>
    <w:rsid w:val="002A02FC"/>
    <w:rsid w:val="002A0A5F"/>
    <w:rsid w:val="002A2BE8"/>
    <w:rsid w:val="002A4E4A"/>
    <w:rsid w:val="002A5004"/>
    <w:rsid w:val="002A6852"/>
    <w:rsid w:val="002A6B5F"/>
    <w:rsid w:val="002B0655"/>
    <w:rsid w:val="002B0D2D"/>
    <w:rsid w:val="002B4D5C"/>
    <w:rsid w:val="002C10AE"/>
    <w:rsid w:val="002C2936"/>
    <w:rsid w:val="002C3BD6"/>
    <w:rsid w:val="002C5045"/>
    <w:rsid w:val="002C6AC2"/>
    <w:rsid w:val="002C7537"/>
    <w:rsid w:val="002C75DD"/>
    <w:rsid w:val="002C76AE"/>
    <w:rsid w:val="002D123A"/>
    <w:rsid w:val="002D18EA"/>
    <w:rsid w:val="002D6746"/>
    <w:rsid w:val="002D67A4"/>
    <w:rsid w:val="002D7A9B"/>
    <w:rsid w:val="002E165F"/>
    <w:rsid w:val="002E5D55"/>
    <w:rsid w:val="002E74AC"/>
    <w:rsid w:val="002F38AD"/>
    <w:rsid w:val="002F4E2A"/>
    <w:rsid w:val="002F525A"/>
    <w:rsid w:val="002F62ED"/>
    <w:rsid w:val="003017CC"/>
    <w:rsid w:val="00301D3F"/>
    <w:rsid w:val="00303AFD"/>
    <w:rsid w:val="00304398"/>
    <w:rsid w:val="0030476E"/>
    <w:rsid w:val="00304ACF"/>
    <w:rsid w:val="00304F89"/>
    <w:rsid w:val="00304F91"/>
    <w:rsid w:val="0030571B"/>
    <w:rsid w:val="00306189"/>
    <w:rsid w:val="00306D9E"/>
    <w:rsid w:val="0030748F"/>
    <w:rsid w:val="003112C7"/>
    <w:rsid w:val="00313FAF"/>
    <w:rsid w:val="00314530"/>
    <w:rsid w:val="00316294"/>
    <w:rsid w:val="003206F6"/>
    <w:rsid w:val="0032216B"/>
    <w:rsid w:val="00322542"/>
    <w:rsid w:val="00322DBF"/>
    <w:rsid w:val="00324521"/>
    <w:rsid w:val="00324BFE"/>
    <w:rsid w:val="00325102"/>
    <w:rsid w:val="00326047"/>
    <w:rsid w:val="00326E01"/>
    <w:rsid w:val="00327A8D"/>
    <w:rsid w:val="00330292"/>
    <w:rsid w:val="00330393"/>
    <w:rsid w:val="003340DB"/>
    <w:rsid w:val="00337B46"/>
    <w:rsid w:val="00341E53"/>
    <w:rsid w:val="00344E15"/>
    <w:rsid w:val="00345884"/>
    <w:rsid w:val="00345CA1"/>
    <w:rsid w:val="0034729E"/>
    <w:rsid w:val="00353910"/>
    <w:rsid w:val="003559A1"/>
    <w:rsid w:val="00356306"/>
    <w:rsid w:val="003568F8"/>
    <w:rsid w:val="003577B9"/>
    <w:rsid w:val="00360349"/>
    <w:rsid w:val="00361FCB"/>
    <w:rsid w:val="00363F21"/>
    <w:rsid w:val="00365FD7"/>
    <w:rsid w:val="003676D9"/>
    <w:rsid w:val="003747EE"/>
    <w:rsid w:val="00375A0F"/>
    <w:rsid w:val="00384116"/>
    <w:rsid w:val="003911F4"/>
    <w:rsid w:val="003912AD"/>
    <w:rsid w:val="003932F4"/>
    <w:rsid w:val="003938A7"/>
    <w:rsid w:val="00393952"/>
    <w:rsid w:val="00393D2A"/>
    <w:rsid w:val="00394650"/>
    <w:rsid w:val="00394850"/>
    <w:rsid w:val="003975CF"/>
    <w:rsid w:val="003A0C67"/>
    <w:rsid w:val="003A1795"/>
    <w:rsid w:val="003A3B0B"/>
    <w:rsid w:val="003A49E8"/>
    <w:rsid w:val="003A73B8"/>
    <w:rsid w:val="003B2DDD"/>
    <w:rsid w:val="003B4F88"/>
    <w:rsid w:val="003B5048"/>
    <w:rsid w:val="003B7524"/>
    <w:rsid w:val="003C0500"/>
    <w:rsid w:val="003C1A25"/>
    <w:rsid w:val="003C43B6"/>
    <w:rsid w:val="003C57E7"/>
    <w:rsid w:val="003D1772"/>
    <w:rsid w:val="003D672A"/>
    <w:rsid w:val="003D7390"/>
    <w:rsid w:val="003D75BA"/>
    <w:rsid w:val="003D7A85"/>
    <w:rsid w:val="003D7BC9"/>
    <w:rsid w:val="003E07F4"/>
    <w:rsid w:val="003E1182"/>
    <w:rsid w:val="003E13D0"/>
    <w:rsid w:val="003E22BE"/>
    <w:rsid w:val="003E2DC9"/>
    <w:rsid w:val="003E329A"/>
    <w:rsid w:val="003E43EC"/>
    <w:rsid w:val="003E6AA6"/>
    <w:rsid w:val="003F12F1"/>
    <w:rsid w:val="003F166D"/>
    <w:rsid w:val="003F16C9"/>
    <w:rsid w:val="003F250A"/>
    <w:rsid w:val="003F2F59"/>
    <w:rsid w:val="003F55FC"/>
    <w:rsid w:val="003F5ADD"/>
    <w:rsid w:val="003F623E"/>
    <w:rsid w:val="00402D9E"/>
    <w:rsid w:val="0040415D"/>
    <w:rsid w:val="00404190"/>
    <w:rsid w:val="0040525D"/>
    <w:rsid w:val="004062DD"/>
    <w:rsid w:val="004065F6"/>
    <w:rsid w:val="004076E6"/>
    <w:rsid w:val="00407EE4"/>
    <w:rsid w:val="00410457"/>
    <w:rsid w:val="00412303"/>
    <w:rsid w:val="004132BB"/>
    <w:rsid w:val="00413391"/>
    <w:rsid w:val="00413620"/>
    <w:rsid w:val="0041386C"/>
    <w:rsid w:val="0041387C"/>
    <w:rsid w:val="0041480B"/>
    <w:rsid w:val="004171CA"/>
    <w:rsid w:val="00420679"/>
    <w:rsid w:val="00420F02"/>
    <w:rsid w:val="0042132D"/>
    <w:rsid w:val="00421A9E"/>
    <w:rsid w:val="004253AB"/>
    <w:rsid w:val="004255A4"/>
    <w:rsid w:val="00425876"/>
    <w:rsid w:val="00426515"/>
    <w:rsid w:val="00426675"/>
    <w:rsid w:val="00430DA3"/>
    <w:rsid w:val="00430E99"/>
    <w:rsid w:val="00431575"/>
    <w:rsid w:val="004321FD"/>
    <w:rsid w:val="00433B24"/>
    <w:rsid w:val="00433C9D"/>
    <w:rsid w:val="00434820"/>
    <w:rsid w:val="00435A0B"/>
    <w:rsid w:val="0043626D"/>
    <w:rsid w:val="004379C6"/>
    <w:rsid w:val="004404EC"/>
    <w:rsid w:val="00442AD4"/>
    <w:rsid w:val="00442CFC"/>
    <w:rsid w:val="004444B7"/>
    <w:rsid w:val="00445B35"/>
    <w:rsid w:val="004479B7"/>
    <w:rsid w:val="00450890"/>
    <w:rsid w:val="00451459"/>
    <w:rsid w:val="004516ED"/>
    <w:rsid w:val="004521B8"/>
    <w:rsid w:val="00456903"/>
    <w:rsid w:val="004571E2"/>
    <w:rsid w:val="00460652"/>
    <w:rsid w:val="00460BA8"/>
    <w:rsid w:val="00460E86"/>
    <w:rsid w:val="004619BB"/>
    <w:rsid w:val="00464460"/>
    <w:rsid w:val="004661D5"/>
    <w:rsid w:val="004671D0"/>
    <w:rsid w:val="00474718"/>
    <w:rsid w:val="00474DE4"/>
    <w:rsid w:val="00475F7C"/>
    <w:rsid w:val="004760F8"/>
    <w:rsid w:val="0048013E"/>
    <w:rsid w:val="0048014C"/>
    <w:rsid w:val="004811E8"/>
    <w:rsid w:val="00482B80"/>
    <w:rsid w:val="004849C5"/>
    <w:rsid w:val="00484BF4"/>
    <w:rsid w:val="004851BD"/>
    <w:rsid w:val="00485C8F"/>
    <w:rsid w:val="00486E49"/>
    <w:rsid w:val="0048754E"/>
    <w:rsid w:val="004878CA"/>
    <w:rsid w:val="0049116B"/>
    <w:rsid w:val="00492927"/>
    <w:rsid w:val="0049443F"/>
    <w:rsid w:val="004A034C"/>
    <w:rsid w:val="004A1634"/>
    <w:rsid w:val="004A1B8E"/>
    <w:rsid w:val="004A2AEF"/>
    <w:rsid w:val="004A3E2A"/>
    <w:rsid w:val="004A3E59"/>
    <w:rsid w:val="004A473A"/>
    <w:rsid w:val="004A47D4"/>
    <w:rsid w:val="004A49A4"/>
    <w:rsid w:val="004A4CD9"/>
    <w:rsid w:val="004B06CC"/>
    <w:rsid w:val="004B06F0"/>
    <w:rsid w:val="004B17CA"/>
    <w:rsid w:val="004B231F"/>
    <w:rsid w:val="004B264D"/>
    <w:rsid w:val="004B37C0"/>
    <w:rsid w:val="004B3BB2"/>
    <w:rsid w:val="004B3D32"/>
    <w:rsid w:val="004B5627"/>
    <w:rsid w:val="004B5D22"/>
    <w:rsid w:val="004B71F7"/>
    <w:rsid w:val="004C1454"/>
    <w:rsid w:val="004C42D1"/>
    <w:rsid w:val="004C59ED"/>
    <w:rsid w:val="004C71FA"/>
    <w:rsid w:val="004D1BEF"/>
    <w:rsid w:val="004D29B8"/>
    <w:rsid w:val="004D3937"/>
    <w:rsid w:val="004D4B9B"/>
    <w:rsid w:val="004D6131"/>
    <w:rsid w:val="004E2FA0"/>
    <w:rsid w:val="004E3315"/>
    <w:rsid w:val="004E3C11"/>
    <w:rsid w:val="004F00BC"/>
    <w:rsid w:val="004F566E"/>
    <w:rsid w:val="004F603E"/>
    <w:rsid w:val="004F6865"/>
    <w:rsid w:val="005039C9"/>
    <w:rsid w:val="00504315"/>
    <w:rsid w:val="00504EFC"/>
    <w:rsid w:val="005063DE"/>
    <w:rsid w:val="00506FF0"/>
    <w:rsid w:val="005073C6"/>
    <w:rsid w:val="00507CCA"/>
    <w:rsid w:val="00507EC4"/>
    <w:rsid w:val="005107A4"/>
    <w:rsid w:val="005114F2"/>
    <w:rsid w:val="005117CC"/>
    <w:rsid w:val="0051246A"/>
    <w:rsid w:val="00512702"/>
    <w:rsid w:val="00512DE8"/>
    <w:rsid w:val="005132E2"/>
    <w:rsid w:val="00514F91"/>
    <w:rsid w:val="00515AE5"/>
    <w:rsid w:val="00515F66"/>
    <w:rsid w:val="00517752"/>
    <w:rsid w:val="00521F8E"/>
    <w:rsid w:val="0052299B"/>
    <w:rsid w:val="00523442"/>
    <w:rsid w:val="00524990"/>
    <w:rsid w:val="00525E3E"/>
    <w:rsid w:val="00527C66"/>
    <w:rsid w:val="005300D6"/>
    <w:rsid w:val="00531FCB"/>
    <w:rsid w:val="005352F5"/>
    <w:rsid w:val="00535FD4"/>
    <w:rsid w:val="0054012A"/>
    <w:rsid w:val="00540572"/>
    <w:rsid w:val="00541242"/>
    <w:rsid w:val="00542129"/>
    <w:rsid w:val="005432EB"/>
    <w:rsid w:val="00543C45"/>
    <w:rsid w:val="00543FD3"/>
    <w:rsid w:val="0054466C"/>
    <w:rsid w:val="0054647D"/>
    <w:rsid w:val="005467A0"/>
    <w:rsid w:val="005472C1"/>
    <w:rsid w:val="005474A0"/>
    <w:rsid w:val="005516F3"/>
    <w:rsid w:val="005522D5"/>
    <w:rsid w:val="00554C4D"/>
    <w:rsid w:val="00555A1B"/>
    <w:rsid w:val="00555E0C"/>
    <w:rsid w:val="0055701C"/>
    <w:rsid w:val="00560220"/>
    <w:rsid w:val="0056172E"/>
    <w:rsid w:val="005635A2"/>
    <w:rsid w:val="00564597"/>
    <w:rsid w:val="00564C8E"/>
    <w:rsid w:val="00565748"/>
    <w:rsid w:val="00566C21"/>
    <w:rsid w:val="00570274"/>
    <w:rsid w:val="00570B58"/>
    <w:rsid w:val="00570F9B"/>
    <w:rsid w:val="00571128"/>
    <w:rsid w:val="005723CF"/>
    <w:rsid w:val="00573FB1"/>
    <w:rsid w:val="00575F3B"/>
    <w:rsid w:val="00577307"/>
    <w:rsid w:val="00577445"/>
    <w:rsid w:val="0058089B"/>
    <w:rsid w:val="00580BF2"/>
    <w:rsid w:val="00582944"/>
    <w:rsid w:val="00583869"/>
    <w:rsid w:val="0058606F"/>
    <w:rsid w:val="0058695A"/>
    <w:rsid w:val="0058710C"/>
    <w:rsid w:val="00592027"/>
    <w:rsid w:val="0059487B"/>
    <w:rsid w:val="0059594F"/>
    <w:rsid w:val="00596868"/>
    <w:rsid w:val="005A36E3"/>
    <w:rsid w:val="005A3C8A"/>
    <w:rsid w:val="005A3F83"/>
    <w:rsid w:val="005A489D"/>
    <w:rsid w:val="005A7812"/>
    <w:rsid w:val="005B003B"/>
    <w:rsid w:val="005B0550"/>
    <w:rsid w:val="005B43BF"/>
    <w:rsid w:val="005B52F4"/>
    <w:rsid w:val="005B548D"/>
    <w:rsid w:val="005B5AD3"/>
    <w:rsid w:val="005B5D9A"/>
    <w:rsid w:val="005B64EA"/>
    <w:rsid w:val="005B6807"/>
    <w:rsid w:val="005B69DB"/>
    <w:rsid w:val="005B7452"/>
    <w:rsid w:val="005C0442"/>
    <w:rsid w:val="005C0E87"/>
    <w:rsid w:val="005C28B5"/>
    <w:rsid w:val="005C3227"/>
    <w:rsid w:val="005C4DD2"/>
    <w:rsid w:val="005C51C8"/>
    <w:rsid w:val="005C60A5"/>
    <w:rsid w:val="005C77BF"/>
    <w:rsid w:val="005D07B2"/>
    <w:rsid w:val="005D1AAB"/>
    <w:rsid w:val="005D4012"/>
    <w:rsid w:val="005D4A0E"/>
    <w:rsid w:val="005D51C8"/>
    <w:rsid w:val="005D51E4"/>
    <w:rsid w:val="005D58B2"/>
    <w:rsid w:val="005D59E2"/>
    <w:rsid w:val="005D650F"/>
    <w:rsid w:val="005D67E7"/>
    <w:rsid w:val="005D7052"/>
    <w:rsid w:val="005E5849"/>
    <w:rsid w:val="005E5E7F"/>
    <w:rsid w:val="005E600A"/>
    <w:rsid w:val="005E7F24"/>
    <w:rsid w:val="005F2719"/>
    <w:rsid w:val="005F2F3D"/>
    <w:rsid w:val="005F4536"/>
    <w:rsid w:val="005F54C0"/>
    <w:rsid w:val="005F5E52"/>
    <w:rsid w:val="005F5F9C"/>
    <w:rsid w:val="005F6A22"/>
    <w:rsid w:val="005F7110"/>
    <w:rsid w:val="0060028C"/>
    <w:rsid w:val="0060108F"/>
    <w:rsid w:val="006032DC"/>
    <w:rsid w:val="00603BC5"/>
    <w:rsid w:val="00604416"/>
    <w:rsid w:val="00604EF2"/>
    <w:rsid w:val="006056DD"/>
    <w:rsid w:val="00605791"/>
    <w:rsid w:val="0060668C"/>
    <w:rsid w:val="00606CF2"/>
    <w:rsid w:val="00607A71"/>
    <w:rsid w:val="00611827"/>
    <w:rsid w:val="00612BA5"/>
    <w:rsid w:val="006138A7"/>
    <w:rsid w:val="00613E6B"/>
    <w:rsid w:val="00617B8E"/>
    <w:rsid w:val="00617C83"/>
    <w:rsid w:val="00617ECA"/>
    <w:rsid w:val="00621D05"/>
    <w:rsid w:val="00624DF2"/>
    <w:rsid w:val="00625479"/>
    <w:rsid w:val="006262A1"/>
    <w:rsid w:val="00626E80"/>
    <w:rsid w:val="00627996"/>
    <w:rsid w:val="00627C0B"/>
    <w:rsid w:val="0063048E"/>
    <w:rsid w:val="00631254"/>
    <w:rsid w:val="00631371"/>
    <w:rsid w:val="00633ACE"/>
    <w:rsid w:val="00633BBF"/>
    <w:rsid w:val="006361B8"/>
    <w:rsid w:val="0063776E"/>
    <w:rsid w:val="00637851"/>
    <w:rsid w:val="00640917"/>
    <w:rsid w:val="00640C28"/>
    <w:rsid w:val="00642710"/>
    <w:rsid w:val="006469CC"/>
    <w:rsid w:val="00647174"/>
    <w:rsid w:val="006474D5"/>
    <w:rsid w:val="00650E63"/>
    <w:rsid w:val="006552E8"/>
    <w:rsid w:val="00655F07"/>
    <w:rsid w:val="006568C2"/>
    <w:rsid w:val="00656B01"/>
    <w:rsid w:val="00657A4D"/>
    <w:rsid w:val="006613BC"/>
    <w:rsid w:val="00661BFE"/>
    <w:rsid w:val="00662190"/>
    <w:rsid w:val="00662796"/>
    <w:rsid w:val="00662DA7"/>
    <w:rsid w:val="00666B66"/>
    <w:rsid w:val="00673BD1"/>
    <w:rsid w:val="006757A9"/>
    <w:rsid w:val="006760CB"/>
    <w:rsid w:val="006825A8"/>
    <w:rsid w:val="00682BAA"/>
    <w:rsid w:val="00682BC5"/>
    <w:rsid w:val="00684A1B"/>
    <w:rsid w:val="00684C5B"/>
    <w:rsid w:val="00685865"/>
    <w:rsid w:val="00685FBE"/>
    <w:rsid w:val="006867FD"/>
    <w:rsid w:val="00686BF3"/>
    <w:rsid w:val="006906D3"/>
    <w:rsid w:val="006952DC"/>
    <w:rsid w:val="006A0527"/>
    <w:rsid w:val="006A21D1"/>
    <w:rsid w:val="006A262A"/>
    <w:rsid w:val="006A400D"/>
    <w:rsid w:val="006A44F1"/>
    <w:rsid w:val="006A5671"/>
    <w:rsid w:val="006B0CA0"/>
    <w:rsid w:val="006B1285"/>
    <w:rsid w:val="006B1869"/>
    <w:rsid w:val="006B2808"/>
    <w:rsid w:val="006B3A2F"/>
    <w:rsid w:val="006B520D"/>
    <w:rsid w:val="006C1ED7"/>
    <w:rsid w:val="006C3F77"/>
    <w:rsid w:val="006C6AC0"/>
    <w:rsid w:val="006D0503"/>
    <w:rsid w:val="006D1068"/>
    <w:rsid w:val="006D1560"/>
    <w:rsid w:val="006D1794"/>
    <w:rsid w:val="006D1C08"/>
    <w:rsid w:val="006D41AF"/>
    <w:rsid w:val="006D4D8A"/>
    <w:rsid w:val="006D7DED"/>
    <w:rsid w:val="006E438F"/>
    <w:rsid w:val="006E51E2"/>
    <w:rsid w:val="006E5F4D"/>
    <w:rsid w:val="006E645F"/>
    <w:rsid w:val="006E65FD"/>
    <w:rsid w:val="006E6DFF"/>
    <w:rsid w:val="006F0637"/>
    <w:rsid w:val="006F4E28"/>
    <w:rsid w:val="006F5D16"/>
    <w:rsid w:val="0070191D"/>
    <w:rsid w:val="0070277B"/>
    <w:rsid w:val="007030C7"/>
    <w:rsid w:val="007037F4"/>
    <w:rsid w:val="00703DE2"/>
    <w:rsid w:val="0070408F"/>
    <w:rsid w:val="00704289"/>
    <w:rsid w:val="00706BE4"/>
    <w:rsid w:val="007102B3"/>
    <w:rsid w:val="007103FF"/>
    <w:rsid w:val="00710EA7"/>
    <w:rsid w:val="00712840"/>
    <w:rsid w:val="00712D1D"/>
    <w:rsid w:val="00713311"/>
    <w:rsid w:val="00713353"/>
    <w:rsid w:val="00715DED"/>
    <w:rsid w:val="007202F1"/>
    <w:rsid w:val="00720D25"/>
    <w:rsid w:val="00722B4C"/>
    <w:rsid w:val="00722E42"/>
    <w:rsid w:val="00723200"/>
    <w:rsid w:val="007242D1"/>
    <w:rsid w:val="00725474"/>
    <w:rsid w:val="00730049"/>
    <w:rsid w:val="007301BE"/>
    <w:rsid w:val="00731178"/>
    <w:rsid w:val="00731CAB"/>
    <w:rsid w:val="00733D11"/>
    <w:rsid w:val="00734A7A"/>
    <w:rsid w:val="007350B4"/>
    <w:rsid w:val="00736E51"/>
    <w:rsid w:val="007402D2"/>
    <w:rsid w:val="00740E05"/>
    <w:rsid w:val="00743DDD"/>
    <w:rsid w:val="007442E3"/>
    <w:rsid w:val="00745E6D"/>
    <w:rsid w:val="007466A5"/>
    <w:rsid w:val="00746C4A"/>
    <w:rsid w:val="00746E88"/>
    <w:rsid w:val="00747409"/>
    <w:rsid w:val="00747548"/>
    <w:rsid w:val="007506AC"/>
    <w:rsid w:val="00752598"/>
    <w:rsid w:val="00753207"/>
    <w:rsid w:val="00753E95"/>
    <w:rsid w:val="00760411"/>
    <w:rsid w:val="00761556"/>
    <w:rsid w:val="00763B5B"/>
    <w:rsid w:val="007643F5"/>
    <w:rsid w:val="00765492"/>
    <w:rsid w:val="0076566A"/>
    <w:rsid w:val="00766E95"/>
    <w:rsid w:val="00774219"/>
    <w:rsid w:val="00775723"/>
    <w:rsid w:val="00775BBE"/>
    <w:rsid w:val="00776474"/>
    <w:rsid w:val="00777624"/>
    <w:rsid w:val="00780E18"/>
    <w:rsid w:val="0078172D"/>
    <w:rsid w:val="00781EFF"/>
    <w:rsid w:val="00784906"/>
    <w:rsid w:val="00785B2D"/>
    <w:rsid w:val="00786207"/>
    <w:rsid w:val="007868DF"/>
    <w:rsid w:val="00787D9C"/>
    <w:rsid w:val="00791450"/>
    <w:rsid w:val="007929FC"/>
    <w:rsid w:val="00794DB6"/>
    <w:rsid w:val="00797E4D"/>
    <w:rsid w:val="007A4967"/>
    <w:rsid w:val="007A53C1"/>
    <w:rsid w:val="007A7979"/>
    <w:rsid w:val="007B0B01"/>
    <w:rsid w:val="007B0ECA"/>
    <w:rsid w:val="007B174A"/>
    <w:rsid w:val="007B1B95"/>
    <w:rsid w:val="007B404C"/>
    <w:rsid w:val="007C1E79"/>
    <w:rsid w:val="007C52B3"/>
    <w:rsid w:val="007C6B20"/>
    <w:rsid w:val="007C7671"/>
    <w:rsid w:val="007D0554"/>
    <w:rsid w:val="007D0816"/>
    <w:rsid w:val="007D191E"/>
    <w:rsid w:val="007D1961"/>
    <w:rsid w:val="007D1A54"/>
    <w:rsid w:val="007D2DBB"/>
    <w:rsid w:val="007D3179"/>
    <w:rsid w:val="007D32B1"/>
    <w:rsid w:val="007D3E7B"/>
    <w:rsid w:val="007D52F8"/>
    <w:rsid w:val="007D57F7"/>
    <w:rsid w:val="007D5F87"/>
    <w:rsid w:val="007D6927"/>
    <w:rsid w:val="007D7E86"/>
    <w:rsid w:val="007E0112"/>
    <w:rsid w:val="007E08A2"/>
    <w:rsid w:val="007E1250"/>
    <w:rsid w:val="007E2861"/>
    <w:rsid w:val="007E2D73"/>
    <w:rsid w:val="007E32CD"/>
    <w:rsid w:val="007E53E1"/>
    <w:rsid w:val="007E5C1A"/>
    <w:rsid w:val="007E6720"/>
    <w:rsid w:val="007E67BF"/>
    <w:rsid w:val="007E7D66"/>
    <w:rsid w:val="007F18B0"/>
    <w:rsid w:val="007F2F0F"/>
    <w:rsid w:val="007F481B"/>
    <w:rsid w:val="007F550C"/>
    <w:rsid w:val="007F6190"/>
    <w:rsid w:val="007F6303"/>
    <w:rsid w:val="007F7874"/>
    <w:rsid w:val="00800032"/>
    <w:rsid w:val="00800051"/>
    <w:rsid w:val="00800383"/>
    <w:rsid w:val="00800465"/>
    <w:rsid w:val="00800B66"/>
    <w:rsid w:val="008017F2"/>
    <w:rsid w:val="008018B5"/>
    <w:rsid w:val="00801D69"/>
    <w:rsid w:val="00802A94"/>
    <w:rsid w:val="00803999"/>
    <w:rsid w:val="00805867"/>
    <w:rsid w:val="0080636F"/>
    <w:rsid w:val="00807BFF"/>
    <w:rsid w:val="00813180"/>
    <w:rsid w:val="00813373"/>
    <w:rsid w:val="008156AC"/>
    <w:rsid w:val="008158AC"/>
    <w:rsid w:val="0081645F"/>
    <w:rsid w:val="008169EF"/>
    <w:rsid w:val="00816F93"/>
    <w:rsid w:val="0082090C"/>
    <w:rsid w:val="008211B5"/>
    <w:rsid w:val="00821DE1"/>
    <w:rsid w:val="00822A17"/>
    <w:rsid w:val="00822B6C"/>
    <w:rsid w:val="008257C6"/>
    <w:rsid w:val="008275EE"/>
    <w:rsid w:val="008320A3"/>
    <w:rsid w:val="00832FD7"/>
    <w:rsid w:val="00833CEC"/>
    <w:rsid w:val="0083420B"/>
    <w:rsid w:val="008344D1"/>
    <w:rsid w:val="00834E6A"/>
    <w:rsid w:val="00836D05"/>
    <w:rsid w:val="00842441"/>
    <w:rsid w:val="008429C5"/>
    <w:rsid w:val="0084370A"/>
    <w:rsid w:val="00844BEE"/>
    <w:rsid w:val="00846965"/>
    <w:rsid w:val="00847D82"/>
    <w:rsid w:val="00850188"/>
    <w:rsid w:val="00850EFB"/>
    <w:rsid w:val="00851AE0"/>
    <w:rsid w:val="00851B71"/>
    <w:rsid w:val="00853BDB"/>
    <w:rsid w:val="00853EB5"/>
    <w:rsid w:val="00854825"/>
    <w:rsid w:val="00854C0D"/>
    <w:rsid w:val="00854FDF"/>
    <w:rsid w:val="00856FD6"/>
    <w:rsid w:val="00860109"/>
    <w:rsid w:val="00860B5B"/>
    <w:rsid w:val="00862CF5"/>
    <w:rsid w:val="00862E9E"/>
    <w:rsid w:val="008634E5"/>
    <w:rsid w:val="00866A85"/>
    <w:rsid w:val="00870E6D"/>
    <w:rsid w:val="00871EB9"/>
    <w:rsid w:val="008759D0"/>
    <w:rsid w:val="00881FF0"/>
    <w:rsid w:val="0088590B"/>
    <w:rsid w:val="008908C3"/>
    <w:rsid w:val="00890E98"/>
    <w:rsid w:val="008929D0"/>
    <w:rsid w:val="00893479"/>
    <w:rsid w:val="00893E97"/>
    <w:rsid w:val="008944A3"/>
    <w:rsid w:val="00896697"/>
    <w:rsid w:val="008A1912"/>
    <w:rsid w:val="008A4E5F"/>
    <w:rsid w:val="008A5AE5"/>
    <w:rsid w:val="008A602F"/>
    <w:rsid w:val="008A6095"/>
    <w:rsid w:val="008A68C3"/>
    <w:rsid w:val="008B14C4"/>
    <w:rsid w:val="008B2491"/>
    <w:rsid w:val="008B3017"/>
    <w:rsid w:val="008B4637"/>
    <w:rsid w:val="008B5AA2"/>
    <w:rsid w:val="008C002C"/>
    <w:rsid w:val="008C3631"/>
    <w:rsid w:val="008C3CEA"/>
    <w:rsid w:val="008C67CA"/>
    <w:rsid w:val="008D00E8"/>
    <w:rsid w:val="008D0498"/>
    <w:rsid w:val="008D0E3B"/>
    <w:rsid w:val="008D128E"/>
    <w:rsid w:val="008D1D16"/>
    <w:rsid w:val="008D24F5"/>
    <w:rsid w:val="008D25B6"/>
    <w:rsid w:val="008D2782"/>
    <w:rsid w:val="008E016D"/>
    <w:rsid w:val="008E09CA"/>
    <w:rsid w:val="008E4A3B"/>
    <w:rsid w:val="008E4D07"/>
    <w:rsid w:val="008E7F86"/>
    <w:rsid w:val="008F238F"/>
    <w:rsid w:val="008F36B9"/>
    <w:rsid w:val="008F5EA5"/>
    <w:rsid w:val="008F6EB6"/>
    <w:rsid w:val="00900F7E"/>
    <w:rsid w:val="00901510"/>
    <w:rsid w:val="00901A26"/>
    <w:rsid w:val="00903128"/>
    <w:rsid w:val="00903A21"/>
    <w:rsid w:val="00906E18"/>
    <w:rsid w:val="009103AC"/>
    <w:rsid w:val="009143FB"/>
    <w:rsid w:val="00915C8B"/>
    <w:rsid w:val="0091656F"/>
    <w:rsid w:val="00920455"/>
    <w:rsid w:val="00922EA2"/>
    <w:rsid w:val="00923554"/>
    <w:rsid w:val="00923713"/>
    <w:rsid w:val="0092475E"/>
    <w:rsid w:val="0093152C"/>
    <w:rsid w:val="00935270"/>
    <w:rsid w:val="00935459"/>
    <w:rsid w:val="009413B8"/>
    <w:rsid w:val="0094150C"/>
    <w:rsid w:val="009430AC"/>
    <w:rsid w:val="0094470E"/>
    <w:rsid w:val="009451CB"/>
    <w:rsid w:val="00945CFF"/>
    <w:rsid w:val="009471D1"/>
    <w:rsid w:val="0094760B"/>
    <w:rsid w:val="00951A7D"/>
    <w:rsid w:val="0095227F"/>
    <w:rsid w:val="009531E4"/>
    <w:rsid w:val="00955AF7"/>
    <w:rsid w:val="00956137"/>
    <w:rsid w:val="0096018A"/>
    <w:rsid w:val="00960B38"/>
    <w:rsid w:val="00961209"/>
    <w:rsid w:val="00961CA2"/>
    <w:rsid w:val="00961E2A"/>
    <w:rsid w:val="00962024"/>
    <w:rsid w:val="0096237A"/>
    <w:rsid w:val="00965575"/>
    <w:rsid w:val="009671EF"/>
    <w:rsid w:val="00972512"/>
    <w:rsid w:val="0097268A"/>
    <w:rsid w:val="0097373B"/>
    <w:rsid w:val="0097440E"/>
    <w:rsid w:val="00976AF8"/>
    <w:rsid w:val="00977E50"/>
    <w:rsid w:val="009808DB"/>
    <w:rsid w:val="00980BB2"/>
    <w:rsid w:val="00981803"/>
    <w:rsid w:val="009823D3"/>
    <w:rsid w:val="00983976"/>
    <w:rsid w:val="0098428C"/>
    <w:rsid w:val="00986F88"/>
    <w:rsid w:val="00987A3A"/>
    <w:rsid w:val="00992FA8"/>
    <w:rsid w:val="00995FE6"/>
    <w:rsid w:val="009A05A7"/>
    <w:rsid w:val="009A188F"/>
    <w:rsid w:val="009A29DA"/>
    <w:rsid w:val="009A5B10"/>
    <w:rsid w:val="009A70D8"/>
    <w:rsid w:val="009A7C0B"/>
    <w:rsid w:val="009B18E1"/>
    <w:rsid w:val="009B309E"/>
    <w:rsid w:val="009B30D9"/>
    <w:rsid w:val="009B3D69"/>
    <w:rsid w:val="009B6097"/>
    <w:rsid w:val="009B66AA"/>
    <w:rsid w:val="009B74C3"/>
    <w:rsid w:val="009C2AEA"/>
    <w:rsid w:val="009C3B6D"/>
    <w:rsid w:val="009C4EAC"/>
    <w:rsid w:val="009C6D37"/>
    <w:rsid w:val="009C6DD3"/>
    <w:rsid w:val="009C7626"/>
    <w:rsid w:val="009D1541"/>
    <w:rsid w:val="009D1CD1"/>
    <w:rsid w:val="009D20F2"/>
    <w:rsid w:val="009D4EDA"/>
    <w:rsid w:val="009D7365"/>
    <w:rsid w:val="009E0B1E"/>
    <w:rsid w:val="009E2403"/>
    <w:rsid w:val="009E3615"/>
    <w:rsid w:val="009E3ABB"/>
    <w:rsid w:val="009E3AD0"/>
    <w:rsid w:val="009E3D62"/>
    <w:rsid w:val="009E6D5E"/>
    <w:rsid w:val="009F1526"/>
    <w:rsid w:val="009F24E4"/>
    <w:rsid w:val="009F55D4"/>
    <w:rsid w:val="009F7B8D"/>
    <w:rsid w:val="00A0370A"/>
    <w:rsid w:val="00A040D4"/>
    <w:rsid w:val="00A046E3"/>
    <w:rsid w:val="00A04F48"/>
    <w:rsid w:val="00A05511"/>
    <w:rsid w:val="00A15988"/>
    <w:rsid w:val="00A15D25"/>
    <w:rsid w:val="00A15FD8"/>
    <w:rsid w:val="00A20C58"/>
    <w:rsid w:val="00A220EF"/>
    <w:rsid w:val="00A247CD"/>
    <w:rsid w:val="00A247E3"/>
    <w:rsid w:val="00A265DF"/>
    <w:rsid w:val="00A3206B"/>
    <w:rsid w:val="00A3220B"/>
    <w:rsid w:val="00A33486"/>
    <w:rsid w:val="00A33736"/>
    <w:rsid w:val="00A3493F"/>
    <w:rsid w:val="00A35354"/>
    <w:rsid w:val="00A364BC"/>
    <w:rsid w:val="00A40D24"/>
    <w:rsid w:val="00A41DC2"/>
    <w:rsid w:val="00A42783"/>
    <w:rsid w:val="00A427FE"/>
    <w:rsid w:val="00A42967"/>
    <w:rsid w:val="00A434EF"/>
    <w:rsid w:val="00A435EB"/>
    <w:rsid w:val="00A44FB5"/>
    <w:rsid w:val="00A45F3B"/>
    <w:rsid w:val="00A46A52"/>
    <w:rsid w:val="00A477FB"/>
    <w:rsid w:val="00A52F00"/>
    <w:rsid w:val="00A55140"/>
    <w:rsid w:val="00A55530"/>
    <w:rsid w:val="00A55E30"/>
    <w:rsid w:val="00A56A87"/>
    <w:rsid w:val="00A57F33"/>
    <w:rsid w:val="00A629AC"/>
    <w:rsid w:val="00A66647"/>
    <w:rsid w:val="00A66E81"/>
    <w:rsid w:val="00A673EB"/>
    <w:rsid w:val="00A67B86"/>
    <w:rsid w:val="00A70225"/>
    <w:rsid w:val="00A70400"/>
    <w:rsid w:val="00A72496"/>
    <w:rsid w:val="00A72603"/>
    <w:rsid w:val="00A73A2F"/>
    <w:rsid w:val="00A743E1"/>
    <w:rsid w:val="00A76C79"/>
    <w:rsid w:val="00A80293"/>
    <w:rsid w:val="00A810CD"/>
    <w:rsid w:val="00A8111F"/>
    <w:rsid w:val="00A81A7B"/>
    <w:rsid w:val="00A825E5"/>
    <w:rsid w:val="00A82F52"/>
    <w:rsid w:val="00A83001"/>
    <w:rsid w:val="00A83FE8"/>
    <w:rsid w:val="00A84F00"/>
    <w:rsid w:val="00A91296"/>
    <w:rsid w:val="00A920E5"/>
    <w:rsid w:val="00A92202"/>
    <w:rsid w:val="00A93FC1"/>
    <w:rsid w:val="00A969F6"/>
    <w:rsid w:val="00A97B24"/>
    <w:rsid w:val="00AA0188"/>
    <w:rsid w:val="00AA0E62"/>
    <w:rsid w:val="00AA28B4"/>
    <w:rsid w:val="00AA6218"/>
    <w:rsid w:val="00AA6A5E"/>
    <w:rsid w:val="00AB3147"/>
    <w:rsid w:val="00AB4A86"/>
    <w:rsid w:val="00AC2B2D"/>
    <w:rsid w:val="00AC3AA5"/>
    <w:rsid w:val="00AC4DF8"/>
    <w:rsid w:val="00AC4EFE"/>
    <w:rsid w:val="00AC605B"/>
    <w:rsid w:val="00AC6B48"/>
    <w:rsid w:val="00AD08E1"/>
    <w:rsid w:val="00AD12F4"/>
    <w:rsid w:val="00AD168B"/>
    <w:rsid w:val="00AD1949"/>
    <w:rsid w:val="00AE0609"/>
    <w:rsid w:val="00AE0E61"/>
    <w:rsid w:val="00AE10CB"/>
    <w:rsid w:val="00AE23BF"/>
    <w:rsid w:val="00AE3182"/>
    <w:rsid w:val="00AE52B2"/>
    <w:rsid w:val="00AE63D5"/>
    <w:rsid w:val="00AE7619"/>
    <w:rsid w:val="00AF2A48"/>
    <w:rsid w:val="00AF361F"/>
    <w:rsid w:val="00AF543F"/>
    <w:rsid w:val="00AF6BAB"/>
    <w:rsid w:val="00B00638"/>
    <w:rsid w:val="00B024FE"/>
    <w:rsid w:val="00B0398F"/>
    <w:rsid w:val="00B04F55"/>
    <w:rsid w:val="00B05B5F"/>
    <w:rsid w:val="00B06115"/>
    <w:rsid w:val="00B0751C"/>
    <w:rsid w:val="00B12DE7"/>
    <w:rsid w:val="00B12E5F"/>
    <w:rsid w:val="00B14265"/>
    <w:rsid w:val="00B142A8"/>
    <w:rsid w:val="00B14DFD"/>
    <w:rsid w:val="00B165C0"/>
    <w:rsid w:val="00B177C9"/>
    <w:rsid w:val="00B20C44"/>
    <w:rsid w:val="00B21FD1"/>
    <w:rsid w:val="00B22AAB"/>
    <w:rsid w:val="00B235C2"/>
    <w:rsid w:val="00B26413"/>
    <w:rsid w:val="00B268B2"/>
    <w:rsid w:val="00B26FEF"/>
    <w:rsid w:val="00B3042A"/>
    <w:rsid w:val="00B304FD"/>
    <w:rsid w:val="00B3179F"/>
    <w:rsid w:val="00B319D0"/>
    <w:rsid w:val="00B35542"/>
    <w:rsid w:val="00B414A6"/>
    <w:rsid w:val="00B41C9C"/>
    <w:rsid w:val="00B42965"/>
    <w:rsid w:val="00B45933"/>
    <w:rsid w:val="00B45F8C"/>
    <w:rsid w:val="00B4677F"/>
    <w:rsid w:val="00B47D6F"/>
    <w:rsid w:val="00B51AAC"/>
    <w:rsid w:val="00B52D72"/>
    <w:rsid w:val="00B53805"/>
    <w:rsid w:val="00B53847"/>
    <w:rsid w:val="00B572B0"/>
    <w:rsid w:val="00B647FD"/>
    <w:rsid w:val="00B65DF4"/>
    <w:rsid w:val="00B66083"/>
    <w:rsid w:val="00B7008F"/>
    <w:rsid w:val="00B70663"/>
    <w:rsid w:val="00B75210"/>
    <w:rsid w:val="00B76175"/>
    <w:rsid w:val="00B77480"/>
    <w:rsid w:val="00B804DA"/>
    <w:rsid w:val="00B85A4C"/>
    <w:rsid w:val="00B85D0F"/>
    <w:rsid w:val="00B8667B"/>
    <w:rsid w:val="00B907A6"/>
    <w:rsid w:val="00B925C6"/>
    <w:rsid w:val="00B936F6"/>
    <w:rsid w:val="00B94373"/>
    <w:rsid w:val="00B94668"/>
    <w:rsid w:val="00B950C0"/>
    <w:rsid w:val="00B95901"/>
    <w:rsid w:val="00B96862"/>
    <w:rsid w:val="00B969D5"/>
    <w:rsid w:val="00BA0C4A"/>
    <w:rsid w:val="00BA11F5"/>
    <w:rsid w:val="00BA1275"/>
    <w:rsid w:val="00BA2CFE"/>
    <w:rsid w:val="00BA3130"/>
    <w:rsid w:val="00BA6B2D"/>
    <w:rsid w:val="00BA7E86"/>
    <w:rsid w:val="00BB186F"/>
    <w:rsid w:val="00BB454B"/>
    <w:rsid w:val="00BB4E83"/>
    <w:rsid w:val="00BB57CE"/>
    <w:rsid w:val="00BB59CE"/>
    <w:rsid w:val="00BB6C62"/>
    <w:rsid w:val="00BB6CD0"/>
    <w:rsid w:val="00BB6FC8"/>
    <w:rsid w:val="00BC0846"/>
    <w:rsid w:val="00BC0F96"/>
    <w:rsid w:val="00BC1C66"/>
    <w:rsid w:val="00BC221B"/>
    <w:rsid w:val="00BC451A"/>
    <w:rsid w:val="00BC5456"/>
    <w:rsid w:val="00BC5FBB"/>
    <w:rsid w:val="00BC6A40"/>
    <w:rsid w:val="00BC71EB"/>
    <w:rsid w:val="00BD02D0"/>
    <w:rsid w:val="00BD06AD"/>
    <w:rsid w:val="00BD07E8"/>
    <w:rsid w:val="00BD14DB"/>
    <w:rsid w:val="00BD2466"/>
    <w:rsid w:val="00BD2B9E"/>
    <w:rsid w:val="00BD3813"/>
    <w:rsid w:val="00BD780F"/>
    <w:rsid w:val="00BE0002"/>
    <w:rsid w:val="00BE3197"/>
    <w:rsid w:val="00BE3D82"/>
    <w:rsid w:val="00BE509D"/>
    <w:rsid w:val="00BF0E87"/>
    <w:rsid w:val="00BF295D"/>
    <w:rsid w:val="00BF4F6F"/>
    <w:rsid w:val="00BF5792"/>
    <w:rsid w:val="00BF6A36"/>
    <w:rsid w:val="00BF7EAB"/>
    <w:rsid w:val="00C00D41"/>
    <w:rsid w:val="00C011CA"/>
    <w:rsid w:val="00C0291D"/>
    <w:rsid w:val="00C029B0"/>
    <w:rsid w:val="00C039F5"/>
    <w:rsid w:val="00C049C9"/>
    <w:rsid w:val="00C07A56"/>
    <w:rsid w:val="00C1088D"/>
    <w:rsid w:val="00C12640"/>
    <w:rsid w:val="00C13200"/>
    <w:rsid w:val="00C13686"/>
    <w:rsid w:val="00C1446B"/>
    <w:rsid w:val="00C14E21"/>
    <w:rsid w:val="00C15AD7"/>
    <w:rsid w:val="00C16F20"/>
    <w:rsid w:val="00C21875"/>
    <w:rsid w:val="00C21C37"/>
    <w:rsid w:val="00C2613B"/>
    <w:rsid w:val="00C32017"/>
    <w:rsid w:val="00C320D4"/>
    <w:rsid w:val="00C32255"/>
    <w:rsid w:val="00C3257C"/>
    <w:rsid w:val="00C33980"/>
    <w:rsid w:val="00C33C4F"/>
    <w:rsid w:val="00C34C45"/>
    <w:rsid w:val="00C35234"/>
    <w:rsid w:val="00C3543E"/>
    <w:rsid w:val="00C35547"/>
    <w:rsid w:val="00C37EE6"/>
    <w:rsid w:val="00C40447"/>
    <w:rsid w:val="00C406E5"/>
    <w:rsid w:val="00C40751"/>
    <w:rsid w:val="00C40AA3"/>
    <w:rsid w:val="00C40CB3"/>
    <w:rsid w:val="00C44C32"/>
    <w:rsid w:val="00C44F54"/>
    <w:rsid w:val="00C46410"/>
    <w:rsid w:val="00C47BCA"/>
    <w:rsid w:val="00C47FFC"/>
    <w:rsid w:val="00C50A36"/>
    <w:rsid w:val="00C52C1F"/>
    <w:rsid w:val="00C5390D"/>
    <w:rsid w:val="00C53B7B"/>
    <w:rsid w:val="00C562F5"/>
    <w:rsid w:val="00C5647C"/>
    <w:rsid w:val="00C57C3B"/>
    <w:rsid w:val="00C6204F"/>
    <w:rsid w:val="00C64858"/>
    <w:rsid w:val="00C66A1A"/>
    <w:rsid w:val="00C672BC"/>
    <w:rsid w:val="00C67BBA"/>
    <w:rsid w:val="00C70146"/>
    <w:rsid w:val="00C74573"/>
    <w:rsid w:val="00C74DF5"/>
    <w:rsid w:val="00C813A6"/>
    <w:rsid w:val="00C822A4"/>
    <w:rsid w:val="00C83B9B"/>
    <w:rsid w:val="00C83C74"/>
    <w:rsid w:val="00C85B0D"/>
    <w:rsid w:val="00C85E03"/>
    <w:rsid w:val="00C86384"/>
    <w:rsid w:val="00C87509"/>
    <w:rsid w:val="00C878B0"/>
    <w:rsid w:val="00C91A7C"/>
    <w:rsid w:val="00C9657D"/>
    <w:rsid w:val="00CA0D07"/>
    <w:rsid w:val="00CA1878"/>
    <w:rsid w:val="00CA215F"/>
    <w:rsid w:val="00CA239D"/>
    <w:rsid w:val="00CA3485"/>
    <w:rsid w:val="00CA497D"/>
    <w:rsid w:val="00CA67C1"/>
    <w:rsid w:val="00CA734C"/>
    <w:rsid w:val="00CA7ABD"/>
    <w:rsid w:val="00CB020A"/>
    <w:rsid w:val="00CB12E9"/>
    <w:rsid w:val="00CB2871"/>
    <w:rsid w:val="00CB2E92"/>
    <w:rsid w:val="00CB3BA0"/>
    <w:rsid w:val="00CB3DC6"/>
    <w:rsid w:val="00CB435E"/>
    <w:rsid w:val="00CB5002"/>
    <w:rsid w:val="00CB5B8C"/>
    <w:rsid w:val="00CB5CDA"/>
    <w:rsid w:val="00CB6711"/>
    <w:rsid w:val="00CB675F"/>
    <w:rsid w:val="00CC054E"/>
    <w:rsid w:val="00CC0775"/>
    <w:rsid w:val="00CC34D4"/>
    <w:rsid w:val="00CC3776"/>
    <w:rsid w:val="00CC5DDC"/>
    <w:rsid w:val="00CD1629"/>
    <w:rsid w:val="00CD4FA5"/>
    <w:rsid w:val="00CD5822"/>
    <w:rsid w:val="00CD62D4"/>
    <w:rsid w:val="00CD7CBE"/>
    <w:rsid w:val="00CE05AD"/>
    <w:rsid w:val="00CE2AEB"/>
    <w:rsid w:val="00CE3A3D"/>
    <w:rsid w:val="00CE3E37"/>
    <w:rsid w:val="00CE3FFF"/>
    <w:rsid w:val="00CE532B"/>
    <w:rsid w:val="00CE7678"/>
    <w:rsid w:val="00CE7F16"/>
    <w:rsid w:val="00CF081A"/>
    <w:rsid w:val="00CF3A4F"/>
    <w:rsid w:val="00CF684B"/>
    <w:rsid w:val="00D008C3"/>
    <w:rsid w:val="00D01CB0"/>
    <w:rsid w:val="00D035FD"/>
    <w:rsid w:val="00D071F3"/>
    <w:rsid w:val="00D07AC3"/>
    <w:rsid w:val="00D1119E"/>
    <w:rsid w:val="00D123DA"/>
    <w:rsid w:val="00D13DE2"/>
    <w:rsid w:val="00D13F7F"/>
    <w:rsid w:val="00D14754"/>
    <w:rsid w:val="00D16B20"/>
    <w:rsid w:val="00D1765D"/>
    <w:rsid w:val="00D17CB5"/>
    <w:rsid w:val="00D202CE"/>
    <w:rsid w:val="00D214A0"/>
    <w:rsid w:val="00D21F50"/>
    <w:rsid w:val="00D25D42"/>
    <w:rsid w:val="00D26799"/>
    <w:rsid w:val="00D300A2"/>
    <w:rsid w:val="00D30F52"/>
    <w:rsid w:val="00D318F4"/>
    <w:rsid w:val="00D330B3"/>
    <w:rsid w:val="00D335F0"/>
    <w:rsid w:val="00D34049"/>
    <w:rsid w:val="00D342EB"/>
    <w:rsid w:val="00D35C24"/>
    <w:rsid w:val="00D36795"/>
    <w:rsid w:val="00D37860"/>
    <w:rsid w:val="00D37C18"/>
    <w:rsid w:val="00D426F8"/>
    <w:rsid w:val="00D4382C"/>
    <w:rsid w:val="00D447B2"/>
    <w:rsid w:val="00D44977"/>
    <w:rsid w:val="00D44DEA"/>
    <w:rsid w:val="00D456F1"/>
    <w:rsid w:val="00D4591E"/>
    <w:rsid w:val="00D52BF2"/>
    <w:rsid w:val="00D548E2"/>
    <w:rsid w:val="00D54B98"/>
    <w:rsid w:val="00D5606C"/>
    <w:rsid w:val="00D569FC"/>
    <w:rsid w:val="00D575BF"/>
    <w:rsid w:val="00D62B18"/>
    <w:rsid w:val="00D62BC3"/>
    <w:rsid w:val="00D62E3F"/>
    <w:rsid w:val="00D631C4"/>
    <w:rsid w:val="00D65393"/>
    <w:rsid w:val="00D656CC"/>
    <w:rsid w:val="00D70C84"/>
    <w:rsid w:val="00D71B4A"/>
    <w:rsid w:val="00D71B84"/>
    <w:rsid w:val="00D723EB"/>
    <w:rsid w:val="00D72E28"/>
    <w:rsid w:val="00D7416B"/>
    <w:rsid w:val="00D74443"/>
    <w:rsid w:val="00D763EF"/>
    <w:rsid w:val="00D808DA"/>
    <w:rsid w:val="00D80A79"/>
    <w:rsid w:val="00D80B64"/>
    <w:rsid w:val="00D831F7"/>
    <w:rsid w:val="00D83CF9"/>
    <w:rsid w:val="00D852BA"/>
    <w:rsid w:val="00D92A32"/>
    <w:rsid w:val="00D932DB"/>
    <w:rsid w:val="00D94888"/>
    <w:rsid w:val="00DA012E"/>
    <w:rsid w:val="00DA04C5"/>
    <w:rsid w:val="00DA141C"/>
    <w:rsid w:val="00DA2AA1"/>
    <w:rsid w:val="00DA5511"/>
    <w:rsid w:val="00DA6249"/>
    <w:rsid w:val="00DA6BA2"/>
    <w:rsid w:val="00DA6E85"/>
    <w:rsid w:val="00DA7965"/>
    <w:rsid w:val="00DB2BA3"/>
    <w:rsid w:val="00DB317D"/>
    <w:rsid w:val="00DB32A9"/>
    <w:rsid w:val="00DB46BA"/>
    <w:rsid w:val="00DB59B1"/>
    <w:rsid w:val="00DB626B"/>
    <w:rsid w:val="00DB62BE"/>
    <w:rsid w:val="00DB6EF1"/>
    <w:rsid w:val="00DB7E90"/>
    <w:rsid w:val="00DC0D48"/>
    <w:rsid w:val="00DC3F5A"/>
    <w:rsid w:val="00DC410E"/>
    <w:rsid w:val="00DC5399"/>
    <w:rsid w:val="00DC6773"/>
    <w:rsid w:val="00DC73ED"/>
    <w:rsid w:val="00DD029B"/>
    <w:rsid w:val="00DD17DD"/>
    <w:rsid w:val="00DD3A09"/>
    <w:rsid w:val="00DD464C"/>
    <w:rsid w:val="00DD4AD5"/>
    <w:rsid w:val="00DD5873"/>
    <w:rsid w:val="00DE08BE"/>
    <w:rsid w:val="00DE43EB"/>
    <w:rsid w:val="00DE4563"/>
    <w:rsid w:val="00DE4DCD"/>
    <w:rsid w:val="00DE6A9B"/>
    <w:rsid w:val="00DE7AA1"/>
    <w:rsid w:val="00DE7DBA"/>
    <w:rsid w:val="00DF0101"/>
    <w:rsid w:val="00DF036F"/>
    <w:rsid w:val="00DF3630"/>
    <w:rsid w:val="00E00882"/>
    <w:rsid w:val="00E02648"/>
    <w:rsid w:val="00E0274B"/>
    <w:rsid w:val="00E04E5B"/>
    <w:rsid w:val="00E0591C"/>
    <w:rsid w:val="00E064BE"/>
    <w:rsid w:val="00E06A12"/>
    <w:rsid w:val="00E06A26"/>
    <w:rsid w:val="00E07FA9"/>
    <w:rsid w:val="00E108DB"/>
    <w:rsid w:val="00E11F78"/>
    <w:rsid w:val="00E1250A"/>
    <w:rsid w:val="00E1267D"/>
    <w:rsid w:val="00E13361"/>
    <w:rsid w:val="00E15115"/>
    <w:rsid w:val="00E157F5"/>
    <w:rsid w:val="00E1765C"/>
    <w:rsid w:val="00E22266"/>
    <w:rsid w:val="00E2277B"/>
    <w:rsid w:val="00E2389C"/>
    <w:rsid w:val="00E251AF"/>
    <w:rsid w:val="00E266EA"/>
    <w:rsid w:val="00E32833"/>
    <w:rsid w:val="00E32F27"/>
    <w:rsid w:val="00E33030"/>
    <w:rsid w:val="00E33BDF"/>
    <w:rsid w:val="00E34D58"/>
    <w:rsid w:val="00E36D58"/>
    <w:rsid w:val="00E454F8"/>
    <w:rsid w:val="00E45E60"/>
    <w:rsid w:val="00E45F28"/>
    <w:rsid w:val="00E462B0"/>
    <w:rsid w:val="00E53131"/>
    <w:rsid w:val="00E5533D"/>
    <w:rsid w:val="00E567C6"/>
    <w:rsid w:val="00E600DC"/>
    <w:rsid w:val="00E61D36"/>
    <w:rsid w:val="00E635EC"/>
    <w:rsid w:val="00E64F1D"/>
    <w:rsid w:val="00E66000"/>
    <w:rsid w:val="00E67FF6"/>
    <w:rsid w:val="00E72232"/>
    <w:rsid w:val="00E75C18"/>
    <w:rsid w:val="00E773B9"/>
    <w:rsid w:val="00E80931"/>
    <w:rsid w:val="00E83DF0"/>
    <w:rsid w:val="00E90EF9"/>
    <w:rsid w:val="00E9115C"/>
    <w:rsid w:val="00E912AF"/>
    <w:rsid w:val="00E92CBB"/>
    <w:rsid w:val="00E93F84"/>
    <w:rsid w:val="00E943AE"/>
    <w:rsid w:val="00E94B56"/>
    <w:rsid w:val="00E961FB"/>
    <w:rsid w:val="00E97BA9"/>
    <w:rsid w:val="00EA1048"/>
    <w:rsid w:val="00EA32FC"/>
    <w:rsid w:val="00EA5F4F"/>
    <w:rsid w:val="00EA774E"/>
    <w:rsid w:val="00EB1C10"/>
    <w:rsid w:val="00EB51D0"/>
    <w:rsid w:val="00EB5A54"/>
    <w:rsid w:val="00EB5C57"/>
    <w:rsid w:val="00EB5F44"/>
    <w:rsid w:val="00EB6E3B"/>
    <w:rsid w:val="00EC4A44"/>
    <w:rsid w:val="00EC51D6"/>
    <w:rsid w:val="00EC58C8"/>
    <w:rsid w:val="00EC638E"/>
    <w:rsid w:val="00ED0231"/>
    <w:rsid w:val="00ED1D2A"/>
    <w:rsid w:val="00ED38BE"/>
    <w:rsid w:val="00ED6819"/>
    <w:rsid w:val="00ED6C78"/>
    <w:rsid w:val="00ED7333"/>
    <w:rsid w:val="00EE04A8"/>
    <w:rsid w:val="00EE3472"/>
    <w:rsid w:val="00EE7D92"/>
    <w:rsid w:val="00EF1910"/>
    <w:rsid w:val="00EF197E"/>
    <w:rsid w:val="00EF1BAE"/>
    <w:rsid w:val="00EF21A7"/>
    <w:rsid w:val="00EF30D3"/>
    <w:rsid w:val="00EF3F73"/>
    <w:rsid w:val="00EF7964"/>
    <w:rsid w:val="00F00884"/>
    <w:rsid w:val="00F021D4"/>
    <w:rsid w:val="00F02FC6"/>
    <w:rsid w:val="00F0383E"/>
    <w:rsid w:val="00F03C63"/>
    <w:rsid w:val="00F053E4"/>
    <w:rsid w:val="00F06A0F"/>
    <w:rsid w:val="00F10923"/>
    <w:rsid w:val="00F15258"/>
    <w:rsid w:val="00F17295"/>
    <w:rsid w:val="00F21CB2"/>
    <w:rsid w:val="00F228A0"/>
    <w:rsid w:val="00F22D44"/>
    <w:rsid w:val="00F239B5"/>
    <w:rsid w:val="00F24D4D"/>
    <w:rsid w:val="00F2653B"/>
    <w:rsid w:val="00F26ECE"/>
    <w:rsid w:val="00F30B06"/>
    <w:rsid w:val="00F30D1C"/>
    <w:rsid w:val="00F35A73"/>
    <w:rsid w:val="00F3660E"/>
    <w:rsid w:val="00F36D4C"/>
    <w:rsid w:val="00F3748B"/>
    <w:rsid w:val="00F43694"/>
    <w:rsid w:val="00F43D4C"/>
    <w:rsid w:val="00F44835"/>
    <w:rsid w:val="00F44C21"/>
    <w:rsid w:val="00F45001"/>
    <w:rsid w:val="00F474CA"/>
    <w:rsid w:val="00F47B4B"/>
    <w:rsid w:val="00F53284"/>
    <w:rsid w:val="00F537D0"/>
    <w:rsid w:val="00F55412"/>
    <w:rsid w:val="00F55C52"/>
    <w:rsid w:val="00F62A16"/>
    <w:rsid w:val="00F65A0D"/>
    <w:rsid w:val="00F72014"/>
    <w:rsid w:val="00F730F1"/>
    <w:rsid w:val="00F7392E"/>
    <w:rsid w:val="00F74E13"/>
    <w:rsid w:val="00F76DE0"/>
    <w:rsid w:val="00F7776E"/>
    <w:rsid w:val="00F81405"/>
    <w:rsid w:val="00F82B9F"/>
    <w:rsid w:val="00F83A54"/>
    <w:rsid w:val="00F83DEF"/>
    <w:rsid w:val="00F8508D"/>
    <w:rsid w:val="00F85165"/>
    <w:rsid w:val="00F86738"/>
    <w:rsid w:val="00F90296"/>
    <w:rsid w:val="00F905A2"/>
    <w:rsid w:val="00F910C0"/>
    <w:rsid w:val="00F927A7"/>
    <w:rsid w:val="00F92905"/>
    <w:rsid w:val="00F966CC"/>
    <w:rsid w:val="00F97159"/>
    <w:rsid w:val="00FA17AB"/>
    <w:rsid w:val="00FA1EEF"/>
    <w:rsid w:val="00FA2372"/>
    <w:rsid w:val="00FA4351"/>
    <w:rsid w:val="00FA45DE"/>
    <w:rsid w:val="00FA4A39"/>
    <w:rsid w:val="00FA5793"/>
    <w:rsid w:val="00FA5799"/>
    <w:rsid w:val="00FA7AE1"/>
    <w:rsid w:val="00FB3096"/>
    <w:rsid w:val="00FB483D"/>
    <w:rsid w:val="00FB5536"/>
    <w:rsid w:val="00FC34E7"/>
    <w:rsid w:val="00FC3DE0"/>
    <w:rsid w:val="00FC3E55"/>
    <w:rsid w:val="00FC42B9"/>
    <w:rsid w:val="00FC480D"/>
    <w:rsid w:val="00FC504D"/>
    <w:rsid w:val="00FC6595"/>
    <w:rsid w:val="00FC730B"/>
    <w:rsid w:val="00FD0BB4"/>
    <w:rsid w:val="00FD3177"/>
    <w:rsid w:val="00FD557A"/>
    <w:rsid w:val="00FD5727"/>
    <w:rsid w:val="00FD5819"/>
    <w:rsid w:val="00FD6954"/>
    <w:rsid w:val="00FE31BF"/>
    <w:rsid w:val="00FE38AB"/>
    <w:rsid w:val="00FE415A"/>
    <w:rsid w:val="00FE5A97"/>
    <w:rsid w:val="00FE78D3"/>
    <w:rsid w:val="00FF299A"/>
    <w:rsid w:val="00FF3C57"/>
    <w:rsid w:val="00FF525E"/>
    <w:rsid w:val="00FF6D02"/>
    <w:rsid w:val="00FF7D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F47F62"/>
  <w15:docId w15:val="{D9B1A4E2-8787-4765-930B-B285905E4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867"/>
    <w:rPr>
      <w:rFonts w:ascii="CG Omega" w:hAnsi="CG Omega"/>
      <w:sz w:val="22"/>
      <w:szCs w:val="24"/>
      <w:lang w:eastAsia="en-US"/>
    </w:rPr>
  </w:style>
  <w:style w:type="paragraph" w:styleId="Heading1">
    <w:name w:val="heading 1"/>
    <w:basedOn w:val="Normal"/>
    <w:next w:val="Normal"/>
    <w:link w:val="Heading1Char"/>
    <w:qFormat/>
    <w:rsid w:val="001A03E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DB32A9"/>
    <w:pPr>
      <w:keepNext/>
      <w:keepLines/>
      <w:spacing w:before="200"/>
      <w:outlineLvl w:val="1"/>
    </w:pPr>
    <w:rPr>
      <w:rFonts w:ascii="Times New Roman" w:hAnsi="Times New Roman"/>
      <w:b/>
      <w:bCs/>
      <w:color w:val="4F81BD"/>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B7524"/>
    <w:pPr>
      <w:numPr>
        <w:ilvl w:val="12"/>
      </w:numPr>
      <w:spacing w:before="240"/>
    </w:pPr>
    <w:rPr>
      <w:rFonts w:ascii="Times New Roman" w:hAnsi="Times New Roman"/>
      <w:sz w:val="24"/>
      <w:szCs w:val="20"/>
      <w:lang w:eastAsia="en-AU"/>
    </w:rPr>
  </w:style>
  <w:style w:type="paragraph" w:customStyle="1" w:styleId="StyleLeft349cmRight-011cm">
    <w:name w:val="Style Left:  3.49 cm Right:  -0.11 cm"/>
    <w:basedOn w:val="Normal"/>
    <w:rsid w:val="003B7524"/>
    <w:pPr>
      <w:ind w:left="1979" w:right="1701"/>
    </w:pPr>
    <w:rPr>
      <w:rFonts w:ascii="Times New Roman" w:hAnsi="Times New Roman"/>
      <w:sz w:val="24"/>
      <w:szCs w:val="20"/>
      <w:lang w:eastAsia="en-AU"/>
    </w:rPr>
  </w:style>
  <w:style w:type="paragraph" w:styleId="Footer">
    <w:name w:val="footer"/>
    <w:basedOn w:val="Normal"/>
    <w:rsid w:val="003B7524"/>
    <w:pPr>
      <w:tabs>
        <w:tab w:val="center" w:pos="4153"/>
        <w:tab w:val="right" w:pos="8306"/>
      </w:tabs>
    </w:pPr>
  </w:style>
  <w:style w:type="character" w:styleId="PageNumber">
    <w:name w:val="page number"/>
    <w:basedOn w:val="DefaultParagraphFont"/>
    <w:rsid w:val="003B7524"/>
  </w:style>
  <w:style w:type="paragraph" w:customStyle="1" w:styleId="Default1">
    <w:name w:val="Default1"/>
    <w:basedOn w:val="Normal"/>
    <w:next w:val="Normal"/>
    <w:rsid w:val="003B7524"/>
    <w:pPr>
      <w:autoSpaceDE w:val="0"/>
      <w:autoSpaceDN w:val="0"/>
      <w:adjustRightInd w:val="0"/>
      <w:spacing w:after="240"/>
    </w:pPr>
    <w:rPr>
      <w:rFonts w:ascii="Times New Roman" w:hAnsi="Times New Roman"/>
      <w:sz w:val="24"/>
      <w:lang w:eastAsia="en-AU"/>
    </w:rPr>
  </w:style>
  <w:style w:type="paragraph" w:styleId="Header">
    <w:name w:val="header"/>
    <w:aliases w:val="h"/>
    <w:basedOn w:val="Normal"/>
    <w:link w:val="HeaderChar"/>
    <w:uiPriority w:val="99"/>
    <w:rsid w:val="003B7524"/>
    <w:pPr>
      <w:tabs>
        <w:tab w:val="center" w:pos="4153"/>
        <w:tab w:val="right" w:pos="8306"/>
      </w:tabs>
    </w:pPr>
  </w:style>
  <w:style w:type="paragraph" w:styleId="BalloonText">
    <w:name w:val="Balloon Text"/>
    <w:basedOn w:val="Normal"/>
    <w:semiHidden/>
    <w:rsid w:val="00146C29"/>
    <w:rPr>
      <w:rFonts w:ascii="Tahoma" w:hAnsi="Tahoma" w:cs="Tahoma"/>
      <w:sz w:val="16"/>
      <w:szCs w:val="16"/>
    </w:rPr>
  </w:style>
  <w:style w:type="character" w:styleId="CommentReference">
    <w:name w:val="annotation reference"/>
    <w:uiPriority w:val="99"/>
    <w:semiHidden/>
    <w:rsid w:val="0009363E"/>
    <w:rPr>
      <w:sz w:val="16"/>
      <w:szCs w:val="16"/>
    </w:rPr>
  </w:style>
  <w:style w:type="paragraph" w:styleId="CommentText">
    <w:name w:val="annotation text"/>
    <w:basedOn w:val="Normal"/>
    <w:link w:val="CommentTextChar"/>
    <w:uiPriority w:val="99"/>
    <w:semiHidden/>
    <w:rsid w:val="0009363E"/>
    <w:rPr>
      <w:sz w:val="20"/>
      <w:szCs w:val="20"/>
    </w:rPr>
  </w:style>
  <w:style w:type="paragraph" w:styleId="CommentSubject">
    <w:name w:val="annotation subject"/>
    <w:basedOn w:val="CommentText"/>
    <w:next w:val="CommentText"/>
    <w:semiHidden/>
    <w:rsid w:val="0009363E"/>
    <w:rPr>
      <w:b/>
      <w:bCs/>
    </w:rPr>
  </w:style>
  <w:style w:type="paragraph" w:customStyle="1" w:styleId="Default">
    <w:name w:val="Default"/>
    <w:rsid w:val="00F7392E"/>
    <w:pPr>
      <w:autoSpaceDE w:val="0"/>
      <w:autoSpaceDN w:val="0"/>
      <w:adjustRightInd w:val="0"/>
    </w:pPr>
    <w:rPr>
      <w:color w:val="000000"/>
      <w:sz w:val="24"/>
      <w:szCs w:val="24"/>
    </w:rPr>
  </w:style>
  <w:style w:type="character" w:styleId="Hyperlink">
    <w:name w:val="Hyperlink"/>
    <w:rsid w:val="004D1BEF"/>
    <w:rPr>
      <w:color w:val="0000FF"/>
      <w:u w:val="single"/>
    </w:rPr>
  </w:style>
  <w:style w:type="paragraph" w:styleId="ListParagraph">
    <w:name w:val="List Paragraph"/>
    <w:aliases w:val="Dot Point Lvl 1,TOC style,lp1,Bullet OSM,Proposal Bullet List,Recommendation,List Paragraph1,List Paragraph11,List Paragraph111,L,F5 List Paragraph,Dot pt,CV text,Medium Grid 1 - Accent 21,Numbered Paragraph,No Spacing1,列出段落,FooterText"/>
    <w:basedOn w:val="Normal"/>
    <w:link w:val="ListParagraphChar"/>
    <w:uiPriority w:val="34"/>
    <w:qFormat/>
    <w:rsid w:val="00433B24"/>
    <w:pPr>
      <w:ind w:left="720"/>
    </w:pPr>
  </w:style>
  <w:style w:type="character" w:customStyle="1" w:styleId="CommentTextChar">
    <w:name w:val="Comment Text Char"/>
    <w:link w:val="CommentText"/>
    <w:semiHidden/>
    <w:rsid w:val="00190C40"/>
    <w:rPr>
      <w:rFonts w:ascii="CG Omega" w:hAnsi="CG Omega"/>
      <w:lang w:eastAsia="en-US"/>
    </w:rPr>
  </w:style>
  <w:style w:type="character" w:customStyle="1" w:styleId="Heading2Char">
    <w:name w:val="Heading 2 Char"/>
    <w:link w:val="Heading2"/>
    <w:uiPriority w:val="9"/>
    <w:rsid w:val="00DB32A9"/>
    <w:rPr>
      <w:b/>
      <w:bCs/>
      <w:color w:val="4F81BD"/>
      <w:sz w:val="26"/>
      <w:szCs w:val="26"/>
    </w:rPr>
  </w:style>
  <w:style w:type="table" w:styleId="TableGrid">
    <w:name w:val="Table Grid"/>
    <w:basedOn w:val="TableNormal"/>
    <w:rsid w:val="00DB32A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525E3E"/>
    <w:rPr>
      <w:color w:val="800080"/>
      <w:u w:val="single"/>
    </w:rPr>
  </w:style>
  <w:style w:type="character" w:customStyle="1" w:styleId="HeaderChar">
    <w:name w:val="Header Char"/>
    <w:aliases w:val="h Char"/>
    <w:link w:val="Header"/>
    <w:uiPriority w:val="99"/>
    <w:rsid w:val="00800032"/>
    <w:rPr>
      <w:rFonts w:ascii="CG Omega" w:hAnsi="CG Omega"/>
      <w:sz w:val="22"/>
      <w:szCs w:val="24"/>
      <w:lang w:eastAsia="en-US"/>
    </w:rPr>
  </w:style>
  <w:style w:type="paragraph" w:customStyle="1" w:styleId="TableText">
    <w:name w:val="TableText"/>
    <w:basedOn w:val="Normal"/>
    <w:qFormat/>
    <w:rsid w:val="00114B13"/>
    <w:pPr>
      <w:spacing w:before="120" w:after="120"/>
    </w:pPr>
    <w:rPr>
      <w:rFonts w:ascii="Arial" w:hAnsi="Arial" w:cs="Arial"/>
      <w:bCs/>
      <w:sz w:val="20"/>
      <w:szCs w:val="20"/>
    </w:rPr>
  </w:style>
  <w:style w:type="paragraph" w:styleId="Revision">
    <w:name w:val="Revision"/>
    <w:hidden/>
    <w:uiPriority w:val="99"/>
    <w:semiHidden/>
    <w:rsid w:val="006E645F"/>
    <w:rPr>
      <w:rFonts w:ascii="CG Omega" w:hAnsi="CG Omega"/>
      <w:sz w:val="22"/>
      <w:szCs w:val="24"/>
      <w:lang w:eastAsia="en-US"/>
    </w:rPr>
  </w:style>
  <w:style w:type="character" w:customStyle="1" w:styleId="Heading1Char">
    <w:name w:val="Heading 1 Char"/>
    <w:link w:val="Heading1"/>
    <w:rsid w:val="001A03E1"/>
    <w:rPr>
      <w:rFonts w:ascii="Cambria" w:eastAsia="Times New Roman" w:hAnsi="Cambria" w:cs="Times New Roman"/>
      <w:b/>
      <w:bCs/>
      <w:kern w:val="32"/>
      <w:sz w:val="32"/>
      <w:szCs w:val="32"/>
      <w:lang w:eastAsia="en-US"/>
    </w:rPr>
  </w:style>
  <w:style w:type="character" w:customStyle="1" w:styleId="CommentTextChar1">
    <w:name w:val="Comment Text Char1"/>
    <w:uiPriority w:val="99"/>
    <w:semiHidden/>
    <w:rsid w:val="001A03E1"/>
    <w:rPr>
      <w:sz w:val="20"/>
      <w:szCs w:val="20"/>
    </w:rPr>
  </w:style>
  <w:style w:type="paragraph" w:customStyle="1" w:styleId="paragraph0">
    <w:name w:val="paragraph"/>
    <w:basedOn w:val="Normal"/>
    <w:rsid w:val="004671D0"/>
    <w:pPr>
      <w:spacing w:before="100" w:beforeAutospacing="1" w:after="100" w:afterAutospacing="1"/>
    </w:pPr>
    <w:rPr>
      <w:rFonts w:ascii="Times New Roman" w:hAnsi="Times New Roman"/>
      <w:sz w:val="24"/>
      <w:lang w:eastAsia="en-AU"/>
    </w:rPr>
  </w:style>
  <w:style w:type="paragraph" w:customStyle="1" w:styleId="ItemHead">
    <w:name w:val="ItemHead"/>
    <w:aliases w:val="ih"/>
    <w:basedOn w:val="Normal"/>
    <w:next w:val="Normal"/>
    <w:rsid w:val="00684A1B"/>
    <w:pPr>
      <w:keepNext/>
      <w:keepLines/>
      <w:spacing w:before="220"/>
      <w:ind w:left="709" w:hanging="709"/>
    </w:pPr>
    <w:rPr>
      <w:rFonts w:ascii="Arial" w:hAnsi="Arial"/>
      <w:b/>
      <w:kern w:val="28"/>
      <w:sz w:val="24"/>
      <w:szCs w:val="20"/>
      <w:lang w:eastAsia="en-AU"/>
    </w:rPr>
  </w:style>
  <w:style w:type="character" w:customStyle="1" w:styleId="ListParagraphChar">
    <w:name w:val="List Paragraph Char"/>
    <w:aliases w:val="Dot Point Lvl 1 Char,TOC style Char,lp1 Char,Bullet OSM Char,Proposal Bullet List Char,Recommendation Char,List Paragraph1 Char,List Paragraph11 Char,List Paragraph111 Char,L Char,F5 List Paragraph Char,Dot pt Char,CV text Char"/>
    <w:link w:val="ListParagraph"/>
    <w:uiPriority w:val="34"/>
    <w:locked/>
    <w:rsid w:val="00AD08E1"/>
    <w:rPr>
      <w:rFonts w:ascii="CG Omega" w:hAnsi="CG Omega"/>
      <w:sz w:val="22"/>
      <w:szCs w:val="24"/>
      <w:lang w:eastAsia="en-US"/>
    </w:rPr>
  </w:style>
  <w:style w:type="paragraph" w:customStyle="1" w:styleId="Item">
    <w:name w:val="Item"/>
    <w:aliases w:val="i"/>
    <w:basedOn w:val="Normal"/>
    <w:next w:val="ItemHead"/>
    <w:rsid w:val="0013441F"/>
    <w:pPr>
      <w:keepLines/>
      <w:spacing w:before="80"/>
      <w:ind w:left="709"/>
    </w:pPr>
    <w:rPr>
      <w:rFonts w:ascii="Times New Roman" w:hAnsi="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01934">
      <w:bodyDiv w:val="1"/>
      <w:marLeft w:val="0"/>
      <w:marRight w:val="0"/>
      <w:marTop w:val="0"/>
      <w:marBottom w:val="0"/>
      <w:divBdr>
        <w:top w:val="none" w:sz="0" w:space="0" w:color="auto"/>
        <w:left w:val="none" w:sz="0" w:space="0" w:color="auto"/>
        <w:bottom w:val="none" w:sz="0" w:space="0" w:color="auto"/>
        <w:right w:val="none" w:sz="0" w:space="0" w:color="auto"/>
      </w:divBdr>
    </w:div>
    <w:div w:id="144856074">
      <w:bodyDiv w:val="1"/>
      <w:marLeft w:val="0"/>
      <w:marRight w:val="0"/>
      <w:marTop w:val="0"/>
      <w:marBottom w:val="0"/>
      <w:divBdr>
        <w:top w:val="none" w:sz="0" w:space="0" w:color="auto"/>
        <w:left w:val="none" w:sz="0" w:space="0" w:color="auto"/>
        <w:bottom w:val="none" w:sz="0" w:space="0" w:color="auto"/>
        <w:right w:val="none" w:sz="0" w:space="0" w:color="auto"/>
      </w:divBdr>
    </w:div>
    <w:div w:id="243688182">
      <w:bodyDiv w:val="1"/>
      <w:marLeft w:val="0"/>
      <w:marRight w:val="0"/>
      <w:marTop w:val="0"/>
      <w:marBottom w:val="0"/>
      <w:divBdr>
        <w:top w:val="none" w:sz="0" w:space="0" w:color="auto"/>
        <w:left w:val="none" w:sz="0" w:space="0" w:color="auto"/>
        <w:bottom w:val="none" w:sz="0" w:space="0" w:color="auto"/>
        <w:right w:val="none" w:sz="0" w:space="0" w:color="auto"/>
      </w:divBdr>
    </w:div>
    <w:div w:id="268126803">
      <w:bodyDiv w:val="1"/>
      <w:marLeft w:val="0"/>
      <w:marRight w:val="0"/>
      <w:marTop w:val="0"/>
      <w:marBottom w:val="0"/>
      <w:divBdr>
        <w:top w:val="none" w:sz="0" w:space="0" w:color="auto"/>
        <w:left w:val="none" w:sz="0" w:space="0" w:color="auto"/>
        <w:bottom w:val="none" w:sz="0" w:space="0" w:color="auto"/>
        <w:right w:val="none" w:sz="0" w:space="0" w:color="auto"/>
      </w:divBdr>
    </w:div>
    <w:div w:id="327440870">
      <w:bodyDiv w:val="1"/>
      <w:marLeft w:val="0"/>
      <w:marRight w:val="0"/>
      <w:marTop w:val="0"/>
      <w:marBottom w:val="0"/>
      <w:divBdr>
        <w:top w:val="none" w:sz="0" w:space="0" w:color="auto"/>
        <w:left w:val="none" w:sz="0" w:space="0" w:color="auto"/>
        <w:bottom w:val="none" w:sz="0" w:space="0" w:color="auto"/>
        <w:right w:val="none" w:sz="0" w:space="0" w:color="auto"/>
      </w:divBdr>
    </w:div>
    <w:div w:id="1094786630">
      <w:bodyDiv w:val="1"/>
      <w:marLeft w:val="0"/>
      <w:marRight w:val="0"/>
      <w:marTop w:val="0"/>
      <w:marBottom w:val="0"/>
      <w:divBdr>
        <w:top w:val="none" w:sz="0" w:space="0" w:color="auto"/>
        <w:left w:val="none" w:sz="0" w:space="0" w:color="auto"/>
        <w:bottom w:val="none" w:sz="0" w:space="0" w:color="auto"/>
        <w:right w:val="none" w:sz="0" w:space="0" w:color="auto"/>
      </w:divBdr>
    </w:div>
    <w:div w:id="1297375660">
      <w:bodyDiv w:val="1"/>
      <w:marLeft w:val="0"/>
      <w:marRight w:val="0"/>
      <w:marTop w:val="0"/>
      <w:marBottom w:val="0"/>
      <w:divBdr>
        <w:top w:val="none" w:sz="0" w:space="0" w:color="auto"/>
        <w:left w:val="none" w:sz="0" w:space="0" w:color="auto"/>
        <w:bottom w:val="none" w:sz="0" w:space="0" w:color="auto"/>
        <w:right w:val="none" w:sz="0" w:space="0" w:color="auto"/>
      </w:divBdr>
    </w:div>
    <w:div w:id="1364942763">
      <w:bodyDiv w:val="1"/>
      <w:marLeft w:val="0"/>
      <w:marRight w:val="0"/>
      <w:marTop w:val="0"/>
      <w:marBottom w:val="0"/>
      <w:divBdr>
        <w:top w:val="none" w:sz="0" w:space="0" w:color="auto"/>
        <w:left w:val="none" w:sz="0" w:space="0" w:color="auto"/>
        <w:bottom w:val="none" w:sz="0" w:space="0" w:color="auto"/>
        <w:right w:val="none" w:sz="0" w:space="0" w:color="auto"/>
      </w:divBdr>
    </w:div>
    <w:div w:id="1506900722">
      <w:bodyDiv w:val="1"/>
      <w:marLeft w:val="0"/>
      <w:marRight w:val="0"/>
      <w:marTop w:val="0"/>
      <w:marBottom w:val="0"/>
      <w:divBdr>
        <w:top w:val="none" w:sz="0" w:space="0" w:color="auto"/>
        <w:left w:val="none" w:sz="0" w:space="0" w:color="auto"/>
        <w:bottom w:val="none" w:sz="0" w:space="0" w:color="auto"/>
        <w:right w:val="none" w:sz="0" w:space="0" w:color="auto"/>
      </w:divBdr>
    </w:div>
    <w:div w:id="1544056451">
      <w:bodyDiv w:val="1"/>
      <w:marLeft w:val="0"/>
      <w:marRight w:val="0"/>
      <w:marTop w:val="0"/>
      <w:marBottom w:val="0"/>
      <w:divBdr>
        <w:top w:val="none" w:sz="0" w:space="0" w:color="auto"/>
        <w:left w:val="none" w:sz="0" w:space="0" w:color="auto"/>
        <w:bottom w:val="none" w:sz="0" w:space="0" w:color="auto"/>
        <w:right w:val="none" w:sz="0" w:space="0" w:color="auto"/>
      </w:divBdr>
    </w:div>
    <w:div w:id="1561791439">
      <w:bodyDiv w:val="1"/>
      <w:marLeft w:val="0"/>
      <w:marRight w:val="0"/>
      <w:marTop w:val="0"/>
      <w:marBottom w:val="0"/>
      <w:divBdr>
        <w:top w:val="none" w:sz="0" w:space="0" w:color="auto"/>
        <w:left w:val="none" w:sz="0" w:space="0" w:color="auto"/>
        <w:bottom w:val="none" w:sz="0" w:space="0" w:color="auto"/>
        <w:right w:val="none" w:sz="0" w:space="0" w:color="auto"/>
      </w:divBdr>
    </w:div>
    <w:div w:id="1677001127">
      <w:bodyDiv w:val="1"/>
      <w:marLeft w:val="0"/>
      <w:marRight w:val="0"/>
      <w:marTop w:val="0"/>
      <w:marBottom w:val="0"/>
      <w:divBdr>
        <w:top w:val="none" w:sz="0" w:space="0" w:color="auto"/>
        <w:left w:val="none" w:sz="0" w:space="0" w:color="auto"/>
        <w:bottom w:val="none" w:sz="0" w:space="0" w:color="auto"/>
        <w:right w:val="none" w:sz="0" w:space="0" w:color="auto"/>
      </w:divBdr>
    </w:div>
    <w:div w:id="2036075304">
      <w:bodyDiv w:val="1"/>
      <w:marLeft w:val="0"/>
      <w:marRight w:val="0"/>
      <w:marTop w:val="0"/>
      <w:marBottom w:val="0"/>
      <w:divBdr>
        <w:top w:val="none" w:sz="0" w:space="0" w:color="auto"/>
        <w:left w:val="none" w:sz="0" w:space="0" w:color="auto"/>
        <w:bottom w:val="none" w:sz="0" w:space="0" w:color="auto"/>
        <w:right w:val="none" w:sz="0" w:space="0" w:color="auto"/>
      </w:divBdr>
    </w:div>
    <w:div w:id="204479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68C5F-CE28-4E6E-928D-32B3A02E6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3040</Words>
  <Characters>17330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AUSTRAC</Company>
  <LinksUpToDate>false</LinksUpToDate>
  <CharactersWithSpaces>20330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pjohns</dc:creator>
  <cp:lastModifiedBy>Hugh Dixon</cp:lastModifiedBy>
  <cp:revision>2</cp:revision>
  <cp:lastPrinted>2021-06-15T03:26:00Z</cp:lastPrinted>
  <dcterms:created xsi:type="dcterms:W3CDTF">2022-06-10T02:07:00Z</dcterms:created>
  <dcterms:modified xsi:type="dcterms:W3CDTF">2022-06-10T02:07:00Z</dcterms:modified>
</cp:coreProperties>
</file>