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936AF" w14:textId="77777777" w:rsidR="00FB640B" w:rsidRPr="008B24C8" w:rsidRDefault="0057002B" w:rsidP="00BB0CF2">
      <w:pPr>
        <w:pStyle w:val="ESTitleHeader"/>
      </w:pPr>
      <w:bookmarkStart w:id="0" w:name="_GoBack"/>
      <w:bookmarkEnd w:id="0"/>
      <w:r w:rsidRPr="008B24C8">
        <w:t>EXPLANATORY STATEMENT</w:t>
      </w:r>
    </w:p>
    <w:p w14:paraId="6A639E61" w14:textId="46FB83E2" w:rsidR="0057002B" w:rsidRPr="008B24C8" w:rsidRDefault="0057002B" w:rsidP="00BB0CF2">
      <w:pPr>
        <w:pStyle w:val="ESTitleDecisionMaker"/>
      </w:pPr>
      <w:r w:rsidRPr="008B24C8">
        <w:t>Issued by authority of the</w:t>
      </w:r>
      <w:r w:rsidR="00987278">
        <w:t xml:space="preserve"> </w:t>
      </w:r>
      <w:r w:rsidR="00987278" w:rsidRPr="00987278">
        <w:t>Minister for Immigration, Citizenship and Multicultural Affairs</w:t>
      </w:r>
    </w:p>
    <w:p w14:paraId="0ABFE208" w14:textId="77777777" w:rsidR="0057002B" w:rsidRPr="008B24C8" w:rsidRDefault="00987278" w:rsidP="00BB0CF2">
      <w:pPr>
        <w:pStyle w:val="ESTitleEnablingLegislation"/>
      </w:pPr>
      <w:r w:rsidRPr="00987278">
        <w:t>Migration Regulations 1994</w:t>
      </w:r>
    </w:p>
    <w:p w14:paraId="7E4F0ADE" w14:textId="14485DB8" w:rsidR="0057002B" w:rsidRPr="008B24C8" w:rsidRDefault="00987278" w:rsidP="00BB0CF2">
      <w:pPr>
        <w:pStyle w:val="ESTitleInstrumentName"/>
      </w:pPr>
      <w:bookmarkStart w:id="1" w:name="Title"/>
      <w:r>
        <w:t>Migration (Arrangements for</w:t>
      </w:r>
      <w:r w:rsidRPr="008C63B5">
        <w:t xml:space="preserve"> </w:t>
      </w:r>
      <w:r>
        <w:t>visa</w:t>
      </w:r>
      <w:r w:rsidR="004E4565">
        <w:t xml:space="preserve"> application</w:t>
      </w:r>
      <w:r>
        <w:t xml:space="preserve">s) </w:t>
      </w:r>
      <w:r w:rsidR="007F1AB3">
        <w:t xml:space="preserve">Amendment </w:t>
      </w:r>
      <w:r>
        <w:t>Instrument (LIN 22/059) 2022</w:t>
      </w:r>
      <w:bookmarkEnd w:id="1"/>
    </w:p>
    <w:p w14:paraId="3960EF2B" w14:textId="77777777" w:rsidR="0057002B" w:rsidRPr="008B24C8" w:rsidRDefault="0057002B" w:rsidP="002D167E">
      <w:pPr>
        <w:pStyle w:val="ESPara"/>
      </w:pPr>
      <w:r w:rsidRPr="008B24C8">
        <w:t>The inst</w:t>
      </w:r>
      <w:r w:rsidR="00987278">
        <w:t xml:space="preserve">rument, Departmental reference </w:t>
      </w:r>
      <w:bookmarkStart w:id="2" w:name="LIN"/>
      <w:r w:rsidR="00987278">
        <w:t>LIN 22/059</w:t>
      </w:r>
      <w:bookmarkEnd w:id="2"/>
      <w:r w:rsidRPr="008B24C8">
        <w:t xml:space="preserve">, is made under </w:t>
      </w:r>
      <w:r w:rsidR="001468CE">
        <w:t>subregulation 2.07(5)</w:t>
      </w:r>
      <w:r w:rsidRPr="008B24C8">
        <w:t xml:space="preserve"> of the </w:t>
      </w:r>
      <w:r w:rsidR="001468CE" w:rsidRPr="001446CE">
        <w:rPr>
          <w:i/>
        </w:rPr>
        <w:t>Migration Regulations 1994</w:t>
      </w:r>
      <w:r w:rsidR="001468CE">
        <w:t xml:space="preserve"> (the </w:t>
      </w:r>
      <w:r w:rsidRPr="008B24C8">
        <w:t xml:space="preserve">Regulations).  </w:t>
      </w:r>
    </w:p>
    <w:p w14:paraId="56C41CA9" w14:textId="400E947E" w:rsidR="00EA12C9" w:rsidRPr="008B24C8" w:rsidRDefault="00EA12C9" w:rsidP="002D167E">
      <w:pPr>
        <w:pStyle w:val="ESPara"/>
      </w:pPr>
      <w:r w:rsidRPr="008B24C8">
        <w:t>The instrument</w:t>
      </w:r>
      <w:r w:rsidR="008137E8">
        <w:t xml:space="preserve"> amends</w:t>
      </w:r>
      <w:r w:rsidR="00B75478">
        <w:t xml:space="preserve"> </w:t>
      </w:r>
      <w:r w:rsidR="008137E8" w:rsidRPr="00BB240E">
        <w:rPr>
          <w:i/>
        </w:rPr>
        <w:t>Migration (IMMI 18/076: Arrangements for Other Family Visa Applications and New Zealand (Family Relationship) Visa Applications) Instrument 2018</w:t>
      </w:r>
      <w:r w:rsidR="008137E8">
        <w:t xml:space="preserve"> (</w:t>
      </w:r>
      <w:r w:rsidR="008137E8" w:rsidRPr="00BB240E">
        <w:t>F2018L00772</w:t>
      </w:r>
      <w:r w:rsidR="008137E8">
        <w:t xml:space="preserve">) (IMMI 18/076) and </w:t>
      </w:r>
      <w:r w:rsidR="008137E8" w:rsidRPr="00BB240E">
        <w:rPr>
          <w:i/>
        </w:rPr>
        <w:t>Migration (IMMI 18/089: Arrangements for Other Visas) Instrument 2018</w:t>
      </w:r>
      <w:r w:rsidR="008137E8" w:rsidRPr="00BB240E">
        <w:t xml:space="preserve"> </w:t>
      </w:r>
      <w:r w:rsidR="008137E8">
        <w:t>(</w:t>
      </w:r>
      <w:r w:rsidR="008137E8" w:rsidRPr="00BB240E">
        <w:t>F2018L00940</w:t>
      </w:r>
      <w:r w:rsidR="008137E8">
        <w:t xml:space="preserve">) (IMMI 18/089) </w:t>
      </w:r>
      <w:r w:rsidRPr="008B24C8">
        <w:t xml:space="preserve">in accordance with subsection 33(3) of the </w:t>
      </w:r>
      <w:r w:rsidRPr="008B24C8">
        <w:rPr>
          <w:i/>
        </w:rPr>
        <w:t>Acts Interpretation Act 1901</w:t>
      </w:r>
      <w:r w:rsidRPr="008B24C8">
        <w:t xml:space="preserve">.  That subsection provides that </w:t>
      </w:r>
      <w:r w:rsidR="00100DFC">
        <w:t>a power to make a legislative instrument includes a power to amend or repeal that instrument in the same manner, and subject to the same conditions, as the power to make the instrument</w:t>
      </w:r>
      <w:r w:rsidR="00BD598E" w:rsidRPr="008B24C8">
        <w:t xml:space="preserve">.  </w:t>
      </w:r>
      <w:r w:rsidR="008137E8" w:rsidRPr="00875E85">
        <w:t xml:space="preserve">This means that </w:t>
      </w:r>
      <w:r w:rsidR="008137E8">
        <w:t>subregulation 2.07(5)</w:t>
      </w:r>
      <w:r w:rsidR="008137E8" w:rsidRPr="00875E85">
        <w:t xml:space="preserve"> of the Regulations also include a power to amend or repeal an instrument made under that provision.</w:t>
      </w:r>
    </w:p>
    <w:p w14:paraId="3C8C69A5" w14:textId="2A07D947" w:rsidR="00BD598E" w:rsidRPr="008B24C8" w:rsidRDefault="00AA4557" w:rsidP="002D167E">
      <w:pPr>
        <w:pStyle w:val="ESPara"/>
      </w:pPr>
      <w:r>
        <w:t xml:space="preserve">The instrument commences </w:t>
      </w:r>
      <w:r w:rsidR="008137E8">
        <w:t>on 10 June 2022</w:t>
      </w:r>
      <w:r>
        <w:t>, and i</w:t>
      </w:r>
      <w:r w:rsidR="00BD598E" w:rsidRPr="008B24C8">
        <w:t xml:space="preserve">s a </w:t>
      </w:r>
      <w:r>
        <w:t>legislative</w:t>
      </w:r>
      <w:r w:rsidR="00BD598E" w:rsidRPr="008B24C8">
        <w:t xml:space="preserve"> instrument for </w:t>
      </w:r>
      <w:r w:rsidR="00B75478">
        <w:t xml:space="preserve">the </w:t>
      </w:r>
      <w:r w:rsidR="005035E1">
        <w:rPr>
          <w:i/>
        </w:rPr>
        <w:t>Legislation Act </w:t>
      </w:r>
      <w:r w:rsidR="00100DFC">
        <w:rPr>
          <w:i/>
        </w:rPr>
        <w:t>2003</w:t>
      </w:r>
      <w:r w:rsidR="00100DFC">
        <w:t xml:space="preserve"> (the Legislation Act)</w:t>
      </w:r>
      <w:r w:rsidR="00BD598E" w:rsidRPr="008B24C8">
        <w:t xml:space="preserve">.  </w:t>
      </w:r>
    </w:p>
    <w:p w14:paraId="71BDA825" w14:textId="77777777" w:rsidR="00EA12C9" w:rsidRPr="00987278" w:rsidRDefault="00BD598E" w:rsidP="00100DFC">
      <w:pPr>
        <w:pStyle w:val="ESHeading"/>
      </w:pPr>
      <w:r w:rsidRPr="008B24C8">
        <w:t>Purpos</w:t>
      </w:r>
      <w:r w:rsidRPr="00987278">
        <w:t>e</w:t>
      </w:r>
      <w:r w:rsidR="00BB0CF2" w:rsidRPr="00987278">
        <w:t xml:space="preserve"> </w:t>
      </w:r>
    </w:p>
    <w:p w14:paraId="3F40241D" w14:textId="55DD8B1C" w:rsidR="00F31DB6" w:rsidRPr="00B75478" w:rsidRDefault="00F31DB6" w:rsidP="00F31DB6">
      <w:pPr>
        <w:pStyle w:val="ESPara"/>
      </w:pPr>
      <w:r>
        <w:t>Items 1111 and 1214BA of Schedule 1 to the Regulations pre</w:t>
      </w:r>
      <w:r w:rsidR="0097198A">
        <w:t xml:space="preserve">scribe the requirements that an </w:t>
      </w:r>
      <w:r>
        <w:t xml:space="preserve">applicant for </w:t>
      </w:r>
      <w:r w:rsidR="0097198A">
        <w:t xml:space="preserve">a </w:t>
      </w:r>
      <w:r w:rsidRPr="00BB0DE1">
        <w:t>Confirmatory (Residence) (Class AK)</w:t>
      </w:r>
      <w:r>
        <w:t xml:space="preserve"> visa (</w:t>
      </w:r>
      <w:r w:rsidR="00E46B8F">
        <w:t>C</w:t>
      </w:r>
      <w:r>
        <w:t xml:space="preserve">lass AK visa) </w:t>
      </w:r>
      <w:r w:rsidR="0097198A">
        <w:t xml:space="preserve">or a </w:t>
      </w:r>
      <w:r w:rsidRPr="008A5D5A">
        <w:t>New Zealand</w:t>
      </w:r>
      <w:r w:rsidR="000964EE">
        <w:t xml:space="preserve"> Citizen</w:t>
      </w:r>
      <w:r w:rsidRPr="008A5D5A">
        <w:t xml:space="preserve"> (Family Relationship) (Temporary) (Class UP) </w:t>
      </w:r>
      <w:r>
        <w:t>visa (</w:t>
      </w:r>
      <w:r w:rsidRPr="008A5D5A">
        <w:t>Class UP</w:t>
      </w:r>
      <w:r>
        <w:t xml:space="preserve"> visa) </w:t>
      </w:r>
      <w:r w:rsidR="0097198A">
        <w:t xml:space="preserve">must meet to make a </w:t>
      </w:r>
      <w:r>
        <w:t xml:space="preserve">valid visa application, respectively. </w:t>
      </w:r>
      <w:r w:rsidR="00730696">
        <w:t xml:space="preserve"> </w:t>
      </w:r>
      <w:r>
        <w:t xml:space="preserve">These requirements include that the application </w:t>
      </w:r>
      <w:r w:rsidR="00593CC7">
        <w:t xml:space="preserve">for a Class AK visa or a </w:t>
      </w:r>
      <w:r w:rsidR="00593CC7" w:rsidRPr="008A5D5A">
        <w:t>Class UP</w:t>
      </w:r>
      <w:r w:rsidR="00593CC7">
        <w:t xml:space="preserve"> visa </w:t>
      </w:r>
      <w:r>
        <w:t xml:space="preserve">must be made </w:t>
      </w:r>
      <w:r w:rsidR="000964EE">
        <w:t>using</w:t>
      </w:r>
      <w:r>
        <w:t xml:space="preserve"> the approved form, </w:t>
      </w:r>
      <w:r w:rsidR="000964EE">
        <w:t xml:space="preserve">at the </w:t>
      </w:r>
      <w:r>
        <w:t xml:space="preserve">place and </w:t>
      </w:r>
      <w:r w:rsidR="000964EE">
        <w:t xml:space="preserve">in the </w:t>
      </w:r>
      <w:r>
        <w:t>manner specified in a legislative instrument made under subregulation 2.07(5) of the Regulations.</w:t>
      </w:r>
      <w:r w:rsidR="0097198A">
        <w:t xml:space="preserve"> </w:t>
      </w:r>
    </w:p>
    <w:p w14:paraId="17E88A7F" w14:textId="6A839197" w:rsidR="00B75478" w:rsidRDefault="00554A2B" w:rsidP="00554A2B">
      <w:pPr>
        <w:pStyle w:val="ESPara"/>
      </w:pPr>
      <w:r w:rsidRPr="00554A2B">
        <w:t xml:space="preserve">The purpose of the instrument is to </w:t>
      </w:r>
      <w:r w:rsidR="00E85F2F">
        <w:t>amend</w:t>
      </w:r>
      <w:r w:rsidR="00E85F2F" w:rsidRPr="00E85F2F">
        <w:t xml:space="preserve"> </w:t>
      </w:r>
      <w:r w:rsidR="00E85F2F">
        <w:t xml:space="preserve">IMMI 18/076 and IMMI 18/089 to </w:t>
      </w:r>
      <w:r w:rsidR="0031263A">
        <w:t>update</w:t>
      </w:r>
      <w:r w:rsidRPr="00554A2B">
        <w:t xml:space="preserve"> </w:t>
      </w:r>
      <w:r w:rsidR="00E46B8F" w:rsidRPr="00BB0DE1">
        <w:t>the approved form, place and manner (the arrangements)</w:t>
      </w:r>
      <w:r w:rsidR="00E46B8F">
        <w:t xml:space="preserve"> for making a</w:t>
      </w:r>
      <w:r w:rsidR="00193173">
        <w:t>n application for a</w:t>
      </w:r>
      <w:r w:rsidR="00193173" w:rsidRPr="00193173">
        <w:t xml:space="preserve"> </w:t>
      </w:r>
      <w:r w:rsidR="00193173">
        <w:t xml:space="preserve">Class AK visa or a </w:t>
      </w:r>
      <w:r w:rsidR="00193173" w:rsidRPr="008A5D5A">
        <w:t>Class UP</w:t>
      </w:r>
      <w:r w:rsidR="00193173">
        <w:t xml:space="preserve"> visa</w:t>
      </w:r>
      <w:r w:rsidR="00E85F2F">
        <w:t>.</w:t>
      </w:r>
    </w:p>
    <w:p w14:paraId="649AEE8E" w14:textId="67668822" w:rsidR="005F30F5" w:rsidRDefault="00E85F2F" w:rsidP="001C3FD7">
      <w:pPr>
        <w:pStyle w:val="ESPara"/>
      </w:pPr>
      <w:r>
        <w:t>T</w:t>
      </w:r>
      <w:r w:rsidR="00E52C35">
        <w:t>he instrument</w:t>
      </w:r>
      <w:r w:rsidR="00A858C2">
        <w:t xml:space="preserve"> remove</w:t>
      </w:r>
      <w:r>
        <w:t>s</w:t>
      </w:r>
      <w:r w:rsidR="00FC2FE2">
        <w:t xml:space="preserve"> option</w:t>
      </w:r>
      <w:r w:rsidR="00A858C2">
        <w:t>s</w:t>
      </w:r>
      <w:r w:rsidR="00A858C2" w:rsidRPr="00A858C2">
        <w:t xml:space="preserve"> </w:t>
      </w:r>
      <w:r w:rsidR="007E6BB0">
        <w:t>for applicants to make</w:t>
      </w:r>
      <w:r w:rsidR="00A858C2" w:rsidRPr="00A858C2">
        <w:t xml:space="preserve"> an application for a Class AK visa or a Class UP visa by courier se</w:t>
      </w:r>
      <w:r w:rsidR="00A858C2">
        <w:t xml:space="preserve">rvice delivery to </w:t>
      </w:r>
      <w:r w:rsidR="00E52C35">
        <w:t>the office of the Department of Home Affairs</w:t>
      </w:r>
      <w:r w:rsidR="00E52C35" w:rsidRPr="00A858C2">
        <w:t xml:space="preserve"> </w:t>
      </w:r>
      <w:r w:rsidR="00E52C35">
        <w:t>(the Department) located at 26 </w:t>
      </w:r>
      <w:r w:rsidR="00A858C2">
        <w:t>Lee Street in Sydney</w:t>
      </w:r>
      <w:r w:rsidR="008D00CB">
        <w:t>, New South Wales</w:t>
      </w:r>
      <w:r w:rsidR="007E6BB0">
        <w:t>.  A</w:t>
      </w:r>
      <w:r w:rsidR="00E52C35">
        <w:t xml:space="preserve">s the Department </w:t>
      </w:r>
      <w:r w:rsidR="001B12BA">
        <w:t xml:space="preserve">will </w:t>
      </w:r>
      <w:r w:rsidR="003F742B">
        <w:t>cease to</w:t>
      </w:r>
      <w:r w:rsidR="001B12BA">
        <w:t xml:space="preserve"> have a</w:t>
      </w:r>
      <w:r w:rsidR="0097198A">
        <w:t>n office</w:t>
      </w:r>
      <w:r w:rsidR="001B12BA">
        <w:t xml:space="preserve"> at</w:t>
      </w:r>
      <w:r w:rsidR="00E52C35">
        <w:t xml:space="preserve"> 26 Lee Street</w:t>
      </w:r>
      <w:r w:rsidR="007E6BB0">
        <w:t>,</w:t>
      </w:r>
      <w:r w:rsidR="001B12BA" w:rsidRPr="001B12BA">
        <w:t xml:space="preserve"> </w:t>
      </w:r>
      <w:r w:rsidR="001B12BA">
        <w:t>there will</w:t>
      </w:r>
      <w:r w:rsidR="003F742B">
        <w:t xml:space="preserve"> no longer be a designated area or person to receive</w:t>
      </w:r>
      <w:r>
        <w:t xml:space="preserve"> visa</w:t>
      </w:r>
      <w:r w:rsidR="001B12BA">
        <w:t xml:space="preserve"> applications delivered by courier</w:t>
      </w:r>
      <w:r w:rsidR="003F742B">
        <w:t xml:space="preserve"> service</w:t>
      </w:r>
      <w:r w:rsidR="00E52C35">
        <w:t xml:space="preserve"> to that address</w:t>
      </w:r>
      <w:r w:rsidR="001B12BA">
        <w:t>.</w:t>
      </w:r>
      <w:r w:rsidR="00E52C35">
        <w:t xml:space="preserve"> </w:t>
      </w:r>
      <w:r w:rsidR="00F34DC4">
        <w:t xml:space="preserve"> </w:t>
      </w:r>
      <w:r w:rsidR="00062BF2" w:rsidRPr="00062BF2">
        <w:t xml:space="preserve">The instrument does not make changes to </w:t>
      </w:r>
      <w:r w:rsidR="008D00CB">
        <w:t xml:space="preserve">the </w:t>
      </w:r>
      <w:r w:rsidR="00062BF2">
        <w:t xml:space="preserve">arrangements for making </w:t>
      </w:r>
      <w:r w:rsidR="007E56B8">
        <w:t xml:space="preserve">applications for </w:t>
      </w:r>
      <w:r w:rsidR="00062BF2" w:rsidRPr="00062BF2">
        <w:t xml:space="preserve">other </w:t>
      </w:r>
      <w:r w:rsidR="006D1591">
        <w:t xml:space="preserve">classes of </w:t>
      </w:r>
      <w:r w:rsidR="008D00CB">
        <w:t xml:space="preserve">visa </w:t>
      </w:r>
      <w:r w:rsidR="00206B20">
        <w:t>s</w:t>
      </w:r>
      <w:r w:rsidR="00062BF2" w:rsidRPr="00062BF2">
        <w:t xml:space="preserve">pecified in </w:t>
      </w:r>
      <w:r w:rsidR="00062BF2">
        <w:t>IMMI 18/076 and IMMI 18/089</w:t>
      </w:r>
      <w:r w:rsidR="00062BF2" w:rsidRPr="00062BF2">
        <w:t>.</w:t>
      </w:r>
    </w:p>
    <w:p w14:paraId="1165F17E" w14:textId="77777777" w:rsidR="008B24C8" w:rsidRDefault="008B24C8" w:rsidP="00100DFC">
      <w:pPr>
        <w:pStyle w:val="ESHeading"/>
      </w:pPr>
      <w:r w:rsidRPr="008B24C8">
        <w:t>Consultation</w:t>
      </w:r>
    </w:p>
    <w:p w14:paraId="0EEE18E3" w14:textId="71FCA437" w:rsidR="008B24C8" w:rsidRPr="00FC78F3" w:rsidRDefault="008B24C8" w:rsidP="00FC78F3">
      <w:pPr>
        <w:pStyle w:val="ESPara"/>
      </w:pPr>
      <w:r w:rsidRPr="008B24C8">
        <w:t>The Office of Best Practice Regulation (OBPR) was consulted and considered that the instrument dealt with m</w:t>
      </w:r>
      <w:r>
        <w:t xml:space="preserve">atters of a </w:t>
      </w:r>
      <w:r w:rsidR="00C02CA9">
        <w:t>minor or machinery</w:t>
      </w:r>
      <w:r w:rsidRPr="008B24C8">
        <w:t xml:space="preserve"> nat</w:t>
      </w:r>
      <w:r w:rsidRPr="00FC78F3">
        <w:t>ure and no regulatory impact statement was required.  The OBPR reference number</w:t>
      </w:r>
      <w:r w:rsidR="00AA78AE">
        <w:t xml:space="preserve"> i</w:t>
      </w:r>
      <w:r w:rsidR="00FC78F3" w:rsidRPr="00FC78F3">
        <w:t>s OBPR22-02211</w:t>
      </w:r>
      <w:r w:rsidRPr="00FC78F3">
        <w:t>.</w:t>
      </w:r>
    </w:p>
    <w:p w14:paraId="5F3D7316" w14:textId="77777777" w:rsidR="0093701E" w:rsidRDefault="0093701E" w:rsidP="0093701E">
      <w:pPr>
        <w:pStyle w:val="ESPara"/>
      </w:pPr>
      <w:r>
        <w:lastRenderedPageBreak/>
        <w:t>Further e</w:t>
      </w:r>
      <w:r w:rsidRPr="0093701E">
        <w:t>xternal consult</w:t>
      </w:r>
      <w:r>
        <w:t>ation in the development of the</w:t>
      </w:r>
      <w:r w:rsidRPr="0093701E">
        <w:t xml:space="preserve"> instrument was not necessary as the change was of a minor or machinery nature and does not substantially alter </w:t>
      </w:r>
      <w:r>
        <w:t xml:space="preserve">the </w:t>
      </w:r>
      <w:r w:rsidRPr="0093701E">
        <w:t xml:space="preserve">existing arrangements prescribed by the </w:t>
      </w:r>
      <w:r>
        <w:t>amended</w:t>
      </w:r>
      <w:r w:rsidRPr="0093701E">
        <w:t xml:space="preserve"> instrument</w:t>
      </w:r>
      <w:r>
        <w:t>s</w:t>
      </w:r>
      <w:r w:rsidRPr="0093701E">
        <w:t xml:space="preserve">, </w:t>
      </w:r>
      <w:r>
        <w:t>IMMI 18/076 and IMMI 18/089</w:t>
      </w:r>
      <w:r w:rsidRPr="0093701E">
        <w:t>.</w:t>
      </w:r>
    </w:p>
    <w:p w14:paraId="5374FCCA" w14:textId="77777777" w:rsidR="00AA4557" w:rsidRDefault="00464080" w:rsidP="00100DFC">
      <w:pPr>
        <w:pStyle w:val="ESHeading"/>
      </w:pPr>
      <w:r>
        <w:t>Details</w:t>
      </w:r>
      <w:r w:rsidR="00AA4557">
        <w:t xml:space="preserve"> of the instrument</w:t>
      </w:r>
    </w:p>
    <w:p w14:paraId="4A12BD81" w14:textId="77777777" w:rsidR="00AA4557" w:rsidRDefault="00AA4557" w:rsidP="002D167E">
      <w:pPr>
        <w:pStyle w:val="ESPara"/>
      </w:pPr>
      <w:r>
        <w:t>Section 1 sets out</w:t>
      </w:r>
      <w:r w:rsidR="00E03DCC">
        <w:t xml:space="preserve"> the name of the instrument. </w:t>
      </w:r>
    </w:p>
    <w:p w14:paraId="4BFCDBD3" w14:textId="77777777" w:rsidR="00AA4557" w:rsidRDefault="00AA4557" w:rsidP="002D167E">
      <w:pPr>
        <w:pStyle w:val="ESPara"/>
      </w:pPr>
      <w:r>
        <w:t xml:space="preserve">Section 2 provides for the commencement of the instrument on </w:t>
      </w:r>
      <w:r w:rsidR="004518E6">
        <w:t>10 June 2022</w:t>
      </w:r>
      <w:r>
        <w:t>.</w:t>
      </w:r>
      <w:r w:rsidR="004518E6">
        <w:t xml:space="preserve">  </w:t>
      </w:r>
    </w:p>
    <w:p w14:paraId="1D8EDADA" w14:textId="5F8A32CD" w:rsidR="005A212E" w:rsidRDefault="00DF0546" w:rsidP="00AA4F77">
      <w:pPr>
        <w:pStyle w:val="ESPara"/>
      </w:pPr>
      <w:r>
        <w:t>Section 3</w:t>
      </w:r>
      <w:r w:rsidR="005A212E">
        <w:t xml:space="preserve"> provides that </w:t>
      </w:r>
      <w:r w:rsidR="007A7194">
        <w:t>the instrument</w:t>
      </w:r>
      <w:r w:rsidR="00F34DC4">
        <w:t xml:space="preserve"> amend</w:t>
      </w:r>
      <w:r w:rsidR="007A7194">
        <w:t>s</w:t>
      </w:r>
      <w:r w:rsidR="00F34DC4">
        <w:t xml:space="preserve"> IMMI 18/076 and IMMI 18/089.</w:t>
      </w:r>
    </w:p>
    <w:p w14:paraId="7848A7D0" w14:textId="142ACB8C" w:rsidR="00AE17E1" w:rsidRDefault="00AE17E1" w:rsidP="00730696">
      <w:pPr>
        <w:pStyle w:val="ESPara"/>
      </w:pPr>
      <w:r>
        <w:t>Item</w:t>
      </w:r>
      <w:r w:rsidR="00221B79">
        <w:t>s</w:t>
      </w:r>
      <w:r>
        <w:t xml:space="preserve"> 1 of </w:t>
      </w:r>
      <w:r w:rsidR="00C136CB">
        <w:t>Schedule</w:t>
      </w:r>
      <w:r>
        <w:t xml:space="preserve"> 1</w:t>
      </w:r>
      <w:r w:rsidR="005E5DAA">
        <w:t xml:space="preserve"> </w:t>
      </w:r>
      <w:r w:rsidR="00221B79">
        <w:t xml:space="preserve">and </w:t>
      </w:r>
      <w:r w:rsidR="005E5DAA">
        <w:t>Schedule 2 to the instrument amend</w:t>
      </w:r>
      <w:r>
        <w:t xml:space="preserve"> the table</w:t>
      </w:r>
      <w:r w:rsidR="005E5DAA">
        <w:t>s</w:t>
      </w:r>
      <w:r>
        <w:t xml:space="preserve"> in Schedule 3 to IMMI 18/076</w:t>
      </w:r>
      <w:r w:rsidR="005E5DAA">
        <w:t xml:space="preserve"> and</w:t>
      </w:r>
      <w:r w:rsidR="005E5DAA" w:rsidRPr="005E5DAA">
        <w:t xml:space="preserve"> </w:t>
      </w:r>
      <w:r w:rsidR="00221B79">
        <w:t xml:space="preserve">in </w:t>
      </w:r>
      <w:r w:rsidR="005E5DAA">
        <w:t>Schedule 1 to IMMI 18/089, respectively.  These amendments</w:t>
      </w:r>
      <w:r>
        <w:t xml:space="preserve"> rem</w:t>
      </w:r>
      <w:r w:rsidR="005E5DAA">
        <w:t>ove</w:t>
      </w:r>
      <w:r>
        <w:t xml:space="preserve"> </w:t>
      </w:r>
      <w:r w:rsidR="005E5DAA">
        <w:t>options</w:t>
      </w:r>
      <w:r>
        <w:t xml:space="preserve"> of making an application for a </w:t>
      </w:r>
      <w:r w:rsidRPr="008A5D5A">
        <w:t>Class UP</w:t>
      </w:r>
      <w:r>
        <w:t xml:space="preserve"> visa </w:t>
      </w:r>
      <w:r w:rsidR="005E5DAA">
        <w:t xml:space="preserve">or a Class AK visa </w:t>
      </w:r>
      <w:r>
        <w:t>by</w:t>
      </w:r>
      <w:r w:rsidRPr="00730696">
        <w:t xml:space="preserve"> courier service delivery</w:t>
      </w:r>
      <w:r>
        <w:t xml:space="preserve"> </w:t>
      </w:r>
      <w:r w:rsidRPr="00730696">
        <w:t>to</w:t>
      </w:r>
      <w:r>
        <w:t xml:space="preserve"> the Department’s office located at </w:t>
      </w:r>
      <w:r w:rsidRPr="00730696">
        <w:t>26 Lee Street</w:t>
      </w:r>
      <w:r>
        <w:t xml:space="preserve"> in Sydney.</w:t>
      </w:r>
    </w:p>
    <w:p w14:paraId="49634D45" w14:textId="77777777" w:rsidR="00AA4557" w:rsidRPr="00AA4557" w:rsidRDefault="00AA4557" w:rsidP="00100DFC">
      <w:pPr>
        <w:pStyle w:val="ESHeading"/>
      </w:pPr>
      <w:r>
        <w:t xml:space="preserve">Parliamentary scrutiny etc.  </w:t>
      </w:r>
    </w:p>
    <w:p w14:paraId="019819F3" w14:textId="77777777" w:rsidR="00E03DCC" w:rsidRPr="00464080" w:rsidRDefault="009517E6" w:rsidP="002D167E">
      <w:pPr>
        <w:pStyle w:val="ESPara"/>
      </w:pPr>
      <w:r>
        <w:t xml:space="preserve">The instrument is exempt from disallowance under section 42 of the Legislation Act.  </w:t>
      </w:r>
      <w:r w:rsidRPr="00005F0C">
        <w:t>This is because it is an instrument made under</w:t>
      </w:r>
      <w:r w:rsidRPr="001919D7">
        <w:t xml:space="preserve"> </w:t>
      </w:r>
      <w:r>
        <w:t>subregulation 2.07(5)</w:t>
      </w:r>
      <w:r w:rsidRPr="009C339B">
        <w:t xml:space="preserve"> of </w:t>
      </w:r>
      <w:r w:rsidRPr="00005F0C">
        <w:t xml:space="preserve">the Regulations, which is exempt from disallowance under paragraph (b) of item 20 in section 10 of the </w:t>
      </w:r>
      <w:r w:rsidRPr="00005F0C">
        <w:rPr>
          <w:i/>
          <w:iCs/>
        </w:rPr>
        <w:t>Legislation (Exemptions and Other Matters) Regulation 2015</w:t>
      </w:r>
      <w:r w:rsidRPr="00005F0C">
        <w:t>.</w:t>
      </w:r>
      <w:r w:rsidR="00E03DCC" w:rsidRPr="00464080">
        <w:t xml:space="preserve">  </w:t>
      </w:r>
    </w:p>
    <w:p w14:paraId="2A39D25C" w14:textId="77777777" w:rsidR="00F6005A" w:rsidRDefault="00F6005A" w:rsidP="00F6005A">
      <w:pPr>
        <w:pStyle w:val="ESPara"/>
      </w:pPr>
      <w:r>
        <w:t>The instrument is appropriate to be exempt from disallowance as it concerns matters of an administrative nature.  Updating legislative instruments that specify administrative matters allows for consistent internal management of the migration policy framework in accordance with Departmental resources and arrangements.</w:t>
      </w:r>
    </w:p>
    <w:p w14:paraId="43283680" w14:textId="77777777" w:rsidR="00B75478" w:rsidRDefault="009517E6" w:rsidP="002D167E">
      <w:pPr>
        <w:pStyle w:val="ESPara"/>
      </w:pPr>
      <w:r w:rsidRPr="00B75478">
        <w:t xml:space="preserve">The </w:t>
      </w:r>
      <w:r>
        <w:t>instrument was made by a delegate of the Minister, in accordance with subregulation 2.07(5) of the Regulations.</w:t>
      </w:r>
    </w:p>
    <w:p w14:paraId="78BFA151" w14:textId="77777777" w:rsidR="007E4691" w:rsidRDefault="007E4691" w:rsidP="00915032">
      <w:pPr>
        <w:rPr>
          <w:rFonts w:ascii="Times New Roman" w:hAnsi="Times New Roman" w:cs="Times New Roman"/>
        </w:rPr>
      </w:pPr>
    </w:p>
    <w:sectPr w:rsidR="007E4691" w:rsidSect="004F5CE4">
      <w:footerReference w:type="default" r:id="rId7"/>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D1544" w14:textId="77777777" w:rsidR="00987278" w:rsidRDefault="00987278" w:rsidP="00987278">
      <w:pPr>
        <w:spacing w:after="0" w:line="240" w:lineRule="auto"/>
      </w:pPr>
      <w:r>
        <w:separator/>
      </w:r>
    </w:p>
  </w:endnote>
  <w:endnote w:type="continuationSeparator" w:id="0">
    <w:p w14:paraId="4A11397A" w14:textId="77777777" w:rsidR="00987278" w:rsidRDefault="00987278" w:rsidP="009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A35D5" w14:textId="112A0816" w:rsidR="00987278" w:rsidRPr="00803B46" w:rsidRDefault="005E5DAA" w:rsidP="00987278">
    <w:pPr>
      <w:pStyle w:val="LDFooter"/>
      <w:rPr>
        <w:i/>
      </w:rPr>
    </w:pPr>
    <w:r w:rsidRPr="005E5DAA">
      <w:rPr>
        <w:i/>
      </w:rPr>
      <w:t>Migration (Arrangements for visa applications) Amendment Instrument (LIN 22/059) 2022</w:t>
    </w:r>
  </w:p>
  <w:p w14:paraId="11E01AAD" w14:textId="0DF6F2A5" w:rsidR="00987278" w:rsidRDefault="005E5DAA" w:rsidP="00987278">
    <w:pPr>
      <w:pStyle w:val="LDFooter"/>
      <w:tabs>
        <w:tab w:val="right" w:pos="9639"/>
      </w:tabs>
    </w:pPr>
    <w:r>
      <w:t>LIN 22/059</w:t>
    </w:r>
    <w:r w:rsidR="00987278">
      <w:tab/>
    </w:r>
    <w:r w:rsidR="00987278">
      <w:fldChar w:fldCharType="begin"/>
    </w:r>
    <w:r w:rsidR="00987278">
      <w:instrText xml:space="preserve"> PAGE  \* Arabic  \* MERGEFORMAT </w:instrText>
    </w:r>
    <w:r w:rsidR="00987278">
      <w:fldChar w:fldCharType="separate"/>
    </w:r>
    <w:r w:rsidR="00F77062">
      <w:rPr>
        <w:noProof/>
      </w:rPr>
      <w:t>1</w:t>
    </w:r>
    <w:r w:rsidR="0098727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20613" w14:textId="77777777" w:rsidR="00987278" w:rsidRDefault="00987278" w:rsidP="00987278">
      <w:pPr>
        <w:spacing w:after="0" w:line="240" w:lineRule="auto"/>
      </w:pPr>
      <w:r>
        <w:separator/>
      </w:r>
    </w:p>
  </w:footnote>
  <w:footnote w:type="continuationSeparator" w:id="0">
    <w:p w14:paraId="74E3BF8E" w14:textId="77777777" w:rsidR="00987278" w:rsidRDefault="00987278" w:rsidP="009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35E00"/>
    <w:multiLevelType w:val="hybridMultilevel"/>
    <w:tmpl w:val="FBAC797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CC"/>
    <w:rsid w:val="00062BF2"/>
    <w:rsid w:val="0009518E"/>
    <w:rsid w:val="000964EE"/>
    <w:rsid w:val="000D014F"/>
    <w:rsid w:val="000E203B"/>
    <w:rsid w:val="00100DFC"/>
    <w:rsid w:val="001468CE"/>
    <w:rsid w:val="00181C69"/>
    <w:rsid w:val="00184C32"/>
    <w:rsid w:val="0019164E"/>
    <w:rsid w:val="00193173"/>
    <w:rsid w:val="001B12BA"/>
    <w:rsid w:val="001C3FD7"/>
    <w:rsid w:val="00206B20"/>
    <w:rsid w:val="00221B79"/>
    <w:rsid w:val="002402E0"/>
    <w:rsid w:val="00261AA6"/>
    <w:rsid w:val="002874DE"/>
    <w:rsid w:val="002D167E"/>
    <w:rsid w:val="002E1D5A"/>
    <w:rsid w:val="0031263A"/>
    <w:rsid w:val="003F2C49"/>
    <w:rsid w:val="003F742B"/>
    <w:rsid w:val="00417F60"/>
    <w:rsid w:val="004518E6"/>
    <w:rsid w:val="00457D4A"/>
    <w:rsid w:val="00464080"/>
    <w:rsid w:val="004E4565"/>
    <w:rsid w:val="004F5CE4"/>
    <w:rsid w:val="005035E1"/>
    <w:rsid w:val="00554A2B"/>
    <w:rsid w:val="00560B24"/>
    <w:rsid w:val="0057002B"/>
    <w:rsid w:val="0057593D"/>
    <w:rsid w:val="00593CC7"/>
    <w:rsid w:val="005A212E"/>
    <w:rsid w:val="005A3733"/>
    <w:rsid w:val="005E5896"/>
    <w:rsid w:val="005E5DAA"/>
    <w:rsid w:val="005F30F5"/>
    <w:rsid w:val="00604E06"/>
    <w:rsid w:val="006A17B0"/>
    <w:rsid w:val="006D1591"/>
    <w:rsid w:val="006F5765"/>
    <w:rsid w:val="00730696"/>
    <w:rsid w:val="007A7194"/>
    <w:rsid w:val="007C29C2"/>
    <w:rsid w:val="007C625F"/>
    <w:rsid w:val="007E4691"/>
    <w:rsid w:val="007E56B8"/>
    <w:rsid w:val="007E6BB0"/>
    <w:rsid w:val="007F1AB3"/>
    <w:rsid w:val="00802DFD"/>
    <w:rsid w:val="00803B46"/>
    <w:rsid w:val="008137E8"/>
    <w:rsid w:val="0088407D"/>
    <w:rsid w:val="008B24C8"/>
    <w:rsid w:val="008C16E2"/>
    <w:rsid w:val="008D00CB"/>
    <w:rsid w:val="008E170E"/>
    <w:rsid w:val="00915032"/>
    <w:rsid w:val="0093701E"/>
    <w:rsid w:val="009517E6"/>
    <w:rsid w:val="0097198A"/>
    <w:rsid w:val="00987278"/>
    <w:rsid w:val="009C6874"/>
    <w:rsid w:val="009D4E53"/>
    <w:rsid w:val="00A858C2"/>
    <w:rsid w:val="00AA4557"/>
    <w:rsid w:val="00AA4F77"/>
    <w:rsid w:val="00AA78AE"/>
    <w:rsid w:val="00AC7721"/>
    <w:rsid w:val="00AE17E1"/>
    <w:rsid w:val="00B270B8"/>
    <w:rsid w:val="00B445D9"/>
    <w:rsid w:val="00B65A06"/>
    <w:rsid w:val="00B75478"/>
    <w:rsid w:val="00BB0CF2"/>
    <w:rsid w:val="00BB0DE1"/>
    <w:rsid w:val="00BB1E34"/>
    <w:rsid w:val="00BD598E"/>
    <w:rsid w:val="00BE3E7F"/>
    <w:rsid w:val="00C02CA9"/>
    <w:rsid w:val="00C136CB"/>
    <w:rsid w:val="00C510B8"/>
    <w:rsid w:val="00C81A5E"/>
    <w:rsid w:val="00C81F0B"/>
    <w:rsid w:val="00C930F2"/>
    <w:rsid w:val="00D34108"/>
    <w:rsid w:val="00D40E1E"/>
    <w:rsid w:val="00DC15D9"/>
    <w:rsid w:val="00DF0546"/>
    <w:rsid w:val="00E03DCC"/>
    <w:rsid w:val="00E45FE2"/>
    <w:rsid w:val="00E46B8F"/>
    <w:rsid w:val="00E52C35"/>
    <w:rsid w:val="00E85F2F"/>
    <w:rsid w:val="00E87DF7"/>
    <w:rsid w:val="00EA12C9"/>
    <w:rsid w:val="00F31DB6"/>
    <w:rsid w:val="00F34DC4"/>
    <w:rsid w:val="00F41ECC"/>
    <w:rsid w:val="00F53F66"/>
    <w:rsid w:val="00F6005A"/>
    <w:rsid w:val="00F64786"/>
    <w:rsid w:val="00F77062"/>
    <w:rsid w:val="00F96272"/>
    <w:rsid w:val="00FC2FE2"/>
    <w:rsid w:val="00FC78F3"/>
    <w:rsid w:val="00FE0FEE"/>
    <w:rsid w:val="00FF7E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9628"/>
  <w15:chartTrackingRefBased/>
  <w15:docId w15:val="{2C701668-069C-4289-A355-7240EFFD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paragraph" w:styleId="Header">
    <w:name w:val="header"/>
    <w:basedOn w:val="Normal"/>
    <w:link w:val="HeaderChar"/>
    <w:uiPriority w:val="99"/>
    <w:unhideWhenUsed/>
    <w:rsid w:val="00987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278"/>
  </w:style>
  <w:style w:type="paragraph" w:styleId="Footer">
    <w:name w:val="footer"/>
    <w:basedOn w:val="Normal"/>
    <w:link w:val="FooterChar"/>
    <w:uiPriority w:val="99"/>
    <w:unhideWhenUsed/>
    <w:rsid w:val="00987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278"/>
  </w:style>
  <w:style w:type="paragraph" w:customStyle="1" w:styleId="LDFooter">
    <w:name w:val="LDFooter"/>
    <w:rsid w:val="00987278"/>
    <w:pPr>
      <w:pBdr>
        <w:top w:val="single" w:sz="4" w:space="1" w:color="auto"/>
      </w:pBdr>
      <w:spacing w:after="0" w:line="240" w:lineRule="auto"/>
    </w:pPr>
    <w:rPr>
      <w:rFonts w:ascii="Times New Roman" w:hAnsi="Times New Roman"/>
      <w:sz w:val="18"/>
      <w:szCs w:val="16"/>
    </w:rPr>
  </w:style>
  <w:style w:type="paragraph" w:customStyle="1" w:styleId="Default">
    <w:name w:val="Default"/>
    <w:rsid w:val="00DF054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54A2B"/>
    <w:rPr>
      <w:sz w:val="16"/>
      <w:szCs w:val="16"/>
    </w:rPr>
  </w:style>
  <w:style w:type="paragraph" w:styleId="CommentText">
    <w:name w:val="annotation text"/>
    <w:basedOn w:val="Normal"/>
    <w:link w:val="CommentTextChar"/>
    <w:uiPriority w:val="99"/>
    <w:semiHidden/>
    <w:unhideWhenUsed/>
    <w:rsid w:val="00554A2B"/>
    <w:pPr>
      <w:spacing w:line="240" w:lineRule="auto"/>
    </w:pPr>
    <w:rPr>
      <w:sz w:val="20"/>
      <w:szCs w:val="20"/>
    </w:rPr>
  </w:style>
  <w:style w:type="character" w:customStyle="1" w:styleId="CommentTextChar">
    <w:name w:val="Comment Text Char"/>
    <w:basedOn w:val="DefaultParagraphFont"/>
    <w:link w:val="CommentText"/>
    <w:uiPriority w:val="99"/>
    <w:semiHidden/>
    <w:rsid w:val="00554A2B"/>
    <w:rPr>
      <w:sz w:val="20"/>
      <w:szCs w:val="20"/>
    </w:rPr>
  </w:style>
  <w:style w:type="paragraph" w:styleId="CommentSubject">
    <w:name w:val="annotation subject"/>
    <w:basedOn w:val="CommentText"/>
    <w:next w:val="CommentText"/>
    <w:link w:val="CommentSubjectChar"/>
    <w:uiPriority w:val="99"/>
    <w:semiHidden/>
    <w:unhideWhenUsed/>
    <w:rsid w:val="00554A2B"/>
    <w:rPr>
      <w:b/>
      <w:bCs/>
    </w:rPr>
  </w:style>
  <w:style w:type="character" w:customStyle="1" w:styleId="CommentSubjectChar">
    <w:name w:val="Comment Subject Char"/>
    <w:basedOn w:val="CommentTextChar"/>
    <w:link w:val="CommentSubject"/>
    <w:uiPriority w:val="99"/>
    <w:semiHidden/>
    <w:rsid w:val="00554A2B"/>
    <w:rPr>
      <w:b/>
      <w:bCs/>
      <w:sz w:val="20"/>
      <w:szCs w:val="20"/>
    </w:rPr>
  </w:style>
  <w:style w:type="paragraph" w:styleId="BalloonText">
    <w:name w:val="Balloon Text"/>
    <w:basedOn w:val="Normal"/>
    <w:link w:val="BalloonTextChar"/>
    <w:uiPriority w:val="99"/>
    <w:semiHidden/>
    <w:unhideWhenUsed/>
    <w:rsid w:val="00554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ACT\BEL\legal\LegServLEG\2.%20LEGISLATIVE%20INSTRUMENTS\4.%20TEMPLATES%20-%20instruments%20LEG%20and%20NON-LEG\Patrick's%20templates\ES%20template%20211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 template 211208</Template>
  <TotalTime>0</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HU</dc:creator>
  <cp:keywords/>
  <dc:description/>
  <cp:lastModifiedBy>Hannah HU</cp:lastModifiedBy>
  <cp:revision>2</cp:revision>
  <dcterms:created xsi:type="dcterms:W3CDTF">2022-06-06T07:07:00Z</dcterms:created>
  <dcterms:modified xsi:type="dcterms:W3CDTF">2022-06-06T07:07:00Z</dcterms:modified>
</cp:coreProperties>
</file>