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6FD8" w14:textId="77777777" w:rsidR="009D6493" w:rsidRPr="00C0014E" w:rsidRDefault="009D6493" w:rsidP="009D6493">
      <w:pPr>
        <w:rPr>
          <w:noProof/>
          <w:sz w:val="20"/>
          <w:lang w:val="en-AU" w:eastAsia="en-AU"/>
        </w:rPr>
      </w:pPr>
      <w:r w:rsidRPr="00C0014E">
        <w:rPr>
          <w:noProof/>
          <w:sz w:val="20"/>
          <w:lang w:eastAsia="en-GB" w:bidi="ar-SA"/>
        </w:rPr>
        <w:drawing>
          <wp:inline distT="0" distB="0" distL="0" distR="0" wp14:anchorId="3D881772" wp14:editId="28F84250">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DC06445" w14:textId="77777777" w:rsidR="009D6493" w:rsidRPr="006153A1" w:rsidRDefault="009D6493" w:rsidP="009D6493">
      <w:pPr>
        <w:pBdr>
          <w:bottom w:val="single" w:sz="4" w:space="1" w:color="auto"/>
        </w:pBdr>
        <w:rPr>
          <w:b/>
          <w:bCs/>
        </w:rPr>
      </w:pPr>
    </w:p>
    <w:p w14:paraId="68D38ABF" w14:textId="77777777" w:rsidR="009D6493" w:rsidRDefault="009D6493" w:rsidP="009D6493">
      <w:pPr>
        <w:pBdr>
          <w:bottom w:val="single" w:sz="4" w:space="1" w:color="auto"/>
        </w:pBdr>
        <w:rPr>
          <w:b/>
          <w:sz w:val="20"/>
        </w:rPr>
      </w:pPr>
      <w:r w:rsidRPr="006153A1">
        <w:rPr>
          <w:b/>
          <w:sz w:val="20"/>
        </w:rPr>
        <w:t>Food Standards (</w:t>
      </w:r>
      <w:r>
        <w:rPr>
          <w:b/>
          <w:sz w:val="20"/>
        </w:rPr>
        <w:t>Application A1230</w:t>
      </w:r>
      <w:r w:rsidRPr="00F618DF">
        <w:rPr>
          <w:b/>
          <w:sz w:val="20"/>
        </w:rPr>
        <w:t xml:space="preserve"> </w:t>
      </w:r>
      <w:r w:rsidRPr="00A32232">
        <w:rPr>
          <w:b/>
          <w:sz w:val="20"/>
        </w:rPr>
        <w:t xml:space="preserve">– </w:t>
      </w:r>
      <w:r>
        <w:rPr>
          <w:b/>
          <w:sz w:val="20"/>
        </w:rPr>
        <w:t xml:space="preserve">Very Low Energy Diets (VLED)) </w:t>
      </w:r>
      <w:r w:rsidRPr="00C0014E">
        <w:rPr>
          <w:b/>
          <w:sz w:val="20"/>
        </w:rPr>
        <w:t>Variation</w:t>
      </w:r>
    </w:p>
    <w:p w14:paraId="167EBFDE" w14:textId="77777777" w:rsidR="009D6493" w:rsidRPr="00C0014E" w:rsidRDefault="009D6493" w:rsidP="009D6493">
      <w:pPr>
        <w:pBdr>
          <w:bottom w:val="single" w:sz="4" w:space="1" w:color="auto"/>
        </w:pBdr>
        <w:rPr>
          <w:b/>
          <w:sz w:val="20"/>
        </w:rPr>
      </w:pPr>
    </w:p>
    <w:p w14:paraId="17937281" w14:textId="77777777" w:rsidR="009D6493" w:rsidRPr="008F2616" w:rsidRDefault="009D6493" w:rsidP="009D6493">
      <w:pPr>
        <w:rPr>
          <w:sz w:val="20"/>
        </w:rPr>
      </w:pPr>
    </w:p>
    <w:p w14:paraId="0E9C83F3" w14:textId="77777777" w:rsidR="009D6493" w:rsidRPr="008F2616" w:rsidRDefault="009D6493" w:rsidP="009D649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257EC6E3" w14:textId="77777777" w:rsidR="009D6493" w:rsidRPr="008F2616" w:rsidRDefault="009D6493" w:rsidP="009D6493">
      <w:pPr>
        <w:rPr>
          <w:sz w:val="20"/>
        </w:rPr>
      </w:pPr>
    </w:p>
    <w:p w14:paraId="0BA0C27E" w14:textId="3B3E3168" w:rsidR="009D6493" w:rsidRPr="008F2616" w:rsidRDefault="009D6493" w:rsidP="009D6493">
      <w:pPr>
        <w:rPr>
          <w:sz w:val="20"/>
        </w:rPr>
      </w:pPr>
      <w:r w:rsidRPr="008F2616">
        <w:rPr>
          <w:sz w:val="20"/>
        </w:rPr>
        <w:t xml:space="preserve">Dated </w:t>
      </w:r>
      <w:r w:rsidR="00750831" w:rsidRPr="00750831">
        <w:rPr>
          <w:sz w:val="20"/>
        </w:rPr>
        <w:t>25 May 2022</w:t>
      </w:r>
    </w:p>
    <w:p w14:paraId="31520EF3" w14:textId="77777777" w:rsidR="009D6493" w:rsidRPr="008F2616" w:rsidRDefault="009D6493" w:rsidP="009D6493">
      <w:pPr>
        <w:rPr>
          <w:sz w:val="20"/>
        </w:rPr>
      </w:pPr>
    </w:p>
    <w:p w14:paraId="34145C71" w14:textId="77777777" w:rsidR="009D6493" w:rsidRDefault="009D6493" w:rsidP="009D6493">
      <w:pPr>
        <w:rPr>
          <w:sz w:val="20"/>
        </w:rPr>
      </w:pPr>
    </w:p>
    <w:p w14:paraId="0C2B1E91" w14:textId="583323B8" w:rsidR="009D6493" w:rsidRDefault="001F6BDA" w:rsidP="009D6493">
      <w:pPr>
        <w:rPr>
          <w:sz w:val="20"/>
        </w:rPr>
      </w:pPr>
      <w:r w:rsidRPr="001F6BDA">
        <w:rPr>
          <w:noProof/>
          <w:lang w:eastAsia="en-GB" w:bidi="ar-SA"/>
        </w:rPr>
        <w:drawing>
          <wp:inline distT="0" distB="0" distL="0" distR="0" wp14:anchorId="3CEE3B49" wp14:editId="0DC2D097">
            <wp:extent cx="1678075" cy="4315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96605" cy="436270"/>
                    </a:xfrm>
                    <a:prstGeom prst="rect">
                      <a:avLst/>
                    </a:prstGeom>
                  </pic:spPr>
                </pic:pic>
              </a:graphicData>
            </a:graphic>
          </wp:inline>
        </w:drawing>
      </w:r>
    </w:p>
    <w:p w14:paraId="6D404709" w14:textId="77777777" w:rsidR="009D6493" w:rsidRPr="008F2616" w:rsidRDefault="009D6493" w:rsidP="009D6493">
      <w:pPr>
        <w:rPr>
          <w:sz w:val="20"/>
        </w:rPr>
      </w:pPr>
    </w:p>
    <w:p w14:paraId="55F22479" w14:textId="77777777" w:rsidR="009D6493" w:rsidRPr="008F2616" w:rsidRDefault="009D6493" w:rsidP="009D6493">
      <w:pPr>
        <w:rPr>
          <w:sz w:val="20"/>
        </w:rPr>
      </w:pPr>
    </w:p>
    <w:p w14:paraId="456E07B4" w14:textId="37D5EABA" w:rsidR="009D6493" w:rsidRPr="00750831" w:rsidRDefault="00750831" w:rsidP="009D6493">
      <w:pPr>
        <w:rPr>
          <w:sz w:val="20"/>
        </w:rPr>
      </w:pPr>
      <w:r w:rsidRPr="00750831">
        <w:rPr>
          <w:sz w:val="20"/>
        </w:rPr>
        <w:t>Matthew O’Mullane</w:t>
      </w:r>
    </w:p>
    <w:p w14:paraId="292A64C0" w14:textId="77777777" w:rsidR="009D6493" w:rsidRPr="008F2616" w:rsidRDefault="009D6493" w:rsidP="009D6493">
      <w:pPr>
        <w:rPr>
          <w:sz w:val="20"/>
        </w:rPr>
      </w:pPr>
      <w:r w:rsidRPr="008F2616">
        <w:rPr>
          <w:sz w:val="20"/>
        </w:rPr>
        <w:t>Delegate of the Board of Food Standards Australia New Zealand</w:t>
      </w:r>
    </w:p>
    <w:p w14:paraId="5A67E3DA" w14:textId="77777777" w:rsidR="009D6493" w:rsidRDefault="009D6493" w:rsidP="009D6493">
      <w:pPr>
        <w:rPr>
          <w:sz w:val="20"/>
        </w:rPr>
      </w:pPr>
    </w:p>
    <w:p w14:paraId="5E9D14AF" w14:textId="77777777" w:rsidR="009D6493" w:rsidRDefault="009D6493" w:rsidP="009D6493">
      <w:pPr>
        <w:rPr>
          <w:sz w:val="20"/>
        </w:rPr>
      </w:pPr>
    </w:p>
    <w:p w14:paraId="4B2F6C65" w14:textId="77777777" w:rsidR="009D6493" w:rsidRDefault="009D6493" w:rsidP="009D6493">
      <w:pPr>
        <w:rPr>
          <w:sz w:val="20"/>
        </w:rPr>
      </w:pPr>
    </w:p>
    <w:p w14:paraId="755E2AF7" w14:textId="77777777" w:rsidR="009D6493" w:rsidRDefault="009D6493" w:rsidP="009D6493">
      <w:pPr>
        <w:rPr>
          <w:sz w:val="20"/>
        </w:rPr>
      </w:pPr>
    </w:p>
    <w:p w14:paraId="38A3427D" w14:textId="77777777" w:rsidR="009D6493" w:rsidRDefault="009D6493" w:rsidP="009D6493">
      <w:pPr>
        <w:rPr>
          <w:sz w:val="20"/>
        </w:rPr>
      </w:pPr>
    </w:p>
    <w:p w14:paraId="6A3A7985" w14:textId="77777777" w:rsidR="009D6493" w:rsidRPr="00360C8F" w:rsidRDefault="009D6493" w:rsidP="009D6493">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054C16D" w14:textId="77777777" w:rsidR="009D6493" w:rsidRPr="00360C8F" w:rsidRDefault="009D6493" w:rsidP="009D6493">
      <w:pPr>
        <w:pBdr>
          <w:top w:val="single" w:sz="4" w:space="1" w:color="auto"/>
          <w:left w:val="single" w:sz="4" w:space="4" w:color="auto"/>
          <w:bottom w:val="single" w:sz="4" w:space="1" w:color="auto"/>
          <w:right w:val="single" w:sz="4" w:space="4" w:color="auto"/>
        </w:pBdr>
        <w:rPr>
          <w:sz w:val="20"/>
          <w:lang w:val="en-AU"/>
        </w:rPr>
      </w:pPr>
    </w:p>
    <w:p w14:paraId="2E8D51D5" w14:textId="1B5436D2" w:rsidR="009D6493" w:rsidRPr="00360C8F" w:rsidRDefault="009D6493" w:rsidP="009D6493">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w:t>
      </w:r>
      <w:r w:rsidRPr="00750831">
        <w:rPr>
          <w:sz w:val="20"/>
          <w:lang w:val="en-AU"/>
        </w:rPr>
        <w:t xml:space="preserve">No. FSC </w:t>
      </w:r>
      <w:r w:rsidR="00750831" w:rsidRPr="00750831">
        <w:rPr>
          <w:sz w:val="20"/>
          <w:lang w:val="en-AU"/>
        </w:rPr>
        <w:t>148</w:t>
      </w:r>
      <w:r w:rsidRPr="00750831">
        <w:rPr>
          <w:sz w:val="20"/>
          <w:lang w:val="en-AU"/>
        </w:rPr>
        <w:t xml:space="preserve"> on </w:t>
      </w:r>
      <w:r w:rsidR="00750831" w:rsidRPr="00750831">
        <w:rPr>
          <w:sz w:val="20"/>
          <w:lang w:val="en-AU"/>
        </w:rPr>
        <w:t>1 June</w:t>
      </w:r>
      <w:r w:rsidRPr="00750831">
        <w:rPr>
          <w:sz w:val="20"/>
          <w:lang w:val="en-AU"/>
        </w:rPr>
        <w:t xml:space="preserve"> 20</w:t>
      </w:r>
      <w:r w:rsidR="00750831" w:rsidRPr="00750831">
        <w:rPr>
          <w:sz w:val="20"/>
          <w:lang w:val="en-AU"/>
        </w:rPr>
        <w:t>22</w:t>
      </w:r>
      <w:r w:rsidRPr="00750831">
        <w:rPr>
          <w:sz w:val="20"/>
          <w:lang w:val="en-AU"/>
        </w:rPr>
        <w:t>. This means that this date is the gazettal date for the purposes of clause 3 of the variation</w:t>
      </w:r>
      <w:r w:rsidRPr="00360C8F">
        <w:rPr>
          <w:sz w:val="20"/>
          <w:lang w:val="en-AU"/>
        </w:rPr>
        <w:t xml:space="preserve">. </w:t>
      </w:r>
    </w:p>
    <w:p w14:paraId="7E892D0B" w14:textId="77777777" w:rsidR="009D6493" w:rsidRDefault="009D6493" w:rsidP="009D6493">
      <w:pPr>
        <w:rPr>
          <w:sz w:val="20"/>
        </w:rPr>
      </w:pPr>
    </w:p>
    <w:p w14:paraId="6F9208F0" w14:textId="77777777" w:rsidR="009D6493" w:rsidRDefault="009D6493" w:rsidP="009D6493">
      <w:pPr>
        <w:widowControl/>
        <w:rPr>
          <w:sz w:val="20"/>
        </w:rPr>
      </w:pPr>
      <w:r>
        <w:rPr>
          <w:sz w:val="20"/>
        </w:rPr>
        <w:br w:type="page"/>
      </w:r>
    </w:p>
    <w:p w14:paraId="506DC876" w14:textId="77777777" w:rsidR="009D6493" w:rsidRPr="005F585D" w:rsidRDefault="009D6493" w:rsidP="009D6493">
      <w:pPr>
        <w:pStyle w:val="FSCDraftingitemheading"/>
      </w:pPr>
      <w:r w:rsidRPr="00D433B1">
        <w:lastRenderedPageBreak/>
        <w:t>1</w:t>
      </w:r>
      <w:r w:rsidRPr="00D433B1">
        <w:tab/>
        <w:t>Name</w:t>
      </w:r>
    </w:p>
    <w:p w14:paraId="1EB038A7" w14:textId="77777777" w:rsidR="009D6493" w:rsidRPr="00F618DF" w:rsidRDefault="009D6493" w:rsidP="009D6493">
      <w:pPr>
        <w:pStyle w:val="FSCDraftingitem"/>
      </w:pPr>
      <w:r w:rsidRPr="00DB170D">
        <w:t xml:space="preserve">This </w:t>
      </w:r>
      <w:r w:rsidRPr="00D03070">
        <w:t>instrument is the</w:t>
      </w:r>
      <w:r w:rsidRPr="007D3220">
        <w:rPr>
          <w:i/>
        </w:rPr>
        <w:t xml:space="preserve"> Food Standards (Application A1230 – Very Low Energy Diet</w:t>
      </w:r>
      <w:r>
        <w:rPr>
          <w:i/>
        </w:rPr>
        <w:t>s</w:t>
      </w:r>
      <w:r w:rsidRPr="007D3220">
        <w:rPr>
          <w:i/>
        </w:rPr>
        <w:t xml:space="preserve"> (VLED)</w:t>
      </w:r>
      <w:r>
        <w:rPr>
          <w:i/>
        </w:rPr>
        <w:t>)</w:t>
      </w:r>
      <w:r w:rsidRPr="007D3220">
        <w:rPr>
          <w:i/>
        </w:rPr>
        <w:t xml:space="preserve"> Variation.</w:t>
      </w:r>
    </w:p>
    <w:p w14:paraId="697A13B7" w14:textId="77777777" w:rsidR="009D6493" w:rsidRPr="007D3220" w:rsidRDefault="009D6493" w:rsidP="009D6493">
      <w:pPr>
        <w:pStyle w:val="FSCDraftingitemheading"/>
      </w:pPr>
      <w:r w:rsidRPr="007D3220">
        <w:t>2</w:t>
      </w:r>
      <w:r w:rsidRPr="007D3220">
        <w:tab/>
        <w:t xml:space="preserve">Variation to standards in the </w:t>
      </w:r>
      <w:r w:rsidRPr="007D3220">
        <w:rPr>
          <w:i/>
        </w:rPr>
        <w:t>Australia New Zealand Food Standards Code</w:t>
      </w:r>
    </w:p>
    <w:p w14:paraId="0B534467" w14:textId="77777777" w:rsidR="009D6493" w:rsidRPr="007D3220" w:rsidRDefault="009D6493" w:rsidP="009D6493">
      <w:pPr>
        <w:pStyle w:val="FSCDraftingitem"/>
      </w:pPr>
      <w:r w:rsidRPr="007D3220">
        <w:t xml:space="preserve">The Schedule varies Standards in the </w:t>
      </w:r>
      <w:r w:rsidRPr="007D3220">
        <w:rPr>
          <w:i/>
        </w:rPr>
        <w:t>Australia New Zealand Food Standards Code</w:t>
      </w:r>
      <w:r w:rsidRPr="007D3220">
        <w:t>.</w:t>
      </w:r>
    </w:p>
    <w:p w14:paraId="1473CCA2" w14:textId="77777777" w:rsidR="009D6493" w:rsidRPr="00D433B1" w:rsidRDefault="009D6493" w:rsidP="009D6493">
      <w:pPr>
        <w:pStyle w:val="FSCDraftingitemheading"/>
      </w:pPr>
      <w:r w:rsidRPr="00D433B1">
        <w:t>3</w:t>
      </w:r>
      <w:r w:rsidRPr="00D433B1">
        <w:tab/>
        <w:t>Commencement</w:t>
      </w:r>
    </w:p>
    <w:p w14:paraId="397E1295" w14:textId="77777777" w:rsidR="009D6493" w:rsidRDefault="009D6493" w:rsidP="009D6493">
      <w:pPr>
        <w:pStyle w:val="FSCDraftingitem"/>
      </w:pPr>
      <w:r>
        <w:t>The variation commenc</w:t>
      </w:r>
      <w:r w:rsidRPr="000055C4">
        <w:t>e</w:t>
      </w:r>
      <w:r>
        <w:t>s</w:t>
      </w:r>
      <w:r w:rsidRPr="000055C4">
        <w:t xml:space="preserve"> on</w:t>
      </w:r>
      <w:r>
        <w:t xml:space="preserve"> the date of gazettal.</w:t>
      </w:r>
    </w:p>
    <w:p w14:paraId="349BACA8" w14:textId="77777777" w:rsidR="009D6493" w:rsidRDefault="009D6493" w:rsidP="009D6493">
      <w:pPr>
        <w:pStyle w:val="CommentText"/>
        <w:rPr>
          <w:b/>
        </w:rPr>
      </w:pPr>
      <w:r w:rsidRPr="000D1F0B">
        <w:rPr>
          <w:b/>
        </w:rPr>
        <w:t>4</w:t>
      </w:r>
      <w:r>
        <w:rPr>
          <w:b/>
        </w:rPr>
        <w:t xml:space="preserve">  </w:t>
      </w:r>
      <w:r>
        <w:rPr>
          <w:b/>
        </w:rPr>
        <w:tab/>
      </w:r>
      <w:r w:rsidRPr="000D1F0B">
        <w:rPr>
          <w:b/>
        </w:rPr>
        <w:t>Effect of the variations made by this instrument</w:t>
      </w:r>
    </w:p>
    <w:p w14:paraId="533B6A4B" w14:textId="77777777" w:rsidR="009D6493" w:rsidRPr="000D1F0B" w:rsidRDefault="009D6493" w:rsidP="009D6493">
      <w:pPr>
        <w:pStyle w:val="CommentText"/>
        <w:rPr>
          <w:b/>
        </w:rPr>
      </w:pPr>
    </w:p>
    <w:p w14:paraId="2969A11B" w14:textId="77777777" w:rsidR="009D6493" w:rsidRDefault="009D6493" w:rsidP="009D6493">
      <w:pPr>
        <w:pStyle w:val="CommentText"/>
        <w:numPr>
          <w:ilvl w:val="0"/>
          <w:numId w:val="14"/>
        </w:numPr>
        <w:ind w:left="567" w:hanging="567"/>
        <w:rPr>
          <w:iCs/>
        </w:rPr>
      </w:pPr>
      <w:r w:rsidRPr="000D1F0B">
        <w:rPr>
          <w:iCs/>
        </w:rPr>
        <w:t>Section 1.1.1—9 of Standard 1.1.1 does not apply to the variations made by this instrument.</w:t>
      </w:r>
      <w:r>
        <w:rPr>
          <w:iCs/>
        </w:rPr>
        <w:br/>
      </w:r>
    </w:p>
    <w:p w14:paraId="545644D3" w14:textId="77777777" w:rsidR="009D6493" w:rsidRPr="007A01C1" w:rsidRDefault="009D6493" w:rsidP="009D6493">
      <w:pPr>
        <w:pStyle w:val="CommentText"/>
        <w:ind w:left="567" w:hanging="567"/>
        <w:rPr>
          <w:iCs/>
        </w:rPr>
      </w:pPr>
      <w:r>
        <w:rPr>
          <w:iCs/>
        </w:rPr>
        <w:t xml:space="preserve">(2) </w:t>
      </w:r>
      <w:r>
        <w:rPr>
          <w:iCs/>
        </w:rPr>
        <w:tab/>
      </w:r>
      <w:r w:rsidRPr="007A01C1">
        <w:rPr>
          <w:iCs/>
        </w:rPr>
        <w:t xml:space="preserve">During the transition period, a food product may be sold if the food product complies with </w:t>
      </w:r>
      <w:r w:rsidRPr="000D1F0B">
        <w:t>one of the following:</w:t>
      </w:r>
      <w:r>
        <w:br/>
      </w:r>
    </w:p>
    <w:p w14:paraId="0C9B3F74" w14:textId="77777777" w:rsidR="009D6493" w:rsidRPr="000D1F0B" w:rsidRDefault="009D6493" w:rsidP="009D6493">
      <w:pPr>
        <w:pStyle w:val="CommentText"/>
        <w:ind w:left="1134" w:hanging="567"/>
      </w:pPr>
      <w:r w:rsidRPr="000D1F0B">
        <w:t>(a)</w:t>
      </w:r>
      <w:r>
        <w:t xml:space="preserve"> </w:t>
      </w:r>
      <w:r>
        <w:tab/>
      </w:r>
      <w:r w:rsidRPr="000D1F0B">
        <w:t>the Code as in force without the variations made by this instrument; or</w:t>
      </w:r>
    </w:p>
    <w:p w14:paraId="3ADDEEBA" w14:textId="77777777" w:rsidR="009D6493" w:rsidRDefault="009D6493" w:rsidP="009D6493">
      <w:pPr>
        <w:pStyle w:val="CommentText"/>
        <w:ind w:left="1134" w:hanging="567"/>
      </w:pPr>
      <w:r w:rsidRPr="000D1F0B">
        <w:t xml:space="preserve">(b) </w:t>
      </w:r>
      <w:r>
        <w:tab/>
      </w:r>
      <w:r w:rsidRPr="000D1F0B">
        <w:t>the Code as amended by the variations made by this instrument.</w:t>
      </w:r>
    </w:p>
    <w:p w14:paraId="6F1C2824" w14:textId="77777777" w:rsidR="009D6493" w:rsidRPr="000D1F0B" w:rsidRDefault="009D6493" w:rsidP="009D6493">
      <w:pPr>
        <w:pStyle w:val="CommentText"/>
      </w:pPr>
    </w:p>
    <w:p w14:paraId="263CCD5D" w14:textId="77777777" w:rsidR="009D6493" w:rsidRPr="000D1F0B" w:rsidRDefault="009D6493" w:rsidP="009D6493">
      <w:pPr>
        <w:pStyle w:val="CommentText"/>
        <w:ind w:left="567" w:hanging="567"/>
        <w:rPr>
          <w:iCs/>
        </w:rPr>
      </w:pPr>
      <w:r w:rsidRPr="000D1F0B">
        <w:t>(</w:t>
      </w:r>
      <w:r>
        <w:t>3</w:t>
      </w:r>
      <w:r w:rsidRPr="000D1F0B">
        <w:t>)</w:t>
      </w:r>
      <w:r>
        <w:t xml:space="preserve"> </w:t>
      </w:r>
      <w:r>
        <w:tab/>
      </w:r>
      <w:r w:rsidRPr="000D1F0B">
        <w:rPr>
          <w:iCs/>
        </w:rPr>
        <w:t>For the purposes of this clause:</w:t>
      </w:r>
    </w:p>
    <w:p w14:paraId="059F2C00" w14:textId="77777777" w:rsidR="009D6493" w:rsidRDefault="009D6493" w:rsidP="009D6493">
      <w:pPr>
        <w:pStyle w:val="FSCDraftingitem"/>
        <w:tabs>
          <w:tab w:val="clear" w:pos="851"/>
        </w:tabs>
        <w:ind w:left="567"/>
        <w:rPr>
          <w:iCs/>
        </w:rPr>
      </w:pPr>
      <w:r w:rsidRPr="000D1F0B">
        <w:rPr>
          <w:b/>
          <w:iCs/>
        </w:rPr>
        <w:t>transition period</w:t>
      </w:r>
      <w:r w:rsidRPr="000D1F0B">
        <w:rPr>
          <w:iCs/>
        </w:rPr>
        <w:t xml:space="preserve"> means the period commencing on the variation’s date of commencement and ending </w:t>
      </w:r>
      <w:r>
        <w:rPr>
          <w:iCs/>
        </w:rPr>
        <w:t>36</w:t>
      </w:r>
      <w:r w:rsidRPr="000D1F0B">
        <w:rPr>
          <w:iCs/>
        </w:rPr>
        <w:t xml:space="preserve"> months</w:t>
      </w:r>
      <w:r>
        <w:rPr>
          <w:iCs/>
        </w:rPr>
        <w:t xml:space="preserve"> after the date of commencement.</w:t>
      </w:r>
    </w:p>
    <w:p w14:paraId="4667ACDA" w14:textId="77777777" w:rsidR="009D6493" w:rsidRDefault="009D6493" w:rsidP="009D6493">
      <w:pPr>
        <w:pStyle w:val="FSCDraftingitem"/>
        <w:tabs>
          <w:tab w:val="clear" w:pos="851"/>
        </w:tabs>
        <w:ind w:left="567"/>
      </w:pPr>
    </w:p>
    <w:p w14:paraId="125F1186" w14:textId="77777777" w:rsidR="009D6493" w:rsidRPr="00D433B1" w:rsidRDefault="009D6493" w:rsidP="009D6493">
      <w:pPr>
        <w:jc w:val="center"/>
        <w:rPr>
          <w:b/>
          <w:sz w:val="20"/>
        </w:rPr>
      </w:pPr>
      <w:r w:rsidRPr="00D433B1">
        <w:rPr>
          <w:b/>
          <w:sz w:val="20"/>
        </w:rPr>
        <w:t>Schedule</w:t>
      </w:r>
    </w:p>
    <w:p w14:paraId="642FEB7D" w14:textId="77777777" w:rsidR="009D6493" w:rsidRPr="000B1EA2" w:rsidRDefault="009D6493" w:rsidP="009D6493">
      <w:pPr>
        <w:pStyle w:val="FSCDraftingitem"/>
        <w:rPr>
          <w:i/>
        </w:rPr>
      </w:pPr>
      <w:r w:rsidRPr="000B1EA2">
        <w:rPr>
          <w:b/>
          <w:i/>
          <w:lang w:bidi="en-US"/>
        </w:rPr>
        <w:t>Standard 1.1.2 Definitions used throughout the Code</w:t>
      </w:r>
    </w:p>
    <w:p w14:paraId="1D6A01E3" w14:textId="77777777" w:rsidR="009D6493" w:rsidRPr="000B1EA2" w:rsidRDefault="009D6493" w:rsidP="009D6493">
      <w:pPr>
        <w:pStyle w:val="FSCDraftingitem"/>
        <w:rPr>
          <w:b/>
        </w:rPr>
      </w:pPr>
      <w:r w:rsidRPr="000B1EA2">
        <w:t>[1.1]</w:t>
      </w:r>
      <w:r w:rsidRPr="000B1EA2">
        <w:tab/>
      </w:r>
      <w:r w:rsidRPr="000B1EA2">
        <w:rPr>
          <w:b/>
        </w:rPr>
        <w:t>Subsection 1.1.2—2(3)</w:t>
      </w:r>
    </w:p>
    <w:p w14:paraId="06D73563" w14:textId="77777777" w:rsidR="009D6493" w:rsidRPr="000B1EA2" w:rsidRDefault="009D6493" w:rsidP="009D6493">
      <w:pPr>
        <w:pStyle w:val="FSCDraftingitem"/>
      </w:pPr>
      <w:r w:rsidRPr="000B1EA2">
        <w:tab/>
        <w:t xml:space="preserve">Insert: </w:t>
      </w:r>
    </w:p>
    <w:p w14:paraId="0927DB3A" w14:textId="77777777" w:rsidR="009D6493" w:rsidRPr="000B1EA2" w:rsidRDefault="009D6493" w:rsidP="009D6493">
      <w:pPr>
        <w:pStyle w:val="FSCtDefn"/>
        <w:tabs>
          <w:tab w:val="clear" w:pos="1134"/>
          <w:tab w:val="left" w:pos="1701"/>
        </w:tabs>
      </w:pPr>
      <w:r w:rsidRPr="000B1EA2">
        <w:rPr>
          <w:b/>
          <w:i/>
        </w:rPr>
        <w:t>very low energy diet</w:t>
      </w:r>
      <w:r w:rsidRPr="000B1EA2">
        <w:t xml:space="preserve"> means a range of food for special medical purposes specially formulated for the dietary management of overweight and obesity and which provide the sole source of nutrition when consumed according to the directions for use on the label.</w:t>
      </w:r>
    </w:p>
    <w:p w14:paraId="591205C1" w14:textId="77777777" w:rsidR="009D6493" w:rsidRPr="000B1EA2" w:rsidRDefault="009D6493" w:rsidP="009D6493">
      <w:pPr>
        <w:pStyle w:val="FSCtDefn"/>
        <w:tabs>
          <w:tab w:val="clear" w:pos="1134"/>
          <w:tab w:val="left" w:pos="1701"/>
        </w:tabs>
      </w:pPr>
      <w:r w:rsidRPr="000B1EA2">
        <w:rPr>
          <w:b/>
          <w:i/>
        </w:rPr>
        <w:t xml:space="preserve">very low energy food </w:t>
      </w:r>
      <w:r w:rsidRPr="000B1EA2">
        <w:t>means</w:t>
      </w:r>
      <w:r w:rsidRPr="000B1EA2">
        <w:rPr>
          <w:b/>
          <w:i/>
        </w:rPr>
        <w:t xml:space="preserve"> </w:t>
      </w:r>
      <w:r w:rsidRPr="000B1EA2">
        <w:rPr>
          <w:lang w:val="en-AU"/>
        </w:rPr>
        <w:t xml:space="preserve">a </w:t>
      </w:r>
      <w:r w:rsidRPr="000B1EA2">
        <w:t xml:space="preserve">food for special medical purposes </w:t>
      </w:r>
      <w:r w:rsidRPr="000B1EA2">
        <w:rPr>
          <w:lang w:val="en-AU"/>
        </w:rPr>
        <w:t>produced for consumption as part of a *very low energy diet.</w:t>
      </w:r>
    </w:p>
    <w:p w14:paraId="2373941B" w14:textId="77777777" w:rsidR="009D6493" w:rsidRPr="00E00290" w:rsidRDefault="009D6493" w:rsidP="009D6493">
      <w:pPr>
        <w:pStyle w:val="FSCDraftingitem"/>
      </w:pPr>
      <w:r w:rsidRPr="00E00290">
        <w:t>[1.2]</w:t>
      </w:r>
      <w:r w:rsidRPr="00E00290">
        <w:tab/>
      </w:r>
      <w:r w:rsidRPr="00E00290">
        <w:rPr>
          <w:b/>
        </w:rPr>
        <w:t>Subsection 1.1.2—5(2)</w:t>
      </w:r>
      <w:r w:rsidRPr="00E00290">
        <w:t xml:space="preserve"> </w:t>
      </w:r>
    </w:p>
    <w:p w14:paraId="2405A53B" w14:textId="77777777" w:rsidR="009D6493" w:rsidRPr="00E00290" w:rsidRDefault="009D6493" w:rsidP="009D6493">
      <w:pPr>
        <w:pStyle w:val="FSCDraftingitem"/>
      </w:pPr>
      <w:r w:rsidRPr="00E00290">
        <w:tab/>
        <w:t>Repeal the subsection, substitute:</w:t>
      </w:r>
    </w:p>
    <w:p w14:paraId="07A07E9C" w14:textId="77777777" w:rsidR="009D6493" w:rsidRPr="00E00290" w:rsidRDefault="009D6493" w:rsidP="009D6493">
      <w:pPr>
        <w:pStyle w:val="FSCtMain"/>
      </w:pPr>
      <w:r w:rsidRPr="00E00290">
        <w:tab/>
        <w:t>(2)</w:t>
      </w:r>
      <w:r w:rsidRPr="00E00290">
        <w:tab/>
        <w:t xml:space="preserve">Despite subsection (1), a food is not </w:t>
      </w:r>
      <w:r w:rsidRPr="00E00290">
        <w:rPr>
          <w:b/>
          <w:i/>
        </w:rPr>
        <w:t>food for special medical purposes</w:t>
      </w:r>
      <w:r w:rsidRPr="00E00290">
        <w:t xml:space="preserve"> if it is:</w:t>
      </w:r>
    </w:p>
    <w:p w14:paraId="3325E6A9" w14:textId="77777777" w:rsidR="009D6493" w:rsidRPr="00E00290" w:rsidRDefault="009D6493" w:rsidP="009D6493">
      <w:pPr>
        <w:pStyle w:val="CommentText"/>
        <w:ind w:left="2268" w:hanging="567"/>
      </w:pPr>
      <w:r w:rsidRPr="00E00290">
        <w:t xml:space="preserve">(a) </w:t>
      </w:r>
      <w:r w:rsidRPr="00E00290">
        <w:tab/>
        <w:t>an infant formula product; or</w:t>
      </w:r>
    </w:p>
    <w:p w14:paraId="500EBFE1" w14:textId="77777777" w:rsidR="009D6493" w:rsidRPr="00E00290" w:rsidRDefault="009D6493" w:rsidP="009D6493">
      <w:pPr>
        <w:pStyle w:val="CommentText"/>
        <w:ind w:left="2268" w:hanging="567"/>
      </w:pPr>
      <w:r w:rsidRPr="00E00290">
        <w:t>(b)</w:t>
      </w:r>
      <w:r w:rsidRPr="00E00290">
        <w:tab/>
        <w:t>a food specially formulated for the dietary management of overweight and obesity and which is not a *very low energy food.</w:t>
      </w:r>
    </w:p>
    <w:p w14:paraId="60E3F673" w14:textId="77777777" w:rsidR="009D6493" w:rsidRPr="000B1EA2" w:rsidRDefault="009D6493" w:rsidP="009D6493">
      <w:pPr>
        <w:pStyle w:val="FSCtMain"/>
      </w:pPr>
    </w:p>
    <w:p w14:paraId="24728035" w14:textId="77777777" w:rsidR="009D6493" w:rsidRPr="00E00290" w:rsidRDefault="009D6493" w:rsidP="009D6493">
      <w:pPr>
        <w:pStyle w:val="FSCDraftingitem"/>
        <w:rPr>
          <w:b/>
          <w:i/>
          <w:lang w:bidi="en-US"/>
        </w:rPr>
      </w:pPr>
      <w:r w:rsidRPr="00E00290">
        <w:rPr>
          <w:b/>
          <w:i/>
          <w:lang w:bidi="en-US"/>
        </w:rPr>
        <w:t>Standard 2.9.5 Food for Special Medical Purposes</w:t>
      </w:r>
    </w:p>
    <w:p w14:paraId="57AD3058" w14:textId="77777777" w:rsidR="009D6493" w:rsidRPr="00E00290" w:rsidRDefault="009D6493" w:rsidP="009D6493">
      <w:pPr>
        <w:pStyle w:val="FSCDraftingitem"/>
      </w:pPr>
      <w:r w:rsidRPr="00E00290">
        <w:t>[2.1]</w:t>
      </w:r>
      <w:r w:rsidRPr="00E00290">
        <w:tab/>
      </w:r>
      <w:r w:rsidRPr="00E00290">
        <w:rPr>
          <w:b/>
        </w:rPr>
        <w:t>Section 2.9.5—2 (Note 1)</w:t>
      </w:r>
    </w:p>
    <w:p w14:paraId="2A247790" w14:textId="77777777" w:rsidR="009D6493" w:rsidRPr="00E00290" w:rsidRDefault="009D6493" w:rsidP="009D6493">
      <w:pPr>
        <w:pStyle w:val="FSCDraftingitem"/>
        <w:tabs>
          <w:tab w:val="clear" w:pos="851"/>
        </w:tabs>
        <w:ind w:left="851" w:hanging="851"/>
      </w:pPr>
      <w:r w:rsidRPr="00E00290">
        <w:tab/>
        <w:t xml:space="preserve">Omit all the words after “a food is not </w:t>
      </w:r>
      <w:r w:rsidRPr="00E00290">
        <w:rPr>
          <w:b/>
          <w:i/>
        </w:rPr>
        <w:t xml:space="preserve">food for special medical purposes </w:t>
      </w:r>
      <w:r w:rsidRPr="00E00290">
        <w:t>if it is</w:t>
      </w:r>
      <w:r w:rsidRPr="00E00290">
        <w:rPr>
          <w:b/>
          <w:i/>
        </w:rPr>
        <w:t>”</w:t>
      </w:r>
      <w:r w:rsidRPr="00E00290">
        <w:t>, substitute:</w:t>
      </w:r>
    </w:p>
    <w:p w14:paraId="540B8FC0" w14:textId="77777777" w:rsidR="009D6493" w:rsidRPr="00E00290" w:rsidRDefault="009D6493" w:rsidP="009D6493">
      <w:pPr>
        <w:pStyle w:val="CommentText"/>
      </w:pPr>
      <w:r w:rsidRPr="00E00290">
        <w:t xml:space="preserve"> </w:t>
      </w:r>
      <w:r w:rsidRPr="00E00290">
        <w:tab/>
      </w:r>
      <w:r w:rsidRPr="00E00290">
        <w:tab/>
        <w:t xml:space="preserve">      </w:t>
      </w:r>
      <w:r>
        <w:t xml:space="preserve"> </w:t>
      </w:r>
      <w:r w:rsidRPr="00E00290">
        <w:t xml:space="preserve">   (a) </w:t>
      </w:r>
      <w:r w:rsidRPr="00E00290">
        <w:tab/>
        <w:t>an infant formula product; or</w:t>
      </w:r>
    </w:p>
    <w:p w14:paraId="5A969AAE" w14:textId="77777777" w:rsidR="009D6493" w:rsidRPr="00E00290" w:rsidRDefault="009D6493" w:rsidP="009D6493">
      <w:pPr>
        <w:pStyle w:val="CommentText"/>
        <w:ind w:left="1701"/>
      </w:pPr>
      <w:r w:rsidRPr="00E00290">
        <w:t>(b)</w:t>
      </w:r>
      <w:r w:rsidRPr="00E00290">
        <w:tab/>
        <w:t>a food specially formulated for the dietary management of overweight and obesity and which is not a *very low energy food.</w:t>
      </w:r>
    </w:p>
    <w:p w14:paraId="5EB8EE8F" w14:textId="77777777" w:rsidR="009D6493" w:rsidRPr="00E00290" w:rsidRDefault="009D6493" w:rsidP="009D6493">
      <w:pPr>
        <w:pStyle w:val="FSCDraftingitem"/>
      </w:pPr>
      <w:r w:rsidRPr="00E00290">
        <w:t xml:space="preserve"> [2.2]</w:t>
      </w:r>
      <w:r w:rsidRPr="00E00290">
        <w:tab/>
      </w:r>
      <w:r w:rsidRPr="00E00290">
        <w:rPr>
          <w:b/>
        </w:rPr>
        <w:t>Section 2.9.5—2 (after Note 3)</w:t>
      </w:r>
    </w:p>
    <w:p w14:paraId="77A4CC9F" w14:textId="77777777" w:rsidR="009D6493" w:rsidRPr="000B1EA2" w:rsidRDefault="009D6493" w:rsidP="009D6493">
      <w:pPr>
        <w:pStyle w:val="FSCDraftingitem"/>
      </w:pPr>
      <w:r w:rsidRPr="000B1EA2">
        <w:tab/>
        <w:t>Insert:</w:t>
      </w:r>
    </w:p>
    <w:p w14:paraId="084AE674" w14:textId="77777777" w:rsidR="009D6493" w:rsidRPr="000B1EA2" w:rsidRDefault="009D6493" w:rsidP="009D6493">
      <w:pPr>
        <w:pStyle w:val="FSCnatHeading"/>
      </w:pPr>
      <w:r w:rsidRPr="000B1EA2">
        <w:rPr>
          <w:b/>
          <w:i/>
        </w:rPr>
        <w:t>Note 4</w:t>
      </w:r>
      <w:r w:rsidRPr="000B1EA2">
        <w:rPr>
          <w:b/>
          <w:i/>
        </w:rPr>
        <w:tab/>
      </w:r>
      <w:r w:rsidRPr="000B1EA2">
        <w:t>In this Code (see section 1.1.2—</w:t>
      </w:r>
      <w:r>
        <w:t>2</w:t>
      </w:r>
      <w:r w:rsidRPr="000B1EA2">
        <w:t>):</w:t>
      </w:r>
    </w:p>
    <w:p w14:paraId="3C7798D4" w14:textId="77777777" w:rsidR="009D6493" w:rsidRPr="000B1EA2" w:rsidRDefault="009D6493" w:rsidP="009D6493">
      <w:pPr>
        <w:pStyle w:val="FSCnMain"/>
        <w:ind w:left="1701" w:hanging="1701"/>
      </w:pPr>
      <w:r w:rsidRPr="000B1EA2">
        <w:rPr>
          <w:b/>
          <w:i/>
        </w:rPr>
        <w:tab/>
        <w:t>very low energy diet</w:t>
      </w:r>
      <w:r w:rsidRPr="000B1EA2">
        <w:t xml:space="preserve"> means a range of food for special medical purposes specially formulated for the </w:t>
      </w:r>
      <w:r w:rsidRPr="000B1EA2">
        <w:lastRenderedPageBreak/>
        <w:t>dietary management of overweight and obesity and which provide the sole source of nutrition when consumed according to the directions for use on the label.</w:t>
      </w:r>
    </w:p>
    <w:p w14:paraId="532EC8B1" w14:textId="77777777" w:rsidR="009D6493" w:rsidRPr="000B1EA2" w:rsidRDefault="009D6493" w:rsidP="009D6493">
      <w:pPr>
        <w:pStyle w:val="FSCnMain"/>
        <w:ind w:left="1701" w:hanging="1701"/>
      </w:pPr>
      <w:r w:rsidRPr="000B1EA2">
        <w:rPr>
          <w:b/>
          <w:i/>
        </w:rPr>
        <w:tab/>
        <w:t xml:space="preserve">very low energy food </w:t>
      </w:r>
      <w:r w:rsidRPr="000B1EA2">
        <w:t>means</w:t>
      </w:r>
      <w:r w:rsidRPr="000B1EA2">
        <w:rPr>
          <w:b/>
          <w:i/>
        </w:rPr>
        <w:t xml:space="preserve"> </w:t>
      </w:r>
      <w:r w:rsidRPr="000B1EA2">
        <w:rPr>
          <w:lang w:val="en-AU"/>
        </w:rPr>
        <w:t xml:space="preserve">a </w:t>
      </w:r>
      <w:r w:rsidRPr="000B1EA2">
        <w:t xml:space="preserve">food for special medical purposes </w:t>
      </w:r>
      <w:r w:rsidRPr="000B1EA2">
        <w:rPr>
          <w:lang w:val="en-AU"/>
        </w:rPr>
        <w:t>produced for consumption as part of a *very low energy diet.</w:t>
      </w:r>
    </w:p>
    <w:p w14:paraId="44D619AC" w14:textId="77777777" w:rsidR="009D6493" w:rsidRPr="000B1EA2" w:rsidRDefault="009D6493" w:rsidP="009D6493">
      <w:pPr>
        <w:pStyle w:val="FSCDraftingitem"/>
      </w:pPr>
      <w:r w:rsidRPr="000B1EA2">
        <w:t>[2.3]</w:t>
      </w:r>
      <w:r w:rsidRPr="000B1EA2">
        <w:tab/>
      </w:r>
      <w:r w:rsidRPr="000B1EA2">
        <w:rPr>
          <w:b/>
        </w:rPr>
        <w:t>After subsection 2.9.5—7(2)</w:t>
      </w:r>
    </w:p>
    <w:p w14:paraId="64A3C07C" w14:textId="77777777" w:rsidR="009D6493" w:rsidRPr="000B1EA2" w:rsidRDefault="009D6493" w:rsidP="009D6493">
      <w:pPr>
        <w:pStyle w:val="FSCDraftingitem"/>
      </w:pPr>
      <w:r w:rsidRPr="000B1EA2">
        <w:tab/>
        <w:t xml:space="preserve">Insert: </w:t>
      </w:r>
    </w:p>
    <w:p w14:paraId="791C4F8D" w14:textId="77777777" w:rsidR="009D6493" w:rsidRPr="000B1EA2" w:rsidRDefault="009D6493" w:rsidP="009D6493">
      <w:pPr>
        <w:pStyle w:val="FSCtMain"/>
      </w:pPr>
      <w:r w:rsidRPr="000B1EA2">
        <w:tab/>
        <w:t>(3)</w:t>
      </w:r>
      <w:r w:rsidRPr="000B1EA2">
        <w:tab/>
        <w:t xml:space="preserve">Subsection (1) does not apply to </w:t>
      </w:r>
      <w:r w:rsidRPr="00E63BDE">
        <w:t xml:space="preserve">a </w:t>
      </w:r>
      <w:r>
        <w:t>*</w:t>
      </w:r>
      <w:r w:rsidRPr="00E63BDE">
        <w:t>very low energy food</w:t>
      </w:r>
      <w:r w:rsidRPr="000B1EA2">
        <w:t>.</w:t>
      </w:r>
    </w:p>
    <w:p w14:paraId="4E24D3C0" w14:textId="77777777" w:rsidR="009D6493" w:rsidRPr="00E63BDE" w:rsidRDefault="009D6493" w:rsidP="009D6493">
      <w:pPr>
        <w:pStyle w:val="FSCDraftingitem"/>
      </w:pPr>
      <w:r>
        <w:t>[</w:t>
      </w:r>
      <w:r w:rsidRPr="00E63BDE">
        <w:t>2.4]</w:t>
      </w:r>
      <w:r w:rsidRPr="00E63BDE">
        <w:tab/>
      </w:r>
      <w:r>
        <w:rPr>
          <w:b/>
        </w:rPr>
        <w:t>Subsection 2.9.5—9(2)</w:t>
      </w:r>
    </w:p>
    <w:p w14:paraId="75DC4C95" w14:textId="77777777" w:rsidR="009D6493" w:rsidRPr="00E00290" w:rsidRDefault="009D6493" w:rsidP="009D6493">
      <w:pPr>
        <w:pStyle w:val="FSCDraftingitem"/>
      </w:pPr>
      <w:r w:rsidRPr="00E00290">
        <w:tab/>
        <w:t>Repeal the subsection, substitute:</w:t>
      </w:r>
    </w:p>
    <w:p w14:paraId="1F72D62F" w14:textId="77777777" w:rsidR="009D6493" w:rsidRPr="00E00290" w:rsidRDefault="009D6493" w:rsidP="009D6493">
      <w:pPr>
        <w:pStyle w:val="FSCtMain"/>
      </w:pPr>
      <w:r w:rsidRPr="00E00290">
        <w:tab/>
        <w:t>(2)</w:t>
      </w:r>
      <w:r w:rsidRPr="00E00290">
        <w:tab/>
        <w:t xml:space="preserve">The label for a food for special medical purposes that is a *very low energy food must also state </w:t>
      </w:r>
      <w:r w:rsidRPr="00E00290">
        <w:rPr>
          <w:bCs/>
          <w:shd w:val="clear" w:color="auto" w:fill="FFFFFF"/>
        </w:rPr>
        <w:t xml:space="preserve">the recommended daily quantity of all </w:t>
      </w:r>
      <w:r w:rsidRPr="00E00290">
        <w:t>very low energy foods</w:t>
      </w:r>
      <w:r w:rsidRPr="00E00290">
        <w:rPr>
          <w:bCs/>
          <w:shd w:val="clear" w:color="auto" w:fill="FFFFFF"/>
        </w:rPr>
        <w:t xml:space="preserve"> to be consumed in order to </w:t>
      </w:r>
      <w:r w:rsidRPr="00E00290">
        <w:t>provide the sole source of nutrition.</w:t>
      </w:r>
    </w:p>
    <w:p w14:paraId="138F8BD7" w14:textId="77777777" w:rsidR="009D6493" w:rsidRPr="00E00290" w:rsidRDefault="009D6493" w:rsidP="009D6493">
      <w:pPr>
        <w:pStyle w:val="FSCtMain"/>
      </w:pPr>
      <w:r w:rsidRPr="00E00290">
        <w:tab/>
        <w:t>(3)</w:t>
      </w:r>
      <w:r w:rsidRPr="00E00290">
        <w:tab/>
        <w:t>The label must comply with Division 6 of Standard 1.2.1.</w:t>
      </w:r>
    </w:p>
    <w:p w14:paraId="04F46484" w14:textId="77777777" w:rsidR="009D6493" w:rsidRPr="00E00290" w:rsidRDefault="009D6493" w:rsidP="009D6493">
      <w:pPr>
        <w:pStyle w:val="FSCDraftingitem"/>
      </w:pPr>
      <w:r w:rsidRPr="00E00290">
        <w:t>[2.5]</w:t>
      </w:r>
      <w:r w:rsidRPr="00E00290">
        <w:tab/>
      </w:r>
      <w:r w:rsidRPr="00E00290">
        <w:rPr>
          <w:b/>
        </w:rPr>
        <w:t>Subparagraph 2.9.5—10(1)(g)(ii)</w:t>
      </w:r>
    </w:p>
    <w:p w14:paraId="2EC0D247" w14:textId="77777777" w:rsidR="009D6493" w:rsidRPr="00E00290" w:rsidRDefault="009D6493" w:rsidP="009D6493">
      <w:pPr>
        <w:pStyle w:val="FSCDraftingitem"/>
      </w:pPr>
      <w:r w:rsidRPr="00E00290">
        <w:tab/>
        <w:t>Omit “(if applicable):”, substitute “(if applicable), and the food is not a *very low energy food:”</w:t>
      </w:r>
    </w:p>
    <w:p w14:paraId="364FBBB8" w14:textId="77777777" w:rsidR="009D6493" w:rsidRPr="00E00290" w:rsidRDefault="009D6493" w:rsidP="009D6493">
      <w:pPr>
        <w:pStyle w:val="FSCDraftingitem"/>
      </w:pPr>
      <w:r w:rsidRPr="00E00290">
        <w:t>[2.6]</w:t>
      </w:r>
      <w:r w:rsidRPr="00E00290">
        <w:tab/>
      </w:r>
      <w:r w:rsidRPr="00E00290">
        <w:rPr>
          <w:b/>
        </w:rPr>
        <w:t>Sub-subparagraph 2.9.5—10(1)(g)(ii)(B)</w:t>
      </w:r>
    </w:p>
    <w:p w14:paraId="2BE15816" w14:textId="77777777" w:rsidR="009D6493" w:rsidRPr="00E00290" w:rsidRDefault="009D6493" w:rsidP="009D6493">
      <w:pPr>
        <w:pStyle w:val="FSCDraftingitem"/>
      </w:pPr>
      <w:r w:rsidRPr="00E00290">
        <w:t xml:space="preserve"> </w:t>
      </w:r>
      <w:r w:rsidRPr="00E00290">
        <w:tab/>
        <w:t>Omit “appropriate.”, substitute “appropriate;”</w:t>
      </w:r>
      <w:r w:rsidRPr="00E00290">
        <w:tab/>
      </w:r>
    </w:p>
    <w:p w14:paraId="7EFD2073" w14:textId="77777777" w:rsidR="009D6493" w:rsidRPr="00E00290" w:rsidRDefault="009D6493" w:rsidP="009D6493">
      <w:pPr>
        <w:pStyle w:val="FSCDraftingitem"/>
      </w:pPr>
      <w:r w:rsidRPr="00E00290">
        <w:t>[2.7]</w:t>
      </w:r>
      <w:r w:rsidRPr="00E00290">
        <w:tab/>
      </w:r>
      <w:r w:rsidRPr="00E00290">
        <w:rPr>
          <w:b/>
        </w:rPr>
        <w:t>After paragraph 2.9.5—10(1)(g)</w:t>
      </w:r>
    </w:p>
    <w:p w14:paraId="4FD2E186" w14:textId="77777777" w:rsidR="009D6493" w:rsidRPr="00E00290" w:rsidRDefault="009D6493" w:rsidP="009D6493">
      <w:pPr>
        <w:pStyle w:val="FSCDraftingitem"/>
      </w:pPr>
      <w:r w:rsidRPr="00E00290">
        <w:tab/>
        <w:t>Add</w:t>
      </w:r>
    </w:p>
    <w:p w14:paraId="6822B45C" w14:textId="77777777" w:rsidR="009D6493" w:rsidRPr="00E00290" w:rsidRDefault="009D6493" w:rsidP="009D6493">
      <w:pPr>
        <w:pStyle w:val="FSCtPara"/>
      </w:pPr>
      <w:r w:rsidRPr="00E00290">
        <w:tab/>
        <w:t>(h)</w:t>
      </w:r>
      <w:r w:rsidRPr="00E00290">
        <w:tab/>
        <w:t>if the food is a *very low energy food:</w:t>
      </w:r>
    </w:p>
    <w:p w14:paraId="166E0FBB" w14:textId="77777777" w:rsidR="009D6493" w:rsidRPr="00E00290" w:rsidRDefault="009D6493" w:rsidP="009D6493">
      <w:pPr>
        <w:pStyle w:val="FSCtSubpara"/>
      </w:pPr>
      <w:r w:rsidRPr="00E00290">
        <w:tab/>
        <w:t>(i)</w:t>
      </w:r>
      <w:r w:rsidRPr="00E00290">
        <w:tab/>
        <w:t>a statement to the effect that it is important to maintain adequate daily fluid intake while using the food; and</w:t>
      </w:r>
    </w:p>
    <w:p w14:paraId="175E3867" w14:textId="77777777" w:rsidR="009D6493" w:rsidRPr="00E00290" w:rsidRDefault="009D6493" w:rsidP="009D6493">
      <w:pPr>
        <w:pStyle w:val="FSCtSubpara"/>
      </w:pPr>
      <w:r w:rsidRPr="00E00290">
        <w:tab/>
        <w:t>(ii)</w:t>
      </w:r>
      <w:r w:rsidRPr="00E00290">
        <w:tab/>
        <w:t xml:space="preserve">a statement to the effect that the </w:t>
      </w:r>
      <w:r>
        <w:t>food</w:t>
      </w:r>
      <w:r w:rsidRPr="00E00290">
        <w:t xml:space="preserve"> is not recommended for pregnant, nursing, or lactating women or use by infants, children, adolescents and elderly, other than under medical supervision; and</w:t>
      </w:r>
    </w:p>
    <w:p w14:paraId="14A67521" w14:textId="77777777" w:rsidR="009D6493" w:rsidRPr="00E00290" w:rsidRDefault="009D6493" w:rsidP="009D6493">
      <w:pPr>
        <w:pStyle w:val="FSCtSubpara"/>
      </w:pPr>
      <w:r w:rsidRPr="00E00290">
        <w:tab/>
        <w:t>(iii)</w:t>
      </w:r>
      <w:r w:rsidRPr="00E00290">
        <w:tab/>
        <w:t xml:space="preserve">a statement indicating that </w:t>
      </w:r>
      <w:r>
        <w:t>the food</w:t>
      </w:r>
      <w:r w:rsidRPr="00E00290">
        <w:t xml:space="preserve"> is suitable for use as a sole source of nutrition when consumed according </w:t>
      </w:r>
      <w:r w:rsidRPr="00E00290">
        <w:rPr>
          <w:rFonts w:cs="Times New Roman"/>
          <w:iCs w:val="0"/>
          <w:szCs w:val="20"/>
          <w:lang w:eastAsia="en-US" w:bidi="en-US"/>
        </w:rPr>
        <w:t>to the directions for use on the label.</w:t>
      </w:r>
    </w:p>
    <w:p w14:paraId="50E81ED2" w14:textId="77777777" w:rsidR="009D6493" w:rsidRPr="00E00290" w:rsidRDefault="009D6493" w:rsidP="009D6493">
      <w:pPr>
        <w:pStyle w:val="FSCDraftingitem"/>
      </w:pPr>
      <w:r w:rsidRPr="00E00290">
        <w:t>[2.8]</w:t>
      </w:r>
      <w:r w:rsidRPr="00E00290">
        <w:tab/>
      </w:r>
      <w:r w:rsidRPr="00E00290">
        <w:rPr>
          <w:b/>
        </w:rPr>
        <w:t>Section 2.9.5—13</w:t>
      </w:r>
    </w:p>
    <w:p w14:paraId="73F34217" w14:textId="77777777" w:rsidR="009D6493" w:rsidRPr="00E63BDE" w:rsidRDefault="009D6493" w:rsidP="009D6493">
      <w:pPr>
        <w:pStyle w:val="FSCDraftingitem"/>
      </w:pPr>
      <w:r w:rsidRPr="00E63BDE">
        <w:tab/>
        <w:t>Repeal the section, substitute:</w:t>
      </w:r>
    </w:p>
    <w:p w14:paraId="563B6A75" w14:textId="77777777" w:rsidR="009D6493" w:rsidRPr="00E63BDE" w:rsidRDefault="009D6493" w:rsidP="009D6493">
      <w:pPr>
        <w:pStyle w:val="FSCh5Section"/>
      </w:pPr>
      <w:r w:rsidRPr="00E63BDE">
        <w:t>2.9.5—13</w:t>
      </w:r>
      <w:r w:rsidRPr="00E63BDE">
        <w:tab/>
        <w:t>Nutrition information—food for special medical purposes</w:t>
      </w:r>
    </w:p>
    <w:p w14:paraId="406FFF51" w14:textId="77777777" w:rsidR="009D6493" w:rsidRPr="000B1EA2" w:rsidRDefault="009D6493" w:rsidP="009D6493">
      <w:pPr>
        <w:pStyle w:val="FSCtMain"/>
      </w:pPr>
      <w:r w:rsidRPr="00E63BDE">
        <w:tab/>
        <w:t>(1)</w:t>
      </w:r>
      <w:r w:rsidRPr="00E63BDE">
        <w:tab/>
        <w:t xml:space="preserve">For paragraph 2.9.5—9(1)(h), the nutrition information required for a food that is not a </w:t>
      </w:r>
      <w:r>
        <w:t>*</w:t>
      </w:r>
      <w:r w:rsidRPr="00E63BDE">
        <w:t xml:space="preserve">very low energy food </w:t>
      </w:r>
      <w:r w:rsidRPr="000B1EA2">
        <w:t>is the following, expressed per given amount of the food:</w:t>
      </w:r>
    </w:p>
    <w:p w14:paraId="23A2A716" w14:textId="77777777" w:rsidR="009D6493" w:rsidRPr="00E63BDE" w:rsidRDefault="009D6493" w:rsidP="009D6493">
      <w:pPr>
        <w:pStyle w:val="FSCtPara"/>
      </w:pPr>
      <w:r w:rsidRPr="00E63BDE">
        <w:tab/>
        <w:t>(a)</w:t>
      </w:r>
      <w:r w:rsidRPr="00E63BDE">
        <w:tab/>
        <w:t xml:space="preserve">the minimum or </w:t>
      </w:r>
      <w:r>
        <w:t>*</w:t>
      </w:r>
      <w:r w:rsidRPr="00E63BDE">
        <w:t>average energy content; and</w:t>
      </w:r>
    </w:p>
    <w:p w14:paraId="31F0B69C" w14:textId="77777777" w:rsidR="009D6493" w:rsidRPr="00E63BDE" w:rsidRDefault="009D6493" w:rsidP="009D6493">
      <w:pPr>
        <w:pStyle w:val="FSCtPara"/>
      </w:pPr>
      <w:r w:rsidRPr="00E63BDE">
        <w:tab/>
        <w:t>(b)</w:t>
      </w:r>
      <w:r w:rsidRPr="00E63BDE">
        <w:tab/>
        <w:t>the minimum amount or *average quantity of:</w:t>
      </w:r>
    </w:p>
    <w:p w14:paraId="7A9A3A50" w14:textId="77777777" w:rsidR="009D6493" w:rsidRPr="00E63BDE" w:rsidRDefault="009D6493" w:rsidP="009D6493">
      <w:pPr>
        <w:pStyle w:val="FSCtSubpara"/>
      </w:pPr>
      <w:r w:rsidRPr="00E63BDE">
        <w:tab/>
        <w:t>(i)</w:t>
      </w:r>
      <w:r w:rsidRPr="00E63BDE">
        <w:tab/>
        <w:t>protein, fat and carbohydrate; and</w:t>
      </w:r>
    </w:p>
    <w:p w14:paraId="09BBFF62" w14:textId="77777777" w:rsidR="009D6493" w:rsidRPr="00E63BDE" w:rsidRDefault="009D6493" w:rsidP="009D6493">
      <w:pPr>
        <w:pStyle w:val="FSCtSubpara"/>
      </w:pPr>
      <w:r w:rsidRPr="00E63BDE">
        <w:tab/>
        <w:t>(ii)</w:t>
      </w:r>
      <w:r w:rsidRPr="00E63BDE">
        <w:tab/>
        <w:t>any vitamin, mineral or electrolyte that has been *used as a nutritive substance in the food; and</w:t>
      </w:r>
    </w:p>
    <w:p w14:paraId="0C4110DF" w14:textId="77777777" w:rsidR="009D6493" w:rsidRPr="00E63BDE" w:rsidRDefault="009D6493" w:rsidP="009D6493">
      <w:pPr>
        <w:pStyle w:val="FSCtSubpara"/>
      </w:pPr>
      <w:r w:rsidRPr="00E63BDE">
        <w:tab/>
        <w:t>(iii)</w:t>
      </w:r>
      <w:r w:rsidRPr="00E63BDE">
        <w:tab/>
        <w:t>any substance listed in the table to section S29—20 that has been *used as a nutritive substance in the food; and</w:t>
      </w:r>
    </w:p>
    <w:p w14:paraId="3730EC51" w14:textId="77777777" w:rsidR="009D6493" w:rsidRPr="00E63BDE" w:rsidRDefault="009D6493" w:rsidP="009D6493">
      <w:pPr>
        <w:pStyle w:val="FSCtSubpara"/>
      </w:pPr>
      <w:r w:rsidRPr="00E63BDE">
        <w:tab/>
        <w:t>(iv)</w:t>
      </w:r>
      <w:r w:rsidRPr="00E63BDE">
        <w:tab/>
        <w:t xml:space="preserve">subject to paragraph 2.9.5—9(1)(i), any other substance in respect of which a </w:t>
      </w:r>
      <w:r>
        <w:t>*</w:t>
      </w:r>
      <w:r w:rsidRPr="00E63BDE">
        <w:t>nutrition content claim has been made.</w:t>
      </w:r>
    </w:p>
    <w:p w14:paraId="6AE6A6D5" w14:textId="77777777" w:rsidR="009D6493" w:rsidRPr="000B1EA2" w:rsidRDefault="009D6493" w:rsidP="009D6493">
      <w:pPr>
        <w:pStyle w:val="FSCtMain"/>
      </w:pPr>
      <w:r w:rsidRPr="00E63BDE">
        <w:tab/>
        <w:t>(2)</w:t>
      </w:r>
      <w:r w:rsidRPr="00E63BDE">
        <w:tab/>
        <w:t xml:space="preserve">For paragraph 2.9.5—9(1)(h), the nutrition information required for a food that is a </w:t>
      </w:r>
      <w:r>
        <w:t>*</w:t>
      </w:r>
      <w:r w:rsidRPr="00E63BDE">
        <w:t xml:space="preserve">very low energy food </w:t>
      </w:r>
      <w:r w:rsidRPr="000B1EA2">
        <w:t>is the following:</w:t>
      </w:r>
    </w:p>
    <w:p w14:paraId="2D9B1731" w14:textId="77777777" w:rsidR="009D6493" w:rsidRPr="00E63BDE" w:rsidRDefault="009D6493" w:rsidP="009D6493">
      <w:pPr>
        <w:pStyle w:val="FSCtPara"/>
      </w:pPr>
      <w:r w:rsidRPr="00E63BDE">
        <w:tab/>
        <w:t>(a)</w:t>
      </w:r>
      <w:r w:rsidRPr="00E63BDE">
        <w:tab/>
        <w:t xml:space="preserve">the </w:t>
      </w:r>
      <w:r>
        <w:t>*</w:t>
      </w:r>
      <w:r w:rsidRPr="00E63BDE">
        <w:t>average quantity of that food per serving; and</w:t>
      </w:r>
    </w:p>
    <w:p w14:paraId="31D5762A" w14:textId="77777777" w:rsidR="009D6493" w:rsidRPr="00E63BDE" w:rsidRDefault="009D6493" w:rsidP="009D6493">
      <w:pPr>
        <w:pStyle w:val="FSCtPara"/>
      </w:pPr>
      <w:r w:rsidRPr="00E63BDE">
        <w:tab/>
        <w:t>(b)</w:t>
      </w:r>
      <w:r w:rsidRPr="00E63BDE">
        <w:tab/>
        <w:t xml:space="preserve">the </w:t>
      </w:r>
      <w:r>
        <w:t>*</w:t>
      </w:r>
      <w:r w:rsidRPr="00E63BDE">
        <w:t>average energy content per serving; and</w:t>
      </w:r>
    </w:p>
    <w:p w14:paraId="6522E80C" w14:textId="77777777" w:rsidR="009D6493" w:rsidRPr="00482469" w:rsidRDefault="009D6493" w:rsidP="009D6493">
      <w:pPr>
        <w:pStyle w:val="FSCtPara"/>
      </w:pPr>
      <w:r w:rsidRPr="00E63BDE">
        <w:lastRenderedPageBreak/>
        <w:tab/>
        <w:t>(c)</w:t>
      </w:r>
      <w:r w:rsidRPr="00E63BDE">
        <w:tab/>
      </w:r>
      <w:r w:rsidRPr="00482469">
        <w:t>the minimum amount or average quantity per serving of:</w:t>
      </w:r>
    </w:p>
    <w:p w14:paraId="072CF672" w14:textId="77777777" w:rsidR="009D6493" w:rsidRPr="00482469" w:rsidRDefault="009D6493" w:rsidP="009D6493">
      <w:pPr>
        <w:pStyle w:val="FSCtSubpara"/>
      </w:pPr>
      <w:r w:rsidRPr="00482469">
        <w:tab/>
        <w:t>(i)</w:t>
      </w:r>
      <w:r w:rsidRPr="00482469">
        <w:tab/>
        <w:t>protein, fat and carbohydrate; and</w:t>
      </w:r>
    </w:p>
    <w:p w14:paraId="62F71DF9" w14:textId="77777777" w:rsidR="009D6493" w:rsidRPr="00482469" w:rsidRDefault="009D6493" w:rsidP="009D6493">
      <w:pPr>
        <w:pStyle w:val="FSCtSubpara"/>
      </w:pPr>
      <w:r w:rsidRPr="00482469">
        <w:tab/>
        <w:t>(ii)</w:t>
      </w:r>
      <w:r w:rsidRPr="00482469">
        <w:tab/>
      </w:r>
      <w:r w:rsidRPr="00482469">
        <w:rPr>
          <w:lang w:eastAsia="en-GB"/>
        </w:rPr>
        <w:t>linoleic acid</w:t>
      </w:r>
      <w:r w:rsidRPr="00482469">
        <w:t xml:space="preserve"> and α</w:t>
      </w:r>
      <w:r w:rsidRPr="00482469">
        <w:rPr>
          <w:lang w:eastAsia="en-GB"/>
        </w:rPr>
        <w:t>-linolenic acid; and</w:t>
      </w:r>
      <w:r w:rsidRPr="00482469">
        <w:t xml:space="preserve"> </w:t>
      </w:r>
    </w:p>
    <w:p w14:paraId="3D45B9E4" w14:textId="77777777" w:rsidR="009D6493" w:rsidRPr="00482469" w:rsidRDefault="009D6493" w:rsidP="009D6493">
      <w:pPr>
        <w:pStyle w:val="FSCtSubpara"/>
      </w:pPr>
      <w:r w:rsidRPr="00482469">
        <w:tab/>
        <w:t>(iii)</w:t>
      </w:r>
      <w:r w:rsidRPr="00482469">
        <w:tab/>
        <w:t>any substance listed in the table to section S29—22 that has been *used as a nutritive substance in the food; and</w:t>
      </w:r>
    </w:p>
    <w:p w14:paraId="36F930E7" w14:textId="77777777" w:rsidR="009D6493" w:rsidRPr="00482469" w:rsidRDefault="009D6493" w:rsidP="009D6493">
      <w:pPr>
        <w:pStyle w:val="FSCtSubpara"/>
      </w:pPr>
      <w:r w:rsidRPr="00482469">
        <w:tab/>
        <w:t>(iv)</w:t>
      </w:r>
      <w:r w:rsidRPr="00482469">
        <w:tab/>
        <w:t>any other vitamin, mineral or electrolyte that has been *used as a nutritive substance in the food; and</w:t>
      </w:r>
    </w:p>
    <w:p w14:paraId="10D5D5ED" w14:textId="77777777" w:rsidR="009D6493" w:rsidRPr="00482469" w:rsidRDefault="009D6493" w:rsidP="009D6493">
      <w:pPr>
        <w:pStyle w:val="FSCtSubpara"/>
      </w:pPr>
      <w:r w:rsidRPr="00482469">
        <w:tab/>
        <w:t>(v)</w:t>
      </w:r>
      <w:r w:rsidRPr="00482469">
        <w:tab/>
        <w:t>subject to paragraph 2.9.5—9(1)(i), any other substance in respect of which a *nutrition content claim has been made</w:t>
      </w:r>
      <w:r>
        <w:t>.</w:t>
      </w:r>
    </w:p>
    <w:p w14:paraId="767CADED" w14:textId="77777777" w:rsidR="009D6493" w:rsidRPr="00E63BDE" w:rsidRDefault="009D6493" w:rsidP="009D6493">
      <w:pPr>
        <w:pStyle w:val="FSCDraftingitem"/>
      </w:pPr>
      <w:r>
        <w:t>[2.9</w:t>
      </w:r>
      <w:r w:rsidRPr="00E63BDE">
        <w:t>]</w:t>
      </w:r>
      <w:r w:rsidRPr="00E63BDE">
        <w:tab/>
      </w:r>
      <w:r w:rsidRPr="00E63BDE">
        <w:rPr>
          <w:b/>
        </w:rPr>
        <w:t>After section 2.9.5—17</w:t>
      </w:r>
    </w:p>
    <w:p w14:paraId="28294C38" w14:textId="77777777" w:rsidR="009D6493" w:rsidRPr="00E63BDE" w:rsidRDefault="009D6493" w:rsidP="009D6493">
      <w:pPr>
        <w:pStyle w:val="FSCDraftingitem"/>
      </w:pPr>
      <w:r w:rsidRPr="00E63BDE">
        <w:tab/>
        <w:t>Insert:</w:t>
      </w:r>
    </w:p>
    <w:p w14:paraId="535DC234" w14:textId="77777777" w:rsidR="009D6493" w:rsidRPr="00E63BDE" w:rsidRDefault="009D6493" w:rsidP="009D6493">
      <w:pPr>
        <w:pStyle w:val="FSCh4Div"/>
      </w:pPr>
      <w:r w:rsidRPr="00E63BDE">
        <w:t>Division 5</w:t>
      </w:r>
      <w:r w:rsidRPr="00E63BDE">
        <w:tab/>
        <w:t>Very Low Energy Diets</w:t>
      </w:r>
    </w:p>
    <w:p w14:paraId="4EF03821" w14:textId="77777777" w:rsidR="009D6493" w:rsidRPr="00E63BDE" w:rsidRDefault="009D6493" w:rsidP="009D6493">
      <w:pPr>
        <w:pStyle w:val="FSCh5Section"/>
      </w:pPr>
      <w:r w:rsidRPr="00E63BDE">
        <w:t>2.9.5—18</w:t>
      </w:r>
      <w:r w:rsidRPr="00E63BDE">
        <w:tab/>
        <w:t>Compositional requirements for very low energy diets</w:t>
      </w:r>
    </w:p>
    <w:p w14:paraId="70A631C3" w14:textId="77777777" w:rsidR="009D6493" w:rsidRPr="000B1EA2" w:rsidRDefault="009D6493" w:rsidP="009D6493">
      <w:pPr>
        <w:pStyle w:val="FSCtMain"/>
      </w:pPr>
      <w:r w:rsidRPr="00E63BDE">
        <w:tab/>
        <w:t>(1)</w:t>
      </w:r>
      <w:r w:rsidRPr="00E63BDE">
        <w:tab/>
        <w:t xml:space="preserve">A </w:t>
      </w:r>
      <w:r>
        <w:t>*</w:t>
      </w:r>
      <w:r w:rsidRPr="00E63BDE">
        <w:t xml:space="preserve">very low energy food must, when consumed </w:t>
      </w:r>
      <w:r w:rsidRPr="00E63BDE">
        <w:rPr>
          <w:szCs w:val="20"/>
          <w:shd w:val="clear" w:color="auto" w:fill="FFFFFF"/>
        </w:rPr>
        <w:t>according to the manufacturer’s directions for use, result in a diet that:</w:t>
      </w:r>
    </w:p>
    <w:p w14:paraId="32CFF5A2" w14:textId="77777777" w:rsidR="009D6493" w:rsidRPr="000B1EA2" w:rsidRDefault="009D6493" w:rsidP="009D6493">
      <w:pPr>
        <w:pStyle w:val="FSCtPara"/>
      </w:pPr>
      <w:r w:rsidRPr="000B1EA2">
        <w:tab/>
        <w:t>(a)</w:t>
      </w:r>
      <w:r w:rsidRPr="000B1EA2">
        <w:tab/>
      </w:r>
      <w:r w:rsidRPr="00E63BDE">
        <w:rPr>
          <w:szCs w:val="20"/>
          <w:lang w:eastAsia="en-GB"/>
        </w:rPr>
        <w:t>has an *average energy content of no less than 1880 kJ/day and no more than 3345 kJ/day</w:t>
      </w:r>
      <w:r w:rsidRPr="000B1EA2">
        <w:t>; and</w:t>
      </w:r>
    </w:p>
    <w:p w14:paraId="6F0F21FD" w14:textId="77777777" w:rsidR="009D6493" w:rsidRPr="000B1EA2" w:rsidRDefault="009D6493" w:rsidP="009D6493">
      <w:pPr>
        <w:pStyle w:val="FSCtPara"/>
      </w:pPr>
      <w:r w:rsidRPr="000B1EA2">
        <w:tab/>
        <w:t>(b)</w:t>
      </w:r>
      <w:r w:rsidRPr="000B1EA2">
        <w:tab/>
        <w:t xml:space="preserve">contains </w:t>
      </w:r>
      <w:r w:rsidRPr="00E63BDE">
        <w:rPr>
          <w:szCs w:val="20"/>
          <w:lang w:eastAsia="en-GB"/>
        </w:rPr>
        <w:t xml:space="preserve">not less than 50 g of *available carbohydrates present within the average energy content </w:t>
      </w:r>
      <w:r w:rsidRPr="000B1EA2">
        <w:rPr>
          <w:szCs w:val="20"/>
          <w:lang w:eastAsia="en-GB"/>
        </w:rPr>
        <w:t>required by paragraph (a);</w:t>
      </w:r>
      <w:r w:rsidRPr="000B1EA2">
        <w:t xml:space="preserve"> and</w:t>
      </w:r>
    </w:p>
    <w:p w14:paraId="3297D475" w14:textId="77777777" w:rsidR="009D6493" w:rsidRPr="00E63BDE" w:rsidRDefault="009D6493" w:rsidP="009D6493">
      <w:pPr>
        <w:pStyle w:val="FSCtPara"/>
        <w:rPr>
          <w:szCs w:val="20"/>
          <w:lang w:eastAsia="en-GB"/>
        </w:rPr>
      </w:pPr>
      <w:r w:rsidRPr="000B1EA2">
        <w:tab/>
        <w:t>(c)</w:t>
      </w:r>
      <w:r w:rsidRPr="000B1EA2">
        <w:tab/>
        <w:t>contain</w:t>
      </w:r>
      <w:r w:rsidRPr="00E63BDE">
        <w:t xml:space="preserve">s </w:t>
      </w:r>
      <w:r w:rsidRPr="00E63BDE">
        <w:rPr>
          <w:szCs w:val="20"/>
          <w:lang w:eastAsia="en-GB"/>
        </w:rPr>
        <w:t xml:space="preserve">not less than 50 g protein per day with a nutritional quality equivalent to a protein digestibility corrected amino acid score of 1, present within the average energy content </w:t>
      </w:r>
      <w:r w:rsidRPr="000B1EA2">
        <w:rPr>
          <w:szCs w:val="20"/>
          <w:lang w:eastAsia="en-GB"/>
        </w:rPr>
        <w:t>required by paragraph (a)</w:t>
      </w:r>
      <w:r w:rsidRPr="00E63BDE">
        <w:rPr>
          <w:szCs w:val="20"/>
          <w:lang w:eastAsia="en-GB"/>
        </w:rPr>
        <w:t>; and</w:t>
      </w:r>
    </w:p>
    <w:p w14:paraId="05BE5590" w14:textId="77777777" w:rsidR="009D6493" w:rsidRPr="00E63BDE" w:rsidRDefault="009D6493" w:rsidP="009D6493">
      <w:pPr>
        <w:pStyle w:val="FSCtPara"/>
        <w:rPr>
          <w:szCs w:val="20"/>
          <w:lang w:eastAsia="en-GB"/>
        </w:rPr>
      </w:pPr>
      <w:r w:rsidRPr="00E63BDE">
        <w:rPr>
          <w:szCs w:val="20"/>
          <w:lang w:eastAsia="en-GB"/>
        </w:rPr>
        <w:tab/>
        <w:t xml:space="preserve">(d) </w:t>
      </w:r>
      <w:r w:rsidRPr="00E63BDE">
        <w:rPr>
          <w:szCs w:val="20"/>
          <w:lang w:eastAsia="en-GB"/>
        </w:rPr>
        <w:tab/>
        <w:t xml:space="preserve">contains within the average energy content </w:t>
      </w:r>
      <w:r w:rsidRPr="000B1EA2">
        <w:rPr>
          <w:szCs w:val="20"/>
          <w:lang w:eastAsia="en-GB"/>
        </w:rPr>
        <w:t xml:space="preserve">required by paragraph (a) not </w:t>
      </w:r>
      <w:r w:rsidRPr="00E63BDE">
        <w:rPr>
          <w:szCs w:val="20"/>
          <w:lang w:eastAsia="en-GB"/>
        </w:rPr>
        <w:t>less than:</w:t>
      </w:r>
    </w:p>
    <w:p w14:paraId="71E52C9B" w14:textId="77777777" w:rsidR="009D6493" w:rsidRPr="00E63BDE" w:rsidRDefault="009D6493" w:rsidP="009D6493">
      <w:pPr>
        <w:pStyle w:val="FSCtPara"/>
        <w:tabs>
          <w:tab w:val="clear" w:pos="1701"/>
          <w:tab w:val="left" w:pos="2268"/>
        </w:tabs>
        <w:ind w:left="2835"/>
        <w:rPr>
          <w:szCs w:val="20"/>
          <w:lang w:eastAsia="en-GB"/>
        </w:rPr>
      </w:pPr>
      <w:r w:rsidRPr="00E63BDE">
        <w:rPr>
          <w:szCs w:val="20"/>
          <w:lang w:eastAsia="en-GB"/>
        </w:rPr>
        <w:tab/>
        <w:t>(i)</w:t>
      </w:r>
      <w:r w:rsidRPr="00E63BDE">
        <w:rPr>
          <w:szCs w:val="20"/>
          <w:lang w:eastAsia="en-GB"/>
        </w:rPr>
        <w:tab/>
        <w:t>3 g of linoleic acid; and</w:t>
      </w:r>
    </w:p>
    <w:p w14:paraId="7FED3875" w14:textId="77777777" w:rsidR="009D6493" w:rsidRPr="00E63BDE" w:rsidRDefault="009D6493" w:rsidP="009D6493">
      <w:pPr>
        <w:pStyle w:val="FSCtPara"/>
        <w:tabs>
          <w:tab w:val="clear" w:pos="1701"/>
          <w:tab w:val="left" w:pos="2268"/>
        </w:tabs>
        <w:ind w:left="2835"/>
        <w:rPr>
          <w:szCs w:val="20"/>
          <w:lang w:eastAsia="en-GB"/>
        </w:rPr>
      </w:pPr>
      <w:r w:rsidRPr="00E63BDE">
        <w:rPr>
          <w:szCs w:val="20"/>
          <w:lang w:eastAsia="en-GB"/>
        </w:rPr>
        <w:tab/>
        <w:t>(ii)</w:t>
      </w:r>
      <w:r w:rsidRPr="00E63BDE">
        <w:rPr>
          <w:szCs w:val="20"/>
          <w:lang w:eastAsia="en-GB"/>
        </w:rPr>
        <w:tab/>
        <w:t>0.5 g of α-linolenic acid</w:t>
      </w:r>
      <w:r w:rsidRPr="000B1EA2">
        <w:rPr>
          <w:szCs w:val="20"/>
          <w:lang w:eastAsia="en-GB"/>
        </w:rPr>
        <w:t>; and</w:t>
      </w:r>
    </w:p>
    <w:p w14:paraId="4A9BCDF9" w14:textId="77777777" w:rsidR="009D6493" w:rsidRPr="00E63BDE" w:rsidRDefault="009D6493" w:rsidP="009D6493">
      <w:pPr>
        <w:pStyle w:val="FSCtPara"/>
        <w:rPr>
          <w:szCs w:val="20"/>
          <w:lang w:eastAsia="en-GB"/>
        </w:rPr>
      </w:pPr>
      <w:r w:rsidRPr="000B1EA2">
        <w:rPr>
          <w:szCs w:val="20"/>
          <w:lang w:eastAsia="en-GB"/>
        </w:rPr>
        <w:tab/>
        <w:t xml:space="preserve">(e) </w:t>
      </w:r>
      <w:r w:rsidRPr="000B1EA2">
        <w:rPr>
          <w:szCs w:val="20"/>
          <w:lang w:eastAsia="en-GB"/>
        </w:rPr>
        <w:tab/>
      </w:r>
      <w:r w:rsidRPr="000B1EA2">
        <w:rPr>
          <w:szCs w:val="20"/>
        </w:rPr>
        <w:t xml:space="preserve">has a ratio of linoleic acid to α-linolenic acid of </w:t>
      </w:r>
      <w:r w:rsidRPr="00E63BDE">
        <w:rPr>
          <w:szCs w:val="20"/>
          <w:lang w:eastAsia="en-GB"/>
        </w:rPr>
        <w:t>between 5 and 15; and</w:t>
      </w:r>
    </w:p>
    <w:p w14:paraId="5639B1D5" w14:textId="77777777" w:rsidR="009D6493" w:rsidRPr="000B1EA2" w:rsidRDefault="009D6493" w:rsidP="009D6493">
      <w:pPr>
        <w:pStyle w:val="FSCtPara"/>
      </w:pPr>
      <w:r w:rsidRPr="00E63BDE">
        <w:rPr>
          <w:szCs w:val="20"/>
          <w:lang w:eastAsia="en-GB"/>
        </w:rPr>
        <w:tab/>
        <w:t>(f)</w:t>
      </w:r>
      <w:r w:rsidRPr="00E63BDE">
        <w:rPr>
          <w:szCs w:val="20"/>
          <w:lang w:eastAsia="en-GB"/>
        </w:rPr>
        <w:tab/>
        <w:t xml:space="preserve">contains </w:t>
      </w:r>
      <w:r w:rsidRPr="00E63BDE">
        <w:rPr>
          <w:szCs w:val="20"/>
          <w:shd w:val="clear" w:color="auto" w:fill="FFFFFF"/>
        </w:rPr>
        <w:t>not less than the minimum amount</w:t>
      </w:r>
      <w:r>
        <w:rPr>
          <w:szCs w:val="20"/>
          <w:shd w:val="clear" w:color="auto" w:fill="FFFFFF"/>
        </w:rPr>
        <w:t xml:space="preserve"> per daily intake</w:t>
      </w:r>
      <w:r w:rsidRPr="00E63BDE">
        <w:rPr>
          <w:szCs w:val="20"/>
          <w:shd w:val="clear" w:color="auto" w:fill="FFFFFF"/>
        </w:rPr>
        <w:t xml:space="preserve">, as specified in column 2 of the table to section </w:t>
      </w:r>
      <w:r w:rsidRPr="000B1EA2">
        <w:rPr>
          <w:szCs w:val="20"/>
          <w:shd w:val="clear" w:color="auto" w:fill="FFFFFF"/>
        </w:rPr>
        <w:t>S29—22</w:t>
      </w:r>
      <w:r w:rsidRPr="00E63BDE">
        <w:rPr>
          <w:szCs w:val="20"/>
          <w:shd w:val="clear" w:color="auto" w:fill="FFFFFF"/>
        </w:rPr>
        <w:t xml:space="preserve">, of each </w:t>
      </w:r>
      <w:r>
        <w:rPr>
          <w:szCs w:val="20"/>
          <w:shd w:val="clear" w:color="auto" w:fill="FFFFFF"/>
        </w:rPr>
        <w:t>nutrient</w:t>
      </w:r>
      <w:r w:rsidRPr="00E63BDE">
        <w:rPr>
          <w:szCs w:val="20"/>
          <w:shd w:val="clear" w:color="auto" w:fill="FFFFFF"/>
        </w:rPr>
        <w:t xml:space="preserve"> listed in Column 1 of that table.</w:t>
      </w:r>
    </w:p>
    <w:p w14:paraId="7E681330" w14:textId="77777777" w:rsidR="009D6493" w:rsidRPr="000B1EA2" w:rsidRDefault="009D6493" w:rsidP="009D6493">
      <w:pPr>
        <w:pStyle w:val="FSCtPara"/>
        <w:tabs>
          <w:tab w:val="clear" w:pos="1701"/>
          <w:tab w:val="left" w:pos="1134"/>
        </w:tabs>
        <w:ind w:left="1701" w:hanging="1701"/>
        <w:rPr>
          <w:szCs w:val="20"/>
        </w:rPr>
      </w:pPr>
      <w:r w:rsidRPr="00E63BDE">
        <w:rPr>
          <w:szCs w:val="20"/>
        </w:rPr>
        <w:tab/>
        <w:t>(2)</w:t>
      </w:r>
      <w:r w:rsidRPr="00E63BDE">
        <w:rPr>
          <w:szCs w:val="20"/>
        </w:rPr>
        <w:tab/>
        <w:t xml:space="preserve">Despite subsection </w:t>
      </w:r>
      <w:r w:rsidRPr="00E63BDE">
        <w:t>2.9.5—6(</w:t>
      </w:r>
      <w:r>
        <w:t>2</w:t>
      </w:r>
      <w:r w:rsidRPr="00E63BDE">
        <w:t>),</w:t>
      </w:r>
      <w:r w:rsidRPr="00E63BDE">
        <w:rPr>
          <w:szCs w:val="20"/>
        </w:rPr>
        <w:t xml:space="preserve"> L-amino acids listed in Column </w:t>
      </w:r>
      <w:r>
        <w:rPr>
          <w:szCs w:val="20"/>
        </w:rPr>
        <w:t>2</w:t>
      </w:r>
      <w:r w:rsidRPr="00E63BDE">
        <w:rPr>
          <w:szCs w:val="20"/>
        </w:rPr>
        <w:t xml:space="preserve"> of the table to section S</w:t>
      </w:r>
      <w:r>
        <w:rPr>
          <w:szCs w:val="20"/>
        </w:rPr>
        <w:t>29—20</w:t>
      </w:r>
      <w:r w:rsidRPr="00E63BDE">
        <w:rPr>
          <w:szCs w:val="20"/>
        </w:rPr>
        <w:t xml:space="preserve"> may be added to </w:t>
      </w:r>
      <w:r w:rsidRPr="00E63BDE">
        <w:t xml:space="preserve">a </w:t>
      </w:r>
      <w:r>
        <w:t>*</w:t>
      </w:r>
      <w:r w:rsidRPr="00E63BDE">
        <w:t xml:space="preserve">very low energy food </w:t>
      </w:r>
      <w:r w:rsidRPr="000B1EA2">
        <w:rPr>
          <w:szCs w:val="20"/>
        </w:rPr>
        <w:t>only in an amount necessary to improve protein quality.</w:t>
      </w:r>
    </w:p>
    <w:p w14:paraId="79B51E55" w14:textId="77777777" w:rsidR="009D6493" w:rsidRPr="00E63BDE" w:rsidRDefault="009D6493" w:rsidP="009D6493">
      <w:pPr>
        <w:pStyle w:val="FSCtPara"/>
        <w:tabs>
          <w:tab w:val="clear" w:pos="1701"/>
          <w:tab w:val="left" w:pos="1134"/>
        </w:tabs>
        <w:ind w:left="1701" w:hanging="1701"/>
        <w:rPr>
          <w:szCs w:val="20"/>
          <w:lang w:eastAsia="en-GB"/>
        </w:rPr>
      </w:pPr>
      <w:r w:rsidRPr="000B1EA2">
        <w:rPr>
          <w:szCs w:val="20"/>
        </w:rPr>
        <w:tab/>
        <w:t>(3)</w:t>
      </w:r>
      <w:r w:rsidRPr="000B1EA2">
        <w:rPr>
          <w:szCs w:val="20"/>
        </w:rPr>
        <w:tab/>
        <w:t xml:space="preserve">For this section, </w:t>
      </w:r>
      <w:r w:rsidRPr="00E63BDE">
        <w:rPr>
          <w:b/>
          <w:szCs w:val="20"/>
          <w:lang w:eastAsia="en-GB"/>
        </w:rPr>
        <w:t>protein digestibility corrected amino acid score</w:t>
      </w:r>
      <w:r w:rsidRPr="00E63BDE">
        <w:rPr>
          <w:szCs w:val="20"/>
          <w:lang w:eastAsia="en-GB"/>
        </w:rPr>
        <w:t xml:space="preserve"> means the score calculated and expressed in accordance with the method referred to on page 23 of the </w:t>
      </w:r>
      <w:r w:rsidRPr="000B1EA2">
        <w:t xml:space="preserve">Report of the Joint FAO/WHO Expert Consultation on Protein Quality Evaluation, Bethesda, MD USA, 4-8 December 1989, FAO Food and Nutrition Paper No. 51, </w:t>
      </w:r>
      <w:r w:rsidRPr="000B1EA2">
        <w:rPr>
          <w:szCs w:val="20"/>
        </w:rPr>
        <w:t>Food and Agriculture Organisation of the United Nations, Rome</w:t>
      </w:r>
      <w:r w:rsidRPr="00E63BDE">
        <w:t>, 1991.</w:t>
      </w:r>
    </w:p>
    <w:p w14:paraId="3459937F" w14:textId="77777777" w:rsidR="009D6493" w:rsidRPr="00482469" w:rsidRDefault="009D6493" w:rsidP="009D6493">
      <w:pPr>
        <w:pStyle w:val="FSCh5Section"/>
      </w:pPr>
      <w:r w:rsidRPr="00482469">
        <w:t>2.9.5—</w:t>
      </w:r>
      <w:r>
        <w:t>19</w:t>
      </w:r>
      <w:r w:rsidRPr="00482469">
        <w:tab/>
      </w:r>
      <w:r>
        <w:t>Prohibition</w:t>
      </w:r>
      <w:r w:rsidRPr="00482469">
        <w:t xml:space="preserve"> on health claims in relation to very low energy foods</w:t>
      </w:r>
    </w:p>
    <w:p w14:paraId="6B7C4946" w14:textId="77777777" w:rsidR="009D6493" w:rsidRPr="00482469" w:rsidRDefault="009D6493" w:rsidP="009D6493">
      <w:pPr>
        <w:pStyle w:val="FSCDraftingitem"/>
        <w:tabs>
          <w:tab w:val="clear" w:pos="851"/>
          <w:tab w:val="left" w:pos="1134"/>
        </w:tabs>
        <w:ind w:left="1701" w:hanging="1701"/>
        <w:rPr>
          <w:b/>
          <w:lang w:eastAsia="en-AU"/>
        </w:rPr>
      </w:pPr>
      <w:r w:rsidRPr="00482469">
        <w:rPr>
          <w:lang w:eastAsia="en-AU"/>
        </w:rPr>
        <w:tab/>
      </w:r>
      <w:r w:rsidRPr="00482469">
        <w:rPr>
          <w:lang w:eastAsia="en-AU"/>
        </w:rPr>
        <w:tab/>
        <w:t xml:space="preserve">A *health claim must not be made about a </w:t>
      </w:r>
      <w:r w:rsidRPr="00482469">
        <w:t>*very low energy food.</w:t>
      </w:r>
    </w:p>
    <w:p w14:paraId="1A13EFFA" w14:textId="77777777" w:rsidR="009D6493" w:rsidRDefault="009D6493" w:rsidP="009D6493">
      <w:pPr>
        <w:pStyle w:val="FSCDraftingitem"/>
        <w:rPr>
          <w:b/>
          <w:lang w:eastAsia="en-AU"/>
        </w:rPr>
      </w:pPr>
    </w:p>
    <w:p w14:paraId="09EA12E1" w14:textId="77777777" w:rsidR="009D6493" w:rsidRPr="00E63BDE" w:rsidRDefault="009D6493" w:rsidP="009D6493">
      <w:pPr>
        <w:pStyle w:val="FSCDraftingitem"/>
        <w:rPr>
          <w:b/>
          <w:i/>
          <w:lang w:bidi="en-US"/>
        </w:rPr>
      </w:pPr>
      <w:r w:rsidRPr="00E63BDE">
        <w:rPr>
          <w:b/>
          <w:lang w:eastAsia="en-AU"/>
        </w:rPr>
        <w:t>Standard 2.9.6 – Transitional standard for special purpose foods (including amino acid modified foods)</w:t>
      </w:r>
    </w:p>
    <w:p w14:paraId="73E2F908" w14:textId="77777777" w:rsidR="009D6493" w:rsidRPr="000B1EA2" w:rsidRDefault="009D6493" w:rsidP="009D6493">
      <w:pPr>
        <w:pStyle w:val="FSCDraftingitem"/>
      </w:pPr>
      <w:r w:rsidRPr="000B1EA2">
        <w:t>[3.1]</w:t>
      </w:r>
      <w:r w:rsidRPr="000B1EA2">
        <w:tab/>
      </w:r>
      <w:r w:rsidRPr="00E63BDE">
        <w:rPr>
          <w:b/>
        </w:rPr>
        <w:t>After subsection 2.9.6—3(3)</w:t>
      </w:r>
    </w:p>
    <w:p w14:paraId="6578AA0E" w14:textId="77777777" w:rsidR="009D6493" w:rsidRDefault="009D6493" w:rsidP="009D6493">
      <w:pPr>
        <w:pStyle w:val="FSCDraftingitem"/>
      </w:pPr>
      <w:r>
        <w:rPr>
          <w:b/>
          <w:i/>
          <w:lang w:bidi="en-US"/>
        </w:rPr>
        <w:tab/>
      </w:r>
      <w:r>
        <w:t>Repeal the Note, substitute:</w:t>
      </w:r>
    </w:p>
    <w:p w14:paraId="6120C88E" w14:textId="77777777" w:rsidR="009D6493" w:rsidRPr="00AC02CD" w:rsidRDefault="009D6493" w:rsidP="009D6493">
      <w:pPr>
        <w:pStyle w:val="FSCDraftingitem"/>
        <w:tabs>
          <w:tab w:val="clear" w:pos="851"/>
          <w:tab w:val="left" w:pos="1134"/>
        </w:tabs>
        <w:ind w:left="1701" w:hanging="1701"/>
        <w:rPr>
          <w:b/>
        </w:rPr>
      </w:pPr>
      <w:r w:rsidRPr="00AC02CD">
        <w:rPr>
          <w:lang w:eastAsia="en-AU"/>
        </w:rPr>
        <w:lastRenderedPageBreak/>
        <w:tab/>
        <w:t>(4)</w:t>
      </w:r>
      <w:r w:rsidRPr="00AC02CD">
        <w:rPr>
          <w:lang w:eastAsia="en-AU"/>
        </w:rPr>
        <w:tab/>
      </w:r>
      <w:r w:rsidRPr="00AC02CD">
        <w:rPr>
          <w:rFonts w:cs="Arial"/>
          <w:iCs/>
          <w:shd w:val="clear" w:color="auto" w:fill="FFFFFF"/>
        </w:rPr>
        <w:t xml:space="preserve">A provision of this Standard ceases to have effect in relation to a </w:t>
      </w:r>
      <w:r w:rsidRPr="00AC02CD">
        <w:t>*very low energy food</w:t>
      </w:r>
      <w:r w:rsidRPr="00AC02CD">
        <w:rPr>
          <w:rFonts w:cs="Arial"/>
          <w:iCs/>
          <w:shd w:val="clear" w:color="auto" w:fill="FFFFFF"/>
        </w:rPr>
        <w:t xml:space="preserve"> 3 years after the commencement of the </w:t>
      </w:r>
      <w:r w:rsidRPr="00AC02CD">
        <w:rPr>
          <w:rFonts w:cs="Arial"/>
          <w:i/>
          <w:iCs/>
        </w:rPr>
        <w:t>Food Standards (Application A1230 – Very Low Energy Diets (VLED)) Variation</w:t>
      </w:r>
      <w:r w:rsidRPr="00AC02CD">
        <w:rPr>
          <w:lang w:eastAsia="en-AU"/>
        </w:rPr>
        <w:t>.</w:t>
      </w:r>
    </w:p>
    <w:p w14:paraId="41BAD7E3" w14:textId="77777777" w:rsidR="009D6493" w:rsidRDefault="009D6493" w:rsidP="009D6493">
      <w:pPr>
        <w:pStyle w:val="FSCDraftingitem"/>
        <w:rPr>
          <w:b/>
          <w:i/>
          <w:lang w:bidi="en-US"/>
        </w:rPr>
      </w:pPr>
    </w:p>
    <w:p w14:paraId="37F8F34F" w14:textId="77777777" w:rsidR="009D6493" w:rsidRPr="00AC02CD" w:rsidRDefault="009D6493" w:rsidP="009D6493">
      <w:pPr>
        <w:pStyle w:val="FSCDraftingitem"/>
        <w:rPr>
          <w:b/>
          <w:i/>
          <w:lang w:bidi="en-US"/>
        </w:rPr>
      </w:pPr>
      <w:r w:rsidRPr="00AC02CD">
        <w:rPr>
          <w:b/>
          <w:i/>
          <w:lang w:bidi="en-US"/>
        </w:rPr>
        <w:t xml:space="preserve">Schedule 29 </w:t>
      </w:r>
      <w:r w:rsidRPr="00AC02CD">
        <w:rPr>
          <w:b/>
          <w:i/>
        </w:rPr>
        <w:t>Special Purpose Foods</w:t>
      </w:r>
    </w:p>
    <w:p w14:paraId="649B015A" w14:textId="77777777" w:rsidR="009D6493" w:rsidRPr="00AC02CD" w:rsidRDefault="009D6493" w:rsidP="009D6493">
      <w:pPr>
        <w:pStyle w:val="FSCDraftingitem"/>
      </w:pPr>
      <w:r w:rsidRPr="00AC02CD">
        <w:t>[4.1]</w:t>
      </w:r>
      <w:r w:rsidRPr="00AC02CD">
        <w:tab/>
      </w:r>
      <w:r w:rsidRPr="00AC02CD">
        <w:rPr>
          <w:b/>
        </w:rPr>
        <w:t xml:space="preserve">After section S29—21 </w:t>
      </w:r>
    </w:p>
    <w:p w14:paraId="298FC9DD" w14:textId="77777777" w:rsidR="009D6493" w:rsidRPr="00AC02CD" w:rsidRDefault="009D6493" w:rsidP="009D6493">
      <w:pPr>
        <w:pStyle w:val="FSCDraftingitem"/>
      </w:pPr>
      <w:r w:rsidRPr="00AC02CD">
        <w:tab/>
        <w:t>Insert:</w:t>
      </w:r>
    </w:p>
    <w:p w14:paraId="0C3FF9E8" w14:textId="77777777" w:rsidR="009D6493" w:rsidRPr="00AC02CD" w:rsidRDefault="009D6493" w:rsidP="009D6493">
      <w:pPr>
        <w:pStyle w:val="FSCh5Section"/>
      </w:pPr>
      <w:r w:rsidRPr="00AC02CD">
        <w:t>S29—22</w:t>
      </w:r>
      <w:r w:rsidRPr="00AC02CD">
        <w:tab/>
        <w:t>Nutritional content requirement</w:t>
      </w:r>
      <w:r>
        <w:t>s</w:t>
      </w:r>
      <w:r w:rsidRPr="00AC02CD">
        <w:t xml:space="preserve"> for a very low energy diet</w:t>
      </w:r>
    </w:p>
    <w:p w14:paraId="0D62EBDC" w14:textId="77777777" w:rsidR="009D6493" w:rsidRPr="00AC02CD" w:rsidRDefault="009D6493" w:rsidP="009D6493">
      <w:pPr>
        <w:pStyle w:val="FSCtMain"/>
      </w:pPr>
      <w:r w:rsidRPr="00AC02CD">
        <w:tab/>
      </w:r>
      <w:r w:rsidRPr="00AC02CD">
        <w:tab/>
        <w:t>For paragraph 2.9.5—18(1)(f), the table is:</w:t>
      </w:r>
    </w:p>
    <w:p w14:paraId="26FF21B4" w14:textId="77777777" w:rsidR="009D6493" w:rsidRPr="00E63BDE" w:rsidRDefault="009D6493" w:rsidP="009D6493">
      <w:pPr>
        <w:shd w:val="clear" w:color="auto" w:fill="FFFFFF"/>
        <w:spacing w:before="240" w:after="120"/>
        <w:jc w:val="center"/>
        <w:rPr>
          <w:rFonts w:cs="Arial"/>
          <w:b/>
          <w:bCs/>
          <w:sz w:val="18"/>
          <w:szCs w:val="18"/>
          <w:lang w:eastAsia="en-GB"/>
        </w:rPr>
      </w:pPr>
      <w:r w:rsidRPr="00E63BDE">
        <w:rPr>
          <w:rFonts w:cs="Arial"/>
          <w:b/>
          <w:bCs/>
          <w:sz w:val="18"/>
          <w:szCs w:val="18"/>
          <w:lang w:eastAsia="en-GB"/>
        </w:rPr>
        <w:t>Amounts of nutrients in a very low energy diet</w:t>
      </w:r>
    </w:p>
    <w:tbl>
      <w:tblPr>
        <w:tblW w:w="4536" w:type="dxa"/>
        <w:jc w:val="center"/>
        <w:tblCellMar>
          <w:left w:w="0" w:type="dxa"/>
          <w:right w:w="0" w:type="dxa"/>
        </w:tblCellMar>
        <w:tblLook w:val="04A0" w:firstRow="1" w:lastRow="0" w:firstColumn="1" w:lastColumn="0" w:noHBand="0" w:noVBand="1"/>
      </w:tblPr>
      <w:tblGrid>
        <w:gridCol w:w="2268"/>
        <w:gridCol w:w="2268"/>
      </w:tblGrid>
      <w:tr w:rsidR="009D6493" w:rsidRPr="00E63BDE" w14:paraId="350F8EA7" w14:textId="77777777" w:rsidTr="00933E28">
        <w:trPr>
          <w:tblHeader/>
          <w:jc w:val="center"/>
        </w:trPr>
        <w:tc>
          <w:tcPr>
            <w:tcW w:w="2268" w:type="dxa"/>
            <w:tcBorders>
              <w:top w:val="single" w:sz="8" w:space="0" w:color="auto"/>
              <w:left w:val="nil"/>
              <w:bottom w:val="nil"/>
              <w:right w:val="nil"/>
            </w:tcBorders>
            <w:tcMar>
              <w:top w:w="0" w:type="dxa"/>
              <w:left w:w="108" w:type="dxa"/>
              <w:bottom w:w="0" w:type="dxa"/>
              <w:right w:w="108" w:type="dxa"/>
            </w:tcMar>
            <w:hideMark/>
          </w:tcPr>
          <w:p w14:paraId="24BCB482" w14:textId="77777777" w:rsidR="009D6493" w:rsidRPr="000B1EA2" w:rsidRDefault="009D6493" w:rsidP="00933E28">
            <w:pPr>
              <w:spacing w:before="60" w:after="60"/>
              <w:rPr>
                <w:rFonts w:cs="Arial"/>
                <w:b/>
                <w:bCs/>
                <w:i/>
                <w:iCs/>
                <w:sz w:val="18"/>
                <w:szCs w:val="18"/>
                <w:lang w:eastAsia="en-GB"/>
              </w:rPr>
            </w:pPr>
            <w:r w:rsidRPr="000B1EA2">
              <w:rPr>
                <w:rFonts w:cs="Arial"/>
                <w:b/>
                <w:bCs/>
                <w:i/>
                <w:iCs/>
                <w:sz w:val="18"/>
                <w:szCs w:val="18"/>
                <w:lang w:eastAsia="en-GB"/>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7665A8F4" w14:textId="77777777" w:rsidR="009D6493" w:rsidRPr="00E63BDE" w:rsidRDefault="009D6493" w:rsidP="00933E28">
            <w:pPr>
              <w:spacing w:before="60" w:after="60"/>
              <w:rPr>
                <w:rFonts w:cs="Arial"/>
                <w:b/>
                <w:bCs/>
                <w:i/>
                <w:iCs/>
                <w:sz w:val="18"/>
                <w:szCs w:val="18"/>
                <w:lang w:eastAsia="en-GB"/>
              </w:rPr>
            </w:pPr>
            <w:r w:rsidRPr="00E63BDE">
              <w:rPr>
                <w:rFonts w:cs="Arial"/>
                <w:b/>
                <w:bCs/>
                <w:i/>
                <w:iCs/>
                <w:sz w:val="18"/>
                <w:szCs w:val="18"/>
                <w:lang w:eastAsia="en-GB"/>
              </w:rPr>
              <w:t>Column 2</w:t>
            </w:r>
          </w:p>
        </w:tc>
      </w:tr>
      <w:tr w:rsidR="009D6493" w:rsidRPr="00E63BDE" w14:paraId="56A7C622" w14:textId="77777777" w:rsidTr="00933E28">
        <w:trPr>
          <w:tblHeader/>
          <w:jc w:val="center"/>
        </w:trPr>
        <w:tc>
          <w:tcPr>
            <w:tcW w:w="2268" w:type="dxa"/>
            <w:tcBorders>
              <w:top w:val="nil"/>
              <w:left w:val="nil"/>
              <w:bottom w:val="single" w:sz="8" w:space="0" w:color="auto"/>
              <w:right w:val="nil"/>
            </w:tcBorders>
            <w:tcMar>
              <w:top w:w="0" w:type="dxa"/>
              <w:left w:w="108" w:type="dxa"/>
              <w:bottom w:w="0" w:type="dxa"/>
              <w:right w:w="108" w:type="dxa"/>
            </w:tcMar>
            <w:hideMark/>
          </w:tcPr>
          <w:p w14:paraId="30E079CE" w14:textId="77777777" w:rsidR="009D6493" w:rsidRPr="00E63BDE" w:rsidRDefault="009D6493" w:rsidP="00933E28">
            <w:pPr>
              <w:spacing w:before="60" w:after="60"/>
              <w:rPr>
                <w:rFonts w:cs="Arial"/>
                <w:i/>
                <w:iCs/>
                <w:sz w:val="18"/>
                <w:szCs w:val="18"/>
                <w:lang w:eastAsia="en-GB"/>
              </w:rPr>
            </w:pPr>
            <w:r w:rsidRPr="00E63BDE">
              <w:rPr>
                <w:rFonts w:cs="Arial"/>
                <w:i/>
                <w:iCs/>
                <w:sz w:val="18"/>
                <w:szCs w:val="18"/>
                <w:lang w:eastAsia="en-GB"/>
              </w:rPr>
              <w:t>Nutrient</w:t>
            </w:r>
          </w:p>
        </w:tc>
        <w:tc>
          <w:tcPr>
            <w:tcW w:w="2268" w:type="dxa"/>
            <w:tcBorders>
              <w:top w:val="nil"/>
              <w:left w:val="nil"/>
              <w:bottom w:val="single" w:sz="8" w:space="0" w:color="auto"/>
              <w:right w:val="nil"/>
            </w:tcBorders>
            <w:tcMar>
              <w:top w:w="0" w:type="dxa"/>
              <w:left w:w="108" w:type="dxa"/>
              <w:bottom w:w="0" w:type="dxa"/>
              <w:right w:w="108" w:type="dxa"/>
            </w:tcMar>
            <w:hideMark/>
          </w:tcPr>
          <w:p w14:paraId="2EADA536" w14:textId="77777777" w:rsidR="009D6493" w:rsidRPr="00E63BDE" w:rsidRDefault="009D6493" w:rsidP="00933E28">
            <w:pPr>
              <w:spacing w:before="60" w:after="60"/>
              <w:rPr>
                <w:rFonts w:cs="Arial"/>
                <w:i/>
                <w:iCs/>
                <w:sz w:val="18"/>
                <w:szCs w:val="18"/>
                <w:lang w:eastAsia="en-GB"/>
              </w:rPr>
            </w:pPr>
            <w:r w:rsidRPr="00E63BDE">
              <w:rPr>
                <w:rFonts w:cs="Arial"/>
                <w:i/>
                <w:iCs/>
                <w:sz w:val="18"/>
                <w:szCs w:val="18"/>
                <w:lang w:eastAsia="en-GB"/>
              </w:rPr>
              <w:t>Minimum amount per daily intake</w:t>
            </w:r>
          </w:p>
        </w:tc>
      </w:tr>
      <w:tr w:rsidR="009D6493" w:rsidRPr="00E63BDE" w14:paraId="7420A350" w14:textId="77777777" w:rsidTr="00933E28">
        <w:trPr>
          <w:jc w:val="center"/>
        </w:trPr>
        <w:tc>
          <w:tcPr>
            <w:tcW w:w="2268" w:type="dxa"/>
            <w:tcBorders>
              <w:top w:val="nil"/>
              <w:left w:val="nil"/>
              <w:bottom w:val="nil"/>
              <w:right w:val="nil"/>
            </w:tcBorders>
            <w:tcMar>
              <w:top w:w="0" w:type="dxa"/>
              <w:left w:w="108" w:type="dxa"/>
              <w:bottom w:w="0" w:type="dxa"/>
              <w:right w:w="108" w:type="dxa"/>
            </w:tcMar>
            <w:hideMark/>
          </w:tcPr>
          <w:p w14:paraId="7D68E50F" w14:textId="77777777" w:rsidR="009D6493" w:rsidRPr="00E63BDE" w:rsidRDefault="009D6493" w:rsidP="00933E28">
            <w:pPr>
              <w:spacing w:before="60" w:after="60"/>
              <w:rPr>
                <w:rFonts w:cs="Arial"/>
                <w:sz w:val="18"/>
                <w:szCs w:val="18"/>
                <w:lang w:eastAsia="en-GB"/>
              </w:rPr>
            </w:pPr>
            <w:r w:rsidRPr="00E63BDE">
              <w:rPr>
                <w:rFonts w:cs="Arial"/>
                <w:b/>
                <w:bCs/>
                <w:sz w:val="18"/>
                <w:szCs w:val="18"/>
                <w:lang w:eastAsia="en-GB"/>
              </w:rPr>
              <w:t>Vitamins</w:t>
            </w:r>
          </w:p>
        </w:tc>
        <w:tc>
          <w:tcPr>
            <w:tcW w:w="2268" w:type="dxa"/>
            <w:tcBorders>
              <w:top w:val="nil"/>
              <w:left w:val="nil"/>
              <w:bottom w:val="nil"/>
              <w:right w:val="nil"/>
            </w:tcBorders>
            <w:tcMar>
              <w:top w:w="0" w:type="dxa"/>
              <w:left w:w="108" w:type="dxa"/>
              <w:bottom w:w="0" w:type="dxa"/>
              <w:right w:w="108" w:type="dxa"/>
            </w:tcMar>
            <w:hideMark/>
          </w:tcPr>
          <w:p w14:paraId="3C286111" w14:textId="77777777" w:rsidR="009D6493" w:rsidRPr="00E63BDE" w:rsidRDefault="009D6493" w:rsidP="00933E28">
            <w:pPr>
              <w:spacing w:before="60" w:after="60"/>
              <w:rPr>
                <w:rFonts w:cs="Arial"/>
                <w:sz w:val="18"/>
                <w:szCs w:val="18"/>
                <w:lang w:eastAsia="en-GB"/>
              </w:rPr>
            </w:pPr>
            <w:r w:rsidRPr="00E63BDE">
              <w:rPr>
                <w:rFonts w:cs="Arial"/>
                <w:b/>
                <w:bCs/>
                <w:sz w:val="18"/>
                <w:szCs w:val="18"/>
                <w:lang w:eastAsia="en-GB"/>
              </w:rPr>
              <w:t> </w:t>
            </w:r>
          </w:p>
        </w:tc>
      </w:tr>
      <w:tr w:rsidR="009D6493" w:rsidRPr="00E63BDE" w14:paraId="33AE8B3B" w14:textId="77777777" w:rsidTr="00933E28">
        <w:trPr>
          <w:jc w:val="center"/>
        </w:trPr>
        <w:tc>
          <w:tcPr>
            <w:tcW w:w="2268" w:type="dxa"/>
            <w:tcMar>
              <w:top w:w="0" w:type="dxa"/>
              <w:left w:w="108" w:type="dxa"/>
              <w:bottom w:w="0" w:type="dxa"/>
              <w:right w:w="108" w:type="dxa"/>
            </w:tcMar>
            <w:hideMark/>
          </w:tcPr>
          <w:p w14:paraId="2326219C"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Vitamin A</w:t>
            </w:r>
          </w:p>
        </w:tc>
        <w:tc>
          <w:tcPr>
            <w:tcW w:w="2268" w:type="dxa"/>
            <w:tcMar>
              <w:top w:w="0" w:type="dxa"/>
              <w:left w:w="108" w:type="dxa"/>
              <w:bottom w:w="0" w:type="dxa"/>
              <w:right w:w="108" w:type="dxa"/>
            </w:tcMar>
            <w:hideMark/>
          </w:tcPr>
          <w:p w14:paraId="08E426BB"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600 µg retinol equivalents</w:t>
            </w:r>
            <w:r w:rsidRPr="00E63BDE">
              <w:rPr>
                <w:rFonts w:cs="Arial"/>
                <w:sz w:val="14"/>
                <w:szCs w:val="14"/>
                <w:vertAlign w:val="superscript"/>
                <w:lang w:eastAsia="en-GB"/>
              </w:rPr>
              <w:t>1</w:t>
            </w:r>
          </w:p>
        </w:tc>
      </w:tr>
      <w:tr w:rsidR="009D6493" w:rsidRPr="00E63BDE" w14:paraId="621EE2FE" w14:textId="77777777" w:rsidTr="00933E28">
        <w:trPr>
          <w:jc w:val="center"/>
        </w:trPr>
        <w:tc>
          <w:tcPr>
            <w:tcW w:w="2268" w:type="dxa"/>
            <w:tcMar>
              <w:top w:w="0" w:type="dxa"/>
              <w:left w:w="108" w:type="dxa"/>
              <w:bottom w:w="0" w:type="dxa"/>
              <w:right w:w="108" w:type="dxa"/>
            </w:tcMar>
            <w:hideMark/>
          </w:tcPr>
          <w:p w14:paraId="4A203238"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Vitamin D</w:t>
            </w:r>
          </w:p>
        </w:tc>
        <w:tc>
          <w:tcPr>
            <w:tcW w:w="2268" w:type="dxa"/>
            <w:tcMar>
              <w:top w:w="0" w:type="dxa"/>
              <w:left w:w="108" w:type="dxa"/>
              <w:bottom w:w="0" w:type="dxa"/>
              <w:right w:w="108" w:type="dxa"/>
            </w:tcMar>
            <w:hideMark/>
          </w:tcPr>
          <w:p w14:paraId="50337BBD"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2.5 µg</w:t>
            </w:r>
          </w:p>
        </w:tc>
      </w:tr>
      <w:tr w:rsidR="009D6493" w:rsidRPr="00E63BDE" w14:paraId="1092D961" w14:textId="77777777" w:rsidTr="00933E28">
        <w:trPr>
          <w:jc w:val="center"/>
        </w:trPr>
        <w:tc>
          <w:tcPr>
            <w:tcW w:w="2268" w:type="dxa"/>
            <w:tcMar>
              <w:top w:w="0" w:type="dxa"/>
              <w:left w:w="108" w:type="dxa"/>
              <w:bottom w:w="0" w:type="dxa"/>
              <w:right w:w="108" w:type="dxa"/>
            </w:tcMar>
          </w:tcPr>
          <w:p w14:paraId="55F7023D"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Vitamin E</w:t>
            </w:r>
          </w:p>
        </w:tc>
        <w:tc>
          <w:tcPr>
            <w:tcW w:w="2268" w:type="dxa"/>
            <w:tcMar>
              <w:top w:w="0" w:type="dxa"/>
              <w:left w:w="108" w:type="dxa"/>
              <w:bottom w:w="0" w:type="dxa"/>
              <w:right w:w="108" w:type="dxa"/>
            </w:tcMar>
          </w:tcPr>
          <w:p w14:paraId="001DC172" w14:textId="77777777" w:rsidR="009D6493" w:rsidRPr="000B1EA2" w:rsidRDefault="009D6493" w:rsidP="00933E28">
            <w:pPr>
              <w:spacing w:before="60" w:after="60"/>
              <w:rPr>
                <w:rFonts w:cs="Arial"/>
                <w:sz w:val="18"/>
                <w:szCs w:val="18"/>
                <w:lang w:eastAsia="en-GB"/>
              </w:rPr>
            </w:pPr>
            <w:r w:rsidRPr="00E63BDE">
              <w:rPr>
                <w:rFonts w:cs="Arial"/>
                <w:sz w:val="18"/>
                <w:szCs w:val="18"/>
                <w:lang w:eastAsia="en-GB"/>
              </w:rPr>
              <w:t xml:space="preserve">10 </w:t>
            </w:r>
            <w:r w:rsidRPr="00E63BDE">
              <w:rPr>
                <w:rFonts w:cs="Arial"/>
                <w:sz w:val="18"/>
                <w:szCs w:val="18"/>
                <w:shd w:val="clear" w:color="auto" w:fill="FFFFFF"/>
              </w:rPr>
              <w:t>mg α-tocopherol</w:t>
            </w:r>
            <w:r w:rsidRPr="00E63BDE">
              <w:rPr>
                <w:rFonts w:cs="Arial"/>
                <w:sz w:val="14"/>
                <w:szCs w:val="14"/>
                <w:shd w:val="clear" w:color="auto" w:fill="FFFFFF"/>
                <w:vertAlign w:val="superscript"/>
              </w:rPr>
              <w:t> </w:t>
            </w:r>
            <w:r w:rsidRPr="00E63BDE">
              <w:rPr>
                <w:rFonts w:cs="Arial"/>
                <w:sz w:val="18"/>
                <w:szCs w:val="18"/>
                <w:shd w:val="clear" w:color="auto" w:fill="FFFFFF"/>
              </w:rPr>
              <w:t>equivalents</w:t>
            </w:r>
            <w:r w:rsidRPr="000B1EA2">
              <w:rPr>
                <w:rFonts w:cs="Arial"/>
                <w:sz w:val="14"/>
                <w:szCs w:val="14"/>
                <w:vertAlign w:val="superscript"/>
                <w:lang w:eastAsia="en-GB"/>
              </w:rPr>
              <w:t>2</w:t>
            </w:r>
          </w:p>
        </w:tc>
      </w:tr>
      <w:tr w:rsidR="009D6493" w:rsidRPr="00E63BDE" w14:paraId="29DAF68C" w14:textId="77777777" w:rsidTr="00933E28">
        <w:trPr>
          <w:jc w:val="center"/>
        </w:trPr>
        <w:tc>
          <w:tcPr>
            <w:tcW w:w="2268" w:type="dxa"/>
            <w:tcMar>
              <w:top w:w="0" w:type="dxa"/>
              <w:left w:w="108" w:type="dxa"/>
              <w:bottom w:w="0" w:type="dxa"/>
              <w:right w:w="108" w:type="dxa"/>
            </w:tcMar>
            <w:hideMark/>
          </w:tcPr>
          <w:p w14:paraId="6CAA2319"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Vitamin C</w:t>
            </w:r>
          </w:p>
          <w:p w14:paraId="56115B84"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Vitamin B</w:t>
            </w:r>
            <w:r w:rsidRPr="00E63BDE">
              <w:rPr>
                <w:rFonts w:cs="Arial"/>
                <w:sz w:val="14"/>
                <w:szCs w:val="14"/>
                <w:vertAlign w:val="subscript"/>
                <w:lang w:eastAsia="en-GB"/>
              </w:rPr>
              <w:t>6</w:t>
            </w:r>
          </w:p>
          <w:p w14:paraId="72F0B67C" w14:textId="77777777" w:rsidR="009D6493" w:rsidRPr="00E63BDE" w:rsidRDefault="009D6493" w:rsidP="00933E28">
            <w:pPr>
              <w:spacing w:before="60" w:after="60"/>
              <w:rPr>
                <w:rFonts w:cs="Arial"/>
                <w:sz w:val="14"/>
                <w:szCs w:val="14"/>
                <w:vertAlign w:val="subscript"/>
                <w:lang w:eastAsia="en-GB"/>
              </w:rPr>
            </w:pPr>
            <w:r w:rsidRPr="00E63BDE">
              <w:rPr>
                <w:rFonts w:cs="Arial"/>
                <w:sz w:val="18"/>
                <w:szCs w:val="18"/>
                <w:lang w:eastAsia="en-GB"/>
              </w:rPr>
              <w:t>Vitamin B</w:t>
            </w:r>
            <w:r w:rsidRPr="00E63BDE">
              <w:rPr>
                <w:rFonts w:cs="Arial"/>
                <w:sz w:val="14"/>
                <w:szCs w:val="14"/>
                <w:vertAlign w:val="subscript"/>
                <w:lang w:eastAsia="en-GB"/>
              </w:rPr>
              <w:t>12</w:t>
            </w:r>
          </w:p>
          <w:p w14:paraId="1795A398"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Niacin</w:t>
            </w:r>
          </w:p>
        </w:tc>
        <w:tc>
          <w:tcPr>
            <w:tcW w:w="2268" w:type="dxa"/>
            <w:tcMar>
              <w:top w:w="0" w:type="dxa"/>
              <w:left w:w="108" w:type="dxa"/>
              <w:bottom w:w="0" w:type="dxa"/>
              <w:right w:w="108" w:type="dxa"/>
            </w:tcMar>
            <w:hideMark/>
          </w:tcPr>
          <w:p w14:paraId="62B1AB19"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30 mg</w:t>
            </w:r>
          </w:p>
          <w:p w14:paraId="54FDD6B7"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2 mg</w:t>
            </w:r>
          </w:p>
          <w:p w14:paraId="29231541"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 xml:space="preserve">1 µg </w:t>
            </w:r>
          </w:p>
          <w:p w14:paraId="41F3323C" w14:textId="77777777" w:rsidR="009D6493" w:rsidRPr="000B1EA2" w:rsidRDefault="009D6493" w:rsidP="00933E28">
            <w:pPr>
              <w:spacing w:before="60" w:after="60"/>
              <w:rPr>
                <w:rFonts w:cs="Arial"/>
                <w:sz w:val="18"/>
                <w:szCs w:val="18"/>
                <w:lang w:eastAsia="en-GB"/>
              </w:rPr>
            </w:pPr>
            <w:r w:rsidRPr="00E63BDE">
              <w:rPr>
                <w:rFonts w:cs="Arial"/>
                <w:sz w:val="18"/>
                <w:szCs w:val="18"/>
                <w:lang w:eastAsia="en-GB"/>
              </w:rPr>
              <w:t>11 mg niacin equivalents</w:t>
            </w:r>
            <w:r w:rsidRPr="00E63BDE">
              <w:rPr>
                <w:rFonts w:cs="Arial"/>
                <w:sz w:val="14"/>
                <w:szCs w:val="14"/>
                <w:shd w:val="clear" w:color="auto" w:fill="FFFFFF"/>
                <w:vertAlign w:val="superscript"/>
              </w:rPr>
              <w:t>3</w:t>
            </w:r>
          </w:p>
        </w:tc>
      </w:tr>
      <w:tr w:rsidR="009D6493" w:rsidRPr="00E63BDE" w14:paraId="16FB7EC2" w14:textId="77777777" w:rsidTr="00933E28">
        <w:trPr>
          <w:jc w:val="center"/>
        </w:trPr>
        <w:tc>
          <w:tcPr>
            <w:tcW w:w="2268" w:type="dxa"/>
            <w:tcMar>
              <w:top w:w="0" w:type="dxa"/>
              <w:left w:w="108" w:type="dxa"/>
              <w:bottom w:w="0" w:type="dxa"/>
              <w:right w:w="108" w:type="dxa"/>
            </w:tcMar>
            <w:hideMark/>
          </w:tcPr>
          <w:p w14:paraId="50312F07"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Riboflavin</w:t>
            </w:r>
          </w:p>
          <w:p w14:paraId="09E5F50A"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Thiamin</w:t>
            </w:r>
          </w:p>
        </w:tc>
        <w:tc>
          <w:tcPr>
            <w:tcW w:w="2268" w:type="dxa"/>
            <w:tcMar>
              <w:top w:w="0" w:type="dxa"/>
              <w:left w:w="108" w:type="dxa"/>
              <w:bottom w:w="0" w:type="dxa"/>
              <w:right w:w="108" w:type="dxa"/>
            </w:tcMar>
            <w:hideMark/>
          </w:tcPr>
          <w:p w14:paraId="55F63DC6"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1.2 mg</w:t>
            </w:r>
          </w:p>
          <w:p w14:paraId="62ACB729"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0.8 mg</w:t>
            </w:r>
          </w:p>
        </w:tc>
      </w:tr>
      <w:tr w:rsidR="00875A4F" w:rsidRPr="00E63BDE" w14:paraId="486D4165" w14:textId="77777777" w:rsidTr="00875A4F">
        <w:trPr>
          <w:jc w:val="center"/>
        </w:trPr>
        <w:tc>
          <w:tcPr>
            <w:tcW w:w="2268" w:type="dxa"/>
            <w:tcMar>
              <w:top w:w="0" w:type="dxa"/>
              <w:left w:w="108" w:type="dxa"/>
              <w:bottom w:w="0" w:type="dxa"/>
              <w:right w:w="108" w:type="dxa"/>
            </w:tcMar>
          </w:tcPr>
          <w:p w14:paraId="4E446080" w14:textId="2ADCD5F8" w:rsidR="00875A4F" w:rsidRPr="00E63BDE" w:rsidRDefault="00875A4F" w:rsidP="00933E28">
            <w:pPr>
              <w:spacing w:before="60" w:after="60"/>
              <w:rPr>
                <w:rFonts w:cs="Arial"/>
                <w:sz w:val="18"/>
                <w:szCs w:val="18"/>
                <w:lang w:eastAsia="en-GB"/>
              </w:rPr>
            </w:pPr>
            <w:r>
              <w:rPr>
                <w:rFonts w:cs="Arial"/>
                <w:sz w:val="18"/>
                <w:szCs w:val="18"/>
                <w:lang w:eastAsia="en-GB"/>
              </w:rPr>
              <w:t>Folic Acid</w:t>
            </w:r>
          </w:p>
        </w:tc>
        <w:tc>
          <w:tcPr>
            <w:tcW w:w="2268" w:type="dxa"/>
            <w:tcMar>
              <w:top w:w="0" w:type="dxa"/>
              <w:left w:w="108" w:type="dxa"/>
              <w:bottom w:w="0" w:type="dxa"/>
              <w:right w:w="108" w:type="dxa"/>
            </w:tcMar>
          </w:tcPr>
          <w:p w14:paraId="3036FBF9" w14:textId="3EF9CC87" w:rsidR="00875A4F" w:rsidRPr="00E63BDE" w:rsidRDefault="00875A4F" w:rsidP="00933E28">
            <w:pPr>
              <w:spacing w:before="60" w:after="60"/>
              <w:rPr>
                <w:rFonts w:cs="Arial"/>
                <w:sz w:val="18"/>
                <w:szCs w:val="18"/>
                <w:lang w:eastAsia="en-GB"/>
              </w:rPr>
            </w:pPr>
            <w:r>
              <w:rPr>
                <w:rFonts w:cs="Arial"/>
                <w:sz w:val="18"/>
                <w:szCs w:val="18"/>
                <w:lang w:eastAsia="en-GB"/>
              </w:rPr>
              <w:t>200</w:t>
            </w:r>
            <w:r w:rsidRPr="00E63BDE">
              <w:rPr>
                <w:rFonts w:cs="Arial"/>
                <w:sz w:val="18"/>
                <w:szCs w:val="18"/>
                <w:lang w:eastAsia="en-GB"/>
              </w:rPr>
              <w:t xml:space="preserve"> </w:t>
            </w:r>
            <w:r w:rsidRPr="00E63BDE">
              <w:rPr>
                <w:rFonts w:cs="Arial"/>
                <w:sz w:val="18"/>
                <w:szCs w:val="18"/>
                <w:lang w:eastAsia="en-GB"/>
              </w:rPr>
              <w:t>µg</w:t>
            </w:r>
          </w:p>
        </w:tc>
      </w:tr>
      <w:tr w:rsidR="00875A4F" w:rsidRPr="00E63BDE" w14:paraId="52F15A1D" w14:textId="77777777" w:rsidTr="00875A4F">
        <w:trPr>
          <w:jc w:val="center"/>
        </w:trPr>
        <w:tc>
          <w:tcPr>
            <w:tcW w:w="2268" w:type="dxa"/>
            <w:tcBorders>
              <w:bottom w:val="single" w:sz="4" w:space="0" w:color="auto"/>
            </w:tcBorders>
            <w:tcMar>
              <w:top w:w="0" w:type="dxa"/>
              <w:left w:w="108" w:type="dxa"/>
              <w:bottom w:w="0" w:type="dxa"/>
              <w:right w:w="108" w:type="dxa"/>
            </w:tcMar>
          </w:tcPr>
          <w:p w14:paraId="7E661135" w14:textId="7E2B7860" w:rsidR="00875A4F" w:rsidRPr="00875A4F" w:rsidRDefault="00875A4F" w:rsidP="00933E28">
            <w:pPr>
              <w:spacing w:before="60" w:after="60"/>
              <w:rPr>
                <w:rFonts w:cs="Arial"/>
                <w:b/>
                <w:sz w:val="18"/>
                <w:szCs w:val="18"/>
                <w:lang w:eastAsia="en-GB"/>
              </w:rPr>
            </w:pPr>
            <w:r w:rsidRPr="00875A4F">
              <w:rPr>
                <w:rFonts w:cs="Arial"/>
                <w:b/>
                <w:sz w:val="18"/>
                <w:szCs w:val="18"/>
                <w:lang w:eastAsia="en-GB"/>
              </w:rPr>
              <w:t>Minerals</w:t>
            </w:r>
          </w:p>
        </w:tc>
        <w:tc>
          <w:tcPr>
            <w:tcW w:w="2268" w:type="dxa"/>
            <w:tcBorders>
              <w:bottom w:val="single" w:sz="4" w:space="0" w:color="auto"/>
            </w:tcBorders>
            <w:tcMar>
              <w:top w:w="0" w:type="dxa"/>
              <w:left w:w="108" w:type="dxa"/>
              <w:bottom w:w="0" w:type="dxa"/>
              <w:right w:w="108" w:type="dxa"/>
            </w:tcMar>
          </w:tcPr>
          <w:p w14:paraId="2CAF0F79" w14:textId="77777777" w:rsidR="00875A4F" w:rsidRDefault="00875A4F" w:rsidP="00933E28">
            <w:pPr>
              <w:spacing w:before="60" w:after="60"/>
              <w:rPr>
                <w:rFonts w:cs="Arial"/>
                <w:sz w:val="18"/>
                <w:szCs w:val="18"/>
                <w:lang w:eastAsia="en-GB"/>
              </w:rPr>
            </w:pPr>
          </w:p>
        </w:tc>
      </w:tr>
      <w:tr w:rsidR="009D6493" w:rsidRPr="00E63BDE" w14:paraId="37C21140" w14:textId="77777777" w:rsidTr="00875A4F">
        <w:trPr>
          <w:jc w:val="center"/>
        </w:trPr>
        <w:tc>
          <w:tcPr>
            <w:tcW w:w="2268" w:type="dxa"/>
            <w:tcBorders>
              <w:top w:val="single" w:sz="4" w:space="0" w:color="auto"/>
            </w:tcBorders>
            <w:tcMar>
              <w:top w:w="0" w:type="dxa"/>
              <w:left w:w="108" w:type="dxa"/>
              <w:bottom w:w="0" w:type="dxa"/>
              <w:right w:w="108" w:type="dxa"/>
            </w:tcMar>
            <w:hideMark/>
          </w:tcPr>
          <w:p w14:paraId="0B07906B"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Calcium</w:t>
            </w:r>
          </w:p>
          <w:p w14:paraId="3C3BFCC3"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Phosphorus</w:t>
            </w:r>
          </w:p>
          <w:p w14:paraId="645C9EE7"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Iron</w:t>
            </w:r>
          </w:p>
          <w:p w14:paraId="5048EA7E"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Iodine</w:t>
            </w:r>
          </w:p>
          <w:p w14:paraId="1858D72A"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Magnesium</w:t>
            </w:r>
          </w:p>
        </w:tc>
        <w:tc>
          <w:tcPr>
            <w:tcW w:w="2268" w:type="dxa"/>
            <w:tcBorders>
              <w:top w:val="single" w:sz="4" w:space="0" w:color="auto"/>
            </w:tcBorders>
            <w:tcMar>
              <w:top w:w="0" w:type="dxa"/>
              <w:left w:w="108" w:type="dxa"/>
              <w:bottom w:w="0" w:type="dxa"/>
              <w:right w:w="108" w:type="dxa"/>
            </w:tcMar>
            <w:hideMark/>
          </w:tcPr>
          <w:p w14:paraId="2343359C"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500 mg</w:t>
            </w:r>
            <w:bookmarkStart w:id="0" w:name="_GoBack"/>
            <w:bookmarkEnd w:id="0"/>
          </w:p>
          <w:p w14:paraId="646C62DC"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500 mg</w:t>
            </w:r>
          </w:p>
          <w:p w14:paraId="2D196CD0"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16 mg</w:t>
            </w:r>
          </w:p>
          <w:p w14:paraId="437027B4"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140 µg</w:t>
            </w:r>
          </w:p>
          <w:p w14:paraId="40AFEA73"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350 mg</w:t>
            </w:r>
          </w:p>
        </w:tc>
      </w:tr>
      <w:tr w:rsidR="009D6493" w:rsidRPr="00E63BDE" w14:paraId="1EDA4F44" w14:textId="77777777" w:rsidTr="00933E28">
        <w:trPr>
          <w:trHeight w:val="66"/>
          <w:jc w:val="center"/>
        </w:trPr>
        <w:tc>
          <w:tcPr>
            <w:tcW w:w="2268" w:type="dxa"/>
            <w:tcMar>
              <w:top w:w="0" w:type="dxa"/>
              <w:left w:w="108" w:type="dxa"/>
              <w:bottom w:w="0" w:type="dxa"/>
              <w:right w:w="108" w:type="dxa"/>
            </w:tcMar>
            <w:hideMark/>
          </w:tcPr>
          <w:p w14:paraId="2B1C8511"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Copper</w:t>
            </w:r>
          </w:p>
          <w:p w14:paraId="0029953A"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Zinc</w:t>
            </w:r>
          </w:p>
          <w:p w14:paraId="564E8073"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Potassium</w:t>
            </w:r>
          </w:p>
          <w:p w14:paraId="1CA2A654"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 xml:space="preserve">Sodium </w:t>
            </w:r>
          </w:p>
        </w:tc>
        <w:tc>
          <w:tcPr>
            <w:tcW w:w="2268" w:type="dxa"/>
            <w:tcMar>
              <w:top w:w="0" w:type="dxa"/>
              <w:left w:w="108" w:type="dxa"/>
              <w:bottom w:w="0" w:type="dxa"/>
              <w:right w:w="108" w:type="dxa"/>
            </w:tcMar>
            <w:hideMark/>
          </w:tcPr>
          <w:p w14:paraId="26D3B19E"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1.5 mg</w:t>
            </w:r>
          </w:p>
          <w:p w14:paraId="2251D0B8"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6 mg</w:t>
            </w:r>
          </w:p>
          <w:p w14:paraId="37C0DFE9"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1.6 g</w:t>
            </w:r>
          </w:p>
          <w:p w14:paraId="7D5AC8E7" w14:textId="77777777" w:rsidR="009D6493" w:rsidRPr="00E63BDE" w:rsidRDefault="009D6493" w:rsidP="00933E28">
            <w:pPr>
              <w:spacing w:before="60" w:after="60"/>
              <w:rPr>
                <w:rFonts w:cs="Arial"/>
                <w:sz w:val="18"/>
                <w:szCs w:val="18"/>
                <w:lang w:eastAsia="en-GB"/>
              </w:rPr>
            </w:pPr>
            <w:r w:rsidRPr="00E63BDE">
              <w:rPr>
                <w:rFonts w:cs="Arial"/>
                <w:sz w:val="18"/>
                <w:szCs w:val="18"/>
                <w:lang w:eastAsia="en-GB"/>
              </w:rPr>
              <w:t>1 g</w:t>
            </w:r>
          </w:p>
        </w:tc>
      </w:tr>
    </w:tbl>
    <w:p w14:paraId="381F953B" w14:textId="77777777" w:rsidR="009D6493" w:rsidRPr="00E63BDE" w:rsidRDefault="009D6493" w:rsidP="009D6493">
      <w:pPr>
        <w:spacing w:before="120" w:after="120"/>
      </w:pPr>
    </w:p>
    <w:p w14:paraId="2EACD4BF" w14:textId="77777777" w:rsidR="009D6493" w:rsidRPr="00E63BDE" w:rsidRDefault="009D6493" w:rsidP="009D6493">
      <w:pPr>
        <w:spacing w:before="120" w:after="120"/>
        <w:ind w:left="3119" w:hanging="851"/>
        <w:rPr>
          <w:rFonts w:cs="Arial"/>
          <w:sz w:val="20"/>
          <w:lang w:eastAsia="en-GB"/>
        </w:rPr>
      </w:pPr>
      <w:r w:rsidRPr="00E63BDE">
        <w:rPr>
          <w:rFonts w:cs="Arial"/>
          <w:b/>
          <w:bCs/>
          <w:i/>
          <w:iCs/>
          <w:sz w:val="14"/>
          <w:szCs w:val="16"/>
          <w:lang w:eastAsia="en-GB"/>
        </w:rPr>
        <w:t>Note 1</w:t>
      </w:r>
      <w:r w:rsidRPr="00E63BDE">
        <w:rPr>
          <w:rFonts w:cs="Arial"/>
          <w:sz w:val="14"/>
          <w:szCs w:val="16"/>
          <w:lang w:eastAsia="en-GB"/>
        </w:rPr>
        <w:t>        See paragraph 1.1.2—14(3)(a).</w:t>
      </w:r>
    </w:p>
    <w:p w14:paraId="376A74D6" w14:textId="77777777" w:rsidR="009D6493" w:rsidRPr="00E63BDE" w:rsidRDefault="009D6493" w:rsidP="009D6493">
      <w:pPr>
        <w:spacing w:before="120" w:after="120"/>
        <w:ind w:left="3119" w:hanging="851"/>
        <w:rPr>
          <w:rFonts w:cs="Arial"/>
          <w:sz w:val="20"/>
          <w:lang w:eastAsia="en-GB"/>
        </w:rPr>
      </w:pPr>
      <w:r w:rsidRPr="00E63BDE">
        <w:rPr>
          <w:rFonts w:cs="Arial"/>
          <w:b/>
          <w:bCs/>
          <w:i/>
          <w:iCs/>
          <w:sz w:val="14"/>
          <w:szCs w:val="16"/>
          <w:lang w:eastAsia="en-GB"/>
        </w:rPr>
        <w:t>Note 2        </w:t>
      </w:r>
      <w:r w:rsidRPr="00E63BDE">
        <w:rPr>
          <w:rFonts w:cs="Arial"/>
          <w:sz w:val="14"/>
          <w:szCs w:val="16"/>
          <w:lang w:eastAsia="en-GB"/>
        </w:rPr>
        <w:t>See paragraph 1.1.2—14(3)(c).</w:t>
      </w:r>
    </w:p>
    <w:p w14:paraId="0A10FA3B" w14:textId="77777777" w:rsidR="009D6493" w:rsidRPr="000B1EA2" w:rsidRDefault="009D6493" w:rsidP="009D6493">
      <w:pPr>
        <w:pStyle w:val="Heading2"/>
      </w:pPr>
      <w:r w:rsidRPr="00E63BDE">
        <w:rPr>
          <w:i/>
          <w:iCs/>
          <w:sz w:val="14"/>
          <w:szCs w:val="16"/>
          <w:lang w:eastAsia="en-GB"/>
        </w:rPr>
        <w:t>Note 3</w:t>
      </w:r>
      <w:r w:rsidRPr="00E63BDE">
        <w:rPr>
          <w:sz w:val="14"/>
          <w:szCs w:val="16"/>
          <w:lang w:eastAsia="en-GB"/>
        </w:rPr>
        <w:t>        For niacin, add niacin and any niacin provided from the conversion of the amino acid tryptophan, using the conversion factor 1:60.</w:t>
      </w:r>
    </w:p>
    <w:p w14:paraId="485C5DA9" w14:textId="77777777" w:rsidR="00D5526B" w:rsidRPr="003A01FB" w:rsidRDefault="00D5526B" w:rsidP="009D6493"/>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362F" w14:textId="77777777" w:rsidR="00371494" w:rsidRDefault="00371494" w:rsidP="00D87A28">
      <w:r>
        <w:separator/>
      </w:r>
    </w:p>
  </w:endnote>
  <w:endnote w:type="continuationSeparator" w:id="0">
    <w:p w14:paraId="0906519D" w14:textId="77777777" w:rsidR="00371494" w:rsidRDefault="00371494" w:rsidP="00D8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E707" w14:textId="77777777" w:rsidR="00371494" w:rsidRDefault="00371494" w:rsidP="00D87A28">
      <w:r>
        <w:separator/>
      </w:r>
    </w:p>
  </w:footnote>
  <w:footnote w:type="continuationSeparator" w:id="0">
    <w:p w14:paraId="0488A7BA" w14:textId="77777777" w:rsidR="00371494" w:rsidRDefault="00371494" w:rsidP="00D8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4767"/>
    <w:multiLevelType w:val="hybridMultilevel"/>
    <w:tmpl w:val="A38806BE"/>
    <w:lvl w:ilvl="0" w:tplc="56A09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28"/>
    <w:rsid w:val="0000542C"/>
    <w:rsid w:val="00041643"/>
    <w:rsid w:val="000622E7"/>
    <w:rsid w:val="00066854"/>
    <w:rsid w:val="00066D85"/>
    <w:rsid w:val="000A38F8"/>
    <w:rsid w:val="000F2196"/>
    <w:rsid w:val="001734EA"/>
    <w:rsid w:val="00184403"/>
    <w:rsid w:val="00191770"/>
    <w:rsid w:val="001C5126"/>
    <w:rsid w:val="001E696B"/>
    <w:rsid w:val="001F6BDA"/>
    <w:rsid w:val="002232B1"/>
    <w:rsid w:val="00234C31"/>
    <w:rsid w:val="0033021F"/>
    <w:rsid w:val="00341D25"/>
    <w:rsid w:val="00371494"/>
    <w:rsid w:val="003A01FB"/>
    <w:rsid w:val="003B448A"/>
    <w:rsid w:val="00404702"/>
    <w:rsid w:val="00441D77"/>
    <w:rsid w:val="00443F05"/>
    <w:rsid w:val="00486619"/>
    <w:rsid w:val="004D3868"/>
    <w:rsid w:val="004E6694"/>
    <w:rsid w:val="0054036E"/>
    <w:rsid w:val="005B578D"/>
    <w:rsid w:val="005C1996"/>
    <w:rsid w:val="006B6900"/>
    <w:rsid w:val="006D473E"/>
    <w:rsid w:val="007201F8"/>
    <w:rsid w:val="00750831"/>
    <w:rsid w:val="00793DE6"/>
    <w:rsid w:val="007F6456"/>
    <w:rsid w:val="00830393"/>
    <w:rsid w:val="00833D5A"/>
    <w:rsid w:val="00860EE7"/>
    <w:rsid w:val="00875A4F"/>
    <w:rsid w:val="00877A81"/>
    <w:rsid w:val="008931F6"/>
    <w:rsid w:val="008E2339"/>
    <w:rsid w:val="00935023"/>
    <w:rsid w:val="009806A5"/>
    <w:rsid w:val="009D6493"/>
    <w:rsid w:val="009E265A"/>
    <w:rsid w:val="009F0C5C"/>
    <w:rsid w:val="00A25B29"/>
    <w:rsid w:val="00A26F82"/>
    <w:rsid w:val="00A808E9"/>
    <w:rsid w:val="00B53154"/>
    <w:rsid w:val="00B72074"/>
    <w:rsid w:val="00BC2133"/>
    <w:rsid w:val="00BE4F3A"/>
    <w:rsid w:val="00C019A6"/>
    <w:rsid w:val="00C572A2"/>
    <w:rsid w:val="00D5526B"/>
    <w:rsid w:val="00D66962"/>
    <w:rsid w:val="00D87A28"/>
    <w:rsid w:val="00D87D9C"/>
    <w:rsid w:val="00D92B3B"/>
    <w:rsid w:val="00DA7DED"/>
    <w:rsid w:val="00DF4A30"/>
    <w:rsid w:val="00E0050C"/>
    <w:rsid w:val="00E2450C"/>
    <w:rsid w:val="00E340B5"/>
    <w:rsid w:val="00E4001E"/>
    <w:rsid w:val="00E53ACA"/>
    <w:rsid w:val="00E9409E"/>
    <w:rsid w:val="00EB15CD"/>
    <w:rsid w:val="00EC65E9"/>
    <w:rsid w:val="00EF4500"/>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7B2B66"/>
  <w15:chartTrackingRefBased/>
  <w15:docId w15:val="{87645999-53B0-4011-A6B2-F079D6EA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9D649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CommentText">
    <w:name w:val="annotation text"/>
    <w:basedOn w:val="Normal"/>
    <w:link w:val="CommentTextChar"/>
    <w:rsid w:val="009D6493"/>
    <w:rPr>
      <w:sz w:val="20"/>
      <w:szCs w:val="20"/>
    </w:rPr>
  </w:style>
  <w:style w:type="character" w:customStyle="1" w:styleId="CommentTextChar">
    <w:name w:val="Comment Text Char"/>
    <w:basedOn w:val="DefaultParagraphFont"/>
    <w:link w:val="CommentText"/>
    <w:rsid w:val="009D6493"/>
    <w:rPr>
      <w:rFonts w:eastAsia="Times New Roman" w:cs="Times New Roman"/>
      <w:sz w:val="20"/>
      <w:szCs w:val="20"/>
      <w:lang w:val="en-GB" w:bidi="en-US"/>
    </w:rPr>
  </w:style>
  <w:style w:type="paragraph" w:customStyle="1" w:styleId="FSCDraftingitem">
    <w:name w:val="FSC_Drafting_item"/>
    <w:basedOn w:val="Normal"/>
    <w:qFormat/>
    <w:rsid w:val="009D649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D6493"/>
    <w:pPr>
      <w:spacing w:before="120" w:after="120"/>
      <w:ind w:left="851" w:hanging="851"/>
    </w:pPr>
    <w:rPr>
      <w:b/>
      <w:sz w:val="20"/>
      <w:szCs w:val="20"/>
      <w:lang w:bidi="ar-SA"/>
    </w:rPr>
  </w:style>
  <w:style w:type="paragraph" w:customStyle="1" w:styleId="FSCh4Div">
    <w:name w:val="FSC_h4_Div"/>
    <w:aliases w:val="h4_Subdiv"/>
    <w:basedOn w:val="Normal"/>
    <w:next w:val="FSCh5Section"/>
    <w:qFormat/>
    <w:rsid w:val="009D6493"/>
    <w:pPr>
      <w:spacing w:before="240" w:after="240"/>
      <w:ind w:left="1701" w:hanging="1701"/>
      <w:outlineLvl w:val="3"/>
    </w:pPr>
    <w:rPr>
      <w:b/>
      <w:bCs/>
      <w:kern w:val="32"/>
      <w:sz w:val="26"/>
      <w:szCs w:val="32"/>
      <w:lang w:eastAsia="en-AU" w:bidi="ar-SA"/>
    </w:rPr>
  </w:style>
  <w:style w:type="paragraph" w:customStyle="1" w:styleId="FSCh5Section">
    <w:name w:val="FSC_h5_Section"/>
    <w:basedOn w:val="Normal"/>
    <w:next w:val="FSCtMain"/>
    <w:uiPriority w:val="99"/>
    <w:qFormat/>
    <w:rsid w:val="009D6493"/>
    <w:pPr>
      <w:keepNext/>
      <w:spacing w:before="240" w:after="120"/>
      <w:ind w:left="1701" w:hanging="1701"/>
      <w:outlineLvl w:val="4"/>
    </w:pPr>
    <w:rPr>
      <w:b/>
      <w:bCs/>
      <w:kern w:val="32"/>
      <w:lang w:eastAsia="en-AU" w:bidi="ar-SA"/>
    </w:rPr>
  </w:style>
  <w:style w:type="paragraph" w:customStyle="1" w:styleId="FSCtMain">
    <w:name w:val="FSC_t_Main"/>
    <w:basedOn w:val="Normal"/>
    <w:uiPriority w:val="99"/>
    <w:rsid w:val="009D6493"/>
    <w:pPr>
      <w:tabs>
        <w:tab w:val="left" w:pos="1134"/>
      </w:tabs>
      <w:spacing w:before="120" w:after="120"/>
      <w:ind w:left="1701" w:hanging="1701"/>
    </w:pPr>
    <w:rPr>
      <w:rFonts w:cs="Arial"/>
      <w:iCs/>
      <w:sz w:val="20"/>
      <w:szCs w:val="22"/>
      <w:lang w:eastAsia="en-AU" w:bidi="ar-SA"/>
    </w:rPr>
  </w:style>
  <w:style w:type="paragraph" w:customStyle="1" w:styleId="FSCnatHeading">
    <w:name w:val="FSC_n_at_Heading"/>
    <w:basedOn w:val="FSCtMain"/>
    <w:qFormat/>
    <w:rsid w:val="009D6493"/>
    <w:pPr>
      <w:ind w:left="851" w:hanging="851"/>
    </w:pPr>
    <w:rPr>
      <w:sz w:val="16"/>
    </w:rPr>
  </w:style>
  <w:style w:type="paragraph" w:customStyle="1" w:styleId="FSCtPara">
    <w:name w:val="FSC_t_Para"/>
    <w:aliases w:val="t2_Para"/>
    <w:basedOn w:val="FSCtMain"/>
    <w:qFormat/>
    <w:rsid w:val="009D6493"/>
    <w:pPr>
      <w:tabs>
        <w:tab w:val="clear" w:pos="1134"/>
        <w:tab w:val="left" w:pos="1701"/>
      </w:tabs>
      <w:spacing w:before="60" w:after="60"/>
      <w:ind w:left="2268" w:hanging="2268"/>
    </w:pPr>
  </w:style>
  <w:style w:type="paragraph" w:customStyle="1" w:styleId="FSCnMain">
    <w:name w:val="FSC_n_Main"/>
    <w:basedOn w:val="FSCtPara"/>
    <w:qFormat/>
    <w:rsid w:val="009D6493"/>
    <w:rPr>
      <w:iCs w:val="0"/>
      <w:sz w:val="16"/>
      <w:szCs w:val="18"/>
    </w:rPr>
  </w:style>
  <w:style w:type="paragraph" w:customStyle="1" w:styleId="FSCtSubpara">
    <w:name w:val="FSC_t_Subpara"/>
    <w:basedOn w:val="FSCtMain"/>
    <w:qFormat/>
    <w:rsid w:val="009D6493"/>
    <w:pPr>
      <w:tabs>
        <w:tab w:val="clear" w:pos="1134"/>
        <w:tab w:val="left" w:pos="2268"/>
      </w:tabs>
      <w:spacing w:before="60" w:after="60"/>
      <w:ind w:left="2835" w:hanging="2835"/>
    </w:pPr>
  </w:style>
  <w:style w:type="paragraph" w:customStyle="1" w:styleId="FSCtDefn">
    <w:name w:val="FSC_t_Defn"/>
    <w:basedOn w:val="FSCtMain"/>
    <w:rsid w:val="009D6493"/>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C10D0F970AB1946B2221A8383DDC535" ma:contentTypeVersion="45" ma:contentTypeDescription="FSANZ Record" ma:contentTypeScope="" ma:versionID="44dafba06524bb1100cbe2217001059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6474ed6af55c1efd9c74e3d285c351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bstract xmlns="5759555f-5bed-45a4-a4c2-4e28e2623455" xsi:nil="true"/>
    <Agenda xmlns="5759555f-5bed-45a4-a4c2-4e28e2623455" xsi:nil="true"/>
    <Attachement xmlns="5759555f-5bed-45a4-a4c2-4e28e2623455">true</Attachement>
    <Hyperlink xmlns="5759555f-5bed-45a4-a4c2-4e28e2623455">
      <Url xsi:nil="true"/>
      <Description xsi:nil="true"/>
    </Hyperlink>
    <Related_x0020_project xmlns="ec50576e-4a27-4780-a1e1-e59563bc70b8" xsi:nil="true"/>
    <TaxCatchAll xmlns="ec50576e-4a27-4780-a1e1-e59563bc70b8">
      <Value>531</Value>
    </TaxCatchAll>
    <Links xmlns="5759555f-5bed-45a4-a4c2-4e28e2623455" xsi:nil="true"/>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5759555f-5bed-45a4-a4c2-4e28e2623455">MMF7YEMDTSDN-199-16883</_dlc_DocId>
    <_dlc_DocIdUrl xmlns="5759555f-5bed-45a4-a4c2-4e28e2623455">
      <Url>http://fsintranet/Sections/pss/_layouts/15/DocIdRedir.aspx?ID=MMF7YEMDTSDN-199-16883</Url>
      <Description>MMF7YEMDTSDN-199-16883</Description>
    </_dlc_DocIdUrl>
  </documentManagement>
</p:properti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9A86-F94A-4C58-8261-62961FB45CD6}">
  <ds:schemaRefs>
    <ds:schemaRef ds:uri="Microsoft.SharePoint.Taxonomy.ContentTypeSync"/>
  </ds:schemaRefs>
</ds:datastoreItem>
</file>

<file path=customXml/itemProps2.xml><?xml version="1.0" encoding="utf-8"?>
<ds:datastoreItem xmlns:ds="http://schemas.openxmlformats.org/officeDocument/2006/customXml" ds:itemID="{21FC34F7-B422-4F6F-A268-83FA3D45C602}">
  <ds:schemaRefs>
    <ds:schemaRef ds:uri="http://schemas.microsoft.com/sharepoint/events"/>
  </ds:schemaRefs>
</ds:datastoreItem>
</file>

<file path=customXml/itemProps3.xml><?xml version="1.0" encoding="utf-8"?>
<ds:datastoreItem xmlns:ds="http://schemas.openxmlformats.org/officeDocument/2006/customXml" ds:itemID="{5F0E2B2A-CB5F-4DD8-B4C6-347201835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EE3D5-8971-4DE8-A190-43951881F463}">
  <ds:schemaRefs>
    <ds:schemaRef ds:uri="http://schemas.microsoft.com/office/2006/metadata/customXsn"/>
  </ds:schemaRefs>
</ds:datastoreItem>
</file>

<file path=customXml/itemProps5.xml><?xml version="1.0" encoding="utf-8"?>
<ds:datastoreItem xmlns:ds="http://schemas.openxmlformats.org/officeDocument/2006/customXml" ds:itemID="{1CD3F26D-F141-4758-BCA7-F66C511CDF17}">
  <ds:schemaRefs>
    <ds:schemaRef ds:uri="http://schemas.microsoft.com/sharepoint/v3/contenttype/forms"/>
  </ds:schemaRefs>
</ds:datastoreItem>
</file>

<file path=customXml/itemProps6.xml><?xml version="1.0" encoding="utf-8"?>
<ds:datastoreItem xmlns:ds="http://schemas.openxmlformats.org/officeDocument/2006/customXml" ds:itemID="{4A84F5C6-B708-4B08-88A2-EEA492A69758}">
  <ds:schemaRefs>
    <ds:schemaRef ds:uri="http://schemas.microsoft.com/office/2006/documentManagement/types"/>
    <ds:schemaRef ds:uri="http://schemas.microsoft.com/office/infopath/2007/PartnerControls"/>
    <ds:schemaRef ds:uri="http://schemas.microsoft.com/office/2006/metadata/properties"/>
    <ds:schemaRef ds:uri="5759555f-5bed-45a4-a4c2-4e28e2623455"/>
    <ds:schemaRef ds:uri="http://purl.org/dc/terms/"/>
    <ds:schemaRef ds:uri="http://purl.org/dc/dcmitype/"/>
    <ds:schemaRef ds:uri="http://www.w3.org/XML/1998/namespace"/>
    <ds:schemaRef ds:uri="http://purl.org/dc/elements/1.1/"/>
    <ds:schemaRef ds:uri="http://schemas.openxmlformats.org/package/2006/metadata/core-properties"/>
    <ds:schemaRef ds:uri="ec50576e-4a27-4780-a1e1-e59563bc70b8"/>
  </ds:schemaRefs>
</ds:datastoreItem>
</file>

<file path=customXml/itemProps7.xml><?xml version="1.0" encoding="utf-8"?>
<ds:datastoreItem xmlns:ds="http://schemas.openxmlformats.org/officeDocument/2006/customXml" ds:itemID="{56EB552C-13E2-497B-B0D8-0FF47FEBCE84}">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6513B763-4265-45F6-84B6-EA54BD76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Ronaldson</cp:lastModifiedBy>
  <cp:revision>9</cp:revision>
  <dcterms:created xsi:type="dcterms:W3CDTF">2022-05-23T23:31:00Z</dcterms:created>
  <dcterms:modified xsi:type="dcterms:W3CDTF">2022-05-31T21:33:00Z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0x01010004C4C934AD08B647A78FCADD498BE3190200CC10D0F970AB1946B2221A8383DDC535</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SecurityLabel">
    <vt:lpwstr>NO SECURITY CLASSIFICATION REQUIRED</vt:lpwstr>
  </property>
  <property fmtid="{D5CDD505-2E9C-101B-9397-08002B2CF9AE}" pid="5" name="docIndexRef">
    <vt:lpwstr>d2d5bac5-0522-42a6-b01c-58acc00ccd71</vt:lpwstr>
  </property>
  <property fmtid="{D5CDD505-2E9C-101B-9397-08002B2CF9AE}" pid="6" name="bjSaver">
    <vt:lpwstr>F7CJ7+j1H4mVV8c3pro2WrI4n/XQdguU</vt:lpwstr>
  </property>
  <property fmtid="{D5CDD505-2E9C-101B-9397-08002B2CF9AE}" pid="7" name="bjDocumentLabelXML-0">
    <vt:lpwstr>ames.com/2008/01/sie/internal/label"&gt;&lt;element uid="66ddac19-06c4-4e63-b4dd-d8240d87a23f" value="" /&gt;&lt;/sisl&gt;</vt:lpwstr>
  </property>
  <property fmtid="{D5CDD505-2E9C-101B-9397-08002B2CF9AE}" pid="8" name="DisposalClass">
    <vt:lpwstr/>
  </property>
  <property fmtid="{D5CDD505-2E9C-101B-9397-08002B2CF9AE}" pid="9" name="_dlc_DocIdItemGuid">
    <vt:lpwstr>a65f2011-b8fd-468a-b0ab-23124f39b3f1</vt:lpwstr>
  </property>
  <property fmtid="{D5CDD505-2E9C-101B-9397-08002B2CF9AE}" pid="10" name="BCS_">
    <vt:lpwstr>531;#Instruments|4a8ff5e5-1f0e-4751-ab44-bc0d33b46a80</vt:lpwstr>
  </property>
</Properties>
</file>