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60060EEB" w14:textId="77777777" w:rsidTr="00A22E0D">
        <w:tc>
          <w:tcPr>
            <w:tcW w:w="4661" w:type="dxa"/>
          </w:tcPr>
          <w:p w14:paraId="5B12F36A" w14:textId="77777777" w:rsidR="00090A6F" w:rsidRPr="0000292B" w:rsidRDefault="00364B30">
            <w:pPr>
              <w:pStyle w:val="CoverStandard"/>
            </w:pPr>
            <w:r>
              <w:t>AASB</w:t>
            </w:r>
            <w:r w:rsidR="00831497">
              <w:t xml:space="preserve"> Standard</w:t>
            </w:r>
          </w:p>
        </w:tc>
        <w:tc>
          <w:tcPr>
            <w:tcW w:w="4661" w:type="dxa"/>
          </w:tcPr>
          <w:p w14:paraId="011113AF" w14:textId="6960ED9D" w:rsidR="00090A6F" w:rsidRPr="0000292B" w:rsidRDefault="00831497">
            <w:pPr>
              <w:pStyle w:val="CoverNumber"/>
            </w:pPr>
            <w:r>
              <w:t>AASB</w:t>
            </w:r>
            <w:r w:rsidR="00090A6F" w:rsidRPr="0000292B">
              <w:t xml:space="preserve"> </w:t>
            </w:r>
            <w:bookmarkStart w:id="0" w:name="DocNo"/>
            <w:sdt>
              <w:sdtPr>
                <w:id w:val="-1928266656"/>
                <w:lock w:val="contentLocked"/>
                <w:placeholder>
                  <w:docPart w:val="DefaultPlaceholder_-1854013440"/>
                </w:placeholder>
                <w:group/>
              </w:sdtPr>
              <w:sdtEndPr/>
              <w:sdtContent>
                <w:r w:rsidR="00E54193">
                  <w:t>2022</w:t>
                </w:r>
                <w:r w:rsidR="00C30CA6">
                  <w:t>-2</w:t>
                </w:r>
                <w:bookmarkEnd w:id="0"/>
              </w:sdtContent>
            </w:sdt>
          </w:p>
          <w:bookmarkStart w:id="1" w:name="DocDate" w:displacedByCustomXml="next"/>
          <w:sdt>
            <w:sdtPr>
              <w:id w:val="-1248729166"/>
              <w:lock w:val="contentLocked"/>
              <w:placeholder>
                <w:docPart w:val="DefaultPlaceholder_-1854013440"/>
              </w:placeholder>
              <w:group/>
            </w:sdtPr>
            <w:sdtEndPr/>
            <w:sdtContent>
              <w:p w14:paraId="072CE2D1" w14:textId="5C62F120" w:rsidR="00090A6F" w:rsidRPr="0000292B" w:rsidRDefault="005F2D2C">
                <w:pPr>
                  <w:pStyle w:val="CoverDate"/>
                </w:pPr>
                <w:r>
                  <w:t>May</w:t>
                </w:r>
                <w:r w:rsidR="00F722D9">
                  <w:t xml:space="preserve"> </w:t>
                </w:r>
                <w:r w:rsidR="00E54193">
                  <w:t>2022</w:t>
                </w:r>
              </w:p>
              <w:bookmarkEnd w:id="1" w:displacedByCustomXml="next"/>
            </w:sdtContent>
          </w:sdt>
        </w:tc>
      </w:tr>
    </w:tbl>
    <w:bookmarkStart w:id="2" w:name="DocTitle" w:displacedByCustomXml="next"/>
    <w:sdt>
      <w:sdtPr>
        <w:id w:val="1580026770"/>
        <w:lock w:val="contentLocked"/>
        <w:placeholder>
          <w:docPart w:val="DefaultPlaceholder_-1854013440"/>
        </w:placeholder>
        <w:group/>
      </w:sdtPr>
      <w:sdtEndPr/>
      <w:sdtContent>
        <w:p w14:paraId="63772C0B" w14:textId="79BBA789" w:rsidR="00090A6F" w:rsidRPr="0000292B" w:rsidRDefault="00973A94" w:rsidP="00E469C2">
          <w:pPr>
            <w:pStyle w:val="CoverTitle"/>
            <w:jc w:val="left"/>
          </w:pPr>
          <w:r>
            <w:t xml:space="preserve">Amendments to Australian Accounting Standards – </w:t>
          </w:r>
          <w:r w:rsidR="00E54193">
            <w:t>Extending Transition Relief under AASB 1</w:t>
          </w:r>
        </w:p>
        <w:bookmarkEnd w:id="2" w:displacedByCustomXml="next"/>
      </w:sdtContent>
    </w:sdt>
    <w:p w14:paraId="6DE17BE8" w14:textId="77777777" w:rsidR="00C5022C" w:rsidRPr="00C5022C" w:rsidRDefault="002B7803" w:rsidP="00C5022C">
      <w:pPr>
        <w:pStyle w:val="CoverSubtitle"/>
      </w:pPr>
      <w:r>
        <w:t>[</w:t>
      </w:r>
      <w:bookmarkStart w:id="3" w:name="AmendingNos"/>
      <w:r w:rsidR="00E54193">
        <w:t>AASB 1 &amp; AASB 1053</w:t>
      </w:r>
      <w:bookmarkEnd w:id="3"/>
      <w:r>
        <w:t>]</w:t>
      </w:r>
    </w:p>
    <w:p w14:paraId="153C2FDE" w14:textId="77777777" w:rsidR="00090A6F" w:rsidRPr="0000292B" w:rsidRDefault="008B643A">
      <w:pPr>
        <w:sectPr w:rsidR="00090A6F" w:rsidRPr="0000292B" w:rsidSect="00D74C6A">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698F787F" wp14:editId="400E83B7">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506EE"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78E7A389"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6979BF1F" w14:textId="77777777" w:rsidR="00895809" w:rsidRPr="0000292B" w:rsidRDefault="00895809" w:rsidP="00895809">
      <w:r w:rsidRPr="0000292B">
        <w:t>Australian Accounting Standards Board</w:t>
      </w:r>
    </w:p>
    <w:p w14:paraId="7EA5E7F1" w14:textId="77777777" w:rsidR="00895809" w:rsidRPr="0000292B" w:rsidRDefault="00895809" w:rsidP="00895809">
      <w:r>
        <w:t>PO Box 204</w:t>
      </w:r>
    </w:p>
    <w:p w14:paraId="3DC00708" w14:textId="77777777" w:rsidR="00895809" w:rsidRPr="0000292B" w:rsidRDefault="00895809" w:rsidP="00895809">
      <w:r>
        <w:t>Collins Street West</w:t>
      </w:r>
    </w:p>
    <w:p w14:paraId="0ADA88C3" w14:textId="77777777" w:rsidR="00895809" w:rsidRPr="0000292B" w:rsidRDefault="00895809" w:rsidP="00895809">
      <w:r>
        <w:t>Victoria   8007</w:t>
      </w:r>
    </w:p>
    <w:p w14:paraId="7CBD65EC" w14:textId="77777777" w:rsidR="00895809" w:rsidRDefault="00895809" w:rsidP="00895809">
      <w:pPr>
        <w:pStyle w:val="CoverContact"/>
        <w:spacing w:after="200"/>
      </w:pPr>
      <w:r w:rsidRPr="0000292B">
        <w:t>AUSTRALIA</w:t>
      </w:r>
    </w:p>
    <w:p w14:paraId="08FBFAB6" w14:textId="77777777" w:rsidR="00737714" w:rsidRDefault="00BF0190" w:rsidP="00B82F15">
      <w:pPr>
        <w:pStyle w:val="CoverContact"/>
      </w:pPr>
      <w:r>
        <w:t>Phone:</w:t>
      </w:r>
      <w:r>
        <w:tab/>
        <w:t>(03) 9617 7600</w:t>
      </w:r>
    </w:p>
    <w:p w14:paraId="45CDC1DA" w14:textId="77777777" w:rsidR="00E96D45" w:rsidRDefault="00DB00CD" w:rsidP="00DB00CD">
      <w:pPr>
        <w:pStyle w:val="CoverContact"/>
      </w:pPr>
      <w:r>
        <w:t>E-mail:</w:t>
      </w:r>
      <w:r>
        <w:tab/>
      </w:r>
      <w:r w:rsidR="00BF0190">
        <w:t>standard</w:t>
      </w:r>
      <w:r>
        <w:t>@aasb.gov</w:t>
      </w:r>
      <w:r w:rsidRPr="00C5022C">
        <w:t>.au</w:t>
      </w:r>
    </w:p>
    <w:p w14:paraId="0192A8B5" w14:textId="77777777" w:rsidR="00E96D45" w:rsidRPr="00E96D45" w:rsidRDefault="00DB00CD" w:rsidP="00DB00CD">
      <w:pPr>
        <w:pStyle w:val="CoverContact"/>
        <w:spacing w:after="240"/>
      </w:pPr>
      <w:r>
        <w:t>Website:</w:t>
      </w:r>
      <w:r>
        <w:tab/>
        <w:t>www.aasb.gov.au</w:t>
      </w:r>
    </w:p>
    <w:p w14:paraId="725ED96E" w14:textId="77777777" w:rsidR="00090A6F" w:rsidRPr="0000292B" w:rsidRDefault="00090A6F" w:rsidP="00F13C5A">
      <w:pPr>
        <w:pStyle w:val="Heading1"/>
      </w:pPr>
      <w:r w:rsidRPr="0000292B">
        <w:t xml:space="preserve">Other </w:t>
      </w:r>
      <w:r w:rsidR="005655CE" w:rsidRPr="0000292B">
        <w:t>enquiries</w:t>
      </w:r>
    </w:p>
    <w:p w14:paraId="3BC83B36"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0B945B5D" w14:textId="77777777" w:rsidR="00090A6F" w:rsidRPr="0000292B" w:rsidRDefault="00923261">
      <w:pPr>
        <w:pStyle w:val="CoverContact"/>
      </w:pPr>
      <w:r>
        <w:t>E-mail:</w:t>
      </w:r>
      <w:r>
        <w:tab/>
        <w:t>standard@aasb.gov</w:t>
      </w:r>
      <w:r w:rsidR="00090A6F" w:rsidRPr="0000292B">
        <w:t>.au</w:t>
      </w:r>
    </w:p>
    <w:p w14:paraId="5581C2F8" w14:textId="77777777" w:rsidR="00276BC5" w:rsidRDefault="00276BC5" w:rsidP="00E46988">
      <w:pPr>
        <w:pStyle w:val="NoNumPlain1"/>
        <w:spacing w:before="7440"/>
      </w:pPr>
      <w:bookmarkStart w:id="4" w:name="CopyrightText"/>
      <w:r>
        <w:t>COPYRIGHT</w:t>
      </w:r>
    </w:p>
    <w:p w14:paraId="6E21892B" w14:textId="77777777" w:rsidR="00276BC5" w:rsidRDefault="00276BC5" w:rsidP="00276BC5">
      <w:pPr>
        <w:pStyle w:val="NoNumPlain1"/>
      </w:pPr>
      <w:r>
        <w:t>© Com</w:t>
      </w:r>
      <w:bookmarkStart w:id="5" w:name="CopyrightDomestic"/>
      <w:bookmarkEnd w:id="5"/>
      <w:r>
        <w:t xml:space="preserve">monwealth of Australia </w:t>
      </w:r>
      <w:bookmarkStart w:id="6" w:name="Year"/>
      <w:r w:rsidR="00E54193">
        <w:t>2022</w:t>
      </w:r>
      <w:bookmarkEnd w:id="6"/>
    </w:p>
    <w:p w14:paraId="1798381A" w14:textId="6E746B73" w:rsidR="00276BC5" w:rsidRPr="00DE4E67" w:rsidRDefault="00E46988" w:rsidP="00895809">
      <w:pPr>
        <w:spacing w:after="200"/>
      </w:pPr>
      <w:r w:rsidRPr="00E46988">
        <w:t xml:space="preserve">This work is copyright. Apart from any use as permitted under the </w:t>
      </w:r>
      <w:r w:rsidRPr="00347F29">
        <w:rPr>
          <w:i/>
          <w:iCs/>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 Collins Street West, Victoria 8007</w:t>
      </w:r>
      <w:r w:rsidR="00276BC5" w:rsidRPr="00DE4E67">
        <w:t>.</w:t>
      </w:r>
    </w:p>
    <w:bookmarkEnd w:id="4"/>
    <w:p w14:paraId="45ACEC20" w14:textId="77777777" w:rsidR="007455F0" w:rsidRPr="0000292B" w:rsidRDefault="006D4700" w:rsidP="006D4700">
      <w:r>
        <w:t xml:space="preserve">ISSN </w:t>
      </w:r>
      <w:bookmarkStart w:id="7" w:name="ISSN"/>
      <w:r w:rsidR="00E54193">
        <w:t>1036-4803</w:t>
      </w:r>
      <w:bookmarkEnd w:id="7"/>
    </w:p>
    <w:p w14:paraId="15EB67B0" w14:textId="77777777" w:rsidR="00090A6F" w:rsidRPr="0000292B" w:rsidRDefault="00090A6F">
      <w:pPr>
        <w:sectPr w:rsidR="00090A6F" w:rsidRPr="0000292B" w:rsidSect="00D74C6A">
          <w:footerReference w:type="default" r:id="rId18"/>
          <w:pgSz w:w="11907" w:h="16840" w:code="9"/>
          <w:pgMar w:top="1418" w:right="1418" w:bottom="1418" w:left="1418" w:header="709" w:footer="709" w:gutter="0"/>
          <w:paperSrc w:first="7" w:other="7"/>
          <w:cols w:space="720"/>
        </w:sectPr>
      </w:pPr>
    </w:p>
    <w:p w14:paraId="0D9DAD59" w14:textId="77777777" w:rsidR="006A0BC3" w:rsidRPr="003766A0" w:rsidRDefault="006A0BC3" w:rsidP="006A0BC3">
      <w:pPr>
        <w:pStyle w:val="ConvSectionTitle"/>
      </w:pPr>
      <w:r w:rsidRPr="003766A0">
        <w:lastRenderedPageBreak/>
        <w:t>Contents</w:t>
      </w:r>
    </w:p>
    <w:p w14:paraId="750FF949" w14:textId="77777777" w:rsidR="006A0BC3" w:rsidRPr="003766A0" w:rsidRDefault="006A0BC3" w:rsidP="006A0BC3">
      <w:pPr>
        <w:pStyle w:val="ContentsCapsPlain"/>
        <w:spacing w:before="400"/>
      </w:pPr>
      <w:r w:rsidRPr="003766A0">
        <w:t>PREFACE</w:t>
      </w:r>
    </w:p>
    <w:p w14:paraId="00DB4A14" w14:textId="1EBE31F5" w:rsidR="006A0BC3" w:rsidRPr="003766A0" w:rsidRDefault="006A0BC3" w:rsidP="006A0BC3">
      <w:pPr>
        <w:pStyle w:val="ContentsCapsBold"/>
        <w:rPr>
          <w:iCs/>
        </w:rPr>
      </w:pPr>
      <w:r w:rsidRPr="003766A0">
        <w:rPr>
          <w:iCs/>
        </w:rPr>
        <w:t>ACCOUNTING STANDARD</w:t>
      </w:r>
    </w:p>
    <w:p w14:paraId="77B58BBF" w14:textId="32C3809E" w:rsidR="006A0BC3" w:rsidRPr="00223A79" w:rsidRDefault="006A0BC3" w:rsidP="006A0BC3">
      <w:pPr>
        <w:pStyle w:val="ContentsCapsBold"/>
        <w:spacing w:after="200"/>
        <w:rPr>
          <w:i/>
        </w:rPr>
      </w:pPr>
      <w:r w:rsidRPr="0000292B">
        <w:t>AASB</w:t>
      </w:r>
      <w:r>
        <w:t xml:space="preserve"> </w:t>
      </w:r>
      <w:r w:rsidR="00CD543B">
        <w:fldChar w:fldCharType="begin" w:fldLock="1"/>
      </w:r>
      <w:r w:rsidR="00CD543B">
        <w:instrText xml:space="preserve"> REF \* charformat DocNo </w:instrText>
      </w:r>
      <w:r w:rsidR="00CD543B">
        <w:fldChar w:fldCharType="separate"/>
      </w:r>
      <w:r w:rsidR="00B22FB2">
        <w:t>2022-2</w:t>
      </w:r>
      <w:r w:rsidR="00CD543B">
        <w:fldChar w:fldCharType="end"/>
      </w:r>
      <w:r w:rsidRPr="0000292B">
        <w:t xml:space="preserve"> </w:t>
      </w:r>
      <w:r w:rsidRPr="003D7ABD">
        <w:rPr>
          <w:i/>
          <w:iCs/>
          <w:caps/>
        </w:rPr>
        <w:fldChar w:fldCharType="begin" w:fldLock="1"/>
      </w:r>
      <w:r w:rsidRPr="003D7ABD">
        <w:rPr>
          <w:i/>
          <w:iCs/>
          <w:caps/>
        </w:rPr>
        <w:instrText xml:space="preserve"> REF  DocTitle  \* MERGEFORMAT </w:instrText>
      </w:r>
      <w:r w:rsidRPr="003D7ABD">
        <w:rPr>
          <w:i/>
          <w:iCs/>
          <w:caps/>
        </w:rPr>
        <w:fldChar w:fldCharType="separate"/>
      </w:r>
      <w:r w:rsidR="00B22FB2" w:rsidRPr="00B22FB2">
        <w:rPr>
          <w:i/>
          <w:iCs/>
          <w:caps/>
        </w:rPr>
        <w:t>Amendments to Australian Accounting Standards</w:t>
      </w:r>
      <w:r w:rsidR="00B22FB2">
        <w:t xml:space="preserve"> </w:t>
      </w:r>
      <w:r w:rsidR="00B22FB2" w:rsidRPr="00B22FB2">
        <w:rPr>
          <w:i/>
          <w:iCs/>
          <w:caps/>
        </w:rPr>
        <w:t>– Extending Transition Relief under AASB 1</w:t>
      </w:r>
      <w:r w:rsidRPr="003D7ABD">
        <w:rPr>
          <w:i/>
          <w:iCs/>
          <w:caps/>
        </w:rPr>
        <w:fldChar w:fldCharType="end"/>
      </w:r>
    </w:p>
    <w:p w14:paraId="0ABF1E38" w14:textId="77777777" w:rsidR="006A0BC3" w:rsidRPr="003766A0" w:rsidRDefault="006A0BC3" w:rsidP="006A0BC3">
      <w:pPr>
        <w:pStyle w:val="ContentsParaHead"/>
      </w:pPr>
      <w:r w:rsidRPr="003766A0">
        <w:t>from paragraph</w:t>
      </w:r>
    </w:p>
    <w:p w14:paraId="60F704B6" w14:textId="77777777" w:rsidR="006A0BC3" w:rsidRPr="003766A0" w:rsidRDefault="006A0BC3" w:rsidP="006A0BC3">
      <w:pPr>
        <w:pStyle w:val="ContentsLevel1"/>
        <w:ind w:right="0"/>
        <w:jc w:val="both"/>
        <w:rPr>
          <w:b/>
        </w:rPr>
      </w:pPr>
      <w:bookmarkStart w:id="8" w:name="TOCRange"/>
      <w:r w:rsidRPr="003766A0">
        <w:rPr>
          <w:b/>
        </w:rPr>
        <w:t>OBJECTIVE</w:t>
      </w:r>
      <w:r w:rsidRPr="003766A0">
        <w:rPr>
          <w:b/>
        </w:rPr>
        <w:tab/>
        <w:t>1</w:t>
      </w:r>
    </w:p>
    <w:p w14:paraId="7F7CA70F" w14:textId="77777777" w:rsidR="006A0BC3" w:rsidRPr="003766A0" w:rsidRDefault="006A0BC3" w:rsidP="006A0BC3">
      <w:pPr>
        <w:pStyle w:val="ContentsLevel1"/>
        <w:ind w:right="0"/>
        <w:jc w:val="both"/>
        <w:rPr>
          <w:b/>
        </w:rPr>
      </w:pPr>
      <w:r w:rsidRPr="003766A0">
        <w:rPr>
          <w:b/>
        </w:rPr>
        <w:t>APPLICATION</w:t>
      </w:r>
      <w:r w:rsidRPr="003766A0">
        <w:rPr>
          <w:b/>
        </w:rPr>
        <w:tab/>
      </w:r>
      <w:r>
        <w:rPr>
          <w:b/>
        </w:rPr>
        <w:t>2</w:t>
      </w:r>
    </w:p>
    <w:p w14:paraId="6C21EEB2" w14:textId="77777777" w:rsidR="006A0BC3" w:rsidRDefault="006A0BC3" w:rsidP="006A0BC3">
      <w:pPr>
        <w:pStyle w:val="ContentsLevel1"/>
        <w:ind w:right="0"/>
        <w:jc w:val="both"/>
        <w:rPr>
          <w:b/>
        </w:rPr>
      </w:pPr>
      <w:r>
        <w:rPr>
          <w:b/>
        </w:rPr>
        <w:t>AMENDMENTS TO AASB 1</w:t>
      </w:r>
      <w:r>
        <w:rPr>
          <w:b/>
        </w:rPr>
        <w:tab/>
        <w:t>5</w:t>
      </w:r>
    </w:p>
    <w:p w14:paraId="6CCF136E" w14:textId="77777777" w:rsidR="006A0BC3" w:rsidRDefault="006A0BC3" w:rsidP="006A0BC3">
      <w:pPr>
        <w:pStyle w:val="ContentsLevel1"/>
        <w:ind w:right="0"/>
        <w:jc w:val="both"/>
        <w:rPr>
          <w:b/>
        </w:rPr>
      </w:pPr>
      <w:r>
        <w:rPr>
          <w:b/>
        </w:rPr>
        <w:t>AMENDMENTS TO AASB 1053</w:t>
      </w:r>
      <w:r>
        <w:rPr>
          <w:b/>
        </w:rPr>
        <w:tab/>
        <w:t>6</w:t>
      </w:r>
    </w:p>
    <w:p w14:paraId="5F294B09" w14:textId="77777777" w:rsidR="006A0BC3" w:rsidRPr="003766A0" w:rsidRDefault="006A0BC3" w:rsidP="006A0BC3">
      <w:pPr>
        <w:pStyle w:val="ContentsLevel1"/>
        <w:ind w:right="0"/>
        <w:jc w:val="both"/>
        <w:rPr>
          <w:b/>
        </w:rPr>
      </w:pPr>
      <w:r w:rsidRPr="003766A0">
        <w:rPr>
          <w:b/>
        </w:rPr>
        <w:t>COMMENCEMENT OF THE LEGISLATIVE INSTRUMENT</w:t>
      </w:r>
      <w:r w:rsidRPr="003766A0">
        <w:rPr>
          <w:b/>
        </w:rPr>
        <w:tab/>
      </w:r>
      <w:bookmarkStart w:id="9" w:name="ContentsMarker"/>
      <w:bookmarkEnd w:id="9"/>
      <w:r>
        <w:rPr>
          <w:b/>
        </w:rPr>
        <w:t>7</w:t>
      </w:r>
    </w:p>
    <w:p w14:paraId="4E307DA6" w14:textId="77777777" w:rsidR="006A0BC3" w:rsidRDefault="006A0BC3" w:rsidP="006A0BC3">
      <w:pPr>
        <w:pStyle w:val="ContentsLevel1"/>
        <w:jc w:val="both"/>
        <w:rPr>
          <w:b/>
        </w:rPr>
      </w:pPr>
    </w:p>
    <w:p w14:paraId="355119EE" w14:textId="77777777" w:rsidR="006A0BC3" w:rsidRPr="003766A0" w:rsidRDefault="006A0BC3" w:rsidP="006A0BC3">
      <w:pPr>
        <w:pStyle w:val="ContentsLevel1"/>
        <w:jc w:val="both"/>
        <w:rPr>
          <w:b/>
        </w:rPr>
      </w:pPr>
    </w:p>
    <w:bookmarkEnd w:id="8"/>
    <w:p w14:paraId="035C8406" w14:textId="5E98EB41" w:rsidR="006A0BC3" w:rsidRPr="003766A0" w:rsidRDefault="006A0BC3" w:rsidP="006A0BC3">
      <w:pPr>
        <w:pStyle w:val="ContentsLevel1"/>
        <w:jc w:val="both"/>
        <w:rPr>
          <w:b/>
        </w:rPr>
      </w:pPr>
      <w:r w:rsidRPr="003766A0">
        <w:rPr>
          <w:b/>
        </w:rPr>
        <w:t>BASIS FOR CONCLUSIONS</w:t>
      </w:r>
    </w:p>
    <w:p w14:paraId="0F419560" w14:textId="16338FCC" w:rsidR="006A0BC3" w:rsidRPr="003766A0" w:rsidRDefault="006A0BC3" w:rsidP="006A0BC3">
      <w:pPr>
        <w:pStyle w:val="ContentsBox"/>
        <w:spacing w:before="480" w:after="0"/>
      </w:pPr>
      <w:r w:rsidRPr="003766A0">
        <w:t>Australian Accounting Standard AASB </w:t>
      </w:r>
      <w:r w:rsidR="00292CFA" w:rsidRPr="00292CFA">
        <w:rPr>
          <w:bCs/>
        </w:rPr>
        <w:fldChar w:fldCharType="begin" w:fldLock="1"/>
      </w:r>
      <w:r w:rsidR="00292CFA" w:rsidRPr="00292CFA">
        <w:rPr>
          <w:bCs/>
        </w:rPr>
        <w:instrText xml:space="preserve"> REF DocNo  \* charformat  \* MERGEFORMAT </w:instrText>
      </w:r>
      <w:r w:rsidR="00292CFA" w:rsidRPr="00292CFA">
        <w:rPr>
          <w:bCs/>
        </w:rPr>
        <w:fldChar w:fldCharType="separate"/>
      </w:r>
      <w:r w:rsidR="00B22FB2" w:rsidRPr="00B22FB2">
        <w:rPr>
          <w:bCs/>
        </w:rPr>
        <w:t>2022-2</w:t>
      </w:r>
      <w:r w:rsidR="00292CFA" w:rsidRPr="00292CFA">
        <w:rPr>
          <w:bCs/>
        </w:rPr>
        <w:fldChar w:fldCharType="end"/>
      </w:r>
      <w:r w:rsidRPr="003766A0">
        <w:t xml:space="preserve"> </w:t>
      </w:r>
      <w:r w:rsidRPr="0070340E">
        <w:rPr>
          <w:i/>
          <w:iCs/>
        </w:rPr>
        <w:fldChar w:fldCharType="begin" w:fldLock="1"/>
      </w:r>
      <w:r w:rsidRPr="0070340E">
        <w:rPr>
          <w:i/>
          <w:iCs/>
        </w:rPr>
        <w:instrText xml:space="preserve"> REF  DocTitle  \* MERGEFORMAT </w:instrText>
      </w:r>
      <w:r w:rsidRPr="0070340E">
        <w:rPr>
          <w:i/>
          <w:iCs/>
        </w:rPr>
        <w:fldChar w:fldCharType="separate"/>
      </w:r>
      <w:r w:rsidR="00B22FB2" w:rsidRPr="00B22FB2">
        <w:rPr>
          <w:i/>
          <w:iCs/>
        </w:rPr>
        <w:t>Amendments to Australian Accounting Standards</w:t>
      </w:r>
      <w:r w:rsidR="00B22FB2">
        <w:t xml:space="preserve"> </w:t>
      </w:r>
      <w:r w:rsidR="00B22FB2" w:rsidRPr="00B22FB2">
        <w:rPr>
          <w:i/>
          <w:iCs/>
        </w:rPr>
        <w:t>– Extending Transition Relief under AASB 1</w:t>
      </w:r>
      <w:r w:rsidRPr="0070340E">
        <w:rPr>
          <w:i/>
          <w:iCs/>
        </w:rPr>
        <w:fldChar w:fldCharType="end"/>
      </w:r>
      <w:r>
        <w:rPr>
          <w:i/>
        </w:rPr>
        <w:t xml:space="preserve"> </w:t>
      </w:r>
      <w:r w:rsidRPr="003766A0">
        <w:t xml:space="preserve">is set out in paragraphs </w:t>
      </w:r>
      <w:r w:rsidRPr="0038635E">
        <w:t xml:space="preserve">1 – </w:t>
      </w:r>
      <w:r>
        <w:t xml:space="preserve">7. </w:t>
      </w:r>
      <w:r w:rsidRPr="003766A0">
        <w:t>All the paragraphs have equal authority.</w:t>
      </w:r>
    </w:p>
    <w:p w14:paraId="620C4A61" w14:textId="77777777" w:rsidR="006A0BC3" w:rsidRDefault="006A0BC3" w:rsidP="006A0BC3">
      <w:pPr>
        <w:pStyle w:val="ContentsBox"/>
        <w:pBdr>
          <w:top w:val="none" w:sz="0" w:space="0" w:color="auto"/>
          <w:left w:val="none" w:sz="0" w:space="0" w:color="auto"/>
          <w:bottom w:val="none" w:sz="0" w:space="0" w:color="auto"/>
          <w:right w:val="none" w:sz="0" w:space="0" w:color="auto"/>
        </w:pBdr>
        <w:spacing w:after="0"/>
      </w:pPr>
    </w:p>
    <w:p w14:paraId="0C8E6886" w14:textId="77777777" w:rsidR="006A0BC3" w:rsidRDefault="006A0BC3" w:rsidP="006A0BC3">
      <w:pPr>
        <w:pStyle w:val="ContentsBox"/>
        <w:pBdr>
          <w:top w:val="none" w:sz="0" w:space="0" w:color="auto"/>
          <w:left w:val="none" w:sz="0" w:space="0" w:color="auto"/>
          <w:bottom w:val="none" w:sz="0" w:space="0" w:color="auto"/>
          <w:right w:val="none" w:sz="0" w:space="0" w:color="auto"/>
        </w:pBdr>
        <w:spacing w:after="0"/>
        <w:sectPr w:rsidR="006A0BC3" w:rsidSect="00415CFC">
          <w:headerReference w:type="even" r:id="rId19"/>
          <w:headerReference w:type="default" r:id="rId20"/>
          <w:footerReference w:type="default" r:id="rId21"/>
          <w:headerReference w:type="first" r:id="rId22"/>
          <w:footnotePr>
            <w:numRestart w:val="eachSect"/>
          </w:footnotePr>
          <w:pgSz w:w="11907" w:h="16840" w:code="9"/>
          <w:pgMar w:top="1418" w:right="1418" w:bottom="1418" w:left="1418" w:header="709" w:footer="709" w:gutter="0"/>
          <w:paperSrc w:first="7" w:other="7"/>
          <w:cols w:space="720"/>
          <w:docGrid w:linePitch="65"/>
        </w:sectPr>
      </w:pPr>
    </w:p>
    <w:p w14:paraId="677FD4C5" w14:textId="77777777" w:rsidR="00BD6C70" w:rsidRPr="003766A0" w:rsidRDefault="00BD6C70" w:rsidP="00BD6C70">
      <w:pPr>
        <w:pStyle w:val="ConvSectionTitle"/>
        <w:rPr>
          <w:i/>
          <w:iCs/>
        </w:rPr>
      </w:pPr>
      <w:r w:rsidRPr="003766A0">
        <w:lastRenderedPageBreak/>
        <w:t>Preface</w:t>
      </w:r>
    </w:p>
    <w:p w14:paraId="2E126EA5" w14:textId="4E4A66CB" w:rsidR="00BD6C70" w:rsidRPr="003766A0" w:rsidRDefault="00BD6C70" w:rsidP="0012704C">
      <w:pPr>
        <w:pStyle w:val="IASBSectionTitle1NonInd"/>
      </w:pPr>
      <w:r w:rsidRPr="003766A0">
        <w:t xml:space="preserve">Standards amended by AASB </w:t>
      </w:r>
      <w:r w:rsidR="00292CFA" w:rsidRPr="00292CFA">
        <w:fldChar w:fldCharType="begin" w:fldLock="1"/>
      </w:r>
      <w:r w:rsidR="00292CFA">
        <w:instrText xml:space="preserve"> REF DocNo  \* charformat  \* MERGEFORMAT </w:instrText>
      </w:r>
      <w:r w:rsidR="00292CFA" w:rsidRPr="00292CFA">
        <w:fldChar w:fldCharType="separate"/>
      </w:r>
      <w:r w:rsidR="00B22FB2">
        <w:t>2022-2</w:t>
      </w:r>
      <w:r w:rsidR="00292CFA" w:rsidRPr="00292CFA">
        <w:fldChar w:fldCharType="end"/>
      </w:r>
    </w:p>
    <w:p w14:paraId="142B8B0F" w14:textId="0B991CBD" w:rsidR="00BD6C70" w:rsidRPr="00F8083C" w:rsidRDefault="00BD6C70" w:rsidP="00BD6C70">
      <w:pPr>
        <w:pStyle w:val="NumPlain1"/>
        <w:numPr>
          <w:ilvl w:val="0"/>
          <w:numId w:val="0"/>
        </w:numPr>
      </w:pPr>
      <w:r w:rsidRPr="00F8083C">
        <w:t xml:space="preserve">This Standard makes amendments to </w:t>
      </w:r>
      <w:r w:rsidRPr="00002E12">
        <w:t xml:space="preserve">AASB 1 </w:t>
      </w:r>
      <w:r w:rsidRPr="00002E12">
        <w:rPr>
          <w:i/>
        </w:rPr>
        <w:t>First-time Adoption of Australian Accounting Standards</w:t>
      </w:r>
      <w:r>
        <w:rPr>
          <w:i/>
        </w:rPr>
        <w:t xml:space="preserve"> </w:t>
      </w:r>
      <w:r w:rsidRPr="00493E8B">
        <w:rPr>
          <w:iCs/>
        </w:rPr>
        <w:t>(</w:t>
      </w:r>
      <w:r>
        <w:rPr>
          <w:iCs/>
        </w:rPr>
        <w:t xml:space="preserve">July </w:t>
      </w:r>
      <w:r w:rsidRPr="00493E8B">
        <w:rPr>
          <w:iCs/>
        </w:rPr>
        <w:t>2015)</w:t>
      </w:r>
      <w:r>
        <w:rPr>
          <w:i/>
        </w:rPr>
        <w:t xml:space="preserve"> </w:t>
      </w:r>
      <w:r>
        <w:rPr>
          <w:iCs/>
        </w:rPr>
        <w:t xml:space="preserve">and </w:t>
      </w:r>
      <w:r w:rsidRPr="00002E12">
        <w:t>AASB</w:t>
      </w:r>
      <w:r>
        <w:t> </w:t>
      </w:r>
      <w:r w:rsidRPr="00002E12">
        <w:t>1053</w:t>
      </w:r>
      <w:r w:rsidRPr="00002E12">
        <w:rPr>
          <w:i/>
          <w:iCs/>
        </w:rPr>
        <w:t xml:space="preserve"> </w:t>
      </w:r>
      <w:r w:rsidRPr="00002E12">
        <w:rPr>
          <w:i/>
        </w:rPr>
        <w:t>Application of Tiers of Australian Accounting Standards</w:t>
      </w:r>
      <w:r>
        <w:rPr>
          <w:i/>
        </w:rPr>
        <w:t xml:space="preserve"> </w:t>
      </w:r>
      <w:r>
        <w:rPr>
          <w:iCs/>
        </w:rPr>
        <w:t>(June 2010)</w:t>
      </w:r>
      <w:r w:rsidRPr="00F8083C">
        <w:t>.</w:t>
      </w:r>
    </w:p>
    <w:p w14:paraId="65826D21" w14:textId="77777777" w:rsidR="00BD6C70" w:rsidRPr="00F8083C" w:rsidRDefault="00BD6C70" w:rsidP="0012704C">
      <w:pPr>
        <w:pStyle w:val="IASBSectionTitle1NonInd"/>
      </w:pPr>
      <w:r w:rsidRPr="00F8083C">
        <w:t>Main features of this Standard</w:t>
      </w:r>
    </w:p>
    <w:p w14:paraId="57A16B0C" w14:textId="77777777" w:rsidR="00BD6C70" w:rsidRPr="00F8083C" w:rsidRDefault="00BD6C70" w:rsidP="00BD6C70">
      <w:pPr>
        <w:pStyle w:val="IASBSectionTitle2Ind"/>
      </w:pPr>
      <w:r w:rsidRPr="00F8083C">
        <w:t>Main requirements</w:t>
      </w:r>
    </w:p>
    <w:p w14:paraId="66947FF4" w14:textId="5846800B" w:rsidR="00BD6C70" w:rsidRPr="00002E12" w:rsidRDefault="00BD6C70" w:rsidP="00BD6C70">
      <w:pPr>
        <w:pStyle w:val="IASBNormal"/>
      </w:pPr>
      <w:r w:rsidRPr="00002E12">
        <w:t xml:space="preserve">This </w:t>
      </w:r>
      <w:r w:rsidR="00B37FB5">
        <w:t xml:space="preserve">Standard </w:t>
      </w:r>
      <w:r w:rsidRPr="00002E12">
        <w:t>amend</w:t>
      </w:r>
      <w:r w:rsidR="00B37FB5">
        <w:t>s</w:t>
      </w:r>
      <w:r w:rsidRPr="00002E12">
        <w:t>:</w:t>
      </w:r>
    </w:p>
    <w:p w14:paraId="5D1BCB57" w14:textId="2A33AD45" w:rsidR="00B1486A" w:rsidRDefault="00BD6C70" w:rsidP="001D2140">
      <w:pPr>
        <w:pStyle w:val="NumPlain2"/>
        <w:numPr>
          <w:ilvl w:val="1"/>
          <w:numId w:val="2"/>
        </w:numPr>
        <w:tabs>
          <w:tab w:val="clear" w:pos="1021"/>
        </w:tabs>
        <w:ind w:left="782" w:hanging="782"/>
      </w:pPr>
      <w:r w:rsidRPr="00002E12">
        <w:t xml:space="preserve">AASB 1 </w:t>
      </w:r>
      <w:r>
        <w:t xml:space="preserve">– </w:t>
      </w:r>
      <w:r w:rsidRPr="00002E12">
        <w:t>to allow</w:t>
      </w:r>
      <w:r w:rsidR="00B1486A">
        <w:t>:</w:t>
      </w:r>
    </w:p>
    <w:p w14:paraId="415D728E" w14:textId="1AFD8246" w:rsidR="00B1486A" w:rsidRDefault="00B1486A" w:rsidP="00676774">
      <w:pPr>
        <w:pStyle w:val="NumPlain3"/>
        <w:numPr>
          <w:ilvl w:val="2"/>
          <w:numId w:val="2"/>
        </w:numPr>
        <w:tabs>
          <w:tab w:val="clear" w:pos="1531"/>
        </w:tabs>
        <w:ind w:left="1564" w:hanging="782"/>
      </w:pPr>
      <w:r>
        <w:t xml:space="preserve">a </w:t>
      </w:r>
      <w:r w:rsidR="00BD6C70">
        <w:t xml:space="preserve">subsidiary </w:t>
      </w:r>
      <w:r w:rsidR="00BD6C70" w:rsidRPr="00002E12">
        <w:t xml:space="preserve">preparing </w:t>
      </w:r>
      <w:r w:rsidR="00BD6C70">
        <w:t xml:space="preserve">general purpose financial statements </w:t>
      </w:r>
      <w:r w:rsidR="00BD6C70" w:rsidRPr="00002E12">
        <w:t>for the first time to apply the optional exemption in paragraph D16</w:t>
      </w:r>
      <w:r w:rsidR="00BD6C70">
        <w:t>(a)</w:t>
      </w:r>
      <w:r w:rsidR="00BD6C70" w:rsidRPr="00002E12">
        <w:t xml:space="preserve"> </w:t>
      </w:r>
      <w:r w:rsidR="00BD6C70">
        <w:t xml:space="preserve">and measure its assets and liabilities at the carrying amounts that would be included in the </w:t>
      </w:r>
      <w:r w:rsidR="005244AD">
        <w:t xml:space="preserve">parent’s </w:t>
      </w:r>
      <w:r w:rsidR="00BD6C70">
        <w:t xml:space="preserve">consolidated financial statements where the </w:t>
      </w:r>
      <w:r w:rsidR="00BD6C70" w:rsidRPr="00002E12">
        <w:t xml:space="preserve">parent has </w:t>
      </w:r>
      <w:r w:rsidR="00BD6C70">
        <w:t xml:space="preserve">already </w:t>
      </w:r>
      <w:r w:rsidR="00BD6C70" w:rsidRPr="00002E12">
        <w:t xml:space="preserve">adopted either Australian Accounting Standards or </w:t>
      </w:r>
      <w:r w:rsidR="00BD6C70">
        <w:t>International Financial Reporting Standards (</w:t>
      </w:r>
      <w:r w:rsidR="00BD6C70" w:rsidRPr="00002E12">
        <w:t>IFRS Standard</w:t>
      </w:r>
      <w:r w:rsidR="00BD6C70">
        <w:t>s</w:t>
      </w:r>
      <w:r w:rsidR="007B49DE">
        <w:t xml:space="preserve"> or IFRSs</w:t>
      </w:r>
      <w:r w:rsidR="00BD6C70">
        <w:t xml:space="preserve">); </w:t>
      </w:r>
      <w:r w:rsidR="00BE3E00">
        <w:t>and</w:t>
      </w:r>
    </w:p>
    <w:p w14:paraId="69FD9040" w14:textId="0A7B7600" w:rsidR="00BD6C70" w:rsidRDefault="009F4BE6" w:rsidP="00676774">
      <w:pPr>
        <w:pStyle w:val="NumPlain3"/>
        <w:numPr>
          <w:ilvl w:val="2"/>
          <w:numId w:val="2"/>
        </w:numPr>
        <w:tabs>
          <w:tab w:val="clear" w:pos="1531"/>
        </w:tabs>
        <w:ind w:left="1564" w:hanging="782"/>
      </w:pPr>
      <w:r>
        <w:t>an entity that becomes a first-time adopter of Australian Accounting Standards in its consolidated financial statements later than its subsidiary</w:t>
      </w:r>
      <w:r w:rsidR="00B84B59">
        <w:t xml:space="preserve"> (or </w:t>
      </w:r>
      <w:r>
        <w:t>associate or joint venture</w:t>
      </w:r>
      <w:r w:rsidR="00B84B59">
        <w:t>)</w:t>
      </w:r>
      <w:r>
        <w:t xml:space="preserve"> to use the amounts included in the subsidiary</w:t>
      </w:r>
      <w:r w:rsidR="00BE3E00">
        <w:t>’s</w:t>
      </w:r>
      <w:r w:rsidR="00B84B59">
        <w:t xml:space="preserve"> (or a</w:t>
      </w:r>
      <w:r>
        <w:t>ssociate</w:t>
      </w:r>
      <w:r w:rsidR="00BE3E00">
        <w:t>’s</w:t>
      </w:r>
      <w:r>
        <w:t xml:space="preserve"> or joint </w:t>
      </w:r>
      <w:r w:rsidR="00511F7A">
        <w:t>venture’s</w:t>
      </w:r>
      <w:r w:rsidR="00B84B59">
        <w:t>)</w:t>
      </w:r>
      <w:r>
        <w:t xml:space="preserve"> separate financial statements where the subsidiary</w:t>
      </w:r>
      <w:r w:rsidR="00092EBA">
        <w:t xml:space="preserve"> (or </w:t>
      </w:r>
      <w:r>
        <w:t>associate or joint venture</w:t>
      </w:r>
      <w:r w:rsidR="00092EBA">
        <w:t>)</w:t>
      </w:r>
      <w:r>
        <w:t xml:space="preserve"> has already adopted either Australian Accounting Standards or IFRS</w:t>
      </w:r>
      <w:r w:rsidR="007B49DE">
        <w:t>s</w:t>
      </w:r>
      <w:r>
        <w:t>;</w:t>
      </w:r>
      <w:r w:rsidR="004B4E81">
        <w:t xml:space="preserve"> </w:t>
      </w:r>
      <w:r w:rsidR="00BD6C70">
        <w:t>and</w:t>
      </w:r>
    </w:p>
    <w:p w14:paraId="3F93D492" w14:textId="77777777" w:rsidR="00BD6C70" w:rsidRDefault="00BD6C70" w:rsidP="001D2140">
      <w:pPr>
        <w:pStyle w:val="NumPlain2"/>
        <w:numPr>
          <w:ilvl w:val="1"/>
          <w:numId w:val="2"/>
        </w:numPr>
        <w:tabs>
          <w:tab w:val="clear" w:pos="1021"/>
        </w:tabs>
        <w:ind w:left="782" w:hanging="782"/>
      </w:pPr>
      <w:r w:rsidRPr="00002E12">
        <w:t>AASB 1053</w:t>
      </w:r>
      <w:r w:rsidRPr="00503A75">
        <w:rPr>
          <w:i/>
          <w:iCs/>
        </w:rPr>
        <w:t xml:space="preserve"> </w:t>
      </w:r>
      <w:r>
        <w:t xml:space="preserve">– </w:t>
      </w:r>
      <w:r w:rsidRPr="00002E12">
        <w:t xml:space="preserve">to allow for-profit private sector entities </w:t>
      </w:r>
      <w:r>
        <w:t xml:space="preserve">transitioning from </w:t>
      </w:r>
      <w:r w:rsidRPr="00002E12">
        <w:t>unconsolidated Tier 2 – Reduced Disclosure Requirements</w:t>
      </w:r>
      <w:r>
        <w:t xml:space="preserve"> general purpose financial statements </w:t>
      </w:r>
      <w:r w:rsidRPr="00002E12">
        <w:t>to consolidated Tier 2 – Simplified Disclosures</w:t>
      </w:r>
      <w:r>
        <w:t xml:space="preserve"> general purpose financial statements to apply AASB 1 when preparing consolidated financial statements for the first time</w:t>
      </w:r>
      <w:r w:rsidRPr="00002E12">
        <w:t>.</w:t>
      </w:r>
    </w:p>
    <w:p w14:paraId="254EBF68" w14:textId="77777777" w:rsidR="00BD6C70" w:rsidRPr="003766A0" w:rsidRDefault="00BD6C70" w:rsidP="00BD6C70">
      <w:pPr>
        <w:pStyle w:val="IASBSectionTitle2Ind"/>
      </w:pPr>
      <w:r w:rsidRPr="003766A0">
        <w:t>Application date</w:t>
      </w:r>
    </w:p>
    <w:p w14:paraId="5911AE81" w14:textId="202959EB" w:rsidR="00BD6C70" w:rsidRDefault="00BD6C70" w:rsidP="00BD6C70">
      <w:pPr>
        <w:pStyle w:val="IASBNormal"/>
      </w:pPr>
      <w:r w:rsidRPr="003766A0">
        <w:t xml:space="preserve">This Standard applies to </w:t>
      </w:r>
      <w:r>
        <w:t xml:space="preserve">annual </w:t>
      </w:r>
      <w:r w:rsidRPr="003766A0">
        <w:t xml:space="preserve">periods </w:t>
      </w:r>
      <w:r>
        <w:t xml:space="preserve">ending </w:t>
      </w:r>
      <w:r w:rsidRPr="003766A0">
        <w:t xml:space="preserve">on or </w:t>
      </w:r>
      <w:r>
        <w:t>after 30 June 2022</w:t>
      </w:r>
      <w:r w:rsidRPr="003766A0">
        <w:t xml:space="preserve">, with </w:t>
      </w:r>
      <w:r>
        <w:t xml:space="preserve">earlier application </w:t>
      </w:r>
      <w:r w:rsidRPr="003766A0">
        <w:t xml:space="preserve">permitted. </w:t>
      </w:r>
    </w:p>
    <w:p w14:paraId="16606DC6" w14:textId="77777777" w:rsidR="00BD6C70" w:rsidRDefault="00BD6C70" w:rsidP="00BD6C70">
      <w:pPr>
        <w:pStyle w:val="IASBNormal"/>
        <w:spacing w:after="0"/>
      </w:pPr>
    </w:p>
    <w:p w14:paraId="0C5FEF6B" w14:textId="77777777" w:rsidR="00BD6C70" w:rsidRDefault="00BD6C70" w:rsidP="00BD6C70">
      <w:pPr>
        <w:pStyle w:val="IASBNormal"/>
        <w:spacing w:after="0"/>
        <w:sectPr w:rsidR="00BD6C70" w:rsidSect="00415CFC">
          <w:headerReference w:type="even" r:id="rId23"/>
          <w:headerReference w:type="default" r:id="rId24"/>
          <w:footerReference w:type="default" r:id="rId25"/>
          <w:headerReference w:type="first" r:id="rId26"/>
          <w:footnotePr>
            <w:numRestart w:val="eachSect"/>
          </w:footnotePr>
          <w:pgSz w:w="11907" w:h="16840" w:code="9"/>
          <w:pgMar w:top="1418" w:right="1418" w:bottom="1418" w:left="1418" w:header="709" w:footer="709" w:gutter="0"/>
          <w:paperSrc w:first="7" w:other="7"/>
          <w:cols w:space="720"/>
          <w:docGrid w:linePitch="65"/>
        </w:sectPr>
      </w:pPr>
    </w:p>
    <w:p w14:paraId="57708EF9" w14:textId="49792100" w:rsidR="00BD6C70" w:rsidRPr="003766A0" w:rsidRDefault="00BD6C70" w:rsidP="00BD6C70">
      <w:pPr>
        <w:pStyle w:val="ConvSectionTitle"/>
      </w:pPr>
      <w:r w:rsidRPr="003766A0">
        <w:lastRenderedPageBreak/>
        <w:t>Accounting Standard AASB </w:t>
      </w:r>
      <w:r w:rsidR="00292CFA" w:rsidRPr="00292CFA">
        <w:fldChar w:fldCharType="begin" w:fldLock="1"/>
      </w:r>
      <w:r w:rsidR="00292CFA">
        <w:instrText xml:space="preserve"> REF DocNo  \* charformat  \* MERGEFORMAT </w:instrText>
      </w:r>
      <w:r w:rsidR="00292CFA" w:rsidRPr="00292CFA">
        <w:fldChar w:fldCharType="separate"/>
      </w:r>
      <w:r w:rsidR="00B22FB2">
        <w:t>2022-2</w:t>
      </w:r>
      <w:r w:rsidR="00292CFA" w:rsidRPr="00292CFA">
        <w:fldChar w:fldCharType="end"/>
      </w:r>
    </w:p>
    <w:p w14:paraId="1429BBA7" w14:textId="41066099" w:rsidR="00BD6C70" w:rsidRPr="003766A0" w:rsidRDefault="00BD6C70" w:rsidP="00BD6C70">
      <w:pPr>
        <w:pStyle w:val="BodyText"/>
        <w:rPr>
          <w:lang w:eastAsia="en-AU"/>
        </w:rPr>
      </w:pPr>
      <w:r w:rsidRPr="003766A0">
        <w:rPr>
          <w:lang w:eastAsia="en-AU"/>
        </w:rPr>
        <w:t xml:space="preserve">The Australian Accounting Standards Board makes Accounting Standard AASB </w:t>
      </w:r>
      <w:r w:rsidR="00292CFA" w:rsidRPr="00292CFA">
        <w:rPr>
          <w:lang w:eastAsia="en-AU"/>
        </w:rPr>
        <w:fldChar w:fldCharType="begin" w:fldLock="1"/>
      </w:r>
      <w:r w:rsidR="00292CFA" w:rsidRPr="00292CFA">
        <w:rPr>
          <w:lang w:eastAsia="en-AU"/>
        </w:rPr>
        <w:instrText xml:space="preserve"> REF DocNo  \* charformat </w:instrText>
      </w:r>
      <w:r w:rsidR="00292CFA">
        <w:rPr>
          <w:lang w:eastAsia="en-AU"/>
        </w:rPr>
        <w:instrText xml:space="preserve"> \* MERGEFORMAT </w:instrText>
      </w:r>
      <w:r w:rsidR="00292CFA" w:rsidRPr="00292CFA">
        <w:rPr>
          <w:lang w:eastAsia="en-AU"/>
        </w:rPr>
        <w:fldChar w:fldCharType="separate"/>
      </w:r>
      <w:r w:rsidR="00B22FB2">
        <w:rPr>
          <w:lang w:eastAsia="en-AU"/>
        </w:rPr>
        <w:t>2022-2</w:t>
      </w:r>
      <w:r w:rsidR="00292CFA" w:rsidRPr="00292CFA">
        <w:rPr>
          <w:lang w:eastAsia="en-AU"/>
        </w:rPr>
        <w:fldChar w:fldCharType="end"/>
      </w:r>
      <w:r>
        <w:rPr>
          <w:lang w:eastAsia="en-AU"/>
        </w:rPr>
        <w:t xml:space="preserve"> </w:t>
      </w:r>
      <w:r w:rsidRPr="00F778D2">
        <w:rPr>
          <w:i/>
          <w:iCs/>
        </w:rPr>
        <w:fldChar w:fldCharType="begin" w:fldLock="1"/>
      </w:r>
      <w:r w:rsidRPr="00F778D2">
        <w:rPr>
          <w:i/>
          <w:iCs/>
        </w:rPr>
        <w:instrText xml:space="preserve"> REF  DocTitle  \* MERGEFORMAT </w:instrText>
      </w:r>
      <w:r w:rsidRPr="00F778D2">
        <w:rPr>
          <w:i/>
          <w:iCs/>
        </w:rPr>
        <w:fldChar w:fldCharType="separate"/>
      </w:r>
      <w:r w:rsidR="00B22FB2" w:rsidRPr="00B22FB2">
        <w:rPr>
          <w:i/>
          <w:iCs/>
        </w:rPr>
        <w:t>Amendments to Australian Accounting Standards – Extending Transition Relief under AASB 1</w:t>
      </w:r>
      <w:r w:rsidRPr="00F778D2">
        <w:rPr>
          <w:i/>
          <w:iCs/>
        </w:rPr>
        <w:fldChar w:fldCharType="end"/>
      </w:r>
      <w:r>
        <w:rPr>
          <w:i/>
          <w:lang w:eastAsia="en-AU"/>
        </w:rPr>
        <w:t xml:space="preserve"> </w:t>
      </w:r>
      <w:r w:rsidRPr="003766A0">
        <w:rPr>
          <w:lang w:eastAsia="en-AU"/>
        </w:rPr>
        <w:t xml:space="preserve">under section 334 of the </w:t>
      </w:r>
      <w:r w:rsidRPr="002222AA">
        <w:rPr>
          <w:i/>
          <w:lang w:eastAsia="en-AU"/>
        </w:rPr>
        <w:t>Corporations Act 2001</w:t>
      </w:r>
      <w:r w:rsidRPr="003766A0">
        <w:rPr>
          <w:lang w:eastAsia="en-AU"/>
        </w:rPr>
        <w:t>.</w:t>
      </w:r>
    </w:p>
    <w:p w14:paraId="2010BD4D" w14:textId="77777777" w:rsidR="00BD6C70" w:rsidRPr="003766A0" w:rsidRDefault="00BD6C70" w:rsidP="00BD6C70">
      <w:pPr>
        <w:pStyle w:val="BodyText"/>
        <w:spacing w:after="0"/>
        <w:jc w:val="right"/>
        <w:rPr>
          <w:lang w:eastAsia="en-AU"/>
        </w:rPr>
      </w:pPr>
      <w:r>
        <w:rPr>
          <w:lang w:eastAsia="en-AU"/>
        </w:rPr>
        <w:t>Keith Kendall</w:t>
      </w:r>
    </w:p>
    <w:p w14:paraId="3D3AFF53" w14:textId="77584CC2" w:rsidR="00BD6C70" w:rsidRPr="003766A0" w:rsidRDefault="00BD6C70" w:rsidP="00BD6C70">
      <w:pPr>
        <w:pStyle w:val="BodyText"/>
        <w:tabs>
          <w:tab w:val="left" w:pos="191"/>
          <w:tab w:val="right" w:pos="9071"/>
        </w:tabs>
        <w:jc w:val="left"/>
        <w:rPr>
          <w:lang w:eastAsia="en-AU"/>
        </w:rPr>
      </w:pPr>
      <w:r w:rsidRPr="003766A0">
        <w:rPr>
          <w:lang w:eastAsia="en-AU"/>
        </w:rPr>
        <w:t xml:space="preserve">Dated </w:t>
      </w:r>
      <w:r w:rsidR="00881AB4">
        <w:rPr>
          <w:lang w:eastAsia="en-AU"/>
        </w:rPr>
        <w:t>2 May 2022</w:t>
      </w:r>
      <w:r>
        <w:rPr>
          <w:lang w:eastAsia="en-AU"/>
        </w:rPr>
        <w:tab/>
      </w:r>
      <w:r w:rsidRPr="003766A0">
        <w:rPr>
          <w:lang w:eastAsia="en-AU"/>
        </w:rPr>
        <w:t>Chair – AASB</w:t>
      </w:r>
    </w:p>
    <w:p w14:paraId="1B61F084" w14:textId="7E8B7DE0" w:rsidR="00BD6C70" w:rsidRPr="00F536BE" w:rsidRDefault="00BD6C70" w:rsidP="00BD6C70">
      <w:pPr>
        <w:pStyle w:val="ConvSectionTitle"/>
        <w:spacing w:after="0"/>
        <w:rPr>
          <w:i/>
          <w:iCs/>
        </w:rPr>
      </w:pPr>
      <w:r w:rsidRPr="003766A0">
        <w:t>Accounting Standard AASB </w:t>
      </w:r>
      <w:r w:rsidR="00292CFA" w:rsidRPr="00292CFA">
        <w:fldChar w:fldCharType="begin" w:fldLock="1"/>
      </w:r>
      <w:r w:rsidR="00292CFA">
        <w:instrText xml:space="preserve"> REF DocNo  \* charformat  \* MERGEFORMAT </w:instrText>
      </w:r>
      <w:r w:rsidR="00292CFA" w:rsidRPr="00292CFA">
        <w:fldChar w:fldCharType="separate"/>
      </w:r>
      <w:r w:rsidR="00B22FB2">
        <w:t>2022-2</w:t>
      </w:r>
      <w:r w:rsidR="00292CFA" w:rsidRPr="00292CFA">
        <w:fldChar w:fldCharType="end"/>
      </w:r>
      <w:r>
        <w:t xml:space="preserve"> </w:t>
      </w:r>
      <w:r w:rsidRPr="00F778D2">
        <w:rPr>
          <w:i/>
          <w:iCs/>
        </w:rPr>
        <w:fldChar w:fldCharType="begin" w:fldLock="1"/>
      </w:r>
      <w:r w:rsidRPr="00F778D2">
        <w:rPr>
          <w:i/>
          <w:iCs/>
        </w:rPr>
        <w:instrText xml:space="preserve"> REF  DocTitle  \* MERGEFORMAT </w:instrText>
      </w:r>
      <w:r w:rsidRPr="00F778D2">
        <w:rPr>
          <w:i/>
          <w:iCs/>
        </w:rPr>
        <w:fldChar w:fldCharType="separate"/>
      </w:r>
      <w:r w:rsidR="00B22FB2" w:rsidRPr="00B22FB2">
        <w:rPr>
          <w:i/>
          <w:iCs/>
        </w:rPr>
        <w:t>Amendments to Australian Accounting Standards – Extending Transition Relief under AASB 1</w:t>
      </w:r>
      <w:r w:rsidRPr="00F778D2">
        <w:rPr>
          <w:i/>
          <w:iCs/>
        </w:rPr>
        <w:fldChar w:fldCharType="end"/>
      </w:r>
    </w:p>
    <w:p w14:paraId="1754B7DF" w14:textId="77777777" w:rsidR="00BD6C70" w:rsidRPr="003766A0" w:rsidRDefault="00BD6C70" w:rsidP="001D2140">
      <w:pPr>
        <w:pStyle w:val="IASBSectionTitle1NonInd"/>
      </w:pPr>
      <w:r w:rsidRPr="000A45B3">
        <w:t>Objective</w:t>
      </w:r>
    </w:p>
    <w:p w14:paraId="281E972B" w14:textId="77777777" w:rsidR="00BD6C70" w:rsidRDefault="00BD6C70" w:rsidP="00BD6C70">
      <w:pPr>
        <w:pStyle w:val="NumPlain1"/>
        <w:numPr>
          <w:ilvl w:val="0"/>
          <w:numId w:val="13"/>
        </w:numPr>
        <w:ind w:left="782" w:hanging="782"/>
      </w:pPr>
      <w:r>
        <w:t>This Standard amends:</w:t>
      </w:r>
    </w:p>
    <w:p w14:paraId="6682A8E7" w14:textId="35E3E816" w:rsidR="00234B56" w:rsidRDefault="00BD6C70" w:rsidP="00714A67">
      <w:pPr>
        <w:pStyle w:val="NumPlain2"/>
        <w:numPr>
          <w:ilvl w:val="1"/>
          <w:numId w:val="17"/>
        </w:numPr>
        <w:tabs>
          <w:tab w:val="clear" w:pos="1021"/>
        </w:tabs>
        <w:ind w:left="1564" w:hanging="782"/>
      </w:pPr>
      <w:r w:rsidRPr="00002E12">
        <w:t xml:space="preserve">AASB 1 </w:t>
      </w:r>
      <w:r w:rsidRPr="00714A67">
        <w:rPr>
          <w:i/>
        </w:rPr>
        <w:t>First-time Adoption of Australian Accounting Standards</w:t>
      </w:r>
      <w:r w:rsidR="00DA5081">
        <w:rPr>
          <w:iCs/>
        </w:rPr>
        <w:t xml:space="preserve"> (July 2015)</w:t>
      </w:r>
      <w:r w:rsidRPr="00002E12">
        <w:t>, to allow</w:t>
      </w:r>
      <w:r w:rsidR="00234B56">
        <w:t>:</w:t>
      </w:r>
    </w:p>
    <w:p w14:paraId="1B1F4C6E" w14:textId="4B2BD0E7" w:rsidR="00B1486A" w:rsidRDefault="00BD6C70" w:rsidP="00714A67">
      <w:pPr>
        <w:pStyle w:val="NumPlain3"/>
        <w:numPr>
          <w:ilvl w:val="2"/>
          <w:numId w:val="17"/>
        </w:numPr>
        <w:ind w:left="2347" w:hanging="782"/>
      </w:pPr>
      <w:r>
        <w:t>a subsidiary</w:t>
      </w:r>
      <w:r w:rsidRPr="00002E12">
        <w:t xml:space="preserve"> preparing </w:t>
      </w:r>
      <w:r>
        <w:t xml:space="preserve">general purpose financial statements </w:t>
      </w:r>
      <w:r w:rsidRPr="00002E12">
        <w:t>for the first time to apply the optional exemption in paragraph</w:t>
      </w:r>
      <w:r>
        <w:t xml:space="preserve"> </w:t>
      </w:r>
      <w:r w:rsidRPr="00002E12">
        <w:t>D16</w:t>
      </w:r>
      <w:r>
        <w:t>(a)</w:t>
      </w:r>
      <w:r w:rsidRPr="00002E12">
        <w:t xml:space="preserve"> </w:t>
      </w:r>
      <w:r>
        <w:t xml:space="preserve">and measure its assets and liabilities at the carrying amounts that would be included in the </w:t>
      </w:r>
      <w:r w:rsidR="005244AD">
        <w:t xml:space="preserve">parent’s </w:t>
      </w:r>
      <w:r>
        <w:t xml:space="preserve">consolidated financial statements where the </w:t>
      </w:r>
      <w:r w:rsidRPr="00002E12">
        <w:t xml:space="preserve">parent has </w:t>
      </w:r>
      <w:r>
        <w:t xml:space="preserve">already </w:t>
      </w:r>
      <w:r w:rsidRPr="00002E12">
        <w:t xml:space="preserve">adopted either Australian Accounting Standards or </w:t>
      </w:r>
      <w:r>
        <w:t>International Financial Reporting Standards (</w:t>
      </w:r>
      <w:r w:rsidRPr="00002E12">
        <w:t>IFRS Standard</w:t>
      </w:r>
      <w:r>
        <w:t>s</w:t>
      </w:r>
      <w:r w:rsidR="00DA5081">
        <w:t xml:space="preserve"> or IFRSs</w:t>
      </w:r>
      <w:r>
        <w:t xml:space="preserve">); </w:t>
      </w:r>
      <w:r w:rsidR="00DA5081">
        <w:t>and</w:t>
      </w:r>
    </w:p>
    <w:p w14:paraId="2F5A67C6" w14:textId="1DA3CDAD" w:rsidR="00234B56" w:rsidRDefault="00092EBA" w:rsidP="005D6594">
      <w:pPr>
        <w:pStyle w:val="NumPlain3"/>
        <w:numPr>
          <w:ilvl w:val="2"/>
          <w:numId w:val="17"/>
        </w:numPr>
        <w:ind w:left="2347" w:hanging="782"/>
      </w:pPr>
      <w:r>
        <w:t>an entity that becomes a first-time adopter of Australian Accounting Standards in its consolidated financial statements later than its subsidiary (or associate or joint venture) to use the amounts included in the subsidiary</w:t>
      </w:r>
      <w:r w:rsidR="00C26887">
        <w:t>’s</w:t>
      </w:r>
      <w:r>
        <w:t xml:space="preserve"> (or associate</w:t>
      </w:r>
      <w:r w:rsidR="00C26887">
        <w:t>’s</w:t>
      </w:r>
      <w:r>
        <w:t xml:space="preserve"> or joint venture</w:t>
      </w:r>
      <w:r w:rsidR="00690EEF">
        <w:t>’</w:t>
      </w:r>
      <w:r w:rsidR="0056616A">
        <w:t>s</w:t>
      </w:r>
      <w:r>
        <w:t>) separate financial statements where the subsidiary (or associate or joint venture) has already adopted either Australian Accounting Standards or</w:t>
      </w:r>
      <w:r w:rsidR="002D7595">
        <w:t xml:space="preserve"> IFRSs</w:t>
      </w:r>
      <w:r>
        <w:t>; and</w:t>
      </w:r>
    </w:p>
    <w:p w14:paraId="07E88669" w14:textId="065790FA" w:rsidR="00BD6C70" w:rsidRDefault="00BD6C70" w:rsidP="005D6594">
      <w:pPr>
        <w:pStyle w:val="NumPlain2"/>
        <w:numPr>
          <w:ilvl w:val="1"/>
          <w:numId w:val="17"/>
        </w:numPr>
        <w:tabs>
          <w:tab w:val="clear" w:pos="1021"/>
        </w:tabs>
        <w:ind w:left="1564" w:hanging="782"/>
      </w:pPr>
      <w:r w:rsidRPr="00002E12">
        <w:t>AASB 1053</w:t>
      </w:r>
      <w:r w:rsidRPr="00503A75">
        <w:rPr>
          <w:i/>
          <w:iCs/>
        </w:rPr>
        <w:t xml:space="preserve"> </w:t>
      </w:r>
      <w:r w:rsidRPr="00503A75">
        <w:rPr>
          <w:i/>
        </w:rPr>
        <w:t>Application of Tiers of Australian Accounting Standards</w:t>
      </w:r>
      <w:r w:rsidR="00DA5081">
        <w:rPr>
          <w:iCs/>
        </w:rPr>
        <w:t xml:space="preserve"> (June 2010)</w:t>
      </w:r>
      <w:r w:rsidRPr="00002E12">
        <w:t xml:space="preserve">, to allow for-profit private sector entities </w:t>
      </w:r>
      <w:r>
        <w:t xml:space="preserve">transitioning from </w:t>
      </w:r>
      <w:r w:rsidRPr="00002E12">
        <w:t>unconsolidated Tier 2 – Reduced Disclosure Requirements</w:t>
      </w:r>
      <w:r>
        <w:t xml:space="preserve"> general purpose financial statements </w:t>
      </w:r>
      <w:r w:rsidRPr="00002E12">
        <w:t>to consolidated Tier 2 – Simplified Disclosures</w:t>
      </w:r>
      <w:r>
        <w:t xml:space="preserve"> general purpose financial statements to apply AASB 1 when preparing consolidated financial statements for the first time</w:t>
      </w:r>
      <w:r w:rsidRPr="00002E12">
        <w:t>.</w:t>
      </w:r>
    </w:p>
    <w:p w14:paraId="7E792CC1" w14:textId="77777777" w:rsidR="00BD6C70" w:rsidRPr="003766A0" w:rsidRDefault="00BD6C70" w:rsidP="000A45B3">
      <w:pPr>
        <w:pStyle w:val="IASBSectionTitle1NonInd"/>
      </w:pPr>
      <w:r w:rsidRPr="000A45B3">
        <w:t>Application</w:t>
      </w:r>
    </w:p>
    <w:p w14:paraId="09B6D450" w14:textId="77777777" w:rsidR="00BD6C70" w:rsidRPr="00AF67E2" w:rsidRDefault="00BD6C70" w:rsidP="00BD6C70">
      <w:pPr>
        <w:pStyle w:val="NumPlain1"/>
        <w:numPr>
          <w:ilvl w:val="0"/>
          <w:numId w:val="13"/>
        </w:numPr>
        <w:ind w:left="782" w:hanging="782"/>
      </w:pPr>
      <w:r w:rsidRPr="000761D8">
        <w:t>The amendments set out in this Standard apply to entities and financial statements in accordance with the application of the other Standards set out in AASB 1057</w:t>
      </w:r>
      <w:r>
        <w:t xml:space="preserve"> </w:t>
      </w:r>
      <w:r w:rsidRPr="00B049EB">
        <w:rPr>
          <w:i/>
          <w:iCs/>
        </w:rPr>
        <w:t>Application of Australian Accounting Standards</w:t>
      </w:r>
      <w:r w:rsidRPr="002473F7">
        <w:rPr>
          <w:iCs/>
        </w:rPr>
        <w:t>.</w:t>
      </w:r>
    </w:p>
    <w:p w14:paraId="45FBBFA1" w14:textId="381C2859" w:rsidR="00BD6C70" w:rsidRPr="003766A0" w:rsidRDefault="00BD6C70" w:rsidP="00BD6C70">
      <w:pPr>
        <w:pStyle w:val="NumPlain1"/>
        <w:numPr>
          <w:ilvl w:val="0"/>
          <w:numId w:val="13"/>
        </w:numPr>
        <w:ind w:left="782" w:hanging="782"/>
      </w:pPr>
      <w:r w:rsidRPr="003766A0">
        <w:t xml:space="preserve">This Standard applies to annual periods </w:t>
      </w:r>
      <w:r>
        <w:t xml:space="preserve">ending </w:t>
      </w:r>
      <w:r w:rsidRPr="003766A0">
        <w:t xml:space="preserve">on or after </w:t>
      </w:r>
      <w:r>
        <w:t>30 June 2022</w:t>
      </w:r>
      <w:bookmarkStart w:id="10" w:name="EarlyYesPara"/>
      <w:r>
        <w:t xml:space="preserve">. </w:t>
      </w:r>
      <w:r w:rsidRPr="003766A0">
        <w:t xml:space="preserve">This Standard may be applied to annual periods </w:t>
      </w:r>
      <w:r>
        <w:t xml:space="preserve">ending </w:t>
      </w:r>
      <w:r w:rsidRPr="003766A0">
        <w:t xml:space="preserve">before </w:t>
      </w:r>
      <w:r>
        <w:t>30 June 2022.</w:t>
      </w:r>
    </w:p>
    <w:p w14:paraId="65F350AA" w14:textId="7E23122D" w:rsidR="00BD6C70" w:rsidRPr="003766A0" w:rsidRDefault="00BD6C70" w:rsidP="00BD6C70">
      <w:pPr>
        <w:pStyle w:val="NumPlain1"/>
        <w:numPr>
          <w:ilvl w:val="0"/>
          <w:numId w:val="13"/>
        </w:numPr>
        <w:ind w:left="782" w:hanging="782"/>
      </w:pPr>
      <w:r w:rsidRPr="003766A0">
        <w:t>This Standard uses underlining, striking out and other typographical material to identify some of the amendments to</w:t>
      </w:r>
      <w:r>
        <w:t xml:space="preserve"> a Standard</w:t>
      </w:r>
      <w:r w:rsidRPr="003766A0">
        <w:t xml:space="preserve">, </w:t>
      </w:r>
      <w:proofErr w:type="gramStart"/>
      <w:r w:rsidRPr="003766A0">
        <w:t>in order to</w:t>
      </w:r>
      <w:proofErr w:type="gramEnd"/>
      <w:r w:rsidRPr="003766A0">
        <w:t xml:space="preserve"> make the amendments more understandable. However, the amendments made by this Standard do not include that underlining, striking out or other typographical material. Amended paragraphs are shown with </w:t>
      </w:r>
      <w:r>
        <w:t>new text underlined.</w:t>
      </w:r>
      <w:r w:rsidR="002F20AB">
        <w:t xml:space="preserve"> </w:t>
      </w:r>
      <w:r w:rsidR="002F20AB" w:rsidRPr="00E31114">
        <w:t xml:space="preserve">Ellipses (…) are used to help provide the context within which amendments are made </w:t>
      </w:r>
      <w:proofErr w:type="gramStart"/>
      <w:r w:rsidR="002F20AB" w:rsidRPr="00E31114">
        <w:t>and also</w:t>
      </w:r>
      <w:proofErr w:type="gramEnd"/>
      <w:r w:rsidR="002F20AB" w:rsidRPr="00E31114">
        <w:t xml:space="preserve"> to indicate text that is not amended.</w:t>
      </w:r>
    </w:p>
    <w:bookmarkEnd w:id="10"/>
    <w:p w14:paraId="426A670B" w14:textId="77777777" w:rsidR="00BD6C70" w:rsidRPr="003766A0" w:rsidRDefault="00BD6C70" w:rsidP="000A45B3">
      <w:pPr>
        <w:pStyle w:val="IASBSectionTitle1NonInd"/>
        <w:rPr>
          <w:i/>
        </w:rPr>
      </w:pPr>
      <w:r w:rsidRPr="000A45B3">
        <w:t>Amendments</w:t>
      </w:r>
      <w:r w:rsidRPr="003766A0">
        <w:t xml:space="preserve"> to </w:t>
      </w:r>
      <w:bookmarkStart w:id="11" w:name="StndNo2"/>
      <w:r w:rsidRPr="003766A0">
        <w:t>AASB </w:t>
      </w:r>
      <w:r>
        <w:t>1</w:t>
      </w:r>
      <w:bookmarkEnd w:id="11"/>
    </w:p>
    <w:p w14:paraId="06FFF04F" w14:textId="0D6FD412" w:rsidR="00BD6C70" w:rsidRPr="00984108" w:rsidRDefault="00BD6C70" w:rsidP="00BD6C70">
      <w:pPr>
        <w:pStyle w:val="NumPlain1"/>
        <w:numPr>
          <w:ilvl w:val="0"/>
          <w:numId w:val="13"/>
        </w:numPr>
        <w:ind w:left="782" w:hanging="782"/>
      </w:pPr>
      <w:r w:rsidRPr="00984108">
        <w:t>Paragraph</w:t>
      </w:r>
      <w:r w:rsidR="00A21993">
        <w:t>s</w:t>
      </w:r>
      <w:r w:rsidRPr="00984108">
        <w:t xml:space="preserve"> </w:t>
      </w:r>
      <w:r w:rsidR="00A21993">
        <w:t>D13A</w:t>
      </w:r>
      <w:r w:rsidR="00911E54">
        <w:t xml:space="preserve">, </w:t>
      </w:r>
      <w:r>
        <w:t xml:space="preserve">D16 </w:t>
      </w:r>
      <w:r w:rsidR="00911E54">
        <w:t xml:space="preserve">and D17 </w:t>
      </w:r>
      <w:r w:rsidR="00A21993">
        <w:t xml:space="preserve">are </w:t>
      </w:r>
      <w:r>
        <w:t>amended. N</w:t>
      </w:r>
      <w:r w:rsidRPr="000476BE">
        <w:t>ew text is underlined</w:t>
      </w:r>
      <w:r>
        <w:t>.</w:t>
      </w:r>
    </w:p>
    <w:p w14:paraId="79064B1D" w14:textId="164D408A" w:rsidR="00A21993" w:rsidRDefault="00A21993" w:rsidP="00BD6C70">
      <w:pPr>
        <w:spacing w:before="100" w:after="100"/>
        <w:ind w:left="1564" w:hanging="782"/>
        <w:outlineLvl w:val="0"/>
      </w:pPr>
      <w:r>
        <w:t xml:space="preserve">D13A </w:t>
      </w:r>
      <w:r>
        <w:tab/>
        <w:t xml:space="preserve">Instead of applying paragraph D12 or paragraph D13, a subsidiary that uses the exemption in paragraph D16(a) may elect, in its financial statements, to measure cumulative translation differences for all foreign operations at the carrying amount that would be included in the </w:t>
      </w:r>
      <w:r w:rsidR="005244AD">
        <w:t xml:space="preserve">parent’s </w:t>
      </w:r>
      <w:r>
        <w:t xml:space="preserve">consolidated financial statements, based on the </w:t>
      </w:r>
      <w:r w:rsidR="005244AD">
        <w:t xml:space="preserve">parent’s </w:t>
      </w:r>
      <w:r>
        <w:t>date of transition to Australian Accounting Standards</w:t>
      </w:r>
      <w:r w:rsidRPr="00911E54">
        <w:rPr>
          <w:u w:val="single"/>
        </w:rPr>
        <w:t xml:space="preserve"> or IFRSs</w:t>
      </w:r>
      <w:r>
        <w:t>, if no adjustments were made for consolidation procedures and for the effects of the business combination in which the parent acquired the subsidiary. A similar election is available to an associate or joint venture that uses the exemption in paragraph</w:t>
      </w:r>
      <w:r w:rsidR="00C14E9E">
        <w:t xml:space="preserve"> D16(a)</w:t>
      </w:r>
      <w:r>
        <w:t>.</w:t>
      </w:r>
    </w:p>
    <w:p w14:paraId="029C1BCD" w14:textId="4B3133C4" w:rsidR="00911E54" w:rsidRDefault="00911E54" w:rsidP="00BD6C70">
      <w:pPr>
        <w:spacing w:before="100" w:after="100"/>
        <w:ind w:left="1564" w:hanging="782"/>
        <w:outlineLvl w:val="0"/>
      </w:pPr>
      <w:r>
        <w:lastRenderedPageBreak/>
        <w:t>…</w:t>
      </w:r>
    </w:p>
    <w:p w14:paraId="23B2BBFA" w14:textId="5DE6C451" w:rsidR="00BD6C70" w:rsidRDefault="00BD6C70" w:rsidP="00BD6C70">
      <w:pPr>
        <w:spacing w:before="100" w:after="100"/>
        <w:ind w:left="1564" w:hanging="782"/>
        <w:outlineLvl w:val="0"/>
      </w:pPr>
      <w:r>
        <w:t xml:space="preserve">D16 </w:t>
      </w:r>
      <w:r>
        <w:tab/>
        <w:t xml:space="preserve">If a subsidiary becomes a first-time adopter later than its parent, the subsidiary shall, in its financial statements, measure its assets and liabilities at either: </w:t>
      </w:r>
    </w:p>
    <w:p w14:paraId="1AE21EEB" w14:textId="2629458A" w:rsidR="00BD6C70" w:rsidRDefault="00BD6C70" w:rsidP="00BD6C70">
      <w:pPr>
        <w:pStyle w:val="NumPlain3"/>
        <w:numPr>
          <w:ilvl w:val="0"/>
          <w:numId w:val="0"/>
        </w:numPr>
        <w:ind w:left="2347" w:hanging="782"/>
        <w:outlineLvl w:val="0"/>
      </w:pPr>
      <w:r>
        <w:t>(a)</w:t>
      </w:r>
      <w:r>
        <w:tab/>
        <w:t xml:space="preserve">the carrying amounts that would be included in the </w:t>
      </w:r>
      <w:r w:rsidR="005244AD">
        <w:t xml:space="preserve">parent’s </w:t>
      </w:r>
      <w:r>
        <w:t xml:space="preserve">consolidated financial statements, based on the </w:t>
      </w:r>
      <w:r w:rsidR="005244AD">
        <w:t xml:space="preserve">parent’s </w:t>
      </w:r>
      <w:r>
        <w:t>date of transition to Australian Accounting Standards</w:t>
      </w:r>
      <w:r w:rsidRPr="00815E05">
        <w:rPr>
          <w:u w:val="single"/>
        </w:rPr>
        <w:t xml:space="preserve"> or IFRSs</w:t>
      </w:r>
      <w:r>
        <w:t>, if no adjustments were made for consolidation procedures and for the effects of the business combination in which the parent acquired the subsidiary (this election is not available to a subsidiary of an investment entity, as defined in AASB 10, that is required to be measured at fair value through profit or loss); or</w:t>
      </w:r>
    </w:p>
    <w:p w14:paraId="6FC8E094" w14:textId="1008B375" w:rsidR="00BD6C70" w:rsidRDefault="00BD6C70" w:rsidP="00BD6C70">
      <w:pPr>
        <w:pStyle w:val="NumPlain3"/>
        <w:numPr>
          <w:ilvl w:val="0"/>
          <w:numId w:val="0"/>
        </w:numPr>
        <w:ind w:left="2347" w:hanging="782"/>
        <w:outlineLvl w:val="0"/>
      </w:pPr>
      <w:r>
        <w:t>(b)</w:t>
      </w:r>
      <w:r>
        <w:tab/>
        <w:t>the carrying amounts required by the rest of this Standard</w:t>
      </w:r>
      <w:r w:rsidR="00BD4182">
        <w:t>, based on the subsidiary’s date of transition to Australian Accounting Standards.</w:t>
      </w:r>
      <w:r>
        <w:t xml:space="preserve"> …</w:t>
      </w:r>
    </w:p>
    <w:p w14:paraId="292E6022" w14:textId="32BBBA6C" w:rsidR="00911E54" w:rsidRDefault="00911E54" w:rsidP="00676774">
      <w:pPr>
        <w:pStyle w:val="NumPlain3"/>
        <w:numPr>
          <w:ilvl w:val="0"/>
          <w:numId w:val="0"/>
        </w:numPr>
        <w:ind w:left="1564" w:hanging="782"/>
        <w:outlineLvl w:val="0"/>
      </w:pPr>
      <w:r w:rsidRPr="00001C18">
        <w:t>D17</w:t>
      </w:r>
      <w:r w:rsidRPr="00001C18">
        <w:tab/>
      </w:r>
      <w:r w:rsidR="002D2B24" w:rsidRPr="00001C18">
        <w:t>However, if an entity becomes a first-time adopter later than its subsidiary (or associate or joint venture) the entity shall, in its consolidated financial statements, measure the assets and liabilities of the subsidiary (or associate or joint venture) at the same carrying amounts as in the financial statements of the subsidiary (or associate or joint venture), after adjusting for consolidation and equity accounting adjustments and for the effects of the business combination in which the entity acquired the subsidiary</w:t>
      </w:r>
      <w:r w:rsidR="00021BEC" w:rsidRPr="00001C18">
        <w:rPr>
          <w:u w:val="single"/>
        </w:rPr>
        <w:t xml:space="preserve">, where the financial statements of the subsidiary </w:t>
      </w:r>
      <w:r w:rsidR="00DF555A">
        <w:rPr>
          <w:u w:val="single"/>
        </w:rPr>
        <w:t xml:space="preserve">(or associate or joint venture) </w:t>
      </w:r>
      <w:r w:rsidR="00021BEC" w:rsidRPr="00001C18">
        <w:rPr>
          <w:u w:val="single"/>
        </w:rPr>
        <w:t>comply with Australian Accounting Standards or IFRSs</w:t>
      </w:r>
      <w:r w:rsidR="002D2B24" w:rsidRPr="00001C18">
        <w:t>. Notwithstanding this requirement, a non-investment entity parent shall not apply the exception to consolidation that is used by any investment entity subsidiaries. Similarly, if a parent becomes a first-time adopter for its separate financial statements earlier or later than for its consolidated financial statements, it shall measure its assets and liabilities at the same amounts in both financial statements, except for consolidation adjustments.</w:t>
      </w:r>
    </w:p>
    <w:p w14:paraId="085C8B59" w14:textId="77777777" w:rsidR="00BD6C70" w:rsidRPr="003766A0" w:rsidRDefault="00BD6C70" w:rsidP="000A45B3">
      <w:pPr>
        <w:pStyle w:val="IASBSectionTitle1NonInd"/>
        <w:rPr>
          <w:i/>
        </w:rPr>
      </w:pPr>
      <w:r w:rsidRPr="003766A0">
        <w:t>Amendments to AASB 105</w:t>
      </w:r>
      <w:r>
        <w:t>3</w:t>
      </w:r>
      <w:r w:rsidRPr="003766A0">
        <w:t xml:space="preserve"> </w:t>
      </w:r>
    </w:p>
    <w:p w14:paraId="615A994A" w14:textId="77777777" w:rsidR="00BD6C70" w:rsidRDefault="00BD6C70" w:rsidP="00BD6C70">
      <w:pPr>
        <w:pStyle w:val="NumPlain1"/>
        <w:numPr>
          <w:ilvl w:val="0"/>
          <w:numId w:val="13"/>
        </w:numPr>
        <w:ind w:left="782" w:hanging="782"/>
      </w:pPr>
      <w:r w:rsidRPr="00DA09CA">
        <w:t xml:space="preserve">Paragraph </w:t>
      </w:r>
      <w:r>
        <w:t xml:space="preserve">20A and a related heading are added after paragraph 20. </w:t>
      </w:r>
    </w:p>
    <w:p w14:paraId="6BB7A26B" w14:textId="6ECA2FAB" w:rsidR="00BD6C70" w:rsidRPr="00F82E25" w:rsidRDefault="00BD6C70" w:rsidP="001D2140">
      <w:pPr>
        <w:pStyle w:val="NumPlain1"/>
        <w:numPr>
          <w:ilvl w:val="0"/>
          <w:numId w:val="0"/>
        </w:numPr>
        <w:tabs>
          <w:tab w:val="left" w:pos="720"/>
        </w:tabs>
        <w:spacing w:before="240"/>
        <w:ind w:left="1565"/>
        <w:jc w:val="left"/>
        <w:rPr>
          <w:rFonts w:ascii="Arial" w:hAnsi="Arial" w:cs="Arial"/>
          <w:b/>
          <w:sz w:val="22"/>
          <w:szCs w:val="22"/>
        </w:rPr>
      </w:pPr>
      <w:r w:rsidRPr="00F82E25">
        <w:rPr>
          <w:rFonts w:ascii="Arial" w:hAnsi="Arial" w:cs="Arial"/>
          <w:b/>
          <w:sz w:val="22"/>
          <w:szCs w:val="22"/>
        </w:rPr>
        <w:t xml:space="preserve">Reapplication of Tier 2 </w:t>
      </w:r>
      <w:r w:rsidRPr="00F82E25">
        <w:rPr>
          <w:rFonts w:ascii="Arial" w:hAnsi="Arial" w:cs="Arial"/>
          <w:b/>
          <w:bCs/>
          <w:sz w:val="22"/>
          <w:szCs w:val="22"/>
        </w:rPr>
        <w:t xml:space="preserve">Reporting Requirements </w:t>
      </w:r>
      <w:r w:rsidR="00B71D21" w:rsidRPr="00B71D21">
        <w:rPr>
          <w:rFonts w:ascii="Arial" w:hAnsi="Arial" w:cs="Arial"/>
          <w:b/>
          <w:sz w:val="22"/>
          <w:szCs w:val="22"/>
        </w:rPr>
        <w:t>in Initial Consolidated Financial Statements</w:t>
      </w:r>
    </w:p>
    <w:p w14:paraId="7EDECA58" w14:textId="3756C849" w:rsidR="00BD6C70" w:rsidRPr="00F82E25" w:rsidRDefault="00BD6C70" w:rsidP="000574C4">
      <w:pPr>
        <w:pStyle w:val="NumPlain1"/>
        <w:numPr>
          <w:ilvl w:val="0"/>
          <w:numId w:val="0"/>
        </w:numPr>
        <w:ind w:left="1564" w:hanging="782"/>
        <w:rPr>
          <w:b/>
          <w:bCs/>
          <w:sz w:val="20"/>
          <w:lang w:eastAsia="en-AU"/>
        </w:rPr>
      </w:pPr>
      <w:r w:rsidRPr="00F82E25">
        <w:rPr>
          <w:b/>
          <w:bCs/>
        </w:rPr>
        <w:t>20A</w:t>
      </w:r>
      <w:r w:rsidRPr="00F82E25">
        <w:rPr>
          <w:b/>
          <w:bCs/>
        </w:rPr>
        <w:tab/>
        <w:t>A for-profit private sector entity that:</w:t>
      </w:r>
    </w:p>
    <w:p w14:paraId="44058C54" w14:textId="77777777" w:rsidR="00BD6C70" w:rsidRPr="00F82E25" w:rsidRDefault="00BD6C70" w:rsidP="000574C4">
      <w:pPr>
        <w:pStyle w:val="NumPlain1"/>
        <w:numPr>
          <w:ilvl w:val="0"/>
          <w:numId w:val="0"/>
        </w:numPr>
        <w:ind w:left="2347" w:hanging="782"/>
        <w:rPr>
          <w:b/>
          <w:bCs/>
        </w:rPr>
      </w:pPr>
      <w:r w:rsidRPr="00F82E25">
        <w:rPr>
          <w:b/>
          <w:bCs/>
        </w:rPr>
        <w:t>(a)</w:t>
      </w:r>
      <w:r w:rsidRPr="00F82E25">
        <w:rPr>
          <w:b/>
          <w:bCs/>
        </w:rPr>
        <w:tab/>
        <w:t xml:space="preserve">prepared its most recent previous annual financial statements in compliance with Tier 2 reporting requirements, including an explicit and unreserved statement of compliance with Tier 2 reporting </w:t>
      </w:r>
      <w:proofErr w:type="gramStart"/>
      <w:r w:rsidRPr="00F82E25">
        <w:rPr>
          <w:b/>
          <w:bCs/>
        </w:rPr>
        <w:t>requirements;</w:t>
      </w:r>
      <w:proofErr w:type="gramEnd"/>
    </w:p>
    <w:p w14:paraId="23E53DD2" w14:textId="77777777" w:rsidR="00BD6C70" w:rsidRPr="00F82E25" w:rsidRDefault="00BD6C70" w:rsidP="000574C4">
      <w:pPr>
        <w:pStyle w:val="NumPlain1"/>
        <w:numPr>
          <w:ilvl w:val="0"/>
          <w:numId w:val="0"/>
        </w:numPr>
        <w:ind w:left="2347" w:hanging="782"/>
        <w:rPr>
          <w:b/>
          <w:bCs/>
        </w:rPr>
      </w:pPr>
      <w:r w:rsidRPr="00F82E25">
        <w:rPr>
          <w:b/>
          <w:bCs/>
        </w:rPr>
        <w:t>(b)</w:t>
      </w:r>
      <w:r w:rsidRPr="00F82E25">
        <w:rPr>
          <w:b/>
          <w:bCs/>
        </w:rPr>
        <w:tab/>
        <w:t>did not present consolidated financial statements, on the basis that neither the parent nor the group was a reporting entity (as defined in AASB 1057); and</w:t>
      </w:r>
    </w:p>
    <w:p w14:paraId="2C8169D2" w14:textId="77777777" w:rsidR="00BD6C70" w:rsidRPr="00F82E25" w:rsidRDefault="00BD6C70" w:rsidP="000574C4">
      <w:pPr>
        <w:pStyle w:val="NumPlain1"/>
        <w:numPr>
          <w:ilvl w:val="0"/>
          <w:numId w:val="0"/>
        </w:numPr>
        <w:ind w:left="2347" w:hanging="782"/>
        <w:rPr>
          <w:b/>
          <w:bCs/>
        </w:rPr>
      </w:pPr>
      <w:r w:rsidRPr="00F82E25">
        <w:rPr>
          <w:b/>
          <w:bCs/>
        </w:rPr>
        <w:t>(c)</w:t>
      </w:r>
      <w:r w:rsidRPr="00F82E25">
        <w:rPr>
          <w:b/>
          <w:bCs/>
        </w:rPr>
        <w:tab/>
        <w:t xml:space="preserve">is preparing consolidated financial statements for the first time in compliance with Tier 2 – Simplified </w:t>
      </w:r>
      <w:proofErr w:type="gramStart"/>
      <w:r w:rsidRPr="00F82E25">
        <w:rPr>
          <w:b/>
          <w:bCs/>
        </w:rPr>
        <w:t>Disclosures;</w:t>
      </w:r>
      <w:proofErr w:type="gramEnd"/>
    </w:p>
    <w:p w14:paraId="7BC57088" w14:textId="77777777" w:rsidR="00BD6C70" w:rsidRPr="00F82E25" w:rsidRDefault="00BD6C70" w:rsidP="000574C4">
      <w:pPr>
        <w:pStyle w:val="NumPlain1"/>
        <w:numPr>
          <w:ilvl w:val="0"/>
          <w:numId w:val="0"/>
        </w:numPr>
        <w:ind w:left="2347" w:hanging="782"/>
        <w:rPr>
          <w:b/>
          <w:bCs/>
        </w:rPr>
      </w:pPr>
      <w:r w:rsidRPr="00F82E25">
        <w:rPr>
          <w:b/>
          <w:bCs/>
        </w:rPr>
        <w:t xml:space="preserve">shall apply either: </w:t>
      </w:r>
    </w:p>
    <w:p w14:paraId="607B0A0A" w14:textId="77777777" w:rsidR="00BD6C70" w:rsidRPr="00F82E25" w:rsidRDefault="00BD6C70" w:rsidP="000574C4">
      <w:pPr>
        <w:pStyle w:val="NumPlain1"/>
        <w:numPr>
          <w:ilvl w:val="0"/>
          <w:numId w:val="0"/>
        </w:numPr>
        <w:ind w:left="2347" w:hanging="782"/>
        <w:rPr>
          <w:b/>
          <w:bCs/>
        </w:rPr>
      </w:pPr>
      <w:r w:rsidRPr="00F82E25">
        <w:rPr>
          <w:b/>
          <w:bCs/>
        </w:rPr>
        <w:t>(d)</w:t>
      </w:r>
      <w:r w:rsidRPr="00F82E25">
        <w:rPr>
          <w:b/>
          <w:bCs/>
        </w:rPr>
        <w:tab/>
        <w:t xml:space="preserve">all the relevant requirements of AASB 1; or </w:t>
      </w:r>
    </w:p>
    <w:p w14:paraId="6B3D0C8E" w14:textId="77777777" w:rsidR="00BD6C70" w:rsidRPr="00F82E25" w:rsidRDefault="00BD6C70" w:rsidP="000574C4">
      <w:pPr>
        <w:pStyle w:val="NumPlain1"/>
        <w:numPr>
          <w:ilvl w:val="0"/>
          <w:numId w:val="0"/>
        </w:numPr>
        <w:ind w:left="2347" w:hanging="782"/>
        <w:rPr>
          <w:b/>
          <w:bCs/>
        </w:rPr>
      </w:pPr>
      <w:r w:rsidRPr="00F82E25">
        <w:rPr>
          <w:b/>
          <w:bCs/>
        </w:rPr>
        <w:t>(e)</w:t>
      </w:r>
      <w:r w:rsidRPr="00F82E25">
        <w:rPr>
          <w:b/>
          <w:bCs/>
        </w:rPr>
        <w:tab/>
        <w:t>Tier 2 reporting requirements directly using the requirements in AASB 108.</w:t>
      </w:r>
    </w:p>
    <w:p w14:paraId="20178525" w14:textId="77777777" w:rsidR="00BD6C70" w:rsidRPr="003766A0" w:rsidRDefault="00BD6C70" w:rsidP="000A45B3">
      <w:pPr>
        <w:pStyle w:val="IASBSectionTitle1NonInd"/>
      </w:pPr>
      <w:r w:rsidRPr="003766A0">
        <w:t>Commencement of the legislative instrument</w:t>
      </w:r>
    </w:p>
    <w:p w14:paraId="415BA319" w14:textId="7F436CC6" w:rsidR="00BD6C70" w:rsidRDefault="00BD6C70" w:rsidP="00BD6C70">
      <w:pPr>
        <w:pStyle w:val="NumPlain1"/>
        <w:numPr>
          <w:ilvl w:val="0"/>
          <w:numId w:val="13"/>
        </w:numPr>
        <w:ind w:left="782" w:hanging="782"/>
      </w:pPr>
      <w:r w:rsidRPr="003766A0">
        <w:t xml:space="preserve">For legal purposes, this legislative instrument commences on </w:t>
      </w:r>
      <w:r w:rsidR="00BD6D04">
        <w:t>29 June 2022</w:t>
      </w:r>
      <w:r w:rsidRPr="003766A0">
        <w:t>.</w:t>
      </w:r>
    </w:p>
    <w:p w14:paraId="738CDAEF" w14:textId="77777777" w:rsidR="00BD6C70" w:rsidRDefault="00BD6C70" w:rsidP="00BD6C70">
      <w:pPr>
        <w:pStyle w:val="NumPlain1"/>
        <w:numPr>
          <w:ilvl w:val="0"/>
          <w:numId w:val="0"/>
        </w:numPr>
        <w:spacing w:before="0" w:after="0"/>
      </w:pPr>
    </w:p>
    <w:p w14:paraId="7DB7EF64" w14:textId="77777777" w:rsidR="00BD6C70" w:rsidRPr="003766A0" w:rsidRDefault="00BD6C70" w:rsidP="00BD6C70">
      <w:pPr>
        <w:pStyle w:val="NumPlain1"/>
        <w:numPr>
          <w:ilvl w:val="0"/>
          <w:numId w:val="0"/>
        </w:numPr>
        <w:spacing w:before="0" w:after="0"/>
        <w:sectPr w:rsidR="00BD6C70" w:rsidRPr="003766A0" w:rsidSect="00415CFC">
          <w:headerReference w:type="even" r:id="rId27"/>
          <w:headerReference w:type="default" r:id="rId28"/>
          <w:footerReference w:type="default" r:id="rId29"/>
          <w:headerReference w:type="first" r:id="rId30"/>
          <w:footnotePr>
            <w:numRestart w:val="eachSect"/>
          </w:footnotePr>
          <w:pgSz w:w="11907" w:h="16840" w:code="9"/>
          <w:pgMar w:top="1418" w:right="1418" w:bottom="1418" w:left="1418" w:header="709" w:footer="709" w:gutter="0"/>
          <w:paperSrc w:first="7" w:other="7"/>
          <w:cols w:space="720"/>
          <w:docGrid w:linePitch="65"/>
        </w:sectPr>
      </w:pPr>
    </w:p>
    <w:p w14:paraId="1467D72D" w14:textId="77777777" w:rsidR="00BD6C70" w:rsidRDefault="00BD6C70" w:rsidP="00BD6C70">
      <w:pPr>
        <w:pStyle w:val="ConvSectionTitle"/>
        <w:jc w:val="both"/>
      </w:pPr>
      <w:r w:rsidRPr="003766A0">
        <w:lastRenderedPageBreak/>
        <w:t>Basis for Conclusions</w:t>
      </w:r>
    </w:p>
    <w:p w14:paraId="6EB698F6" w14:textId="53C07B88" w:rsidR="00BD6C70" w:rsidRPr="003766A0" w:rsidRDefault="00BD6C70" w:rsidP="00BD6C70">
      <w:pPr>
        <w:pStyle w:val="AppendixNote"/>
        <w:spacing w:before="100" w:after="100"/>
      </w:pPr>
      <w:r w:rsidRPr="003766A0">
        <w:t>This Basis for Conclusions accompanies, but is not part of, AASB</w:t>
      </w:r>
      <w:r w:rsidR="00463A1F">
        <w:t xml:space="preserve"> </w:t>
      </w:r>
      <w:r w:rsidR="00292CFA" w:rsidRPr="00292CFA">
        <w:fldChar w:fldCharType="begin" w:fldLock="1"/>
      </w:r>
      <w:r w:rsidR="00292CFA" w:rsidRPr="00292CFA">
        <w:instrText xml:space="preserve"> REF DocNo  \* charformat </w:instrText>
      </w:r>
      <w:r w:rsidR="00292CFA">
        <w:instrText xml:space="preserve"> \* MERGEFORMAT </w:instrText>
      </w:r>
      <w:r w:rsidR="00292CFA" w:rsidRPr="00292CFA">
        <w:fldChar w:fldCharType="separate"/>
      </w:r>
      <w:r w:rsidR="00B22FB2">
        <w:t>2022-2</w:t>
      </w:r>
      <w:r w:rsidR="00292CFA" w:rsidRPr="00292CFA">
        <w:fldChar w:fldCharType="end"/>
      </w:r>
      <w:r w:rsidRPr="003766A0">
        <w:rPr>
          <w:iCs w:val="0"/>
        </w:rPr>
        <w:t xml:space="preserve"> </w:t>
      </w:r>
      <w:r w:rsidRPr="00F778D2">
        <w:rPr>
          <w:i w:val="0"/>
          <w:iCs w:val="0"/>
        </w:rPr>
        <w:fldChar w:fldCharType="begin" w:fldLock="1"/>
      </w:r>
      <w:r w:rsidRPr="00F778D2">
        <w:rPr>
          <w:i w:val="0"/>
          <w:iCs w:val="0"/>
        </w:rPr>
        <w:instrText xml:space="preserve"> REF  DocTitle  \* MERGEFORMAT </w:instrText>
      </w:r>
      <w:r w:rsidRPr="00F778D2">
        <w:rPr>
          <w:i w:val="0"/>
          <w:iCs w:val="0"/>
        </w:rPr>
        <w:fldChar w:fldCharType="separate"/>
      </w:r>
      <w:r w:rsidR="00B22FB2" w:rsidRPr="00B22FB2">
        <w:rPr>
          <w:i w:val="0"/>
          <w:iCs w:val="0"/>
        </w:rPr>
        <w:t>Amendments to Australian Accounting Standards – Extending Transition Relief under AASB 1</w:t>
      </w:r>
      <w:r w:rsidRPr="00F778D2">
        <w:rPr>
          <w:i w:val="0"/>
          <w:iCs w:val="0"/>
        </w:rPr>
        <w:fldChar w:fldCharType="end"/>
      </w:r>
      <w:r w:rsidRPr="003766A0">
        <w:rPr>
          <w:i w:val="0"/>
        </w:rPr>
        <w:t>.</w:t>
      </w:r>
    </w:p>
    <w:p w14:paraId="6E16F75F" w14:textId="77777777" w:rsidR="00BD6C70" w:rsidRPr="003766A0" w:rsidRDefault="00BD6C70" w:rsidP="003E579F">
      <w:pPr>
        <w:pStyle w:val="Heading2"/>
      </w:pPr>
      <w:r w:rsidRPr="003766A0">
        <w:t>Introduction</w:t>
      </w:r>
    </w:p>
    <w:p w14:paraId="021CE7D5" w14:textId="79A3FDC5" w:rsidR="00BD6C70" w:rsidRPr="003766A0" w:rsidRDefault="00BD6C70" w:rsidP="00BD6C70">
      <w:pPr>
        <w:pStyle w:val="NumBC1"/>
        <w:numPr>
          <w:ilvl w:val="0"/>
          <w:numId w:val="12"/>
        </w:numPr>
        <w:ind w:left="782" w:hanging="782"/>
      </w:pPr>
      <w:bookmarkStart w:id="12" w:name="_Ref84244893"/>
      <w:r w:rsidRPr="003766A0">
        <w:rPr>
          <w:iCs/>
        </w:rPr>
        <w:t xml:space="preserve">This Basis for Conclusions summarises the Australian Accounting Standards </w:t>
      </w:r>
      <w:r w:rsidR="005244AD" w:rsidRPr="003766A0">
        <w:rPr>
          <w:iCs/>
        </w:rPr>
        <w:t>Board</w:t>
      </w:r>
      <w:r w:rsidR="005244AD">
        <w:rPr>
          <w:iCs/>
        </w:rPr>
        <w:t>’</w:t>
      </w:r>
      <w:r w:rsidR="005244AD" w:rsidRPr="003766A0">
        <w:rPr>
          <w:iCs/>
        </w:rPr>
        <w:t xml:space="preserve">s </w:t>
      </w:r>
      <w:r w:rsidRPr="003766A0">
        <w:rPr>
          <w:iCs/>
        </w:rPr>
        <w:t>considerations in</w:t>
      </w:r>
      <w:r w:rsidRPr="003766A0">
        <w:t xml:space="preserve"> reaching the conclusions in this </w:t>
      </w:r>
      <w:r w:rsidR="001F187A">
        <w:t>Standard</w:t>
      </w:r>
      <w:r w:rsidRPr="003766A0">
        <w:t xml:space="preserve">. It sets out the reasons why the Board developed the </w:t>
      </w:r>
      <w:r w:rsidR="00D80474">
        <w:t>Standard</w:t>
      </w:r>
      <w:r w:rsidRPr="003766A0">
        <w:t xml:space="preserve">, the approach taken to developing the </w:t>
      </w:r>
      <w:r w:rsidR="00D80474">
        <w:t xml:space="preserve">Standard </w:t>
      </w:r>
      <w:r w:rsidRPr="003766A0">
        <w:t>and the bases for the key decisions made. In making decisions, individual Board members gave greater weight to some factors than to others.</w:t>
      </w:r>
      <w:bookmarkEnd w:id="12"/>
      <w:r w:rsidRPr="003766A0">
        <w:t xml:space="preserve"> </w:t>
      </w:r>
    </w:p>
    <w:p w14:paraId="29F694A5" w14:textId="4EF73DAA" w:rsidR="00BD6C70" w:rsidRPr="003766A0" w:rsidRDefault="00BD6C70" w:rsidP="003E579F">
      <w:pPr>
        <w:pStyle w:val="Heading2"/>
      </w:pPr>
      <w:r w:rsidRPr="003766A0">
        <w:t xml:space="preserve">Reasons for </w:t>
      </w:r>
      <w:r w:rsidR="00DE71B0">
        <w:t>issuing this Standard</w:t>
      </w:r>
    </w:p>
    <w:p w14:paraId="73B1559B" w14:textId="06717565" w:rsidR="00BD6C70" w:rsidRDefault="00BD6C70" w:rsidP="00BD6C70">
      <w:pPr>
        <w:pStyle w:val="NumBC1"/>
        <w:numPr>
          <w:ilvl w:val="0"/>
          <w:numId w:val="12"/>
        </w:numPr>
        <w:ind w:left="782" w:hanging="782"/>
      </w:pPr>
      <w:r>
        <w:rPr>
          <w:iCs/>
        </w:rPr>
        <w:t>For periods beginning on or after</w:t>
      </w:r>
      <w:r w:rsidRPr="00BD605D">
        <w:rPr>
          <w:iCs/>
        </w:rPr>
        <w:t xml:space="preserve"> 1 July 2021, certain for-profit-private sector entities </w:t>
      </w:r>
      <w:r>
        <w:rPr>
          <w:iCs/>
        </w:rPr>
        <w:t xml:space="preserve">can no longer apply the reporting entity concept or </w:t>
      </w:r>
      <w:r w:rsidRPr="00BD605D">
        <w:rPr>
          <w:iCs/>
        </w:rPr>
        <w:t>prepare special purpose financial</w:t>
      </w:r>
      <w:r>
        <w:t xml:space="preserve"> statements (SPFS) when the financial statements are required </w:t>
      </w:r>
      <w:r w:rsidR="00507176">
        <w:t xml:space="preserve">(by legislation or an entity’s constituting or other document) </w:t>
      </w:r>
      <w:r>
        <w:t xml:space="preserve">to comply with Australian Accounting Standards or when legislation requires the financial statements to comply with accounting standards. This follows the issue of AASB 2020-2 </w:t>
      </w:r>
      <w:r w:rsidRPr="001A3D3E">
        <w:rPr>
          <w:i/>
          <w:iCs/>
        </w:rPr>
        <w:t>Amendments to Australian Accounting Standards – Removal of Special Purpose Financial Statements for Certain For-Profit Private Sector Entities</w:t>
      </w:r>
      <w:r>
        <w:t xml:space="preserve">. Instead, entities within the scope of AASB 2020-2 will be required to prepare general purpose financial statements (GPFS). In addition, some of these entities may also be required to prepare consolidated financial statements for the first time if they historically applied the exemption in AASB 10 </w:t>
      </w:r>
      <w:r w:rsidRPr="003632AF">
        <w:rPr>
          <w:i/>
          <w:iCs/>
        </w:rPr>
        <w:t>Consolidated Financial Statements</w:t>
      </w:r>
      <w:r>
        <w:t xml:space="preserve"> that did not require the presentation of consolidated financial statements when neither the parent entity nor the group was a reporting entity.</w:t>
      </w:r>
    </w:p>
    <w:p w14:paraId="758D3203" w14:textId="6CE1BC6B" w:rsidR="00706B40" w:rsidRDefault="00706B40" w:rsidP="00706B40">
      <w:pPr>
        <w:pStyle w:val="Heading2"/>
      </w:pPr>
      <w:r>
        <w:t>Issue of Exposure Draft ED 315</w:t>
      </w:r>
    </w:p>
    <w:p w14:paraId="459C8136" w14:textId="1354A7DD" w:rsidR="00BA7956" w:rsidRPr="00724838" w:rsidRDefault="00BA7956" w:rsidP="00724838">
      <w:pPr>
        <w:pStyle w:val="NumBC1"/>
        <w:numPr>
          <w:ilvl w:val="0"/>
          <w:numId w:val="12"/>
        </w:numPr>
        <w:ind w:left="782" w:hanging="782"/>
        <w:rPr>
          <w:iCs/>
        </w:rPr>
      </w:pPr>
      <w:r w:rsidRPr="00BA7956">
        <w:rPr>
          <w:iCs/>
        </w:rPr>
        <w:t xml:space="preserve">The </w:t>
      </w:r>
      <w:r w:rsidR="005244AD" w:rsidRPr="00BA7956">
        <w:rPr>
          <w:iCs/>
        </w:rPr>
        <w:t>Board</w:t>
      </w:r>
      <w:r w:rsidR="005244AD">
        <w:rPr>
          <w:iCs/>
        </w:rPr>
        <w:t>’</w:t>
      </w:r>
      <w:r w:rsidR="005244AD" w:rsidRPr="00BA7956">
        <w:rPr>
          <w:iCs/>
        </w:rPr>
        <w:t xml:space="preserve">s </w:t>
      </w:r>
      <w:r w:rsidRPr="00BA7956">
        <w:rPr>
          <w:iCs/>
        </w:rPr>
        <w:t xml:space="preserve">proposals with respect to the amendments finalised in this Standard were exposed for public comment in </w:t>
      </w:r>
      <w:r w:rsidR="00A20275">
        <w:rPr>
          <w:iCs/>
        </w:rPr>
        <w:t xml:space="preserve">November </w:t>
      </w:r>
      <w:r w:rsidRPr="00BA7956">
        <w:rPr>
          <w:iCs/>
        </w:rPr>
        <w:t>2021 through Exposure Draft ED 31</w:t>
      </w:r>
      <w:r w:rsidR="00824BA5">
        <w:rPr>
          <w:iCs/>
        </w:rPr>
        <w:t>5</w:t>
      </w:r>
      <w:r w:rsidRPr="00BA7956">
        <w:rPr>
          <w:iCs/>
        </w:rPr>
        <w:t xml:space="preserve"> </w:t>
      </w:r>
      <w:r w:rsidR="00724838" w:rsidRPr="00724838">
        <w:rPr>
          <w:i/>
        </w:rPr>
        <w:t>Extending Transition Relief under</w:t>
      </w:r>
      <w:r w:rsidR="00724838">
        <w:rPr>
          <w:iCs/>
        </w:rPr>
        <w:t xml:space="preserve"> </w:t>
      </w:r>
      <w:r w:rsidR="00724838" w:rsidRPr="00724838">
        <w:rPr>
          <w:i/>
        </w:rPr>
        <w:t>AASB 1</w:t>
      </w:r>
      <w:r w:rsidRPr="00724838">
        <w:rPr>
          <w:iCs/>
        </w:rPr>
        <w:t xml:space="preserve">. </w:t>
      </w:r>
    </w:p>
    <w:p w14:paraId="0FBEF5CA" w14:textId="42372A64" w:rsidR="00BA7956" w:rsidRPr="00BA7956" w:rsidRDefault="00BA7956" w:rsidP="00BA7956">
      <w:pPr>
        <w:pStyle w:val="NumBC1"/>
        <w:numPr>
          <w:ilvl w:val="0"/>
          <w:numId w:val="12"/>
        </w:numPr>
        <w:ind w:left="782" w:hanging="782"/>
        <w:rPr>
          <w:iCs/>
        </w:rPr>
      </w:pPr>
      <w:r w:rsidRPr="00BA7956">
        <w:rPr>
          <w:iCs/>
        </w:rPr>
        <w:t>The significant issues considered by the Board in developing ED 31</w:t>
      </w:r>
      <w:r w:rsidR="00824BA5">
        <w:rPr>
          <w:iCs/>
        </w:rPr>
        <w:t>5</w:t>
      </w:r>
      <w:r w:rsidRPr="00BA7956">
        <w:rPr>
          <w:iCs/>
        </w:rPr>
        <w:t xml:space="preserve"> are addressed in the following sections</w:t>
      </w:r>
      <w:r w:rsidR="00824BA5">
        <w:rPr>
          <w:iCs/>
        </w:rPr>
        <w:t>.</w:t>
      </w:r>
    </w:p>
    <w:p w14:paraId="752E2014" w14:textId="1C0F3DB4" w:rsidR="00BD6C70" w:rsidRPr="00AC7085" w:rsidRDefault="00BD6C70" w:rsidP="001D2140">
      <w:pPr>
        <w:pStyle w:val="IASBSectionTitle2Ind"/>
      </w:pPr>
      <w:r w:rsidRPr="00AC7085">
        <w:t xml:space="preserve">Optional exemption relating to the measurement of the assets and liabilities of subsidiaries, </w:t>
      </w:r>
      <w:proofErr w:type="gramStart"/>
      <w:r w:rsidRPr="00AC7085">
        <w:t>associates</w:t>
      </w:r>
      <w:proofErr w:type="gramEnd"/>
      <w:r w:rsidRPr="00AC7085">
        <w:t xml:space="preserve"> and joint ventures</w:t>
      </w:r>
    </w:p>
    <w:p w14:paraId="05919A60" w14:textId="3459B28E" w:rsidR="00BD6C70" w:rsidRDefault="00BD6C70" w:rsidP="00BD6C70">
      <w:pPr>
        <w:pStyle w:val="NumBC1"/>
        <w:numPr>
          <w:ilvl w:val="0"/>
          <w:numId w:val="12"/>
        </w:numPr>
        <w:ind w:left="782" w:hanging="782"/>
      </w:pPr>
      <w:r>
        <w:t>One subset of entities affected by the removal of SPFS is foreign-controlled proprietary companies. Historically, many of these entities have prepared SPFS. However, they are required to prepare GPFS for the first time for periods beginning on or after 1 July 2021.</w:t>
      </w:r>
    </w:p>
    <w:p w14:paraId="3DDC1923" w14:textId="77777777" w:rsidR="00BD6C70" w:rsidRDefault="00BD6C70" w:rsidP="00BD6C70">
      <w:pPr>
        <w:pStyle w:val="NumBC1"/>
        <w:numPr>
          <w:ilvl w:val="0"/>
          <w:numId w:val="12"/>
        </w:numPr>
        <w:ind w:left="782" w:hanging="782"/>
      </w:pPr>
      <w:r>
        <w:t>When preparing their SPFS, these entities may or may not have complied with the recognition and measurement requirements in Australian Accounting Standards and may or may not have presented consolidated financial statements.</w:t>
      </w:r>
    </w:p>
    <w:p w14:paraId="3FBD1966" w14:textId="77777777" w:rsidR="00BD6C70" w:rsidRDefault="00BD6C70" w:rsidP="00BD6C70">
      <w:pPr>
        <w:pStyle w:val="NumBC1"/>
        <w:numPr>
          <w:ilvl w:val="0"/>
          <w:numId w:val="12"/>
        </w:numPr>
        <w:ind w:left="782" w:hanging="782"/>
      </w:pPr>
      <w:r>
        <w:t xml:space="preserve">AASB 1053 </w:t>
      </w:r>
      <w:r w:rsidRPr="0023328D">
        <w:rPr>
          <w:i/>
          <w:iCs/>
        </w:rPr>
        <w:t>Application of Tiers of Australian Accounting Standards</w:t>
      </w:r>
      <w:r>
        <w:t xml:space="preserve"> provides transition relief for entities transitioning from SPFS to Tier 2 GPFS. The transition relief allows entities to apply either AASB 1 </w:t>
      </w:r>
      <w:r w:rsidRPr="0023328D">
        <w:rPr>
          <w:i/>
          <w:iCs/>
        </w:rPr>
        <w:t>First-time Adoption of Australian Accounting Standards</w:t>
      </w:r>
      <w:r>
        <w:t xml:space="preserve"> or AASB 108 </w:t>
      </w:r>
      <w:r w:rsidRPr="0023328D">
        <w:rPr>
          <w:i/>
          <w:iCs/>
        </w:rPr>
        <w:t>Accounting Policies, Changes in Accounting Estimates and Errors</w:t>
      </w:r>
      <w:r w:rsidRPr="00CE0DB1">
        <w:t xml:space="preserve"> </w:t>
      </w:r>
      <w:r>
        <w:t>to the transition.</w:t>
      </w:r>
    </w:p>
    <w:p w14:paraId="5484350C" w14:textId="77777777" w:rsidR="00BD6C70" w:rsidRDefault="00BD6C70" w:rsidP="00BD6C70">
      <w:pPr>
        <w:pStyle w:val="NumBC1"/>
        <w:numPr>
          <w:ilvl w:val="0"/>
          <w:numId w:val="12"/>
        </w:numPr>
        <w:ind w:left="782" w:hanging="782"/>
      </w:pPr>
      <w:r>
        <w:t>In principle, AASB 1 requires the retrospective application of all Australian Accounting Standards on transition to Australian Accounting Standards. However, AASB 1 establishes two categories of exceptions to this principle:</w:t>
      </w:r>
    </w:p>
    <w:p w14:paraId="6EF3E2C6" w14:textId="77777777" w:rsidR="00BD6C70" w:rsidRDefault="00BD6C70" w:rsidP="00BD6C70">
      <w:pPr>
        <w:pStyle w:val="NumPlain2"/>
        <w:numPr>
          <w:ilvl w:val="0"/>
          <w:numId w:val="14"/>
        </w:numPr>
        <w:ind w:left="1564" w:hanging="782"/>
      </w:pPr>
      <w:r>
        <w:t xml:space="preserve">mandatory exceptions that prohibit the retrospective application of some aspects of other Australian Accounting Standards; and </w:t>
      </w:r>
    </w:p>
    <w:p w14:paraId="1D4FC8D5" w14:textId="77777777" w:rsidR="00BD6C70" w:rsidRDefault="00BD6C70" w:rsidP="00BD6C70">
      <w:pPr>
        <w:pStyle w:val="NumPlain1"/>
        <w:numPr>
          <w:ilvl w:val="0"/>
          <w:numId w:val="14"/>
        </w:numPr>
        <w:ind w:left="1564" w:hanging="782"/>
      </w:pPr>
      <w:r>
        <w:t>optional exemptions from some requirements of other Australian Accounting Standards.</w:t>
      </w:r>
    </w:p>
    <w:p w14:paraId="18D85372" w14:textId="11CD35A9" w:rsidR="00BD6C70" w:rsidRDefault="00BD6C70" w:rsidP="00BD6C70">
      <w:pPr>
        <w:pStyle w:val="NumBC1"/>
        <w:numPr>
          <w:ilvl w:val="0"/>
          <w:numId w:val="12"/>
        </w:numPr>
        <w:ind w:left="782" w:hanging="782"/>
      </w:pPr>
      <w:r>
        <w:t xml:space="preserve">AASB 1 paragraph D16(a) contains an optional exemption that </w:t>
      </w:r>
      <w:r w:rsidRPr="00002E12">
        <w:t xml:space="preserve">permits a subsidiary that becomes a first-time adopter later than its parent to measure its assets and liabilities at the carrying amounts that would be included in the </w:t>
      </w:r>
      <w:r w:rsidR="005244AD" w:rsidRPr="00002E12">
        <w:t>parent</w:t>
      </w:r>
      <w:r w:rsidR="005244AD">
        <w:t>’</w:t>
      </w:r>
      <w:r w:rsidR="005244AD" w:rsidRPr="00002E12">
        <w:t xml:space="preserve">s </w:t>
      </w:r>
      <w:r w:rsidRPr="00002E12">
        <w:t>consolidated financial statements</w:t>
      </w:r>
      <w:r>
        <w:t>. However, the exemption in paragraph D16(a) c</w:t>
      </w:r>
      <w:r w:rsidR="0050266B">
        <w:t>ould</w:t>
      </w:r>
      <w:r>
        <w:t xml:space="preserve"> only be </w:t>
      </w:r>
      <w:r>
        <w:lastRenderedPageBreak/>
        <w:t>applied where a parent entity has adopted Australian Accounting Standards and not where a parent entity has adopted</w:t>
      </w:r>
      <w:r w:rsidR="00041402">
        <w:t xml:space="preserve"> International Financial Reporting Standards</w:t>
      </w:r>
      <w:r>
        <w:t xml:space="preserve"> </w:t>
      </w:r>
      <w:r w:rsidR="00041402">
        <w:t>(</w:t>
      </w:r>
      <w:r>
        <w:t>IFRS Standards</w:t>
      </w:r>
      <w:r w:rsidR="00DC53C4">
        <w:t xml:space="preserve"> or IFRSs</w:t>
      </w:r>
      <w:r w:rsidR="00041402">
        <w:t>)</w:t>
      </w:r>
      <w:r>
        <w:t xml:space="preserve">. This is the case even where compliance with </w:t>
      </w:r>
      <w:r w:rsidR="0077153B">
        <w:t>IFRSs</w:t>
      </w:r>
      <w:r>
        <w:t xml:space="preserve"> by the parent entity would result in the same outcome as compliance with Australian Accounting Standards.</w:t>
      </w:r>
    </w:p>
    <w:p w14:paraId="3E05FB81" w14:textId="5AB78D53" w:rsidR="00BD6C70" w:rsidRDefault="00BD6C70" w:rsidP="00BD6C70">
      <w:pPr>
        <w:pStyle w:val="NumBC1"/>
        <w:numPr>
          <w:ilvl w:val="0"/>
          <w:numId w:val="12"/>
        </w:numPr>
        <w:ind w:left="782" w:hanging="782"/>
      </w:pPr>
      <w:r>
        <w:t xml:space="preserve">In many cases, affected foreign-controlled proprietary entities are subsidiaries of an overseas parent that prepares consolidated financial statements that include information about the entity and comply with </w:t>
      </w:r>
      <w:r w:rsidR="0077153B">
        <w:t>IFRSs</w:t>
      </w:r>
      <w:r>
        <w:t>.</w:t>
      </w:r>
    </w:p>
    <w:p w14:paraId="068E5B75" w14:textId="4E940E0B" w:rsidR="00BD6C70" w:rsidRDefault="00BD6C70" w:rsidP="00BD6C70">
      <w:pPr>
        <w:pStyle w:val="NumBC1"/>
        <w:numPr>
          <w:ilvl w:val="0"/>
          <w:numId w:val="12"/>
        </w:numPr>
        <w:ind w:left="782" w:hanging="782"/>
      </w:pPr>
      <w:r>
        <w:t xml:space="preserve">The Board received feedback from stakeholders that being able to use the information included in their overseas </w:t>
      </w:r>
      <w:r w:rsidR="005244AD">
        <w:t xml:space="preserve">parent’s </w:t>
      </w:r>
      <w:r>
        <w:t>IFRS-compliant consolidated financial statements when preparing GPFS for the first time would provide a less costly approach to the transition of such subsidiaries to GPFS. For example:</w:t>
      </w:r>
    </w:p>
    <w:p w14:paraId="1E5757F2" w14:textId="77777777" w:rsidR="00BD6C70" w:rsidRDefault="00BD6C70" w:rsidP="00BD6C70">
      <w:pPr>
        <w:pStyle w:val="NumPlain2"/>
        <w:numPr>
          <w:ilvl w:val="0"/>
          <w:numId w:val="15"/>
        </w:numPr>
        <w:ind w:left="1564" w:hanging="782"/>
      </w:pPr>
      <w:r>
        <w:t xml:space="preserve">the entity would not need to remeasure its assets and liabilities at its date of transition to Australian Accounting </w:t>
      </w:r>
      <w:proofErr w:type="gramStart"/>
      <w:r>
        <w:t>Standards;</w:t>
      </w:r>
      <w:proofErr w:type="gramEnd"/>
    </w:p>
    <w:p w14:paraId="17D59A7C" w14:textId="77777777" w:rsidR="00BD6C70" w:rsidRDefault="00BD6C70" w:rsidP="00BD6C70">
      <w:pPr>
        <w:pStyle w:val="NumPlain2"/>
        <w:numPr>
          <w:ilvl w:val="0"/>
          <w:numId w:val="15"/>
        </w:numPr>
        <w:ind w:left="1564" w:hanging="782"/>
      </w:pPr>
      <w:r>
        <w:t>the entity would not need to apply AASB 1 to any historical business combinations; and</w:t>
      </w:r>
    </w:p>
    <w:p w14:paraId="78944A08" w14:textId="77777777" w:rsidR="00BD6C70" w:rsidRDefault="00BD6C70" w:rsidP="00BD6C70">
      <w:pPr>
        <w:pStyle w:val="NumPlain2"/>
        <w:numPr>
          <w:ilvl w:val="0"/>
          <w:numId w:val="15"/>
        </w:numPr>
        <w:ind w:left="1564" w:hanging="782"/>
      </w:pPr>
      <w:r>
        <w:t>the entity would not need to apply Australian Accounting Standards retrospectively where required by certain Australian Accounting Standards (</w:t>
      </w:r>
      <w:proofErr w:type="gramStart"/>
      <w:r>
        <w:t>e.g.</w:t>
      </w:r>
      <w:proofErr w:type="gramEnd"/>
      <w:r>
        <w:t xml:space="preserve"> AASB 16 </w:t>
      </w:r>
      <w:r w:rsidRPr="00A56107">
        <w:rPr>
          <w:i/>
          <w:iCs/>
        </w:rPr>
        <w:t>Leases</w:t>
      </w:r>
      <w:r>
        <w:t>, if a modified retrospective approach to transition is adopted).</w:t>
      </w:r>
    </w:p>
    <w:p w14:paraId="6BE8FD94" w14:textId="6F208E14" w:rsidR="00BD6C70" w:rsidRDefault="00BD6C70" w:rsidP="00BD6C70">
      <w:pPr>
        <w:pStyle w:val="NumPlain2"/>
        <w:numPr>
          <w:ilvl w:val="0"/>
          <w:numId w:val="0"/>
        </w:numPr>
        <w:ind w:left="782"/>
      </w:pPr>
      <w:r>
        <w:t xml:space="preserve">Instead, the entity would use the information already included in the overseas </w:t>
      </w:r>
      <w:r w:rsidR="005244AD">
        <w:t xml:space="preserve">parent’s </w:t>
      </w:r>
      <w:r>
        <w:t>consolidated financial statements.</w:t>
      </w:r>
    </w:p>
    <w:p w14:paraId="64550D86" w14:textId="186537D4" w:rsidR="00BD6C70" w:rsidRDefault="00BD6C70" w:rsidP="00BD6C70">
      <w:pPr>
        <w:pStyle w:val="NumBC1"/>
        <w:numPr>
          <w:ilvl w:val="0"/>
          <w:numId w:val="12"/>
        </w:numPr>
        <w:ind w:left="782" w:hanging="782"/>
      </w:pPr>
      <w:r>
        <w:t xml:space="preserve">Further, in many cases, it is expected that IFRS-compliant information for the entity is already being prepared and possibly audited to assist the overseas parent in preparing its consolidated financial statements. If prepared, this information would be based on the </w:t>
      </w:r>
      <w:r w:rsidR="005244AD">
        <w:t xml:space="preserve">parent’s </w:t>
      </w:r>
      <w:r>
        <w:t xml:space="preserve">date of transition to </w:t>
      </w:r>
      <w:r w:rsidR="0077153B">
        <w:t>IFRSs</w:t>
      </w:r>
      <w:r>
        <w:t xml:space="preserve">. Using this information would mean the entity would not be required to keep two sets of records – one based on the parent </w:t>
      </w:r>
      <w:r w:rsidR="005244AD">
        <w:t xml:space="preserve">entity’s </w:t>
      </w:r>
      <w:r>
        <w:t xml:space="preserve">date of transition to </w:t>
      </w:r>
      <w:r w:rsidR="0077153B">
        <w:t>IFRSs</w:t>
      </w:r>
      <w:r>
        <w:t xml:space="preserve"> for consolidation purposes and another based on the </w:t>
      </w:r>
      <w:r w:rsidR="005244AD">
        <w:t xml:space="preserve">entity’s </w:t>
      </w:r>
      <w:r>
        <w:t>date of transition to Australian Accounting Standards for its own reporting purposes.</w:t>
      </w:r>
    </w:p>
    <w:p w14:paraId="2DF4CA23" w14:textId="7ECE7866" w:rsidR="00BD6C70" w:rsidRDefault="00BD6C70" w:rsidP="00BD6C70">
      <w:pPr>
        <w:pStyle w:val="NumBC1"/>
        <w:numPr>
          <w:ilvl w:val="0"/>
          <w:numId w:val="12"/>
        </w:numPr>
        <w:ind w:left="782" w:hanging="782"/>
      </w:pPr>
      <w:bookmarkStart w:id="13" w:name="_Ref86083701"/>
      <w:r>
        <w:t xml:space="preserve">The Board observed that when the International Accounting Standards Board (IASB) included the optional exemption in IFRS 1 </w:t>
      </w:r>
      <w:r w:rsidRPr="00F62710">
        <w:rPr>
          <w:i/>
          <w:iCs/>
        </w:rPr>
        <w:t>First-time Adoption of International Financial Reporting Standards</w:t>
      </w:r>
      <w:r>
        <w:t xml:space="preserve">, the objective of the exemption was to eliminate the need for subsidiaries to keep two parallel sets of records, which would be burdensome and not beneficial to users. The exemption was also expected to ease some practical problems associated with the transition to </w:t>
      </w:r>
      <w:r w:rsidR="0077153B">
        <w:t>IFRSs</w:t>
      </w:r>
      <w:r>
        <w:t xml:space="preserve">. The IASB was also of the view that the exemption would not diminish the relevance and reliability of the </w:t>
      </w:r>
      <w:r w:rsidR="005244AD">
        <w:t xml:space="preserve">subsidiary’s </w:t>
      </w:r>
      <w:r>
        <w:t>financial statements because it permits a measurement that is already accept</w:t>
      </w:r>
      <w:r w:rsidR="0073628D">
        <w:t>ed</w:t>
      </w:r>
      <w:r>
        <w:t xml:space="preserve"> in accordance with </w:t>
      </w:r>
      <w:r w:rsidR="0077153B">
        <w:t>IFRSs</w:t>
      </w:r>
      <w:r>
        <w:t xml:space="preserve"> in the consolidated financial statements of the parent.</w:t>
      </w:r>
      <w:r>
        <w:rPr>
          <w:rStyle w:val="FootnoteReference"/>
        </w:rPr>
        <w:footnoteReference w:id="2"/>
      </w:r>
      <w:bookmarkEnd w:id="13"/>
    </w:p>
    <w:p w14:paraId="22FB6F3E" w14:textId="2E82ABBE" w:rsidR="00BD6C70" w:rsidRDefault="00BD6C70" w:rsidP="00BD6C70">
      <w:pPr>
        <w:pStyle w:val="NumBC1"/>
        <w:numPr>
          <w:ilvl w:val="0"/>
          <w:numId w:val="12"/>
        </w:numPr>
        <w:ind w:left="782" w:hanging="782"/>
      </w:pPr>
      <w:r>
        <w:t xml:space="preserve">The Board considered that the objective of the exemption would still be met if the application of AASB 1 paragraph D16(a) was extended to include circumstances where an overseas parent has adopted </w:t>
      </w:r>
      <w:r w:rsidR="0077153B">
        <w:t>IFRSs</w:t>
      </w:r>
      <w:r>
        <w:t xml:space="preserve">. Therefore, </w:t>
      </w:r>
      <w:r w:rsidR="006F5358">
        <w:t xml:space="preserve">ED 315 </w:t>
      </w:r>
      <w:r>
        <w:t>propose</w:t>
      </w:r>
      <w:r w:rsidR="006F5358">
        <w:t>d</w:t>
      </w:r>
      <w:r>
        <w:t xml:space="preserve"> an amendment to AASB 1 to allow Australian entities to apply the exemption in AASB 1 paragraph D16(a) where their parent has adopted either Australian Accounting Standards or </w:t>
      </w:r>
      <w:r w:rsidR="0077153B">
        <w:t>IFRSs</w:t>
      </w:r>
      <w:r>
        <w:t>.</w:t>
      </w:r>
    </w:p>
    <w:p w14:paraId="66A13CD8" w14:textId="29E374F9" w:rsidR="00237677" w:rsidRPr="00AC7085" w:rsidRDefault="00BD6C70" w:rsidP="00B641D2">
      <w:pPr>
        <w:pStyle w:val="IASBSectionTitle3Ind"/>
      </w:pPr>
      <w:r w:rsidRPr="00AC7085">
        <w:t>Scope</w:t>
      </w:r>
    </w:p>
    <w:p w14:paraId="212C26E1" w14:textId="0A105F93" w:rsidR="00BD6C70" w:rsidRPr="00602ACD" w:rsidRDefault="00BD6C70" w:rsidP="00BD6C70">
      <w:pPr>
        <w:pStyle w:val="NumBC1"/>
        <w:numPr>
          <w:ilvl w:val="0"/>
          <w:numId w:val="12"/>
        </w:numPr>
        <w:ind w:left="782" w:hanging="782"/>
      </w:pPr>
      <w:r w:rsidRPr="00602ACD">
        <w:t xml:space="preserve">Although the </w:t>
      </w:r>
      <w:r w:rsidR="005244AD" w:rsidRPr="00AC7085">
        <w:t>Board</w:t>
      </w:r>
      <w:r w:rsidR="005244AD">
        <w:t>’</w:t>
      </w:r>
      <w:r w:rsidR="005244AD" w:rsidRPr="00AC7085">
        <w:t xml:space="preserve">s </w:t>
      </w:r>
      <w:r w:rsidRPr="00602ACD">
        <w:t xml:space="preserve">initial </w:t>
      </w:r>
      <w:r w:rsidRPr="00AC7085">
        <w:t>consideration of</w:t>
      </w:r>
      <w:r w:rsidRPr="00602ACD">
        <w:t xml:space="preserve"> when the optional exemption could be applied </w:t>
      </w:r>
      <w:r w:rsidRPr="00AC7085">
        <w:t>(</w:t>
      </w:r>
      <w:proofErr w:type="spellStart"/>
      <w:proofErr w:type="gramStart"/>
      <w:r w:rsidR="00691FC6">
        <w:t>ie</w:t>
      </w:r>
      <w:proofErr w:type="spellEnd"/>
      <w:proofErr w:type="gramEnd"/>
      <w:r w:rsidR="00691FC6">
        <w:t xml:space="preserve"> </w:t>
      </w:r>
      <w:r w:rsidRPr="00AC7085">
        <w:t xml:space="preserve">whether the exemption could be applied where a parent had adopted </w:t>
      </w:r>
      <w:r w:rsidR="0077153B">
        <w:t>IFRSs</w:t>
      </w:r>
      <w:r w:rsidRPr="00AC7085">
        <w:t>, instead of Australian Accounting Standards) was</w:t>
      </w:r>
      <w:r w:rsidRPr="00602ACD">
        <w:t xml:space="preserve"> in the context of entities transitioning from SPFS following the issue of AASB</w:t>
      </w:r>
      <w:r w:rsidRPr="00AC7085">
        <w:t> </w:t>
      </w:r>
      <w:r w:rsidRPr="00602ACD">
        <w:t xml:space="preserve">2020-2, </w:t>
      </w:r>
      <w:r w:rsidR="00975E20">
        <w:t xml:space="preserve">ED 315 did not </w:t>
      </w:r>
      <w:r w:rsidR="008810DE">
        <w:t xml:space="preserve">propose </w:t>
      </w:r>
      <w:r w:rsidR="00975E20">
        <w:t>limit</w:t>
      </w:r>
      <w:r w:rsidR="008810DE">
        <w:t>ing</w:t>
      </w:r>
      <w:r w:rsidR="00975E20">
        <w:t xml:space="preserve"> </w:t>
      </w:r>
      <w:r w:rsidRPr="00602ACD">
        <w:t xml:space="preserve">the scope of the </w:t>
      </w:r>
      <w:r w:rsidR="00E90223">
        <w:t xml:space="preserve">proposed </w:t>
      </w:r>
      <w:r w:rsidRPr="00602ACD">
        <w:t xml:space="preserve">amendment to for-profit private sector entities. </w:t>
      </w:r>
      <w:r>
        <w:t xml:space="preserve">This </w:t>
      </w:r>
      <w:r w:rsidR="00920327">
        <w:t>wa</w:t>
      </w:r>
      <w:r>
        <w:t>s because the exemption in paragraph D16(a) c</w:t>
      </w:r>
      <w:r w:rsidR="0090547D">
        <w:t>ould</w:t>
      </w:r>
      <w:r>
        <w:t xml:space="preserve"> </w:t>
      </w:r>
      <w:r w:rsidRPr="00602ACD">
        <w:t xml:space="preserve">be applied by </w:t>
      </w:r>
      <w:r>
        <w:t xml:space="preserve">any </w:t>
      </w:r>
      <w:r w:rsidRPr="00602ACD">
        <w:t xml:space="preserve">for-profit entity </w:t>
      </w:r>
      <w:r w:rsidRPr="00AC7085">
        <w:t>or</w:t>
      </w:r>
      <w:r w:rsidRPr="00602ACD">
        <w:t xml:space="preserve"> not-for-profit </w:t>
      </w:r>
      <w:r w:rsidR="00BC2B91">
        <w:t xml:space="preserve">(NFP) </w:t>
      </w:r>
      <w:r w:rsidRPr="00602ACD">
        <w:t>entity that becomes a first-time adopter of Australian Accounting Standards later than its parent</w:t>
      </w:r>
      <w:r>
        <w:t xml:space="preserve"> (subject to meeting the conditions of the exemption)</w:t>
      </w:r>
      <w:r w:rsidRPr="00602ACD">
        <w:t>.</w:t>
      </w:r>
      <w:r w:rsidRPr="00AC7085">
        <w:t xml:space="preserve"> The objective of the optional exemption as outlined in paragraph </w:t>
      </w:r>
      <w:r w:rsidRPr="00AC7085">
        <w:fldChar w:fldCharType="begin" w:fldLock="1"/>
      </w:r>
      <w:r w:rsidRPr="00CA2919">
        <w:instrText xml:space="preserve"> REF _Ref86083701 \r \h </w:instrText>
      </w:r>
      <w:r w:rsidRPr="00602ACD">
        <w:instrText xml:space="preserve"> \* MERGEFORMAT </w:instrText>
      </w:r>
      <w:r w:rsidRPr="00AC7085">
        <w:fldChar w:fldCharType="separate"/>
      </w:r>
      <w:r w:rsidR="00B22FB2">
        <w:t>BC13</w:t>
      </w:r>
      <w:r w:rsidRPr="00AC7085">
        <w:fldChar w:fldCharType="end"/>
      </w:r>
      <w:r w:rsidRPr="00AC7085">
        <w:t xml:space="preserve"> applies equally to all types of entities.</w:t>
      </w:r>
    </w:p>
    <w:p w14:paraId="35DC41C2" w14:textId="77777777" w:rsidR="00BD6C70" w:rsidRPr="00D90FF7" w:rsidRDefault="00BD6C70" w:rsidP="00B641D2">
      <w:pPr>
        <w:pStyle w:val="IASBSectionTitle2Ind"/>
      </w:pPr>
      <w:r w:rsidRPr="00D90FF7">
        <w:t>Entities transitioning to consolidated Tier 2 Simplified Disclosures financial statements</w:t>
      </w:r>
    </w:p>
    <w:p w14:paraId="5DD375E8" w14:textId="451C4668" w:rsidR="00BD6C70" w:rsidRDefault="00BD6C70" w:rsidP="00BD6C70">
      <w:pPr>
        <w:pStyle w:val="NumBC1"/>
        <w:numPr>
          <w:ilvl w:val="0"/>
          <w:numId w:val="12"/>
        </w:numPr>
        <w:ind w:left="782" w:hanging="782"/>
      </w:pPr>
      <w:r>
        <w:t xml:space="preserve">Another subset of entities affected by the removal of the reporting entity concept is entities that were preparing unconsolidated GPFS (Tier 2 – Reduced Disclosure Requirements). That is, the GPFS complied with all the recognition and measurement requirements in Australian Accounting Standards without presenting consolidated financial statements, in accordance with an exemption in AASB 10. This includes some </w:t>
      </w:r>
      <w:r w:rsidR="00C52A1E">
        <w:t>entities that are classified under Australian taxation legislation as “</w:t>
      </w:r>
      <w:r w:rsidR="00500B2C" w:rsidRPr="00500B2C">
        <w:t>country-by-country reporting entit</w:t>
      </w:r>
      <w:r w:rsidR="00BC1A3C">
        <w:t>ies</w:t>
      </w:r>
      <w:r w:rsidR="00C52A1E">
        <w:t>”</w:t>
      </w:r>
      <w:r>
        <w:t xml:space="preserve"> (</w:t>
      </w:r>
      <w:r w:rsidR="00BC1A3C">
        <w:t>CBC</w:t>
      </w:r>
      <w:r w:rsidR="00C52A1E">
        <w:t xml:space="preserve"> entitie</w:t>
      </w:r>
      <w:r w:rsidR="00BC1A3C">
        <w:t>s</w:t>
      </w:r>
      <w:r>
        <w:t xml:space="preserve">). </w:t>
      </w:r>
    </w:p>
    <w:p w14:paraId="145F3B99" w14:textId="7B047EBE" w:rsidR="00BD6C70" w:rsidRDefault="00BC1A3C" w:rsidP="00BD6C70">
      <w:pPr>
        <w:pStyle w:val="NumBC1"/>
        <w:numPr>
          <w:ilvl w:val="0"/>
          <w:numId w:val="12"/>
        </w:numPr>
        <w:ind w:left="782" w:hanging="782"/>
      </w:pPr>
      <w:bookmarkStart w:id="14" w:name="_Ref84886303"/>
      <w:r>
        <w:lastRenderedPageBreak/>
        <w:t>CBC</w:t>
      </w:r>
      <w:r w:rsidR="00C52A1E">
        <w:t xml:space="preserve"> entitie</w:t>
      </w:r>
      <w:r>
        <w:t xml:space="preserve">s </w:t>
      </w:r>
      <w:r w:rsidR="00BD6C70">
        <w:t xml:space="preserve">are required to prepare GPFS to comply with their </w:t>
      </w:r>
      <w:r>
        <w:t xml:space="preserve">CBC </w:t>
      </w:r>
      <w:r w:rsidR="00BD6C70">
        <w:t xml:space="preserve">reporting obligations to the Australian Taxation Office (ATO). However, some </w:t>
      </w:r>
      <w:r>
        <w:t>CBC</w:t>
      </w:r>
      <w:r w:rsidR="00C52A1E">
        <w:t xml:space="preserve"> entitie</w:t>
      </w:r>
      <w:r>
        <w:t xml:space="preserve">s </w:t>
      </w:r>
      <w:r w:rsidR="00BD6C70">
        <w:t xml:space="preserve">that are parent entities maintained they were </w:t>
      </w:r>
      <w:r w:rsidR="00C52A1E">
        <w:t xml:space="preserve">not </w:t>
      </w:r>
      <w:r w:rsidR="00BD6C70">
        <w:t xml:space="preserve">reporting entities </w:t>
      </w:r>
      <w:r w:rsidR="00C52A1E">
        <w:t xml:space="preserve">as defined in </w:t>
      </w:r>
      <w:r w:rsidR="00BE1D4C">
        <w:t xml:space="preserve">Australian </w:t>
      </w:r>
      <w:r w:rsidR="00C52A1E">
        <w:t xml:space="preserve">Accounting Standards </w:t>
      </w:r>
      <w:r w:rsidR="00BD6C70">
        <w:t xml:space="preserve">and continued to apply the exemption in AASB 10 that did not require the presentation of consolidated financial statements if neither the parent entity nor the group was </w:t>
      </w:r>
      <w:r w:rsidR="00C52A1E">
        <w:t xml:space="preserve">such </w:t>
      </w:r>
      <w:r w:rsidR="00BD6C70">
        <w:t>a reporting entity. The Board understands that this approach was acknowledged as an available option in ATO guidance.</w:t>
      </w:r>
      <w:bookmarkEnd w:id="14"/>
    </w:p>
    <w:p w14:paraId="247E08CB" w14:textId="767F45F7" w:rsidR="00BD6C70" w:rsidRDefault="00BD6C70" w:rsidP="00BD6C70">
      <w:pPr>
        <w:pStyle w:val="NumBC1"/>
        <w:numPr>
          <w:ilvl w:val="0"/>
          <w:numId w:val="12"/>
        </w:numPr>
        <w:ind w:left="782" w:hanging="782"/>
      </w:pPr>
      <w:r>
        <w:t xml:space="preserve">However, as the </w:t>
      </w:r>
      <w:r w:rsidR="005244AD">
        <w:t xml:space="preserve">‘reporting </w:t>
      </w:r>
      <w:r w:rsidR="00B3332D">
        <w:t xml:space="preserve">entity’ </w:t>
      </w:r>
      <w:r>
        <w:t xml:space="preserve">definition in Australian Accounting Standards no longer applies to certain for-profit private sector entities, including </w:t>
      </w:r>
      <w:r w:rsidR="00BC1A3C">
        <w:t>CBC</w:t>
      </w:r>
      <w:r w:rsidR="00C52A1E">
        <w:t xml:space="preserve"> entitie</w:t>
      </w:r>
      <w:r w:rsidR="00BC1A3C">
        <w:t>s</w:t>
      </w:r>
      <w:r>
        <w:t>, for periods beginning on or after 1 July 2021, these entities can no longer apply the consolidation exemption in AASB</w:t>
      </w:r>
      <w:r w:rsidR="00F80761">
        <w:t xml:space="preserve"> </w:t>
      </w:r>
      <w:r>
        <w:t xml:space="preserve">10. Instead, they will be required to prepare consolidated financial statements </w:t>
      </w:r>
      <w:r w:rsidR="00710D05">
        <w:t xml:space="preserve">under AASB 10 </w:t>
      </w:r>
      <w:r>
        <w:t>for the first time.</w:t>
      </w:r>
    </w:p>
    <w:p w14:paraId="12240DAB" w14:textId="7DECA0D1" w:rsidR="00BD6C70" w:rsidRDefault="00C87FBE" w:rsidP="00BD6C70">
      <w:pPr>
        <w:pStyle w:val="NumBC1"/>
        <w:numPr>
          <w:ilvl w:val="0"/>
          <w:numId w:val="12"/>
        </w:numPr>
        <w:ind w:left="782" w:hanging="782"/>
      </w:pPr>
      <w:r>
        <w:t xml:space="preserve">The Board noted that </w:t>
      </w:r>
      <w:r w:rsidR="003F4B32">
        <w:t xml:space="preserve">such </w:t>
      </w:r>
      <w:r w:rsidR="00BD6C70">
        <w:t xml:space="preserve">entities were not required to present consolidated financial statements in prior periods as outlined in paragraph </w:t>
      </w:r>
      <w:r w:rsidR="00BD6C70">
        <w:fldChar w:fldCharType="begin" w:fldLock="1"/>
      </w:r>
      <w:r w:rsidR="00BD6C70">
        <w:instrText xml:space="preserve"> REF _Ref84886303 \r \h </w:instrText>
      </w:r>
      <w:r w:rsidR="00BD6C70">
        <w:fldChar w:fldCharType="separate"/>
      </w:r>
      <w:r w:rsidR="00B22FB2">
        <w:t>BC17</w:t>
      </w:r>
      <w:r w:rsidR="00BD6C70">
        <w:fldChar w:fldCharType="end"/>
      </w:r>
      <w:r w:rsidR="00CC4BA4">
        <w:t xml:space="preserve">. Further, their </w:t>
      </w:r>
      <w:r w:rsidR="00BD6C70">
        <w:t xml:space="preserve">most recent Tier 2 GPFS complied with all relevant recognition and measurement requirements in Australian Accounting Standards. </w:t>
      </w:r>
      <w:r w:rsidR="00CC4BA4">
        <w:t xml:space="preserve">The Board </w:t>
      </w:r>
      <w:r w:rsidR="002B2B36">
        <w:t xml:space="preserve">acknowledged </w:t>
      </w:r>
      <w:r w:rsidR="00CC4BA4">
        <w:t xml:space="preserve">an absence of specific guidance </w:t>
      </w:r>
      <w:r w:rsidR="00AA2203">
        <w:t xml:space="preserve">in </w:t>
      </w:r>
      <w:r w:rsidR="00BC18D9">
        <w:t xml:space="preserve">Australian Accounting Standards for </w:t>
      </w:r>
      <w:r w:rsidR="002B2B36">
        <w:t xml:space="preserve">these </w:t>
      </w:r>
      <w:r w:rsidR="00BC18D9">
        <w:t>entities</w:t>
      </w:r>
      <w:r w:rsidR="00BD6C70">
        <w:t>.</w:t>
      </w:r>
    </w:p>
    <w:p w14:paraId="0C2D1C43" w14:textId="433BEE81" w:rsidR="00BD6C70" w:rsidRDefault="00BD6C70" w:rsidP="00BD6C70">
      <w:pPr>
        <w:pStyle w:val="NumBC1"/>
        <w:numPr>
          <w:ilvl w:val="0"/>
          <w:numId w:val="12"/>
        </w:numPr>
        <w:ind w:left="782" w:hanging="782"/>
      </w:pPr>
      <w:r>
        <w:t xml:space="preserve">However, the Board noted that </w:t>
      </w:r>
      <w:r w:rsidR="00990DB9">
        <w:t xml:space="preserve">specific guidance was included in </w:t>
      </w:r>
      <w:r>
        <w:t xml:space="preserve">AASB 1053 (paragraph 18A(b)) </w:t>
      </w:r>
      <w:r w:rsidR="00F45867">
        <w:t xml:space="preserve">to </w:t>
      </w:r>
      <w:r w:rsidR="00732555">
        <w:t xml:space="preserve">explicitly </w:t>
      </w:r>
      <w:r>
        <w:t>allow entities that were preparing SPFS on the same basis – that is, their SPFS complied with all the recognition and measurement requirements without presenting consolidated financial statements, on the basis that neither the parent nor the group was a reporting entity – to apply AASB 1, including the relief for the first-time preparation of consolidated financial statements set out in Appendix C, to their transition</w:t>
      </w:r>
      <w:r w:rsidRPr="00626478">
        <w:t xml:space="preserve"> </w:t>
      </w:r>
      <w:r>
        <w:t>to Tier 2 GPFS.</w:t>
      </w:r>
    </w:p>
    <w:p w14:paraId="39A1E03A" w14:textId="77777777" w:rsidR="00BD6C70" w:rsidRDefault="00BD6C70" w:rsidP="00BD6C70">
      <w:pPr>
        <w:pStyle w:val="NumBC1"/>
        <w:numPr>
          <w:ilvl w:val="0"/>
          <w:numId w:val="12"/>
        </w:numPr>
        <w:ind w:left="782" w:hanging="782"/>
      </w:pPr>
      <w:bookmarkStart w:id="15" w:name="_Ref84244903"/>
      <w:r>
        <w:t>The Board previously considered whether the transitional relief in paragraph 18A(b) should also be extended to entities transitioning from unconsolidated Tier 2 – Reduced Disclosure Requirements GPFS to consolidated Tier 2 – Simplified Disclosures GPFS. However, when finalising AASB 2020</w:t>
      </w:r>
      <w:r>
        <w:noBreakHyphen/>
        <w:t xml:space="preserve">2, the Board decided that it would not be appropriate to extend the transition relief at that time as the extent to which entities would be affected was unknown, although it was expected to be limited. </w:t>
      </w:r>
      <w:bookmarkEnd w:id="15"/>
      <w:r>
        <w:t>Furthermore:</w:t>
      </w:r>
    </w:p>
    <w:p w14:paraId="1223D928" w14:textId="36BB6013" w:rsidR="00BD6C70" w:rsidRDefault="00BD6C70" w:rsidP="00BD6C70">
      <w:pPr>
        <w:pStyle w:val="NumPlain2"/>
        <w:numPr>
          <w:ilvl w:val="0"/>
          <w:numId w:val="16"/>
        </w:numPr>
        <w:ind w:left="1564" w:hanging="782"/>
      </w:pPr>
      <w:r>
        <w:t>the Board expected that such entities should already have comprehensive IFRS-compliant information available to help produce consolidated financial statements, as the entity would be reporting that information to its parent; and</w:t>
      </w:r>
    </w:p>
    <w:p w14:paraId="044E7CF8" w14:textId="2A8D019C" w:rsidR="00BD6C70" w:rsidRDefault="00BD6C70" w:rsidP="00BD6C70">
      <w:pPr>
        <w:pStyle w:val="NumPlain2"/>
        <w:numPr>
          <w:ilvl w:val="0"/>
          <w:numId w:val="16"/>
        </w:numPr>
        <w:ind w:left="1564" w:hanging="782"/>
      </w:pPr>
      <w:r>
        <w:t xml:space="preserve">entities that </w:t>
      </w:r>
      <w:r w:rsidR="00A31835">
        <w:t xml:space="preserve">previously </w:t>
      </w:r>
      <w:r>
        <w:t>were preparing SPFS instead would be required to provide new additional disclosures as well as potential changes to recognition and measurement requirements, and hence it could be argued that not having such other challenges would mean entities already preparing GPFS would have enough resources to consolidate retrospectively.</w:t>
      </w:r>
      <w:r>
        <w:rPr>
          <w:rStyle w:val="FootnoteReference"/>
        </w:rPr>
        <w:footnoteReference w:id="3"/>
      </w:r>
    </w:p>
    <w:p w14:paraId="521CFABA" w14:textId="4501307C" w:rsidR="00BD6C70" w:rsidRDefault="00BD6C70" w:rsidP="00BD6C70">
      <w:pPr>
        <w:pStyle w:val="NumBC1"/>
        <w:numPr>
          <w:ilvl w:val="0"/>
          <w:numId w:val="12"/>
        </w:numPr>
        <w:ind w:left="782" w:hanging="782"/>
      </w:pPr>
      <w:r>
        <w:t xml:space="preserve">Following the issue of AASB 2020-2, the Board received feedback from stakeholders expressing concern that </w:t>
      </w:r>
      <w:r w:rsidR="00FE3FCD">
        <w:t xml:space="preserve">it was unclear whether </w:t>
      </w:r>
      <w:r>
        <w:t xml:space="preserve">entities transitioning from unconsolidated Tier 2 – Reduced Disclosure Requirements GPFS to consolidated Tier 2 – Simplified Disclosures GPFS </w:t>
      </w:r>
      <w:r w:rsidR="00FE3FCD">
        <w:t>were a</w:t>
      </w:r>
      <w:r>
        <w:t xml:space="preserve">ble to apply AASB 1, </w:t>
      </w:r>
      <w:r w:rsidR="004E371D">
        <w:t xml:space="preserve">as </w:t>
      </w:r>
      <w:r>
        <w:t xml:space="preserve">there </w:t>
      </w:r>
      <w:r w:rsidR="00FE3FCD">
        <w:t xml:space="preserve">was </w:t>
      </w:r>
      <w:r>
        <w:t>no specific guidance in Australian Accounting Standards to explain the basis on which their first consolidated financial statements should be prepared. Therefore, Australian Accounting Standards could be read to require such entities to apply the consolidation requirements fully retrospectively. Stakeholders were concerned about this, based on their view that many of these entities do not have sufficient information to retrospectively consolidate as information might be prepared at a higher group level that is not relevant at the level of the ultimate Australian parent entity. Further, stakeholders were also concerned about the ability for comparative information to be audited</w:t>
      </w:r>
      <w:r w:rsidRPr="007369F8">
        <w:t xml:space="preserve"> </w:t>
      </w:r>
      <w:r>
        <w:t xml:space="preserve">retrospectively. </w:t>
      </w:r>
    </w:p>
    <w:p w14:paraId="3CCB9A19" w14:textId="016ED4A6" w:rsidR="00BD6C70" w:rsidRDefault="00BD6C70" w:rsidP="00BD6C70">
      <w:pPr>
        <w:pStyle w:val="NumBC1"/>
        <w:numPr>
          <w:ilvl w:val="0"/>
          <w:numId w:val="12"/>
        </w:numPr>
        <w:ind w:left="782" w:hanging="782"/>
      </w:pPr>
      <w:r>
        <w:t xml:space="preserve">Although the Board previously considered this matter as noted in paragraph </w:t>
      </w:r>
      <w:r>
        <w:fldChar w:fldCharType="begin" w:fldLock="1"/>
      </w:r>
      <w:r>
        <w:instrText xml:space="preserve"> REF _Ref84244903 \r \h </w:instrText>
      </w:r>
      <w:r>
        <w:fldChar w:fldCharType="separate"/>
      </w:r>
      <w:r w:rsidR="00B22FB2">
        <w:t>BC21</w:t>
      </w:r>
      <w:r>
        <w:fldChar w:fldCharType="end"/>
      </w:r>
      <w:r>
        <w:t xml:space="preserve">, as the subsequent feedback </w:t>
      </w:r>
      <w:r w:rsidR="009236D0">
        <w:t>wa</w:t>
      </w:r>
      <w:r>
        <w:t xml:space="preserve">s inconsistent with the </w:t>
      </w:r>
      <w:r w:rsidR="00B3332D">
        <w:t xml:space="preserve">Board’s </w:t>
      </w:r>
      <w:r>
        <w:t xml:space="preserve">expectations, </w:t>
      </w:r>
      <w:r w:rsidR="002D67A7">
        <w:t xml:space="preserve">ED 315 </w:t>
      </w:r>
      <w:r>
        <w:t>propose</w:t>
      </w:r>
      <w:r w:rsidR="002D67A7">
        <w:t>d</w:t>
      </w:r>
      <w:r>
        <w:t xml:space="preserve"> </w:t>
      </w:r>
      <w:r w:rsidR="002D2E3B">
        <w:t xml:space="preserve">providing </w:t>
      </w:r>
      <w:r w:rsidR="00061CD2">
        <w:t xml:space="preserve">explicit </w:t>
      </w:r>
      <w:r>
        <w:t>relief to also allow entities transitioning from unconsolidated Tier 2 – Reduced Disclosure Requirements GPFS to consolidated Tier 2 – Simplified Disclosures GPFS to apply AASB 1 when preparing consolidated financial statements for the first time.</w:t>
      </w:r>
    </w:p>
    <w:p w14:paraId="69E37377" w14:textId="23338378" w:rsidR="00BD6C70" w:rsidRDefault="00BD6C70" w:rsidP="00BD6C70">
      <w:pPr>
        <w:pStyle w:val="NumBC1"/>
        <w:numPr>
          <w:ilvl w:val="0"/>
          <w:numId w:val="12"/>
        </w:numPr>
        <w:ind w:left="782" w:hanging="782"/>
      </w:pPr>
      <w:r>
        <w:t>The Board acknowledged that proposing this transition relief would allow entities to potentially restate previously recognised amounts in accordance with AASB 1, even though the previous Tier 2 – Reduced Disclosure Requirements GPFS complied with all recognition and measurement requirements</w:t>
      </w:r>
      <w:r w:rsidRPr="00E97686">
        <w:t xml:space="preserve"> </w:t>
      </w:r>
      <w:r>
        <w:t>without presenting consolidated financial statements. However, the Board noted that this outcome is consistent with the application of the relief available in AASB 1053 paragraph 18A(b) for entities that were preparing SPFS on the same basis (</w:t>
      </w:r>
      <w:proofErr w:type="spellStart"/>
      <w:proofErr w:type="gramStart"/>
      <w:r w:rsidR="00061CD2">
        <w:t>ie</w:t>
      </w:r>
      <w:proofErr w:type="spellEnd"/>
      <w:proofErr w:type="gramEnd"/>
      <w:r w:rsidR="00061CD2">
        <w:t xml:space="preserve"> </w:t>
      </w:r>
      <w:r>
        <w:t>their SPFS complied with all the recognition and measurement requirements, without presenting consolidated financial statements, on the basis that neither the parent nor the group was a reporting entity).</w:t>
      </w:r>
    </w:p>
    <w:p w14:paraId="55D199E2" w14:textId="77777777" w:rsidR="00BD6C70" w:rsidRPr="00237677" w:rsidRDefault="00BD6C70" w:rsidP="00B641D2">
      <w:pPr>
        <w:pStyle w:val="IASBSectionTitle3Ind"/>
      </w:pPr>
      <w:r w:rsidRPr="00AC7085">
        <w:lastRenderedPageBreak/>
        <w:t>Scope</w:t>
      </w:r>
    </w:p>
    <w:p w14:paraId="65096464" w14:textId="597CEA1B" w:rsidR="00BD6C70" w:rsidRDefault="00BD6C70" w:rsidP="00BD6C70">
      <w:pPr>
        <w:pStyle w:val="NumBC1"/>
        <w:numPr>
          <w:ilvl w:val="0"/>
          <w:numId w:val="12"/>
        </w:numPr>
        <w:ind w:left="782" w:hanging="782"/>
      </w:pPr>
      <w:r>
        <w:t xml:space="preserve">Although both for-profit and NFP entities are affected by the replacement of Tier 2 – Reduced Disclosure Requirements with Tier 2 – Simplified Disclosures, NFP entities are not affected by the removal of SPFS and the reporting entity definition in Australian Accounting Standards at this stage. Therefore, NFP entities </w:t>
      </w:r>
      <w:r w:rsidR="002F20AB">
        <w:t xml:space="preserve">can </w:t>
      </w:r>
      <w:r>
        <w:t xml:space="preserve">continue to consider themselves to be non-reporting entities and prepare </w:t>
      </w:r>
      <w:r w:rsidR="00BB4F3D">
        <w:t xml:space="preserve">single-entity </w:t>
      </w:r>
      <w:r>
        <w:t>Tier 2 – Simplified Disclosure</w:t>
      </w:r>
      <w:r w:rsidR="003F4E78">
        <w:t>s</w:t>
      </w:r>
      <w:r>
        <w:t xml:space="preserve"> GPFS, applying the exemption in AASB 10 if relevant.</w:t>
      </w:r>
    </w:p>
    <w:p w14:paraId="345D42BF" w14:textId="0BC27E6C" w:rsidR="00BD6C70" w:rsidRDefault="00BD6C70" w:rsidP="00BD6C70">
      <w:pPr>
        <w:pStyle w:val="NumBC1"/>
        <w:numPr>
          <w:ilvl w:val="0"/>
          <w:numId w:val="12"/>
        </w:numPr>
        <w:ind w:left="782" w:hanging="782"/>
      </w:pPr>
      <w:r>
        <w:t xml:space="preserve">For this reason, the Board decided the Tier 2 transition relief proposed in </w:t>
      </w:r>
      <w:r w:rsidR="009C51BE">
        <w:t xml:space="preserve">ED 315 </w:t>
      </w:r>
      <w:r>
        <w:t>should be consistent with the scope of AASB 2020-2 and should therefore be limited to certain for-profit private sector entities.</w:t>
      </w:r>
    </w:p>
    <w:p w14:paraId="40B24EDD" w14:textId="172E3390" w:rsidR="00660504" w:rsidRDefault="00660504" w:rsidP="00660504">
      <w:pPr>
        <w:pStyle w:val="Heading2"/>
      </w:pPr>
      <w:r>
        <w:t>Finalisation of ED 315 proposals</w:t>
      </w:r>
    </w:p>
    <w:p w14:paraId="0F970CDA" w14:textId="5F814141" w:rsidR="00660504" w:rsidRDefault="007830E3" w:rsidP="00660504">
      <w:pPr>
        <w:pStyle w:val="NumBC1"/>
        <w:numPr>
          <w:ilvl w:val="0"/>
          <w:numId w:val="12"/>
        </w:numPr>
        <w:ind w:left="782" w:hanging="782"/>
      </w:pPr>
      <w:r>
        <w:t>Following the consultation period, and after considering the comments received, the Board decided to proceed with issuing this Standard, with minimal changes from the proposals in ED 315.</w:t>
      </w:r>
    </w:p>
    <w:p w14:paraId="7D9ABFA8" w14:textId="69654354" w:rsidR="007830E3" w:rsidRDefault="005B4C42" w:rsidP="00660504">
      <w:pPr>
        <w:pStyle w:val="NumBC1"/>
        <w:numPr>
          <w:ilvl w:val="0"/>
          <w:numId w:val="12"/>
        </w:numPr>
        <w:ind w:left="782" w:hanging="782"/>
      </w:pPr>
      <w:bookmarkStart w:id="16" w:name="_Ref97549869"/>
      <w:r>
        <w:t xml:space="preserve">The Board received seven formal comment letters on ED 315. The feedback received indicated that, in general, </w:t>
      </w:r>
      <w:r w:rsidR="00D14247">
        <w:t xml:space="preserve">most </w:t>
      </w:r>
      <w:r>
        <w:t xml:space="preserve">respondents </w:t>
      </w:r>
      <w:r w:rsidR="009B7F81">
        <w:t xml:space="preserve">supported </w:t>
      </w:r>
      <w:r>
        <w:t>the proposals. However, some respondents provided additional feedback</w:t>
      </w:r>
      <w:r w:rsidR="00761445">
        <w:t>, which is considered in the following paragraphs</w:t>
      </w:r>
      <w:r w:rsidR="00B06B7B">
        <w:t>.</w:t>
      </w:r>
      <w:bookmarkEnd w:id="16"/>
    </w:p>
    <w:p w14:paraId="5DBEC241" w14:textId="209D04EF" w:rsidR="00B06B7B" w:rsidRPr="00873742" w:rsidRDefault="00B94980" w:rsidP="00B641D2">
      <w:pPr>
        <w:pStyle w:val="IASBSectionTitle2Ind"/>
      </w:pPr>
      <w:r w:rsidRPr="00873742">
        <w:t>A</w:t>
      </w:r>
      <w:r w:rsidR="00B06B7B" w:rsidRPr="00873742">
        <w:t>mendment</w:t>
      </w:r>
      <w:r w:rsidR="00BC2B91" w:rsidRPr="00873742">
        <w:t>s</w:t>
      </w:r>
      <w:r w:rsidR="00B06B7B" w:rsidRPr="00873742">
        <w:t xml:space="preserve"> to AASB 1</w:t>
      </w:r>
    </w:p>
    <w:p w14:paraId="3DDCBE40" w14:textId="0925AE4D" w:rsidR="00F35D4D" w:rsidRPr="00237677" w:rsidRDefault="004B20D8" w:rsidP="00B641D2">
      <w:pPr>
        <w:pStyle w:val="IASBSectionTitle3Ind"/>
      </w:pPr>
      <w:r w:rsidRPr="00873742">
        <w:t xml:space="preserve">Application of </w:t>
      </w:r>
      <w:r w:rsidR="00DC04E6" w:rsidRPr="00873742">
        <w:t xml:space="preserve">the optional exemption </w:t>
      </w:r>
      <w:r w:rsidR="0078107E" w:rsidRPr="00873742">
        <w:t xml:space="preserve">by </w:t>
      </w:r>
      <w:r w:rsidRPr="00873742">
        <w:t>NFP entities</w:t>
      </w:r>
    </w:p>
    <w:p w14:paraId="5EB64892" w14:textId="06C5EEE0" w:rsidR="001B0BDE" w:rsidRDefault="00527AA1" w:rsidP="00864929">
      <w:pPr>
        <w:pStyle w:val="NumBC1"/>
        <w:numPr>
          <w:ilvl w:val="0"/>
          <w:numId w:val="12"/>
        </w:numPr>
        <w:ind w:left="782" w:hanging="782"/>
      </w:pPr>
      <w:r>
        <w:t xml:space="preserve">As </w:t>
      </w:r>
      <w:r w:rsidR="00A0430C">
        <w:t xml:space="preserve">the optional exemption in </w:t>
      </w:r>
      <w:r>
        <w:t xml:space="preserve">AASB 1 paragraph D16(a) </w:t>
      </w:r>
      <w:r w:rsidR="00B928FF">
        <w:t xml:space="preserve">can </w:t>
      </w:r>
      <w:r>
        <w:t xml:space="preserve">be applied by </w:t>
      </w:r>
      <w:r w:rsidR="001D5624">
        <w:t xml:space="preserve">both </w:t>
      </w:r>
      <w:r>
        <w:t xml:space="preserve">for-profit and </w:t>
      </w:r>
      <w:r w:rsidR="008B6D1F">
        <w:t xml:space="preserve">NFP </w:t>
      </w:r>
      <w:r>
        <w:t xml:space="preserve">entities, </w:t>
      </w:r>
      <w:r w:rsidR="00EF79DA">
        <w:t xml:space="preserve">in the absence of a specific limitation to for-profit entities, </w:t>
      </w:r>
      <w:r>
        <w:t>o</w:t>
      </w:r>
      <w:r w:rsidR="00A00942">
        <w:t xml:space="preserve">ne stakeholder </w:t>
      </w:r>
      <w:r w:rsidR="00C95A2D">
        <w:t xml:space="preserve">questioned </w:t>
      </w:r>
      <w:r w:rsidR="00CC1B35">
        <w:t xml:space="preserve">how </w:t>
      </w:r>
      <w:r w:rsidR="00FC774D">
        <w:t xml:space="preserve">a </w:t>
      </w:r>
      <w:r w:rsidR="00A0430C">
        <w:t xml:space="preserve">NFP entity might apply </w:t>
      </w:r>
      <w:r w:rsidR="00CB2B7C">
        <w:t xml:space="preserve">the optional </w:t>
      </w:r>
      <w:r w:rsidR="00C86AF9">
        <w:t xml:space="preserve">exemption </w:t>
      </w:r>
      <w:r w:rsidR="00E921ED">
        <w:t xml:space="preserve">(including the proposed amendment) </w:t>
      </w:r>
      <w:r w:rsidR="00CC1B35">
        <w:t xml:space="preserve">given the recognition and measurement differences between </w:t>
      </w:r>
      <w:r w:rsidR="0077153B">
        <w:t>IFRSs</w:t>
      </w:r>
      <w:r w:rsidR="00CC1B35">
        <w:t xml:space="preserve"> and Australian Accounting Standards as they apply to NFP entities. </w:t>
      </w:r>
    </w:p>
    <w:p w14:paraId="715202E0" w14:textId="4B845C13" w:rsidR="00CF5C3D" w:rsidRDefault="00AE7D71" w:rsidP="00EF79DA">
      <w:pPr>
        <w:pStyle w:val="NumBC1"/>
        <w:numPr>
          <w:ilvl w:val="0"/>
          <w:numId w:val="12"/>
        </w:numPr>
        <w:ind w:left="782" w:hanging="782"/>
      </w:pPr>
      <w:r>
        <w:t xml:space="preserve">The Board considered this feedback </w:t>
      </w:r>
      <w:r w:rsidR="00C34F26">
        <w:t xml:space="preserve">but </w:t>
      </w:r>
      <w:r>
        <w:t>decided that no changes to the proposed amendment were necessary.</w:t>
      </w:r>
      <w:r w:rsidR="00DC04E6">
        <w:t xml:space="preserve"> </w:t>
      </w:r>
      <w:r w:rsidR="000D2528">
        <w:t xml:space="preserve">The Board </w:t>
      </w:r>
      <w:r>
        <w:t xml:space="preserve">acknowledged </w:t>
      </w:r>
      <w:r w:rsidR="000D2528">
        <w:t>that</w:t>
      </w:r>
      <w:r w:rsidR="009C4B42">
        <w:t xml:space="preserve"> </w:t>
      </w:r>
      <w:r w:rsidR="00CF5C3D">
        <w:t xml:space="preserve">compliance with </w:t>
      </w:r>
      <w:r w:rsidR="0077153B">
        <w:t>IFRSs</w:t>
      </w:r>
      <w:r w:rsidR="00A85E0D">
        <w:t xml:space="preserve"> </w:t>
      </w:r>
      <w:r w:rsidR="002D4808">
        <w:t xml:space="preserve">might </w:t>
      </w:r>
      <w:r w:rsidR="00CF5C3D">
        <w:t xml:space="preserve">not result in compliance with </w:t>
      </w:r>
      <w:r w:rsidR="00A85E0D">
        <w:t>Australian Accounting Standards</w:t>
      </w:r>
      <w:r w:rsidR="002D4808">
        <w:t xml:space="preserve"> as they apply to NFP entities</w:t>
      </w:r>
      <w:r w:rsidR="00781251">
        <w:t>,</w:t>
      </w:r>
      <w:r w:rsidR="00C2630F">
        <w:t xml:space="preserve"> </w:t>
      </w:r>
      <w:r w:rsidR="00E57CA2">
        <w:t xml:space="preserve">where </w:t>
      </w:r>
      <w:r w:rsidR="00CF5C3D">
        <w:t>NFP-specific recognition and measurement requirements in Australian Accounting Standards</w:t>
      </w:r>
      <w:r w:rsidR="002D4808">
        <w:t xml:space="preserve"> are relevant to an entity</w:t>
      </w:r>
      <w:r w:rsidR="00C2630F">
        <w:t xml:space="preserve">. The Board </w:t>
      </w:r>
      <w:r w:rsidR="00C10516">
        <w:t xml:space="preserve">noted that a NFP entity would be unable to apply the optional exemption when transitioning to Australian Accounting Standards in relation to </w:t>
      </w:r>
      <w:r w:rsidR="00C2630F">
        <w:t xml:space="preserve">amounts included in </w:t>
      </w:r>
      <w:r w:rsidR="006643C9">
        <w:t>a</w:t>
      </w:r>
      <w:r w:rsidR="00C2630F">
        <w:t xml:space="preserve"> </w:t>
      </w:r>
      <w:r w:rsidR="00B3332D">
        <w:t xml:space="preserve">parent’s </w:t>
      </w:r>
      <w:r w:rsidR="00C2630F">
        <w:t>IFRS</w:t>
      </w:r>
      <w:r w:rsidR="00703DAC">
        <w:t xml:space="preserve">-compliant </w:t>
      </w:r>
      <w:r w:rsidR="00C10516">
        <w:t xml:space="preserve">consolidated </w:t>
      </w:r>
      <w:r w:rsidR="00C2630F">
        <w:t>financial statements</w:t>
      </w:r>
      <w:r w:rsidR="007D59D6">
        <w:t xml:space="preserve"> </w:t>
      </w:r>
      <w:r w:rsidR="00C10516">
        <w:t xml:space="preserve">that </w:t>
      </w:r>
      <w:r w:rsidR="006643C9">
        <w:t xml:space="preserve">do </w:t>
      </w:r>
      <w:r w:rsidR="007D59D6">
        <w:t xml:space="preserve">not comply with Australian Accounting Standards as they apply </w:t>
      </w:r>
      <w:r w:rsidR="001D5624">
        <w:t xml:space="preserve">to </w:t>
      </w:r>
      <w:r w:rsidR="007D59D6">
        <w:t>NFP entities</w:t>
      </w:r>
      <w:r w:rsidR="004B72BF">
        <w:t>.</w:t>
      </w:r>
      <w:r w:rsidR="00761445">
        <w:t xml:space="preserve"> NFP entities are required to comply with the applicable NFP requirements in Australian Accounting Standards</w:t>
      </w:r>
      <w:r w:rsidR="00FC774D">
        <w:t xml:space="preserve"> when transitioning to those Standards, subject to any specific exceptions and exemptions in AASB 1</w:t>
      </w:r>
      <w:r w:rsidR="00761445">
        <w:t>.</w:t>
      </w:r>
    </w:p>
    <w:p w14:paraId="23C6EBF7" w14:textId="35D2F4D4" w:rsidR="00346350" w:rsidRDefault="00CC19D6" w:rsidP="00415CFC">
      <w:pPr>
        <w:pStyle w:val="NumBC1"/>
        <w:numPr>
          <w:ilvl w:val="0"/>
          <w:numId w:val="12"/>
        </w:numPr>
        <w:ind w:left="782" w:hanging="782"/>
      </w:pPr>
      <w:r>
        <w:t xml:space="preserve">The Board noted that </w:t>
      </w:r>
      <w:r w:rsidR="00931458">
        <w:t xml:space="preserve">this </w:t>
      </w:r>
      <w:r w:rsidR="003145A5">
        <w:t xml:space="preserve">outcome </w:t>
      </w:r>
      <w:r w:rsidR="009F09BD">
        <w:t xml:space="preserve">is </w:t>
      </w:r>
      <w:r w:rsidR="00931458">
        <w:t xml:space="preserve">consistent with how the optional </w:t>
      </w:r>
      <w:r w:rsidR="00EE67E3">
        <w:t xml:space="preserve">exemption </w:t>
      </w:r>
      <w:r w:rsidR="0065649F">
        <w:t xml:space="preserve">is </w:t>
      </w:r>
      <w:r w:rsidR="007C472C">
        <w:t>currently</w:t>
      </w:r>
      <w:r w:rsidR="003145A5">
        <w:t xml:space="preserve"> </w:t>
      </w:r>
      <w:r w:rsidR="00954349">
        <w:t xml:space="preserve">being </w:t>
      </w:r>
      <w:r w:rsidR="003145A5">
        <w:t>applied in some circumstance</w:t>
      </w:r>
      <w:r w:rsidR="00361900">
        <w:t xml:space="preserve">s. </w:t>
      </w:r>
      <w:r w:rsidR="007C472C">
        <w:t xml:space="preserve">For example, </w:t>
      </w:r>
      <w:r w:rsidR="00FC774D">
        <w:t xml:space="preserve">a </w:t>
      </w:r>
      <w:r w:rsidR="00C3792B">
        <w:t>NFP entity</w:t>
      </w:r>
      <w:r w:rsidR="00B61C2C">
        <w:t xml:space="preserve"> </w:t>
      </w:r>
      <w:r w:rsidR="00A3060C">
        <w:t xml:space="preserve">is </w:t>
      </w:r>
      <w:r w:rsidR="009A0BEA">
        <w:t xml:space="preserve">unable to apply the optional exemption </w:t>
      </w:r>
      <w:r w:rsidR="00482250">
        <w:t xml:space="preserve">to assets and liabilities </w:t>
      </w:r>
      <w:r w:rsidR="002D47C1">
        <w:t xml:space="preserve">where </w:t>
      </w:r>
      <w:r w:rsidR="00B61C2C">
        <w:t xml:space="preserve">the </w:t>
      </w:r>
      <w:r w:rsidR="00482250">
        <w:t xml:space="preserve">amounts included in the </w:t>
      </w:r>
      <w:r w:rsidR="00B3332D">
        <w:t xml:space="preserve">parent’s </w:t>
      </w:r>
      <w:r w:rsidR="00954349">
        <w:t xml:space="preserve">consolidated financial statements </w:t>
      </w:r>
      <w:r w:rsidR="00B278EB">
        <w:t xml:space="preserve">do not </w:t>
      </w:r>
      <w:r w:rsidR="00954349">
        <w:t xml:space="preserve">comply </w:t>
      </w:r>
      <w:r w:rsidR="004F5993" w:rsidRPr="004F5993">
        <w:t>with Australian Accounting Standards</w:t>
      </w:r>
      <w:r w:rsidR="004F5993">
        <w:t xml:space="preserve"> </w:t>
      </w:r>
      <w:r w:rsidR="004F5993" w:rsidRPr="004F5993">
        <w:t>as they apply to NFP entities</w:t>
      </w:r>
      <w:r w:rsidR="007C472C">
        <w:t>.</w:t>
      </w:r>
      <w:r w:rsidR="00F522E0">
        <w:t xml:space="preserve"> </w:t>
      </w:r>
      <w:r w:rsidR="003A6B36">
        <w:t xml:space="preserve">This could occur where </w:t>
      </w:r>
      <w:r w:rsidR="00FC774D">
        <w:t xml:space="preserve">a </w:t>
      </w:r>
      <w:r w:rsidR="00A3060C">
        <w:t xml:space="preserve">NFP entity has a </w:t>
      </w:r>
      <w:r w:rsidR="00346350" w:rsidRPr="00346350">
        <w:t xml:space="preserve">for-profit parent </w:t>
      </w:r>
      <w:r w:rsidR="00BA4958">
        <w:t xml:space="preserve">that </w:t>
      </w:r>
      <w:r w:rsidR="00346350" w:rsidRPr="00346350">
        <w:t xml:space="preserve">prepares consolidated financial statements for </w:t>
      </w:r>
      <w:r w:rsidR="0000261E">
        <w:t xml:space="preserve">the </w:t>
      </w:r>
      <w:r w:rsidR="00346350" w:rsidRPr="00346350">
        <w:t>mixed group (</w:t>
      </w:r>
      <w:proofErr w:type="spellStart"/>
      <w:proofErr w:type="gramStart"/>
      <w:r w:rsidR="00782E06">
        <w:t>ie</w:t>
      </w:r>
      <w:proofErr w:type="spellEnd"/>
      <w:proofErr w:type="gramEnd"/>
      <w:r w:rsidR="00782E06">
        <w:t xml:space="preserve"> </w:t>
      </w:r>
      <w:r w:rsidR="00346350" w:rsidRPr="00346350">
        <w:t xml:space="preserve">a group that includes </w:t>
      </w:r>
      <w:r w:rsidR="00782E06">
        <w:t xml:space="preserve">both </w:t>
      </w:r>
      <w:r w:rsidR="00346350" w:rsidRPr="00346350">
        <w:t>for-profit and NFP entities)</w:t>
      </w:r>
      <w:r w:rsidR="00B6647C">
        <w:t xml:space="preserve"> using accounting policies appropriate to for-profit entities</w:t>
      </w:r>
      <w:r w:rsidR="00BA4958">
        <w:t xml:space="preserve">. </w:t>
      </w:r>
    </w:p>
    <w:p w14:paraId="7A034505" w14:textId="7D7B969F" w:rsidR="004B20D8" w:rsidRPr="00237677" w:rsidRDefault="006378EA" w:rsidP="00B641D2">
      <w:pPr>
        <w:pStyle w:val="IASBSectionTitle3Ind"/>
      </w:pPr>
      <w:r w:rsidRPr="00F47E18">
        <w:t xml:space="preserve">Compliance with </w:t>
      </w:r>
      <w:r w:rsidR="0077153B">
        <w:t>IFRSs</w:t>
      </w:r>
    </w:p>
    <w:p w14:paraId="514909A1" w14:textId="221D35A8" w:rsidR="004B20D8" w:rsidRDefault="004B20D8" w:rsidP="00882D91">
      <w:pPr>
        <w:pStyle w:val="NumBC1"/>
        <w:numPr>
          <w:ilvl w:val="0"/>
          <w:numId w:val="12"/>
        </w:numPr>
        <w:ind w:left="782" w:hanging="782"/>
      </w:pPr>
      <w:r>
        <w:t>One stakeholder provided feedback that</w:t>
      </w:r>
      <w:r w:rsidR="00D40839">
        <w:t>,</w:t>
      </w:r>
      <w:r>
        <w:t xml:space="preserve"> </w:t>
      </w:r>
      <w:r w:rsidR="00414D05">
        <w:t xml:space="preserve">in their view, the </w:t>
      </w:r>
      <w:r>
        <w:t xml:space="preserve">proposed </w:t>
      </w:r>
      <w:r w:rsidR="00414D05">
        <w:t xml:space="preserve">amendment to </w:t>
      </w:r>
      <w:r>
        <w:t>AASB</w:t>
      </w:r>
      <w:r w:rsidR="00052469">
        <w:t> </w:t>
      </w:r>
      <w:r>
        <w:t xml:space="preserve">1 paragraph D16(a) </w:t>
      </w:r>
      <w:r w:rsidR="00414D05">
        <w:t>was too narrow</w:t>
      </w:r>
      <w:r w:rsidR="00B76076">
        <w:t xml:space="preserve"> </w:t>
      </w:r>
      <w:r w:rsidR="00E302F6">
        <w:t xml:space="preserve">because the </w:t>
      </w:r>
      <w:r w:rsidR="00C23D8F">
        <w:t xml:space="preserve">optional exemption </w:t>
      </w:r>
      <w:r w:rsidR="00A44C58">
        <w:t xml:space="preserve">could </w:t>
      </w:r>
      <w:r w:rsidR="00F75FF2">
        <w:t xml:space="preserve">only be applied </w:t>
      </w:r>
      <w:r w:rsidR="00EF5B2B">
        <w:t xml:space="preserve">where </w:t>
      </w:r>
      <w:r w:rsidR="00F75FF2">
        <w:t xml:space="preserve">a </w:t>
      </w:r>
      <w:r w:rsidR="00EF5B2B">
        <w:t xml:space="preserve">parent entity prepares financial statements that comply with </w:t>
      </w:r>
      <w:r w:rsidR="0077153B">
        <w:t>IFRSs</w:t>
      </w:r>
      <w:r w:rsidR="00C23D8F">
        <w:t xml:space="preserve">, </w:t>
      </w:r>
      <w:r w:rsidR="00F559F0">
        <w:t xml:space="preserve">and </w:t>
      </w:r>
      <w:r w:rsidR="00052469">
        <w:t xml:space="preserve">not where </w:t>
      </w:r>
      <w:r w:rsidR="00361F92">
        <w:t xml:space="preserve">a parent entity prepares financial statements that comply with </w:t>
      </w:r>
      <w:r w:rsidR="00D30A0C">
        <w:t xml:space="preserve">IFRS-equivalent </w:t>
      </w:r>
      <w:r w:rsidR="00A7351E">
        <w:t xml:space="preserve">Standards </w:t>
      </w:r>
      <w:r w:rsidR="00D40839">
        <w:t xml:space="preserve">but </w:t>
      </w:r>
      <w:r w:rsidR="00F559F0">
        <w:t xml:space="preserve">do not include </w:t>
      </w:r>
      <w:r w:rsidR="00795BD1">
        <w:t xml:space="preserve">a statement of compliance with </w:t>
      </w:r>
      <w:r w:rsidR="0077153B">
        <w:t>IFRSs</w:t>
      </w:r>
      <w:r w:rsidR="00795BD1">
        <w:t>.</w:t>
      </w:r>
    </w:p>
    <w:p w14:paraId="6EBAADF6" w14:textId="1221736F" w:rsidR="0044375E" w:rsidRDefault="00D40839" w:rsidP="00D40839">
      <w:pPr>
        <w:pStyle w:val="NumBC1"/>
        <w:numPr>
          <w:ilvl w:val="0"/>
          <w:numId w:val="12"/>
        </w:numPr>
        <w:ind w:left="782" w:hanging="782"/>
      </w:pPr>
      <w:r>
        <w:t xml:space="preserve">Although </w:t>
      </w:r>
      <w:r w:rsidR="004B1ED1">
        <w:t xml:space="preserve">the </w:t>
      </w:r>
      <w:r w:rsidR="007D2529">
        <w:t xml:space="preserve">Board considered there could be merit in </w:t>
      </w:r>
      <w:r w:rsidR="00B300CF">
        <w:t xml:space="preserve">permitting the </w:t>
      </w:r>
      <w:r w:rsidR="007D2529">
        <w:t xml:space="preserve">proposed </w:t>
      </w:r>
      <w:r w:rsidR="00D72679">
        <w:t xml:space="preserve">amendment </w:t>
      </w:r>
      <w:r w:rsidR="00B300CF">
        <w:t xml:space="preserve">to be applied in </w:t>
      </w:r>
      <w:r w:rsidR="00D72679">
        <w:t xml:space="preserve">circumstances where a </w:t>
      </w:r>
      <w:r w:rsidR="00B3332D">
        <w:t xml:space="preserve">parent’s </w:t>
      </w:r>
      <w:r w:rsidR="00D72679">
        <w:t xml:space="preserve">financial statements comply with IFRS-equivalent Standards rather than </w:t>
      </w:r>
      <w:r w:rsidR="0077153B">
        <w:t>IFRSs</w:t>
      </w:r>
      <w:r w:rsidR="00D020C6">
        <w:t xml:space="preserve">, the Board decided </w:t>
      </w:r>
      <w:r w:rsidR="00DF3B80">
        <w:t>not to make such a change.</w:t>
      </w:r>
      <w:r w:rsidR="00F819DD">
        <w:t xml:space="preserve"> </w:t>
      </w:r>
      <w:r w:rsidR="0082007B">
        <w:t xml:space="preserve">The Board noted that </w:t>
      </w:r>
      <w:r w:rsidR="00C6242B">
        <w:t xml:space="preserve">referring only to </w:t>
      </w:r>
      <w:r w:rsidR="0077153B">
        <w:t>IFRSs</w:t>
      </w:r>
      <w:r w:rsidR="00A1070D">
        <w:t xml:space="preserve"> </w:t>
      </w:r>
      <w:r w:rsidR="005A745F">
        <w:t xml:space="preserve">as proposed in ED 315 </w:t>
      </w:r>
      <w:r w:rsidR="00A1070D">
        <w:t xml:space="preserve">is consistent with the </w:t>
      </w:r>
      <w:r>
        <w:t xml:space="preserve">approach to first-time adoption in </w:t>
      </w:r>
      <w:r w:rsidR="005774A5">
        <w:t>AASB 1</w:t>
      </w:r>
      <w:r w:rsidR="00A1070D">
        <w:t xml:space="preserve">. The Board was also concerned </w:t>
      </w:r>
      <w:r w:rsidR="006D35F0">
        <w:t xml:space="preserve">about </w:t>
      </w:r>
      <w:r>
        <w:t xml:space="preserve">potential </w:t>
      </w:r>
      <w:r w:rsidR="00711EE8">
        <w:t xml:space="preserve">unintended consequences if the proposed amendment </w:t>
      </w:r>
      <w:r w:rsidR="006D35F0">
        <w:t xml:space="preserve">could be applied where a parent entity prepared financial statements that complied with </w:t>
      </w:r>
      <w:r w:rsidR="000F2AE2">
        <w:t>IFRS</w:t>
      </w:r>
      <w:r w:rsidR="005774A5">
        <w:t>-equivalent Standards</w:t>
      </w:r>
      <w:r w:rsidR="00764E37">
        <w:t xml:space="preserve">, including possible </w:t>
      </w:r>
      <w:r w:rsidR="000F2AE2">
        <w:t>difficult</w:t>
      </w:r>
      <w:r w:rsidR="00764E37">
        <w:t>ies</w:t>
      </w:r>
      <w:r w:rsidR="000F2AE2">
        <w:t xml:space="preserve"> in determining </w:t>
      </w:r>
      <w:r w:rsidR="001963DA">
        <w:t xml:space="preserve">which standards are considered </w:t>
      </w:r>
      <w:r w:rsidR="000F2AE2">
        <w:t>IFRS-equivalent Standards</w:t>
      </w:r>
      <w:r w:rsidR="005774A5">
        <w:t>.</w:t>
      </w:r>
    </w:p>
    <w:p w14:paraId="09AFF11D" w14:textId="65696D0E" w:rsidR="00EC2A0C" w:rsidRPr="00237677" w:rsidRDefault="00EC2A0C" w:rsidP="003F3C46">
      <w:pPr>
        <w:pStyle w:val="IASBSectionTitle3Ind"/>
      </w:pPr>
      <w:r w:rsidRPr="00F76D0F">
        <w:lastRenderedPageBreak/>
        <w:t>Other amendments</w:t>
      </w:r>
    </w:p>
    <w:p w14:paraId="223D90CF" w14:textId="47A6C498" w:rsidR="00B5484E" w:rsidRDefault="009E6CF1" w:rsidP="003F3C46">
      <w:pPr>
        <w:pStyle w:val="NumBC1"/>
        <w:keepNext/>
        <w:numPr>
          <w:ilvl w:val="0"/>
          <w:numId w:val="12"/>
        </w:numPr>
        <w:ind w:left="782" w:hanging="782"/>
      </w:pPr>
      <w:r>
        <w:t>F</w:t>
      </w:r>
      <w:r w:rsidR="00B5484E">
        <w:t>ollowing feedback from stakeholders</w:t>
      </w:r>
      <w:r w:rsidR="00DD5173">
        <w:t>,</w:t>
      </w:r>
      <w:r w:rsidR="00B5484E">
        <w:t xml:space="preserve"> </w:t>
      </w:r>
      <w:r w:rsidR="00EC2A0C" w:rsidRPr="00E905FC">
        <w:t>the Board also decided to amend</w:t>
      </w:r>
      <w:r w:rsidR="00B5484E">
        <w:t>:</w:t>
      </w:r>
    </w:p>
    <w:p w14:paraId="4A499BCA" w14:textId="620085DB" w:rsidR="00B5484E" w:rsidRDefault="00EC2A0C" w:rsidP="00B6580B">
      <w:pPr>
        <w:pStyle w:val="NumPlain2"/>
        <w:numPr>
          <w:ilvl w:val="1"/>
          <w:numId w:val="37"/>
        </w:numPr>
        <w:tabs>
          <w:tab w:val="clear" w:pos="1021"/>
        </w:tabs>
        <w:ind w:left="1564" w:hanging="782"/>
      </w:pPr>
      <w:r w:rsidRPr="00E905FC">
        <w:t xml:space="preserve">AASB 1 </w:t>
      </w:r>
      <w:r w:rsidR="00D40839">
        <w:t xml:space="preserve">paragraph </w:t>
      </w:r>
      <w:r w:rsidRPr="00E905FC">
        <w:t>D13A</w:t>
      </w:r>
      <w:r w:rsidR="00D40839">
        <w:t>,</w:t>
      </w:r>
      <w:r w:rsidRPr="00E905FC">
        <w:t xml:space="preserve"> for consistency with </w:t>
      </w:r>
      <w:r w:rsidR="00F819DD">
        <w:t xml:space="preserve">the amended </w:t>
      </w:r>
      <w:r w:rsidRPr="00E905FC">
        <w:t>paragraph D16(a)</w:t>
      </w:r>
      <w:r w:rsidR="00B5484E">
        <w:t>; and</w:t>
      </w:r>
    </w:p>
    <w:p w14:paraId="0424847E" w14:textId="7D46F8E6" w:rsidR="00F4004A" w:rsidRPr="00E905FC" w:rsidRDefault="00400F96" w:rsidP="00B5484E">
      <w:pPr>
        <w:pStyle w:val="NumPlain2"/>
        <w:numPr>
          <w:ilvl w:val="1"/>
          <w:numId w:val="2"/>
        </w:numPr>
        <w:tabs>
          <w:tab w:val="clear" w:pos="1021"/>
        </w:tabs>
        <w:ind w:left="1564" w:hanging="782"/>
      </w:pPr>
      <w:r>
        <w:t>AASB 1 paragraph D17</w:t>
      </w:r>
      <w:r w:rsidR="00F819DD">
        <w:t>,</w:t>
      </w:r>
      <w:r>
        <w:t xml:space="preserve"> to allow an entity that becomes a first-time adopter of Australian Accounting Standards in its consolidated financial statements later than its subsidiary (or associate or joint venture) to use the amounts included in the subsidiary</w:t>
      </w:r>
      <w:r w:rsidR="00F819DD">
        <w:t>’s</w:t>
      </w:r>
      <w:r>
        <w:t xml:space="preserve"> (or associate</w:t>
      </w:r>
      <w:r w:rsidR="00F819DD">
        <w:t>’s</w:t>
      </w:r>
      <w:r>
        <w:t xml:space="preserve"> or joint venture</w:t>
      </w:r>
      <w:r w:rsidR="002F44E7">
        <w:t>’</w:t>
      </w:r>
      <w:r w:rsidR="00B6580B">
        <w:t>s</w:t>
      </w:r>
      <w:r>
        <w:t xml:space="preserve">) separate financial statements where the subsidiary (or associate or joint venture) has already adopted either Australian Accounting Standards or </w:t>
      </w:r>
      <w:r w:rsidR="0077153B">
        <w:t>IFRSs</w:t>
      </w:r>
      <w:r w:rsidR="001A4555">
        <w:t>, subject to consolidation, equity accounting and business combination adjustments</w:t>
      </w:r>
      <w:r w:rsidR="00AE54DD" w:rsidRPr="00E905FC">
        <w:t>.</w:t>
      </w:r>
    </w:p>
    <w:p w14:paraId="0F1A0DD0" w14:textId="77277980" w:rsidR="00F4004A" w:rsidRPr="002F44E7" w:rsidRDefault="00F4004A" w:rsidP="00C750D9">
      <w:pPr>
        <w:pStyle w:val="IASBSectionTitle2Ind"/>
      </w:pPr>
      <w:r w:rsidRPr="002F44E7">
        <w:t>Amendment to AASB 1053</w:t>
      </w:r>
    </w:p>
    <w:p w14:paraId="3BF6F2B4" w14:textId="2C144F58" w:rsidR="006F6F7A" w:rsidRDefault="006F6F7A" w:rsidP="009C44D6">
      <w:pPr>
        <w:pStyle w:val="NumBC1"/>
        <w:numPr>
          <w:ilvl w:val="0"/>
          <w:numId w:val="12"/>
        </w:numPr>
        <w:ind w:left="782" w:hanging="782"/>
      </w:pPr>
      <w:r>
        <w:t xml:space="preserve">As noted in paragraph </w:t>
      </w:r>
      <w:r w:rsidR="001364BF">
        <w:fldChar w:fldCharType="begin" w:fldLock="1"/>
      </w:r>
      <w:r w:rsidR="001364BF">
        <w:instrText xml:space="preserve"> REF _Ref97549869 \r \h </w:instrText>
      </w:r>
      <w:r w:rsidR="008463D1">
        <w:instrText xml:space="preserve"> \* MERGEFORMAT </w:instrText>
      </w:r>
      <w:r w:rsidR="001364BF">
        <w:fldChar w:fldCharType="separate"/>
      </w:r>
      <w:r w:rsidR="00B22FB2">
        <w:t>BC28</w:t>
      </w:r>
      <w:r w:rsidR="001364BF">
        <w:fldChar w:fldCharType="end"/>
      </w:r>
      <w:r>
        <w:t>, most respondents to ED 315 supported the proposed amendment</w:t>
      </w:r>
      <w:r w:rsidR="00072222">
        <w:t xml:space="preserve"> to AASB 1053</w:t>
      </w:r>
      <w:r>
        <w:t xml:space="preserve">. However, two respondents suggested that the proposed amendment was unnecessary. In summary, </w:t>
      </w:r>
      <w:r w:rsidR="009B7F81">
        <w:t xml:space="preserve">these </w:t>
      </w:r>
      <w:r w:rsidR="008463D1">
        <w:t xml:space="preserve">respondents </w:t>
      </w:r>
      <w:r>
        <w:t xml:space="preserve">suggested that because the unconsolidated </w:t>
      </w:r>
      <w:r w:rsidR="000D1E2C">
        <w:t>GPFS</w:t>
      </w:r>
      <w:r w:rsidR="004F09AB">
        <w:t xml:space="preserve"> </w:t>
      </w:r>
      <w:r>
        <w:t xml:space="preserve">are separate financial statements, the entity would be applying Tier 2 requirements in the consolidated financial statements for the first time (if they have not prepared consolidated financial statements in the past). Therefore, the entity </w:t>
      </w:r>
      <w:r w:rsidR="00B57612">
        <w:t xml:space="preserve">could </w:t>
      </w:r>
      <w:r>
        <w:t>use AASB 1 without the proposed amendment, as they would be a first-time adopter of Australian Accounting Standards in the consolidated financial statements.</w:t>
      </w:r>
      <w:r w:rsidR="00A23CA4">
        <w:t xml:space="preserve"> </w:t>
      </w:r>
      <w:r>
        <w:t xml:space="preserve">This is because an entity can be a first-time adopter in relation to a set of financial statements – for example, its separate </w:t>
      </w:r>
      <w:r w:rsidR="005F3D1D">
        <w:t xml:space="preserve">financial statements </w:t>
      </w:r>
      <w:r>
        <w:t>or consolidated financial statements – rather than in relation to the entity</w:t>
      </w:r>
      <w:r w:rsidR="005F3D1D">
        <w:t xml:space="preserve"> as such</w:t>
      </w:r>
      <w:r>
        <w:t>.</w:t>
      </w:r>
    </w:p>
    <w:p w14:paraId="65EF56B6" w14:textId="7057BAE2" w:rsidR="00EC2A0C" w:rsidRDefault="00333052" w:rsidP="009C44D6">
      <w:pPr>
        <w:pStyle w:val="NumBC1"/>
        <w:numPr>
          <w:ilvl w:val="0"/>
          <w:numId w:val="12"/>
        </w:numPr>
        <w:ind w:left="782" w:hanging="782"/>
      </w:pPr>
      <w:r>
        <w:t xml:space="preserve">The Board noted that </w:t>
      </w:r>
      <w:r w:rsidR="006F6F7A">
        <w:t xml:space="preserve">AASB 1 paragraph D17, although written in the context of a parent becoming a first-time adopter later than its subsidiary, </w:t>
      </w:r>
      <w:r w:rsidR="00267F82">
        <w:t>appears</w:t>
      </w:r>
      <w:r w:rsidR="006F6F7A">
        <w:t xml:space="preserve"> to support the view that </w:t>
      </w:r>
      <w:r w:rsidR="00273590">
        <w:t xml:space="preserve">distinct </w:t>
      </w:r>
      <w:r w:rsidR="00B3332D">
        <w:t>‘first</w:t>
      </w:r>
      <w:r w:rsidR="006F6F7A">
        <w:t xml:space="preserve">-time </w:t>
      </w:r>
      <w:r w:rsidR="00B3332D">
        <w:t xml:space="preserve">adoptions’ </w:t>
      </w:r>
      <w:r w:rsidR="006F6F7A">
        <w:t xml:space="preserve">are possible for </w:t>
      </w:r>
      <w:r w:rsidR="00273590">
        <w:t xml:space="preserve">an entity’s </w:t>
      </w:r>
      <w:r w:rsidR="006F6F7A">
        <w:t xml:space="preserve">separate </w:t>
      </w:r>
      <w:r w:rsidR="00273590">
        <w:t xml:space="preserve">financial statements </w:t>
      </w:r>
      <w:r w:rsidR="006F6F7A">
        <w:t xml:space="preserve">and </w:t>
      </w:r>
      <w:r w:rsidR="00273590">
        <w:t xml:space="preserve">for its </w:t>
      </w:r>
      <w:r w:rsidR="006F6F7A">
        <w:t xml:space="preserve">consolidated financial statements. </w:t>
      </w:r>
      <w:r w:rsidR="00E45B8A">
        <w:t xml:space="preserve">Paragraph </w:t>
      </w:r>
      <w:r w:rsidR="006F6F7A">
        <w:t>D17 states</w:t>
      </w:r>
      <w:r w:rsidR="00267F82">
        <w:t xml:space="preserve"> that </w:t>
      </w:r>
      <w:r w:rsidR="00B3332D">
        <w:t xml:space="preserve">“… </w:t>
      </w:r>
      <w:r w:rsidR="006F6F7A">
        <w:t>if a parent becomes a first-time adopter for its separate financial statements earlier or later than for its consolidated financial statements, it shall measure its assets and liabilities at the same amounts in both financial statements, except for consolidation adjustments</w:t>
      </w:r>
      <w:r w:rsidR="00B3332D">
        <w:t>.”</w:t>
      </w:r>
    </w:p>
    <w:p w14:paraId="1D5972E2" w14:textId="49EF02E1" w:rsidR="006418F1" w:rsidRDefault="00D85C49" w:rsidP="009C44D6">
      <w:pPr>
        <w:pStyle w:val="NumBC1"/>
        <w:numPr>
          <w:ilvl w:val="0"/>
          <w:numId w:val="12"/>
        </w:numPr>
        <w:ind w:left="782" w:hanging="782"/>
      </w:pPr>
      <w:r>
        <w:t>The Board considered this feedback</w:t>
      </w:r>
      <w:r w:rsidR="0048617D">
        <w:t xml:space="preserve"> and </w:t>
      </w:r>
      <w:r>
        <w:t xml:space="preserve">decided </w:t>
      </w:r>
      <w:r w:rsidR="00644198">
        <w:t xml:space="preserve">to proceed with the </w:t>
      </w:r>
      <w:r w:rsidR="00EE1B29">
        <w:t xml:space="preserve">proposed </w:t>
      </w:r>
      <w:r w:rsidR="00644198">
        <w:t>amendmen</w:t>
      </w:r>
      <w:r w:rsidR="008E7B00">
        <w:t>t</w:t>
      </w:r>
      <w:r w:rsidR="00E45B8A">
        <w:t xml:space="preserve"> to AASB 1053</w:t>
      </w:r>
      <w:r w:rsidR="00644198">
        <w:t xml:space="preserve">. </w:t>
      </w:r>
      <w:r w:rsidR="00273590">
        <w:t xml:space="preserve">Although </w:t>
      </w:r>
      <w:r w:rsidR="00247095">
        <w:t xml:space="preserve">the Board </w:t>
      </w:r>
      <w:r w:rsidR="00122A6B">
        <w:t xml:space="preserve">acknowledged </w:t>
      </w:r>
      <w:r w:rsidR="00247095">
        <w:t xml:space="preserve">that </w:t>
      </w:r>
      <w:r w:rsidR="00247095" w:rsidRPr="00247095">
        <w:t xml:space="preserve">the proposed </w:t>
      </w:r>
      <w:r w:rsidR="009E6F09">
        <w:t xml:space="preserve">amendment </w:t>
      </w:r>
      <w:r w:rsidR="00247095" w:rsidRPr="00247095">
        <w:t>might not be strictly necessary due to the requirements in AASB</w:t>
      </w:r>
      <w:r w:rsidR="00122A6B">
        <w:t> </w:t>
      </w:r>
      <w:r w:rsidR="00247095" w:rsidRPr="00247095">
        <w:t xml:space="preserve">1 paragraph D17, </w:t>
      </w:r>
      <w:r w:rsidR="004B0381">
        <w:t>the Board considered</w:t>
      </w:r>
      <w:r w:rsidR="003E7C24">
        <w:t xml:space="preserve"> that the amendment</w:t>
      </w:r>
      <w:r w:rsidR="006418F1">
        <w:t>:</w:t>
      </w:r>
    </w:p>
    <w:p w14:paraId="2D8CF394" w14:textId="6FBDF2C3" w:rsidR="003E7C24" w:rsidRDefault="003E7C24" w:rsidP="00C141EA">
      <w:pPr>
        <w:pStyle w:val="NumPlain2"/>
        <w:tabs>
          <w:tab w:val="clear" w:pos="1021"/>
        </w:tabs>
        <w:ind w:left="1564" w:hanging="782"/>
      </w:pPr>
      <w:r>
        <w:t xml:space="preserve">is </w:t>
      </w:r>
      <w:r w:rsidR="00247095" w:rsidRPr="00247095">
        <w:t>helpful to stakeholders</w:t>
      </w:r>
      <w:r w:rsidR="00D90D64">
        <w:t xml:space="preserve"> because it </w:t>
      </w:r>
      <w:r w:rsidR="00247095" w:rsidRPr="00247095">
        <w:t>clarifies that an entity can apply AASB</w:t>
      </w:r>
      <w:r w:rsidR="00142A6F">
        <w:t xml:space="preserve"> </w:t>
      </w:r>
      <w:r w:rsidR="00247095" w:rsidRPr="00247095">
        <w:t xml:space="preserve">1 on transition </w:t>
      </w:r>
      <w:r w:rsidR="00AE7AEE">
        <w:t xml:space="preserve">from unconsolidated Tier 2 – Reduced Disclosure Requirements GPFS to consolidated Tier 2 – Simplified Disclosures </w:t>
      </w:r>
      <w:proofErr w:type="gramStart"/>
      <w:r w:rsidR="00AE7AEE">
        <w:t>GPFS</w:t>
      </w:r>
      <w:r>
        <w:t>;</w:t>
      </w:r>
      <w:proofErr w:type="gramEnd"/>
    </w:p>
    <w:p w14:paraId="2BCA6B93" w14:textId="6AC533E2" w:rsidR="003E7C24" w:rsidRDefault="00247095" w:rsidP="006418F1">
      <w:pPr>
        <w:pStyle w:val="NumPlain2"/>
        <w:tabs>
          <w:tab w:val="clear" w:pos="1021"/>
        </w:tabs>
        <w:ind w:left="1564" w:hanging="782"/>
      </w:pPr>
      <w:r w:rsidRPr="00247095">
        <w:t>is consistent with the approach adopted by the Board in AASB</w:t>
      </w:r>
      <w:r w:rsidR="003374F5">
        <w:t> </w:t>
      </w:r>
      <w:r w:rsidRPr="00247095">
        <w:t>2020-2</w:t>
      </w:r>
      <w:r w:rsidR="009C57E9">
        <w:t xml:space="preserve"> for entities transitioning from SPFS to Tier 2 GPFS</w:t>
      </w:r>
      <w:r w:rsidR="003E7C24">
        <w:t>; and</w:t>
      </w:r>
    </w:p>
    <w:p w14:paraId="7637D7DC" w14:textId="61F1FF50" w:rsidR="001D095D" w:rsidRDefault="003E7C24" w:rsidP="006418F1">
      <w:pPr>
        <w:pStyle w:val="NumPlain2"/>
        <w:tabs>
          <w:tab w:val="clear" w:pos="1021"/>
        </w:tabs>
        <w:ind w:left="1564" w:hanging="782"/>
      </w:pPr>
      <w:r>
        <w:t xml:space="preserve">provides </w:t>
      </w:r>
      <w:r w:rsidR="00247095" w:rsidRPr="00247095">
        <w:t>entities with an accounting policy choice that would otherwise be unavailable; that is, they can choose whether to apply AASB</w:t>
      </w:r>
      <w:r w:rsidR="00142A6F">
        <w:t xml:space="preserve"> </w:t>
      </w:r>
      <w:r w:rsidR="00247095" w:rsidRPr="00247095">
        <w:t xml:space="preserve">1 or AASB 108 </w:t>
      </w:r>
      <w:r w:rsidR="00247095" w:rsidRPr="00480AE5">
        <w:rPr>
          <w:i/>
          <w:iCs/>
        </w:rPr>
        <w:t>Accounting Policies, Changes in Accounting Estimates and Errors</w:t>
      </w:r>
      <w:r w:rsidR="00247095" w:rsidRPr="00247095">
        <w:t xml:space="preserve"> to their transition.</w:t>
      </w:r>
      <w:r w:rsidR="003266B5">
        <w:t xml:space="preserve"> </w:t>
      </w:r>
    </w:p>
    <w:p w14:paraId="06EE7229" w14:textId="680F9E63" w:rsidR="001D2C23" w:rsidRDefault="00D52C49" w:rsidP="009C44D6">
      <w:pPr>
        <w:pStyle w:val="NumBC1"/>
        <w:numPr>
          <w:ilvl w:val="0"/>
          <w:numId w:val="12"/>
        </w:numPr>
        <w:ind w:left="782" w:hanging="782"/>
      </w:pPr>
      <w:r>
        <w:t xml:space="preserve">Two stakeholders </w:t>
      </w:r>
      <w:r w:rsidR="00775614">
        <w:t xml:space="preserve">also </w:t>
      </w:r>
      <w:r>
        <w:t xml:space="preserve">provided feedback </w:t>
      </w:r>
      <w:r w:rsidR="003E7C24">
        <w:t xml:space="preserve">suggesting that </w:t>
      </w:r>
      <w:r w:rsidR="009C57E9">
        <w:t xml:space="preserve">the </w:t>
      </w:r>
      <w:r w:rsidR="008750B1">
        <w:t xml:space="preserve">proposed paragraph 20A </w:t>
      </w:r>
      <w:r w:rsidR="00757943">
        <w:t xml:space="preserve">of AASB 1053 </w:t>
      </w:r>
      <w:r>
        <w:t xml:space="preserve">should </w:t>
      </w:r>
      <w:r w:rsidR="005E3A44">
        <w:t xml:space="preserve">also </w:t>
      </w:r>
      <w:r>
        <w:t xml:space="preserve">be </w:t>
      </w:r>
      <w:r w:rsidR="006D4A04">
        <w:t xml:space="preserve">available </w:t>
      </w:r>
      <w:r w:rsidR="009C57E9">
        <w:t xml:space="preserve">to </w:t>
      </w:r>
      <w:r>
        <w:t>NFP entities</w:t>
      </w:r>
      <w:r w:rsidR="005B4C62">
        <w:t xml:space="preserve">. </w:t>
      </w:r>
      <w:r w:rsidR="005E3A44">
        <w:t xml:space="preserve">The stakeholders suggested that </w:t>
      </w:r>
      <w:r w:rsidR="00D80A9A">
        <w:t>broadening</w:t>
      </w:r>
      <w:r w:rsidR="004A573D">
        <w:t xml:space="preserve"> the scope of the amendment </w:t>
      </w:r>
      <w:r w:rsidR="00D7077E">
        <w:t xml:space="preserve">would </w:t>
      </w:r>
      <w:r w:rsidR="004A573D">
        <w:t xml:space="preserve">avoid any unforeseen </w:t>
      </w:r>
      <w:r w:rsidR="007551EE">
        <w:t xml:space="preserve">effects </w:t>
      </w:r>
      <w:r w:rsidR="004A573D">
        <w:t xml:space="preserve">on </w:t>
      </w:r>
      <w:r w:rsidR="006D4A04">
        <w:t xml:space="preserve">NFP entities </w:t>
      </w:r>
      <w:r w:rsidR="00D7077E">
        <w:t xml:space="preserve">that </w:t>
      </w:r>
      <w:r w:rsidR="0054207E">
        <w:t xml:space="preserve">are </w:t>
      </w:r>
      <w:r w:rsidR="00B65E6C">
        <w:t xml:space="preserve">currently </w:t>
      </w:r>
      <w:r w:rsidR="004A573D">
        <w:t xml:space="preserve">preparing unconsolidated Tier 2 – Reduced Disclosure Requirements GPFS </w:t>
      </w:r>
      <w:r w:rsidR="00D7077E">
        <w:t xml:space="preserve">and that </w:t>
      </w:r>
      <w:r w:rsidR="00B65E6C">
        <w:t xml:space="preserve">might </w:t>
      </w:r>
      <w:r w:rsidR="00D7077E">
        <w:t xml:space="preserve">decide to transition </w:t>
      </w:r>
      <w:r w:rsidR="004A573D">
        <w:t>to consolidated Tier 2 – Simplified Disclosures GPFS.</w:t>
      </w:r>
    </w:p>
    <w:p w14:paraId="68173BAB" w14:textId="6130B08F" w:rsidR="009B3A86" w:rsidRDefault="00B34C84" w:rsidP="00415CFC">
      <w:pPr>
        <w:pStyle w:val="NumPlain1"/>
        <w:numPr>
          <w:ilvl w:val="0"/>
          <w:numId w:val="12"/>
        </w:numPr>
        <w:ind w:left="782" w:hanging="782"/>
      </w:pPr>
      <w:r>
        <w:t>The Board acknowledged this feedback</w:t>
      </w:r>
      <w:r w:rsidR="009B3A86">
        <w:t xml:space="preserve"> </w:t>
      </w:r>
      <w:r w:rsidR="00E45B8A">
        <w:t xml:space="preserve">but </w:t>
      </w:r>
      <w:r w:rsidR="00E075CC">
        <w:t>re</w:t>
      </w:r>
      <w:r w:rsidR="009B3A86">
        <w:t xml:space="preserve">confirmed its view that as NFP entities are not affected by the removal of SPFS and the </w:t>
      </w:r>
      <w:r w:rsidR="00E45B8A">
        <w:t>‘</w:t>
      </w:r>
      <w:r w:rsidR="009B3A86">
        <w:t>reporting entity</w:t>
      </w:r>
      <w:r w:rsidR="00E45B8A">
        <w:t>’</w:t>
      </w:r>
      <w:r w:rsidR="009B3A86">
        <w:t xml:space="preserve"> definition in Australian Accounting Standards at this stage, the</w:t>
      </w:r>
      <w:r w:rsidR="00D145F5">
        <w:t>y</w:t>
      </w:r>
      <w:r w:rsidR="009B3A86">
        <w:t xml:space="preserve"> can continue to consider themselves to be non-reporting entities and prepare </w:t>
      </w:r>
      <w:r w:rsidR="00E45B8A">
        <w:t xml:space="preserve">single-entity </w:t>
      </w:r>
      <w:r w:rsidR="009B3A86">
        <w:t>Tier 2 – Simplified Disclosure</w:t>
      </w:r>
      <w:r w:rsidR="00B31FC0">
        <w:t>s</w:t>
      </w:r>
      <w:r w:rsidR="009B3A86">
        <w:t xml:space="preserve"> GPFS, applying the exemption in AASB 10</w:t>
      </w:r>
      <w:r w:rsidR="00581DC5">
        <w:t>,</w:t>
      </w:r>
      <w:r w:rsidR="009B3A86">
        <w:t xml:space="preserve"> if</w:t>
      </w:r>
      <w:r w:rsidR="00581DC5" w:rsidRPr="00581DC5">
        <w:t xml:space="preserve"> </w:t>
      </w:r>
      <w:r w:rsidR="00581DC5">
        <w:t>appropriate</w:t>
      </w:r>
      <w:r w:rsidR="009B3A86">
        <w:t>.</w:t>
      </w:r>
      <w:r w:rsidR="00764CDB">
        <w:t xml:space="preserve"> </w:t>
      </w:r>
      <w:r w:rsidR="009B3A86">
        <w:t xml:space="preserve">For this reason, the Board decided </w:t>
      </w:r>
      <w:r w:rsidR="00764CDB">
        <w:t xml:space="preserve">no changes to the </w:t>
      </w:r>
      <w:r w:rsidR="00E45B8A">
        <w:t xml:space="preserve">proposed AASB 1053 amendment </w:t>
      </w:r>
      <w:r w:rsidR="00764CDB">
        <w:t>were necessary</w:t>
      </w:r>
      <w:r w:rsidR="009B3A86">
        <w:t>.</w:t>
      </w:r>
    </w:p>
    <w:p w14:paraId="78D65ADF" w14:textId="77777777" w:rsidR="00BD6C70" w:rsidRPr="00326A8E" w:rsidRDefault="00BD6C70" w:rsidP="00954FB6">
      <w:pPr>
        <w:pStyle w:val="IASBSectionTitle2Ind"/>
      </w:pPr>
      <w:r w:rsidRPr="00326A8E">
        <w:t>Effective date</w:t>
      </w:r>
    </w:p>
    <w:p w14:paraId="26C6410B" w14:textId="0BAC1A2E" w:rsidR="00E033B7" w:rsidRPr="00BC0794" w:rsidRDefault="00BD6C70" w:rsidP="00415CFC">
      <w:pPr>
        <w:pStyle w:val="NumBC1"/>
        <w:numPr>
          <w:ilvl w:val="0"/>
          <w:numId w:val="12"/>
        </w:numPr>
        <w:ind w:left="782" w:hanging="782"/>
      </w:pPr>
      <w:r>
        <w:t xml:space="preserve">The Board confirmed </w:t>
      </w:r>
      <w:r w:rsidR="00FD5165">
        <w:t xml:space="preserve">that, </w:t>
      </w:r>
      <w:r>
        <w:t xml:space="preserve">consistent with the effective date of AASB 2020-2 for most entities, the </w:t>
      </w:r>
      <w:r w:rsidR="00C06426">
        <w:t xml:space="preserve">amendments would </w:t>
      </w:r>
      <w:r>
        <w:t>be effective for annual periods ending on or after 30 June 2022</w:t>
      </w:r>
      <w:r w:rsidR="00205AFC">
        <w:t>, with earlier application permitted, as proposed in ED 315</w:t>
      </w:r>
      <w:r>
        <w:t>.</w:t>
      </w:r>
    </w:p>
    <w:sectPr w:rsidR="00E033B7" w:rsidRPr="00BC0794" w:rsidSect="00BD6C70">
      <w:headerReference w:type="default" r:id="rId31"/>
      <w:footerReference w:type="default" r:id="rId32"/>
      <w:headerReference w:type="first" r:id="rId33"/>
      <w:footerReference w:type="first" r:id="rId34"/>
      <w:pgSz w:w="11907" w:h="16840" w:code="9"/>
      <w:pgMar w:top="1418" w:right="1418" w:bottom="1418" w:left="1418" w:header="709" w:footer="70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5F7" w14:textId="77777777" w:rsidR="00FC7932" w:rsidRDefault="00FC7932">
      <w:r>
        <w:separator/>
      </w:r>
    </w:p>
  </w:endnote>
  <w:endnote w:type="continuationSeparator" w:id="0">
    <w:p w14:paraId="5D87EEF0" w14:textId="77777777" w:rsidR="00FC7932" w:rsidRDefault="00FC7932">
      <w:r>
        <w:continuationSeparator/>
      </w:r>
    </w:p>
  </w:endnote>
  <w:endnote w:type="continuationNotice" w:id="1">
    <w:p w14:paraId="18EED5D2" w14:textId="77777777" w:rsidR="00FC7932" w:rsidRDefault="00FC7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DEEF" w14:textId="77777777" w:rsidR="00B22FB2" w:rsidRDefault="00B2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5E6C" w14:textId="77777777" w:rsidR="00B22FB2" w:rsidRDefault="00B22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18DB" w14:textId="77777777" w:rsidR="00B22FB2" w:rsidRDefault="00B22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6CC9" w14:textId="112EA563" w:rsidR="00A96702" w:rsidRDefault="00A96702">
    <w:pPr>
      <w:pStyle w:val="Footer"/>
      <w:rPr>
        <w:b/>
      </w:rPr>
    </w:pPr>
    <w:r>
      <w:rPr>
        <w:b/>
      </w:rPr>
      <w:t xml:space="preserve">AASB </w:t>
    </w:r>
    <w:r w:rsidR="00DF6ECC">
      <w:rPr>
        <w:b/>
      </w:rPr>
      <w:fldChar w:fldCharType="begin" w:fldLock="1"/>
    </w:r>
    <w:r w:rsidR="00DF6ECC">
      <w:rPr>
        <w:b/>
      </w:rPr>
      <w:instrText xml:space="preserve"> REF \* charformat DocNo </w:instrText>
    </w:r>
    <w:r w:rsidR="00DF6ECC">
      <w:rPr>
        <w:b/>
      </w:rPr>
      <w:fldChar w:fldCharType="separate"/>
    </w:r>
    <w:r w:rsidR="00B22FB2" w:rsidRPr="00B22FB2">
      <w:rPr>
        <w:b/>
      </w:rPr>
      <w:t>2022-2</w:t>
    </w:r>
    <w:r w:rsidR="00DF6ECC">
      <w:rPr>
        <w:b/>
      </w:rPr>
      <w:fldChar w:fldCharType="end"/>
    </w:r>
    <w:r>
      <w:rPr>
        <w:b/>
      </w:rPr>
      <w:tab/>
    </w:r>
    <w:r>
      <w:fldChar w:fldCharType="begin"/>
    </w:r>
    <w:r>
      <w:instrText>PAGE</w:instrText>
    </w:r>
    <w:r>
      <w:fldChar w:fldCharType="separate"/>
    </w:r>
    <w:r w:rsidR="00BF0190">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84AD" w14:textId="02787A69" w:rsidR="006A0BC3" w:rsidRDefault="00DA5919">
    <w:pPr>
      <w:pStyle w:val="Footer"/>
      <w:rPr>
        <w:b/>
      </w:rPr>
    </w:pPr>
    <w:r>
      <w:rPr>
        <w:b/>
      </w:rPr>
      <w:t>AASB</w:t>
    </w:r>
    <w:r w:rsidR="006A0BC3" w:rsidRPr="00373196">
      <w:rPr>
        <w:b/>
      </w:rPr>
      <w:t xml:space="preserve"> </w:t>
    </w:r>
    <w:r w:rsidR="006A0BC3">
      <w:rPr>
        <w:b/>
      </w:rPr>
      <w:fldChar w:fldCharType="begin" w:fldLock="1"/>
    </w:r>
    <w:r w:rsidR="006A0BC3">
      <w:rPr>
        <w:b/>
      </w:rPr>
      <w:instrText xml:space="preserve"> REF \* charformat DocNo </w:instrText>
    </w:r>
    <w:r w:rsidR="006A0BC3">
      <w:rPr>
        <w:b/>
      </w:rPr>
      <w:fldChar w:fldCharType="separate"/>
    </w:r>
    <w:r w:rsidR="00B22FB2" w:rsidRPr="00B22FB2">
      <w:rPr>
        <w:b/>
      </w:rPr>
      <w:t>2022-2</w:t>
    </w:r>
    <w:r w:rsidR="006A0BC3">
      <w:rPr>
        <w:b/>
      </w:rPr>
      <w:fldChar w:fldCharType="end"/>
    </w:r>
    <w:r w:rsidR="006A0BC3">
      <w:rPr>
        <w:b/>
      </w:rPr>
      <w:tab/>
    </w:r>
    <w:r w:rsidR="006A0BC3">
      <w:fldChar w:fldCharType="begin"/>
    </w:r>
    <w:r w:rsidR="006A0BC3">
      <w:instrText>PAGE</w:instrText>
    </w:r>
    <w:r w:rsidR="006A0BC3">
      <w:fldChar w:fldCharType="separate"/>
    </w:r>
    <w:r w:rsidR="006A0BC3">
      <w:rPr>
        <w:noProof/>
      </w:rPr>
      <w:t>8</w:t>
    </w:r>
    <w:r w:rsidR="006A0BC3">
      <w:fldChar w:fldCharType="end"/>
    </w:r>
    <w:r w:rsidR="006A0BC3">
      <w:tab/>
    </w:r>
    <w:r w:rsidR="006A0BC3">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07A" w14:textId="247AE2F5" w:rsidR="00BD6C70" w:rsidRDefault="00863A31">
    <w:pPr>
      <w:pStyle w:val="Footer"/>
      <w:rPr>
        <w:b/>
      </w:rPr>
    </w:pPr>
    <w:r>
      <w:rPr>
        <w:b/>
      </w:rPr>
      <w:t xml:space="preserve">AASB </w:t>
    </w:r>
    <w:r w:rsidR="00BD6C70">
      <w:rPr>
        <w:b/>
      </w:rPr>
      <w:fldChar w:fldCharType="begin" w:fldLock="1"/>
    </w:r>
    <w:r w:rsidR="00BD6C70">
      <w:rPr>
        <w:b/>
      </w:rPr>
      <w:instrText xml:space="preserve"> REF \* charformat DocNo </w:instrText>
    </w:r>
    <w:r w:rsidR="00BD6C70">
      <w:rPr>
        <w:b/>
      </w:rPr>
      <w:fldChar w:fldCharType="separate"/>
    </w:r>
    <w:r w:rsidR="00B22FB2" w:rsidRPr="00B22FB2">
      <w:rPr>
        <w:b/>
      </w:rPr>
      <w:t>2022-2</w:t>
    </w:r>
    <w:r w:rsidR="00BD6C70">
      <w:rPr>
        <w:b/>
      </w:rPr>
      <w:fldChar w:fldCharType="end"/>
    </w:r>
    <w:r w:rsidR="00BD6C70">
      <w:rPr>
        <w:b/>
      </w:rPr>
      <w:tab/>
    </w:r>
    <w:r w:rsidR="00BD6C70">
      <w:fldChar w:fldCharType="begin"/>
    </w:r>
    <w:r w:rsidR="00BD6C70">
      <w:instrText>PAGE</w:instrText>
    </w:r>
    <w:r w:rsidR="00BD6C70">
      <w:fldChar w:fldCharType="separate"/>
    </w:r>
    <w:r w:rsidR="00BD6C70">
      <w:rPr>
        <w:noProof/>
      </w:rPr>
      <w:t>9</w:t>
    </w:r>
    <w:r w:rsidR="00BD6C70">
      <w:fldChar w:fldCharType="end"/>
    </w:r>
    <w:r w:rsidR="00BD6C70">
      <w:tab/>
    </w:r>
    <w:r w:rsidR="00BD6C70">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CD1D" w14:textId="7825A595" w:rsidR="00BD6C70" w:rsidRDefault="00863A31">
    <w:pPr>
      <w:pStyle w:val="Footer"/>
      <w:rPr>
        <w:b/>
      </w:rPr>
    </w:pPr>
    <w:r>
      <w:rPr>
        <w:b/>
      </w:rPr>
      <w:t xml:space="preserve">AASB </w:t>
    </w:r>
    <w:r w:rsidR="00BD6C70">
      <w:rPr>
        <w:b/>
      </w:rPr>
      <w:fldChar w:fldCharType="begin" w:fldLock="1"/>
    </w:r>
    <w:r w:rsidR="00BD6C70">
      <w:rPr>
        <w:b/>
      </w:rPr>
      <w:instrText xml:space="preserve"> REF \* charformat DocNo </w:instrText>
    </w:r>
    <w:r w:rsidR="00BD6C70">
      <w:rPr>
        <w:b/>
      </w:rPr>
      <w:fldChar w:fldCharType="separate"/>
    </w:r>
    <w:r w:rsidR="00B22FB2" w:rsidRPr="00B22FB2">
      <w:rPr>
        <w:b/>
      </w:rPr>
      <w:t>2022-2</w:t>
    </w:r>
    <w:r w:rsidR="00BD6C70">
      <w:rPr>
        <w:b/>
      </w:rPr>
      <w:fldChar w:fldCharType="end"/>
    </w:r>
    <w:r w:rsidR="00BD6C70">
      <w:rPr>
        <w:b/>
      </w:rPr>
      <w:tab/>
    </w:r>
    <w:r w:rsidR="00BD6C70">
      <w:fldChar w:fldCharType="begin"/>
    </w:r>
    <w:r w:rsidR="00BD6C70">
      <w:instrText>PAGE</w:instrText>
    </w:r>
    <w:r w:rsidR="00BD6C70">
      <w:fldChar w:fldCharType="separate"/>
    </w:r>
    <w:r w:rsidR="00BD6C70">
      <w:rPr>
        <w:noProof/>
      </w:rPr>
      <w:t>14</w:t>
    </w:r>
    <w:r w:rsidR="00BD6C70">
      <w:fldChar w:fldCharType="end"/>
    </w:r>
    <w:r w:rsidR="00BD6C70">
      <w:tab/>
    </w:r>
    <w:r w:rsidR="00BD6C70">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474D" w14:textId="3CC68DF7" w:rsidR="00A96702" w:rsidRDefault="00A96702">
    <w:pPr>
      <w:pStyle w:val="Footer"/>
      <w:rPr>
        <w:b/>
      </w:rPr>
    </w:pPr>
    <w:r>
      <w:rPr>
        <w:b/>
      </w:rPr>
      <w:t xml:space="preserve">AASB </w:t>
    </w:r>
    <w:r w:rsidR="00B22FB2">
      <w:rPr>
        <w:b/>
      </w:rPr>
      <w:fldChar w:fldCharType="begin" w:fldLock="1"/>
    </w:r>
    <w:r w:rsidR="00B22FB2">
      <w:rPr>
        <w:b/>
      </w:rPr>
      <w:instrText xml:space="preserve"> REF \* charformat DocNo </w:instrText>
    </w:r>
    <w:r w:rsidR="00B22FB2">
      <w:rPr>
        <w:b/>
      </w:rPr>
      <w:fldChar w:fldCharType="separate"/>
    </w:r>
    <w:r w:rsidR="00B22FB2" w:rsidRPr="00B22FB2">
      <w:rPr>
        <w:b/>
      </w:rPr>
      <w:t>2022-2</w:t>
    </w:r>
    <w:r w:rsidR="00B22FB2">
      <w:rPr>
        <w:b/>
      </w:rPr>
      <w:fldChar w:fldCharType="end"/>
    </w:r>
    <w:r>
      <w:rPr>
        <w:b/>
      </w:rPr>
      <w:tab/>
    </w:r>
    <w:r>
      <w:fldChar w:fldCharType="begin"/>
    </w:r>
    <w:r>
      <w:instrText>PAGE</w:instrText>
    </w:r>
    <w:r>
      <w:fldChar w:fldCharType="separate"/>
    </w:r>
    <w:r w:rsidR="00BF0190">
      <w:rPr>
        <w:noProof/>
      </w:rPr>
      <w:t>5</w:t>
    </w:r>
    <w:r>
      <w:fldChar w:fldCharType="end"/>
    </w:r>
    <w:r>
      <w:tab/>
    </w:r>
    <w:r w:rsidR="00D140D6" w:rsidRPr="00D140D6">
      <w:rPr>
        <w:b/>
        <w:bCs/>
      </w:rPr>
      <w:t>BASIS FOR CONCLUSIONS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A58"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1171" w14:textId="77777777" w:rsidR="00FC7932" w:rsidRDefault="00FC7932">
      <w:r>
        <w:separator/>
      </w:r>
    </w:p>
  </w:footnote>
  <w:footnote w:type="continuationSeparator" w:id="0">
    <w:p w14:paraId="771901A3" w14:textId="77777777" w:rsidR="00FC7932" w:rsidRDefault="00FC7932">
      <w:r>
        <w:continuationSeparator/>
      </w:r>
    </w:p>
  </w:footnote>
  <w:footnote w:type="continuationNotice" w:id="1">
    <w:p w14:paraId="39F522A4" w14:textId="77777777" w:rsidR="00FC7932" w:rsidRDefault="00FC7932"/>
  </w:footnote>
  <w:footnote w:id="2">
    <w:p w14:paraId="24286906" w14:textId="77777777" w:rsidR="00BD6C70" w:rsidRPr="008971FB" w:rsidRDefault="00BD6C70" w:rsidP="00BD6C70">
      <w:pPr>
        <w:pStyle w:val="FootnoteText"/>
      </w:pPr>
      <w:r w:rsidRPr="007155ED">
        <w:rPr>
          <w:rStyle w:val="FootnoteReference"/>
          <w:vertAlign w:val="baseline"/>
        </w:rPr>
        <w:footnoteRef/>
      </w:r>
      <w:r w:rsidRPr="008971FB">
        <w:t xml:space="preserve"> </w:t>
      </w:r>
      <w:r w:rsidRPr="008971FB">
        <w:tab/>
        <w:t>IFRS 1 Basis for Conclusions, paragraphs BC59–BC62.</w:t>
      </w:r>
    </w:p>
  </w:footnote>
  <w:footnote w:id="3">
    <w:p w14:paraId="3D51D9B4" w14:textId="1879FA91" w:rsidR="00BD6C70" w:rsidRPr="00657436" w:rsidRDefault="00BD6C70" w:rsidP="00BD6C70">
      <w:pPr>
        <w:pStyle w:val="FootnoteText"/>
      </w:pPr>
      <w:r w:rsidRPr="00C66BB6">
        <w:rPr>
          <w:rStyle w:val="FootnoteReference"/>
          <w:vertAlign w:val="baseline"/>
        </w:rPr>
        <w:footnoteRef/>
      </w:r>
      <w:r w:rsidRPr="003F6D67">
        <w:t xml:space="preserve"> </w:t>
      </w:r>
      <w:r w:rsidRPr="003F6D67">
        <w:tab/>
      </w:r>
      <w:r w:rsidRPr="00657436">
        <w:t>AASB 2020-2</w:t>
      </w:r>
      <w:r>
        <w:t xml:space="preserve"> </w:t>
      </w:r>
      <w:r w:rsidR="003F6D67">
        <w:t xml:space="preserve">Basis for Conclusions, </w:t>
      </w:r>
      <w:r>
        <w:t xml:space="preserve">paragraph </w:t>
      </w:r>
      <w:r w:rsidRPr="00657436">
        <w:t>BC142</w:t>
      </w:r>
      <w:r w:rsidR="003F6D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6D85" w14:textId="77777777" w:rsidR="00B22FB2" w:rsidRDefault="00B22F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0796" w14:textId="50734647" w:rsidR="00BD6C70" w:rsidRDefault="00BD6C70">
    <w:pPr>
      <w:pStyle w:val="Header"/>
    </w:pPr>
    <w:r>
      <w:rPr>
        <w:noProof/>
      </w:rPr>
      <mc:AlternateContent>
        <mc:Choice Requires="wps">
          <w:drawing>
            <wp:anchor distT="0" distB="0" distL="114300" distR="114300" simplePos="0" relativeHeight="251658244" behindDoc="1" locked="0" layoutInCell="0" allowOverlap="1" wp14:anchorId="10CE4E15" wp14:editId="73EFC55C">
              <wp:simplePos x="0" y="0"/>
              <wp:positionH relativeFrom="margin">
                <wp:align>center</wp:align>
              </wp:positionH>
              <wp:positionV relativeFrom="margin">
                <wp:align>center</wp:align>
              </wp:positionV>
              <wp:extent cx="7414260" cy="706120"/>
              <wp:effectExtent l="0" t="2352675" r="0" b="24085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1F27C"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CE4E15" id="_x0000_t202" coordsize="21600,21600" o:spt="202" path="m,l,21600r21600,l21600,xe">
              <v:stroke joinstyle="miter"/>
              <v:path gradientshapeok="t" o:connecttype="rect"/>
            </v:shapetype>
            <v:shape id="Text Box 4" o:spid="_x0000_s1030" type="#_x0000_t202" style="position:absolute;left:0;text-align:left;margin-left:0;margin-top:0;width:583.8pt;height:5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" o:allowincell="f" filled="f" stroked="f">
              <v:stroke joinstyle="round"/>
              <o:lock v:ext="edit" shapetype="t"/>
              <v:textbox style="mso-fit-shape-to-text:t">
                <w:txbxContent>
                  <w:p w14:paraId="06D1F27C"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F0CB" w14:textId="77777777" w:rsidR="00BD6C70" w:rsidRPr="00806F31" w:rsidRDefault="00BD6C70" w:rsidP="00806F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5573" w14:textId="106539DF" w:rsidR="00BD6C70" w:rsidRDefault="00BD6C70">
    <w:pPr>
      <w:pStyle w:val="Header"/>
    </w:pPr>
    <w:r>
      <w:rPr>
        <w:noProof/>
      </w:rPr>
      <mc:AlternateContent>
        <mc:Choice Requires="wps">
          <w:drawing>
            <wp:anchor distT="0" distB="0" distL="114300" distR="114300" simplePos="0" relativeHeight="251658245" behindDoc="1" locked="0" layoutInCell="0" allowOverlap="1" wp14:anchorId="5596420F" wp14:editId="5B20B24E">
              <wp:simplePos x="0" y="0"/>
              <wp:positionH relativeFrom="margin">
                <wp:align>center</wp:align>
              </wp:positionH>
              <wp:positionV relativeFrom="margin">
                <wp:align>center</wp:align>
              </wp:positionV>
              <wp:extent cx="7414260" cy="706120"/>
              <wp:effectExtent l="0" t="2352675" r="0" b="2408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784C8E"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6420F" id="_x0000_t202" coordsize="21600,21600" o:spt="202" path="m,l,21600r21600,l21600,xe">
              <v:stroke joinstyle="miter"/>
              <v:path gradientshapeok="t" o:connecttype="rect"/>
            </v:shapetype>
            <v:shape id="Text Box 3" o:spid="_x0000_s1031" type="#_x0000_t202" style="position:absolute;left:0;text-align:left;margin-left:0;margin-top:0;width:583.8pt;height:5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" o:allowincell="f" filled="f" stroked="f">
              <v:stroke joinstyle="round"/>
              <o:lock v:ext="edit" shapetype="t"/>
              <v:textbox style="mso-fit-shape-to-text:t">
                <w:txbxContent>
                  <w:p w14:paraId="51784C8E"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9BCB" w14:textId="77777777" w:rsidR="00A96702" w:rsidRDefault="00A967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6EC9" w14:textId="77777777" w:rsidR="00A96702" w:rsidRDefault="00A9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8F9" w14:textId="77777777" w:rsidR="00B22FB2" w:rsidRDefault="00B22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55E4" w14:textId="77777777" w:rsidR="00B22FB2" w:rsidRDefault="00B22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64E7" w14:textId="3AC3F347" w:rsidR="006A0BC3" w:rsidRDefault="006A0BC3">
    <w:pPr>
      <w:pStyle w:val="Header"/>
    </w:pPr>
    <w:r>
      <w:rPr>
        <w:noProof/>
      </w:rPr>
      <mc:AlternateContent>
        <mc:Choice Requires="wps">
          <w:drawing>
            <wp:anchor distT="0" distB="0" distL="114300" distR="114300" simplePos="0" relativeHeight="251658240" behindDoc="1" locked="0" layoutInCell="0" allowOverlap="1" wp14:anchorId="4E4C84C4" wp14:editId="452F184C">
              <wp:simplePos x="0" y="0"/>
              <wp:positionH relativeFrom="margin">
                <wp:align>center</wp:align>
              </wp:positionH>
              <wp:positionV relativeFrom="margin">
                <wp:align>center</wp:align>
              </wp:positionV>
              <wp:extent cx="7414260" cy="706120"/>
              <wp:effectExtent l="0" t="2352675" r="0" b="24085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C40205" w14:textId="77777777" w:rsidR="006A0BC3" w:rsidRDefault="006A0BC3" w:rsidP="006A0BC3">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C84C4" id="_x0000_t202" coordsize="21600,21600" o:spt="202" path="m,l,21600r21600,l21600,xe">
              <v:stroke joinstyle="miter"/>
              <v:path gradientshapeok="t" o:connecttype="rect"/>
            </v:shapetype>
            <v:shape id="Text Box 2" o:spid="_x0000_s1026" type="#_x0000_t202" style="position:absolute;left:0;text-align:left;margin-left:0;margin-top:0;width:583.8pt;height:55.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" o:allowincell="f" filled="f" stroked="f">
              <v:stroke joinstyle="round"/>
              <o:lock v:ext="edit" shapetype="t"/>
              <v:textbox style="mso-fit-shape-to-text:t">
                <w:txbxContent>
                  <w:p w14:paraId="5BC40205" w14:textId="77777777" w:rsidR="006A0BC3" w:rsidRDefault="006A0BC3" w:rsidP="006A0BC3">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3744" w14:textId="77777777" w:rsidR="006A0BC3" w:rsidRPr="00806F31" w:rsidRDefault="006A0BC3" w:rsidP="00806F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BC50" w14:textId="694E7A23" w:rsidR="006A0BC3" w:rsidRDefault="006A0BC3">
    <w:pPr>
      <w:pStyle w:val="Header"/>
    </w:pPr>
    <w:r>
      <w:rPr>
        <w:noProof/>
      </w:rPr>
      <mc:AlternateContent>
        <mc:Choice Requires="wps">
          <w:drawing>
            <wp:anchor distT="0" distB="0" distL="114300" distR="114300" simplePos="0" relativeHeight="251658241" behindDoc="1" locked="0" layoutInCell="0" allowOverlap="1" wp14:anchorId="688E33DC" wp14:editId="0340D595">
              <wp:simplePos x="0" y="0"/>
              <wp:positionH relativeFrom="margin">
                <wp:align>center</wp:align>
              </wp:positionH>
              <wp:positionV relativeFrom="margin">
                <wp:align>center</wp:align>
              </wp:positionV>
              <wp:extent cx="7414260" cy="706120"/>
              <wp:effectExtent l="0" t="2352675" r="0" b="24085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2C9AD" w14:textId="77777777" w:rsidR="006A0BC3" w:rsidRDefault="006A0BC3" w:rsidP="006A0BC3">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8E33DC" id="_x0000_t202" coordsize="21600,21600" o:spt="202" path="m,l,21600r21600,l21600,xe">
              <v:stroke joinstyle="miter"/>
              <v:path gradientshapeok="t" o:connecttype="rect"/>
            </v:shapetype>
            <v:shape id="Text Box 1" o:spid="_x0000_s1027" type="#_x0000_t202" style="position:absolute;left:0;text-align:left;margin-left:0;margin-top:0;width:583.8pt;height:55.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" o:allowincell="f" filled="f" stroked="f">
              <v:stroke joinstyle="round"/>
              <o:lock v:ext="edit" shapetype="t"/>
              <v:textbox style="mso-fit-shape-to-text:t">
                <w:txbxContent>
                  <w:p w14:paraId="7332C9AD" w14:textId="77777777" w:rsidR="006A0BC3" w:rsidRDefault="006A0BC3" w:rsidP="006A0BC3">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2FC4" w14:textId="73D4B342" w:rsidR="00BD6C70" w:rsidRDefault="00BD6C70">
    <w:pPr>
      <w:pStyle w:val="Header"/>
    </w:pPr>
    <w:r>
      <w:rPr>
        <w:noProof/>
      </w:rPr>
      <mc:AlternateContent>
        <mc:Choice Requires="wps">
          <w:drawing>
            <wp:anchor distT="0" distB="0" distL="114300" distR="114300" simplePos="0" relativeHeight="251658242" behindDoc="1" locked="0" layoutInCell="0" allowOverlap="1" wp14:anchorId="0819B605" wp14:editId="4C805F4C">
              <wp:simplePos x="0" y="0"/>
              <wp:positionH relativeFrom="margin">
                <wp:align>center</wp:align>
              </wp:positionH>
              <wp:positionV relativeFrom="margin">
                <wp:align>center</wp:align>
              </wp:positionV>
              <wp:extent cx="7414260" cy="706120"/>
              <wp:effectExtent l="0" t="2352675" r="0" b="24085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7870D9"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19B605" id="_x0000_t202" coordsize="21600,21600" o:spt="202" path="m,l,21600r21600,l21600,xe">
              <v:stroke joinstyle="miter"/>
              <v:path gradientshapeok="t" o:connecttype="rect"/>
            </v:shapetype>
            <v:shape id="Text Box 7" o:spid="_x0000_s1028" type="#_x0000_t202" style="position:absolute;left:0;text-align:left;margin-left:0;margin-top:0;width:583.8pt;height:55.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" o:allowincell="f" filled="f" stroked="f">
              <v:stroke joinstyle="round"/>
              <o:lock v:ext="edit" shapetype="t"/>
              <v:textbox style="mso-fit-shape-to-text:t">
                <w:txbxContent>
                  <w:p w14:paraId="757870D9"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826E" w14:textId="77777777" w:rsidR="00BD6C70" w:rsidRPr="00806F31" w:rsidRDefault="00BD6C70" w:rsidP="00806F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AC1A" w14:textId="437F2B99" w:rsidR="00BD6C70" w:rsidRDefault="00BD6C70">
    <w:pPr>
      <w:pStyle w:val="Header"/>
    </w:pPr>
    <w:r>
      <w:rPr>
        <w:noProof/>
      </w:rPr>
      <mc:AlternateContent>
        <mc:Choice Requires="wps">
          <w:drawing>
            <wp:anchor distT="0" distB="0" distL="114300" distR="114300" simplePos="0" relativeHeight="251658243" behindDoc="1" locked="0" layoutInCell="0" allowOverlap="1" wp14:anchorId="5D68994F" wp14:editId="2A636DFC">
              <wp:simplePos x="0" y="0"/>
              <wp:positionH relativeFrom="margin">
                <wp:align>center</wp:align>
              </wp:positionH>
              <wp:positionV relativeFrom="margin">
                <wp:align>center</wp:align>
              </wp:positionV>
              <wp:extent cx="7414260" cy="706120"/>
              <wp:effectExtent l="0" t="2352675" r="0" b="24085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14260" cy="706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74C83"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68994F" id="_x0000_t202" coordsize="21600,21600" o:spt="202" path="m,l,21600r21600,l21600,xe">
              <v:stroke joinstyle="miter"/>
              <v:path gradientshapeok="t" o:connecttype="rect"/>
            </v:shapetype>
            <v:shape id="Text Box 6" o:spid="_x0000_s1029" type="#_x0000_t202" style="position:absolute;left:0;text-align:left;margin-left:0;margin-top:0;width:583.8pt;height:5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" o:allowincell="f" filled="f" stroked="f">
              <v:stroke joinstyle="round"/>
              <o:lock v:ext="edit" shapetype="t"/>
              <v:textbox style="mso-fit-shape-to-text:t">
                <w:txbxContent>
                  <w:p w14:paraId="24D74C83" w14:textId="77777777" w:rsidR="00BD6C70" w:rsidRDefault="00BD6C70" w:rsidP="00BD6C70">
                    <w:pPr>
                      <w:jc w:val="center"/>
                      <w:rPr>
                        <w:color w:val="BFBFBF" w:themeColor="background1" w:themeShade="BF"/>
                        <w:sz w:val="2"/>
                        <w:szCs w:val="2"/>
                        <w14:textFill>
                          <w14:solidFill>
                            <w14:schemeClr w14:val="bg1">
                              <w14:alpha w14:val="50000"/>
                              <w14:lumMod w14:val="75000"/>
                            </w14:schemeClr>
                          </w14:solidFill>
                        </w14:textFill>
                      </w:rPr>
                    </w:pPr>
                    <w:r>
                      <w:rPr>
                        <w:color w:val="BFBFBF" w:themeColor="background1" w:themeShade="BF"/>
                        <w:sz w:val="2"/>
                        <w:szCs w:val="2"/>
                        <w14:textFill>
                          <w14:solidFill>
                            <w14:schemeClr w14:val="bg1">
                              <w14:alpha w14:val="50000"/>
                              <w14:lumMod w14:val="75000"/>
                            </w14:schemeClr>
                          </w14:solidFill>
                        </w14:textFill>
                      </w:rPr>
                      <w:t>Pre-ballot draft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06A1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13AD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3" w15:restartNumberingAfterBreak="0">
    <w:nsid w:val="03F92581"/>
    <w:multiLevelType w:val="multilevel"/>
    <w:tmpl w:val="AD5ABFF2"/>
    <w:numStyleLink w:val="AASBSubNumbers"/>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150D4B2F"/>
    <w:multiLevelType w:val="hybridMultilevel"/>
    <w:tmpl w:val="528E8356"/>
    <w:lvl w:ilvl="0" w:tplc="7FAC5B42">
      <w:start w:val="1"/>
      <w:numFmt w:val="lowerLetter"/>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6"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7842C3"/>
    <w:multiLevelType w:val="hybridMultilevel"/>
    <w:tmpl w:val="C41E4EFC"/>
    <w:lvl w:ilvl="0" w:tplc="1D4EBE58">
      <w:start w:val="1"/>
      <w:numFmt w:val="decimal"/>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0" w15:restartNumberingAfterBreak="0">
    <w:nsid w:val="4B814697"/>
    <w:multiLevelType w:val="hybridMultilevel"/>
    <w:tmpl w:val="528E8356"/>
    <w:lvl w:ilvl="0" w:tplc="7FAC5B42">
      <w:start w:val="1"/>
      <w:numFmt w:val="lowerLetter"/>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715851"/>
    <w:multiLevelType w:val="hybridMultilevel"/>
    <w:tmpl w:val="528E8356"/>
    <w:lvl w:ilvl="0" w:tplc="7FAC5B42">
      <w:start w:val="1"/>
      <w:numFmt w:val="lowerLetter"/>
      <w:lvlText w:val="(%1)"/>
      <w:lvlJc w:val="left"/>
      <w:pPr>
        <w:ind w:left="1142" w:hanging="360"/>
      </w:pPr>
      <w:rPr>
        <w:rFonts w:hint="default"/>
      </w:rPr>
    </w:lvl>
    <w:lvl w:ilvl="1" w:tplc="0C090019">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3" w15:restartNumberingAfterBreak="0">
    <w:nsid w:val="60BC6225"/>
    <w:multiLevelType w:val="hybridMultilevel"/>
    <w:tmpl w:val="B13CBF6C"/>
    <w:lvl w:ilvl="0" w:tplc="246811D6">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5366577">
    <w:abstractNumId w:val="14"/>
  </w:num>
  <w:num w:numId="2" w16cid:durableId="960381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294087">
    <w:abstractNumId w:val="16"/>
  </w:num>
  <w:num w:numId="4" w16cid:durableId="979187241">
    <w:abstractNumId w:val="4"/>
  </w:num>
  <w:num w:numId="5" w16cid:durableId="2118327723">
    <w:abstractNumId w:val="6"/>
  </w:num>
  <w:num w:numId="6" w16cid:durableId="1910144502">
    <w:abstractNumId w:val="15"/>
  </w:num>
  <w:num w:numId="7" w16cid:durableId="422576885">
    <w:abstractNumId w:val="7"/>
  </w:num>
  <w:num w:numId="8" w16cid:durableId="1272009146">
    <w:abstractNumId w:val="9"/>
  </w:num>
  <w:num w:numId="9" w16cid:durableId="629824089">
    <w:abstractNumId w:val="3"/>
  </w:num>
  <w:num w:numId="10" w16cid:durableId="1372808325">
    <w:abstractNumId w:val="2"/>
  </w:num>
  <w:num w:numId="11" w16cid:durableId="761030366">
    <w:abstractNumId w:val="11"/>
  </w:num>
  <w:num w:numId="12" w16cid:durableId="1785492360">
    <w:abstractNumId w:val="8"/>
  </w:num>
  <w:num w:numId="13" w16cid:durableId="744571662">
    <w:abstractNumId w:val="13"/>
  </w:num>
  <w:num w:numId="14" w16cid:durableId="1344699662">
    <w:abstractNumId w:val="10"/>
  </w:num>
  <w:num w:numId="15" w16cid:durableId="1776630151">
    <w:abstractNumId w:val="5"/>
  </w:num>
  <w:num w:numId="16" w16cid:durableId="226381035">
    <w:abstractNumId w:val="12"/>
  </w:num>
  <w:num w:numId="17" w16cid:durableId="99758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535137">
    <w:abstractNumId w:val="4"/>
  </w:num>
  <w:num w:numId="19" w16cid:durableId="1595044202">
    <w:abstractNumId w:val="4"/>
  </w:num>
  <w:num w:numId="20" w16cid:durableId="1646205900">
    <w:abstractNumId w:val="4"/>
  </w:num>
  <w:num w:numId="21" w16cid:durableId="1061053558">
    <w:abstractNumId w:val="4"/>
  </w:num>
  <w:num w:numId="22" w16cid:durableId="397167458">
    <w:abstractNumId w:val="4"/>
  </w:num>
  <w:num w:numId="23" w16cid:durableId="708266917">
    <w:abstractNumId w:val="4"/>
  </w:num>
  <w:num w:numId="24" w16cid:durableId="945847596">
    <w:abstractNumId w:val="4"/>
  </w:num>
  <w:num w:numId="25" w16cid:durableId="1129858240">
    <w:abstractNumId w:val="1"/>
  </w:num>
  <w:num w:numId="26" w16cid:durableId="807208679">
    <w:abstractNumId w:val="0"/>
  </w:num>
  <w:num w:numId="27" w16cid:durableId="1504316887">
    <w:abstractNumId w:val="4"/>
  </w:num>
  <w:num w:numId="28" w16cid:durableId="545680274">
    <w:abstractNumId w:val="14"/>
  </w:num>
  <w:num w:numId="29" w16cid:durableId="1888906316">
    <w:abstractNumId w:val="14"/>
  </w:num>
  <w:num w:numId="30" w16cid:durableId="335574288">
    <w:abstractNumId w:val="4"/>
  </w:num>
  <w:num w:numId="31" w16cid:durableId="1673533473">
    <w:abstractNumId w:val="4"/>
  </w:num>
  <w:num w:numId="32" w16cid:durableId="1884439662">
    <w:abstractNumId w:val="4"/>
  </w:num>
  <w:num w:numId="33" w16cid:durableId="1446147011">
    <w:abstractNumId w:val="4"/>
  </w:num>
  <w:num w:numId="34" w16cid:durableId="27920778">
    <w:abstractNumId w:val="4"/>
  </w:num>
  <w:num w:numId="35" w16cid:durableId="1037008570">
    <w:abstractNumId w:val="14"/>
  </w:num>
  <w:num w:numId="36" w16cid:durableId="1568615026">
    <w:abstractNumId w:val="14"/>
  </w:num>
  <w:num w:numId="37" w16cid:durableId="1027607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708625">
    <w:abstractNumId w:val="14"/>
  </w:num>
  <w:num w:numId="39" w16cid:durableId="512958424">
    <w:abstractNumId w:val="14"/>
  </w:num>
  <w:num w:numId="40" w16cid:durableId="1150167887">
    <w:abstractNumId w:val="14"/>
  </w:num>
  <w:num w:numId="41" w16cid:durableId="1855531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zewNDcxNDCyMDBV0lEKTi0uzszPAykwNKkFAL0gijItAAAA"/>
  </w:docVars>
  <w:rsids>
    <w:rsidRoot w:val="00E54193"/>
    <w:rsid w:val="00001334"/>
    <w:rsid w:val="00001C18"/>
    <w:rsid w:val="0000261E"/>
    <w:rsid w:val="0000292B"/>
    <w:rsid w:val="00014C3C"/>
    <w:rsid w:val="000151B6"/>
    <w:rsid w:val="00016FCF"/>
    <w:rsid w:val="00021BEC"/>
    <w:rsid w:val="00027E8B"/>
    <w:rsid w:val="00031C56"/>
    <w:rsid w:val="0003692E"/>
    <w:rsid w:val="00037146"/>
    <w:rsid w:val="0003773D"/>
    <w:rsid w:val="00041402"/>
    <w:rsid w:val="0004455B"/>
    <w:rsid w:val="00047D5D"/>
    <w:rsid w:val="0005125B"/>
    <w:rsid w:val="00052469"/>
    <w:rsid w:val="0005278C"/>
    <w:rsid w:val="000574C4"/>
    <w:rsid w:val="00061CD2"/>
    <w:rsid w:val="000625F2"/>
    <w:rsid w:val="000634A6"/>
    <w:rsid w:val="0007176F"/>
    <w:rsid w:val="00072222"/>
    <w:rsid w:val="00074133"/>
    <w:rsid w:val="000812F8"/>
    <w:rsid w:val="00090A6F"/>
    <w:rsid w:val="000910AD"/>
    <w:rsid w:val="00092EBA"/>
    <w:rsid w:val="00095302"/>
    <w:rsid w:val="00096027"/>
    <w:rsid w:val="000A0332"/>
    <w:rsid w:val="000A0859"/>
    <w:rsid w:val="000A45B3"/>
    <w:rsid w:val="000B044E"/>
    <w:rsid w:val="000B436C"/>
    <w:rsid w:val="000B733C"/>
    <w:rsid w:val="000C0B03"/>
    <w:rsid w:val="000C30EE"/>
    <w:rsid w:val="000C3EB0"/>
    <w:rsid w:val="000C77A6"/>
    <w:rsid w:val="000C7DCF"/>
    <w:rsid w:val="000D1E2C"/>
    <w:rsid w:val="000D2528"/>
    <w:rsid w:val="000D46B9"/>
    <w:rsid w:val="000D7B40"/>
    <w:rsid w:val="000E7D12"/>
    <w:rsid w:val="000F2AE2"/>
    <w:rsid w:val="000F3CB1"/>
    <w:rsid w:val="000F5E00"/>
    <w:rsid w:val="000F64CC"/>
    <w:rsid w:val="00110B96"/>
    <w:rsid w:val="001113DE"/>
    <w:rsid w:val="001162C5"/>
    <w:rsid w:val="001206CF"/>
    <w:rsid w:val="00122A6B"/>
    <w:rsid w:val="0012704C"/>
    <w:rsid w:val="0012772B"/>
    <w:rsid w:val="001364BF"/>
    <w:rsid w:val="001424F1"/>
    <w:rsid w:val="00142A6F"/>
    <w:rsid w:val="00150CCD"/>
    <w:rsid w:val="00151DC2"/>
    <w:rsid w:val="00155960"/>
    <w:rsid w:val="00155FCC"/>
    <w:rsid w:val="00156158"/>
    <w:rsid w:val="00157EE3"/>
    <w:rsid w:val="001662B8"/>
    <w:rsid w:val="00171F51"/>
    <w:rsid w:val="001761C6"/>
    <w:rsid w:val="00183480"/>
    <w:rsid w:val="00185F07"/>
    <w:rsid w:val="00186257"/>
    <w:rsid w:val="001864D4"/>
    <w:rsid w:val="0019286F"/>
    <w:rsid w:val="0019531A"/>
    <w:rsid w:val="001957E1"/>
    <w:rsid w:val="001963DA"/>
    <w:rsid w:val="0019708D"/>
    <w:rsid w:val="001A14B7"/>
    <w:rsid w:val="001A4555"/>
    <w:rsid w:val="001A6F6D"/>
    <w:rsid w:val="001B0BDE"/>
    <w:rsid w:val="001B2246"/>
    <w:rsid w:val="001B33A5"/>
    <w:rsid w:val="001B53E4"/>
    <w:rsid w:val="001C225F"/>
    <w:rsid w:val="001D095D"/>
    <w:rsid w:val="001D1028"/>
    <w:rsid w:val="001D2140"/>
    <w:rsid w:val="001D2C23"/>
    <w:rsid w:val="001D5624"/>
    <w:rsid w:val="001D649D"/>
    <w:rsid w:val="001E0711"/>
    <w:rsid w:val="001E2502"/>
    <w:rsid w:val="001F187A"/>
    <w:rsid w:val="001F41B7"/>
    <w:rsid w:val="001F78DF"/>
    <w:rsid w:val="00201A99"/>
    <w:rsid w:val="00205AFC"/>
    <w:rsid w:val="00207F58"/>
    <w:rsid w:val="0022022E"/>
    <w:rsid w:val="00234B56"/>
    <w:rsid w:val="00237677"/>
    <w:rsid w:val="00246598"/>
    <w:rsid w:val="00247095"/>
    <w:rsid w:val="002543C4"/>
    <w:rsid w:val="00254B16"/>
    <w:rsid w:val="00256183"/>
    <w:rsid w:val="0025677F"/>
    <w:rsid w:val="00260767"/>
    <w:rsid w:val="0026776C"/>
    <w:rsid w:val="00267F82"/>
    <w:rsid w:val="002703F5"/>
    <w:rsid w:val="002729D1"/>
    <w:rsid w:val="00273590"/>
    <w:rsid w:val="00276BC5"/>
    <w:rsid w:val="0028086D"/>
    <w:rsid w:val="00283482"/>
    <w:rsid w:val="00292147"/>
    <w:rsid w:val="00292CFA"/>
    <w:rsid w:val="0029647E"/>
    <w:rsid w:val="002A201D"/>
    <w:rsid w:val="002A550B"/>
    <w:rsid w:val="002A6B88"/>
    <w:rsid w:val="002B2B36"/>
    <w:rsid w:val="002B6AA4"/>
    <w:rsid w:val="002B7803"/>
    <w:rsid w:val="002C28AE"/>
    <w:rsid w:val="002C2A68"/>
    <w:rsid w:val="002C57C0"/>
    <w:rsid w:val="002D0705"/>
    <w:rsid w:val="002D2B24"/>
    <w:rsid w:val="002D2E3B"/>
    <w:rsid w:val="002D47C1"/>
    <w:rsid w:val="002D4808"/>
    <w:rsid w:val="002D67A7"/>
    <w:rsid w:val="002D7595"/>
    <w:rsid w:val="002D7BAE"/>
    <w:rsid w:val="002E2688"/>
    <w:rsid w:val="002E373A"/>
    <w:rsid w:val="002E52E2"/>
    <w:rsid w:val="002F1CD0"/>
    <w:rsid w:val="002F20AB"/>
    <w:rsid w:val="002F44E7"/>
    <w:rsid w:val="00307F26"/>
    <w:rsid w:val="003121E9"/>
    <w:rsid w:val="00313986"/>
    <w:rsid w:val="003145A5"/>
    <w:rsid w:val="003170D5"/>
    <w:rsid w:val="0032284E"/>
    <w:rsid w:val="003251D8"/>
    <w:rsid w:val="003266B5"/>
    <w:rsid w:val="00326A8E"/>
    <w:rsid w:val="00333052"/>
    <w:rsid w:val="0033581C"/>
    <w:rsid w:val="003374F5"/>
    <w:rsid w:val="0034408B"/>
    <w:rsid w:val="00346350"/>
    <w:rsid w:val="00347F29"/>
    <w:rsid w:val="00351D41"/>
    <w:rsid w:val="00357309"/>
    <w:rsid w:val="00357483"/>
    <w:rsid w:val="00361900"/>
    <w:rsid w:val="00361F92"/>
    <w:rsid w:val="00364B30"/>
    <w:rsid w:val="00367C2F"/>
    <w:rsid w:val="00367DC9"/>
    <w:rsid w:val="0037120C"/>
    <w:rsid w:val="003734F9"/>
    <w:rsid w:val="00377B8D"/>
    <w:rsid w:val="00377F37"/>
    <w:rsid w:val="00377FE5"/>
    <w:rsid w:val="00380F6D"/>
    <w:rsid w:val="00381EE0"/>
    <w:rsid w:val="00382796"/>
    <w:rsid w:val="00382A25"/>
    <w:rsid w:val="0039009E"/>
    <w:rsid w:val="00390CA3"/>
    <w:rsid w:val="003A1771"/>
    <w:rsid w:val="003A19FA"/>
    <w:rsid w:val="003A2E91"/>
    <w:rsid w:val="003A3202"/>
    <w:rsid w:val="003A488F"/>
    <w:rsid w:val="003A6B36"/>
    <w:rsid w:val="003B0CAA"/>
    <w:rsid w:val="003B0E71"/>
    <w:rsid w:val="003B33C5"/>
    <w:rsid w:val="003B49A7"/>
    <w:rsid w:val="003B6633"/>
    <w:rsid w:val="003C02DE"/>
    <w:rsid w:val="003C1EE5"/>
    <w:rsid w:val="003C2854"/>
    <w:rsid w:val="003C4DA4"/>
    <w:rsid w:val="003C6995"/>
    <w:rsid w:val="003D1DD4"/>
    <w:rsid w:val="003D34E6"/>
    <w:rsid w:val="003D7905"/>
    <w:rsid w:val="003E0A68"/>
    <w:rsid w:val="003E0B68"/>
    <w:rsid w:val="003E1900"/>
    <w:rsid w:val="003E579F"/>
    <w:rsid w:val="003E7C24"/>
    <w:rsid w:val="003E7E65"/>
    <w:rsid w:val="003F2959"/>
    <w:rsid w:val="003F29CF"/>
    <w:rsid w:val="003F32B2"/>
    <w:rsid w:val="003F3C46"/>
    <w:rsid w:val="003F4B32"/>
    <w:rsid w:val="003F4E78"/>
    <w:rsid w:val="003F6D67"/>
    <w:rsid w:val="00400F96"/>
    <w:rsid w:val="00401144"/>
    <w:rsid w:val="00401C12"/>
    <w:rsid w:val="00401ECA"/>
    <w:rsid w:val="00402745"/>
    <w:rsid w:val="004054CD"/>
    <w:rsid w:val="00414D05"/>
    <w:rsid w:val="004150BD"/>
    <w:rsid w:val="00415CFC"/>
    <w:rsid w:val="00422E4D"/>
    <w:rsid w:val="00426876"/>
    <w:rsid w:val="00434D86"/>
    <w:rsid w:val="00436A2D"/>
    <w:rsid w:val="0044137B"/>
    <w:rsid w:val="00441B2B"/>
    <w:rsid w:val="0044375E"/>
    <w:rsid w:val="00443E3C"/>
    <w:rsid w:val="00445932"/>
    <w:rsid w:val="0044702C"/>
    <w:rsid w:val="00452E37"/>
    <w:rsid w:val="00460FBB"/>
    <w:rsid w:val="00463A1F"/>
    <w:rsid w:val="0046457B"/>
    <w:rsid w:val="00466A95"/>
    <w:rsid w:val="00470CE9"/>
    <w:rsid w:val="0047683E"/>
    <w:rsid w:val="00480AE5"/>
    <w:rsid w:val="0048155F"/>
    <w:rsid w:val="00482250"/>
    <w:rsid w:val="0048617D"/>
    <w:rsid w:val="00487090"/>
    <w:rsid w:val="00487CF6"/>
    <w:rsid w:val="00495609"/>
    <w:rsid w:val="004961F8"/>
    <w:rsid w:val="004A1BF5"/>
    <w:rsid w:val="004A23A4"/>
    <w:rsid w:val="004A36F7"/>
    <w:rsid w:val="004A417F"/>
    <w:rsid w:val="004A44AC"/>
    <w:rsid w:val="004A573D"/>
    <w:rsid w:val="004B0381"/>
    <w:rsid w:val="004B038C"/>
    <w:rsid w:val="004B12CF"/>
    <w:rsid w:val="004B1ED1"/>
    <w:rsid w:val="004B2028"/>
    <w:rsid w:val="004B20D8"/>
    <w:rsid w:val="004B4E81"/>
    <w:rsid w:val="004B72BF"/>
    <w:rsid w:val="004B736C"/>
    <w:rsid w:val="004C5BDE"/>
    <w:rsid w:val="004D2F46"/>
    <w:rsid w:val="004D3809"/>
    <w:rsid w:val="004D41F5"/>
    <w:rsid w:val="004D4D1C"/>
    <w:rsid w:val="004E0E5D"/>
    <w:rsid w:val="004E1ACD"/>
    <w:rsid w:val="004E236A"/>
    <w:rsid w:val="004E371D"/>
    <w:rsid w:val="004E77F4"/>
    <w:rsid w:val="004F09AB"/>
    <w:rsid w:val="004F2106"/>
    <w:rsid w:val="004F55FE"/>
    <w:rsid w:val="004F5993"/>
    <w:rsid w:val="004F6333"/>
    <w:rsid w:val="004F757F"/>
    <w:rsid w:val="00500B2C"/>
    <w:rsid w:val="00500E80"/>
    <w:rsid w:val="0050266B"/>
    <w:rsid w:val="00502730"/>
    <w:rsid w:val="00507176"/>
    <w:rsid w:val="00511C34"/>
    <w:rsid w:val="00511F7A"/>
    <w:rsid w:val="005136EB"/>
    <w:rsid w:val="00513770"/>
    <w:rsid w:val="005166B2"/>
    <w:rsid w:val="005216A7"/>
    <w:rsid w:val="00521A2E"/>
    <w:rsid w:val="005244AD"/>
    <w:rsid w:val="00527AA1"/>
    <w:rsid w:val="005318EC"/>
    <w:rsid w:val="00531C81"/>
    <w:rsid w:val="00532228"/>
    <w:rsid w:val="00532536"/>
    <w:rsid w:val="0053452C"/>
    <w:rsid w:val="00535EC5"/>
    <w:rsid w:val="005403B0"/>
    <w:rsid w:val="0054207E"/>
    <w:rsid w:val="00544AF9"/>
    <w:rsid w:val="00556D70"/>
    <w:rsid w:val="0056274D"/>
    <w:rsid w:val="005655CE"/>
    <w:rsid w:val="0056616A"/>
    <w:rsid w:val="00577065"/>
    <w:rsid w:val="005774A5"/>
    <w:rsid w:val="0058004D"/>
    <w:rsid w:val="00580BC4"/>
    <w:rsid w:val="00581DC5"/>
    <w:rsid w:val="00590051"/>
    <w:rsid w:val="00591FF9"/>
    <w:rsid w:val="00593F3A"/>
    <w:rsid w:val="005A2514"/>
    <w:rsid w:val="005A6AC7"/>
    <w:rsid w:val="005A70AF"/>
    <w:rsid w:val="005A745F"/>
    <w:rsid w:val="005B146F"/>
    <w:rsid w:val="005B4C42"/>
    <w:rsid w:val="005B4C62"/>
    <w:rsid w:val="005B7EA0"/>
    <w:rsid w:val="005C2483"/>
    <w:rsid w:val="005D6594"/>
    <w:rsid w:val="005D7553"/>
    <w:rsid w:val="005E1B77"/>
    <w:rsid w:val="005E2947"/>
    <w:rsid w:val="005E3A44"/>
    <w:rsid w:val="005E4443"/>
    <w:rsid w:val="005E4C7E"/>
    <w:rsid w:val="005E6BE4"/>
    <w:rsid w:val="005F2D2C"/>
    <w:rsid w:val="005F3D1D"/>
    <w:rsid w:val="005F49B8"/>
    <w:rsid w:val="005F5B7B"/>
    <w:rsid w:val="00602261"/>
    <w:rsid w:val="00605655"/>
    <w:rsid w:val="00612651"/>
    <w:rsid w:val="00612772"/>
    <w:rsid w:val="0061353A"/>
    <w:rsid w:val="00617806"/>
    <w:rsid w:val="0062177A"/>
    <w:rsid w:val="00621D99"/>
    <w:rsid w:val="00623693"/>
    <w:rsid w:val="00624646"/>
    <w:rsid w:val="0063305C"/>
    <w:rsid w:val="006330FA"/>
    <w:rsid w:val="0063420D"/>
    <w:rsid w:val="006378EA"/>
    <w:rsid w:val="00641282"/>
    <w:rsid w:val="006418F1"/>
    <w:rsid w:val="00642FF6"/>
    <w:rsid w:val="00644198"/>
    <w:rsid w:val="00652DF8"/>
    <w:rsid w:val="006536BC"/>
    <w:rsid w:val="0065649F"/>
    <w:rsid w:val="00660504"/>
    <w:rsid w:val="00661CFD"/>
    <w:rsid w:val="006643C9"/>
    <w:rsid w:val="00667A59"/>
    <w:rsid w:val="00670C70"/>
    <w:rsid w:val="0067590A"/>
    <w:rsid w:val="00676774"/>
    <w:rsid w:val="00690EEF"/>
    <w:rsid w:val="00691FC6"/>
    <w:rsid w:val="0069776D"/>
    <w:rsid w:val="006A0BC3"/>
    <w:rsid w:val="006A3AE9"/>
    <w:rsid w:val="006A40E5"/>
    <w:rsid w:val="006A4168"/>
    <w:rsid w:val="006B0CD6"/>
    <w:rsid w:val="006B512F"/>
    <w:rsid w:val="006C0E53"/>
    <w:rsid w:val="006C2E37"/>
    <w:rsid w:val="006C710C"/>
    <w:rsid w:val="006D055E"/>
    <w:rsid w:val="006D134A"/>
    <w:rsid w:val="006D1727"/>
    <w:rsid w:val="006D35F0"/>
    <w:rsid w:val="006D3D11"/>
    <w:rsid w:val="006D4700"/>
    <w:rsid w:val="006D4A04"/>
    <w:rsid w:val="006D7679"/>
    <w:rsid w:val="006E2C39"/>
    <w:rsid w:val="006E76BA"/>
    <w:rsid w:val="006F1456"/>
    <w:rsid w:val="006F26A5"/>
    <w:rsid w:val="006F29AB"/>
    <w:rsid w:val="006F5358"/>
    <w:rsid w:val="006F6F7A"/>
    <w:rsid w:val="0070034D"/>
    <w:rsid w:val="00703DAC"/>
    <w:rsid w:val="00704771"/>
    <w:rsid w:val="00706B40"/>
    <w:rsid w:val="00710D05"/>
    <w:rsid w:val="00711EE8"/>
    <w:rsid w:val="00714340"/>
    <w:rsid w:val="00714A67"/>
    <w:rsid w:val="007155ED"/>
    <w:rsid w:val="007219F7"/>
    <w:rsid w:val="00724838"/>
    <w:rsid w:val="00732555"/>
    <w:rsid w:val="007333C2"/>
    <w:rsid w:val="00734F1D"/>
    <w:rsid w:val="00735C40"/>
    <w:rsid w:val="0073628D"/>
    <w:rsid w:val="00737714"/>
    <w:rsid w:val="007409BA"/>
    <w:rsid w:val="00742E4B"/>
    <w:rsid w:val="007455F0"/>
    <w:rsid w:val="00751F6A"/>
    <w:rsid w:val="007530C3"/>
    <w:rsid w:val="007551EE"/>
    <w:rsid w:val="007553F5"/>
    <w:rsid w:val="007554ED"/>
    <w:rsid w:val="00755E40"/>
    <w:rsid w:val="00756FF6"/>
    <w:rsid w:val="00757943"/>
    <w:rsid w:val="0076127E"/>
    <w:rsid w:val="00761445"/>
    <w:rsid w:val="00764CDB"/>
    <w:rsid w:val="00764E37"/>
    <w:rsid w:val="0076503A"/>
    <w:rsid w:val="007712CC"/>
    <w:rsid w:val="0077153B"/>
    <w:rsid w:val="00775614"/>
    <w:rsid w:val="00780E77"/>
    <w:rsid w:val="0078107E"/>
    <w:rsid w:val="0078116B"/>
    <w:rsid w:val="00781251"/>
    <w:rsid w:val="00782E06"/>
    <w:rsid w:val="007830E3"/>
    <w:rsid w:val="00795BD1"/>
    <w:rsid w:val="00796047"/>
    <w:rsid w:val="007A31C3"/>
    <w:rsid w:val="007A5BEF"/>
    <w:rsid w:val="007A6BC3"/>
    <w:rsid w:val="007B2B50"/>
    <w:rsid w:val="007B49DE"/>
    <w:rsid w:val="007B7578"/>
    <w:rsid w:val="007C2C49"/>
    <w:rsid w:val="007C472C"/>
    <w:rsid w:val="007D2529"/>
    <w:rsid w:val="007D59D6"/>
    <w:rsid w:val="007E6E16"/>
    <w:rsid w:val="007F1D3D"/>
    <w:rsid w:val="007F707F"/>
    <w:rsid w:val="00800D53"/>
    <w:rsid w:val="00806F31"/>
    <w:rsid w:val="00810924"/>
    <w:rsid w:val="00812637"/>
    <w:rsid w:val="00813227"/>
    <w:rsid w:val="0082007B"/>
    <w:rsid w:val="00820794"/>
    <w:rsid w:val="00824286"/>
    <w:rsid w:val="00824BA5"/>
    <w:rsid w:val="00831497"/>
    <w:rsid w:val="0084340B"/>
    <w:rsid w:val="008459E8"/>
    <w:rsid w:val="008463D1"/>
    <w:rsid w:val="008470C6"/>
    <w:rsid w:val="00852810"/>
    <w:rsid w:val="00863A31"/>
    <w:rsid w:val="00863F6A"/>
    <w:rsid w:val="0086470D"/>
    <w:rsid w:val="00864929"/>
    <w:rsid w:val="00864ADE"/>
    <w:rsid w:val="00867FB0"/>
    <w:rsid w:val="00871A12"/>
    <w:rsid w:val="008736D3"/>
    <w:rsid w:val="00873742"/>
    <w:rsid w:val="008750B1"/>
    <w:rsid w:val="00876F87"/>
    <w:rsid w:val="008810DE"/>
    <w:rsid w:val="00881AB4"/>
    <w:rsid w:val="00881BBE"/>
    <w:rsid w:val="00882D91"/>
    <w:rsid w:val="00890C1D"/>
    <w:rsid w:val="00895809"/>
    <w:rsid w:val="00895AC5"/>
    <w:rsid w:val="00896E97"/>
    <w:rsid w:val="008971FB"/>
    <w:rsid w:val="008A16EB"/>
    <w:rsid w:val="008A1D61"/>
    <w:rsid w:val="008A2561"/>
    <w:rsid w:val="008A54A0"/>
    <w:rsid w:val="008A58A1"/>
    <w:rsid w:val="008A6182"/>
    <w:rsid w:val="008B1D94"/>
    <w:rsid w:val="008B4C8D"/>
    <w:rsid w:val="008B4D17"/>
    <w:rsid w:val="008B643A"/>
    <w:rsid w:val="008B6D1F"/>
    <w:rsid w:val="008C1C4A"/>
    <w:rsid w:val="008C4ADF"/>
    <w:rsid w:val="008C60B1"/>
    <w:rsid w:val="008C6BD0"/>
    <w:rsid w:val="008D2EBD"/>
    <w:rsid w:val="008E2E3A"/>
    <w:rsid w:val="008E7B00"/>
    <w:rsid w:val="008F0A81"/>
    <w:rsid w:val="008F3EBA"/>
    <w:rsid w:val="008F4AC5"/>
    <w:rsid w:val="008F4FDA"/>
    <w:rsid w:val="008F5963"/>
    <w:rsid w:val="00900BAC"/>
    <w:rsid w:val="0090547D"/>
    <w:rsid w:val="00911E54"/>
    <w:rsid w:val="009124C1"/>
    <w:rsid w:val="00912DF4"/>
    <w:rsid w:val="00915BCA"/>
    <w:rsid w:val="00920327"/>
    <w:rsid w:val="00923261"/>
    <w:rsid w:val="009236D0"/>
    <w:rsid w:val="009256B7"/>
    <w:rsid w:val="00927EE7"/>
    <w:rsid w:val="00930977"/>
    <w:rsid w:val="00931458"/>
    <w:rsid w:val="00931662"/>
    <w:rsid w:val="009325EC"/>
    <w:rsid w:val="009374E7"/>
    <w:rsid w:val="00941C3C"/>
    <w:rsid w:val="00942942"/>
    <w:rsid w:val="00946AE1"/>
    <w:rsid w:val="009510FD"/>
    <w:rsid w:val="00954349"/>
    <w:rsid w:val="00954FB6"/>
    <w:rsid w:val="00961048"/>
    <w:rsid w:val="009624B3"/>
    <w:rsid w:val="009638E6"/>
    <w:rsid w:val="00970C7A"/>
    <w:rsid w:val="009721DB"/>
    <w:rsid w:val="00972BFA"/>
    <w:rsid w:val="00973A94"/>
    <w:rsid w:val="0097464F"/>
    <w:rsid w:val="00975E20"/>
    <w:rsid w:val="00977AEA"/>
    <w:rsid w:val="00990435"/>
    <w:rsid w:val="00990DB9"/>
    <w:rsid w:val="009965BA"/>
    <w:rsid w:val="00997780"/>
    <w:rsid w:val="009A0267"/>
    <w:rsid w:val="009A0BEA"/>
    <w:rsid w:val="009A2717"/>
    <w:rsid w:val="009A7108"/>
    <w:rsid w:val="009B20BE"/>
    <w:rsid w:val="009B3A86"/>
    <w:rsid w:val="009B6535"/>
    <w:rsid w:val="009B74E5"/>
    <w:rsid w:val="009B7B1D"/>
    <w:rsid w:val="009B7F81"/>
    <w:rsid w:val="009C2479"/>
    <w:rsid w:val="009C30DF"/>
    <w:rsid w:val="009C44D6"/>
    <w:rsid w:val="009C4B42"/>
    <w:rsid w:val="009C51BE"/>
    <w:rsid w:val="009C52E6"/>
    <w:rsid w:val="009C57E9"/>
    <w:rsid w:val="009D06F8"/>
    <w:rsid w:val="009D4BDA"/>
    <w:rsid w:val="009D73F1"/>
    <w:rsid w:val="009E6A52"/>
    <w:rsid w:val="009E6CF1"/>
    <w:rsid w:val="009E6F09"/>
    <w:rsid w:val="009F09BD"/>
    <w:rsid w:val="009F0BEE"/>
    <w:rsid w:val="009F2E65"/>
    <w:rsid w:val="009F3CBB"/>
    <w:rsid w:val="009F43CC"/>
    <w:rsid w:val="009F4BE6"/>
    <w:rsid w:val="009F581D"/>
    <w:rsid w:val="009F716A"/>
    <w:rsid w:val="00A00942"/>
    <w:rsid w:val="00A0430C"/>
    <w:rsid w:val="00A05041"/>
    <w:rsid w:val="00A10690"/>
    <w:rsid w:val="00A1070D"/>
    <w:rsid w:val="00A13F82"/>
    <w:rsid w:val="00A16664"/>
    <w:rsid w:val="00A174C8"/>
    <w:rsid w:val="00A20275"/>
    <w:rsid w:val="00A21993"/>
    <w:rsid w:val="00A22E0D"/>
    <w:rsid w:val="00A23CA4"/>
    <w:rsid w:val="00A23CCF"/>
    <w:rsid w:val="00A279C9"/>
    <w:rsid w:val="00A3060C"/>
    <w:rsid w:val="00A31835"/>
    <w:rsid w:val="00A41ED3"/>
    <w:rsid w:val="00A44C58"/>
    <w:rsid w:val="00A44D78"/>
    <w:rsid w:val="00A45B47"/>
    <w:rsid w:val="00A47FA2"/>
    <w:rsid w:val="00A51A7E"/>
    <w:rsid w:val="00A55028"/>
    <w:rsid w:val="00A55F4F"/>
    <w:rsid w:val="00A60139"/>
    <w:rsid w:val="00A609D2"/>
    <w:rsid w:val="00A62440"/>
    <w:rsid w:val="00A63D71"/>
    <w:rsid w:val="00A7351E"/>
    <w:rsid w:val="00A748BA"/>
    <w:rsid w:val="00A80F36"/>
    <w:rsid w:val="00A83862"/>
    <w:rsid w:val="00A8486C"/>
    <w:rsid w:val="00A85E0D"/>
    <w:rsid w:val="00A8638B"/>
    <w:rsid w:val="00A86419"/>
    <w:rsid w:val="00A879D1"/>
    <w:rsid w:val="00A90B02"/>
    <w:rsid w:val="00A945EC"/>
    <w:rsid w:val="00A96702"/>
    <w:rsid w:val="00A969ED"/>
    <w:rsid w:val="00A97EB2"/>
    <w:rsid w:val="00AA14A9"/>
    <w:rsid w:val="00AA2203"/>
    <w:rsid w:val="00AA4D05"/>
    <w:rsid w:val="00AB4E7B"/>
    <w:rsid w:val="00AB543D"/>
    <w:rsid w:val="00AB780A"/>
    <w:rsid w:val="00AC3336"/>
    <w:rsid w:val="00AC4315"/>
    <w:rsid w:val="00AC5244"/>
    <w:rsid w:val="00AD1C46"/>
    <w:rsid w:val="00AD271F"/>
    <w:rsid w:val="00AD42DA"/>
    <w:rsid w:val="00AD66BC"/>
    <w:rsid w:val="00AE5186"/>
    <w:rsid w:val="00AE54DD"/>
    <w:rsid w:val="00AE7AEE"/>
    <w:rsid w:val="00AE7D71"/>
    <w:rsid w:val="00AF61B8"/>
    <w:rsid w:val="00B033A9"/>
    <w:rsid w:val="00B06B7B"/>
    <w:rsid w:val="00B110AD"/>
    <w:rsid w:val="00B12A76"/>
    <w:rsid w:val="00B1486A"/>
    <w:rsid w:val="00B16904"/>
    <w:rsid w:val="00B22833"/>
    <w:rsid w:val="00B22FB2"/>
    <w:rsid w:val="00B237C5"/>
    <w:rsid w:val="00B271BA"/>
    <w:rsid w:val="00B27446"/>
    <w:rsid w:val="00B278EB"/>
    <w:rsid w:val="00B300CF"/>
    <w:rsid w:val="00B31DD6"/>
    <w:rsid w:val="00B31FC0"/>
    <w:rsid w:val="00B3263B"/>
    <w:rsid w:val="00B3332D"/>
    <w:rsid w:val="00B3429E"/>
    <w:rsid w:val="00B342C5"/>
    <w:rsid w:val="00B34C84"/>
    <w:rsid w:val="00B37FB5"/>
    <w:rsid w:val="00B50838"/>
    <w:rsid w:val="00B539F7"/>
    <w:rsid w:val="00B54251"/>
    <w:rsid w:val="00B5484E"/>
    <w:rsid w:val="00B54A93"/>
    <w:rsid w:val="00B57612"/>
    <w:rsid w:val="00B61C2C"/>
    <w:rsid w:val="00B641D2"/>
    <w:rsid w:val="00B644FA"/>
    <w:rsid w:val="00B6580B"/>
    <w:rsid w:val="00B65CC9"/>
    <w:rsid w:val="00B65E6C"/>
    <w:rsid w:val="00B6647C"/>
    <w:rsid w:val="00B71D21"/>
    <w:rsid w:val="00B72C30"/>
    <w:rsid w:val="00B74237"/>
    <w:rsid w:val="00B7434C"/>
    <w:rsid w:val="00B74A8A"/>
    <w:rsid w:val="00B74F63"/>
    <w:rsid w:val="00B76076"/>
    <w:rsid w:val="00B77430"/>
    <w:rsid w:val="00B81103"/>
    <w:rsid w:val="00B82F15"/>
    <w:rsid w:val="00B84B59"/>
    <w:rsid w:val="00B84D1C"/>
    <w:rsid w:val="00B90CD3"/>
    <w:rsid w:val="00B928FF"/>
    <w:rsid w:val="00B94980"/>
    <w:rsid w:val="00B9541E"/>
    <w:rsid w:val="00BA21AC"/>
    <w:rsid w:val="00BA3AB4"/>
    <w:rsid w:val="00BA4622"/>
    <w:rsid w:val="00BA4958"/>
    <w:rsid w:val="00BA4D66"/>
    <w:rsid w:val="00BA7956"/>
    <w:rsid w:val="00BB0F20"/>
    <w:rsid w:val="00BB1952"/>
    <w:rsid w:val="00BB4C94"/>
    <w:rsid w:val="00BB4C9F"/>
    <w:rsid w:val="00BB4F3D"/>
    <w:rsid w:val="00BC0794"/>
    <w:rsid w:val="00BC0D5D"/>
    <w:rsid w:val="00BC18D9"/>
    <w:rsid w:val="00BC1A3C"/>
    <w:rsid w:val="00BC2B91"/>
    <w:rsid w:val="00BD4182"/>
    <w:rsid w:val="00BD64B4"/>
    <w:rsid w:val="00BD68E5"/>
    <w:rsid w:val="00BD6C70"/>
    <w:rsid w:val="00BD6D04"/>
    <w:rsid w:val="00BE1D4C"/>
    <w:rsid w:val="00BE2F68"/>
    <w:rsid w:val="00BE38FC"/>
    <w:rsid w:val="00BE3E00"/>
    <w:rsid w:val="00BE4345"/>
    <w:rsid w:val="00BF0190"/>
    <w:rsid w:val="00C03C7B"/>
    <w:rsid w:val="00C05506"/>
    <w:rsid w:val="00C06426"/>
    <w:rsid w:val="00C102B0"/>
    <w:rsid w:val="00C10516"/>
    <w:rsid w:val="00C10E16"/>
    <w:rsid w:val="00C11D1A"/>
    <w:rsid w:val="00C13A58"/>
    <w:rsid w:val="00C141EA"/>
    <w:rsid w:val="00C14E9E"/>
    <w:rsid w:val="00C23D8F"/>
    <w:rsid w:val="00C2630F"/>
    <w:rsid w:val="00C26887"/>
    <w:rsid w:val="00C26AA1"/>
    <w:rsid w:val="00C30CA6"/>
    <w:rsid w:val="00C3493B"/>
    <w:rsid w:val="00C34F26"/>
    <w:rsid w:val="00C37458"/>
    <w:rsid w:val="00C3792B"/>
    <w:rsid w:val="00C41093"/>
    <w:rsid w:val="00C438DD"/>
    <w:rsid w:val="00C43CD1"/>
    <w:rsid w:val="00C441EC"/>
    <w:rsid w:val="00C45020"/>
    <w:rsid w:val="00C5022C"/>
    <w:rsid w:val="00C505A8"/>
    <w:rsid w:val="00C52A1E"/>
    <w:rsid w:val="00C543A0"/>
    <w:rsid w:val="00C552FD"/>
    <w:rsid w:val="00C60220"/>
    <w:rsid w:val="00C6242B"/>
    <w:rsid w:val="00C63573"/>
    <w:rsid w:val="00C65177"/>
    <w:rsid w:val="00C65574"/>
    <w:rsid w:val="00C66BB6"/>
    <w:rsid w:val="00C73D50"/>
    <w:rsid w:val="00C750D9"/>
    <w:rsid w:val="00C86AF9"/>
    <w:rsid w:val="00C87FBE"/>
    <w:rsid w:val="00C91485"/>
    <w:rsid w:val="00C95A2D"/>
    <w:rsid w:val="00C95D8A"/>
    <w:rsid w:val="00CA1EA5"/>
    <w:rsid w:val="00CA4115"/>
    <w:rsid w:val="00CA61C5"/>
    <w:rsid w:val="00CA737A"/>
    <w:rsid w:val="00CB2B7C"/>
    <w:rsid w:val="00CB4A48"/>
    <w:rsid w:val="00CB4C16"/>
    <w:rsid w:val="00CB719A"/>
    <w:rsid w:val="00CC19D6"/>
    <w:rsid w:val="00CC1B35"/>
    <w:rsid w:val="00CC1DF4"/>
    <w:rsid w:val="00CC4BA4"/>
    <w:rsid w:val="00CC6FCD"/>
    <w:rsid w:val="00CD11F7"/>
    <w:rsid w:val="00CD23A2"/>
    <w:rsid w:val="00CD45CA"/>
    <w:rsid w:val="00CD50EC"/>
    <w:rsid w:val="00CD543B"/>
    <w:rsid w:val="00CD5D1C"/>
    <w:rsid w:val="00CE2F8C"/>
    <w:rsid w:val="00CE6EFF"/>
    <w:rsid w:val="00CF5C3D"/>
    <w:rsid w:val="00CF75CA"/>
    <w:rsid w:val="00CF7B67"/>
    <w:rsid w:val="00D00FD5"/>
    <w:rsid w:val="00D020C6"/>
    <w:rsid w:val="00D02C65"/>
    <w:rsid w:val="00D06554"/>
    <w:rsid w:val="00D140D6"/>
    <w:rsid w:val="00D14247"/>
    <w:rsid w:val="00D145F5"/>
    <w:rsid w:val="00D203CB"/>
    <w:rsid w:val="00D24AD2"/>
    <w:rsid w:val="00D30A0C"/>
    <w:rsid w:val="00D40839"/>
    <w:rsid w:val="00D429C6"/>
    <w:rsid w:val="00D52086"/>
    <w:rsid w:val="00D52C49"/>
    <w:rsid w:val="00D5311A"/>
    <w:rsid w:val="00D54972"/>
    <w:rsid w:val="00D54F5C"/>
    <w:rsid w:val="00D60CF4"/>
    <w:rsid w:val="00D67336"/>
    <w:rsid w:val="00D70550"/>
    <w:rsid w:val="00D7077E"/>
    <w:rsid w:val="00D72679"/>
    <w:rsid w:val="00D73935"/>
    <w:rsid w:val="00D74038"/>
    <w:rsid w:val="00D74C6A"/>
    <w:rsid w:val="00D76411"/>
    <w:rsid w:val="00D80474"/>
    <w:rsid w:val="00D80A9A"/>
    <w:rsid w:val="00D84699"/>
    <w:rsid w:val="00D85C49"/>
    <w:rsid w:val="00D90D64"/>
    <w:rsid w:val="00D942EB"/>
    <w:rsid w:val="00D96A64"/>
    <w:rsid w:val="00DA10E3"/>
    <w:rsid w:val="00DA17AB"/>
    <w:rsid w:val="00DA2A7B"/>
    <w:rsid w:val="00DA5081"/>
    <w:rsid w:val="00DA5919"/>
    <w:rsid w:val="00DA7710"/>
    <w:rsid w:val="00DA7CFE"/>
    <w:rsid w:val="00DB00CD"/>
    <w:rsid w:val="00DB1403"/>
    <w:rsid w:val="00DB2D75"/>
    <w:rsid w:val="00DB6067"/>
    <w:rsid w:val="00DC04E6"/>
    <w:rsid w:val="00DC068F"/>
    <w:rsid w:val="00DC0C23"/>
    <w:rsid w:val="00DC53C4"/>
    <w:rsid w:val="00DC7E1B"/>
    <w:rsid w:val="00DD1DDC"/>
    <w:rsid w:val="00DD5173"/>
    <w:rsid w:val="00DD74A6"/>
    <w:rsid w:val="00DD7E7A"/>
    <w:rsid w:val="00DE4CA8"/>
    <w:rsid w:val="00DE71B0"/>
    <w:rsid w:val="00DF047D"/>
    <w:rsid w:val="00DF28DB"/>
    <w:rsid w:val="00DF39E3"/>
    <w:rsid w:val="00DF3B80"/>
    <w:rsid w:val="00DF428C"/>
    <w:rsid w:val="00DF555A"/>
    <w:rsid w:val="00DF6ECC"/>
    <w:rsid w:val="00DF70CA"/>
    <w:rsid w:val="00E033B7"/>
    <w:rsid w:val="00E06C2F"/>
    <w:rsid w:val="00E075CC"/>
    <w:rsid w:val="00E07C02"/>
    <w:rsid w:val="00E16CB4"/>
    <w:rsid w:val="00E17518"/>
    <w:rsid w:val="00E24399"/>
    <w:rsid w:val="00E24BC5"/>
    <w:rsid w:val="00E24C45"/>
    <w:rsid w:val="00E274C6"/>
    <w:rsid w:val="00E27515"/>
    <w:rsid w:val="00E302F6"/>
    <w:rsid w:val="00E41399"/>
    <w:rsid w:val="00E45B8A"/>
    <w:rsid w:val="00E46988"/>
    <w:rsid w:val="00E469C2"/>
    <w:rsid w:val="00E54193"/>
    <w:rsid w:val="00E548B5"/>
    <w:rsid w:val="00E5560D"/>
    <w:rsid w:val="00E5624B"/>
    <w:rsid w:val="00E57CA2"/>
    <w:rsid w:val="00E60125"/>
    <w:rsid w:val="00E63279"/>
    <w:rsid w:val="00E64837"/>
    <w:rsid w:val="00E658CF"/>
    <w:rsid w:val="00E74BD5"/>
    <w:rsid w:val="00E7592A"/>
    <w:rsid w:val="00E768BB"/>
    <w:rsid w:val="00E839DA"/>
    <w:rsid w:val="00E84FBC"/>
    <w:rsid w:val="00E90223"/>
    <w:rsid w:val="00E905FC"/>
    <w:rsid w:val="00E90B4F"/>
    <w:rsid w:val="00E915E3"/>
    <w:rsid w:val="00E921ED"/>
    <w:rsid w:val="00E94DA2"/>
    <w:rsid w:val="00E96D45"/>
    <w:rsid w:val="00E97B4B"/>
    <w:rsid w:val="00EA5EB0"/>
    <w:rsid w:val="00EA626B"/>
    <w:rsid w:val="00EB00C2"/>
    <w:rsid w:val="00EB0692"/>
    <w:rsid w:val="00EB4197"/>
    <w:rsid w:val="00EB4756"/>
    <w:rsid w:val="00EB5BE2"/>
    <w:rsid w:val="00EC2A0C"/>
    <w:rsid w:val="00EC4AFD"/>
    <w:rsid w:val="00ED0067"/>
    <w:rsid w:val="00ED06E4"/>
    <w:rsid w:val="00ED64D1"/>
    <w:rsid w:val="00ED76AE"/>
    <w:rsid w:val="00EE1B29"/>
    <w:rsid w:val="00EE2509"/>
    <w:rsid w:val="00EE3D03"/>
    <w:rsid w:val="00EE67E3"/>
    <w:rsid w:val="00EE740D"/>
    <w:rsid w:val="00EF4097"/>
    <w:rsid w:val="00EF5B2B"/>
    <w:rsid w:val="00EF79DA"/>
    <w:rsid w:val="00F0511B"/>
    <w:rsid w:val="00F05C55"/>
    <w:rsid w:val="00F106FC"/>
    <w:rsid w:val="00F11F21"/>
    <w:rsid w:val="00F13C5A"/>
    <w:rsid w:val="00F14BDB"/>
    <w:rsid w:val="00F164B3"/>
    <w:rsid w:val="00F2175C"/>
    <w:rsid w:val="00F21958"/>
    <w:rsid w:val="00F22AF2"/>
    <w:rsid w:val="00F2312A"/>
    <w:rsid w:val="00F23C0D"/>
    <w:rsid w:val="00F2677A"/>
    <w:rsid w:val="00F27D29"/>
    <w:rsid w:val="00F33343"/>
    <w:rsid w:val="00F35D4D"/>
    <w:rsid w:val="00F4004A"/>
    <w:rsid w:val="00F424C9"/>
    <w:rsid w:val="00F44BFB"/>
    <w:rsid w:val="00F45867"/>
    <w:rsid w:val="00F47E18"/>
    <w:rsid w:val="00F522E0"/>
    <w:rsid w:val="00F559F0"/>
    <w:rsid w:val="00F66B41"/>
    <w:rsid w:val="00F722D9"/>
    <w:rsid w:val="00F736E4"/>
    <w:rsid w:val="00F75FF2"/>
    <w:rsid w:val="00F7617E"/>
    <w:rsid w:val="00F76D0F"/>
    <w:rsid w:val="00F778D2"/>
    <w:rsid w:val="00F80761"/>
    <w:rsid w:val="00F819DD"/>
    <w:rsid w:val="00F82A0E"/>
    <w:rsid w:val="00F87615"/>
    <w:rsid w:val="00F9124E"/>
    <w:rsid w:val="00F96C7D"/>
    <w:rsid w:val="00F970FB"/>
    <w:rsid w:val="00FA0318"/>
    <w:rsid w:val="00FA0F06"/>
    <w:rsid w:val="00FA0F0A"/>
    <w:rsid w:val="00FA1C05"/>
    <w:rsid w:val="00FA6408"/>
    <w:rsid w:val="00FB2CB6"/>
    <w:rsid w:val="00FB39CB"/>
    <w:rsid w:val="00FB5962"/>
    <w:rsid w:val="00FB6E2D"/>
    <w:rsid w:val="00FC2254"/>
    <w:rsid w:val="00FC30DA"/>
    <w:rsid w:val="00FC3D6C"/>
    <w:rsid w:val="00FC64EE"/>
    <w:rsid w:val="00FC774D"/>
    <w:rsid w:val="00FC7932"/>
    <w:rsid w:val="00FD5165"/>
    <w:rsid w:val="00FD519B"/>
    <w:rsid w:val="00FE0DF8"/>
    <w:rsid w:val="00FE3FCD"/>
    <w:rsid w:val="00FE6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119FBCF5"/>
  <w15:docId w15:val="{481C26E8-C4FD-413F-B792-AC5FDD1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5B3"/>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41"/>
      </w:numPr>
      <w:spacing w:before="100" w:after="1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pPr>
  </w:style>
  <w:style w:type="paragraph" w:customStyle="1" w:styleId="Bullet2">
    <w:name w:val="Bullet2"/>
    <w:basedOn w:val="Normal"/>
    <w:rsid w:val="00972BFA"/>
    <w:pPr>
      <w:numPr>
        <w:ilvl w:val="1"/>
        <w:numId w:val="6"/>
      </w:numPr>
      <w:spacing w:after="200"/>
    </w:pPr>
  </w:style>
  <w:style w:type="paragraph" w:customStyle="1" w:styleId="Bullet3">
    <w:name w:val="Bullet3"/>
    <w:basedOn w:val="Normal"/>
    <w:rsid w:val="00972BFA"/>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character" w:customStyle="1" w:styleId="FooterChar">
    <w:name w:val="Footer Char"/>
    <w:basedOn w:val="DefaultParagraphFont"/>
    <w:link w:val="Footer"/>
    <w:rsid w:val="006A0BC3"/>
    <w:rPr>
      <w:sz w:val="19"/>
      <w:lang w:eastAsia="en-US"/>
    </w:rPr>
  </w:style>
  <w:style w:type="character" w:customStyle="1" w:styleId="HeaderChar">
    <w:name w:val="Header Char"/>
    <w:link w:val="Header"/>
    <w:uiPriority w:val="99"/>
    <w:rsid w:val="006A0BC3"/>
    <w:rPr>
      <w:sz w:val="19"/>
      <w:lang w:eastAsia="en-US"/>
    </w:rPr>
  </w:style>
  <w:style w:type="paragraph" w:customStyle="1" w:styleId="ConvSectionTitle">
    <w:name w:val="Conv Section Title"/>
    <w:basedOn w:val="Normal"/>
    <w:uiPriority w:val="9"/>
    <w:qFormat/>
    <w:rsid w:val="006A0BC3"/>
    <w:pPr>
      <w:keepNext/>
      <w:keepLines/>
      <w:spacing w:before="400" w:after="200"/>
      <w:jc w:val="left"/>
      <w:outlineLvl w:val="0"/>
    </w:pPr>
    <w:rPr>
      <w:rFonts w:ascii="Arial" w:hAnsi="Arial" w:cs="Arial"/>
      <w:b/>
      <w:sz w:val="26"/>
    </w:rPr>
  </w:style>
  <w:style w:type="paragraph" w:customStyle="1" w:styleId="IASBSectionTitle1NonInd">
    <w:name w:val="IASB Section Title 1 NonInd"/>
    <w:basedOn w:val="Normal"/>
    <w:link w:val="IASBSectionTitle1NonIndChar"/>
    <w:uiPriority w:val="8"/>
    <w:rsid w:val="00BD6C70"/>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BD6C70"/>
    <w:rPr>
      <w:rFonts w:ascii="Arial" w:hAnsi="Arial" w:cs="Arial"/>
      <w:b/>
      <w:sz w:val="26"/>
      <w:lang w:eastAsia="en-US"/>
    </w:rPr>
  </w:style>
  <w:style w:type="paragraph" w:customStyle="1" w:styleId="IASBSectionTitle2Ind">
    <w:name w:val="IASB Section Title 2 Ind"/>
    <w:basedOn w:val="Normal"/>
    <w:uiPriority w:val="8"/>
    <w:rsid w:val="00BD6C70"/>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5"/>
    <w:rsid w:val="00BD6C70"/>
    <w:rPr>
      <w:vertAlign w:val="superscript"/>
    </w:rPr>
  </w:style>
  <w:style w:type="character" w:customStyle="1" w:styleId="FootnoteTextChar">
    <w:name w:val="Footnote Text Char"/>
    <w:basedOn w:val="DefaultParagraphFont"/>
    <w:link w:val="FootnoteText"/>
    <w:uiPriority w:val="5"/>
    <w:rsid w:val="00BD6C70"/>
    <w:rPr>
      <w:sz w:val="16"/>
      <w:lang w:eastAsia="en-US"/>
    </w:rPr>
  </w:style>
  <w:style w:type="paragraph" w:customStyle="1" w:styleId="IASBSectionTitle4Ind">
    <w:name w:val="IASB Section Title 4 Ind"/>
    <w:basedOn w:val="Normal"/>
    <w:uiPriority w:val="8"/>
    <w:rsid w:val="00BD6C70"/>
    <w:pPr>
      <w:keepNext/>
      <w:keepLines/>
      <w:spacing w:before="300" w:after="200"/>
      <w:ind w:left="782"/>
      <w:jc w:val="left"/>
      <w:outlineLvl w:val="3"/>
    </w:pPr>
    <w:rPr>
      <w:rFonts w:ascii="Arial" w:hAnsi="Arial" w:cs="Arial"/>
      <w:i/>
      <w:sz w:val="22"/>
    </w:rPr>
  </w:style>
  <w:style w:type="paragraph" w:customStyle="1" w:styleId="IASBNormal">
    <w:name w:val="IASB Normal"/>
    <w:link w:val="IASBNormalChar"/>
    <w:uiPriority w:val="8"/>
    <w:rsid w:val="00BD6C70"/>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BD6C70"/>
    <w:rPr>
      <w:sz w:val="19"/>
      <w:lang w:eastAsia="en-US"/>
    </w:rPr>
  </w:style>
  <w:style w:type="paragraph" w:styleId="BodyText">
    <w:name w:val="Body Text"/>
    <w:basedOn w:val="Normal"/>
    <w:link w:val="BodyTextChar"/>
    <w:unhideWhenUsed/>
    <w:rsid w:val="00BD6C70"/>
    <w:pPr>
      <w:spacing w:after="120"/>
    </w:pPr>
  </w:style>
  <w:style w:type="character" w:customStyle="1" w:styleId="BodyTextChar">
    <w:name w:val="Body Text Char"/>
    <w:basedOn w:val="DefaultParagraphFont"/>
    <w:link w:val="BodyText"/>
    <w:rsid w:val="00BD6C70"/>
    <w:rPr>
      <w:sz w:val="19"/>
      <w:lang w:eastAsia="en-US"/>
    </w:rPr>
  </w:style>
  <w:style w:type="paragraph" w:customStyle="1" w:styleId="IASBSectionTitle3NonInd">
    <w:name w:val="IASB Section Title 3 NonInd"/>
    <w:basedOn w:val="Normal"/>
    <w:rsid w:val="00BD6C70"/>
    <w:pPr>
      <w:keepNext/>
      <w:keepLines/>
      <w:spacing w:before="300" w:after="200"/>
      <w:jc w:val="left"/>
    </w:pPr>
    <w:rPr>
      <w:rFonts w:ascii="Arial" w:hAnsi="Arial" w:cs="Arial"/>
      <w:b/>
      <w:sz w:val="22"/>
      <w:lang w:val="en-US"/>
    </w:rPr>
  </w:style>
  <w:style w:type="character" w:styleId="CommentReference">
    <w:name w:val="annotation reference"/>
    <w:basedOn w:val="DefaultParagraphFont"/>
    <w:semiHidden/>
    <w:unhideWhenUsed/>
    <w:rsid w:val="00B9541E"/>
    <w:rPr>
      <w:sz w:val="16"/>
      <w:szCs w:val="16"/>
    </w:rPr>
  </w:style>
  <w:style w:type="paragraph" w:styleId="CommentText">
    <w:name w:val="annotation text"/>
    <w:basedOn w:val="Normal"/>
    <w:link w:val="CommentTextChar"/>
    <w:unhideWhenUsed/>
    <w:rsid w:val="00B9541E"/>
    <w:rPr>
      <w:sz w:val="20"/>
    </w:rPr>
  </w:style>
  <w:style w:type="character" w:customStyle="1" w:styleId="CommentTextChar">
    <w:name w:val="Comment Text Char"/>
    <w:basedOn w:val="DefaultParagraphFont"/>
    <w:link w:val="CommentText"/>
    <w:rsid w:val="00B9541E"/>
    <w:rPr>
      <w:lang w:eastAsia="en-US"/>
    </w:rPr>
  </w:style>
  <w:style w:type="paragraph" w:styleId="CommentSubject">
    <w:name w:val="annotation subject"/>
    <w:basedOn w:val="CommentText"/>
    <w:next w:val="CommentText"/>
    <w:link w:val="CommentSubjectChar"/>
    <w:semiHidden/>
    <w:unhideWhenUsed/>
    <w:rsid w:val="00B9541E"/>
    <w:rPr>
      <w:b/>
      <w:bCs/>
    </w:rPr>
  </w:style>
  <w:style w:type="character" w:customStyle="1" w:styleId="CommentSubjectChar">
    <w:name w:val="Comment Subject Char"/>
    <w:basedOn w:val="CommentTextChar"/>
    <w:link w:val="CommentSubject"/>
    <w:semiHidden/>
    <w:rsid w:val="00B9541E"/>
    <w:rPr>
      <w:b/>
      <w:bCs/>
      <w:lang w:eastAsia="en-US"/>
    </w:rPr>
  </w:style>
  <w:style w:type="character" w:styleId="UnresolvedMention">
    <w:name w:val="Unresolved Mention"/>
    <w:basedOn w:val="DefaultParagraphFont"/>
    <w:uiPriority w:val="99"/>
    <w:semiHidden/>
    <w:unhideWhenUsed/>
    <w:rsid w:val="00B9541E"/>
    <w:rPr>
      <w:color w:val="605E5C"/>
      <w:shd w:val="clear" w:color="auto" w:fill="E1DFDD"/>
    </w:rPr>
  </w:style>
  <w:style w:type="paragraph" w:customStyle="1" w:styleId="Default">
    <w:name w:val="Default"/>
    <w:rsid w:val="00F522E0"/>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F70CA"/>
    <w:rPr>
      <w:sz w:val="19"/>
      <w:lang w:eastAsia="en-US"/>
    </w:rPr>
  </w:style>
  <w:style w:type="character" w:styleId="FollowedHyperlink">
    <w:name w:val="FollowedHyperlink"/>
    <w:basedOn w:val="DefaultParagraphFont"/>
    <w:semiHidden/>
    <w:unhideWhenUsed/>
    <w:rsid w:val="000B436C"/>
    <w:rPr>
      <w:color w:val="800080" w:themeColor="followedHyperlink"/>
      <w:u w:val="single"/>
    </w:rPr>
  </w:style>
  <w:style w:type="paragraph" w:customStyle="1" w:styleId="IASBSectionTitle3Ind">
    <w:name w:val="IASB Section Title 3 Ind"/>
    <w:basedOn w:val="Normal"/>
    <w:rsid w:val="00237677"/>
    <w:pPr>
      <w:keepNext/>
      <w:keepLines/>
      <w:spacing w:before="240" w:after="200"/>
      <w:ind w:left="782"/>
      <w:jc w:val="left"/>
    </w:pPr>
    <w:rPr>
      <w:rFonts w:ascii="Arial" w:hAnsi="Arial" w:cs="Arial"/>
      <w:b/>
      <w:sz w:val="22"/>
      <w:lang w:val="en-US"/>
    </w:rPr>
  </w:style>
  <w:style w:type="character" w:styleId="PlaceholderText">
    <w:name w:val="Placeholder Text"/>
    <w:basedOn w:val="DefaultParagraphFont"/>
    <w:uiPriority w:val="99"/>
    <w:semiHidden/>
    <w:rsid w:val="00B22FB2"/>
    <w:rPr>
      <w:color w:val="808080"/>
    </w:rPr>
  </w:style>
  <w:style w:type="character" w:styleId="Mention">
    <w:name w:val="Mention"/>
    <w:basedOn w:val="DefaultParagraphFont"/>
    <w:uiPriority w:val="99"/>
    <w:unhideWhenUsed/>
    <w:rsid w:val="00F164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hn\AUSTRALIAN%20ACCOUNTING%20STANDARDS%20-%20AUDITING%20AND%20ASSURANCE%20STANDARDS%20BOARD\OfficeTemplates%20-%20Documents\Templates\AmendingDomest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680AC3-67E0-4CDB-91B1-4EE3401B03E6}"/>
      </w:docPartPr>
      <w:docPartBody>
        <w:p w:rsidR="00A41C40" w:rsidRDefault="002D23F1">
          <w:r w:rsidRPr="00807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F1"/>
    <w:rsid w:val="002D23F1"/>
    <w:rsid w:val="006D328C"/>
    <w:rsid w:val="00A41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3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5FBE3-8C1A-4A2A-8AAF-7118C5D14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70FD0-EDDE-4FB8-A1EC-1B9468972B9B}">
  <ds:schemaRefs>
    <ds:schemaRef ds:uri="http://schemas.microsoft.com/sharepoint/v3/contenttype/forms"/>
  </ds:schemaRefs>
</ds:datastoreItem>
</file>

<file path=customXml/itemProps3.xml><?xml version="1.0" encoding="utf-8"?>
<ds:datastoreItem xmlns:ds="http://schemas.openxmlformats.org/officeDocument/2006/customXml" ds:itemID="{3F6389C3-D39A-4EF8-9C09-19979A13121A}">
  <ds:schemaRefs>
    <ds:schemaRef ds:uri="http://schemas.openxmlformats.org/officeDocument/2006/bibliography"/>
  </ds:schemaRefs>
</ds:datastoreItem>
</file>

<file path=customXml/itemProps4.xml><?xml version="1.0" encoding="utf-8"?>
<ds:datastoreItem xmlns:ds="http://schemas.openxmlformats.org/officeDocument/2006/customXml" ds:itemID="{AC99595A-9EEF-4AB1-9A41-C5D662CF7D33}">
  <ds:schemaRefs>
    <ds:schemaRef ds:uri="http://schemas.openxmlformats.org/package/2006/metadata/core-properties"/>
    <ds:schemaRef ds:uri="http://schemas.microsoft.com/office/2006/documentManagement/types"/>
    <ds:schemaRef ds:uri="http://purl.org/dc/dcmitype/"/>
    <ds:schemaRef ds:uri="http://purl.org/dc/terms/"/>
    <ds:schemaRef ds:uri="4e2d1ddd-4ff2-4144-ad72-d941cc701c35"/>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AmendingDomestic.dotx</Template>
  <TotalTime>5029</TotalTime>
  <Pages>11</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32172</CharactersWithSpaces>
  <SharedDoc>false</SharedDoc>
  <HLinks>
    <vt:vector size="6" baseType="variant">
      <vt:variant>
        <vt:i4>6291458</vt:i4>
      </vt:variant>
      <vt:variant>
        <vt:i4>0</vt:i4>
      </vt:variant>
      <vt:variant>
        <vt:i4>0</vt:i4>
      </vt:variant>
      <vt:variant>
        <vt:i4>5</vt:i4>
      </vt:variant>
      <vt:variant>
        <vt:lpwstr>mailto:canstis@aasb.gov.au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2022-2 (5/22)</dc:title>
  <dc:subject/>
  <dc:creator>.</dc:creator>
  <cp:keywords/>
  <cp:lastModifiedBy>Kathleen John</cp:lastModifiedBy>
  <cp:revision>595</cp:revision>
  <cp:lastPrinted>2022-05-03T22:39:00Z</cp:lastPrinted>
  <dcterms:created xsi:type="dcterms:W3CDTF">2022-02-15T21:51:00Z</dcterms:created>
  <dcterms:modified xsi:type="dcterms:W3CDTF">2022-05-03T22:39:00Z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ies>
</file>