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D9479" w14:textId="77777777" w:rsidR="003612D0" w:rsidRDefault="003612D0" w:rsidP="003612D0">
      <w:pPr>
        <w:pStyle w:val="numberpara"/>
        <w:spacing w:before="0" w:line="240" w:lineRule="auto"/>
        <w:jc w:val="center"/>
        <w:rPr>
          <w:rFonts w:ascii="Tms Rmn" w:hAnsi="Tms Rmn"/>
          <w:b/>
          <w:lang w:val="en-AU"/>
        </w:rPr>
      </w:pPr>
      <w:r>
        <w:rPr>
          <w:rFonts w:ascii="Tms Rmn" w:hAnsi="Tms Rmn"/>
          <w:b/>
          <w:lang w:val="en-AU"/>
        </w:rPr>
        <w:t>EXPLANATORY STATEMENT</w:t>
      </w:r>
    </w:p>
    <w:p w14:paraId="7E65C8A2" w14:textId="77777777" w:rsidR="003612D0" w:rsidRDefault="003612D0" w:rsidP="003612D0">
      <w:pPr>
        <w:pStyle w:val="numberpara"/>
        <w:spacing w:before="0" w:line="240" w:lineRule="auto"/>
        <w:jc w:val="center"/>
        <w:rPr>
          <w:rFonts w:ascii="Tms Rmn" w:hAnsi="Tms Rmn"/>
          <w:b/>
          <w:lang w:val="en-AU"/>
        </w:rPr>
      </w:pPr>
    </w:p>
    <w:p w14:paraId="21CEF786" w14:textId="77777777" w:rsidR="003612D0" w:rsidRDefault="003612D0" w:rsidP="003612D0">
      <w:pPr>
        <w:pStyle w:val="numberpara"/>
        <w:spacing w:before="0" w:line="240" w:lineRule="auto"/>
        <w:jc w:val="center"/>
        <w:rPr>
          <w:rFonts w:ascii="Tms Rmn" w:hAnsi="Tms Rmn"/>
          <w:b/>
          <w:lang w:val="en-AU"/>
        </w:rPr>
      </w:pPr>
      <w:r>
        <w:rPr>
          <w:color w:val="000000"/>
          <w:shd w:val="clear" w:color="auto" w:fill="FFFFFF"/>
        </w:rPr>
        <w:t>Issued by the Authority of the Minister for Health and Aged Care</w:t>
      </w:r>
    </w:p>
    <w:p w14:paraId="1BFA8F25" w14:textId="77777777" w:rsidR="003612D0" w:rsidRDefault="003612D0" w:rsidP="003612D0">
      <w:pPr>
        <w:pStyle w:val="numberpara"/>
        <w:spacing w:before="0" w:line="240" w:lineRule="auto"/>
        <w:jc w:val="center"/>
        <w:rPr>
          <w:rFonts w:ascii="Tms Rmn" w:hAnsi="Tms Rmn"/>
          <w:b/>
          <w:lang w:val="en-AU"/>
        </w:rPr>
      </w:pPr>
    </w:p>
    <w:p w14:paraId="727F8219" w14:textId="77777777" w:rsidR="009E0964" w:rsidRPr="001E31FE" w:rsidRDefault="009E0964" w:rsidP="003612D0">
      <w:pPr>
        <w:pStyle w:val="numberpara"/>
        <w:spacing w:before="0" w:line="240" w:lineRule="auto"/>
        <w:jc w:val="center"/>
        <w:rPr>
          <w:i/>
          <w:iCs/>
        </w:rPr>
      </w:pPr>
      <w:r w:rsidRPr="001E31FE">
        <w:rPr>
          <w:i/>
          <w:iCs/>
        </w:rPr>
        <w:t>Medical Indemnity Act 2002</w:t>
      </w:r>
    </w:p>
    <w:p w14:paraId="340D69B7" w14:textId="77777777" w:rsidR="009E0964" w:rsidRPr="001E31FE" w:rsidRDefault="009E0964" w:rsidP="003612D0">
      <w:pPr>
        <w:pStyle w:val="numberpara"/>
        <w:spacing w:before="0" w:line="240" w:lineRule="auto"/>
        <w:jc w:val="center"/>
        <w:rPr>
          <w:i/>
          <w:iCs/>
        </w:rPr>
      </w:pPr>
      <w:r w:rsidRPr="001E31FE">
        <w:rPr>
          <w:i/>
          <w:iCs/>
        </w:rPr>
        <w:t>Midwife Professional Indemnity (Commonwealth Contribution) Scheme Act 2010</w:t>
      </w:r>
    </w:p>
    <w:p w14:paraId="2027F544" w14:textId="77777777" w:rsidR="003612D0" w:rsidRDefault="003612D0" w:rsidP="003612D0">
      <w:pPr>
        <w:pStyle w:val="numberpara"/>
        <w:spacing w:before="0" w:line="240" w:lineRule="auto"/>
        <w:rPr>
          <w:rFonts w:ascii="Tms Rmn" w:hAnsi="Tms Rmn"/>
          <w:bCs/>
          <w:lang w:val="en-AU"/>
        </w:rPr>
      </w:pPr>
    </w:p>
    <w:p w14:paraId="37F8FBF5" w14:textId="77777777" w:rsidR="003612D0" w:rsidRPr="001E31FE" w:rsidRDefault="003612D0" w:rsidP="003612D0">
      <w:pPr>
        <w:pStyle w:val="numberpara"/>
        <w:spacing w:before="0" w:line="240" w:lineRule="auto"/>
        <w:jc w:val="center"/>
        <w:rPr>
          <w:rFonts w:ascii="Tms Rmn" w:hAnsi="Tms Rmn"/>
          <w:b/>
          <w:i/>
          <w:iCs/>
          <w:lang w:val="en-AU"/>
        </w:rPr>
      </w:pPr>
      <w:bookmarkStart w:id="0" w:name="_Hlk101349398"/>
      <w:r w:rsidRPr="001E31FE">
        <w:rPr>
          <w:rFonts w:ascii="Tms Rmn" w:hAnsi="Tms Rmn"/>
          <w:b/>
          <w:i/>
          <w:iCs/>
          <w:lang w:val="en-AU"/>
        </w:rPr>
        <w:t>Medical and Midwife Indemnity Legislation Amendment (Run-off Claims) Rules 2022</w:t>
      </w:r>
    </w:p>
    <w:bookmarkEnd w:id="0"/>
    <w:p w14:paraId="65E6C011" w14:textId="77777777" w:rsidR="003612D0" w:rsidRDefault="003612D0" w:rsidP="003612D0">
      <w:pPr>
        <w:pStyle w:val="numberpara"/>
        <w:spacing w:before="0" w:line="240" w:lineRule="auto"/>
        <w:rPr>
          <w:rFonts w:ascii="Tms Rmn" w:hAnsi="Tms Rmn"/>
          <w:b/>
          <w:lang w:val="en-AU"/>
        </w:rPr>
      </w:pPr>
    </w:p>
    <w:p w14:paraId="02374DED" w14:textId="77777777" w:rsidR="00222E85" w:rsidRDefault="00222E85" w:rsidP="00222E85">
      <w:pPr>
        <w:pStyle w:val="numberpara"/>
        <w:spacing w:before="0" w:line="240" w:lineRule="auto"/>
        <w:rPr>
          <w:rFonts w:ascii="Tms Rmn" w:hAnsi="Tms Rmn"/>
          <w:b/>
          <w:lang w:val="en-AU"/>
        </w:rPr>
      </w:pPr>
      <w:r>
        <w:rPr>
          <w:rFonts w:ascii="Tms Rmn" w:hAnsi="Tms Rmn"/>
          <w:b/>
          <w:lang w:val="en-AU"/>
        </w:rPr>
        <w:t>Purpose and operation</w:t>
      </w:r>
    </w:p>
    <w:p w14:paraId="1EB52257" w14:textId="77777777" w:rsidR="00222E85" w:rsidRDefault="00222E85" w:rsidP="00222E85">
      <w:pPr>
        <w:pStyle w:val="numberpara"/>
        <w:spacing w:before="0" w:line="240" w:lineRule="auto"/>
        <w:rPr>
          <w:rFonts w:ascii="Tms Rmn" w:hAnsi="Tms Rmn"/>
          <w:b/>
          <w:lang w:val="en-AU"/>
        </w:rPr>
      </w:pPr>
    </w:p>
    <w:p w14:paraId="25F321A6" w14:textId="77777777" w:rsidR="00222E85" w:rsidRDefault="00222E85" w:rsidP="00222E85">
      <w:pPr>
        <w:pStyle w:val="numberpara"/>
        <w:spacing w:before="0" w:line="240" w:lineRule="auto"/>
      </w:pPr>
      <w:r>
        <w:t xml:space="preserve">The </w:t>
      </w:r>
      <w:r w:rsidRPr="002F41D5">
        <w:rPr>
          <w:i/>
          <w:iCs/>
        </w:rPr>
        <w:t>Medical Indemnity Rules 2020</w:t>
      </w:r>
      <w:r>
        <w:t xml:space="preserve"> and the </w:t>
      </w:r>
      <w:r w:rsidRPr="002F41D5">
        <w:rPr>
          <w:i/>
          <w:iCs/>
        </w:rPr>
        <w:t>Midwife Professional Indemnity (Commonwealth Contribution) Scheme Rules 2020</w:t>
      </w:r>
      <w:r>
        <w:t xml:space="preserve"> (Medical and Midwife Indemnity Rules) were amended on 1 April 2020 by the </w:t>
      </w:r>
      <w:r w:rsidRPr="002F41D5">
        <w:rPr>
          <w:i/>
          <w:iCs/>
        </w:rPr>
        <w:t>Medical and Midwife Indemnity Legislation Amendment (Eligible Run off Claims) Rules 2020</w:t>
      </w:r>
      <w:r>
        <w:t xml:space="preserve"> (2020 Amending Instrument).</w:t>
      </w:r>
    </w:p>
    <w:p w14:paraId="7B5EB711" w14:textId="77777777" w:rsidR="00222E85" w:rsidRDefault="00222E85" w:rsidP="00222E85">
      <w:pPr>
        <w:pStyle w:val="numberpara"/>
        <w:spacing w:before="0" w:line="240" w:lineRule="auto"/>
      </w:pPr>
    </w:p>
    <w:p w14:paraId="7BA1F83D" w14:textId="26EDC623" w:rsidR="00222E85" w:rsidRDefault="00222E85" w:rsidP="00222E85">
      <w:pPr>
        <w:pStyle w:val="numberpara"/>
        <w:spacing w:before="0" w:line="240" w:lineRule="auto"/>
      </w:pPr>
      <w:r>
        <w:t>The 2020 Amending Instrument amended the Medical and Midwife Indemnity Rules by inserting a temporary exemption that applies to any doctor or eligible midwife (midwives endorsed by the Nursing and Midwifery Board of Australia to prescribe scheduled medicines) who is eligible for the Run-off Cover Scheme and who returns to private practice. This temporary exemption allows these retired doctors and midwives to return to private practice to provide treatment during the COVID-19 pandemic without the doctor or midwife losing their eligibility under the Run-off Cover Scheme.</w:t>
      </w:r>
    </w:p>
    <w:p w14:paraId="0FBD401D" w14:textId="77777777" w:rsidR="00222E85" w:rsidRDefault="00222E85" w:rsidP="00222E85">
      <w:pPr>
        <w:pStyle w:val="numberpara"/>
        <w:spacing w:before="0" w:line="240" w:lineRule="auto"/>
      </w:pPr>
    </w:p>
    <w:p w14:paraId="6A514710" w14:textId="457649E6" w:rsidR="00222E85" w:rsidRDefault="00222E85" w:rsidP="00222E85">
      <w:pPr>
        <w:pStyle w:val="numberpara"/>
        <w:spacing w:before="0" w:line="240" w:lineRule="auto"/>
      </w:pPr>
      <w:r>
        <w:t xml:space="preserve">On 25 March 2022, </w:t>
      </w:r>
      <w:r w:rsidRPr="00D12729">
        <w:t>the Minister for Health and Aged Care</w:t>
      </w:r>
      <w:r w:rsidR="00C46718">
        <w:t xml:space="preserve"> </w:t>
      </w:r>
      <w:r>
        <w:t xml:space="preserve">announced that the </w:t>
      </w:r>
      <w:r>
        <w:rPr>
          <w:i/>
          <w:iCs/>
        </w:rPr>
        <w:t>Biosecurity (Human Biosecurity Emergency) (Human Coronavirus with Pandemic Potential) Declaration 2020</w:t>
      </w:r>
      <w:r>
        <w:t xml:space="preserve"> made pursuant to section 475 of the </w:t>
      </w:r>
      <w:r w:rsidRPr="00DC33B4">
        <w:rPr>
          <w:i/>
          <w:iCs/>
        </w:rPr>
        <w:t>Biosecurity Act 2015</w:t>
      </w:r>
      <w:r>
        <w:rPr>
          <w:i/>
          <w:iCs/>
        </w:rPr>
        <w:t>,</w:t>
      </w:r>
      <w:r>
        <w:t xml:space="preserve"> would not be renewed when it lapsed on 17 April 2022. </w:t>
      </w:r>
    </w:p>
    <w:p w14:paraId="4B20294C" w14:textId="77777777" w:rsidR="00222E85" w:rsidRDefault="00222E85" w:rsidP="00222E85">
      <w:pPr>
        <w:pStyle w:val="numberpara"/>
        <w:spacing w:before="0" w:line="240" w:lineRule="auto"/>
      </w:pPr>
    </w:p>
    <w:p w14:paraId="2BDD2572" w14:textId="77777777" w:rsidR="00222E85" w:rsidRDefault="00222E85" w:rsidP="00222E85">
      <w:pPr>
        <w:pStyle w:val="numberpara"/>
        <w:spacing w:before="0" w:line="240" w:lineRule="auto"/>
      </w:pPr>
      <w:r>
        <w:t xml:space="preserve">The duration of the Run-off Cover Scheme exemption in the Medical and Midwife Indemnity Rules was specified to end one month after the end of COVID-19 human biosecurity emergency period, that is, 17 May 2022. </w:t>
      </w:r>
    </w:p>
    <w:p w14:paraId="5DF26246" w14:textId="77777777" w:rsidR="00222E85" w:rsidRDefault="00222E85" w:rsidP="00222E85">
      <w:pPr>
        <w:pStyle w:val="numberpara"/>
        <w:spacing w:before="0" w:line="240" w:lineRule="auto"/>
      </w:pPr>
    </w:p>
    <w:p w14:paraId="36B10BCB" w14:textId="77777777" w:rsidR="00222E85" w:rsidRDefault="00222E85" w:rsidP="00222E85">
      <w:pPr>
        <w:pStyle w:val="numberpara"/>
        <w:spacing w:before="0" w:line="240" w:lineRule="auto"/>
      </w:pPr>
      <w:r>
        <w:t xml:space="preserve">The purpose of the </w:t>
      </w:r>
      <w:r w:rsidRPr="00212B3B">
        <w:rPr>
          <w:i/>
          <w:iCs/>
        </w:rPr>
        <w:t xml:space="preserve">Medical and Midwife Indemnity Legislation </w:t>
      </w:r>
      <w:r>
        <w:rPr>
          <w:i/>
          <w:iCs/>
        </w:rPr>
        <w:t>Amendment (Eligible Run-off Claims) Rules 2022</w:t>
      </w:r>
      <w:r>
        <w:t xml:space="preserve"> (the Amending Rules) is to extend the temporary Run-off Cover Scheme exemption from 17 May 2022 to 21 October 2022. This will ensure the ongoing involvement of formerly retired private sector doctors and eligible midwives in the COVID-19 Pandemic Response by ensuring they can assist with workforce shortages without losing their entitlements under the Run-off Cover Scheme. </w:t>
      </w:r>
    </w:p>
    <w:p w14:paraId="411E47F5" w14:textId="77777777" w:rsidR="00222E85" w:rsidRDefault="00222E85" w:rsidP="00222E85">
      <w:pPr>
        <w:pStyle w:val="numberpara"/>
        <w:spacing w:before="0" w:line="240" w:lineRule="auto"/>
      </w:pPr>
    </w:p>
    <w:p w14:paraId="41BB5A58" w14:textId="77777777" w:rsidR="00222E85" w:rsidRDefault="00222E85" w:rsidP="00222E85">
      <w:pPr>
        <w:pStyle w:val="numberpara"/>
        <w:spacing w:before="0" w:line="240" w:lineRule="auto"/>
      </w:pPr>
      <w:r>
        <w:t xml:space="preserve">A cessation date of 21 October 2022 aligns the Amending Rules with the Australian Health Practitioner Regulation Agency (AHPRA) pandemic sub-register, which is currently scheduled to end on 21 September 2022. An additional month coverage after the end of the AHPRA sub-register ends will allow </w:t>
      </w:r>
      <w:r w:rsidRPr="00271170">
        <w:t>sufficient time to make any changes should the sub-register be extended beyond 21 September 2022.</w:t>
      </w:r>
    </w:p>
    <w:p w14:paraId="4B85C1BA" w14:textId="77777777" w:rsidR="00222E85" w:rsidRDefault="00222E85" w:rsidP="00222E85">
      <w:pPr>
        <w:pStyle w:val="numberpara"/>
        <w:spacing w:before="0" w:line="240" w:lineRule="auto"/>
      </w:pPr>
    </w:p>
    <w:p w14:paraId="400E7614" w14:textId="77777777" w:rsidR="007E7380" w:rsidRDefault="00222E85" w:rsidP="00222E85">
      <w:pPr>
        <w:pStyle w:val="numberpara"/>
        <w:spacing w:before="0" w:line="240" w:lineRule="auto"/>
      </w:pPr>
      <w:r>
        <w:t xml:space="preserve">The AHPRA pandemic sub-register was established to allow the health workforce to respond to the changing environment of the COVID-19 pandemic by ensuring there is an adequate number of registered healthcare professionals. The healthcare system has come under sustained pressure during the COVID-19 pandemic. </w:t>
      </w:r>
    </w:p>
    <w:p w14:paraId="6565DBA7" w14:textId="5B755A1A" w:rsidR="00222E85" w:rsidRDefault="00222E85" w:rsidP="00222E85">
      <w:pPr>
        <w:pStyle w:val="numberpara"/>
        <w:spacing w:before="0" w:line="240" w:lineRule="auto"/>
      </w:pPr>
      <w:r>
        <w:lastRenderedPageBreak/>
        <w:t xml:space="preserve">This change will ensure that private sector retired doctors and eligible midwives can continue to assist with the COVID-19 Pandemic Response without losing their entitlements under the Run-off Cover Scheme while AHPRA’s pandemic sub-register remains active. </w:t>
      </w:r>
    </w:p>
    <w:p w14:paraId="0FA882C4" w14:textId="77777777" w:rsidR="00222E85" w:rsidRDefault="00222E85" w:rsidP="00222E85">
      <w:pPr>
        <w:pStyle w:val="numberpara"/>
        <w:spacing w:before="0" w:line="240" w:lineRule="auto"/>
      </w:pPr>
    </w:p>
    <w:p w14:paraId="4EAD5EA9" w14:textId="77777777" w:rsidR="00222E85" w:rsidRDefault="00222E85" w:rsidP="00222E85">
      <w:pPr>
        <w:pStyle w:val="numberpara"/>
        <w:spacing w:before="0" w:line="240" w:lineRule="auto"/>
        <w:rPr>
          <w:color w:val="000000"/>
          <w:shd w:val="clear" w:color="auto" w:fill="FFFFFF"/>
        </w:rPr>
      </w:pPr>
      <w:r>
        <w:rPr>
          <w:color w:val="000000"/>
          <w:shd w:val="clear" w:color="auto" w:fill="FFFFFF"/>
        </w:rPr>
        <w:t>The exemption also operates on the basis that these doctors or midwives have the requisite registration to practice, and that the exemption only applies on a temporary basis for the duration of the pandemic.</w:t>
      </w:r>
    </w:p>
    <w:p w14:paraId="73DD0C8C" w14:textId="77777777" w:rsidR="00222E85" w:rsidRDefault="00222E85" w:rsidP="003612D0">
      <w:pPr>
        <w:pStyle w:val="numberpara"/>
        <w:spacing w:before="0" w:line="240" w:lineRule="auto"/>
        <w:rPr>
          <w:rFonts w:ascii="Tms Rmn" w:hAnsi="Tms Rmn"/>
          <w:b/>
          <w:lang w:val="en-AU"/>
        </w:rPr>
      </w:pPr>
    </w:p>
    <w:p w14:paraId="606332C0" w14:textId="05DC6A0C" w:rsidR="003612D0" w:rsidRDefault="003612D0" w:rsidP="003612D0">
      <w:pPr>
        <w:pStyle w:val="numberpara"/>
        <w:spacing w:before="0" w:line="240" w:lineRule="auto"/>
        <w:rPr>
          <w:rFonts w:ascii="Tms Rmn" w:hAnsi="Tms Rmn"/>
          <w:b/>
          <w:lang w:val="en-AU"/>
        </w:rPr>
      </w:pPr>
      <w:r>
        <w:rPr>
          <w:rFonts w:ascii="Tms Rmn" w:hAnsi="Tms Rmn"/>
          <w:b/>
          <w:lang w:val="en-AU"/>
        </w:rPr>
        <w:t xml:space="preserve">Authority </w:t>
      </w:r>
    </w:p>
    <w:p w14:paraId="589EE323" w14:textId="77777777" w:rsidR="003612D0" w:rsidRDefault="003612D0" w:rsidP="003612D0">
      <w:pPr>
        <w:pStyle w:val="numberpara"/>
        <w:spacing w:before="0" w:line="240" w:lineRule="auto"/>
        <w:rPr>
          <w:rFonts w:ascii="Tms Rmn" w:hAnsi="Tms Rmn"/>
          <w:b/>
          <w:lang w:val="en-AU"/>
        </w:rPr>
      </w:pPr>
    </w:p>
    <w:p w14:paraId="627CAB6D" w14:textId="77777777" w:rsidR="003612D0" w:rsidRDefault="003612D0" w:rsidP="003612D0">
      <w:pPr>
        <w:shd w:val="clear" w:color="auto" w:fill="FFFFFF"/>
        <w:spacing w:after="0" w:line="240" w:lineRule="auto"/>
        <w:rPr>
          <w:rFonts w:ascii="Calibri" w:eastAsia="Times New Roman" w:hAnsi="Calibri" w:cs="Calibri"/>
          <w:color w:val="000000"/>
          <w:sz w:val="22"/>
          <w:szCs w:val="22"/>
          <w:lang w:eastAsia="en-AU"/>
        </w:rPr>
      </w:pPr>
      <w:r>
        <w:rPr>
          <w:rFonts w:eastAsia="Times New Roman"/>
          <w:color w:val="000000"/>
          <w:lang w:eastAsia="en-AU"/>
        </w:rPr>
        <w:t>Section 80 of the </w:t>
      </w:r>
      <w:r>
        <w:rPr>
          <w:rFonts w:eastAsia="Times New Roman"/>
          <w:i/>
          <w:iCs/>
          <w:color w:val="000000"/>
          <w:lang w:eastAsia="en-AU"/>
        </w:rPr>
        <w:t>Medical Indemnity Act 2002</w:t>
      </w:r>
      <w:r>
        <w:rPr>
          <w:rFonts w:eastAsia="Times New Roman"/>
          <w:color w:val="000000"/>
          <w:lang w:eastAsia="en-AU"/>
        </w:rPr>
        <w:t> (the MI Act) provides that the Minister may make</w:t>
      </w:r>
      <w:bookmarkStart w:id="1" w:name="BK_S3P49L25C55"/>
      <w:bookmarkEnd w:id="1"/>
      <w:r>
        <w:rPr>
          <w:rFonts w:eastAsia="Times New Roman"/>
          <w:color w:val="000000"/>
          <w:lang w:eastAsia="en-AU"/>
        </w:rPr>
        <w:t> rules prescribing matters, which are required or permitted by the MI Act to be prescribed by the rules, or which are necessary or convenient to be prescribed for carrying out or giving effect to the MI Act.</w:t>
      </w:r>
    </w:p>
    <w:p w14:paraId="63C95C26" w14:textId="77777777" w:rsidR="003612D0" w:rsidRDefault="003612D0" w:rsidP="003612D0">
      <w:pPr>
        <w:shd w:val="clear" w:color="auto" w:fill="FFFFFF"/>
        <w:spacing w:after="0" w:line="240" w:lineRule="auto"/>
        <w:rPr>
          <w:rFonts w:ascii="Calibri" w:eastAsia="Times New Roman" w:hAnsi="Calibri" w:cs="Calibri"/>
          <w:color w:val="000000"/>
          <w:sz w:val="22"/>
          <w:szCs w:val="22"/>
          <w:lang w:eastAsia="en-AU"/>
        </w:rPr>
      </w:pPr>
      <w:r>
        <w:rPr>
          <w:rFonts w:eastAsia="Times New Roman"/>
          <w:color w:val="000000"/>
          <w:lang w:eastAsia="en-AU"/>
        </w:rPr>
        <w:t> </w:t>
      </w:r>
    </w:p>
    <w:p w14:paraId="3EE0F8B1" w14:textId="77777777" w:rsidR="003612D0" w:rsidRDefault="003612D0" w:rsidP="003612D0">
      <w:pPr>
        <w:shd w:val="clear" w:color="auto" w:fill="FFFFFF"/>
        <w:spacing w:after="0" w:line="240" w:lineRule="auto"/>
        <w:rPr>
          <w:rFonts w:ascii="Calibri" w:eastAsia="Times New Roman" w:hAnsi="Calibri" w:cs="Calibri"/>
          <w:color w:val="000000"/>
          <w:sz w:val="22"/>
          <w:szCs w:val="22"/>
          <w:lang w:eastAsia="en-AU"/>
        </w:rPr>
      </w:pPr>
      <w:r>
        <w:rPr>
          <w:rFonts w:eastAsia="Times New Roman"/>
          <w:color w:val="000000"/>
          <w:lang w:eastAsia="en-AU"/>
        </w:rPr>
        <w:t>Section 90 of the </w:t>
      </w:r>
      <w:r>
        <w:rPr>
          <w:rFonts w:eastAsia="Times New Roman"/>
          <w:i/>
          <w:iCs/>
          <w:color w:val="000000"/>
          <w:lang w:eastAsia="en-AU"/>
        </w:rPr>
        <w:t>Midwife Professional Indemnity (Commonwealth Contribution) Scheme Act 2010 </w:t>
      </w:r>
      <w:r>
        <w:rPr>
          <w:rFonts w:eastAsia="Times New Roman"/>
          <w:color w:val="000000"/>
          <w:lang w:eastAsia="en-AU"/>
        </w:rPr>
        <w:t>(the MPICCS Act) provides that the Minister may make rules providing for matters required or permitted by the Act to be provided for in the rules or necessary or convenient to be provided for in order to carry out or give effect to the MPICCS Act.</w:t>
      </w:r>
    </w:p>
    <w:p w14:paraId="57B184CD" w14:textId="77777777" w:rsidR="003612D0" w:rsidRDefault="003612D0" w:rsidP="003612D0">
      <w:pPr>
        <w:shd w:val="clear" w:color="auto" w:fill="FFFFFF"/>
        <w:spacing w:after="0" w:line="240" w:lineRule="auto"/>
        <w:rPr>
          <w:rFonts w:ascii="Calibri" w:eastAsia="Times New Roman" w:hAnsi="Calibri" w:cs="Calibri"/>
          <w:color w:val="000000"/>
          <w:sz w:val="22"/>
          <w:szCs w:val="22"/>
          <w:lang w:eastAsia="en-AU"/>
        </w:rPr>
      </w:pPr>
      <w:r>
        <w:rPr>
          <w:rFonts w:eastAsia="Times New Roman"/>
          <w:color w:val="000000"/>
          <w:lang w:eastAsia="en-AU"/>
        </w:rPr>
        <w:t> </w:t>
      </w:r>
    </w:p>
    <w:p w14:paraId="46D90517" w14:textId="173A3EB5" w:rsidR="009E0964" w:rsidRDefault="009E0964" w:rsidP="003612D0">
      <w:pPr>
        <w:shd w:val="clear" w:color="auto" w:fill="FFFFFF"/>
        <w:spacing w:after="0" w:line="240" w:lineRule="auto"/>
        <w:rPr>
          <w:rFonts w:eastAsia="Times New Roman"/>
          <w:color w:val="000000"/>
          <w:lang w:eastAsia="en-AU"/>
        </w:rPr>
      </w:pPr>
      <w:r>
        <w:rPr>
          <w:rFonts w:eastAsia="Times New Roman"/>
          <w:b/>
          <w:bCs/>
          <w:color w:val="000000"/>
          <w:lang w:eastAsia="en-AU"/>
        </w:rPr>
        <w:t xml:space="preserve">Reliance on subsection 33(3) of the </w:t>
      </w:r>
      <w:r>
        <w:rPr>
          <w:rFonts w:eastAsia="Times New Roman"/>
          <w:b/>
          <w:bCs/>
          <w:i/>
          <w:iCs/>
          <w:color w:val="000000"/>
          <w:lang w:eastAsia="en-AU"/>
        </w:rPr>
        <w:t>Acts Interpretation Act 1901</w:t>
      </w:r>
    </w:p>
    <w:p w14:paraId="30846705" w14:textId="77777777" w:rsidR="009E0964" w:rsidRPr="009E0964" w:rsidRDefault="009E0964" w:rsidP="003612D0">
      <w:pPr>
        <w:shd w:val="clear" w:color="auto" w:fill="FFFFFF"/>
        <w:spacing w:after="0" w:line="240" w:lineRule="auto"/>
        <w:rPr>
          <w:rFonts w:eastAsia="Times New Roman"/>
          <w:color w:val="000000"/>
          <w:lang w:eastAsia="en-AU"/>
        </w:rPr>
      </w:pPr>
    </w:p>
    <w:p w14:paraId="504098E5" w14:textId="0537C04D" w:rsidR="003612D0" w:rsidRDefault="003612D0" w:rsidP="003612D0">
      <w:pPr>
        <w:shd w:val="clear" w:color="auto" w:fill="FFFFFF"/>
        <w:spacing w:after="0" w:line="240" w:lineRule="auto"/>
        <w:rPr>
          <w:rFonts w:ascii="Calibri" w:eastAsia="Times New Roman" w:hAnsi="Calibri" w:cs="Calibri"/>
          <w:color w:val="000000"/>
          <w:sz w:val="22"/>
          <w:szCs w:val="22"/>
          <w:lang w:eastAsia="en-AU"/>
        </w:rPr>
      </w:pPr>
      <w:r>
        <w:rPr>
          <w:rFonts w:eastAsia="Times New Roman"/>
          <w:color w:val="000000"/>
          <w:lang w:eastAsia="en-AU"/>
        </w:rPr>
        <w:t>Under subsection 33(3) of the </w:t>
      </w:r>
      <w:r>
        <w:rPr>
          <w:rFonts w:eastAsia="Times New Roman"/>
          <w:i/>
          <w:iCs/>
          <w:color w:val="000000"/>
          <w:lang w:eastAsia="en-AU"/>
        </w:rPr>
        <w:t>Acts Interpretation Act 1901</w:t>
      </w:r>
      <w:r>
        <w:rPr>
          <w:rFonts w:eastAsia="Times New Roman"/>
          <w:color w:val="000000"/>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9365CA9" w14:textId="77777777" w:rsidR="003612D0" w:rsidRDefault="003612D0" w:rsidP="003612D0">
      <w:pPr>
        <w:pStyle w:val="numberpara"/>
        <w:spacing w:before="0" w:line="240" w:lineRule="auto"/>
        <w:rPr>
          <w:rFonts w:ascii="Tms Rmn" w:hAnsi="Tms Rmn"/>
          <w:b/>
          <w:lang w:val="en-AU"/>
        </w:rPr>
      </w:pPr>
    </w:p>
    <w:p w14:paraId="6F39B045" w14:textId="77777777" w:rsidR="0045416C" w:rsidRPr="0045416C" w:rsidRDefault="0045416C" w:rsidP="0045416C">
      <w:pPr>
        <w:shd w:val="clear" w:color="auto" w:fill="FFFFFF"/>
        <w:spacing w:after="0" w:line="240" w:lineRule="auto"/>
        <w:rPr>
          <w:rFonts w:eastAsia="Times New Roman"/>
          <w:color w:val="000000"/>
          <w:lang w:eastAsia="en-AU"/>
        </w:rPr>
      </w:pPr>
      <w:r w:rsidRPr="0045416C">
        <w:rPr>
          <w:rFonts w:eastAsia="Times New Roman"/>
          <w:color w:val="000000"/>
          <w:lang w:eastAsia="en-AU"/>
        </w:rPr>
        <w:t>The Amending Rules is a legislative instrument for the purposes of the </w:t>
      </w:r>
      <w:r w:rsidRPr="0045416C">
        <w:rPr>
          <w:rFonts w:eastAsia="Times New Roman"/>
          <w:i/>
          <w:iCs/>
          <w:color w:val="000000"/>
          <w:lang w:eastAsia="en-AU"/>
        </w:rPr>
        <w:t>Legislation Act 2003 </w:t>
      </w:r>
      <w:r w:rsidRPr="0045416C">
        <w:rPr>
          <w:rFonts w:eastAsia="Times New Roman"/>
          <w:color w:val="000000"/>
          <w:lang w:eastAsia="en-AU"/>
        </w:rPr>
        <w:t>(Legislation Act).</w:t>
      </w:r>
    </w:p>
    <w:p w14:paraId="132C44B9" w14:textId="77777777" w:rsidR="0045416C" w:rsidRPr="0045416C" w:rsidRDefault="0045416C" w:rsidP="0045416C">
      <w:pPr>
        <w:shd w:val="clear" w:color="auto" w:fill="FFFFFF"/>
        <w:spacing w:after="0" w:line="240" w:lineRule="auto"/>
        <w:rPr>
          <w:rFonts w:eastAsia="Times New Roman"/>
          <w:color w:val="000000"/>
          <w:lang w:eastAsia="en-AU"/>
        </w:rPr>
      </w:pPr>
      <w:r w:rsidRPr="0045416C">
        <w:rPr>
          <w:rFonts w:eastAsia="Times New Roman"/>
          <w:color w:val="000000"/>
          <w:lang w:eastAsia="en-AU"/>
        </w:rPr>
        <w:t> </w:t>
      </w:r>
    </w:p>
    <w:p w14:paraId="71296720" w14:textId="77777777" w:rsidR="009E0964" w:rsidRDefault="009E0964" w:rsidP="0045416C">
      <w:pPr>
        <w:shd w:val="clear" w:color="auto" w:fill="FFFFFF"/>
        <w:spacing w:after="0" w:line="240" w:lineRule="auto"/>
        <w:rPr>
          <w:rFonts w:eastAsia="Times New Roman"/>
          <w:b/>
          <w:bCs/>
          <w:color w:val="000000"/>
          <w:lang w:eastAsia="en-AU"/>
        </w:rPr>
      </w:pPr>
      <w:r>
        <w:rPr>
          <w:rFonts w:eastAsia="Times New Roman"/>
          <w:b/>
          <w:bCs/>
          <w:color w:val="000000"/>
          <w:lang w:eastAsia="en-AU"/>
        </w:rPr>
        <w:t>Commencement</w:t>
      </w:r>
    </w:p>
    <w:p w14:paraId="77FC7DA7" w14:textId="77777777" w:rsidR="009E0964" w:rsidRDefault="009E0964" w:rsidP="0045416C">
      <w:pPr>
        <w:shd w:val="clear" w:color="auto" w:fill="FFFFFF"/>
        <w:spacing w:after="0" w:line="240" w:lineRule="auto"/>
        <w:rPr>
          <w:rFonts w:eastAsia="Times New Roman"/>
          <w:b/>
          <w:bCs/>
          <w:color w:val="000000"/>
          <w:lang w:eastAsia="en-AU"/>
        </w:rPr>
      </w:pPr>
    </w:p>
    <w:p w14:paraId="4938E5ED" w14:textId="3BDB436B" w:rsidR="0045416C" w:rsidRPr="0045416C" w:rsidRDefault="0045416C" w:rsidP="0045416C">
      <w:pPr>
        <w:shd w:val="clear" w:color="auto" w:fill="FFFFFF"/>
        <w:spacing w:after="0" w:line="240" w:lineRule="auto"/>
        <w:rPr>
          <w:rFonts w:eastAsia="Times New Roman"/>
          <w:color w:val="000000"/>
          <w:lang w:eastAsia="en-AU"/>
        </w:rPr>
      </w:pPr>
      <w:r w:rsidRPr="0045416C">
        <w:rPr>
          <w:rFonts w:eastAsia="Times New Roman"/>
          <w:color w:val="000000"/>
          <w:lang w:eastAsia="en-AU"/>
        </w:rPr>
        <w:t xml:space="preserve">The Amending Rules </w:t>
      </w:r>
      <w:r w:rsidR="00843627">
        <w:rPr>
          <w:rFonts w:eastAsia="Times New Roman"/>
          <w:color w:val="000000"/>
          <w:lang w:eastAsia="en-AU"/>
        </w:rPr>
        <w:t xml:space="preserve">is a disallowable legislative instrument for the purposes of the Legislation Act and </w:t>
      </w:r>
      <w:r w:rsidRPr="0045416C">
        <w:rPr>
          <w:rFonts w:eastAsia="Times New Roman"/>
          <w:color w:val="000000"/>
          <w:lang w:eastAsia="en-AU"/>
        </w:rPr>
        <w:t>commence</w:t>
      </w:r>
      <w:r w:rsidR="00843627">
        <w:rPr>
          <w:rFonts w:eastAsia="Times New Roman"/>
          <w:color w:val="000000"/>
          <w:lang w:eastAsia="en-AU"/>
        </w:rPr>
        <w:t>s</w:t>
      </w:r>
      <w:r w:rsidRPr="0045416C">
        <w:rPr>
          <w:rFonts w:eastAsia="Times New Roman"/>
          <w:color w:val="000000"/>
          <w:lang w:eastAsia="en-AU"/>
        </w:rPr>
        <w:t xml:space="preserve"> on the day </w:t>
      </w:r>
      <w:r>
        <w:rPr>
          <w:rFonts w:eastAsia="Times New Roman"/>
          <w:color w:val="000000"/>
          <w:lang w:eastAsia="en-AU"/>
        </w:rPr>
        <w:t>after</w:t>
      </w:r>
      <w:r w:rsidRPr="0045416C">
        <w:rPr>
          <w:rFonts w:eastAsia="Times New Roman"/>
          <w:color w:val="000000"/>
          <w:lang w:eastAsia="en-AU"/>
        </w:rPr>
        <w:t xml:space="preserve"> </w:t>
      </w:r>
      <w:r w:rsidR="00843627">
        <w:rPr>
          <w:rFonts w:eastAsia="Times New Roman"/>
          <w:color w:val="000000"/>
          <w:lang w:eastAsia="en-AU"/>
        </w:rPr>
        <w:t xml:space="preserve">it is </w:t>
      </w:r>
      <w:r w:rsidRPr="0045416C">
        <w:rPr>
          <w:rFonts w:eastAsia="Times New Roman"/>
          <w:color w:val="000000"/>
          <w:lang w:eastAsia="en-AU"/>
        </w:rPr>
        <w:t>regist</w:t>
      </w:r>
      <w:r w:rsidR="00843627">
        <w:rPr>
          <w:rFonts w:eastAsia="Times New Roman"/>
          <w:color w:val="000000"/>
          <w:lang w:eastAsia="en-AU"/>
        </w:rPr>
        <w:t>e</w:t>
      </w:r>
      <w:r w:rsidRPr="0045416C">
        <w:rPr>
          <w:rFonts w:eastAsia="Times New Roman"/>
          <w:color w:val="000000"/>
          <w:lang w:eastAsia="en-AU"/>
        </w:rPr>
        <w:t>r</w:t>
      </w:r>
      <w:r w:rsidR="00843627">
        <w:rPr>
          <w:rFonts w:eastAsia="Times New Roman"/>
          <w:color w:val="000000"/>
          <w:lang w:eastAsia="en-AU"/>
        </w:rPr>
        <w:t>ed</w:t>
      </w:r>
      <w:r w:rsidR="009E0964">
        <w:rPr>
          <w:rFonts w:eastAsia="Times New Roman"/>
          <w:color w:val="000000"/>
          <w:lang w:eastAsia="en-AU"/>
        </w:rPr>
        <w:t xml:space="preserve"> on the Federal Register of Legislation</w:t>
      </w:r>
      <w:r w:rsidRPr="0045416C">
        <w:rPr>
          <w:rFonts w:eastAsia="Times New Roman"/>
          <w:color w:val="000000"/>
          <w:lang w:eastAsia="en-AU"/>
        </w:rPr>
        <w:t>.</w:t>
      </w:r>
    </w:p>
    <w:p w14:paraId="4667608C" w14:textId="77777777" w:rsidR="003612D0" w:rsidRDefault="003612D0" w:rsidP="003612D0">
      <w:pPr>
        <w:pStyle w:val="numberpara"/>
        <w:spacing w:before="0" w:line="240" w:lineRule="auto"/>
      </w:pPr>
    </w:p>
    <w:p w14:paraId="06EFB8D3" w14:textId="77777777" w:rsidR="003612D0" w:rsidRDefault="003612D0" w:rsidP="003612D0">
      <w:pPr>
        <w:pStyle w:val="numberpara"/>
        <w:spacing w:before="0" w:line="240" w:lineRule="auto"/>
        <w:rPr>
          <w:b/>
          <w:bCs/>
        </w:rPr>
      </w:pPr>
      <w:r>
        <w:rPr>
          <w:b/>
          <w:bCs/>
        </w:rPr>
        <w:t xml:space="preserve">Consultation </w:t>
      </w:r>
    </w:p>
    <w:p w14:paraId="35922196" w14:textId="77777777" w:rsidR="003612D0" w:rsidRDefault="003612D0" w:rsidP="003612D0">
      <w:pPr>
        <w:pStyle w:val="numberpara"/>
        <w:spacing w:before="0" w:line="240" w:lineRule="auto"/>
      </w:pPr>
    </w:p>
    <w:p w14:paraId="46F5D640" w14:textId="05DAB327" w:rsidR="003612D0" w:rsidRDefault="009618F0" w:rsidP="003612D0">
      <w:pPr>
        <w:pStyle w:val="numberpara"/>
        <w:spacing w:before="0" w:line="240" w:lineRule="auto"/>
        <w:rPr>
          <w:color w:val="000000"/>
          <w:shd w:val="clear" w:color="auto" w:fill="FFFFFF"/>
        </w:rPr>
      </w:pPr>
      <w:r>
        <w:rPr>
          <w:color w:val="000000"/>
          <w:shd w:val="clear" w:color="auto" w:fill="FFFFFF"/>
        </w:rPr>
        <w:t>The Department of Health consulted with medical indemnity insurers on the proposed changes. The Department of Health has also consulted with other Australian Government agencies and stakeholders including the Australian Government Actuary, the Department of Prime Minister and Cabinet and Services Australia.</w:t>
      </w:r>
    </w:p>
    <w:p w14:paraId="76E7DED8" w14:textId="77777777" w:rsidR="00222E85" w:rsidRDefault="00222E85" w:rsidP="00222E85">
      <w:pPr>
        <w:shd w:val="clear" w:color="auto" w:fill="FFFFFF"/>
        <w:spacing w:after="0" w:line="240" w:lineRule="auto"/>
        <w:rPr>
          <w:rFonts w:eastAsia="Times New Roman"/>
          <w:color w:val="000000"/>
          <w:lang w:eastAsia="en-AU"/>
        </w:rPr>
      </w:pPr>
    </w:p>
    <w:p w14:paraId="236287E4" w14:textId="0AD6E9C9" w:rsidR="00222E85" w:rsidRDefault="00222E85" w:rsidP="00222E85">
      <w:pPr>
        <w:shd w:val="clear" w:color="auto" w:fill="FFFFFF"/>
        <w:spacing w:after="0" w:line="240" w:lineRule="auto"/>
        <w:rPr>
          <w:rFonts w:eastAsia="Times New Roman"/>
          <w:color w:val="000000"/>
          <w:lang w:eastAsia="en-AU"/>
        </w:rPr>
      </w:pPr>
      <w:r w:rsidRPr="0045416C">
        <w:rPr>
          <w:rFonts w:eastAsia="Times New Roman"/>
          <w:color w:val="000000"/>
          <w:lang w:eastAsia="en-AU"/>
        </w:rPr>
        <w:t>Details of the Amending Rules are set out in </w:t>
      </w:r>
      <w:r w:rsidRPr="001E31FE">
        <w:rPr>
          <w:rFonts w:eastAsia="Times New Roman"/>
          <w:b/>
          <w:bCs/>
          <w:color w:val="000000"/>
          <w:lang w:eastAsia="en-AU"/>
        </w:rPr>
        <w:t>Attachment A</w:t>
      </w:r>
      <w:r w:rsidRPr="0045416C">
        <w:rPr>
          <w:rFonts w:eastAsia="Times New Roman"/>
          <w:color w:val="000000"/>
          <w:lang w:eastAsia="en-AU"/>
        </w:rPr>
        <w:t>.</w:t>
      </w:r>
    </w:p>
    <w:p w14:paraId="71D378EB" w14:textId="58D2B25A" w:rsidR="00843627" w:rsidRDefault="00843627" w:rsidP="00222E85">
      <w:pPr>
        <w:shd w:val="clear" w:color="auto" w:fill="FFFFFF"/>
        <w:spacing w:after="0" w:line="240" w:lineRule="auto"/>
        <w:rPr>
          <w:rFonts w:eastAsia="Times New Roman"/>
          <w:color w:val="000000"/>
          <w:lang w:eastAsia="en-AU"/>
        </w:rPr>
      </w:pPr>
    </w:p>
    <w:p w14:paraId="2610FE97" w14:textId="37BD8028" w:rsidR="00843627" w:rsidRPr="001E31FE" w:rsidRDefault="00843627" w:rsidP="00222E85">
      <w:pPr>
        <w:shd w:val="clear" w:color="auto" w:fill="FFFFFF"/>
        <w:spacing w:after="0" w:line="240" w:lineRule="auto"/>
        <w:rPr>
          <w:rFonts w:eastAsia="Times New Roman"/>
          <w:b/>
          <w:bCs/>
          <w:color w:val="000000"/>
          <w:lang w:eastAsia="en-AU"/>
        </w:rPr>
      </w:pPr>
      <w:r>
        <w:rPr>
          <w:rFonts w:eastAsia="Times New Roman"/>
          <w:color w:val="000000"/>
          <w:lang w:eastAsia="en-AU"/>
        </w:rPr>
        <w:t xml:space="preserve">The Amending Rules are compatible with the human rights and freedoms recognised or declared under section 3 of the </w:t>
      </w:r>
      <w:r>
        <w:rPr>
          <w:rFonts w:eastAsia="Times New Roman"/>
          <w:i/>
          <w:iCs/>
          <w:color w:val="000000"/>
          <w:lang w:eastAsia="en-AU"/>
        </w:rPr>
        <w:t xml:space="preserve">Human Rights (Parliamentary Scrutiny) Act 2011. </w:t>
      </w:r>
      <w:r>
        <w:rPr>
          <w:rFonts w:eastAsia="Times New Roman"/>
          <w:color w:val="000000"/>
          <w:lang w:eastAsia="en-AU"/>
        </w:rPr>
        <w:t xml:space="preserve">A full statement of compatibility is set out in </w:t>
      </w:r>
      <w:r>
        <w:rPr>
          <w:rFonts w:eastAsia="Times New Roman"/>
          <w:b/>
          <w:bCs/>
          <w:color w:val="000000"/>
          <w:lang w:eastAsia="en-AU"/>
        </w:rPr>
        <w:t xml:space="preserve">Attachment B. </w:t>
      </w:r>
    </w:p>
    <w:p w14:paraId="5F7E3AC9" w14:textId="77777777" w:rsidR="00222E85" w:rsidRDefault="00222E85" w:rsidP="003612D0">
      <w:pPr>
        <w:shd w:val="clear" w:color="auto" w:fill="FFFFFF"/>
        <w:spacing w:line="257" w:lineRule="atLeast"/>
        <w:rPr>
          <w:rFonts w:eastAsia="Times New Roman"/>
          <w:b/>
          <w:bCs/>
          <w:color w:val="000000"/>
          <w:u w:val="single"/>
          <w:lang w:eastAsia="en-AU"/>
        </w:rPr>
      </w:pPr>
    </w:p>
    <w:p w14:paraId="19BBA93E" w14:textId="6CBF4526" w:rsidR="009618F0" w:rsidRPr="00AE411E" w:rsidRDefault="00AE411E" w:rsidP="009618F0">
      <w:pPr>
        <w:shd w:val="clear" w:color="auto" w:fill="FFFFFF"/>
        <w:spacing w:after="0" w:line="240" w:lineRule="auto"/>
        <w:jc w:val="right"/>
        <w:rPr>
          <w:rFonts w:eastAsia="Times New Roman"/>
          <w:color w:val="000000"/>
          <w:lang w:eastAsia="en-AU"/>
        </w:rPr>
      </w:pPr>
      <w:r w:rsidRPr="001E31FE">
        <w:rPr>
          <w:rFonts w:eastAsia="Times New Roman"/>
          <w:b/>
          <w:bCs/>
          <w:color w:val="000000"/>
          <w:lang w:eastAsia="en-AU"/>
        </w:rPr>
        <w:lastRenderedPageBreak/>
        <w:t xml:space="preserve">ATTACHMENT </w:t>
      </w:r>
      <w:r w:rsidR="000712D6" w:rsidRPr="001E31FE">
        <w:rPr>
          <w:rFonts w:eastAsia="Times New Roman"/>
          <w:b/>
          <w:bCs/>
          <w:color w:val="000000"/>
          <w:lang w:eastAsia="en-AU"/>
        </w:rPr>
        <w:t>A</w:t>
      </w:r>
    </w:p>
    <w:p w14:paraId="4E241A61" w14:textId="77777777" w:rsidR="00261127" w:rsidRPr="009618F0" w:rsidRDefault="00261127" w:rsidP="009618F0">
      <w:pPr>
        <w:shd w:val="clear" w:color="auto" w:fill="FFFFFF"/>
        <w:spacing w:after="0" w:line="240" w:lineRule="auto"/>
        <w:ind w:right="-316"/>
        <w:jc w:val="right"/>
        <w:rPr>
          <w:rFonts w:ascii="Arial" w:eastAsia="Times New Roman" w:hAnsi="Arial" w:cs="Arial"/>
          <w:color w:val="000000"/>
          <w:sz w:val="22"/>
          <w:szCs w:val="22"/>
          <w:lang w:eastAsia="en-AU"/>
        </w:rPr>
      </w:pPr>
    </w:p>
    <w:p w14:paraId="0C1A3157" w14:textId="6F9F5D66" w:rsidR="009618F0" w:rsidRPr="009618F0" w:rsidRDefault="009618F0" w:rsidP="009618F0">
      <w:pPr>
        <w:shd w:val="clear" w:color="auto" w:fill="FFFFFF"/>
        <w:spacing w:after="0" w:line="240" w:lineRule="auto"/>
        <w:ind w:right="-316"/>
        <w:rPr>
          <w:rFonts w:ascii="Arial" w:eastAsia="Times New Roman" w:hAnsi="Arial" w:cs="Arial"/>
          <w:color w:val="000000"/>
          <w:sz w:val="22"/>
          <w:szCs w:val="22"/>
          <w:lang w:eastAsia="en-AU"/>
        </w:rPr>
      </w:pPr>
      <w:r w:rsidRPr="009618F0">
        <w:rPr>
          <w:rFonts w:eastAsia="Times New Roman"/>
          <w:b/>
          <w:bCs/>
          <w:color w:val="000000"/>
          <w:u w:val="single"/>
          <w:lang w:eastAsia="en-AU"/>
        </w:rPr>
        <w:t>Details of the </w:t>
      </w:r>
      <w:r w:rsidRPr="009618F0">
        <w:rPr>
          <w:rFonts w:eastAsia="Times New Roman"/>
          <w:b/>
          <w:bCs/>
          <w:i/>
          <w:iCs/>
          <w:color w:val="000000"/>
          <w:u w:val="single"/>
          <w:lang w:eastAsia="en-AU"/>
        </w:rPr>
        <w:t>Medical and Midwife Indemnity Legislation Amendment (Eligible Run off Claims) Rules 202</w:t>
      </w:r>
      <w:r>
        <w:rPr>
          <w:rFonts w:eastAsia="Times New Roman"/>
          <w:b/>
          <w:bCs/>
          <w:i/>
          <w:iCs/>
          <w:color w:val="000000"/>
          <w:u w:val="single"/>
          <w:lang w:eastAsia="en-AU"/>
        </w:rPr>
        <w:t>2</w:t>
      </w:r>
    </w:p>
    <w:p w14:paraId="63E39133" w14:textId="77777777" w:rsidR="009618F0" w:rsidRPr="009618F0" w:rsidRDefault="009618F0" w:rsidP="001E31FE">
      <w:pPr>
        <w:shd w:val="clear" w:color="auto" w:fill="FFFFFF"/>
        <w:spacing w:after="0" w:line="240" w:lineRule="auto"/>
        <w:ind w:right="-316"/>
        <w:jc w:val="right"/>
        <w:rPr>
          <w:rFonts w:ascii="Arial" w:eastAsia="Times New Roman" w:hAnsi="Arial" w:cs="Arial"/>
          <w:color w:val="000000"/>
          <w:sz w:val="22"/>
          <w:szCs w:val="22"/>
          <w:lang w:eastAsia="en-AU"/>
        </w:rPr>
      </w:pPr>
      <w:r w:rsidRPr="009618F0">
        <w:rPr>
          <w:rFonts w:ascii="Arial" w:eastAsia="Times New Roman" w:hAnsi="Arial" w:cs="Arial"/>
          <w:color w:val="000000"/>
          <w:sz w:val="22"/>
          <w:szCs w:val="22"/>
          <w:lang w:eastAsia="en-AU"/>
        </w:rPr>
        <w:t>  </w:t>
      </w:r>
    </w:p>
    <w:p w14:paraId="2C462D04" w14:textId="77777777" w:rsidR="009618F0" w:rsidRPr="009618F0" w:rsidRDefault="009618F0" w:rsidP="009618F0">
      <w:pPr>
        <w:shd w:val="clear" w:color="auto" w:fill="FFFFFF"/>
        <w:spacing w:after="0" w:line="240" w:lineRule="auto"/>
        <w:outlineLvl w:val="1"/>
        <w:rPr>
          <w:rFonts w:ascii="Arial" w:eastAsia="Times New Roman" w:hAnsi="Arial" w:cs="Arial"/>
          <w:b/>
          <w:bCs/>
          <w:i/>
          <w:iCs/>
          <w:color w:val="000000"/>
          <w:lang w:eastAsia="en-AU"/>
        </w:rPr>
      </w:pPr>
      <w:r w:rsidRPr="009618F0">
        <w:rPr>
          <w:rFonts w:eastAsia="Times New Roman"/>
          <w:b/>
          <w:bCs/>
          <w:color w:val="000000"/>
          <w:lang w:eastAsia="en-AU"/>
        </w:rPr>
        <w:t>Section 1 – Name</w:t>
      </w:r>
    </w:p>
    <w:p w14:paraId="1B39C3FA" w14:textId="77777777" w:rsidR="009618F0" w:rsidRPr="009618F0" w:rsidRDefault="009618F0" w:rsidP="009618F0">
      <w:pPr>
        <w:shd w:val="clear" w:color="auto" w:fill="FFFFFF"/>
        <w:spacing w:after="0" w:line="240" w:lineRule="auto"/>
        <w:rPr>
          <w:rFonts w:eastAsia="Times New Roman"/>
          <w:color w:val="000000"/>
          <w:lang w:eastAsia="en-AU"/>
        </w:rPr>
      </w:pPr>
      <w:r w:rsidRPr="009618F0">
        <w:rPr>
          <w:rFonts w:eastAsia="Times New Roman"/>
          <w:color w:val="000000"/>
          <w:lang w:eastAsia="en-AU"/>
        </w:rPr>
        <w:t> </w:t>
      </w:r>
    </w:p>
    <w:p w14:paraId="12201947" w14:textId="2E00CA48" w:rsidR="009618F0" w:rsidRPr="009618F0" w:rsidRDefault="000712D6" w:rsidP="009618F0">
      <w:pPr>
        <w:shd w:val="clear" w:color="auto" w:fill="FFFFFF"/>
        <w:spacing w:after="0" w:line="240" w:lineRule="auto"/>
        <w:rPr>
          <w:rFonts w:eastAsia="Times New Roman"/>
          <w:color w:val="000000"/>
          <w:lang w:eastAsia="en-AU"/>
        </w:rPr>
      </w:pPr>
      <w:r>
        <w:rPr>
          <w:rFonts w:eastAsia="Times New Roman"/>
          <w:color w:val="000000"/>
          <w:lang w:eastAsia="en-AU"/>
        </w:rPr>
        <w:t>Section 1</w:t>
      </w:r>
      <w:r w:rsidR="009618F0" w:rsidRPr="009618F0">
        <w:rPr>
          <w:rFonts w:eastAsia="Times New Roman"/>
          <w:color w:val="000000"/>
          <w:lang w:eastAsia="en-AU"/>
        </w:rPr>
        <w:t xml:space="preserve"> provides that the name of the instrument is the </w:t>
      </w:r>
      <w:r w:rsidR="009618F0" w:rsidRPr="009618F0">
        <w:rPr>
          <w:rFonts w:eastAsia="Times New Roman"/>
          <w:i/>
          <w:iCs/>
          <w:color w:val="000000"/>
          <w:lang w:eastAsia="en-AU"/>
        </w:rPr>
        <w:t>Medical and Midwife Indemnity Legislation Amendment (Eligible Run Off Claims) Rules 202</w:t>
      </w:r>
      <w:r w:rsidR="009618F0">
        <w:rPr>
          <w:rFonts w:eastAsia="Times New Roman"/>
          <w:i/>
          <w:iCs/>
          <w:color w:val="000000"/>
          <w:lang w:eastAsia="en-AU"/>
        </w:rPr>
        <w:t>2</w:t>
      </w:r>
      <w:r w:rsidR="009618F0" w:rsidRPr="009618F0">
        <w:rPr>
          <w:rFonts w:eastAsia="Times New Roman"/>
          <w:i/>
          <w:iCs/>
          <w:color w:val="000000"/>
          <w:lang w:eastAsia="en-AU"/>
        </w:rPr>
        <w:t>.</w:t>
      </w:r>
    </w:p>
    <w:p w14:paraId="747668E5" w14:textId="77777777" w:rsidR="009618F0" w:rsidRPr="009618F0" w:rsidRDefault="009618F0" w:rsidP="009618F0">
      <w:pPr>
        <w:shd w:val="clear" w:color="auto" w:fill="FFFFFF"/>
        <w:spacing w:after="0" w:line="240" w:lineRule="auto"/>
        <w:rPr>
          <w:rFonts w:eastAsia="Times New Roman"/>
          <w:color w:val="000000"/>
          <w:lang w:eastAsia="en-AU"/>
        </w:rPr>
      </w:pPr>
      <w:r w:rsidRPr="009618F0">
        <w:rPr>
          <w:rFonts w:eastAsia="Times New Roman"/>
          <w:color w:val="000000"/>
          <w:lang w:eastAsia="en-AU"/>
        </w:rPr>
        <w:t> </w:t>
      </w:r>
    </w:p>
    <w:p w14:paraId="7DA30A8E" w14:textId="77777777" w:rsidR="009618F0" w:rsidRPr="009618F0" w:rsidRDefault="009618F0" w:rsidP="009618F0">
      <w:pPr>
        <w:shd w:val="clear" w:color="auto" w:fill="FFFFFF"/>
        <w:spacing w:after="0" w:line="240" w:lineRule="auto"/>
        <w:outlineLvl w:val="1"/>
        <w:rPr>
          <w:rFonts w:ascii="Arial" w:eastAsia="Times New Roman" w:hAnsi="Arial" w:cs="Arial"/>
          <w:b/>
          <w:bCs/>
          <w:i/>
          <w:iCs/>
          <w:color w:val="000000"/>
          <w:lang w:eastAsia="en-AU"/>
        </w:rPr>
      </w:pPr>
      <w:r w:rsidRPr="009618F0">
        <w:rPr>
          <w:rFonts w:eastAsia="Times New Roman"/>
          <w:b/>
          <w:bCs/>
          <w:color w:val="000000"/>
          <w:lang w:eastAsia="en-AU"/>
        </w:rPr>
        <w:t>Section 2 – Commencement</w:t>
      </w:r>
    </w:p>
    <w:p w14:paraId="72D8E30B" w14:textId="77777777" w:rsidR="009618F0" w:rsidRPr="009618F0" w:rsidRDefault="009618F0" w:rsidP="009618F0">
      <w:pPr>
        <w:shd w:val="clear" w:color="auto" w:fill="FFFFFF"/>
        <w:spacing w:after="0" w:line="240" w:lineRule="auto"/>
        <w:rPr>
          <w:rFonts w:eastAsia="Times New Roman"/>
          <w:color w:val="000000"/>
          <w:lang w:eastAsia="en-AU"/>
        </w:rPr>
      </w:pPr>
      <w:r w:rsidRPr="009618F0">
        <w:rPr>
          <w:rFonts w:eastAsia="Times New Roman"/>
          <w:color w:val="000000"/>
          <w:lang w:eastAsia="en-AU"/>
        </w:rPr>
        <w:t> </w:t>
      </w:r>
    </w:p>
    <w:p w14:paraId="058B07C6" w14:textId="55C15E39" w:rsidR="009618F0" w:rsidRPr="009618F0" w:rsidRDefault="000712D6" w:rsidP="009618F0">
      <w:pPr>
        <w:shd w:val="clear" w:color="auto" w:fill="FFFFFF"/>
        <w:spacing w:after="0" w:line="240" w:lineRule="auto"/>
        <w:rPr>
          <w:rFonts w:eastAsia="Times New Roman"/>
          <w:color w:val="000000"/>
          <w:lang w:eastAsia="en-AU"/>
        </w:rPr>
      </w:pPr>
      <w:r>
        <w:rPr>
          <w:rFonts w:eastAsia="Times New Roman"/>
          <w:color w:val="000000"/>
          <w:lang w:eastAsia="en-AU"/>
        </w:rPr>
        <w:t>Section 2</w:t>
      </w:r>
      <w:r w:rsidR="009618F0" w:rsidRPr="009618F0">
        <w:rPr>
          <w:rFonts w:eastAsia="Times New Roman"/>
          <w:color w:val="000000"/>
          <w:lang w:eastAsia="en-AU"/>
        </w:rPr>
        <w:t xml:space="preserve"> provides that </w:t>
      </w:r>
      <w:r w:rsidR="009618F0">
        <w:rPr>
          <w:rFonts w:eastAsia="Times New Roman"/>
          <w:color w:val="000000"/>
          <w:lang w:eastAsia="en-AU"/>
        </w:rPr>
        <w:t xml:space="preserve">the </w:t>
      </w:r>
      <w:r>
        <w:rPr>
          <w:rFonts w:eastAsia="Times New Roman"/>
          <w:color w:val="000000"/>
          <w:lang w:eastAsia="en-AU"/>
        </w:rPr>
        <w:t>instrument</w:t>
      </w:r>
      <w:r w:rsidR="009618F0" w:rsidRPr="009618F0">
        <w:rPr>
          <w:rFonts w:eastAsia="Times New Roman"/>
          <w:color w:val="000000"/>
          <w:lang w:eastAsia="en-AU"/>
        </w:rPr>
        <w:t xml:space="preserve"> commence</w:t>
      </w:r>
      <w:r>
        <w:rPr>
          <w:rFonts w:eastAsia="Times New Roman"/>
          <w:color w:val="000000"/>
          <w:lang w:eastAsia="en-AU"/>
        </w:rPr>
        <w:t>s on</w:t>
      </w:r>
      <w:r w:rsidR="009618F0" w:rsidRPr="009618F0">
        <w:rPr>
          <w:rFonts w:eastAsia="Times New Roman"/>
          <w:color w:val="000000"/>
          <w:lang w:eastAsia="en-AU"/>
        </w:rPr>
        <w:t xml:space="preserve"> the day after </w:t>
      </w:r>
      <w:r>
        <w:rPr>
          <w:rFonts w:eastAsia="Times New Roman"/>
          <w:color w:val="000000"/>
          <w:lang w:eastAsia="en-AU"/>
        </w:rPr>
        <w:t>it is</w:t>
      </w:r>
      <w:r w:rsidR="009618F0" w:rsidRPr="009618F0">
        <w:rPr>
          <w:rFonts w:eastAsia="Times New Roman"/>
          <w:color w:val="000000"/>
          <w:lang w:eastAsia="en-AU"/>
        </w:rPr>
        <w:t xml:space="preserve"> registered</w:t>
      </w:r>
      <w:r>
        <w:rPr>
          <w:rFonts w:eastAsia="Times New Roman"/>
          <w:color w:val="000000"/>
          <w:lang w:eastAsia="en-AU"/>
        </w:rPr>
        <w:t xml:space="preserve"> on the Federal Register of Legislation</w:t>
      </w:r>
      <w:r w:rsidR="009618F0" w:rsidRPr="009618F0">
        <w:rPr>
          <w:rFonts w:eastAsia="Times New Roman"/>
          <w:color w:val="000000"/>
          <w:lang w:eastAsia="en-AU"/>
        </w:rPr>
        <w:t xml:space="preserve">.  </w:t>
      </w:r>
    </w:p>
    <w:p w14:paraId="41B5E443" w14:textId="77777777" w:rsidR="009618F0" w:rsidRPr="009618F0" w:rsidRDefault="009618F0" w:rsidP="009618F0">
      <w:pPr>
        <w:shd w:val="clear" w:color="auto" w:fill="FFFFFF"/>
        <w:spacing w:after="0" w:line="240" w:lineRule="auto"/>
        <w:rPr>
          <w:rFonts w:eastAsia="Times New Roman"/>
          <w:color w:val="000000"/>
          <w:lang w:eastAsia="en-AU"/>
        </w:rPr>
      </w:pPr>
      <w:r w:rsidRPr="009618F0">
        <w:rPr>
          <w:rFonts w:eastAsia="Times New Roman"/>
          <w:color w:val="000000"/>
          <w:lang w:eastAsia="en-AU"/>
        </w:rPr>
        <w:t> </w:t>
      </w:r>
    </w:p>
    <w:p w14:paraId="7A02B40E" w14:textId="77777777" w:rsidR="009618F0" w:rsidRPr="009618F0" w:rsidRDefault="009618F0" w:rsidP="009618F0">
      <w:pPr>
        <w:shd w:val="clear" w:color="auto" w:fill="FFFFFF"/>
        <w:spacing w:after="0" w:line="240" w:lineRule="auto"/>
        <w:outlineLvl w:val="1"/>
        <w:rPr>
          <w:rFonts w:ascii="Arial" w:eastAsia="Times New Roman" w:hAnsi="Arial" w:cs="Arial"/>
          <w:b/>
          <w:bCs/>
          <w:i/>
          <w:iCs/>
          <w:color w:val="000000"/>
          <w:lang w:eastAsia="en-AU"/>
        </w:rPr>
      </w:pPr>
      <w:r w:rsidRPr="009618F0">
        <w:rPr>
          <w:rFonts w:eastAsia="Times New Roman"/>
          <w:b/>
          <w:bCs/>
          <w:color w:val="000000"/>
          <w:lang w:eastAsia="en-AU"/>
        </w:rPr>
        <w:t>Section 3 – Authority</w:t>
      </w:r>
    </w:p>
    <w:p w14:paraId="54C2757F" w14:textId="77777777" w:rsidR="009618F0" w:rsidRPr="009618F0" w:rsidRDefault="009618F0" w:rsidP="009618F0">
      <w:pPr>
        <w:shd w:val="clear" w:color="auto" w:fill="FFFFFF"/>
        <w:spacing w:after="0" w:line="240" w:lineRule="auto"/>
        <w:rPr>
          <w:rFonts w:eastAsia="Times New Roman"/>
          <w:color w:val="000000"/>
          <w:lang w:eastAsia="en-AU"/>
        </w:rPr>
      </w:pPr>
      <w:r w:rsidRPr="009618F0">
        <w:rPr>
          <w:rFonts w:eastAsia="Times New Roman"/>
          <w:color w:val="000000"/>
          <w:lang w:eastAsia="en-AU"/>
        </w:rPr>
        <w:t> </w:t>
      </w:r>
    </w:p>
    <w:p w14:paraId="43225F14" w14:textId="76489FAC" w:rsidR="009618F0" w:rsidRPr="009618F0" w:rsidRDefault="000712D6" w:rsidP="009618F0">
      <w:pPr>
        <w:shd w:val="clear" w:color="auto" w:fill="FFFFFF"/>
        <w:spacing w:after="120" w:line="240" w:lineRule="auto"/>
        <w:rPr>
          <w:rFonts w:eastAsia="Times New Roman"/>
          <w:color w:val="000000"/>
          <w:lang w:eastAsia="en-AU"/>
        </w:rPr>
      </w:pPr>
      <w:r>
        <w:rPr>
          <w:rFonts w:eastAsia="Times New Roman"/>
          <w:color w:val="000000"/>
          <w:lang w:eastAsia="en-AU"/>
        </w:rPr>
        <w:t>Section 3</w:t>
      </w:r>
      <w:r w:rsidR="009618F0" w:rsidRPr="009618F0">
        <w:rPr>
          <w:rFonts w:eastAsia="Times New Roman"/>
          <w:color w:val="000000"/>
          <w:lang w:eastAsia="en-AU"/>
        </w:rPr>
        <w:t xml:space="preserve"> provides that this instrument is made under the following:</w:t>
      </w:r>
    </w:p>
    <w:p w14:paraId="18A66938" w14:textId="571755F6" w:rsidR="009618F0" w:rsidRPr="009618F0" w:rsidRDefault="009618F0" w:rsidP="009618F0">
      <w:pPr>
        <w:shd w:val="clear" w:color="auto" w:fill="FFFFFF"/>
        <w:spacing w:after="0" w:line="240" w:lineRule="auto"/>
        <w:ind w:left="567" w:hanging="491"/>
        <w:rPr>
          <w:rFonts w:eastAsia="Times New Roman"/>
          <w:color w:val="000000"/>
          <w:lang w:eastAsia="en-AU"/>
        </w:rPr>
      </w:pPr>
      <w:r w:rsidRPr="009618F0">
        <w:rPr>
          <w:rFonts w:eastAsia="Times New Roman"/>
          <w:color w:val="000000"/>
          <w:lang w:eastAsia="en-AU"/>
        </w:rPr>
        <w:t>(a)</w:t>
      </w:r>
      <w:r w:rsidRPr="009618F0">
        <w:rPr>
          <w:rFonts w:eastAsia="Times New Roman"/>
          <w:color w:val="000000"/>
          <w:sz w:val="14"/>
          <w:szCs w:val="14"/>
          <w:lang w:eastAsia="en-AU"/>
        </w:rPr>
        <w:t>        </w:t>
      </w:r>
      <w:r w:rsidRPr="009618F0">
        <w:rPr>
          <w:rFonts w:eastAsia="Times New Roman"/>
          <w:color w:val="000000"/>
          <w:lang w:eastAsia="en-AU"/>
        </w:rPr>
        <w:t>the </w:t>
      </w:r>
      <w:r w:rsidRPr="009618F0">
        <w:rPr>
          <w:rFonts w:eastAsia="Times New Roman"/>
          <w:i/>
          <w:iCs/>
          <w:color w:val="000000"/>
          <w:lang w:eastAsia="en-AU"/>
        </w:rPr>
        <w:t>Medical Indemnity Act 2002</w:t>
      </w:r>
      <w:r w:rsidRPr="009618F0">
        <w:rPr>
          <w:rFonts w:eastAsia="Times New Roman"/>
          <w:color w:val="000000"/>
          <w:lang w:eastAsia="en-AU"/>
        </w:rPr>
        <w:t>; and</w:t>
      </w:r>
    </w:p>
    <w:p w14:paraId="431F52D9" w14:textId="65F8FD0D" w:rsidR="009618F0" w:rsidRPr="009618F0" w:rsidRDefault="009618F0" w:rsidP="009618F0">
      <w:pPr>
        <w:shd w:val="clear" w:color="auto" w:fill="FFFFFF"/>
        <w:spacing w:after="0" w:line="240" w:lineRule="auto"/>
        <w:ind w:left="567" w:hanging="491"/>
        <w:rPr>
          <w:rFonts w:eastAsia="Times New Roman"/>
          <w:color w:val="000000"/>
          <w:lang w:eastAsia="en-AU"/>
        </w:rPr>
      </w:pPr>
      <w:r w:rsidRPr="009618F0">
        <w:rPr>
          <w:rFonts w:eastAsia="Times New Roman"/>
          <w:color w:val="000000"/>
          <w:lang w:eastAsia="en-AU"/>
        </w:rPr>
        <w:t>(b)</w:t>
      </w:r>
      <w:r w:rsidRPr="009618F0">
        <w:rPr>
          <w:rFonts w:eastAsia="Times New Roman"/>
          <w:color w:val="000000"/>
          <w:sz w:val="14"/>
          <w:szCs w:val="14"/>
          <w:lang w:eastAsia="en-AU"/>
        </w:rPr>
        <w:t>        </w:t>
      </w:r>
      <w:r w:rsidRPr="009618F0">
        <w:rPr>
          <w:rFonts w:eastAsia="Times New Roman"/>
          <w:color w:val="000000"/>
          <w:lang w:eastAsia="en-AU"/>
        </w:rPr>
        <w:t>the </w:t>
      </w:r>
      <w:r w:rsidRPr="009618F0">
        <w:rPr>
          <w:rFonts w:eastAsia="Times New Roman"/>
          <w:i/>
          <w:iCs/>
          <w:color w:val="000000"/>
          <w:lang w:eastAsia="en-AU"/>
        </w:rPr>
        <w:t>Midwife Professional Indemnity (Commonwealth Contribution) Scheme Act 2010.</w:t>
      </w:r>
    </w:p>
    <w:p w14:paraId="23BA2FF1" w14:textId="77777777" w:rsidR="009618F0" w:rsidRPr="009618F0" w:rsidRDefault="009618F0" w:rsidP="009618F0">
      <w:pPr>
        <w:shd w:val="clear" w:color="auto" w:fill="FFFFFF"/>
        <w:spacing w:after="0" w:line="240" w:lineRule="auto"/>
        <w:rPr>
          <w:rFonts w:eastAsia="Times New Roman"/>
          <w:color w:val="000000"/>
          <w:lang w:eastAsia="en-AU"/>
        </w:rPr>
      </w:pPr>
      <w:r w:rsidRPr="009618F0">
        <w:rPr>
          <w:rFonts w:eastAsia="Times New Roman"/>
          <w:color w:val="000000"/>
          <w:lang w:eastAsia="en-AU"/>
        </w:rPr>
        <w:t> </w:t>
      </w:r>
    </w:p>
    <w:p w14:paraId="38CDF39D" w14:textId="77777777" w:rsidR="009618F0" w:rsidRPr="009618F0" w:rsidRDefault="009618F0" w:rsidP="009618F0">
      <w:pPr>
        <w:shd w:val="clear" w:color="auto" w:fill="FFFFFF"/>
        <w:spacing w:after="0" w:line="240" w:lineRule="auto"/>
        <w:outlineLvl w:val="1"/>
        <w:rPr>
          <w:rFonts w:ascii="Arial" w:eastAsia="Times New Roman" w:hAnsi="Arial" w:cs="Arial"/>
          <w:b/>
          <w:bCs/>
          <w:i/>
          <w:iCs/>
          <w:color w:val="000000"/>
          <w:lang w:eastAsia="en-AU"/>
        </w:rPr>
      </w:pPr>
      <w:r w:rsidRPr="009618F0">
        <w:rPr>
          <w:rFonts w:eastAsia="Times New Roman"/>
          <w:b/>
          <w:bCs/>
          <w:color w:val="000000"/>
          <w:lang w:eastAsia="en-AU"/>
        </w:rPr>
        <w:t>Section 4 – Schedules</w:t>
      </w:r>
    </w:p>
    <w:p w14:paraId="50079750" w14:textId="77777777" w:rsidR="009618F0" w:rsidRPr="009618F0" w:rsidRDefault="009618F0" w:rsidP="009618F0">
      <w:pPr>
        <w:shd w:val="clear" w:color="auto" w:fill="FFFFFF"/>
        <w:spacing w:after="0" w:line="240" w:lineRule="auto"/>
        <w:rPr>
          <w:rFonts w:eastAsia="Times New Roman"/>
          <w:color w:val="000000"/>
          <w:lang w:eastAsia="en-AU"/>
        </w:rPr>
      </w:pPr>
      <w:r w:rsidRPr="009618F0">
        <w:rPr>
          <w:rFonts w:eastAsia="Times New Roman"/>
          <w:color w:val="000000"/>
          <w:lang w:eastAsia="en-AU"/>
        </w:rPr>
        <w:t> </w:t>
      </w:r>
    </w:p>
    <w:p w14:paraId="4E44CAA1" w14:textId="1A2F6473" w:rsidR="009618F0" w:rsidRPr="009618F0" w:rsidRDefault="000712D6" w:rsidP="009618F0">
      <w:pPr>
        <w:shd w:val="clear" w:color="auto" w:fill="FFFFFF"/>
        <w:spacing w:after="0" w:line="240" w:lineRule="auto"/>
        <w:rPr>
          <w:rFonts w:eastAsia="Times New Roman"/>
          <w:color w:val="000000"/>
          <w:lang w:eastAsia="en-AU"/>
        </w:rPr>
      </w:pPr>
      <w:r>
        <w:rPr>
          <w:rFonts w:eastAsia="Times New Roman"/>
          <w:color w:val="000000"/>
          <w:lang w:eastAsia="en-AU"/>
        </w:rPr>
        <w:t>Section 4</w:t>
      </w:r>
      <w:r w:rsidR="009618F0" w:rsidRPr="009618F0">
        <w:rPr>
          <w:rFonts w:eastAsia="Times New Roman"/>
          <w:color w:val="000000"/>
          <w:lang w:eastAsia="en-AU"/>
        </w:rPr>
        <w:t xml:space="preserve"> provides that </w:t>
      </w:r>
      <w:r>
        <w:rPr>
          <w:rFonts w:eastAsia="Times New Roman"/>
          <w:color w:val="000000"/>
          <w:lang w:eastAsia="en-AU"/>
        </w:rPr>
        <w:t>the</w:t>
      </w:r>
      <w:r w:rsidR="009618F0" w:rsidRPr="009618F0">
        <w:rPr>
          <w:rFonts w:eastAsia="Times New Roman"/>
          <w:color w:val="000000"/>
          <w:lang w:eastAsia="en-AU"/>
        </w:rPr>
        <w:t xml:space="preserve"> Schedule</w:t>
      </w:r>
      <w:r>
        <w:rPr>
          <w:rFonts w:eastAsia="Times New Roman"/>
          <w:color w:val="000000"/>
          <w:lang w:eastAsia="en-AU"/>
        </w:rPr>
        <w:t xml:space="preserve"> sets out the specific terms of amendment and repeal of each instrument</w:t>
      </w:r>
      <w:r w:rsidR="009618F0" w:rsidRPr="009618F0">
        <w:rPr>
          <w:rFonts w:eastAsia="Times New Roman"/>
          <w:color w:val="000000"/>
          <w:lang w:eastAsia="en-AU"/>
        </w:rPr>
        <w:t xml:space="preserve">, and any other item in </w:t>
      </w:r>
      <w:r>
        <w:rPr>
          <w:rFonts w:eastAsia="Times New Roman"/>
          <w:color w:val="000000"/>
          <w:lang w:eastAsia="en-AU"/>
        </w:rPr>
        <w:t>the</w:t>
      </w:r>
      <w:r w:rsidR="009618F0" w:rsidRPr="009618F0">
        <w:rPr>
          <w:rFonts w:eastAsia="Times New Roman"/>
          <w:color w:val="000000"/>
          <w:lang w:eastAsia="en-AU"/>
        </w:rPr>
        <w:t xml:space="preserve"> Schedule has effect according to its terms.  </w:t>
      </w:r>
    </w:p>
    <w:p w14:paraId="401E51EA" w14:textId="77777777" w:rsidR="009618F0" w:rsidRPr="009618F0" w:rsidRDefault="009618F0" w:rsidP="009618F0">
      <w:pPr>
        <w:shd w:val="clear" w:color="auto" w:fill="FFFFFF"/>
        <w:spacing w:after="0" w:line="240" w:lineRule="auto"/>
        <w:rPr>
          <w:rFonts w:eastAsia="Times New Roman"/>
          <w:color w:val="000000"/>
          <w:lang w:eastAsia="en-AU"/>
        </w:rPr>
      </w:pPr>
      <w:r w:rsidRPr="009618F0">
        <w:rPr>
          <w:rFonts w:eastAsia="Times New Roman"/>
          <w:color w:val="000000"/>
          <w:sz w:val="28"/>
          <w:szCs w:val="28"/>
          <w:lang w:eastAsia="en-AU"/>
        </w:rPr>
        <w:t> </w:t>
      </w:r>
    </w:p>
    <w:p w14:paraId="0B01D934" w14:textId="4A8114E3" w:rsidR="009618F0" w:rsidRDefault="009618F0" w:rsidP="009618F0">
      <w:pPr>
        <w:shd w:val="clear" w:color="auto" w:fill="FFFFFF"/>
        <w:spacing w:after="0" w:line="240" w:lineRule="auto"/>
        <w:ind w:right="91"/>
        <w:rPr>
          <w:rFonts w:eastAsia="Times New Roman"/>
          <w:color w:val="000000"/>
          <w:lang w:eastAsia="en-AU"/>
        </w:rPr>
      </w:pPr>
      <w:bookmarkStart w:id="2" w:name="_Toc36020238"/>
      <w:r w:rsidRPr="009618F0">
        <w:rPr>
          <w:rFonts w:eastAsia="Times New Roman"/>
          <w:b/>
          <w:bCs/>
          <w:color w:val="000000"/>
          <w:sz w:val="28"/>
          <w:szCs w:val="28"/>
          <w:lang w:eastAsia="en-AU"/>
        </w:rPr>
        <w:t>Schedule 1—Amendments</w:t>
      </w:r>
      <w:bookmarkEnd w:id="2"/>
    </w:p>
    <w:p w14:paraId="550B193D" w14:textId="77777777" w:rsidR="009618F0" w:rsidRPr="009618F0" w:rsidRDefault="009618F0" w:rsidP="009618F0">
      <w:pPr>
        <w:shd w:val="clear" w:color="auto" w:fill="FFFFFF"/>
        <w:spacing w:after="0" w:line="240" w:lineRule="auto"/>
        <w:ind w:right="91"/>
        <w:rPr>
          <w:rFonts w:eastAsia="Times New Roman"/>
          <w:color w:val="000000"/>
          <w:lang w:eastAsia="en-AU"/>
        </w:rPr>
      </w:pPr>
    </w:p>
    <w:p w14:paraId="7B2FFB77" w14:textId="7A090789" w:rsidR="009618F0" w:rsidRDefault="009618F0">
      <w:pPr>
        <w:spacing w:line="259" w:lineRule="auto"/>
        <w:rPr>
          <w:b/>
          <w:bCs/>
          <w:i/>
          <w:iCs/>
          <w:color w:val="000000"/>
          <w:sz w:val="26"/>
          <w:szCs w:val="26"/>
          <w:shd w:val="clear" w:color="auto" w:fill="FFFFFF"/>
        </w:rPr>
      </w:pPr>
      <w:bookmarkStart w:id="3" w:name="_Toc36034841"/>
      <w:r>
        <w:rPr>
          <w:b/>
          <w:bCs/>
          <w:i/>
          <w:iCs/>
          <w:color w:val="000000"/>
          <w:sz w:val="26"/>
          <w:szCs w:val="26"/>
          <w:shd w:val="clear" w:color="auto" w:fill="FFFFFF"/>
        </w:rPr>
        <w:t xml:space="preserve">Medical Indemnity </w:t>
      </w:r>
      <w:r w:rsidR="007F6E06">
        <w:rPr>
          <w:b/>
          <w:bCs/>
          <w:i/>
          <w:iCs/>
          <w:color w:val="000000"/>
          <w:sz w:val="26"/>
          <w:szCs w:val="26"/>
          <w:shd w:val="clear" w:color="auto" w:fill="FFFFFF"/>
        </w:rPr>
        <w:t>Rules</w:t>
      </w:r>
      <w:r>
        <w:rPr>
          <w:b/>
          <w:bCs/>
          <w:i/>
          <w:iCs/>
          <w:color w:val="000000"/>
          <w:sz w:val="26"/>
          <w:szCs w:val="26"/>
          <w:shd w:val="clear" w:color="auto" w:fill="FFFFFF"/>
        </w:rPr>
        <w:t xml:space="preserve"> 20</w:t>
      </w:r>
      <w:r w:rsidR="007F6E06">
        <w:rPr>
          <w:b/>
          <w:bCs/>
          <w:i/>
          <w:iCs/>
          <w:color w:val="000000"/>
          <w:sz w:val="26"/>
          <w:szCs w:val="26"/>
          <w:shd w:val="clear" w:color="auto" w:fill="FFFFFF"/>
        </w:rPr>
        <w:t>20</w:t>
      </w:r>
    </w:p>
    <w:p w14:paraId="724BE62F" w14:textId="0EF2A0DB" w:rsidR="009618F0" w:rsidRPr="001E31FE" w:rsidRDefault="007F6E06">
      <w:pPr>
        <w:spacing w:line="259" w:lineRule="auto"/>
        <w:rPr>
          <w:b/>
          <w:bCs/>
        </w:rPr>
      </w:pPr>
      <w:r w:rsidRPr="001E31FE">
        <w:rPr>
          <w:b/>
          <w:bCs/>
          <w:color w:val="000000"/>
          <w:shd w:val="clear" w:color="auto" w:fill="FFFFFF"/>
        </w:rPr>
        <w:t>Item 1</w:t>
      </w:r>
      <w:r w:rsidR="000712D6" w:rsidRPr="001E31FE">
        <w:rPr>
          <w:b/>
          <w:bCs/>
          <w:color w:val="000000"/>
          <w:shd w:val="clear" w:color="auto" w:fill="FFFFFF"/>
        </w:rPr>
        <w:t xml:space="preserve"> – </w:t>
      </w:r>
      <w:r w:rsidRPr="001E31FE">
        <w:rPr>
          <w:b/>
          <w:bCs/>
        </w:rPr>
        <w:t>Division 1 of Part 5 (heading)</w:t>
      </w:r>
    </w:p>
    <w:p w14:paraId="28F033CA" w14:textId="0CE008F4" w:rsidR="000E1497" w:rsidRPr="000E1497" w:rsidRDefault="000E1497">
      <w:pPr>
        <w:spacing w:line="259" w:lineRule="auto"/>
        <w:rPr>
          <w:color w:val="000000"/>
          <w:sz w:val="26"/>
          <w:szCs w:val="26"/>
          <w:shd w:val="clear" w:color="auto" w:fill="FFFFFF"/>
        </w:rPr>
      </w:pPr>
      <w:r>
        <w:t>This item rep</w:t>
      </w:r>
      <w:r w:rsidR="00261127">
        <w:t>eals</w:t>
      </w:r>
      <w:r>
        <w:t xml:space="preserve"> the </w:t>
      </w:r>
      <w:r w:rsidR="00261127">
        <w:t xml:space="preserve">heading of “COVID-19 human biosecurity emergency period” in </w:t>
      </w:r>
      <w:r>
        <w:t>Part 5</w:t>
      </w:r>
      <w:r w:rsidR="00EF5FDA">
        <w:t>, Division 1</w:t>
      </w:r>
      <w:r>
        <w:t xml:space="preserve"> of the </w:t>
      </w:r>
      <w:r>
        <w:rPr>
          <w:i/>
          <w:iCs/>
        </w:rPr>
        <w:t xml:space="preserve">Medical Indemnity Rules 2020 </w:t>
      </w:r>
      <w:r w:rsidR="00261127">
        <w:t>and replaces it</w:t>
      </w:r>
      <w:r>
        <w:t xml:space="preserve"> with </w:t>
      </w:r>
      <w:r w:rsidR="00F134DE">
        <w:t>“</w:t>
      </w:r>
      <w:r w:rsidRPr="000E1497">
        <w:t>Temporary measure relating to eligible run off claims</w:t>
      </w:r>
      <w:r w:rsidR="00F134DE">
        <w:t>”</w:t>
      </w:r>
      <w:r>
        <w:t>.</w:t>
      </w:r>
      <w:r w:rsidR="00261127">
        <w:t xml:space="preserve"> This amendment effectively unties the </w:t>
      </w:r>
      <w:r w:rsidR="00F627FE">
        <w:t xml:space="preserve">duration of the Run-off Cover measure </w:t>
      </w:r>
      <w:r w:rsidR="00261127">
        <w:t>from the COVID-19 human biosecurity emergency period</w:t>
      </w:r>
      <w:r w:rsidR="00F627FE">
        <w:t>.</w:t>
      </w:r>
    </w:p>
    <w:p w14:paraId="34DA1242" w14:textId="09C43B5E" w:rsidR="007F6E06" w:rsidRPr="001E31FE" w:rsidRDefault="007F6E06">
      <w:pPr>
        <w:spacing w:line="259" w:lineRule="auto"/>
        <w:rPr>
          <w:b/>
          <w:bCs/>
        </w:rPr>
      </w:pPr>
      <w:r w:rsidRPr="001E31FE">
        <w:rPr>
          <w:b/>
          <w:bCs/>
          <w:color w:val="000000"/>
          <w:shd w:val="clear" w:color="auto" w:fill="FFFFFF"/>
        </w:rPr>
        <w:t>Item 2</w:t>
      </w:r>
      <w:r w:rsidR="00F627FE" w:rsidRPr="001E31FE">
        <w:rPr>
          <w:b/>
          <w:bCs/>
          <w:color w:val="000000"/>
          <w:shd w:val="clear" w:color="auto" w:fill="FFFFFF"/>
        </w:rPr>
        <w:t xml:space="preserve"> – </w:t>
      </w:r>
      <w:r w:rsidRPr="001E31FE">
        <w:rPr>
          <w:b/>
          <w:bCs/>
        </w:rPr>
        <w:t>Section 23 (heading)</w:t>
      </w:r>
    </w:p>
    <w:p w14:paraId="0658011B" w14:textId="4C9E525C" w:rsidR="000E1497" w:rsidRPr="000E1497" w:rsidRDefault="000E1497">
      <w:pPr>
        <w:spacing w:line="259" w:lineRule="auto"/>
        <w:rPr>
          <w:color w:val="000000"/>
          <w:sz w:val="26"/>
          <w:szCs w:val="26"/>
          <w:shd w:val="clear" w:color="auto" w:fill="FFFFFF"/>
        </w:rPr>
      </w:pPr>
      <w:r>
        <w:t>This item rep</w:t>
      </w:r>
      <w:r w:rsidR="00EF5FDA">
        <w:t>eals</w:t>
      </w:r>
      <w:r>
        <w:t xml:space="preserve"> the heading of </w:t>
      </w:r>
      <w:r w:rsidR="00F627FE">
        <w:t>“Eligible run-off claims</w:t>
      </w:r>
      <w:r w:rsidR="00F627FE" w:rsidRPr="000E1497">
        <w:t>—</w:t>
      </w:r>
      <w:r w:rsidR="00F627FE">
        <w:t xml:space="preserve">COVID-19 human biosecurity emergency period” in </w:t>
      </w:r>
      <w:r>
        <w:t xml:space="preserve">section 23 of the </w:t>
      </w:r>
      <w:r>
        <w:rPr>
          <w:i/>
          <w:iCs/>
        </w:rPr>
        <w:t xml:space="preserve">Medical Indemnity Rules 2020 </w:t>
      </w:r>
      <w:r w:rsidR="00F627FE">
        <w:t>and replace</w:t>
      </w:r>
      <w:r w:rsidR="00EF5FDA">
        <w:t>s</w:t>
      </w:r>
      <w:r w:rsidR="00F627FE">
        <w:t xml:space="preserve"> it </w:t>
      </w:r>
      <w:r>
        <w:t xml:space="preserve">with </w:t>
      </w:r>
      <w:r w:rsidR="00F627FE">
        <w:t>“</w:t>
      </w:r>
      <w:r>
        <w:t>Eligible run-off claims</w:t>
      </w:r>
      <w:r w:rsidR="00F627FE">
        <w:t>”</w:t>
      </w:r>
      <w:r>
        <w:t xml:space="preserve">. </w:t>
      </w:r>
      <w:r w:rsidR="00CD3635">
        <w:t>This is a consequential amendment resulting from the amendment in item 1.</w:t>
      </w:r>
    </w:p>
    <w:p w14:paraId="293E7DAC" w14:textId="70CA79B2" w:rsidR="007F6E06" w:rsidRPr="001E31FE" w:rsidRDefault="007F6E06">
      <w:pPr>
        <w:spacing w:line="259" w:lineRule="auto"/>
        <w:rPr>
          <w:b/>
          <w:bCs/>
        </w:rPr>
      </w:pPr>
      <w:r w:rsidRPr="001E31FE">
        <w:rPr>
          <w:b/>
          <w:bCs/>
          <w:color w:val="000000"/>
          <w:shd w:val="clear" w:color="auto" w:fill="FFFFFF"/>
        </w:rPr>
        <w:t>Item 3</w:t>
      </w:r>
      <w:r w:rsidR="00F627FE" w:rsidRPr="001E31FE">
        <w:rPr>
          <w:b/>
          <w:bCs/>
          <w:color w:val="000000"/>
          <w:shd w:val="clear" w:color="auto" w:fill="FFFFFF"/>
        </w:rPr>
        <w:t xml:space="preserve"> – </w:t>
      </w:r>
      <w:r w:rsidRPr="001E31FE">
        <w:rPr>
          <w:b/>
          <w:bCs/>
        </w:rPr>
        <w:t>Subsection 23(2)</w:t>
      </w:r>
    </w:p>
    <w:p w14:paraId="78D61AF6" w14:textId="1FA1BD6E" w:rsidR="00833C48" w:rsidRDefault="00833C48">
      <w:pPr>
        <w:spacing w:line="259" w:lineRule="auto"/>
      </w:pPr>
      <w:r>
        <w:t xml:space="preserve">This item </w:t>
      </w:r>
      <w:r w:rsidR="0068707E">
        <w:t>omits</w:t>
      </w:r>
      <w:r>
        <w:t xml:space="preserve"> the words after </w:t>
      </w:r>
      <w:r w:rsidR="0068707E">
        <w:t>“</w:t>
      </w:r>
      <w:r>
        <w:t>begins to</w:t>
      </w:r>
      <w:r w:rsidR="0068707E">
        <w:t>”</w:t>
      </w:r>
      <w:r>
        <w:t xml:space="preserve"> in subsection 23(2) of the </w:t>
      </w:r>
      <w:r>
        <w:rPr>
          <w:i/>
          <w:iCs/>
        </w:rPr>
        <w:t xml:space="preserve">Medical Indemnity Rules 2020 </w:t>
      </w:r>
      <w:r w:rsidR="0068707E">
        <w:t xml:space="preserve">and replaces it </w:t>
      </w:r>
      <w:r>
        <w:t xml:space="preserve">with </w:t>
      </w:r>
      <w:r w:rsidR="0068707E">
        <w:t>“</w:t>
      </w:r>
      <w:r>
        <w:t>engage in during the period: (a) beginning on 1 April 2020; and (b) ending on 21 September 2022.</w:t>
      </w:r>
      <w:r w:rsidR="0068707E">
        <w:t>”</w:t>
      </w:r>
      <w:r>
        <w:t xml:space="preserve"> </w:t>
      </w:r>
    </w:p>
    <w:p w14:paraId="34356DA5" w14:textId="1AECF224" w:rsidR="00EF5FDA" w:rsidRDefault="00FA1CBF">
      <w:pPr>
        <w:spacing w:line="259" w:lineRule="auto"/>
      </w:pPr>
      <w:r>
        <w:lastRenderedPageBreak/>
        <w:t xml:space="preserve">The period between 1 April 2020 and 21 September 2022 is specified on the basis that the </w:t>
      </w:r>
      <w:r w:rsidRPr="00FA1CBF">
        <w:rPr>
          <w:i/>
          <w:iCs/>
        </w:rPr>
        <w:t>Medical Indemnity Amendment (Eligible Run</w:t>
      </w:r>
      <w:r w:rsidRPr="00FA1CBF">
        <w:rPr>
          <w:i/>
          <w:iCs/>
        </w:rPr>
        <w:noBreakHyphen/>
        <w:t>off Claims) Regulations 2020</w:t>
      </w:r>
      <w:r>
        <w:t>, currently referred to in paragraph 23(2)(a)</w:t>
      </w:r>
      <w:r w:rsidR="00DD15EB">
        <w:t xml:space="preserve"> of the </w:t>
      </w:r>
      <w:r w:rsidR="00DD15EB">
        <w:rPr>
          <w:i/>
          <w:iCs/>
        </w:rPr>
        <w:t>Medical Indemnity Rules 2020</w:t>
      </w:r>
      <w:r>
        <w:t>, commenced on 1 April 2020, and the AHPRA pandemic response sub</w:t>
      </w:r>
      <w:r>
        <w:noBreakHyphen/>
        <w:t xml:space="preserve">register will cease </w:t>
      </w:r>
      <w:r w:rsidR="00CD3635">
        <w:t>by</w:t>
      </w:r>
      <w:r>
        <w:t xml:space="preserve"> 21 September 2022.</w:t>
      </w:r>
      <w:r w:rsidR="00DD15EB">
        <w:t xml:space="preserve"> </w:t>
      </w:r>
    </w:p>
    <w:p w14:paraId="2775D6D4" w14:textId="3B6887FB" w:rsidR="00FA1CBF" w:rsidRPr="00833C48" w:rsidRDefault="00DD15EB">
      <w:pPr>
        <w:spacing w:line="259" w:lineRule="auto"/>
      </w:pPr>
      <w:r>
        <w:t xml:space="preserve">This amendment effectively extends the period which a retired medical practitioner </w:t>
      </w:r>
      <w:r w:rsidR="00814102">
        <w:t xml:space="preserve">can </w:t>
      </w:r>
      <w:r w:rsidR="005A1BE2">
        <w:t>continue engaging</w:t>
      </w:r>
      <w:r>
        <w:t xml:space="preserve"> as a medical practitioner </w:t>
      </w:r>
      <w:r w:rsidR="005A1BE2">
        <w:t>without losing their Run-off Cover</w:t>
      </w:r>
      <w:r w:rsidR="007F6D2D">
        <w:t xml:space="preserve"> Scheme</w:t>
      </w:r>
      <w:r w:rsidR="005A1BE2">
        <w:t xml:space="preserve"> entitlements.</w:t>
      </w:r>
      <w:r w:rsidR="00634BFB">
        <w:t xml:space="preserve"> This </w:t>
      </w:r>
      <w:r w:rsidR="007F6D2D">
        <w:t>ensures certainty of Run-off</w:t>
      </w:r>
      <w:r>
        <w:t xml:space="preserve"> cover for those who are currently still practising and intend to practise until the expiry of the AHPRA pandemic response sub-register.</w:t>
      </w:r>
    </w:p>
    <w:p w14:paraId="1356B414" w14:textId="0F120601" w:rsidR="007F6E06" w:rsidRPr="001E31FE" w:rsidRDefault="007F6E06">
      <w:pPr>
        <w:spacing w:line="259" w:lineRule="auto"/>
        <w:rPr>
          <w:b/>
          <w:bCs/>
        </w:rPr>
      </w:pPr>
      <w:r w:rsidRPr="001E31FE">
        <w:rPr>
          <w:b/>
          <w:bCs/>
        </w:rPr>
        <w:t>Item 4</w:t>
      </w:r>
      <w:r w:rsidR="00D63CD8">
        <w:rPr>
          <w:b/>
          <w:bCs/>
        </w:rPr>
        <w:t xml:space="preserve"> – </w:t>
      </w:r>
      <w:r w:rsidRPr="001E31FE">
        <w:rPr>
          <w:b/>
          <w:bCs/>
        </w:rPr>
        <w:t>Subsections 23(3) and (4)</w:t>
      </w:r>
    </w:p>
    <w:p w14:paraId="141A5E3F" w14:textId="417D0D4F" w:rsidR="00833C48" w:rsidRDefault="00833C48">
      <w:pPr>
        <w:spacing w:line="259" w:lineRule="auto"/>
      </w:pPr>
      <w:r>
        <w:t>This item rep</w:t>
      </w:r>
      <w:r w:rsidR="00D63CD8">
        <w:t>eals</w:t>
      </w:r>
      <w:r>
        <w:t xml:space="preserve"> subsections 23(3) and (4) of the </w:t>
      </w:r>
      <w:r>
        <w:rPr>
          <w:i/>
          <w:iCs/>
        </w:rPr>
        <w:t>Medical Indemnity Act 2020</w:t>
      </w:r>
      <w:r>
        <w:t xml:space="preserve"> </w:t>
      </w:r>
      <w:r w:rsidR="00D63CD8">
        <w:t xml:space="preserve">and replaces them </w:t>
      </w:r>
      <w:r>
        <w:t xml:space="preserve">with a new subsection 23(3). </w:t>
      </w:r>
    </w:p>
    <w:p w14:paraId="3AC8480A" w14:textId="46B639C0" w:rsidR="007F6E06" w:rsidRPr="00011B5F" w:rsidRDefault="00011B5F">
      <w:pPr>
        <w:spacing w:line="259" w:lineRule="auto"/>
      </w:pPr>
      <w:r>
        <w:t>New subsection 23(3) provides that if</w:t>
      </w:r>
      <w:r w:rsidR="00210841">
        <w:t xml:space="preserve"> the person is still engaged in practice as a medical practitioner at</w:t>
      </w:r>
      <w:r>
        <w:t xml:space="preserve"> the end of 21 October 2022, subsection 23(2) ceases to cover the person at the end of that day. Th</w:t>
      </w:r>
      <w:r w:rsidR="00210841">
        <w:t>is new subsection allows for an additional month of cover following the cessation of the AHPRA sub register, which</w:t>
      </w:r>
      <w:r>
        <w:t xml:space="preserve"> will allow sufficient time to extend this initiative further should the AHPRA sub-register be extended beyond 21 September 2022.</w:t>
      </w:r>
    </w:p>
    <w:p w14:paraId="3192EF10" w14:textId="3CDBADDE" w:rsidR="009618F0" w:rsidRDefault="009618F0" w:rsidP="00B17594">
      <w:pPr>
        <w:spacing w:before="240" w:after="240" w:line="259" w:lineRule="auto"/>
        <w:rPr>
          <w:b/>
          <w:bCs/>
          <w:color w:val="000000"/>
          <w:u w:val="single"/>
        </w:rPr>
      </w:pPr>
      <w:r>
        <w:rPr>
          <w:b/>
          <w:bCs/>
          <w:i/>
          <w:iCs/>
          <w:color w:val="000000"/>
          <w:sz w:val="26"/>
          <w:szCs w:val="26"/>
          <w:shd w:val="clear" w:color="auto" w:fill="FFFFFF"/>
        </w:rPr>
        <w:t>Midwife Professional Indemnity (Commonwealth Contribution) Scheme Rules 20</w:t>
      </w:r>
      <w:bookmarkEnd w:id="3"/>
      <w:r w:rsidR="007F6E06">
        <w:rPr>
          <w:b/>
          <w:bCs/>
          <w:i/>
          <w:iCs/>
          <w:color w:val="000000"/>
          <w:sz w:val="26"/>
          <w:szCs w:val="26"/>
          <w:shd w:val="clear" w:color="auto" w:fill="FFFFFF"/>
        </w:rPr>
        <w:t>20</w:t>
      </w:r>
    </w:p>
    <w:p w14:paraId="562BB0E0" w14:textId="2B269FAC" w:rsidR="007F6E06" w:rsidRPr="001E31FE" w:rsidRDefault="007F6E06" w:rsidP="007F6E06">
      <w:pPr>
        <w:spacing w:line="259" w:lineRule="auto"/>
        <w:rPr>
          <w:b/>
          <w:bCs/>
        </w:rPr>
      </w:pPr>
      <w:r w:rsidRPr="001E31FE">
        <w:rPr>
          <w:b/>
          <w:bCs/>
          <w:color w:val="000000"/>
          <w:shd w:val="clear" w:color="auto" w:fill="FFFFFF"/>
        </w:rPr>
        <w:t>Item 5</w:t>
      </w:r>
      <w:r w:rsidR="00D63CD8" w:rsidRPr="001E31FE">
        <w:rPr>
          <w:b/>
          <w:bCs/>
          <w:color w:val="000000"/>
          <w:shd w:val="clear" w:color="auto" w:fill="FFFFFF"/>
        </w:rPr>
        <w:t xml:space="preserve"> – </w:t>
      </w:r>
      <w:r w:rsidRPr="001E31FE">
        <w:rPr>
          <w:b/>
          <w:bCs/>
        </w:rPr>
        <w:t>Division 1 of Part 3 (heading)</w:t>
      </w:r>
    </w:p>
    <w:p w14:paraId="7EE24832" w14:textId="5D5A7F97" w:rsidR="00011B5F" w:rsidRPr="00011B5F" w:rsidRDefault="00011B5F" w:rsidP="007F6E06">
      <w:pPr>
        <w:spacing w:line="259" w:lineRule="auto"/>
        <w:rPr>
          <w:color w:val="000000"/>
          <w:sz w:val="26"/>
          <w:szCs w:val="26"/>
          <w:shd w:val="clear" w:color="auto" w:fill="FFFFFF"/>
        </w:rPr>
      </w:pPr>
      <w:r>
        <w:t>This item rep</w:t>
      </w:r>
      <w:r w:rsidR="00EF5FDA">
        <w:t xml:space="preserve">eals the heading of “COVID-19 human biosecurity emergency period” in Part 3, Division 1 </w:t>
      </w:r>
      <w:r>
        <w:t xml:space="preserve">of the </w:t>
      </w:r>
      <w:r w:rsidRPr="009618F0">
        <w:rPr>
          <w:rFonts w:eastAsia="Times New Roman"/>
          <w:i/>
          <w:iCs/>
          <w:color w:val="000000"/>
          <w:lang w:eastAsia="en-AU"/>
        </w:rPr>
        <w:t>Midwife Professional Indemnity (Commonwealth Contribution) Scheme</w:t>
      </w:r>
      <w:r>
        <w:rPr>
          <w:rFonts w:eastAsia="Times New Roman"/>
          <w:i/>
          <w:iCs/>
          <w:color w:val="000000"/>
          <w:lang w:eastAsia="en-AU"/>
        </w:rPr>
        <w:t xml:space="preserve"> Rules 2020</w:t>
      </w:r>
      <w:r>
        <w:t xml:space="preserve"> </w:t>
      </w:r>
      <w:r w:rsidR="00EF5FDA">
        <w:t xml:space="preserve">and replace it </w:t>
      </w:r>
      <w:r>
        <w:t xml:space="preserve">with </w:t>
      </w:r>
      <w:r w:rsidR="00EF5FDA">
        <w:t>“</w:t>
      </w:r>
      <w:r w:rsidRPr="000E1497">
        <w:t>Temporary measure relating to eligible run off claims</w:t>
      </w:r>
      <w:r w:rsidR="00EF5FDA">
        <w:t>”</w:t>
      </w:r>
      <w:r>
        <w:t>.</w:t>
      </w:r>
      <w:r w:rsidR="00EF5FDA">
        <w:t xml:space="preserve"> This amendment mirrors the amendment made to the </w:t>
      </w:r>
      <w:r w:rsidR="00EF5FDA">
        <w:rPr>
          <w:i/>
          <w:iCs/>
        </w:rPr>
        <w:t xml:space="preserve">Medical Indemnity Rules </w:t>
      </w:r>
      <w:r w:rsidR="00EF5FDA">
        <w:t>(see item 1) and effectively unties the duration of the Run-off Cover measure from the COVID-19 human biosecurity emergency perio</w:t>
      </w:r>
      <w:r w:rsidR="00FF548E">
        <w:t>d</w:t>
      </w:r>
      <w:r w:rsidR="00EF5FDA">
        <w:t>.</w:t>
      </w:r>
    </w:p>
    <w:p w14:paraId="652D524C" w14:textId="73DDAC27" w:rsidR="007F6E06" w:rsidRPr="001E31FE" w:rsidRDefault="007F6E06" w:rsidP="007F6E06">
      <w:pPr>
        <w:spacing w:line="259" w:lineRule="auto"/>
        <w:rPr>
          <w:b/>
          <w:bCs/>
        </w:rPr>
      </w:pPr>
      <w:r w:rsidRPr="001E31FE">
        <w:rPr>
          <w:b/>
          <w:bCs/>
          <w:color w:val="000000"/>
          <w:shd w:val="clear" w:color="auto" w:fill="FFFFFF"/>
        </w:rPr>
        <w:t>Item 6</w:t>
      </w:r>
      <w:r w:rsidR="00EF5FDA" w:rsidRPr="001E31FE">
        <w:rPr>
          <w:b/>
          <w:bCs/>
          <w:color w:val="000000"/>
          <w:shd w:val="clear" w:color="auto" w:fill="FFFFFF"/>
        </w:rPr>
        <w:t xml:space="preserve"> –</w:t>
      </w:r>
      <w:r w:rsidRPr="001E31FE">
        <w:rPr>
          <w:b/>
          <w:bCs/>
          <w:color w:val="000000"/>
          <w:shd w:val="clear" w:color="auto" w:fill="FFFFFF"/>
        </w:rPr>
        <w:t xml:space="preserve"> </w:t>
      </w:r>
      <w:r w:rsidRPr="001E31FE">
        <w:rPr>
          <w:b/>
          <w:bCs/>
        </w:rPr>
        <w:t>Section 11 (heading)</w:t>
      </w:r>
    </w:p>
    <w:p w14:paraId="3018CD3F" w14:textId="58E0D957" w:rsidR="00011B5F" w:rsidRPr="00011B5F" w:rsidRDefault="00011B5F" w:rsidP="007F6E06">
      <w:pPr>
        <w:spacing w:line="259" w:lineRule="auto"/>
        <w:rPr>
          <w:color w:val="000000"/>
          <w:sz w:val="26"/>
          <w:szCs w:val="26"/>
          <w:shd w:val="clear" w:color="auto" w:fill="FFFFFF"/>
        </w:rPr>
      </w:pPr>
      <w:r>
        <w:t>This item rep</w:t>
      </w:r>
      <w:r w:rsidR="00EF5FDA">
        <w:t>eals</w:t>
      </w:r>
      <w:r>
        <w:t xml:space="preserve"> the heading of </w:t>
      </w:r>
      <w:r w:rsidR="00EF5FDA">
        <w:t>“</w:t>
      </w:r>
      <w:r w:rsidRPr="000E1497">
        <w:t>Eligible run‑off claims—COVID‑19 human biosecurity emergency period</w:t>
      </w:r>
      <w:r w:rsidR="00EF5FDA">
        <w:t xml:space="preserve">” in section 11 of the </w:t>
      </w:r>
      <w:r w:rsidR="00EF5FDA" w:rsidRPr="009618F0">
        <w:rPr>
          <w:rFonts w:eastAsia="Times New Roman"/>
          <w:i/>
          <w:iCs/>
          <w:color w:val="000000"/>
          <w:lang w:eastAsia="en-AU"/>
        </w:rPr>
        <w:t>Midwife Professional Indemnity (Commonwealth Contribution) Scheme</w:t>
      </w:r>
      <w:r w:rsidR="00EF5FDA">
        <w:rPr>
          <w:rFonts w:eastAsia="Times New Roman"/>
          <w:i/>
          <w:iCs/>
          <w:color w:val="000000"/>
          <w:lang w:eastAsia="en-AU"/>
        </w:rPr>
        <w:t xml:space="preserve"> Rules 2020 </w:t>
      </w:r>
      <w:r w:rsidR="00EF5FDA">
        <w:rPr>
          <w:rFonts w:eastAsia="Times New Roman"/>
          <w:color w:val="000000"/>
          <w:lang w:eastAsia="en-AU"/>
        </w:rPr>
        <w:t>and replaces it</w:t>
      </w:r>
      <w:r>
        <w:t xml:space="preserve"> with </w:t>
      </w:r>
      <w:r w:rsidR="00EF5FDA">
        <w:t>“</w:t>
      </w:r>
      <w:r>
        <w:t>Eligible run-off claims</w:t>
      </w:r>
      <w:r w:rsidR="00EF5FDA">
        <w:t>”</w:t>
      </w:r>
      <w:r>
        <w:t xml:space="preserve">. </w:t>
      </w:r>
      <w:r w:rsidR="00EF5FDA">
        <w:t>This is a consequential amendment resulting from item 5.</w:t>
      </w:r>
    </w:p>
    <w:p w14:paraId="16BB0E0C" w14:textId="44FECEB3" w:rsidR="007F6E06" w:rsidRPr="001E31FE" w:rsidRDefault="007F6E06" w:rsidP="007F6E06">
      <w:pPr>
        <w:spacing w:line="259" w:lineRule="auto"/>
        <w:rPr>
          <w:b/>
          <w:bCs/>
        </w:rPr>
      </w:pPr>
      <w:r w:rsidRPr="001E31FE">
        <w:rPr>
          <w:b/>
          <w:bCs/>
          <w:color w:val="000000"/>
          <w:shd w:val="clear" w:color="auto" w:fill="FFFFFF"/>
        </w:rPr>
        <w:t>Item 7</w:t>
      </w:r>
      <w:r w:rsidR="00EF5FDA" w:rsidRPr="001E31FE">
        <w:rPr>
          <w:b/>
          <w:bCs/>
          <w:color w:val="000000"/>
          <w:shd w:val="clear" w:color="auto" w:fill="FFFFFF"/>
        </w:rPr>
        <w:t xml:space="preserve"> –</w:t>
      </w:r>
      <w:r w:rsidRPr="001E31FE">
        <w:rPr>
          <w:b/>
          <w:bCs/>
          <w:color w:val="000000"/>
          <w:shd w:val="clear" w:color="auto" w:fill="FFFFFF"/>
        </w:rPr>
        <w:t xml:space="preserve"> </w:t>
      </w:r>
      <w:r w:rsidRPr="001E31FE">
        <w:rPr>
          <w:b/>
          <w:bCs/>
        </w:rPr>
        <w:t>Subsection 11(2)</w:t>
      </w:r>
    </w:p>
    <w:p w14:paraId="4BEE7FF7" w14:textId="5B7539A8" w:rsidR="00011B5F" w:rsidRDefault="00011B5F" w:rsidP="007F6E06">
      <w:pPr>
        <w:spacing w:line="259" w:lineRule="auto"/>
      </w:pPr>
      <w:r>
        <w:t xml:space="preserve">This item </w:t>
      </w:r>
      <w:r w:rsidR="00EF5FDA">
        <w:t>omits</w:t>
      </w:r>
      <w:r>
        <w:t xml:space="preserve"> the words after </w:t>
      </w:r>
      <w:r w:rsidR="00EF5FDA">
        <w:t>“</w:t>
      </w:r>
      <w:r>
        <w:t>begins to</w:t>
      </w:r>
      <w:r w:rsidR="00EF5FDA">
        <w:t>”</w:t>
      </w:r>
      <w:r>
        <w:t xml:space="preserve"> in subsection 11(2) of the </w:t>
      </w:r>
      <w:r w:rsidRPr="009618F0">
        <w:rPr>
          <w:rFonts w:eastAsia="Times New Roman"/>
          <w:i/>
          <w:iCs/>
          <w:color w:val="000000"/>
          <w:lang w:eastAsia="en-AU"/>
        </w:rPr>
        <w:t>Midwife Professional Indemnity (Commonwealth Contribution) Scheme</w:t>
      </w:r>
      <w:r>
        <w:rPr>
          <w:rFonts w:eastAsia="Times New Roman"/>
          <w:i/>
          <w:iCs/>
          <w:color w:val="000000"/>
          <w:lang w:eastAsia="en-AU"/>
        </w:rPr>
        <w:t xml:space="preserve"> Rules 2020</w:t>
      </w:r>
      <w:r>
        <w:t xml:space="preserve"> </w:t>
      </w:r>
      <w:r w:rsidR="00EF5FDA">
        <w:t xml:space="preserve">and replaces it </w:t>
      </w:r>
      <w:r>
        <w:t xml:space="preserve">with </w:t>
      </w:r>
      <w:r w:rsidR="00EF5FDA">
        <w:t>“</w:t>
      </w:r>
      <w:r>
        <w:t>engage in during the period: (a) beginning on 1 April 2020; and (b) ending on 21 September 2022.</w:t>
      </w:r>
      <w:r w:rsidR="00EF5FDA">
        <w:t>”</w:t>
      </w:r>
    </w:p>
    <w:p w14:paraId="4EDFDD31" w14:textId="77777777" w:rsidR="007E7380" w:rsidRDefault="007E7380" w:rsidP="007F6E06">
      <w:pPr>
        <w:spacing w:line="259" w:lineRule="auto"/>
      </w:pPr>
    </w:p>
    <w:p w14:paraId="098901EA" w14:textId="77777777" w:rsidR="007E7380" w:rsidRDefault="007E7380" w:rsidP="007F6E06">
      <w:pPr>
        <w:spacing w:line="259" w:lineRule="auto"/>
      </w:pPr>
    </w:p>
    <w:p w14:paraId="75675221" w14:textId="77777777" w:rsidR="007E7380" w:rsidRDefault="007E7380" w:rsidP="007F6E06">
      <w:pPr>
        <w:spacing w:line="259" w:lineRule="auto"/>
      </w:pPr>
    </w:p>
    <w:p w14:paraId="4C63DF19" w14:textId="681B2BAC" w:rsidR="00FA1CBF" w:rsidRDefault="00FA1CBF" w:rsidP="007F6E06">
      <w:pPr>
        <w:spacing w:line="259" w:lineRule="auto"/>
      </w:pPr>
      <w:r>
        <w:lastRenderedPageBreak/>
        <w:t xml:space="preserve">The period between 1 April 2020 and 21 September 2022 is specified on the basis that Part 1 of Schedule 1 to the </w:t>
      </w:r>
      <w:r w:rsidRPr="00FA1CBF">
        <w:rPr>
          <w:i/>
          <w:iCs/>
        </w:rPr>
        <w:t>Medical and Midwife Indemnity Legislation Amendment (Eligible Run</w:t>
      </w:r>
      <w:r w:rsidRPr="00FA1CBF">
        <w:rPr>
          <w:i/>
          <w:iCs/>
        </w:rPr>
        <w:noBreakHyphen/>
        <w:t>off Claims) Rules 2020</w:t>
      </w:r>
      <w:r>
        <w:t>, currently referred to in paragraph 11(2)(a)</w:t>
      </w:r>
      <w:r w:rsidR="008535D8">
        <w:t xml:space="preserve"> of the </w:t>
      </w:r>
      <w:r w:rsidR="008535D8">
        <w:rPr>
          <w:i/>
          <w:iCs/>
        </w:rPr>
        <w:t>Midwife Professional Indemnity (Commonwealth) Scheme Rules 2020</w:t>
      </w:r>
      <w:r>
        <w:t>, commenced on 2 April 2020, and the AHPRA pandemic response sub</w:t>
      </w:r>
      <w:r>
        <w:noBreakHyphen/>
        <w:t>register will cease at the end of 21 September 2022.</w:t>
      </w:r>
    </w:p>
    <w:p w14:paraId="77A713A2" w14:textId="174340F8" w:rsidR="008535D8" w:rsidRPr="00011B5F" w:rsidRDefault="008535D8" w:rsidP="007F6E06">
      <w:pPr>
        <w:spacing w:line="259" w:lineRule="auto"/>
      </w:pPr>
      <w:r>
        <w:t>This amendment effectively extends the period which a retired eligible midwife can continue engaging as an eligible midwife without losing their Run-off Cover Scheme entitlements. This ensures certainty of Run-off cover for those who are currently still practising and intend to practise until the expiry of the AHPRA pandemic response sub-register.</w:t>
      </w:r>
    </w:p>
    <w:p w14:paraId="21168D12" w14:textId="3B31C9A8" w:rsidR="007F6E06" w:rsidRPr="001E31FE" w:rsidRDefault="007F6E06" w:rsidP="007F6E06">
      <w:pPr>
        <w:spacing w:line="259" w:lineRule="auto"/>
        <w:rPr>
          <w:b/>
          <w:bCs/>
        </w:rPr>
      </w:pPr>
      <w:r w:rsidRPr="001E31FE">
        <w:rPr>
          <w:b/>
          <w:bCs/>
        </w:rPr>
        <w:t xml:space="preserve">Item 8 </w:t>
      </w:r>
      <w:r w:rsidR="008535D8">
        <w:rPr>
          <w:b/>
          <w:bCs/>
        </w:rPr>
        <w:t xml:space="preserve">– </w:t>
      </w:r>
      <w:r w:rsidRPr="001E31FE">
        <w:rPr>
          <w:b/>
          <w:bCs/>
        </w:rPr>
        <w:t>Subsections 11(3) and (4)</w:t>
      </w:r>
    </w:p>
    <w:p w14:paraId="79153BC0" w14:textId="001213E4" w:rsidR="00011B5F" w:rsidRDefault="00011B5F" w:rsidP="00011B5F">
      <w:pPr>
        <w:spacing w:line="259" w:lineRule="auto"/>
      </w:pPr>
      <w:r>
        <w:t>This item rep</w:t>
      </w:r>
      <w:r w:rsidR="008535D8">
        <w:t>eals</w:t>
      </w:r>
      <w:r>
        <w:t xml:space="preserve"> subsections 11(3) and (4) of the </w:t>
      </w:r>
      <w:r w:rsidRPr="009618F0">
        <w:rPr>
          <w:rFonts w:eastAsia="Times New Roman"/>
          <w:i/>
          <w:iCs/>
          <w:color w:val="000000"/>
          <w:lang w:eastAsia="en-AU"/>
        </w:rPr>
        <w:t>Midwife Professional Indemnity (Commonwealth Contribution) Scheme</w:t>
      </w:r>
      <w:r>
        <w:rPr>
          <w:rFonts w:eastAsia="Times New Roman"/>
          <w:i/>
          <w:iCs/>
          <w:color w:val="000000"/>
          <w:lang w:eastAsia="en-AU"/>
        </w:rPr>
        <w:t xml:space="preserve"> Rules 2020</w:t>
      </w:r>
      <w:r>
        <w:t xml:space="preserve"> </w:t>
      </w:r>
      <w:r w:rsidR="008535D8">
        <w:t xml:space="preserve">and replaces them </w:t>
      </w:r>
      <w:r>
        <w:t xml:space="preserve">with a new subsection 11(3). </w:t>
      </w:r>
    </w:p>
    <w:p w14:paraId="3EA23EC5" w14:textId="0D80424B" w:rsidR="00011B5F" w:rsidRPr="00011B5F" w:rsidRDefault="00011B5F" w:rsidP="00011B5F">
      <w:pPr>
        <w:spacing w:line="259" w:lineRule="auto"/>
      </w:pPr>
      <w:r>
        <w:t>New subsection 11(3) provides that if</w:t>
      </w:r>
      <w:r w:rsidR="008535D8">
        <w:t xml:space="preserve"> the person is still engaged in practice as an eligible midwife</w:t>
      </w:r>
      <w:r>
        <w:t xml:space="preserve"> at the end of 21 October 2022, subsection 11(2) ceases to cover the person at the end of that day. </w:t>
      </w:r>
      <w:r w:rsidR="008535D8">
        <w:t xml:space="preserve">This new subsection allows for an additional month of cover following the cessation of the AHPRA sub register, which </w:t>
      </w:r>
      <w:r>
        <w:t>will allow sufficient time to extend this initiative further should the AHPRA sub-register be extended beyond 21 September 2022.</w:t>
      </w:r>
    </w:p>
    <w:p w14:paraId="1E8896FD" w14:textId="77777777" w:rsidR="00011B5F" w:rsidRPr="007F6E06" w:rsidRDefault="00011B5F" w:rsidP="007F6E06">
      <w:pPr>
        <w:spacing w:line="259" w:lineRule="auto"/>
        <w:rPr>
          <w:u w:val="single"/>
        </w:rPr>
      </w:pPr>
    </w:p>
    <w:p w14:paraId="09815EE1" w14:textId="77777777" w:rsidR="007F6E06" w:rsidRDefault="007F6E06">
      <w:pPr>
        <w:spacing w:line="259" w:lineRule="auto"/>
        <w:rPr>
          <w:b/>
          <w:bCs/>
          <w:color w:val="000000"/>
          <w:u w:val="single"/>
        </w:rPr>
      </w:pPr>
      <w:r>
        <w:rPr>
          <w:b/>
          <w:bCs/>
          <w:color w:val="000000"/>
          <w:u w:val="single"/>
        </w:rPr>
        <w:br w:type="page"/>
      </w:r>
    </w:p>
    <w:p w14:paraId="1328BEC9" w14:textId="0C7BE5B5" w:rsidR="003612D0" w:rsidRPr="009618F0" w:rsidRDefault="008535D8" w:rsidP="003612D0">
      <w:pPr>
        <w:shd w:val="clear" w:color="auto" w:fill="FFFFFF"/>
        <w:spacing w:before="240" w:line="257" w:lineRule="atLeast"/>
        <w:jc w:val="right"/>
        <w:rPr>
          <w:rFonts w:ascii="Calibri" w:eastAsia="Times New Roman" w:hAnsi="Calibri" w:cs="Calibri"/>
          <w:color w:val="000000"/>
          <w:sz w:val="22"/>
          <w:szCs w:val="22"/>
          <w:u w:val="single"/>
          <w:lang w:eastAsia="en-AU"/>
        </w:rPr>
      </w:pPr>
      <w:r>
        <w:rPr>
          <w:b/>
          <w:bCs/>
          <w:color w:val="000000"/>
        </w:rPr>
        <w:lastRenderedPageBreak/>
        <w:t>ATTACHMENT B</w:t>
      </w:r>
    </w:p>
    <w:p w14:paraId="1D2BEEC0" w14:textId="77777777" w:rsidR="003612D0" w:rsidRDefault="003612D0" w:rsidP="003612D0">
      <w:pPr>
        <w:shd w:val="clear" w:color="auto" w:fill="FFFFFF"/>
        <w:spacing w:before="240" w:line="257" w:lineRule="atLeast"/>
        <w:jc w:val="center"/>
        <w:rPr>
          <w:rFonts w:ascii="Calibri" w:eastAsia="Times New Roman" w:hAnsi="Calibri" w:cs="Calibri"/>
          <w:color w:val="000000"/>
          <w:sz w:val="22"/>
          <w:szCs w:val="22"/>
          <w:lang w:eastAsia="en-AU"/>
        </w:rPr>
      </w:pPr>
      <w:r>
        <w:rPr>
          <w:rFonts w:eastAsia="Times New Roman"/>
          <w:b/>
          <w:bCs/>
          <w:color w:val="000000"/>
          <w:lang w:eastAsia="en-AU"/>
        </w:rPr>
        <w:t>Statement of Compatibility with Human Rights</w:t>
      </w:r>
    </w:p>
    <w:p w14:paraId="39730B66" w14:textId="77777777" w:rsidR="003612D0" w:rsidRDefault="003612D0" w:rsidP="003612D0">
      <w:pPr>
        <w:shd w:val="clear" w:color="auto" w:fill="FFFFFF"/>
        <w:spacing w:before="240" w:line="257" w:lineRule="atLeast"/>
        <w:jc w:val="center"/>
        <w:rPr>
          <w:rFonts w:ascii="Calibri" w:eastAsia="Times New Roman" w:hAnsi="Calibri" w:cs="Calibri"/>
          <w:color w:val="000000"/>
          <w:sz w:val="22"/>
          <w:szCs w:val="22"/>
          <w:lang w:eastAsia="en-AU"/>
        </w:rPr>
      </w:pPr>
      <w:r>
        <w:rPr>
          <w:rFonts w:eastAsia="Times New Roman"/>
          <w:i/>
          <w:iCs/>
          <w:color w:val="000000"/>
          <w:lang w:eastAsia="en-AU"/>
        </w:rPr>
        <w:t>Prepared in accordance with Part 3 of the Human Rights (Parliamentary Scrutiny) Act 2011</w:t>
      </w:r>
    </w:p>
    <w:p w14:paraId="0D89251E" w14:textId="4FAE4FC5" w:rsidR="003612D0" w:rsidRDefault="003612D0" w:rsidP="003612D0">
      <w:pPr>
        <w:shd w:val="clear" w:color="auto" w:fill="FFFFFF"/>
        <w:spacing w:before="240" w:line="257" w:lineRule="atLeast"/>
        <w:jc w:val="center"/>
        <w:rPr>
          <w:rFonts w:ascii="Calibri" w:eastAsia="Times New Roman" w:hAnsi="Calibri" w:cs="Calibri"/>
          <w:color w:val="000000"/>
          <w:sz w:val="22"/>
          <w:szCs w:val="22"/>
          <w:lang w:eastAsia="en-AU"/>
        </w:rPr>
      </w:pPr>
      <w:r>
        <w:rPr>
          <w:rFonts w:eastAsia="Times New Roman"/>
          <w:b/>
          <w:bCs/>
          <w:i/>
          <w:iCs/>
          <w:color w:val="000000"/>
          <w:lang w:eastAsia="en-AU"/>
        </w:rPr>
        <w:t>Medical and Midwife Indemnity Legislation Amendment (Run-off Claims) Rules 202</w:t>
      </w:r>
      <w:r w:rsidR="0045416C">
        <w:rPr>
          <w:rFonts w:eastAsia="Times New Roman"/>
          <w:b/>
          <w:bCs/>
          <w:i/>
          <w:iCs/>
          <w:color w:val="000000"/>
          <w:lang w:eastAsia="en-AU"/>
        </w:rPr>
        <w:t>2</w:t>
      </w:r>
    </w:p>
    <w:p w14:paraId="6161BA4D" w14:textId="0003B675" w:rsidR="003612D0" w:rsidRDefault="003612D0" w:rsidP="003612D0">
      <w:pPr>
        <w:shd w:val="clear" w:color="auto" w:fill="FFFFFF"/>
        <w:spacing w:before="240" w:line="257" w:lineRule="atLeast"/>
        <w:rPr>
          <w:rFonts w:ascii="Calibri" w:eastAsia="Times New Roman" w:hAnsi="Calibri" w:cs="Calibri"/>
          <w:color w:val="000000"/>
          <w:sz w:val="22"/>
          <w:szCs w:val="22"/>
          <w:lang w:eastAsia="en-AU"/>
        </w:rPr>
      </w:pPr>
      <w:r>
        <w:rPr>
          <w:rFonts w:eastAsia="Times New Roman"/>
          <w:color w:val="000000"/>
          <w:lang w:eastAsia="en-AU"/>
        </w:rPr>
        <w:t xml:space="preserve">This </w:t>
      </w:r>
      <w:r w:rsidR="00B70E75">
        <w:rPr>
          <w:rFonts w:eastAsia="Times New Roman"/>
          <w:color w:val="000000"/>
          <w:lang w:eastAsia="en-AU"/>
        </w:rPr>
        <w:t>l</w:t>
      </w:r>
      <w:r>
        <w:rPr>
          <w:rFonts w:eastAsia="Times New Roman"/>
          <w:color w:val="000000"/>
          <w:lang w:eastAsia="en-AU"/>
        </w:rPr>
        <w:t xml:space="preserve">egislative </w:t>
      </w:r>
      <w:r w:rsidR="00B70E75">
        <w:rPr>
          <w:rFonts w:eastAsia="Times New Roman"/>
          <w:color w:val="000000"/>
          <w:lang w:eastAsia="en-AU"/>
        </w:rPr>
        <w:t>i</w:t>
      </w:r>
      <w:r>
        <w:rPr>
          <w:rFonts w:eastAsia="Times New Roman"/>
          <w:color w:val="000000"/>
          <w:lang w:eastAsia="en-AU"/>
        </w:rPr>
        <w:t>nstrument is compatible with the human rights and freedoms recognised or declared in the international instruments listed in section 3 of the </w:t>
      </w:r>
      <w:r w:rsidR="00B70E75">
        <w:rPr>
          <w:rFonts w:eastAsia="Times New Roman"/>
          <w:color w:val="000000"/>
          <w:lang w:eastAsia="en-AU"/>
        </w:rPr>
        <w:br/>
      </w:r>
      <w:r>
        <w:rPr>
          <w:rFonts w:eastAsia="Times New Roman"/>
          <w:i/>
          <w:iCs/>
          <w:color w:val="000000"/>
          <w:lang w:eastAsia="en-AU"/>
        </w:rPr>
        <w:t>Human Rights (Parliamentary Scrutiny) Act 2011</w:t>
      </w:r>
      <w:r>
        <w:rPr>
          <w:rFonts w:eastAsia="Times New Roman"/>
          <w:color w:val="000000"/>
          <w:lang w:eastAsia="en-AU"/>
        </w:rPr>
        <w:t>.</w:t>
      </w:r>
    </w:p>
    <w:p w14:paraId="75E645CA" w14:textId="297B5BA1" w:rsidR="003612D0" w:rsidRDefault="003612D0" w:rsidP="003612D0">
      <w:pPr>
        <w:pStyle w:val="numberpara"/>
        <w:spacing w:before="0" w:line="240" w:lineRule="auto"/>
        <w:rPr>
          <w:b/>
          <w:bCs/>
          <w:color w:val="000000"/>
        </w:rPr>
      </w:pPr>
      <w:r>
        <w:rPr>
          <w:b/>
          <w:bCs/>
          <w:color w:val="000000"/>
        </w:rPr>
        <w:t>Overview of the Amending Rules</w:t>
      </w:r>
    </w:p>
    <w:p w14:paraId="7F43D25E" w14:textId="1CA7A30F" w:rsidR="0045416C" w:rsidRDefault="0045416C" w:rsidP="0045416C">
      <w:pPr>
        <w:pStyle w:val="numberpara"/>
        <w:spacing w:before="0" w:line="240" w:lineRule="auto"/>
      </w:pPr>
    </w:p>
    <w:p w14:paraId="67EA5ACE" w14:textId="087D3D0F" w:rsidR="0045416C" w:rsidRDefault="0045416C" w:rsidP="0045416C">
      <w:pPr>
        <w:pStyle w:val="numberpara"/>
        <w:spacing w:before="0" w:line="240" w:lineRule="auto"/>
      </w:pPr>
      <w:r>
        <w:t xml:space="preserve">The </w:t>
      </w:r>
      <w:r w:rsidRPr="00212B3B">
        <w:rPr>
          <w:i/>
          <w:iCs/>
        </w:rPr>
        <w:t xml:space="preserve">Medical and Midwife Indemnity Legislation </w:t>
      </w:r>
      <w:r>
        <w:rPr>
          <w:i/>
          <w:iCs/>
        </w:rPr>
        <w:t>Amendment (Eligible Run-off Claims) Rules 2022</w:t>
      </w:r>
      <w:r>
        <w:t xml:space="preserve"> (the Amending Rules) </w:t>
      </w:r>
      <w:r w:rsidR="000523DA">
        <w:t xml:space="preserve">amends the </w:t>
      </w:r>
      <w:r w:rsidR="000523DA">
        <w:rPr>
          <w:i/>
          <w:iCs/>
        </w:rPr>
        <w:t xml:space="preserve">Medical Indemnity Rules 2020 </w:t>
      </w:r>
      <w:r w:rsidR="000523DA">
        <w:t xml:space="preserve">and the </w:t>
      </w:r>
      <w:r w:rsidR="000523DA">
        <w:rPr>
          <w:i/>
          <w:iCs/>
        </w:rPr>
        <w:t xml:space="preserve">Midwife Professional Indemnity (Commonwealth Contribution Scheme Rules 2020 </w:t>
      </w:r>
      <w:r w:rsidR="000523DA">
        <w:t xml:space="preserve">by </w:t>
      </w:r>
      <w:r>
        <w:t>extend</w:t>
      </w:r>
      <w:r w:rsidR="000523DA">
        <w:t>ing</w:t>
      </w:r>
      <w:r>
        <w:t xml:space="preserve"> the temporary Run-off Cover Scheme exemption from 17 May 2022 to 21 October 2022. This will </w:t>
      </w:r>
      <w:r w:rsidR="00B70E75">
        <w:t>allow</w:t>
      </w:r>
      <w:r>
        <w:t xml:space="preserve"> the</w:t>
      </w:r>
      <w:r w:rsidR="000523DA">
        <w:t xml:space="preserve"> return and</w:t>
      </w:r>
      <w:r>
        <w:t xml:space="preserve"> ongoing involvement of formerly retired private sector doctors and eligible midwives </w:t>
      </w:r>
      <w:r w:rsidR="000523DA">
        <w:t>to assist with</w:t>
      </w:r>
      <w:r>
        <w:t xml:space="preserve"> the COVID-19 Pandemic Response without losing their entitlements under the Run-off Cover Scheme. </w:t>
      </w:r>
    </w:p>
    <w:p w14:paraId="24AA7804" w14:textId="77777777" w:rsidR="0045416C" w:rsidRDefault="0045416C" w:rsidP="0045416C">
      <w:pPr>
        <w:pStyle w:val="numberpara"/>
        <w:spacing w:before="0" w:line="240" w:lineRule="auto"/>
      </w:pPr>
    </w:p>
    <w:p w14:paraId="3ACAE980" w14:textId="427CC50A" w:rsidR="0045416C" w:rsidRDefault="000523DA" w:rsidP="0045416C">
      <w:pPr>
        <w:pStyle w:val="numberpara"/>
        <w:spacing w:before="0" w:line="240" w:lineRule="auto"/>
      </w:pPr>
      <w:r>
        <w:t>The Amending Rules untie</w:t>
      </w:r>
      <w:r w:rsidR="00FF548E">
        <w:t>s</w:t>
      </w:r>
      <w:r>
        <w:t xml:space="preserve"> the duration of the Run-off Cover measure from the COVID-19 human biosecurity emergency </w:t>
      </w:r>
      <w:r w:rsidR="00B17594">
        <w:t>period and</w:t>
      </w:r>
      <w:r>
        <w:t xml:space="preserve"> aligns with the Australian Health Practitioner Regulation Agency’s (AHPRA) pandemic sub-register, which is currently scheduled to end on 21 September 2022. </w:t>
      </w:r>
      <w:r w:rsidR="00837F55">
        <w:t>The Amending Rules allows for a</w:t>
      </w:r>
      <w:r w:rsidR="0045416C">
        <w:t>n additional month coverage after the end of the AHPRA sub-register ends</w:t>
      </w:r>
      <w:r w:rsidR="00837F55">
        <w:t>, which provides</w:t>
      </w:r>
      <w:r w:rsidR="0045416C">
        <w:t xml:space="preserve"> </w:t>
      </w:r>
      <w:r w:rsidR="0045416C" w:rsidRPr="00271170">
        <w:t>sufficient time to make any changes should the sub-register be extended beyond 21 September 2022.</w:t>
      </w:r>
    </w:p>
    <w:p w14:paraId="156CA83F" w14:textId="77777777" w:rsidR="0045416C" w:rsidRDefault="0045416C" w:rsidP="0045416C">
      <w:pPr>
        <w:pStyle w:val="numberpara"/>
        <w:spacing w:before="0" w:line="240" w:lineRule="auto"/>
      </w:pPr>
    </w:p>
    <w:p w14:paraId="047F3D13" w14:textId="7B69E9A7" w:rsidR="0045416C" w:rsidRDefault="0062160F" w:rsidP="0045416C">
      <w:pPr>
        <w:pStyle w:val="numberpara"/>
        <w:spacing w:before="0" w:line="240" w:lineRule="auto"/>
      </w:pPr>
      <w:r>
        <w:t>By aligning the Amending Rules with the active AHPRA pandemic sub-register, this legislative instrument enables</w:t>
      </w:r>
      <w:r w:rsidR="0045416C">
        <w:t xml:space="preserve"> the health workforce to </w:t>
      </w:r>
      <w:r>
        <w:t xml:space="preserve">effectively </w:t>
      </w:r>
      <w:r w:rsidR="0045416C">
        <w:t>respond to the changing environment of the COVID-19 pandemic by ensuring there is an adequate number of registered healthcare professionals. The healthcare system has come under sustained pressure during the COVID-19 pandemic. Th</w:t>
      </w:r>
      <w:r w:rsidR="00FF548E">
        <w:t>e Amending Rules</w:t>
      </w:r>
      <w:r w:rsidR="0045416C">
        <w:t xml:space="preserve"> will ensure that private sector retired doctors and eligible midwives can continue to assist with the COVID-19 Pandemic Response without losing their entitlements under the Run-off Cover Scheme while AHPRA’s pandemic sub-register remains active. </w:t>
      </w:r>
    </w:p>
    <w:p w14:paraId="2056C09F" w14:textId="77777777" w:rsidR="0045416C" w:rsidRDefault="0045416C" w:rsidP="0045416C">
      <w:pPr>
        <w:pStyle w:val="numberpara"/>
        <w:spacing w:before="0" w:line="240" w:lineRule="auto"/>
      </w:pPr>
    </w:p>
    <w:p w14:paraId="44C2EB2E" w14:textId="13729EA3" w:rsidR="003612D0" w:rsidRPr="0045416C" w:rsidRDefault="0045416C" w:rsidP="003612D0">
      <w:pPr>
        <w:pStyle w:val="numberpara"/>
        <w:spacing w:before="0" w:line="240" w:lineRule="auto"/>
        <w:rPr>
          <w:color w:val="000000"/>
          <w:shd w:val="clear" w:color="auto" w:fill="FFFFFF"/>
        </w:rPr>
      </w:pPr>
      <w:r>
        <w:rPr>
          <w:color w:val="000000"/>
          <w:shd w:val="clear" w:color="auto" w:fill="FFFFFF"/>
        </w:rPr>
        <w:t>The exemption also operates on the basis that these doctors or midwives have the requisite registration to practice, and that the exemption only applies on a temporary basis for the duration of the pandemic.</w:t>
      </w:r>
      <w:r w:rsidR="003612D0">
        <w:t xml:space="preserve"> </w:t>
      </w:r>
    </w:p>
    <w:p w14:paraId="04C50E58" w14:textId="77777777" w:rsidR="003612D0" w:rsidRDefault="003612D0" w:rsidP="003612D0">
      <w:pPr>
        <w:shd w:val="clear" w:color="auto" w:fill="FFFFFF"/>
        <w:spacing w:before="240" w:line="257" w:lineRule="atLeast"/>
        <w:rPr>
          <w:rFonts w:ascii="Calibri" w:eastAsia="Times New Roman" w:hAnsi="Calibri" w:cs="Calibri"/>
          <w:color w:val="000000"/>
          <w:sz w:val="22"/>
          <w:szCs w:val="22"/>
          <w:lang w:eastAsia="en-AU"/>
        </w:rPr>
      </w:pPr>
      <w:r>
        <w:rPr>
          <w:rFonts w:eastAsia="Times New Roman"/>
          <w:b/>
          <w:bCs/>
          <w:color w:val="000000"/>
          <w:lang w:eastAsia="en-AU"/>
        </w:rPr>
        <w:t>Human rights implications</w:t>
      </w:r>
    </w:p>
    <w:p w14:paraId="16C3F627" w14:textId="2F3C8CE9" w:rsidR="003612D0" w:rsidRDefault="003612D0" w:rsidP="003612D0">
      <w:pPr>
        <w:shd w:val="clear" w:color="auto" w:fill="FFFFFF"/>
        <w:spacing w:line="257" w:lineRule="atLeast"/>
        <w:rPr>
          <w:rFonts w:eastAsia="Times New Roman"/>
          <w:color w:val="000000"/>
          <w:lang w:eastAsia="en-AU"/>
        </w:rPr>
      </w:pPr>
      <w:r>
        <w:rPr>
          <w:rFonts w:eastAsia="Times New Roman"/>
          <w:color w:val="000000"/>
          <w:lang w:eastAsia="en-AU"/>
        </w:rPr>
        <w:t>The instrument does not engage any of the human rights and freedoms recognised in the international human rights treaties which Australia has ratified. However, the overarching purpose of the Amending Rules is to facilitate the participation of doctors and eligible midwives in the country’s COVID-19 Pandemic Response. This supports Article 12(2)(d) of the International Covenant on Economic, Social and Cultural Rights such that it creates “conditions which would assure to all medical service and medical attention in the event of sickness”.</w:t>
      </w:r>
    </w:p>
    <w:p w14:paraId="76C6E1C6" w14:textId="77777777" w:rsidR="003612D0" w:rsidRDefault="003612D0" w:rsidP="003612D0">
      <w:pPr>
        <w:shd w:val="clear" w:color="auto" w:fill="FFFFFF"/>
        <w:spacing w:line="257" w:lineRule="atLeast"/>
        <w:rPr>
          <w:rFonts w:ascii="Calibri" w:eastAsia="Times New Roman" w:hAnsi="Calibri" w:cs="Calibri"/>
          <w:color w:val="000000"/>
          <w:sz w:val="22"/>
          <w:szCs w:val="22"/>
          <w:lang w:eastAsia="en-AU"/>
        </w:rPr>
      </w:pPr>
      <w:r>
        <w:rPr>
          <w:rFonts w:eastAsia="Times New Roman"/>
          <w:b/>
          <w:bCs/>
          <w:color w:val="000000"/>
          <w:lang w:eastAsia="en-AU"/>
        </w:rPr>
        <w:lastRenderedPageBreak/>
        <w:t>Conclusion</w:t>
      </w:r>
    </w:p>
    <w:p w14:paraId="46D05E31" w14:textId="4924B6C6" w:rsidR="003612D0" w:rsidRDefault="003612D0" w:rsidP="003612D0">
      <w:pPr>
        <w:shd w:val="clear" w:color="auto" w:fill="FFFFFF"/>
        <w:spacing w:line="257" w:lineRule="atLeast"/>
        <w:rPr>
          <w:rFonts w:eastAsia="Times New Roman"/>
          <w:color w:val="000000"/>
          <w:lang w:eastAsia="en-AU"/>
        </w:rPr>
      </w:pPr>
      <w:r>
        <w:rPr>
          <w:rFonts w:eastAsia="Times New Roman"/>
          <w:color w:val="000000"/>
          <w:lang w:eastAsia="en-AU"/>
        </w:rPr>
        <w:t>This Legislative Instrument is compatible with human rights as it does not raise any human rights issues.</w:t>
      </w:r>
    </w:p>
    <w:p w14:paraId="2084A1F9" w14:textId="77777777" w:rsidR="00FF548E" w:rsidRDefault="00FF548E" w:rsidP="003612D0">
      <w:pPr>
        <w:shd w:val="clear" w:color="auto" w:fill="FFFFFF"/>
        <w:spacing w:line="257" w:lineRule="atLeast"/>
        <w:rPr>
          <w:rFonts w:ascii="Calibri" w:eastAsia="Times New Roman" w:hAnsi="Calibri" w:cs="Calibri"/>
          <w:color w:val="000000"/>
          <w:sz w:val="22"/>
          <w:szCs w:val="22"/>
          <w:lang w:eastAsia="en-AU"/>
        </w:rPr>
      </w:pPr>
    </w:p>
    <w:p w14:paraId="6B62D225" w14:textId="77777777" w:rsidR="00FF548E" w:rsidRDefault="003612D0" w:rsidP="003612D0">
      <w:pPr>
        <w:shd w:val="clear" w:color="auto" w:fill="FFFFFF"/>
        <w:spacing w:line="257" w:lineRule="atLeast"/>
        <w:jc w:val="center"/>
        <w:rPr>
          <w:rFonts w:eastAsia="Times New Roman"/>
          <w:b/>
          <w:bCs/>
          <w:color w:val="000000"/>
          <w:lang w:eastAsia="en-AU"/>
        </w:rPr>
      </w:pPr>
      <w:r>
        <w:rPr>
          <w:rFonts w:eastAsia="Times New Roman"/>
          <w:b/>
          <w:bCs/>
          <w:color w:val="000000"/>
          <w:lang w:eastAsia="en-AU"/>
        </w:rPr>
        <w:t>The Hon Greg Hunt MP</w:t>
      </w:r>
    </w:p>
    <w:p w14:paraId="42BA61FB" w14:textId="2935A428" w:rsidR="003612D0" w:rsidRDefault="003612D0" w:rsidP="003612D0">
      <w:pPr>
        <w:shd w:val="clear" w:color="auto" w:fill="FFFFFF"/>
        <w:spacing w:line="257" w:lineRule="atLeast"/>
        <w:jc w:val="center"/>
        <w:rPr>
          <w:rFonts w:ascii="Calibri" w:eastAsia="Times New Roman" w:hAnsi="Calibri" w:cs="Calibri"/>
          <w:color w:val="000000"/>
          <w:sz w:val="22"/>
          <w:szCs w:val="22"/>
          <w:lang w:eastAsia="en-AU"/>
        </w:rPr>
      </w:pPr>
      <w:r>
        <w:rPr>
          <w:rFonts w:eastAsia="Times New Roman"/>
          <w:b/>
          <w:bCs/>
          <w:color w:val="000000"/>
          <w:lang w:eastAsia="en-AU"/>
        </w:rPr>
        <w:t>Minister for Health and Aged Care</w:t>
      </w:r>
    </w:p>
    <w:p w14:paraId="77987D53" w14:textId="77777777" w:rsidR="00280050" w:rsidRDefault="00280050"/>
    <w:sectPr w:rsidR="00280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D0"/>
    <w:rsid w:val="00011A91"/>
    <w:rsid w:val="00011B5F"/>
    <w:rsid w:val="000523DA"/>
    <w:rsid w:val="000712D6"/>
    <w:rsid w:val="000E1497"/>
    <w:rsid w:val="001E31FE"/>
    <w:rsid w:val="00210841"/>
    <w:rsid w:val="00212B3B"/>
    <w:rsid w:val="00222E85"/>
    <w:rsid w:val="0026010A"/>
    <w:rsid w:val="00261127"/>
    <w:rsid w:val="00271170"/>
    <w:rsid w:val="00280050"/>
    <w:rsid w:val="002F41D5"/>
    <w:rsid w:val="00343C55"/>
    <w:rsid w:val="003612D0"/>
    <w:rsid w:val="00385F24"/>
    <w:rsid w:val="0045416C"/>
    <w:rsid w:val="0046703D"/>
    <w:rsid w:val="005A1BE2"/>
    <w:rsid w:val="0062160F"/>
    <w:rsid w:val="006251AD"/>
    <w:rsid w:val="00634BFB"/>
    <w:rsid w:val="0068707E"/>
    <w:rsid w:val="00782BD2"/>
    <w:rsid w:val="007B73D7"/>
    <w:rsid w:val="007E7380"/>
    <w:rsid w:val="007F6D2D"/>
    <w:rsid w:val="007F6E06"/>
    <w:rsid w:val="00814102"/>
    <w:rsid w:val="00833C48"/>
    <w:rsid w:val="00837F55"/>
    <w:rsid w:val="00843627"/>
    <w:rsid w:val="008535D8"/>
    <w:rsid w:val="009060EB"/>
    <w:rsid w:val="009618F0"/>
    <w:rsid w:val="009E0964"/>
    <w:rsid w:val="00AE411E"/>
    <w:rsid w:val="00B17594"/>
    <w:rsid w:val="00B60F90"/>
    <w:rsid w:val="00B70E75"/>
    <w:rsid w:val="00C43B18"/>
    <w:rsid w:val="00C46718"/>
    <w:rsid w:val="00C555DC"/>
    <w:rsid w:val="00CC265F"/>
    <w:rsid w:val="00CD3635"/>
    <w:rsid w:val="00D12729"/>
    <w:rsid w:val="00D63CD8"/>
    <w:rsid w:val="00D83A85"/>
    <w:rsid w:val="00DD15EB"/>
    <w:rsid w:val="00EE32B5"/>
    <w:rsid w:val="00EF5FDA"/>
    <w:rsid w:val="00F134DE"/>
    <w:rsid w:val="00F13A92"/>
    <w:rsid w:val="00F14D6C"/>
    <w:rsid w:val="00F54BC9"/>
    <w:rsid w:val="00F627FE"/>
    <w:rsid w:val="00FA1CBF"/>
    <w:rsid w:val="00FF54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BDC6"/>
  <w15:chartTrackingRefBased/>
  <w15:docId w15:val="{E9C2D2EC-082C-4F2D-8FCA-924B34D1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D0"/>
    <w:pPr>
      <w:spacing w:line="256" w:lineRule="auto"/>
    </w:pPr>
  </w:style>
  <w:style w:type="paragraph" w:styleId="Heading2">
    <w:name w:val="heading 2"/>
    <w:basedOn w:val="Normal"/>
    <w:link w:val="Heading2Char"/>
    <w:uiPriority w:val="9"/>
    <w:qFormat/>
    <w:rsid w:val="009618F0"/>
    <w:pPr>
      <w:spacing w:before="100" w:beforeAutospacing="1" w:after="100" w:afterAutospacing="1" w:line="240" w:lineRule="auto"/>
      <w:outlineLvl w:val="1"/>
    </w:pPr>
    <w:rPr>
      <w:rFonts w:eastAsia="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12D0"/>
    <w:rPr>
      <w:color w:val="0563C1" w:themeColor="hyperlink"/>
      <w:u w:val="single"/>
    </w:rPr>
  </w:style>
  <w:style w:type="paragraph" w:styleId="CommentText">
    <w:name w:val="annotation text"/>
    <w:basedOn w:val="Normal"/>
    <w:link w:val="CommentTextChar"/>
    <w:uiPriority w:val="99"/>
    <w:semiHidden/>
    <w:unhideWhenUsed/>
    <w:rsid w:val="003612D0"/>
    <w:pPr>
      <w:spacing w:line="240" w:lineRule="auto"/>
    </w:pPr>
    <w:rPr>
      <w:sz w:val="20"/>
      <w:szCs w:val="20"/>
    </w:rPr>
  </w:style>
  <w:style w:type="character" w:customStyle="1" w:styleId="CommentTextChar">
    <w:name w:val="Comment Text Char"/>
    <w:basedOn w:val="DefaultParagraphFont"/>
    <w:link w:val="CommentText"/>
    <w:uiPriority w:val="99"/>
    <w:semiHidden/>
    <w:rsid w:val="003612D0"/>
    <w:rPr>
      <w:sz w:val="20"/>
      <w:szCs w:val="20"/>
    </w:rPr>
  </w:style>
  <w:style w:type="paragraph" w:customStyle="1" w:styleId="numberpara">
    <w:name w:val="numberpara"/>
    <w:basedOn w:val="Footer"/>
    <w:rsid w:val="003612D0"/>
    <w:pPr>
      <w:tabs>
        <w:tab w:val="clear" w:pos="4513"/>
        <w:tab w:val="clear" w:pos="9026"/>
        <w:tab w:val="left" w:pos="360"/>
        <w:tab w:val="left" w:pos="567"/>
      </w:tabs>
      <w:spacing w:before="120" w:line="360" w:lineRule="auto"/>
    </w:pPr>
    <w:rPr>
      <w:rFonts w:eastAsia="Times New Roman"/>
      <w:szCs w:val="20"/>
      <w:lang w:val="en-US" w:eastAsia="en-AU"/>
    </w:rPr>
  </w:style>
  <w:style w:type="character" w:styleId="CommentReference">
    <w:name w:val="annotation reference"/>
    <w:basedOn w:val="DefaultParagraphFont"/>
    <w:uiPriority w:val="99"/>
    <w:semiHidden/>
    <w:unhideWhenUsed/>
    <w:rsid w:val="003612D0"/>
    <w:rPr>
      <w:sz w:val="16"/>
      <w:szCs w:val="16"/>
    </w:rPr>
  </w:style>
  <w:style w:type="paragraph" w:styleId="Footer">
    <w:name w:val="footer"/>
    <w:basedOn w:val="Normal"/>
    <w:link w:val="FooterChar"/>
    <w:uiPriority w:val="99"/>
    <w:semiHidden/>
    <w:unhideWhenUsed/>
    <w:rsid w:val="003612D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12D0"/>
  </w:style>
  <w:style w:type="character" w:customStyle="1" w:styleId="Heading2Char">
    <w:name w:val="Heading 2 Char"/>
    <w:basedOn w:val="DefaultParagraphFont"/>
    <w:link w:val="Heading2"/>
    <w:uiPriority w:val="9"/>
    <w:rsid w:val="009618F0"/>
    <w:rPr>
      <w:rFonts w:eastAsia="Times New Roman"/>
      <w:b/>
      <w:bCs/>
      <w:sz w:val="36"/>
      <w:szCs w:val="36"/>
      <w:lang w:eastAsia="en-AU"/>
    </w:rPr>
  </w:style>
  <w:style w:type="paragraph" w:customStyle="1" w:styleId="plainparagraph">
    <w:name w:val="plainparagraph"/>
    <w:basedOn w:val="Normal"/>
    <w:rsid w:val="009618F0"/>
    <w:pPr>
      <w:spacing w:before="100" w:beforeAutospacing="1" w:after="100" w:afterAutospacing="1" w:line="240" w:lineRule="auto"/>
    </w:pPr>
    <w:rPr>
      <w:rFonts w:eastAsia="Times New Roman"/>
      <w:lang w:eastAsia="en-AU"/>
    </w:rPr>
  </w:style>
  <w:style w:type="character" w:customStyle="1" w:styleId="charampartno">
    <w:name w:val="charampartno"/>
    <w:basedOn w:val="DefaultParagraphFont"/>
    <w:rsid w:val="009618F0"/>
  </w:style>
  <w:style w:type="character" w:customStyle="1" w:styleId="charamparttext">
    <w:name w:val="charamparttext"/>
    <w:basedOn w:val="DefaultParagraphFont"/>
    <w:rsid w:val="009618F0"/>
  </w:style>
  <w:style w:type="paragraph" w:styleId="ListParagraph">
    <w:name w:val="List Paragraph"/>
    <w:basedOn w:val="Normal"/>
    <w:uiPriority w:val="34"/>
    <w:qFormat/>
    <w:rsid w:val="009618F0"/>
    <w:pPr>
      <w:spacing w:before="100" w:beforeAutospacing="1" w:after="100" w:afterAutospacing="1" w:line="240" w:lineRule="auto"/>
    </w:pPr>
    <w:rPr>
      <w:rFonts w:eastAsia="Times New Roman"/>
      <w:lang w:eastAsia="en-AU"/>
    </w:rPr>
  </w:style>
  <w:style w:type="character" w:customStyle="1" w:styleId="charparttext">
    <w:name w:val="charparttext"/>
    <w:basedOn w:val="DefaultParagraphFont"/>
    <w:rsid w:val="009618F0"/>
  </w:style>
  <w:style w:type="paragraph" w:styleId="CommentSubject">
    <w:name w:val="annotation subject"/>
    <w:basedOn w:val="CommentText"/>
    <w:next w:val="CommentText"/>
    <w:link w:val="CommentSubjectChar"/>
    <w:uiPriority w:val="99"/>
    <w:semiHidden/>
    <w:unhideWhenUsed/>
    <w:rsid w:val="009E0964"/>
    <w:rPr>
      <w:b/>
      <w:bCs/>
    </w:rPr>
  </w:style>
  <w:style w:type="character" w:customStyle="1" w:styleId="CommentSubjectChar">
    <w:name w:val="Comment Subject Char"/>
    <w:basedOn w:val="CommentTextChar"/>
    <w:link w:val="CommentSubject"/>
    <w:uiPriority w:val="99"/>
    <w:semiHidden/>
    <w:rsid w:val="009E0964"/>
    <w:rPr>
      <w:b/>
      <w:bCs/>
      <w:sz w:val="20"/>
      <w:szCs w:val="20"/>
    </w:rPr>
  </w:style>
  <w:style w:type="paragraph" w:styleId="Revision">
    <w:name w:val="Revision"/>
    <w:hidden/>
    <w:uiPriority w:val="99"/>
    <w:semiHidden/>
    <w:rsid w:val="009E0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87606">
      <w:bodyDiv w:val="1"/>
      <w:marLeft w:val="0"/>
      <w:marRight w:val="0"/>
      <w:marTop w:val="0"/>
      <w:marBottom w:val="0"/>
      <w:divBdr>
        <w:top w:val="none" w:sz="0" w:space="0" w:color="auto"/>
        <w:left w:val="none" w:sz="0" w:space="0" w:color="auto"/>
        <w:bottom w:val="none" w:sz="0" w:space="0" w:color="auto"/>
        <w:right w:val="none" w:sz="0" w:space="0" w:color="auto"/>
      </w:divBdr>
    </w:div>
    <w:div w:id="961114555">
      <w:bodyDiv w:val="1"/>
      <w:marLeft w:val="0"/>
      <w:marRight w:val="0"/>
      <w:marTop w:val="0"/>
      <w:marBottom w:val="0"/>
      <w:divBdr>
        <w:top w:val="none" w:sz="0" w:space="0" w:color="auto"/>
        <w:left w:val="none" w:sz="0" w:space="0" w:color="auto"/>
        <w:bottom w:val="none" w:sz="0" w:space="0" w:color="auto"/>
        <w:right w:val="none" w:sz="0" w:space="0" w:color="auto"/>
      </w:divBdr>
    </w:div>
    <w:div w:id="1422873905">
      <w:bodyDiv w:val="1"/>
      <w:marLeft w:val="0"/>
      <w:marRight w:val="0"/>
      <w:marTop w:val="0"/>
      <w:marBottom w:val="0"/>
      <w:divBdr>
        <w:top w:val="none" w:sz="0" w:space="0" w:color="auto"/>
        <w:left w:val="none" w:sz="0" w:space="0" w:color="auto"/>
        <w:bottom w:val="none" w:sz="0" w:space="0" w:color="auto"/>
        <w:right w:val="none" w:sz="0" w:space="0" w:color="auto"/>
      </w:divBdr>
    </w:div>
    <w:div w:id="197204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940E5EB-B87C-493F-B65C-B67AEFA8D33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2B0E21B171EA24E86CCAEFB8631788A" ma:contentTypeVersion="" ma:contentTypeDescription="PDMS Document Site Content Type" ma:contentTypeScope="" ma:versionID="7d271f06648d1ccf48f387ea0b12ced1">
  <xsd:schema xmlns:xsd="http://www.w3.org/2001/XMLSchema" xmlns:xs="http://www.w3.org/2001/XMLSchema" xmlns:p="http://schemas.microsoft.com/office/2006/metadata/properties" xmlns:ns2="D940E5EB-B87C-493F-B65C-B67AEFA8D339" targetNamespace="http://schemas.microsoft.com/office/2006/metadata/properties" ma:root="true" ma:fieldsID="7b2da349332426f8e88dbe41fe39a8dc" ns2:_="">
    <xsd:import namespace="D940E5EB-B87C-493F-B65C-B67AEFA8D3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0E5EB-B87C-493F-B65C-B67AEFA8D3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05DC1-6860-4367-AB50-587330399A90}">
  <ds:schemaRefs>
    <ds:schemaRef ds:uri="http://schemas.microsoft.com/sharepoint/v3/contenttype/forms"/>
  </ds:schemaRefs>
</ds:datastoreItem>
</file>

<file path=customXml/itemProps2.xml><?xml version="1.0" encoding="utf-8"?>
<ds:datastoreItem xmlns:ds="http://schemas.openxmlformats.org/officeDocument/2006/customXml" ds:itemID="{4F33A391-9C6A-40DA-A3FB-2D292174C81A}">
  <ds:schemaRefs>
    <ds:schemaRef ds:uri="http://schemas.microsoft.com/office/infopath/2007/PartnerControls"/>
    <ds:schemaRef ds:uri="D940E5EB-B87C-493F-B65C-B67AEFA8D33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75E4DA5-A2C5-47DA-9F01-4B65DB534E31}">
  <ds:schemaRefs>
    <ds:schemaRef ds:uri="http://schemas.openxmlformats.org/officeDocument/2006/bibliography"/>
  </ds:schemaRefs>
</ds:datastoreItem>
</file>

<file path=customXml/itemProps4.xml><?xml version="1.0" encoding="utf-8"?>
<ds:datastoreItem xmlns:ds="http://schemas.openxmlformats.org/officeDocument/2006/customXml" ds:itemID="{2E2750D1-3B8F-42AA-9C53-393540971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0E5EB-B87C-493F-B65C-B67AEFA8D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7</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Byron</dc:creator>
  <cp:keywords/>
  <dc:description/>
  <cp:lastModifiedBy>SHAKESPEARE, Penny</cp:lastModifiedBy>
  <cp:revision>5</cp:revision>
  <cp:lastPrinted>2022-05-04T23:59:00Z</cp:lastPrinted>
  <dcterms:created xsi:type="dcterms:W3CDTF">2022-05-04T07:11:00Z</dcterms:created>
  <dcterms:modified xsi:type="dcterms:W3CDTF">2022-05-12T03:47:00Z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0x010100266966F133664895A6EE3632470D45F500E2B0E21B171EA24E86CCAEFB8631788A</vt:lpwstr>
  </property>
</Properties>
</file>