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97E9" w14:textId="59AB5E73" w:rsidR="00FF1EF4" w:rsidRPr="005261EB" w:rsidRDefault="00FF1EF4" w:rsidP="00FF1EF4">
      <w:pPr>
        <w:spacing w:after="600"/>
        <w:rPr>
          <w:sz w:val="28"/>
        </w:rPr>
      </w:pPr>
      <w:r w:rsidRPr="005261EB">
        <w:rPr>
          <w:noProof/>
        </w:rPr>
        <w:drawing>
          <wp:inline distT="0" distB="0" distL="0" distR="0" wp14:anchorId="5EEB91A1" wp14:editId="549455C6">
            <wp:extent cx="3542030" cy="756285"/>
            <wp:effectExtent l="0" t="0" r="127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D9331" w14:textId="652909B7" w:rsidR="00FF1EF4" w:rsidRPr="005261EB" w:rsidRDefault="00FF1EF4" w:rsidP="00FF1EF4">
      <w:pPr>
        <w:pStyle w:val="LI-Title"/>
        <w:pBdr>
          <w:bottom w:val="single" w:sz="4" w:space="1" w:color="auto"/>
        </w:pBdr>
      </w:pPr>
      <w:r w:rsidRPr="005261EB">
        <w:t xml:space="preserve">ASIC </w:t>
      </w:r>
      <w:r w:rsidR="008C734B" w:rsidRPr="005261EB">
        <w:t>Derivative Transaction Rules (Clearing)</w:t>
      </w:r>
      <w:r w:rsidRPr="005261EB">
        <w:t xml:space="preserve"> Amendment Instrument </w:t>
      </w:r>
      <w:r w:rsidR="008C734B" w:rsidRPr="005261EB">
        <w:t>2022</w:t>
      </w:r>
      <w:r w:rsidR="00F517E7" w:rsidRPr="005261EB">
        <w:t>/224</w:t>
      </w:r>
    </w:p>
    <w:p w14:paraId="0214BEEF" w14:textId="13A9DD3D" w:rsidR="00FF1EF4" w:rsidRPr="005261EB" w:rsidRDefault="00FF1EF4" w:rsidP="00FF1EF4">
      <w:pPr>
        <w:pStyle w:val="LI-Fronttext"/>
        <w:rPr>
          <w:sz w:val="24"/>
          <w:szCs w:val="24"/>
        </w:rPr>
      </w:pPr>
      <w:r w:rsidRPr="005261EB">
        <w:rPr>
          <w:sz w:val="24"/>
          <w:szCs w:val="24"/>
        </w:rPr>
        <w:t xml:space="preserve">I, </w:t>
      </w:r>
      <w:r w:rsidR="00963A16" w:rsidRPr="005261EB">
        <w:rPr>
          <w:sz w:val="24"/>
          <w:szCs w:val="24"/>
        </w:rPr>
        <w:t>Nathan</w:t>
      </w:r>
      <w:r w:rsidRPr="005261EB">
        <w:rPr>
          <w:sz w:val="24"/>
          <w:szCs w:val="24"/>
        </w:rPr>
        <w:t xml:space="preserve"> </w:t>
      </w:r>
      <w:r w:rsidR="00963A16" w:rsidRPr="005261EB">
        <w:rPr>
          <w:sz w:val="24"/>
          <w:szCs w:val="24"/>
        </w:rPr>
        <w:t>Bourne</w:t>
      </w:r>
      <w:r w:rsidRPr="005261EB">
        <w:rPr>
          <w:sz w:val="24"/>
          <w:szCs w:val="24"/>
        </w:rPr>
        <w:t>, delegate of the Australian Securities and Investments Commission,</w:t>
      </w:r>
      <w:r w:rsidR="000C41AC" w:rsidRPr="005261EB">
        <w:rPr>
          <w:sz w:val="24"/>
          <w:szCs w:val="24"/>
        </w:rPr>
        <w:t xml:space="preserve"> acting with the written consent of the Minister,</w:t>
      </w:r>
      <w:r w:rsidRPr="005261EB">
        <w:rPr>
          <w:sz w:val="24"/>
          <w:szCs w:val="24"/>
        </w:rPr>
        <w:t xml:space="preserve"> make the following legislative instrument.</w:t>
      </w:r>
    </w:p>
    <w:p w14:paraId="70ED7B50" w14:textId="77777777" w:rsidR="00FF1EF4" w:rsidRPr="005261EB" w:rsidRDefault="00FF1EF4" w:rsidP="00FF1EF4">
      <w:pPr>
        <w:pStyle w:val="LI-Fronttext"/>
      </w:pPr>
    </w:p>
    <w:p w14:paraId="61A09783" w14:textId="5070255A" w:rsidR="00FF1EF4" w:rsidRPr="005261EB" w:rsidRDefault="00FF1EF4" w:rsidP="00FF1EF4">
      <w:pPr>
        <w:pStyle w:val="LI-Fronttext"/>
        <w:rPr>
          <w:sz w:val="24"/>
          <w:szCs w:val="24"/>
        </w:rPr>
      </w:pPr>
      <w:r w:rsidRPr="005261EB">
        <w:rPr>
          <w:sz w:val="24"/>
          <w:szCs w:val="24"/>
        </w:rPr>
        <w:t>Date</w:t>
      </w:r>
      <w:r w:rsidRPr="005261EB">
        <w:rPr>
          <w:sz w:val="24"/>
          <w:szCs w:val="24"/>
        </w:rPr>
        <w:tab/>
      </w:r>
      <w:bookmarkStart w:id="0" w:name="BKCheck15B_1"/>
      <w:bookmarkEnd w:id="0"/>
      <w:r w:rsidR="005371E2" w:rsidRPr="005261EB">
        <w:rPr>
          <w:sz w:val="24"/>
          <w:szCs w:val="24"/>
        </w:rPr>
        <w:t xml:space="preserve">12 May </w:t>
      </w:r>
      <w:r w:rsidRPr="005261EB">
        <w:rPr>
          <w:sz w:val="24"/>
          <w:szCs w:val="24"/>
        </w:rPr>
        <w:t>20</w:t>
      </w:r>
      <w:r w:rsidR="00963A16" w:rsidRPr="005261EB">
        <w:rPr>
          <w:sz w:val="24"/>
          <w:szCs w:val="24"/>
        </w:rPr>
        <w:t>22</w:t>
      </w:r>
    </w:p>
    <w:p w14:paraId="68E15946" w14:textId="77777777" w:rsidR="00FF1EF4" w:rsidRPr="005261EB" w:rsidRDefault="00FF1EF4" w:rsidP="00FF1EF4">
      <w:pPr>
        <w:rPr>
          <w:lang w:eastAsia="en-AU"/>
        </w:rPr>
      </w:pPr>
    </w:p>
    <w:p w14:paraId="7E8ECC8F" w14:textId="77777777" w:rsidR="004F763F" w:rsidRPr="005261EB" w:rsidRDefault="004F763F" w:rsidP="00FF1EF4">
      <w:pPr>
        <w:pStyle w:val="LI-Fronttext"/>
        <w:pBdr>
          <w:bottom w:val="single" w:sz="4" w:space="1" w:color="auto"/>
        </w:pBdr>
        <w:rPr>
          <w:i/>
          <w:sz w:val="24"/>
          <w:szCs w:val="24"/>
        </w:rPr>
      </w:pPr>
    </w:p>
    <w:p w14:paraId="5017C374" w14:textId="610100F6" w:rsidR="00FF1EF4" w:rsidRPr="00BB5C17" w:rsidRDefault="00846C91" w:rsidP="00FF1EF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5261EB">
        <w:rPr>
          <w:sz w:val="24"/>
          <w:szCs w:val="24"/>
        </w:rPr>
        <w:t>Nathan Bourne</w:t>
      </w:r>
    </w:p>
    <w:p w14:paraId="3AB21886" w14:textId="77777777" w:rsidR="00FF1EF4" w:rsidRPr="00F61B09" w:rsidRDefault="00FF1EF4" w:rsidP="00FF1EF4">
      <w:pPr>
        <w:pStyle w:val="Header"/>
        <w:tabs>
          <w:tab w:val="clear" w:pos="4150"/>
          <w:tab w:val="clear" w:pos="8307"/>
        </w:tabs>
      </w:pPr>
    </w:p>
    <w:p w14:paraId="5D63AF49" w14:textId="77777777" w:rsidR="00FF1EF4" w:rsidRPr="00F61B09" w:rsidRDefault="00FF1EF4" w:rsidP="00FF1EF4">
      <w:pPr>
        <w:sectPr w:rsidR="00FF1EF4" w:rsidRPr="00F61B09" w:rsidSect="008945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4485EDB" w14:textId="77777777" w:rsidR="00FF1EF4" w:rsidRPr="00F61B09" w:rsidRDefault="00FF1EF4" w:rsidP="00FF1EF4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6CB9978" w14:textId="585AC3A5" w:rsidR="005371E2" w:rsidRDefault="00FF1EF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03184637" w:history="1">
        <w:r w:rsidR="005371E2" w:rsidRPr="00BF3CFF">
          <w:rPr>
            <w:rStyle w:val="Hyperlink"/>
            <w:noProof/>
          </w:rPr>
          <w:t>Part 1—Preliminary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_Toc103184637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2BCB72FA" w14:textId="402273A6" w:rsidR="005371E2" w:rsidRDefault="005261E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38" w:history="1">
        <w:r w:rsidR="005371E2" w:rsidRPr="00BF3CFF">
          <w:rPr>
            <w:rStyle w:val="Hyperlink"/>
            <w:noProof/>
          </w:rPr>
          <w:t>1</w:t>
        </w:r>
        <w:r w:rsidR="005371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5371E2" w:rsidRPr="00BF3CFF">
          <w:rPr>
            <w:rStyle w:val="Hyperlink"/>
            <w:noProof/>
          </w:rPr>
          <w:t>Name of legislative instrument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_Toc103184638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3706A741" w14:textId="5B363737" w:rsidR="005371E2" w:rsidRDefault="005261E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39" w:history="1">
        <w:r w:rsidR="005371E2" w:rsidRPr="00BF3CFF">
          <w:rPr>
            <w:rStyle w:val="Hyperlink"/>
            <w:noProof/>
          </w:rPr>
          <w:t>2</w:t>
        </w:r>
        <w:r w:rsidR="005371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5371E2" w:rsidRPr="00BF3CFF">
          <w:rPr>
            <w:rStyle w:val="Hyperlink"/>
            <w:noProof/>
          </w:rPr>
          <w:t>Commencement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_Toc103184639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154B3891" w14:textId="17BC365C" w:rsidR="005371E2" w:rsidRDefault="005261E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40" w:history="1">
        <w:r w:rsidR="005371E2" w:rsidRPr="00BF3CFF">
          <w:rPr>
            <w:rStyle w:val="Hyperlink"/>
            <w:noProof/>
          </w:rPr>
          <w:t>3</w:t>
        </w:r>
        <w:r w:rsidR="005371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5371E2" w:rsidRPr="00BF3CFF">
          <w:rPr>
            <w:rStyle w:val="Hyperlink"/>
            <w:noProof/>
          </w:rPr>
          <w:t>Authority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_Toc103184640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01C5BEE3" w14:textId="71AE0011" w:rsidR="005371E2" w:rsidRDefault="005261E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41" w:history="1">
        <w:r w:rsidR="005371E2" w:rsidRPr="00BF3CFF">
          <w:rPr>
            <w:rStyle w:val="Hyperlink"/>
            <w:noProof/>
          </w:rPr>
          <w:t>4</w:t>
        </w:r>
        <w:r w:rsidR="005371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5371E2" w:rsidRPr="00BF3CFF">
          <w:rPr>
            <w:rStyle w:val="Hyperlink"/>
            <w:noProof/>
          </w:rPr>
          <w:t>Schedules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_Toc103184641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1A38C463" w14:textId="313F3843" w:rsidR="005371E2" w:rsidRDefault="005261E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42" w:history="1">
        <w:r w:rsidR="005371E2" w:rsidRPr="00BF3CFF">
          <w:rPr>
            <w:rStyle w:val="Hyperlink"/>
            <w:noProof/>
          </w:rPr>
          <w:t>5</w:t>
        </w:r>
        <w:r w:rsidR="005371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5371E2" w:rsidRPr="00BF3CFF">
          <w:rPr>
            <w:rStyle w:val="Hyperlink"/>
            <w:noProof/>
          </w:rPr>
          <w:t>Repeal of amending and repealing instruments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_Toc103184642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3</w:t>
        </w:r>
        <w:r w:rsidR="005371E2">
          <w:rPr>
            <w:noProof/>
            <w:webHidden/>
          </w:rPr>
          <w:fldChar w:fldCharType="end"/>
        </w:r>
      </w:hyperlink>
    </w:p>
    <w:p w14:paraId="0ED2CD1B" w14:textId="4957BE01" w:rsidR="005371E2" w:rsidRDefault="005261E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03184643" w:history="1">
        <w:r w:rsidR="005371E2" w:rsidRPr="00BF3CFF">
          <w:rPr>
            <w:rStyle w:val="Hyperlink"/>
            <w:noProof/>
          </w:rPr>
          <w:t>Schedule 1—Amendments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_Toc103184643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4</w:t>
        </w:r>
        <w:r w:rsidR="005371E2">
          <w:rPr>
            <w:noProof/>
            <w:webHidden/>
          </w:rPr>
          <w:fldChar w:fldCharType="end"/>
        </w:r>
      </w:hyperlink>
    </w:p>
    <w:p w14:paraId="481345B2" w14:textId="62515926" w:rsidR="005371E2" w:rsidRDefault="005261EB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3184644" w:history="1">
        <w:r w:rsidR="005371E2" w:rsidRPr="00BF3CFF">
          <w:rPr>
            <w:rStyle w:val="Hyperlink"/>
            <w:i/>
            <w:iCs/>
            <w:noProof/>
          </w:rPr>
          <w:t>ASIC Derivative Transaction Rules (Clearing) 2015</w:t>
        </w:r>
        <w:r w:rsidR="005371E2">
          <w:rPr>
            <w:noProof/>
            <w:webHidden/>
          </w:rPr>
          <w:tab/>
        </w:r>
        <w:r w:rsidR="005371E2">
          <w:rPr>
            <w:noProof/>
            <w:webHidden/>
          </w:rPr>
          <w:fldChar w:fldCharType="begin"/>
        </w:r>
        <w:r w:rsidR="005371E2">
          <w:rPr>
            <w:noProof/>
            <w:webHidden/>
          </w:rPr>
          <w:instrText xml:space="preserve"> PAGEREF _Toc103184644 \h </w:instrText>
        </w:r>
        <w:r w:rsidR="005371E2">
          <w:rPr>
            <w:noProof/>
            <w:webHidden/>
          </w:rPr>
        </w:r>
        <w:r w:rsidR="005371E2">
          <w:rPr>
            <w:noProof/>
            <w:webHidden/>
          </w:rPr>
          <w:fldChar w:fldCharType="separate"/>
        </w:r>
        <w:r w:rsidR="005371E2">
          <w:rPr>
            <w:noProof/>
            <w:webHidden/>
          </w:rPr>
          <w:t>4</w:t>
        </w:r>
        <w:r w:rsidR="005371E2">
          <w:rPr>
            <w:noProof/>
            <w:webHidden/>
          </w:rPr>
          <w:fldChar w:fldCharType="end"/>
        </w:r>
      </w:hyperlink>
    </w:p>
    <w:p w14:paraId="3E86E31D" w14:textId="2665A30B" w:rsidR="00FF1EF4" w:rsidRPr="00F61B09" w:rsidRDefault="00FF1EF4" w:rsidP="00FF1EF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7C3A8EC" w14:textId="77777777" w:rsidR="00FF1EF4" w:rsidRPr="00F61B09" w:rsidRDefault="00FF1EF4" w:rsidP="00FF1EF4">
      <w:pPr>
        <w:sectPr w:rsidR="00FF1EF4" w:rsidRPr="00F61B09" w:rsidSect="00F4215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8345A54" w14:textId="77777777" w:rsidR="00FF1EF4" w:rsidRPr="00F61B09" w:rsidRDefault="00FF1EF4" w:rsidP="00FF1EF4">
      <w:pPr>
        <w:pStyle w:val="LI-Heading1"/>
      </w:pPr>
      <w:bookmarkStart w:id="2" w:name="BK_S3P1L1C1"/>
      <w:bookmarkStart w:id="3" w:name="_Toc103184637"/>
      <w:bookmarkEnd w:id="2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5B79EDE7" w14:textId="77777777" w:rsidR="00FF1EF4" w:rsidRDefault="00FF1EF4" w:rsidP="00FF1EF4">
      <w:pPr>
        <w:pStyle w:val="LI-Heading2"/>
        <w:rPr>
          <w:szCs w:val="24"/>
        </w:rPr>
      </w:pPr>
      <w:bookmarkStart w:id="4" w:name="_Toc103184638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4"/>
    </w:p>
    <w:p w14:paraId="6FA8A942" w14:textId="1A2CDD12" w:rsidR="00FF1EF4" w:rsidRDefault="00FF1EF4" w:rsidP="00FF1EF4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="00963A16" w:rsidRPr="00306FE9">
        <w:rPr>
          <w:i/>
          <w:iCs/>
        </w:rPr>
        <w:t>ASIC Derivative Transaction Rules (Clearing) Amendment Instrument 2022/</w:t>
      </w:r>
      <w:r w:rsidR="001C3088">
        <w:rPr>
          <w:i/>
          <w:iCs/>
        </w:rPr>
        <w:t>224</w:t>
      </w:r>
      <w:r w:rsidRPr="00AC3E7B">
        <w:rPr>
          <w:szCs w:val="24"/>
        </w:rPr>
        <w:t>.</w:t>
      </w:r>
    </w:p>
    <w:p w14:paraId="347229DC" w14:textId="77777777" w:rsidR="00FF1EF4" w:rsidRPr="008C0F29" w:rsidRDefault="00FF1EF4" w:rsidP="00FF1EF4">
      <w:pPr>
        <w:pStyle w:val="LI-Heading2"/>
        <w:rPr>
          <w:szCs w:val="24"/>
        </w:rPr>
      </w:pPr>
      <w:bookmarkStart w:id="5" w:name="_Toc103184639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1ABCB185" w14:textId="1AF06015" w:rsidR="00FF1EF4" w:rsidRPr="008C0F29" w:rsidRDefault="00FF1EF4" w:rsidP="00FF1EF4">
      <w:pPr>
        <w:pStyle w:val="LI-BodyTextUnnumbered"/>
        <w:rPr>
          <w:szCs w:val="24"/>
        </w:rPr>
      </w:pPr>
      <w:r w:rsidRPr="00A85698">
        <w:rPr>
          <w:szCs w:val="24"/>
        </w:rPr>
        <w:t xml:space="preserve">This instrument commences </w:t>
      </w:r>
      <w:r w:rsidR="000422F3" w:rsidRPr="00A85698">
        <w:rPr>
          <w:szCs w:val="24"/>
        </w:rPr>
        <w:t xml:space="preserve">on the day that is </w:t>
      </w:r>
      <w:r w:rsidR="00085A2E" w:rsidRPr="00A85698">
        <w:rPr>
          <w:szCs w:val="24"/>
        </w:rPr>
        <w:t xml:space="preserve">3 </w:t>
      </w:r>
      <w:r w:rsidR="00427BC4" w:rsidRPr="00A85698">
        <w:rPr>
          <w:szCs w:val="24"/>
        </w:rPr>
        <w:t xml:space="preserve">months after </w:t>
      </w:r>
      <w:r w:rsidRPr="00A85698">
        <w:rPr>
          <w:szCs w:val="24"/>
        </w:rPr>
        <w:t>the day it is registered on the Federal Register of Legislation.</w:t>
      </w:r>
    </w:p>
    <w:p w14:paraId="53F2F190" w14:textId="77777777" w:rsidR="00FF1EF4" w:rsidRDefault="00FF1EF4" w:rsidP="00FF1EF4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2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2A2A0EA2" w14:textId="77777777" w:rsidR="00FF1EF4" w:rsidRPr="008C0F29" w:rsidRDefault="00FF1EF4" w:rsidP="00FF1EF4">
      <w:pPr>
        <w:pStyle w:val="LI-Heading2"/>
        <w:spacing w:before="240"/>
        <w:rPr>
          <w:szCs w:val="24"/>
        </w:rPr>
      </w:pPr>
      <w:bookmarkStart w:id="6" w:name="_Toc103184640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2A803737" w14:textId="5B127B06" w:rsidR="00FF1EF4" w:rsidRPr="008C0F29" w:rsidRDefault="00FF1EF4" w:rsidP="00FF1EF4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="004854EE">
        <w:rPr>
          <w:szCs w:val="24"/>
        </w:rPr>
        <w:t>section</w:t>
      </w:r>
      <w:r w:rsidR="000C41AC">
        <w:rPr>
          <w:szCs w:val="24"/>
        </w:rPr>
        <w:t>s</w:t>
      </w:r>
      <w:r w:rsidR="004854EE">
        <w:rPr>
          <w:szCs w:val="24"/>
        </w:rPr>
        <w:t xml:space="preserve"> 901A</w:t>
      </w:r>
      <w:r w:rsidR="000C41AC">
        <w:rPr>
          <w:szCs w:val="24"/>
        </w:rPr>
        <w:t xml:space="preserve"> and 901M</w:t>
      </w:r>
      <w:r w:rsidRPr="00AC3E7B">
        <w:rPr>
          <w:szCs w:val="24"/>
        </w:rPr>
        <w:t xml:space="preserve"> of </w:t>
      </w:r>
      <w:r w:rsidR="004854EE">
        <w:rPr>
          <w:szCs w:val="24"/>
        </w:rPr>
        <w:t xml:space="preserve">the </w:t>
      </w:r>
      <w:r w:rsidR="004854EE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13D31512" w14:textId="1D448674" w:rsidR="00FF1EF4" w:rsidRPr="00BB5C17" w:rsidRDefault="00FF1EF4" w:rsidP="00FF1EF4">
      <w:pPr>
        <w:pStyle w:val="LI-Heading2"/>
        <w:spacing w:before="240"/>
        <w:rPr>
          <w:szCs w:val="24"/>
        </w:rPr>
      </w:pPr>
      <w:bookmarkStart w:id="7" w:name="_Toc103184641"/>
      <w:r w:rsidRPr="00BB5C17">
        <w:rPr>
          <w:szCs w:val="24"/>
        </w:rPr>
        <w:t>4</w:t>
      </w:r>
      <w:r>
        <w:rPr>
          <w:szCs w:val="24"/>
        </w:rPr>
        <w:tab/>
        <w:t>Schedule</w:t>
      </w:r>
      <w:r w:rsidR="00085A2E">
        <w:rPr>
          <w:szCs w:val="24"/>
        </w:rPr>
        <w:t>s</w:t>
      </w:r>
      <w:bookmarkEnd w:id="7"/>
    </w:p>
    <w:p w14:paraId="23DC1015" w14:textId="73361115" w:rsidR="00FF1EF4" w:rsidRDefault="00FF1EF4" w:rsidP="00FF1EF4">
      <w:pPr>
        <w:pStyle w:val="LI-BodyTextUnnumbered"/>
      </w:pPr>
      <w:r w:rsidRPr="009B69D4">
        <w:t xml:space="preserve">Each </w:t>
      </w:r>
      <w:r w:rsidR="00085A2E">
        <w:t xml:space="preserve">instrument </w:t>
      </w:r>
      <w:r w:rsidRPr="009B69D4">
        <w:t xml:space="preserve">that is specified in </w:t>
      </w:r>
      <w:r w:rsidR="00085A2E">
        <w:t xml:space="preserve">a </w:t>
      </w:r>
      <w:r w:rsidRPr="009B69D4">
        <w:t xml:space="preserve">Schedule to this instrument is amended or repealed as set out in the applicable items in </w:t>
      </w:r>
      <w:r w:rsidR="00F5656E">
        <w:t>th</w:t>
      </w:r>
      <w:r w:rsidR="00085A2E">
        <w:t>e</w:t>
      </w:r>
      <w:r w:rsidR="00F5656E">
        <w:t xml:space="preserve"> </w:t>
      </w:r>
      <w:r w:rsidR="00085A2E">
        <w:t>S</w:t>
      </w:r>
      <w:r w:rsidR="00F5656E">
        <w:t>chedule</w:t>
      </w:r>
      <w:r w:rsidR="00085A2E">
        <w:t xml:space="preserve"> concerned</w:t>
      </w:r>
      <w:r w:rsidR="00442C06">
        <w:t xml:space="preserve">, </w:t>
      </w:r>
      <w:r w:rsidR="00442C06" w:rsidRPr="008327AB">
        <w:t xml:space="preserve">and any other item </w:t>
      </w:r>
      <w:r w:rsidR="009349AC">
        <w:t>in</w:t>
      </w:r>
      <w:r w:rsidR="00442C06">
        <w:t xml:space="preserve"> </w:t>
      </w:r>
      <w:r w:rsidR="00085A2E">
        <w:t xml:space="preserve">a </w:t>
      </w:r>
      <w:r w:rsidR="009349AC">
        <w:t>S</w:t>
      </w:r>
      <w:r w:rsidR="00442C06" w:rsidRPr="008327AB">
        <w:t>chedule</w:t>
      </w:r>
      <w:r w:rsidR="009349AC">
        <w:t xml:space="preserve"> </w:t>
      </w:r>
      <w:r w:rsidR="00085A2E">
        <w:t xml:space="preserve">to this instrument </w:t>
      </w:r>
      <w:r w:rsidR="00442C06" w:rsidRPr="008327AB">
        <w:t>has effect according to its terms</w:t>
      </w:r>
      <w:r>
        <w:t>.</w:t>
      </w:r>
    </w:p>
    <w:p w14:paraId="4C61C67A" w14:textId="77777777" w:rsidR="00FF1EF4" w:rsidRPr="00BB5C17" w:rsidRDefault="00FF1EF4" w:rsidP="00FF1EF4">
      <w:pPr>
        <w:pStyle w:val="LI-Heading2"/>
        <w:spacing w:before="240"/>
        <w:rPr>
          <w:szCs w:val="24"/>
        </w:rPr>
      </w:pPr>
      <w:bookmarkStart w:id="8" w:name="_Toc103184642"/>
      <w:r>
        <w:rPr>
          <w:szCs w:val="24"/>
        </w:rPr>
        <w:t>5</w:t>
      </w:r>
      <w:r>
        <w:rPr>
          <w:szCs w:val="24"/>
        </w:rPr>
        <w:tab/>
        <w:t>Repeal of amending and repealing instruments</w:t>
      </w:r>
      <w:bookmarkEnd w:id="8"/>
    </w:p>
    <w:p w14:paraId="5E080FC8" w14:textId="77777777" w:rsidR="00FF1EF4" w:rsidRDefault="00FF1EF4" w:rsidP="00FF1EF4">
      <w:pPr>
        <w:pStyle w:val="LI-BodyTextUnnumbered"/>
        <w:ind w:left="1701" w:hanging="567"/>
      </w:pPr>
      <w:r>
        <w:t>(1)</w:t>
      </w:r>
      <w:r>
        <w:tab/>
        <w:t>The repeal of an instrument by section 4 does not affect any amendment to or repeal of another instrument (however described) made by the instrument.</w:t>
      </w:r>
    </w:p>
    <w:p w14:paraId="76526736" w14:textId="77777777" w:rsidR="00FF1EF4" w:rsidRDefault="00FF1EF4" w:rsidP="00FF1EF4">
      <w:pPr>
        <w:pStyle w:val="LI-BodyTextUnnumbered"/>
        <w:ind w:left="1701" w:hanging="567"/>
        <w:sectPr w:rsidR="00FF1EF4" w:rsidSect="007D230B">
          <w:headerReference w:type="even" r:id="rId23"/>
          <w:headerReference w:type="default" r:id="rId24"/>
          <w:footerReference w:type="even" r:id="rId25"/>
          <w:headerReference w:type="first" r:id="rId26"/>
          <w:footerReference w:type="first" r:id="rId27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(2)</w:t>
      </w:r>
      <w:r>
        <w:tab/>
        <w:t xml:space="preserve">Subsection (1) does not limit the effect of section 7 of the </w:t>
      </w:r>
      <w:r w:rsidRPr="005C1C22">
        <w:rPr>
          <w:i/>
        </w:rPr>
        <w:t>Acts</w:t>
      </w:r>
      <w:r>
        <w:rPr>
          <w:i/>
        </w:rPr>
        <w:t> </w:t>
      </w:r>
      <w:r w:rsidRPr="005C1C22">
        <w:rPr>
          <w:i/>
        </w:rPr>
        <w:t>Interpretation Act 1901</w:t>
      </w:r>
      <w:r>
        <w:t xml:space="preserve"> as it applies to the repeal of an instrument by section 4 of this instrument.</w:t>
      </w:r>
    </w:p>
    <w:p w14:paraId="524E709C" w14:textId="77777777" w:rsidR="00FF1EF4" w:rsidRPr="00F61B09" w:rsidRDefault="00FF1EF4" w:rsidP="00FF1EF4">
      <w:pPr>
        <w:pStyle w:val="LI-Heading1"/>
      </w:pPr>
      <w:bookmarkStart w:id="9" w:name="_Toc103184643"/>
      <w:r>
        <w:lastRenderedPageBreak/>
        <w:t>Schedule 1</w:t>
      </w:r>
      <w:r w:rsidRPr="00F61B09">
        <w:t>—</w:t>
      </w:r>
      <w:r>
        <w:t>Amendments</w:t>
      </w:r>
      <w:bookmarkEnd w:id="9"/>
    </w:p>
    <w:p w14:paraId="26430364" w14:textId="7C3A5620" w:rsidR="00FF1EF4" w:rsidRPr="006A0395" w:rsidRDefault="004854EE" w:rsidP="00FF1EF4">
      <w:pPr>
        <w:pStyle w:val="LI-Heading2"/>
        <w:rPr>
          <w:i/>
          <w:iCs/>
          <w:sz w:val="28"/>
          <w:szCs w:val="28"/>
        </w:rPr>
      </w:pPr>
      <w:bookmarkStart w:id="10" w:name="_Toc103184644"/>
      <w:r w:rsidRPr="007B7065">
        <w:rPr>
          <w:i/>
          <w:iCs/>
          <w:sz w:val="28"/>
          <w:szCs w:val="28"/>
        </w:rPr>
        <w:t>ASIC Derivative Transaction Rules (Clearing) 2015</w:t>
      </w:r>
      <w:bookmarkEnd w:id="10"/>
    </w:p>
    <w:p w14:paraId="73E5CA53" w14:textId="3BF56F8E" w:rsidR="00FF1EF4" w:rsidRPr="00CA3A25" w:rsidRDefault="00FF1EF4" w:rsidP="00FF1EF4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6713CE">
        <w:rPr>
          <w:b/>
        </w:rPr>
        <w:t xml:space="preserve">Subrule 1.2.3(2) </w:t>
      </w:r>
      <w:r w:rsidR="00280EBA">
        <w:rPr>
          <w:b/>
        </w:rPr>
        <w:t>(table item</w:t>
      </w:r>
      <w:r w:rsidR="000C41AC">
        <w:rPr>
          <w:b/>
        </w:rPr>
        <w:t>s</w:t>
      </w:r>
      <w:r w:rsidR="00280EBA">
        <w:rPr>
          <w:b/>
        </w:rPr>
        <w:t xml:space="preserve"> 3</w:t>
      </w:r>
      <w:r w:rsidR="000C41AC">
        <w:rPr>
          <w:b/>
        </w:rPr>
        <w:t xml:space="preserve"> and 4</w:t>
      </w:r>
      <w:r w:rsidR="00280EBA">
        <w:rPr>
          <w:b/>
        </w:rPr>
        <w:t>)</w:t>
      </w:r>
    </w:p>
    <w:p w14:paraId="4D09DE1C" w14:textId="20E7B610" w:rsidR="006713CE" w:rsidRDefault="000C41AC" w:rsidP="00FF1EF4">
      <w:pPr>
        <w:pStyle w:val="LI-BodyTextNumbered"/>
      </w:pPr>
      <w:r>
        <w:t xml:space="preserve">Repeal </w:t>
      </w:r>
      <w:r w:rsidR="00A3595A">
        <w:t>the item</w:t>
      </w:r>
      <w:r>
        <w:t>s</w:t>
      </w:r>
      <w:r w:rsidR="00280EBA">
        <w:t>.</w:t>
      </w:r>
    </w:p>
    <w:p w14:paraId="70C70765" w14:textId="674E8953" w:rsidR="007E6D83" w:rsidRPr="00CA3A25" w:rsidRDefault="007B7065" w:rsidP="007E6D83">
      <w:pPr>
        <w:pStyle w:val="LI-BodyTextNumbered"/>
        <w:ind w:left="567"/>
        <w:rPr>
          <w:b/>
        </w:rPr>
      </w:pPr>
      <w:r>
        <w:rPr>
          <w:b/>
        </w:rPr>
        <w:t>2</w:t>
      </w:r>
      <w:r w:rsidR="007E6D83" w:rsidRPr="00CA3A25">
        <w:rPr>
          <w:b/>
        </w:rPr>
        <w:tab/>
      </w:r>
      <w:r w:rsidR="007E6D83">
        <w:rPr>
          <w:b/>
        </w:rPr>
        <w:t>Subrule 1.2.3(2) (table item 5)</w:t>
      </w:r>
    </w:p>
    <w:p w14:paraId="1E739F49" w14:textId="4AF73594" w:rsidR="007E6D83" w:rsidRDefault="00D8573C" w:rsidP="007E6D83">
      <w:pPr>
        <w:pStyle w:val="LI-BodyTextNumbered"/>
      </w:pPr>
      <w:r>
        <w:t>Renumber as item 3.</w:t>
      </w:r>
    </w:p>
    <w:p w14:paraId="6876731C" w14:textId="1509DDFF" w:rsidR="00FF1EF4" w:rsidRPr="00CA3A25" w:rsidRDefault="007B7065" w:rsidP="00FF1EF4">
      <w:pPr>
        <w:pStyle w:val="LI-BodyTextNumbered"/>
        <w:ind w:left="567"/>
        <w:rPr>
          <w:b/>
        </w:rPr>
      </w:pPr>
      <w:r>
        <w:rPr>
          <w:b/>
        </w:rPr>
        <w:t>3</w:t>
      </w:r>
      <w:r w:rsidR="00FF1EF4" w:rsidRPr="00CA3A25">
        <w:rPr>
          <w:b/>
        </w:rPr>
        <w:tab/>
      </w:r>
      <w:r w:rsidR="00E371DC">
        <w:rPr>
          <w:b/>
        </w:rPr>
        <w:t>Subrule 1.2.3(3) (table item</w:t>
      </w:r>
      <w:r w:rsidR="00D8573C">
        <w:rPr>
          <w:b/>
        </w:rPr>
        <w:t>s</w:t>
      </w:r>
      <w:r w:rsidR="00E371DC">
        <w:rPr>
          <w:b/>
        </w:rPr>
        <w:t xml:space="preserve"> 3</w:t>
      </w:r>
      <w:r w:rsidR="00D8573C">
        <w:rPr>
          <w:b/>
        </w:rPr>
        <w:t xml:space="preserve"> and 4</w:t>
      </w:r>
      <w:r w:rsidR="00E371DC">
        <w:rPr>
          <w:b/>
        </w:rPr>
        <w:t>)</w:t>
      </w:r>
    </w:p>
    <w:p w14:paraId="14AAC504" w14:textId="36964EFD" w:rsidR="00E371DC" w:rsidRDefault="000D3C64" w:rsidP="00FF1EF4">
      <w:pPr>
        <w:pStyle w:val="LI-BodyTextNumbered"/>
      </w:pPr>
      <w:r>
        <w:t>Repeal</w:t>
      </w:r>
      <w:r w:rsidR="00762089">
        <w:t xml:space="preserve"> the item</w:t>
      </w:r>
      <w:r w:rsidR="00D8573C">
        <w:t>s</w:t>
      </w:r>
      <w:r w:rsidR="00E371DC">
        <w:t>.</w:t>
      </w:r>
    </w:p>
    <w:p w14:paraId="3F40F0FE" w14:textId="615D94B1" w:rsidR="00FF1EF4" w:rsidRPr="00CA3A25" w:rsidRDefault="007B7065" w:rsidP="00FF1EF4">
      <w:pPr>
        <w:pStyle w:val="LI-BodyTextNumbered"/>
        <w:ind w:left="567"/>
        <w:rPr>
          <w:b/>
        </w:rPr>
      </w:pPr>
      <w:r>
        <w:rPr>
          <w:b/>
        </w:rPr>
        <w:t>4</w:t>
      </w:r>
      <w:r w:rsidR="00FF1EF4" w:rsidRPr="00CA3A25">
        <w:rPr>
          <w:b/>
        </w:rPr>
        <w:tab/>
      </w:r>
      <w:r w:rsidR="00E371DC">
        <w:rPr>
          <w:b/>
        </w:rPr>
        <w:t xml:space="preserve">Subrule 1.2.3(3) (table item </w:t>
      </w:r>
      <w:r w:rsidR="007E6D83">
        <w:rPr>
          <w:b/>
        </w:rPr>
        <w:t>5</w:t>
      </w:r>
      <w:r w:rsidR="00E371DC">
        <w:rPr>
          <w:b/>
        </w:rPr>
        <w:t>)</w:t>
      </w:r>
    </w:p>
    <w:p w14:paraId="396A1099" w14:textId="5E1E4389" w:rsidR="00FF1EF4" w:rsidRDefault="00D8573C" w:rsidP="00FF1EF4">
      <w:pPr>
        <w:pStyle w:val="LI-BodyTextNumbered"/>
      </w:pPr>
      <w:r>
        <w:t>Renumber as item 3.</w:t>
      </w:r>
    </w:p>
    <w:p w14:paraId="4468C738" w14:textId="673ACBB2" w:rsidR="00A3595A" w:rsidRPr="00CA3A25" w:rsidRDefault="00376373" w:rsidP="00A3595A">
      <w:pPr>
        <w:pStyle w:val="LI-BodyTextNumbered"/>
        <w:ind w:left="567"/>
        <w:rPr>
          <w:b/>
        </w:rPr>
      </w:pPr>
      <w:r>
        <w:rPr>
          <w:b/>
        </w:rPr>
        <w:t>5</w:t>
      </w:r>
      <w:r w:rsidR="00A3595A" w:rsidRPr="00CA3A25">
        <w:rPr>
          <w:b/>
        </w:rPr>
        <w:tab/>
      </w:r>
      <w:r w:rsidR="00A3595A">
        <w:rPr>
          <w:b/>
        </w:rPr>
        <w:t>Subrule 1.2.3(4) (</w:t>
      </w:r>
      <w:r w:rsidR="007B7065">
        <w:rPr>
          <w:b/>
        </w:rPr>
        <w:t xml:space="preserve">cell at </w:t>
      </w:r>
      <w:r w:rsidR="00A3595A">
        <w:rPr>
          <w:b/>
        </w:rPr>
        <w:t>table item 2</w:t>
      </w:r>
      <w:r w:rsidR="007B7065">
        <w:rPr>
          <w:b/>
        </w:rPr>
        <w:t>, column</w:t>
      </w:r>
      <w:r w:rsidR="006A0395">
        <w:rPr>
          <w:b/>
        </w:rPr>
        <w:t xml:space="preserve"> headed “Floating Rate Index”</w:t>
      </w:r>
      <w:r w:rsidR="00A3595A">
        <w:rPr>
          <w:b/>
        </w:rPr>
        <w:t>)</w:t>
      </w:r>
    </w:p>
    <w:p w14:paraId="02AF7EFF" w14:textId="55065A4C" w:rsidR="00A3595A" w:rsidRDefault="00A3595A" w:rsidP="005F0CA7">
      <w:pPr>
        <w:pStyle w:val="LI-BodyTextNumbered"/>
        <w:ind w:left="567" w:firstLine="0"/>
      </w:pPr>
      <w:r>
        <w:t>Omit “Euro Overnight Index Average (EONIA)”, substitute “Euro Short-Term Rate (€STR)</w:t>
      </w:r>
      <w:r w:rsidR="00D8573C">
        <w:t>”</w:t>
      </w:r>
      <w:r>
        <w:t>.</w:t>
      </w:r>
    </w:p>
    <w:p w14:paraId="350B8CA2" w14:textId="10384724" w:rsidR="00FF1EF4" w:rsidRPr="00A85698" w:rsidRDefault="00376373" w:rsidP="00FF1EF4">
      <w:pPr>
        <w:pStyle w:val="LI-BodyTextNumbered"/>
        <w:ind w:left="567"/>
        <w:rPr>
          <w:b/>
        </w:rPr>
      </w:pPr>
      <w:r w:rsidRPr="00A85698">
        <w:rPr>
          <w:b/>
        </w:rPr>
        <w:t>6</w:t>
      </w:r>
      <w:r w:rsidR="00FF1EF4" w:rsidRPr="00A85698">
        <w:rPr>
          <w:b/>
        </w:rPr>
        <w:tab/>
      </w:r>
      <w:r w:rsidR="00E371DC" w:rsidRPr="00A85698">
        <w:rPr>
          <w:b/>
        </w:rPr>
        <w:t>Subrule 1.2.3(4) (</w:t>
      </w:r>
      <w:r w:rsidR="007B7065" w:rsidRPr="00A85698">
        <w:rPr>
          <w:b/>
        </w:rPr>
        <w:t xml:space="preserve">cell at </w:t>
      </w:r>
      <w:r w:rsidR="00E371DC" w:rsidRPr="00A85698">
        <w:rPr>
          <w:b/>
        </w:rPr>
        <w:t>table item 2</w:t>
      </w:r>
      <w:r w:rsidR="006A0395" w:rsidRPr="00A85698">
        <w:rPr>
          <w:b/>
        </w:rPr>
        <w:t>, column headed “Termination Date Range”</w:t>
      </w:r>
      <w:r w:rsidR="00E371DC" w:rsidRPr="00A85698">
        <w:rPr>
          <w:b/>
        </w:rPr>
        <w:t>)</w:t>
      </w:r>
    </w:p>
    <w:p w14:paraId="2F4EB4F2" w14:textId="65970573" w:rsidR="00E371DC" w:rsidRDefault="00E371DC" w:rsidP="00E371DC">
      <w:pPr>
        <w:pStyle w:val="LI-BodyTextNumbered"/>
      </w:pPr>
      <w:r w:rsidRPr="00A85698">
        <w:t>Omit “2 years”, substitute “3 years”</w:t>
      </w:r>
      <w:r w:rsidR="009E48E4" w:rsidRPr="00B70C21">
        <w:t>.</w:t>
      </w:r>
    </w:p>
    <w:p w14:paraId="21BE3CBD" w14:textId="56EFAED7" w:rsidR="00FF1EF4" w:rsidRPr="00CA3A25" w:rsidRDefault="00376373" w:rsidP="00FF1EF4">
      <w:pPr>
        <w:pStyle w:val="LI-BodyTextNumbered"/>
        <w:ind w:left="567"/>
        <w:rPr>
          <w:b/>
        </w:rPr>
      </w:pPr>
      <w:r>
        <w:rPr>
          <w:b/>
        </w:rPr>
        <w:t>7</w:t>
      </w:r>
      <w:r w:rsidR="00FF1EF4" w:rsidRPr="00CA3A25">
        <w:rPr>
          <w:b/>
        </w:rPr>
        <w:tab/>
      </w:r>
      <w:r w:rsidR="00E371DC">
        <w:rPr>
          <w:b/>
        </w:rPr>
        <w:t>Subrule 1.2.3(4) (</w:t>
      </w:r>
      <w:r w:rsidR="003B5FAE">
        <w:rPr>
          <w:b/>
        </w:rPr>
        <w:t xml:space="preserve">cell at </w:t>
      </w:r>
      <w:r w:rsidR="00E371DC">
        <w:rPr>
          <w:b/>
        </w:rPr>
        <w:t xml:space="preserve">table </w:t>
      </w:r>
      <w:r w:rsidR="00E371DC" w:rsidRPr="006A0395">
        <w:rPr>
          <w:b/>
        </w:rPr>
        <w:t>item 3</w:t>
      </w:r>
      <w:r w:rsidR="006A0395" w:rsidRPr="00A85698">
        <w:rPr>
          <w:b/>
        </w:rPr>
        <w:t>, column headed “Termination Date Range”</w:t>
      </w:r>
      <w:r w:rsidR="00E371DC" w:rsidRPr="006A0395">
        <w:rPr>
          <w:b/>
        </w:rPr>
        <w:t>)</w:t>
      </w:r>
    </w:p>
    <w:p w14:paraId="1A2CD18A" w14:textId="32F55E00" w:rsidR="00FF1EF4" w:rsidRDefault="00FF1EF4" w:rsidP="00FF1EF4">
      <w:pPr>
        <w:pStyle w:val="LI-BodyTextNumbered"/>
      </w:pPr>
      <w:r>
        <w:t>Omit “</w:t>
      </w:r>
      <w:r w:rsidR="00E371DC">
        <w:t>2 years</w:t>
      </w:r>
      <w:r>
        <w:t>”</w:t>
      </w:r>
      <w:r w:rsidR="00E371DC">
        <w:t>, substitute “50 years”</w:t>
      </w:r>
      <w:r>
        <w:t xml:space="preserve">. </w:t>
      </w:r>
    </w:p>
    <w:p w14:paraId="446F5B6C" w14:textId="212EF762" w:rsidR="00FF1EF4" w:rsidRPr="00CA3A25" w:rsidRDefault="00376373" w:rsidP="00FF1EF4">
      <w:pPr>
        <w:pStyle w:val="LI-BodyTextNumbered"/>
        <w:ind w:left="567"/>
        <w:rPr>
          <w:b/>
        </w:rPr>
      </w:pPr>
      <w:r>
        <w:rPr>
          <w:b/>
        </w:rPr>
        <w:t>8</w:t>
      </w:r>
      <w:r w:rsidR="00FF1EF4" w:rsidRPr="00CA3A25">
        <w:rPr>
          <w:b/>
        </w:rPr>
        <w:tab/>
      </w:r>
      <w:r w:rsidR="00E371DC">
        <w:rPr>
          <w:b/>
        </w:rPr>
        <w:t>Subrule 1.2.3(4)</w:t>
      </w:r>
      <w:r w:rsidR="00D46889">
        <w:rPr>
          <w:b/>
        </w:rPr>
        <w:t xml:space="preserve"> (after table item 4)</w:t>
      </w:r>
    </w:p>
    <w:p w14:paraId="4B2A1A64" w14:textId="7AF244B7" w:rsidR="001B1CEF" w:rsidRDefault="007E6D83">
      <w:pPr>
        <w:pStyle w:val="LI-BodyTextNumbered"/>
      </w:pPr>
      <w:r>
        <w:t>Insert</w:t>
      </w:r>
      <w:r w:rsidR="00D46889">
        <w:t>:</w:t>
      </w:r>
    </w:p>
    <w:tbl>
      <w:tblPr>
        <w:tblW w:w="0" w:type="auto"/>
        <w:tblInd w:w="959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743"/>
        <w:gridCol w:w="1405"/>
        <w:gridCol w:w="2976"/>
        <w:gridCol w:w="2230"/>
      </w:tblGrid>
      <w:tr w:rsidR="001B1CEF" w:rsidRPr="002A7B29" w14:paraId="1FEF2E47" w14:textId="77777777" w:rsidTr="00A85698">
        <w:trPr>
          <w:cantSplit/>
        </w:trPr>
        <w:tc>
          <w:tcPr>
            <w:tcW w:w="743" w:type="dxa"/>
          </w:tcPr>
          <w:p w14:paraId="255F5002" w14:textId="2651B4B4" w:rsidR="001B1CEF" w:rsidRDefault="001B1CEF" w:rsidP="00D5253C">
            <w:pPr>
              <w:pStyle w:val="tbltext"/>
            </w:pPr>
            <w:r>
              <w:t>5</w:t>
            </w:r>
          </w:p>
        </w:tc>
        <w:tc>
          <w:tcPr>
            <w:tcW w:w="1405" w:type="dxa"/>
          </w:tcPr>
          <w:p w14:paraId="548D1CA4" w14:textId="77777777" w:rsidR="001B1CEF" w:rsidRDefault="001B1CEF" w:rsidP="00D5253C">
            <w:pPr>
              <w:pStyle w:val="tbltext"/>
            </w:pPr>
            <w:r>
              <w:t>Japanese yen</w:t>
            </w:r>
          </w:p>
        </w:tc>
        <w:tc>
          <w:tcPr>
            <w:tcW w:w="2976" w:type="dxa"/>
          </w:tcPr>
          <w:p w14:paraId="44909718" w14:textId="77777777" w:rsidR="001B1CEF" w:rsidRPr="00952BFB" w:rsidRDefault="001B1CEF" w:rsidP="00D5253C">
            <w:pPr>
              <w:pStyle w:val="tbltext"/>
              <w:rPr>
                <w:spacing w:val="-4"/>
              </w:rPr>
            </w:pPr>
            <w:r>
              <w:rPr>
                <w:spacing w:val="-4"/>
              </w:rPr>
              <w:t>Tokyo Overnight Average Rate (TONA)</w:t>
            </w:r>
          </w:p>
        </w:tc>
        <w:tc>
          <w:tcPr>
            <w:tcW w:w="2230" w:type="dxa"/>
          </w:tcPr>
          <w:p w14:paraId="7A01538C" w14:textId="77777777" w:rsidR="001B1CEF" w:rsidRPr="002A7B29" w:rsidRDefault="001B1CEF" w:rsidP="00D5253C">
            <w:pPr>
              <w:pStyle w:val="tbltext"/>
            </w:pPr>
            <w:r>
              <w:t>7 days to 30 years</w:t>
            </w:r>
          </w:p>
        </w:tc>
      </w:tr>
    </w:tbl>
    <w:p w14:paraId="14454BED" w14:textId="77777777" w:rsidR="001B1CEF" w:rsidRDefault="001B1CEF" w:rsidP="00FF1EF4">
      <w:pPr>
        <w:pStyle w:val="LI-BodyTextNumbered"/>
      </w:pPr>
    </w:p>
    <w:p w14:paraId="2CECB26C" w14:textId="77777777" w:rsidR="00F268DE" w:rsidRDefault="00F268DE"/>
    <w:sectPr w:rsidR="00F268DE" w:rsidSect="0040053F">
      <w:headerReference w:type="even" r:id="rId28"/>
      <w:headerReference w:type="default" r:id="rId29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A81F" w14:textId="77777777" w:rsidR="00BF6480" w:rsidRDefault="009349AC">
      <w:pPr>
        <w:spacing w:line="240" w:lineRule="auto"/>
      </w:pPr>
      <w:r>
        <w:separator/>
      </w:r>
    </w:p>
  </w:endnote>
  <w:endnote w:type="continuationSeparator" w:id="0">
    <w:p w14:paraId="595CFF3B" w14:textId="77777777" w:rsidR="00BF6480" w:rsidRDefault="00934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41395955" w14:textId="77777777" w:rsidTr="00081794">
      <w:tc>
        <w:tcPr>
          <w:tcW w:w="8472" w:type="dxa"/>
          <w:shd w:val="clear" w:color="auto" w:fill="auto"/>
        </w:tcPr>
        <w:p w14:paraId="450DE5E5" w14:textId="655DFB5A" w:rsidR="00102CA6" w:rsidRPr="00081794" w:rsidRDefault="00FF1EF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35BD827" wp14:editId="4489611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92D0C" w14:textId="77777777" w:rsidR="00102CA6" w:rsidRPr="00284719" w:rsidRDefault="007B74B9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5BD8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4B092D0C" w14:textId="77777777" w:rsidR="00102CA6" w:rsidRPr="00284719" w:rsidRDefault="007B74B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7B74B9" w:rsidRPr="00081794">
            <w:rPr>
              <w:i/>
              <w:noProof/>
              <w:sz w:val="18"/>
            </w:rPr>
            <w:t>I14KE197.v07.docx</w:t>
          </w:r>
          <w:r w:rsidR="007B74B9" w:rsidRPr="00081794">
            <w:rPr>
              <w:i/>
              <w:sz w:val="18"/>
            </w:rPr>
            <w:t xml:space="preserve"> </w:t>
          </w:r>
          <w:r w:rsidR="007B74B9" w:rsidRPr="00081794">
            <w:rPr>
              <w:i/>
              <w:noProof/>
              <w:sz w:val="18"/>
            </w:rPr>
            <w:t>25/6/2014 3:37 PM</w:t>
          </w:r>
        </w:p>
      </w:tc>
    </w:tr>
  </w:tbl>
  <w:p w14:paraId="5024F53C" w14:textId="77777777" w:rsidR="00102CA6" w:rsidRPr="007500C8" w:rsidRDefault="005261EB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0075" w14:textId="3B14A2A4" w:rsidR="00102CA6" w:rsidRDefault="00FF1EF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80437D" wp14:editId="1EFF16A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E41A72A" w14:textId="77777777" w:rsidR="00102CA6" w:rsidRPr="00284719" w:rsidRDefault="005261E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437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5E41A72A" w14:textId="77777777" w:rsidR="00102CA6" w:rsidRPr="00284719" w:rsidRDefault="00FC65D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461A9FC7" w14:textId="77777777" w:rsidTr="00081794">
      <w:tc>
        <w:tcPr>
          <w:tcW w:w="8472" w:type="dxa"/>
          <w:shd w:val="clear" w:color="auto" w:fill="auto"/>
        </w:tcPr>
        <w:p w14:paraId="4A915FF2" w14:textId="77777777" w:rsidR="00102CA6" w:rsidRPr="00081794" w:rsidRDefault="005261EB" w:rsidP="00102CA6">
          <w:pPr>
            <w:rPr>
              <w:sz w:val="18"/>
            </w:rPr>
          </w:pPr>
        </w:p>
      </w:tc>
    </w:tr>
  </w:tbl>
  <w:p w14:paraId="06707F78" w14:textId="77777777" w:rsidR="00102CA6" w:rsidRPr="007500C8" w:rsidRDefault="005261EB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1DE5" w14:textId="77777777" w:rsidR="00102CA6" w:rsidRPr="00ED79B6" w:rsidRDefault="005261EB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28E6" w14:textId="77777777" w:rsidR="00102CA6" w:rsidRPr="00E2168B" w:rsidRDefault="007B74B9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A91E" w14:textId="77777777" w:rsidR="00102CA6" w:rsidRPr="00E33C1C" w:rsidRDefault="007B74B9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4AE7" w14:textId="77777777" w:rsidR="00102CA6" w:rsidRPr="00243EC0" w:rsidRDefault="007B74B9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A4C3" w14:textId="77777777" w:rsidR="00102CA6" w:rsidRPr="00E33C1C" w:rsidRDefault="005261E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49C130F1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4184AA" w14:textId="77777777" w:rsidR="00102CA6" w:rsidRPr="00081794" w:rsidRDefault="005261EB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48B2D99" w14:textId="77777777" w:rsidR="00102CA6" w:rsidRPr="00081794" w:rsidRDefault="007B74B9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611722" w14:textId="77777777" w:rsidR="00102CA6" w:rsidRPr="00081794" w:rsidRDefault="007B74B9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1B74649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37F733B" w14:textId="77777777" w:rsidR="00102CA6" w:rsidRPr="00081794" w:rsidRDefault="007B74B9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5B42E91D" w14:textId="77777777" w:rsidR="00102CA6" w:rsidRPr="00ED79B6" w:rsidRDefault="005261E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2E44" w14:textId="77777777" w:rsidR="00BF6480" w:rsidRDefault="009349AC">
      <w:pPr>
        <w:spacing w:line="240" w:lineRule="auto"/>
      </w:pPr>
      <w:r>
        <w:separator/>
      </w:r>
    </w:p>
  </w:footnote>
  <w:footnote w:type="continuationSeparator" w:id="0">
    <w:p w14:paraId="0A54B907" w14:textId="77777777" w:rsidR="00BF6480" w:rsidRDefault="00934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39B2" w14:textId="01A2DDB9" w:rsidR="00102CA6" w:rsidRPr="005F1388" w:rsidRDefault="00FF1E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457541" wp14:editId="1314022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A9B46E" w14:textId="77777777" w:rsidR="00102CA6" w:rsidRPr="00284719" w:rsidRDefault="007B74B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5754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24A9B46E" w14:textId="77777777" w:rsidR="00102CA6" w:rsidRPr="00284719" w:rsidRDefault="007B74B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35C" w14:textId="77777777" w:rsidR="00E2168B" w:rsidRPr="00243EC0" w:rsidRDefault="007B74B9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34610AC8" w14:textId="77777777" w:rsidTr="000A1655">
      <w:tc>
        <w:tcPr>
          <w:tcW w:w="6663" w:type="dxa"/>
          <w:shd w:val="clear" w:color="auto" w:fill="auto"/>
        </w:tcPr>
        <w:p w14:paraId="61FB4156" w14:textId="7D8DC0BD" w:rsidR="00F4215A" w:rsidRDefault="004F763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5261EB">
              <w:rPr>
                <w:noProof/>
              </w:rPr>
              <w:t>ASIC Derivative Transaction Rules (Clearing) Amendment Instrument 2022/224</w:t>
            </w:r>
          </w:fldSimple>
        </w:p>
      </w:tc>
      <w:tc>
        <w:tcPr>
          <w:tcW w:w="1650" w:type="dxa"/>
          <w:shd w:val="clear" w:color="auto" w:fill="auto"/>
        </w:tcPr>
        <w:p w14:paraId="7F066BC3" w14:textId="15E1600A" w:rsidR="00F4215A" w:rsidRDefault="004F763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5261EB">
              <w:rPr>
                <w:noProof/>
              </w:rPr>
              <w:t>Schedule 1—Amendments</w:t>
            </w:r>
          </w:fldSimple>
        </w:p>
      </w:tc>
    </w:tr>
  </w:tbl>
  <w:p w14:paraId="09E766B6" w14:textId="77777777" w:rsidR="0040053F" w:rsidRPr="00F4215A" w:rsidRDefault="005261EB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153" w14:textId="3870F267" w:rsidR="00102CA6" w:rsidRPr="005F1388" w:rsidRDefault="00FF1E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B023D7" wp14:editId="579CE1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B802295" w14:textId="77777777" w:rsidR="00102CA6" w:rsidRPr="00284719" w:rsidRDefault="005261E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023D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2B802295" w14:textId="77777777" w:rsidR="00102CA6" w:rsidRPr="00284719" w:rsidRDefault="00FC65D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14BB" w14:textId="77777777" w:rsidR="00102CA6" w:rsidRPr="005F1388" w:rsidRDefault="005261E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43D" w14:textId="77777777" w:rsidR="00102CA6" w:rsidRDefault="007B74B9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628081F" w14:textId="77777777" w:rsidTr="00BF75C9">
      <w:tc>
        <w:tcPr>
          <w:tcW w:w="6804" w:type="dxa"/>
          <w:shd w:val="clear" w:color="auto" w:fill="auto"/>
        </w:tcPr>
        <w:p w14:paraId="587308BC" w14:textId="19B4FE9C" w:rsidR="00F4215A" w:rsidRDefault="004F763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5261EB">
              <w:rPr>
                <w:noProof/>
              </w:rPr>
              <w:t>ASIC Derivative Transaction Rules (Clearing) Amendment Instrument 2022/224</w:t>
            </w:r>
          </w:fldSimple>
        </w:p>
      </w:tc>
      <w:tc>
        <w:tcPr>
          <w:tcW w:w="1509" w:type="dxa"/>
          <w:shd w:val="clear" w:color="auto" w:fill="auto"/>
        </w:tcPr>
        <w:p w14:paraId="5022E7EB" w14:textId="77777777" w:rsidR="00F4215A" w:rsidRDefault="005261EB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8CC80BA" w14:textId="77777777" w:rsidR="00102CA6" w:rsidRPr="008945E0" w:rsidRDefault="005261EB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CE7A" w14:textId="77777777" w:rsidR="00102CA6" w:rsidRPr="00ED79B6" w:rsidRDefault="005261E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DAEA" w14:textId="77777777" w:rsidR="00102CA6" w:rsidRPr="00243EC0" w:rsidRDefault="007B74B9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7D610C7" w14:textId="77777777" w:rsidTr="00BF75C9">
      <w:tc>
        <w:tcPr>
          <w:tcW w:w="6804" w:type="dxa"/>
          <w:shd w:val="clear" w:color="auto" w:fill="auto"/>
        </w:tcPr>
        <w:p w14:paraId="010CD767" w14:textId="2534198B" w:rsidR="00F4215A" w:rsidRDefault="004F763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5261EB">
              <w:rPr>
                <w:noProof/>
              </w:rPr>
              <w:t>ASIC Derivative Transaction Rules (Clearing) Amendment Instrument 2022/224</w:t>
            </w:r>
          </w:fldSimple>
        </w:p>
      </w:tc>
      <w:tc>
        <w:tcPr>
          <w:tcW w:w="1509" w:type="dxa"/>
          <w:shd w:val="clear" w:color="auto" w:fill="auto"/>
        </w:tcPr>
        <w:p w14:paraId="64B03B0B" w14:textId="484A5A24" w:rsidR="00F4215A" w:rsidRDefault="004F763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5261EB">
              <w:rPr>
                <w:noProof/>
              </w:rPr>
              <w:t>Part 1—Preliminary</w:t>
            </w:r>
          </w:fldSimple>
        </w:p>
      </w:tc>
    </w:tr>
  </w:tbl>
  <w:p w14:paraId="4A4E8A4B" w14:textId="77777777" w:rsidR="00D341C4" w:rsidRPr="00F4215A" w:rsidRDefault="005261EB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533" w14:textId="77777777" w:rsidR="00102CA6" w:rsidRPr="007A1328" w:rsidRDefault="005261EB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F4"/>
    <w:rsid w:val="000422F3"/>
    <w:rsid w:val="00085A2E"/>
    <w:rsid w:val="000C06CF"/>
    <w:rsid w:val="000C41AC"/>
    <w:rsid w:val="000D3C64"/>
    <w:rsid w:val="00174286"/>
    <w:rsid w:val="001B1CEF"/>
    <w:rsid w:val="001C3088"/>
    <w:rsid w:val="001E1185"/>
    <w:rsid w:val="00211837"/>
    <w:rsid w:val="002168E7"/>
    <w:rsid w:val="002767EF"/>
    <w:rsid w:val="00280EBA"/>
    <w:rsid w:val="00376373"/>
    <w:rsid w:val="0038086C"/>
    <w:rsid w:val="003B5FAE"/>
    <w:rsid w:val="00427BC4"/>
    <w:rsid w:val="00442C06"/>
    <w:rsid w:val="004651BF"/>
    <w:rsid w:val="004854EE"/>
    <w:rsid w:val="004F763F"/>
    <w:rsid w:val="005261EB"/>
    <w:rsid w:val="005371E2"/>
    <w:rsid w:val="005E180F"/>
    <w:rsid w:val="005F0CA7"/>
    <w:rsid w:val="00606A03"/>
    <w:rsid w:val="006713CE"/>
    <w:rsid w:val="006A0395"/>
    <w:rsid w:val="00762089"/>
    <w:rsid w:val="00782000"/>
    <w:rsid w:val="007B7065"/>
    <w:rsid w:val="007B74B9"/>
    <w:rsid w:val="007E6D83"/>
    <w:rsid w:val="00827CB6"/>
    <w:rsid w:val="00846C91"/>
    <w:rsid w:val="008C734B"/>
    <w:rsid w:val="00906D49"/>
    <w:rsid w:val="009349AC"/>
    <w:rsid w:val="00963A16"/>
    <w:rsid w:val="009E48E4"/>
    <w:rsid w:val="00A22013"/>
    <w:rsid w:val="00A3595A"/>
    <w:rsid w:val="00A85698"/>
    <w:rsid w:val="00B70C21"/>
    <w:rsid w:val="00B877C3"/>
    <w:rsid w:val="00BF6480"/>
    <w:rsid w:val="00C758C5"/>
    <w:rsid w:val="00D13789"/>
    <w:rsid w:val="00D21E3B"/>
    <w:rsid w:val="00D26065"/>
    <w:rsid w:val="00D46889"/>
    <w:rsid w:val="00D8573C"/>
    <w:rsid w:val="00E371DC"/>
    <w:rsid w:val="00F268DE"/>
    <w:rsid w:val="00F307FD"/>
    <w:rsid w:val="00F517E7"/>
    <w:rsid w:val="00F5656E"/>
    <w:rsid w:val="00FC65DE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24E69F7"/>
  <w15:chartTrackingRefBased/>
  <w15:docId w15:val="{253787F2-01A0-480C-8211-BBE74B1A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EF4"/>
    <w:pPr>
      <w:spacing w:after="0" w:line="260" w:lineRule="atLeast"/>
    </w:pPr>
    <w:rPr>
      <w:rFonts w:ascii="Times New Roman" w:eastAsia="Calibri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FF1EF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FF1EF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FF1EF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FF1EF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FF1EF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F1EF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FF1EF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1EF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FF1E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1EF4"/>
    <w:rPr>
      <w:rFonts w:ascii="Times New Roman" w:eastAsia="Times New Roman" w:hAnsi="Times New Roman" w:cs="Times New Roman"/>
      <w:sz w:val="22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FF1EF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F1EF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FF1EF4"/>
    <w:rPr>
      <w:color w:val="0000FF"/>
      <w:u w:val="single"/>
    </w:rPr>
  </w:style>
  <w:style w:type="paragraph" w:customStyle="1" w:styleId="LI-BodyTextSubparai">
    <w:name w:val="LI - Body Text Subpara (i)"/>
    <w:basedOn w:val="Normal"/>
    <w:link w:val="LI-BodyTextSubparaiChar"/>
    <w:qFormat/>
    <w:rsid w:val="00FF1EF4"/>
    <w:pPr>
      <w:spacing w:before="240" w:line="240" w:lineRule="auto"/>
      <w:ind w:left="2268" w:hanging="567"/>
    </w:pPr>
    <w:rPr>
      <w:rFonts w:eastAsia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DefaultParagraphFont"/>
    <w:link w:val="LI-BodyTextSubparai"/>
    <w:rsid w:val="00FF1EF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FF1EF4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FF1EF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FF1EF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FF1EF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FF1EF4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FF1EF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FF1EF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FF1EF4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7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B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BC4"/>
    <w:rPr>
      <w:rFonts w:ascii="Times New Roman" w:eastAsia="Calibri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BC4"/>
    <w:rPr>
      <w:rFonts w:ascii="Times New Roman" w:eastAsia="Calibri" w:hAnsi="Times New Roman" w:cs="Times New Roman"/>
      <w:b/>
      <w:bCs/>
      <w:szCs w:val="20"/>
    </w:rPr>
  </w:style>
  <w:style w:type="paragraph" w:styleId="Revision">
    <w:name w:val="Revision"/>
    <w:hidden/>
    <w:uiPriority w:val="99"/>
    <w:semiHidden/>
    <w:rsid w:val="006A0395"/>
    <w:pPr>
      <w:spacing w:after="0" w:line="240" w:lineRule="auto"/>
    </w:pPr>
    <w:rPr>
      <w:rFonts w:ascii="Times New Roman" w:eastAsia="Calibri" w:hAnsi="Times New Roman" w:cs="Times New Roman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1CEF"/>
    <w:rPr>
      <w:color w:val="954F72" w:themeColor="followedHyperlink"/>
      <w:u w:val="single"/>
    </w:rPr>
  </w:style>
  <w:style w:type="paragraph" w:customStyle="1" w:styleId="tbltext">
    <w:name w:val="tbl text"/>
    <w:basedOn w:val="Normal"/>
    <w:rsid w:val="001B1CEF"/>
    <w:pPr>
      <w:widowControl w:val="0"/>
      <w:spacing w:before="120" w:line="240" w:lineRule="atLeast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tablehead">
    <w:name w:val="table head"/>
    <w:basedOn w:val="Normal"/>
    <w:rsid w:val="001B1CEF"/>
    <w:pPr>
      <w:keepNext/>
      <w:spacing w:before="120" w:line="240" w:lineRule="atLeast"/>
    </w:pPr>
    <w:rPr>
      <w:rFonts w:ascii="Arial" w:eastAsia="Times New Roman" w:hAnsi="Arial" w:cs="Arial"/>
      <w:b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www.legislation.gov.au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R20220001051512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  <Approvers xmlns="17f478ab-373e-4295-9ff0-9b833ad01319">
      <UserInfo>
        <DisplayName/>
        <AccountId xsi:nil="true"/>
        <AccountType/>
      </UserInfo>
    </Approvers>
    <TaxCatchAll xmlns="6fdf923d-1605-456d-9034-49e4c2a6593d">
      <Value>11</Value>
    </TaxCatchAll>
    <IconOverlay xmlns="http://schemas.microsoft.com/sharepoint/v4" xsi:nil="true"/>
  </documentManagement>
</p:properties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41391517-AB9F-418C-9F98-DBD0B79FE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03253-A226-4EE5-9F36-B1AAC4A8AED2}">
  <ds:schemaRefs>
    <ds:schemaRef ds:uri="http://schemas.microsoft.com/office/2006/metadata/properties"/>
    <ds:schemaRef ds:uri="http://purl.org/dc/elements/1.1/"/>
    <ds:schemaRef ds:uri="http://schemas.microsoft.com/sharepoint/v4"/>
    <ds:schemaRef ds:uri="da7a9ac0-bc47-4684-84e6-3a8e9ac80c12"/>
    <ds:schemaRef ds:uri="http://schemas.openxmlformats.org/package/2006/metadata/core-properties"/>
    <ds:schemaRef ds:uri="http://purl.org/dc/terms/"/>
    <ds:schemaRef ds:uri="17f478ab-373e-4295-9ff0-9b833ad01319"/>
    <ds:schemaRef ds:uri="http://schemas.microsoft.com/office/infopath/2007/PartnerControls"/>
    <ds:schemaRef ds:uri="http://schemas.microsoft.com/office/2006/documentManagement/types"/>
    <ds:schemaRef ds:uri="6fdf923d-1605-456d-9034-49e4c2a659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A6C4A2-30FF-4DCE-99E2-E56938C0EA8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C98777F-5C2F-437E-B145-4B6DD3890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Collingwood-Smith</dc:creator>
  <cp:keywords/>
  <dc:description/>
  <cp:lastModifiedBy>Narelle Kane</cp:lastModifiedBy>
  <cp:revision>6</cp:revision>
  <dcterms:created xsi:type="dcterms:W3CDTF">2022-05-11T08:00:00Z</dcterms:created>
  <dcterms:modified xsi:type="dcterms:W3CDTF">2022-05-12T02:32:00Z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0x010100B5F685A1365F544391EF8C813B164F3A003FC3A1FB886AA841B1151906BEDCBCDF</vt:lpwstr>
  </property>
  <property fmtid="{D5CDD505-2E9C-101B-9397-08002B2CF9AE}" pid="3" name="RCRCaseSubType">
    <vt:lpwstr/>
  </property>
  <property fmtid="{D5CDD505-2E9C-101B-9397-08002B2CF9AE}" pid="4" name="RCRRegulatoryRole">
    <vt:lpwstr/>
  </property>
  <property fmtid="{D5CDD505-2E9C-101B-9397-08002B2CF9AE}" pid="5" name="RCRRegulatoryConsiderationSubType">
    <vt:lpwstr/>
  </property>
  <property fmtid="{D5CDD505-2E9C-101B-9397-08002B2CF9AE}" pid="6" name="RCRCfCs">
    <vt:lpwstr/>
  </property>
  <property fmtid="{D5CDD505-2E9C-101B-9397-08002B2CF9AE}" pid="7" name="RCRCaseType">
    <vt:lpwstr>25;#Surveillance - Proactive|ad07f8e0-09d9-e611-811a-005056a8b064</vt:lpwstr>
  </property>
  <property fmtid="{D5CDD505-2E9C-101B-9397-08002B2CF9AE}" pid="8" name="RCRRegulatoryConsiderationType">
    <vt:lpwstr/>
  </property>
  <property fmtid="{D5CDD505-2E9C-101B-9397-08002B2CF9AE}" pid="9" name="SecurityClassification">
    <vt:lpwstr>11;#OFFICIAL - Sensitive|6eccc17f-024b-41b0-b6b1-faf98d2aff85</vt:lpwstr>
  </property>
  <property fmtid="{D5CDD505-2E9C-101B-9397-08002B2CF9AE}" pid="10" name="RCRSourceSystem">
    <vt:lpwstr/>
  </property>
  <property fmtid="{D5CDD505-2E9C-101B-9397-08002B2CF9AE}" pid="11" name="RCRParentRecordType">
    <vt:lpwstr/>
  </property>
  <property fmtid="{D5CDD505-2E9C-101B-9397-08002B2CF9AE}" pid="12" name="RCRRegulatoryTopics">
    <vt:lpwstr/>
  </property>
  <property fmtid="{D5CDD505-2E9C-101B-9397-08002B2CF9AE}" pid="13" name="RCRBusinessProcessPattern">
    <vt:lpwstr/>
  </property>
  <property fmtid="{D5CDD505-2E9C-101B-9397-08002B2CF9AE}" pid="14" name="RCRSourceRecordType">
    <vt:lpwstr/>
  </property>
  <property fmtid="{D5CDD505-2E9C-101B-9397-08002B2CF9AE}" pid="15" name="RCRDocumentType">
    <vt:lpwstr>85;#Instrument (Draft)|93950dbd-ee74-e811-8128-005056a82db1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{6fdf923d-1605-456d-9034-49e4c2a6593d}</vt:lpwstr>
  </property>
  <property fmtid="{D5CDD505-2E9C-101B-9397-08002B2CF9AE}" pid="18" name="RecordPoint_ActiveItemSiteId">
    <vt:lpwstr>{fa96e6fb-4129-44b7-b105-10ec3844cb78}</vt:lpwstr>
  </property>
  <property fmtid="{D5CDD505-2E9C-101B-9397-08002B2CF9AE}" pid="19" name="RecordPoint_ActiveItemListId">
    <vt:lpwstr>{e8634c1b-1868-4a02-8de8-ef4b1316a551}</vt:lpwstr>
  </property>
  <property fmtid="{D5CDD505-2E9C-101B-9397-08002B2CF9AE}" pid="20" name="RecordPoint_ActiveItemUniqueId">
    <vt:lpwstr>{73c40fd9-ea95-4ce7-91aa-849a6515411a}</vt:lpwstr>
  </property>
  <property fmtid="{D5CDD505-2E9C-101B-9397-08002B2CF9AE}" pid="21" name="RecordPoint_RecordNumberSubmitted">
    <vt:lpwstr>R20220001051512</vt:lpwstr>
  </property>
  <property fmtid="{D5CDD505-2E9C-101B-9397-08002B2CF9AE}" pid="22" name="RecordPoint_SubmissionCompleted">
    <vt:lpwstr>2022-05-12T09:28:13.8712875+10:00</vt:lpwstr>
  </property>
</Properties>
</file>