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7B82" w14:textId="77777777" w:rsidR="00C11C8E" w:rsidRDefault="00C11C8E" w:rsidP="00C11C8E">
      <w:pPr>
        <w:spacing w:before="280" w:after="240"/>
        <w:rPr>
          <w:b/>
          <w:sz w:val="32"/>
          <w:szCs w:val="32"/>
        </w:rPr>
      </w:pPr>
    </w:p>
    <w:p w14:paraId="2703F47B" w14:textId="113D2351" w:rsidR="00C11C8E" w:rsidRPr="00D93E07" w:rsidRDefault="00C11C8E" w:rsidP="00C11C8E">
      <w:pPr>
        <w:spacing w:before="280" w:after="240"/>
        <w:rPr>
          <w:b/>
          <w:sz w:val="32"/>
          <w:szCs w:val="32"/>
        </w:rPr>
      </w:pPr>
      <w:r w:rsidRPr="00D93E07">
        <w:rPr>
          <w:noProof/>
        </w:rPr>
        <w:drawing>
          <wp:anchor distT="0" distB="0" distL="114300" distR="114300" simplePos="0" relativeHeight="251658240" behindDoc="0" locked="0" layoutInCell="1" allowOverlap="1" wp14:anchorId="231A2B3D" wp14:editId="7C562E5A">
            <wp:simplePos x="0" y="0"/>
            <wp:positionH relativeFrom="margin">
              <wp:align>center</wp:align>
            </wp:positionH>
            <wp:positionV relativeFrom="margin">
              <wp:align>top</wp:align>
            </wp:positionV>
            <wp:extent cx="3542030" cy="746760"/>
            <wp:effectExtent l="0" t="0" r="1270" b="0"/>
            <wp:wrapSquare wrapText="bothSides"/>
            <wp:docPr id="1" name="Picture 1"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Securities and Investments Commis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5DC6ECBF" w14:textId="77777777" w:rsidR="00C11C8E" w:rsidRPr="00D93E07" w:rsidRDefault="00C11C8E" w:rsidP="00C11C8E">
      <w:pPr>
        <w:pStyle w:val="LI-Title"/>
        <w:pBdr>
          <w:top w:val="none" w:sz="0" w:space="0" w:color="auto"/>
        </w:pBdr>
        <w:jc w:val="center"/>
      </w:pPr>
    </w:p>
    <w:p w14:paraId="337541F7" w14:textId="77777777" w:rsidR="00C11C8E" w:rsidRPr="00D93E07" w:rsidRDefault="00C11C8E" w:rsidP="00C11C8E">
      <w:pPr>
        <w:pStyle w:val="LI-Title"/>
        <w:pBdr>
          <w:top w:val="none" w:sz="0" w:space="0" w:color="auto"/>
        </w:pBdr>
        <w:jc w:val="center"/>
      </w:pPr>
      <w:r w:rsidRPr="00D93E07">
        <w:t>Explanatory Statement</w:t>
      </w:r>
    </w:p>
    <w:p w14:paraId="34706DC2" w14:textId="77777777" w:rsidR="00C11C8E" w:rsidRPr="00D93E07" w:rsidRDefault="00C11C8E" w:rsidP="00C11C8E">
      <w:pPr>
        <w:rPr>
          <w:lang w:eastAsia="en-AU"/>
        </w:rPr>
      </w:pPr>
    </w:p>
    <w:p w14:paraId="582F7AD3" w14:textId="271CB795" w:rsidR="00C11C8E" w:rsidRPr="00D93E07" w:rsidRDefault="00306FE9" w:rsidP="00C11C8E">
      <w:pPr>
        <w:jc w:val="center"/>
        <w:rPr>
          <w:b/>
          <w:i/>
          <w:sz w:val="28"/>
          <w:szCs w:val="28"/>
          <w:lang w:eastAsia="en-AU"/>
        </w:rPr>
      </w:pPr>
      <w:r w:rsidRPr="00D93E07">
        <w:rPr>
          <w:b/>
          <w:i/>
          <w:iCs/>
          <w:sz w:val="28"/>
          <w:szCs w:val="28"/>
          <w:lang w:eastAsia="en-AU"/>
        </w:rPr>
        <w:t>ASIC Derivative Transaction Rules (Clearing) Amendment Instrument 2022/</w:t>
      </w:r>
      <w:r w:rsidR="00E933D5" w:rsidRPr="00D93E07">
        <w:rPr>
          <w:b/>
          <w:i/>
          <w:iCs/>
          <w:sz w:val="28"/>
          <w:szCs w:val="28"/>
          <w:lang w:eastAsia="en-AU"/>
        </w:rPr>
        <w:t>224</w:t>
      </w:r>
    </w:p>
    <w:p w14:paraId="3087D834" w14:textId="0EF29702" w:rsidR="00C11C8E" w:rsidRPr="00D93E07" w:rsidRDefault="00C11C8E" w:rsidP="00C11C8E">
      <w:pPr>
        <w:pStyle w:val="LI-BodyTextParaa"/>
        <w:ind w:left="0" w:firstLine="0"/>
      </w:pPr>
      <w:bookmarkStart w:id="0" w:name="BK_S3P1L1C1"/>
      <w:bookmarkEnd w:id="0"/>
      <w:r w:rsidRPr="00D93E07">
        <w:t>This is the Explanatory Statement for</w:t>
      </w:r>
      <w:r w:rsidR="00306FE9" w:rsidRPr="00D93E07">
        <w:t xml:space="preserve"> </w:t>
      </w:r>
      <w:r w:rsidR="00306FE9" w:rsidRPr="00D93E07">
        <w:rPr>
          <w:i/>
          <w:iCs/>
        </w:rPr>
        <w:t>ASIC Derivative Transaction Rules (Clearing) Amendment Instrument 2022/</w:t>
      </w:r>
      <w:r w:rsidR="00E933D5" w:rsidRPr="00D93E07">
        <w:rPr>
          <w:i/>
          <w:iCs/>
        </w:rPr>
        <w:t>224</w:t>
      </w:r>
      <w:r w:rsidR="00031979" w:rsidRPr="00D93E07">
        <w:rPr>
          <w:i/>
          <w:iCs/>
        </w:rPr>
        <w:t xml:space="preserve"> </w:t>
      </w:r>
      <w:r w:rsidR="00B72546" w:rsidRPr="00D93E07">
        <w:t xml:space="preserve">(the </w:t>
      </w:r>
      <w:r w:rsidR="00B72546" w:rsidRPr="00D93E07">
        <w:rPr>
          <w:b/>
          <w:bCs/>
        </w:rPr>
        <w:t>Instrument</w:t>
      </w:r>
      <w:r w:rsidR="00B72546" w:rsidRPr="00D93E07">
        <w:t>)</w:t>
      </w:r>
      <w:r w:rsidRPr="00D93E07">
        <w:t>.</w:t>
      </w:r>
    </w:p>
    <w:p w14:paraId="667E1DC7" w14:textId="719182AE" w:rsidR="00C11C8E" w:rsidRPr="00D93E07" w:rsidRDefault="00C11C8E" w:rsidP="00C11C8E">
      <w:pPr>
        <w:pStyle w:val="LI-BodyTextParaa"/>
        <w:ind w:left="0" w:firstLine="0"/>
      </w:pPr>
      <w:r w:rsidRPr="00D93E07">
        <w:t>The Explanatory Statement is approved by the Australian Securities and Investments Commission (</w:t>
      </w:r>
      <w:r w:rsidRPr="00D93E07">
        <w:rPr>
          <w:b/>
          <w:iCs/>
        </w:rPr>
        <w:t>ASIC</w:t>
      </w:r>
      <w:r w:rsidRPr="00D93E07">
        <w:t>).</w:t>
      </w:r>
    </w:p>
    <w:p w14:paraId="764F489D" w14:textId="1E5E5E1A" w:rsidR="00536EEE" w:rsidRPr="00D93E07" w:rsidRDefault="00536EEE" w:rsidP="00C11C8E">
      <w:pPr>
        <w:pStyle w:val="LI-BodyTextParaa"/>
        <w:ind w:left="0" w:firstLine="0"/>
      </w:pPr>
      <w:r w:rsidRPr="00D93E07">
        <w:rPr>
          <w:b/>
          <w:bCs/>
        </w:rPr>
        <w:t>Glossary</w:t>
      </w:r>
      <w:r w:rsidRPr="00D93E07">
        <w:t xml:space="preserve"> </w:t>
      </w:r>
    </w:p>
    <w:p w14:paraId="254CD301" w14:textId="33A76D9B" w:rsidR="00536EEE" w:rsidRPr="00D93E07" w:rsidRDefault="00536EEE" w:rsidP="00C11C8E">
      <w:pPr>
        <w:pStyle w:val="LI-BodyTextParaa"/>
        <w:ind w:left="0" w:firstLine="0"/>
      </w:pPr>
      <w:r w:rsidRPr="00D93E07">
        <w:t>The following definitions are used</w:t>
      </w:r>
      <w:r w:rsidR="0082293A" w:rsidRPr="00D93E07">
        <w:t xml:space="preserve"> in the Instrument</w:t>
      </w:r>
      <w:r w:rsidRPr="00D93E07">
        <w:t>:</w:t>
      </w:r>
    </w:p>
    <w:p w14:paraId="0DE05877" w14:textId="524554EF" w:rsidR="003062D6" w:rsidRPr="00D93E07" w:rsidRDefault="003062D6" w:rsidP="00536EEE">
      <w:pPr>
        <w:pStyle w:val="LI-BodyTextNumbered"/>
      </w:pPr>
      <w:r w:rsidRPr="00D93E07">
        <w:rPr>
          <w:b/>
          <w:bCs/>
          <w:i/>
          <w:iCs/>
        </w:rPr>
        <w:t>APRA</w:t>
      </w:r>
      <w:r w:rsidRPr="00D93E07">
        <w:t xml:space="preserve"> means the Australian Prudential Regulation Authority.</w:t>
      </w:r>
    </w:p>
    <w:p w14:paraId="31763EDB" w14:textId="20A24FE9" w:rsidR="00F40CC8" w:rsidRPr="00D93E07" w:rsidRDefault="00F40CC8" w:rsidP="00536EEE">
      <w:pPr>
        <w:pStyle w:val="LI-BodyTextNumbered"/>
      </w:pPr>
      <w:proofErr w:type="spellStart"/>
      <w:r w:rsidRPr="00D93E07">
        <w:rPr>
          <w:b/>
          <w:bCs/>
          <w:i/>
          <w:iCs/>
        </w:rPr>
        <w:t>CCP</w:t>
      </w:r>
      <w:proofErr w:type="spellEnd"/>
      <w:r w:rsidRPr="00D93E07">
        <w:t xml:space="preserve"> means central counterparty.</w:t>
      </w:r>
    </w:p>
    <w:p w14:paraId="02CE6044" w14:textId="6D296342" w:rsidR="00F40CC8" w:rsidRPr="00D93E07" w:rsidRDefault="00F40CC8" w:rsidP="00536EEE">
      <w:pPr>
        <w:pStyle w:val="LI-BodyTextNumbered"/>
      </w:pPr>
      <w:r w:rsidRPr="00D93E07">
        <w:rPr>
          <w:b/>
          <w:bCs/>
          <w:i/>
          <w:iCs/>
        </w:rPr>
        <w:t>G20</w:t>
      </w:r>
      <w:r w:rsidRPr="00D93E07">
        <w:t xml:space="preserve"> means the Group of Twenty Nations.</w:t>
      </w:r>
    </w:p>
    <w:p w14:paraId="67D1BC02" w14:textId="215300ED" w:rsidR="004B5891" w:rsidRPr="004B5891" w:rsidRDefault="004B5891" w:rsidP="00536EEE">
      <w:pPr>
        <w:pStyle w:val="LI-BodyTextNumbered"/>
      </w:pPr>
      <w:r w:rsidRPr="00D93E07">
        <w:rPr>
          <w:b/>
          <w:bCs/>
          <w:i/>
          <w:iCs/>
        </w:rPr>
        <w:t>LIBOR</w:t>
      </w:r>
      <w:r w:rsidRPr="00D93E07">
        <w:t xml:space="preserve"> means the London</w:t>
      </w:r>
      <w:r>
        <w:t xml:space="preserve"> Interbank Offered Rate.</w:t>
      </w:r>
    </w:p>
    <w:p w14:paraId="1852A3D1" w14:textId="6CB1CC8D" w:rsidR="00F40CC8" w:rsidRDefault="00F40CC8" w:rsidP="00536EEE">
      <w:pPr>
        <w:pStyle w:val="LI-BodyTextNumbered"/>
      </w:pPr>
      <w:r>
        <w:rPr>
          <w:b/>
          <w:bCs/>
          <w:i/>
          <w:iCs/>
        </w:rPr>
        <w:t>OTC</w:t>
      </w:r>
      <w:r>
        <w:t xml:space="preserve"> means </w:t>
      </w:r>
      <w:proofErr w:type="gramStart"/>
      <w:r>
        <w:t>over-the-counter</w:t>
      </w:r>
      <w:proofErr w:type="gramEnd"/>
      <w:r>
        <w:t>.</w:t>
      </w:r>
    </w:p>
    <w:p w14:paraId="7C013375" w14:textId="4ACAFAA4" w:rsidR="003062D6" w:rsidRPr="003062D6" w:rsidRDefault="003062D6" w:rsidP="00536EEE">
      <w:pPr>
        <w:pStyle w:val="LI-BodyTextNumbered"/>
      </w:pPr>
      <w:r>
        <w:rPr>
          <w:b/>
          <w:bCs/>
          <w:i/>
          <w:iCs/>
        </w:rPr>
        <w:t>RBA</w:t>
      </w:r>
      <w:r>
        <w:t xml:space="preserve"> means the Reserve Bank of Australia.</w:t>
      </w:r>
    </w:p>
    <w:p w14:paraId="0DF0FE1C" w14:textId="2E4E20CD" w:rsidR="00B1417B" w:rsidRPr="00B1417B" w:rsidRDefault="00B1417B" w:rsidP="00536EEE">
      <w:pPr>
        <w:pStyle w:val="LI-BodyTextNumbered"/>
      </w:pPr>
      <w:r>
        <w:rPr>
          <w:b/>
          <w:bCs/>
          <w:i/>
          <w:iCs/>
        </w:rPr>
        <w:t>RFR</w:t>
      </w:r>
      <w:r>
        <w:t xml:space="preserve"> means near risk-free rate.</w:t>
      </w:r>
    </w:p>
    <w:p w14:paraId="0F4941CC" w14:textId="77777777" w:rsidR="00C11C8E" w:rsidRPr="0018659E" w:rsidRDefault="00C11C8E" w:rsidP="00C11C8E">
      <w:pPr>
        <w:pStyle w:val="LI-BodyTextNumbered"/>
        <w:ind w:left="0" w:firstLine="0"/>
        <w:rPr>
          <w:b/>
        </w:rPr>
      </w:pPr>
      <w:r>
        <w:rPr>
          <w:b/>
        </w:rPr>
        <w:t>Summary</w:t>
      </w:r>
    </w:p>
    <w:p w14:paraId="582541E3" w14:textId="3289514C" w:rsidR="0082293A" w:rsidRDefault="0082293A" w:rsidP="0082293A">
      <w:pPr>
        <w:pStyle w:val="LI-BodyTextParaa"/>
        <w:numPr>
          <w:ilvl w:val="0"/>
          <w:numId w:val="1"/>
        </w:numPr>
      </w:pPr>
      <w:bookmarkStart w:id="1" w:name="_Hlk94880469"/>
      <w:r>
        <w:t xml:space="preserve">Since the global financial crisis, global regulators and industry have undertaken work to strengthen confidence in interest rate benchmarks and identify alternatives based on </w:t>
      </w:r>
      <w:proofErr w:type="spellStart"/>
      <w:r w:rsidRPr="008A18CB">
        <w:t>RFRs</w:t>
      </w:r>
      <w:proofErr w:type="spellEnd"/>
      <w:r>
        <w:t xml:space="preserve">. This transition necessitates updates to the </w:t>
      </w:r>
      <w:r>
        <w:rPr>
          <w:i/>
          <w:iCs/>
        </w:rPr>
        <w:t>ASIC Derivative Transaction Rules (Clearing) 2015</w:t>
      </w:r>
      <w:r>
        <w:t xml:space="preserve"> (the </w:t>
      </w:r>
      <w:r w:rsidRPr="00EF6214">
        <w:rPr>
          <w:b/>
          <w:bCs/>
        </w:rPr>
        <w:t>Rules</w:t>
      </w:r>
      <w:r>
        <w:t>) to</w:t>
      </w:r>
      <w:r w:rsidR="00487120">
        <w:t xml:space="preserve"> </w:t>
      </w:r>
      <w:r>
        <w:t>reflect these market developments and ensure that Australia continues to meet its international obligations</w:t>
      </w:r>
      <w:r w:rsidR="00D37BA3">
        <w:t xml:space="preserve"> and that the Rules remain fit for purpose</w:t>
      </w:r>
      <w:r>
        <w:t>.</w:t>
      </w:r>
    </w:p>
    <w:bookmarkEnd w:id="1"/>
    <w:p w14:paraId="4A0E7B2E" w14:textId="2E6A06F2" w:rsidR="0082293A" w:rsidRDefault="00487120" w:rsidP="00BF2395">
      <w:pPr>
        <w:pStyle w:val="LI-BodyTextParaa"/>
        <w:numPr>
          <w:ilvl w:val="0"/>
          <w:numId w:val="1"/>
        </w:numPr>
      </w:pPr>
      <w:r>
        <w:t>The instrument makes consequential amendments to the Rules by removing products which can no longer be traded or cleared from the definition of a Clearing Derivative in Rule 1.2.3 of the Rules and replacing them with contracts referencing the replacement RFR selected for each currency.</w:t>
      </w:r>
    </w:p>
    <w:p w14:paraId="152B2F29" w14:textId="5E65B0CF" w:rsidR="001B05E0" w:rsidRDefault="00067BF4" w:rsidP="00BF2395">
      <w:pPr>
        <w:pStyle w:val="LI-BodyTextParaa"/>
        <w:numPr>
          <w:ilvl w:val="0"/>
          <w:numId w:val="1"/>
        </w:numPr>
      </w:pPr>
      <w:r>
        <w:lastRenderedPageBreak/>
        <w:t>Unless explained otherwise, capitalised terms in this Explanatory Statement have the meaning given by the</w:t>
      </w:r>
      <w:r w:rsidR="0082293A">
        <w:t xml:space="preserve"> Rules</w:t>
      </w:r>
      <w:r w:rsidR="001B05E0">
        <w:t>.</w:t>
      </w:r>
    </w:p>
    <w:p w14:paraId="7D634616" w14:textId="77777777" w:rsidR="00C11C8E" w:rsidRDefault="00C11C8E" w:rsidP="00C11C8E">
      <w:pPr>
        <w:pStyle w:val="LI-BodyTextNumbered"/>
        <w:ind w:hanging="1134"/>
        <w:rPr>
          <w:b/>
        </w:rPr>
      </w:pPr>
      <w:r>
        <w:rPr>
          <w:b/>
        </w:rPr>
        <w:t>Purpose of the instrument</w:t>
      </w:r>
    </w:p>
    <w:p w14:paraId="3D2F2DED" w14:textId="7E3CDCD2" w:rsidR="00231A05" w:rsidRDefault="00231A05" w:rsidP="00BF2395">
      <w:pPr>
        <w:pStyle w:val="LI-BodyTextParaa"/>
        <w:numPr>
          <w:ilvl w:val="0"/>
          <w:numId w:val="1"/>
        </w:numPr>
      </w:pPr>
      <w:r>
        <w:t xml:space="preserve">In 2009, the Leaders of the </w:t>
      </w:r>
      <w:r w:rsidRPr="00F40CC8">
        <w:t>G20</w:t>
      </w:r>
      <w:r>
        <w:t xml:space="preserve">, including Australia, committed to reforming </w:t>
      </w:r>
      <w:r w:rsidR="00F40CC8">
        <w:t>OTC</w:t>
      </w:r>
      <w:r>
        <w:t xml:space="preserve"> derivatives markets. One of the key commitments was to require all standardised OTC derivative transactions to be cleared through </w:t>
      </w:r>
      <w:proofErr w:type="spellStart"/>
      <w:r w:rsidRPr="00F40CC8">
        <w:t>CCPs</w:t>
      </w:r>
      <w:proofErr w:type="spellEnd"/>
      <w:r>
        <w:t>. The Rules implement this G20 commitment in Australia.</w:t>
      </w:r>
    </w:p>
    <w:p w14:paraId="27450C23" w14:textId="61BDAED4" w:rsidR="00FE0B37" w:rsidRDefault="00FE0B37" w:rsidP="00FE0B37">
      <w:pPr>
        <w:pStyle w:val="LI-BodyTextParaa"/>
        <w:numPr>
          <w:ilvl w:val="0"/>
          <w:numId w:val="1"/>
        </w:numPr>
      </w:pPr>
      <w:r>
        <w:t>In 20</w:t>
      </w:r>
      <w:r w:rsidR="00D37BA3">
        <w:t>1</w:t>
      </w:r>
      <w:r>
        <w:t xml:space="preserve">5, the Minister </w:t>
      </w:r>
      <w:proofErr w:type="gramStart"/>
      <w:r>
        <w:t>made a determination</w:t>
      </w:r>
      <w:proofErr w:type="gramEnd"/>
      <w:r>
        <w:t xml:space="preserve"> under section 901B of the Corporations Act (</w:t>
      </w:r>
      <w:r w:rsidRPr="00391DB0">
        <w:rPr>
          <w:b/>
          <w:bCs/>
        </w:rPr>
        <w:t>Act</w:t>
      </w:r>
      <w:r>
        <w:t>) empowering ASIC to make rules imposing central clearing requirements for interest rate derivatives denominated in any of the following currencies:</w:t>
      </w:r>
    </w:p>
    <w:p w14:paraId="4BC4F392" w14:textId="2238E9A6" w:rsidR="00FE0B37" w:rsidRDefault="00FE0B37" w:rsidP="000858DF">
      <w:pPr>
        <w:pStyle w:val="LI-BodyTextParaa"/>
        <w:numPr>
          <w:ilvl w:val="1"/>
          <w:numId w:val="1"/>
        </w:numPr>
      </w:pPr>
      <w:r>
        <w:t xml:space="preserve">Australian </w:t>
      </w:r>
      <w:proofErr w:type="gramStart"/>
      <w:r>
        <w:t>dollars;</w:t>
      </w:r>
      <w:proofErr w:type="gramEnd"/>
    </w:p>
    <w:p w14:paraId="5DC109AB" w14:textId="77777777" w:rsidR="00FE0B37" w:rsidRDefault="00FE0B37" w:rsidP="004671B8">
      <w:pPr>
        <w:pStyle w:val="LI-BodyTextParaa"/>
        <w:numPr>
          <w:ilvl w:val="1"/>
          <w:numId w:val="1"/>
        </w:numPr>
      </w:pPr>
      <w:r>
        <w:t xml:space="preserve">US </w:t>
      </w:r>
      <w:proofErr w:type="gramStart"/>
      <w:r>
        <w:t>dollars;</w:t>
      </w:r>
      <w:proofErr w:type="gramEnd"/>
    </w:p>
    <w:p w14:paraId="519CD8F6" w14:textId="086842EC" w:rsidR="00FE0B37" w:rsidRDefault="00391DB0" w:rsidP="00E17BBF">
      <w:pPr>
        <w:pStyle w:val="LI-BodyTextParaa"/>
        <w:numPr>
          <w:ilvl w:val="1"/>
          <w:numId w:val="1"/>
        </w:numPr>
      </w:pPr>
      <w:proofErr w:type="gramStart"/>
      <w:r>
        <w:t>e</w:t>
      </w:r>
      <w:r w:rsidR="00FE0B37">
        <w:t>uros;</w:t>
      </w:r>
      <w:proofErr w:type="gramEnd"/>
    </w:p>
    <w:p w14:paraId="093C282B" w14:textId="77777777" w:rsidR="00FE0B37" w:rsidRDefault="00FE0B37" w:rsidP="00BD7487">
      <w:pPr>
        <w:pStyle w:val="LI-BodyTextParaa"/>
        <w:numPr>
          <w:ilvl w:val="1"/>
          <w:numId w:val="1"/>
        </w:numPr>
      </w:pPr>
      <w:r>
        <w:t xml:space="preserve">British </w:t>
      </w:r>
      <w:proofErr w:type="gramStart"/>
      <w:r>
        <w:t>pounds;</w:t>
      </w:r>
      <w:proofErr w:type="gramEnd"/>
    </w:p>
    <w:p w14:paraId="0E5922C3" w14:textId="63DDA215" w:rsidR="00FE0B37" w:rsidRDefault="00FE0B37" w:rsidP="00CD1B49">
      <w:pPr>
        <w:pStyle w:val="LI-BodyTextParaa"/>
        <w:numPr>
          <w:ilvl w:val="1"/>
          <w:numId w:val="1"/>
        </w:numPr>
      </w:pPr>
      <w:r>
        <w:t>Japanese yen.</w:t>
      </w:r>
    </w:p>
    <w:p w14:paraId="520ED44A" w14:textId="6139E943" w:rsidR="00FE0B37" w:rsidRDefault="00FE0B37" w:rsidP="00FE0B37">
      <w:pPr>
        <w:pStyle w:val="LI-BodyTextParaa"/>
        <w:numPr>
          <w:ilvl w:val="0"/>
          <w:numId w:val="1"/>
        </w:numPr>
      </w:pPr>
      <w:r>
        <w:t>The Rules specify which products within these ‘determined clearing classes’ may be subject to the clearing requirement by reference to certain additional characteristics, such as the ‘Floating Rate Index’ (</w:t>
      </w:r>
      <w:r w:rsidRPr="00897F0E">
        <w:rPr>
          <w:b/>
          <w:bCs/>
        </w:rPr>
        <w:t>FRI</w:t>
      </w:r>
      <w:r>
        <w:t>) on which each floating rate for the derivative transaction is based.</w:t>
      </w:r>
    </w:p>
    <w:p w14:paraId="4DDED679" w14:textId="6FE2C01A" w:rsidR="00487120" w:rsidRDefault="00276FC8" w:rsidP="00D06B4C">
      <w:pPr>
        <w:pStyle w:val="LI-BodyTextParaa"/>
        <w:numPr>
          <w:ilvl w:val="0"/>
          <w:numId w:val="1"/>
        </w:numPr>
      </w:pPr>
      <w:r>
        <w:t>In tandem with these developments</w:t>
      </w:r>
      <w:r w:rsidR="00231A05" w:rsidRPr="003A4C77">
        <w:t xml:space="preserve">, global regulators and industry have undertaken work to strengthen confidence in interest rate benchmarks and identify alternatives based on </w:t>
      </w:r>
      <w:proofErr w:type="spellStart"/>
      <w:r w:rsidR="00231A05" w:rsidRPr="00C53EE3">
        <w:t>RFRs</w:t>
      </w:r>
      <w:proofErr w:type="spellEnd"/>
      <w:r w:rsidR="00231A05" w:rsidRPr="003A4C77">
        <w:t xml:space="preserve">. </w:t>
      </w:r>
      <w:r w:rsidR="00231A05">
        <w:t xml:space="preserve">As a result of this transition, certain </w:t>
      </w:r>
      <w:r>
        <w:t>Derivative</w:t>
      </w:r>
      <w:r w:rsidR="008327AB">
        <w:t xml:space="preserve">s </w:t>
      </w:r>
      <w:r w:rsidR="00231A05">
        <w:t xml:space="preserve">which are subject to central clearing requirements under the Rules </w:t>
      </w:r>
      <w:r>
        <w:t xml:space="preserve">(known as Clearing Derivatives) </w:t>
      </w:r>
      <w:r w:rsidR="00231A05">
        <w:t>are no longer able to be traded or cleared</w:t>
      </w:r>
      <w:r w:rsidR="00C52314">
        <w:t>, necessitating updates to the product scope of the Rules</w:t>
      </w:r>
      <w:r w:rsidR="00231A05">
        <w:t>.</w:t>
      </w:r>
    </w:p>
    <w:p w14:paraId="183904DE" w14:textId="22DBFF99" w:rsidR="00231A05" w:rsidRDefault="0001316F" w:rsidP="00897F0E">
      <w:pPr>
        <w:pStyle w:val="LI-BodyTextParaa"/>
        <w:numPr>
          <w:ilvl w:val="0"/>
          <w:numId w:val="1"/>
        </w:numPr>
      </w:pPr>
      <w:r>
        <w:t>Th</w:t>
      </w:r>
      <w:r w:rsidR="00C52314">
        <w:t>e</w:t>
      </w:r>
      <w:r>
        <w:t xml:space="preserve"> instrument makes consequential amendments to the Rules by removing products which can no longer be traded or cleared from the definition of a Clearing Derivative in </w:t>
      </w:r>
      <w:r w:rsidR="00C52314">
        <w:t>R</w:t>
      </w:r>
      <w:r>
        <w:t>ule 1.2.3</w:t>
      </w:r>
      <w:r w:rsidR="00C52314">
        <w:t xml:space="preserve"> of the Rules</w:t>
      </w:r>
      <w:r>
        <w:t xml:space="preserve"> and replacing them with contracts referencing the replacement RFR selected for each currency. These amendments are necessary to ensure that the Rules </w:t>
      </w:r>
      <w:r w:rsidR="00C52314">
        <w:t xml:space="preserve">remain fit for purpose, </w:t>
      </w:r>
      <w:r>
        <w:t xml:space="preserve">reflect developments in the market and </w:t>
      </w:r>
      <w:r w:rsidR="00F21D21">
        <w:t xml:space="preserve">ensure </w:t>
      </w:r>
      <w:r>
        <w:t>that Australia continues to meet its G20 commitment.</w:t>
      </w:r>
    </w:p>
    <w:p w14:paraId="54E78AE4" w14:textId="103FB8C5" w:rsidR="00C11C8E" w:rsidRDefault="00C11C8E" w:rsidP="00C11C8E">
      <w:pPr>
        <w:pStyle w:val="LI-BodyTextNumbered"/>
        <w:ind w:hanging="1134"/>
        <w:rPr>
          <w:bCs/>
        </w:rPr>
      </w:pPr>
      <w:r>
        <w:rPr>
          <w:b/>
        </w:rPr>
        <w:t>Consultation</w:t>
      </w:r>
      <w:r w:rsidR="00B94CE1">
        <w:rPr>
          <w:bCs/>
        </w:rPr>
        <w:t xml:space="preserve"> </w:t>
      </w:r>
    </w:p>
    <w:p w14:paraId="77A016E2" w14:textId="63E40226" w:rsidR="00B94CE1" w:rsidRPr="00EE1324" w:rsidRDefault="00B94CE1" w:rsidP="00C11C8E">
      <w:pPr>
        <w:pStyle w:val="LI-BodyTextNumbered"/>
        <w:ind w:hanging="1134"/>
        <w:rPr>
          <w:bCs/>
          <w:u w:val="single"/>
        </w:rPr>
      </w:pPr>
      <w:r w:rsidRPr="00EE1324">
        <w:rPr>
          <w:bCs/>
          <w:u w:val="single"/>
        </w:rPr>
        <w:t>CP 353</w:t>
      </w:r>
    </w:p>
    <w:p w14:paraId="4ED86C2D" w14:textId="5546D05C" w:rsidR="00EE1324" w:rsidRDefault="00B94CE1" w:rsidP="00B57484">
      <w:pPr>
        <w:pStyle w:val="LI-BodyTextParaa"/>
        <w:numPr>
          <w:ilvl w:val="0"/>
          <w:numId w:val="1"/>
        </w:numPr>
      </w:pPr>
      <w:r>
        <w:t xml:space="preserve">On 6 December 2021, ASIC released </w:t>
      </w:r>
      <w:hyperlink r:id="rId14" w:history="1">
        <w:r w:rsidRPr="00B94CE1">
          <w:rPr>
            <w:rStyle w:val="Hyperlink"/>
            <w:i/>
            <w:iCs/>
          </w:rPr>
          <w:t>Consultation Paper 353 Proposed amendments to the ASIC Derivative Transaction Rules (Clearing) 2015</w:t>
        </w:r>
      </w:hyperlink>
      <w:r>
        <w:t xml:space="preserve"> (</w:t>
      </w:r>
      <w:r>
        <w:rPr>
          <w:b/>
          <w:bCs/>
        </w:rPr>
        <w:t>CP 353</w:t>
      </w:r>
      <w:r>
        <w:t xml:space="preserve">) proposing amendments to the Rules to </w:t>
      </w:r>
      <w:r w:rsidR="0035134B">
        <w:t>update</w:t>
      </w:r>
      <w:r>
        <w:t xml:space="preserve"> the product scope of the </w:t>
      </w:r>
      <w:r>
        <w:lastRenderedPageBreak/>
        <w:t>clearing requirement to reflect market developments related to global benchmark reforms.</w:t>
      </w:r>
    </w:p>
    <w:p w14:paraId="4E3A2993" w14:textId="757E4BC7" w:rsidR="00EE1324" w:rsidRDefault="00B94CE1" w:rsidP="00B57484">
      <w:pPr>
        <w:pStyle w:val="LI-BodyTextParaa"/>
        <w:numPr>
          <w:ilvl w:val="0"/>
          <w:numId w:val="1"/>
        </w:numPr>
      </w:pPr>
      <w:r>
        <w:t xml:space="preserve">ASIC received 4 written submissions </w:t>
      </w:r>
      <w:r w:rsidR="00D37BA3">
        <w:t xml:space="preserve">to CP 353 </w:t>
      </w:r>
      <w:r>
        <w:t>(including two confidential submissions and one joint submission on behalf of the Australian Financial Markets Association and the International Swaps and Derivatives Association)</w:t>
      </w:r>
      <w:r w:rsidR="009D0ECA">
        <w:t>. These respondents were broadly representative of the group of stakeholders directly or indirectly impacted by the Rules</w:t>
      </w:r>
      <w:r w:rsidR="00105C6F">
        <w:t xml:space="preserve"> and were broadly supportive of the amendments</w:t>
      </w:r>
      <w:r w:rsidR="009D0ECA">
        <w:t>.</w:t>
      </w:r>
    </w:p>
    <w:p w14:paraId="0AA62248" w14:textId="74C0AD0D" w:rsidR="0012184D" w:rsidRDefault="0035134B" w:rsidP="00B57484">
      <w:pPr>
        <w:pStyle w:val="LI-BodyTextParaa"/>
        <w:numPr>
          <w:ilvl w:val="0"/>
          <w:numId w:val="1"/>
        </w:numPr>
      </w:pPr>
      <w:r>
        <w:t xml:space="preserve">We note that in CP 353, we proposed a Termination Date Range of 7 days to 2 years </w:t>
      </w:r>
      <w:r w:rsidR="002E1E31">
        <w:t>for the new euro short-term rate (</w:t>
      </w:r>
      <w:r w:rsidR="002E1E31" w:rsidRPr="004C4AB1">
        <w:t>€STR</w:t>
      </w:r>
      <w:r w:rsidR="002E1E31">
        <w:t xml:space="preserve">) </w:t>
      </w:r>
      <w:proofErr w:type="spellStart"/>
      <w:r w:rsidR="002E1E31">
        <w:t>OIS</w:t>
      </w:r>
      <w:proofErr w:type="spellEnd"/>
      <w:r w:rsidR="002E1E31">
        <w:t xml:space="preserve"> class </w:t>
      </w:r>
      <w:r>
        <w:t xml:space="preserve">to match that of the </w:t>
      </w:r>
      <w:r w:rsidR="00947DE1" w:rsidRPr="007D357A">
        <w:t xml:space="preserve">outgoing </w:t>
      </w:r>
      <w:r w:rsidR="00947DE1">
        <w:t>Euro Overnight Index Average</w:t>
      </w:r>
      <w:r w:rsidR="00947DE1" w:rsidRPr="007D357A">
        <w:t xml:space="preserve"> </w:t>
      </w:r>
      <w:r w:rsidR="00947DE1">
        <w:t>(</w:t>
      </w:r>
      <w:r w:rsidR="00947DE1" w:rsidRPr="007D357A">
        <w:t>EONIA</w:t>
      </w:r>
      <w:r w:rsidR="00947DE1">
        <w:t>)</w:t>
      </w:r>
      <w:r w:rsidR="00947DE1" w:rsidRPr="007D357A">
        <w:t xml:space="preserve"> </w:t>
      </w:r>
      <w:proofErr w:type="spellStart"/>
      <w:r w:rsidR="00947DE1" w:rsidRPr="007D357A">
        <w:t>OIS</w:t>
      </w:r>
      <w:proofErr w:type="spellEnd"/>
      <w:r w:rsidR="00947DE1" w:rsidRPr="007D357A">
        <w:t xml:space="preserve"> class</w:t>
      </w:r>
      <w:r>
        <w:t xml:space="preserve">. However, following feedback from industry, we extended the maximum maturity </w:t>
      </w:r>
      <w:r w:rsidR="00C1222D">
        <w:t xml:space="preserve">for the </w:t>
      </w:r>
      <w:r w:rsidR="00C1222D" w:rsidRPr="004C4AB1">
        <w:t>€STR</w:t>
      </w:r>
      <w:r w:rsidR="00C1222D">
        <w:t xml:space="preserve"> </w:t>
      </w:r>
      <w:proofErr w:type="spellStart"/>
      <w:r w:rsidR="00C1222D">
        <w:t>OIS</w:t>
      </w:r>
      <w:proofErr w:type="spellEnd"/>
      <w:r w:rsidR="00C1222D">
        <w:t xml:space="preserve"> class </w:t>
      </w:r>
      <w:r>
        <w:t xml:space="preserve">out to 3 years to align with the </w:t>
      </w:r>
      <w:r w:rsidR="002E1E31">
        <w:t>final policy announced by the European Securities and Markets Association (</w:t>
      </w:r>
      <w:proofErr w:type="spellStart"/>
      <w:r w:rsidR="002E1E31">
        <w:t>ESMA</w:t>
      </w:r>
      <w:proofErr w:type="spellEnd"/>
      <w:r w:rsidR="002E1E31">
        <w:t>) (the relevant home regulator) and the requirement in force in the United Kingdom</w:t>
      </w:r>
      <w:r w:rsidR="007B608C">
        <w:t>.</w:t>
      </w:r>
    </w:p>
    <w:p w14:paraId="3F053929" w14:textId="0DD0133D" w:rsidR="00F84A4B" w:rsidRPr="00B57484" w:rsidRDefault="00F84A4B" w:rsidP="0012184D">
      <w:pPr>
        <w:pStyle w:val="LI-BodyTextParaa"/>
        <w:ind w:left="567"/>
        <w:rPr>
          <w:u w:val="single"/>
        </w:rPr>
      </w:pPr>
      <w:r w:rsidRPr="00B57484">
        <w:rPr>
          <w:u w:val="single"/>
        </w:rPr>
        <w:t>Other consultation</w:t>
      </w:r>
    </w:p>
    <w:p w14:paraId="1128508A" w14:textId="23308063" w:rsidR="00B85E64" w:rsidRDefault="0001316F" w:rsidP="005B391F">
      <w:pPr>
        <w:pStyle w:val="LI-BodyTextParaa"/>
        <w:numPr>
          <w:ilvl w:val="0"/>
          <w:numId w:val="1"/>
        </w:numPr>
      </w:pPr>
      <w:r>
        <w:t xml:space="preserve">ASIC has </w:t>
      </w:r>
      <w:r w:rsidR="00F84A4B">
        <w:t xml:space="preserve">also consulted with the RBA and </w:t>
      </w:r>
      <w:r w:rsidR="00F84A4B" w:rsidRPr="001163E0">
        <w:t>APRA</w:t>
      </w:r>
      <w:r w:rsidR="00F84A4B">
        <w:t xml:space="preserve"> about the proposed amendments and </w:t>
      </w:r>
      <w:proofErr w:type="gramStart"/>
      <w:r w:rsidR="00F84A4B">
        <w:t>took into account</w:t>
      </w:r>
      <w:proofErr w:type="gramEnd"/>
      <w:r w:rsidR="00F84A4B">
        <w:t xml:space="preserve"> feedback provided by these bodies, together with ASIC’s regulatory objectives, in the final terms of the amendments.</w:t>
      </w:r>
    </w:p>
    <w:p w14:paraId="51860D48" w14:textId="271E8A97" w:rsidR="00B85E64" w:rsidRDefault="00B85E64" w:rsidP="005B391F">
      <w:pPr>
        <w:pStyle w:val="LI-BodyTextParaa"/>
        <w:ind w:left="0" w:firstLine="0"/>
      </w:pPr>
      <w:r w:rsidRPr="001E7F33">
        <w:rPr>
          <w:u w:val="single"/>
        </w:rPr>
        <w:t>Future consultation</w:t>
      </w:r>
    </w:p>
    <w:p w14:paraId="6356E748" w14:textId="1DB68E3C" w:rsidR="00B85E64" w:rsidRDefault="00B85E64" w:rsidP="005B391F">
      <w:pPr>
        <w:pStyle w:val="LI-BodyTextParaa"/>
        <w:numPr>
          <w:ilvl w:val="0"/>
          <w:numId w:val="1"/>
        </w:numPr>
      </w:pPr>
      <w:r>
        <w:t xml:space="preserve">In CP 353, we indicated that we </w:t>
      </w:r>
      <w:r w:rsidR="00E4165B">
        <w:t xml:space="preserve">would </w:t>
      </w:r>
      <w:r>
        <w:t xml:space="preserve">revisit the removal and replacement of contracts referencing USD LIBOR </w:t>
      </w:r>
      <w:r w:rsidR="00D53534">
        <w:t>once</w:t>
      </w:r>
      <w:r>
        <w:t xml:space="preserve"> the US authorities settle</w:t>
      </w:r>
      <w:r w:rsidR="00D53534">
        <w:t>d</w:t>
      </w:r>
      <w:r>
        <w:t xml:space="preserve"> their approach. </w:t>
      </w:r>
      <w:r w:rsidR="00B12BC0">
        <w:t>We note in this regard</w:t>
      </w:r>
      <w:r w:rsidR="00BC2343">
        <w:t xml:space="preserve"> that the </w:t>
      </w:r>
      <w:r w:rsidR="00E4165B">
        <w:t>Commodity Futures and Trading Commission (</w:t>
      </w:r>
      <w:r w:rsidR="00E4165B" w:rsidRPr="008A18CB">
        <w:rPr>
          <w:b/>
          <w:bCs/>
        </w:rPr>
        <w:t>CFTC</w:t>
      </w:r>
      <w:r w:rsidR="00E4165B">
        <w:t xml:space="preserve">) </w:t>
      </w:r>
      <w:r w:rsidR="00BC2343">
        <w:t xml:space="preserve">recently </w:t>
      </w:r>
      <w:r w:rsidR="00E4165B">
        <w:t>approved a notice of proposed rulemaking to modify the CFTC’s clearing requirement</w:t>
      </w:r>
      <w:r>
        <w:t>.</w:t>
      </w:r>
    </w:p>
    <w:p w14:paraId="06C81C90" w14:textId="77777777" w:rsidR="00C11C8E" w:rsidRDefault="00C11C8E" w:rsidP="00C11C8E">
      <w:pPr>
        <w:pStyle w:val="LI-BodyTextNumbered"/>
        <w:ind w:hanging="1134"/>
        <w:rPr>
          <w:b/>
        </w:rPr>
      </w:pPr>
      <w:r>
        <w:rPr>
          <w:b/>
        </w:rPr>
        <w:t>Operation of the instrument</w:t>
      </w:r>
    </w:p>
    <w:p w14:paraId="38D6351B" w14:textId="74593113" w:rsidR="00F63B10" w:rsidRPr="00960390" w:rsidRDefault="00F63B10" w:rsidP="005B2617">
      <w:pPr>
        <w:pStyle w:val="LI-BodyTextParaa"/>
        <w:ind w:left="567"/>
        <w:rPr>
          <w:u w:val="single"/>
        </w:rPr>
      </w:pPr>
      <w:r w:rsidRPr="00960390">
        <w:rPr>
          <w:u w:val="single"/>
        </w:rPr>
        <w:t>Part 1 – Preliminary</w:t>
      </w:r>
    </w:p>
    <w:p w14:paraId="69A21507" w14:textId="322F1105" w:rsidR="00F63B10" w:rsidRDefault="00F63B10" w:rsidP="00CF11BB">
      <w:pPr>
        <w:pStyle w:val="LI-BodyTextParaa"/>
        <w:numPr>
          <w:ilvl w:val="0"/>
          <w:numId w:val="1"/>
        </w:numPr>
      </w:pPr>
      <w:r>
        <w:t xml:space="preserve">Section 1 provides that the name of the Instrument is the </w:t>
      </w:r>
      <w:r w:rsidRPr="00306FE9">
        <w:rPr>
          <w:i/>
          <w:iCs/>
        </w:rPr>
        <w:t>ASIC Derivative Transaction Rules (Clearing) Amendment Instrument 2022/</w:t>
      </w:r>
      <w:r w:rsidR="00E976E8">
        <w:rPr>
          <w:i/>
          <w:iCs/>
        </w:rPr>
        <w:t>224</w:t>
      </w:r>
      <w:r>
        <w:t xml:space="preserve">. </w:t>
      </w:r>
    </w:p>
    <w:p w14:paraId="0EECE2A1" w14:textId="0684E892" w:rsidR="005B2617" w:rsidRDefault="005B2617" w:rsidP="009D03B2">
      <w:pPr>
        <w:pStyle w:val="LI-BodyTextParaa"/>
        <w:numPr>
          <w:ilvl w:val="0"/>
          <w:numId w:val="1"/>
        </w:numPr>
        <w:rPr>
          <w:i/>
        </w:rPr>
      </w:pPr>
      <w:r w:rsidRPr="00606DB3">
        <w:t>Section 2</w:t>
      </w:r>
      <w:r w:rsidR="00677C09" w:rsidRPr="00606DB3">
        <w:t xml:space="preserve"> provides that the </w:t>
      </w:r>
      <w:r w:rsidR="00F63B10">
        <w:t>I</w:t>
      </w:r>
      <w:r w:rsidR="00677C09" w:rsidRPr="00606DB3">
        <w:t>nstrument</w:t>
      </w:r>
      <w:r w:rsidRPr="00606DB3">
        <w:t xml:space="preserve"> commences </w:t>
      </w:r>
      <w:r w:rsidR="00606DB3" w:rsidRPr="00606DB3">
        <w:t>on the day that is 3</w:t>
      </w:r>
      <w:r w:rsidR="00475E6B" w:rsidRPr="00606DB3">
        <w:t xml:space="preserve"> months after</w:t>
      </w:r>
      <w:r w:rsidRPr="00606DB3">
        <w:t xml:space="preserve"> the day it is registered on the Federal Register of Legislation.</w:t>
      </w:r>
    </w:p>
    <w:p w14:paraId="106F5492" w14:textId="05F93F51" w:rsidR="008327AB" w:rsidRDefault="00F63B10" w:rsidP="00C12837">
      <w:pPr>
        <w:pStyle w:val="LI-BodyTextParaa"/>
        <w:numPr>
          <w:ilvl w:val="0"/>
          <w:numId w:val="1"/>
        </w:numPr>
      </w:pPr>
      <w:r>
        <w:t xml:space="preserve">Section 3 provides that the Instrument is made under sections 901A and 901M of the </w:t>
      </w:r>
      <w:r w:rsidRPr="00C12837">
        <w:rPr>
          <w:i/>
          <w:iCs/>
        </w:rPr>
        <w:t>Corporations Act 2001</w:t>
      </w:r>
      <w:r>
        <w:t>.</w:t>
      </w:r>
    </w:p>
    <w:p w14:paraId="72260E2A" w14:textId="0F43C5D0" w:rsidR="00F63B10" w:rsidRPr="00C12837" w:rsidRDefault="00F63B10" w:rsidP="008327AB">
      <w:pPr>
        <w:pStyle w:val="LI-BodyTextParaa"/>
        <w:ind w:left="567"/>
        <w:rPr>
          <w:i/>
          <w:u w:val="single"/>
        </w:rPr>
      </w:pPr>
      <w:r w:rsidRPr="00C12837">
        <w:rPr>
          <w:u w:val="single"/>
        </w:rPr>
        <w:t>Schedule 1 – Amendments</w:t>
      </w:r>
    </w:p>
    <w:p w14:paraId="2069DC06" w14:textId="19F439C9" w:rsidR="00296C12" w:rsidRDefault="00F63B10" w:rsidP="00103F50">
      <w:pPr>
        <w:pStyle w:val="LI-BodyTextParaa"/>
        <w:numPr>
          <w:ilvl w:val="0"/>
          <w:numId w:val="1"/>
        </w:numPr>
      </w:pPr>
      <w:r>
        <w:t xml:space="preserve">Items 1 to 8 in </w:t>
      </w:r>
      <w:r w:rsidR="008327AB">
        <w:t>Schedule 1</w:t>
      </w:r>
      <w:r w:rsidR="00B72546">
        <w:t xml:space="preserve"> </w:t>
      </w:r>
      <w:r w:rsidR="008327AB">
        <w:t>make amendments to the</w:t>
      </w:r>
      <w:r w:rsidR="006545F7">
        <w:t xml:space="preserve"> Rules </w:t>
      </w:r>
      <w:r w:rsidR="008327AB">
        <w:t xml:space="preserve">to </w:t>
      </w:r>
      <w:r w:rsidR="00296C12">
        <w:t xml:space="preserve">modify the Derivatives which fall within the definition of a Clearing Derivative in </w:t>
      </w:r>
      <w:r>
        <w:t>R</w:t>
      </w:r>
      <w:r w:rsidR="00296C12">
        <w:t>ule 1.2.3</w:t>
      </w:r>
      <w:r>
        <w:t xml:space="preserve"> of the Rules</w:t>
      </w:r>
      <w:r w:rsidR="00296C12">
        <w:t xml:space="preserve"> as </w:t>
      </w:r>
      <w:r w:rsidR="000E2019">
        <w:t>set out in that schedule</w:t>
      </w:r>
      <w:r>
        <w:t xml:space="preserve"> and below</w:t>
      </w:r>
      <w:r w:rsidR="00FF092A">
        <w:t>:</w:t>
      </w:r>
    </w:p>
    <w:p w14:paraId="52AC3628" w14:textId="0BB7EC43" w:rsidR="00FF092A" w:rsidRDefault="00FF092A" w:rsidP="00FF092A">
      <w:pPr>
        <w:pStyle w:val="LI-BodyTextParaa"/>
        <w:numPr>
          <w:ilvl w:val="0"/>
          <w:numId w:val="5"/>
        </w:numPr>
      </w:pPr>
      <w:r>
        <w:lastRenderedPageBreak/>
        <w:t>removing contracts referencing GBP LIBOR, JPY LIBOR</w:t>
      </w:r>
      <w:r w:rsidR="00856561">
        <w:t>,</w:t>
      </w:r>
      <w:r>
        <w:t xml:space="preserve"> and EONIA from Rule 1.2.3 (</w:t>
      </w:r>
      <w:r w:rsidRPr="00D22CA0">
        <w:rPr>
          <w:i/>
          <w:iCs/>
        </w:rPr>
        <w:t>Meaning of Clearing Derivative</w:t>
      </w:r>
      <w:r>
        <w:t>) by deleting:</w:t>
      </w:r>
    </w:p>
    <w:p w14:paraId="3D42FACB" w14:textId="73376E72" w:rsidR="00FF092A" w:rsidRDefault="00FF092A" w:rsidP="00FF092A">
      <w:pPr>
        <w:pStyle w:val="LI-BodyTextParaa"/>
        <w:numPr>
          <w:ilvl w:val="0"/>
          <w:numId w:val="6"/>
        </w:numPr>
      </w:pPr>
      <w:r>
        <w:t>items 3 and 4 in the table at subrule (2) (</w:t>
      </w:r>
      <w:proofErr w:type="spellStart"/>
      <w:r w:rsidRPr="00D22CA0">
        <w:rPr>
          <w:i/>
          <w:iCs/>
        </w:rPr>
        <w:t>IRD</w:t>
      </w:r>
      <w:proofErr w:type="spellEnd"/>
      <w:r w:rsidRPr="00D22CA0">
        <w:rPr>
          <w:i/>
          <w:iCs/>
        </w:rPr>
        <w:t xml:space="preserve"> Class Specifications for Basis Swaps and Fixed-to-Floating Swaps</w:t>
      </w:r>
      <w:r>
        <w:t>); and</w:t>
      </w:r>
    </w:p>
    <w:p w14:paraId="309505EC" w14:textId="0F9ECB69" w:rsidR="00FF092A" w:rsidRDefault="00FF092A" w:rsidP="00FF092A">
      <w:pPr>
        <w:pStyle w:val="LI-BodyTextParaa"/>
        <w:numPr>
          <w:ilvl w:val="0"/>
          <w:numId w:val="6"/>
        </w:numPr>
      </w:pPr>
      <w:r>
        <w:t>items 3 and 4 in the table at subrule (3) (</w:t>
      </w:r>
      <w:proofErr w:type="spellStart"/>
      <w:r w:rsidRPr="00D22CA0">
        <w:rPr>
          <w:i/>
          <w:iCs/>
        </w:rPr>
        <w:t>IRD</w:t>
      </w:r>
      <w:proofErr w:type="spellEnd"/>
      <w:r w:rsidRPr="00D22CA0">
        <w:rPr>
          <w:i/>
          <w:iCs/>
        </w:rPr>
        <w:t xml:space="preserve"> Class Specifications for Forward Rate Agreements</w:t>
      </w:r>
      <w:r>
        <w:t>); and</w:t>
      </w:r>
    </w:p>
    <w:p w14:paraId="59EE2F71" w14:textId="2F99EB70" w:rsidR="00FF092A" w:rsidRDefault="00FF092A" w:rsidP="00D22CA0">
      <w:pPr>
        <w:pStyle w:val="LI-BodyTextParaa"/>
        <w:numPr>
          <w:ilvl w:val="0"/>
          <w:numId w:val="6"/>
        </w:numPr>
      </w:pPr>
      <w:r>
        <w:t>item 2 in the table at subrule (4) (</w:t>
      </w:r>
      <w:proofErr w:type="spellStart"/>
      <w:r w:rsidRPr="00D22CA0">
        <w:rPr>
          <w:i/>
          <w:iCs/>
        </w:rPr>
        <w:t>IRD</w:t>
      </w:r>
      <w:proofErr w:type="spellEnd"/>
      <w:r w:rsidRPr="00D22CA0">
        <w:rPr>
          <w:i/>
          <w:iCs/>
        </w:rPr>
        <w:t xml:space="preserve"> Class Specifications for Overnight Index Swaps</w:t>
      </w:r>
      <w:proofErr w:type="gramStart"/>
      <w:r>
        <w:t>);</w:t>
      </w:r>
      <w:proofErr w:type="gramEnd"/>
    </w:p>
    <w:p w14:paraId="6A9444FE" w14:textId="5C7DC76B" w:rsidR="00FF092A" w:rsidRDefault="00FF092A" w:rsidP="00FF092A">
      <w:pPr>
        <w:pStyle w:val="LI-BodyTextParaa"/>
        <w:numPr>
          <w:ilvl w:val="0"/>
          <w:numId w:val="5"/>
        </w:numPr>
      </w:pPr>
      <w:r>
        <w:t>replacing these contracts by:</w:t>
      </w:r>
    </w:p>
    <w:p w14:paraId="60583CD8" w14:textId="057AFBF3" w:rsidR="00FF092A" w:rsidRDefault="00FF092A" w:rsidP="00FF092A">
      <w:pPr>
        <w:pStyle w:val="LI-BodyTextParaa"/>
        <w:numPr>
          <w:ilvl w:val="0"/>
          <w:numId w:val="7"/>
        </w:numPr>
      </w:pPr>
      <w:r>
        <w:t>adding an item to the table at subrule (4) for EUR-denominated contracts referencing the Euro Short-Term Rate</w:t>
      </w:r>
      <w:r w:rsidR="001A3E6D">
        <w:t xml:space="preserve"> </w:t>
      </w:r>
      <w:r w:rsidR="001A3E6D">
        <w:rPr>
          <w:rFonts w:ascii="Century Gothic" w:hAnsi="Century Gothic"/>
        </w:rPr>
        <w:t>(</w:t>
      </w:r>
      <w:r w:rsidR="001A3E6D" w:rsidRPr="00D24B28">
        <w:rPr>
          <w:rFonts w:ascii="Century Gothic" w:hAnsi="Century Gothic"/>
          <w:b/>
          <w:bCs/>
        </w:rPr>
        <w:t>€STR</w:t>
      </w:r>
      <w:r w:rsidR="001A3E6D">
        <w:rPr>
          <w:rFonts w:ascii="Century Gothic" w:hAnsi="Century Gothic"/>
        </w:rPr>
        <w:t>)</w:t>
      </w:r>
      <w:r>
        <w:t xml:space="preserve"> with a Termination Date Range of 7 days to 3 </w:t>
      </w:r>
      <w:proofErr w:type="gramStart"/>
      <w:r>
        <w:t>years;</w:t>
      </w:r>
      <w:proofErr w:type="gramEnd"/>
    </w:p>
    <w:p w14:paraId="3A338981" w14:textId="61D68778" w:rsidR="00FF092A" w:rsidRDefault="00FF092A" w:rsidP="00FF092A">
      <w:pPr>
        <w:pStyle w:val="LI-BodyTextParaa"/>
        <w:numPr>
          <w:ilvl w:val="0"/>
          <w:numId w:val="7"/>
        </w:numPr>
      </w:pPr>
      <w:r>
        <w:t xml:space="preserve">amending the Termination Date Range of </w:t>
      </w:r>
      <w:r w:rsidR="00856561">
        <w:t>i</w:t>
      </w:r>
      <w:r>
        <w:t xml:space="preserve">tem 3 in the table at subrule (4), </w:t>
      </w:r>
      <w:proofErr w:type="gramStart"/>
      <w:r>
        <w:t>i.e.</w:t>
      </w:r>
      <w:proofErr w:type="gramEnd"/>
      <w:r>
        <w:t xml:space="preserve"> GBP-denominated contracts referencing the Sterling Overnight Index Average (</w:t>
      </w:r>
      <w:r w:rsidRPr="00D22CA0">
        <w:rPr>
          <w:b/>
          <w:bCs/>
        </w:rPr>
        <w:t>SONIA</w:t>
      </w:r>
      <w:r>
        <w:t>), to 7 days to 50 years (previously 7 days to 2 years); and</w:t>
      </w:r>
    </w:p>
    <w:p w14:paraId="54CF50EC" w14:textId="23BEDA45" w:rsidR="00FF092A" w:rsidRDefault="00FF092A" w:rsidP="00D22CA0">
      <w:pPr>
        <w:pStyle w:val="LI-BodyTextParaa"/>
        <w:numPr>
          <w:ilvl w:val="0"/>
          <w:numId w:val="7"/>
        </w:numPr>
      </w:pPr>
      <w:r>
        <w:t>adding an item to the table at subrule (4) for JPY-denominated contracts referencing the Tokyo Overnight Average Rate (</w:t>
      </w:r>
      <w:proofErr w:type="spellStart"/>
      <w:r w:rsidRPr="00D22CA0">
        <w:rPr>
          <w:b/>
          <w:bCs/>
        </w:rPr>
        <w:t>TONA</w:t>
      </w:r>
      <w:proofErr w:type="spellEnd"/>
      <w:r>
        <w:t>) with a Termination Date Range of 7 days to 30 years.</w:t>
      </w:r>
    </w:p>
    <w:p w14:paraId="221BA06F" w14:textId="0FE75A28" w:rsidR="004B7C18" w:rsidRPr="00672E5C" w:rsidRDefault="004B7C18" w:rsidP="00C11C8E">
      <w:pPr>
        <w:pStyle w:val="LI-BodyTextParaa"/>
        <w:ind w:left="0" w:firstLine="0"/>
        <w:rPr>
          <w:bCs/>
          <w:u w:val="single"/>
        </w:rPr>
      </w:pPr>
      <w:r w:rsidRPr="00672E5C">
        <w:rPr>
          <w:bCs/>
          <w:u w:val="single"/>
        </w:rPr>
        <w:t>Legislative instrument and primary legislation</w:t>
      </w:r>
    </w:p>
    <w:p w14:paraId="0A64060A" w14:textId="152DD8E9" w:rsidR="004B7C18" w:rsidRDefault="004B7C18" w:rsidP="00633ED3">
      <w:pPr>
        <w:pStyle w:val="LI-BodyTextParaa"/>
        <w:numPr>
          <w:ilvl w:val="0"/>
          <w:numId w:val="1"/>
        </w:numPr>
        <w:rPr>
          <w:bCs/>
        </w:rPr>
      </w:pPr>
      <w:r>
        <w:rPr>
          <w:bCs/>
        </w:rPr>
        <w:t>The subject matter and policy implemented by this Instrument is more appropriate for a legislative instrument rather than primary legislation because:</w:t>
      </w:r>
    </w:p>
    <w:p w14:paraId="0BD21658" w14:textId="438F3363" w:rsidR="00670F95" w:rsidRDefault="00670F95" w:rsidP="00633ED3">
      <w:pPr>
        <w:pStyle w:val="LI-BodyTextParaa"/>
        <w:numPr>
          <w:ilvl w:val="0"/>
          <w:numId w:val="19"/>
        </w:numPr>
        <w:rPr>
          <w:bCs/>
        </w:rPr>
      </w:pPr>
      <w:r>
        <w:rPr>
          <w:bCs/>
        </w:rPr>
        <w:t>The Rules are made by ASIC utilising powers given by Parliament to ASIC that allow ASIC to make</w:t>
      </w:r>
      <w:r w:rsidR="006A3058">
        <w:rPr>
          <w:bCs/>
        </w:rPr>
        <w:t>, amend or revoke derivative transaction</w:t>
      </w:r>
      <w:r>
        <w:rPr>
          <w:bCs/>
        </w:rPr>
        <w:t xml:space="preserve"> rules. This Instrument amends the Rules</w:t>
      </w:r>
      <w:r w:rsidR="006A3058">
        <w:rPr>
          <w:bCs/>
        </w:rPr>
        <w:t>.</w:t>
      </w:r>
    </w:p>
    <w:p w14:paraId="6EFB85D5" w14:textId="07B3E062" w:rsidR="00670F95" w:rsidRDefault="00670F95" w:rsidP="00633ED3">
      <w:pPr>
        <w:pStyle w:val="LI-BodyTextParaa"/>
        <w:numPr>
          <w:ilvl w:val="0"/>
          <w:numId w:val="19"/>
        </w:numPr>
        <w:rPr>
          <w:bCs/>
        </w:rPr>
      </w:pPr>
      <w:r>
        <w:rPr>
          <w:bCs/>
        </w:rPr>
        <w:t xml:space="preserve">The Instrument, and the Rules more broadly, contain technical detail </w:t>
      </w:r>
      <w:r w:rsidR="006A3058">
        <w:rPr>
          <w:bCs/>
        </w:rPr>
        <w:t>that</w:t>
      </w:r>
      <w:r>
        <w:rPr>
          <w:bCs/>
        </w:rPr>
        <w:t xml:space="preserve"> would otherwise introduce unnecessary complexity to the primary legislation. </w:t>
      </w:r>
      <w:proofErr w:type="gramStart"/>
      <w:r>
        <w:rPr>
          <w:bCs/>
        </w:rPr>
        <w:t>As a consequence</w:t>
      </w:r>
      <w:proofErr w:type="gramEnd"/>
      <w:r>
        <w:rPr>
          <w:bCs/>
        </w:rPr>
        <w:t>, if the matters in the Instrument (or the Rules) were to be inserted into the primary legislation, they would insert, into an already complex statutory framework, a set of provisions that are highly specific in nature and may become redundant over time due to the pace of technological and market developments.</w:t>
      </w:r>
    </w:p>
    <w:p w14:paraId="3CC152AB" w14:textId="7978418A" w:rsidR="004B7C18" w:rsidRPr="008E1FD5" w:rsidRDefault="00670F95" w:rsidP="00771B5E">
      <w:pPr>
        <w:pStyle w:val="LI-BodyTextParaa"/>
        <w:numPr>
          <w:ilvl w:val="0"/>
          <w:numId w:val="1"/>
        </w:numPr>
        <w:rPr>
          <w:bCs/>
        </w:rPr>
      </w:pPr>
      <w:r>
        <w:rPr>
          <w:bCs/>
        </w:rPr>
        <w:t>The duration of the amendments made by this Instrument align with the duration of the Rules, which this Instrument amends.</w:t>
      </w:r>
    </w:p>
    <w:p w14:paraId="4AAD99B5" w14:textId="6B832B28" w:rsidR="00C11C8E" w:rsidRDefault="00C11C8E" w:rsidP="00C11C8E">
      <w:pPr>
        <w:pStyle w:val="LI-BodyTextParaa"/>
        <w:ind w:left="0" w:firstLine="0"/>
        <w:rPr>
          <w:b/>
        </w:rPr>
      </w:pPr>
      <w:r>
        <w:rPr>
          <w:b/>
        </w:rPr>
        <w:t>Legislative authority</w:t>
      </w:r>
    </w:p>
    <w:p w14:paraId="3DFFB5F8" w14:textId="495994AF" w:rsidR="00011B00" w:rsidRDefault="00011B00" w:rsidP="00240BC8">
      <w:pPr>
        <w:pStyle w:val="LI-BodyTextParaa"/>
        <w:numPr>
          <w:ilvl w:val="0"/>
          <w:numId w:val="1"/>
        </w:numPr>
      </w:pPr>
      <w:r>
        <w:lastRenderedPageBreak/>
        <w:t>Th</w:t>
      </w:r>
      <w:r w:rsidR="00240BC8">
        <w:t>e</w:t>
      </w:r>
      <w:r w:rsidR="006A3058">
        <w:t xml:space="preserve"> </w:t>
      </w:r>
      <w:r>
        <w:t>Instrument is</w:t>
      </w:r>
      <w:r w:rsidR="006A3058">
        <w:t xml:space="preserve"> made under</w:t>
      </w:r>
      <w:r>
        <w:t xml:space="preserve"> section</w:t>
      </w:r>
      <w:r w:rsidR="006A3058">
        <w:t>s</w:t>
      </w:r>
      <w:r>
        <w:t xml:space="preserve"> 901A</w:t>
      </w:r>
      <w:r w:rsidR="006A3058">
        <w:t xml:space="preserve"> and 901M</w:t>
      </w:r>
      <w:r>
        <w:t xml:space="preserve"> of the </w:t>
      </w:r>
      <w:r w:rsidR="00766B1C">
        <w:rPr>
          <w:i/>
          <w:iCs/>
        </w:rPr>
        <w:t>Corporations Act 2001</w:t>
      </w:r>
      <w:r w:rsidR="00766B1C">
        <w:t xml:space="preserve"> (the </w:t>
      </w:r>
      <w:r w:rsidR="00766B1C">
        <w:rPr>
          <w:b/>
          <w:bCs/>
        </w:rPr>
        <w:t>Act</w:t>
      </w:r>
      <w:r w:rsidR="00766B1C">
        <w:t>)</w:t>
      </w:r>
      <w:r w:rsidR="00DF19E1">
        <w:t>.</w:t>
      </w:r>
    </w:p>
    <w:p w14:paraId="635438DE" w14:textId="1730BDB0" w:rsidR="00AE13E0" w:rsidRPr="00011B00" w:rsidRDefault="00AE13E0" w:rsidP="00240BC8">
      <w:pPr>
        <w:pStyle w:val="LI-BodyTextParaa"/>
        <w:numPr>
          <w:ilvl w:val="0"/>
          <w:numId w:val="1"/>
        </w:numPr>
      </w:pPr>
      <w:r>
        <w:t xml:space="preserve">Subsection 901A(1) of the Act provides that, subject to Division 2 of Part 7.5A of the Act, ASIC may, by legislative instrument, make rules (referred to in the Act as ‘derivative transaction rules’) dealing with matters as permitted by that section. Relevantly, the derivative transaction rules may specify the classes of derivative transactions in relation to which </w:t>
      </w:r>
      <w:proofErr w:type="gramStart"/>
      <w:r>
        <w:t>particular requirements</w:t>
      </w:r>
      <w:proofErr w:type="gramEnd"/>
      <w:r>
        <w:t xml:space="preserve"> apply (see paragraph 901A(3)(a) of the Act).</w:t>
      </w:r>
    </w:p>
    <w:p w14:paraId="62AA8107" w14:textId="0CA9CE0D" w:rsidR="001D061D" w:rsidRDefault="001D061D" w:rsidP="00BB1E18">
      <w:pPr>
        <w:pStyle w:val="LI-BodyTextParaa"/>
        <w:numPr>
          <w:ilvl w:val="0"/>
          <w:numId w:val="1"/>
        </w:numPr>
      </w:pPr>
      <w:r>
        <w:t>S</w:t>
      </w:r>
      <w:r w:rsidRPr="00A1255D">
        <w:t>ubsection 901M(1) of the Act</w:t>
      </w:r>
      <w:r>
        <w:t xml:space="preserve"> provides that ASIC may amend or revoke a derivative transaction rule in like manner and subject to</w:t>
      </w:r>
      <w:r w:rsidRPr="00EF6214">
        <w:t xml:space="preserve"> </w:t>
      </w:r>
      <w:r>
        <w:t xml:space="preserve">like conditions (see subsections 33(3) and (3AA) of the </w:t>
      </w:r>
      <w:r>
        <w:rPr>
          <w:i/>
          <w:iCs/>
        </w:rPr>
        <w:t>Acts Interpretation Act 1901</w:t>
      </w:r>
      <w:r>
        <w:t>).</w:t>
      </w:r>
    </w:p>
    <w:p w14:paraId="6AC2A809" w14:textId="2A651219" w:rsidR="001E486F" w:rsidRDefault="001E486F" w:rsidP="00E00789">
      <w:pPr>
        <w:pStyle w:val="LI-BodyTextParaa"/>
        <w:numPr>
          <w:ilvl w:val="0"/>
          <w:numId w:val="1"/>
        </w:numPr>
      </w:pPr>
      <w:r>
        <w:t>Subsection 901K(1) of the Act provides that ASIC must not make a derivative transaction rule unless the Minister has consented, in writing, to the making of the rule. The Minister consented to the making of the Instrument by written notice to ASIC dated 25 March 2022.</w:t>
      </w:r>
    </w:p>
    <w:p w14:paraId="1FB3A28A" w14:textId="52FFB24B" w:rsidR="001E486F" w:rsidRDefault="001E486F" w:rsidP="00E00789">
      <w:pPr>
        <w:pStyle w:val="LI-BodyTextParaa"/>
        <w:numPr>
          <w:ilvl w:val="0"/>
          <w:numId w:val="1"/>
        </w:numPr>
      </w:pPr>
      <w:r>
        <w:t xml:space="preserve">Section 901A of the Act provides that rules made under this section are by way of legislative instrument. This means that such rules are subject to disallowance in accordance with section 42 of the </w:t>
      </w:r>
      <w:r w:rsidRPr="00244C8E">
        <w:rPr>
          <w:i/>
          <w:iCs/>
        </w:rPr>
        <w:t>Legislation Act 2003</w:t>
      </w:r>
      <w:r>
        <w:t xml:space="preserve">. Section 44 of the </w:t>
      </w:r>
      <w:r w:rsidRPr="00244C8E">
        <w:rPr>
          <w:i/>
          <w:iCs/>
        </w:rPr>
        <w:t>Legislation Act 2003</w:t>
      </w:r>
      <w:r>
        <w:t xml:space="preserve"> does not apply to this Instrument. This Instrument is subject to disallowance</w:t>
      </w:r>
      <w:r w:rsidRPr="001125EC">
        <w:t>.</w:t>
      </w:r>
    </w:p>
    <w:p w14:paraId="7312ED02" w14:textId="7F7B48FE" w:rsidR="00BA45DF" w:rsidRDefault="00BA45DF" w:rsidP="00E00789">
      <w:pPr>
        <w:pStyle w:val="LI-BodyTextParaa"/>
        <w:numPr>
          <w:ilvl w:val="0"/>
          <w:numId w:val="1"/>
        </w:numPr>
      </w:pPr>
      <w:r>
        <w:t>The Office of Best Practice Regulation has advised ASIC that a Regulation Impact Statement (</w:t>
      </w:r>
      <w:proofErr w:type="spellStart"/>
      <w:r>
        <w:rPr>
          <w:b/>
          <w:bCs/>
        </w:rPr>
        <w:t>RIS</w:t>
      </w:r>
      <w:proofErr w:type="spellEnd"/>
      <w:r>
        <w:t>) is not required in relation to the Instrument because the proposed amendments are unlikely to have more than minor impacts.</w:t>
      </w:r>
    </w:p>
    <w:p w14:paraId="2C59078F" w14:textId="2A9788F0" w:rsidR="00047FC4" w:rsidRPr="00073F10" w:rsidRDefault="00047FC4" w:rsidP="00EF6214">
      <w:pPr>
        <w:pStyle w:val="LI-BodyTextParaa"/>
        <w:ind w:left="567"/>
        <w:rPr>
          <w:u w:val="single"/>
        </w:rPr>
      </w:pPr>
      <w:r w:rsidRPr="00073F10">
        <w:rPr>
          <w:u w:val="single"/>
        </w:rPr>
        <w:t>Limitations on rule-making power</w:t>
      </w:r>
    </w:p>
    <w:p w14:paraId="0B6078C7" w14:textId="544D0DFC" w:rsidR="00047FC4" w:rsidRPr="00C03930" w:rsidRDefault="00047FC4" w:rsidP="00073F10">
      <w:pPr>
        <w:pStyle w:val="LI-BodyTextParaa"/>
        <w:numPr>
          <w:ilvl w:val="0"/>
          <w:numId w:val="1"/>
        </w:numPr>
      </w:pPr>
      <w:r w:rsidRPr="00047FC4">
        <w:t xml:space="preserve">ASIC’s power to make derivative transaction rules imposing clearing requirements is subject to </w:t>
      </w:r>
      <w:proofErr w:type="gramStart"/>
      <w:r w:rsidRPr="00047FC4">
        <w:t>a number of</w:t>
      </w:r>
      <w:proofErr w:type="gramEnd"/>
      <w:r w:rsidRPr="00047FC4">
        <w:t xml:space="preserve"> limitations</w:t>
      </w:r>
      <w:r>
        <w:t>.</w:t>
      </w:r>
    </w:p>
    <w:p w14:paraId="35DA83E8" w14:textId="38D0613C" w:rsidR="00047FC4" w:rsidRPr="00047FC4" w:rsidRDefault="00047FC4" w:rsidP="00047FC4">
      <w:pPr>
        <w:pStyle w:val="LI-BodyTextParaa"/>
        <w:ind w:left="0" w:firstLine="0"/>
        <w:rPr>
          <w:i/>
          <w:iCs/>
        </w:rPr>
      </w:pPr>
      <w:r>
        <w:rPr>
          <w:i/>
          <w:iCs/>
        </w:rPr>
        <w:t>Ministerial determination</w:t>
      </w:r>
    </w:p>
    <w:p w14:paraId="3839EC5B" w14:textId="5A2EB8A5" w:rsidR="00B42B20" w:rsidRPr="00C03930" w:rsidRDefault="00B42B20" w:rsidP="00566BE6">
      <w:pPr>
        <w:pStyle w:val="LI-BodyTextParaa"/>
        <w:numPr>
          <w:ilvl w:val="0"/>
          <w:numId w:val="1"/>
        </w:numPr>
      </w:pPr>
      <w:r>
        <w:t>Subsection 901B(1) of the Act provides that the derivative transaction rules cannot impose clearing requirements in relation to derivative transactions unless the derivatives to which the transactions relate are covered by a determination under section 901B of the Act that relates to requirements of that kind.</w:t>
      </w:r>
    </w:p>
    <w:p w14:paraId="7ADF8725" w14:textId="74D1B7C7" w:rsidR="00766B1C" w:rsidRDefault="00B42B20" w:rsidP="00566BE6">
      <w:pPr>
        <w:pStyle w:val="LI-BodyTextParaa"/>
        <w:numPr>
          <w:ilvl w:val="0"/>
          <w:numId w:val="1"/>
        </w:numPr>
      </w:pPr>
      <w:r>
        <w:t xml:space="preserve">On 22 August 2015, the Minister made the </w:t>
      </w:r>
      <w:r>
        <w:rPr>
          <w:i/>
          <w:iCs/>
        </w:rPr>
        <w:t>Corporations (Derivatives) Amendment Determination 2015 (No. 1)</w:t>
      </w:r>
      <w:r>
        <w:t xml:space="preserve"> </w:t>
      </w:r>
      <w:r w:rsidR="00AA5BA8">
        <w:t xml:space="preserve">under subsection 901B(2) of the Act (the </w:t>
      </w:r>
      <w:r w:rsidR="00AA5BA8">
        <w:rPr>
          <w:b/>
          <w:bCs/>
        </w:rPr>
        <w:t>Ministerial Determination</w:t>
      </w:r>
      <w:r w:rsidR="00AA5BA8">
        <w:t>), determining the classes of derivatives in relation to which ASIC may impose clearing requirements, namely interest rate derivatives denominated in any of the following currencies:</w:t>
      </w:r>
    </w:p>
    <w:p w14:paraId="0D354390" w14:textId="61CD6C60" w:rsidR="00BE0F6D" w:rsidRDefault="00AA5BA8" w:rsidP="00BE0F6D">
      <w:pPr>
        <w:pStyle w:val="LI-BodyTextParaa"/>
        <w:numPr>
          <w:ilvl w:val="0"/>
          <w:numId w:val="22"/>
        </w:numPr>
      </w:pPr>
      <w:bookmarkStart w:id="2" w:name="_Hlk94874211"/>
      <w:r>
        <w:t xml:space="preserve">Australian </w:t>
      </w:r>
      <w:proofErr w:type="gramStart"/>
      <w:r>
        <w:t>dollars;</w:t>
      </w:r>
      <w:proofErr w:type="gramEnd"/>
    </w:p>
    <w:p w14:paraId="3A8BA6D3" w14:textId="5D59D822" w:rsidR="00BE0F6D" w:rsidRDefault="00AA5BA8" w:rsidP="00566BE6">
      <w:pPr>
        <w:pStyle w:val="LI-BodyTextParaa"/>
        <w:numPr>
          <w:ilvl w:val="0"/>
          <w:numId w:val="22"/>
        </w:numPr>
      </w:pPr>
      <w:r>
        <w:t xml:space="preserve">US </w:t>
      </w:r>
      <w:proofErr w:type="gramStart"/>
      <w:r>
        <w:t>dollars;</w:t>
      </w:r>
      <w:proofErr w:type="gramEnd"/>
    </w:p>
    <w:bookmarkEnd w:id="2"/>
    <w:p w14:paraId="60FC3248" w14:textId="00C94612" w:rsidR="00BE0F6D" w:rsidRDefault="00BE0F6D" w:rsidP="00566BE6">
      <w:pPr>
        <w:pStyle w:val="LI-BodyTextParaa"/>
        <w:numPr>
          <w:ilvl w:val="0"/>
          <w:numId w:val="22"/>
        </w:numPr>
      </w:pPr>
      <w:proofErr w:type="gramStart"/>
      <w:r>
        <w:lastRenderedPageBreak/>
        <w:t>e</w:t>
      </w:r>
      <w:r w:rsidR="00AA5BA8">
        <w:t>uros;</w:t>
      </w:r>
      <w:proofErr w:type="gramEnd"/>
    </w:p>
    <w:p w14:paraId="7FC313D4" w14:textId="48A1D0AF" w:rsidR="00BE0F6D" w:rsidRDefault="00AA5BA8" w:rsidP="00566BE6">
      <w:pPr>
        <w:pStyle w:val="LI-BodyTextParaa"/>
        <w:numPr>
          <w:ilvl w:val="0"/>
          <w:numId w:val="22"/>
        </w:numPr>
      </w:pPr>
      <w:r>
        <w:t xml:space="preserve">British </w:t>
      </w:r>
      <w:proofErr w:type="gramStart"/>
      <w:r>
        <w:t>pounds;</w:t>
      </w:r>
      <w:proofErr w:type="gramEnd"/>
    </w:p>
    <w:p w14:paraId="15D47835" w14:textId="02CFA37E" w:rsidR="00AA5BA8" w:rsidRDefault="00AA5BA8" w:rsidP="00566BE6">
      <w:pPr>
        <w:pStyle w:val="LI-BodyTextParaa"/>
        <w:numPr>
          <w:ilvl w:val="0"/>
          <w:numId w:val="22"/>
        </w:numPr>
      </w:pPr>
      <w:r>
        <w:t>Japanese yen.</w:t>
      </w:r>
    </w:p>
    <w:p w14:paraId="71CC8471" w14:textId="3E6BEB5A" w:rsidR="00AA5BA8" w:rsidRPr="00B42B20" w:rsidRDefault="00885DD6" w:rsidP="00CD1B49">
      <w:pPr>
        <w:pStyle w:val="LI-BodyTextParaa"/>
        <w:numPr>
          <w:ilvl w:val="0"/>
          <w:numId w:val="1"/>
        </w:numPr>
      </w:pPr>
      <w:r>
        <w:t>These are the Determined Clearing Classes (as the Ministerial Determination has not been revoked</w:t>
      </w:r>
      <w:r w:rsidR="00D13CFC">
        <w:t xml:space="preserve">: see </w:t>
      </w:r>
      <w:r w:rsidR="001D061D">
        <w:t>R</w:t>
      </w:r>
      <w:r w:rsidR="00D13CFC">
        <w:t>ule 1.2.1 of the Rules</w:t>
      </w:r>
      <w:r>
        <w:t>).</w:t>
      </w:r>
    </w:p>
    <w:p w14:paraId="5CCEB34C" w14:textId="272796D4" w:rsidR="00677C09" w:rsidRDefault="008E345A" w:rsidP="00CD1B49">
      <w:pPr>
        <w:pStyle w:val="LI-BodyTextParaa"/>
        <w:numPr>
          <w:ilvl w:val="0"/>
          <w:numId w:val="1"/>
        </w:numPr>
      </w:pPr>
      <w:r>
        <w:t xml:space="preserve">The Rules (as amended by the Instrument) apply only to </w:t>
      </w:r>
      <w:r w:rsidR="00150F1A">
        <w:t>derivative transactions in the Determined Clearing Classes</w:t>
      </w:r>
      <w:r w:rsidR="005A387C">
        <w:t>.</w:t>
      </w:r>
    </w:p>
    <w:p w14:paraId="719E4E64" w14:textId="2A19C658" w:rsidR="00536628" w:rsidRPr="00536628" w:rsidRDefault="00536628" w:rsidP="00677C09">
      <w:pPr>
        <w:pStyle w:val="LI-BodyTextParaa"/>
        <w:ind w:left="567"/>
      </w:pPr>
      <w:r>
        <w:rPr>
          <w:i/>
          <w:iCs/>
        </w:rPr>
        <w:t>Regulations</w:t>
      </w:r>
      <w:r>
        <w:t xml:space="preserve"> </w:t>
      </w:r>
    </w:p>
    <w:p w14:paraId="5CE6A136" w14:textId="35518F9A" w:rsidR="00536628" w:rsidRDefault="003669C1" w:rsidP="00CD1B49">
      <w:pPr>
        <w:pStyle w:val="LI-BodyTextParaa"/>
        <w:numPr>
          <w:ilvl w:val="0"/>
          <w:numId w:val="1"/>
        </w:numPr>
      </w:pPr>
      <w:r>
        <w:t>Under section 901C of the Act, the regulations may provide that the derivative transaction rules:</w:t>
      </w:r>
    </w:p>
    <w:p w14:paraId="23B7279F" w14:textId="2C865A2D" w:rsidR="00F375E3" w:rsidRDefault="003669C1" w:rsidP="00CD1B49">
      <w:pPr>
        <w:pStyle w:val="LI-BodyTextParaa"/>
        <w:numPr>
          <w:ilvl w:val="0"/>
          <w:numId w:val="25"/>
        </w:numPr>
      </w:pPr>
      <w:r>
        <w:t>cannot impose requirements (or certain kinds of requirements) in relation to certain kinds of derivative transactions; or</w:t>
      </w:r>
    </w:p>
    <w:p w14:paraId="337B4441" w14:textId="35C56405" w:rsidR="003669C1" w:rsidRDefault="003669C1" w:rsidP="00CD1B49">
      <w:pPr>
        <w:pStyle w:val="LI-BodyTextParaa"/>
        <w:numPr>
          <w:ilvl w:val="0"/>
          <w:numId w:val="25"/>
        </w:numPr>
      </w:pPr>
      <w:r>
        <w:t>can only impose requirements (or certain kinds of requirements) in relation to certain kinds of derivative transactions in certain circumstances.</w:t>
      </w:r>
    </w:p>
    <w:p w14:paraId="06DB92E7" w14:textId="6AD9DBA7" w:rsidR="001010FB" w:rsidRDefault="001010FB" w:rsidP="00CD1B49">
      <w:pPr>
        <w:pStyle w:val="LI-BodyTextParaa"/>
        <w:numPr>
          <w:ilvl w:val="0"/>
          <w:numId w:val="1"/>
        </w:numPr>
      </w:pPr>
      <w:r>
        <w:t>As at the date of making the Instrument, there are no relevant regulations made under section 901C of the Act.</w:t>
      </w:r>
    </w:p>
    <w:p w14:paraId="7546B693" w14:textId="01D73B28" w:rsidR="00B41FAF" w:rsidRPr="00B41FAF" w:rsidRDefault="00B41FAF" w:rsidP="001010FB">
      <w:pPr>
        <w:pStyle w:val="LI-BodyTextParaa"/>
        <w:ind w:left="567"/>
      </w:pPr>
      <w:r>
        <w:rPr>
          <w:i/>
          <w:iCs/>
        </w:rPr>
        <w:t>Consul</w:t>
      </w:r>
      <w:r w:rsidR="00E94255">
        <w:rPr>
          <w:i/>
          <w:iCs/>
        </w:rPr>
        <w:t>t</w:t>
      </w:r>
      <w:r>
        <w:rPr>
          <w:i/>
          <w:iCs/>
        </w:rPr>
        <w:t>ation</w:t>
      </w:r>
      <w:r>
        <w:t xml:space="preserve"> </w:t>
      </w:r>
    </w:p>
    <w:p w14:paraId="4AF6BA48" w14:textId="7F4CB1A6" w:rsidR="003062D6" w:rsidRDefault="003062D6" w:rsidP="006D13F1">
      <w:pPr>
        <w:pStyle w:val="LI-BodyTextParaa"/>
        <w:numPr>
          <w:ilvl w:val="0"/>
          <w:numId w:val="1"/>
        </w:numPr>
      </w:pPr>
      <w:r>
        <w:t>S</w:t>
      </w:r>
      <w:r w:rsidR="00A369EC">
        <w:t>ubs</w:t>
      </w:r>
      <w:r>
        <w:t>ection 901J</w:t>
      </w:r>
      <w:r w:rsidR="00A369EC">
        <w:t>(1)</w:t>
      </w:r>
      <w:r>
        <w:t xml:space="preserve"> of the Act provides that ASIC must not make a derivative transaction rule unless </w:t>
      </w:r>
      <w:r w:rsidR="00A369EC">
        <w:t>ASIC</w:t>
      </w:r>
      <w:r>
        <w:t>:</w:t>
      </w:r>
    </w:p>
    <w:p w14:paraId="14C3AB51" w14:textId="7DA58679" w:rsidR="006D13F1" w:rsidRDefault="00A369EC" w:rsidP="006D13F1">
      <w:pPr>
        <w:pStyle w:val="LI-BodyTextParaa"/>
        <w:numPr>
          <w:ilvl w:val="0"/>
          <w:numId w:val="26"/>
        </w:numPr>
      </w:pPr>
      <w:r>
        <w:t xml:space="preserve">has consulted with </w:t>
      </w:r>
      <w:r w:rsidR="003062D6">
        <w:t>the public</w:t>
      </w:r>
      <w:r>
        <w:t xml:space="preserve"> about the proposed rule; and</w:t>
      </w:r>
    </w:p>
    <w:p w14:paraId="358FA5D7" w14:textId="5224D4E1" w:rsidR="003062D6" w:rsidRDefault="00A369EC" w:rsidP="00A16D16">
      <w:pPr>
        <w:pStyle w:val="LI-BodyTextParaa"/>
        <w:numPr>
          <w:ilvl w:val="0"/>
          <w:numId w:val="26"/>
        </w:numPr>
      </w:pPr>
      <w:r>
        <w:t>has also consulted with the following about the proposed rule</w:t>
      </w:r>
    </w:p>
    <w:p w14:paraId="567202AD" w14:textId="19F05FD3" w:rsidR="0002286B" w:rsidRDefault="00A369EC" w:rsidP="006D13F1">
      <w:pPr>
        <w:pStyle w:val="LI-BodyTextParaa"/>
        <w:numPr>
          <w:ilvl w:val="0"/>
          <w:numId w:val="27"/>
        </w:numPr>
      </w:pPr>
      <w:proofErr w:type="gramStart"/>
      <w:r>
        <w:t>APRA;</w:t>
      </w:r>
      <w:proofErr w:type="gramEnd"/>
    </w:p>
    <w:p w14:paraId="382077F1" w14:textId="11112D52" w:rsidR="0002286B" w:rsidRDefault="00A369EC" w:rsidP="00034CA0">
      <w:pPr>
        <w:pStyle w:val="LI-BodyTextParaa"/>
        <w:numPr>
          <w:ilvl w:val="0"/>
          <w:numId w:val="27"/>
        </w:numPr>
      </w:pPr>
      <w:r>
        <w:t>the RBA; and</w:t>
      </w:r>
    </w:p>
    <w:p w14:paraId="7479AEF4" w14:textId="5B046E3E" w:rsidR="00A369EC" w:rsidRDefault="00A369EC" w:rsidP="00034CA0">
      <w:pPr>
        <w:pStyle w:val="LI-BodyTextParaa"/>
        <w:numPr>
          <w:ilvl w:val="0"/>
          <w:numId w:val="27"/>
        </w:numPr>
      </w:pPr>
      <w:r>
        <w:t xml:space="preserve">any other person or body as required by regulations made for the purpose of </w:t>
      </w:r>
      <w:r w:rsidR="00162497">
        <w:t>subparagraph 901J(1)(b)(iii).</w:t>
      </w:r>
    </w:p>
    <w:p w14:paraId="0F38D844" w14:textId="54892D1E" w:rsidR="006F34B5" w:rsidRDefault="006F34B5" w:rsidP="006E4F1D">
      <w:pPr>
        <w:pStyle w:val="LI-BodyTextParaa"/>
        <w:numPr>
          <w:ilvl w:val="0"/>
          <w:numId w:val="1"/>
        </w:numPr>
      </w:pPr>
      <w:r>
        <w:t>To date no regulations have been made under subparagraph 901J(1)(b)(iii).</w:t>
      </w:r>
    </w:p>
    <w:p w14:paraId="505FF085" w14:textId="0BF224BA" w:rsidR="003062D6" w:rsidRDefault="006F34B5" w:rsidP="006E4F1D">
      <w:pPr>
        <w:pStyle w:val="LI-BodyTextParaa"/>
        <w:numPr>
          <w:ilvl w:val="0"/>
          <w:numId w:val="1"/>
        </w:numPr>
      </w:pPr>
      <w:r>
        <w:t>ASIC has satisfied the above consultation requirements in respect of the proposed amendments, as set out under the heading ‘Consultation’ above</w:t>
      </w:r>
      <w:r w:rsidR="00F66EFA">
        <w:t xml:space="preserve"> (see also subsection 901J(2) of the Act)</w:t>
      </w:r>
      <w:r w:rsidR="003062D6">
        <w:t>.</w:t>
      </w:r>
    </w:p>
    <w:p w14:paraId="047AAFA2" w14:textId="333B9E46" w:rsidR="005963EE" w:rsidRDefault="005963EE" w:rsidP="003062D6">
      <w:pPr>
        <w:pStyle w:val="LI-BodyTextParaa"/>
        <w:ind w:left="567"/>
      </w:pPr>
      <w:r>
        <w:rPr>
          <w:i/>
          <w:iCs/>
        </w:rPr>
        <w:t>Ministerial consent</w:t>
      </w:r>
      <w:r>
        <w:t xml:space="preserve"> </w:t>
      </w:r>
    </w:p>
    <w:p w14:paraId="1133B481" w14:textId="5FD928D2" w:rsidR="005963EE" w:rsidRDefault="001E486F" w:rsidP="00DD5FE5">
      <w:pPr>
        <w:pStyle w:val="LI-BodyTextParaa"/>
        <w:numPr>
          <w:ilvl w:val="0"/>
          <w:numId w:val="1"/>
        </w:numPr>
      </w:pPr>
      <w:r>
        <w:lastRenderedPageBreak/>
        <w:t>As noted above, s</w:t>
      </w:r>
      <w:r w:rsidR="00FD3227">
        <w:t>ubsection 901K(1) of the Act provides that ASIC must not make a derivative transaction rule unless t</w:t>
      </w:r>
      <w:r w:rsidR="005963EE">
        <w:t xml:space="preserve">he Minister has consented, in writing, to the making of the </w:t>
      </w:r>
      <w:r w:rsidR="00FD3227">
        <w:t>rule. The Minister consented to the making of the Instrument by written notice to ASIC dated 25 March 2022</w:t>
      </w:r>
      <w:r w:rsidR="005963EE">
        <w:t>.</w:t>
      </w:r>
    </w:p>
    <w:p w14:paraId="6E646D2C" w14:textId="17181CFF" w:rsidR="00363D19" w:rsidRDefault="00363D19" w:rsidP="005963EE">
      <w:pPr>
        <w:pStyle w:val="LI-BodyTextParaa"/>
        <w:ind w:left="567"/>
      </w:pPr>
      <w:r>
        <w:rPr>
          <w:i/>
          <w:iCs/>
        </w:rPr>
        <w:t>Relevant considerations in making derivative transaction rules</w:t>
      </w:r>
      <w:r w:rsidR="003F5A47">
        <w:t xml:space="preserve"> </w:t>
      </w:r>
    </w:p>
    <w:p w14:paraId="131D0E40" w14:textId="1B70F710" w:rsidR="003F5A47" w:rsidRDefault="009F4120" w:rsidP="00145480">
      <w:pPr>
        <w:pStyle w:val="LI-BodyTextParaa"/>
        <w:numPr>
          <w:ilvl w:val="0"/>
          <w:numId w:val="1"/>
        </w:numPr>
      </w:pPr>
      <w:r>
        <w:t>In accordance with section 901H of the Act, ASIC has had regard to the following matters in considering whether to make the Instrument:</w:t>
      </w:r>
    </w:p>
    <w:p w14:paraId="707B136F" w14:textId="508B59B6" w:rsidR="00145480" w:rsidRDefault="009F4120" w:rsidP="00145480">
      <w:pPr>
        <w:pStyle w:val="LI-BodyTextParaa"/>
        <w:numPr>
          <w:ilvl w:val="0"/>
          <w:numId w:val="29"/>
        </w:numPr>
      </w:pPr>
      <w:r>
        <w:t xml:space="preserve">the likely effect of the proposed amendments on the Australian economy, and on the efficiency, integrity, and stability of the Australian financial </w:t>
      </w:r>
      <w:proofErr w:type="gramStart"/>
      <w:r>
        <w:t>system;</w:t>
      </w:r>
      <w:proofErr w:type="gramEnd"/>
      <w:r>
        <w:t xml:space="preserve"> </w:t>
      </w:r>
    </w:p>
    <w:p w14:paraId="19F2E696" w14:textId="29FB1751" w:rsidR="00145480" w:rsidRPr="003F5A47" w:rsidRDefault="009F4120" w:rsidP="00145480">
      <w:pPr>
        <w:pStyle w:val="LI-BodyTextParaa"/>
        <w:numPr>
          <w:ilvl w:val="0"/>
          <w:numId w:val="29"/>
        </w:numPr>
      </w:pPr>
      <w:r>
        <w:t xml:space="preserve">the likely regulatory impact of the proposed </w:t>
      </w:r>
      <w:proofErr w:type="gramStart"/>
      <w:r>
        <w:t>amendments;</w:t>
      </w:r>
      <w:proofErr w:type="gramEnd"/>
      <w:r>
        <w:t xml:space="preserve"> </w:t>
      </w:r>
    </w:p>
    <w:p w14:paraId="0D59D390" w14:textId="0816CDA2" w:rsidR="00145480" w:rsidRPr="003F5A47" w:rsidRDefault="009F4120" w:rsidP="00145480">
      <w:pPr>
        <w:pStyle w:val="LI-BodyTextParaa"/>
        <w:numPr>
          <w:ilvl w:val="0"/>
          <w:numId w:val="29"/>
        </w:numPr>
      </w:pPr>
      <w:r>
        <w:t>relevant international standards and commitments; and</w:t>
      </w:r>
    </w:p>
    <w:p w14:paraId="5FA4284F" w14:textId="393E2FAA" w:rsidR="00C11C8E" w:rsidRDefault="009F4120" w:rsidP="00145480">
      <w:pPr>
        <w:pStyle w:val="LI-BodyTextParaa"/>
        <w:numPr>
          <w:ilvl w:val="0"/>
          <w:numId w:val="29"/>
        </w:numPr>
      </w:pPr>
      <w:r>
        <w:t>matters raised in response to CP 353.</w:t>
      </w:r>
    </w:p>
    <w:p w14:paraId="37AB3ED5" w14:textId="77777777" w:rsidR="00C11C8E" w:rsidRPr="00EA17A6" w:rsidRDefault="00C11C8E" w:rsidP="00C11C8E">
      <w:pPr>
        <w:pStyle w:val="LI-BodyTextParaa"/>
        <w:ind w:left="567"/>
        <w:rPr>
          <w:b/>
        </w:rPr>
      </w:pPr>
      <w:r w:rsidRPr="00EA17A6">
        <w:rPr>
          <w:b/>
        </w:rPr>
        <w:t xml:space="preserve">Statement of Compatibility with Human Rights  </w:t>
      </w:r>
    </w:p>
    <w:p w14:paraId="3F964CF1" w14:textId="5306EB75" w:rsidR="00C11C8E" w:rsidRPr="00EA17A6" w:rsidRDefault="00C11C8E" w:rsidP="00123FFC">
      <w:pPr>
        <w:pStyle w:val="LI-BodyTextParaa"/>
        <w:numPr>
          <w:ilvl w:val="0"/>
          <w:numId w:val="1"/>
        </w:numPr>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12920C" w14:textId="77777777" w:rsidR="00C11C8E" w:rsidRPr="00EA17A6" w:rsidRDefault="00C11C8E" w:rsidP="00C11C8E">
      <w:pPr>
        <w:pStyle w:val="LI-BodyTextParaa"/>
        <w:ind w:left="567"/>
        <w:jc w:val="right"/>
        <w:rPr>
          <w:u w:val="single"/>
        </w:rPr>
      </w:pPr>
      <w:r>
        <w:rPr>
          <w:color w:val="FF0000"/>
        </w:rPr>
        <w:br w:type="page"/>
      </w:r>
      <w:r w:rsidRPr="00EA17A6">
        <w:rPr>
          <w:u w:val="single"/>
        </w:rPr>
        <w:lastRenderedPageBreak/>
        <w:t xml:space="preserve">Attachment </w:t>
      </w:r>
    </w:p>
    <w:p w14:paraId="57797754" w14:textId="77777777" w:rsidR="00C11C8E" w:rsidRPr="00EA17A6" w:rsidRDefault="00C11C8E" w:rsidP="00C11C8E">
      <w:pPr>
        <w:pStyle w:val="LI-BodyTextParaa"/>
        <w:ind w:left="567"/>
        <w:jc w:val="center"/>
        <w:rPr>
          <w:b/>
          <w:sz w:val="28"/>
          <w:szCs w:val="28"/>
        </w:rPr>
      </w:pPr>
      <w:r w:rsidRPr="00EA17A6">
        <w:rPr>
          <w:b/>
          <w:sz w:val="28"/>
          <w:szCs w:val="28"/>
        </w:rPr>
        <w:t>Statement of Compatibility with Human Rights</w:t>
      </w:r>
    </w:p>
    <w:p w14:paraId="69E3A85B" w14:textId="77777777" w:rsidR="00C11C8E" w:rsidRPr="00EA17A6" w:rsidRDefault="00C11C8E" w:rsidP="00C11C8E">
      <w:pPr>
        <w:pStyle w:val="LI-BodyTextNumbered"/>
        <w:ind w:left="0" w:firstLine="0"/>
        <w:rPr>
          <w:iCs/>
        </w:rPr>
      </w:pPr>
      <w:bookmarkStart w:id="3" w:name="_Hlk534286677"/>
    </w:p>
    <w:p w14:paraId="5DBE98E7" w14:textId="77777777" w:rsidR="00C11C8E" w:rsidRPr="00EA17A6" w:rsidRDefault="00C11C8E" w:rsidP="00C11C8E">
      <w:pPr>
        <w:pStyle w:val="LI-BodyTextNumbered"/>
        <w:ind w:left="0" w:firstLine="0"/>
        <w:rPr>
          <w:iCs/>
        </w:rPr>
      </w:pPr>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73FCBAB2" w14:textId="029127F5" w:rsidR="00C11C8E" w:rsidRPr="00EA17A6" w:rsidRDefault="003B1835" w:rsidP="00C11C8E">
      <w:pPr>
        <w:pStyle w:val="LI-BodyTextNumbered"/>
        <w:ind w:left="0" w:firstLine="0"/>
        <w:rPr>
          <w:b/>
          <w:i/>
        </w:rPr>
      </w:pPr>
      <w:r w:rsidRPr="003B1835">
        <w:rPr>
          <w:b/>
          <w:i/>
          <w:iCs/>
        </w:rPr>
        <w:t>ASIC Derivative Transaction Rules (Clearing) Amendment Instrument 2022/</w:t>
      </w:r>
      <w:r w:rsidR="00DC440D">
        <w:rPr>
          <w:b/>
          <w:i/>
          <w:iCs/>
        </w:rPr>
        <w:t>224</w:t>
      </w:r>
    </w:p>
    <w:p w14:paraId="41932444" w14:textId="64D1F008" w:rsidR="00C11C8E" w:rsidRDefault="00C11C8E" w:rsidP="00C11C8E">
      <w:pPr>
        <w:pStyle w:val="LI-BodyTextNumbered"/>
        <w:ind w:left="567"/>
        <w:rPr>
          <w:u w:val="single"/>
        </w:rPr>
      </w:pPr>
      <w:r w:rsidRPr="00EA17A6">
        <w:rPr>
          <w:u w:val="single"/>
        </w:rPr>
        <w:t>Overview</w:t>
      </w:r>
    </w:p>
    <w:p w14:paraId="64F25818" w14:textId="18A71F47" w:rsidR="00733D7F" w:rsidRPr="0077607E" w:rsidRDefault="00733D7F" w:rsidP="00C11C8E">
      <w:pPr>
        <w:pStyle w:val="LI-BodyTextNumbered"/>
        <w:ind w:left="567"/>
      </w:pPr>
    </w:p>
    <w:p w14:paraId="16FB33AA" w14:textId="77EF120A" w:rsidR="00BA45DF" w:rsidRPr="0077607E" w:rsidRDefault="00F86E7D" w:rsidP="00E22B34">
      <w:pPr>
        <w:pStyle w:val="ListParagraph"/>
        <w:numPr>
          <w:ilvl w:val="0"/>
          <w:numId w:val="8"/>
        </w:numPr>
        <w:spacing w:before="240" w:line="240" w:lineRule="auto"/>
        <w:rPr>
          <w:rFonts w:eastAsia="Times New Roman"/>
          <w:sz w:val="24"/>
          <w:szCs w:val="24"/>
          <w:lang w:eastAsia="en-AU"/>
        </w:rPr>
      </w:pPr>
      <w:r w:rsidRPr="0077607E">
        <w:rPr>
          <w:rFonts w:eastAsia="Times New Roman"/>
          <w:sz w:val="24"/>
          <w:szCs w:val="24"/>
          <w:lang w:eastAsia="en-AU"/>
        </w:rPr>
        <w:t xml:space="preserve">The </w:t>
      </w:r>
      <w:r w:rsidRPr="0077607E">
        <w:rPr>
          <w:rFonts w:eastAsia="Times New Roman"/>
          <w:i/>
          <w:iCs/>
          <w:sz w:val="24"/>
          <w:szCs w:val="24"/>
          <w:lang w:eastAsia="en-AU"/>
        </w:rPr>
        <w:t>ASIC Derivative Transaction Rules (Clearing) 2015</w:t>
      </w:r>
      <w:r w:rsidRPr="0077607E">
        <w:rPr>
          <w:rFonts w:eastAsia="Times New Roman"/>
          <w:sz w:val="24"/>
          <w:szCs w:val="24"/>
          <w:lang w:eastAsia="en-AU"/>
        </w:rPr>
        <w:t xml:space="preserve"> (the </w:t>
      </w:r>
      <w:r w:rsidRPr="0077607E">
        <w:rPr>
          <w:rFonts w:eastAsia="Times New Roman"/>
          <w:b/>
          <w:bCs/>
          <w:sz w:val="24"/>
          <w:szCs w:val="24"/>
          <w:lang w:eastAsia="en-AU"/>
        </w:rPr>
        <w:t>Rules</w:t>
      </w:r>
      <w:r w:rsidRPr="0077607E">
        <w:rPr>
          <w:rFonts w:eastAsia="Times New Roman"/>
          <w:sz w:val="24"/>
          <w:szCs w:val="24"/>
          <w:lang w:eastAsia="en-AU"/>
        </w:rPr>
        <w:t xml:space="preserve">) impose central clearing requirements for certain derivative transactions (referred to as ‘Clearing Derivatives’) in certain circumstances. </w:t>
      </w:r>
    </w:p>
    <w:p w14:paraId="31C181CA" w14:textId="408A1324" w:rsidR="00BA45DF" w:rsidRPr="00D06B4C" w:rsidRDefault="00BA45DF" w:rsidP="00E22B34">
      <w:pPr>
        <w:pStyle w:val="ListParagraph"/>
        <w:numPr>
          <w:ilvl w:val="0"/>
          <w:numId w:val="8"/>
        </w:numPr>
        <w:spacing w:before="240" w:line="240" w:lineRule="auto"/>
        <w:rPr>
          <w:rFonts w:eastAsia="Times New Roman"/>
          <w:sz w:val="24"/>
          <w:szCs w:val="24"/>
          <w:lang w:eastAsia="en-AU"/>
        </w:rPr>
      </w:pPr>
      <w:r w:rsidRPr="0077607E">
        <w:rPr>
          <w:sz w:val="24"/>
          <w:szCs w:val="24"/>
        </w:rPr>
        <w:t>Since the global financial crisis, global regulators and industry have undertaken work to strengthen confidence in interest rate benchmarks and identify alternatives based on near risk-free rates (</w:t>
      </w:r>
      <w:proofErr w:type="spellStart"/>
      <w:r w:rsidRPr="0077607E">
        <w:rPr>
          <w:b/>
          <w:bCs/>
          <w:sz w:val="24"/>
          <w:szCs w:val="24"/>
        </w:rPr>
        <w:t>RFRs</w:t>
      </w:r>
      <w:proofErr w:type="spellEnd"/>
      <w:r w:rsidRPr="0077607E">
        <w:rPr>
          <w:sz w:val="24"/>
          <w:szCs w:val="24"/>
        </w:rPr>
        <w:t xml:space="preserve">). </w:t>
      </w:r>
      <w:r w:rsidR="00E83FEC" w:rsidRPr="0077607E">
        <w:rPr>
          <w:sz w:val="24"/>
          <w:szCs w:val="24"/>
        </w:rPr>
        <w:t xml:space="preserve">As a result of this transition, certain </w:t>
      </w:r>
      <w:r w:rsidR="00E83FEC" w:rsidRPr="00D06B4C">
        <w:rPr>
          <w:sz w:val="24"/>
          <w:szCs w:val="24"/>
        </w:rPr>
        <w:t xml:space="preserve">Clearing </w:t>
      </w:r>
      <w:r w:rsidR="00E83FEC" w:rsidRPr="000D4965">
        <w:rPr>
          <w:sz w:val="24"/>
          <w:szCs w:val="24"/>
        </w:rPr>
        <w:t>Derivatives which are subject to central clearing requirements under the Rules are no longer able to be traded or cleared, necessitating updates to the product scope of the Rules.</w:t>
      </w:r>
      <w:r w:rsidR="00E83FEC" w:rsidRPr="00D06B4C">
        <w:rPr>
          <w:sz w:val="24"/>
          <w:szCs w:val="24"/>
        </w:rPr>
        <w:t xml:space="preserve"> </w:t>
      </w:r>
    </w:p>
    <w:p w14:paraId="23F134F3" w14:textId="3E828B73" w:rsidR="00F86E7D" w:rsidRPr="000D4965" w:rsidRDefault="00F86E7D" w:rsidP="00E22B34">
      <w:pPr>
        <w:pStyle w:val="ListParagraph"/>
        <w:numPr>
          <w:ilvl w:val="0"/>
          <w:numId w:val="8"/>
        </w:numPr>
        <w:spacing w:before="240" w:line="240" w:lineRule="auto"/>
        <w:rPr>
          <w:rFonts w:eastAsia="Times New Roman"/>
          <w:sz w:val="24"/>
          <w:szCs w:val="24"/>
          <w:lang w:eastAsia="en-AU"/>
        </w:rPr>
      </w:pPr>
      <w:r w:rsidRPr="000D4965">
        <w:rPr>
          <w:rFonts w:eastAsia="Times New Roman"/>
          <w:sz w:val="24"/>
          <w:szCs w:val="24"/>
          <w:lang w:eastAsia="en-AU"/>
        </w:rPr>
        <w:t xml:space="preserve">The </w:t>
      </w:r>
      <w:r w:rsidRPr="000D4965">
        <w:rPr>
          <w:rFonts w:eastAsia="Times New Roman"/>
          <w:bCs/>
          <w:i/>
          <w:iCs/>
          <w:sz w:val="24"/>
          <w:szCs w:val="24"/>
          <w:lang w:eastAsia="en-AU"/>
        </w:rPr>
        <w:t>ASIC Derivative Transaction Rules (Clearing) Amendment Instrument 2022/</w:t>
      </w:r>
      <w:r w:rsidR="00E22B34">
        <w:rPr>
          <w:rFonts w:eastAsia="Times New Roman"/>
          <w:bCs/>
          <w:i/>
          <w:iCs/>
          <w:sz w:val="24"/>
          <w:szCs w:val="24"/>
          <w:lang w:eastAsia="en-AU"/>
        </w:rPr>
        <w:t xml:space="preserve">224 </w:t>
      </w:r>
      <w:r w:rsidRPr="000D4965">
        <w:rPr>
          <w:rFonts w:eastAsia="Times New Roman"/>
          <w:bCs/>
          <w:sz w:val="24"/>
          <w:szCs w:val="24"/>
          <w:lang w:eastAsia="en-AU"/>
        </w:rPr>
        <w:t xml:space="preserve">(the </w:t>
      </w:r>
      <w:r w:rsidRPr="000D4965">
        <w:rPr>
          <w:rFonts w:eastAsia="Times New Roman"/>
          <w:b/>
          <w:sz w:val="24"/>
          <w:szCs w:val="24"/>
          <w:lang w:eastAsia="en-AU"/>
        </w:rPr>
        <w:t>Instrument</w:t>
      </w:r>
      <w:r w:rsidRPr="000D4965">
        <w:rPr>
          <w:rFonts w:eastAsia="Times New Roman"/>
          <w:bCs/>
          <w:sz w:val="24"/>
          <w:szCs w:val="24"/>
          <w:lang w:eastAsia="en-AU"/>
        </w:rPr>
        <w:t xml:space="preserve">) modifies the types of derivative transactions which are subject to these requirements by </w:t>
      </w:r>
      <w:r w:rsidR="00E83FEC" w:rsidRPr="00D06B4C">
        <w:rPr>
          <w:rFonts w:eastAsia="Times New Roman"/>
          <w:bCs/>
          <w:sz w:val="24"/>
          <w:szCs w:val="24"/>
          <w:lang w:eastAsia="en-AU"/>
        </w:rPr>
        <w:t xml:space="preserve">making consequential </w:t>
      </w:r>
      <w:r w:rsidRPr="000D4965">
        <w:rPr>
          <w:rFonts w:eastAsia="Times New Roman"/>
          <w:bCs/>
          <w:sz w:val="24"/>
          <w:szCs w:val="24"/>
          <w:lang w:eastAsia="en-AU"/>
        </w:rPr>
        <w:t>amend</w:t>
      </w:r>
      <w:r w:rsidR="00E83FEC" w:rsidRPr="00D06B4C">
        <w:rPr>
          <w:rFonts w:eastAsia="Times New Roman"/>
          <w:bCs/>
          <w:sz w:val="24"/>
          <w:szCs w:val="24"/>
          <w:lang w:eastAsia="en-AU"/>
        </w:rPr>
        <w:t>ments to the Rules</w:t>
      </w:r>
      <w:r w:rsidR="004C0EC8">
        <w:rPr>
          <w:rFonts w:eastAsia="Times New Roman"/>
          <w:bCs/>
          <w:sz w:val="24"/>
          <w:szCs w:val="24"/>
          <w:lang w:eastAsia="en-AU"/>
        </w:rPr>
        <w:t>.</w:t>
      </w:r>
      <w:r w:rsidR="00E83FEC" w:rsidRPr="00D06B4C">
        <w:rPr>
          <w:rFonts w:eastAsia="Times New Roman"/>
          <w:bCs/>
          <w:sz w:val="24"/>
          <w:szCs w:val="24"/>
          <w:lang w:eastAsia="en-AU"/>
        </w:rPr>
        <w:t xml:space="preserve"> </w:t>
      </w:r>
      <w:r w:rsidR="004C0EC8">
        <w:rPr>
          <w:sz w:val="24"/>
          <w:szCs w:val="24"/>
        </w:rPr>
        <w:t>The amendments</w:t>
      </w:r>
      <w:r w:rsidR="00E83FEC" w:rsidRPr="00D06B4C">
        <w:rPr>
          <w:sz w:val="24"/>
          <w:szCs w:val="24"/>
        </w:rPr>
        <w:t xml:space="preserve"> remov</w:t>
      </w:r>
      <w:r w:rsidR="004C0EC8">
        <w:rPr>
          <w:sz w:val="24"/>
          <w:szCs w:val="24"/>
        </w:rPr>
        <w:t>e</w:t>
      </w:r>
      <w:r w:rsidR="00E83FEC" w:rsidRPr="00D06B4C">
        <w:rPr>
          <w:sz w:val="24"/>
          <w:szCs w:val="24"/>
        </w:rPr>
        <w:t xml:space="preserve"> products which can no longer be traded or cleared from the definition of a Clearing Derivative in R</w:t>
      </w:r>
      <w:r w:rsidR="00E83FEC" w:rsidRPr="004C0EC8">
        <w:rPr>
          <w:sz w:val="24"/>
          <w:szCs w:val="24"/>
        </w:rPr>
        <w:t>ule 1.2.3 of the Rules and repla</w:t>
      </w:r>
      <w:r w:rsidR="004C0EC8">
        <w:rPr>
          <w:sz w:val="24"/>
          <w:szCs w:val="24"/>
        </w:rPr>
        <w:t>ce</w:t>
      </w:r>
      <w:r w:rsidR="00E83FEC" w:rsidRPr="004C0EC8">
        <w:rPr>
          <w:sz w:val="24"/>
          <w:szCs w:val="24"/>
        </w:rPr>
        <w:t xml:space="preserve"> them with contracts referencing the replacement RFR selected for each currency.</w:t>
      </w:r>
    </w:p>
    <w:p w14:paraId="02978C4E" w14:textId="446A2A2F" w:rsidR="000D4965" w:rsidRPr="000D4965" w:rsidRDefault="00D01BE5" w:rsidP="000D4965">
      <w:pPr>
        <w:pStyle w:val="ListParagraph"/>
        <w:numPr>
          <w:ilvl w:val="0"/>
          <w:numId w:val="8"/>
        </w:numPr>
        <w:spacing w:before="240" w:line="240" w:lineRule="auto"/>
        <w:rPr>
          <w:rFonts w:eastAsia="Times New Roman"/>
          <w:bCs/>
          <w:sz w:val="24"/>
          <w:szCs w:val="24"/>
          <w:lang w:eastAsia="en-AU"/>
        </w:rPr>
      </w:pPr>
      <w:r w:rsidRPr="000D4965">
        <w:rPr>
          <w:rFonts w:eastAsia="Times New Roman"/>
          <w:sz w:val="24"/>
          <w:szCs w:val="24"/>
          <w:lang w:eastAsia="en-AU"/>
        </w:rPr>
        <w:t>The</w:t>
      </w:r>
      <w:r w:rsidR="00ED741F" w:rsidRPr="000D4965">
        <w:rPr>
          <w:rFonts w:eastAsia="Times New Roman"/>
          <w:bCs/>
          <w:sz w:val="24"/>
          <w:szCs w:val="24"/>
          <w:lang w:eastAsia="en-AU"/>
        </w:rPr>
        <w:t xml:space="preserve"> amendments</w:t>
      </w:r>
      <w:r w:rsidR="00A113EB">
        <w:rPr>
          <w:rFonts w:eastAsia="Times New Roman"/>
          <w:bCs/>
          <w:sz w:val="24"/>
          <w:szCs w:val="24"/>
          <w:lang w:eastAsia="en-AU"/>
        </w:rPr>
        <w:t xml:space="preserve"> in</w:t>
      </w:r>
      <w:r w:rsidR="00ED741F" w:rsidRPr="000D4965">
        <w:rPr>
          <w:rFonts w:eastAsia="Times New Roman"/>
          <w:bCs/>
          <w:sz w:val="24"/>
          <w:szCs w:val="24"/>
          <w:lang w:eastAsia="en-AU"/>
        </w:rPr>
        <w:t xml:space="preserve"> the Instrument are </w:t>
      </w:r>
      <w:r w:rsidR="00E83FEC" w:rsidRPr="000D4965">
        <w:rPr>
          <w:sz w:val="24"/>
          <w:szCs w:val="24"/>
        </w:rPr>
        <w:t>necessary to</w:t>
      </w:r>
      <w:r w:rsidR="00A3210F" w:rsidRPr="000D4965">
        <w:rPr>
          <w:sz w:val="24"/>
          <w:szCs w:val="24"/>
        </w:rPr>
        <w:t xml:space="preserve"> ensure that the Rules remain fit for purpose,</w:t>
      </w:r>
      <w:r w:rsidR="00E83FEC" w:rsidRPr="000D4965">
        <w:rPr>
          <w:sz w:val="24"/>
          <w:szCs w:val="24"/>
        </w:rPr>
        <w:t xml:space="preserve"> reflect </w:t>
      </w:r>
      <w:r w:rsidR="00A3210F" w:rsidRPr="000D4965">
        <w:rPr>
          <w:sz w:val="24"/>
          <w:szCs w:val="24"/>
        </w:rPr>
        <w:t xml:space="preserve">developments in the </w:t>
      </w:r>
      <w:r w:rsidR="00E83FEC" w:rsidRPr="000D4965">
        <w:rPr>
          <w:sz w:val="24"/>
          <w:szCs w:val="24"/>
        </w:rPr>
        <w:t xml:space="preserve">market and ensure that Australia continues to meet its </w:t>
      </w:r>
      <w:r w:rsidR="00A3210F" w:rsidRPr="000D4965">
        <w:rPr>
          <w:sz w:val="24"/>
          <w:szCs w:val="24"/>
        </w:rPr>
        <w:t xml:space="preserve">G20 commitment and </w:t>
      </w:r>
      <w:r w:rsidR="00E83FEC" w:rsidRPr="000D4965">
        <w:rPr>
          <w:sz w:val="24"/>
          <w:szCs w:val="24"/>
        </w:rPr>
        <w:t>international obligations.</w:t>
      </w:r>
    </w:p>
    <w:p w14:paraId="74B95C83" w14:textId="367E1E1C" w:rsidR="000D4965" w:rsidRPr="000D4965" w:rsidRDefault="000D4965" w:rsidP="000D4965">
      <w:pPr>
        <w:pStyle w:val="LI-BodyTextNumbered"/>
        <w:ind w:left="567"/>
        <w:rPr>
          <w:u w:val="single"/>
        </w:rPr>
      </w:pPr>
      <w:r w:rsidRPr="00EA17A6">
        <w:rPr>
          <w:u w:val="single"/>
        </w:rPr>
        <w:t>Assessment of human rights implications</w:t>
      </w:r>
    </w:p>
    <w:p w14:paraId="24C90C79" w14:textId="492FBEF6" w:rsidR="000D4965" w:rsidRPr="000D4965" w:rsidRDefault="000D4965" w:rsidP="000D4965">
      <w:pPr>
        <w:pStyle w:val="ListParagraph"/>
        <w:numPr>
          <w:ilvl w:val="0"/>
          <w:numId w:val="8"/>
        </w:numPr>
        <w:spacing w:before="240" w:line="240" w:lineRule="auto"/>
        <w:rPr>
          <w:rFonts w:eastAsia="Times New Roman"/>
          <w:bCs/>
          <w:sz w:val="24"/>
          <w:szCs w:val="24"/>
          <w:lang w:eastAsia="en-AU"/>
        </w:rPr>
      </w:pPr>
      <w:r w:rsidRPr="00EA17A6">
        <w:t xml:space="preserve">This </w:t>
      </w:r>
      <w:r>
        <w:t>I</w:t>
      </w:r>
      <w:r w:rsidRPr="00EA17A6">
        <w:t>nstrument does not engage any of the applicable rights or freedoms</w:t>
      </w:r>
      <w:r>
        <w:t>.</w:t>
      </w:r>
    </w:p>
    <w:p w14:paraId="4F0F0FF1" w14:textId="746346C1" w:rsidR="000D4965" w:rsidRPr="000D4965" w:rsidRDefault="000D4965" w:rsidP="000D4965">
      <w:pPr>
        <w:pStyle w:val="LI-BodyTextNumbered"/>
        <w:ind w:left="567"/>
      </w:pPr>
      <w:r w:rsidRPr="00EA17A6">
        <w:rPr>
          <w:u w:val="single"/>
        </w:rPr>
        <w:t>Conclusion</w:t>
      </w:r>
    </w:p>
    <w:p w14:paraId="543CC991" w14:textId="31753D98" w:rsidR="000D4965" w:rsidRPr="000D4965" w:rsidRDefault="000D4965" w:rsidP="000D4965">
      <w:pPr>
        <w:pStyle w:val="ListParagraph"/>
        <w:numPr>
          <w:ilvl w:val="0"/>
          <w:numId w:val="8"/>
        </w:numPr>
        <w:spacing w:before="240" w:line="240" w:lineRule="auto"/>
        <w:rPr>
          <w:rFonts w:eastAsia="Times New Roman"/>
          <w:bCs/>
          <w:sz w:val="24"/>
          <w:szCs w:val="24"/>
          <w:lang w:eastAsia="en-AU"/>
        </w:rPr>
      </w:pPr>
      <w:r w:rsidRPr="00EA17A6">
        <w:t xml:space="preserve">This </w:t>
      </w:r>
      <w:r>
        <w:t>I</w:t>
      </w:r>
      <w:r w:rsidRPr="00EA17A6">
        <w:t xml:space="preserve">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bookmarkEnd w:id="3"/>
    <w:p w14:paraId="19D81518" w14:textId="77777777" w:rsidR="00C11C8E" w:rsidRPr="00EA17A6" w:rsidRDefault="00C11C8E" w:rsidP="000D4965">
      <w:pPr>
        <w:pStyle w:val="LI-BodyTextNumbered"/>
        <w:ind w:left="0" w:firstLine="0"/>
      </w:pPr>
    </w:p>
    <w:p w14:paraId="1AD569FC" w14:textId="77777777" w:rsidR="00F268DE" w:rsidRDefault="00F268DE"/>
    <w:sectPr w:rsidR="00F268DE"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6F82" w14:textId="77777777" w:rsidR="00016A58" w:rsidRDefault="00E92893">
      <w:pPr>
        <w:spacing w:line="240" w:lineRule="auto"/>
      </w:pPr>
      <w:r>
        <w:separator/>
      </w:r>
    </w:p>
  </w:endnote>
  <w:endnote w:type="continuationSeparator" w:id="0">
    <w:p w14:paraId="21CE2480" w14:textId="77777777" w:rsidR="00016A58" w:rsidRDefault="00E92893">
      <w:pPr>
        <w:spacing w:line="240" w:lineRule="auto"/>
      </w:pPr>
      <w:r>
        <w:continuationSeparator/>
      </w:r>
    </w:p>
  </w:endnote>
  <w:endnote w:type="continuationNotice" w:id="1">
    <w:p w14:paraId="4B2D8BE0" w14:textId="77777777" w:rsidR="0003721E" w:rsidRDefault="000372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02FB" w14:textId="63216D4F" w:rsidR="00863657" w:rsidRDefault="00306FE9">
    <w:pPr>
      <w:pStyle w:val="Footer"/>
      <w:jc w:val="center"/>
    </w:pPr>
    <w:r>
      <w:fldChar w:fldCharType="begin"/>
    </w:r>
    <w:r>
      <w:instrText xml:space="preserve"> PAGE   \* MERGEFORMAT </w:instrText>
    </w:r>
    <w:r>
      <w:fldChar w:fldCharType="separate"/>
    </w:r>
    <w:r>
      <w:rPr>
        <w:noProof/>
      </w:rPr>
      <w:t>2</w:t>
    </w:r>
    <w:r>
      <w:rPr>
        <w:noProof/>
      </w:rPr>
      <w:fldChar w:fldCharType="end"/>
    </w:r>
  </w:p>
  <w:p w14:paraId="55B929FA" w14:textId="77777777" w:rsidR="00863657" w:rsidRDefault="00D9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DC53" w14:textId="77777777" w:rsidR="00016A58" w:rsidRDefault="00E92893">
      <w:pPr>
        <w:spacing w:line="240" w:lineRule="auto"/>
      </w:pPr>
      <w:r>
        <w:separator/>
      </w:r>
    </w:p>
  </w:footnote>
  <w:footnote w:type="continuationSeparator" w:id="0">
    <w:p w14:paraId="08A14F7E" w14:textId="77777777" w:rsidR="00016A58" w:rsidRDefault="00E92893">
      <w:pPr>
        <w:spacing w:line="240" w:lineRule="auto"/>
      </w:pPr>
      <w:r>
        <w:continuationSeparator/>
      </w:r>
    </w:p>
  </w:footnote>
  <w:footnote w:type="continuationNotice" w:id="1">
    <w:p w14:paraId="770335C3" w14:textId="77777777" w:rsidR="0003721E" w:rsidRDefault="000372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0BEB" w14:textId="77777777" w:rsidR="00E2168B" w:rsidRPr="00243EC0" w:rsidRDefault="00306FE9"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169AFFCF" w14:textId="77777777" w:rsidTr="001E77ED">
      <w:tc>
        <w:tcPr>
          <w:tcW w:w="4253" w:type="dxa"/>
          <w:shd w:val="clear" w:color="auto" w:fill="auto"/>
        </w:tcPr>
        <w:p w14:paraId="2E954A4E" w14:textId="07182F33" w:rsidR="00F4215A" w:rsidRDefault="00D93E07" w:rsidP="00E40FF8">
          <w:pPr>
            <w:pStyle w:val="LI-Header"/>
            <w:pBdr>
              <w:bottom w:val="none" w:sz="0" w:space="0" w:color="auto"/>
            </w:pBdr>
            <w:jc w:val="left"/>
          </w:pPr>
        </w:p>
      </w:tc>
      <w:tc>
        <w:tcPr>
          <w:tcW w:w="4060" w:type="dxa"/>
          <w:shd w:val="clear" w:color="auto" w:fill="auto"/>
        </w:tcPr>
        <w:p w14:paraId="305060B6" w14:textId="77777777" w:rsidR="00F4215A" w:rsidRDefault="00D93E07" w:rsidP="00F03BB5">
          <w:pPr>
            <w:pStyle w:val="LI-BodyTextNumbered"/>
          </w:pPr>
        </w:p>
      </w:tc>
    </w:tr>
  </w:tbl>
  <w:p w14:paraId="53546BEF" w14:textId="77777777" w:rsidR="0040053F" w:rsidRPr="00F4215A" w:rsidRDefault="00D93E07"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1C6"/>
    <w:multiLevelType w:val="hybridMultilevel"/>
    <w:tmpl w:val="CFCC7996"/>
    <w:lvl w:ilvl="0" w:tplc="F3D249CE">
      <w:start w:val="1"/>
      <w:numFmt w:val="lowerRoman"/>
      <w:lvlText w:val="(%1)"/>
      <w:lvlJc w:val="left"/>
      <w:pPr>
        <w:ind w:left="2211"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F08B8"/>
    <w:multiLevelType w:val="hybridMultilevel"/>
    <w:tmpl w:val="7D30FE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ED53AF"/>
    <w:multiLevelType w:val="hybridMultilevel"/>
    <w:tmpl w:val="3A6C94FE"/>
    <w:lvl w:ilvl="0" w:tplc="84D428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E548F"/>
    <w:multiLevelType w:val="hybridMultilevel"/>
    <w:tmpl w:val="56AEEDE2"/>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AF1AC6"/>
    <w:multiLevelType w:val="multilevel"/>
    <w:tmpl w:val="77A428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7944E4"/>
    <w:multiLevelType w:val="hybridMultilevel"/>
    <w:tmpl w:val="3D322E96"/>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D13ADF"/>
    <w:multiLevelType w:val="hybridMultilevel"/>
    <w:tmpl w:val="69182582"/>
    <w:lvl w:ilvl="0" w:tplc="84D42860">
      <w:start w:val="1"/>
      <w:numFmt w:val="decimal"/>
      <w:lvlText w:val="%1."/>
      <w:lvlJc w:val="left"/>
      <w:pPr>
        <w:ind w:left="1500" w:hanging="57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 w15:restartNumberingAfterBreak="0">
    <w:nsid w:val="24256122"/>
    <w:multiLevelType w:val="hybridMultilevel"/>
    <w:tmpl w:val="647697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4CC559E"/>
    <w:multiLevelType w:val="hybridMultilevel"/>
    <w:tmpl w:val="4B68540A"/>
    <w:lvl w:ilvl="0" w:tplc="CA0E1AD8">
      <w:start w:val="1"/>
      <w:numFmt w:val="lowerLetter"/>
      <w:lvlText w:val="(%1)"/>
      <w:lvlJc w:val="left"/>
      <w:pPr>
        <w:ind w:left="1361" w:hanging="431"/>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931D59"/>
    <w:multiLevelType w:val="hybridMultilevel"/>
    <w:tmpl w:val="4B9607D2"/>
    <w:lvl w:ilvl="0" w:tplc="84D428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FE0733"/>
    <w:multiLevelType w:val="hybridMultilevel"/>
    <w:tmpl w:val="EC02A4D6"/>
    <w:lvl w:ilvl="0" w:tplc="FC480270">
      <w:start w:val="1"/>
      <w:numFmt w:val="lowerLetter"/>
      <w:lvlText w:val="(%1)"/>
      <w:lvlJc w:val="left"/>
      <w:pPr>
        <w:ind w:left="1361" w:hanging="43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2F32E7"/>
    <w:multiLevelType w:val="hybridMultilevel"/>
    <w:tmpl w:val="BF14E900"/>
    <w:lvl w:ilvl="0" w:tplc="E4947EE0">
      <w:start w:val="1"/>
      <w:numFmt w:val="lowerLetter"/>
      <w:lvlText w:val="(%1)"/>
      <w:lvlJc w:val="left"/>
      <w:pPr>
        <w:ind w:left="1361" w:hanging="431"/>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371843B7"/>
    <w:multiLevelType w:val="hybridMultilevel"/>
    <w:tmpl w:val="ECA07C8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A9242B0"/>
    <w:multiLevelType w:val="hybridMultilevel"/>
    <w:tmpl w:val="28D4B6AA"/>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540FCF"/>
    <w:multiLevelType w:val="hybridMultilevel"/>
    <w:tmpl w:val="D8909B7A"/>
    <w:lvl w:ilvl="0" w:tplc="C5586CE4">
      <w:start w:val="1"/>
      <w:numFmt w:val="lowerRoman"/>
      <w:lvlText w:val="(%1)"/>
      <w:lvlJc w:val="left"/>
      <w:pPr>
        <w:ind w:left="2211" w:hanging="85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405538FB"/>
    <w:multiLevelType w:val="hybridMultilevel"/>
    <w:tmpl w:val="448AEE22"/>
    <w:lvl w:ilvl="0" w:tplc="D662EBB6">
      <w:start w:val="1"/>
      <w:numFmt w:val="lowerLetter"/>
      <w:lvlText w:val="(%1)"/>
      <w:lvlJc w:val="left"/>
      <w:pPr>
        <w:ind w:left="1361" w:hanging="43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B733F2"/>
    <w:multiLevelType w:val="hybridMultilevel"/>
    <w:tmpl w:val="FA10C2F2"/>
    <w:lvl w:ilvl="0" w:tplc="588A289A">
      <w:start w:val="1"/>
      <w:numFmt w:val="lowerRoman"/>
      <w:lvlText w:val="(%1)"/>
      <w:lvlJc w:val="left"/>
      <w:pPr>
        <w:ind w:left="2211" w:hanging="85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4C882F9E"/>
    <w:multiLevelType w:val="hybridMultilevel"/>
    <w:tmpl w:val="C5C25F42"/>
    <w:lvl w:ilvl="0" w:tplc="E144A9AC">
      <w:start w:val="1"/>
      <w:numFmt w:val="lowerLetter"/>
      <w:lvlText w:val="(%1)"/>
      <w:lvlJc w:val="left"/>
      <w:pPr>
        <w:ind w:left="1361" w:hanging="43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D776AC"/>
    <w:multiLevelType w:val="hybridMultilevel"/>
    <w:tmpl w:val="0B286AF0"/>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080F86"/>
    <w:multiLevelType w:val="hybridMultilevel"/>
    <w:tmpl w:val="7BCA959E"/>
    <w:lvl w:ilvl="0" w:tplc="84D428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023176"/>
    <w:multiLevelType w:val="hybridMultilevel"/>
    <w:tmpl w:val="4E76586A"/>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6225D2"/>
    <w:multiLevelType w:val="hybridMultilevel"/>
    <w:tmpl w:val="F8CE8C38"/>
    <w:lvl w:ilvl="0" w:tplc="84D42860">
      <w:start w:val="1"/>
      <w:numFmt w:val="decimal"/>
      <w:lvlText w:val="%1."/>
      <w:lvlJc w:val="left"/>
      <w:pPr>
        <w:ind w:left="930" w:hanging="570"/>
      </w:pPr>
      <w:rPr>
        <w:rFonts w:hint="default"/>
      </w:rPr>
    </w:lvl>
    <w:lvl w:ilvl="1" w:tplc="E78C81FC">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A4703"/>
    <w:multiLevelType w:val="hybridMultilevel"/>
    <w:tmpl w:val="1158E1C4"/>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46680E"/>
    <w:multiLevelType w:val="hybridMultilevel"/>
    <w:tmpl w:val="56A8EBA8"/>
    <w:lvl w:ilvl="0" w:tplc="0D327282">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296472"/>
    <w:multiLevelType w:val="hybridMultilevel"/>
    <w:tmpl w:val="F8CE8C38"/>
    <w:lvl w:ilvl="0" w:tplc="84D42860">
      <w:start w:val="1"/>
      <w:numFmt w:val="decimal"/>
      <w:lvlText w:val="%1."/>
      <w:lvlJc w:val="left"/>
      <w:pPr>
        <w:ind w:left="930" w:hanging="570"/>
      </w:pPr>
      <w:rPr>
        <w:rFonts w:hint="default"/>
      </w:rPr>
    </w:lvl>
    <w:lvl w:ilvl="1" w:tplc="E78C81FC">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C322B1"/>
    <w:multiLevelType w:val="hybridMultilevel"/>
    <w:tmpl w:val="0E66D7BE"/>
    <w:lvl w:ilvl="0" w:tplc="75023E64">
      <w:start w:val="1"/>
      <w:numFmt w:val="lowerLetter"/>
      <w:lvlText w:val="(%1)"/>
      <w:lvlJc w:val="left"/>
      <w:pPr>
        <w:ind w:left="1361" w:hanging="43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5F3D67"/>
    <w:multiLevelType w:val="hybridMultilevel"/>
    <w:tmpl w:val="B588D1B8"/>
    <w:lvl w:ilvl="0" w:tplc="4F24A664">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7" w15:restartNumberingAfterBreak="0">
    <w:nsid w:val="776F36EF"/>
    <w:multiLevelType w:val="hybridMultilevel"/>
    <w:tmpl w:val="D18A26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163D7D"/>
    <w:multiLevelType w:val="hybridMultilevel"/>
    <w:tmpl w:val="9B4668AC"/>
    <w:lvl w:ilvl="0" w:tplc="0D327282">
      <w:start w:val="1"/>
      <w:numFmt w:val="decimal"/>
      <w:lvlText w:val="%1."/>
      <w:lvlJc w:val="left"/>
      <w:pPr>
        <w:ind w:left="930" w:hanging="570"/>
      </w:pPr>
      <w:rPr>
        <w:rFonts w:hint="default"/>
        <w:i w:val="0"/>
        <w:iCs/>
      </w:rPr>
    </w:lvl>
    <w:lvl w:ilvl="1" w:tplc="DD361B86">
      <w:start w:val="1"/>
      <w:numFmt w:val="lowerLetter"/>
      <w:lvlText w:val="(%2)"/>
      <w:lvlJc w:val="left"/>
      <w:pPr>
        <w:ind w:left="1361" w:hanging="431"/>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27"/>
  </w:num>
  <w:num w:numId="3">
    <w:abstractNumId w:val="6"/>
  </w:num>
  <w:num w:numId="4">
    <w:abstractNumId w:val="26"/>
  </w:num>
  <w:num w:numId="5">
    <w:abstractNumId w:val="11"/>
  </w:num>
  <w:num w:numId="6">
    <w:abstractNumId w:val="14"/>
  </w:num>
  <w:num w:numId="7">
    <w:abstractNumId w:val="16"/>
  </w:num>
  <w:num w:numId="8">
    <w:abstractNumId w:val="4"/>
  </w:num>
  <w:num w:numId="9">
    <w:abstractNumId w:val="24"/>
  </w:num>
  <w:num w:numId="10">
    <w:abstractNumId w:val="21"/>
  </w:num>
  <w:num w:numId="11">
    <w:abstractNumId w:val="7"/>
  </w:num>
  <w:num w:numId="12">
    <w:abstractNumId w:val="12"/>
  </w:num>
  <w:num w:numId="13">
    <w:abstractNumId w:val="1"/>
  </w:num>
  <w:num w:numId="14">
    <w:abstractNumId w:val="19"/>
  </w:num>
  <w:num w:numId="15">
    <w:abstractNumId w:val="2"/>
  </w:num>
  <w:num w:numId="16">
    <w:abstractNumId w:val="9"/>
  </w:num>
  <w:num w:numId="17">
    <w:abstractNumId w:val="13"/>
  </w:num>
  <w:num w:numId="18">
    <w:abstractNumId w:val="20"/>
  </w:num>
  <w:num w:numId="19">
    <w:abstractNumId w:val="25"/>
  </w:num>
  <w:num w:numId="20">
    <w:abstractNumId w:val="22"/>
  </w:num>
  <w:num w:numId="21">
    <w:abstractNumId w:val="5"/>
  </w:num>
  <w:num w:numId="22">
    <w:abstractNumId w:val="10"/>
  </w:num>
  <w:num w:numId="23">
    <w:abstractNumId w:val="23"/>
  </w:num>
  <w:num w:numId="24">
    <w:abstractNumId w:val="3"/>
  </w:num>
  <w:num w:numId="25">
    <w:abstractNumId w:val="15"/>
  </w:num>
  <w:num w:numId="26">
    <w:abstractNumId w:val="17"/>
  </w:num>
  <w:num w:numId="27">
    <w:abstractNumId w:val="0"/>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8E"/>
    <w:rsid w:val="00011B00"/>
    <w:rsid w:val="0001316F"/>
    <w:rsid w:val="0001547D"/>
    <w:rsid w:val="00016A58"/>
    <w:rsid w:val="00020847"/>
    <w:rsid w:val="0002286B"/>
    <w:rsid w:val="00024D59"/>
    <w:rsid w:val="00031979"/>
    <w:rsid w:val="00034CA0"/>
    <w:rsid w:val="0003721E"/>
    <w:rsid w:val="000473B0"/>
    <w:rsid w:val="00047FC4"/>
    <w:rsid w:val="00067BF4"/>
    <w:rsid w:val="00073F10"/>
    <w:rsid w:val="000858DF"/>
    <w:rsid w:val="000D4965"/>
    <w:rsid w:val="000E2019"/>
    <w:rsid w:val="000E62A5"/>
    <w:rsid w:val="000F14D8"/>
    <w:rsid w:val="0010040E"/>
    <w:rsid w:val="001010FB"/>
    <w:rsid w:val="00103F50"/>
    <w:rsid w:val="00105C6F"/>
    <w:rsid w:val="001125EC"/>
    <w:rsid w:val="001163E0"/>
    <w:rsid w:val="0012184D"/>
    <w:rsid w:val="00123FFC"/>
    <w:rsid w:val="00144251"/>
    <w:rsid w:val="00145480"/>
    <w:rsid w:val="00150F1A"/>
    <w:rsid w:val="00162497"/>
    <w:rsid w:val="001632D9"/>
    <w:rsid w:val="00174120"/>
    <w:rsid w:val="001A3E6D"/>
    <w:rsid w:val="001B05E0"/>
    <w:rsid w:val="001B1469"/>
    <w:rsid w:val="001D061D"/>
    <w:rsid w:val="001D7DAF"/>
    <w:rsid w:val="001E486F"/>
    <w:rsid w:val="00225DAB"/>
    <w:rsid w:val="00231A05"/>
    <w:rsid w:val="00240BC8"/>
    <w:rsid w:val="002413BB"/>
    <w:rsid w:val="0024403E"/>
    <w:rsid w:val="00261F5A"/>
    <w:rsid w:val="00262E88"/>
    <w:rsid w:val="00276FC8"/>
    <w:rsid w:val="00277377"/>
    <w:rsid w:val="00296C12"/>
    <w:rsid w:val="002A52A2"/>
    <w:rsid w:val="002A7621"/>
    <w:rsid w:val="002C1CE8"/>
    <w:rsid w:val="002D362E"/>
    <w:rsid w:val="002E1E31"/>
    <w:rsid w:val="002F67B2"/>
    <w:rsid w:val="003062D6"/>
    <w:rsid w:val="00306FE9"/>
    <w:rsid w:val="003464C5"/>
    <w:rsid w:val="0035134B"/>
    <w:rsid w:val="00363D19"/>
    <w:rsid w:val="003669C1"/>
    <w:rsid w:val="0037174F"/>
    <w:rsid w:val="00371D1D"/>
    <w:rsid w:val="00391DB0"/>
    <w:rsid w:val="003A4C77"/>
    <w:rsid w:val="003B1835"/>
    <w:rsid w:val="003F5A47"/>
    <w:rsid w:val="0040431B"/>
    <w:rsid w:val="00423215"/>
    <w:rsid w:val="00432AC1"/>
    <w:rsid w:val="004671B8"/>
    <w:rsid w:val="00467FA3"/>
    <w:rsid w:val="00475E6B"/>
    <w:rsid w:val="00476649"/>
    <w:rsid w:val="00483F15"/>
    <w:rsid w:val="00487120"/>
    <w:rsid w:val="004906FE"/>
    <w:rsid w:val="004B4956"/>
    <w:rsid w:val="004B5891"/>
    <w:rsid w:val="004B7C18"/>
    <w:rsid w:val="004C0EC8"/>
    <w:rsid w:val="004D2B01"/>
    <w:rsid w:val="00511120"/>
    <w:rsid w:val="00536628"/>
    <w:rsid w:val="00536EEE"/>
    <w:rsid w:val="00566BE6"/>
    <w:rsid w:val="005963EE"/>
    <w:rsid w:val="005A387C"/>
    <w:rsid w:val="005B2617"/>
    <w:rsid w:val="005B391F"/>
    <w:rsid w:val="006005EB"/>
    <w:rsid w:val="00606DB3"/>
    <w:rsid w:val="006264BB"/>
    <w:rsid w:val="00632AC1"/>
    <w:rsid w:val="00633ED3"/>
    <w:rsid w:val="00634625"/>
    <w:rsid w:val="00651766"/>
    <w:rsid w:val="006545F7"/>
    <w:rsid w:val="00657C2E"/>
    <w:rsid w:val="00670F95"/>
    <w:rsid w:val="00672E5C"/>
    <w:rsid w:val="00677C09"/>
    <w:rsid w:val="006A3058"/>
    <w:rsid w:val="006A406F"/>
    <w:rsid w:val="006D13F1"/>
    <w:rsid w:val="006E4F1D"/>
    <w:rsid w:val="006F075B"/>
    <w:rsid w:val="006F34B5"/>
    <w:rsid w:val="007128B2"/>
    <w:rsid w:val="0072260B"/>
    <w:rsid w:val="0073015C"/>
    <w:rsid w:val="00733D7F"/>
    <w:rsid w:val="00750B70"/>
    <w:rsid w:val="00766B1C"/>
    <w:rsid w:val="00771B5E"/>
    <w:rsid w:val="0077607E"/>
    <w:rsid w:val="007A0A34"/>
    <w:rsid w:val="007B608C"/>
    <w:rsid w:val="007D7274"/>
    <w:rsid w:val="007F10E7"/>
    <w:rsid w:val="008009F2"/>
    <w:rsid w:val="0082293A"/>
    <w:rsid w:val="008327AB"/>
    <w:rsid w:val="0084657C"/>
    <w:rsid w:val="00856561"/>
    <w:rsid w:val="00885DD6"/>
    <w:rsid w:val="00891BC7"/>
    <w:rsid w:val="00897F0E"/>
    <w:rsid w:val="008A18CB"/>
    <w:rsid w:val="008A4CB8"/>
    <w:rsid w:val="008B7F1F"/>
    <w:rsid w:val="008E1FD5"/>
    <w:rsid w:val="008E345A"/>
    <w:rsid w:val="009012EE"/>
    <w:rsid w:val="00947DE1"/>
    <w:rsid w:val="00960390"/>
    <w:rsid w:val="00976530"/>
    <w:rsid w:val="00984F14"/>
    <w:rsid w:val="009D03B2"/>
    <w:rsid w:val="009D0ECA"/>
    <w:rsid w:val="009E5A0E"/>
    <w:rsid w:val="009F4120"/>
    <w:rsid w:val="00A113EB"/>
    <w:rsid w:val="00A121D4"/>
    <w:rsid w:val="00A1255D"/>
    <w:rsid w:val="00A16D16"/>
    <w:rsid w:val="00A3210F"/>
    <w:rsid w:val="00A3326F"/>
    <w:rsid w:val="00A3423F"/>
    <w:rsid w:val="00A369EC"/>
    <w:rsid w:val="00A53614"/>
    <w:rsid w:val="00A70CE6"/>
    <w:rsid w:val="00AA5BA8"/>
    <w:rsid w:val="00AE13E0"/>
    <w:rsid w:val="00AE1B98"/>
    <w:rsid w:val="00AE45DE"/>
    <w:rsid w:val="00B12BC0"/>
    <w:rsid w:val="00B1417B"/>
    <w:rsid w:val="00B22DD2"/>
    <w:rsid w:val="00B27AD0"/>
    <w:rsid w:val="00B329CB"/>
    <w:rsid w:val="00B33B79"/>
    <w:rsid w:val="00B3646E"/>
    <w:rsid w:val="00B41FAF"/>
    <w:rsid w:val="00B42B20"/>
    <w:rsid w:val="00B57484"/>
    <w:rsid w:val="00B72546"/>
    <w:rsid w:val="00B85E64"/>
    <w:rsid w:val="00B94CE1"/>
    <w:rsid w:val="00BA45DF"/>
    <w:rsid w:val="00BB1E18"/>
    <w:rsid w:val="00BB4D93"/>
    <w:rsid w:val="00BC2343"/>
    <w:rsid w:val="00BD01CD"/>
    <w:rsid w:val="00BD7487"/>
    <w:rsid w:val="00BE0F6D"/>
    <w:rsid w:val="00BF2395"/>
    <w:rsid w:val="00C03930"/>
    <w:rsid w:val="00C11C8E"/>
    <w:rsid w:val="00C1222D"/>
    <w:rsid w:val="00C12837"/>
    <w:rsid w:val="00C25100"/>
    <w:rsid w:val="00C52314"/>
    <w:rsid w:val="00C53EE3"/>
    <w:rsid w:val="00CD1B49"/>
    <w:rsid w:val="00CF0473"/>
    <w:rsid w:val="00CF11BB"/>
    <w:rsid w:val="00D01BE5"/>
    <w:rsid w:val="00D06B4C"/>
    <w:rsid w:val="00D13CFC"/>
    <w:rsid w:val="00D160C2"/>
    <w:rsid w:val="00D16A7A"/>
    <w:rsid w:val="00D22CA0"/>
    <w:rsid w:val="00D355CA"/>
    <w:rsid w:val="00D37BA3"/>
    <w:rsid w:val="00D53534"/>
    <w:rsid w:val="00D543D2"/>
    <w:rsid w:val="00D81A49"/>
    <w:rsid w:val="00D919AD"/>
    <w:rsid w:val="00D93E07"/>
    <w:rsid w:val="00DA23EA"/>
    <w:rsid w:val="00DA2E20"/>
    <w:rsid w:val="00DA4CD5"/>
    <w:rsid w:val="00DB64FC"/>
    <w:rsid w:val="00DB760D"/>
    <w:rsid w:val="00DC440D"/>
    <w:rsid w:val="00DD5FE5"/>
    <w:rsid w:val="00DF19E1"/>
    <w:rsid w:val="00E00789"/>
    <w:rsid w:val="00E13C98"/>
    <w:rsid w:val="00E17BBF"/>
    <w:rsid w:val="00E22B34"/>
    <w:rsid w:val="00E26B19"/>
    <w:rsid w:val="00E37BF1"/>
    <w:rsid w:val="00E4165B"/>
    <w:rsid w:val="00E527B6"/>
    <w:rsid w:val="00E83FEC"/>
    <w:rsid w:val="00E92893"/>
    <w:rsid w:val="00E933D5"/>
    <w:rsid w:val="00E94255"/>
    <w:rsid w:val="00E976E8"/>
    <w:rsid w:val="00ED741F"/>
    <w:rsid w:val="00EE1324"/>
    <w:rsid w:val="00EF6214"/>
    <w:rsid w:val="00F04953"/>
    <w:rsid w:val="00F10FD4"/>
    <w:rsid w:val="00F21D21"/>
    <w:rsid w:val="00F2639D"/>
    <w:rsid w:val="00F268DE"/>
    <w:rsid w:val="00F375E3"/>
    <w:rsid w:val="00F40CC8"/>
    <w:rsid w:val="00F416DE"/>
    <w:rsid w:val="00F44D68"/>
    <w:rsid w:val="00F450A2"/>
    <w:rsid w:val="00F4526C"/>
    <w:rsid w:val="00F5285F"/>
    <w:rsid w:val="00F63B10"/>
    <w:rsid w:val="00F66EFA"/>
    <w:rsid w:val="00F73119"/>
    <w:rsid w:val="00F84A4B"/>
    <w:rsid w:val="00F85333"/>
    <w:rsid w:val="00F86E7D"/>
    <w:rsid w:val="00FB449F"/>
    <w:rsid w:val="00FD3227"/>
    <w:rsid w:val="00FE0B37"/>
    <w:rsid w:val="00FE49FA"/>
    <w:rsid w:val="00FE4D40"/>
    <w:rsid w:val="00FE7805"/>
    <w:rsid w:val="00FF042D"/>
    <w:rsid w:val="00FF092A"/>
    <w:rsid w:val="00FF32A9"/>
    <w:rsid w:val="00FF4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4BFF"/>
  <w15:chartTrackingRefBased/>
  <w15:docId w15:val="{3D319ABC-5EA0-496B-8346-DDE728E2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1C8E"/>
    <w:pPr>
      <w:spacing w:after="0" w:line="260" w:lineRule="atLeast"/>
    </w:pPr>
    <w:rPr>
      <w:rFonts w:ascii="Times New Roman" w:eastAsia="Calibri"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C11C8E"/>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C11C8E"/>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C11C8E"/>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C11C8E"/>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C11C8E"/>
    <w:pPr>
      <w:tabs>
        <w:tab w:val="center" w:pos="4153"/>
        <w:tab w:val="right" w:pos="8306"/>
      </w:tabs>
      <w:spacing w:after="0" w:line="240" w:lineRule="auto"/>
    </w:pPr>
    <w:rPr>
      <w:rFonts w:ascii="Times New Roman" w:eastAsia="Times New Roman" w:hAnsi="Times New Roman" w:cs="Times New Roman"/>
      <w:sz w:val="22"/>
      <w:szCs w:val="24"/>
      <w:lang w:eastAsia="en-AU"/>
    </w:rPr>
  </w:style>
  <w:style w:type="character" w:customStyle="1" w:styleId="FooterChar">
    <w:name w:val="Footer Char"/>
    <w:basedOn w:val="DefaultParagraphFont"/>
    <w:link w:val="Footer"/>
    <w:uiPriority w:val="99"/>
    <w:rsid w:val="00C11C8E"/>
    <w:rPr>
      <w:rFonts w:ascii="Times New Roman" w:eastAsia="Times New Roman" w:hAnsi="Times New Roman" w:cs="Times New Roman"/>
      <w:sz w:val="22"/>
      <w:szCs w:val="24"/>
      <w:lang w:eastAsia="en-AU"/>
    </w:rPr>
  </w:style>
  <w:style w:type="character" w:customStyle="1" w:styleId="LI-BodyTextParaaChar">
    <w:name w:val="LI - Body Text Para (a) Char"/>
    <w:link w:val="LI-BodyTextParaa"/>
    <w:rsid w:val="00C11C8E"/>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C11C8E"/>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C11C8E"/>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C11C8E"/>
    <w:rPr>
      <w:rFonts w:ascii="Times New Roman" w:eastAsia="Times New Roman" w:hAnsi="Times New Roman" w:cs="Times New Roman"/>
      <w:sz w:val="24"/>
      <w:szCs w:val="24"/>
      <w:lang w:eastAsia="en-AU"/>
    </w:rPr>
  </w:style>
  <w:style w:type="character" w:customStyle="1" w:styleId="LI-FooterChar">
    <w:name w:val="LI - Footer Char"/>
    <w:link w:val="LI-Footer"/>
    <w:rsid w:val="00C11C8E"/>
    <w:rPr>
      <w:rFonts w:ascii="Times New Roman" w:eastAsia="Calibri" w:hAnsi="Times New Roman" w:cs="Times New Roman"/>
      <w:i/>
      <w:sz w:val="18"/>
      <w:szCs w:val="20"/>
    </w:rPr>
  </w:style>
  <w:style w:type="paragraph" w:customStyle="1" w:styleId="LI-Header">
    <w:name w:val="LI - Header"/>
    <w:basedOn w:val="LI-Footer"/>
    <w:link w:val="LI-HeaderChar"/>
    <w:qFormat/>
    <w:rsid w:val="00C11C8E"/>
    <w:pPr>
      <w:pBdr>
        <w:top w:val="none" w:sz="0" w:space="0" w:color="auto"/>
        <w:bottom w:val="single" w:sz="4" w:space="1" w:color="auto"/>
      </w:pBdr>
      <w:jc w:val="right"/>
    </w:pPr>
  </w:style>
  <w:style w:type="character" w:customStyle="1" w:styleId="LI-HeaderChar">
    <w:name w:val="LI - Header Char"/>
    <w:basedOn w:val="LI-FooterChar"/>
    <w:link w:val="LI-Header"/>
    <w:rsid w:val="00C11C8E"/>
    <w:rPr>
      <w:rFonts w:ascii="Times New Roman" w:eastAsia="Calibri" w:hAnsi="Times New Roman" w:cs="Times New Roman"/>
      <w:i/>
      <w:sz w:val="18"/>
      <w:szCs w:val="20"/>
    </w:rPr>
  </w:style>
  <w:style w:type="character" w:styleId="Hyperlink">
    <w:name w:val="Hyperlink"/>
    <w:basedOn w:val="DefaultParagraphFont"/>
    <w:uiPriority w:val="99"/>
    <w:unhideWhenUsed/>
    <w:rsid w:val="00B94CE1"/>
    <w:rPr>
      <w:color w:val="0563C1" w:themeColor="hyperlink"/>
      <w:u w:val="single"/>
    </w:rPr>
  </w:style>
  <w:style w:type="character" w:styleId="UnresolvedMention">
    <w:name w:val="Unresolved Mention"/>
    <w:basedOn w:val="DefaultParagraphFont"/>
    <w:uiPriority w:val="99"/>
    <w:semiHidden/>
    <w:unhideWhenUsed/>
    <w:rsid w:val="00B94CE1"/>
    <w:rPr>
      <w:color w:val="605E5C"/>
      <w:shd w:val="clear" w:color="auto" w:fill="E1DFDD"/>
    </w:rPr>
  </w:style>
  <w:style w:type="character" w:styleId="CommentReference">
    <w:name w:val="annotation reference"/>
    <w:basedOn w:val="DefaultParagraphFont"/>
    <w:uiPriority w:val="99"/>
    <w:semiHidden/>
    <w:unhideWhenUsed/>
    <w:rsid w:val="002A52A2"/>
    <w:rPr>
      <w:sz w:val="16"/>
      <w:szCs w:val="16"/>
    </w:rPr>
  </w:style>
  <w:style w:type="paragraph" w:styleId="CommentText">
    <w:name w:val="annotation text"/>
    <w:basedOn w:val="Normal"/>
    <w:link w:val="CommentTextChar"/>
    <w:uiPriority w:val="99"/>
    <w:semiHidden/>
    <w:unhideWhenUsed/>
    <w:rsid w:val="002A52A2"/>
    <w:pPr>
      <w:spacing w:line="240" w:lineRule="auto"/>
    </w:pPr>
    <w:rPr>
      <w:sz w:val="20"/>
    </w:rPr>
  </w:style>
  <w:style w:type="character" w:customStyle="1" w:styleId="CommentTextChar">
    <w:name w:val="Comment Text Char"/>
    <w:basedOn w:val="DefaultParagraphFont"/>
    <w:link w:val="CommentText"/>
    <w:uiPriority w:val="99"/>
    <w:semiHidden/>
    <w:rsid w:val="002A52A2"/>
    <w:rPr>
      <w:rFonts w:ascii="Times New Roman" w:eastAsia="Calibri" w:hAnsi="Times New Roman" w:cs="Times New Roman"/>
      <w:szCs w:val="20"/>
    </w:rPr>
  </w:style>
  <w:style w:type="paragraph" w:styleId="CommentSubject">
    <w:name w:val="annotation subject"/>
    <w:basedOn w:val="CommentText"/>
    <w:next w:val="CommentText"/>
    <w:link w:val="CommentSubjectChar"/>
    <w:uiPriority w:val="99"/>
    <w:semiHidden/>
    <w:unhideWhenUsed/>
    <w:rsid w:val="002A52A2"/>
    <w:rPr>
      <w:b/>
      <w:bCs/>
    </w:rPr>
  </w:style>
  <w:style w:type="character" w:customStyle="1" w:styleId="CommentSubjectChar">
    <w:name w:val="Comment Subject Char"/>
    <w:basedOn w:val="CommentTextChar"/>
    <w:link w:val="CommentSubject"/>
    <w:uiPriority w:val="99"/>
    <w:semiHidden/>
    <w:rsid w:val="002A52A2"/>
    <w:rPr>
      <w:rFonts w:ascii="Times New Roman" w:eastAsia="Calibri" w:hAnsi="Times New Roman" w:cs="Times New Roman"/>
      <w:b/>
      <w:bCs/>
      <w:szCs w:val="20"/>
    </w:rPr>
  </w:style>
  <w:style w:type="paragraph" w:styleId="ListParagraph">
    <w:name w:val="List Paragraph"/>
    <w:basedOn w:val="Normal"/>
    <w:uiPriority w:val="34"/>
    <w:qFormat/>
    <w:rsid w:val="00487120"/>
    <w:pPr>
      <w:ind w:left="720"/>
      <w:contextualSpacing/>
    </w:pPr>
  </w:style>
  <w:style w:type="paragraph" w:styleId="Revision">
    <w:name w:val="Revision"/>
    <w:hidden/>
    <w:uiPriority w:val="99"/>
    <w:semiHidden/>
    <w:rsid w:val="00B27AD0"/>
    <w:pPr>
      <w:spacing w:after="0" w:line="240" w:lineRule="auto"/>
    </w:pPr>
    <w:rPr>
      <w:rFonts w:ascii="Times New Roman" w:eastAsia="Calibri"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ic.gov.au/regulatory-resources/find-a-document/consultation-papers/cp-353-proposed-amendments-to-the-asic-derivative-transaction-rules-clearing-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CRNoticeID xmlns="af32b6d2-edcc-4fb9-86a7-b5758ed74548" xsi:nil="true"/>
    <DocumentNumber xmlns="1bef7351-4cea-44e0-b418-5221243d7bc7" xsi:nil="true"/>
    <RecordNumber xmlns="da7a9ac0-bc47-4684-84e6-3a8e9ac80c12" xsi:nil="true"/>
    <RCRContext xmlns="f209eca4-01ba-4ad9-b384-4cea5ab8bf88" xsi:nil="true"/>
    <RCRABN xmlns="0096f3c1-dbbd-44e4-a971-8da0aee969f1" xsi:nil="true"/>
    <ObjectiveID xmlns="da7a9ac0-bc47-4684-84e6-3a8e9ac80c12" xsi:nil="true"/>
    <h304821935aa4fde90cc1033dec28af9 xmlns="0096f3c1-dbbd-44e4-a971-8da0aee969f1">
      <Terms xmlns="http://schemas.microsoft.com/office/infopath/2007/PartnerControls"/>
    </h304821935aa4fde90cc1033dec28af9>
    <RCRParentRecordTitle xmlns="0096f3c1-dbbd-44e4-a971-8da0aee969f1" xsi:nil="true"/>
    <RCREntityNames xmlns="519b3faf-9153-464d-b1ce-8ed9bbcba705" xsi:nil="true"/>
    <l9b2a2b5f6d24b47a30842ad21197f74 xmlns="0096f3c1-dbbd-44e4-a971-8da0aee969f1">
      <Terms xmlns="http://schemas.microsoft.com/office/infopath/2007/PartnerControls"/>
    </l9b2a2b5f6d24b47a30842ad21197f74>
    <RCRCorrespondenceID xmlns="af32b6d2-edcc-4fb9-86a7-b5758ed74548" xsi:nil="true"/>
    <RCRIndividualNum xmlns="0096f3c1-dbbd-44e4-a971-8da0aee969f1" xsi:nil="true"/>
    <kf797c0aa1354fd2813e3958d25b77d2 xmlns="75945b9d-c78d-46ff-b80f-b4a89e1442d4">
      <Terms xmlns="http://schemas.microsoft.com/office/infopath/2007/PartnerControls"/>
    </kf797c0aa1354fd2813e3958d25b77d2>
    <i3a7a011e5ce460592b2ca9d4180129a xmlns="0096f3c1-dbbd-44e4-a971-8da0aee969f1">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i3a7a011e5ce460592b2ca9d4180129a>
    <p8231fb849874eb885000ccc7e83e012 xmlns="0096f3c1-dbbd-44e4-a971-8da0aee969f1">
      <Terms xmlns="http://schemas.microsoft.com/office/infopath/2007/PartnerControls"/>
    </p8231fb849874eb885000ccc7e83e012>
    <RCRAttachedBy xmlns="0096f3c1-dbbd-44e4-a971-8da0aee969f1" xsi:nil="true"/>
    <j3cdb62dbfbc46b3a22b0e519a077477 xmlns="75945b9d-c78d-46ff-b80f-b4a89e1442d4">
      <Terms xmlns="http://schemas.microsoft.com/office/infopath/2007/PartnerControls"/>
    </j3cdb62dbfbc46b3a22b0e519a077477>
    <asicRCR_Disclosure xmlns="0096f3c1-dbbd-44e4-a971-8da0aee969f1" xsi:nil="true"/>
    <RCRSourceRecordIdentifier xmlns="0096f3c1-dbbd-44e4-a971-8da0aee969f1" xsi:nil="true"/>
    <SignificantFlag xmlns="da7a9ac0-bc47-4684-84e6-3a8e9ac80c12">false</SignificantFlag>
    <p435b0c653d84bb78348d93ddad92af6 xmlns="0096f3c1-dbbd-44e4-a971-8da0aee969f1">
      <Terms xmlns="http://schemas.microsoft.com/office/infopath/2007/PartnerControls"/>
    </p435b0c653d84bb78348d93ddad92af6>
    <RCRSourceRecordTitle xmlns="0096f3c1-dbbd-44e4-a971-8da0aee969f1" xsi:nil="true"/>
    <RCRAttachedOn xmlns="0096f3c1-dbbd-44e4-a971-8da0aee969f1" xsi:nil="true"/>
    <Record_x0020_Number xmlns="9e0c1413-16fd-471a-b853-da8dac0e6aab">CAS-43224-F8H8L4</Record_x0020_Number>
    <h9feabaa718f47b3aa570c427738929c xmlns="0096f3c1-dbbd-44e4-a971-8da0aee969f1">
      <Terms xmlns="http://schemas.microsoft.com/office/infopath/2007/PartnerControls"/>
    </h9feabaa718f47b3aa570c427738929c>
    <TaxCatchAll xmlns="0096f3c1-dbbd-44e4-a971-8da0aee969f1">
      <Value>67</Value>
      <Value>25</Value>
      <Value>196</Value>
    </TaxCatchAll>
    <asicRCR_DisclosureExported xmlns="0096f3c1-dbbd-44e4-a971-8da0aee969f1" xsi:nil="true"/>
    <RCRSourceRecordURI xmlns="0096f3c1-dbbd-44e4-a971-8da0aee969f1" xsi:nil="true"/>
    <FormData xmlns="http://schemas.microsoft.com/sharepoint/v3" xsi:nil="true"/>
    <RCROrganisationNum xmlns="0096f3c1-dbbd-44e4-a971-8da0aee969f1" xsi:nil="true"/>
    <SPLinkLabel xmlns="f209eca4-01ba-4ad9-b384-4cea5ab8bf88" xsi:nil="true"/>
    <SenateOrder12 xmlns="da7a9ac0-bc47-4684-84e6-3a8e9ac80c12">false</SenateOrder12>
    <asicRCRCategory xmlns="0096f3c1-dbbd-44e4-a971-8da0aee969f1" xsi:nil="true"/>
    <e7a4745032e2465585261b3624ec0eda xmlns="0096f3c1-dbbd-44e4-a971-8da0aee969f1">
      <Terms xmlns="http://schemas.microsoft.com/office/infopath/2007/PartnerControls"/>
    </e7a4745032e2465585261b3624ec0eda>
    <o25b9730307d4f30b906d99e119450b0 xmlns="75945b9d-c78d-46ff-b80f-b4a89e1442d4">
      <Terms xmlns="http://schemas.microsoft.com/office/infopath/2007/PartnerControls"/>
    </o25b9730307d4f30b906d99e119450b0>
    <ded95d7ab059406991d558011d18c177 xmlns="da7a9ac0-bc47-4684-84e6-3a8e9ac80c12" xsi:nil="true"/>
    <a73b100c6f084a8cb1ca45d55da1f19f xmlns="0096f3c1-dbbd-44e4-a971-8da0aee969f1">
      <Terms xmlns="http://schemas.microsoft.com/office/infopath/2007/PartnerControls">
        <TermInfo xmlns="http://schemas.microsoft.com/office/infopath/2007/PartnerControls">
          <TermName xmlns="http://schemas.microsoft.com/office/infopath/2007/PartnerControls">Surveillance - Proactive</TermName>
          <TermId xmlns="http://schemas.microsoft.com/office/infopath/2007/PartnerControls">ad07f8e0-09d9-e611-811a-005056a8b064</TermId>
        </TermInfo>
      </Terms>
    </a73b100c6f084a8cb1ca45d55da1f19f>
    <ld8ccc0d7a2b45c49821ab236ff7774c xmlns="75945b9d-c78d-46ff-b80f-b4a89e1442d4">
      <Terms xmlns="http://schemas.microsoft.com/office/infopath/2007/PartnerControls"/>
    </ld8ccc0d7a2b45c49821ab236ff7774c>
    <Reviewers xmlns="17f478ab-373e-4295-9ff0-9b833ad01319">
      <UserInfo>
        <DisplayName/>
        <AccountId xsi:nil="true"/>
        <AccountType/>
      </UserInfo>
    </Reviewers>
    <Approvers xmlns="da7a9ac0-bc47-4684-84e6-3a8e9ac80c12">
      <UserInfo>
        <DisplayName/>
        <AccountId xsi:nil="true"/>
        <AccountType/>
      </UserInfo>
    </Approvers>
    <RCRParentRecordURI xmlns="0096f3c1-dbbd-44e4-a971-8da0aee969f1" xsi:nil="true"/>
    <g8e051d9a524472da2319b4cfe0a679f xmlns="0096f3c1-dbbd-44e4-a971-8da0aee969f1">
      <Terms xmlns="http://schemas.microsoft.com/office/infopath/2007/PartnerControls">
        <TermInfo xmlns="http://schemas.microsoft.com/office/infopath/2007/PartnerControls">
          <TermName xmlns="http://schemas.microsoft.com/office/infopath/2007/PartnerControls">Regulatory Policy</TermName>
          <TermId xmlns="http://schemas.microsoft.com/office/infopath/2007/PartnerControls">e7c99747-4396-e611-8114-005056a8b064</TermId>
        </TermInfo>
      </Terms>
    </g8e051d9a524472da2319b4cfe0a679f>
    <SignificantReason xmlns="da7a9ac0-bc47-4684-84e6-3a8e9ac80c12" xsi:nil="true"/>
    <RCRNoticeResponseID xmlns="af32b6d2-edcc-4fb9-86a7-b5758ed74548" xsi:nil="true"/>
    <RCRAttachmentsLinksID xmlns="af32b6d2-edcc-4fb9-86a7-b5758ed74548" xsi:nil="true"/>
    <NotesLinks xmlns="da7a9ac0-bc47-4684-84e6-3a8e9ac80c1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CR Case Document" ma:contentTypeID="0x010100B5F685A1365F544391EF8C813B164F3A010100D5928CE713EB4849A701A12981667D72" ma:contentTypeVersion="42" ma:contentTypeDescription="RCR Case Document" ma:contentTypeScope="" ma:versionID="3e1aa0a22edf3e6a3ee925c33b93afe5">
  <xsd:schema xmlns:xsd="http://www.w3.org/2001/XMLSchema" xmlns:xs="http://www.w3.org/2001/XMLSchema" xmlns:p="http://schemas.microsoft.com/office/2006/metadata/properties" xmlns:ns1="http://schemas.microsoft.com/sharepoint/v3" xmlns:ns2="0096f3c1-dbbd-44e4-a971-8da0aee969f1" xmlns:ns3="af32b6d2-edcc-4fb9-86a7-b5758ed74548" xmlns:ns4="1bef7351-4cea-44e0-b418-5221243d7bc7" xmlns:ns5="f209eca4-01ba-4ad9-b384-4cea5ab8bf88" xmlns:ns6="da7a9ac0-bc47-4684-84e6-3a8e9ac80c12" xmlns:ns7="17f478ab-373e-4295-9ff0-9b833ad01319" xmlns:ns8="519b3faf-9153-464d-b1ce-8ed9bbcba705" xmlns:ns9="9e0c1413-16fd-471a-b853-da8dac0e6aab" xmlns:ns11="75945b9d-c78d-46ff-b80f-b4a89e1442d4" targetNamespace="http://schemas.microsoft.com/office/2006/metadata/properties" ma:root="true" ma:fieldsID="a0a4361195ba8c4938f4d306034e95b1" ns1:_="" ns2:_="" ns3:_="" ns4:_="" ns5:_="" ns6:_="" ns7:_="" ns8:_="" ns9:_="" ns11:_="">
    <xsd:import namespace="http://schemas.microsoft.com/sharepoint/v3"/>
    <xsd:import namespace="0096f3c1-dbbd-44e4-a971-8da0aee969f1"/>
    <xsd:import namespace="af32b6d2-edcc-4fb9-86a7-b5758ed74548"/>
    <xsd:import namespace="1bef7351-4cea-44e0-b418-5221243d7bc7"/>
    <xsd:import namespace="f209eca4-01ba-4ad9-b384-4cea5ab8bf88"/>
    <xsd:import namespace="da7a9ac0-bc47-4684-84e6-3a8e9ac80c12"/>
    <xsd:import namespace="17f478ab-373e-4295-9ff0-9b833ad01319"/>
    <xsd:import namespace="519b3faf-9153-464d-b1ce-8ed9bbcba705"/>
    <xsd:import namespace="9e0c1413-16fd-471a-b853-da8dac0e6aab"/>
    <xsd:import namespace="75945b9d-c78d-46ff-b80f-b4a89e1442d4"/>
    <xsd:element name="properties">
      <xsd:complexType>
        <xsd:sequence>
          <xsd:element name="documentManagement">
            <xsd:complexType>
              <xsd:all>
                <xsd:element ref="ns2:asicRCR_Disclosure" minOccurs="0"/>
                <xsd:element ref="ns2:asicRCR_DisclosureExported" minOccurs="0"/>
                <xsd:element ref="ns3:RCRNoticeID" minOccurs="0"/>
                <xsd:element ref="ns3:RCRCorrespondenceID" minOccurs="0"/>
                <xsd:element ref="ns3:RCRNoticeResponseID" minOccurs="0"/>
                <xsd:element ref="ns3:RCRAttachmentsLinksID" minOccurs="0"/>
                <xsd:element ref="ns4:DocumentNumber" minOccurs="0"/>
                <xsd:element ref="ns5:RCRContext" minOccurs="0"/>
                <xsd:element ref="ns5:SPLinkLabel" minOccurs="0"/>
                <xsd:element ref="ns6:NotesLinks" minOccurs="0"/>
                <xsd:element ref="ns7:Reviewers" minOccurs="0"/>
                <xsd:element ref="ns6:Approvers" minOccurs="0"/>
                <xsd:element ref="ns2:RCRSourceRecordTitle" minOccurs="0"/>
                <xsd:element ref="ns2:RCRSourceRecordIdentifier" minOccurs="0"/>
                <xsd:element ref="ns2:RCRSourceRecordURI" minOccurs="0"/>
                <xsd:element ref="ns2:RCRParentRecordTitle" minOccurs="0"/>
                <xsd:element ref="ns2:RCRParentRecordURI" minOccurs="0"/>
                <xsd:element ref="ns2:RCRAttachedBy" minOccurs="0"/>
                <xsd:element ref="ns2:RCRAttachedOn" minOccurs="0"/>
                <xsd:element ref="ns8:RCREntityNames" minOccurs="0"/>
                <xsd:element ref="ns2:RCRABN" minOccurs="0"/>
                <xsd:element ref="ns2:RCROrganisationNum" minOccurs="0"/>
                <xsd:element ref="ns2:RCRIndividualNum" minOccurs="0"/>
                <xsd:element ref="ns9:Record_x0020_Number" minOccurs="0"/>
                <xsd:element ref="ns6:SignificantFlag" minOccurs="0"/>
                <xsd:element ref="ns6:SenateOrder12" minOccurs="0"/>
                <xsd:element ref="ns6:RecordNumber" minOccurs="0"/>
                <xsd:element ref="ns6:ObjectiveID" minOccurs="0"/>
                <xsd:element ref="ns6:SignificantReason" minOccurs="0"/>
                <xsd:element ref="ns2:asicRCRCategory" minOccurs="0"/>
                <xsd:element ref="ns2:g8e051d9a524472da2319b4cfe0a679f" minOccurs="0"/>
                <xsd:element ref="ns6:ded95d7ab059406991d558011d18c177" minOccurs="0"/>
                <xsd:element ref="ns2:h9feabaa718f47b3aa570c427738929c" minOccurs="0"/>
                <xsd:element ref="ns2:e7a4745032e2465585261b3624ec0eda" minOccurs="0"/>
                <xsd:element ref="ns1:FormData" minOccurs="0"/>
                <xsd:element ref="ns11:kf797c0aa1354fd2813e3958d25b77d2" minOccurs="0"/>
                <xsd:element ref="ns11:j3cdb62dbfbc46b3a22b0e519a077477" minOccurs="0"/>
                <xsd:element ref="ns11:o25b9730307d4f30b906d99e119450b0" minOccurs="0"/>
                <xsd:element ref="ns2:l9b2a2b5f6d24b47a30842ad21197f74" minOccurs="0"/>
                <xsd:element ref="ns2:h304821935aa4fde90cc1033dec28af9" minOccurs="0"/>
                <xsd:element ref="ns2:p435b0c653d84bb78348d93ddad92af6" minOccurs="0"/>
                <xsd:element ref="ns2:i3a7a011e5ce460592b2ca9d4180129a" minOccurs="0"/>
                <xsd:element ref="ns2:TaxCatchAll" minOccurs="0"/>
                <xsd:element ref="ns2:TaxCatchAllLabel" minOccurs="0"/>
                <xsd:element ref="ns2:a73b100c6f084a8cb1ca45d55da1f19f" minOccurs="0"/>
                <xsd:element ref="ns2:p8231fb849874eb885000ccc7e83e012" minOccurs="0"/>
                <xsd:element ref="ns11:ld8ccc0d7a2b45c49821ab236ff777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49" nillable="true" ma:displayName="Form Data" ma:description="" ma:hidden="true" ma:internalName="Form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6f3c1-dbbd-44e4-a971-8da0aee969f1" elementFormDefault="qualified">
    <xsd:import namespace="http://schemas.microsoft.com/office/2006/documentManagement/types"/>
    <xsd:import namespace="http://schemas.microsoft.com/office/infopath/2007/PartnerControls"/>
    <xsd:element name="asicRCR_Disclosure" ma:index="3" nillable="true" ma:displayName="Disclosure" ma:format="Dropdown" ma:internalName="asicRCR_Disclosure">
      <xsd:simpleType>
        <xsd:restriction base="dms:Choice">
          <xsd:enumeration value="A. Disclosable"/>
          <xsd:enumeration value="B. Credibility &amp; Reliability"/>
          <xsd:enumeration value="C. Not already listed in A or B"/>
          <xsd:enumeration value="D. Potentially immune from production"/>
          <xsd:enumeration value="E. Relevant persons not included in brief"/>
          <xsd:enumeration value="F. Related investigations"/>
          <xsd:enumeration value="G. Already in Ringtail"/>
          <xsd:enumeration value="H. Unused - Not Relevant"/>
        </xsd:restriction>
      </xsd:simpleType>
    </xsd:element>
    <xsd:element name="asicRCR_DisclosureExported" ma:index="4" nillable="true" ma:displayName="Disclosure Exported" ma:format="DateOnly" ma:internalName="asicRCR_DisclosureExported">
      <xsd:simpleType>
        <xsd:restriction base="dms:DateTime"/>
      </xsd:simpleType>
    </xsd:element>
    <xsd:element name="RCRSourceRecordTitle" ma:index="17" nillable="true" ma:displayName="Source Record Title" ma:description="" ma:internalName="RCRSourceRecordTitle">
      <xsd:simpleType>
        <xsd:restriction base="dms:Text"/>
      </xsd:simpleType>
    </xsd:element>
    <xsd:element name="RCRSourceRecordIdentifier" ma:index="18" nillable="true" ma:displayName="Source Record Identifier" ma:description="" ma:internalName="RCRSourceRecordIdentifier">
      <xsd:simpleType>
        <xsd:restriction base="dms:Text"/>
      </xsd:simpleType>
    </xsd:element>
    <xsd:element name="RCRSourceRecordURI" ma:index="19" nillable="true" ma:displayName="Source Record URI" ma:description="" ma:internalName="RCRSourceRecordURI">
      <xsd:simpleType>
        <xsd:restriction base="dms:Text"/>
      </xsd:simpleType>
    </xsd:element>
    <xsd:element name="RCRParentRecordTitle" ma:index="21" nillable="true" ma:displayName="Parent Record Title" ma:description="" ma:internalName="RCRParentRecordTitle">
      <xsd:simpleType>
        <xsd:restriction base="dms:Text"/>
      </xsd:simpleType>
    </xsd:element>
    <xsd:element name="RCRParentRecordURI" ma:index="22" nillable="true" ma:displayName="Parent Record URI" ma:description="" ma:internalName="RCRParentRecordURI">
      <xsd:simpleType>
        <xsd:restriction base="dms:Text"/>
      </xsd:simpleType>
    </xsd:element>
    <xsd:element name="RCRAttachedBy" ma:index="23" nillable="true" ma:displayName="Attached By" ma:description="" ma:internalName="RCRAttachedBy">
      <xsd:simpleType>
        <xsd:restriction base="dms:Text"/>
      </xsd:simpleType>
    </xsd:element>
    <xsd:element name="RCRAttachedOn" ma:index="24" nillable="true" ma:displayName="Attached On" ma:description="" ma:internalName="RCRAttachedOn">
      <xsd:simpleType>
        <xsd:restriction base="dms:DateTime"/>
      </xsd:simpleType>
    </xsd:element>
    <xsd:element name="RCRABN" ma:index="30" nillable="true" ma:displayName="ABN" ma:description="" ma:internalName="RCRABN">
      <xsd:simpleType>
        <xsd:restriction base="dms:Note">
          <xsd:maxLength value="255"/>
        </xsd:restriction>
      </xsd:simpleType>
    </xsd:element>
    <xsd:element name="RCROrganisationNum" ma:index="31" nillable="true" ma:displayName="Organisation Num" ma:description="" ma:internalName="RCROrganisationNum">
      <xsd:simpleType>
        <xsd:restriction base="dms:Note">
          <xsd:maxLength value="255"/>
        </xsd:restriction>
      </xsd:simpleType>
    </xsd:element>
    <xsd:element name="RCRIndividualNum" ma:index="32" nillable="true" ma:displayName="Individual Num" ma:description="" ma:internalName="RCRIndividualNum">
      <xsd:simpleType>
        <xsd:restriction base="dms:Note">
          <xsd:maxLength value="255"/>
        </xsd:restriction>
      </xsd:simpleType>
    </xsd:element>
    <xsd:element name="asicRCRCategory" ma:index="43" nillable="true" ma:displayName="Folder" ma:format="Dropdown" ma:internalName="asicRCRCategory">
      <xsd:simpleType>
        <xsd:restriction base="dms:Choice">
          <xsd:enumeration value="Analysis"/>
          <xsd:enumeration value="Briefs"/>
          <xsd:enumeration value="Correspondence"/>
          <xsd:enumeration value="Decisions"/>
          <xsd:enumeration value="Disclosure"/>
          <xsd:enumeration value="FAS"/>
          <xsd:enumeration value="File Notes"/>
          <xsd:enumeration value="File Review"/>
          <xsd:enumeration value="Finance and Administration"/>
          <xsd:enumeration value="Intel"/>
          <xsd:enumeration value="Legal Advice"/>
          <xsd:enumeration value="Mailstore"/>
          <xsd:enumeration value="Meeting Papers"/>
          <xsd:enumeration value="Memoranda"/>
          <xsd:enumeration value="Notices"/>
          <xsd:enumeration value="Orders"/>
          <xsd:enumeration value="Proceedings Documents"/>
          <xsd:enumeration value="Project Management"/>
          <xsd:enumeration value="Publications"/>
          <xsd:enumeration value="Research"/>
          <xsd:enumeration value="Search Warrant"/>
          <xsd:enumeration value="Transcripts"/>
          <xsd:enumeration value="Voluntary Document Requests"/>
          <xsd:enumeration value="Witness"/>
          <xsd:enumeration value="Working Documents"/>
        </xsd:restriction>
      </xsd:simpleType>
    </xsd:element>
    <xsd:element name="g8e051d9a524472da2319b4cfe0a679f" ma:index="44" ma:taxonomy="true" ma:internalName="g8e051d9a524472da2319b4cfe0a679f" ma:taxonomyFieldName="RCRDocumentType" ma:displayName="Document Type" ma:fieldId="{08e051d9-a524-472d-a231-9b4cfe0a679f}" ma:sspId="b38671ba-7d76-46f8-b8a5-5fc3a7d6229d" ma:termSetId="1fe2b1d4-b905-e611-8105-005056a8b064" ma:anchorId="00000000-0000-0000-0000-000000000000" ma:open="false" ma:isKeyword="false">
      <xsd:complexType>
        <xsd:sequence>
          <xsd:element ref="pc:Terms" minOccurs="0" maxOccurs="1"/>
        </xsd:sequence>
      </xsd:complexType>
    </xsd:element>
    <xsd:element name="h9feabaa718f47b3aa570c427738929c" ma:index="46" nillable="true" ma:taxonomy="true" ma:internalName="h9feabaa718f47b3aa570c427738929c" ma:taxonomyFieldName="RCRCfCs" ma:displayName="RC" ma:fieldId="{19feabaa-718f-47b3-aa57-0c427738929c}"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e7a4745032e2465585261b3624ec0eda" ma:index="47" nillable="true" ma:taxonomy="true" ma:internalName="e7a4745032e2465585261b3624ec0eda" ma:taxonomyFieldName="RCRParentRecordType" ma:displayName="Parent Record Type" ma:fieldId="{e7a47450-32e2-4655-8526-1b3624ec0eda}"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l9b2a2b5f6d24b47a30842ad21197f74" ma:index="55" nillable="true" ma:taxonomy="true" ma:internalName="l9b2a2b5f6d24b47a30842ad21197f74" ma:taxonomyFieldName="RCRRegulatoryTopics" ma:displayName="Regulatory Topics" ma:fieldId="{59b2a2b5-f6d2-4b47-a308-42ad21197f74}"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h304821935aa4fde90cc1033dec28af9" ma:index="56" nillable="true" ma:taxonomy="true" ma:internalName="h304821935aa4fde90cc1033dec28af9" ma:taxonomyFieldName="RCRSourceSystem" ma:displayName="Source System" ma:fieldId="{13048219-35aa-4fde-90cc-1033dec28af9}" ma:sspId="b38671ba-7d76-46f8-b8a5-5fc3a7d6229d" ma:termSetId="e1651526-0bf4-e611-811b-005056a8b064" ma:anchorId="00000000-0000-0000-0000-000000000000" ma:open="false" ma:isKeyword="false">
      <xsd:complexType>
        <xsd:sequence>
          <xsd:element ref="pc:Terms" minOccurs="0" maxOccurs="1"/>
        </xsd:sequence>
      </xsd:complexType>
    </xsd:element>
    <xsd:element name="p435b0c653d84bb78348d93ddad92af6" ma:index="57" nillable="true" ma:taxonomy="true" ma:internalName="p435b0c653d84bb78348d93ddad92af6" ma:taxonomyFieldName="RCRSourceRecordType" ma:displayName="Source Record Type" ma:fieldId="{9435b0c6-53d8-4bb7-8348-d93ddad92af6}"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i3a7a011e5ce460592b2ca9d4180129a" ma:index="58" ma:taxonomy="true" ma:internalName="i3a7a011e5ce460592b2ca9d4180129a" ma:taxonomyFieldName="SecurityClassification" ma:displayName="Security Classification" ma:default="-1;#OFFICIAL - Sensitive|6eccc17f-024b-41b0-b6b1-faf98d2aff85" ma:fieldId="{23a7a011-e5ce-4605-92b2-ca9d4180129a}"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TaxCatchAll" ma:index="59" nillable="true" ma:displayName="Taxonomy Catch All Column" ma:description="" ma:hidden="true" ma:list="{b3d73016-55de-4921-b21d-2f79a5cad96d}" ma:internalName="TaxCatchAll" ma:showField="CatchAllData" ma:web="0096f3c1-dbbd-44e4-a971-8da0aee969f1">
      <xsd:complexType>
        <xsd:complexContent>
          <xsd:extension base="dms:MultiChoiceLookup">
            <xsd:sequence>
              <xsd:element name="Value" type="dms:Lookup" maxOccurs="unbounded" minOccurs="0" nillable="true"/>
            </xsd:sequence>
          </xsd:extension>
        </xsd:complexContent>
      </xsd:complexType>
    </xsd:element>
    <xsd:element name="TaxCatchAllLabel" ma:index="60" nillable="true" ma:displayName="Taxonomy Catch All Column1" ma:description="" ma:hidden="true" ma:list="{b3d73016-55de-4921-b21d-2f79a5cad96d}" ma:internalName="TaxCatchAllLabel" ma:readOnly="true" ma:showField="CatchAllDataLabel" ma:web="0096f3c1-dbbd-44e4-a971-8da0aee969f1">
      <xsd:complexType>
        <xsd:complexContent>
          <xsd:extension base="dms:MultiChoiceLookup">
            <xsd:sequence>
              <xsd:element name="Value" type="dms:Lookup" maxOccurs="unbounded" minOccurs="0" nillable="true"/>
            </xsd:sequence>
          </xsd:extension>
        </xsd:complexContent>
      </xsd:complexType>
    </xsd:element>
    <xsd:element name="a73b100c6f084a8cb1ca45d55da1f19f" ma:index="67" nillable="true" ma:taxonomy="true" ma:internalName="a73b100c6f084a8cb1ca45d55da1f19f" ma:taxonomyFieldName="RCRCaseType" ma:displayName="Case Type" ma:fieldId="{a73b100c-6f08-4a8c-b1ca-45d55da1f19f}"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p8231fb849874eb885000ccc7e83e012" ma:index="68" nillable="true" ma:taxonomy="true" ma:internalName="p8231fb849874eb885000ccc7e83e012" ma:taxonomyFieldName="RCRBusinessProcessPattern" ma:displayName="Business Process Pattern" ma:fieldId="{98231fb8-4987-4eb8-8500-0ccc7e83e012}" ma:sspId="b38671ba-7d76-46f8-b8a5-5fc3a7d6229d" ma:termSetId="8e2aa9d0-c3f4-e611-811b-005056a8b0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2b6d2-edcc-4fb9-86a7-b5758ed74548" elementFormDefault="qualified">
    <xsd:import namespace="http://schemas.microsoft.com/office/2006/documentManagement/types"/>
    <xsd:import namespace="http://schemas.microsoft.com/office/infopath/2007/PartnerControls"/>
    <xsd:element name="RCRNoticeID" ma:index="5" nillable="true" ma:displayName="Notice ID" ma:description="" ma:internalName="RCRNoticeID">
      <xsd:simpleType>
        <xsd:restriction base="dms:Text"/>
      </xsd:simpleType>
    </xsd:element>
    <xsd:element name="RCRCorrespondenceID" ma:index="6" nillable="true" ma:displayName="Correspondence ID" ma:description="" ma:internalName="RCRCorrespondenceID">
      <xsd:simpleType>
        <xsd:restriction base="dms:Text"/>
      </xsd:simpleType>
    </xsd:element>
    <xsd:element name="RCRNoticeResponseID" ma:index="7" nillable="true" ma:displayName="Notice Response ID" ma:description="" ma:internalName="RCRNoticeResponseID">
      <xsd:simpleType>
        <xsd:restriction base="dms:Text"/>
      </xsd:simpleType>
    </xsd:element>
    <xsd:element name="RCRAttachmentsLinksID" ma:index="8" nillable="true" ma:displayName="RCRAttachmentsLinksID" ma:internalName="RCRAttachmentsLink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f7351-4cea-44e0-b418-5221243d7bc7" elementFormDefault="qualified">
    <xsd:import namespace="http://schemas.microsoft.com/office/2006/documentManagement/types"/>
    <xsd:import namespace="http://schemas.microsoft.com/office/infopath/2007/PartnerControls"/>
    <xsd:element name="DocumentNumber" ma:index="9" nillable="true" ma:displayName="Document Number" ma:description="" ma:internalName="Document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9eca4-01ba-4ad9-b384-4cea5ab8bf88" elementFormDefault="qualified">
    <xsd:import namespace="http://schemas.microsoft.com/office/2006/documentManagement/types"/>
    <xsd:import namespace="http://schemas.microsoft.com/office/infopath/2007/PartnerControls"/>
    <xsd:element name="RCRContext" ma:index="10" nillable="true" ma:displayName="RCRContext" ma:internalName="RCRContext">
      <xsd:simpleType>
        <xsd:restriction base="dms:Note">
          <xsd:maxLength value="255"/>
        </xsd:restriction>
      </xsd:simpleType>
    </xsd:element>
    <xsd:element name="SPLinkLabel" ma:index="11" nillable="true" ma:displayName="SPLinkLabel" ma:internalName="SPLinkLabe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NotesLinks" ma:index="12" nillable="true" ma:displayName="Notes &amp; Links" ma:description="Use this field to enter relevant document/site hyperlinks and/or notes." ma:internalName="NotesLinks" ma:readOnly="false">
      <xsd:simpleType>
        <xsd:restriction base="dms:Note"/>
      </xsd:simpleType>
    </xsd:element>
    <xsd:element name="Approvers" ma:index="14" nillable="true" ma:displayName="Approvers"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ificantFlag" ma:index="34" nillable="true" ma:displayName="Significant Flag" ma:default="0" ma:hidden="true" ma:internalName="SignificantFlag" ma:readOnly="false">
      <xsd:simpleType>
        <xsd:restriction base="dms:Boolean"/>
      </xsd:simpleType>
    </xsd:element>
    <xsd:element name="SenateOrder12" ma:index="36" nillable="true" ma:displayName="Senate Order #12" ma:default="0" ma:hidden="true" ma:internalName="SenateOrder12" ma:readOnly="false">
      <xsd:simpleType>
        <xsd:restriction base="dms:Boolean"/>
      </xsd:simpleType>
    </xsd:element>
    <xsd:element name="RecordNumber" ma:index="37" nillable="true" ma:displayName="Document ID" ma:hidden="true" ma:internalName="RecordNumber" ma:readOnly="false">
      <xsd:simpleType>
        <xsd:restriction base="dms:Text">
          <xsd:maxLength value="255"/>
        </xsd:restriction>
      </xsd:simpleType>
    </xsd:element>
    <xsd:element name="ObjectiveID" ma:index="38" nillable="true" ma:displayName="Objective ID" ma:hidden="true" ma:internalName="ObjectiveID" ma:readOnly="false">
      <xsd:simpleType>
        <xsd:restriction base="dms:Text">
          <xsd:maxLength value="255"/>
        </xsd:restriction>
      </xsd:simpleType>
    </xsd:element>
    <xsd:element name="SignificantReason" ma:index="40" nillable="true" ma:displayName="Significant Reason" ma:hidden="true" ma:internalName="SignificantReason" ma:readOnly="false">
      <xsd:simpleType>
        <xsd:restriction base="dms:Text">
          <xsd:maxLength value="255"/>
        </xsd:restriction>
      </xsd:simpleType>
    </xsd:element>
    <xsd:element name="ded95d7ab059406991d558011d18c177" ma:index="45" nillable="true" ma:displayName="SecurityClassification_0" ma:hidden="true" ma:internalName="ded95d7ab059406991d558011d18c17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3"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9b3faf-9153-464d-b1ce-8ed9bbcba705" elementFormDefault="qualified">
    <xsd:import namespace="http://schemas.microsoft.com/office/2006/documentManagement/types"/>
    <xsd:import namespace="http://schemas.microsoft.com/office/infopath/2007/PartnerControls"/>
    <xsd:element name="RCREntityNames" ma:index="27" nillable="true" ma:displayName="Entity Names" ma:description="" ma:internalName="RCREntityNa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c1413-16fd-471a-b853-da8dac0e6aab" elementFormDefault="qualified">
    <xsd:import namespace="http://schemas.microsoft.com/office/2006/documentManagement/types"/>
    <xsd:import namespace="http://schemas.microsoft.com/office/infopath/2007/PartnerControls"/>
    <xsd:element name="Record_x0020_Number" ma:index="33"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45b9d-c78d-46ff-b80f-b4a89e1442d4" elementFormDefault="qualified">
    <xsd:import namespace="http://schemas.microsoft.com/office/2006/documentManagement/types"/>
    <xsd:import namespace="http://schemas.microsoft.com/office/infopath/2007/PartnerControls"/>
    <xsd:element name="kf797c0aa1354fd2813e3958d25b77d2" ma:index="50" nillable="true" ma:taxonomy="true" ma:internalName="kf797c0aa1354fd2813e3958d25b77d2" ma:taxonomyFieldName="RCRRegulatoryRole" ma:displayName="Regulatory Role" ma:default="" ma:fieldId="{51a11719-d3dd-4eb3-92d2-1bc963e17503}"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j3cdb62dbfbc46b3a22b0e519a077477" ma:index="51" nillable="true" ma:taxonomy="true" ma:internalName="j3cdb62dbfbc46b3a22b0e519a077477" ma:taxonomyFieldName="RCRRegulatoryConsiderationType" ma:displayName="Regulatory Consideration Type" ma:default="" ma:fieldId="{430e3c52-62d8-4941-bc1a-7951f19995f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o25b9730307d4f30b906d99e119450b0" ma:index="54" nillable="true" ma:taxonomy="true" ma:internalName="o25b9730307d4f30b906d99e119450b0" ma:taxonomyFieldName="RCRCaseSubType" ma:displayName="Case Sub Type" ma:default="" ma:fieldId="{825b9730-307d-4f30-b906-d99e119450b0}"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ld8ccc0d7a2b45c49821ab236ff7774c" ma:index="69" nillable="true" ma:taxonomy="true" ma:internalName="ld8ccc0d7a2b45c49821ab236ff7774c" ma:taxonomyFieldName="RCRRegulatoryConsiderationSubType" ma:displayName="Regulatory Consideration SubType" ma:default="" ma:fieldId="{0f8bd11a-e4d6-4746-8bc7-fa157533b4d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4" ma:displayName="Content Type"/>
        <xsd:element ref="dc:title" minOccurs="0" maxOccurs="1" ma:index="6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EEAD574D-FB79-4BCF-8486-C4CB7214667B}">
  <ds:schemaRefs>
    <ds:schemaRef ds:uri="http://schemas.microsoft.com/sharepoint/v3/contenttype/forms"/>
  </ds:schemaRefs>
</ds:datastoreItem>
</file>

<file path=customXml/itemProps2.xml><?xml version="1.0" encoding="utf-8"?>
<ds:datastoreItem xmlns:ds="http://schemas.openxmlformats.org/officeDocument/2006/customXml" ds:itemID="{76502AAF-63F9-4E55-90BC-98AAA67E6247}">
  <ds:schemaRefs>
    <ds:schemaRef ds:uri="http://schemas.microsoft.com/sharepoint/v3/contenttype/forms/url"/>
  </ds:schemaRefs>
</ds:datastoreItem>
</file>

<file path=customXml/itemProps3.xml><?xml version="1.0" encoding="utf-8"?>
<ds:datastoreItem xmlns:ds="http://schemas.openxmlformats.org/officeDocument/2006/customXml" ds:itemID="{BCF32F74-7D91-4873-9AB4-A413860A2D1F}">
  <ds:schemaRefs>
    <ds:schemaRef ds:uri="http://schemas.openxmlformats.org/officeDocument/2006/bibliography"/>
  </ds:schemaRefs>
</ds:datastoreItem>
</file>

<file path=customXml/itemProps4.xml><?xml version="1.0" encoding="utf-8"?>
<ds:datastoreItem xmlns:ds="http://schemas.openxmlformats.org/officeDocument/2006/customXml" ds:itemID="{AC6E32BD-F669-4CB5-AD83-3E83C90AFB06}">
  <ds:schemaRefs>
    <ds:schemaRef ds:uri="http://schemas.openxmlformats.org/package/2006/metadata/core-properties"/>
    <ds:schemaRef ds:uri="http://purl.org/dc/dcmitype/"/>
    <ds:schemaRef ds:uri="9e0c1413-16fd-471a-b853-da8dac0e6aab"/>
    <ds:schemaRef ds:uri="http://purl.org/dc/terms/"/>
    <ds:schemaRef ds:uri="0096f3c1-dbbd-44e4-a971-8da0aee969f1"/>
    <ds:schemaRef ds:uri="http://purl.org/dc/elements/1.1/"/>
    <ds:schemaRef ds:uri="http://schemas.microsoft.com/office/2006/metadata/properties"/>
    <ds:schemaRef ds:uri="f209eca4-01ba-4ad9-b384-4cea5ab8bf88"/>
    <ds:schemaRef ds:uri="519b3faf-9153-464d-b1ce-8ed9bbcba705"/>
    <ds:schemaRef ds:uri="75945b9d-c78d-46ff-b80f-b4a89e1442d4"/>
    <ds:schemaRef ds:uri="http://schemas.microsoft.com/office/2006/documentManagement/types"/>
    <ds:schemaRef ds:uri="http://schemas.microsoft.com/sharepoint/v3"/>
    <ds:schemaRef ds:uri="http://schemas.microsoft.com/office/infopath/2007/PartnerControls"/>
    <ds:schemaRef ds:uri="http://www.w3.org/XML/1998/namespace"/>
    <ds:schemaRef ds:uri="af32b6d2-edcc-4fb9-86a7-b5758ed74548"/>
    <ds:schemaRef ds:uri="da7a9ac0-bc47-4684-84e6-3a8e9ac80c12"/>
    <ds:schemaRef ds:uri="17f478ab-373e-4295-9ff0-9b833ad01319"/>
    <ds:schemaRef ds:uri="1bef7351-4cea-44e0-b418-5221243d7bc7"/>
  </ds:schemaRefs>
</ds:datastoreItem>
</file>

<file path=customXml/itemProps5.xml><?xml version="1.0" encoding="utf-8"?>
<ds:datastoreItem xmlns:ds="http://schemas.openxmlformats.org/officeDocument/2006/customXml" ds:itemID="{9EC38314-257D-48F4-A4D0-9ED607C16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6f3c1-dbbd-44e4-a971-8da0aee969f1"/>
    <ds:schemaRef ds:uri="af32b6d2-edcc-4fb9-86a7-b5758ed74548"/>
    <ds:schemaRef ds:uri="1bef7351-4cea-44e0-b418-5221243d7bc7"/>
    <ds:schemaRef ds:uri="f209eca4-01ba-4ad9-b384-4cea5ab8bf88"/>
    <ds:schemaRef ds:uri="da7a9ac0-bc47-4684-84e6-3a8e9ac80c12"/>
    <ds:schemaRef ds:uri="17f478ab-373e-4295-9ff0-9b833ad01319"/>
    <ds:schemaRef ds:uri="519b3faf-9153-464d-b1ce-8ed9bbcba705"/>
    <ds:schemaRef ds:uri="9e0c1413-16fd-471a-b853-da8dac0e6aab"/>
    <ds:schemaRef ds:uri="75945b9d-c78d-46ff-b80f-b4a89e144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1B5E4E-17ED-4FBA-A233-292492283E1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Collingwood-Smith</dc:creator>
  <cp:keywords/>
  <dc:description/>
  <cp:lastModifiedBy>Narelle Kane</cp:lastModifiedBy>
  <cp:revision>3</cp:revision>
  <dcterms:created xsi:type="dcterms:W3CDTF">2022-05-12T02:30:00Z</dcterms:created>
  <dcterms:modified xsi:type="dcterms:W3CDTF">2022-05-12T02:30:00Z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0x010100B5F685A1365F544391EF8C813B164F3A010100D5928CE713EB4849A701A12981667D72</vt:lpwstr>
  </property>
  <property fmtid="{D5CDD505-2E9C-101B-9397-08002B2CF9AE}" pid="3" name="RCRCaseSubType">
    <vt:lpwstr/>
  </property>
  <property fmtid="{D5CDD505-2E9C-101B-9397-08002B2CF9AE}" pid="4" name="RCRRegulatoryRole">
    <vt:lpwstr/>
  </property>
  <property fmtid="{D5CDD505-2E9C-101B-9397-08002B2CF9AE}" pid="5" name="RCRRegulatoryConsiderationSubType">
    <vt:lpwstr/>
  </property>
  <property fmtid="{D5CDD505-2E9C-101B-9397-08002B2CF9AE}" pid="6" name="RCRCfCs">
    <vt:lpwstr/>
  </property>
  <property fmtid="{D5CDD505-2E9C-101B-9397-08002B2CF9AE}" pid="7" name="RCRCaseType">
    <vt:lpwstr>25;#Surveillance - Proactive|ad07f8e0-09d9-e611-811a-005056a8b064</vt:lpwstr>
  </property>
  <property fmtid="{D5CDD505-2E9C-101B-9397-08002B2CF9AE}" pid="8" name="RCRRegulatoryConsiderationType">
    <vt:lpwstr/>
  </property>
  <property fmtid="{D5CDD505-2E9C-101B-9397-08002B2CF9AE}" pid="9" name="SecurityClassification">
    <vt:lpwstr>196;#OFFICIAL - Sensitive|6eccc17f-024b-41b0-b6b1-faf98d2aff85</vt:lpwstr>
  </property>
  <property fmtid="{D5CDD505-2E9C-101B-9397-08002B2CF9AE}" pid="10" name="RCRSourceSystem">
    <vt:lpwstr/>
  </property>
  <property fmtid="{D5CDD505-2E9C-101B-9397-08002B2CF9AE}" pid="11" name="RCRParentRecordType">
    <vt:lpwstr/>
  </property>
  <property fmtid="{D5CDD505-2E9C-101B-9397-08002B2CF9AE}" pid="12" name="RCRRegulatoryTopics">
    <vt:lpwstr/>
  </property>
  <property fmtid="{D5CDD505-2E9C-101B-9397-08002B2CF9AE}" pid="13" name="RCRBusinessProcessPattern">
    <vt:lpwstr/>
  </property>
  <property fmtid="{D5CDD505-2E9C-101B-9397-08002B2CF9AE}" pid="14" name="RCRSourceRecordType">
    <vt:lpwstr/>
  </property>
  <property fmtid="{D5CDD505-2E9C-101B-9397-08002B2CF9AE}" pid="15" name="RCRDocumentType">
    <vt:lpwstr>67;#Regulatory Policy|e7c99747-4396-e611-8114-005056a8b064</vt:lpwstr>
  </property>
</Properties>
</file>