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C0BC4" w14:textId="77777777" w:rsidR="001E51F5" w:rsidRPr="000820DB" w:rsidRDefault="001E51F5" w:rsidP="001E51F5">
      <w:pPr>
        <w:spacing w:after="0" w:line="240" w:lineRule="auto"/>
        <w:jc w:val="center"/>
        <w:rPr>
          <w:rFonts w:ascii="Tms Rmn" w:eastAsia="Times New Roman" w:hAnsi="Tms Rmn"/>
          <w:b/>
          <w:sz w:val="22"/>
          <w:szCs w:val="22"/>
          <w:u w:val="single"/>
          <w:lang w:eastAsia="en-AU"/>
        </w:rPr>
      </w:pPr>
      <w:r w:rsidRPr="000820DB">
        <w:rPr>
          <w:rFonts w:ascii="Tms Rmn" w:eastAsia="Times New Roman" w:hAnsi="Tms Rmn"/>
          <w:b/>
          <w:sz w:val="22"/>
          <w:szCs w:val="22"/>
          <w:u w:val="single"/>
          <w:lang w:eastAsia="en-AU"/>
        </w:rPr>
        <w:t>EXPLANATORY STATEMENT</w:t>
      </w:r>
    </w:p>
    <w:p w14:paraId="6F4C5E54" w14:textId="77777777" w:rsidR="001E51F5" w:rsidRPr="000820DB" w:rsidRDefault="001E51F5" w:rsidP="001E51F5">
      <w:pPr>
        <w:spacing w:after="0" w:line="240" w:lineRule="auto"/>
        <w:jc w:val="center"/>
        <w:rPr>
          <w:rFonts w:ascii="Tms Rmn" w:eastAsia="Times New Roman" w:hAnsi="Tms Rmn"/>
          <w:b/>
          <w:sz w:val="22"/>
          <w:szCs w:val="22"/>
          <w:lang w:eastAsia="en-AU"/>
        </w:rPr>
      </w:pPr>
    </w:p>
    <w:p w14:paraId="5FCBADBB" w14:textId="77777777" w:rsidR="001E51F5" w:rsidRPr="000820DB" w:rsidRDefault="001E51F5" w:rsidP="001E51F5">
      <w:pPr>
        <w:spacing w:after="0" w:line="240" w:lineRule="auto"/>
        <w:jc w:val="center"/>
        <w:rPr>
          <w:rFonts w:ascii="Tms Rmn" w:eastAsia="Times New Roman" w:hAnsi="Tms Rmn"/>
          <w:sz w:val="22"/>
          <w:szCs w:val="22"/>
          <w:u w:val="single"/>
          <w:lang w:eastAsia="en-AU"/>
        </w:rPr>
      </w:pPr>
      <w:r w:rsidRPr="000820DB">
        <w:rPr>
          <w:rFonts w:eastAsia="Times New Roman"/>
          <w:i/>
          <w:sz w:val="22"/>
          <w:szCs w:val="22"/>
          <w:lang w:eastAsia="en-AU"/>
        </w:rPr>
        <w:t>Therapeutic Goods Act 1989</w:t>
      </w:r>
    </w:p>
    <w:p w14:paraId="23D4CA75" w14:textId="77777777" w:rsidR="001E51F5" w:rsidRPr="000820DB" w:rsidRDefault="001E51F5" w:rsidP="001E51F5">
      <w:pPr>
        <w:spacing w:after="0" w:line="240" w:lineRule="auto"/>
        <w:jc w:val="center"/>
        <w:rPr>
          <w:rFonts w:ascii="Tms Rmn" w:eastAsia="Times New Roman" w:hAnsi="Tms Rmn"/>
          <w:sz w:val="22"/>
          <w:szCs w:val="22"/>
          <w:u w:val="single"/>
          <w:lang w:eastAsia="en-AU"/>
        </w:rPr>
      </w:pPr>
    </w:p>
    <w:p w14:paraId="3567B715" w14:textId="6FDA4302" w:rsidR="001E51F5" w:rsidRPr="000820DB" w:rsidRDefault="00E47491" w:rsidP="001E51F5">
      <w:pPr>
        <w:spacing w:after="0" w:line="240" w:lineRule="auto"/>
        <w:jc w:val="center"/>
        <w:rPr>
          <w:rFonts w:eastAsia="Times New Roman"/>
          <w:i/>
          <w:sz w:val="22"/>
          <w:szCs w:val="22"/>
          <w:lang w:eastAsia="en-AU"/>
        </w:rPr>
      </w:pPr>
      <w:r w:rsidRPr="000820DB">
        <w:rPr>
          <w:rFonts w:eastAsia="Times New Roman"/>
          <w:i/>
          <w:sz w:val="22"/>
          <w:szCs w:val="22"/>
          <w:lang w:eastAsia="en-AU"/>
        </w:rPr>
        <w:t>Therapeutic Goods (Medical Devices—Information that Must Accompany Application for Inclusion) Amendment (</w:t>
      </w:r>
      <w:r w:rsidR="00E03E8A" w:rsidRPr="000820DB">
        <w:rPr>
          <w:rFonts w:eastAsia="Times New Roman"/>
          <w:i/>
          <w:sz w:val="22"/>
          <w:szCs w:val="22"/>
          <w:lang w:eastAsia="en-AU"/>
        </w:rPr>
        <w:t>European Union—Consequential Amendments</w:t>
      </w:r>
      <w:r w:rsidRPr="000820DB">
        <w:rPr>
          <w:rFonts w:eastAsia="Times New Roman"/>
          <w:i/>
          <w:sz w:val="22"/>
          <w:szCs w:val="22"/>
          <w:lang w:eastAsia="en-AU"/>
        </w:rPr>
        <w:t>) Determination 202</w:t>
      </w:r>
      <w:r w:rsidR="00DC540A" w:rsidRPr="000820DB">
        <w:rPr>
          <w:rFonts w:eastAsia="Times New Roman"/>
          <w:i/>
          <w:sz w:val="22"/>
          <w:szCs w:val="22"/>
          <w:lang w:eastAsia="en-AU"/>
        </w:rPr>
        <w:t>2</w:t>
      </w:r>
    </w:p>
    <w:p w14:paraId="66E76C87" w14:textId="77777777" w:rsidR="001E51F5" w:rsidRPr="000820DB" w:rsidRDefault="001E51F5" w:rsidP="001E51F5">
      <w:pPr>
        <w:autoSpaceDE w:val="0"/>
        <w:autoSpaceDN w:val="0"/>
        <w:adjustRightInd w:val="0"/>
        <w:spacing w:after="0" w:line="240" w:lineRule="auto"/>
        <w:jc w:val="center"/>
        <w:rPr>
          <w:rFonts w:eastAsia="Times New Roman"/>
          <w:sz w:val="22"/>
          <w:szCs w:val="22"/>
          <w:lang w:eastAsia="en-AU"/>
        </w:rPr>
      </w:pPr>
    </w:p>
    <w:p w14:paraId="573B7752" w14:textId="220D74FF" w:rsidR="001E51F5" w:rsidRPr="000820DB" w:rsidRDefault="001E51F5" w:rsidP="001E51F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w:t>
      </w:r>
      <w:r w:rsidRPr="000820DB">
        <w:rPr>
          <w:rFonts w:eastAsia="Times New Roman"/>
          <w:i/>
          <w:sz w:val="22"/>
          <w:szCs w:val="22"/>
          <w:lang w:eastAsia="en-AU"/>
        </w:rPr>
        <w:t>Therapeutic Goods Act 1989</w:t>
      </w:r>
      <w:r w:rsidRPr="000820DB">
        <w:rPr>
          <w:rFonts w:eastAsia="Times New Roman"/>
          <w:sz w:val="22"/>
          <w:szCs w:val="22"/>
          <w:lang w:eastAsia="en-AU"/>
        </w:rPr>
        <w:t xml:space="preserve"> (“the Act”) provides for the establishment and maintenance of a national system of controls for the quality, safety, </w:t>
      </w:r>
      <w:proofErr w:type="gramStart"/>
      <w:r w:rsidRPr="000820DB">
        <w:rPr>
          <w:rFonts w:eastAsia="Times New Roman"/>
          <w:sz w:val="22"/>
          <w:szCs w:val="22"/>
          <w:lang w:eastAsia="en-AU"/>
        </w:rPr>
        <w:t>efficacy</w:t>
      </w:r>
      <w:proofErr w:type="gramEnd"/>
      <w:r w:rsidRPr="000820DB">
        <w:rPr>
          <w:rFonts w:eastAsia="Times New Roman"/>
          <w:sz w:val="22"/>
          <w:szCs w:val="22"/>
          <w:lang w:eastAsia="en-AU"/>
        </w:rPr>
        <w:t xml:space="preserve"> and timely availability of therapeutic goods that are used in, or exported from, Australia. The Act is administered by the Therapeutic Goods Administration (“the TGA”) within the Australian Government Department of Health.</w:t>
      </w:r>
    </w:p>
    <w:p w14:paraId="1F5D5D6E" w14:textId="77777777" w:rsidR="001E51F5" w:rsidRPr="000820DB" w:rsidRDefault="001E51F5" w:rsidP="001E51F5">
      <w:pPr>
        <w:autoSpaceDE w:val="0"/>
        <w:autoSpaceDN w:val="0"/>
        <w:adjustRightInd w:val="0"/>
        <w:spacing w:after="0" w:line="240" w:lineRule="auto"/>
        <w:rPr>
          <w:rFonts w:eastAsia="Times New Roman"/>
          <w:sz w:val="22"/>
          <w:szCs w:val="22"/>
          <w:lang w:eastAsia="en-AU"/>
        </w:rPr>
      </w:pPr>
    </w:p>
    <w:p w14:paraId="5BD61A3A" w14:textId="794E15FA" w:rsidR="000F38EB" w:rsidRPr="000820DB" w:rsidRDefault="000F38EB" w:rsidP="001E51F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Section 41FDB of the Act sets out preliminary assessment requirements in relation to an application to the Secretary for a kind of medical device to be included in the </w:t>
      </w:r>
      <w:r w:rsidR="001760F0" w:rsidRPr="000820DB">
        <w:rPr>
          <w:rFonts w:eastAsia="Times New Roman"/>
          <w:sz w:val="22"/>
          <w:szCs w:val="22"/>
          <w:lang w:eastAsia="en-AU"/>
        </w:rPr>
        <w:t xml:space="preserve">Australian </w:t>
      </w:r>
      <w:r w:rsidRPr="000820DB">
        <w:rPr>
          <w:rFonts w:eastAsia="Times New Roman"/>
          <w:sz w:val="22"/>
          <w:szCs w:val="22"/>
          <w:lang w:eastAsia="en-AU"/>
        </w:rPr>
        <w:t>Register</w:t>
      </w:r>
      <w:r w:rsidR="001760F0" w:rsidRPr="000820DB">
        <w:rPr>
          <w:rFonts w:eastAsia="Times New Roman"/>
          <w:sz w:val="22"/>
          <w:szCs w:val="22"/>
          <w:lang w:eastAsia="en-AU"/>
        </w:rPr>
        <w:t xml:space="preserve"> of Therapeutic Goods (“the Register”)</w:t>
      </w:r>
      <w:r w:rsidRPr="000820DB">
        <w:rPr>
          <w:rFonts w:eastAsia="Times New Roman"/>
          <w:sz w:val="22"/>
          <w:szCs w:val="22"/>
          <w:lang w:eastAsia="en-AU"/>
        </w:rPr>
        <w:t>.</w:t>
      </w:r>
      <w:r w:rsidR="008B4916" w:rsidRPr="000820DB">
        <w:rPr>
          <w:rFonts w:eastAsia="Times New Roman"/>
          <w:sz w:val="22"/>
          <w:szCs w:val="22"/>
          <w:lang w:eastAsia="en-AU"/>
        </w:rPr>
        <w:t xml:space="preserve"> </w:t>
      </w:r>
      <w:r w:rsidRPr="000820DB">
        <w:rPr>
          <w:rFonts w:eastAsia="Times New Roman"/>
          <w:sz w:val="22"/>
          <w:szCs w:val="22"/>
          <w:lang w:eastAsia="en-AU"/>
        </w:rPr>
        <w:t xml:space="preserve">These include </w:t>
      </w:r>
      <w:r w:rsidR="00573284" w:rsidRPr="000820DB">
        <w:rPr>
          <w:rFonts w:eastAsia="Times New Roman"/>
          <w:sz w:val="22"/>
          <w:szCs w:val="22"/>
          <w:lang w:eastAsia="en-AU"/>
        </w:rPr>
        <w:t xml:space="preserve">the </w:t>
      </w:r>
      <w:r w:rsidRPr="000820DB">
        <w:rPr>
          <w:rFonts w:eastAsia="Times New Roman"/>
          <w:sz w:val="22"/>
          <w:szCs w:val="22"/>
          <w:lang w:eastAsia="en-AU"/>
        </w:rPr>
        <w:t>requirements that an application be accompanied by information that is of a kind determined under subsection 41</w:t>
      </w:r>
      <w:proofErr w:type="gramStart"/>
      <w:r w:rsidRPr="000820DB">
        <w:rPr>
          <w:rFonts w:eastAsia="Times New Roman"/>
          <w:sz w:val="22"/>
          <w:szCs w:val="22"/>
          <w:lang w:eastAsia="en-AU"/>
        </w:rPr>
        <w:t>FDB(</w:t>
      </w:r>
      <w:proofErr w:type="gramEnd"/>
      <w:r w:rsidRPr="000820DB">
        <w:rPr>
          <w:rFonts w:eastAsia="Times New Roman"/>
          <w:sz w:val="22"/>
          <w:szCs w:val="22"/>
          <w:lang w:eastAsia="en-AU"/>
        </w:rPr>
        <w:t>7)</w:t>
      </w:r>
      <w:r w:rsidR="00573284" w:rsidRPr="000820DB">
        <w:rPr>
          <w:rFonts w:eastAsia="Times New Roman"/>
          <w:sz w:val="22"/>
          <w:szCs w:val="22"/>
          <w:lang w:eastAsia="en-AU"/>
        </w:rPr>
        <w:t>,</w:t>
      </w:r>
      <w:r w:rsidRPr="000820DB">
        <w:rPr>
          <w:rFonts w:eastAsia="Times New Roman"/>
          <w:sz w:val="22"/>
          <w:szCs w:val="22"/>
          <w:lang w:eastAsia="en-AU"/>
        </w:rPr>
        <w:t xml:space="preserve"> in a form determined under subsection 41FDB(8), for the relevant classification of medical device</w:t>
      </w:r>
      <w:r w:rsidR="0091430D" w:rsidRPr="000820DB">
        <w:rPr>
          <w:rFonts w:eastAsia="Times New Roman"/>
          <w:sz w:val="22"/>
          <w:szCs w:val="22"/>
          <w:lang w:eastAsia="en-AU"/>
        </w:rPr>
        <w:t xml:space="preserve"> (subparagraphs 41FDB(2)(d)(</w:t>
      </w:r>
      <w:proofErr w:type="spellStart"/>
      <w:r w:rsidR="0091430D" w:rsidRPr="000820DB">
        <w:rPr>
          <w:rFonts w:eastAsia="Times New Roman"/>
          <w:sz w:val="22"/>
          <w:szCs w:val="22"/>
          <w:lang w:eastAsia="en-AU"/>
        </w:rPr>
        <w:t>i</w:t>
      </w:r>
      <w:proofErr w:type="spellEnd"/>
      <w:r w:rsidR="0091430D" w:rsidRPr="000820DB">
        <w:rPr>
          <w:rFonts w:eastAsia="Times New Roman"/>
          <w:sz w:val="22"/>
          <w:szCs w:val="22"/>
          <w:lang w:eastAsia="en-AU"/>
        </w:rPr>
        <w:t>) and (ii) refers)</w:t>
      </w:r>
      <w:r w:rsidRPr="000820DB">
        <w:rPr>
          <w:rFonts w:eastAsia="Times New Roman"/>
          <w:sz w:val="22"/>
          <w:szCs w:val="22"/>
          <w:lang w:eastAsia="en-AU"/>
        </w:rPr>
        <w:t>.</w:t>
      </w:r>
    </w:p>
    <w:p w14:paraId="3FB91809" w14:textId="77777777" w:rsidR="000F38EB" w:rsidRPr="000820DB" w:rsidRDefault="000F38EB" w:rsidP="001E51F5">
      <w:pPr>
        <w:autoSpaceDE w:val="0"/>
        <w:autoSpaceDN w:val="0"/>
        <w:adjustRightInd w:val="0"/>
        <w:spacing w:after="0" w:line="240" w:lineRule="auto"/>
        <w:rPr>
          <w:rFonts w:eastAsia="Times New Roman"/>
          <w:sz w:val="22"/>
          <w:szCs w:val="22"/>
          <w:lang w:eastAsia="en-AU"/>
        </w:rPr>
      </w:pPr>
    </w:p>
    <w:p w14:paraId="3ADBD980" w14:textId="77777777" w:rsidR="000F38EB" w:rsidRPr="000820DB" w:rsidRDefault="000F38EB" w:rsidP="001E51F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Relevantly, subsections 41</w:t>
      </w:r>
      <w:proofErr w:type="gramStart"/>
      <w:r w:rsidRPr="000820DB">
        <w:rPr>
          <w:rFonts w:eastAsia="Times New Roman"/>
          <w:sz w:val="22"/>
          <w:szCs w:val="22"/>
          <w:lang w:eastAsia="en-AU"/>
        </w:rPr>
        <w:t>FDB(</w:t>
      </w:r>
      <w:proofErr w:type="gramEnd"/>
      <w:r w:rsidRPr="000820DB">
        <w:rPr>
          <w:rFonts w:eastAsia="Times New Roman"/>
          <w:sz w:val="22"/>
          <w:szCs w:val="22"/>
          <w:lang w:eastAsia="en-AU"/>
        </w:rPr>
        <w:t>7) and (8)</w:t>
      </w:r>
      <w:r w:rsidR="0091430D" w:rsidRPr="000820DB">
        <w:rPr>
          <w:rFonts w:eastAsia="Times New Roman"/>
          <w:sz w:val="22"/>
          <w:szCs w:val="22"/>
          <w:lang w:eastAsia="en-AU"/>
        </w:rPr>
        <w:t xml:space="preserve"> of the Act</w:t>
      </w:r>
      <w:r w:rsidRPr="000820DB">
        <w:rPr>
          <w:rFonts w:eastAsia="Times New Roman"/>
          <w:sz w:val="22"/>
          <w:szCs w:val="22"/>
          <w:lang w:eastAsia="en-AU"/>
        </w:rPr>
        <w:t xml:space="preserve"> provide that the Secretary may, by legislative instrument, determine a kind and form of information respectively for the purposes of an application mentioned </w:t>
      </w:r>
      <w:r w:rsidR="0091430D" w:rsidRPr="000820DB">
        <w:rPr>
          <w:rFonts w:eastAsia="Times New Roman"/>
          <w:sz w:val="22"/>
          <w:szCs w:val="22"/>
          <w:lang w:eastAsia="en-AU"/>
        </w:rPr>
        <w:t>in subparagraphs 41FDB(2)(d)(</w:t>
      </w:r>
      <w:proofErr w:type="spellStart"/>
      <w:r w:rsidR="0091430D" w:rsidRPr="000820DB">
        <w:rPr>
          <w:rFonts w:eastAsia="Times New Roman"/>
          <w:sz w:val="22"/>
          <w:szCs w:val="22"/>
          <w:lang w:eastAsia="en-AU"/>
        </w:rPr>
        <w:t>i</w:t>
      </w:r>
      <w:proofErr w:type="spellEnd"/>
      <w:r w:rsidR="0091430D" w:rsidRPr="000820DB">
        <w:rPr>
          <w:rFonts w:eastAsia="Times New Roman"/>
          <w:sz w:val="22"/>
          <w:szCs w:val="22"/>
          <w:lang w:eastAsia="en-AU"/>
        </w:rPr>
        <w:t>) and</w:t>
      </w:r>
      <w:r w:rsidR="00F7394F" w:rsidRPr="000820DB">
        <w:rPr>
          <w:rFonts w:eastAsia="Times New Roman"/>
          <w:sz w:val="22"/>
          <w:szCs w:val="22"/>
          <w:lang w:eastAsia="en-AU"/>
        </w:rPr>
        <w:t xml:space="preserve"> </w:t>
      </w:r>
      <w:r w:rsidR="0091430D" w:rsidRPr="000820DB">
        <w:rPr>
          <w:rFonts w:eastAsia="Times New Roman"/>
          <w:sz w:val="22"/>
          <w:szCs w:val="22"/>
          <w:lang w:eastAsia="en-AU"/>
        </w:rPr>
        <w:t>(ii) of the Act in relation to medical devices of a particular classification.</w:t>
      </w:r>
    </w:p>
    <w:p w14:paraId="1F33E13D" w14:textId="77777777" w:rsidR="0091430D" w:rsidRPr="000820DB" w:rsidRDefault="0091430D" w:rsidP="00E47491">
      <w:pPr>
        <w:autoSpaceDE w:val="0"/>
        <w:autoSpaceDN w:val="0"/>
        <w:adjustRightInd w:val="0"/>
        <w:spacing w:after="0" w:line="240" w:lineRule="auto"/>
        <w:rPr>
          <w:rFonts w:eastAsia="Times New Roman"/>
          <w:sz w:val="22"/>
          <w:szCs w:val="22"/>
          <w:lang w:eastAsia="en-AU"/>
        </w:rPr>
      </w:pPr>
    </w:p>
    <w:p w14:paraId="24549D8E" w14:textId="30B187C4" w:rsidR="0091430D" w:rsidRPr="000820DB" w:rsidRDefault="0091430D" w:rsidP="00E4749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w:t>
      </w:r>
      <w:r w:rsidRPr="000820DB">
        <w:rPr>
          <w:rFonts w:eastAsia="Times New Roman"/>
          <w:i/>
          <w:iCs/>
          <w:sz w:val="22"/>
          <w:szCs w:val="22"/>
          <w:lang w:eastAsia="en-AU"/>
        </w:rPr>
        <w:t>Therapeutic Goods (Medical Devices—Information that Must Accompany Application for Inclusion) Determination 2018</w:t>
      </w:r>
      <w:r w:rsidRPr="000820DB">
        <w:rPr>
          <w:rFonts w:eastAsia="Times New Roman"/>
          <w:sz w:val="22"/>
          <w:szCs w:val="22"/>
          <w:lang w:eastAsia="en-AU"/>
        </w:rPr>
        <w:t xml:space="preserve"> (“</w:t>
      </w:r>
      <w:r w:rsidR="001760F0" w:rsidRPr="000820DB">
        <w:rPr>
          <w:rFonts w:eastAsia="Times New Roman"/>
          <w:sz w:val="22"/>
          <w:szCs w:val="22"/>
          <w:lang w:eastAsia="en-AU"/>
        </w:rPr>
        <w:t xml:space="preserve">the </w:t>
      </w:r>
      <w:r w:rsidRPr="000820DB">
        <w:rPr>
          <w:rFonts w:eastAsia="Times New Roman"/>
          <w:sz w:val="22"/>
          <w:szCs w:val="22"/>
          <w:lang w:eastAsia="en-AU"/>
        </w:rPr>
        <w:t xml:space="preserve">Principal Determination”) </w:t>
      </w:r>
      <w:r w:rsidR="001760F0" w:rsidRPr="000820DB">
        <w:rPr>
          <w:rFonts w:eastAsia="Times New Roman"/>
          <w:sz w:val="22"/>
          <w:szCs w:val="22"/>
          <w:lang w:eastAsia="en-AU"/>
        </w:rPr>
        <w:t xml:space="preserve">is </w:t>
      </w:r>
      <w:r w:rsidRPr="000820DB">
        <w:rPr>
          <w:rFonts w:eastAsia="Times New Roman"/>
          <w:sz w:val="22"/>
          <w:szCs w:val="22"/>
          <w:lang w:eastAsia="en-AU"/>
        </w:rPr>
        <w:t>made under</w:t>
      </w:r>
      <w:r w:rsidR="00F7394F" w:rsidRPr="000820DB">
        <w:rPr>
          <w:rFonts w:eastAsia="Times New Roman"/>
          <w:sz w:val="22"/>
          <w:szCs w:val="22"/>
          <w:lang w:eastAsia="en-AU"/>
        </w:rPr>
        <w:t xml:space="preserve"> subsections 41</w:t>
      </w:r>
      <w:proofErr w:type="gramStart"/>
      <w:r w:rsidR="00F7394F" w:rsidRPr="000820DB">
        <w:rPr>
          <w:rFonts w:eastAsia="Times New Roman"/>
          <w:sz w:val="22"/>
          <w:szCs w:val="22"/>
          <w:lang w:eastAsia="en-AU"/>
        </w:rPr>
        <w:t>FDB(</w:t>
      </w:r>
      <w:proofErr w:type="gramEnd"/>
      <w:r w:rsidR="00F7394F" w:rsidRPr="000820DB">
        <w:rPr>
          <w:rFonts w:eastAsia="Times New Roman"/>
          <w:sz w:val="22"/>
          <w:szCs w:val="22"/>
          <w:lang w:eastAsia="en-AU"/>
        </w:rPr>
        <w:t xml:space="preserve">7) and </w:t>
      </w:r>
      <w:r w:rsidRPr="000820DB">
        <w:rPr>
          <w:rFonts w:eastAsia="Times New Roman"/>
          <w:sz w:val="22"/>
          <w:szCs w:val="22"/>
          <w:lang w:eastAsia="en-AU"/>
        </w:rPr>
        <w:t>(8) of the Act. The Principal Determination determines the kind and form of information that must accompany an application for kinds of medical devices of a particular classification to be included in the Register.</w:t>
      </w:r>
    </w:p>
    <w:p w14:paraId="5D2D137F" w14:textId="77777777" w:rsidR="0091430D" w:rsidRPr="000820DB" w:rsidRDefault="0091430D" w:rsidP="00E47491">
      <w:pPr>
        <w:autoSpaceDE w:val="0"/>
        <w:autoSpaceDN w:val="0"/>
        <w:adjustRightInd w:val="0"/>
        <w:spacing w:after="0" w:line="240" w:lineRule="auto"/>
        <w:rPr>
          <w:rFonts w:eastAsia="Times New Roman"/>
          <w:sz w:val="22"/>
          <w:szCs w:val="22"/>
          <w:lang w:eastAsia="en-AU"/>
        </w:rPr>
      </w:pPr>
    </w:p>
    <w:p w14:paraId="2551D0D8" w14:textId="5D9F0872" w:rsidR="0091430D" w:rsidRPr="000820DB" w:rsidRDefault="001760F0" w:rsidP="00E4749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kinds of information specified in the Principal Determination relate to the conformity assessment documents that are required to demonstrate that appropriate conformity assessment procedures have been applied by the manufacturer to its quality management system and the </w:t>
      </w:r>
      <w:proofErr w:type="gramStart"/>
      <w:r w:rsidRPr="000820DB">
        <w:rPr>
          <w:rFonts w:eastAsia="Times New Roman"/>
          <w:sz w:val="22"/>
          <w:szCs w:val="22"/>
          <w:lang w:eastAsia="en-AU"/>
        </w:rPr>
        <w:t>particular kind</w:t>
      </w:r>
      <w:proofErr w:type="gramEnd"/>
      <w:r w:rsidRPr="000820DB">
        <w:rPr>
          <w:rFonts w:eastAsia="Times New Roman"/>
          <w:sz w:val="22"/>
          <w:szCs w:val="22"/>
          <w:lang w:eastAsia="en-AU"/>
        </w:rPr>
        <w:t xml:space="preserve"> of medical device. The conformity assessment documents include certificates and other documents which have been issued or recognised by the Secretary and, in the alternative, comparable overseas regulators as defined in section 41BIB of the Act.</w:t>
      </w:r>
    </w:p>
    <w:p w14:paraId="3913E1E5" w14:textId="3BFEDEBB" w:rsidR="00206AC0" w:rsidRPr="000820DB" w:rsidRDefault="00206AC0" w:rsidP="00E47491">
      <w:pPr>
        <w:autoSpaceDE w:val="0"/>
        <w:autoSpaceDN w:val="0"/>
        <w:adjustRightInd w:val="0"/>
        <w:spacing w:after="0" w:line="240" w:lineRule="auto"/>
        <w:rPr>
          <w:rFonts w:eastAsia="Times New Roman"/>
          <w:sz w:val="22"/>
          <w:szCs w:val="22"/>
          <w:lang w:eastAsia="en-AU"/>
        </w:rPr>
      </w:pPr>
    </w:p>
    <w:p w14:paraId="0F87D4C0" w14:textId="57965ED3" w:rsidR="00E241A9" w:rsidRPr="000820DB" w:rsidRDefault="007254DE" w:rsidP="00E47491">
      <w:pPr>
        <w:autoSpaceDE w:val="0"/>
        <w:autoSpaceDN w:val="0"/>
        <w:adjustRightInd w:val="0"/>
        <w:spacing w:after="0" w:line="240" w:lineRule="auto"/>
        <w:rPr>
          <w:rFonts w:eastAsia="Times New Roman"/>
          <w:sz w:val="22"/>
          <w:szCs w:val="22"/>
          <w:lang w:eastAsia="en-AU"/>
        </w:rPr>
      </w:pPr>
      <w:bookmarkStart w:id="0" w:name="_Hlk101862842"/>
      <w:bookmarkStart w:id="1" w:name="_Hlk101947375"/>
      <w:r w:rsidRPr="000820DB">
        <w:rPr>
          <w:rFonts w:eastAsia="Times New Roman"/>
          <w:sz w:val="22"/>
          <w:szCs w:val="22"/>
          <w:lang w:eastAsia="en-AU"/>
        </w:rPr>
        <w:t xml:space="preserve">Under the Principal Determination, an application for </w:t>
      </w:r>
      <w:r w:rsidR="0046026C" w:rsidRPr="000820DB">
        <w:rPr>
          <w:rFonts w:eastAsia="Times New Roman"/>
          <w:sz w:val="22"/>
          <w:szCs w:val="22"/>
          <w:lang w:eastAsia="en-AU"/>
        </w:rPr>
        <w:t xml:space="preserve">the </w:t>
      </w:r>
      <w:r w:rsidRPr="000820DB">
        <w:rPr>
          <w:rFonts w:eastAsia="Times New Roman"/>
          <w:sz w:val="22"/>
          <w:szCs w:val="22"/>
          <w:lang w:eastAsia="en-AU"/>
        </w:rPr>
        <w:t xml:space="preserve">inclusion of a Class 2 </w:t>
      </w:r>
      <w:r w:rsidR="0046026C" w:rsidRPr="000820DB">
        <w:rPr>
          <w:rFonts w:eastAsia="Times New Roman"/>
          <w:sz w:val="22"/>
          <w:szCs w:val="22"/>
          <w:lang w:eastAsia="en-AU"/>
        </w:rPr>
        <w:t xml:space="preserve">in vitro diagnostic (IVD) medical device, </w:t>
      </w:r>
      <w:r w:rsidR="00827A22" w:rsidRPr="000820DB">
        <w:rPr>
          <w:rFonts w:eastAsia="Times New Roman"/>
          <w:sz w:val="22"/>
          <w:szCs w:val="22"/>
          <w:lang w:eastAsia="en-AU"/>
        </w:rPr>
        <w:t xml:space="preserve">or </w:t>
      </w:r>
      <w:r w:rsidR="0046026C" w:rsidRPr="000820DB">
        <w:rPr>
          <w:rFonts w:eastAsia="Times New Roman"/>
          <w:sz w:val="22"/>
          <w:szCs w:val="22"/>
          <w:lang w:eastAsia="en-AU"/>
        </w:rPr>
        <w:t xml:space="preserve">a </w:t>
      </w:r>
      <w:r w:rsidRPr="000820DB">
        <w:rPr>
          <w:rFonts w:eastAsia="Times New Roman"/>
          <w:sz w:val="22"/>
          <w:szCs w:val="22"/>
          <w:lang w:eastAsia="en-AU"/>
        </w:rPr>
        <w:t>Class 3 IVD medical device</w:t>
      </w:r>
      <w:r w:rsidR="0046026C" w:rsidRPr="000820DB">
        <w:rPr>
          <w:rFonts w:eastAsia="Times New Roman"/>
          <w:sz w:val="22"/>
          <w:szCs w:val="22"/>
          <w:lang w:eastAsia="en-AU"/>
        </w:rPr>
        <w:t>,</w:t>
      </w:r>
      <w:r w:rsidRPr="000820DB">
        <w:rPr>
          <w:rFonts w:eastAsia="Times New Roman"/>
          <w:sz w:val="22"/>
          <w:szCs w:val="22"/>
          <w:lang w:eastAsia="en-AU"/>
        </w:rPr>
        <w:t xml:space="preserve"> </w:t>
      </w:r>
      <w:r w:rsidR="00827A22" w:rsidRPr="000820DB">
        <w:rPr>
          <w:rFonts w:eastAsia="Times New Roman"/>
          <w:sz w:val="22"/>
          <w:szCs w:val="22"/>
          <w:lang w:eastAsia="en-AU"/>
        </w:rPr>
        <w:t xml:space="preserve">may be supported by a document issued by </w:t>
      </w:r>
      <w:r w:rsidR="00CE4BB8" w:rsidRPr="000820DB">
        <w:rPr>
          <w:rFonts w:eastAsia="Times New Roman"/>
          <w:sz w:val="22"/>
          <w:szCs w:val="22"/>
          <w:lang w:eastAsia="en-AU"/>
        </w:rPr>
        <w:t xml:space="preserve">a notified body within the meaning of </w:t>
      </w:r>
      <w:r w:rsidR="00D4406A" w:rsidRPr="000820DB">
        <w:rPr>
          <w:i/>
          <w:sz w:val="22"/>
          <w:szCs w:val="22"/>
        </w:rPr>
        <w:t>Directive 98/79/EC of the European Parliament and of the Council of 27 October 1998 on in vitro diagnostic medical devices</w:t>
      </w:r>
      <w:r w:rsidR="00D4406A" w:rsidRPr="000820DB">
        <w:rPr>
          <w:sz w:val="22"/>
          <w:szCs w:val="22"/>
        </w:rPr>
        <w:t xml:space="preserve"> (“</w:t>
      </w:r>
      <w:r w:rsidR="00CE4BB8" w:rsidRPr="000820DB">
        <w:rPr>
          <w:rFonts w:eastAsia="Times New Roman"/>
          <w:sz w:val="22"/>
          <w:szCs w:val="22"/>
          <w:lang w:eastAsia="en-AU"/>
        </w:rPr>
        <w:t>Directive 98/79/EC</w:t>
      </w:r>
      <w:r w:rsidR="00D4406A" w:rsidRPr="000820DB">
        <w:rPr>
          <w:rFonts w:eastAsia="Times New Roman"/>
          <w:sz w:val="22"/>
          <w:szCs w:val="22"/>
          <w:lang w:eastAsia="en-AU"/>
        </w:rPr>
        <w:t>”)</w:t>
      </w:r>
      <w:r w:rsidR="00CE4BB8" w:rsidRPr="000820DB">
        <w:rPr>
          <w:rFonts w:eastAsia="Times New Roman"/>
          <w:sz w:val="22"/>
          <w:szCs w:val="22"/>
          <w:lang w:eastAsia="en-AU"/>
        </w:rPr>
        <w:t xml:space="preserve"> or </w:t>
      </w:r>
      <w:r w:rsidR="00827A22" w:rsidRPr="000820DB">
        <w:rPr>
          <w:rFonts w:eastAsia="Times New Roman"/>
          <w:sz w:val="22"/>
          <w:szCs w:val="22"/>
          <w:lang w:eastAsia="en-AU"/>
        </w:rPr>
        <w:t xml:space="preserve">an IAF accredited conformity assessment body, certifying compliance with </w:t>
      </w:r>
      <w:r w:rsidR="00162FD9" w:rsidRPr="000820DB">
        <w:rPr>
          <w:rFonts w:eastAsia="Times New Roman"/>
          <w:sz w:val="22"/>
          <w:szCs w:val="22"/>
          <w:lang w:eastAsia="en-AU"/>
        </w:rPr>
        <w:t xml:space="preserve">International Standard ISO 13485:2016 </w:t>
      </w:r>
      <w:r w:rsidR="00162FD9" w:rsidRPr="000820DB">
        <w:rPr>
          <w:rFonts w:eastAsia="Times New Roman"/>
          <w:i/>
          <w:iCs/>
          <w:sz w:val="22"/>
          <w:szCs w:val="22"/>
          <w:lang w:eastAsia="en-AU"/>
        </w:rPr>
        <w:t>Medical devices—Quality management systems—Requirements for regulatory purposes</w:t>
      </w:r>
      <w:r w:rsidR="00162FD9" w:rsidRPr="000820DB">
        <w:rPr>
          <w:rFonts w:eastAsia="Times New Roman"/>
          <w:sz w:val="22"/>
          <w:szCs w:val="22"/>
          <w:lang w:eastAsia="en-AU"/>
        </w:rPr>
        <w:t xml:space="preserve"> (“</w:t>
      </w:r>
      <w:r w:rsidR="00827A22" w:rsidRPr="000820DB">
        <w:rPr>
          <w:rFonts w:eastAsia="Times New Roman"/>
          <w:sz w:val="22"/>
          <w:szCs w:val="22"/>
          <w:lang w:eastAsia="en-AU"/>
        </w:rPr>
        <w:t>ISO 13485</w:t>
      </w:r>
      <w:r w:rsidR="00162FD9" w:rsidRPr="000820DB">
        <w:rPr>
          <w:rFonts w:eastAsia="Times New Roman"/>
          <w:sz w:val="22"/>
          <w:szCs w:val="22"/>
          <w:lang w:eastAsia="en-AU"/>
        </w:rPr>
        <w:t>”)</w:t>
      </w:r>
      <w:r w:rsidR="00827A22" w:rsidRPr="000820DB">
        <w:rPr>
          <w:rFonts w:eastAsia="Times New Roman"/>
          <w:sz w:val="22"/>
          <w:szCs w:val="22"/>
          <w:lang w:eastAsia="en-AU"/>
        </w:rPr>
        <w:t>, provided the application is submitted before 26 May</w:t>
      </w:r>
      <w:r w:rsidR="00A06503" w:rsidRPr="000820DB">
        <w:rPr>
          <w:rFonts w:eastAsia="Times New Roman"/>
          <w:sz w:val="22"/>
          <w:szCs w:val="22"/>
          <w:lang w:eastAsia="en-AU"/>
        </w:rPr>
        <w:t xml:space="preserve"> 2022. </w:t>
      </w:r>
      <w:r w:rsidR="00162FD9" w:rsidRPr="000820DB">
        <w:rPr>
          <w:rFonts w:eastAsia="Times New Roman"/>
          <w:sz w:val="22"/>
          <w:szCs w:val="22"/>
          <w:lang w:eastAsia="en-AU"/>
        </w:rPr>
        <w:t xml:space="preserve">(An IAF accredited conformity assessment body is a body that is accredited to undertake certification for compliance with ISO 13485 by an accreditation body member that is a signatory to the Multilateral Recognition Arrangement of the International Accreditation Forum, Inc., otherwise known as the IAF MLA.) </w:t>
      </w:r>
      <w:r w:rsidR="00A06503" w:rsidRPr="000820DB">
        <w:rPr>
          <w:rFonts w:eastAsia="Times New Roman"/>
          <w:sz w:val="22"/>
          <w:szCs w:val="22"/>
          <w:lang w:eastAsia="en-AU"/>
        </w:rPr>
        <w:t>Th</w:t>
      </w:r>
      <w:r w:rsidR="005A4B9E" w:rsidRPr="000820DB">
        <w:rPr>
          <w:rFonts w:eastAsia="Times New Roman"/>
          <w:sz w:val="22"/>
          <w:szCs w:val="22"/>
          <w:lang w:eastAsia="en-AU"/>
        </w:rPr>
        <w:t xml:space="preserve">e acceptance of such certification for applications </w:t>
      </w:r>
      <w:r w:rsidR="0046026C" w:rsidRPr="000820DB">
        <w:rPr>
          <w:rFonts w:eastAsia="Times New Roman"/>
          <w:sz w:val="22"/>
          <w:szCs w:val="22"/>
          <w:lang w:eastAsia="en-AU"/>
        </w:rPr>
        <w:t xml:space="preserve">that are </w:t>
      </w:r>
      <w:r w:rsidR="005A4B9E" w:rsidRPr="000820DB">
        <w:rPr>
          <w:rFonts w:eastAsia="Times New Roman"/>
          <w:sz w:val="22"/>
          <w:szCs w:val="22"/>
          <w:lang w:eastAsia="en-AU"/>
        </w:rPr>
        <w:t>submitted before th</w:t>
      </w:r>
      <w:r w:rsidR="00A06503" w:rsidRPr="000820DB">
        <w:rPr>
          <w:rFonts w:eastAsia="Times New Roman"/>
          <w:sz w:val="22"/>
          <w:szCs w:val="22"/>
          <w:lang w:eastAsia="en-AU"/>
        </w:rPr>
        <w:t>is</w:t>
      </w:r>
      <w:r w:rsidR="005A4B9E" w:rsidRPr="000820DB">
        <w:rPr>
          <w:rFonts w:eastAsia="Times New Roman"/>
          <w:sz w:val="22"/>
          <w:szCs w:val="22"/>
          <w:lang w:eastAsia="en-AU"/>
        </w:rPr>
        <w:t xml:space="preserve"> date </w:t>
      </w:r>
      <w:r w:rsidR="004D7254" w:rsidRPr="000820DB">
        <w:rPr>
          <w:rFonts w:eastAsia="Times New Roman"/>
          <w:sz w:val="22"/>
          <w:szCs w:val="22"/>
          <w:lang w:eastAsia="en-AU"/>
        </w:rPr>
        <w:t xml:space="preserve">was </w:t>
      </w:r>
      <w:r w:rsidR="0046026C" w:rsidRPr="000820DB">
        <w:rPr>
          <w:rFonts w:eastAsia="Times New Roman"/>
          <w:sz w:val="22"/>
          <w:szCs w:val="22"/>
          <w:lang w:eastAsia="en-AU"/>
        </w:rPr>
        <w:t xml:space="preserve">designed to </w:t>
      </w:r>
      <w:r w:rsidR="00A06503" w:rsidRPr="000820DB">
        <w:rPr>
          <w:rFonts w:eastAsia="Times New Roman"/>
          <w:sz w:val="22"/>
          <w:szCs w:val="22"/>
          <w:lang w:eastAsia="en-AU"/>
        </w:rPr>
        <w:t xml:space="preserve">align </w:t>
      </w:r>
      <w:r w:rsidR="0046026C" w:rsidRPr="000820DB">
        <w:rPr>
          <w:rFonts w:eastAsia="Times New Roman"/>
          <w:sz w:val="22"/>
          <w:szCs w:val="22"/>
          <w:lang w:eastAsia="en-AU"/>
        </w:rPr>
        <w:t>with</w:t>
      </w:r>
      <w:r w:rsidR="00A06503" w:rsidRPr="000820DB">
        <w:rPr>
          <w:rFonts w:eastAsia="Times New Roman"/>
          <w:sz w:val="22"/>
          <w:szCs w:val="22"/>
          <w:lang w:eastAsia="en-AU"/>
        </w:rPr>
        <w:t xml:space="preserve"> the European Union’s </w:t>
      </w:r>
      <w:r w:rsidR="00810DEB" w:rsidRPr="000820DB">
        <w:rPr>
          <w:rFonts w:eastAsia="Times New Roman"/>
          <w:sz w:val="22"/>
          <w:szCs w:val="22"/>
          <w:lang w:eastAsia="en-AU"/>
        </w:rPr>
        <w:t xml:space="preserve">transitional arrangements </w:t>
      </w:r>
      <w:r w:rsidR="00667636" w:rsidRPr="000820DB">
        <w:rPr>
          <w:rFonts w:eastAsia="Times New Roman"/>
          <w:sz w:val="22"/>
          <w:szCs w:val="22"/>
          <w:lang w:eastAsia="en-AU"/>
        </w:rPr>
        <w:t xml:space="preserve">specified in </w:t>
      </w:r>
      <w:r w:rsidR="00810DEB" w:rsidRPr="000820DB">
        <w:rPr>
          <w:rFonts w:eastAsia="Times New Roman"/>
          <w:i/>
          <w:iCs/>
          <w:sz w:val="22"/>
          <w:szCs w:val="22"/>
          <w:lang w:eastAsia="en-AU"/>
        </w:rPr>
        <w:t>Regulation (EU) 2017</w:t>
      </w:r>
      <w:r w:rsidR="0028482C" w:rsidRPr="000820DB">
        <w:rPr>
          <w:rFonts w:eastAsia="Times New Roman"/>
          <w:i/>
          <w:iCs/>
          <w:sz w:val="22"/>
          <w:szCs w:val="22"/>
          <w:lang w:eastAsia="en-AU"/>
        </w:rPr>
        <w:t>/</w:t>
      </w:r>
      <w:r w:rsidR="00810DEB" w:rsidRPr="000820DB">
        <w:rPr>
          <w:rFonts w:eastAsia="Times New Roman"/>
          <w:i/>
          <w:iCs/>
          <w:sz w:val="22"/>
          <w:szCs w:val="22"/>
          <w:lang w:eastAsia="en-AU"/>
        </w:rPr>
        <w:t>746 of the European Parliament and of the Council of 5 April 2017 on in vitro medical devices</w:t>
      </w:r>
      <w:r w:rsidR="00E678FC" w:rsidRPr="000820DB">
        <w:rPr>
          <w:rFonts w:eastAsia="Times New Roman"/>
          <w:sz w:val="22"/>
          <w:szCs w:val="22"/>
          <w:lang w:eastAsia="en-AU"/>
        </w:rPr>
        <w:t xml:space="preserve"> (“</w:t>
      </w:r>
      <w:r w:rsidR="009225F6" w:rsidRPr="000820DB">
        <w:rPr>
          <w:rFonts w:eastAsia="Times New Roman"/>
          <w:sz w:val="22"/>
          <w:szCs w:val="22"/>
          <w:lang w:eastAsia="en-AU"/>
        </w:rPr>
        <w:t xml:space="preserve">the </w:t>
      </w:r>
      <w:r w:rsidR="00E678FC" w:rsidRPr="000820DB">
        <w:rPr>
          <w:rFonts w:eastAsia="Times New Roman"/>
          <w:sz w:val="22"/>
          <w:szCs w:val="22"/>
          <w:lang w:eastAsia="en-AU"/>
        </w:rPr>
        <w:t>EU IVD</w:t>
      </w:r>
      <w:r w:rsidR="00162FD9" w:rsidRPr="000820DB">
        <w:rPr>
          <w:rFonts w:eastAsia="Times New Roman"/>
          <w:sz w:val="22"/>
          <w:szCs w:val="22"/>
          <w:lang w:eastAsia="en-AU"/>
        </w:rPr>
        <w:t xml:space="preserve"> regulation</w:t>
      </w:r>
      <w:r w:rsidR="00E678FC" w:rsidRPr="000820DB">
        <w:rPr>
          <w:rFonts w:eastAsia="Times New Roman"/>
          <w:sz w:val="22"/>
          <w:szCs w:val="22"/>
          <w:lang w:eastAsia="en-AU"/>
        </w:rPr>
        <w:t>”)</w:t>
      </w:r>
      <w:r w:rsidR="00810DEB" w:rsidRPr="000820DB">
        <w:rPr>
          <w:rFonts w:eastAsia="Times New Roman"/>
          <w:sz w:val="22"/>
          <w:szCs w:val="22"/>
          <w:lang w:eastAsia="en-AU"/>
        </w:rPr>
        <w:t>.</w:t>
      </w:r>
    </w:p>
    <w:p w14:paraId="49D242E0" w14:textId="77777777" w:rsidR="00E241A9" w:rsidRPr="000820DB" w:rsidRDefault="00E241A9" w:rsidP="00E47491">
      <w:pPr>
        <w:autoSpaceDE w:val="0"/>
        <w:autoSpaceDN w:val="0"/>
        <w:adjustRightInd w:val="0"/>
        <w:spacing w:after="0" w:line="240" w:lineRule="auto"/>
        <w:rPr>
          <w:rFonts w:eastAsia="Times New Roman"/>
          <w:sz w:val="22"/>
          <w:szCs w:val="22"/>
          <w:lang w:eastAsia="en-AU"/>
        </w:rPr>
      </w:pPr>
    </w:p>
    <w:p w14:paraId="22C45A64" w14:textId="784E1D96" w:rsidR="007254DE" w:rsidRPr="000820DB" w:rsidRDefault="0046026C" w:rsidP="00E4749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However, </w:t>
      </w:r>
      <w:r w:rsidR="00B74C38" w:rsidRPr="000820DB">
        <w:rPr>
          <w:rFonts w:eastAsia="Times New Roman"/>
          <w:sz w:val="22"/>
          <w:szCs w:val="22"/>
          <w:lang w:eastAsia="en-AU"/>
        </w:rPr>
        <w:t xml:space="preserve">the </w:t>
      </w:r>
      <w:r w:rsidR="00897FF0" w:rsidRPr="000820DB">
        <w:rPr>
          <w:rFonts w:eastAsia="Times New Roman"/>
          <w:sz w:val="22"/>
          <w:szCs w:val="22"/>
          <w:lang w:eastAsia="en-AU"/>
        </w:rPr>
        <w:t xml:space="preserve">significant </w:t>
      </w:r>
      <w:r w:rsidR="00B74C38" w:rsidRPr="000820DB">
        <w:rPr>
          <w:rFonts w:eastAsia="Times New Roman"/>
          <w:sz w:val="22"/>
          <w:szCs w:val="22"/>
          <w:lang w:eastAsia="en-AU"/>
        </w:rPr>
        <w:t xml:space="preserve">impact of COVID-19 on the diagnostics industry </w:t>
      </w:r>
      <w:r w:rsidR="00897FF0" w:rsidRPr="000820DB">
        <w:rPr>
          <w:rFonts w:eastAsia="Times New Roman"/>
          <w:sz w:val="22"/>
          <w:szCs w:val="22"/>
          <w:lang w:eastAsia="en-AU"/>
        </w:rPr>
        <w:t xml:space="preserve">has resulted in </w:t>
      </w:r>
      <w:r w:rsidRPr="000820DB">
        <w:rPr>
          <w:rFonts w:eastAsia="Times New Roman"/>
          <w:sz w:val="22"/>
          <w:szCs w:val="22"/>
          <w:lang w:eastAsia="en-AU"/>
        </w:rPr>
        <w:t>d</w:t>
      </w:r>
      <w:r w:rsidR="00810DEB" w:rsidRPr="000820DB">
        <w:rPr>
          <w:rFonts w:eastAsia="Times New Roman"/>
          <w:sz w:val="22"/>
          <w:szCs w:val="22"/>
          <w:lang w:eastAsia="en-AU"/>
        </w:rPr>
        <w:t>elays in the</w:t>
      </w:r>
      <w:r w:rsidR="00667636" w:rsidRPr="000820DB">
        <w:rPr>
          <w:rFonts w:eastAsia="Times New Roman"/>
          <w:sz w:val="22"/>
          <w:szCs w:val="22"/>
          <w:lang w:eastAsia="en-AU"/>
        </w:rPr>
        <w:t xml:space="preserve"> uptake and full</w:t>
      </w:r>
      <w:r w:rsidR="00810DEB" w:rsidRPr="000820DB">
        <w:rPr>
          <w:rFonts w:eastAsia="Times New Roman"/>
          <w:sz w:val="22"/>
          <w:szCs w:val="22"/>
          <w:lang w:eastAsia="en-AU"/>
        </w:rPr>
        <w:t xml:space="preserve"> implementation of the EU IVD </w:t>
      </w:r>
      <w:r w:rsidR="005144CD" w:rsidRPr="000820DB">
        <w:rPr>
          <w:rFonts w:eastAsia="Times New Roman"/>
          <w:sz w:val="22"/>
          <w:szCs w:val="22"/>
          <w:lang w:eastAsia="en-AU"/>
        </w:rPr>
        <w:t>r</w:t>
      </w:r>
      <w:r w:rsidR="00810DEB" w:rsidRPr="000820DB">
        <w:rPr>
          <w:rFonts w:eastAsia="Times New Roman"/>
          <w:sz w:val="22"/>
          <w:szCs w:val="22"/>
          <w:lang w:eastAsia="en-AU"/>
        </w:rPr>
        <w:t>egulation</w:t>
      </w:r>
      <w:r w:rsidR="00612D30" w:rsidRPr="000820DB">
        <w:rPr>
          <w:rFonts w:eastAsia="Times New Roman"/>
          <w:sz w:val="22"/>
          <w:szCs w:val="22"/>
          <w:lang w:eastAsia="en-AU"/>
        </w:rPr>
        <w:t xml:space="preserve"> in Europe</w:t>
      </w:r>
      <w:r w:rsidR="00897FF0" w:rsidRPr="000820DB">
        <w:rPr>
          <w:rFonts w:eastAsia="Times New Roman"/>
          <w:sz w:val="22"/>
          <w:szCs w:val="22"/>
          <w:lang w:eastAsia="en-AU"/>
        </w:rPr>
        <w:t>.</w:t>
      </w:r>
      <w:r w:rsidR="00810DEB" w:rsidRPr="000820DB">
        <w:rPr>
          <w:rFonts w:eastAsia="Times New Roman"/>
          <w:sz w:val="22"/>
          <w:szCs w:val="22"/>
          <w:lang w:eastAsia="en-AU"/>
        </w:rPr>
        <w:t xml:space="preserve"> </w:t>
      </w:r>
      <w:proofErr w:type="gramStart"/>
      <w:r w:rsidR="00861014" w:rsidRPr="000820DB">
        <w:rPr>
          <w:rFonts w:eastAsia="Times New Roman"/>
          <w:sz w:val="22"/>
          <w:szCs w:val="22"/>
          <w:lang w:eastAsia="en-AU"/>
        </w:rPr>
        <w:t>In light of</w:t>
      </w:r>
      <w:proofErr w:type="gramEnd"/>
      <w:r w:rsidR="00861014" w:rsidRPr="000820DB">
        <w:rPr>
          <w:rFonts w:eastAsia="Times New Roman"/>
          <w:sz w:val="22"/>
          <w:szCs w:val="22"/>
          <w:lang w:eastAsia="en-AU"/>
        </w:rPr>
        <w:t xml:space="preserve"> these issues, and to ensure the uninterrupted supply of such </w:t>
      </w:r>
      <w:r w:rsidR="008C78A1" w:rsidRPr="000820DB">
        <w:rPr>
          <w:rFonts w:eastAsia="Times New Roman"/>
          <w:sz w:val="22"/>
          <w:szCs w:val="22"/>
          <w:lang w:eastAsia="en-AU"/>
        </w:rPr>
        <w:t>IVDs</w:t>
      </w:r>
      <w:r w:rsidR="00861014" w:rsidRPr="000820DB">
        <w:rPr>
          <w:rFonts w:eastAsia="Times New Roman"/>
          <w:sz w:val="22"/>
          <w:szCs w:val="22"/>
          <w:lang w:eastAsia="en-AU"/>
        </w:rPr>
        <w:t xml:space="preserve"> in Europe,</w:t>
      </w:r>
      <w:r w:rsidR="00897FF0" w:rsidRPr="000820DB">
        <w:rPr>
          <w:rFonts w:eastAsia="Times New Roman"/>
          <w:sz w:val="22"/>
          <w:szCs w:val="22"/>
          <w:lang w:eastAsia="en-AU"/>
        </w:rPr>
        <w:t xml:space="preserve"> the </w:t>
      </w:r>
      <w:r w:rsidR="007E2C2D" w:rsidRPr="000820DB">
        <w:rPr>
          <w:rFonts w:eastAsia="Times New Roman"/>
          <w:sz w:val="22"/>
          <w:szCs w:val="22"/>
          <w:lang w:eastAsia="en-AU"/>
        </w:rPr>
        <w:t>European Parliament</w:t>
      </w:r>
      <w:r w:rsidR="00897FF0" w:rsidRPr="000820DB">
        <w:rPr>
          <w:rFonts w:eastAsia="Times New Roman"/>
          <w:sz w:val="22"/>
          <w:szCs w:val="22"/>
          <w:lang w:eastAsia="en-AU"/>
        </w:rPr>
        <w:t xml:space="preserve"> has</w:t>
      </w:r>
      <w:r w:rsidR="007E2C2D" w:rsidRPr="000820DB">
        <w:rPr>
          <w:rFonts w:eastAsia="Times New Roman"/>
          <w:sz w:val="22"/>
          <w:szCs w:val="22"/>
          <w:lang w:eastAsia="en-AU"/>
        </w:rPr>
        <w:t xml:space="preserve"> extend</w:t>
      </w:r>
      <w:r w:rsidR="00897FF0" w:rsidRPr="000820DB">
        <w:rPr>
          <w:rFonts w:eastAsia="Times New Roman"/>
          <w:sz w:val="22"/>
          <w:szCs w:val="22"/>
          <w:lang w:eastAsia="en-AU"/>
        </w:rPr>
        <w:t>ed</w:t>
      </w:r>
      <w:r w:rsidR="00612D30" w:rsidRPr="000820DB">
        <w:rPr>
          <w:rFonts w:eastAsia="Times New Roman"/>
          <w:sz w:val="22"/>
          <w:szCs w:val="22"/>
          <w:lang w:eastAsia="en-AU"/>
        </w:rPr>
        <w:t xml:space="preserve"> the </w:t>
      </w:r>
      <w:r w:rsidR="00612D30" w:rsidRPr="000820DB">
        <w:rPr>
          <w:rFonts w:eastAsia="Times New Roman"/>
          <w:sz w:val="22"/>
          <w:szCs w:val="22"/>
          <w:lang w:eastAsia="en-AU"/>
        </w:rPr>
        <w:lastRenderedPageBreak/>
        <w:t xml:space="preserve">transitional arrangements </w:t>
      </w:r>
      <w:r w:rsidR="007E2C2D" w:rsidRPr="000820DB">
        <w:rPr>
          <w:rFonts w:eastAsia="Times New Roman"/>
          <w:sz w:val="22"/>
          <w:szCs w:val="22"/>
          <w:lang w:eastAsia="en-AU"/>
        </w:rPr>
        <w:t>initially set out under the EU IVD</w:t>
      </w:r>
      <w:r w:rsidR="00F02E5A" w:rsidRPr="000820DB">
        <w:rPr>
          <w:rFonts w:eastAsia="Times New Roman"/>
          <w:sz w:val="22"/>
          <w:szCs w:val="22"/>
          <w:lang w:eastAsia="en-AU"/>
        </w:rPr>
        <w:t xml:space="preserve"> regulation</w:t>
      </w:r>
      <w:r w:rsidR="007E2C2D" w:rsidRPr="000820DB">
        <w:rPr>
          <w:rFonts w:eastAsia="Times New Roman"/>
          <w:sz w:val="22"/>
          <w:szCs w:val="22"/>
          <w:lang w:eastAsia="en-AU"/>
        </w:rPr>
        <w:t xml:space="preserve">, </w:t>
      </w:r>
      <w:r w:rsidR="00612D30" w:rsidRPr="000820DB">
        <w:rPr>
          <w:rFonts w:eastAsia="Times New Roman"/>
          <w:sz w:val="22"/>
          <w:szCs w:val="22"/>
          <w:lang w:eastAsia="en-AU"/>
        </w:rPr>
        <w:t xml:space="preserve">through amending legislation implemented under </w:t>
      </w:r>
      <w:r w:rsidR="00612D30" w:rsidRPr="000820DB">
        <w:rPr>
          <w:rFonts w:eastAsia="Times New Roman"/>
          <w:i/>
          <w:iCs/>
          <w:sz w:val="22"/>
          <w:szCs w:val="22"/>
          <w:lang w:eastAsia="en-AU"/>
        </w:rPr>
        <w:t>Regulation (EU) 2022/112 of the European Parliament and of the Council of 25</w:t>
      </w:r>
      <w:r w:rsidR="00162FD9" w:rsidRPr="000820DB">
        <w:rPr>
          <w:rFonts w:eastAsia="Times New Roman"/>
          <w:i/>
          <w:iCs/>
          <w:sz w:val="22"/>
          <w:szCs w:val="22"/>
          <w:lang w:eastAsia="en-AU"/>
        </w:rPr>
        <w:t> </w:t>
      </w:r>
      <w:r w:rsidR="00612D30" w:rsidRPr="000820DB">
        <w:rPr>
          <w:rFonts w:eastAsia="Times New Roman"/>
          <w:i/>
          <w:iCs/>
          <w:sz w:val="22"/>
          <w:szCs w:val="22"/>
          <w:lang w:eastAsia="en-AU"/>
        </w:rPr>
        <w:t>January 2022</w:t>
      </w:r>
      <w:r w:rsidR="00612D30" w:rsidRPr="000820DB">
        <w:rPr>
          <w:rFonts w:eastAsia="Times New Roman"/>
          <w:sz w:val="22"/>
          <w:szCs w:val="22"/>
          <w:lang w:eastAsia="en-AU"/>
        </w:rPr>
        <w:t xml:space="preserve"> (“the EU IVD amendment regulation”). </w:t>
      </w:r>
      <w:r w:rsidR="004121C0" w:rsidRPr="000820DB">
        <w:rPr>
          <w:rFonts w:eastAsia="Times New Roman"/>
          <w:sz w:val="22"/>
          <w:szCs w:val="22"/>
          <w:lang w:eastAsia="en-AU"/>
        </w:rPr>
        <w:t>S</w:t>
      </w:r>
      <w:r w:rsidR="00612D30" w:rsidRPr="000820DB">
        <w:rPr>
          <w:rFonts w:eastAsia="Times New Roman"/>
          <w:sz w:val="22"/>
          <w:szCs w:val="22"/>
          <w:lang w:eastAsia="en-AU"/>
        </w:rPr>
        <w:t>ubsequently</w:t>
      </w:r>
      <w:r w:rsidR="00861014" w:rsidRPr="000820DB">
        <w:rPr>
          <w:rFonts w:eastAsia="Times New Roman"/>
          <w:sz w:val="22"/>
          <w:szCs w:val="22"/>
          <w:lang w:eastAsia="en-AU"/>
        </w:rPr>
        <w:t xml:space="preserve"> this has</w:t>
      </w:r>
      <w:r w:rsidRPr="000820DB">
        <w:rPr>
          <w:rFonts w:eastAsia="Times New Roman"/>
          <w:sz w:val="22"/>
          <w:szCs w:val="22"/>
          <w:lang w:eastAsia="en-AU"/>
        </w:rPr>
        <w:t xml:space="preserve"> </w:t>
      </w:r>
      <w:r w:rsidR="0028482C" w:rsidRPr="000820DB">
        <w:rPr>
          <w:rFonts w:eastAsia="Times New Roman"/>
          <w:sz w:val="22"/>
          <w:szCs w:val="22"/>
          <w:lang w:eastAsia="en-AU"/>
        </w:rPr>
        <w:t>necessitate</w:t>
      </w:r>
      <w:r w:rsidRPr="000820DB">
        <w:rPr>
          <w:rFonts w:eastAsia="Times New Roman"/>
          <w:sz w:val="22"/>
          <w:szCs w:val="22"/>
          <w:lang w:eastAsia="en-AU"/>
        </w:rPr>
        <w:t>d</w:t>
      </w:r>
      <w:r w:rsidR="0028482C" w:rsidRPr="000820DB">
        <w:rPr>
          <w:rFonts w:eastAsia="Times New Roman"/>
          <w:sz w:val="22"/>
          <w:szCs w:val="22"/>
          <w:lang w:eastAsia="en-AU"/>
        </w:rPr>
        <w:t xml:space="preserve"> an extension to the period in which an ISO13485 certification </w:t>
      </w:r>
      <w:r w:rsidR="00E241A9" w:rsidRPr="000820DB">
        <w:rPr>
          <w:rFonts w:eastAsia="Times New Roman"/>
          <w:sz w:val="22"/>
          <w:szCs w:val="22"/>
          <w:lang w:eastAsia="en-AU"/>
        </w:rPr>
        <w:t>will be</w:t>
      </w:r>
      <w:r w:rsidR="0028482C" w:rsidRPr="000820DB">
        <w:rPr>
          <w:rFonts w:eastAsia="Times New Roman"/>
          <w:sz w:val="22"/>
          <w:szCs w:val="22"/>
          <w:lang w:eastAsia="en-AU"/>
        </w:rPr>
        <w:t xml:space="preserve"> acceptable</w:t>
      </w:r>
      <w:r w:rsidR="00612D30" w:rsidRPr="000820DB">
        <w:rPr>
          <w:rFonts w:eastAsia="Times New Roman"/>
          <w:sz w:val="22"/>
          <w:szCs w:val="22"/>
          <w:lang w:eastAsia="en-AU"/>
        </w:rPr>
        <w:t xml:space="preserve"> in Australia</w:t>
      </w:r>
      <w:r w:rsidR="00E241A9" w:rsidRPr="000820DB">
        <w:rPr>
          <w:rFonts w:eastAsia="Times New Roman"/>
          <w:sz w:val="22"/>
          <w:szCs w:val="22"/>
          <w:lang w:eastAsia="en-AU"/>
        </w:rPr>
        <w:t xml:space="preserve">, </w:t>
      </w:r>
      <w:r w:rsidR="00E03E8A" w:rsidRPr="000820DB">
        <w:rPr>
          <w:rFonts w:eastAsia="Times New Roman"/>
          <w:sz w:val="22"/>
          <w:szCs w:val="22"/>
          <w:lang w:eastAsia="en-AU"/>
        </w:rPr>
        <w:t>to align with current European arrangements</w:t>
      </w:r>
      <w:r w:rsidRPr="000820DB">
        <w:rPr>
          <w:rFonts w:eastAsia="Times New Roman"/>
          <w:sz w:val="22"/>
          <w:szCs w:val="22"/>
          <w:lang w:eastAsia="en-AU"/>
        </w:rPr>
        <w:t xml:space="preserve">. This will </w:t>
      </w:r>
      <w:r w:rsidR="00E241A9" w:rsidRPr="000820DB">
        <w:rPr>
          <w:rFonts w:eastAsia="Times New Roman"/>
          <w:sz w:val="22"/>
          <w:szCs w:val="22"/>
          <w:lang w:eastAsia="en-AU"/>
        </w:rPr>
        <w:t xml:space="preserve">also </w:t>
      </w:r>
      <w:r w:rsidR="00E03E8A" w:rsidRPr="000820DB">
        <w:rPr>
          <w:rFonts w:eastAsia="Times New Roman"/>
          <w:sz w:val="22"/>
          <w:szCs w:val="22"/>
          <w:lang w:eastAsia="en-AU"/>
        </w:rPr>
        <w:t xml:space="preserve">reduce regulatory duplication and </w:t>
      </w:r>
      <w:r w:rsidRPr="000820DB">
        <w:rPr>
          <w:rFonts w:eastAsia="Times New Roman"/>
          <w:sz w:val="22"/>
          <w:szCs w:val="22"/>
          <w:lang w:eastAsia="en-AU"/>
        </w:rPr>
        <w:t xml:space="preserve">help </w:t>
      </w:r>
      <w:r w:rsidR="00E03E8A" w:rsidRPr="000820DB">
        <w:rPr>
          <w:rFonts w:eastAsia="Times New Roman"/>
          <w:sz w:val="22"/>
          <w:szCs w:val="22"/>
          <w:lang w:eastAsia="en-AU"/>
        </w:rPr>
        <w:t>ensure continued access to these products in Australia</w:t>
      </w:r>
      <w:r w:rsidR="0028482C" w:rsidRPr="000820DB">
        <w:rPr>
          <w:rFonts w:eastAsia="Times New Roman"/>
          <w:sz w:val="22"/>
          <w:szCs w:val="22"/>
          <w:lang w:eastAsia="en-AU"/>
        </w:rPr>
        <w:t>.</w:t>
      </w:r>
    </w:p>
    <w:p w14:paraId="00472673" w14:textId="449AC8A4" w:rsidR="005144CD" w:rsidRPr="000820DB" w:rsidRDefault="005144CD" w:rsidP="00E47491">
      <w:pPr>
        <w:autoSpaceDE w:val="0"/>
        <w:autoSpaceDN w:val="0"/>
        <w:adjustRightInd w:val="0"/>
        <w:spacing w:after="0" w:line="240" w:lineRule="auto"/>
        <w:rPr>
          <w:rFonts w:eastAsia="Times New Roman"/>
          <w:sz w:val="22"/>
          <w:szCs w:val="22"/>
          <w:lang w:eastAsia="en-AU"/>
        </w:rPr>
      </w:pPr>
    </w:p>
    <w:p w14:paraId="011024A2" w14:textId="72FAD887" w:rsidR="005144CD" w:rsidRPr="000820DB" w:rsidRDefault="005144CD" w:rsidP="00E4749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transitional arrangements for IVDs in the EU IVD </w:t>
      </w:r>
      <w:r w:rsidR="00C64C52" w:rsidRPr="000820DB">
        <w:rPr>
          <w:rFonts w:eastAsia="Times New Roman"/>
          <w:sz w:val="22"/>
          <w:szCs w:val="22"/>
          <w:lang w:eastAsia="en-AU"/>
        </w:rPr>
        <w:t xml:space="preserve">amendment </w:t>
      </w:r>
      <w:r w:rsidRPr="000820DB">
        <w:rPr>
          <w:rFonts w:eastAsia="Times New Roman"/>
          <w:sz w:val="22"/>
          <w:szCs w:val="22"/>
          <w:lang w:eastAsia="en-AU"/>
        </w:rPr>
        <w:t xml:space="preserve">regulation allow Class </w:t>
      </w:r>
      <w:r w:rsidR="001A3897" w:rsidRPr="000820DB">
        <w:rPr>
          <w:rFonts w:eastAsia="Times New Roman"/>
          <w:sz w:val="22"/>
          <w:szCs w:val="22"/>
          <w:lang w:eastAsia="en-AU"/>
        </w:rPr>
        <w:t>B (</w:t>
      </w:r>
      <w:r w:rsidR="00E241A9" w:rsidRPr="000820DB">
        <w:rPr>
          <w:rFonts w:eastAsia="Times New Roman"/>
          <w:sz w:val="22"/>
          <w:szCs w:val="22"/>
          <w:lang w:eastAsia="en-AU"/>
        </w:rPr>
        <w:t xml:space="preserve">the </w:t>
      </w:r>
      <w:r w:rsidR="001A3897" w:rsidRPr="000820DB">
        <w:rPr>
          <w:rFonts w:eastAsia="Times New Roman"/>
          <w:sz w:val="22"/>
          <w:szCs w:val="22"/>
          <w:lang w:eastAsia="en-AU"/>
        </w:rPr>
        <w:t>equivalent of Australian Class 2 IVD)</w:t>
      </w:r>
      <w:r w:rsidRPr="000820DB">
        <w:rPr>
          <w:rFonts w:eastAsia="Times New Roman"/>
          <w:sz w:val="22"/>
          <w:szCs w:val="22"/>
          <w:lang w:eastAsia="en-AU"/>
        </w:rPr>
        <w:t xml:space="preserve"> and Class </w:t>
      </w:r>
      <w:r w:rsidR="001A3897" w:rsidRPr="000820DB">
        <w:rPr>
          <w:rFonts w:eastAsia="Times New Roman"/>
          <w:sz w:val="22"/>
          <w:szCs w:val="22"/>
          <w:lang w:eastAsia="en-AU"/>
        </w:rPr>
        <w:t>C (</w:t>
      </w:r>
      <w:r w:rsidR="00E241A9" w:rsidRPr="000820DB">
        <w:rPr>
          <w:rFonts w:eastAsia="Times New Roman"/>
          <w:sz w:val="22"/>
          <w:szCs w:val="22"/>
          <w:lang w:eastAsia="en-AU"/>
        </w:rPr>
        <w:t xml:space="preserve">the </w:t>
      </w:r>
      <w:r w:rsidR="001A3897" w:rsidRPr="000820DB">
        <w:rPr>
          <w:rFonts w:eastAsia="Times New Roman"/>
          <w:sz w:val="22"/>
          <w:szCs w:val="22"/>
          <w:lang w:eastAsia="en-AU"/>
        </w:rPr>
        <w:t xml:space="preserve">equivalent of Australian Class 3 </w:t>
      </w:r>
      <w:r w:rsidRPr="000820DB">
        <w:rPr>
          <w:rFonts w:eastAsia="Times New Roman"/>
          <w:sz w:val="22"/>
          <w:szCs w:val="22"/>
          <w:lang w:eastAsia="en-AU"/>
        </w:rPr>
        <w:t>IVD</w:t>
      </w:r>
      <w:r w:rsidR="001A3897" w:rsidRPr="000820DB">
        <w:rPr>
          <w:rFonts w:eastAsia="Times New Roman"/>
          <w:sz w:val="22"/>
          <w:szCs w:val="22"/>
          <w:lang w:eastAsia="en-AU"/>
        </w:rPr>
        <w:t>)</w:t>
      </w:r>
      <w:r w:rsidRPr="000820DB">
        <w:rPr>
          <w:rFonts w:eastAsia="Times New Roman"/>
          <w:sz w:val="22"/>
          <w:szCs w:val="22"/>
          <w:lang w:eastAsia="en-AU"/>
        </w:rPr>
        <w:t xml:space="preserve"> medical </w:t>
      </w:r>
      <w:bookmarkEnd w:id="0"/>
      <w:r w:rsidRPr="000820DB">
        <w:rPr>
          <w:rFonts w:eastAsia="Times New Roman"/>
          <w:sz w:val="22"/>
          <w:szCs w:val="22"/>
          <w:lang w:eastAsia="en-AU"/>
        </w:rPr>
        <w:t xml:space="preserve">devices </w:t>
      </w:r>
      <w:r w:rsidR="00CE4BB8" w:rsidRPr="000820DB">
        <w:rPr>
          <w:rFonts w:eastAsia="Times New Roman"/>
          <w:sz w:val="22"/>
          <w:szCs w:val="22"/>
          <w:lang w:eastAsia="en-AU"/>
        </w:rPr>
        <w:t xml:space="preserve">that have been lawfully placed on the market </w:t>
      </w:r>
      <w:r w:rsidRPr="000820DB">
        <w:rPr>
          <w:rFonts w:eastAsia="Times New Roman"/>
          <w:sz w:val="22"/>
          <w:szCs w:val="22"/>
          <w:lang w:eastAsia="en-AU"/>
        </w:rPr>
        <w:t xml:space="preserve">in the European Union </w:t>
      </w:r>
      <w:r w:rsidR="004121C0" w:rsidRPr="000820DB">
        <w:rPr>
          <w:rFonts w:eastAsia="Times New Roman"/>
          <w:sz w:val="22"/>
          <w:szCs w:val="22"/>
          <w:lang w:eastAsia="en-AU"/>
        </w:rPr>
        <w:t xml:space="preserve">before </w:t>
      </w:r>
      <w:r w:rsidR="00CE4BB8" w:rsidRPr="000820DB">
        <w:rPr>
          <w:rFonts w:eastAsia="Times New Roman"/>
          <w:sz w:val="22"/>
          <w:szCs w:val="22"/>
          <w:lang w:eastAsia="en-AU"/>
        </w:rPr>
        <w:t xml:space="preserve">26 May 2022, </w:t>
      </w:r>
      <w:r w:rsidRPr="000820DB">
        <w:rPr>
          <w:rFonts w:eastAsia="Times New Roman"/>
          <w:sz w:val="22"/>
          <w:szCs w:val="22"/>
          <w:lang w:eastAsia="en-AU"/>
        </w:rPr>
        <w:t>to continue to be supplied until 26 May 202</w:t>
      </w:r>
      <w:r w:rsidR="001A3897" w:rsidRPr="000820DB">
        <w:rPr>
          <w:rFonts w:eastAsia="Times New Roman"/>
          <w:sz w:val="22"/>
          <w:szCs w:val="22"/>
          <w:lang w:eastAsia="en-AU"/>
        </w:rPr>
        <w:t>7</w:t>
      </w:r>
      <w:r w:rsidRPr="000820DB">
        <w:rPr>
          <w:rFonts w:eastAsia="Times New Roman"/>
          <w:sz w:val="22"/>
          <w:szCs w:val="22"/>
          <w:lang w:eastAsia="en-AU"/>
        </w:rPr>
        <w:t xml:space="preserve"> and </w:t>
      </w:r>
      <w:r w:rsidR="001A3897" w:rsidRPr="000820DB">
        <w:rPr>
          <w:rFonts w:eastAsia="Times New Roman"/>
          <w:sz w:val="22"/>
          <w:szCs w:val="22"/>
          <w:lang w:eastAsia="en-AU"/>
        </w:rPr>
        <w:t>26 May 2026</w:t>
      </w:r>
      <w:r w:rsidR="00F02E5A" w:rsidRPr="000820DB">
        <w:rPr>
          <w:rFonts w:eastAsia="Times New Roman"/>
          <w:sz w:val="22"/>
          <w:szCs w:val="22"/>
          <w:lang w:eastAsia="en-AU"/>
        </w:rPr>
        <w:t>,</w:t>
      </w:r>
      <w:r w:rsidR="001A3897" w:rsidRPr="000820DB">
        <w:rPr>
          <w:rFonts w:eastAsia="Times New Roman"/>
          <w:sz w:val="22"/>
          <w:szCs w:val="22"/>
          <w:lang w:eastAsia="en-AU"/>
        </w:rPr>
        <w:t xml:space="preserve"> respectively.</w:t>
      </w:r>
    </w:p>
    <w:p w14:paraId="66B8C84B" w14:textId="77777777" w:rsidR="00827A22" w:rsidRPr="000820DB" w:rsidRDefault="00827A22" w:rsidP="00E47491">
      <w:pPr>
        <w:autoSpaceDE w:val="0"/>
        <w:autoSpaceDN w:val="0"/>
        <w:adjustRightInd w:val="0"/>
        <w:spacing w:after="0" w:line="240" w:lineRule="auto"/>
        <w:rPr>
          <w:rFonts w:eastAsia="Times New Roman"/>
          <w:sz w:val="22"/>
          <w:szCs w:val="22"/>
          <w:lang w:eastAsia="en-AU"/>
        </w:rPr>
      </w:pPr>
    </w:p>
    <w:p w14:paraId="0369AC08" w14:textId="1C51AC48" w:rsidR="003071FB" w:rsidRPr="000820DB" w:rsidRDefault="001760F0" w:rsidP="00E4749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w:t>
      </w:r>
      <w:r w:rsidRPr="000820DB">
        <w:rPr>
          <w:rFonts w:eastAsia="Times New Roman"/>
          <w:i/>
          <w:sz w:val="22"/>
          <w:szCs w:val="22"/>
          <w:lang w:eastAsia="en-AU"/>
        </w:rPr>
        <w:t>Therapeutic Goods (Medical Devices—Information that Must Accompany Application for Inclusion) Amendment (</w:t>
      </w:r>
      <w:r w:rsidR="00A31837" w:rsidRPr="000820DB">
        <w:rPr>
          <w:rFonts w:eastAsia="Times New Roman"/>
          <w:i/>
          <w:sz w:val="22"/>
          <w:szCs w:val="22"/>
          <w:lang w:eastAsia="en-AU"/>
        </w:rPr>
        <w:t>European Union—Consequential Amendments</w:t>
      </w:r>
      <w:r w:rsidRPr="000820DB">
        <w:rPr>
          <w:rFonts w:eastAsia="Times New Roman"/>
          <w:i/>
          <w:sz w:val="22"/>
          <w:szCs w:val="22"/>
          <w:lang w:eastAsia="en-AU"/>
        </w:rPr>
        <w:t>) Determination 202</w:t>
      </w:r>
      <w:r w:rsidR="00140068" w:rsidRPr="000820DB">
        <w:rPr>
          <w:rFonts w:eastAsia="Times New Roman"/>
          <w:i/>
          <w:sz w:val="22"/>
          <w:szCs w:val="22"/>
          <w:lang w:eastAsia="en-AU"/>
        </w:rPr>
        <w:t>2</w:t>
      </w:r>
      <w:r w:rsidR="00573284" w:rsidRPr="000820DB">
        <w:rPr>
          <w:rFonts w:eastAsia="Times New Roman"/>
          <w:sz w:val="22"/>
          <w:szCs w:val="22"/>
          <w:lang w:eastAsia="en-AU"/>
        </w:rPr>
        <w:t xml:space="preserve"> </w:t>
      </w:r>
      <w:r w:rsidRPr="000820DB">
        <w:rPr>
          <w:rFonts w:eastAsia="Times New Roman"/>
          <w:sz w:val="22"/>
          <w:szCs w:val="22"/>
          <w:lang w:eastAsia="en-AU"/>
        </w:rPr>
        <w:t>(“the</w:t>
      </w:r>
      <w:r w:rsidR="00A31837" w:rsidRPr="000820DB">
        <w:rPr>
          <w:rFonts w:eastAsia="Times New Roman"/>
          <w:sz w:val="22"/>
          <w:szCs w:val="22"/>
          <w:lang w:eastAsia="en-AU"/>
        </w:rPr>
        <w:t> </w:t>
      </w:r>
      <w:r w:rsidRPr="000820DB">
        <w:rPr>
          <w:rFonts w:eastAsia="Times New Roman"/>
          <w:sz w:val="22"/>
          <w:szCs w:val="22"/>
          <w:lang w:eastAsia="en-AU"/>
        </w:rPr>
        <w:t xml:space="preserve">Amendment Determination”) </w:t>
      </w:r>
      <w:r w:rsidR="00F02E5A" w:rsidRPr="000820DB">
        <w:rPr>
          <w:rFonts w:eastAsia="Times New Roman"/>
          <w:sz w:val="22"/>
          <w:szCs w:val="22"/>
          <w:lang w:eastAsia="en-AU"/>
        </w:rPr>
        <w:t xml:space="preserve">is </w:t>
      </w:r>
      <w:r w:rsidRPr="000820DB">
        <w:rPr>
          <w:rFonts w:eastAsia="Times New Roman"/>
          <w:sz w:val="22"/>
          <w:szCs w:val="22"/>
          <w:lang w:eastAsia="en-AU"/>
        </w:rPr>
        <w:t>made under subsection 41</w:t>
      </w:r>
      <w:proofErr w:type="gramStart"/>
      <w:r w:rsidRPr="000820DB">
        <w:rPr>
          <w:rFonts w:eastAsia="Times New Roman"/>
          <w:sz w:val="22"/>
          <w:szCs w:val="22"/>
          <w:lang w:eastAsia="en-AU"/>
        </w:rPr>
        <w:t>FDB(</w:t>
      </w:r>
      <w:proofErr w:type="gramEnd"/>
      <w:r w:rsidRPr="000820DB">
        <w:rPr>
          <w:rFonts w:eastAsia="Times New Roman"/>
          <w:sz w:val="22"/>
          <w:szCs w:val="22"/>
          <w:lang w:eastAsia="en-AU"/>
        </w:rPr>
        <w:t>7) of the Act</w:t>
      </w:r>
      <w:r w:rsidR="00F02E5A" w:rsidRPr="000820DB">
        <w:rPr>
          <w:rFonts w:eastAsia="Times New Roman"/>
          <w:sz w:val="22"/>
          <w:szCs w:val="22"/>
          <w:lang w:eastAsia="en-AU"/>
        </w:rPr>
        <w:t xml:space="preserve"> and</w:t>
      </w:r>
      <w:r w:rsidR="008E3633" w:rsidRPr="000820DB">
        <w:rPr>
          <w:rFonts w:eastAsia="Times New Roman"/>
          <w:sz w:val="22"/>
          <w:szCs w:val="22"/>
          <w:lang w:eastAsia="en-AU"/>
        </w:rPr>
        <w:t xml:space="preserve"> amends the Principal Determination </w:t>
      </w:r>
      <w:r w:rsidR="00206AC0" w:rsidRPr="000820DB">
        <w:rPr>
          <w:rFonts w:eastAsia="Times New Roman"/>
          <w:sz w:val="22"/>
          <w:szCs w:val="22"/>
          <w:lang w:eastAsia="en-AU"/>
        </w:rPr>
        <w:t>to</w:t>
      </w:r>
      <w:r w:rsidR="003071FB" w:rsidRPr="000820DB">
        <w:rPr>
          <w:rFonts w:eastAsia="Times New Roman"/>
          <w:sz w:val="22"/>
          <w:szCs w:val="22"/>
          <w:lang w:eastAsia="en-AU"/>
        </w:rPr>
        <w:t>:</w:t>
      </w:r>
    </w:p>
    <w:p w14:paraId="215C93AB" w14:textId="044AF5BD" w:rsidR="001A3897" w:rsidRPr="000820DB" w:rsidRDefault="007254DE" w:rsidP="00565DF4">
      <w:pPr>
        <w:pStyle w:val="ListParagraph"/>
        <w:numPr>
          <w:ilvl w:val="0"/>
          <w:numId w:val="6"/>
        </w:numPr>
        <w:autoSpaceDE w:val="0"/>
        <w:autoSpaceDN w:val="0"/>
        <w:adjustRightInd w:val="0"/>
        <w:spacing w:before="120" w:after="0" w:line="240" w:lineRule="auto"/>
        <w:ind w:left="714" w:hanging="357"/>
        <w:contextualSpacing w:val="0"/>
        <w:rPr>
          <w:rFonts w:eastAsia="Times New Roman"/>
          <w:sz w:val="22"/>
          <w:szCs w:val="22"/>
          <w:lang w:eastAsia="en-AU"/>
        </w:rPr>
      </w:pPr>
      <w:r w:rsidRPr="000820DB">
        <w:rPr>
          <w:rFonts w:eastAsia="Times New Roman"/>
          <w:sz w:val="22"/>
          <w:szCs w:val="22"/>
          <w:lang w:eastAsia="en-AU"/>
        </w:rPr>
        <w:t>extend the period of time in which an application for inclusion of Class 2 and Class</w:t>
      </w:r>
      <w:r w:rsidR="001A3897" w:rsidRPr="000820DB">
        <w:rPr>
          <w:rFonts w:eastAsia="Times New Roman"/>
          <w:sz w:val="22"/>
          <w:szCs w:val="22"/>
          <w:lang w:eastAsia="en-AU"/>
        </w:rPr>
        <w:t> </w:t>
      </w:r>
      <w:r w:rsidRPr="000820DB">
        <w:rPr>
          <w:rFonts w:eastAsia="Times New Roman"/>
          <w:sz w:val="22"/>
          <w:szCs w:val="22"/>
          <w:lang w:eastAsia="en-AU"/>
        </w:rPr>
        <w:t>3 IVD medical device</w:t>
      </w:r>
      <w:r w:rsidR="00CE4BB8" w:rsidRPr="000820DB">
        <w:rPr>
          <w:rFonts w:eastAsia="Times New Roman"/>
          <w:sz w:val="22"/>
          <w:szCs w:val="22"/>
          <w:lang w:eastAsia="en-AU"/>
        </w:rPr>
        <w:t>s</w:t>
      </w:r>
      <w:r w:rsidRPr="000820DB">
        <w:rPr>
          <w:rFonts w:eastAsia="Times New Roman"/>
          <w:sz w:val="22"/>
          <w:szCs w:val="22"/>
          <w:lang w:eastAsia="en-AU"/>
        </w:rPr>
        <w:t xml:space="preserve"> may be supported </w:t>
      </w:r>
      <w:r w:rsidR="003071FB" w:rsidRPr="000820DB">
        <w:rPr>
          <w:rFonts w:eastAsia="Times New Roman"/>
          <w:sz w:val="22"/>
          <w:szCs w:val="22"/>
          <w:lang w:eastAsia="en-AU"/>
        </w:rPr>
        <w:t>with</w:t>
      </w:r>
      <w:r w:rsidRPr="000820DB">
        <w:rPr>
          <w:rFonts w:eastAsia="Times New Roman"/>
          <w:sz w:val="22"/>
          <w:szCs w:val="22"/>
          <w:lang w:eastAsia="en-AU"/>
        </w:rPr>
        <w:t xml:space="preserve"> a</w:t>
      </w:r>
      <w:r w:rsidR="003071FB" w:rsidRPr="000820DB">
        <w:rPr>
          <w:rFonts w:eastAsia="Times New Roman"/>
          <w:sz w:val="22"/>
          <w:szCs w:val="22"/>
          <w:lang w:eastAsia="en-AU"/>
        </w:rPr>
        <w:t>n ISO 13485 certificate issued</w:t>
      </w:r>
      <w:r w:rsidRPr="000820DB">
        <w:rPr>
          <w:rFonts w:eastAsia="Times New Roman"/>
          <w:sz w:val="22"/>
          <w:szCs w:val="22"/>
          <w:lang w:eastAsia="en-AU"/>
        </w:rPr>
        <w:t xml:space="preserve"> </w:t>
      </w:r>
      <w:r w:rsidR="00AC5214" w:rsidRPr="000820DB">
        <w:rPr>
          <w:rFonts w:eastAsia="Times New Roman"/>
          <w:sz w:val="22"/>
          <w:szCs w:val="22"/>
          <w:lang w:eastAsia="en-AU"/>
        </w:rPr>
        <w:t xml:space="preserve">by a notified body within the meaning of Directive 98/79/EC or </w:t>
      </w:r>
      <w:r w:rsidRPr="000820DB">
        <w:rPr>
          <w:rFonts w:eastAsia="Times New Roman"/>
          <w:sz w:val="22"/>
          <w:szCs w:val="22"/>
          <w:lang w:eastAsia="en-AU"/>
        </w:rPr>
        <w:t>an IAF accredited conformity assessment body</w:t>
      </w:r>
      <w:r w:rsidR="001A3897" w:rsidRPr="000820DB">
        <w:rPr>
          <w:rFonts w:eastAsia="Times New Roman"/>
          <w:sz w:val="22"/>
          <w:szCs w:val="22"/>
          <w:lang w:eastAsia="en-AU"/>
        </w:rPr>
        <w:t xml:space="preserve">, from 26 May 2022 to </w:t>
      </w:r>
      <w:r w:rsidR="006F090D" w:rsidRPr="000820DB">
        <w:rPr>
          <w:rFonts w:eastAsia="Times New Roman"/>
          <w:sz w:val="22"/>
          <w:szCs w:val="22"/>
          <w:lang w:eastAsia="en-AU"/>
        </w:rPr>
        <w:t>2</w:t>
      </w:r>
      <w:r w:rsidR="001A3897" w:rsidRPr="000820DB">
        <w:rPr>
          <w:rFonts w:eastAsia="Times New Roman"/>
          <w:sz w:val="22"/>
          <w:szCs w:val="22"/>
          <w:lang w:eastAsia="en-AU"/>
        </w:rPr>
        <w:t xml:space="preserve">6 May </w:t>
      </w:r>
      <w:proofErr w:type="gramStart"/>
      <w:r w:rsidR="001A3897" w:rsidRPr="000820DB">
        <w:rPr>
          <w:rFonts w:eastAsia="Times New Roman"/>
          <w:sz w:val="22"/>
          <w:szCs w:val="22"/>
          <w:lang w:eastAsia="en-AU"/>
        </w:rPr>
        <w:t>2023</w:t>
      </w:r>
      <w:r w:rsidR="003071FB" w:rsidRPr="000820DB">
        <w:rPr>
          <w:rFonts w:eastAsia="Times New Roman"/>
          <w:sz w:val="22"/>
          <w:szCs w:val="22"/>
          <w:lang w:eastAsia="en-AU"/>
        </w:rPr>
        <w:t>;</w:t>
      </w:r>
      <w:proofErr w:type="gramEnd"/>
      <w:r w:rsidR="002A736E" w:rsidRPr="000820DB">
        <w:rPr>
          <w:rFonts w:eastAsia="Times New Roman"/>
          <w:sz w:val="22"/>
          <w:szCs w:val="22"/>
          <w:lang w:eastAsia="en-AU"/>
        </w:rPr>
        <w:t xml:space="preserve"> and</w:t>
      </w:r>
    </w:p>
    <w:p w14:paraId="55C59667" w14:textId="40809367" w:rsidR="00206AC0" w:rsidRPr="000820DB" w:rsidRDefault="003071FB" w:rsidP="00565DF4">
      <w:pPr>
        <w:pStyle w:val="ListParagraph"/>
        <w:numPr>
          <w:ilvl w:val="0"/>
          <w:numId w:val="6"/>
        </w:numPr>
        <w:autoSpaceDE w:val="0"/>
        <w:autoSpaceDN w:val="0"/>
        <w:adjustRightInd w:val="0"/>
        <w:spacing w:before="120" w:after="0" w:line="240" w:lineRule="auto"/>
        <w:ind w:left="714" w:hanging="357"/>
        <w:contextualSpacing w:val="0"/>
        <w:rPr>
          <w:rFonts w:eastAsia="Times New Roman"/>
          <w:sz w:val="22"/>
          <w:szCs w:val="22"/>
          <w:lang w:eastAsia="en-AU"/>
        </w:rPr>
      </w:pPr>
      <w:r w:rsidRPr="000820DB">
        <w:rPr>
          <w:rFonts w:eastAsia="Times New Roman"/>
          <w:sz w:val="22"/>
          <w:szCs w:val="22"/>
          <w:lang w:eastAsia="en-AU"/>
        </w:rPr>
        <w:t>specify that</w:t>
      </w:r>
      <w:r w:rsidR="007355A5" w:rsidRPr="000820DB">
        <w:rPr>
          <w:rFonts w:eastAsia="Times New Roman"/>
          <w:sz w:val="22"/>
          <w:szCs w:val="22"/>
          <w:lang w:eastAsia="en-AU"/>
        </w:rPr>
        <w:t xml:space="preserve"> </w:t>
      </w:r>
      <w:r w:rsidR="00C81410" w:rsidRPr="000820DB">
        <w:rPr>
          <w:rFonts w:eastAsia="Times New Roman"/>
          <w:sz w:val="22"/>
          <w:szCs w:val="22"/>
          <w:lang w:eastAsia="en-AU"/>
        </w:rPr>
        <w:t xml:space="preserve">where the </w:t>
      </w:r>
      <w:r w:rsidR="00AC5214" w:rsidRPr="000820DB">
        <w:rPr>
          <w:rFonts w:eastAsia="Times New Roman"/>
          <w:sz w:val="22"/>
          <w:szCs w:val="22"/>
          <w:lang w:eastAsia="en-AU"/>
        </w:rPr>
        <w:t xml:space="preserve">manufacturer has </w:t>
      </w:r>
      <w:r w:rsidR="00C81410" w:rsidRPr="000820DB">
        <w:rPr>
          <w:rFonts w:eastAsia="Times New Roman"/>
          <w:sz w:val="22"/>
          <w:szCs w:val="22"/>
          <w:lang w:eastAsia="en-AU"/>
        </w:rPr>
        <w:t xml:space="preserve">an EU declaration of conformity under </w:t>
      </w:r>
      <w:r w:rsidR="00AC5214" w:rsidRPr="000820DB">
        <w:rPr>
          <w:rFonts w:eastAsia="Times New Roman"/>
          <w:sz w:val="22"/>
          <w:szCs w:val="22"/>
          <w:lang w:eastAsia="en-AU"/>
        </w:rPr>
        <w:t>Directive 98/79/EC</w:t>
      </w:r>
      <w:r w:rsidR="00C81410" w:rsidRPr="000820DB">
        <w:rPr>
          <w:rFonts w:eastAsia="Times New Roman"/>
          <w:sz w:val="22"/>
          <w:szCs w:val="22"/>
          <w:lang w:eastAsia="en-AU"/>
        </w:rPr>
        <w:t xml:space="preserve"> </w:t>
      </w:r>
      <w:r w:rsidR="00AC5214" w:rsidRPr="000820DB">
        <w:rPr>
          <w:rFonts w:eastAsia="Times New Roman"/>
          <w:sz w:val="22"/>
          <w:szCs w:val="22"/>
          <w:lang w:eastAsia="en-AU"/>
        </w:rPr>
        <w:t xml:space="preserve">prior to </w:t>
      </w:r>
      <w:r w:rsidR="00C81410" w:rsidRPr="000820DB">
        <w:rPr>
          <w:rFonts w:eastAsia="Times New Roman"/>
          <w:sz w:val="22"/>
          <w:szCs w:val="22"/>
          <w:lang w:eastAsia="en-AU"/>
        </w:rPr>
        <w:t xml:space="preserve">26 May 2022, </w:t>
      </w:r>
      <w:r w:rsidRPr="000820DB">
        <w:rPr>
          <w:rFonts w:eastAsia="Times New Roman"/>
          <w:sz w:val="22"/>
          <w:szCs w:val="22"/>
          <w:lang w:eastAsia="en-AU"/>
        </w:rPr>
        <w:t xml:space="preserve">an application for inclusion </w:t>
      </w:r>
      <w:r w:rsidR="007355A5" w:rsidRPr="000820DB">
        <w:rPr>
          <w:rFonts w:eastAsia="Times New Roman"/>
          <w:sz w:val="22"/>
          <w:szCs w:val="22"/>
          <w:lang w:eastAsia="en-AU"/>
        </w:rPr>
        <w:t>for</w:t>
      </w:r>
      <w:r w:rsidRPr="000820DB">
        <w:rPr>
          <w:rFonts w:eastAsia="Times New Roman"/>
          <w:sz w:val="22"/>
          <w:szCs w:val="22"/>
          <w:lang w:eastAsia="en-AU"/>
        </w:rPr>
        <w:t xml:space="preserve"> a Class 2</w:t>
      </w:r>
      <w:r w:rsidR="007355A5" w:rsidRPr="000820DB">
        <w:rPr>
          <w:rFonts w:eastAsia="Times New Roman"/>
          <w:sz w:val="22"/>
          <w:szCs w:val="22"/>
          <w:lang w:eastAsia="en-AU"/>
        </w:rPr>
        <w:t xml:space="preserve"> or Class 3</w:t>
      </w:r>
      <w:r w:rsidRPr="000820DB">
        <w:rPr>
          <w:rFonts w:eastAsia="Times New Roman"/>
          <w:sz w:val="22"/>
          <w:szCs w:val="22"/>
          <w:lang w:eastAsia="en-AU"/>
        </w:rPr>
        <w:t xml:space="preserve"> IVD medical device submitted before 26 May 20</w:t>
      </w:r>
      <w:r w:rsidR="007355A5" w:rsidRPr="000820DB">
        <w:rPr>
          <w:rFonts w:eastAsia="Times New Roman"/>
          <w:sz w:val="22"/>
          <w:szCs w:val="22"/>
          <w:lang w:eastAsia="en-AU"/>
        </w:rPr>
        <w:t>27 or 26 May 2026 (respectively)</w:t>
      </w:r>
      <w:r w:rsidRPr="000820DB">
        <w:rPr>
          <w:rFonts w:eastAsia="Times New Roman"/>
          <w:sz w:val="22"/>
          <w:szCs w:val="22"/>
          <w:lang w:eastAsia="en-AU"/>
        </w:rPr>
        <w:t xml:space="preserve"> may be supported with an ISO 13485 cer</w:t>
      </w:r>
      <w:r w:rsidR="00C81410" w:rsidRPr="000820DB">
        <w:rPr>
          <w:rFonts w:eastAsia="Times New Roman"/>
          <w:sz w:val="22"/>
          <w:szCs w:val="22"/>
          <w:lang w:eastAsia="en-AU"/>
        </w:rPr>
        <w:t xml:space="preserve">tification issued by </w:t>
      </w:r>
      <w:r w:rsidR="00AC5214" w:rsidRPr="000820DB">
        <w:rPr>
          <w:rFonts w:eastAsia="Times New Roman"/>
          <w:sz w:val="22"/>
          <w:szCs w:val="22"/>
          <w:lang w:eastAsia="en-AU"/>
        </w:rPr>
        <w:t>a notified body within the meaning of Directive 98/79/EC</w:t>
      </w:r>
      <w:r w:rsidR="00FA1FD8" w:rsidRPr="000820DB">
        <w:rPr>
          <w:rFonts w:eastAsia="Times New Roman"/>
          <w:sz w:val="22"/>
          <w:szCs w:val="22"/>
          <w:lang w:eastAsia="en-AU"/>
        </w:rPr>
        <w:t>,</w:t>
      </w:r>
      <w:r w:rsidR="00AC5214" w:rsidRPr="000820DB">
        <w:rPr>
          <w:rFonts w:eastAsia="Times New Roman"/>
          <w:sz w:val="22"/>
          <w:szCs w:val="22"/>
          <w:lang w:eastAsia="en-AU"/>
        </w:rPr>
        <w:t xml:space="preserve"> or </w:t>
      </w:r>
      <w:r w:rsidR="00FA1FD8" w:rsidRPr="000820DB">
        <w:rPr>
          <w:rFonts w:eastAsia="Times New Roman"/>
          <w:sz w:val="22"/>
          <w:szCs w:val="22"/>
          <w:lang w:eastAsia="en-AU"/>
        </w:rPr>
        <w:t xml:space="preserve">by </w:t>
      </w:r>
      <w:r w:rsidR="00C81410" w:rsidRPr="000820DB">
        <w:rPr>
          <w:rFonts w:eastAsia="Times New Roman"/>
          <w:sz w:val="22"/>
          <w:szCs w:val="22"/>
          <w:lang w:eastAsia="en-AU"/>
        </w:rPr>
        <w:t>an IAF conformity assessment body</w:t>
      </w:r>
      <w:r w:rsidR="002A736E" w:rsidRPr="000820DB">
        <w:rPr>
          <w:rFonts w:eastAsia="Times New Roman"/>
          <w:sz w:val="22"/>
          <w:szCs w:val="22"/>
          <w:lang w:eastAsia="en-AU"/>
        </w:rPr>
        <w:t>.</w:t>
      </w:r>
    </w:p>
    <w:bookmarkEnd w:id="1"/>
    <w:p w14:paraId="33C6C4AA" w14:textId="2B07886A" w:rsidR="001E51F5" w:rsidRPr="000820DB" w:rsidRDefault="001E51F5" w:rsidP="001E51F5">
      <w:pPr>
        <w:spacing w:after="0" w:line="240" w:lineRule="auto"/>
        <w:rPr>
          <w:rFonts w:eastAsia="Times New Roman"/>
          <w:sz w:val="22"/>
          <w:szCs w:val="22"/>
          <w:lang w:eastAsia="en-AU"/>
        </w:rPr>
      </w:pPr>
    </w:p>
    <w:p w14:paraId="5B0915E2" w14:textId="30E4D0DF" w:rsidR="0038420D" w:rsidRPr="000820DB" w:rsidRDefault="0038420D" w:rsidP="001E51F5">
      <w:pPr>
        <w:spacing w:after="0" w:line="240" w:lineRule="auto"/>
        <w:rPr>
          <w:rFonts w:eastAsia="Times New Roman"/>
          <w:b/>
          <w:bCs/>
          <w:sz w:val="22"/>
          <w:szCs w:val="22"/>
          <w:lang w:eastAsia="en-AU"/>
        </w:rPr>
      </w:pPr>
      <w:r w:rsidRPr="000820DB">
        <w:rPr>
          <w:rFonts w:eastAsia="Times New Roman"/>
          <w:b/>
          <w:bCs/>
          <w:sz w:val="22"/>
          <w:szCs w:val="22"/>
          <w:lang w:eastAsia="en-AU"/>
        </w:rPr>
        <w:t>Incorporation by reference</w:t>
      </w:r>
    </w:p>
    <w:p w14:paraId="4828F6DB" w14:textId="552DC710" w:rsidR="0038420D" w:rsidRPr="000820DB" w:rsidRDefault="0038420D" w:rsidP="001E51F5">
      <w:pPr>
        <w:spacing w:after="0" w:line="240" w:lineRule="auto"/>
        <w:rPr>
          <w:rFonts w:eastAsia="Times New Roman"/>
          <w:sz w:val="22"/>
          <w:szCs w:val="22"/>
          <w:lang w:eastAsia="en-AU"/>
        </w:rPr>
      </w:pPr>
    </w:p>
    <w:p w14:paraId="583A98A9" w14:textId="5D66B02A" w:rsidR="0038420D" w:rsidRPr="000820DB" w:rsidRDefault="0038420D"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The Amendment </w:t>
      </w:r>
      <w:r w:rsidR="00211F5B" w:rsidRPr="000820DB">
        <w:rPr>
          <w:rFonts w:eastAsia="Times New Roman"/>
          <w:sz w:val="22"/>
          <w:szCs w:val="22"/>
          <w:lang w:eastAsia="en-AU"/>
        </w:rPr>
        <w:t>Determination makes amendments to the Principal Determination in relation to certain</w:t>
      </w:r>
      <w:r w:rsidRPr="000820DB">
        <w:rPr>
          <w:rFonts w:eastAsia="Times New Roman"/>
          <w:sz w:val="22"/>
          <w:szCs w:val="22"/>
          <w:lang w:eastAsia="en-AU"/>
        </w:rPr>
        <w:t xml:space="preserve"> kinds of information </w:t>
      </w:r>
      <w:r w:rsidR="00211F5B" w:rsidRPr="000820DB">
        <w:rPr>
          <w:rFonts w:eastAsia="Times New Roman"/>
          <w:sz w:val="22"/>
          <w:szCs w:val="22"/>
          <w:lang w:eastAsia="en-AU"/>
        </w:rPr>
        <w:t>that may</w:t>
      </w:r>
      <w:r w:rsidRPr="000820DB">
        <w:rPr>
          <w:rFonts w:eastAsia="Times New Roman"/>
          <w:sz w:val="22"/>
          <w:szCs w:val="22"/>
          <w:lang w:eastAsia="en-AU"/>
        </w:rPr>
        <w:t xml:space="preserve"> accompany an application for inclusion of a medical device in the Register by reference to </w:t>
      </w:r>
      <w:r w:rsidR="003B08D3" w:rsidRPr="000820DB">
        <w:rPr>
          <w:rFonts w:eastAsia="Times New Roman"/>
          <w:sz w:val="22"/>
          <w:szCs w:val="22"/>
          <w:lang w:eastAsia="en-AU"/>
        </w:rPr>
        <w:t xml:space="preserve">documents </w:t>
      </w:r>
      <w:r w:rsidR="000B2FF8" w:rsidRPr="000820DB">
        <w:rPr>
          <w:rFonts w:eastAsia="Times New Roman"/>
          <w:sz w:val="22"/>
          <w:szCs w:val="22"/>
          <w:lang w:eastAsia="en-AU"/>
        </w:rPr>
        <w:t>relating to comparable overseas regulators. These are</w:t>
      </w:r>
      <w:r w:rsidRPr="000820DB">
        <w:rPr>
          <w:rFonts w:eastAsia="Times New Roman"/>
          <w:sz w:val="22"/>
          <w:szCs w:val="22"/>
          <w:lang w:eastAsia="en-AU"/>
        </w:rPr>
        <w:t>:</w:t>
      </w:r>
    </w:p>
    <w:p w14:paraId="009EDF2F" w14:textId="34511972" w:rsidR="00565DF4" w:rsidRPr="000820DB" w:rsidRDefault="00565DF4" w:rsidP="00565DF4">
      <w:pPr>
        <w:pStyle w:val="ListParagraph"/>
        <w:numPr>
          <w:ilvl w:val="0"/>
          <w:numId w:val="7"/>
        </w:numPr>
        <w:spacing w:before="120" w:after="0" w:line="240" w:lineRule="auto"/>
        <w:ind w:left="714" w:hanging="357"/>
        <w:contextualSpacing w:val="0"/>
        <w:rPr>
          <w:rFonts w:eastAsia="Times New Roman"/>
          <w:sz w:val="22"/>
          <w:szCs w:val="22"/>
          <w:lang w:eastAsia="en-AU"/>
        </w:rPr>
      </w:pPr>
      <w:r w:rsidRPr="000820DB">
        <w:rPr>
          <w:rFonts w:eastAsia="Times New Roman"/>
          <w:i/>
          <w:iCs/>
          <w:sz w:val="22"/>
          <w:szCs w:val="22"/>
          <w:lang w:eastAsia="en-AU"/>
        </w:rPr>
        <w:t>Directive 98/79/EC of the European Parliament and of the Council of 27 October 1998 on in vitro diagnostic medical devices</w:t>
      </w:r>
      <w:r w:rsidRPr="000820DB">
        <w:rPr>
          <w:rFonts w:eastAsia="Times New Roman"/>
          <w:sz w:val="22"/>
          <w:szCs w:val="22"/>
          <w:lang w:eastAsia="en-AU"/>
        </w:rPr>
        <w:t xml:space="preserve">, which sets out the requirements for in vitro medical devices and their accessories. This document is freely available from EUR-Lex at </w:t>
      </w:r>
      <w:r w:rsidR="00EA5695" w:rsidRPr="000820DB">
        <w:rPr>
          <w:sz w:val="22"/>
          <w:szCs w:val="22"/>
        </w:rPr>
        <w:t>https://eur-lex.europa.eu/</w:t>
      </w:r>
      <w:r w:rsidR="00211F5B" w:rsidRPr="000820DB">
        <w:rPr>
          <w:rFonts w:eastAsia="Times New Roman"/>
          <w:sz w:val="22"/>
          <w:szCs w:val="22"/>
          <w:lang w:eastAsia="en-AU"/>
        </w:rPr>
        <w:t>;</w:t>
      </w:r>
      <w:r w:rsidR="00EA5695" w:rsidRPr="000820DB">
        <w:rPr>
          <w:rFonts w:eastAsia="Times New Roman"/>
          <w:sz w:val="22"/>
          <w:szCs w:val="22"/>
          <w:lang w:eastAsia="en-AU"/>
        </w:rPr>
        <w:t xml:space="preserve"> and</w:t>
      </w:r>
    </w:p>
    <w:p w14:paraId="2BB4720A" w14:textId="01D6D4AD" w:rsidR="002A736E" w:rsidRPr="000820DB" w:rsidRDefault="002A736E" w:rsidP="00565DF4">
      <w:pPr>
        <w:pStyle w:val="ListParagraph"/>
        <w:numPr>
          <w:ilvl w:val="0"/>
          <w:numId w:val="7"/>
        </w:numPr>
        <w:spacing w:before="120" w:after="0" w:line="240" w:lineRule="auto"/>
        <w:ind w:left="714" w:hanging="357"/>
        <w:contextualSpacing w:val="0"/>
        <w:rPr>
          <w:rFonts w:eastAsia="Times New Roman"/>
          <w:sz w:val="22"/>
          <w:szCs w:val="22"/>
          <w:lang w:eastAsia="en-AU"/>
        </w:rPr>
      </w:pPr>
      <w:r w:rsidRPr="000820DB">
        <w:rPr>
          <w:rFonts w:eastAsia="Times New Roman"/>
          <w:sz w:val="22"/>
          <w:szCs w:val="22"/>
          <w:lang w:eastAsia="en-AU"/>
        </w:rPr>
        <w:t xml:space="preserve">International Standard ISO 13485:2016 </w:t>
      </w:r>
      <w:r w:rsidRPr="000820DB">
        <w:rPr>
          <w:rFonts w:eastAsia="Times New Roman"/>
          <w:i/>
          <w:iCs/>
          <w:sz w:val="22"/>
          <w:szCs w:val="22"/>
          <w:lang w:eastAsia="en-AU"/>
        </w:rPr>
        <w:t xml:space="preserve">Medical Devices—Quality management systems—Requirements for regulatory purposes </w:t>
      </w:r>
      <w:r w:rsidRPr="000820DB">
        <w:rPr>
          <w:rFonts w:eastAsia="Times New Roman"/>
          <w:sz w:val="22"/>
          <w:szCs w:val="22"/>
          <w:lang w:eastAsia="en-AU"/>
        </w:rPr>
        <w:t xml:space="preserve">(ISO 13485). This international standard was issued by the International Organization for Standardization in March 2016. It specifies requirements for quality management systems that enable an organisation to demonstrate that it </w:t>
      </w:r>
      <w:proofErr w:type="gramStart"/>
      <w:r w:rsidRPr="000820DB">
        <w:rPr>
          <w:rFonts w:eastAsia="Times New Roman"/>
          <w:sz w:val="22"/>
          <w:szCs w:val="22"/>
          <w:lang w:eastAsia="en-AU"/>
        </w:rPr>
        <w:t>is able to</w:t>
      </w:r>
      <w:proofErr w:type="gramEnd"/>
      <w:r w:rsidRPr="000820DB">
        <w:rPr>
          <w:rFonts w:eastAsia="Times New Roman"/>
          <w:sz w:val="22"/>
          <w:szCs w:val="22"/>
          <w:lang w:eastAsia="en-AU"/>
        </w:rPr>
        <w:t xml:space="preserve"> manufacture medical devices and related services that meet applicable regulatory requirements. Unfortunately</w:t>
      </w:r>
      <w:r w:rsidR="008777F0" w:rsidRPr="000820DB">
        <w:rPr>
          <w:rFonts w:eastAsia="Times New Roman"/>
          <w:sz w:val="22"/>
          <w:szCs w:val="22"/>
          <w:lang w:eastAsia="en-AU"/>
        </w:rPr>
        <w:t>,</w:t>
      </w:r>
      <w:r w:rsidRPr="000820DB">
        <w:rPr>
          <w:rFonts w:eastAsia="Times New Roman"/>
          <w:sz w:val="22"/>
          <w:szCs w:val="22"/>
          <w:lang w:eastAsia="en-AU"/>
        </w:rPr>
        <w:t xml:space="preserve"> th</w:t>
      </w:r>
      <w:r w:rsidR="001A6958" w:rsidRPr="000820DB">
        <w:rPr>
          <w:rFonts w:eastAsia="Times New Roman"/>
          <w:sz w:val="22"/>
          <w:szCs w:val="22"/>
          <w:lang w:eastAsia="en-AU"/>
        </w:rPr>
        <w:t>is international</w:t>
      </w:r>
      <w:r w:rsidRPr="000820DB">
        <w:rPr>
          <w:rFonts w:eastAsia="Times New Roman"/>
          <w:sz w:val="22"/>
          <w:szCs w:val="22"/>
          <w:lang w:eastAsia="en-AU"/>
        </w:rPr>
        <w:t xml:space="preserve"> standard is not freely available as it is subject to copyright, </w:t>
      </w:r>
      <w:r w:rsidR="001A6958" w:rsidRPr="000820DB">
        <w:rPr>
          <w:rFonts w:eastAsia="Times New Roman"/>
          <w:sz w:val="22"/>
          <w:szCs w:val="22"/>
          <w:lang w:eastAsia="en-AU"/>
        </w:rPr>
        <w:t xml:space="preserve">and </w:t>
      </w:r>
      <w:r w:rsidRPr="000820DB">
        <w:rPr>
          <w:rFonts w:eastAsia="Times New Roman"/>
          <w:sz w:val="22"/>
          <w:szCs w:val="22"/>
          <w:lang w:eastAsia="en-AU"/>
        </w:rPr>
        <w:t xml:space="preserve">it may be purchased from </w:t>
      </w:r>
      <w:r w:rsidR="00062818" w:rsidRPr="000820DB">
        <w:rPr>
          <w:rFonts w:eastAsia="Times New Roman"/>
          <w:sz w:val="22"/>
          <w:szCs w:val="22"/>
          <w:lang w:eastAsia="en-AU"/>
        </w:rPr>
        <w:t>www.iso.org</w:t>
      </w:r>
      <w:r w:rsidRPr="000820DB">
        <w:rPr>
          <w:rFonts w:eastAsia="Times New Roman"/>
          <w:sz w:val="22"/>
          <w:szCs w:val="22"/>
          <w:lang w:eastAsia="en-AU"/>
        </w:rPr>
        <w:t>.</w:t>
      </w:r>
      <w:r w:rsidR="00062818" w:rsidRPr="000820DB">
        <w:rPr>
          <w:rFonts w:eastAsia="Times New Roman"/>
          <w:sz w:val="22"/>
          <w:szCs w:val="22"/>
          <w:lang w:eastAsia="en-AU"/>
        </w:rPr>
        <w:t xml:space="preserve"> </w:t>
      </w:r>
      <w:r w:rsidRPr="000820DB">
        <w:rPr>
          <w:rFonts w:eastAsia="Times New Roman"/>
          <w:sz w:val="22"/>
          <w:szCs w:val="22"/>
          <w:lang w:eastAsia="en-AU"/>
        </w:rPr>
        <w:t>However, by prior written arrangement with the TGA, a copy of the standard may be made available for viewing free of charge at the TGA office in Fairbairn, ACT.</w:t>
      </w:r>
    </w:p>
    <w:p w14:paraId="516A85D8" w14:textId="65CD728C" w:rsidR="000B2FF8" w:rsidRPr="000820DB" w:rsidRDefault="000B2FF8" w:rsidP="001E51F5">
      <w:pPr>
        <w:spacing w:after="0" w:line="240" w:lineRule="auto"/>
        <w:rPr>
          <w:rFonts w:eastAsia="Times New Roman"/>
          <w:sz w:val="22"/>
          <w:szCs w:val="22"/>
          <w:lang w:eastAsia="en-AU"/>
        </w:rPr>
      </w:pPr>
    </w:p>
    <w:p w14:paraId="15B0557B" w14:textId="6B347FC8" w:rsidR="000B2FF8" w:rsidRPr="000820DB" w:rsidRDefault="000B2FF8" w:rsidP="002A736E">
      <w:pPr>
        <w:spacing w:after="0" w:line="240" w:lineRule="auto"/>
        <w:jc w:val="both"/>
        <w:rPr>
          <w:rFonts w:eastAsia="Times New Roman"/>
          <w:sz w:val="22"/>
          <w:szCs w:val="22"/>
          <w:lang w:eastAsia="en-AU"/>
        </w:rPr>
      </w:pPr>
      <w:r w:rsidRPr="000820DB">
        <w:rPr>
          <w:rFonts w:eastAsia="Times New Roman"/>
          <w:sz w:val="22"/>
          <w:szCs w:val="22"/>
          <w:lang w:eastAsia="en-AU"/>
        </w:rPr>
        <w:t xml:space="preserve">In accordance with section 14 of the </w:t>
      </w:r>
      <w:r w:rsidRPr="000820DB">
        <w:rPr>
          <w:rFonts w:eastAsia="Times New Roman"/>
          <w:i/>
          <w:iCs/>
          <w:sz w:val="22"/>
          <w:szCs w:val="22"/>
          <w:lang w:eastAsia="en-AU"/>
        </w:rPr>
        <w:t>Legislation Act 2003</w:t>
      </w:r>
      <w:r w:rsidRPr="000820DB">
        <w:rPr>
          <w:rFonts w:eastAsia="Times New Roman"/>
          <w:sz w:val="22"/>
          <w:szCs w:val="22"/>
          <w:lang w:eastAsia="en-AU"/>
        </w:rPr>
        <w:t xml:space="preserve"> (“the Legislation Act”), these documents </w:t>
      </w:r>
      <w:r w:rsidR="000373F0" w:rsidRPr="000820DB">
        <w:rPr>
          <w:rFonts w:eastAsia="Times New Roman"/>
          <w:sz w:val="22"/>
          <w:szCs w:val="22"/>
          <w:lang w:eastAsia="en-AU"/>
        </w:rPr>
        <w:t xml:space="preserve">have been </w:t>
      </w:r>
      <w:r w:rsidRPr="000820DB">
        <w:rPr>
          <w:rFonts w:eastAsia="Times New Roman"/>
          <w:sz w:val="22"/>
          <w:szCs w:val="22"/>
          <w:lang w:eastAsia="en-AU"/>
        </w:rPr>
        <w:t xml:space="preserve">incorporated as in force or existing immediately before the commencement of the </w:t>
      </w:r>
      <w:r w:rsidR="000373F0" w:rsidRPr="000820DB">
        <w:rPr>
          <w:rFonts w:eastAsia="Times New Roman"/>
          <w:sz w:val="22"/>
          <w:szCs w:val="22"/>
          <w:lang w:eastAsia="en-AU"/>
        </w:rPr>
        <w:t xml:space="preserve">Principal </w:t>
      </w:r>
      <w:r w:rsidRPr="000820DB">
        <w:rPr>
          <w:rFonts w:eastAsia="Times New Roman"/>
          <w:sz w:val="22"/>
          <w:szCs w:val="22"/>
          <w:lang w:eastAsia="en-AU"/>
        </w:rPr>
        <w:t>Determination</w:t>
      </w:r>
      <w:r w:rsidR="000373F0" w:rsidRPr="000820DB">
        <w:rPr>
          <w:rFonts w:eastAsia="Times New Roman"/>
          <w:sz w:val="22"/>
          <w:szCs w:val="22"/>
          <w:lang w:eastAsia="en-AU"/>
        </w:rPr>
        <w:t xml:space="preserve"> (as specified in the definitions of these terms in section 4 of the Principal Determination)</w:t>
      </w:r>
      <w:r w:rsidRPr="000820DB">
        <w:rPr>
          <w:rFonts w:eastAsia="Times New Roman"/>
          <w:sz w:val="22"/>
          <w:szCs w:val="22"/>
          <w:lang w:eastAsia="en-AU"/>
        </w:rPr>
        <w:t>. This means that any subsequent changes to these documents will not be automatically applied under the Determination.</w:t>
      </w:r>
    </w:p>
    <w:p w14:paraId="5EE99A5A" w14:textId="77777777" w:rsidR="000B2FF8" w:rsidRPr="000820DB" w:rsidRDefault="000B2FF8" w:rsidP="001E51F5">
      <w:pPr>
        <w:spacing w:after="0" w:line="240" w:lineRule="auto"/>
        <w:rPr>
          <w:rFonts w:eastAsia="Times New Roman"/>
          <w:sz w:val="22"/>
          <w:szCs w:val="22"/>
          <w:lang w:eastAsia="en-AU"/>
        </w:rPr>
      </w:pPr>
    </w:p>
    <w:p w14:paraId="6B738905" w14:textId="77777777" w:rsidR="00B83BD5" w:rsidRPr="000820DB" w:rsidRDefault="001E51F5" w:rsidP="000820DB">
      <w:pPr>
        <w:keepNext/>
        <w:spacing w:after="0" w:line="240" w:lineRule="auto"/>
        <w:rPr>
          <w:rFonts w:eastAsia="Times New Roman"/>
          <w:b/>
          <w:sz w:val="22"/>
          <w:szCs w:val="22"/>
          <w:lang w:eastAsia="en-AU"/>
        </w:rPr>
      </w:pPr>
      <w:r w:rsidRPr="000820DB">
        <w:rPr>
          <w:rFonts w:eastAsia="Times New Roman"/>
          <w:b/>
          <w:sz w:val="22"/>
          <w:szCs w:val="22"/>
          <w:lang w:eastAsia="en-AU"/>
        </w:rPr>
        <w:lastRenderedPageBreak/>
        <w:t>Consultation</w:t>
      </w:r>
    </w:p>
    <w:p w14:paraId="17BC3CBF" w14:textId="07C5A27A" w:rsidR="008B1C51" w:rsidRPr="000820DB" w:rsidRDefault="008B1C51" w:rsidP="000820DB">
      <w:pPr>
        <w:keepNext/>
        <w:spacing w:after="0" w:line="240" w:lineRule="auto"/>
        <w:rPr>
          <w:rFonts w:eastAsia="Times New Roman"/>
          <w:sz w:val="22"/>
          <w:szCs w:val="22"/>
          <w:lang w:eastAsia="en-AU"/>
        </w:rPr>
      </w:pPr>
    </w:p>
    <w:p w14:paraId="636754AB" w14:textId="58171676" w:rsidR="008B1C51" w:rsidRPr="000820DB" w:rsidRDefault="008B1C51" w:rsidP="001E51F5">
      <w:pPr>
        <w:spacing w:after="0" w:line="240" w:lineRule="auto"/>
        <w:rPr>
          <w:rFonts w:eastAsia="Times New Roman"/>
          <w:sz w:val="22"/>
          <w:szCs w:val="22"/>
          <w:lang w:eastAsia="en-AU"/>
        </w:rPr>
      </w:pPr>
      <w:r w:rsidRPr="000820DB">
        <w:rPr>
          <w:rFonts w:eastAsia="Times New Roman"/>
          <w:sz w:val="22"/>
          <w:szCs w:val="22"/>
          <w:lang w:eastAsia="en-AU"/>
        </w:rPr>
        <w:t>The TGA consult</w:t>
      </w:r>
      <w:r w:rsidR="00FA1FD8" w:rsidRPr="000820DB">
        <w:rPr>
          <w:rFonts w:eastAsia="Times New Roman"/>
          <w:sz w:val="22"/>
          <w:szCs w:val="22"/>
          <w:lang w:eastAsia="en-AU"/>
        </w:rPr>
        <w:t>ed</w:t>
      </w:r>
      <w:r w:rsidRPr="000820DB">
        <w:rPr>
          <w:rFonts w:eastAsia="Times New Roman"/>
          <w:sz w:val="22"/>
          <w:szCs w:val="22"/>
          <w:lang w:eastAsia="en-AU"/>
        </w:rPr>
        <w:t xml:space="preserve"> with relevant stakeholders who may be impacted by the proposed extension to the timeframe for acceptance of ISO 13485 certificates supporting applications for Class 2 </w:t>
      </w:r>
      <w:r w:rsidR="00211F5B" w:rsidRPr="000820DB">
        <w:rPr>
          <w:rFonts w:eastAsia="Times New Roman"/>
          <w:sz w:val="22"/>
          <w:szCs w:val="22"/>
          <w:lang w:eastAsia="en-AU"/>
        </w:rPr>
        <w:t>and</w:t>
      </w:r>
      <w:r w:rsidRPr="000820DB">
        <w:rPr>
          <w:rFonts w:eastAsia="Times New Roman"/>
          <w:sz w:val="22"/>
          <w:szCs w:val="22"/>
          <w:lang w:eastAsia="en-AU"/>
        </w:rPr>
        <w:t xml:space="preserve"> 3 IVDs on two separate occasions.</w:t>
      </w:r>
    </w:p>
    <w:p w14:paraId="33236B8D" w14:textId="77777777" w:rsidR="008B1C51" w:rsidRPr="000820DB" w:rsidRDefault="008B1C51" w:rsidP="001E51F5">
      <w:pPr>
        <w:spacing w:after="0" w:line="240" w:lineRule="auto"/>
        <w:rPr>
          <w:rFonts w:eastAsia="Times New Roman"/>
          <w:sz w:val="22"/>
          <w:szCs w:val="22"/>
          <w:lang w:eastAsia="en-AU"/>
        </w:rPr>
      </w:pPr>
    </w:p>
    <w:p w14:paraId="2180D93B" w14:textId="51E3C792" w:rsidR="00EF6819" w:rsidRPr="000820DB" w:rsidRDefault="008B1C51" w:rsidP="001E51F5">
      <w:pPr>
        <w:spacing w:after="0" w:line="240" w:lineRule="auto"/>
        <w:rPr>
          <w:rFonts w:eastAsia="Times New Roman"/>
          <w:sz w:val="22"/>
          <w:szCs w:val="22"/>
          <w:lang w:eastAsia="en-AU"/>
        </w:rPr>
      </w:pPr>
      <w:r w:rsidRPr="000820DB">
        <w:rPr>
          <w:rFonts w:eastAsia="Times New Roman"/>
          <w:sz w:val="22"/>
          <w:szCs w:val="22"/>
          <w:lang w:eastAsia="en-AU"/>
        </w:rPr>
        <w:t>An initial proposal, which outlined</w:t>
      </w:r>
      <w:r w:rsidR="00062818" w:rsidRPr="000820DB">
        <w:rPr>
          <w:rFonts w:eastAsia="Times New Roman"/>
          <w:sz w:val="22"/>
          <w:szCs w:val="22"/>
          <w:lang w:eastAsia="en-AU"/>
        </w:rPr>
        <w:t xml:space="preserve"> the following</w:t>
      </w:r>
      <w:r w:rsidRPr="000820DB">
        <w:rPr>
          <w:rFonts w:eastAsia="Times New Roman"/>
          <w:sz w:val="22"/>
          <w:szCs w:val="22"/>
          <w:lang w:eastAsia="en-AU"/>
        </w:rPr>
        <w:t xml:space="preserve"> 3 possible options available was presented and discussed at the Medical Devices Regulatory and Technical Consultative Forum </w:t>
      </w:r>
      <w:r w:rsidR="007D2C7D" w:rsidRPr="000820DB">
        <w:rPr>
          <w:rFonts w:eastAsia="Times New Roman"/>
          <w:sz w:val="22"/>
          <w:szCs w:val="22"/>
          <w:lang w:eastAsia="en-AU"/>
        </w:rPr>
        <w:t>(</w:t>
      </w:r>
      <w:r w:rsidR="00062818" w:rsidRPr="000820DB">
        <w:rPr>
          <w:rFonts w:eastAsia="Times New Roman"/>
          <w:sz w:val="22"/>
          <w:szCs w:val="22"/>
          <w:lang w:eastAsia="en-AU"/>
        </w:rPr>
        <w:t>“</w:t>
      </w:r>
      <w:proofErr w:type="spellStart"/>
      <w:r w:rsidR="007D2C7D" w:rsidRPr="000820DB">
        <w:rPr>
          <w:rFonts w:eastAsia="Times New Roman"/>
          <w:sz w:val="22"/>
          <w:szCs w:val="22"/>
          <w:lang w:eastAsia="en-AU"/>
        </w:rPr>
        <w:t>RegTech</w:t>
      </w:r>
      <w:proofErr w:type="spellEnd"/>
      <w:r w:rsidR="00062818" w:rsidRPr="000820DB">
        <w:rPr>
          <w:rFonts w:eastAsia="Times New Roman"/>
          <w:sz w:val="22"/>
          <w:szCs w:val="22"/>
          <w:lang w:eastAsia="en-AU"/>
        </w:rPr>
        <w:t>”</w:t>
      </w:r>
      <w:r w:rsidR="007D2C7D" w:rsidRPr="000820DB">
        <w:rPr>
          <w:rFonts w:eastAsia="Times New Roman"/>
          <w:sz w:val="22"/>
          <w:szCs w:val="22"/>
          <w:lang w:eastAsia="en-AU"/>
        </w:rPr>
        <w:t xml:space="preserve">) </w:t>
      </w:r>
      <w:r w:rsidRPr="000820DB">
        <w:rPr>
          <w:rFonts w:eastAsia="Times New Roman"/>
          <w:sz w:val="22"/>
          <w:szCs w:val="22"/>
          <w:lang w:eastAsia="en-AU"/>
        </w:rPr>
        <w:t>meeting on 24 February 2022</w:t>
      </w:r>
      <w:r w:rsidR="00062818" w:rsidRPr="000820DB">
        <w:rPr>
          <w:rFonts w:eastAsia="Times New Roman"/>
          <w:sz w:val="22"/>
          <w:szCs w:val="22"/>
          <w:lang w:eastAsia="en-AU"/>
        </w:rPr>
        <w:t>:</w:t>
      </w:r>
    </w:p>
    <w:p w14:paraId="62A29C5A" w14:textId="20E3F05A" w:rsidR="00E35BF7" w:rsidRPr="000820DB" w:rsidRDefault="00211F5B" w:rsidP="008B4916">
      <w:pPr>
        <w:pStyle w:val="ListParagraph"/>
        <w:numPr>
          <w:ilvl w:val="0"/>
          <w:numId w:val="9"/>
        </w:numPr>
        <w:spacing w:after="0" w:line="240" w:lineRule="auto"/>
        <w:rPr>
          <w:rFonts w:eastAsia="Times New Roman"/>
          <w:sz w:val="22"/>
          <w:szCs w:val="22"/>
          <w:lang w:eastAsia="en-AU"/>
        </w:rPr>
      </w:pPr>
      <w:r w:rsidRPr="000820DB">
        <w:rPr>
          <w:rFonts w:eastAsia="Times New Roman"/>
          <w:sz w:val="22"/>
          <w:szCs w:val="22"/>
          <w:lang w:eastAsia="en-AU"/>
        </w:rPr>
        <w:t>O</w:t>
      </w:r>
      <w:r w:rsidR="008B1C51" w:rsidRPr="000820DB">
        <w:rPr>
          <w:rFonts w:eastAsia="Times New Roman"/>
          <w:sz w:val="22"/>
          <w:szCs w:val="22"/>
          <w:lang w:eastAsia="en-AU"/>
        </w:rPr>
        <w:t>ption 1,</w:t>
      </w:r>
      <w:r w:rsidRPr="000820DB">
        <w:rPr>
          <w:rFonts w:eastAsia="Times New Roman"/>
          <w:sz w:val="22"/>
          <w:szCs w:val="22"/>
          <w:lang w:eastAsia="en-AU"/>
        </w:rPr>
        <w:t xml:space="preserve"> which</w:t>
      </w:r>
      <w:r w:rsidR="008B1C51" w:rsidRPr="000820DB">
        <w:rPr>
          <w:rFonts w:eastAsia="Times New Roman"/>
          <w:sz w:val="22"/>
          <w:szCs w:val="22"/>
          <w:lang w:eastAsia="en-AU"/>
        </w:rPr>
        <w:t xml:space="preserve"> </w:t>
      </w:r>
      <w:r w:rsidR="00FA1FD8" w:rsidRPr="000820DB">
        <w:rPr>
          <w:rFonts w:eastAsia="Times New Roman"/>
          <w:sz w:val="22"/>
          <w:szCs w:val="22"/>
          <w:lang w:eastAsia="en-AU"/>
        </w:rPr>
        <w:t>involv</w:t>
      </w:r>
      <w:r w:rsidRPr="000820DB">
        <w:rPr>
          <w:rFonts w:eastAsia="Times New Roman"/>
          <w:sz w:val="22"/>
          <w:szCs w:val="22"/>
          <w:lang w:eastAsia="en-AU"/>
        </w:rPr>
        <w:t>ed</w:t>
      </w:r>
      <w:r w:rsidR="00FA1FD8" w:rsidRPr="000820DB">
        <w:rPr>
          <w:rFonts w:eastAsia="Times New Roman"/>
          <w:sz w:val="22"/>
          <w:szCs w:val="22"/>
          <w:lang w:eastAsia="en-AU"/>
        </w:rPr>
        <w:t xml:space="preserve"> </w:t>
      </w:r>
      <w:r w:rsidR="008B1C51" w:rsidRPr="000820DB">
        <w:rPr>
          <w:rFonts w:eastAsia="Times New Roman"/>
          <w:sz w:val="22"/>
          <w:szCs w:val="22"/>
          <w:lang w:eastAsia="en-AU"/>
        </w:rPr>
        <w:t xml:space="preserve">no changes to existing </w:t>
      </w:r>
      <w:proofErr w:type="gramStart"/>
      <w:r w:rsidR="008B1C51" w:rsidRPr="000820DB">
        <w:rPr>
          <w:rFonts w:eastAsia="Times New Roman"/>
          <w:sz w:val="22"/>
          <w:szCs w:val="22"/>
          <w:lang w:eastAsia="en-AU"/>
        </w:rPr>
        <w:t>provisions;</w:t>
      </w:r>
      <w:proofErr w:type="gramEnd"/>
    </w:p>
    <w:p w14:paraId="3FF5CBF1" w14:textId="06F74EF2" w:rsidR="00E35BF7" w:rsidRPr="000820DB" w:rsidRDefault="00211F5B" w:rsidP="008B4916">
      <w:pPr>
        <w:pStyle w:val="ListParagraph"/>
        <w:numPr>
          <w:ilvl w:val="0"/>
          <w:numId w:val="9"/>
        </w:numPr>
        <w:spacing w:after="0" w:line="240" w:lineRule="auto"/>
        <w:rPr>
          <w:rFonts w:eastAsia="Times New Roman"/>
          <w:sz w:val="22"/>
          <w:szCs w:val="22"/>
          <w:lang w:eastAsia="en-AU"/>
        </w:rPr>
      </w:pPr>
      <w:r w:rsidRPr="000820DB">
        <w:rPr>
          <w:rFonts w:eastAsia="Times New Roman"/>
          <w:sz w:val="22"/>
          <w:szCs w:val="22"/>
          <w:lang w:eastAsia="en-AU"/>
        </w:rPr>
        <w:t>O</w:t>
      </w:r>
      <w:r w:rsidR="008B1C51" w:rsidRPr="000820DB">
        <w:rPr>
          <w:rFonts w:eastAsia="Times New Roman"/>
          <w:sz w:val="22"/>
          <w:szCs w:val="22"/>
          <w:lang w:eastAsia="en-AU"/>
        </w:rPr>
        <w:t>ption 2</w:t>
      </w:r>
      <w:r w:rsidR="00FA1FD8" w:rsidRPr="000820DB">
        <w:rPr>
          <w:rFonts w:eastAsia="Times New Roman"/>
          <w:sz w:val="22"/>
          <w:szCs w:val="22"/>
          <w:lang w:eastAsia="en-AU"/>
        </w:rPr>
        <w:t xml:space="preserve">, </w:t>
      </w:r>
      <w:r w:rsidRPr="000820DB">
        <w:rPr>
          <w:rFonts w:eastAsia="Times New Roman"/>
          <w:sz w:val="22"/>
          <w:szCs w:val="22"/>
          <w:lang w:eastAsia="en-AU"/>
        </w:rPr>
        <w:t xml:space="preserve">which </w:t>
      </w:r>
      <w:r w:rsidR="00FA1FD8" w:rsidRPr="000820DB">
        <w:rPr>
          <w:rFonts w:eastAsia="Times New Roman"/>
          <w:sz w:val="22"/>
          <w:szCs w:val="22"/>
          <w:lang w:eastAsia="en-AU"/>
        </w:rPr>
        <w:t>involv</w:t>
      </w:r>
      <w:r w:rsidRPr="000820DB">
        <w:rPr>
          <w:rFonts w:eastAsia="Times New Roman"/>
          <w:sz w:val="22"/>
          <w:szCs w:val="22"/>
          <w:lang w:eastAsia="en-AU"/>
        </w:rPr>
        <w:t>ed</w:t>
      </w:r>
      <w:r w:rsidR="00FA1FD8" w:rsidRPr="000820DB">
        <w:rPr>
          <w:rFonts w:eastAsia="Times New Roman"/>
          <w:sz w:val="22"/>
          <w:szCs w:val="22"/>
          <w:lang w:eastAsia="en-AU"/>
        </w:rPr>
        <w:t xml:space="preserve"> </w:t>
      </w:r>
      <w:r w:rsidR="008B1C51" w:rsidRPr="000820DB">
        <w:rPr>
          <w:rFonts w:eastAsia="Times New Roman"/>
          <w:sz w:val="22"/>
          <w:szCs w:val="22"/>
          <w:lang w:eastAsia="en-AU"/>
        </w:rPr>
        <w:t>extend</w:t>
      </w:r>
      <w:r w:rsidR="00FA1FD8" w:rsidRPr="000820DB">
        <w:rPr>
          <w:rFonts w:eastAsia="Times New Roman"/>
          <w:sz w:val="22"/>
          <w:szCs w:val="22"/>
          <w:lang w:eastAsia="en-AU"/>
        </w:rPr>
        <w:t>ing</w:t>
      </w:r>
      <w:r w:rsidR="008B1C51" w:rsidRPr="000820DB">
        <w:rPr>
          <w:rFonts w:eastAsia="Times New Roman"/>
          <w:sz w:val="22"/>
          <w:szCs w:val="22"/>
          <w:lang w:eastAsia="en-AU"/>
        </w:rPr>
        <w:t xml:space="preserve"> </w:t>
      </w:r>
      <w:r w:rsidRPr="000820DB">
        <w:rPr>
          <w:rFonts w:eastAsia="Times New Roman"/>
          <w:sz w:val="22"/>
          <w:szCs w:val="22"/>
          <w:lang w:eastAsia="en-AU"/>
        </w:rPr>
        <w:t xml:space="preserve">the </w:t>
      </w:r>
      <w:r w:rsidR="008B1C51" w:rsidRPr="000820DB">
        <w:rPr>
          <w:rFonts w:eastAsia="Times New Roman"/>
          <w:sz w:val="22"/>
          <w:szCs w:val="22"/>
          <w:lang w:eastAsia="en-AU"/>
        </w:rPr>
        <w:t xml:space="preserve">acceptance of ISO13485 certificates for a period of 12 months with further allowances for devices that are lawfully supplied in the EU, in line with transition arrangements already in place in Europe; and </w:t>
      </w:r>
    </w:p>
    <w:p w14:paraId="1F6CA3A6" w14:textId="187FF544" w:rsidR="00C81410" w:rsidRPr="000820DB" w:rsidRDefault="00211F5B" w:rsidP="004121C0">
      <w:pPr>
        <w:pStyle w:val="ListParagraph"/>
        <w:numPr>
          <w:ilvl w:val="0"/>
          <w:numId w:val="9"/>
        </w:numPr>
        <w:spacing w:after="0" w:line="240" w:lineRule="auto"/>
        <w:rPr>
          <w:rFonts w:eastAsia="Times New Roman"/>
          <w:sz w:val="22"/>
          <w:szCs w:val="22"/>
          <w:lang w:eastAsia="en-AU"/>
        </w:rPr>
      </w:pPr>
      <w:r w:rsidRPr="000820DB">
        <w:rPr>
          <w:rFonts w:eastAsia="Times New Roman"/>
          <w:sz w:val="22"/>
          <w:szCs w:val="22"/>
          <w:lang w:eastAsia="en-AU"/>
        </w:rPr>
        <w:t>O</w:t>
      </w:r>
      <w:r w:rsidR="008B1C51" w:rsidRPr="000820DB">
        <w:rPr>
          <w:rFonts w:eastAsia="Times New Roman"/>
          <w:sz w:val="22"/>
          <w:szCs w:val="22"/>
          <w:lang w:eastAsia="en-AU"/>
        </w:rPr>
        <w:t>ption 3</w:t>
      </w:r>
      <w:r w:rsidR="00FA1FD8" w:rsidRPr="000820DB">
        <w:rPr>
          <w:rFonts w:eastAsia="Times New Roman"/>
          <w:sz w:val="22"/>
          <w:szCs w:val="22"/>
          <w:lang w:eastAsia="en-AU"/>
        </w:rPr>
        <w:t>,</w:t>
      </w:r>
      <w:r w:rsidRPr="000820DB">
        <w:rPr>
          <w:rFonts w:eastAsia="Times New Roman"/>
          <w:sz w:val="22"/>
          <w:szCs w:val="22"/>
          <w:lang w:eastAsia="en-AU"/>
        </w:rPr>
        <w:t xml:space="preserve"> which</w:t>
      </w:r>
      <w:r w:rsidR="00FA1FD8" w:rsidRPr="000820DB">
        <w:rPr>
          <w:rFonts w:eastAsia="Times New Roman"/>
          <w:sz w:val="22"/>
          <w:szCs w:val="22"/>
          <w:lang w:eastAsia="en-AU"/>
        </w:rPr>
        <w:t xml:space="preserve"> involv</w:t>
      </w:r>
      <w:r w:rsidRPr="000820DB">
        <w:rPr>
          <w:rFonts w:eastAsia="Times New Roman"/>
          <w:sz w:val="22"/>
          <w:szCs w:val="22"/>
          <w:lang w:eastAsia="en-AU"/>
        </w:rPr>
        <w:t>ed</w:t>
      </w:r>
      <w:r w:rsidR="008B1C51" w:rsidRPr="000820DB">
        <w:rPr>
          <w:rFonts w:eastAsia="Times New Roman"/>
          <w:sz w:val="22"/>
          <w:szCs w:val="22"/>
          <w:lang w:eastAsia="en-AU"/>
        </w:rPr>
        <w:t xml:space="preserve"> allow</w:t>
      </w:r>
      <w:r w:rsidR="00FA1FD8" w:rsidRPr="000820DB">
        <w:rPr>
          <w:rFonts w:eastAsia="Times New Roman"/>
          <w:sz w:val="22"/>
          <w:szCs w:val="22"/>
          <w:lang w:eastAsia="en-AU"/>
        </w:rPr>
        <w:t>ing</w:t>
      </w:r>
      <w:r w:rsidR="008B1C51" w:rsidRPr="000820DB">
        <w:rPr>
          <w:rFonts w:eastAsia="Times New Roman"/>
          <w:sz w:val="22"/>
          <w:szCs w:val="22"/>
          <w:lang w:eastAsia="en-AU"/>
        </w:rPr>
        <w:t xml:space="preserve"> for continued acceptance of ISO13485 certificates until </w:t>
      </w:r>
      <w:r w:rsidR="00BD2E44" w:rsidRPr="000820DB">
        <w:rPr>
          <w:rFonts w:eastAsia="Times New Roman"/>
          <w:sz w:val="22"/>
          <w:szCs w:val="22"/>
          <w:lang w:eastAsia="en-AU"/>
        </w:rPr>
        <w:t xml:space="preserve">2027 to coincide with the </w:t>
      </w:r>
      <w:r w:rsidR="008B1C51" w:rsidRPr="000820DB">
        <w:rPr>
          <w:rFonts w:eastAsia="Times New Roman"/>
          <w:sz w:val="22"/>
          <w:szCs w:val="22"/>
          <w:lang w:eastAsia="en-AU"/>
        </w:rPr>
        <w:t>end of the EU IVD</w:t>
      </w:r>
      <w:r w:rsidRPr="000820DB">
        <w:rPr>
          <w:rFonts w:eastAsia="Times New Roman"/>
          <w:sz w:val="22"/>
          <w:szCs w:val="22"/>
          <w:lang w:eastAsia="en-AU"/>
        </w:rPr>
        <w:t xml:space="preserve"> regulation</w:t>
      </w:r>
      <w:r w:rsidR="008B1C51" w:rsidRPr="000820DB">
        <w:rPr>
          <w:rFonts w:eastAsia="Times New Roman"/>
          <w:sz w:val="22"/>
          <w:szCs w:val="22"/>
          <w:lang w:eastAsia="en-AU"/>
        </w:rPr>
        <w:t xml:space="preserve"> transition period.</w:t>
      </w:r>
    </w:p>
    <w:p w14:paraId="54C5B5D9" w14:textId="77777777" w:rsidR="004121C0" w:rsidRPr="000820DB" w:rsidRDefault="004121C0" w:rsidP="008B4916">
      <w:pPr>
        <w:pStyle w:val="ListParagraph"/>
        <w:spacing w:after="0" w:line="240" w:lineRule="auto"/>
        <w:rPr>
          <w:rFonts w:eastAsia="Times New Roman"/>
          <w:sz w:val="22"/>
          <w:szCs w:val="22"/>
          <w:lang w:eastAsia="en-AU"/>
        </w:rPr>
      </w:pPr>
    </w:p>
    <w:p w14:paraId="75E07504" w14:textId="6B98D9A6" w:rsidR="00FA1FD8" w:rsidRPr="000820DB" w:rsidRDefault="007E2C2D"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The proposed options were welcomed, but potentially affected stakeholders requested </w:t>
      </w:r>
      <w:r w:rsidR="00482669" w:rsidRPr="000820DB">
        <w:rPr>
          <w:rFonts w:eastAsia="Times New Roman"/>
          <w:sz w:val="22"/>
          <w:szCs w:val="22"/>
          <w:lang w:eastAsia="en-AU"/>
        </w:rPr>
        <w:t>an</w:t>
      </w:r>
      <w:r w:rsidRPr="000820DB">
        <w:rPr>
          <w:rFonts w:eastAsia="Times New Roman"/>
          <w:sz w:val="22"/>
          <w:szCs w:val="22"/>
          <w:lang w:eastAsia="en-AU"/>
        </w:rPr>
        <w:t xml:space="preserve"> opportunity to consider</w:t>
      </w:r>
      <w:r w:rsidR="00E921FD" w:rsidRPr="000820DB">
        <w:rPr>
          <w:rFonts w:eastAsia="Times New Roman"/>
          <w:sz w:val="22"/>
          <w:szCs w:val="22"/>
          <w:lang w:eastAsia="en-AU"/>
        </w:rPr>
        <w:t>,</w:t>
      </w:r>
      <w:r w:rsidRPr="000820DB">
        <w:rPr>
          <w:rFonts w:eastAsia="Times New Roman"/>
          <w:sz w:val="22"/>
          <w:szCs w:val="22"/>
          <w:lang w:eastAsia="en-AU"/>
        </w:rPr>
        <w:t xml:space="preserve"> </w:t>
      </w:r>
      <w:r w:rsidR="006F090D" w:rsidRPr="000820DB">
        <w:rPr>
          <w:rFonts w:eastAsia="Times New Roman"/>
          <w:sz w:val="22"/>
          <w:szCs w:val="22"/>
          <w:lang w:eastAsia="en-AU"/>
        </w:rPr>
        <w:t xml:space="preserve">and discuss </w:t>
      </w:r>
      <w:r w:rsidRPr="000820DB">
        <w:rPr>
          <w:rFonts w:eastAsia="Times New Roman"/>
          <w:sz w:val="22"/>
          <w:szCs w:val="22"/>
          <w:lang w:eastAsia="en-AU"/>
        </w:rPr>
        <w:t>in more detail</w:t>
      </w:r>
      <w:r w:rsidR="00E921FD" w:rsidRPr="000820DB">
        <w:rPr>
          <w:rFonts w:eastAsia="Times New Roman"/>
          <w:sz w:val="22"/>
          <w:szCs w:val="22"/>
          <w:lang w:eastAsia="en-AU"/>
        </w:rPr>
        <w:t>,</w:t>
      </w:r>
      <w:r w:rsidR="006F090D" w:rsidRPr="000820DB">
        <w:rPr>
          <w:rFonts w:eastAsia="Times New Roman"/>
          <w:sz w:val="22"/>
          <w:szCs w:val="22"/>
          <w:lang w:eastAsia="en-AU"/>
        </w:rPr>
        <w:t xml:space="preserve"> before confirming their preferred option.</w:t>
      </w:r>
    </w:p>
    <w:p w14:paraId="0D2181EE" w14:textId="77777777" w:rsidR="006F090D" w:rsidRPr="000820DB" w:rsidRDefault="006F090D" w:rsidP="001E51F5">
      <w:pPr>
        <w:spacing w:after="0" w:line="240" w:lineRule="auto"/>
        <w:rPr>
          <w:rFonts w:eastAsia="Times New Roman"/>
          <w:sz w:val="22"/>
          <w:szCs w:val="22"/>
          <w:lang w:eastAsia="en-AU"/>
        </w:rPr>
      </w:pPr>
    </w:p>
    <w:p w14:paraId="15AC9578" w14:textId="1A737B2C" w:rsidR="007D2C7D" w:rsidRPr="000820DB" w:rsidRDefault="006F090D" w:rsidP="001E51F5">
      <w:pPr>
        <w:spacing w:after="0" w:line="240" w:lineRule="auto"/>
        <w:rPr>
          <w:rFonts w:eastAsia="Times New Roman"/>
          <w:sz w:val="22"/>
          <w:szCs w:val="22"/>
          <w:lang w:eastAsia="en-AU"/>
        </w:rPr>
      </w:pPr>
      <w:r w:rsidRPr="000820DB">
        <w:rPr>
          <w:rFonts w:eastAsia="Times New Roman"/>
          <w:sz w:val="22"/>
          <w:szCs w:val="22"/>
          <w:lang w:eastAsia="en-AU"/>
        </w:rPr>
        <w:t>A</w:t>
      </w:r>
      <w:r w:rsidR="007D2C7D" w:rsidRPr="000820DB">
        <w:rPr>
          <w:rFonts w:eastAsia="Times New Roman"/>
          <w:sz w:val="22"/>
          <w:szCs w:val="22"/>
          <w:lang w:eastAsia="en-AU"/>
        </w:rPr>
        <w:t xml:space="preserve"> further meeting </w:t>
      </w:r>
      <w:r w:rsidRPr="000820DB">
        <w:rPr>
          <w:rFonts w:eastAsia="Times New Roman"/>
          <w:sz w:val="22"/>
          <w:szCs w:val="22"/>
          <w:lang w:eastAsia="en-AU"/>
        </w:rPr>
        <w:t xml:space="preserve">for </w:t>
      </w:r>
      <w:proofErr w:type="spellStart"/>
      <w:r w:rsidR="00FA1FD8" w:rsidRPr="000820DB">
        <w:rPr>
          <w:rFonts w:eastAsia="Times New Roman"/>
          <w:sz w:val="22"/>
          <w:szCs w:val="22"/>
          <w:lang w:eastAsia="en-AU"/>
        </w:rPr>
        <w:t>RegTech</w:t>
      </w:r>
      <w:proofErr w:type="spellEnd"/>
      <w:r w:rsidR="00FA1FD8" w:rsidRPr="000820DB">
        <w:rPr>
          <w:rFonts w:eastAsia="Times New Roman"/>
          <w:sz w:val="22"/>
          <w:szCs w:val="22"/>
          <w:lang w:eastAsia="en-AU"/>
        </w:rPr>
        <w:t xml:space="preserve"> </w:t>
      </w:r>
      <w:r w:rsidRPr="000820DB">
        <w:rPr>
          <w:rFonts w:eastAsia="Times New Roman"/>
          <w:sz w:val="22"/>
          <w:szCs w:val="22"/>
          <w:lang w:eastAsia="en-AU"/>
        </w:rPr>
        <w:t xml:space="preserve">members </w:t>
      </w:r>
      <w:r w:rsidR="00EF6819" w:rsidRPr="000820DB">
        <w:rPr>
          <w:rFonts w:eastAsia="Times New Roman"/>
          <w:sz w:val="22"/>
          <w:szCs w:val="22"/>
          <w:lang w:eastAsia="en-AU"/>
        </w:rPr>
        <w:t xml:space="preserve">was </w:t>
      </w:r>
      <w:r w:rsidR="00FA1FD8" w:rsidRPr="000820DB">
        <w:rPr>
          <w:rFonts w:eastAsia="Times New Roman"/>
          <w:sz w:val="22"/>
          <w:szCs w:val="22"/>
          <w:lang w:eastAsia="en-AU"/>
        </w:rPr>
        <w:t>held</w:t>
      </w:r>
      <w:r w:rsidR="00EF6819" w:rsidRPr="000820DB">
        <w:rPr>
          <w:rFonts w:eastAsia="Times New Roman"/>
          <w:sz w:val="22"/>
          <w:szCs w:val="22"/>
          <w:lang w:eastAsia="en-AU"/>
        </w:rPr>
        <w:t xml:space="preserve"> </w:t>
      </w:r>
      <w:r w:rsidR="007D2C7D" w:rsidRPr="000820DB">
        <w:rPr>
          <w:rFonts w:eastAsia="Times New Roman"/>
          <w:sz w:val="22"/>
          <w:szCs w:val="22"/>
          <w:lang w:eastAsia="en-AU"/>
        </w:rPr>
        <w:t>on 23 March 2022</w:t>
      </w:r>
      <w:r w:rsidR="00FA1FD8" w:rsidRPr="000820DB">
        <w:rPr>
          <w:rFonts w:eastAsia="Times New Roman"/>
          <w:sz w:val="22"/>
          <w:szCs w:val="22"/>
          <w:lang w:eastAsia="en-AU"/>
        </w:rPr>
        <w:t xml:space="preserve">, </w:t>
      </w:r>
      <w:r w:rsidR="007D2C7D" w:rsidRPr="000820DB">
        <w:rPr>
          <w:rFonts w:eastAsia="Times New Roman"/>
          <w:sz w:val="22"/>
          <w:szCs w:val="22"/>
          <w:lang w:eastAsia="en-AU"/>
        </w:rPr>
        <w:t xml:space="preserve">to allow </w:t>
      </w:r>
      <w:r w:rsidR="00FA1FD8" w:rsidRPr="000820DB">
        <w:rPr>
          <w:rFonts w:eastAsia="Times New Roman"/>
          <w:sz w:val="22"/>
          <w:szCs w:val="22"/>
          <w:lang w:eastAsia="en-AU"/>
        </w:rPr>
        <w:t xml:space="preserve">for more </w:t>
      </w:r>
      <w:r w:rsidR="007D2C7D" w:rsidRPr="000820DB">
        <w:rPr>
          <w:rFonts w:eastAsia="Times New Roman"/>
          <w:sz w:val="22"/>
          <w:szCs w:val="22"/>
          <w:lang w:eastAsia="en-AU"/>
        </w:rPr>
        <w:t>detailed discussion</w:t>
      </w:r>
      <w:r w:rsidR="00FA1FD8" w:rsidRPr="000820DB">
        <w:rPr>
          <w:rFonts w:eastAsia="Times New Roman"/>
          <w:sz w:val="22"/>
          <w:szCs w:val="22"/>
          <w:lang w:eastAsia="en-AU"/>
        </w:rPr>
        <w:t>s</w:t>
      </w:r>
      <w:r w:rsidR="007D2C7D" w:rsidRPr="000820DB">
        <w:rPr>
          <w:rFonts w:eastAsia="Times New Roman"/>
          <w:sz w:val="22"/>
          <w:szCs w:val="22"/>
          <w:lang w:eastAsia="en-AU"/>
        </w:rPr>
        <w:t xml:space="preserve"> and</w:t>
      </w:r>
      <w:r w:rsidR="00EF6819" w:rsidRPr="000820DB">
        <w:rPr>
          <w:rFonts w:eastAsia="Times New Roman"/>
          <w:sz w:val="22"/>
          <w:szCs w:val="22"/>
          <w:lang w:eastAsia="en-AU"/>
        </w:rPr>
        <w:t xml:space="preserve"> </w:t>
      </w:r>
      <w:r w:rsidR="00FA1FD8" w:rsidRPr="000820DB">
        <w:rPr>
          <w:rFonts w:eastAsia="Times New Roman"/>
          <w:sz w:val="22"/>
          <w:szCs w:val="22"/>
          <w:lang w:eastAsia="en-AU"/>
        </w:rPr>
        <w:t>input from interested parties</w:t>
      </w:r>
      <w:r w:rsidR="007D2C7D" w:rsidRPr="000820DB">
        <w:rPr>
          <w:rFonts w:eastAsia="Times New Roman"/>
          <w:sz w:val="22"/>
          <w:szCs w:val="22"/>
          <w:lang w:eastAsia="en-AU"/>
        </w:rPr>
        <w:t xml:space="preserve">. </w:t>
      </w:r>
      <w:r w:rsidR="00EF6819" w:rsidRPr="000820DB">
        <w:rPr>
          <w:rFonts w:eastAsia="Times New Roman"/>
          <w:sz w:val="22"/>
          <w:szCs w:val="22"/>
          <w:lang w:eastAsia="en-AU"/>
        </w:rPr>
        <w:t>Th</w:t>
      </w:r>
      <w:r w:rsidR="00FA1FD8" w:rsidRPr="000820DB">
        <w:rPr>
          <w:rFonts w:eastAsia="Times New Roman"/>
          <w:sz w:val="22"/>
          <w:szCs w:val="22"/>
          <w:lang w:eastAsia="en-AU"/>
        </w:rPr>
        <w:t>is meeting</w:t>
      </w:r>
      <w:r w:rsidR="007D2C7D" w:rsidRPr="000820DB">
        <w:rPr>
          <w:rFonts w:eastAsia="Times New Roman"/>
          <w:sz w:val="22"/>
          <w:szCs w:val="22"/>
          <w:lang w:eastAsia="en-AU"/>
        </w:rPr>
        <w:t xml:space="preserve"> was attended by 15 members of Pathology Technology Australia</w:t>
      </w:r>
      <w:r w:rsidR="00062818" w:rsidRPr="000820DB">
        <w:rPr>
          <w:rFonts w:eastAsia="Times New Roman"/>
          <w:sz w:val="22"/>
          <w:szCs w:val="22"/>
          <w:lang w:eastAsia="en-AU"/>
        </w:rPr>
        <w:t xml:space="preserve"> (“PTA”)</w:t>
      </w:r>
      <w:r w:rsidR="007D2C7D" w:rsidRPr="000820DB">
        <w:rPr>
          <w:rFonts w:eastAsia="Times New Roman"/>
          <w:sz w:val="22"/>
          <w:szCs w:val="22"/>
          <w:lang w:eastAsia="en-AU"/>
        </w:rPr>
        <w:t xml:space="preserve">, including in-person representatives from 13 different Australian sponsors. </w:t>
      </w:r>
      <w:r w:rsidR="007A435E" w:rsidRPr="000820DB">
        <w:rPr>
          <w:rFonts w:eastAsia="Times New Roman"/>
          <w:sz w:val="22"/>
          <w:szCs w:val="22"/>
          <w:lang w:eastAsia="en-AU"/>
        </w:rPr>
        <w:t xml:space="preserve">PTA </w:t>
      </w:r>
      <w:r w:rsidR="00E921FD" w:rsidRPr="000820DB">
        <w:rPr>
          <w:rFonts w:eastAsia="Times New Roman"/>
          <w:sz w:val="22"/>
          <w:szCs w:val="22"/>
          <w:lang w:eastAsia="en-AU"/>
        </w:rPr>
        <w:t xml:space="preserve">is </w:t>
      </w:r>
      <w:r w:rsidR="007A435E" w:rsidRPr="000820DB">
        <w:rPr>
          <w:rFonts w:eastAsia="Times New Roman"/>
          <w:sz w:val="22"/>
          <w:szCs w:val="22"/>
          <w:lang w:eastAsia="en-AU"/>
        </w:rPr>
        <w:t xml:space="preserve">the main peak body representing manufacturers and importers of IVD tests and technologies that are used in pathology laboratory, hospital and primary care settings in Australia and </w:t>
      </w:r>
      <w:r w:rsidR="00E921FD" w:rsidRPr="000820DB">
        <w:rPr>
          <w:rFonts w:eastAsia="Times New Roman"/>
          <w:sz w:val="22"/>
          <w:szCs w:val="22"/>
          <w:lang w:eastAsia="en-AU"/>
        </w:rPr>
        <w:t xml:space="preserve">its </w:t>
      </w:r>
      <w:r w:rsidR="00EF6819" w:rsidRPr="000820DB">
        <w:rPr>
          <w:rFonts w:eastAsia="Times New Roman"/>
          <w:sz w:val="22"/>
          <w:szCs w:val="22"/>
          <w:lang w:eastAsia="en-AU"/>
        </w:rPr>
        <w:t>members reportedly cover 95</w:t>
      </w:r>
      <w:r w:rsidR="002E4A57" w:rsidRPr="000820DB">
        <w:rPr>
          <w:rFonts w:eastAsia="Times New Roman"/>
          <w:sz w:val="22"/>
          <w:szCs w:val="22"/>
          <w:lang w:eastAsia="en-AU"/>
        </w:rPr>
        <w:t xml:space="preserve"> per cent</w:t>
      </w:r>
      <w:r w:rsidR="00EF6819" w:rsidRPr="000820DB">
        <w:rPr>
          <w:rFonts w:eastAsia="Times New Roman"/>
          <w:sz w:val="22"/>
          <w:szCs w:val="22"/>
          <w:lang w:eastAsia="en-AU"/>
        </w:rPr>
        <w:t xml:space="preserve"> of diagnostics supplied commercially in Australia. </w:t>
      </w:r>
      <w:r w:rsidR="007D2C7D" w:rsidRPr="000820DB" w:rsidDel="007A435E">
        <w:rPr>
          <w:rFonts w:eastAsia="Times New Roman"/>
          <w:sz w:val="22"/>
          <w:szCs w:val="22"/>
          <w:lang w:eastAsia="en-AU"/>
        </w:rPr>
        <w:t xml:space="preserve">In addition, </w:t>
      </w:r>
      <w:r w:rsidR="00E35BF7" w:rsidRPr="000820DB" w:rsidDel="007A435E">
        <w:rPr>
          <w:rFonts w:eastAsia="Times New Roman"/>
          <w:sz w:val="22"/>
          <w:szCs w:val="22"/>
          <w:lang w:eastAsia="en-AU"/>
        </w:rPr>
        <w:t xml:space="preserve">written </w:t>
      </w:r>
      <w:r w:rsidR="007D2C7D" w:rsidRPr="000820DB" w:rsidDel="007A435E">
        <w:rPr>
          <w:rFonts w:eastAsia="Times New Roman"/>
          <w:sz w:val="22"/>
          <w:szCs w:val="22"/>
          <w:lang w:eastAsia="en-AU"/>
        </w:rPr>
        <w:t xml:space="preserve">feedback was </w:t>
      </w:r>
      <w:r w:rsidR="00FA1FD8" w:rsidRPr="000820DB" w:rsidDel="007A435E">
        <w:rPr>
          <w:rFonts w:eastAsia="Times New Roman"/>
          <w:sz w:val="22"/>
          <w:szCs w:val="22"/>
          <w:lang w:eastAsia="en-AU"/>
        </w:rPr>
        <w:t xml:space="preserve">also </w:t>
      </w:r>
      <w:r w:rsidR="007D2C7D" w:rsidRPr="000820DB" w:rsidDel="007A435E">
        <w:rPr>
          <w:rFonts w:eastAsia="Times New Roman"/>
          <w:sz w:val="22"/>
          <w:szCs w:val="22"/>
          <w:lang w:eastAsia="en-AU"/>
        </w:rPr>
        <w:t>received from two representatives responding on behalf of the Association of Therapeutic Goods Consultants.</w:t>
      </w:r>
    </w:p>
    <w:p w14:paraId="77070251" w14:textId="62F0D935" w:rsidR="007D2C7D" w:rsidRPr="000820DB" w:rsidRDefault="007D2C7D" w:rsidP="001E51F5">
      <w:pPr>
        <w:spacing w:after="0" w:line="240" w:lineRule="auto"/>
        <w:rPr>
          <w:rFonts w:eastAsia="Times New Roman"/>
          <w:sz w:val="22"/>
          <w:szCs w:val="22"/>
          <w:lang w:eastAsia="en-AU"/>
        </w:rPr>
      </w:pPr>
    </w:p>
    <w:p w14:paraId="4CC9A2CA" w14:textId="43F6CF0D" w:rsidR="007D2C7D" w:rsidRPr="000820DB" w:rsidRDefault="007D2C7D"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The outcome of </w:t>
      </w:r>
      <w:r w:rsidR="00FA1FD8" w:rsidRPr="000820DB">
        <w:rPr>
          <w:rFonts w:eastAsia="Times New Roman"/>
          <w:sz w:val="22"/>
          <w:szCs w:val="22"/>
          <w:lang w:eastAsia="en-AU"/>
        </w:rPr>
        <w:t xml:space="preserve">the </w:t>
      </w:r>
      <w:r w:rsidRPr="000820DB">
        <w:rPr>
          <w:rFonts w:eastAsia="Times New Roman"/>
          <w:sz w:val="22"/>
          <w:szCs w:val="22"/>
          <w:lang w:eastAsia="en-AU"/>
        </w:rPr>
        <w:t xml:space="preserve">discussions and feedback </w:t>
      </w:r>
      <w:r w:rsidR="00FA1FD8" w:rsidRPr="000820DB">
        <w:rPr>
          <w:rFonts w:eastAsia="Times New Roman"/>
          <w:sz w:val="22"/>
          <w:szCs w:val="22"/>
          <w:lang w:eastAsia="en-AU"/>
        </w:rPr>
        <w:t xml:space="preserve">at the March 2022 meeting </w:t>
      </w:r>
      <w:r w:rsidR="00E35BF7" w:rsidRPr="000820DB">
        <w:rPr>
          <w:rFonts w:eastAsia="Times New Roman"/>
          <w:sz w:val="22"/>
          <w:szCs w:val="22"/>
          <w:lang w:eastAsia="en-AU"/>
        </w:rPr>
        <w:t>was strongly supportive of Option 2. Option 1 was not supported, and while there was some discussion around continuing to accept ISO certification for a longer period</w:t>
      </w:r>
      <w:r w:rsidR="00BD2E44" w:rsidRPr="000820DB">
        <w:rPr>
          <w:rFonts w:eastAsia="Times New Roman"/>
          <w:sz w:val="22"/>
          <w:szCs w:val="22"/>
          <w:lang w:eastAsia="en-AU"/>
        </w:rPr>
        <w:t xml:space="preserve"> under Option 3</w:t>
      </w:r>
      <w:r w:rsidR="00E35BF7" w:rsidRPr="000820DB">
        <w:rPr>
          <w:rFonts w:eastAsia="Times New Roman"/>
          <w:sz w:val="22"/>
          <w:szCs w:val="22"/>
          <w:lang w:eastAsia="en-AU"/>
        </w:rPr>
        <w:t xml:space="preserve">, industry representatives recognised the </w:t>
      </w:r>
      <w:r w:rsidR="00BD2E44" w:rsidRPr="000820DB">
        <w:rPr>
          <w:rFonts w:eastAsia="Times New Roman"/>
          <w:sz w:val="22"/>
          <w:szCs w:val="22"/>
          <w:lang w:eastAsia="en-AU"/>
        </w:rPr>
        <w:t xml:space="preserve">higher degree of </w:t>
      </w:r>
      <w:r w:rsidR="00E35BF7" w:rsidRPr="000820DB">
        <w:rPr>
          <w:rFonts w:eastAsia="Times New Roman"/>
          <w:sz w:val="22"/>
          <w:szCs w:val="22"/>
          <w:lang w:eastAsia="en-AU"/>
        </w:rPr>
        <w:t xml:space="preserve">technical and regulatory deficiencies </w:t>
      </w:r>
      <w:r w:rsidR="00BD2E44" w:rsidRPr="000820DB">
        <w:rPr>
          <w:rFonts w:eastAsia="Times New Roman"/>
          <w:sz w:val="22"/>
          <w:szCs w:val="22"/>
          <w:lang w:eastAsia="en-AU"/>
        </w:rPr>
        <w:t xml:space="preserve">which occur without having product-related regulatory controls in place. </w:t>
      </w:r>
      <w:r w:rsidR="00E35BF7" w:rsidRPr="000820DB">
        <w:rPr>
          <w:rFonts w:eastAsia="Times New Roman"/>
          <w:sz w:val="22"/>
          <w:szCs w:val="22"/>
          <w:lang w:eastAsia="en-AU"/>
        </w:rPr>
        <w:t>Th</w:t>
      </w:r>
      <w:r w:rsidR="00BD2E44" w:rsidRPr="000820DB">
        <w:rPr>
          <w:rFonts w:eastAsia="Times New Roman"/>
          <w:sz w:val="22"/>
          <w:szCs w:val="22"/>
          <w:lang w:eastAsia="en-AU"/>
        </w:rPr>
        <w:t xml:space="preserve">e proposal to proceed with Option 2 </w:t>
      </w:r>
      <w:r w:rsidR="00E35BF7" w:rsidRPr="000820DB">
        <w:rPr>
          <w:rFonts w:eastAsia="Times New Roman"/>
          <w:sz w:val="22"/>
          <w:szCs w:val="22"/>
          <w:lang w:eastAsia="en-AU"/>
        </w:rPr>
        <w:t xml:space="preserve">was confirmed by an online voting poll conducted at the end of the </w:t>
      </w:r>
      <w:r w:rsidR="002E4A57" w:rsidRPr="000820DB">
        <w:rPr>
          <w:rFonts w:eastAsia="Times New Roman"/>
          <w:sz w:val="22"/>
          <w:szCs w:val="22"/>
          <w:lang w:eastAsia="en-AU"/>
        </w:rPr>
        <w:t xml:space="preserve">March 2022 </w:t>
      </w:r>
      <w:r w:rsidR="00E35BF7" w:rsidRPr="000820DB">
        <w:rPr>
          <w:rFonts w:eastAsia="Times New Roman"/>
          <w:sz w:val="22"/>
          <w:szCs w:val="22"/>
          <w:lang w:eastAsia="en-AU"/>
        </w:rPr>
        <w:t>meeting</w:t>
      </w:r>
      <w:r w:rsidR="002E4A57" w:rsidRPr="000820DB">
        <w:rPr>
          <w:rFonts w:eastAsia="Times New Roman"/>
          <w:sz w:val="22"/>
          <w:szCs w:val="22"/>
          <w:lang w:eastAsia="en-AU"/>
        </w:rPr>
        <w:t>,</w:t>
      </w:r>
      <w:r w:rsidR="00BD2E44" w:rsidRPr="000820DB">
        <w:rPr>
          <w:rFonts w:eastAsia="Times New Roman"/>
          <w:sz w:val="22"/>
          <w:szCs w:val="22"/>
          <w:lang w:eastAsia="en-AU"/>
        </w:rPr>
        <w:t xml:space="preserve"> </w:t>
      </w:r>
      <w:r w:rsidR="00482669" w:rsidRPr="000820DB">
        <w:rPr>
          <w:rFonts w:eastAsia="Times New Roman"/>
          <w:sz w:val="22"/>
          <w:szCs w:val="22"/>
          <w:lang w:eastAsia="en-AU"/>
        </w:rPr>
        <w:t xml:space="preserve">with </w:t>
      </w:r>
      <w:r w:rsidR="00E35BF7" w:rsidRPr="000820DB">
        <w:rPr>
          <w:rFonts w:eastAsia="Times New Roman"/>
          <w:sz w:val="22"/>
          <w:szCs w:val="22"/>
          <w:lang w:eastAsia="en-AU"/>
        </w:rPr>
        <w:t>no objections</w:t>
      </w:r>
      <w:r w:rsidR="00482669" w:rsidRPr="000820DB">
        <w:rPr>
          <w:rFonts w:eastAsia="Times New Roman"/>
          <w:sz w:val="22"/>
          <w:szCs w:val="22"/>
          <w:lang w:eastAsia="en-AU"/>
        </w:rPr>
        <w:t xml:space="preserve"> </w:t>
      </w:r>
      <w:r w:rsidR="00BD2E44" w:rsidRPr="000820DB">
        <w:rPr>
          <w:rFonts w:eastAsia="Times New Roman"/>
          <w:sz w:val="22"/>
          <w:szCs w:val="22"/>
          <w:lang w:eastAsia="en-AU"/>
        </w:rPr>
        <w:t>received.</w:t>
      </w:r>
    </w:p>
    <w:p w14:paraId="1891C832" w14:textId="77777777" w:rsidR="00C81410" w:rsidRPr="000820DB" w:rsidRDefault="00C81410" w:rsidP="001E51F5">
      <w:pPr>
        <w:spacing w:after="0" w:line="240" w:lineRule="auto"/>
        <w:rPr>
          <w:rFonts w:eastAsia="Times New Roman"/>
          <w:sz w:val="22"/>
          <w:szCs w:val="22"/>
          <w:lang w:eastAsia="en-AU"/>
        </w:rPr>
      </w:pPr>
    </w:p>
    <w:p w14:paraId="4794F524" w14:textId="5B490061" w:rsidR="00DC540A" w:rsidRPr="000820DB" w:rsidRDefault="00D077A1" w:rsidP="001E51F5">
      <w:pPr>
        <w:spacing w:after="0" w:line="240" w:lineRule="auto"/>
        <w:rPr>
          <w:rFonts w:eastAsia="Times New Roman"/>
          <w:sz w:val="22"/>
          <w:szCs w:val="22"/>
          <w:lang w:eastAsia="en-AU"/>
        </w:rPr>
      </w:pPr>
      <w:r w:rsidRPr="000820DB">
        <w:rPr>
          <w:rFonts w:eastAsia="Times New Roman"/>
          <w:sz w:val="22"/>
          <w:szCs w:val="22"/>
          <w:lang w:eastAsia="en-AU"/>
        </w:rPr>
        <w:t>The amendments</w:t>
      </w:r>
      <w:r w:rsidR="00033BA3" w:rsidRPr="000820DB">
        <w:rPr>
          <w:rFonts w:eastAsia="Times New Roman"/>
          <w:sz w:val="22"/>
          <w:szCs w:val="22"/>
          <w:lang w:eastAsia="en-AU"/>
        </w:rPr>
        <w:t xml:space="preserve"> are minor and m</w:t>
      </w:r>
      <w:r w:rsidRPr="000820DB">
        <w:rPr>
          <w:rFonts w:eastAsia="Times New Roman"/>
          <w:sz w:val="22"/>
          <w:szCs w:val="22"/>
          <w:lang w:eastAsia="en-AU"/>
        </w:rPr>
        <w:t xml:space="preserve">achinery in </w:t>
      </w:r>
      <w:r w:rsidR="0094488F" w:rsidRPr="000820DB">
        <w:rPr>
          <w:rFonts w:eastAsia="Times New Roman"/>
          <w:sz w:val="22"/>
          <w:szCs w:val="22"/>
          <w:lang w:eastAsia="en-AU"/>
        </w:rPr>
        <w:t>nature and</w:t>
      </w:r>
      <w:r w:rsidRPr="000820DB">
        <w:rPr>
          <w:rFonts w:eastAsia="Times New Roman"/>
          <w:sz w:val="22"/>
          <w:szCs w:val="22"/>
          <w:lang w:eastAsia="en-AU"/>
        </w:rPr>
        <w:t xml:space="preserve"> </w:t>
      </w:r>
      <w:r w:rsidR="00033BA3" w:rsidRPr="000820DB">
        <w:rPr>
          <w:rFonts w:eastAsia="Times New Roman"/>
          <w:sz w:val="22"/>
          <w:szCs w:val="22"/>
          <w:lang w:eastAsia="en-AU"/>
        </w:rPr>
        <w:t>follow from the imp</w:t>
      </w:r>
      <w:r w:rsidR="0094488F" w:rsidRPr="000820DB">
        <w:rPr>
          <w:rFonts w:eastAsia="Times New Roman"/>
          <w:sz w:val="22"/>
          <w:szCs w:val="22"/>
          <w:lang w:eastAsia="en-AU"/>
        </w:rPr>
        <w:t xml:space="preserve">lementation of recommendation 15 of the </w:t>
      </w:r>
      <w:r w:rsidR="00E921FD" w:rsidRPr="000820DB">
        <w:rPr>
          <w:rFonts w:eastAsia="Times New Roman"/>
          <w:sz w:val="22"/>
          <w:szCs w:val="22"/>
          <w:lang w:eastAsia="en-AU"/>
        </w:rPr>
        <w:t>Expert Panel Review of Medicines and Medical Device Regulation</w:t>
      </w:r>
      <w:r w:rsidR="0094488F" w:rsidRPr="000820DB">
        <w:rPr>
          <w:rFonts w:eastAsia="Times New Roman"/>
          <w:sz w:val="22"/>
          <w:szCs w:val="22"/>
          <w:lang w:eastAsia="en-AU"/>
        </w:rPr>
        <w:t>,</w:t>
      </w:r>
      <w:r w:rsidR="00033BA3" w:rsidRPr="000820DB">
        <w:rPr>
          <w:rFonts w:eastAsia="Times New Roman"/>
          <w:sz w:val="22"/>
          <w:szCs w:val="22"/>
          <w:lang w:eastAsia="en-AU"/>
        </w:rPr>
        <w:t xml:space="preserve"> therefore a Regulation Impact Statement </w:t>
      </w:r>
      <w:r w:rsidR="0094488F" w:rsidRPr="000820DB">
        <w:rPr>
          <w:rFonts w:eastAsia="Times New Roman"/>
          <w:sz w:val="22"/>
          <w:szCs w:val="22"/>
          <w:lang w:eastAsia="en-AU"/>
        </w:rPr>
        <w:t>is</w:t>
      </w:r>
      <w:r w:rsidR="00033BA3" w:rsidRPr="000820DB">
        <w:rPr>
          <w:rFonts w:eastAsia="Times New Roman"/>
          <w:sz w:val="22"/>
          <w:szCs w:val="22"/>
          <w:lang w:eastAsia="en-AU"/>
        </w:rPr>
        <w:t xml:space="preserve"> not required (OPBR Ref </w:t>
      </w:r>
      <w:r w:rsidR="002A736E" w:rsidRPr="000820DB">
        <w:rPr>
          <w:rFonts w:eastAsia="Times New Roman"/>
          <w:sz w:val="22"/>
          <w:szCs w:val="22"/>
          <w:lang w:eastAsia="en-AU"/>
        </w:rPr>
        <w:t>18884</w:t>
      </w:r>
      <w:r w:rsidR="00033BA3" w:rsidRPr="000820DB">
        <w:rPr>
          <w:rFonts w:eastAsia="Times New Roman"/>
          <w:sz w:val="22"/>
          <w:szCs w:val="22"/>
          <w:lang w:eastAsia="en-AU"/>
        </w:rPr>
        <w:t>).</w:t>
      </w:r>
    </w:p>
    <w:p w14:paraId="742E4635" w14:textId="77777777" w:rsidR="00D077A1" w:rsidRPr="000820DB" w:rsidRDefault="00D077A1" w:rsidP="001E51F5">
      <w:pPr>
        <w:spacing w:after="0" w:line="240" w:lineRule="auto"/>
        <w:rPr>
          <w:rFonts w:eastAsia="Times New Roman"/>
          <w:sz w:val="22"/>
          <w:szCs w:val="22"/>
          <w:lang w:eastAsia="en-AU"/>
        </w:rPr>
      </w:pPr>
    </w:p>
    <w:p w14:paraId="7146F1F5" w14:textId="77777777"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 xml:space="preserve">Details of the Amendment </w:t>
      </w:r>
      <w:r w:rsidR="00D12E65" w:rsidRPr="000820DB">
        <w:rPr>
          <w:rFonts w:eastAsia="Times New Roman"/>
          <w:sz w:val="22"/>
          <w:szCs w:val="22"/>
          <w:lang w:eastAsia="en-AU"/>
        </w:rPr>
        <w:t>Determination</w:t>
      </w:r>
      <w:r w:rsidRPr="000820DB">
        <w:rPr>
          <w:rFonts w:eastAsia="Times New Roman"/>
          <w:sz w:val="22"/>
          <w:szCs w:val="22"/>
          <w:lang w:eastAsia="en-AU"/>
        </w:rPr>
        <w:t xml:space="preserve"> are set out in </w:t>
      </w:r>
      <w:r w:rsidRPr="000820DB">
        <w:rPr>
          <w:rFonts w:eastAsia="Times New Roman"/>
          <w:b/>
          <w:sz w:val="22"/>
          <w:szCs w:val="22"/>
          <w:lang w:eastAsia="en-AU"/>
        </w:rPr>
        <w:t>Attachment A</w:t>
      </w:r>
      <w:r w:rsidRPr="000820DB">
        <w:rPr>
          <w:rFonts w:eastAsia="Times New Roman"/>
          <w:sz w:val="22"/>
          <w:szCs w:val="22"/>
          <w:lang w:eastAsia="en-AU"/>
        </w:rPr>
        <w:t>.</w:t>
      </w:r>
    </w:p>
    <w:p w14:paraId="49BD3C6A" w14:textId="77777777" w:rsidR="001E51F5" w:rsidRPr="000820DB" w:rsidRDefault="001E51F5" w:rsidP="001E51F5">
      <w:pPr>
        <w:spacing w:after="0" w:line="240" w:lineRule="auto"/>
        <w:rPr>
          <w:rFonts w:eastAsia="Times New Roman"/>
          <w:sz w:val="22"/>
          <w:szCs w:val="22"/>
          <w:lang w:eastAsia="en-AU"/>
        </w:rPr>
      </w:pPr>
    </w:p>
    <w:p w14:paraId="7BC38472" w14:textId="1AA06853"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The Amendment </w:t>
      </w:r>
      <w:r w:rsidR="00D12E65" w:rsidRPr="000820DB">
        <w:rPr>
          <w:rFonts w:eastAsia="Times New Roman"/>
          <w:sz w:val="22"/>
          <w:szCs w:val="22"/>
          <w:lang w:eastAsia="en-AU"/>
        </w:rPr>
        <w:t>Determination</w:t>
      </w:r>
      <w:r w:rsidRPr="000820DB">
        <w:rPr>
          <w:rFonts w:eastAsia="Times New Roman"/>
          <w:sz w:val="22"/>
          <w:szCs w:val="22"/>
          <w:lang w:eastAsia="en-AU"/>
        </w:rPr>
        <w:t xml:space="preserve"> is compatible with </w:t>
      </w:r>
      <w:r w:rsidR="004B33DC" w:rsidRPr="000820DB">
        <w:rPr>
          <w:rFonts w:eastAsia="Times New Roman"/>
          <w:sz w:val="22"/>
          <w:szCs w:val="22"/>
          <w:lang w:eastAsia="en-AU"/>
        </w:rPr>
        <w:t xml:space="preserve">the </w:t>
      </w:r>
      <w:r w:rsidRPr="000820DB">
        <w:rPr>
          <w:rFonts w:eastAsia="Times New Roman"/>
          <w:sz w:val="22"/>
          <w:szCs w:val="22"/>
          <w:lang w:eastAsia="en-AU"/>
        </w:rPr>
        <w:t xml:space="preserve">human rights and freedoms recognised or declared under section 3 of the </w:t>
      </w:r>
      <w:r w:rsidRPr="000820DB">
        <w:rPr>
          <w:rFonts w:eastAsia="Times New Roman"/>
          <w:i/>
          <w:sz w:val="22"/>
          <w:szCs w:val="22"/>
          <w:lang w:eastAsia="en-AU"/>
        </w:rPr>
        <w:t>Human Rights (Parliamentary Scrutiny) Act 2011</w:t>
      </w:r>
      <w:r w:rsidRPr="000820DB">
        <w:rPr>
          <w:rFonts w:eastAsia="Times New Roman"/>
          <w:sz w:val="22"/>
          <w:szCs w:val="22"/>
          <w:lang w:eastAsia="en-AU"/>
        </w:rPr>
        <w:t xml:space="preserve">. A full statement of compatibility is set out in </w:t>
      </w:r>
      <w:r w:rsidRPr="000820DB">
        <w:rPr>
          <w:rFonts w:eastAsia="Times New Roman"/>
          <w:b/>
          <w:sz w:val="22"/>
          <w:szCs w:val="22"/>
          <w:lang w:eastAsia="en-AU"/>
        </w:rPr>
        <w:t>Attachment B</w:t>
      </w:r>
      <w:r w:rsidRPr="000820DB">
        <w:rPr>
          <w:rFonts w:eastAsia="Times New Roman"/>
          <w:sz w:val="22"/>
          <w:szCs w:val="22"/>
          <w:lang w:eastAsia="en-AU"/>
        </w:rPr>
        <w:t>.</w:t>
      </w:r>
    </w:p>
    <w:p w14:paraId="16BD16BB" w14:textId="77777777" w:rsidR="001E51F5" w:rsidRPr="000820DB" w:rsidRDefault="001E51F5" w:rsidP="001E51F5">
      <w:pPr>
        <w:spacing w:after="0" w:line="240" w:lineRule="auto"/>
        <w:rPr>
          <w:rFonts w:eastAsia="Times New Roman"/>
          <w:sz w:val="22"/>
          <w:szCs w:val="22"/>
          <w:lang w:eastAsia="en-AU"/>
        </w:rPr>
      </w:pPr>
    </w:p>
    <w:p w14:paraId="6F1DCD96" w14:textId="529EC8C2"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The Amendment </w:t>
      </w:r>
      <w:r w:rsidR="00103A0E" w:rsidRPr="000820DB">
        <w:rPr>
          <w:rFonts w:eastAsia="Times New Roman"/>
          <w:sz w:val="22"/>
          <w:szCs w:val="22"/>
          <w:lang w:eastAsia="en-AU"/>
        </w:rPr>
        <w:t>Determination</w:t>
      </w:r>
      <w:r w:rsidRPr="000820DB">
        <w:rPr>
          <w:rFonts w:eastAsia="Times New Roman"/>
          <w:sz w:val="22"/>
          <w:szCs w:val="22"/>
          <w:lang w:eastAsia="en-AU"/>
        </w:rPr>
        <w:t xml:space="preserve"> is a disallowable legislative instrument</w:t>
      </w:r>
      <w:r w:rsidRPr="000820DB">
        <w:rPr>
          <w:rFonts w:eastAsia="Times New Roman"/>
          <w:i/>
          <w:sz w:val="22"/>
          <w:szCs w:val="22"/>
          <w:lang w:eastAsia="en-AU"/>
        </w:rPr>
        <w:t xml:space="preserve"> </w:t>
      </w:r>
      <w:r w:rsidRPr="000820DB">
        <w:rPr>
          <w:rFonts w:eastAsia="Times New Roman"/>
          <w:sz w:val="22"/>
          <w:szCs w:val="22"/>
          <w:lang w:eastAsia="en-AU"/>
        </w:rPr>
        <w:t xml:space="preserve">for the purposes of the </w:t>
      </w:r>
      <w:r w:rsidRPr="000820DB">
        <w:rPr>
          <w:rFonts w:eastAsia="Times New Roman"/>
          <w:iCs/>
          <w:sz w:val="22"/>
          <w:szCs w:val="22"/>
          <w:lang w:eastAsia="en-AU"/>
        </w:rPr>
        <w:t>Legislation Act</w:t>
      </w:r>
      <w:r w:rsidR="00E81D7C" w:rsidRPr="000820DB">
        <w:rPr>
          <w:rFonts w:eastAsia="Times New Roman"/>
          <w:i/>
          <w:sz w:val="22"/>
          <w:szCs w:val="22"/>
          <w:lang w:eastAsia="en-AU"/>
        </w:rPr>
        <w:t xml:space="preserve"> </w:t>
      </w:r>
      <w:r w:rsidRPr="000820DB">
        <w:rPr>
          <w:rFonts w:eastAsia="Times New Roman"/>
          <w:sz w:val="22"/>
          <w:szCs w:val="22"/>
          <w:lang w:eastAsia="en-AU"/>
        </w:rPr>
        <w:t xml:space="preserve">and commences on </w:t>
      </w:r>
      <w:r w:rsidR="00A76FF1" w:rsidRPr="000820DB">
        <w:rPr>
          <w:rFonts w:eastAsia="Times New Roman"/>
          <w:sz w:val="22"/>
          <w:szCs w:val="22"/>
          <w:lang w:eastAsia="en-AU"/>
        </w:rPr>
        <w:t>the day after it is registered on the Federal Register of Legislation</w:t>
      </w:r>
      <w:r w:rsidRPr="000820DB">
        <w:rPr>
          <w:rFonts w:eastAsia="Times New Roman"/>
          <w:sz w:val="22"/>
          <w:szCs w:val="22"/>
          <w:lang w:eastAsia="en-AU"/>
        </w:rPr>
        <w:t>.</w:t>
      </w:r>
      <w:r w:rsidRPr="000820DB">
        <w:rPr>
          <w:rFonts w:eastAsia="Times New Roman"/>
          <w:b/>
          <w:bCs/>
          <w:sz w:val="22"/>
          <w:szCs w:val="22"/>
          <w:lang w:eastAsia="en-AU"/>
        </w:rPr>
        <w:br w:type="page"/>
      </w:r>
    </w:p>
    <w:p w14:paraId="6564E289" w14:textId="77777777" w:rsidR="001E51F5" w:rsidRPr="000820DB" w:rsidRDefault="001E51F5" w:rsidP="001E51F5">
      <w:pPr>
        <w:spacing w:after="0" w:line="240" w:lineRule="auto"/>
        <w:jc w:val="right"/>
        <w:rPr>
          <w:rFonts w:eastAsia="Times New Roman"/>
          <w:b/>
          <w:bCs/>
          <w:sz w:val="22"/>
          <w:szCs w:val="22"/>
          <w:lang w:eastAsia="en-AU"/>
        </w:rPr>
      </w:pPr>
      <w:r w:rsidRPr="000820DB">
        <w:rPr>
          <w:rFonts w:eastAsia="Times New Roman"/>
          <w:b/>
          <w:bCs/>
          <w:sz w:val="22"/>
          <w:szCs w:val="22"/>
          <w:lang w:eastAsia="en-AU"/>
        </w:rPr>
        <w:lastRenderedPageBreak/>
        <w:t>Attachment A</w:t>
      </w:r>
    </w:p>
    <w:p w14:paraId="6A538319" w14:textId="77777777" w:rsidR="001E51F5" w:rsidRPr="000820DB" w:rsidRDefault="001E51F5" w:rsidP="001E51F5">
      <w:pPr>
        <w:spacing w:after="0" w:line="240" w:lineRule="auto"/>
        <w:rPr>
          <w:rFonts w:eastAsia="Times New Roman"/>
          <w:b/>
          <w:bCs/>
          <w:sz w:val="22"/>
          <w:szCs w:val="22"/>
          <w:lang w:eastAsia="en-AU"/>
        </w:rPr>
      </w:pPr>
    </w:p>
    <w:p w14:paraId="20D9546A" w14:textId="546D3EA4" w:rsidR="001E51F5" w:rsidRPr="000820DB" w:rsidRDefault="001E51F5" w:rsidP="001E51F5">
      <w:pPr>
        <w:spacing w:after="0" w:line="240" w:lineRule="auto"/>
        <w:rPr>
          <w:rFonts w:eastAsia="Times New Roman"/>
          <w:b/>
          <w:bCs/>
          <w:i/>
          <w:sz w:val="22"/>
          <w:szCs w:val="22"/>
          <w:lang w:eastAsia="en-AU"/>
        </w:rPr>
      </w:pPr>
      <w:r w:rsidRPr="000820DB">
        <w:rPr>
          <w:rFonts w:eastAsia="Times New Roman"/>
          <w:b/>
          <w:bCs/>
          <w:sz w:val="22"/>
          <w:szCs w:val="22"/>
          <w:lang w:eastAsia="en-AU"/>
        </w:rPr>
        <w:t xml:space="preserve">Details of the </w:t>
      </w:r>
      <w:r w:rsidR="004875B7" w:rsidRPr="000820DB">
        <w:rPr>
          <w:rFonts w:eastAsia="Times New Roman"/>
          <w:b/>
          <w:bCs/>
          <w:i/>
          <w:sz w:val="22"/>
          <w:szCs w:val="22"/>
          <w:lang w:eastAsia="en-AU"/>
        </w:rPr>
        <w:t>Therapeutic Goods (Medical Devices—Information that Must Accompany Application for Inclusion) Amendment (</w:t>
      </w:r>
      <w:r w:rsidR="00C81410" w:rsidRPr="000820DB">
        <w:rPr>
          <w:rFonts w:eastAsia="Times New Roman"/>
          <w:b/>
          <w:bCs/>
          <w:i/>
          <w:sz w:val="22"/>
          <w:szCs w:val="22"/>
          <w:lang w:eastAsia="en-AU"/>
        </w:rPr>
        <w:t xml:space="preserve">European </w:t>
      </w:r>
      <w:r w:rsidR="008D0155" w:rsidRPr="000820DB">
        <w:rPr>
          <w:rFonts w:eastAsia="Times New Roman"/>
          <w:b/>
          <w:bCs/>
          <w:i/>
          <w:sz w:val="22"/>
          <w:szCs w:val="22"/>
          <w:lang w:eastAsia="en-AU"/>
        </w:rPr>
        <w:t>Union—Consequential Amendments</w:t>
      </w:r>
      <w:r w:rsidR="004875B7" w:rsidRPr="000820DB">
        <w:rPr>
          <w:rFonts w:eastAsia="Times New Roman"/>
          <w:b/>
          <w:bCs/>
          <w:i/>
          <w:sz w:val="22"/>
          <w:szCs w:val="22"/>
          <w:lang w:eastAsia="en-AU"/>
        </w:rPr>
        <w:t>) Determination 202</w:t>
      </w:r>
      <w:r w:rsidR="00A76FF1" w:rsidRPr="000820DB">
        <w:rPr>
          <w:rFonts w:eastAsia="Times New Roman"/>
          <w:b/>
          <w:bCs/>
          <w:i/>
          <w:sz w:val="22"/>
          <w:szCs w:val="22"/>
          <w:lang w:eastAsia="en-AU"/>
        </w:rPr>
        <w:t>2</w:t>
      </w:r>
    </w:p>
    <w:p w14:paraId="4C88236D" w14:textId="77777777" w:rsidR="001E51F5" w:rsidRPr="000820DB" w:rsidRDefault="001E51F5" w:rsidP="001E51F5">
      <w:pPr>
        <w:spacing w:after="0" w:line="240" w:lineRule="auto"/>
        <w:rPr>
          <w:rFonts w:eastAsia="Times New Roman"/>
          <w:b/>
          <w:bCs/>
          <w:i/>
          <w:sz w:val="22"/>
          <w:szCs w:val="22"/>
          <w:lang w:eastAsia="en-AU"/>
        </w:rPr>
      </w:pPr>
    </w:p>
    <w:p w14:paraId="1DC3D9ED" w14:textId="77777777" w:rsidR="001E51F5" w:rsidRPr="000820DB" w:rsidRDefault="001E51F5" w:rsidP="001E51F5">
      <w:pPr>
        <w:spacing w:after="0" w:line="240" w:lineRule="auto"/>
        <w:rPr>
          <w:rFonts w:eastAsia="Times New Roman"/>
          <w:b/>
          <w:bCs/>
          <w:sz w:val="22"/>
          <w:szCs w:val="22"/>
          <w:lang w:eastAsia="en-AU"/>
        </w:rPr>
      </w:pPr>
      <w:r w:rsidRPr="000820DB">
        <w:rPr>
          <w:rFonts w:eastAsia="Times New Roman"/>
          <w:b/>
          <w:bCs/>
          <w:sz w:val="22"/>
          <w:szCs w:val="22"/>
          <w:lang w:eastAsia="en-AU"/>
        </w:rPr>
        <w:t>Section 1 – Name</w:t>
      </w:r>
    </w:p>
    <w:p w14:paraId="7D8C1DF4" w14:textId="77777777" w:rsidR="001E51F5" w:rsidRPr="000820DB" w:rsidRDefault="001E51F5" w:rsidP="001E51F5">
      <w:pPr>
        <w:spacing w:after="0" w:line="240" w:lineRule="auto"/>
        <w:rPr>
          <w:rFonts w:eastAsia="Times New Roman"/>
          <w:b/>
          <w:bCs/>
          <w:sz w:val="22"/>
          <w:szCs w:val="22"/>
          <w:lang w:eastAsia="en-AU"/>
        </w:rPr>
      </w:pPr>
    </w:p>
    <w:p w14:paraId="03661713" w14:textId="035AFCFD"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 xml:space="preserve">This section provides that the name of the instrument is the </w:t>
      </w:r>
      <w:r w:rsidR="00D12E65" w:rsidRPr="000820DB">
        <w:rPr>
          <w:rFonts w:eastAsia="Times New Roman"/>
          <w:bCs/>
          <w:i/>
          <w:sz w:val="22"/>
          <w:szCs w:val="22"/>
          <w:lang w:eastAsia="en-AU"/>
        </w:rPr>
        <w:t>Therapeutic Goods (Medical Devices—Information that Must Accompany Application for Inclusion) Amendment (</w:t>
      </w:r>
      <w:r w:rsidR="008D0155" w:rsidRPr="000820DB">
        <w:rPr>
          <w:rFonts w:eastAsia="Times New Roman"/>
          <w:bCs/>
          <w:i/>
          <w:sz w:val="22"/>
          <w:szCs w:val="22"/>
          <w:lang w:eastAsia="en-AU"/>
        </w:rPr>
        <w:t>European Union—Consequential Amendments</w:t>
      </w:r>
      <w:r w:rsidR="00D12E65" w:rsidRPr="000820DB">
        <w:rPr>
          <w:rFonts w:eastAsia="Times New Roman"/>
          <w:bCs/>
          <w:i/>
          <w:sz w:val="22"/>
          <w:szCs w:val="22"/>
          <w:lang w:eastAsia="en-AU"/>
        </w:rPr>
        <w:t>) Determination 202</w:t>
      </w:r>
      <w:r w:rsidR="00A76FF1" w:rsidRPr="000820DB">
        <w:rPr>
          <w:rFonts w:eastAsia="Times New Roman"/>
          <w:bCs/>
          <w:i/>
          <w:sz w:val="22"/>
          <w:szCs w:val="22"/>
          <w:lang w:eastAsia="en-AU"/>
        </w:rPr>
        <w:t>2</w:t>
      </w:r>
      <w:r w:rsidRPr="000820DB">
        <w:rPr>
          <w:rFonts w:eastAsia="Times New Roman"/>
          <w:i/>
          <w:sz w:val="22"/>
          <w:szCs w:val="22"/>
          <w:lang w:eastAsia="en-AU"/>
        </w:rPr>
        <w:t xml:space="preserve"> </w:t>
      </w:r>
      <w:r w:rsidRPr="000820DB">
        <w:rPr>
          <w:rFonts w:eastAsia="Times New Roman"/>
          <w:sz w:val="22"/>
          <w:szCs w:val="22"/>
          <w:lang w:eastAsia="en-AU"/>
        </w:rPr>
        <w:t xml:space="preserve">(“the Amendment </w:t>
      </w:r>
      <w:r w:rsidR="00E81D7C" w:rsidRPr="000820DB">
        <w:rPr>
          <w:rFonts w:eastAsia="Times New Roman"/>
          <w:sz w:val="22"/>
          <w:szCs w:val="22"/>
          <w:lang w:eastAsia="en-AU"/>
        </w:rPr>
        <w:t>Determination</w:t>
      </w:r>
      <w:r w:rsidRPr="000820DB">
        <w:rPr>
          <w:rFonts w:eastAsia="Times New Roman"/>
          <w:sz w:val="22"/>
          <w:szCs w:val="22"/>
          <w:lang w:eastAsia="en-AU"/>
        </w:rPr>
        <w:t>”).</w:t>
      </w:r>
    </w:p>
    <w:p w14:paraId="7E8FEA12" w14:textId="77777777" w:rsidR="001E51F5" w:rsidRPr="000820DB" w:rsidRDefault="001E51F5" w:rsidP="001E51F5">
      <w:pPr>
        <w:spacing w:after="0" w:line="240" w:lineRule="auto"/>
        <w:rPr>
          <w:rFonts w:eastAsia="Times New Roman"/>
          <w:bCs/>
          <w:sz w:val="22"/>
          <w:szCs w:val="22"/>
          <w:lang w:eastAsia="en-AU"/>
        </w:rPr>
      </w:pPr>
    </w:p>
    <w:p w14:paraId="7213C140" w14:textId="77777777" w:rsidR="001E51F5" w:rsidRPr="000820DB" w:rsidRDefault="001E51F5" w:rsidP="001E51F5">
      <w:pPr>
        <w:spacing w:after="0" w:line="240" w:lineRule="auto"/>
        <w:rPr>
          <w:rFonts w:eastAsia="Times New Roman"/>
          <w:b/>
          <w:bCs/>
          <w:sz w:val="22"/>
          <w:szCs w:val="22"/>
          <w:lang w:eastAsia="en-AU"/>
        </w:rPr>
      </w:pPr>
      <w:r w:rsidRPr="000820DB">
        <w:rPr>
          <w:rFonts w:eastAsia="Times New Roman"/>
          <w:b/>
          <w:bCs/>
          <w:sz w:val="22"/>
          <w:szCs w:val="22"/>
          <w:lang w:eastAsia="en-AU"/>
        </w:rPr>
        <w:t>Section 2 – Commencement</w:t>
      </w:r>
    </w:p>
    <w:p w14:paraId="7AE9B93F" w14:textId="77777777" w:rsidR="001E51F5" w:rsidRPr="000820DB" w:rsidRDefault="001E51F5" w:rsidP="001E51F5">
      <w:pPr>
        <w:spacing w:after="0" w:line="240" w:lineRule="auto"/>
        <w:rPr>
          <w:rFonts w:eastAsia="Times New Roman"/>
          <w:bCs/>
          <w:sz w:val="22"/>
          <w:szCs w:val="22"/>
          <w:lang w:eastAsia="en-AU"/>
        </w:rPr>
      </w:pPr>
    </w:p>
    <w:p w14:paraId="73748F9C" w14:textId="597B14A9" w:rsidR="001E51F5" w:rsidRPr="000820DB" w:rsidRDefault="001E51F5" w:rsidP="001E51F5">
      <w:pPr>
        <w:spacing w:after="0" w:line="240" w:lineRule="auto"/>
        <w:rPr>
          <w:rFonts w:eastAsia="Times New Roman"/>
          <w:bCs/>
          <w:sz w:val="22"/>
          <w:szCs w:val="22"/>
          <w:lang w:eastAsia="en-AU"/>
        </w:rPr>
      </w:pPr>
      <w:r w:rsidRPr="000820DB">
        <w:rPr>
          <w:rFonts w:eastAsia="Times New Roman"/>
          <w:bCs/>
          <w:sz w:val="22"/>
          <w:szCs w:val="22"/>
          <w:lang w:eastAsia="en-AU"/>
        </w:rPr>
        <w:t xml:space="preserve">This section provides that the Amendment </w:t>
      </w:r>
      <w:r w:rsidR="00E81D7C" w:rsidRPr="000820DB">
        <w:rPr>
          <w:rFonts w:eastAsia="Times New Roman"/>
          <w:bCs/>
          <w:sz w:val="22"/>
          <w:szCs w:val="22"/>
          <w:lang w:eastAsia="en-AU"/>
        </w:rPr>
        <w:t>Determination</w:t>
      </w:r>
      <w:r w:rsidRPr="000820DB">
        <w:rPr>
          <w:rFonts w:eastAsia="Times New Roman"/>
          <w:bCs/>
          <w:sz w:val="22"/>
          <w:szCs w:val="22"/>
          <w:lang w:eastAsia="en-AU"/>
        </w:rPr>
        <w:t xml:space="preserve"> commences on </w:t>
      </w:r>
      <w:r w:rsidR="00A76FF1" w:rsidRPr="000820DB">
        <w:rPr>
          <w:rFonts w:eastAsia="Times New Roman"/>
          <w:bCs/>
          <w:sz w:val="22"/>
          <w:szCs w:val="22"/>
          <w:lang w:eastAsia="en-AU"/>
        </w:rPr>
        <w:t>the day after it is registered on the Federal Register of Legislation</w:t>
      </w:r>
      <w:r w:rsidR="00AB3017" w:rsidRPr="000820DB">
        <w:rPr>
          <w:rFonts w:eastAsia="Times New Roman"/>
          <w:bCs/>
          <w:sz w:val="22"/>
          <w:szCs w:val="22"/>
          <w:lang w:eastAsia="en-AU"/>
        </w:rPr>
        <w:t>.</w:t>
      </w:r>
    </w:p>
    <w:p w14:paraId="59B638E6" w14:textId="77777777" w:rsidR="001E51F5" w:rsidRPr="000820DB" w:rsidRDefault="001E51F5" w:rsidP="001E51F5">
      <w:pPr>
        <w:spacing w:after="0" w:line="240" w:lineRule="auto"/>
        <w:rPr>
          <w:rFonts w:eastAsia="Times New Roman"/>
          <w:bCs/>
          <w:sz w:val="22"/>
          <w:szCs w:val="22"/>
          <w:lang w:eastAsia="en-AU"/>
        </w:rPr>
      </w:pPr>
    </w:p>
    <w:p w14:paraId="3EB1B8AE" w14:textId="77777777" w:rsidR="001E51F5" w:rsidRPr="000820DB" w:rsidRDefault="001E51F5" w:rsidP="001E51F5">
      <w:pPr>
        <w:spacing w:after="0" w:line="240" w:lineRule="auto"/>
        <w:rPr>
          <w:rFonts w:eastAsia="Times New Roman"/>
          <w:b/>
          <w:bCs/>
          <w:sz w:val="22"/>
          <w:szCs w:val="22"/>
          <w:lang w:eastAsia="en-AU"/>
        </w:rPr>
      </w:pPr>
      <w:r w:rsidRPr="000820DB">
        <w:rPr>
          <w:rFonts w:eastAsia="Times New Roman"/>
          <w:b/>
          <w:bCs/>
          <w:sz w:val="22"/>
          <w:szCs w:val="22"/>
          <w:lang w:eastAsia="en-AU"/>
        </w:rPr>
        <w:t>Section 3 – Authority</w:t>
      </w:r>
    </w:p>
    <w:p w14:paraId="4306BEFB" w14:textId="77777777" w:rsidR="001E51F5" w:rsidRPr="000820DB" w:rsidRDefault="001E51F5" w:rsidP="001E51F5">
      <w:pPr>
        <w:spacing w:after="0" w:line="240" w:lineRule="auto"/>
        <w:rPr>
          <w:rFonts w:eastAsia="Times New Roman"/>
          <w:b/>
          <w:bCs/>
          <w:sz w:val="22"/>
          <w:szCs w:val="22"/>
          <w:lang w:eastAsia="en-AU"/>
        </w:rPr>
      </w:pPr>
    </w:p>
    <w:p w14:paraId="74D97FDE" w14:textId="77777777" w:rsidR="001E51F5" w:rsidRPr="000820DB" w:rsidRDefault="001E51F5" w:rsidP="001E51F5">
      <w:pPr>
        <w:spacing w:after="0" w:line="240" w:lineRule="auto"/>
        <w:rPr>
          <w:rFonts w:eastAsia="Times New Roman"/>
          <w:bCs/>
          <w:sz w:val="22"/>
          <w:szCs w:val="22"/>
          <w:lang w:eastAsia="en-AU"/>
        </w:rPr>
      </w:pPr>
      <w:r w:rsidRPr="000820DB">
        <w:rPr>
          <w:rFonts w:eastAsia="Times New Roman"/>
          <w:bCs/>
          <w:sz w:val="22"/>
          <w:szCs w:val="22"/>
          <w:lang w:eastAsia="en-AU"/>
        </w:rPr>
        <w:t xml:space="preserve">This section provides that the legislative authority for making the Amendment </w:t>
      </w:r>
      <w:r w:rsidR="00E81D7C" w:rsidRPr="000820DB">
        <w:rPr>
          <w:rFonts w:eastAsia="Times New Roman"/>
          <w:bCs/>
          <w:sz w:val="22"/>
          <w:szCs w:val="22"/>
          <w:lang w:eastAsia="en-AU"/>
        </w:rPr>
        <w:t>Determination</w:t>
      </w:r>
      <w:r w:rsidRPr="000820DB">
        <w:rPr>
          <w:rFonts w:eastAsia="Times New Roman"/>
          <w:bCs/>
          <w:sz w:val="22"/>
          <w:szCs w:val="22"/>
          <w:lang w:eastAsia="en-AU"/>
        </w:rPr>
        <w:t xml:space="preserve"> is </w:t>
      </w:r>
      <w:r w:rsidR="00AB3017" w:rsidRPr="000820DB">
        <w:rPr>
          <w:rFonts w:eastAsia="Times New Roman"/>
          <w:bCs/>
          <w:sz w:val="22"/>
          <w:szCs w:val="22"/>
          <w:lang w:eastAsia="en-AU"/>
        </w:rPr>
        <w:t>sub</w:t>
      </w:r>
      <w:r w:rsidRPr="000820DB">
        <w:rPr>
          <w:rFonts w:eastAsia="Times New Roman"/>
          <w:bCs/>
          <w:sz w:val="22"/>
          <w:szCs w:val="22"/>
          <w:lang w:eastAsia="en-AU"/>
        </w:rPr>
        <w:t xml:space="preserve">section </w:t>
      </w:r>
      <w:r w:rsidR="00AB3017" w:rsidRPr="000820DB">
        <w:rPr>
          <w:rFonts w:eastAsia="Times New Roman"/>
          <w:bCs/>
          <w:sz w:val="22"/>
          <w:szCs w:val="22"/>
          <w:lang w:eastAsia="en-AU"/>
        </w:rPr>
        <w:t>41</w:t>
      </w:r>
      <w:proofErr w:type="gramStart"/>
      <w:r w:rsidR="00AB3017" w:rsidRPr="000820DB">
        <w:rPr>
          <w:rFonts w:eastAsia="Times New Roman"/>
          <w:bCs/>
          <w:sz w:val="22"/>
          <w:szCs w:val="22"/>
          <w:lang w:eastAsia="en-AU"/>
        </w:rPr>
        <w:t>FDB(</w:t>
      </w:r>
      <w:proofErr w:type="gramEnd"/>
      <w:r w:rsidR="00AB3017" w:rsidRPr="000820DB">
        <w:rPr>
          <w:rFonts w:eastAsia="Times New Roman"/>
          <w:bCs/>
          <w:sz w:val="22"/>
          <w:szCs w:val="22"/>
          <w:lang w:eastAsia="en-AU"/>
        </w:rPr>
        <w:t>7)</w:t>
      </w:r>
      <w:r w:rsidRPr="000820DB">
        <w:rPr>
          <w:rFonts w:eastAsia="Times New Roman"/>
          <w:bCs/>
          <w:sz w:val="22"/>
          <w:szCs w:val="22"/>
          <w:lang w:eastAsia="en-AU"/>
        </w:rPr>
        <w:t xml:space="preserve"> of the </w:t>
      </w:r>
      <w:r w:rsidRPr="000820DB">
        <w:rPr>
          <w:rFonts w:eastAsia="Times New Roman"/>
          <w:bCs/>
          <w:i/>
          <w:sz w:val="22"/>
          <w:szCs w:val="22"/>
          <w:lang w:eastAsia="en-AU"/>
        </w:rPr>
        <w:t xml:space="preserve">Therapeutic Goods Act 1989 </w:t>
      </w:r>
      <w:r w:rsidRPr="000820DB">
        <w:rPr>
          <w:rFonts w:eastAsia="Times New Roman"/>
          <w:bCs/>
          <w:sz w:val="22"/>
          <w:szCs w:val="22"/>
          <w:lang w:eastAsia="en-AU"/>
        </w:rPr>
        <w:t>(“the Act”)</w:t>
      </w:r>
      <w:r w:rsidRPr="000820DB">
        <w:rPr>
          <w:rFonts w:eastAsia="Times New Roman"/>
          <w:bCs/>
          <w:i/>
          <w:sz w:val="22"/>
          <w:szCs w:val="22"/>
          <w:lang w:eastAsia="en-AU"/>
        </w:rPr>
        <w:t>.</w:t>
      </w:r>
    </w:p>
    <w:p w14:paraId="570B5BF0" w14:textId="77777777" w:rsidR="001E51F5" w:rsidRPr="000820DB" w:rsidRDefault="001E51F5" w:rsidP="001E51F5">
      <w:pPr>
        <w:spacing w:after="0" w:line="240" w:lineRule="auto"/>
        <w:rPr>
          <w:rFonts w:eastAsia="Times New Roman"/>
          <w:bCs/>
          <w:i/>
          <w:sz w:val="22"/>
          <w:szCs w:val="22"/>
          <w:lang w:eastAsia="en-AU"/>
        </w:rPr>
      </w:pPr>
    </w:p>
    <w:p w14:paraId="69D2DC6E" w14:textId="16CEFEE3" w:rsidR="001E51F5" w:rsidRPr="000820DB" w:rsidRDefault="001E51F5" w:rsidP="001E51F5">
      <w:pPr>
        <w:spacing w:after="0" w:line="240" w:lineRule="auto"/>
        <w:rPr>
          <w:rFonts w:eastAsia="Times New Roman"/>
          <w:bCs/>
          <w:sz w:val="22"/>
          <w:szCs w:val="22"/>
          <w:lang w:eastAsia="en-AU"/>
        </w:rPr>
      </w:pPr>
      <w:r w:rsidRPr="000820DB">
        <w:rPr>
          <w:rFonts w:eastAsia="Times New Roman"/>
          <w:bCs/>
          <w:sz w:val="22"/>
          <w:szCs w:val="22"/>
          <w:lang w:eastAsia="en-AU"/>
        </w:rPr>
        <w:t xml:space="preserve">Subsection 33(3) of the </w:t>
      </w:r>
      <w:r w:rsidRPr="000820DB">
        <w:rPr>
          <w:rFonts w:eastAsia="Times New Roman"/>
          <w:bCs/>
          <w:i/>
          <w:sz w:val="22"/>
          <w:szCs w:val="22"/>
          <w:lang w:eastAsia="en-AU"/>
        </w:rPr>
        <w:t>Acts Interpretation Act 1901</w:t>
      </w:r>
      <w:r w:rsidRPr="000820DB">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595F446C" w14:textId="77777777" w:rsidR="001E51F5" w:rsidRPr="000820DB" w:rsidRDefault="001E51F5" w:rsidP="001E51F5">
      <w:pPr>
        <w:spacing w:after="0" w:line="240" w:lineRule="auto"/>
        <w:rPr>
          <w:rFonts w:eastAsia="Times New Roman"/>
          <w:bCs/>
          <w:sz w:val="22"/>
          <w:szCs w:val="22"/>
          <w:lang w:eastAsia="en-AU"/>
        </w:rPr>
      </w:pPr>
    </w:p>
    <w:p w14:paraId="36D0C29E" w14:textId="77777777" w:rsidR="001E51F5" w:rsidRPr="000820DB" w:rsidRDefault="001E51F5" w:rsidP="001E51F5">
      <w:pPr>
        <w:spacing w:after="0" w:line="240" w:lineRule="auto"/>
        <w:rPr>
          <w:rFonts w:eastAsia="Times New Roman"/>
          <w:b/>
          <w:bCs/>
          <w:sz w:val="22"/>
          <w:szCs w:val="22"/>
          <w:lang w:eastAsia="en-AU"/>
        </w:rPr>
      </w:pPr>
      <w:r w:rsidRPr="000820DB">
        <w:rPr>
          <w:rFonts w:eastAsia="Times New Roman"/>
          <w:b/>
          <w:bCs/>
          <w:sz w:val="22"/>
          <w:szCs w:val="22"/>
          <w:lang w:eastAsia="en-AU"/>
        </w:rPr>
        <w:t>Section 4 – Schedules</w:t>
      </w:r>
    </w:p>
    <w:p w14:paraId="01C70A02" w14:textId="77777777" w:rsidR="001E51F5" w:rsidRPr="000820DB" w:rsidRDefault="001E51F5" w:rsidP="001E51F5">
      <w:pPr>
        <w:spacing w:after="0" w:line="240" w:lineRule="auto"/>
        <w:rPr>
          <w:rFonts w:eastAsia="Times New Roman"/>
          <w:bCs/>
          <w:sz w:val="22"/>
          <w:szCs w:val="22"/>
          <w:lang w:eastAsia="en-AU"/>
        </w:rPr>
      </w:pPr>
    </w:p>
    <w:p w14:paraId="4BD7A3B3" w14:textId="77777777" w:rsidR="001E51F5" w:rsidRPr="000820DB" w:rsidRDefault="001E51F5" w:rsidP="001E51F5">
      <w:pPr>
        <w:spacing w:after="0" w:line="240" w:lineRule="auto"/>
        <w:rPr>
          <w:rFonts w:eastAsia="Times New Roman"/>
          <w:bCs/>
          <w:sz w:val="22"/>
          <w:szCs w:val="22"/>
          <w:lang w:eastAsia="en-AU"/>
        </w:rPr>
      </w:pPr>
      <w:r w:rsidRPr="000820DB">
        <w:rPr>
          <w:rFonts w:eastAsia="Times New Roman"/>
          <w:bCs/>
          <w:sz w:val="22"/>
          <w:szCs w:val="22"/>
          <w:lang w:eastAsia="en-AU"/>
        </w:rPr>
        <w:t xml:space="preserve">This section provides that each instrument that is specified in a Schedule to the Amendment </w:t>
      </w:r>
      <w:r w:rsidR="00E81D7C" w:rsidRPr="000820DB">
        <w:rPr>
          <w:rFonts w:eastAsia="Times New Roman"/>
          <w:bCs/>
          <w:sz w:val="22"/>
          <w:szCs w:val="22"/>
          <w:lang w:eastAsia="en-AU"/>
        </w:rPr>
        <w:t>Determination</w:t>
      </w:r>
      <w:r w:rsidRPr="000820DB">
        <w:rPr>
          <w:rFonts w:eastAsia="Times New Roman"/>
          <w:bCs/>
          <w:sz w:val="22"/>
          <w:szCs w:val="22"/>
          <w:lang w:eastAsia="en-AU"/>
        </w:rPr>
        <w:t xml:space="preserve"> is amended or repealed as set out in the applicable items in the Schedule concerned, and any other item in a Schedule to the Amendment </w:t>
      </w:r>
      <w:r w:rsidR="00E81D7C" w:rsidRPr="000820DB">
        <w:rPr>
          <w:rFonts w:eastAsia="Times New Roman"/>
          <w:bCs/>
          <w:sz w:val="22"/>
          <w:szCs w:val="22"/>
          <w:lang w:eastAsia="en-AU"/>
        </w:rPr>
        <w:t>Determination</w:t>
      </w:r>
      <w:r w:rsidRPr="000820DB">
        <w:rPr>
          <w:rFonts w:eastAsia="Times New Roman"/>
          <w:bCs/>
          <w:sz w:val="22"/>
          <w:szCs w:val="22"/>
          <w:lang w:eastAsia="en-AU"/>
        </w:rPr>
        <w:t xml:space="preserve"> has effect according to its terms.</w:t>
      </w:r>
    </w:p>
    <w:p w14:paraId="2AAFF3FB" w14:textId="77777777" w:rsidR="001E51F5" w:rsidRPr="000820DB" w:rsidRDefault="001E51F5" w:rsidP="001E51F5">
      <w:pPr>
        <w:spacing w:after="0" w:line="240" w:lineRule="auto"/>
        <w:rPr>
          <w:rFonts w:eastAsia="Times New Roman"/>
          <w:bCs/>
          <w:sz w:val="22"/>
          <w:szCs w:val="22"/>
          <w:lang w:eastAsia="en-AU"/>
        </w:rPr>
      </w:pPr>
    </w:p>
    <w:p w14:paraId="3B2FA885" w14:textId="77777777" w:rsidR="001E51F5" w:rsidRPr="000820DB" w:rsidRDefault="001E51F5" w:rsidP="001E51F5">
      <w:pPr>
        <w:spacing w:after="0" w:line="240" w:lineRule="auto"/>
        <w:rPr>
          <w:rFonts w:eastAsia="Times New Roman"/>
          <w:b/>
          <w:bCs/>
          <w:sz w:val="22"/>
          <w:szCs w:val="22"/>
          <w:lang w:eastAsia="en-AU"/>
        </w:rPr>
      </w:pPr>
      <w:r w:rsidRPr="000820DB">
        <w:rPr>
          <w:rFonts w:eastAsia="Times New Roman"/>
          <w:b/>
          <w:bCs/>
          <w:sz w:val="22"/>
          <w:szCs w:val="22"/>
          <w:lang w:eastAsia="en-AU"/>
        </w:rPr>
        <w:t>Schedule 1 – Amendments</w:t>
      </w:r>
    </w:p>
    <w:p w14:paraId="2E60C2F8" w14:textId="77777777" w:rsidR="001E51F5" w:rsidRPr="000820DB" w:rsidRDefault="001E51F5" w:rsidP="001E51F5">
      <w:pPr>
        <w:spacing w:after="0" w:line="240" w:lineRule="auto"/>
        <w:rPr>
          <w:rFonts w:eastAsia="Times New Roman"/>
          <w:bCs/>
          <w:sz w:val="22"/>
          <w:szCs w:val="22"/>
          <w:lang w:eastAsia="en-AU"/>
        </w:rPr>
      </w:pPr>
    </w:p>
    <w:p w14:paraId="512476F7" w14:textId="77777777" w:rsidR="00F964B7" w:rsidRPr="000820DB" w:rsidRDefault="00F964B7" w:rsidP="00F964B7">
      <w:pPr>
        <w:spacing w:after="0" w:line="240" w:lineRule="auto"/>
        <w:rPr>
          <w:rFonts w:eastAsia="Times New Roman"/>
          <w:bCs/>
          <w:sz w:val="22"/>
          <w:szCs w:val="22"/>
          <w:lang w:val="en-US" w:eastAsia="en-AU"/>
        </w:rPr>
      </w:pPr>
      <w:r w:rsidRPr="000820DB">
        <w:rPr>
          <w:rFonts w:eastAsia="Times New Roman"/>
          <w:bCs/>
          <w:sz w:val="22"/>
          <w:szCs w:val="22"/>
          <w:lang w:eastAsia="en-AU"/>
        </w:rPr>
        <w:t>This Schedule amends the</w:t>
      </w:r>
      <w:r w:rsidRPr="000820DB">
        <w:rPr>
          <w:rFonts w:eastAsia="Times New Roman"/>
          <w:i/>
          <w:iCs/>
          <w:sz w:val="22"/>
          <w:szCs w:val="22"/>
          <w:lang w:eastAsia="en-AU"/>
        </w:rPr>
        <w:t xml:space="preserve"> </w:t>
      </w:r>
      <w:r w:rsidRPr="000820DB">
        <w:rPr>
          <w:rFonts w:eastAsia="Times New Roman"/>
          <w:bCs/>
          <w:i/>
          <w:iCs/>
          <w:sz w:val="22"/>
          <w:szCs w:val="22"/>
          <w:lang w:eastAsia="en-AU"/>
        </w:rPr>
        <w:t>Therapeutic Goods (Medical Devices—Information that Must Accompany Application for Inclusion) Determination 2018</w:t>
      </w:r>
      <w:r w:rsidRPr="000820DB">
        <w:rPr>
          <w:rFonts w:eastAsia="Times New Roman"/>
          <w:bCs/>
          <w:sz w:val="22"/>
          <w:szCs w:val="22"/>
          <w:lang w:eastAsia="en-AU"/>
        </w:rPr>
        <w:t xml:space="preserve"> (“the Principal Determination”).</w:t>
      </w:r>
    </w:p>
    <w:p w14:paraId="7EF4B785" w14:textId="0D3471D2" w:rsidR="00F964B7" w:rsidRPr="000820DB" w:rsidRDefault="00F964B7" w:rsidP="00F964B7">
      <w:pPr>
        <w:spacing w:after="0" w:line="240" w:lineRule="auto"/>
        <w:rPr>
          <w:rFonts w:eastAsia="Times New Roman"/>
          <w:bCs/>
          <w:sz w:val="22"/>
          <w:szCs w:val="22"/>
          <w:lang w:val="en-US" w:eastAsia="en-AU"/>
        </w:rPr>
      </w:pPr>
    </w:p>
    <w:p w14:paraId="3061009F" w14:textId="6F12B39B" w:rsidR="00565DF4" w:rsidRPr="000820DB" w:rsidRDefault="008D0155"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w:t>
      </w:r>
      <w:r w:rsidR="00CF68AC" w:rsidRPr="000820DB">
        <w:rPr>
          <w:rFonts w:eastAsia="Times New Roman"/>
          <w:bCs/>
          <w:sz w:val="22"/>
          <w:szCs w:val="22"/>
          <w:lang w:eastAsia="en-AU"/>
        </w:rPr>
        <w:t>1</w:t>
      </w:r>
      <w:r w:rsidRPr="000820DB">
        <w:rPr>
          <w:rFonts w:eastAsia="Times New Roman"/>
          <w:bCs/>
          <w:sz w:val="22"/>
          <w:szCs w:val="22"/>
          <w:lang w:eastAsia="en-AU"/>
        </w:rPr>
        <w:t xml:space="preserve"> of this Schedule</w:t>
      </w:r>
      <w:r w:rsidR="00E03E8A" w:rsidRPr="000820DB">
        <w:rPr>
          <w:rFonts w:eastAsia="Times New Roman"/>
          <w:bCs/>
          <w:sz w:val="22"/>
          <w:szCs w:val="22"/>
          <w:lang w:eastAsia="en-AU"/>
        </w:rPr>
        <w:t xml:space="preserve"> omits the words “26 May 2022</w:t>
      </w:r>
      <w:r w:rsidR="00A40A80" w:rsidRPr="000820DB">
        <w:rPr>
          <w:rFonts w:eastAsia="Times New Roman"/>
          <w:bCs/>
          <w:sz w:val="22"/>
          <w:szCs w:val="22"/>
          <w:lang w:eastAsia="en-AU"/>
        </w:rPr>
        <w:t>”</w:t>
      </w:r>
      <w:r w:rsidR="00E03E8A" w:rsidRPr="000820DB">
        <w:rPr>
          <w:rFonts w:eastAsia="Times New Roman"/>
          <w:bCs/>
          <w:sz w:val="22"/>
          <w:szCs w:val="22"/>
          <w:lang w:eastAsia="en-AU"/>
        </w:rPr>
        <w:t xml:space="preserve">, and substitutes “26 May 2023” </w:t>
      </w:r>
      <w:r w:rsidR="00A40A80" w:rsidRPr="000820DB">
        <w:rPr>
          <w:rFonts w:eastAsia="Times New Roman"/>
          <w:bCs/>
          <w:sz w:val="22"/>
          <w:szCs w:val="22"/>
          <w:lang w:eastAsia="en-AU"/>
        </w:rPr>
        <w:t>in column 3 of table item 2 in Part 1 of Schedule 2 to the Principal Determination.</w:t>
      </w:r>
    </w:p>
    <w:p w14:paraId="35F4DBB0" w14:textId="0D9CCBA1" w:rsidR="00A40A80" w:rsidRPr="000820DB" w:rsidRDefault="00A40A80" w:rsidP="008D0155">
      <w:pPr>
        <w:spacing w:after="0" w:line="240" w:lineRule="auto"/>
        <w:rPr>
          <w:rFonts w:eastAsia="Times New Roman"/>
          <w:bCs/>
          <w:sz w:val="22"/>
          <w:szCs w:val="22"/>
          <w:lang w:eastAsia="en-AU"/>
        </w:rPr>
      </w:pPr>
    </w:p>
    <w:p w14:paraId="533C870D" w14:textId="403553AD" w:rsidR="00A40A80" w:rsidRPr="000820DB" w:rsidRDefault="00A40A80"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2 of this Schedule inserts </w:t>
      </w:r>
      <w:r w:rsidR="002E4A57" w:rsidRPr="000820DB">
        <w:rPr>
          <w:rFonts w:eastAsia="Times New Roman"/>
          <w:bCs/>
          <w:sz w:val="22"/>
          <w:szCs w:val="22"/>
          <w:lang w:eastAsia="en-AU"/>
        </w:rPr>
        <w:t xml:space="preserve">new </w:t>
      </w:r>
      <w:r w:rsidRPr="000820DB">
        <w:rPr>
          <w:rFonts w:eastAsia="Times New Roman"/>
          <w:bCs/>
          <w:sz w:val="22"/>
          <w:szCs w:val="22"/>
          <w:lang w:eastAsia="en-AU"/>
        </w:rPr>
        <w:t>item 2A in the table in Part 1 of Schedule 2, to specify that an application for inclusion of a Class 2 IVD medical device that is submitted before 26 May 2027, may be supported by an ISO 13485 certification issued by a</w:t>
      </w:r>
      <w:r w:rsidR="00A02BCA" w:rsidRPr="000820DB">
        <w:rPr>
          <w:rFonts w:eastAsia="Times New Roman"/>
          <w:bCs/>
          <w:sz w:val="22"/>
          <w:szCs w:val="22"/>
          <w:lang w:eastAsia="en-AU"/>
        </w:rPr>
        <w:t xml:space="preserve"> notified body within the meaning of Directive 98/79/EC</w:t>
      </w:r>
      <w:r w:rsidRPr="000820DB">
        <w:rPr>
          <w:rFonts w:eastAsia="Times New Roman"/>
          <w:bCs/>
          <w:sz w:val="22"/>
          <w:szCs w:val="22"/>
          <w:lang w:eastAsia="en-AU"/>
        </w:rPr>
        <w:t>, provided the sponsor holds an EU declaration of conformity, made by the manufacture</w:t>
      </w:r>
      <w:r w:rsidR="006C7E13" w:rsidRPr="000820DB">
        <w:rPr>
          <w:rFonts w:eastAsia="Times New Roman"/>
          <w:bCs/>
          <w:sz w:val="22"/>
          <w:szCs w:val="22"/>
          <w:lang w:eastAsia="en-AU"/>
        </w:rPr>
        <w:t>r</w:t>
      </w:r>
      <w:r w:rsidRPr="000820DB">
        <w:rPr>
          <w:rFonts w:eastAsia="Times New Roman"/>
          <w:bCs/>
          <w:sz w:val="22"/>
          <w:szCs w:val="22"/>
          <w:lang w:eastAsia="en-AU"/>
        </w:rPr>
        <w:t xml:space="preserve"> under </w:t>
      </w:r>
      <w:r w:rsidR="00062818" w:rsidRPr="000820DB">
        <w:rPr>
          <w:rFonts w:eastAsia="Times New Roman"/>
          <w:bCs/>
          <w:sz w:val="22"/>
          <w:szCs w:val="22"/>
          <w:lang w:eastAsia="en-AU"/>
        </w:rPr>
        <w:t xml:space="preserve">Annex III of </w:t>
      </w:r>
      <w:r w:rsidRPr="000820DB">
        <w:rPr>
          <w:rFonts w:eastAsia="Times New Roman"/>
          <w:bCs/>
          <w:sz w:val="22"/>
          <w:szCs w:val="22"/>
          <w:lang w:eastAsia="en-AU"/>
        </w:rPr>
        <w:t>Directive 98/79/EC before 26 May 2022.</w:t>
      </w:r>
    </w:p>
    <w:p w14:paraId="7F905E2B" w14:textId="77777777" w:rsidR="00565DF4" w:rsidRPr="000820DB" w:rsidRDefault="00565DF4" w:rsidP="008D0155">
      <w:pPr>
        <w:spacing w:after="0" w:line="240" w:lineRule="auto"/>
        <w:rPr>
          <w:rFonts w:eastAsia="Times New Roman"/>
          <w:bCs/>
          <w:sz w:val="22"/>
          <w:szCs w:val="22"/>
          <w:lang w:eastAsia="en-AU"/>
        </w:rPr>
      </w:pPr>
    </w:p>
    <w:p w14:paraId="0C60C9B5" w14:textId="6CE04F45" w:rsidR="008D0155" w:rsidRPr="000820DB" w:rsidRDefault="00565DF4"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w:t>
      </w:r>
      <w:r w:rsidR="00A40A80" w:rsidRPr="000820DB">
        <w:rPr>
          <w:rFonts w:eastAsia="Times New Roman"/>
          <w:bCs/>
          <w:sz w:val="22"/>
          <w:szCs w:val="22"/>
          <w:lang w:eastAsia="en-AU"/>
        </w:rPr>
        <w:t>3 of this Schedule omits the words “26 May 2022”</w:t>
      </w:r>
      <w:r w:rsidR="00A02BCA" w:rsidRPr="000820DB">
        <w:rPr>
          <w:rFonts w:eastAsia="Times New Roman"/>
          <w:bCs/>
          <w:sz w:val="22"/>
          <w:szCs w:val="22"/>
          <w:lang w:eastAsia="en-AU"/>
        </w:rPr>
        <w:t xml:space="preserve">, and substitutes “26 May 2023” </w:t>
      </w:r>
      <w:r w:rsidR="00E03E8A" w:rsidRPr="000820DB">
        <w:rPr>
          <w:rFonts w:eastAsia="Times New Roman"/>
          <w:bCs/>
          <w:sz w:val="22"/>
          <w:szCs w:val="22"/>
          <w:lang w:eastAsia="en-AU"/>
        </w:rPr>
        <w:t>in column 3 of table item 7 in Part 1 of Schedule 2 to the Principal Determination.</w:t>
      </w:r>
    </w:p>
    <w:p w14:paraId="744C2C12" w14:textId="2943A680" w:rsidR="008D0155" w:rsidRPr="000820DB" w:rsidRDefault="008D0155" w:rsidP="008D0155">
      <w:pPr>
        <w:spacing w:after="0" w:line="240" w:lineRule="auto"/>
        <w:rPr>
          <w:rFonts w:eastAsia="Times New Roman"/>
          <w:bCs/>
          <w:sz w:val="22"/>
          <w:szCs w:val="22"/>
          <w:lang w:eastAsia="en-AU"/>
        </w:rPr>
      </w:pPr>
    </w:p>
    <w:p w14:paraId="23574F00" w14:textId="2A880BB1" w:rsidR="008D0155" w:rsidRPr="000820DB" w:rsidRDefault="008D0155"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w:t>
      </w:r>
      <w:r w:rsidR="00A02BCA" w:rsidRPr="000820DB">
        <w:rPr>
          <w:rFonts w:eastAsia="Times New Roman"/>
          <w:bCs/>
          <w:sz w:val="22"/>
          <w:szCs w:val="22"/>
          <w:lang w:eastAsia="en-AU"/>
        </w:rPr>
        <w:t>4</w:t>
      </w:r>
      <w:r w:rsidRPr="000820DB">
        <w:rPr>
          <w:rFonts w:eastAsia="Times New Roman"/>
          <w:bCs/>
          <w:sz w:val="22"/>
          <w:szCs w:val="22"/>
          <w:lang w:eastAsia="en-AU"/>
        </w:rPr>
        <w:t xml:space="preserve"> of this Schedule</w:t>
      </w:r>
      <w:r w:rsidR="00E03E8A" w:rsidRPr="000820DB">
        <w:rPr>
          <w:rFonts w:eastAsia="Times New Roman"/>
          <w:bCs/>
          <w:sz w:val="22"/>
          <w:szCs w:val="22"/>
          <w:lang w:eastAsia="en-AU"/>
        </w:rPr>
        <w:t xml:space="preserve"> adds </w:t>
      </w:r>
      <w:r w:rsidR="002E4A57" w:rsidRPr="000820DB">
        <w:rPr>
          <w:rFonts w:eastAsia="Times New Roman"/>
          <w:bCs/>
          <w:sz w:val="22"/>
          <w:szCs w:val="22"/>
          <w:lang w:eastAsia="en-AU"/>
        </w:rPr>
        <w:t xml:space="preserve">new </w:t>
      </w:r>
      <w:r w:rsidR="00E03E8A" w:rsidRPr="000820DB">
        <w:rPr>
          <w:rFonts w:eastAsia="Times New Roman"/>
          <w:bCs/>
          <w:sz w:val="22"/>
          <w:szCs w:val="22"/>
          <w:lang w:eastAsia="en-AU"/>
        </w:rPr>
        <w:t xml:space="preserve">item 8 to the end of the table in Part 1 of Schedule 2, to specify that an application for inclusion of a Class 2 IVD medical device that is submitted before 26 May 2027, may be supported by an ISO 13485 certification issued by an IAF accredited conformity assessment </w:t>
      </w:r>
      <w:r w:rsidR="00E03E8A" w:rsidRPr="000820DB">
        <w:rPr>
          <w:rFonts w:eastAsia="Times New Roman"/>
          <w:bCs/>
          <w:sz w:val="22"/>
          <w:szCs w:val="22"/>
          <w:lang w:eastAsia="en-AU"/>
        </w:rPr>
        <w:lastRenderedPageBreak/>
        <w:t>body, provided the sponsor holds an EU declaration of conformity, made by the manufacture</w:t>
      </w:r>
      <w:r w:rsidR="006C7E13" w:rsidRPr="000820DB">
        <w:rPr>
          <w:rFonts w:eastAsia="Times New Roman"/>
          <w:bCs/>
          <w:sz w:val="22"/>
          <w:szCs w:val="22"/>
          <w:lang w:eastAsia="en-AU"/>
        </w:rPr>
        <w:t>r</w:t>
      </w:r>
      <w:r w:rsidR="00E03E8A" w:rsidRPr="000820DB">
        <w:rPr>
          <w:rFonts w:eastAsia="Times New Roman"/>
          <w:bCs/>
          <w:sz w:val="22"/>
          <w:szCs w:val="22"/>
          <w:lang w:eastAsia="en-AU"/>
        </w:rPr>
        <w:t xml:space="preserve"> under</w:t>
      </w:r>
      <w:r w:rsidR="00A40A80" w:rsidRPr="000820DB">
        <w:rPr>
          <w:rFonts w:eastAsia="Times New Roman"/>
          <w:bCs/>
          <w:sz w:val="22"/>
          <w:szCs w:val="22"/>
          <w:lang w:eastAsia="en-AU"/>
        </w:rPr>
        <w:t xml:space="preserve"> </w:t>
      </w:r>
      <w:r w:rsidR="006A3012" w:rsidRPr="000820DB">
        <w:rPr>
          <w:rFonts w:eastAsia="Times New Roman"/>
          <w:bCs/>
          <w:sz w:val="22"/>
          <w:szCs w:val="22"/>
          <w:lang w:eastAsia="en-AU"/>
        </w:rPr>
        <w:t xml:space="preserve">Annex III of </w:t>
      </w:r>
      <w:r w:rsidR="00A40A80" w:rsidRPr="000820DB">
        <w:rPr>
          <w:rFonts w:eastAsia="Times New Roman"/>
          <w:bCs/>
          <w:sz w:val="22"/>
          <w:szCs w:val="22"/>
          <w:lang w:eastAsia="en-AU"/>
        </w:rPr>
        <w:t>Directive 98/79/EC</w:t>
      </w:r>
      <w:r w:rsidR="00E03E8A" w:rsidRPr="000820DB">
        <w:rPr>
          <w:rFonts w:eastAsia="Times New Roman"/>
          <w:bCs/>
          <w:sz w:val="22"/>
          <w:szCs w:val="22"/>
          <w:lang w:eastAsia="en-AU"/>
        </w:rPr>
        <w:t xml:space="preserve"> before 26 May 2022.</w:t>
      </w:r>
    </w:p>
    <w:p w14:paraId="2AE8097D" w14:textId="106C7CEF" w:rsidR="008D0155" w:rsidRPr="000820DB" w:rsidRDefault="008D0155" w:rsidP="008D0155">
      <w:pPr>
        <w:spacing w:after="0" w:line="240" w:lineRule="auto"/>
        <w:rPr>
          <w:rFonts w:eastAsia="Times New Roman"/>
          <w:bCs/>
          <w:sz w:val="22"/>
          <w:szCs w:val="22"/>
          <w:lang w:eastAsia="en-AU"/>
        </w:rPr>
      </w:pPr>
    </w:p>
    <w:p w14:paraId="28EC87DC" w14:textId="7CA606D6" w:rsidR="00A02BCA" w:rsidRPr="000820DB" w:rsidRDefault="008D0155"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w:t>
      </w:r>
      <w:r w:rsidR="00A02BCA" w:rsidRPr="000820DB">
        <w:rPr>
          <w:rFonts w:eastAsia="Times New Roman"/>
          <w:bCs/>
          <w:sz w:val="22"/>
          <w:szCs w:val="22"/>
          <w:lang w:eastAsia="en-AU"/>
        </w:rPr>
        <w:t>5</w:t>
      </w:r>
      <w:r w:rsidRPr="000820DB">
        <w:rPr>
          <w:rFonts w:eastAsia="Times New Roman"/>
          <w:bCs/>
          <w:sz w:val="22"/>
          <w:szCs w:val="22"/>
          <w:lang w:eastAsia="en-AU"/>
        </w:rPr>
        <w:t xml:space="preserve"> </w:t>
      </w:r>
      <w:r w:rsidR="00A02BCA" w:rsidRPr="000820DB">
        <w:rPr>
          <w:rFonts w:eastAsia="Times New Roman"/>
          <w:bCs/>
          <w:sz w:val="22"/>
          <w:szCs w:val="22"/>
          <w:lang w:eastAsia="en-AU"/>
        </w:rPr>
        <w:t>of this Schedule omits the words”26 May 2022”, and substitutes “26 May 2023” in column 3 of table item 3 in Part 2 of Schedule 2 to the Principal Determination.</w:t>
      </w:r>
    </w:p>
    <w:p w14:paraId="5972D16E" w14:textId="24D95010" w:rsidR="00A02BCA" w:rsidRPr="000820DB" w:rsidRDefault="00A02BCA" w:rsidP="008D0155">
      <w:pPr>
        <w:spacing w:after="0" w:line="240" w:lineRule="auto"/>
        <w:rPr>
          <w:rFonts w:eastAsia="Times New Roman"/>
          <w:bCs/>
          <w:sz w:val="22"/>
          <w:szCs w:val="22"/>
          <w:lang w:eastAsia="en-AU"/>
        </w:rPr>
      </w:pPr>
    </w:p>
    <w:p w14:paraId="415D8F7A" w14:textId="1E547E90" w:rsidR="00A02BCA" w:rsidRPr="000820DB" w:rsidRDefault="00A02BCA" w:rsidP="00A02BCA">
      <w:pPr>
        <w:spacing w:after="0" w:line="240" w:lineRule="auto"/>
        <w:rPr>
          <w:rFonts w:eastAsia="Times New Roman"/>
          <w:bCs/>
          <w:sz w:val="22"/>
          <w:szCs w:val="22"/>
          <w:lang w:eastAsia="en-AU"/>
        </w:rPr>
      </w:pPr>
      <w:r w:rsidRPr="000820DB">
        <w:rPr>
          <w:rFonts w:eastAsia="Times New Roman"/>
          <w:bCs/>
          <w:sz w:val="22"/>
          <w:szCs w:val="22"/>
          <w:lang w:eastAsia="en-AU"/>
        </w:rPr>
        <w:t xml:space="preserve">Item 6 of this Schedule inserts </w:t>
      </w:r>
      <w:r w:rsidR="002E4A57" w:rsidRPr="000820DB">
        <w:rPr>
          <w:rFonts w:eastAsia="Times New Roman"/>
          <w:bCs/>
          <w:sz w:val="22"/>
          <w:szCs w:val="22"/>
          <w:lang w:eastAsia="en-AU"/>
        </w:rPr>
        <w:t xml:space="preserve">new </w:t>
      </w:r>
      <w:r w:rsidRPr="000820DB">
        <w:rPr>
          <w:rFonts w:eastAsia="Times New Roman"/>
          <w:bCs/>
          <w:sz w:val="22"/>
          <w:szCs w:val="22"/>
          <w:lang w:eastAsia="en-AU"/>
        </w:rPr>
        <w:t>item 3A in the table in Part 2 of Schedule 2, to specify that an application for inclusion of a Class 3 IVD medical device that is submitted before 26 May 2026, may be supported by an ISO 13485 certification issued by a notified body within the meaning of Directive 98/79/EC, provided the sponsor holds an EU declaration of conformity, made by the manufacture</w:t>
      </w:r>
      <w:r w:rsidR="006C7E13" w:rsidRPr="000820DB">
        <w:rPr>
          <w:rFonts w:eastAsia="Times New Roman"/>
          <w:bCs/>
          <w:sz w:val="22"/>
          <w:szCs w:val="22"/>
          <w:lang w:eastAsia="en-AU"/>
        </w:rPr>
        <w:t>r</w:t>
      </w:r>
      <w:r w:rsidRPr="000820DB">
        <w:rPr>
          <w:rFonts w:eastAsia="Times New Roman"/>
          <w:bCs/>
          <w:sz w:val="22"/>
          <w:szCs w:val="22"/>
          <w:lang w:eastAsia="en-AU"/>
        </w:rPr>
        <w:t xml:space="preserve"> under </w:t>
      </w:r>
      <w:r w:rsidR="006A3012" w:rsidRPr="000820DB">
        <w:rPr>
          <w:rFonts w:eastAsia="Times New Roman"/>
          <w:bCs/>
          <w:sz w:val="22"/>
          <w:szCs w:val="22"/>
          <w:lang w:eastAsia="en-AU"/>
        </w:rPr>
        <w:t xml:space="preserve">Annex III of </w:t>
      </w:r>
      <w:r w:rsidRPr="000820DB">
        <w:rPr>
          <w:rFonts w:eastAsia="Times New Roman"/>
          <w:bCs/>
          <w:sz w:val="22"/>
          <w:szCs w:val="22"/>
          <w:lang w:eastAsia="en-AU"/>
        </w:rPr>
        <w:t>Directive 98/79/EC before 26 May 2022.</w:t>
      </w:r>
    </w:p>
    <w:p w14:paraId="3E1CC5B7" w14:textId="77777777" w:rsidR="00A02BCA" w:rsidRPr="000820DB" w:rsidRDefault="00A02BCA" w:rsidP="008D0155">
      <w:pPr>
        <w:spacing w:after="0" w:line="240" w:lineRule="auto"/>
        <w:rPr>
          <w:rFonts w:eastAsia="Times New Roman"/>
          <w:bCs/>
          <w:sz w:val="22"/>
          <w:szCs w:val="22"/>
          <w:lang w:eastAsia="en-AU"/>
        </w:rPr>
      </w:pPr>
    </w:p>
    <w:p w14:paraId="2D01A8F4" w14:textId="08613875" w:rsidR="008D0155" w:rsidRPr="000820DB" w:rsidRDefault="00A02BCA" w:rsidP="008D0155">
      <w:pPr>
        <w:spacing w:after="0" w:line="240" w:lineRule="auto"/>
        <w:rPr>
          <w:rFonts w:eastAsia="Times New Roman"/>
          <w:bCs/>
          <w:sz w:val="22"/>
          <w:szCs w:val="22"/>
          <w:lang w:eastAsia="en-AU"/>
        </w:rPr>
      </w:pPr>
      <w:r w:rsidRPr="000820DB">
        <w:rPr>
          <w:rFonts w:eastAsia="Times New Roman"/>
          <w:bCs/>
          <w:sz w:val="22"/>
          <w:szCs w:val="22"/>
          <w:lang w:eastAsia="en-AU"/>
        </w:rPr>
        <w:t xml:space="preserve">Item 7 </w:t>
      </w:r>
      <w:r w:rsidR="008D0155" w:rsidRPr="000820DB">
        <w:rPr>
          <w:rFonts w:eastAsia="Times New Roman"/>
          <w:bCs/>
          <w:sz w:val="22"/>
          <w:szCs w:val="22"/>
          <w:lang w:eastAsia="en-AU"/>
        </w:rPr>
        <w:t>of this Schedule</w:t>
      </w:r>
      <w:r w:rsidR="00E03E8A" w:rsidRPr="000820DB">
        <w:rPr>
          <w:rFonts w:eastAsia="Times New Roman"/>
          <w:bCs/>
          <w:sz w:val="22"/>
          <w:szCs w:val="22"/>
          <w:lang w:eastAsia="en-AU"/>
        </w:rPr>
        <w:t xml:space="preserve"> omits the words “26 May 2022</w:t>
      </w:r>
      <w:r w:rsidRPr="000820DB">
        <w:rPr>
          <w:rFonts w:eastAsia="Times New Roman"/>
          <w:bCs/>
          <w:sz w:val="22"/>
          <w:szCs w:val="22"/>
          <w:lang w:eastAsia="en-AU"/>
        </w:rPr>
        <w:t>”</w:t>
      </w:r>
      <w:r w:rsidR="00E03E8A" w:rsidRPr="000820DB">
        <w:rPr>
          <w:rFonts w:eastAsia="Times New Roman"/>
          <w:bCs/>
          <w:sz w:val="22"/>
          <w:szCs w:val="22"/>
          <w:lang w:eastAsia="en-AU"/>
        </w:rPr>
        <w:t>, and substitutes “26 May 2023” in column 3 of table item 11 in Part 2 of Schedule 2 to the Principal Determination.</w:t>
      </w:r>
    </w:p>
    <w:p w14:paraId="63FA9BA3" w14:textId="2031B022" w:rsidR="008D0155" w:rsidRPr="000820DB" w:rsidRDefault="008D0155" w:rsidP="008D0155">
      <w:pPr>
        <w:spacing w:after="0" w:line="240" w:lineRule="auto"/>
        <w:rPr>
          <w:rFonts w:eastAsia="Times New Roman"/>
          <w:bCs/>
          <w:sz w:val="22"/>
          <w:szCs w:val="22"/>
          <w:lang w:eastAsia="en-AU"/>
        </w:rPr>
      </w:pPr>
    </w:p>
    <w:p w14:paraId="2D3EBBC1" w14:textId="4D50761F" w:rsidR="008D0155" w:rsidRPr="000820DB" w:rsidRDefault="008D0155" w:rsidP="00CF68AC">
      <w:pPr>
        <w:spacing w:after="0" w:line="240" w:lineRule="auto"/>
        <w:rPr>
          <w:rFonts w:eastAsia="Times New Roman"/>
          <w:bCs/>
          <w:sz w:val="22"/>
          <w:szCs w:val="22"/>
          <w:lang w:eastAsia="en-AU"/>
        </w:rPr>
      </w:pPr>
      <w:r w:rsidRPr="000820DB">
        <w:rPr>
          <w:rFonts w:eastAsia="Times New Roman"/>
          <w:bCs/>
          <w:sz w:val="22"/>
          <w:szCs w:val="22"/>
          <w:lang w:eastAsia="en-AU"/>
        </w:rPr>
        <w:t xml:space="preserve">Item </w:t>
      </w:r>
      <w:r w:rsidR="00A02BCA" w:rsidRPr="000820DB">
        <w:rPr>
          <w:rFonts w:eastAsia="Times New Roman"/>
          <w:bCs/>
          <w:sz w:val="22"/>
          <w:szCs w:val="22"/>
          <w:lang w:eastAsia="en-AU"/>
        </w:rPr>
        <w:t>8</w:t>
      </w:r>
      <w:r w:rsidRPr="000820DB">
        <w:rPr>
          <w:rFonts w:eastAsia="Times New Roman"/>
          <w:bCs/>
          <w:sz w:val="22"/>
          <w:szCs w:val="22"/>
          <w:lang w:eastAsia="en-AU"/>
        </w:rPr>
        <w:t xml:space="preserve"> of this Schedule</w:t>
      </w:r>
      <w:r w:rsidR="00E03E8A" w:rsidRPr="000820DB">
        <w:rPr>
          <w:rFonts w:eastAsia="Times New Roman"/>
          <w:bCs/>
          <w:sz w:val="22"/>
          <w:szCs w:val="22"/>
          <w:lang w:eastAsia="en-AU"/>
        </w:rPr>
        <w:t xml:space="preserve"> adds </w:t>
      </w:r>
      <w:r w:rsidR="002E4A57" w:rsidRPr="000820DB">
        <w:rPr>
          <w:rFonts w:eastAsia="Times New Roman"/>
          <w:bCs/>
          <w:sz w:val="22"/>
          <w:szCs w:val="22"/>
          <w:lang w:eastAsia="en-AU"/>
        </w:rPr>
        <w:t xml:space="preserve">new </w:t>
      </w:r>
      <w:r w:rsidR="00E03E8A" w:rsidRPr="000820DB">
        <w:rPr>
          <w:rFonts w:eastAsia="Times New Roman"/>
          <w:bCs/>
          <w:sz w:val="22"/>
          <w:szCs w:val="22"/>
          <w:lang w:eastAsia="en-AU"/>
        </w:rPr>
        <w:t>item 12 to the end of the table in Part 2 of Schedule 2, to specify that an application for inclusion of a Class 3 IVD medical device that is submitted before 26 May 2026, may be supported by an ISO 13485 certification issued by an IAF accredited conformity assessment body, provided the sponsor holds an EU declaration of conformity, made by the manufacture</w:t>
      </w:r>
      <w:r w:rsidR="006C7E13" w:rsidRPr="000820DB">
        <w:rPr>
          <w:rFonts w:eastAsia="Times New Roman"/>
          <w:bCs/>
          <w:sz w:val="22"/>
          <w:szCs w:val="22"/>
          <w:lang w:eastAsia="en-AU"/>
        </w:rPr>
        <w:t>r</w:t>
      </w:r>
      <w:r w:rsidR="00E03E8A" w:rsidRPr="000820DB">
        <w:rPr>
          <w:rFonts w:eastAsia="Times New Roman"/>
          <w:bCs/>
          <w:sz w:val="22"/>
          <w:szCs w:val="22"/>
          <w:lang w:eastAsia="en-AU"/>
        </w:rPr>
        <w:t xml:space="preserve"> under </w:t>
      </w:r>
      <w:r w:rsidR="006A3012" w:rsidRPr="000820DB">
        <w:rPr>
          <w:rFonts w:eastAsia="Times New Roman"/>
          <w:bCs/>
          <w:sz w:val="22"/>
          <w:szCs w:val="22"/>
          <w:lang w:eastAsia="en-AU"/>
        </w:rPr>
        <w:t xml:space="preserve">Annex III of </w:t>
      </w:r>
      <w:r w:rsidR="00A02BCA" w:rsidRPr="000820DB">
        <w:rPr>
          <w:rFonts w:eastAsia="Times New Roman"/>
          <w:bCs/>
          <w:sz w:val="22"/>
          <w:szCs w:val="22"/>
          <w:lang w:eastAsia="en-AU"/>
        </w:rPr>
        <w:t>Directive 98/79/EC before 26 May 2022</w:t>
      </w:r>
      <w:r w:rsidR="00E03E8A" w:rsidRPr="000820DB">
        <w:rPr>
          <w:rFonts w:eastAsia="Times New Roman"/>
          <w:bCs/>
          <w:sz w:val="22"/>
          <w:szCs w:val="22"/>
          <w:lang w:eastAsia="en-AU"/>
        </w:rPr>
        <w:t>.</w:t>
      </w:r>
    </w:p>
    <w:p w14:paraId="5755998D" w14:textId="6E460176" w:rsidR="001E51F5" w:rsidRPr="000820DB" w:rsidRDefault="001E51F5" w:rsidP="000820DB">
      <w:pPr>
        <w:spacing w:after="0" w:line="240" w:lineRule="auto"/>
        <w:rPr>
          <w:rFonts w:eastAsia="Times New Roman"/>
          <w:bCs/>
          <w:sz w:val="22"/>
          <w:szCs w:val="22"/>
          <w:lang w:eastAsia="en-AU"/>
        </w:rPr>
      </w:pPr>
      <w:r w:rsidRPr="000820DB">
        <w:rPr>
          <w:rFonts w:eastAsia="Times New Roman"/>
          <w:bCs/>
          <w:sz w:val="22"/>
          <w:szCs w:val="22"/>
          <w:lang w:eastAsia="en-AU"/>
        </w:rPr>
        <w:br w:type="page"/>
      </w:r>
    </w:p>
    <w:p w14:paraId="09F08A98" w14:textId="77777777" w:rsidR="001E51F5" w:rsidRPr="000820DB" w:rsidRDefault="001E51F5" w:rsidP="001E51F5">
      <w:pPr>
        <w:spacing w:after="0" w:line="240" w:lineRule="auto"/>
        <w:rPr>
          <w:rFonts w:eastAsia="Times New Roman"/>
          <w:b/>
          <w:bCs/>
          <w:sz w:val="22"/>
          <w:szCs w:val="22"/>
          <w:lang w:eastAsia="en-AU"/>
        </w:rPr>
      </w:pPr>
    </w:p>
    <w:p w14:paraId="6C01B0EC" w14:textId="77777777" w:rsidR="001E51F5" w:rsidRPr="000820DB" w:rsidRDefault="001E51F5" w:rsidP="001E51F5">
      <w:pPr>
        <w:spacing w:after="0" w:line="240" w:lineRule="auto"/>
        <w:jc w:val="right"/>
        <w:rPr>
          <w:rFonts w:eastAsia="Times New Roman"/>
          <w:b/>
          <w:bCs/>
          <w:sz w:val="22"/>
          <w:szCs w:val="22"/>
          <w:lang w:eastAsia="en-AU"/>
        </w:rPr>
      </w:pPr>
      <w:r w:rsidRPr="000820DB">
        <w:rPr>
          <w:rFonts w:eastAsia="Times New Roman"/>
          <w:b/>
          <w:bCs/>
          <w:sz w:val="22"/>
          <w:szCs w:val="22"/>
          <w:lang w:eastAsia="en-AU"/>
        </w:rPr>
        <w:t>Attachment B</w:t>
      </w:r>
    </w:p>
    <w:p w14:paraId="17ED476C" w14:textId="77777777" w:rsidR="001E51F5" w:rsidRPr="000820DB" w:rsidRDefault="001E51F5" w:rsidP="001E51F5">
      <w:pPr>
        <w:spacing w:after="0" w:line="240" w:lineRule="auto"/>
        <w:rPr>
          <w:rFonts w:eastAsia="Times New Roman"/>
          <w:sz w:val="22"/>
          <w:szCs w:val="22"/>
          <w:lang w:eastAsia="en-AU"/>
        </w:rPr>
      </w:pPr>
    </w:p>
    <w:p w14:paraId="04D9AD1D" w14:textId="77777777" w:rsidR="001E51F5" w:rsidRPr="000820DB" w:rsidRDefault="001E51F5" w:rsidP="001E51F5">
      <w:pPr>
        <w:spacing w:after="0" w:line="240" w:lineRule="auto"/>
        <w:jc w:val="center"/>
        <w:rPr>
          <w:rFonts w:eastAsia="Times New Roman"/>
          <w:b/>
          <w:sz w:val="22"/>
          <w:szCs w:val="22"/>
          <w:lang w:val="en-US" w:eastAsia="en-AU"/>
        </w:rPr>
      </w:pPr>
      <w:r w:rsidRPr="000820DB">
        <w:rPr>
          <w:rFonts w:eastAsia="Times New Roman"/>
          <w:b/>
          <w:sz w:val="22"/>
          <w:szCs w:val="22"/>
          <w:lang w:eastAsia="en-AU"/>
        </w:rPr>
        <w:t>Statement of Compatibility with Human Rights</w:t>
      </w:r>
    </w:p>
    <w:p w14:paraId="2DD2F1D3" w14:textId="77777777" w:rsidR="001E51F5" w:rsidRPr="000820DB" w:rsidRDefault="001E51F5" w:rsidP="001E51F5">
      <w:pPr>
        <w:spacing w:after="0" w:line="240" w:lineRule="auto"/>
        <w:rPr>
          <w:rFonts w:eastAsia="Times New Roman"/>
          <w:sz w:val="22"/>
          <w:szCs w:val="22"/>
          <w:lang w:eastAsia="en-AU"/>
        </w:rPr>
      </w:pPr>
    </w:p>
    <w:p w14:paraId="1093FFA6" w14:textId="77777777" w:rsidR="001E51F5" w:rsidRPr="000820DB" w:rsidRDefault="001E51F5" w:rsidP="001E51F5">
      <w:pPr>
        <w:spacing w:after="0" w:line="240" w:lineRule="auto"/>
        <w:ind w:right="-142"/>
        <w:jc w:val="center"/>
        <w:rPr>
          <w:rFonts w:eastAsia="Times New Roman"/>
          <w:i/>
          <w:sz w:val="22"/>
          <w:szCs w:val="22"/>
          <w:lang w:eastAsia="en-AU"/>
        </w:rPr>
      </w:pPr>
      <w:r w:rsidRPr="000820DB">
        <w:rPr>
          <w:rFonts w:eastAsia="Times New Roman"/>
          <w:iCs/>
          <w:sz w:val="22"/>
          <w:szCs w:val="22"/>
          <w:lang w:eastAsia="en-AU"/>
        </w:rPr>
        <w:t>Prepared in accordance with Part 3 of the</w:t>
      </w:r>
      <w:r w:rsidRPr="000820DB">
        <w:rPr>
          <w:rFonts w:eastAsia="Times New Roman"/>
          <w:i/>
          <w:iCs/>
          <w:sz w:val="22"/>
          <w:szCs w:val="22"/>
          <w:lang w:eastAsia="en-AU"/>
        </w:rPr>
        <w:t xml:space="preserve"> Human Rights (Parliamentary Scrutiny) Act 2011</w:t>
      </w:r>
    </w:p>
    <w:p w14:paraId="18C34E89" w14:textId="77777777" w:rsidR="001E51F5" w:rsidRPr="000820DB" w:rsidRDefault="001E51F5" w:rsidP="001E51F5">
      <w:pPr>
        <w:spacing w:after="0" w:line="240" w:lineRule="auto"/>
        <w:rPr>
          <w:rFonts w:eastAsia="Times New Roman"/>
          <w:sz w:val="22"/>
          <w:szCs w:val="22"/>
          <w:lang w:val="en-US" w:eastAsia="en-AU"/>
        </w:rPr>
      </w:pPr>
    </w:p>
    <w:p w14:paraId="17A89F56" w14:textId="4CE00CFD" w:rsidR="001E51F5" w:rsidRPr="000820DB" w:rsidRDefault="004875B7" w:rsidP="001E51F5">
      <w:pPr>
        <w:spacing w:after="0" w:line="240" w:lineRule="auto"/>
        <w:jc w:val="center"/>
        <w:rPr>
          <w:rFonts w:eastAsia="Times New Roman"/>
          <w:b/>
          <w:sz w:val="22"/>
          <w:szCs w:val="22"/>
          <w:lang w:eastAsia="en-AU"/>
        </w:rPr>
      </w:pPr>
      <w:r w:rsidRPr="000820DB">
        <w:rPr>
          <w:rFonts w:eastAsia="Times New Roman"/>
          <w:b/>
          <w:i/>
          <w:sz w:val="22"/>
          <w:szCs w:val="22"/>
          <w:lang w:eastAsia="en-AU"/>
        </w:rPr>
        <w:t>Therapeutic Goods (Medical Devices—Information that Must Accompany Application for Inclusion) Amendment (</w:t>
      </w:r>
      <w:r w:rsidR="008D0155" w:rsidRPr="000820DB">
        <w:rPr>
          <w:rFonts w:eastAsia="Times New Roman"/>
          <w:b/>
          <w:i/>
          <w:sz w:val="22"/>
          <w:szCs w:val="22"/>
          <w:lang w:eastAsia="en-AU"/>
        </w:rPr>
        <w:t>European Union—Consequential Amendments</w:t>
      </w:r>
      <w:r w:rsidRPr="000820DB">
        <w:rPr>
          <w:rFonts w:eastAsia="Times New Roman"/>
          <w:b/>
          <w:i/>
          <w:sz w:val="22"/>
          <w:szCs w:val="22"/>
          <w:lang w:eastAsia="en-AU"/>
        </w:rPr>
        <w:t>) Determination 202</w:t>
      </w:r>
      <w:r w:rsidR="00DC540A" w:rsidRPr="000820DB">
        <w:rPr>
          <w:rFonts w:eastAsia="Times New Roman"/>
          <w:b/>
          <w:i/>
          <w:sz w:val="22"/>
          <w:szCs w:val="22"/>
          <w:lang w:eastAsia="en-AU"/>
        </w:rPr>
        <w:t>2</w:t>
      </w:r>
    </w:p>
    <w:p w14:paraId="3AF5573F" w14:textId="77777777" w:rsidR="001E51F5" w:rsidRPr="000820DB" w:rsidRDefault="001E51F5" w:rsidP="001E51F5">
      <w:pPr>
        <w:spacing w:after="0" w:line="240" w:lineRule="auto"/>
        <w:rPr>
          <w:rFonts w:eastAsia="Times New Roman"/>
          <w:sz w:val="22"/>
          <w:szCs w:val="22"/>
          <w:lang w:eastAsia="en-AU"/>
        </w:rPr>
      </w:pPr>
    </w:p>
    <w:p w14:paraId="7120DDC8" w14:textId="32D22FD9"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This disallowable legislative instrument is compatible with the</w:t>
      </w:r>
      <w:r w:rsidR="00F631E1" w:rsidRPr="000820DB">
        <w:rPr>
          <w:rFonts w:eastAsia="Times New Roman"/>
          <w:sz w:val="22"/>
          <w:szCs w:val="22"/>
          <w:lang w:eastAsia="en-AU"/>
        </w:rPr>
        <w:t xml:space="preserve"> </w:t>
      </w:r>
      <w:r w:rsidRPr="000820DB">
        <w:rPr>
          <w:rFonts w:eastAsia="Times New Roman"/>
          <w:sz w:val="22"/>
          <w:szCs w:val="22"/>
          <w:lang w:eastAsia="en-AU"/>
        </w:rPr>
        <w:t xml:space="preserve">human rights and freedoms recognised or declared in the international instruments listed in section 3 of the </w:t>
      </w:r>
      <w:r w:rsidRPr="000820DB">
        <w:rPr>
          <w:rFonts w:eastAsia="Times New Roman"/>
          <w:i/>
          <w:sz w:val="22"/>
          <w:szCs w:val="22"/>
          <w:lang w:eastAsia="en-AU"/>
        </w:rPr>
        <w:t>Human Rights (Parliamentary Scrutiny) Act 2011</w:t>
      </w:r>
      <w:r w:rsidRPr="000820DB">
        <w:rPr>
          <w:rFonts w:eastAsia="Times New Roman"/>
          <w:sz w:val="22"/>
          <w:szCs w:val="22"/>
          <w:lang w:eastAsia="en-AU"/>
        </w:rPr>
        <w:t>.</w:t>
      </w:r>
    </w:p>
    <w:p w14:paraId="14E92FF4" w14:textId="77777777" w:rsidR="001E51F5" w:rsidRPr="000820DB" w:rsidRDefault="001E51F5" w:rsidP="001E51F5">
      <w:pPr>
        <w:spacing w:after="0" w:line="240" w:lineRule="auto"/>
        <w:rPr>
          <w:rFonts w:eastAsia="Times New Roman"/>
          <w:sz w:val="22"/>
          <w:szCs w:val="22"/>
          <w:lang w:eastAsia="en-AU"/>
        </w:rPr>
      </w:pPr>
    </w:p>
    <w:p w14:paraId="50E16580" w14:textId="77777777" w:rsidR="001E51F5" w:rsidRPr="000820DB" w:rsidRDefault="001E51F5" w:rsidP="001E51F5">
      <w:pPr>
        <w:spacing w:after="0" w:line="240" w:lineRule="auto"/>
        <w:rPr>
          <w:rFonts w:eastAsia="Times New Roman"/>
          <w:b/>
          <w:sz w:val="22"/>
          <w:szCs w:val="22"/>
          <w:lang w:eastAsia="en-AU"/>
        </w:rPr>
      </w:pPr>
      <w:r w:rsidRPr="000820DB">
        <w:rPr>
          <w:rFonts w:eastAsia="Times New Roman"/>
          <w:b/>
          <w:sz w:val="22"/>
          <w:szCs w:val="22"/>
          <w:lang w:eastAsia="en-AU"/>
        </w:rPr>
        <w:t>Overview of legislative instrument</w:t>
      </w:r>
    </w:p>
    <w:p w14:paraId="71FFD2BD" w14:textId="77777777" w:rsidR="001E51F5" w:rsidRPr="000820DB" w:rsidRDefault="001E51F5" w:rsidP="001E51F5">
      <w:pPr>
        <w:spacing w:after="0" w:line="240" w:lineRule="auto"/>
        <w:rPr>
          <w:rFonts w:eastAsia="Times New Roman"/>
          <w:sz w:val="22"/>
          <w:szCs w:val="22"/>
          <w:lang w:eastAsia="en-AU"/>
        </w:rPr>
      </w:pPr>
    </w:p>
    <w:p w14:paraId="35ACAEB4" w14:textId="1E150FED" w:rsidR="008D28FD" w:rsidRPr="000820DB" w:rsidRDefault="008D28FD" w:rsidP="008D28FD">
      <w:pPr>
        <w:spacing w:after="0" w:line="240" w:lineRule="auto"/>
        <w:rPr>
          <w:rFonts w:eastAsia="Times New Roman"/>
          <w:sz w:val="22"/>
          <w:szCs w:val="22"/>
          <w:lang w:eastAsia="en-AU"/>
        </w:rPr>
      </w:pPr>
      <w:r w:rsidRPr="000820DB">
        <w:rPr>
          <w:rFonts w:eastAsia="Times New Roman"/>
          <w:sz w:val="22"/>
          <w:szCs w:val="22"/>
          <w:lang w:eastAsia="en-AU"/>
        </w:rPr>
        <w:t xml:space="preserve">The </w:t>
      </w:r>
      <w:r w:rsidRPr="000820DB">
        <w:rPr>
          <w:rFonts w:eastAsia="Times New Roman"/>
          <w:i/>
          <w:iCs/>
          <w:sz w:val="22"/>
          <w:szCs w:val="22"/>
          <w:lang w:eastAsia="en-AU"/>
        </w:rPr>
        <w:t>Therapeutic Goods (Medical Devices—Information that Must Accompany Application for Inclusion) Determination 2018</w:t>
      </w:r>
      <w:r w:rsidRPr="000820DB">
        <w:rPr>
          <w:rFonts w:eastAsia="Times New Roman"/>
          <w:sz w:val="22"/>
          <w:szCs w:val="22"/>
          <w:lang w:eastAsia="en-AU"/>
        </w:rPr>
        <w:t xml:space="preserve"> (“the principal instrument”) is made under</w:t>
      </w:r>
      <w:r w:rsidR="0001622B" w:rsidRPr="000820DB">
        <w:rPr>
          <w:rFonts w:eastAsia="Times New Roman"/>
          <w:sz w:val="22"/>
          <w:szCs w:val="22"/>
          <w:lang w:eastAsia="en-AU"/>
        </w:rPr>
        <w:t xml:space="preserve"> subsections 41</w:t>
      </w:r>
      <w:proofErr w:type="gramStart"/>
      <w:r w:rsidR="0001622B" w:rsidRPr="000820DB">
        <w:rPr>
          <w:rFonts w:eastAsia="Times New Roman"/>
          <w:sz w:val="22"/>
          <w:szCs w:val="22"/>
          <w:lang w:eastAsia="en-AU"/>
        </w:rPr>
        <w:t>FDB(</w:t>
      </w:r>
      <w:proofErr w:type="gramEnd"/>
      <w:r w:rsidR="0001622B" w:rsidRPr="000820DB">
        <w:rPr>
          <w:rFonts w:eastAsia="Times New Roman"/>
          <w:sz w:val="22"/>
          <w:szCs w:val="22"/>
          <w:lang w:eastAsia="en-AU"/>
        </w:rPr>
        <w:t>7) and </w:t>
      </w:r>
      <w:r w:rsidRPr="000820DB">
        <w:rPr>
          <w:rFonts w:eastAsia="Times New Roman"/>
          <w:sz w:val="22"/>
          <w:szCs w:val="22"/>
          <w:lang w:eastAsia="en-AU"/>
        </w:rPr>
        <w:t xml:space="preserve">(8) of the </w:t>
      </w:r>
      <w:r w:rsidR="0001622B" w:rsidRPr="000820DB">
        <w:rPr>
          <w:rFonts w:eastAsia="Times New Roman"/>
          <w:i/>
          <w:sz w:val="22"/>
          <w:szCs w:val="22"/>
          <w:lang w:eastAsia="en-AU"/>
        </w:rPr>
        <w:t>Therapeutic Goods Act 1989</w:t>
      </w:r>
      <w:r w:rsidR="0001622B" w:rsidRPr="000820DB">
        <w:rPr>
          <w:rFonts w:eastAsia="Times New Roman"/>
          <w:sz w:val="22"/>
          <w:szCs w:val="22"/>
          <w:lang w:eastAsia="en-AU"/>
        </w:rPr>
        <w:t xml:space="preserve"> (“the Act”)</w:t>
      </w:r>
      <w:r w:rsidRPr="000820DB">
        <w:rPr>
          <w:rFonts w:eastAsia="Times New Roman"/>
          <w:sz w:val="22"/>
          <w:szCs w:val="22"/>
          <w:lang w:eastAsia="en-AU"/>
        </w:rPr>
        <w:t>.</w:t>
      </w:r>
      <w:r w:rsidR="008B4916" w:rsidRPr="000820DB">
        <w:rPr>
          <w:rFonts w:eastAsia="Times New Roman"/>
          <w:sz w:val="22"/>
          <w:szCs w:val="22"/>
          <w:lang w:eastAsia="en-AU"/>
        </w:rPr>
        <w:t xml:space="preserve"> </w:t>
      </w:r>
      <w:r w:rsidRPr="000820DB">
        <w:rPr>
          <w:rFonts w:eastAsia="Times New Roman"/>
          <w:sz w:val="22"/>
          <w:szCs w:val="22"/>
          <w:lang w:eastAsia="en-AU"/>
        </w:rPr>
        <w:t xml:space="preserve">The principal instrument determines the kind and form of information that must accompany an application for kinds of medical devices of a particular classification to be included in the </w:t>
      </w:r>
      <w:r w:rsidR="0001622B" w:rsidRPr="000820DB">
        <w:rPr>
          <w:rFonts w:eastAsia="Times New Roman"/>
          <w:sz w:val="22"/>
          <w:szCs w:val="22"/>
          <w:lang w:eastAsia="en-AU"/>
        </w:rPr>
        <w:t>Australian Register of Therapeutic Goods (“the</w:t>
      </w:r>
      <w:r w:rsidR="00E03E8A" w:rsidRPr="000820DB">
        <w:rPr>
          <w:rFonts w:eastAsia="Times New Roman"/>
          <w:sz w:val="22"/>
          <w:szCs w:val="22"/>
          <w:lang w:eastAsia="en-AU"/>
        </w:rPr>
        <w:t> </w:t>
      </w:r>
      <w:r w:rsidR="0001622B" w:rsidRPr="000820DB">
        <w:rPr>
          <w:rFonts w:eastAsia="Times New Roman"/>
          <w:sz w:val="22"/>
          <w:szCs w:val="22"/>
          <w:lang w:eastAsia="en-AU"/>
        </w:rPr>
        <w:t>Register”)</w:t>
      </w:r>
      <w:r w:rsidRPr="000820DB">
        <w:rPr>
          <w:rFonts w:eastAsia="Times New Roman"/>
          <w:sz w:val="22"/>
          <w:szCs w:val="22"/>
          <w:lang w:eastAsia="en-AU"/>
        </w:rPr>
        <w:t>.</w:t>
      </w:r>
    </w:p>
    <w:p w14:paraId="3CB6F24D" w14:textId="77777777" w:rsidR="008D28FD" w:rsidRPr="000820DB" w:rsidRDefault="008D28FD" w:rsidP="008D28FD">
      <w:pPr>
        <w:spacing w:after="0" w:line="240" w:lineRule="auto"/>
        <w:rPr>
          <w:rFonts w:eastAsia="Times New Roman"/>
          <w:sz w:val="22"/>
          <w:szCs w:val="22"/>
          <w:lang w:eastAsia="en-AU"/>
        </w:rPr>
      </w:pPr>
    </w:p>
    <w:p w14:paraId="517A55AE" w14:textId="7CAFD37D" w:rsidR="008D28FD" w:rsidRPr="000820DB" w:rsidRDefault="008D28FD" w:rsidP="008D28FD">
      <w:pPr>
        <w:spacing w:after="0" w:line="240" w:lineRule="auto"/>
        <w:rPr>
          <w:rFonts w:eastAsia="Times New Roman"/>
          <w:sz w:val="22"/>
          <w:szCs w:val="22"/>
          <w:lang w:eastAsia="en-AU"/>
        </w:rPr>
      </w:pPr>
      <w:r w:rsidRPr="000820DB">
        <w:rPr>
          <w:rFonts w:eastAsia="Times New Roman"/>
          <w:sz w:val="22"/>
          <w:szCs w:val="22"/>
          <w:lang w:eastAsia="en-AU"/>
        </w:rPr>
        <w:t xml:space="preserve">The kinds of information specified in the </w:t>
      </w:r>
      <w:r w:rsidR="0001622B" w:rsidRPr="000820DB">
        <w:rPr>
          <w:rFonts w:eastAsia="Times New Roman"/>
          <w:sz w:val="22"/>
          <w:szCs w:val="22"/>
          <w:lang w:eastAsia="en-AU"/>
        </w:rPr>
        <w:t>principal instrument</w:t>
      </w:r>
      <w:r w:rsidRPr="000820DB">
        <w:rPr>
          <w:rFonts w:eastAsia="Times New Roman"/>
          <w:sz w:val="22"/>
          <w:szCs w:val="22"/>
          <w:lang w:eastAsia="en-AU"/>
        </w:rPr>
        <w:t xml:space="preserve"> relate to the conformity assessment documents that are required to demonstrate that appropriate conformity assessment procedures have been applied by the manufacturer to its quality management system and the </w:t>
      </w:r>
      <w:proofErr w:type="gramStart"/>
      <w:r w:rsidRPr="000820DB">
        <w:rPr>
          <w:rFonts w:eastAsia="Times New Roman"/>
          <w:sz w:val="22"/>
          <w:szCs w:val="22"/>
          <w:lang w:eastAsia="en-AU"/>
        </w:rPr>
        <w:t>particular kind</w:t>
      </w:r>
      <w:proofErr w:type="gramEnd"/>
      <w:r w:rsidRPr="000820DB">
        <w:rPr>
          <w:rFonts w:eastAsia="Times New Roman"/>
          <w:sz w:val="22"/>
          <w:szCs w:val="22"/>
          <w:lang w:eastAsia="en-AU"/>
        </w:rPr>
        <w:t xml:space="preserve"> of medical device. The conformity assessment documents include certificates and other documents which have been issued or recognised by the Secretary and, in the alternative, comparable overseas regulators as defined in section 41BIB of the Act.</w:t>
      </w:r>
    </w:p>
    <w:p w14:paraId="5D35C8A7" w14:textId="77777777" w:rsidR="008D28FD" w:rsidRPr="000820DB" w:rsidRDefault="008D28FD" w:rsidP="008D28FD">
      <w:pPr>
        <w:spacing w:after="0" w:line="240" w:lineRule="auto"/>
        <w:rPr>
          <w:rFonts w:eastAsia="Times New Roman"/>
          <w:sz w:val="22"/>
          <w:szCs w:val="22"/>
          <w:lang w:eastAsia="en-AU"/>
        </w:rPr>
      </w:pPr>
    </w:p>
    <w:p w14:paraId="388FF954" w14:textId="1873834B" w:rsidR="002B3658" w:rsidRPr="000820DB" w:rsidRDefault="008D0155" w:rsidP="008D015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Under the </w:t>
      </w:r>
      <w:r w:rsidR="00E03E8A" w:rsidRPr="000820DB">
        <w:rPr>
          <w:rFonts w:eastAsia="Times New Roman"/>
          <w:sz w:val="22"/>
          <w:szCs w:val="22"/>
          <w:lang w:eastAsia="en-AU"/>
        </w:rPr>
        <w:t>p</w:t>
      </w:r>
      <w:r w:rsidRPr="000820DB">
        <w:rPr>
          <w:rFonts w:eastAsia="Times New Roman"/>
          <w:sz w:val="22"/>
          <w:szCs w:val="22"/>
          <w:lang w:eastAsia="en-AU"/>
        </w:rPr>
        <w:t xml:space="preserve">rincipal </w:t>
      </w:r>
      <w:r w:rsidR="008D6F7A" w:rsidRPr="000820DB">
        <w:rPr>
          <w:rFonts w:eastAsia="Times New Roman"/>
          <w:sz w:val="22"/>
          <w:szCs w:val="22"/>
          <w:lang w:eastAsia="en-AU"/>
        </w:rPr>
        <w:t>instrument</w:t>
      </w:r>
      <w:r w:rsidRPr="000820DB">
        <w:rPr>
          <w:rFonts w:eastAsia="Times New Roman"/>
          <w:sz w:val="22"/>
          <w:szCs w:val="22"/>
          <w:lang w:eastAsia="en-AU"/>
        </w:rPr>
        <w:t xml:space="preserve">, an application for </w:t>
      </w:r>
      <w:r w:rsidR="001A6958" w:rsidRPr="000820DB">
        <w:rPr>
          <w:rFonts w:eastAsia="Times New Roman"/>
          <w:sz w:val="22"/>
          <w:szCs w:val="22"/>
          <w:lang w:eastAsia="en-AU"/>
        </w:rPr>
        <w:t xml:space="preserve">the </w:t>
      </w:r>
      <w:r w:rsidRPr="000820DB">
        <w:rPr>
          <w:rFonts w:eastAsia="Times New Roman"/>
          <w:sz w:val="22"/>
          <w:szCs w:val="22"/>
          <w:lang w:eastAsia="en-AU"/>
        </w:rPr>
        <w:t xml:space="preserve">inclusion of a Class 2 </w:t>
      </w:r>
      <w:r w:rsidR="001A6958" w:rsidRPr="000820DB">
        <w:rPr>
          <w:rFonts w:eastAsia="Times New Roman"/>
          <w:sz w:val="22"/>
          <w:szCs w:val="22"/>
          <w:lang w:eastAsia="en-AU"/>
        </w:rPr>
        <w:t xml:space="preserve">in vitro diagnostic (“IVD”) medical device </w:t>
      </w:r>
      <w:r w:rsidRPr="000820DB">
        <w:rPr>
          <w:rFonts w:eastAsia="Times New Roman"/>
          <w:sz w:val="22"/>
          <w:szCs w:val="22"/>
          <w:lang w:eastAsia="en-AU"/>
        </w:rPr>
        <w:t xml:space="preserve">or </w:t>
      </w:r>
      <w:r w:rsidR="001A6958" w:rsidRPr="000820DB">
        <w:rPr>
          <w:rFonts w:eastAsia="Times New Roman"/>
          <w:sz w:val="22"/>
          <w:szCs w:val="22"/>
          <w:lang w:eastAsia="en-AU"/>
        </w:rPr>
        <w:t xml:space="preserve">a </w:t>
      </w:r>
      <w:r w:rsidRPr="000820DB">
        <w:rPr>
          <w:rFonts w:eastAsia="Times New Roman"/>
          <w:sz w:val="22"/>
          <w:szCs w:val="22"/>
          <w:lang w:eastAsia="en-AU"/>
        </w:rPr>
        <w:t xml:space="preserve">Class 3 IVD medical device </w:t>
      </w:r>
      <w:r w:rsidR="001A6958" w:rsidRPr="000820DB">
        <w:rPr>
          <w:rFonts w:eastAsia="Times New Roman"/>
          <w:sz w:val="22"/>
          <w:szCs w:val="22"/>
          <w:lang w:eastAsia="en-AU"/>
        </w:rPr>
        <w:t xml:space="preserve">in the Australian Register of Therapeutic Goods </w:t>
      </w:r>
      <w:r w:rsidRPr="000820DB">
        <w:rPr>
          <w:rFonts w:eastAsia="Times New Roman"/>
          <w:sz w:val="22"/>
          <w:szCs w:val="22"/>
          <w:lang w:eastAsia="en-AU"/>
        </w:rPr>
        <w:t xml:space="preserve">may be supported by a document issued by </w:t>
      </w:r>
      <w:r w:rsidR="00C13D16" w:rsidRPr="000820DB">
        <w:rPr>
          <w:rFonts w:eastAsia="Times New Roman"/>
          <w:sz w:val="22"/>
          <w:szCs w:val="22"/>
          <w:lang w:eastAsia="en-AU"/>
        </w:rPr>
        <w:t xml:space="preserve">a notified body within the meaning of Directive 98/79/EC or </w:t>
      </w:r>
      <w:r w:rsidRPr="000820DB">
        <w:rPr>
          <w:rFonts w:eastAsia="Times New Roman"/>
          <w:sz w:val="22"/>
          <w:szCs w:val="22"/>
          <w:lang w:eastAsia="en-AU"/>
        </w:rPr>
        <w:t xml:space="preserve">an IAF accredited conformity assessment body, certifying compliance with ISO 13485, provided the application is submitted before 26 May 2022. The acceptance of such certification for applications submitted before this date </w:t>
      </w:r>
      <w:r w:rsidR="00E678FC" w:rsidRPr="000820DB">
        <w:rPr>
          <w:rFonts w:eastAsia="Times New Roman"/>
          <w:sz w:val="22"/>
          <w:szCs w:val="22"/>
          <w:lang w:eastAsia="en-AU"/>
        </w:rPr>
        <w:t xml:space="preserve">was designed to </w:t>
      </w:r>
      <w:r w:rsidRPr="000820DB">
        <w:rPr>
          <w:rFonts w:eastAsia="Times New Roman"/>
          <w:sz w:val="22"/>
          <w:szCs w:val="22"/>
          <w:lang w:eastAsia="en-AU"/>
        </w:rPr>
        <w:t xml:space="preserve">align </w:t>
      </w:r>
      <w:r w:rsidR="00E678FC" w:rsidRPr="000820DB">
        <w:rPr>
          <w:rFonts w:eastAsia="Times New Roman"/>
          <w:sz w:val="22"/>
          <w:szCs w:val="22"/>
          <w:lang w:eastAsia="en-AU"/>
        </w:rPr>
        <w:t>with</w:t>
      </w:r>
      <w:r w:rsidRPr="000820DB">
        <w:rPr>
          <w:rFonts w:eastAsia="Times New Roman"/>
          <w:sz w:val="22"/>
          <w:szCs w:val="22"/>
          <w:lang w:eastAsia="en-AU"/>
        </w:rPr>
        <w:t xml:space="preserve"> the European Union’s </w:t>
      </w:r>
      <w:r w:rsidRPr="000820DB">
        <w:rPr>
          <w:rFonts w:eastAsia="Times New Roman"/>
          <w:i/>
          <w:iCs/>
          <w:sz w:val="22"/>
          <w:szCs w:val="22"/>
          <w:lang w:eastAsia="en-AU"/>
        </w:rPr>
        <w:t>Regulation (EU) 2017/746 of the European Parliament and of the Council of 5 April 2017 on in vitro medical devices</w:t>
      </w:r>
      <w:r w:rsidR="00E678FC" w:rsidRPr="000820DB">
        <w:rPr>
          <w:rFonts w:eastAsia="Times New Roman"/>
          <w:sz w:val="22"/>
          <w:szCs w:val="22"/>
          <w:lang w:eastAsia="en-AU"/>
        </w:rPr>
        <w:t xml:space="preserve"> (“</w:t>
      </w:r>
      <w:r w:rsidR="009225F6" w:rsidRPr="000820DB">
        <w:rPr>
          <w:rFonts w:eastAsia="Times New Roman"/>
          <w:sz w:val="22"/>
          <w:szCs w:val="22"/>
          <w:lang w:eastAsia="en-AU"/>
        </w:rPr>
        <w:t>the</w:t>
      </w:r>
      <w:r w:rsidR="000820DB">
        <w:rPr>
          <w:rFonts w:eastAsia="Times New Roman"/>
          <w:sz w:val="22"/>
          <w:szCs w:val="22"/>
          <w:lang w:eastAsia="en-AU"/>
        </w:rPr>
        <w:t> </w:t>
      </w:r>
      <w:r w:rsidR="00E678FC" w:rsidRPr="000820DB">
        <w:rPr>
          <w:rFonts w:eastAsia="Times New Roman"/>
          <w:sz w:val="22"/>
          <w:szCs w:val="22"/>
          <w:lang w:eastAsia="en-AU"/>
        </w:rPr>
        <w:t>EU IVD</w:t>
      </w:r>
      <w:r w:rsidR="00F02E5A" w:rsidRPr="000820DB">
        <w:rPr>
          <w:rFonts w:eastAsia="Times New Roman"/>
          <w:sz w:val="22"/>
          <w:szCs w:val="22"/>
          <w:lang w:eastAsia="en-AU"/>
        </w:rPr>
        <w:t xml:space="preserve"> regulation</w:t>
      </w:r>
      <w:r w:rsidR="00E678FC" w:rsidRPr="000820DB">
        <w:rPr>
          <w:rFonts w:eastAsia="Times New Roman"/>
          <w:sz w:val="22"/>
          <w:szCs w:val="22"/>
          <w:lang w:eastAsia="en-AU"/>
        </w:rPr>
        <w:t>”)</w:t>
      </w:r>
      <w:r w:rsidRPr="000820DB">
        <w:rPr>
          <w:rFonts w:eastAsia="Times New Roman"/>
          <w:sz w:val="22"/>
          <w:szCs w:val="22"/>
          <w:lang w:eastAsia="en-AU"/>
        </w:rPr>
        <w:t>.</w:t>
      </w:r>
    </w:p>
    <w:p w14:paraId="3589DDB7" w14:textId="77777777" w:rsidR="002B3658" w:rsidRPr="000820DB" w:rsidRDefault="002B3658" w:rsidP="008D0155">
      <w:pPr>
        <w:autoSpaceDE w:val="0"/>
        <w:autoSpaceDN w:val="0"/>
        <w:adjustRightInd w:val="0"/>
        <w:spacing w:after="0" w:line="240" w:lineRule="auto"/>
        <w:rPr>
          <w:rFonts w:eastAsia="Times New Roman"/>
          <w:sz w:val="22"/>
          <w:szCs w:val="22"/>
          <w:lang w:eastAsia="en-AU"/>
        </w:rPr>
      </w:pPr>
    </w:p>
    <w:p w14:paraId="07FFCDB4" w14:textId="3C3356C7" w:rsidR="008D0155" w:rsidRPr="000820DB" w:rsidRDefault="00E678FC" w:rsidP="008D015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However, </w:t>
      </w:r>
      <w:r w:rsidR="00861014" w:rsidRPr="000820DB">
        <w:rPr>
          <w:rFonts w:eastAsia="Times New Roman"/>
          <w:sz w:val="22"/>
          <w:szCs w:val="22"/>
          <w:lang w:eastAsia="en-AU"/>
        </w:rPr>
        <w:t>the significant impact of COVID-19 on the diagnostics industry has resulted in delays in the uptake and full implementation of the EU IVD</w:t>
      </w:r>
      <w:r w:rsidR="00F02E5A" w:rsidRPr="000820DB">
        <w:rPr>
          <w:rFonts w:eastAsia="Times New Roman"/>
          <w:sz w:val="22"/>
          <w:szCs w:val="22"/>
          <w:lang w:eastAsia="en-AU"/>
        </w:rPr>
        <w:t xml:space="preserve"> regulation</w:t>
      </w:r>
      <w:r w:rsidR="00861014" w:rsidRPr="000820DB">
        <w:rPr>
          <w:rFonts w:eastAsia="Times New Roman"/>
          <w:sz w:val="22"/>
          <w:szCs w:val="22"/>
          <w:lang w:eastAsia="en-AU"/>
        </w:rPr>
        <w:t xml:space="preserve"> in Europe. </w:t>
      </w:r>
      <w:proofErr w:type="gramStart"/>
      <w:r w:rsidR="00861014" w:rsidRPr="000820DB">
        <w:rPr>
          <w:rFonts w:eastAsia="Times New Roman"/>
          <w:sz w:val="22"/>
          <w:szCs w:val="22"/>
          <w:lang w:eastAsia="en-AU"/>
        </w:rPr>
        <w:t>In light of</w:t>
      </w:r>
      <w:proofErr w:type="gramEnd"/>
      <w:r w:rsidR="00861014" w:rsidRPr="000820DB">
        <w:rPr>
          <w:rFonts w:eastAsia="Times New Roman"/>
          <w:sz w:val="22"/>
          <w:szCs w:val="22"/>
          <w:lang w:eastAsia="en-AU"/>
        </w:rPr>
        <w:t xml:space="preserve"> these issues, and to ensure the uninterrupted supply of such </w:t>
      </w:r>
      <w:r w:rsidR="008C78A1" w:rsidRPr="000820DB">
        <w:rPr>
          <w:rFonts w:eastAsia="Times New Roman"/>
          <w:sz w:val="22"/>
          <w:szCs w:val="22"/>
          <w:lang w:eastAsia="en-AU"/>
        </w:rPr>
        <w:t>IVDs</w:t>
      </w:r>
      <w:r w:rsidR="00482669" w:rsidRPr="000820DB">
        <w:rPr>
          <w:rFonts w:eastAsia="Times New Roman"/>
          <w:sz w:val="22"/>
          <w:szCs w:val="22"/>
          <w:lang w:eastAsia="en-AU"/>
        </w:rPr>
        <w:t xml:space="preserve"> in Europe</w:t>
      </w:r>
      <w:r w:rsidR="00861014" w:rsidRPr="000820DB">
        <w:rPr>
          <w:rFonts w:eastAsia="Times New Roman"/>
          <w:sz w:val="22"/>
          <w:szCs w:val="22"/>
          <w:lang w:eastAsia="en-AU"/>
        </w:rPr>
        <w:t xml:space="preserve">, </w:t>
      </w:r>
      <w:r w:rsidRPr="000820DB">
        <w:rPr>
          <w:rFonts w:eastAsia="Times New Roman"/>
          <w:sz w:val="22"/>
          <w:szCs w:val="22"/>
          <w:lang w:eastAsia="en-AU"/>
        </w:rPr>
        <w:t xml:space="preserve">the European Parliament </w:t>
      </w:r>
      <w:r w:rsidR="00861014" w:rsidRPr="000820DB">
        <w:rPr>
          <w:rFonts w:eastAsia="Times New Roman"/>
          <w:sz w:val="22"/>
          <w:szCs w:val="22"/>
          <w:lang w:eastAsia="en-AU"/>
        </w:rPr>
        <w:t xml:space="preserve">has </w:t>
      </w:r>
      <w:r w:rsidRPr="000820DB">
        <w:rPr>
          <w:rFonts w:eastAsia="Times New Roman"/>
          <w:sz w:val="22"/>
          <w:szCs w:val="22"/>
          <w:lang w:eastAsia="en-AU"/>
        </w:rPr>
        <w:t>extend</w:t>
      </w:r>
      <w:r w:rsidR="00861014" w:rsidRPr="000820DB">
        <w:rPr>
          <w:rFonts w:eastAsia="Times New Roman"/>
          <w:sz w:val="22"/>
          <w:szCs w:val="22"/>
          <w:lang w:eastAsia="en-AU"/>
        </w:rPr>
        <w:t>ed</w:t>
      </w:r>
      <w:r w:rsidRPr="000820DB">
        <w:rPr>
          <w:rFonts w:eastAsia="Times New Roman"/>
          <w:sz w:val="22"/>
          <w:szCs w:val="22"/>
          <w:lang w:eastAsia="en-AU"/>
        </w:rPr>
        <w:t xml:space="preserve"> the transitional arrangements specified in the EU IVD</w:t>
      </w:r>
      <w:r w:rsidR="00F02E5A" w:rsidRPr="000820DB">
        <w:rPr>
          <w:rFonts w:eastAsia="Times New Roman"/>
          <w:sz w:val="22"/>
          <w:szCs w:val="22"/>
          <w:lang w:eastAsia="en-AU"/>
        </w:rPr>
        <w:t xml:space="preserve"> regulation</w:t>
      </w:r>
      <w:r w:rsidRPr="000820DB">
        <w:rPr>
          <w:rFonts w:eastAsia="Times New Roman"/>
          <w:sz w:val="22"/>
          <w:szCs w:val="22"/>
          <w:lang w:eastAsia="en-AU"/>
        </w:rPr>
        <w:t xml:space="preserve">, through amending legislation implemented under </w:t>
      </w:r>
      <w:r w:rsidRPr="000820DB">
        <w:rPr>
          <w:rFonts w:eastAsia="Times New Roman"/>
          <w:i/>
          <w:iCs/>
          <w:sz w:val="22"/>
          <w:szCs w:val="22"/>
          <w:lang w:eastAsia="en-AU"/>
        </w:rPr>
        <w:t>Regulation (EU) 2022/12 of the European Parliament and of the Council of 25 January 2022</w:t>
      </w:r>
      <w:r w:rsidRPr="000820DB">
        <w:rPr>
          <w:rFonts w:eastAsia="Times New Roman"/>
          <w:sz w:val="22"/>
          <w:szCs w:val="22"/>
          <w:lang w:eastAsia="en-AU"/>
        </w:rPr>
        <w:t xml:space="preserve"> (“the EU IVD amendment regulation”). </w:t>
      </w:r>
      <w:r w:rsidR="00861014" w:rsidRPr="000820DB">
        <w:rPr>
          <w:rFonts w:eastAsia="Times New Roman"/>
          <w:sz w:val="22"/>
          <w:szCs w:val="22"/>
          <w:lang w:eastAsia="en-AU"/>
        </w:rPr>
        <w:t>Subsequently, t</w:t>
      </w:r>
      <w:r w:rsidRPr="000820DB">
        <w:rPr>
          <w:rFonts w:eastAsia="Times New Roman"/>
          <w:sz w:val="22"/>
          <w:szCs w:val="22"/>
          <w:lang w:eastAsia="en-AU"/>
        </w:rPr>
        <w:t xml:space="preserve">his </w:t>
      </w:r>
      <w:r w:rsidR="008D0155" w:rsidRPr="000820DB">
        <w:rPr>
          <w:rFonts w:eastAsia="Times New Roman"/>
          <w:sz w:val="22"/>
          <w:szCs w:val="22"/>
          <w:lang w:eastAsia="en-AU"/>
        </w:rPr>
        <w:t>necessitate</w:t>
      </w:r>
      <w:r w:rsidR="00861014" w:rsidRPr="000820DB">
        <w:rPr>
          <w:rFonts w:eastAsia="Times New Roman"/>
          <w:sz w:val="22"/>
          <w:szCs w:val="22"/>
          <w:lang w:eastAsia="en-AU"/>
        </w:rPr>
        <w:t>s</w:t>
      </w:r>
      <w:r w:rsidR="008D0155" w:rsidRPr="000820DB">
        <w:rPr>
          <w:rFonts w:eastAsia="Times New Roman"/>
          <w:sz w:val="22"/>
          <w:szCs w:val="22"/>
          <w:lang w:eastAsia="en-AU"/>
        </w:rPr>
        <w:t xml:space="preserve"> an extension to the period in which an ISO13485 certification</w:t>
      </w:r>
      <w:r w:rsidR="004121C0" w:rsidRPr="000820DB">
        <w:rPr>
          <w:rFonts w:eastAsia="Times New Roman"/>
          <w:sz w:val="22"/>
          <w:szCs w:val="22"/>
          <w:lang w:eastAsia="en-AU"/>
        </w:rPr>
        <w:t xml:space="preserve"> will be acceptable in Australia,</w:t>
      </w:r>
      <w:r w:rsidR="008D0155" w:rsidRPr="000820DB">
        <w:rPr>
          <w:rFonts w:eastAsia="Times New Roman"/>
          <w:sz w:val="22"/>
          <w:szCs w:val="22"/>
          <w:lang w:eastAsia="en-AU"/>
        </w:rPr>
        <w:t xml:space="preserve"> </w:t>
      </w:r>
      <w:r w:rsidR="00E03E8A" w:rsidRPr="000820DB">
        <w:rPr>
          <w:rFonts w:eastAsia="Times New Roman"/>
          <w:sz w:val="22"/>
          <w:szCs w:val="22"/>
          <w:lang w:eastAsia="en-AU"/>
        </w:rPr>
        <w:t>to align with current European arrangements, reduce regulatory duplication and to ensure continued access to these products in Australia.</w:t>
      </w:r>
    </w:p>
    <w:p w14:paraId="7B832A0F" w14:textId="77777777" w:rsidR="008D0155" w:rsidRPr="000820DB" w:rsidRDefault="008D0155" w:rsidP="008D0155">
      <w:pPr>
        <w:autoSpaceDE w:val="0"/>
        <w:autoSpaceDN w:val="0"/>
        <w:adjustRightInd w:val="0"/>
        <w:spacing w:after="0" w:line="240" w:lineRule="auto"/>
        <w:rPr>
          <w:rFonts w:eastAsia="Times New Roman"/>
          <w:sz w:val="22"/>
          <w:szCs w:val="22"/>
          <w:lang w:eastAsia="en-AU"/>
        </w:rPr>
      </w:pPr>
    </w:p>
    <w:p w14:paraId="71F18013" w14:textId="32CD85F4" w:rsidR="008D0155" w:rsidRPr="000820DB" w:rsidRDefault="008D0155" w:rsidP="008D015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transitional arrangements for IVDs in the EU IVD </w:t>
      </w:r>
      <w:r w:rsidR="006A3012" w:rsidRPr="000820DB">
        <w:rPr>
          <w:rFonts w:eastAsia="Times New Roman"/>
          <w:sz w:val="22"/>
          <w:szCs w:val="22"/>
          <w:lang w:eastAsia="en-AU"/>
        </w:rPr>
        <w:t xml:space="preserve">amendment </w:t>
      </w:r>
      <w:r w:rsidRPr="000820DB">
        <w:rPr>
          <w:rFonts w:eastAsia="Times New Roman"/>
          <w:sz w:val="22"/>
          <w:szCs w:val="22"/>
          <w:lang w:eastAsia="en-AU"/>
        </w:rPr>
        <w:t>regulation allow Class B (</w:t>
      </w:r>
      <w:r w:rsidR="001A6958" w:rsidRPr="000820DB">
        <w:rPr>
          <w:rFonts w:eastAsia="Times New Roman"/>
          <w:sz w:val="22"/>
          <w:szCs w:val="22"/>
          <w:lang w:eastAsia="en-AU"/>
        </w:rPr>
        <w:t xml:space="preserve">the </w:t>
      </w:r>
      <w:r w:rsidRPr="000820DB">
        <w:rPr>
          <w:rFonts w:eastAsia="Times New Roman"/>
          <w:sz w:val="22"/>
          <w:szCs w:val="22"/>
          <w:lang w:eastAsia="en-AU"/>
        </w:rPr>
        <w:t>equivalent of Australian Class 2 IVD) and Class C (</w:t>
      </w:r>
      <w:r w:rsidR="001A6958" w:rsidRPr="000820DB">
        <w:rPr>
          <w:rFonts w:eastAsia="Times New Roman"/>
          <w:sz w:val="22"/>
          <w:szCs w:val="22"/>
          <w:lang w:eastAsia="en-AU"/>
        </w:rPr>
        <w:t xml:space="preserve">the </w:t>
      </w:r>
      <w:r w:rsidRPr="000820DB">
        <w:rPr>
          <w:rFonts w:eastAsia="Times New Roman"/>
          <w:sz w:val="22"/>
          <w:szCs w:val="22"/>
          <w:lang w:eastAsia="en-AU"/>
        </w:rPr>
        <w:t>equivalent of Australian Class 3 IVD) medical devices</w:t>
      </w:r>
      <w:r w:rsidR="00861014" w:rsidRPr="000820DB">
        <w:rPr>
          <w:rFonts w:eastAsia="Times New Roman"/>
          <w:sz w:val="22"/>
          <w:szCs w:val="22"/>
          <w:lang w:eastAsia="en-AU"/>
        </w:rPr>
        <w:t xml:space="preserve"> </w:t>
      </w:r>
      <w:r w:rsidR="004121C0" w:rsidRPr="000820DB">
        <w:rPr>
          <w:rFonts w:eastAsia="Times New Roman"/>
          <w:sz w:val="22"/>
          <w:szCs w:val="22"/>
          <w:lang w:eastAsia="en-AU"/>
        </w:rPr>
        <w:t>that</w:t>
      </w:r>
      <w:r w:rsidRPr="000820DB">
        <w:rPr>
          <w:rFonts w:eastAsia="Times New Roman"/>
          <w:sz w:val="22"/>
          <w:szCs w:val="22"/>
          <w:lang w:eastAsia="en-AU"/>
        </w:rPr>
        <w:t xml:space="preserve"> </w:t>
      </w:r>
      <w:r w:rsidR="004121C0" w:rsidRPr="000820DB">
        <w:rPr>
          <w:rFonts w:eastAsia="Times New Roman"/>
          <w:sz w:val="22"/>
          <w:szCs w:val="22"/>
          <w:lang w:eastAsia="en-AU"/>
        </w:rPr>
        <w:t xml:space="preserve">have been lawfully placed on the market </w:t>
      </w:r>
      <w:r w:rsidRPr="000820DB">
        <w:rPr>
          <w:rFonts w:eastAsia="Times New Roman"/>
          <w:sz w:val="22"/>
          <w:szCs w:val="22"/>
          <w:lang w:eastAsia="en-AU"/>
        </w:rPr>
        <w:t>in the European Union</w:t>
      </w:r>
      <w:r w:rsidR="004121C0" w:rsidRPr="000820DB">
        <w:rPr>
          <w:rFonts w:eastAsia="Times New Roman"/>
          <w:sz w:val="22"/>
          <w:szCs w:val="22"/>
          <w:lang w:eastAsia="en-AU"/>
        </w:rPr>
        <w:t xml:space="preserve"> before 26 May 2022,</w:t>
      </w:r>
      <w:r w:rsidRPr="000820DB">
        <w:rPr>
          <w:rFonts w:eastAsia="Times New Roman"/>
          <w:sz w:val="22"/>
          <w:szCs w:val="22"/>
          <w:lang w:eastAsia="en-AU"/>
        </w:rPr>
        <w:t xml:space="preserve"> to continue to be supplied until 26 May 2027 and 26 May 2026</w:t>
      </w:r>
      <w:r w:rsidR="006C7E13" w:rsidRPr="000820DB">
        <w:rPr>
          <w:rFonts w:eastAsia="Times New Roman"/>
          <w:sz w:val="22"/>
          <w:szCs w:val="22"/>
          <w:lang w:eastAsia="en-AU"/>
        </w:rPr>
        <w:t>,</w:t>
      </w:r>
      <w:r w:rsidRPr="000820DB">
        <w:rPr>
          <w:rFonts w:eastAsia="Times New Roman"/>
          <w:sz w:val="22"/>
          <w:szCs w:val="22"/>
          <w:lang w:eastAsia="en-AU"/>
        </w:rPr>
        <w:t xml:space="preserve"> respectively.</w:t>
      </w:r>
    </w:p>
    <w:p w14:paraId="05215B42" w14:textId="77777777" w:rsidR="008D0155" w:rsidRPr="000820DB" w:rsidRDefault="008D0155" w:rsidP="008D0155">
      <w:pPr>
        <w:autoSpaceDE w:val="0"/>
        <w:autoSpaceDN w:val="0"/>
        <w:adjustRightInd w:val="0"/>
        <w:spacing w:after="0" w:line="240" w:lineRule="auto"/>
        <w:rPr>
          <w:rFonts w:eastAsia="Times New Roman"/>
          <w:sz w:val="22"/>
          <w:szCs w:val="22"/>
          <w:lang w:eastAsia="en-AU"/>
        </w:rPr>
      </w:pPr>
    </w:p>
    <w:p w14:paraId="6BB6B895" w14:textId="15F0BF3C" w:rsidR="008D0155" w:rsidRPr="000820DB" w:rsidRDefault="008D0155" w:rsidP="008D0155">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lastRenderedPageBreak/>
        <w:t xml:space="preserve">The </w:t>
      </w:r>
      <w:r w:rsidRPr="000820DB">
        <w:rPr>
          <w:rFonts w:eastAsia="Times New Roman"/>
          <w:i/>
          <w:sz w:val="22"/>
          <w:szCs w:val="22"/>
          <w:lang w:eastAsia="en-AU"/>
        </w:rPr>
        <w:t>Therapeutic Goods (Medical Devices—Information that Must Accompany Application for Inclusion) Amendment (European Union—Consequential Amendments) Determination 2022</w:t>
      </w:r>
      <w:r w:rsidRPr="000820DB">
        <w:rPr>
          <w:rFonts w:eastAsia="Times New Roman"/>
          <w:sz w:val="22"/>
          <w:szCs w:val="22"/>
          <w:lang w:eastAsia="en-AU"/>
        </w:rPr>
        <w:t xml:space="preserve"> (“the </w:t>
      </w:r>
      <w:r w:rsidR="008D6F7A" w:rsidRPr="000820DB">
        <w:rPr>
          <w:rFonts w:eastAsia="Times New Roman"/>
          <w:sz w:val="22"/>
          <w:szCs w:val="22"/>
          <w:lang w:eastAsia="en-AU"/>
        </w:rPr>
        <w:t>a</w:t>
      </w:r>
      <w:r w:rsidRPr="000820DB">
        <w:rPr>
          <w:rFonts w:eastAsia="Times New Roman"/>
          <w:sz w:val="22"/>
          <w:szCs w:val="22"/>
          <w:lang w:eastAsia="en-AU"/>
        </w:rPr>
        <w:t xml:space="preserve">mendment </w:t>
      </w:r>
      <w:r w:rsidR="006C7E13" w:rsidRPr="000820DB">
        <w:rPr>
          <w:rFonts w:eastAsia="Times New Roman"/>
          <w:sz w:val="22"/>
          <w:szCs w:val="22"/>
          <w:lang w:eastAsia="en-AU"/>
        </w:rPr>
        <w:t>instrument</w:t>
      </w:r>
      <w:r w:rsidRPr="000820DB">
        <w:rPr>
          <w:rFonts w:eastAsia="Times New Roman"/>
          <w:sz w:val="22"/>
          <w:szCs w:val="22"/>
          <w:lang w:eastAsia="en-AU"/>
        </w:rPr>
        <w:t xml:space="preserve">”) </w:t>
      </w:r>
      <w:r w:rsidR="006C7E13" w:rsidRPr="000820DB">
        <w:rPr>
          <w:rFonts w:eastAsia="Times New Roman"/>
          <w:sz w:val="22"/>
          <w:szCs w:val="22"/>
          <w:lang w:eastAsia="en-AU"/>
        </w:rPr>
        <w:t xml:space="preserve">is </w:t>
      </w:r>
      <w:r w:rsidRPr="000820DB">
        <w:rPr>
          <w:rFonts w:eastAsia="Times New Roman"/>
          <w:sz w:val="22"/>
          <w:szCs w:val="22"/>
          <w:lang w:eastAsia="en-AU"/>
        </w:rPr>
        <w:t>made under subsection 41</w:t>
      </w:r>
      <w:proofErr w:type="gramStart"/>
      <w:r w:rsidRPr="000820DB">
        <w:rPr>
          <w:rFonts w:eastAsia="Times New Roman"/>
          <w:sz w:val="22"/>
          <w:szCs w:val="22"/>
          <w:lang w:eastAsia="en-AU"/>
        </w:rPr>
        <w:t>FDB(</w:t>
      </w:r>
      <w:proofErr w:type="gramEnd"/>
      <w:r w:rsidRPr="000820DB">
        <w:rPr>
          <w:rFonts w:eastAsia="Times New Roman"/>
          <w:sz w:val="22"/>
          <w:szCs w:val="22"/>
          <w:lang w:eastAsia="en-AU"/>
        </w:rPr>
        <w:t>7) of the Act</w:t>
      </w:r>
      <w:r w:rsidR="006C7E13" w:rsidRPr="000820DB">
        <w:rPr>
          <w:rFonts w:eastAsia="Times New Roman"/>
          <w:sz w:val="22"/>
          <w:szCs w:val="22"/>
          <w:lang w:eastAsia="en-AU"/>
        </w:rPr>
        <w:t xml:space="preserve"> and</w:t>
      </w:r>
      <w:r w:rsidRPr="000820DB">
        <w:rPr>
          <w:rFonts w:eastAsia="Times New Roman"/>
          <w:sz w:val="22"/>
          <w:szCs w:val="22"/>
          <w:lang w:eastAsia="en-AU"/>
        </w:rPr>
        <w:t xml:space="preserve"> amends the </w:t>
      </w:r>
      <w:r w:rsidR="008D6F7A" w:rsidRPr="000820DB">
        <w:rPr>
          <w:rFonts w:eastAsia="Times New Roman"/>
          <w:sz w:val="22"/>
          <w:szCs w:val="22"/>
          <w:lang w:eastAsia="en-AU"/>
        </w:rPr>
        <w:t>p</w:t>
      </w:r>
      <w:r w:rsidRPr="000820DB">
        <w:rPr>
          <w:rFonts w:eastAsia="Times New Roman"/>
          <w:sz w:val="22"/>
          <w:szCs w:val="22"/>
          <w:lang w:eastAsia="en-AU"/>
        </w:rPr>
        <w:t xml:space="preserve">rincipal </w:t>
      </w:r>
      <w:r w:rsidR="008D6F7A" w:rsidRPr="000820DB">
        <w:rPr>
          <w:rFonts w:eastAsia="Times New Roman"/>
          <w:sz w:val="22"/>
          <w:szCs w:val="22"/>
          <w:lang w:eastAsia="en-AU"/>
        </w:rPr>
        <w:t>instrument</w:t>
      </w:r>
      <w:r w:rsidRPr="000820DB">
        <w:rPr>
          <w:rFonts w:eastAsia="Times New Roman"/>
          <w:sz w:val="22"/>
          <w:szCs w:val="22"/>
          <w:lang w:eastAsia="en-AU"/>
        </w:rPr>
        <w:t xml:space="preserve"> to:</w:t>
      </w:r>
    </w:p>
    <w:p w14:paraId="5BD42284" w14:textId="4FE52E59" w:rsidR="008D0155" w:rsidRPr="000820DB" w:rsidRDefault="008D0155" w:rsidP="00A02BCA">
      <w:pPr>
        <w:pStyle w:val="ListParagraph"/>
        <w:numPr>
          <w:ilvl w:val="0"/>
          <w:numId w:val="6"/>
        </w:numPr>
        <w:autoSpaceDE w:val="0"/>
        <w:autoSpaceDN w:val="0"/>
        <w:adjustRightInd w:val="0"/>
        <w:spacing w:before="120" w:after="0" w:line="240" w:lineRule="auto"/>
        <w:ind w:left="714" w:hanging="357"/>
        <w:contextualSpacing w:val="0"/>
        <w:rPr>
          <w:rFonts w:eastAsia="Times New Roman"/>
          <w:sz w:val="22"/>
          <w:szCs w:val="22"/>
          <w:lang w:eastAsia="en-AU"/>
        </w:rPr>
      </w:pPr>
      <w:r w:rsidRPr="000820DB">
        <w:rPr>
          <w:rFonts w:eastAsia="Times New Roman"/>
          <w:sz w:val="22"/>
          <w:szCs w:val="22"/>
          <w:lang w:eastAsia="en-AU"/>
        </w:rPr>
        <w:t>extend the period of time in which an application for inclusion of Class 2 and Class 3 IVD medical device</w:t>
      </w:r>
      <w:r w:rsidR="006C7E13" w:rsidRPr="000820DB">
        <w:rPr>
          <w:rFonts w:eastAsia="Times New Roman"/>
          <w:sz w:val="22"/>
          <w:szCs w:val="22"/>
          <w:lang w:eastAsia="en-AU"/>
        </w:rPr>
        <w:t>s</w:t>
      </w:r>
      <w:r w:rsidRPr="000820DB">
        <w:rPr>
          <w:rFonts w:eastAsia="Times New Roman"/>
          <w:sz w:val="22"/>
          <w:szCs w:val="22"/>
          <w:lang w:eastAsia="en-AU"/>
        </w:rPr>
        <w:t xml:space="preserve"> may be supported with an ISO 13485 certificate issued </w:t>
      </w:r>
      <w:r w:rsidR="00C13D16" w:rsidRPr="000820DB">
        <w:rPr>
          <w:rFonts w:eastAsia="Times New Roman"/>
          <w:sz w:val="22"/>
          <w:szCs w:val="22"/>
          <w:lang w:eastAsia="en-AU"/>
        </w:rPr>
        <w:t xml:space="preserve">by a notified body within the meaning of Directive 98/79/EC or </w:t>
      </w:r>
      <w:r w:rsidRPr="000820DB">
        <w:rPr>
          <w:rFonts w:eastAsia="Times New Roman"/>
          <w:sz w:val="22"/>
          <w:szCs w:val="22"/>
          <w:lang w:eastAsia="en-AU"/>
        </w:rPr>
        <w:t xml:space="preserve">an IAF accredited conformity assessment body, being from 26 May 2022 to </w:t>
      </w:r>
      <w:r w:rsidR="00E678FC" w:rsidRPr="000820DB">
        <w:rPr>
          <w:rFonts w:eastAsia="Times New Roman"/>
          <w:sz w:val="22"/>
          <w:szCs w:val="22"/>
          <w:lang w:eastAsia="en-AU"/>
        </w:rPr>
        <w:t>2</w:t>
      </w:r>
      <w:r w:rsidRPr="000820DB">
        <w:rPr>
          <w:rFonts w:eastAsia="Times New Roman"/>
          <w:sz w:val="22"/>
          <w:szCs w:val="22"/>
          <w:lang w:eastAsia="en-AU"/>
        </w:rPr>
        <w:t xml:space="preserve">6 May </w:t>
      </w:r>
      <w:proofErr w:type="gramStart"/>
      <w:r w:rsidRPr="000820DB">
        <w:rPr>
          <w:rFonts w:eastAsia="Times New Roman"/>
          <w:sz w:val="22"/>
          <w:szCs w:val="22"/>
          <w:lang w:eastAsia="en-AU"/>
        </w:rPr>
        <w:t>2023;</w:t>
      </w:r>
      <w:proofErr w:type="gramEnd"/>
      <w:r w:rsidR="00CF68AC" w:rsidRPr="000820DB">
        <w:rPr>
          <w:rFonts w:eastAsia="Times New Roman"/>
          <w:sz w:val="22"/>
          <w:szCs w:val="22"/>
          <w:lang w:eastAsia="en-AU"/>
        </w:rPr>
        <w:t xml:space="preserve"> and</w:t>
      </w:r>
    </w:p>
    <w:p w14:paraId="6288ECEF" w14:textId="30F94419" w:rsidR="008D0155" w:rsidRPr="000820DB" w:rsidRDefault="008D0155" w:rsidP="00A02BCA">
      <w:pPr>
        <w:pStyle w:val="ListParagraph"/>
        <w:numPr>
          <w:ilvl w:val="0"/>
          <w:numId w:val="6"/>
        </w:numPr>
        <w:autoSpaceDE w:val="0"/>
        <w:autoSpaceDN w:val="0"/>
        <w:adjustRightInd w:val="0"/>
        <w:spacing w:before="120" w:after="0" w:line="240" w:lineRule="auto"/>
        <w:ind w:left="714" w:hanging="357"/>
        <w:contextualSpacing w:val="0"/>
        <w:rPr>
          <w:rFonts w:eastAsia="Times New Roman"/>
          <w:sz w:val="22"/>
          <w:szCs w:val="22"/>
          <w:lang w:eastAsia="en-AU"/>
        </w:rPr>
      </w:pPr>
      <w:r w:rsidRPr="000820DB">
        <w:rPr>
          <w:rFonts w:eastAsia="Times New Roman"/>
          <w:sz w:val="22"/>
          <w:szCs w:val="22"/>
          <w:lang w:eastAsia="en-AU"/>
        </w:rPr>
        <w:t xml:space="preserve">specify that where the </w:t>
      </w:r>
      <w:r w:rsidR="00C13D16" w:rsidRPr="000820DB">
        <w:rPr>
          <w:rFonts w:eastAsia="Times New Roman"/>
          <w:sz w:val="22"/>
          <w:szCs w:val="22"/>
          <w:lang w:eastAsia="en-AU"/>
        </w:rPr>
        <w:t xml:space="preserve">manufacturer has </w:t>
      </w:r>
      <w:r w:rsidRPr="000820DB">
        <w:rPr>
          <w:rFonts w:eastAsia="Times New Roman"/>
          <w:sz w:val="22"/>
          <w:szCs w:val="22"/>
          <w:lang w:eastAsia="en-AU"/>
        </w:rPr>
        <w:t xml:space="preserve">an EU declaration of conformity under </w:t>
      </w:r>
      <w:r w:rsidR="00C13D16" w:rsidRPr="000820DB">
        <w:rPr>
          <w:rFonts w:eastAsia="Times New Roman"/>
          <w:sz w:val="22"/>
          <w:szCs w:val="22"/>
          <w:lang w:eastAsia="en-AU"/>
        </w:rPr>
        <w:t>Directive 98/79/EC prior to</w:t>
      </w:r>
      <w:r w:rsidRPr="000820DB">
        <w:rPr>
          <w:rFonts w:eastAsia="Times New Roman"/>
          <w:sz w:val="22"/>
          <w:szCs w:val="22"/>
          <w:lang w:eastAsia="en-AU"/>
        </w:rPr>
        <w:t xml:space="preserve"> 26 May 2022, an application for inclusion for a Class 2 or Class 3 IVD medical device submitted before 26 May 2027 or 26 May 2026 (respectively), may be supported with an ISO 13485 certification issued by </w:t>
      </w:r>
      <w:r w:rsidR="00C13D16" w:rsidRPr="000820DB">
        <w:rPr>
          <w:rFonts w:eastAsia="Times New Roman"/>
          <w:sz w:val="22"/>
          <w:szCs w:val="22"/>
          <w:lang w:eastAsia="en-AU"/>
        </w:rPr>
        <w:t xml:space="preserve">a notified body within the meaning of Directive 98/79/EC or </w:t>
      </w:r>
      <w:r w:rsidRPr="000820DB">
        <w:rPr>
          <w:rFonts w:eastAsia="Times New Roman"/>
          <w:sz w:val="22"/>
          <w:szCs w:val="22"/>
          <w:lang w:eastAsia="en-AU"/>
        </w:rPr>
        <w:t>an IAF conformity assessment body</w:t>
      </w:r>
      <w:r w:rsidR="00CF68AC" w:rsidRPr="000820DB">
        <w:rPr>
          <w:rFonts w:eastAsia="Times New Roman"/>
          <w:sz w:val="22"/>
          <w:szCs w:val="22"/>
          <w:lang w:eastAsia="en-AU"/>
        </w:rPr>
        <w:t>.</w:t>
      </w:r>
    </w:p>
    <w:p w14:paraId="371825F4" w14:textId="77777777" w:rsidR="008D28FD" w:rsidRPr="000820DB" w:rsidRDefault="008D28FD" w:rsidP="008D28FD">
      <w:pPr>
        <w:spacing w:after="0" w:line="240" w:lineRule="auto"/>
        <w:rPr>
          <w:rFonts w:eastAsia="Times New Roman"/>
          <w:sz w:val="22"/>
          <w:szCs w:val="22"/>
          <w:lang w:eastAsia="en-AU"/>
        </w:rPr>
      </w:pPr>
    </w:p>
    <w:p w14:paraId="0DBDE6FC" w14:textId="77777777" w:rsidR="001E51F5" w:rsidRPr="000820DB" w:rsidRDefault="001E51F5" w:rsidP="001E51F5">
      <w:pPr>
        <w:spacing w:after="0" w:line="240" w:lineRule="auto"/>
        <w:rPr>
          <w:rFonts w:eastAsia="Times New Roman"/>
          <w:b/>
          <w:sz w:val="22"/>
          <w:szCs w:val="22"/>
          <w:lang w:eastAsia="en-AU"/>
        </w:rPr>
      </w:pPr>
      <w:r w:rsidRPr="000820DB">
        <w:rPr>
          <w:rFonts w:eastAsia="Times New Roman"/>
          <w:b/>
          <w:sz w:val="22"/>
          <w:szCs w:val="22"/>
          <w:lang w:eastAsia="en-AU"/>
        </w:rPr>
        <w:t>Human rights implications</w:t>
      </w:r>
    </w:p>
    <w:p w14:paraId="49531B93" w14:textId="77777777" w:rsidR="001E51F5" w:rsidRPr="000820DB" w:rsidRDefault="001E51F5" w:rsidP="001E51F5">
      <w:pPr>
        <w:spacing w:after="0" w:line="240" w:lineRule="auto"/>
        <w:rPr>
          <w:rFonts w:eastAsia="Times New Roman"/>
          <w:sz w:val="22"/>
          <w:szCs w:val="22"/>
          <w:lang w:eastAsia="en-AU"/>
        </w:rPr>
      </w:pPr>
    </w:p>
    <w:p w14:paraId="1455C1ED" w14:textId="77777777" w:rsidR="001E51F5" w:rsidRPr="000820DB" w:rsidRDefault="001E51F5" w:rsidP="001E51F5">
      <w:pPr>
        <w:spacing w:after="0" w:line="240" w:lineRule="auto"/>
        <w:rPr>
          <w:rFonts w:eastAsia="Times New Roman"/>
          <w:i/>
          <w:sz w:val="22"/>
          <w:szCs w:val="22"/>
          <w:lang w:eastAsia="en-AU"/>
        </w:rPr>
      </w:pPr>
      <w:r w:rsidRPr="000820DB">
        <w:rPr>
          <w:rFonts w:eastAsia="Times New Roman"/>
          <w:sz w:val="22"/>
          <w:szCs w:val="22"/>
          <w:lang w:eastAsia="en-AU"/>
        </w:rPr>
        <w:t>The instrument engages the right to health in Article 12 of the International Covenant on Economic, Social and Cultural rights (“ICESCR”).</w:t>
      </w:r>
    </w:p>
    <w:p w14:paraId="38FD6DAD" w14:textId="77777777" w:rsidR="001E51F5" w:rsidRPr="000820DB" w:rsidRDefault="001E51F5" w:rsidP="001E51F5">
      <w:pPr>
        <w:spacing w:after="0" w:line="240" w:lineRule="auto"/>
        <w:rPr>
          <w:rFonts w:eastAsia="Times New Roman"/>
          <w:sz w:val="22"/>
          <w:szCs w:val="22"/>
          <w:lang w:eastAsia="en-AU"/>
        </w:rPr>
      </w:pPr>
    </w:p>
    <w:p w14:paraId="6D6551BF" w14:textId="7AF7BBD9" w:rsidR="001E51F5" w:rsidRPr="000820DB" w:rsidRDefault="001E51F5" w:rsidP="001E51F5">
      <w:pPr>
        <w:spacing w:after="0" w:line="240" w:lineRule="auto"/>
        <w:rPr>
          <w:rFonts w:eastAsia="Times New Roman"/>
          <w:sz w:val="22"/>
          <w:szCs w:val="22"/>
          <w:lang w:eastAsia="en-AU"/>
        </w:rPr>
      </w:pPr>
      <w:r w:rsidRPr="000820DB">
        <w:rPr>
          <w:rFonts w:eastAsia="Times New Roman"/>
          <w:sz w:val="22"/>
          <w:szCs w:val="22"/>
          <w:lang w:eastAsia="en-AU"/>
        </w:rPr>
        <w:t xml:space="preserve">Article 12 of the ICESCR promotes the right of all individuals to enjoy the highest attainable standards of physical and mental health.  In </w:t>
      </w:r>
      <w:r w:rsidRPr="000820DB">
        <w:rPr>
          <w:rFonts w:eastAsia="Times New Roman"/>
          <w:i/>
          <w:sz w:val="22"/>
          <w:szCs w:val="22"/>
          <w:lang w:eastAsia="en-AU"/>
        </w:rPr>
        <w:t>General Comment No. 14: The Right to the Highest Attainable Standard of Health (Art. 12)</w:t>
      </w:r>
      <w:r w:rsidRPr="000820DB">
        <w:rPr>
          <w:rFonts w:eastAsia="Times New Roman"/>
          <w:sz w:val="22"/>
          <w:szCs w:val="22"/>
          <w:lang w:eastAsia="en-AU"/>
        </w:rPr>
        <w:t xml:space="preserve"> (2000), the United</w:t>
      </w:r>
      <w:r w:rsidR="00F631E1" w:rsidRPr="000820DB">
        <w:rPr>
          <w:rFonts w:eastAsia="Times New Roman"/>
          <w:sz w:val="22"/>
          <w:szCs w:val="22"/>
          <w:lang w:eastAsia="en-AU"/>
        </w:rPr>
        <w:t xml:space="preserve"> </w:t>
      </w:r>
      <w:r w:rsidRPr="000820DB">
        <w:rPr>
          <w:rFonts w:eastAsia="Times New Roman"/>
          <w:sz w:val="22"/>
          <w:szCs w:val="22"/>
          <w:lang w:eastAsia="en-AU"/>
        </w:rPr>
        <w:t>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2FE0CAA" w14:textId="77777777" w:rsidR="001E51F5" w:rsidRPr="000820DB" w:rsidRDefault="001E51F5" w:rsidP="001E51F5">
      <w:pPr>
        <w:spacing w:after="0" w:line="240" w:lineRule="auto"/>
        <w:rPr>
          <w:rFonts w:eastAsia="Times New Roman"/>
          <w:sz w:val="22"/>
          <w:szCs w:val="22"/>
          <w:lang w:eastAsia="en-AU"/>
        </w:rPr>
      </w:pPr>
    </w:p>
    <w:p w14:paraId="4738AE66" w14:textId="169B17CA" w:rsidR="00E47491" w:rsidRPr="000820DB" w:rsidRDefault="00E47491" w:rsidP="00683911">
      <w:pPr>
        <w:autoSpaceDE w:val="0"/>
        <w:autoSpaceDN w:val="0"/>
        <w:adjustRightInd w:val="0"/>
        <w:spacing w:after="0" w:line="240" w:lineRule="auto"/>
        <w:rPr>
          <w:rFonts w:eastAsia="Times New Roman"/>
          <w:sz w:val="22"/>
          <w:szCs w:val="22"/>
          <w:lang w:eastAsia="en-AU"/>
        </w:rPr>
      </w:pPr>
      <w:r w:rsidRPr="000820DB">
        <w:rPr>
          <w:rFonts w:eastAsia="Times New Roman"/>
          <w:sz w:val="22"/>
          <w:szCs w:val="22"/>
          <w:lang w:eastAsia="en-AU"/>
        </w:rPr>
        <w:t xml:space="preserve">The </w:t>
      </w:r>
      <w:r w:rsidR="0001622B" w:rsidRPr="000820DB">
        <w:rPr>
          <w:rFonts w:eastAsia="Times New Roman"/>
          <w:sz w:val="22"/>
          <w:szCs w:val="22"/>
          <w:lang w:eastAsia="en-AU"/>
        </w:rPr>
        <w:t xml:space="preserve">amendment </w:t>
      </w:r>
      <w:r w:rsidR="006C7E13" w:rsidRPr="000820DB">
        <w:rPr>
          <w:rFonts w:eastAsia="Times New Roman"/>
          <w:sz w:val="22"/>
          <w:szCs w:val="22"/>
          <w:lang w:eastAsia="en-AU"/>
        </w:rPr>
        <w:t xml:space="preserve">instrument </w:t>
      </w:r>
      <w:r w:rsidRPr="000820DB">
        <w:rPr>
          <w:rFonts w:eastAsia="Times New Roman"/>
          <w:sz w:val="22"/>
          <w:szCs w:val="22"/>
          <w:lang w:eastAsia="en-AU"/>
        </w:rPr>
        <w:t>takes positive steps to promote the right to health b</w:t>
      </w:r>
      <w:r w:rsidR="00685C8A" w:rsidRPr="000820DB">
        <w:rPr>
          <w:rFonts w:eastAsia="Times New Roman"/>
          <w:sz w:val="22"/>
          <w:szCs w:val="22"/>
          <w:lang w:eastAsia="en-AU"/>
        </w:rPr>
        <w:t xml:space="preserve">y ensuring there is appropriate documentary evidence accompanying an application for inclusion of </w:t>
      </w:r>
      <w:r w:rsidR="008D0155" w:rsidRPr="000820DB">
        <w:rPr>
          <w:rFonts w:eastAsia="Times New Roman"/>
          <w:sz w:val="22"/>
          <w:szCs w:val="22"/>
          <w:lang w:eastAsia="en-AU"/>
        </w:rPr>
        <w:t xml:space="preserve">Class 2 </w:t>
      </w:r>
      <w:r w:rsidR="001A6958" w:rsidRPr="000820DB">
        <w:rPr>
          <w:rFonts w:eastAsia="Times New Roman"/>
          <w:sz w:val="22"/>
          <w:szCs w:val="22"/>
          <w:lang w:eastAsia="en-AU"/>
        </w:rPr>
        <w:t xml:space="preserve">IVD medical devices </w:t>
      </w:r>
      <w:r w:rsidR="008D0155" w:rsidRPr="000820DB">
        <w:rPr>
          <w:rFonts w:eastAsia="Times New Roman"/>
          <w:sz w:val="22"/>
          <w:szCs w:val="22"/>
          <w:lang w:eastAsia="en-AU"/>
        </w:rPr>
        <w:t>and Class 3 IVD medical devices</w:t>
      </w:r>
      <w:r w:rsidR="008F6D99" w:rsidRPr="000820DB">
        <w:rPr>
          <w:rFonts w:eastAsia="Times New Roman"/>
          <w:sz w:val="22"/>
          <w:szCs w:val="22"/>
          <w:lang w:eastAsia="en-AU"/>
        </w:rPr>
        <w:t xml:space="preserve"> in the Register to enable the application to be processed by the Secretary of the Department of Health in an effective and timely manner. The information that must accompany an application for inclusion in the Register will assist in ensuring the safety and satisfactory performance of medical devices, as well as their timely availability, in Australia.</w:t>
      </w:r>
    </w:p>
    <w:p w14:paraId="64875452" w14:textId="77777777" w:rsidR="00E47491" w:rsidRPr="000820DB" w:rsidRDefault="00E47491" w:rsidP="001E51F5">
      <w:pPr>
        <w:spacing w:after="0" w:line="240" w:lineRule="auto"/>
        <w:rPr>
          <w:rFonts w:eastAsia="Times New Roman"/>
          <w:sz w:val="22"/>
          <w:szCs w:val="22"/>
          <w:lang w:eastAsia="en-AU"/>
        </w:rPr>
      </w:pPr>
    </w:p>
    <w:p w14:paraId="36BAC2C1" w14:textId="77777777" w:rsidR="001E51F5" w:rsidRPr="000820DB" w:rsidRDefault="001E51F5" w:rsidP="001E51F5">
      <w:pPr>
        <w:spacing w:after="0" w:line="240" w:lineRule="auto"/>
        <w:rPr>
          <w:rFonts w:eastAsia="Times New Roman"/>
          <w:b/>
          <w:sz w:val="22"/>
          <w:szCs w:val="22"/>
          <w:lang w:eastAsia="en-AU"/>
        </w:rPr>
      </w:pPr>
      <w:r w:rsidRPr="000820DB">
        <w:rPr>
          <w:rFonts w:eastAsia="Times New Roman"/>
          <w:b/>
          <w:sz w:val="22"/>
          <w:szCs w:val="22"/>
          <w:lang w:eastAsia="en-AU"/>
        </w:rPr>
        <w:t>Conclusion</w:t>
      </w:r>
    </w:p>
    <w:p w14:paraId="35CE2E58" w14:textId="77777777" w:rsidR="001E51F5" w:rsidRPr="000820DB" w:rsidRDefault="001E51F5" w:rsidP="001E51F5">
      <w:pPr>
        <w:spacing w:after="0" w:line="240" w:lineRule="auto"/>
        <w:rPr>
          <w:rFonts w:eastAsia="Times New Roman"/>
          <w:sz w:val="22"/>
          <w:szCs w:val="22"/>
          <w:lang w:eastAsia="en-AU"/>
        </w:rPr>
      </w:pPr>
    </w:p>
    <w:p w14:paraId="1A64B326" w14:textId="444E729F" w:rsidR="00280050" w:rsidRDefault="001E51F5" w:rsidP="008777F0">
      <w:pPr>
        <w:spacing w:after="0" w:line="240" w:lineRule="auto"/>
      </w:pPr>
      <w:r w:rsidRPr="000820DB">
        <w:rPr>
          <w:rFonts w:eastAsia="Times New Roman"/>
          <w:sz w:val="22"/>
          <w:szCs w:val="22"/>
          <w:lang w:eastAsia="en-AU"/>
        </w:rPr>
        <w:t>This legislative instrument is compatible with human rights because it promotes the right to health in Article 12 of the ICESCR and otherwise does not raise any other human ri</w:t>
      </w:r>
      <w:r w:rsidRPr="00E47491">
        <w:rPr>
          <w:rFonts w:eastAsia="Times New Roman"/>
          <w:sz w:val="22"/>
          <w:szCs w:val="22"/>
          <w:lang w:eastAsia="en-AU"/>
        </w:rPr>
        <w:t>ghts issues.</w:t>
      </w:r>
    </w:p>
    <w:sectPr w:rsidR="00280050" w:rsidSect="00464FC6">
      <w:headerReference w:type="even" r:id="rId7"/>
      <w:headerReference w:type="default" r:id="rId8"/>
      <w:footerReference w:type="default" r:id="rId9"/>
      <w:footerReference w:type="first" r:id="rId10"/>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94EF8" w14:textId="77777777" w:rsidR="00B57BB7" w:rsidRDefault="00B57BB7">
      <w:pPr>
        <w:spacing w:after="0" w:line="240" w:lineRule="auto"/>
      </w:pPr>
      <w:r>
        <w:separator/>
      </w:r>
    </w:p>
  </w:endnote>
  <w:endnote w:type="continuationSeparator" w:id="0">
    <w:p w14:paraId="05BFFB95" w14:textId="77777777" w:rsidR="00B57BB7" w:rsidRDefault="00B5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noProof/>
        <w:sz w:val="22"/>
        <w:szCs w:val="22"/>
      </w:rPr>
    </w:sdtEndPr>
    <w:sdtContent>
      <w:p w14:paraId="7C826692" w14:textId="0D840262" w:rsidR="001E2F1D" w:rsidRPr="00BF658A" w:rsidRDefault="001E2F1D">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B2F71">
          <w:rPr>
            <w:noProof/>
            <w:sz w:val="22"/>
            <w:szCs w:val="22"/>
          </w:rPr>
          <w:t>6</w:t>
        </w:r>
        <w:r w:rsidRPr="00BF658A">
          <w:rPr>
            <w:noProof/>
            <w:sz w:val="22"/>
            <w:szCs w:val="22"/>
          </w:rPr>
          <w:fldChar w:fldCharType="end"/>
        </w:r>
      </w:p>
    </w:sdtContent>
  </w:sdt>
  <w:p w14:paraId="31A5E6A0" w14:textId="77777777" w:rsidR="001E2F1D" w:rsidRPr="00877529" w:rsidRDefault="001E2F1D"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9920" w14:textId="77777777" w:rsidR="001E2F1D" w:rsidRDefault="001E2F1D"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ABAA4" w14:textId="77777777" w:rsidR="00B57BB7" w:rsidRDefault="00B57BB7">
      <w:pPr>
        <w:spacing w:after="0" w:line="240" w:lineRule="auto"/>
      </w:pPr>
      <w:r>
        <w:separator/>
      </w:r>
    </w:p>
  </w:footnote>
  <w:footnote w:type="continuationSeparator" w:id="0">
    <w:p w14:paraId="65455812" w14:textId="77777777" w:rsidR="00B57BB7" w:rsidRDefault="00B5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06315" w14:textId="77777777" w:rsidR="001E2F1D" w:rsidRDefault="001E2F1D"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5C518" w14:textId="77777777" w:rsidR="001E2F1D" w:rsidRDefault="001E2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1324" w14:textId="77777777" w:rsidR="001E2F1D" w:rsidRDefault="001E2F1D"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862"/>
    <w:multiLevelType w:val="hybridMultilevel"/>
    <w:tmpl w:val="591E4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AD4B1A"/>
    <w:multiLevelType w:val="hybridMultilevel"/>
    <w:tmpl w:val="F4262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D57F19"/>
    <w:multiLevelType w:val="hybridMultilevel"/>
    <w:tmpl w:val="738419B8"/>
    <w:lvl w:ilvl="0" w:tplc="0C09001B">
      <w:start w:val="1"/>
      <w:numFmt w:val="lowerRoman"/>
      <w:lvlText w:val="%1."/>
      <w:lvlJc w:val="righ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5F7D49"/>
    <w:multiLevelType w:val="hybridMultilevel"/>
    <w:tmpl w:val="5C8E3DA2"/>
    <w:lvl w:ilvl="0" w:tplc="2C6A4E82">
      <w:start w:val="17"/>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2D30425"/>
    <w:multiLevelType w:val="hybridMultilevel"/>
    <w:tmpl w:val="47FE5D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A52027"/>
    <w:multiLevelType w:val="hybridMultilevel"/>
    <w:tmpl w:val="3BB0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2"/>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15646"/>
    <w:rsid w:val="0001622B"/>
    <w:rsid w:val="00027463"/>
    <w:rsid w:val="00033BA3"/>
    <w:rsid w:val="000373F0"/>
    <w:rsid w:val="0004561D"/>
    <w:rsid w:val="00050390"/>
    <w:rsid w:val="00052D17"/>
    <w:rsid w:val="000554CE"/>
    <w:rsid w:val="00062818"/>
    <w:rsid w:val="000722DC"/>
    <w:rsid w:val="000820DB"/>
    <w:rsid w:val="000B2FF8"/>
    <w:rsid w:val="000C3DF8"/>
    <w:rsid w:val="000F38EB"/>
    <w:rsid w:val="00103A0E"/>
    <w:rsid w:val="00104E43"/>
    <w:rsid w:val="00125CB9"/>
    <w:rsid w:val="00133D92"/>
    <w:rsid w:val="00140068"/>
    <w:rsid w:val="0015368D"/>
    <w:rsid w:val="00162FD9"/>
    <w:rsid w:val="001760F0"/>
    <w:rsid w:val="00185258"/>
    <w:rsid w:val="001A3897"/>
    <w:rsid w:val="001A6958"/>
    <w:rsid w:val="001B02FC"/>
    <w:rsid w:val="001C5975"/>
    <w:rsid w:val="001D280F"/>
    <w:rsid w:val="001D7D3D"/>
    <w:rsid w:val="001E2F1D"/>
    <w:rsid w:val="001E51F5"/>
    <w:rsid w:val="00206AC0"/>
    <w:rsid w:val="00211F5B"/>
    <w:rsid w:val="00225970"/>
    <w:rsid w:val="00235D13"/>
    <w:rsid w:val="00243199"/>
    <w:rsid w:val="00243D2A"/>
    <w:rsid w:val="002442FB"/>
    <w:rsid w:val="00246E9E"/>
    <w:rsid w:val="0024775A"/>
    <w:rsid w:val="0025038A"/>
    <w:rsid w:val="00274E3F"/>
    <w:rsid w:val="00280050"/>
    <w:rsid w:val="0028482C"/>
    <w:rsid w:val="002A736E"/>
    <w:rsid w:val="002B0D41"/>
    <w:rsid w:val="002B3658"/>
    <w:rsid w:val="002B650B"/>
    <w:rsid w:val="002D5576"/>
    <w:rsid w:val="002E4A57"/>
    <w:rsid w:val="003071FB"/>
    <w:rsid w:val="00310965"/>
    <w:rsid w:val="0031629D"/>
    <w:rsid w:val="00342B6B"/>
    <w:rsid w:val="003460A8"/>
    <w:rsid w:val="00347BF6"/>
    <w:rsid w:val="00364C69"/>
    <w:rsid w:val="00374344"/>
    <w:rsid w:val="00375F1F"/>
    <w:rsid w:val="0038420D"/>
    <w:rsid w:val="0039340E"/>
    <w:rsid w:val="003973AB"/>
    <w:rsid w:val="003B08D3"/>
    <w:rsid w:val="003C0D65"/>
    <w:rsid w:val="003C36B4"/>
    <w:rsid w:val="003C56F8"/>
    <w:rsid w:val="003D07BD"/>
    <w:rsid w:val="004121C0"/>
    <w:rsid w:val="00437295"/>
    <w:rsid w:val="00443BD5"/>
    <w:rsid w:val="004521BA"/>
    <w:rsid w:val="00452C85"/>
    <w:rsid w:val="0046026C"/>
    <w:rsid w:val="00463088"/>
    <w:rsid w:val="00463ACD"/>
    <w:rsid w:val="00464FC6"/>
    <w:rsid w:val="00482669"/>
    <w:rsid w:val="004875B7"/>
    <w:rsid w:val="00492D66"/>
    <w:rsid w:val="004A67CB"/>
    <w:rsid w:val="004B33DC"/>
    <w:rsid w:val="004B4A30"/>
    <w:rsid w:val="004B5595"/>
    <w:rsid w:val="004C7BCE"/>
    <w:rsid w:val="004D7254"/>
    <w:rsid w:val="00505E4C"/>
    <w:rsid w:val="0051143F"/>
    <w:rsid w:val="005144CD"/>
    <w:rsid w:val="0053519F"/>
    <w:rsid w:val="00550BB2"/>
    <w:rsid w:val="00565DF4"/>
    <w:rsid w:val="005726F8"/>
    <w:rsid w:val="00573284"/>
    <w:rsid w:val="00573401"/>
    <w:rsid w:val="005A4B9E"/>
    <w:rsid w:val="005B5FF4"/>
    <w:rsid w:val="005C6E1B"/>
    <w:rsid w:val="00600A78"/>
    <w:rsid w:val="00612D30"/>
    <w:rsid w:val="006361E9"/>
    <w:rsid w:val="00667636"/>
    <w:rsid w:val="00683911"/>
    <w:rsid w:val="00685658"/>
    <w:rsid w:val="00685C8A"/>
    <w:rsid w:val="006A3012"/>
    <w:rsid w:val="006C7E13"/>
    <w:rsid w:val="006E5EEE"/>
    <w:rsid w:val="006F090D"/>
    <w:rsid w:val="00722EE0"/>
    <w:rsid w:val="007254DE"/>
    <w:rsid w:val="007355A5"/>
    <w:rsid w:val="00743324"/>
    <w:rsid w:val="007436F9"/>
    <w:rsid w:val="00751077"/>
    <w:rsid w:val="007807A9"/>
    <w:rsid w:val="007852A9"/>
    <w:rsid w:val="007A435E"/>
    <w:rsid w:val="007A587B"/>
    <w:rsid w:val="007B1C63"/>
    <w:rsid w:val="007C1A12"/>
    <w:rsid w:val="007C65B6"/>
    <w:rsid w:val="007D2C7D"/>
    <w:rsid w:val="007E2C2D"/>
    <w:rsid w:val="008056CA"/>
    <w:rsid w:val="00810DEB"/>
    <w:rsid w:val="0081149F"/>
    <w:rsid w:val="008121EF"/>
    <w:rsid w:val="00827A22"/>
    <w:rsid w:val="00836203"/>
    <w:rsid w:val="008600C6"/>
    <w:rsid w:val="00861014"/>
    <w:rsid w:val="00876C93"/>
    <w:rsid w:val="008777F0"/>
    <w:rsid w:val="008925C6"/>
    <w:rsid w:val="00894B88"/>
    <w:rsid w:val="00897FF0"/>
    <w:rsid w:val="008A1261"/>
    <w:rsid w:val="008A648E"/>
    <w:rsid w:val="008B1C51"/>
    <w:rsid w:val="008B4916"/>
    <w:rsid w:val="008C78A1"/>
    <w:rsid w:val="008D0155"/>
    <w:rsid w:val="008D28FD"/>
    <w:rsid w:val="008D6F7A"/>
    <w:rsid w:val="008E3633"/>
    <w:rsid w:val="008F6D99"/>
    <w:rsid w:val="009021F4"/>
    <w:rsid w:val="0091430D"/>
    <w:rsid w:val="009225F6"/>
    <w:rsid w:val="00931474"/>
    <w:rsid w:val="00935F4B"/>
    <w:rsid w:val="009374C4"/>
    <w:rsid w:val="0094488F"/>
    <w:rsid w:val="00955D48"/>
    <w:rsid w:val="00974BA7"/>
    <w:rsid w:val="00994E54"/>
    <w:rsid w:val="00996764"/>
    <w:rsid w:val="009B3821"/>
    <w:rsid w:val="009C70F9"/>
    <w:rsid w:val="009D336F"/>
    <w:rsid w:val="00A02BCA"/>
    <w:rsid w:val="00A06503"/>
    <w:rsid w:val="00A1477C"/>
    <w:rsid w:val="00A31837"/>
    <w:rsid w:val="00A40A80"/>
    <w:rsid w:val="00A50C70"/>
    <w:rsid w:val="00A557DC"/>
    <w:rsid w:val="00A76FF1"/>
    <w:rsid w:val="00AA0C9E"/>
    <w:rsid w:val="00AB0218"/>
    <w:rsid w:val="00AB3017"/>
    <w:rsid w:val="00AB4485"/>
    <w:rsid w:val="00AC5214"/>
    <w:rsid w:val="00AF7862"/>
    <w:rsid w:val="00B22A73"/>
    <w:rsid w:val="00B2663D"/>
    <w:rsid w:val="00B5474B"/>
    <w:rsid w:val="00B57BB7"/>
    <w:rsid w:val="00B6399A"/>
    <w:rsid w:val="00B7352E"/>
    <w:rsid w:val="00B74C38"/>
    <w:rsid w:val="00B771B9"/>
    <w:rsid w:val="00B822AA"/>
    <w:rsid w:val="00B83BD5"/>
    <w:rsid w:val="00BB65A2"/>
    <w:rsid w:val="00BD2E44"/>
    <w:rsid w:val="00BD33A7"/>
    <w:rsid w:val="00C070E7"/>
    <w:rsid w:val="00C13D16"/>
    <w:rsid w:val="00C24838"/>
    <w:rsid w:val="00C542E4"/>
    <w:rsid w:val="00C629A9"/>
    <w:rsid w:val="00C630D5"/>
    <w:rsid w:val="00C64C52"/>
    <w:rsid w:val="00C65767"/>
    <w:rsid w:val="00C72299"/>
    <w:rsid w:val="00C75AB3"/>
    <w:rsid w:val="00C75C51"/>
    <w:rsid w:val="00C81410"/>
    <w:rsid w:val="00CD1B43"/>
    <w:rsid w:val="00CD5775"/>
    <w:rsid w:val="00CE105B"/>
    <w:rsid w:val="00CE4BB8"/>
    <w:rsid w:val="00CF18B1"/>
    <w:rsid w:val="00CF68AC"/>
    <w:rsid w:val="00D077A1"/>
    <w:rsid w:val="00D12E65"/>
    <w:rsid w:val="00D13852"/>
    <w:rsid w:val="00D305E4"/>
    <w:rsid w:val="00D30B54"/>
    <w:rsid w:val="00D36D53"/>
    <w:rsid w:val="00D40D96"/>
    <w:rsid w:val="00D438C2"/>
    <w:rsid w:val="00D4406A"/>
    <w:rsid w:val="00D55AFD"/>
    <w:rsid w:val="00DB2F71"/>
    <w:rsid w:val="00DC540A"/>
    <w:rsid w:val="00DC577F"/>
    <w:rsid w:val="00DC6001"/>
    <w:rsid w:val="00DD71DA"/>
    <w:rsid w:val="00DF3CD4"/>
    <w:rsid w:val="00E03E8A"/>
    <w:rsid w:val="00E241A9"/>
    <w:rsid w:val="00E31184"/>
    <w:rsid w:val="00E35BF7"/>
    <w:rsid w:val="00E47491"/>
    <w:rsid w:val="00E678FC"/>
    <w:rsid w:val="00E7444B"/>
    <w:rsid w:val="00E81D7C"/>
    <w:rsid w:val="00E860DD"/>
    <w:rsid w:val="00E921FD"/>
    <w:rsid w:val="00EA5695"/>
    <w:rsid w:val="00EC072E"/>
    <w:rsid w:val="00ED3400"/>
    <w:rsid w:val="00EF6819"/>
    <w:rsid w:val="00F02E5A"/>
    <w:rsid w:val="00F14C4A"/>
    <w:rsid w:val="00F14D6C"/>
    <w:rsid w:val="00F204CA"/>
    <w:rsid w:val="00F46F0B"/>
    <w:rsid w:val="00F61EF1"/>
    <w:rsid w:val="00F631E1"/>
    <w:rsid w:val="00F7394F"/>
    <w:rsid w:val="00F964B7"/>
    <w:rsid w:val="00FA1FD8"/>
    <w:rsid w:val="00FB3D54"/>
    <w:rsid w:val="00FC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667F"/>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 w:type="paragraph" w:styleId="ListParagraph">
    <w:name w:val="List Paragraph"/>
    <w:basedOn w:val="Normal"/>
    <w:uiPriority w:val="34"/>
    <w:qFormat/>
    <w:rsid w:val="00C65767"/>
    <w:pPr>
      <w:ind w:left="720"/>
      <w:contextualSpacing/>
    </w:pPr>
  </w:style>
  <w:style w:type="character" w:styleId="UnresolvedMention">
    <w:name w:val="Unresolved Mention"/>
    <w:basedOn w:val="DefaultParagraphFont"/>
    <w:uiPriority w:val="99"/>
    <w:semiHidden/>
    <w:unhideWhenUsed/>
    <w:rsid w:val="000B2FF8"/>
    <w:rPr>
      <w:color w:val="605E5C"/>
      <w:shd w:val="clear" w:color="auto" w:fill="E1DFDD"/>
    </w:rPr>
  </w:style>
  <w:style w:type="character" w:styleId="FollowedHyperlink">
    <w:name w:val="FollowedHyperlink"/>
    <w:basedOn w:val="DefaultParagraphFont"/>
    <w:uiPriority w:val="99"/>
    <w:semiHidden/>
    <w:unhideWhenUsed/>
    <w:rsid w:val="00BB6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580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MCDONALD, Jess</cp:lastModifiedBy>
  <cp:revision>2</cp:revision>
  <cp:lastPrinted>2020-09-25T07:41:00Z</cp:lastPrinted>
  <dcterms:created xsi:type="dcterms:W3CDTF">2022-05-02T00:17:00Z</dcterms:created>
  <dcterms:modified xsi:type="dcterms:W3CDTF">2022-05-02T00:17:00Z</dcterms:modified>
</cp:coreProperties>
</file>