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99009" w14:textId="77777777" w:rsidR="00FB640B" w:rsidRPr="008B24C8" w:rsidRDefault="0057002B" w:rsidP="00BB0CF2">
      <w:pPr>
        <w:pStyle w:val="ESTitleHeader"/>
      </w:pPr>
      <w:r w:rsidRPr="008B24C8">
        <w:t>EXPLANATORY STATEMENT</w:t>
      </w:r>
    </w:p>
    <w:p w14:paraId="02777A45" w14:textId="77777777" w:rsidR="0057002B" w:rsidRPr="008B24C8" w:rsidRDefault="0057002B" w:rsidP="00BB0CF2">
      <w:pPr>
        <w:pStyle w:val="ESTitleDecisionMaker"/>
      </w:pPr>
      <w:r w:rsidRPr="008B24C8">
        <w:t>Issued by authority of the</w:t>
      </w:r>
      <w:r w:rsidR="009C339B" w:rsidRPr="009C339B">
        <w:t xml:space="preserve"> </w:t>
      </w:r>
      <w:r w:rsidR="009C339B" w:rsidRPr="00372B1B">
        <w:t>Minister for Immigration, Citizenship, Migrant Services and Multicultural Affairs</w:t>
      </w:r>
    </w:p>
    <w:p w14:paraId="3C9A6A1B" w14:textId="77777777" w:rsidR="0057002B" w:rsidRPr="008B24C8" w:rsidRDefault="0057002B" w:rsidP="00915032">
      <w:pPr>
        <w:spacing w:line="276" w:lineRule="auto"/>
        <w:jc w:val="center"/>
        <w:rPr>
          <w:rFonts w:ascii="Times New Roman" w:hAnsi="Times New Roman" w:cs="Times New Roman"/>
          <w:i/>
        </w:rPr>
      </w:pPr>
      <w:r w:rsidRPr="008B24C8">
        <w:rPr>
          <w:rFonts w:ascii="Times New Roman" w:hAnsi="Times New Roman" w:cs="Times New Roman"/>
          <w:i/>
        </w:rPr>
        <w:t>Migration Regulations 1994</w:t>
      </w:r>
    </w:p>
    <w:p w14:paraId="0AE55AC4" w14:textId="0F50AC98" w:rsidR="0057002B" w:rsidRPr="008B24C8" w:rsidRDefault="005C3BF7" w:rsidP="00BB0CF2">
      <w:pPr>
        <w:pStyle w:val="ESTitleInstrumentName"/>
      </w:pPr>
      <w:bookmarkStart w:id="0" w:name="Title"/>
      <w:r>
        <w:t>Migration (Temporary visa subclass</w:t>
      </w:r>
      <w:r w:rsidRPr="00CC18FB">
        <w:t xml:space="preserve"> fo</w:t>
      </w:r>
      <w:bookmarkStart w:id="1" w:name="_GoBack"/>
      <w:bookmarkEnd w:id="1"/>
      <w:r w:rsidRPr="00CC18FB">
        <w:t xml:space="preserve">r </w:t>
      </w:r>
      <w:r>
        <w:t xml:space="preserve">the purpose of </w:t>
      </w:r>
      <w:r w:rsidRPr="00CC18FB">
        <w:t>health requirement</w:t>
      </w:r>
      <w:r>
        <w:t>) Specification (LIN 22/007) 2022</w:t>
      </w:r>
      <w:bookmarkEnd w:id="0"/>
    </w:p>
    <w:p w14:paraId="1BD7CA3A" w14:textId="7E93E400" w:rsidR="0057002B" w:rsidRPr="008B24C8" w:rsidRDefault="0057002B" w:rsidP="009C339B">
      <w:pPr>
        <w:pStyle w:val="ESPara"/>
      </w:pPr>
      <w:r w:rsidRPr="008B24C8">
        <w:t>The inst</w:t>
      </w:r>
      <w:r w:rsidR="009C339B">
        <w:t>rument, Departmental reference LIN 2</w:t>
      </w:r>
      <w:r w:rsidR="00B23F8F">
        <w:t>2</w:t>
      </w:r>
      <w:r w:rsidR="009C339B">
        <w:t>/0</w:t>
      </w:r>
      <w:r w:rsidR="00B23F8F">
        <w:t>07</w:t>
      </w:r>
      <w:r w:rsidRPr="008B24C8">
        <w:t xml:space="preserve">, is made under </w:t>
      </w:r>
      <w:r w:rsidR="009C339B" w:rsidRPr="009C339B">
        <w:t>subparagraphs 4005(2</w:t>
      </w:r>
      <w:proofErr w:type="gramStart"/>
      <w:r w:rsidR="009C339B" w:rsidRPr="009C339B">
        <w:t>)(</w:t>
      </w:r>
      <w:proofErr w:type="gramEnd"/>
      <w:r w:rsidR="009C339B" w:rsidRPr="009C339B">
        <w:t>b)(ii) and 4007(1A)(b)(ii) of</w:t>
      </w:r>
      <w:r w:rsidR="006D1FA2">
        <w:t xml:space="preserve"> Schedule 4 to</w:t>
      </w:r>
      <w:r w:rsidR="009C339B" w:rsidRPr="009C339B">
        <w:t xml:space="preserve"> the </w:t>
      </w:r>
      <w:r w:rsidR="009C339B" w:rsidRPr="009C339B">
        <w:rPr>
          <w:i/>
        </w:rPr>
        <w:t>Migration Regulations 1994</w:t>
      </w:r>
      <w:r w:rsidR="009C339B" w:rsidRPr="009C339B">
        <w:t xml:space="preserve"> (the Regulations)</w:t>
      </w:r>
      <w:r w:rsidR="00167551">
        <w:t>.</w:t>
      </w:r>
      <w:r w:rsidR="00540F33">
        <w:t xml:space="preserve">  </w:t>
      </w:r>
    </w:p>
    <w:p w14:paraId="4075CF50" w14:textId="12C51BB8" w:rsidR="009C339B" w:rsidRDefault="00EA12C9" w:rsidP="009C339B">
      <w:pPr>
        <w:pStyle w:val="ESPara"/>
      </w:pPr>
      <w:r w:rsidRPr="008B24C8">
        <w:t xml:space="preserve">The instrument </w:t>
      </w:r>
      <w:r w:rsidR="00B75478">
        <w:t>repeal</w:t>
      </w:r>
      <w:r w:rsidR="009C339B">
        <w:t>s</w:t>
      </w:r>
      <w:r w:rsidR="00B75478">
        <w:t xml:space="preserve"> </w:t>
      </w:r>
      <w:r w:rsidR="006339AC" w:rsidRPr="00AA49D3">
        <w:rPr>
          <w:i/>
        </w:rPr>
        <w:t xml:space="preserve">Visa Subclasses for the Purposes of the Health Requirement </w:t>
      </w:r>
      <w:r w:rsidR="009C339B" w:rsidRPr="00AA49D3">
        <w:rPr>
          <w:i/>
        </w:rPr>
        <w:t>2016/067</w:t>
      </w:r>
      <w:r w:rsidR="009C339B" w:rsidRPr="009464C5">
        <w:t xml:space="preserve"> </w:t>
      </w:r>
      <w:r w:rsidR="009C339B">
        <w:t>(</w:t>
      </w:r>
      <w:r w:rsidR="009C339B" w:rsidRPr="00AA49D3">
        <w:t>F2016L01126</w:t>
      </w:r>
      <w:r w:rsidR="009C339B">
        <w:t>)</w:t>
      </w:r>
      <w:r w:rsidR="00BD598E" w:rsidRPr="008B24C8">
        <w:t xml:space="preserve"> </w:t>
      </w:r>
      <w:r w:rsidR="00B75478">
        <w:t>(</w:t>
      </w:r>
      <w:r w:rsidR="00B81AC9">
        <w:t xml:space="preserve">IMMI </w:t>
      </w:r>
      <w:r w:rsidR="009C339B" w:rsidRPr="009C339B">
        <w:t>16/067</w:t>
      </w:r>
      <w:r w:rsidR="00B75478">
        <w:t xml:space="preserve">) </w:t>
      </w:r>
      <w:r w:rsidRPr="008B24C8">
        <w:t xml:space="preserve">in accordance with subsection 33(3) of the </w:t>
      </w:r>
      <w:r w:rsidRPr="008B24C8">
        <w:rPr>
          <w:i/>
        </w:rPr>
        <w:t>Acts Interpretation Act 1901</w:t>
      </w:r>
      <w:r w:rsidRPr="008B24C8">
        <w:t xml:space="preserve">.  </w:t>
      </w:r>
      <w:r w:rsidR="009C339B" w:rsidRPr="008B24C8">
        <w:t xml:space="preserve">That subsection provides that </w:t>
      </w:r>
      <w:r w:rsidR="009C339B">
        <w:t>a power to make a legislative instrument includes a power to amend or repeal that instrument in the same manner, and subject to the same conditions, as the power to make the instrument</w:t>
      </w:r>
      <w:r w:rsidR="009C339B" w:rsidRPr="008B24C8">
        <w:t xml:space="preserve">.  </w:t>
      </w:r>
      <w:r w:rsidR="009C339B">
        <w:t xml:space="preserve">This means that </w:t>
      </w:r>
      <w:r w:rsidR="009C339B" w:rsidRPr="009C339B">
        <w:t>subparagraphs 4005(2</w:t>
      </w:r>
      <w:proofErr w:type="gramStart"/>
      <w:r w:rsidR="009C339B" w:rsidRPr="009C339B">
        <w:t>)(</w:t>
      </w:r>
      <w:proofErr w:type="gramEnd"/>
      <w:r w:rsidR="009C339B" w:rsidRPr="009C339B">
        <w:t>b)(ii) and 4007(1A)(b)(ii) of</w:t>
      </w:r>
      <w:r w:rsidR="009C339B">
        <w:t xml:space="preserve"> </w:t>
      </w:r>
      <w:r w:rsidR="00110B6D">
        <w:t xml:space="preserve">Schedule 4 to </w:t>
      </w:r>
      <w:r w:rsidR="009C339B">
        <w:t>the Regulations also include</w:t>
      </w:r>
      <w:r w:rsidR="009C339B" w:rsidRPr="00716EA0">
        <w:t xml:space="preserve"> a power to amend or repeal an instrument made under that provision.</w:t>
      </w:r>
    </w:p>
    <w:p w14:paraId="029F0B67" w14:textId="77777777" w:rsidR="00BD598E" w:rsidRPr="008B24C8" w:rsidRDefault="00AA4557" w:rsidP="002D167E">
      <w:pPr>
        <w:pStyle w:val="ESPara"/>
      </w:pPr>
      <w:r>
        <w:t xml:space="preserve">The instrument commences </w:t>
      </w:r>
      <w:r w:rsidR="009C339B" w:rsidRPr="00A12FF7">
        <w:t>on the day after registration on the Federal Register of Legislation</w:t>
      </w:r>
      <w:r>
        <w:t>, and i</w:t>
      </w:r>
      <w:r w:rsidR="00BD598E" w:rsidRPr="008B24C8">
        <w:t xml:space="preserve">s a </w:t>
      </w:r>
      <w:r>
        <w:t>legislative</w:t>
      </w:r>
      <w:r w:rsidR="00BD598E" w:rsidRPr="008B24C8">
        <w:t xml:space="preserve"> instrument for </w:t>
      </w:r>
      <w:r w:rsidR="00B75478">
        <w:t xml:space="preserve">the </w:t>
      </w:r>
      <w:r w:rsidR="00100DFC">
        <w:rPr>
          <w:i/>
        </w:rPr>
        <w:t>Legislation Act 2003</w:t>
      </w:r>
      <w:r w:rsidR="00100DFC">
        <w:t xml:space="preserve"> (the Legislation Act)</w:t>
      </w:r>
      <w:r w:rsidR="00BD598E" w:rsidRPr="008B24C8">
        <w:t xml:space="preserve">.  </w:t>
      </w:r>
    </w:p>
    <w:p w14:paraId="709C3D6B" w14:textId="6DC0C8B4" w:rsidR="00485513" w:rsidRDefault="00BD598E" w:rsidP="002912B1">
      <w:pPr>
        <w:pStyle w:val="ESHeading"/>
      </w:pPr>
      <w:r w:rsidRPr="008B24C8">
        <w:t>Purpos</w:t>
      </w:r>
      <w:r w:rsidRPr="005E1E9C">
        <w:t>e</w:t>
      </w:r>
      <w:r w:rsidR="00BB0CF2" w:rsidRPr="005E1E9C">
        <w:t xml:space="preserve"> </w:t>
      </w:r>
    </w:p>
    <w:p w14:paraId="32C5ECC0" w14:textId="4374F848" w:rsidR="00A94ABB" w:rsidRDefault="00A94ABB" w:rsidP="003C3570">
      <w:pPr>
        <w:pStyle w:val="ESPara"/>
      </w:pPr>
      <w:r>
        <w:t xml:space="preserve">The instrument </w:t>
      </w:r>
      <w:r w:rsidRPr="00900084">
        <w:t>operates to</w:t>
      </w:r>
      <w:r>
        <w:t xml:space="preserve"> specify temporary</w:t>
      </w:r>
      <w:r w:rsidR="00BF77D2">
        <w:t xml:space="preserve"> visa</w:t>
      </w:r>
      <w:r>
        <w:t xml:space="preserve"> </w:t>
      </w:r>
      <w:r w:rsidR="009401AD">
        <w:t>subclasses</w:t>
      </w:r>
      <w:r w:rsidR="003C3570" w:rsidRPr="003C3570">
        <w:t xml:space="preserve"> </w:t>
      </w:r>
      <w:r w:rsidR="003C3570">
        <w:t xml:space="preserve">which may lead to </w:t>
      </w:r>
      <w:r w:rsidR="003C3570" w:rsidRPr="003C3570">
        <w:t>permanent visa</w:t>
      </w:r>
      <w:r w:rsidR="003C3570">
        <w:t>s</w:t>
      </w:r>
      <w:r w:rsidR="006E0807" w:rsidRPr="006E0807">
        <w:t xml:space="preserve"> </w:t>
      </w:r>
      <w:r>
        <w:t xml:space="preserve">for </w:t>
      </w:r>
      <w:r w:rsidRPr="00D3100F">
        <w:t>subparagraphs 4005(2</w:t>
      </w:r>
      <w:proofErr w:type="gramStart"/>
      <w:r w:rsidRPr="00D3100F">
        <w:t>)(</w:t>
      </w:r>
      <w:proofErr w:type="gramEnd"/>
      <w:r w:rsidRPr="00D3100F">
        <w:t>b)(ii) and 4007(1A)(b)(ii) of</w:t>
      </w:r>
      <w:r>
        <w:t xml:space="preserve"> </w:t>
      </w:r>
      <w:r w:rsidR="00EB7A28">
        <w:t>Schedule 4 to</w:t>
      </w:r>
      <w:r w:rsidR="00EB7A28" w:rsidRPr="00D3100F">
        <w:t xml:space="preserve"> </w:t>
      </w:r>
      <w:r w:rsidRPr="00D3100F">
        <w:t>the Regulations</w:t>
      </w:r>
      <w:r>
        <w:t xml:space="preserve">.  </w:t>
      </w:r>
    </w:p>
    <w:p w14:paraId="3FDBA8BA" w14:textId="0618DED4" w:rsidR="00057E21" w:rsidRDefault="00934010" w:rsidP="00DD4B97">
      <w:pPr>
        <w:pStyle w:val="ESPara"/>
      </w:pPr>
      <w:r>
        <w:t xml:space="preserve">Public interest criteria </w:t>
      </w:r>
      <w:r w:rsidR="00F76D17">
        <w:t xml:space="preserve">(PIC) </w:t>
      </w:r>
      <w:r w:rsidRPr="009C339B">
        <w:t>4005</w:t>
      </w:r>
      <w:r>
        <w:t xml:space="preserve"> and 4007</w:t>
      </w:r>
      <w:r w:rsidR="00110B6D">
        <w:t>,</w:t>
      </w:r>
      <w:r>
        <w:t xml:space="preserve"> </w:t>
      </w:r>
      <w:r w:rsidR="00110B6D">
        <w:t>set out in Schedule 4 t</w:t>
      </w:r>
      <w:r w:rsidRPr="009C339B">
        <w:t>o</w:t>
      </w:r>
      <w:r>
        <w:t xml:space="preserve"> the Regulations</w:t>
      </w:r>
      <w:r w:rsidR="00AE6A10">
        <w:t>,</w:t>
      </w:r>
      <w:r w:rsidR="00AE6A10" w:rsidRPr="00661AD0">
        <w:t xml:space="preserve"> </w:t>
      </w:r>
      <w:r w:rsidR="00AE6A10">
        <w:t xml:space="preserve">apply to visa subclasses where it is specified as a criterion for the grant of a visa in Schedule 2 of the Regulations for that subclass.  PICs 4005 and 4007 </w:t>
      </w:r>
      <w:r w:rsidR="00110B6D">
        <w:t xml:space="preserve">provide that </w:t>
      </w:r>
      <w:r w:rsidR="00B97805">
        <w:t xml:space="preserve">visa applicants </w:t>
      </w:r>
      <w:r w:rsidR="009E1013">
        <w:t xml:space="preserve">must be free from a disease or </w:t>
      </w:r>
      <w:r w:rsidR="00D3100F">
        <w:t>condition</w:t>
      </w:r>
      <w:r w:rsidR="009E1013">
        <w:t xml:space="preserve"> in </w:t>
      </w:r>
      <w:r w:rsidR="00D3100F">
        <w:t>relation</w:t>
      </w:r>
      <w:r w:rsidR="009E1013">
        <w:t xml:space="preserve"> to which a person who has it would be </w:t>
      </w:r>
      <w:r w:rsidR="00D3100F">
        <w:t>likely</w:t>
      </w:r>
      <w:r w:rsidR="009E1013">
        <w:t xml:space="preserve"> to </w:t>
      </w:r>
      <w:r w:rsidR="00D3100F">
        <w:t>require</w:t>
      </w:r>
      <w:r w:rsidR="009E1013">
        <w:t xml:space="preserve"> health car</w:t>
      </w:r>
      <w:r w:rsidR="0012146C">
        <w:t>e</w:t>
      </w:r>
      <w:r w:rsidR="009E1013">
        <w:t xml:space="preserve"> or </w:t>
      </w:r>
      <w:r w:rsidR="00BB0AB1">
        <w:t>community</w:t>
      </w:r>
      <w:r w:rsidR="009E1013">
        <w:t xml:space="preserve"> </w:t>
      </w:r>
      <w:r w:rsidR="00BB0AB1">
        <w:t>services</w:t>
      </w:r>
      <w:r w:rsidR="009E1013">
        <w:t xml:space="preserve"> or meet the </w:t>
      </w:r>
      <w:r w:rsidR="00BB0AB1">
        <w:t>medica</w:t>
      </w:r>
      <w:r w:rsidR="008328B7">
        <w:t>l</w:t>
      </w:r>
      <w:r w:rsidR="009E1013">
        <w:t xml:space="preserve"> </w:t>
      </w:r>
      <w:r w:rsidR="00BB0AB1">
        <w:t>criteria</w:t>
      </w:r>
      <w:r w:rsidR="009E1013">
        <w:t xml:space="preserve"> for the </w:t>
      </w:r>
      <w:r w:rsidR="00BB0AB1">
        <w:t>provision</w:t>
      </w:r>
      <w:r w:rsidR="009E1013">
        <w:t xml:space="preserve"> of a community service</w:t>
      </w:r>
      <w:r w:rsidR="00FF5EA9">
        <w:t xml:space="preserve">, and </w:t>
      </w:r>
      <w:r w:rsidR="008328B7">
        <w:t>the provision of</w:t>
      </w:r>
      <w:r w:rsidR="00FF5EA9">
        <w:t xml:space="preserve"> which</w:t>
      </w:r>
      <w:r w:rsidR="008328B7">
        <w:t xml:space="preserve"> would be likely to </w:t>
      </w:r>
      <w:r w:rsidR="008328B7" w:rsidRPr="009B472F">
        <w:t>result in a significant cost to the Australian community</w:t>
      </w:r>
      <w:r w:rsidR="008328B7">
        <w:t xml:space="preserve"> in the areas of, or</w:t>
      </w:r>
      <w:r w:rsidR="008328B7" w:rsidRPr="009B472F">
        <w:t xml:space="preserve"> prejudice the access of an Australian citizen or permanent resident to</w:t>
      </w:r>
      <w:r w:rsidR="008328B7">
        <w:t>,</w:t>
      </w:r>
      <w:r w:rsidR="008328B7" w:rsidRPr="009B472F">
        <w:t xml:space="preserve"> health care or community services</w:t>
      </w:r>
      <w:r w:rsidR="008328B7">
        <w:t xml:space="preserve">.  </w:t>
      </w:r>
      <w:r w:rsidR="00D67517">
        <w:t>If an application is for a temporary visa of a subclass</w:t>
      </w:r>
      <w:r w:rsidR="00D67517" w:rsidRPr="00B97805">
        <w:t xml:space="preserve"> </w:t>
      </w:r>
      <w:r w:rsidR="00D67517">
        <w:t>specified</w:t>
      </w:r>
      <w:r w:rsidR="00A94ABB">
        <w:t xml:space="preserve"> for</w:t>
      </w:r>
      <w:r w:rsidR="00D6261A">
        <w:t xml:space="preserve"> </w:t>
      </w:r>
      <w:r w:rsidR="00DA0D12">
        <w:t>subparagraph</w:t>
      </w:r>
      <w:r w:rsidR="00A94ABB" w:rsidRPr="00D3100F">
        <w:t xml:space="preserve"> 4005(2)(b)(ii) </w:t>
      </w:r>
      <w:r w:rsidR="0066774E">
        <w:t>or</w:t>
      </w:r>
      <w:r w:rsidR="007D3252">
        <w:t xml:space="preserve"> </w:t>
      </w:r>
      <w:r w:rsidR="00A94ABB" w:rsidRPr="00D3100F">
        <w:t>4007(1A)(b)(ii) of</w:t>
      </w:r>
      <w:r w:rsidR="00A94ABB">
        <w:t xml:space="preserve"> </w:t>
      </w:r>
      <w:r w:rsidR="00D6261A">
        <w:t>Schedule</w:t>
      </w:r>
      <w:r w:rsidR="00AE6A10">
        <w:t> </w:t>
      </w:r>
      <w:r w:rsidR="00D6261A">
        <w:t xml:space="preserve">4 to </w:t>
      </w:r>
      <w:r w:rsidR="00A94ABB" w:rsidRPr="00D3100F">
        <w:t>the Regulations</w:t>
      </w:r>
      <w:r w:rsidR="00574E10">
        <w:t>,</w:t>
      </w:r>
      <w:r w:rsidR="00057E21">
        <w:t xml:space="preserve"> </w:t>
      </w:r>
      <w:r w:rsidR="00DD4B97" w:rsidRPr="00DD4B97">
        <w:t xml:space="preserve">then the applicant’s health </w:t>
      </w:r>
      <w:r w:rsidR="00DD4B97">
        <w:t>and associated cost</w:t>
      </w:r>
      <w:r w:rsidR="007E1734">
        <w:t>s</w:t>
      </w:r>
      <w:r w:rsidR="00DD4B97">
        <w:t xml:space="preserve"> </w:t>
      </w:r>
      <w:r w:rsidR="00DD4B97" w:rsidRPr="00DD4B97">
        <w:t>will be assessed for the same period for which a permanent visa is assessed, that is, a period commencin</w:t>
      </w:r>
      <w:r w:rsidR="00DD4B97">
        <w:t>g when the application is made.</w:t>
      </w:r>
      <w:r w:rsidR="00F76D17">
        <w:t xml:space="preserve">  </w:t>
      </w:r>
    </w:p>
    <w:p w14:paraId="4EE34D7E" w14:textId="13FF20CE" w:rsidR="00121A4A" w:rsidRDefault="00980835">
      <w:pPr>
        <w:pStyle w:val="ESPara"/>
      </w:pPr>
      <w:r>
        <w:t xml:space="preserve">The </w:t>
      </w:r>
      <w:r w:rsidR="007A7727">
        <w:t xml:space="preserve">purpose of the </w:t>
      </w:r>
      <w:r>
        <w:t xml:space="preserve">instrument </w:t>
      </w:r>
      <w:r w:rsidR="007A7727">
        <w:t xml:space="preserve">is to </w:t>
      </w:r>
      <w:r w:rsidR="004C316E">
        <w:t xml:space="preserve">update </w:t>
      </w:r>
      <w:r w:rsidR="00207656">
        <w:t>the</w:t>
      </w:r>
      <w:r w:rsidR="00F14CC9">
        <w:t xml:space="preserve"> </w:t>
      </w:r>
      <w:r w:rsidR="00667647">
        <w:t xml:space="preserve">specified </w:t>
      </w:r>
      <w:r w:rsidR="00EC25E3">
        <w:t xml:space="preserve">temporary </w:t>
      </w:r>
      <w:r w:rsidR="004C316E">
        <w:t xml:space="preserve">visa </w:t>
      </w:r>
      <w:r w:rsidR="00207656">
        <w:t>subclasses</w:t>
      </w:r>
      <w:r w:rsidR="00887CFF">
        <w:t xml:space="preserve"> by</w:t>
      </w:r>
      <w:r w:rsidR="00667647">
        <w:t xml:space="preserve"> </w:t>
      </w:r>
      <w:r w:rsidR="00F14CC9" w:rsidRPr="00017A35">
        <w:t>add</w:t>
      </w:r>
      <w:r w:rsidR="00887CFF">
        <w:t>ing</w:t>
      </w:r>
      <w:r w:rsidR="00F14CC9" w:rsidRPr="00017A35">
        <w:t xml:space="preserve"> two new subclasses</w:t>
      </w:r>
      <w:r w:rsidR="00AA6EA5" w:rsidRPr="00017A35">
        <w:t xml:space="preserve">, </w:t>
      </w:r>
      <w:r w:rsidR="00A80FE8" w:rsidRPr="00017A35">
        <w:t>namely</w:t>
      </w:r>
      <w:r w:rsidR="00AA6EA5" w:rsidRPr="00017A35">
        <w:t xml:space="preserve"> </w:t>
      </w:r>
      <w:r w:rsidR="00A67446" w:rsidRPr="00017A35">
        <w:t>Skilled Work Regional (Provisional) (</w:t>
      </w:r>
      <w:r w:rsidR="0039091E" w:rsidRPr="00017A35">
        <w:t>s</w:t>
      </w:r>
      <w:r w:rsidR="00A67446" w:rsidRPr="00017A35">
        <w:t>ubclass 491)</w:t>
      </w:r>
      <w:r w:rsidRPr="00017A35">
        <w:t xml:space="preserve"> </w:t>
      </w:r>
      <w:r w:rsidR="00A67446" w:rsidRPr="00017A35">
        <w:t xml:space="preserve">and </w:t>
      </w:r>
      <w:r w:rsidR="00F14CC9" w:rsidRPr="00017A35">
        <w:t xml:space="preserve">Subclass 494 </w:t>
      </w:r>
      <w:r w:rsidR="00A67446" w:rsidRPr="00017A35">
        <w:t>Skilled Employer Sponsored Regional (Provisional) (</w:t>
      </w:r>
      <w:r w:rsidR="0039091E" w:rsidRPr="00017A35">
        <w:t>s</w:t>
      </w:r>
      <w:r w:rsidR="00A67446" w:rsidRPr="00017A35">
        <w:t>ubclass 494)</w:t>
      </w:r>
      <w:r w:rsidR="008E49C2">
        <w:t>.</w:t>
      </w:r>
      <w:r w:rsidR="00C23E68">
        <w:t xml:space="preserve"> </w:t>
      </w:r>
      <w:r w:rsidR="002E5C97">
        <w:t xml:space="preserve"> </w:t>
      </w:r>
    </w:p>
    <w:p w14:paraId="050CC031" w14:textId="14CB3B40" w:rsidR="00502E0A" w:rsidRDefault="00502E0A" w:rsidP="003134FD">
      <w:pPr>
        <w:pStyle w:val="ESPara"/>
      </w:pPr>
      <w:r>
        <w:t xml:space="preserve">The instrument does not specify </w:t>
      </w:r>
      <w:r w:rsidR="003134FD">
        <w:t>certain</w:t>
      </w:r>
      <w:r>
        <w:t xml:space="preserve"> temporary visa subclasses whic</w:t>
      </w:r>
      <w:r w:rsidR="003134FD">
        <w:t>h were previously specified in</w:t>
      </w:r>
      <w:r>
        <w:t xml:space="preserve"> IMMI </w:t>
      </w:r>
      <w:r w:rsidRPr="009C339B">
        <w:t>16/067</w:t>
      </w:r>
      <w:r>
        <w:t xml:space="preserve">, as those visa subclasses have </w:t>
      </w:r>
      <w:r w:rsidR="003134FD" w:rsidRPr="003134FD">
        <w:t xml:space="preserve">been repealed and </w:t>
      </w:r>
      <w:r w:rsidR="00036A8D">
        <w:t>closed to new applications before</w:t>
      </w:r>
      <w:r w:rsidR="00F9698E">
        <w:t xml:space="preserve"> the commencement of the instrument</w:t>
      </w:r>
      <w:r>
        <w:t>.</w:t>
      </w:r>
    </w:p>
    <w:p w14:paraId="6A3706B1" w14:textId="6F1353CE" w:rsidR="00121A4A" w:rsidRDefault="00121A4A" w:rsidP="001C1F23">
      <w:pPr>
        <w:pStyle w:val="ESSubHeading"/>
      </w:pPr>
      <w:r>
        <w:lastRenderedPageBreak/>
        <w:t xml:space="preserve">Continued effect of IMMI 16/067 </w:t>
      </w:r>
    </w:p>
    <w:p w14:paraId="3D2665A1" w14:textId="52BCA54F" w:rsidR="00221111" w:rsidRDefault="00E67A9D" w:rsidP="003F4DB5">
      <w:pPr>
        <w:pStyle w:val="ESSubparaHeader"/>
        <w:keepNext w:val="0"/>
      </w:pPr>
      <w:r>
        <w:t xml:space="preserve">Whilst </w:t>
      </w:r>
      <w:r w:rsidR="00613B7B" w:rsidRPr="00613B7B">
        <w:t>IMMI 16/067</w:t>
      </w:r>
      <w:r w:rsidR="00221111" w:rsidRPr="00E858DB">
        <w:t xml:space="preserve"> was also made under </w:t>
      </w:r>
      <w:r w:rsidR="00613B7B" w:rsidRPr="00613B7B">
        <w:t>subparagraph</w:t>
      </w:r>
      <w:r w:rsidR="00613B7B">
        <w:t xml:space="preserve"> </w:t>
      </w:r>
      <w:r w:rsidR="00613B7B" w:rsidRPr="00613B7B">
        <w:t>4006A(1A)(b)(ii)</w:t>
      </w:r>
      <w:r w:rsidR="00613B7B">
        <w:t xml:space="preserve"> </w:t>
      </w:r>
      <w:r w:rsidR="00221111" w:rsidRPr="00E858DB">
        <w:t>of</w:t>
      </w:r>
      <w:r>
        <w:t xml:space="preserve"> Schedule 4 to the Regulations, c</w:t>
      </w:r>
      <w:r w:rsidR="00221111" w:rsidRPr="00E858DB">
        <w:t>lause 4006A</w:t>
      </w:r>
      <w:r>
        <w:t xml:space="preserve"> </w:t>
      </w:r>
      <w:r w:rsidR="00221111" w:rsidRPr="00E858DB">
        <w:t xml:space="preserve">was repealed on 18 March 2018 by the </w:t>
      </w:r>
      <w:r w:rsidR="00221111" w:rsidRPr="00E858DB">
        <w:rPr>
          <w:i/>
        </w:rPr>
        <w:t>Migration Legislation Amendment (Temporary Skill Shortage Visa and Complementary Reforms) Regulations 2018</w:t>
      </w:r>
      <w:r w:rsidR="00221111" w:rsidRPr="00E858DB">
        <w:t xml:space="preserve">.  </w:t>
      </w:r>
      <w:r w:rsidR="00F74307">
        <w:t xml:space="preserve">As such, the instrument removes reference to </w:t>
      </w:r>
      <w:r w:rsidR="00F74307" w:rsidRPr="00613B7B">
        <w:t>subparagraph</w:t>
      </w:r>
      <w:r w:rsidR="00F74307">
        <w:t xml:space="preserve"> </w:t>
      </w:r>
      <w:proofErr w:type="gramStart"/>
      <w:r w:rsidR="00F74307" w:rsidRPr="00613B7B">
        <w:t>4006A(</w:t>
      </w:r>
      <w:proofErr w:type="gramEnd"/>
      <w:r w:rsidR="00F74307" w:rsidRPr="00613B7B">
        <w:t>1A)(b)(ii)</w:t>
      </w:r>
      <w:r w:rsidR="00F74307">
        <w:t xml:space="preserve"> </w:t>
      </w:r>
      <w:r w:rsidR="00F74307" w:rsidRPr="00E858DB">
        <w:t>of Schedule 4 to the Regulations</w:t>
      </w:r>
      <w:r w:rsidR="00F74307">
        <w:t>.</w:t>
      </w:r>
    </w:p>
    <w:p w14:paraId="10492DAF" w14:textId="6E20BF46" w:rsidR="00C60173" w:rsidRDefault="00221111" w:rsidP="00221111">
      <w:pPr>
        <w:pStyle w:val="ESPara"/>
      </w:pPr>
      <w:r w:rsidRPr="00E858DB">
        <w:t>S</w:t>
      </w:r>
      <w:r w:rsidR="00F37CE4">
        <w:t>ubclause 6702(2) in</w:t>
      </w:r>
      <w:r w:rsidRPr="00E858DB">
        <w:t xml:space="preserve"> </w:t>
      </w:r>
      <w:r w:rsidR="00613B7B">
        <w:t xml:space="preserve">Part 67 of </w:t>
      </w:r>
      <w:r w:rsidRPr="00E858DB">
        <w:t>Schedule 13 to the Regulations provide</w:t>
      </w:r>
      <w:r w:rsidR="00D46C89">
        <w:t>s that clause 4006A of Schedule </w:t>
      </w:r>
      <w:r w:rsidRPr="00E858DB">
        <w:t xml:space="preserve">4 to the Regulations </w:t>
      </w:r>
      <w:r>
        <w:t>and</w:t>
      </w:r>
      <w:r w:rsidRPr="00E858DB">
        <w:t xml:space="preserve"> any instruments made under </w:t>
      </w:r>
      <w:r>
        <w:t>that clause continues to apply</w:t>
      </w:r>
      <w:r w:rsidRPr="00E858DB">
        <w:t xml:space="preserve"> as in force immediately before 18 March 2018 in relation to an application for a visa made before that date.  The effect of this is that IMMI </w:t>
      </w:r>
      <w:r w:rsidR="00D46C89" w:rsidRPr="00613B7B">
        <w:t>16/067</w:t>
      </w:r>
      <w:r w:rsidRPr="00E858DB">
        <w:t>, as in force immediately before 18 March 2018, continues to apply in relation to clause 4006A of Schedule 4 to the Regulations and relevant vi</w:t>
      </w:r>
      <w:r w:rsidR="00D46C89">
        <w:t>sa applications made before 18 March </w:t>
      </w:r>
      <w:r w:rsidRPr="00E858DB">
        <w:t>2018.</w:t>
      </w:r>
      <w:r w:rsidR="00D46C89">
        <w:t xml:space="preserve"> </w:t>
      </w:r>
    </w:p>
    <w:p w14:paraId="7956D2FE" w14:textId="0329155B" w:rsidR="0097186E" w:rsidRDefault="003C3570">
      <w:pPr>
        <w:pStyle w:val="ESPara"/>
      </w:pPr>
      <w:r>
        <w:t>If an application is for a temporary visa of a subclass</w:t>
      </w:r>
      <w:r w:rsidRPr="00B97805">
        <w:t xml:space="preserve"> </w:t>
      </w:r>
      <w:r>
        <w:t>specified for subparagraph</w:t>
      </w:r>
      <w:r w:rsidRPr="00D3100F">
        <w:t xml:space="preserve"> </w:t>
      </w:r>
      <w:r w:rsidRPr="00613B7B">
        <w:t>4006A(1A)(b)(ii)</w:t>
      </w:r>
      <w:r w:rsidRPr="00D3100F">
        <w:t xml:space="preserve"> of</w:t>
      </w:r>
      <w:r>
        <w:t xml:space="preserve"> Schedule 4 to </w:t>
      </w:r>
      <w:r w:rsidRPr="00D3100F">
        <w:t>the Regulations</w:t>
      </w:r>
      <w:r>
        <w:t xml:space="preserve">, </w:t>
      </w:r>
      <w:r w:rsidRPr="00DD4B97">
        <w:t xml:space="preserve">then the applicant’s health </w:t>
      </w:r>
      <w:r>
        <w:t>and associated cost</w:t>
      </w:r>
      <w:r w:rsidR="007E1734">
        <w:t>s</w:t>
      </w:r>
      <w:r>
        <w:t xml:space="preserve"> </w:t>
      </w:r>
      <w:r w:rsidRPr="00DD4B97">
        <w:t xml:space="preserve">will be assessed </w:t>
      </w:r>
      <w:r w:rsidR="0097186E">
        <w:t>for the period commencing</w:t>
      </w:r>
      <w:r w:rsidR="0097186E" w:rsidRPr="002974E7">
        <w:t xml:space="preserve"> when the</w:t>
      </w:r>
      <w:r w:rsidR="0097186E">
        <w:t xml:space="preserve"> visa</w:t>
      </w:r>
      <w:r w:rsidR="0097186E" w:rsidRPr="002974E7">
        <w:t xml:space="preserve"> application is made</w:t>
      </w:r>
      <w:r w:rsidR="0097186E">
        <w:t xml:space="preserve">.  </w:t>
      </w:r>
    </w:p>
    <w:p w14:paraId="6260402B" w14:textId="77777777" w:rsidR="008B24C8" w:rsidRDefault="008B24C8" w:rsidP="00100DFC">
      <w:pPr>
        <w:pStyle w:val="ESHeading"/>
      </w:pPr>
      <w:r w:rsidRPr="008B24C8">
        <w:t>Consultation</w:t>
      </w:r>
    </w:p>
    <w:p w14:paraId="218AA0F7" w14:textId="17615CDE" w:rsidR="008B24C8" w:rsidRPr="009F04F5" w:rsidRDefault="008B24C8" w:rsidP="002D167E">
      <w:pPr>
        <w:pStyle w:val="ESPara"/>
      </w:pPr>
      <w:r w:rsidRPr="008B24C8">
        <w:t>The Office of Best Prac</w:t>
      </w:r>
      <w:r w:rsidR="0034105C">
        <w:t xml:space="preserve">tice Regulation (OBPR) was </w:t>
      </w:r>
      <w:r w:rsidRPr="008B24C8">
        <w:t>consulted and considered that the instrument dealt with m</w:t>
      </w:r>
      <w:r w:rsidR="0034105C">
        <w:t xml:space="preserve">atters of a minor </w:t>
      </w:r>
      <w:r w:rsidRPr="008B24C8">
        <w:t xml:space="preserve">nature and no regulatory impact statement was required.  </w:t>
      </w:r>
      <w:r>
        <w:t xml:space="preserve">The </w:t>
      </w:r>
      <w:r w:rsidRPr="009F04F5">
        <w:t>OBPR re</w:t>
      </w:r>
      <w:r w:rsidR="0034105C" w:rsidRPr="009F04F5">
        <w:t xml:space="preserve">ference number is </w:t>
      </w:r>
      <w:r w:rsidR="00141A8E" w:rsidRPr="009F04F5">
        <w:t>21</w:t>
      </w:r>
      <w:r w:rsidR="00141A8E" w:rsidRPr="009F04F5">
        <w:noBreakHyphen/>
      </w:r>
      <w:r w:rsidR="0034105C" w:rsidRPr="009F04F5">
        <w:t>01163</w:t>
      </w:r>
      <w:r w:rsidRPr="009F04F5">
        <w:t>.</w:t>
      </w:r>
    </w:p>
    <w:p w14:paraId="5E4DFA6C" w14:textId="5F761B52" w:rsidR="0034105C" w:rsidRPr="009F04F5" w:rsidRDefault="00366A87" w:rsidP="00366A87">
      <w:pPr>
        <w:pStyle w:val="ESPara"/>
      </w:pPr>
      <w:r w:rsidRPr="00366A87">
        <w:t xml:space="preserve">No further </w:t>
      </w:r>
      <w:r w:rsidR="005027D5">
        <w:t xml:space="preserve">external </w:t>
      </w:r>
      <w:r w:rsidRPr="00366A87">
        <w:t xml:space="preserve">consultation was undertaken </w:t>
      </w:r>
      <w:r w:rsidRPr="009F04F5">
        <w:t>for the instrument</w:t>
      </w:r>
      <w:r w:rsidRPr="00366A87">
        <w:t xml:space="preserve"> as the amendments do not substantiall</w:t>
      </w:r>
      <w:r>
        <w:t xml:space="preserve">y alter existing arrangements.  </w:t>
      </w:r>
      <w:r w:rsidRPr="00366A87">
        <w:t>This accords with subsection 17(1) of the Legislation Act.</w:t>
      </w:r>
    </w:p>
    <w:p w14:paraId="708CE124" w14:textId="77777777" w:rsidR="00AA4557" w:rsidRDefault="00464080" w:rsidP="00100DFC">
      <w:pPr>
        <w:pStyle w:val="ESHeading"/>
      </w:pPr>
      <w:r>
        <w:t>Details</w:t>
      </w:r>
      <w:r w:rsidR="00AA4557">
        <w:t xml:space="preserve"> of the instrument</w:t>
      </w:r>
    </w:p>
    <w:p w14:paraId="13E59B45" w14:textId="7821FEF4" w:rsidR="00E03DCC" w:rsidRDefault="0097186E" w:rsidP="002D167E">
      <w:pPr>
        <w:pStyle w:val="ESPara"/>
      </w:pPr>
      <w:r>
        <w:t xml:space="preserve">Paragraph (a) </w:t>
      </w:r>
      <w:r w:rsidR="009401AD">
        <w:t>specifies</w:t>
      </w:r>
      <w:r w:rsidR="00BA3B8B">
        <w:t xml:space="preserve"> </w:t>
      </w:r>
      <w:r w:rsidR="009401AD">
        <w:t>temporary visa</w:t>
      </w:r>
      <w:r w:rsidR="00CE2172" w:rsidRPr="00900084">
        <w:t xml:space="preserve"> subclasses</w:t>
      </w:r>
      <w:r w:rsidR="00717994">
        <w:t xml:space="preserve"> for </w:t>
      </w:r>
      <w:r w:rsidR="00A54156">
        <w:t>subparagraph</w:t>
      </w:r>
      <w:r w:rsidR="00A54156" w:rsidRPr="00D3100F">
        <w:t xml:space="preserve"> 4005(2</w:t>
      </w:r>
      <w:proofErr w:type="gramStart"/>
      <w:r w:rsidR="00A54156" w:rsidRPr="00D3100F">
        <w:t>)(</w:t>
      </w:r>
      <w:proofErr w:type="gramEnd"/>
      <w:r w:rsidR="00A54156" w:rsidRPr="00D3100F">
        <w:t xml:space="preserve">b)(ii) </w:t>
      </w:r>
      <w:r w:rsidR="00A54156">
        <w:t>and subparagraph</w:t>
      </w:r>
      <w:r w:rsidR="00A54156" w:rsidRPr="00D3100F">
        <w:t xml:space="preserve"> 4007(1A)(b)(ii) of</w:t>
      </w:r>
      <w:r w:rsidR="00A54156">
        <w:t xml:space="preserve"> Schedule 4 to </w:t>
      </w:r>
      <w:r w:rsidR="00A54156" w:rsidRPr="00D3100F">
        <w:t>the Regulations</w:t>
      </w:r>
      <w:r w:rsidR="00CE2172">
        <w:t>.</w:t>
      </w:r>
      <w:r w:rsidR="009401AD">
        <w:t xml:space="preserve">   </w:t>
      </w:r>
    </w:p>
    <w:p w14:paraId="26363539" w14:textId="00374590" w:rsidR="00AA4557" w:rsidRDefault="0097186E" w:rsidP="002D167E">
      <w:pPr>
        <w:pStyle w:val="ESPara"/>
      </w:pPr>
      <w:r>
        <w:t>Paragraph (b)</w:t>
      </w:r>
      <w:r w:rsidR="00AA4557">
        <w:t xml:space="preserve"> </w:t>
      </w:r>
      <w:r w:rsidR="00FF07EA">
        <w:t xml:space="preserve">provides that </w:t>
      </w:r>
      <w:r w:rsidR="0003128D" w:rsidRPr="00AA49D3">
        <w:rPr>
          <w:i/>
        </w:rPr>
        <w:t xml:space="preserve">Visa Subclasses </w:t>
      </w:r>
      <w:r w:rsidRPr="00AA49D3">
        <w:rPr>
          <w:i/>
        </w:rPr>
        <w:t>for</w:t>
      </w:r>
      <w:r w:rsidR="0003128D" w:rsidRPr="00AA49D3">
        <w:rPr>
          <w:i/>
        </w:rPr>
        <w:t xml:space="preserve"> </w:t>
      </w:r>
      <w:r>
        <w:rPr>
          <w:i/>
        </w:rPr>
        <w:t>t</w:t>
      </w:r>
      <w:r w:rsidR="0003128D" w:rsidRPr="00AA49D3">
        <w:rPr>
          <w:i/>
        </w:rPr>
        <w:t xml:space="preserve">he Purposes </w:t>
      </w:r>
      <w:r w:rsidRPr="00AA49D3">
        <w:rPr>
          <w:i/>
        </w:rPr>
        <w:t>of the</w:t>
      </w:r>
      <w:r w:rsidR="0003128D" w:rsidRPr="00AA49D3">
        <w:rPr>
          <w:i/>
        </w:rPr>
        <w:t xml:space="preserve"> Health Requirement </w:t>
      </w:r>
      <w:r w:rsidR="00FF07EA" w:rsidRPr="00AA49D3">
        <w:rPr>
          <w:i/>
        </w:rPr>
        <w:t>2016/067</w:t>
      </w:r>
      <w:r w:rsidR="00FF07EA" w:rsidRPr="009464C5">
        <w:t xml:space="preserve"> </w:t>
      </w:r>
      <w:r w:rsidR="00FF07EA">
        <w:t>(</w:t>
      </w:r>
      <w:r w:rsidR="00FF07EA" w:rsidRPr="00AA49D3">
        <w:t>F2016L01126</w:t>
      </w:r>
      <w:r w:rsidR="00FF07EA">
        <w:t>)</w:t>
      </w:r>
      <w:r w:rsidR="00FF07EA" w:rsidRPr="006D42D0">
        <w:t xml:space="preserve"> is repealed</w:t>
      </w:r>
      <w:r w:rsidR="00FF07EA">
        <w:t xml:space="preserve"> by the instrument</w:t>
      </w:r>
      <w:r w:rsidR="00AA4557">
        <w:t xml:space="preserve">. </w:t>
      </w:r>
    </w:p>
    <w:p w14:paraId="313F764B" w14:textId="7D0BA467" w:rsidR="0097186E" w:rsidRDefault="0097186E">
      <w:pPr>
        <w:pStyle w:val="ESPara"/>
      </w:pPr>
      <w:r w:rsidRPr="0097186E">
        <w:t>The instrument commences on the day after registration on the Federal Register of Legislation.</w:t>
      </w:r>
    </w:p>
    <w:p w14:paraId="08A480FC" w14:textId="77777777" w:rsidR="00AA4557" w:rsidRPr="00AA4557" w:rsidRDefault="00AA4557" w:rsidP="00100DFC">
      <w:pPr>
        <w:pStyle w:val="ESHeading"/>
      </w:pPr>
      <w:r>
        <w:t xml:space="preserve">Parliamentary scrutiny etc.  </w:t>
      </w:r>
    </w:p>
    <w:p w14:paraId="29F4FCA5" w14:textId="77777777" w:rsidR="00DC60F6" w:rsidRDefault="00DC60F6" w:rsidP="002D167E">
      <w:pPr>
        <w:pStyle w:val="ESPara"/>
      </w:pPr>
      <w:r w:rsidRPr="00095008">
        <w:t xml:space="preserve">The instrument is exempt from disallowance under section 42 of the Legislation Act. </w:t>
      </w:r>
      <w:r>
        <w:t xml:space="preserve"> </w:t>
      </w:r>
      <w:r w:rsidRPr="00005F0C">
        <w:t xml:space="preserve">This is because it is an instrument made under </w:t>
      </w:r>
      <w:r w:rsidRPr="009C339B">
        <w:t xml:space="preserve">subparagraphs 4005(2)(b)(ii) and 4007(1A)(b)(ii) of </w:t>
      </w:r>
      <w:r w:rsidRPr="00005F0C">
        <w:t xml:space="preserve">the Regulations, which is exempt from disallowance under paragraph (b) of item 20 in section 10 of the </w:t>
      </w:r>
      <w:r w:rsidRPr="00005F0C">
        <w:rPr>
          <w:i/>
          <w:iCs/>
        </w:rPr>
        <w:t>Legislation (Exemptions and Other Matters) Regulation 2015</w:t>
      </w:r>
      <w:r w:rsidRPr="00005F0C">
        <w:t>.</w:t>
      </w:r>
    </w:p>
    <w:p w14:paraId="368D0927" w14:textId="7693FCC7" w:rsidR="00915032" w:rsidRPr="00F41CD3" w:rsidRDefault="00DC60F6" w:rsidP="006D2603">
      <w:pPr>
        <w:pStyle w:val="ESPara"/>
      </w:pPr>
      <w:r w:rsidRPr="00095008">
        <w:t>The instrument is made by a delegate of the Minister</w:t>
      </w:r>
      <w:r>
        <w:t>,</w:t>
      </w:r>
      <w:r w:rsidRPr="00095008">
        <w:t xml:space="preserve"> </w:t>
      </w:r>
      <w:r w:rsidR="006D2603" w:rsidRPr="006D2603">
        <w:t>in accordance with</w:t>
      </w:r>
      <w:r>
        <w:t xml:space="preserve"> </w:t>
      </w:r>
      <w:r w:rsidRPr="009C339B">
        <w:t>subparagraphs 4005(2</w:t>
      </w:r>
      <w:proofErr w:type="gramStart"/>
      <w:r w:rsidRPr="009C339B">
        <w:t>)(</w:t>
      </w:r>
      <w:proofErr w:type="gramEnd"/>
      <w:r w:rsidRPr="009C339B">
        <w:t>b)(ii) and 4007(1A)(b)(ii) of</w:t>
      </w:r>
      <w:r>
        <w:t xml:space="preserve"> </w:t>
      </w:r>
      <w:r w:rsidR="0050143F">
        <w:t xml:space="preserve">Schedule 4 to </w:t>
      </w:r>
      <w:r>
        <w:t>the Regulations.</w:t>
      </w:r>
    </w:p>
    <w:sectPr w:rsidR="00915032" w:rsidRPr="00F41CD3" w:rsidSect="004F5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62E7E" w14:textId="77777777" w:rsidR="0084418B" w:rsidRDefault="0084418B" w:rsidP="0084418B">
      <w:pPr>
        <w:spacing w:after="0" w:line="240" w:lineRule="auto"/>
      </w:pPr>
      <w:r>
        <w:separator/>
      </w:r>
    </w:p>
  </w:endnote>
  <w:endnote w:type="continuationSeparator" w:id="0">
    <w:p w14:paraId="4D4F6379" w14:textId="77777777" w:rsidR="0084418B" w:rsidRDefault="0084418B" w:rsidP="0084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518A8" w14:textId="77777777" w:rsidR="0084418B" w:rsidRDefault="00844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C86F8" w14:textId="77777777" w:rsidR="0084418B" w:rsidRDefault="008441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36ED9" w14:textId="77777777" w:rsidR="0084418B" w:rsidRDefault="00844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BD944" w14:textId="77777777" w:rsidR="0084418B" w:rsidRDefault="0084418B" w:rsidP="0084418B">
      <w:pPr>
        <w:spacing w:after="0" w:line="240" w:lineRule="auto"/>
      </w:pPr>
      <w:r>
        <w:separator/>
      </w:r>
    </w:p>
  </w:footnote>
  <w:footnote w:type="continuationSeparator" w:id="0">
    <w:p w14:paraId="04E1D5B9" w14:textId="77777777" w:rsidR="0084418B" w:rsidRDefault="0084418B" w:rsidP="00844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FD176" w14:textId="73EFB06B" w:rsidR="0084418B" w:rsidRDefault="008441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3D5DC" w14:textId="4D4FE61E" w:rsidR="0084418B" w:rsidRDefault="008441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1C2E5" w14:textId="04B3772D" w:rsidR="0084418B" w:rsidRDefault="00844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B4FD28F"/>
    <w:multiLevelType w:val="hybridMultilevel"/>
    <w:tmpl w:val="93F15D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AE532A9"/>
    <w:multiLevelType w:val="hybridMultilevel"/>
    <w:tmpl w:val="16DE8FA2"/>
    <w:lvl w:ilvl="0" w:tplc="C80632DA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B22CF"/>
    <w:multiLevelType w:val="hybridMultilevel"/>
    <w:tmpl w:val="2DCEB73C"/>
    <w:lvl w:ilvl="0" w:tplc="2A36B062">
      <w:start w:val="2"/>
      <w:numFmt w:val="bullet"/>
      <w:pStyle w:val="ESAttLis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comment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73"/>
    <w:rsid w:val="000053B0"/>
    <w:rsid w:val="0001037A"/>
    <w:rsid w:val="00013F1F"/>
    <w:rsid w:val="00015877"/>
    <w:rsid w:val="00017A35"/>
    <w:rsid w:val="00021E74"/>
    <w:rsid w:val="00030F13"/>
    <w:rsid w:val="0003128D"/>
    <w:rsid w:val="00036A8D"/>
    <w:rsid w:val="00057E21"/>
    <w:rsid w:val="00075A78"/>
    <w:rsid w:val="000B0888"/>
    <w:rsid w:val="000D014F"/>
    <w:rsid w:val="000D7D35"/>
    <w:rsid w:val="000F127F"/>
    <w:rsid w:val="000F26C5"/>
    <w:rsid w:val="00100DFC"/>
    <w:rsid w:val="00103A80"/>
    <w:rsid w:val="00110B6D"/>
    <w:rsid w:val="0012146C"/>
    <w:rsid w:val="00121A4A"/>
    <w:rsid w:val="00125559"/>
    <w:rsid w:val="00141A8E"/>
    <w:rsid w:val="00162839"/>
    <w:rsid w:val="00164DE4"/>
    <w:rsid w:val="00167551"/>
    <w:rsid w:val="00174930"/>
    <w:rsid w:val="0017522D"/>
    <w:rsid w:val="0019164E"/>
    <w:rsid w:val="001B1376"/>
    <w:rsid w:val="001B6209"/>
    <w:rsid w:val="001C1F23"/>
    <w:rsid w:val="00207656"/>
    <w:rsid w:val="00221111"/>
    <w:rsid w:val="0022331E"/>
    <w:rsid w:val="0023216D"/>
    <w:rsid w:val="00236B94"/>
    <w:rsid w:val="002402E0"/>
    <w:rsid w:val="002424BC"/>
    <w:rsid w:val="002467DD"/>
    <w:rsid w:val="002912B1"/>
    <w:rsid w:val="002974E7"/>
    <w:rsid w:val="002A1AE4"/>
    <w:rsid w:val="002A43C0"/>
    <w:rsid w:val="002A5ECE"/>
    <w:rsid w:val="002A6285"/>
    <w:rsid w:val="002B79C8"/>
    <w:rsid w:val="002C06F7"/>
    <w:rsid w:val="002C7DE8"/>
    <w:rsid w:val="002D167E"/>
    <w:rsid w:val="002D24AD"/>
    <w:rsid w:val="002E5C97"/>
    <w:rsid w:val="002F0D57"/>
    <w:rsid w:val="003134FD"/>
    <w:rsid w:val="003209E1"/>
    <w:rsid w:val="00326DF0"/>
    <w:rsid w:val="0034105C"/>
    <w:rsid w:val="0034371D"/>
    <w:rsid w:val="00347DCC"/>
    <w:rsid w:val="00366A87"/>
    <w:rsid w:val="0039091E"/>
    <w:rsid w:val="00392C27"/>
    <w:rsid w:val="003B0B9E"/>
    <w:rsid w:val="003C3570"/>
    <w:rsid w:val="003F4DB5"/>
    <w:rsid w:val="004046F6"/>
    <w:rsid w:val="0041119E"/>
    <w:rsid w:val="00411E57"/>
    <w:rsid w:val="00457D4A"/>
    <w:rsid w:val="00464080"/>
    <w:rsid w:val="0048330B"/>
    <w:rsid w:val="00485513"/>
    <w:rsid w:val="004B72CC"/>
    <w:rsid w:val="004C1077"/>
    <w:rsid w:val="004C316E"/>
    <w:rsid w:val="004C6E9E"/>
    <w:rsid w:val="004E6BB5"/>
    <w:rsid w:val="004F5CE4"/>
    <w:rsid w:val="0050143F"/>
    <w:rsid w:val="005027D5"/>
    <w:rsid w:val="00502E0A"/>
    <w:rsid w:val="00532996"/>
    <w:rsid w:val="00532BBF"/>
    <w:rsid w:val="00540F33"/>
    <w:rsid w:val="00560B24"/>
    <w:rsid w:val="005626F3"/>
    <w:rsid w:val="0057002B"/>
    <w:rsid w:val="00574462"/>
    <w:rsid w:val="00574E10"/>
    <w:rsid w:val="00592E81"/>
    <w:rsid w:val="005A67AD"/>
    <w:rsid w:val="005C3BF7"/>
    <w:rsid w:val="005E1E9C"/>
    <w:rsid w:val="005E4728"/>
    <w:rsid w:val="00604E06"/>
    <w:rsid w:val="00613365"/>
    <w:rsid w:val="00613B7B"/>
    <w:rsid w:val="00622CDD"/>
    <w:rsid w:val="006339AC"/>
    <w:rsid w:val="00644D99"/>
    <w:rsid w:val="006526E0"/>
    <w:rsid w:val="00667647"/>
    <w:rsid w:val="0066774E"/>
    <w:rsid w:val="006C5A1F"/>
    <w:rsid w:val="006D1FA2"/>
    <w:rsid w:val="006D2603"/>
    <w:rsid w:val="006D3AB4"/>
    <w:rsid w:val="006D772F"/>
    <w:rsid w:val="006E0807"/>
    <w:rsid w:val="006E0D0E"/>
    <w:rsid w:val="006F7F3A"/>
    <w:rsid w:val="00717994"/>
    <w:rsid w:val="007259C5"/>
    <w:rsid w:val="00726EBD"/>
    <w:rsid w:val="00732CD7"/>
    <w:rsid w:val="0074553D"/>
    <w:rsid w:val="007567FF"/>
    <w:rsid w:val="007812CA"/>
    <w:rsid w:val="00782DCC"/>
    <w:rsid w:val="007A7727"/>
    <w:rsid w:val="007C4C1B"/>
    <w:rsid w:val="007D3252"/>
    <w:rsid w:val="007E1734"/>
    <w:rsid w:val="007E30F1"/>
    <w:rsid w:val="007E4691"/>
    <w:rsid w:val="00801328"/>
    <w:rsid w:val="008017DC"/>
    <w:rsid w:val="00804047"/>
    <w:rsid w:val="00812A5D"/>
    <w:rsid w:val="008328B7"/>
    <w:rsid w:val="0084418B"/>
    <w:rsid w:val="00871C08"/>
    <w:rsid w:val="0088407D"/>
    <w:rsid w:val="00887CFF"/>
    <w:rsid w:val="008A73B9"/>
    <w:rsid w:val="008B24C8"/>
    <w:rsid w:val="008D7C13"/>
    <w:rsid w:val="008E49C2"/>
    <w:rsid w:val="00900084"/>
    <w:rsid w:val="00901DCD"/>
    <w:rsid w:val="00915032"/>
    <w:rsid w:val="00934010"/>
    <w:rsid w:val="009401AD"/>
    <w:rsid w:val="009470B4"/>
    <w:rsid w:val="00955D45"/>
    <w:rsid w:val="0097186E"/>
    <w:rsid w:val="00980835"/>
    <w:rsid w:val="00983CF5"/>
    <w:rsid w:val="00991C54"/>
    <w:rsid w:val="009B472F"/>
    <w:rsid w:val="009B7B8F"/>
    <w:rsid w:val="009C339B"/>
    <w:rsid w:val="009E1013"/>
    <w:rsid w:val="009E65CB"/>
    <w:rsid w:val="009F04F5"/>
    <w:rsid w:val="00A01704"/>
    <w:rsid w:val="00A27B2E"/>
    <w:rsid w:val="00A30FB1"/>
    <w:rsid w:val="00A54156"/>
    <w:rsid w:val="00A65344"/>
    <w:rsid w:val="00A67446"/>
    <w:rsid w:val="00A80FE8"/>
    <w:rsid w:val="00A94ABB"/>
    <w:rsid w:val="00AA124E"/>
    <w:rsid w:val="00AA4557"/>
    <w:rsid w:val="00AA6EA5"/>
    <w:rsid w:val="00AB2CCB"/>
    <w:rsid w:val="00AB4CA8"/>
    <w:rsid w:val="00AE4FCF"/>
    <w:rsid w:val="00AE6A10"/>
    <w:rsid w:val="00B11551"/>
    <w:rsid w:val="00B22717"/>
    <w:rsid w:val="00B23F8F"/>
    <w:rsid w:val="00B358D0"/>
    <w:rsid w:val="00B445D9"/>
    <w:rsid w:val="00B51743"/>
    <w:rsid w:val="00B57046"/>
    <w:rsid w:val="00B637C9"/>
    <w:rsid w:val="00B65878"/>
    <w:rsid w:val="00B65A06"/>
    <w:rsid w:val="00B7435C"/>
    <w:rsid w:val="00B75478"/>
    <w:rsid w:val="00B81AC9"/>
    <w:rsid w:val="00B905D4"/>
    <w:rsid w:val="00B965C6"/>
    <w:rsid w:val="00B97805"/>
    <w:rsid w:val="00BA3B8B"/>
    <w:rsid w:val="00BA3F2C"/>
    <w:rsid w:val="00BB0AB1"/>
    <w:rsid w:val="00BB0CF2"/>
    <w:rsid w:val="00BC4BA1"/>
    <w:rsid w:val="00BC7956"/>
    <w:rsid w:val="00BD598E"/>
    <w:rsid w:val="00BF7320"/>
    <w:rsid w:val="00BF77D2"/>
    <w:rsid w:val="00C05B1C"/>
    <w:rsid w:val="00C14F5A"/>
    <w:rsid w:val="00C15ED2"/>
    <w:rsid w:val="00C23E68"/>
    <w:rsid w:val="00C25473"/>
    <w:rsid w:val="00C5775C"/>
    <w:rsid w:val="00C60173"/>
    <w:rsid w:val="00C66DDC"/>
    <w:rsid w:val="00C81A5E"/>
    <w:rsid w:val="00C8538C"/>
    <w:rsid w:val="00C930F2"/>
    <w:rsid w:val="00CC0970"/>
    <w:rsid w:val="00CD1246"/>
    <w:rsid w:val="00CE2172"/>
    <w:rsid w:val="00CE37AB"/>
    <w:rsid w:val="00CE65D4"/>
    <w:rsid w:val="00D00730"/>
    <w:rsid w:val="00D3100F"/>
    <w:rsid w:val="00D40E1E"/>
    <w:rsid w:val="00D46C89"/>
    <w:rsid w:val="00D6261A"/>
    <w:rsid w:val="00D67517"/>
    <w:rsid w:val="00D73AF8"/>
    <w:rsid w:val="00D76BAA"/>
    <w:rsid w:val="00DA0D12"/>
    <w:rsid w:val="00DA19AF"/>
    <w:rsid w:val="00DA4B53"/>
    <w:rsid w:val="00DB3974"/>
    <w:rsid w:val="00DC260B"/>
    <w:rsid w:val="00DC3778"/>
    <w:rsid w:val="00DC60F6"/>
    <w:rsid w:val="00DD4B97"/>
    <w:rsid w:val="00DE065F"/>
    <w:rsid w:val="00E03DCC"/>
    <w:rsid w:val="00E0403D"/>
    <w:rsid w:val="00E04CB9"/>
    <w:rsid w:val="00E1096C"/>
    <w:rsid w:val="00E45FE2"/>
    <w:rsid w:val="00E50B38"/>
    <w:rsid w:val="00E67A9D"/>
    <w:rsid w:val="00E95857"/>
    <w:rsid w:val="00E95C83"/>
    <w:rsid w:val="00EA12C9"/>
    <w:rsid w:val="00EB0667"/>
    <w:rsid w:val="00EB7A28"/>
    <w:rsid w:val="00EC25E3"/>
    <w:rsid w:val="00EE2DE1"/>
    <w:rsid w:val="00F0245C"/>
    <w:rsid w:val="00F04417"/>
    <w:rsid w:val="00F100F7"/>
    <w:rsid w:val="00F14CC9"/>
    <w:rsid w:val="00F344A2"/>
    <w:rsid w:val="00F37CE4"/>
    <w:rsid w:val="00F41CD3"/>
    <w:rsid w:val="00F71FA2"/>
    <w:rsid w:val="00F74307"/>
    <w:rsid w:val="00F76D17"/>
    <w:rsid w:val="00F91850"/>
    <w:rsid w:val="00F9698E"/>
    <w:rsid w:val="00FA7C9D"/>
    <w:rsid w:val="00FD23CF"/>
    <w:rsid w:val="00FE0FEE"/>
    <w:rsid w:val="00FE1A56"/>
    <w:rsid w:val="00FF07EA"/>
    <w:rsid w:val="00FF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952E415"/>
  <w15:chartTrackingRefBased/>
  <w15:docId w15:val="{12B898B0-4B9E-4D8D-93D6-67BA8243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02B"/>
    <w:pPr>
      <w:ind w:left="720"/>
      <w:contextualSpacing/>
    </w:pPr>
  </w:style>
  <w:style w:type="paragraph" w:customStyle="1" w:styleId="ESParagraph">
    <w:name w:val="ES_Paragraph"/>
    <w:basedOn w:val="ListParagraph"/>
    <w:link w:val="ESParagraphChar"/>
    <w:rsid w:val="00100DFC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paragraph" w:customStyle="1" w:styleId="ESHeading">
    <w:name w:val="ES_Heading"/>
    <w:basedOn w:val="ListParagraph"/>
    <w:link w:val="ESHeadingChar"/>
    <w:qFormat/>
    <w:rsid w:val="00100DFC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DFC"/>
  </w:style>
  <w:style w:type="character" w:customStyle="1" w:styleId="ESParagraphChar">
    <w:name w:val="ES_Paragraph Char"/>
    <w:basedOn w:val="ListParagraphChar"/>
    <w:link w:val="ESParagraph"/>
    <w:rsid w:val="00100DFC"/>
    <w:rPr>
      <w:rFonts w:ascii="Times New Roman" w:hAnsi="Times New Roman" w:cs="Times New Roman"/>
    </w:rPr>
  </w:style>
  <w:style w:type="paragraph" w:customStyle="1" w:styleId="ESAttAttName">
    <w:name w:val="ESAtt_AttName"/>
    <w:basedOn w:val="Normal"/>
    <w:link w:val="ESAttAttNameChar"/>
    <w:qFormat/>
    <w:rsid w:val="00100DFC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ListParagraphChar"/>
    <w:link w:val="ESHeading"/>
    <w:rsid w:val="00100DFC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100DFC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100DFC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100DFC"/>
    <w:rPr>
      <w:rFonts w:ascii="Times New Roman" w:hAnsi="Times New Roman" w:cs="Times New Roman"/>
      <w:b/>
    </w:rPr>
  </w:style>
  <w:style w:type="paragraph" w:customStyle="1" w:styleId="ESAttListHeader">
    <w:name w:val="ESAtt_ListHeader"/>
    <w:basedOn w:val="Normal"/>
    <w:link w:val="ESAttListHeader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NormalChar">
    <w:name w:val="ESAtt_Normal Char"/>
    <w:basedOn w:val="DefaultParagraphFont"/>
    <w:link w:val="ESAttNormal"/>
    <w:rsid w:val="00100DFC"/>
    <w:rPr>
      <w:rFonts w:ascii="Times New Roman" w:hAnsi="Times New Roman" w:cs="Times New Roman"/>
    </w:rPr>
  </w:style>
  <w:style w:type="paragraph" w:customStyle="1" w:styleId="ESAttList">
    <w:name w:val="ESAtt_List"/>
    <w:basedOn w:val="ListParagraph"/>
    <w:link w:val="ESAttListChar"/>
    <w:qFormat/>
    <w:rsid w:val="00100DFC"/>
    <w:pPr>
      <w:numPr>
        <w:numId w:val="2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AttListHeaderChar">
    <w:name w:val="ESAtt_ListHeader Char"/>
    <w:basedOn w:val="DefaultParagraphFont"/>
    <w:link w:val="ESAttListHeader"/>
    <w:rsid w:val="00100DFC"/>
    <w:rPr>
      <w:rFonts w:ascii="Times New Roman" w:hAnsi="Times New Roman" w:cs="Times New Roman"/>
    </w:rPr>
  </w:style>
  <w:style w:type="paragraph" w:customStyle="1" w:styleId="ESSubHeading">
    <w:name w:val="ES_SubHeading"/>
    <w:basedOn w:val="ESHeading"/>
    <w:link w:val="ESSubHeadingChar"/>
    <w:qFormat/>
    <w:rsid w:val="00BB0CF2"/>
    <w:rPr>
      <w:b w:val="0"/>
    </w:rPr>
  </w:style>
  <w:style w:type="character" w:customStyle="1" w:styleId="ESAttListChar">
    <w:name w:val="ESAtt_List Char"/>
    <w:basedOn w:val="ListParagraphChar"/>
    <w:link w:val="ESAttList"/>
    <w:rsid w:val="00100DFC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BB0CF2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character" w:customStyle="1" w:styleId="ESSubHeadingChar">
    <w:name w:val="ES_SubHeading Char"/>
    <w:basedOn w:val="ESHeadingChar"/>
    <w:link w:val="ESSubHeading"/>
    <w:rsid w:val="00BB0CF2"/>
    <w:rPr>
      <w:rFonts w:ascii="Times New Roman" w:hAnsi="Times New Roman" w:cs="Times New Roman"/>
      <w:b w:val="0"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BB0CF2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BB0CF2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BB0CF2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BB0CF2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BB0CF2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BB0CF2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BB0CF2"/>
    <w:pPr>
      <w:keepNext/>
      <w:numPr>
        <w:numId w:val="1"/>
      </w:num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BB0CF2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BB0CF2"/>
    <w:pPr>
      <w:numPr>
        <w:ilvl w:val="1"/>
        <w:numId w:val="1"/>
      </w:numPr>
      <w:spacing w:before="240" w:after="240" w:line="276" w:lineRule="auto"/>
      <w:ind w:left="1276" w:hanging="425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ListParagraphChar"/>
    <w:link w:val="ESSubparaHeader"/>
    <w:rsid w:val="00BB0CF2"/>
    <w:rPr>
      <w:rFonts w:ascii="Times New Roman" w:hAnsi="Times New Roman" w:cs="Times New Roman"/>
    </w:rPr>
  </w:style>
  <w:style w:type="character" w:customStyle="1" w:styleId="ESSubparaListChar">
    <w:name w:val="ES_SubparaList Char"/>
    <w:basedOn w:val="ListParagraphChar"/>
    <w:link w:val="ESSubparaList"/>
    <w:rsid w:val="00BB0CF2"/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2D167E"/>
    <w:pPr>
      <w:keepNext w:val="0"/>
    </w:pPr>
  </w:style>
  <w:style w:type="character" w:customStyle="1" w:styleId="ESParaChar">
    <w:name w:val="ES_Para Char"/>
    <w:basedOn w:val="ESSubparaHeaderChar"/>
    <w:link w:val="ESPara"/>
    <w:rsid w:val="002D167E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C3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39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39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39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6F7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6F7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2C06F7"/>
    <w:rPr>
      <w:color w:val="5B9BD5" w:themeColor="accent1"/>
      <w:u w:val="single"/>
    </w:rPr>
  </w:style>
  <w:style w:type="paragraph" w:styleId="Revision">
    <w:name w:val="Revision"/>
    <w:hidden/>
    <w:uiPriority w:val="99"/>
    <w:semiHidden/>
    <w:rsid w:val="004E6B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44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18B"/>
  </w:style>
  <w:style w:type="paragraph" w:styleId="Footer">
    <w:name w:val="footer"/>
    <w:basedOn w:val="Normal"/>
    <w:link w:val="FooterChar"/>
    <w:uiPriority w:val="99"/>
    <w:unhideWhenUsed/>
    <w:rsid w:val="00844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1542">
          <w:marLeft w:val="0"/>
          <w:marRight w:val="0"/>
          <w:marTop w:val="0"/>
          <w:marBottom w:val="0"/>
          <w:divBdr>
            <w:top w:val="single" w:sz="6" w:space="8" w:color="B8B8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327">
              <w:marLeft w:val="2"/>
              <w:marRight w:val="2"/>
              <w:marTop w:val="0"/>
              <w:marBottom w:val="0"/>
              <w:divBdr>
                <w:top w:val="single" w:sz="6" w:space="8" w:color="CDCCD4"/>
                <w:left w:val="single" w:sz="6" w:space="8" w:color="CDCCD4"/>
                <w:bottom w:val="single" w:sz="6" w:space="8" w:color="CDCCD4"/>
                <w:right w:val="single" w:sz="6" w:space="4" w:color="CDCCD4"/>
              </w:divBdr>
              <w:divsChild>
                <w:div w:id="1265067329">
                  <w:marLeft w:val="0"/>
                  <w:marRight w:val="0"/>
                  <w:marTop w:val="75"/>
                  <w:marBottom w:val="75"/>
                  <w:divBdr>
                    <w:top w:val="single" w:sz="6" w:space="8" w:color="CCCCD4"/>
                    <w:left w:val="single" w:sz="6" w:space="8" w:color="CCCCD4"/>
                    <w:bottom w:val="single" w:sz="6" w:space="8" w:color="CCCCD4"/>
                    <w:right w:val="single" w:sz="6" w:space="8" w:color="CCCCD4"/>
                  </w:divBdr>
                </w:div>
              </w:divsChild>
            </w:div>
          </w:divsChild>
        </w:div>
      </w:divsChild>
    </w:div>
    <w:div w:id="16879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645">
          <w:marLeft w:val="0"/>
          <w:marRight w:val="0"/>
          <w:marTop w:val="0"/>
          <w:marBottom w:val="0"/>
          <w:divBdr>
            <w:top w:val="single" w:sz="6" w:space="8" w:color="B8B8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97244">
              <w:marLeft w:val="2"/>
              <w:marRight w:val="2"/>
              <w:marTop w:val="0"/>
              <w:marBottom w:val="0"/>
              <w:divBdr>
                <w:top w:val="single" w:sz="6" w:space="8" w:color="CDCCD4"/>
                <w:left w:val="single" w:sz="6" w:space="8" w:color="CDCCD4"/>
                <w:bottom w:val="single" w:sz="6" w:space="8" w:color="CDCCD4"/>
                <w:right w:val="single" w:sz="6" w:space="4" w:color="CDCCD4"/>
              </w:divBdr>
              <w:divsChild>
                <w:div w:id="359749363">
                  <w:marLeft w:val="0"/>
                  <w:marRight w:val="0"/>
                  <w:marTop w:val="75"/>
                  <w:marBottom w:val="75"/>
                  <w:divBdr>
                    <w:top w:val="single" w:sz="6" w:space="8" w:color="CCCCD4"/>
                    <w:left w:val="single" w:sz="6" w:space="8" w:color="CCCCD4"/>
                    <w:bottom w:val="single" w:sz="6" w:space="8" w:color="CCCCD4"/>
                    <w:right w:val="single" w:sz="6" w:space="8" w:color="CCCCD4"/>
                  </w:divBdr>
                </w:div>
              </w:divsChild>
            </w:div>
          </w:divsChild>
        </w:div>
      </w:divsChild>
    </w:div>
    <w:div w:id="1884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2037">
          <w:marLeft w:val="0"/>
          <w:marRight w:val="0"/>
          <w:marTop w:val="0"/>
          <w:marBottom w:val="0"/>
          <w:divBdr>
            <w:top w:val="single" w:sz="6" w:space="8" w:color="B8B8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5471">
              <w:marLeft w:val="2"/>
              <w:marRight w:val="2"/>
              <w:marTop w:val="0"/>
              <w:marBottom w:val="0"/>
              <w:divBdr>
                <w:top w:val="single" w:sz="6" w:space="8" w:color="CDCCD4"/>
                <w:left w:val="single" w:sz="6" w:space="8" w:color="CDCCD4"/>
                <w:bottom w:val="single" w:sz="6" w:space="8" w:color="CDCCD4"/>
                <w:right w:val="single" w:sz="6" w:space="4" w:color="CDCCD4"/>
              </w:divBdr>
              <w:divsChild>
                <w:div w:id="1870870998">
                  <w:marLeft w:val="0"/>
                  <w:marRight w:val="0"/>
                  <w:marTop w:val="75"/>
                  <w:marBottom w:val="75"/>
                  <w:divBdr>
                    <w:top w:val="single" w:sz="6" w:space="8" w:color="CCCCD4"/>
                    <w:left w:val="single" w:sz="6" w:space="8" w:color="CCCCD4"/>
                    <w:bottom w:val="single" w:sz="6" w:space="8" w:color="CCCCD4"/>
                    <w:right w:val="single" w:sz="6" w:space="8" w:color="CCCCD4"/>
                  </w:divBdr>
                </w:div>
              </w:divsChild>
            </w:div>
          </w:divsChild>
        </w:div>
      </w:divsChild>
    </w:div>
    <w:div w:id="199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30956">
          <w:marLeft w:val="0"/>
          <w:marRight w:val="0"/>
          <w:marTop w:val="0"/>
          <w:marBottom w:val="0"/>
          <w:divBdr>
            <w:top w:val="single" w:sz="6" w:space="8" w:color="B8B8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0208">
              <w:marLeft w:val="2"/>
              <w:marRight w:val="2"/>
              <w:marTop w:val="0"/>
              <w:marBottom w:val="0"/>
              <w:divBdr>
                <w:top w:val="single" w:sz="6" w:space="8" w:color="CDCCD4"/>
                <w:left w:val="single" w:sz="6" w:space="8" w:color="CDCCD4"/>
                <w:bottom w:val="single" w:sz="6" w:space="8" w:color="CDCCD4"/>
                <w:right w:val="single" w:sz="6" w:space="4" w:color="CDCCD4"/>
              </w:divBdr>
              <w:divsChild>
                <w:div w:id="1085879013">
                  <w:marLeft w:val="0"/>
                  <w:marRight w:val="0"/>
                  <w:marTop w:val="75"/>
                  <w:marBottom w:val="75"/>
                  <w:divBdr>
                    <w:top w:val="single" w:sz="6" w:space="8" w:color="CCCCD4"/>
                    <w:left w:val="single" w:sz="6" w:space="8" w:color="CCCCD4"/>
                    <w:bottom w:val="single" w:sz="6" w:space="8" w:color="CCCCD4"/>
                    <w:right w:val="single" w:sz="6" w:space="8" w:color="CCCCD4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05B8-654A-4D78-89F4-BE725FE2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HU</dc:creator>
  <cp:keywords/>
  <dc:description/>
  <cp:lastModifiedBy>Hannah HU</cp:lastModifiedBy>
  <cp:revision>2</cp:revision>
  <cp:lastPrinted>2022-04-11T06:19:00Z</cp:lastPrinted>
  <dcterms:created xsi:type="dcterms:W3CDTF">2022-04-11T06:19:00Z</dcterms:created>
  <dcterms:modified xsi:type="dcterms:W3CDTF">2022-04-11T06:19:00Z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997853674</vt:i4>
  </property>
</Properties>
</file>