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1B4F" w14:textId="77777777" w:rsidR="001F2A16" w:rsidRPr="006C645C" w:rsidRDefault="001F2A16" w:rsidP="009D5DB2">
      <w:pPr>
        <w:pStyle w:val="Header"/>
        <w:pBdr>
          <w:top w:val="double" w:sz="4" w:space="1" w:color="auto"/>
          <w:bottom w:val="double" w:sz="4" w:space="1" w:color="auto"/>
        </w:pBdr>
        <w:tabs>
          <w:tab w:val="clear" w:pos="4153"/>
          <w:tab w:val="clear" w:pos="8306"/>
        </w:tabs>
        <w:spacing w:after="360"/>
        <w:jc w:val="center"/>
        <w:rPr>
          <w:rFonts w:ascii="Arial" w:hAnsi="Arial" w:cs="Arial"/>
          <w:sz w:val="34"/>
          <w:szCs w:val="34"/>
        </w:rPr>
      </w:pPr>
      <w:r w:rsidRPr="006C645C">
        <w:rPr>
          <w:rFonts w:ascii="Arial" w:hAnsi="Arial" w:cs="Arial"/>
          <w:sz w:val="34"/>
          <w:szCs w:val="34"/>
        </w:rPr>
        <w:t>Explanatory Statement</w:t>
      </w:r>
    </w:p>
    <w:p w14:paraId="15AC1B52" w14:textId="34739EA6" w:rsidR="0099555F" w:rsidRPr="006C645C" w:rsidRDefault="00841687" w:rsidP="009D5DB2">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6C645C">
        <w:rPr>
          <w:rFonts w:ascii="Arial" w:hAnsi="Arial" w:cs="Arial"/>
          <w:sz w:val="34"/>
          <w:szCs w:val="34"/>
        </w:rPr>
        <w:t xml:space="preserve">Excise By-Law No. 114 (Amendment) </w:t>
      </w:r>
      <w:r w:rsidR="00C64290">
        <w:rPr>
          <w:rFonts w:ascii="Arial" w:hAnsi="Arial" w:cs="Arial"/>
          <w:sz w:val="34"/>
          <w:szCs w:val="34"/>
        </w:rPr>
        <w:t xml:space="preserve">(No. 1) </w:t>
      </w:r>
      <w:r w:rsidRPr="006C645C">
        <w:rPr>
          <w:rFonts w:ascii="Arial" w:hAnsi="Arial" w:cs="Arial"/>
          <w:sz w:val="34"/>
          <w:szCs w:val="34"/>
        </w:rPr>
        <w:t>202</w:t>
      </w:r>
      <w:r w:rsidR="009D5DB2">
        <w:rPr>
          <w:rFonts w:ascii="Arial" w:hAnsi="Arial" w:cs="Arial"/>
          <w:sz w:val="34"/>
          <w:szCs w:val="34"/>
        </w:rPr>
        <w:t>2</w:t>
      </w:r>
    </w:p>
    <w:p w14:paraId="5AB02980" w14:textId="77777777" w:rsidR="006C645C" w:rsidRPr="006C645C" w:rsidRDefault="006C645C" w:rsidP="009D5DB2">
      <w:pPr>
        <w:pStyle w:val="Header"/>
        <w:pBdr>
          <w:top w:val="double" w:sz="4" w:space="1" w:color="auto"/>
          <w:bottom w:val="double" w:sz="4" w:space="1" w:color="auto"/>
        </w:pBdr>
        <w:tabs>
          <w:tab w:val="clear" w:pos="4153"/>
          <w:tab w:val="clear" w:pos="8306"/>
        </w:tabs>
        <w:jc w:val="center"/>
        <w:rPr>
          <w:rFonts w:ascii="Arial" w:hAnsi="Arial" w:cs="Arial"/>
          <w:szCs w:val="24"/>
        </w:rPr>
      </w:pPr>
    </w:p>
    <w:p w14:paraId="15AC1B53" w14:textId="77777777" w:rsidR="001F2A16" w:rsidRPr="006C645C" w:rsidRDefault="001F2A16" w:rsidP="009D5DB2">
      <w:pPr>
        <w:pStyle w:val="Header"/>
        <w:tabs>
          <w:tab w:val="clear" w:pos="4153"/>
          <w:tab w:val="clear" w:pos="8306"/>
        </w:tabs>
        <w:spacing w:after="120"/>
        <w:jc w:val="center"/>
        <w:rPr>
          <w:rFonts w:ascii="Arial" w:hAnsi="Arial" w:cs="Arial"/>
          <w:sz w:val="22"/>
          <w:szCs w:val="22"/>
        </w:rPr>
      </w:pPr>
    </w:p>
    <w:p w14:paraId="0D40E41E" w14:textId="14C6F98B" w:rsidR="00841687" w:rsidRPr="006C645C" w:rsidRDefault="00841687" w:rsidP="00C532E8">
      <w:pPr>
        <w:pStyle w:val="Heading2"/>
        <w:tabs>
          <w:tab w:val="left" w:pos="8190"/>
        </w:tabs>
      </w:pPr>
      <w:r w:rsidRPr="006C645C">
        <w:t>General Outline of Instrument</w:t>
      </w:r>
    </w:p>
    <w:p w14:paraId="0D7BF84B" w14:textId="77777777" w:rsidR="00841687" w:rsidRPr="006C645C" w:rsidRDefault="00841687" w:rsidP="009D5DB2">
      <w:pPr>
        <w:numPr>
          <w:ilvl w:val="0"/>
          <w:numId w:val="16"/>
        </w:numPr>
        <w:tabs>
          <w:tab w:val="clear" w:pos="360"/>
        </w:tabs>
        <w:spacing w:after="120"/>
        <w:ind w:left="0" w:firstLine="0"/>
        <w:rPr>
          <w:rFonts w:ascii="Arial" w:hAnsi="Arial" w:cs="Arial"/>
          <w:sz w:val="22"/>
          <w:szCs w:val="22"/>
        </w:rPr>
      </w:pPr>
      <w:r w:rsidRPr="006C645C">
        <w:rPr>
          <w:rFonts w:ascii="Arial" w:hAnsi="Arial" w:cs="Arial"/>
          <w:sz w:val="22"/>
          <w:szCs w:val="22"/>
        </w:rPr>
        <w:t xml:space="preserve">This instrument is made under section 165 of the </w:t>
      </w:r>
      <w:r w:rsidRPr="006C645C">
        <w:rPr>
          <w:rFonts w:ascii="Arial" w:hAnsi="Arial" w:cs="Arial"/>
          <w:i/>
          <w:iCs/>
          <w:sz w:val="22"/>
          <w:szCs w:val="22"/>
        </w:rPr>
        <w:t>Excise Act 1901</w:t>
      </w:r>
      <w:r w:rsidRPr="006C645C">
        <w:rPr>
          <w:rFonts w:ascii="Arial" w:hAnsi="Arial" w:cs="Arial"/>
          <w:sz w:val="22"/>
          <w:szCs w:val="22"/>
        </w:rPr>
        <w:t>.</w:t>
      </w:r>
    </w:p>
    <w:p w14:paraId="67F0FADC" w14:textId="70E1F08A" w:rsidR="00841687" w:rsidRPr="006C645C" w:rsidRDefault="00841687" w:rsidP="009D5DB2">
      <w:pPr>
        <w:numPr>
          <w:ilvl w:val="0"/>
          <w:numId w:val="16"/>
        </w:numPr>
        <w:tabs>
          <w:tab w:val="clear" w:pos="360"/>
        </w:tabs>
        <w:spacing w:after="120"/>
        <w:ind w:left="0" w:firstLine="0"/>
        <w:rPr>
          <w:rFonts w:ascii="Arial" w:hAnsi="Arial" w:cs="Arial"/>
          <w:sz w:val="22"/>
          <w:szCs w:val="22"/>
        </w:rPr>
      </w:pPr>
      <w:r w:rsidRPr="00C532E8">
        <w:rPr>
          <w:rFonts w:ascii="Arial" w:hAnsi="Arial" w:cs="Arial"/>
          <w:i/>
          <w:iCs/>
          <w:sz w:val="22"/>
          <w:szCs w:val="22"/>
        </w:rPr>
        <w:t>Excise By-Law No. 114</w:t>
      </w:r>
      <w:r w:rsidRPr="00C532E8">
        <w:rPr>
          <w:rFonts w:ascii="Arial" w:hAnsi="Arial" w:cs="Arial"/>
          <w:sz w:val="22"/>
          <w:szCs w:val="22"/>
        </w:rPr>
        <w:t xml:space="preserve"> (the By-Law) prescribes exempt offshore fields for the purposes of paragraph (a) of the definition of ‘exempt offshore field’ in subsection 3(1) of the </w:t>
      </w:r>
      <w:r w:rsidRPr="00C532E8">
        <w:rPr>
          <w:rFonts w:ascii="Arial" w:hAnsi="Arial" w:cs="Arial"/>
          <w:i/>
          <w:iCs/>
          <w:sz w:val="22"/>
          <w:szCs w:val="22"/>
        </w:rPr>
        <w:t>Excise Tariff Act 1921</w:t>
      </w:r>
      <w:r w:rsidRPr="00C532E8">
        <w:rPr>
          <w:rFonts w:ascii="Arial" w:hAnsi="Arial" w:cs="Arial"/>
          <w:sz w:val="22"/>
          <w:szCs w:val="22"/>
        </w:rPr>
        <w:t xml:space="preserve"> (Excise Tariff Act).</w:t>
      </w:r>
    </w:p>
    <w:p w14:paraId="5F0D82F1" w14:textId="6D471536" w:rsidR="00841687" w:rsidRPr="006C645C" w:rsidRDefault="00841687" w:rsidP="009D5DB2">
      <w:pPr>
        <w:numPr>
          <w:ilvl w:val="0"/>
          <w:numId w:val="16"/>
        </w:numPr>
        <w:tabs>
          <w:tab w:val="clear" w:pos="360"/>
        </w:tabs>
        <w:spacing w:after="120"/>
        <w:ind w:left="0" w:firstLine="0"/>
        <w:rPr>
          <w:rFonts w:ascii="Arial" w:hAnsi="Arial" w:cs="Arial"/>
          <w:sz w:val="22"/>
          <w:szCs w:val="22"/>
        </w:rPr>
      </w:pPr>
      <w:r w:rsidRPr="00C532E8">
        <w:rPr>
          <w:rFonts w:ascii="Arial" w:hAnsi="Arial" w:cs="Arial"/>
          <w:sz w:val="22"/>
          <w:szCs w:val="22"/>
        </w:rPr>
        <w:t xml:space="preserve">This instrument amends the By-Law to add the </w:t>
      </w:r>
      <w:proofErr w:type="spellStart"/>
      <w:r w:rsidRPr="00C532E8">
        <w:rPr>
          <w:rFonts w:ascii="Arial" w:hAnsi="Arial" w:cs="Arial"/>
          <w:sz w:val="22"/>
          <w:szCs w:val="22"/>
        </w:rPr>
        <w:t>Tidepole</w:t>
      </w:r>
      <w:proofErr w:type="spellEnd"/>
      <w:r w:rsidRPr="00C532E8">
        <w:rPr>
          <w:rFonts w:ascii="Arial" w:hAnsi="Arial" w:cs="Arial"/>
          <w:sz w:val="22"/>
          <w:szCs w:val="22"/>
        </w:rPr>
        <w:t xml:space="preserve"> reservoir as a prescribed exempt offshore field.</w:t>
      </w:r>
    </w:p>
    <w:p w14:paraId="22D4AACE" w14:textId="77777777" w:rsidR="00841687" w:rsidRPr="006C645C" w:rsidRDefault="00841687" w:rsidP="009D5DB2">
      <w:pPr>
        <w:numPr>
          <w:ilvl w:val="0"/>
          <w:numId w:val="16"/>
        </w:numPr>
        <w:tabs>
          <w:tab w:val="clear" w:pos="360"/>
        </w:tabs>
        <w:spacing w:after="120"/>
        <w:ind w:left="0" w:firstLine="0"/>
        <w:rPr>
          <w:rFonts w:ascii="Arial" w:hAnsi="Arial" w:cs="Arial"/>
          <w:sz w:val="22"/>
          <w:szCs w:val="22"/>
        </w:rPr>
      </w:pPr>
      <w:r w:rsidRPr="006C645C">
        <w:rPr>
          <w:rFonts w:ascii="Arial" w:hAnsi="Arial" w:cs="Arial"/>
          <w:sz w:val="22"/>
          <w:szCs w:val="22"/>
        </w:rPr>
        <w:t xml:space="preserve">The instrument is a legislative instrument for the purposes of the </w:t>
      </w:r>
      <w:r w:rsidRPr="006C645C">
        <w:rPr>
          <w:rFonts w:ascii="Arial" w:hAnsi="Arial" w:cs="Arial"/>
          <w:i/>
          <w:sz w:val="22"/>
          <w:szCs w:val="22"/>
        </w:rPr>
        <w:t>Legislation Act 2003</w:t>
      </w:r>
      <w:r w:rsidRPr="006C645C">
        <w:rPr>
          <w:rFonts w:ascii="Arial" w:hAnsi="Arial" w:cs="Arial"/>
          <w:sz w:val="22"/>
          <w:szCs w:val="22"/>
        </w:rPr>
        <w:t>.</w:t>
      </w:r>
    </w:p>
    <w:p w14:paraId="53A9755B" w14:textId="77777777" w:rsidR="00841687" w:rsidRPr="006C645C" w:rsidRDefault="00841687" w:rsidP="009D5DB2">
      <w:pPr>
        <w:numPr>
          <w:ilvl w:val="0"/>
          <w:numId w:val="16"/>
        </w:numPr>
        <w:tabs>
          <w:tab w:val="clear" w:pos="360"/>
        </w:tabs>
        <w:spacing w:after="120"/>
        <w:ind w:left="0" w:firstLine="0"/>
        <w:rPr>
          <w:rFonts w:ascii="Arial" w:hAnsi="Arial" w:cs="Arial"/>
          <w:sz w:val="22"/>
          <w:szCs w:val="22"/>
        </w:rPr>
      </w:pPr>
      <w:r w:rsidRPr="006C645C">
        <w:rPr>
          <w:rFonts w:ascii="Arial" w:hAnsi="Arial" w:cs="Arial"/>
          <w:sz w:val="22"/>
          <w:szCs w:val="22"/>
        </w:rPr>
        <w:t xml:space="preserve">Under subsection 33(3) of the </w:t>
      </w:r>
      <w:r w:rsidRPr="006C645C">
        <w:rPr>
          <w:rFonts w:ascii="Arial" w:hAnsi="Arial" w:cs="Arial"/>
          <w:i/>
          <w:sz w:val="22"/>
          <w:szCs w:val="22"/>
        </w:rPr>
        <w:t>Acts Interpretation Act 1901</w:t>
      </w:r>
      <w:r w:rsidRPr="006C645C">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707F9B4" w14:textId="77777777" w:rsidR="00841687" w:rsidRPr="006C645C" w:rsidRDefault="00841687" w:rsidP="009D5DB2">
      <w:pPr>
        <w:spacing w:after="120"/>
        <w:rPr>
          <w:rFonts w:ascii="Arial" w:hAnsi="Arial" w:cs="Arial"/>
          <w:sz w:val="22"/>
          <w:szCs w:val="22"/>
        </w:rPr>
      </w:pPr>
    </w:p>
    <w:p w14:paraId="78033977" w14:textId="77777777" w:rsidR="00841687" w:rsidRPr="006C645C" w:rsidRDefault="00841687" w:rsidP="009D5DB2">
      <w:pPr>
        <w:pStyle w:val="Heading2"/>
      </w:pPr>
      <w:r w:rsidRPr="006C645C">
        <w:t>Date of effect</w:t>
      </w:r>
    </w:p>
    <w:p w14:paraId="2EC08A96" w14:textId="77777777" w:rsidR="00841687" w:rsidRPr="006C645C" w:rsidRDefault="00841687" w:rsidP="009D5DB2">
      <w:pPr>
        <w:numPr>
          <w:ilvl w:val="0"/>
          <w:numId w:val="16"/>
        </w:numPr>
        <w:tabs>
          <w:tab w:val="clear" w:pos="360"/>
        </w:tabs>
        <w:spacing w:after="120"/>
        <w:ind w:left="0" w:firstLine="0"/>
        <w:rPr>
          <w:rFonts w:ascii="Arial" w:hAnsi="Arial" w:cs="Arial"/>
          <w:sz w:val="22"/>
          <w:szCs w:val="22"/>
        </w:rPr>
      </w:pPr>
      <w:r w:rsidRPr="006C645C">
        <w:rPr>
          <w:rFonts w:ascii="Arial" w:hAnsi="Arial" w:cs="Arial"/>
          <w:sz w:val="22"/>
          <w:szCs w:val="22"/>
        </w:rPr>
        <w:t>This instrument commences on the day after it is registered on the Federal Register of Legislation.</w:t>
      </w:r>
    </w:p>
    <w:p w14:paraId="2B9155D0" w14:textId="66421471" w:rsidR="00841687" w:rsidRPr="006C645C" w:rsidRDefault="00841687" w:rsidP="009D5DB2">
      <w:pPr>
        <w:spacing w:after="120"/>
        <w:rPr>
          <w:rFonts w:ascii="Arial" w:hAnsi="Arial" w:cs="Arial"/>
          <w:i/>
          <w:sz w:val="22"/>
          <w:szCs w:val="22"/>
        </w:rPr>
      </w:pPr>
      <w:r w:rsidRPr="006C645C">
        <w:rPr>
          <w:rFonts w:ascii="Arial" w:hAnsi="Arial" w:cs="Arial"/>
          <w:sz w:val="22"/>
          <w:szCs w:val="22"/>
        </w:rPr>
        <w:t xml:space="preserve">Under section 12(2) of the </w:t>
      </w:r>
      <w:r w:rsidRPr="006C645C">
        <w:rPr>
          <w:rFonts w:ascii="Arial" w:hAnsi="Arial" w:cs="Arial"/>
          <w:i/>
          <w:sz w:val="22"/>
          <w:szCs w:val="22"/>
        </w:rPr>
        <w:t>Legislation Act 2003</w:t>
      </w:r>
      <w:r w:rsidRPr="006C645C">
        <w:rPr>
          <w:rFonts w:ascii="Arial" w:hAnsi="Arial" w:cs="Arial"/>
          <w:sz w:val="22"/>
          <w:szCs w:val="22"/>
        </w:rPr>
        <w:t xml:space="preserve"> this instrument does not adversely affect the rights or liabilities of any person other than the Commonwealth.</w:t>
      </w:r>
    </w:p>
    <w:p w14:paraId="0195E4AF" w14:textId="77777777" w:rsidR="00841687" w:rsidRPr="006C645C" w:rsidRDefault="00841687" w:rsidP="009D5DB2">
      <w:pPr>
        <w:spacing w:after="120"/>
        <w:rPr>
          <w:rFonts w:ascii="Arial" w:hAnsi="Arial" w:cs="Arial"/>
          <w:sz w:val="22"/>
          <w:szCs w:val="22"/>
        </w:rPr>
      </w:pPr>
    </w:p>
    <w:p w14:paraId="6E72B210" w14:textId="77777777" w:rsidR="00841687" w:rsidRPr="006C645C" w:rsidRDefault="00841687" w:rsidP="009D5DB2">
      <w:pPr>
        <w:pStyle w:val="Heading2"/>
      </w:pPr>
      <w:r w:rsidRPr="006C645C">
        <w:t>What is the effect of this instrument</w:t>
      </w:r>
    </w:p>
    <w:p w14:paraId="4125FB43" w14:textId="70F684BA" w:rsidR="00841687" w:rsidRPr="006C645C" w:rsidRDefault="00841687" w:rsidP="009D5DB2">
      <w:pPr>
        <w:numPr>
          <w:ilvl w:val="0"/>
          <w:numId w:val="16"/>
        </w:numPr>
        <w:tabs>
          <w:tab w:val="clear" w:pos="360"/>
        </w:tabs>
        <w:spacing w:after="120"/>
        <w:ind w:left="0" w:firstLine="0"/>
        <w:rPr>
          <w:rFonts w:ascii="Arial" w:hAnsi="Arial" w:cs="Arial"/>
          <w:sz w:val="22"/>
          <w:szCs w:val="22"/>
        </w:rPr>
      </w:pPr>
      <w:r w:rsidRPr="006C645C">
        <w:rPr>
          <w:rFonts w:ascii="Arial" w:hAnsi="Arial" w:cs="Arial"/>
          <w:sz w:val="22"/>
          <w:szCs w:val="22"/>
        </w:rPr>
        <w:t xml:space="preserve">This instrument amends the By-Law to prescribe the </w:t>
      </w:r>
      <w:proofErr w:type="spellStart"/>
      <w:r w:rsidRPr="006C645C">
        <w:rPr>
          <w:rFonts w:ascii="Arial" w:hAnsi="Arial" w:cs="Arial"/>
          <w:sz w:val="22"/>
          <w:szCs w:val="22"/>
        </w:rPr>
        <w:t>Tidepole</w:t>
      </w:r>
      <w:proofErr w:type="spellEnd"/>
      <w:r w:rsidRPr="006C645C">
        <w:rPr>
          <w:rFonts w:ascii="Arial" w:hAnsi="Arial" w:cs="Arial"/>
          <w:sz w:val="22"/>
          <w:szCs w:val="22"/>
        </w:rPr>
        <w:t xml:space="preserve"> reservoir in the Carnarvon Basin as an exempt offshore field for the purposes of paragraph (a) of the definition of ‘exempt offshore field’ in subsection 3(1) of the Excise Tariff Act 1921. This will not impact any exempt offshore fields that were already prescribed prior to the commencement of this instrument.</w:t>
      </w:r>
    </w:p>
    <w:p w14:paraId="136B009E" w14:textId="0CCEBA6A" w:rsidR="006C645C" w:rsidRDefault="00841687" w:rsidP="009D5DB2">
      <w:pPr>
        <w:numPr>
          <w:ilvl w:val="0"/>
          <w:numId w:val="16"/>
        </w:numPr>
        <w:tabs>
          <w:tab w:val="clear" w:pos="360"/>
        </w:tabs>
        <w:spacing w:after="120"/>
        <w:ind w:left="0" w:firstLine="0"/>
        <w:rPr>
          <w:rFonts w:ascii="Arial" w:hAnsi="Arial" w:cs="Arial"/>
        </w:rPr>
      </w:pPr>
      <w:r w:rsidRPr="006C645C">
        <w:rPr>
          <w:rFonts w:ascii="Arial" w:hAnsi="Arial" w:cs="Arial"/>
          <w:sz w:val="22"/>
          <w:szCs w:val="22"/>
        </w:rPr>
        <w:t xml:space="preserve">Compliance Cost Impact: Minor – There will be no </w:t>
      </w:r>
      <w:r w:rsidR="009C4EAD">
        <w:rPr>
          <w:rFonts w:ascii="Arial" w:hAnsi="Arial" w:cs="Arial"/>
          <w:sz w:val="22"/>
          <w:szCs w:val="22"/>
        </w:rPr>
        <w:t xml:space="preserve">additional regulatory </w:t>
      </w:r>
      <w:r w:rsidRPr="006C645C">
        <w:rPr>
          <w:rFonts w:ascii="Arial" w:hAnsi="Arial" w:cs="Arial"/>
          <w:sz w:val="22"/>
          <w:szCs w:val="22"/>
        </w:rPr>
        <w:t>impacts for both implementation and ongoing compliance costs</w:t>
      </w:r>
      <w:r w:rsidR="009C4EAD">
        <w:rPr>
          <w:rFonts w:ascii="Arial" w:hAnsi="Arial" w:cs="Arial"/>
          <w:sz w:val="22"/>
          <w:szCs w:val="22"/>
        </w:rPr>
        <w:t xml:space="preserve"> from this Instrument</w:t>
      </w:r>
      <w:r w:rsidRPr="006C645C">
        <w:rPr>
          <w:rFonts w:ascii="Arial" w:hAnsi="Arial" w:cs="Arial"/>
          <w:sz w:val="22"/>
          <w:szCs w:val="22"/>
        </w:rPr>
        <w:t>. The legislative instrument is minor or machinery in nature.</w:t>
      </w:r>
    </w:p>
    <w:p w14:paraId="54699FB4" w14:textId="70DE18D1" w:rsidR="006C645C" w:rsidRPr="009D5DB2" w:rsidRDefault="006C645C" w:rsidP="009D5DB2">
      <w:pPr>
        <w:spacing w:after="120"/>
        <w:rPr>
          <w:rFonts w:ascii="Arial" w:hAnsi="Arial" w:cs="Arial"/>
          <w:sz w:val="22"/>
          <w:szCs w:val="22"/>
        </w:rPr>
      </w:pPr>
    </w:p>
    <w:p w14:paraId="533833FA" w14:textId="6E8A8DAA" w:rsidR="00841687" w:rsidRPr="006C645C" w:rsidRDefault="00841687" w:rsidP="009D5DB2">
      <w:pPr>
        <w:pStyle w:val="Heading2"/>
      </w:pPr>
      <w:r w:rsidRPr="006C645C">
        <w:t>Background</w:t>
      </w:r>
    </w:p>
    <w:p w14:paraId="57B238E8" w14:textId="1387D9AB" w:rsidR="00841687" w:rsidRPr="006C645C" w:rsidRDefault="00D50FF4" w:rsidP="009D5DB2">
      <w:pPr>
        <w:numPr>
          <w:ilvl w:val="0"/>
          <w:numId w:val="16"/>
        </w:numPr>
        <w:tabs>
          <w:tab w:val="clear" w:pos="360"/>
        </w:tabs>
        <w:spacing w:after="120"/>
        <w:ind w:left="0" w:firstLine="0"/>
        <w:rPr>
          <w:rFonts w:ascii="Arial" w:eastAsia="Calibri" w:hAnsi="Arial" w:cs="Arial"/>
          <w:sz w:val="22"/>
          <w:szCs w:val="22"/>
          <w:lang w:eastAsia="en-US"/>
        </w:rPr>
      </w:pPr>
      <w:r w:rsidRPr="006C645C">
        <w:rPr>
          <w:rFonts w:ascii="Arial" w:eastAsia="Calibri" w:hAnsi="Arial" w:cs="Arial"/>
          <w:sz w:val="22"/>
          <w:szCs w:val="22"/>
          <w:lang w:eastAsia="en-US"/>
        </w:rPr>
        <w:t xml:space="preserve">The Minister for Resources and Water recently determined that </w:t>
      </w:r>
      <w:proofErr w:type="spellStart"/>
      <w:r w:rsidRPr="006C645C">
        <w:rPr>
          <w:rFonts w:ascii="Arial" w:eastAsia="Calibri" w:hAnsi="Arial" w:cs="Arial"/>
          <w:sz w:val="22"/>
          <w:szCs w:val="22"/>
          <w:lang w:eastAsia="en-US"/>
        </w:rPr>
        <w:t>Tidepole</w:t>
      </w:r>
      <w:proofErr w:type="spellEnd"/>
      <w:r w:rsidRPr="006C645C">
        <w:rPr>
          <w:rFonts w:ascii="Arial" w:eastAsia="Calibri" w:hAnsi="Arial" w:cs="Arial"/>
          <w:sz w:val="22"/>
          <w:szCs w:val="22"/>
          <w:lang w:eastAsia="en-US"/>
        </w:rPr>
        <w:t xml:space="preserve"> reservoir is separate from an existing </w:t>
      </w:r>
      <w:r w:rsidR="0052089F" w:rsidRPr="006C645C">
        <w:rPr>
          <w:rFonts w:ascii="Arial" w:eastAsia="Calibri" w:hAnsi="Arial" w:cs="Arial"/>
          <w:sz w:val="22"/>
          <w:szCs w:val="22"/>
          <w:lang w:eastAsia="en-US"/>
        </w:rPr>
        <w:t>produc</w:t>
      </w:r>
      <w:r w:rsidR="006D3C49" w:rsidRPr="006C645C">
        <w:rPr>
          <w:rFonts w:ascii="Arial" w:eastAsia="Calibri" w:hAnsi="Arial" w:cs="Arial"/>
          <w:sz w:val="22"/>
          <w:szCs w:val="22"/>
          <w:lang w:eastAsia="en-US"/>
        </w:rPr>
        <w:t>tion</w:t>
      </w:r>
      <w:r w:rsidR="0052089F" w:rsidRPr="006C645C">
        <w:rPr>
          <w:rFonts w:ascii="Arial" w:eastAsia="Calibri" w:hAnsi="Arial" w:cs="Arial"/>
          <w:sz w:val="22"/>
          <w:szCs w:val="22"/>
          <w:lang w:eastAsia="en-US"/>
        </w:rPr>
        <w:t xml:space="preserve"> </w:t>
      </w:r>
      <w:r w:rsidR="006D3C49" w:rsidRPr="006C645C">
        <w:rPr>
          <w:rFonts w:ascii="Arial" w:eastAsia="Calibri" w:hAnsi="Arial" w:cs="Arial"/>
          <w:sz w:val="22"/>
          <w:szCs w:val="22"/>
          <w:lang w:eastAsia="en-US"/>
        </w:rPr>
        <w:t>area</w:t>
      </w:r>
      <w:r w:rsidR="0052089F" w:rsidRPr="006C645C">
        <w:rPr>
          <w:rFonts w:ascii="Arial" w:eastAsia="Calibri" w:hAnsi="Arial" w:cs="Arial"/>
          <w:sz w:val="22"/>
          <w:szCs w:val="22"/>
          <w:lang w:eastAsia="en-US"/>
        </w:rPr>
        <w:t xml:space="preserve"> </w:t>
      </w:r>
      <w:r w:rsidRPr="006C645C">
        <w:rPr>
          <w:rFonts w:ascii="Arial" w:eastAsia="Calibri" w:hAnsi="Arial" w:cs="Arial"/>
          <w:sz w:val="22"/>
          <w:szCs w:val="22"/>
          <w:lang w:eastAsia="en-US"/>
        </w:rPr>
        <w:t xml:space="preserve">(the Rankin Trend). This instrument will </w:t>
      </w:r>
      <w:r w:rsidR="00757F5E" w:rsidRPr="006C645C">
        <w:rPr>
          <w:rFonts w:ascii="Arial" w:eastAsia="Calibri" w:hAnsi="Arial" w:cs="Arial"/>
          <w:sz w:val="22"/>
          <w:szCs w:val="22"/>
          <w:lang w:eastAsia="en-US"/>
        </w:rPr>
        <w:t xml:space="preserve">ensure that an exemption from excise is provided on the first 4767.3 megalitres of </w:t>
      </w:r>
      <w:r w:rsidR="006400D8" w:rsidRPr="006C645C">
        <w:rPr>
          <w:rFonts w:ascii="Arial" w:eastAsia="Calibri" w:hAnsi="Arial" w:cs="Arial"/>
          <w:sz w:val="22"/>
          <w:szCs w:val="22"/>
          <w:lang w:eastAsia="en-US"/>
        </w:rPr>
        <w:t>production</w:t>
      </w:r>
      <w:r w:rsidR="00757F5E" w:rsidRPr="006C645C">
        <w:rPr>
          <w:rFonts w:ascii="Arial" w:eastAsia="Calibri" w:hAnsi="Arial" w:cs="Arial"/>
          <w:sz w:val="22"/>
          <w:szCs w:val="22"/>
          <w:lang w:eastAsia="en-US"/>
        </w:rPr>
        <w:t xml:space="preserve"> from the </w:t>
      </w:r>
      <w:proofErr w:type="spellStart"/>
      <w:r w:rsidR="00757F5E" w:rsidRPr="006C645C">
        <w:rPr>
          <w:rFonts w:ascii="Arial" w:eastAsia="Calibri" w:hAnsi="Arial" w:cs="Arial"/>
          <w:sz w:val="22"/>
          <w:szCs w:val="22"/>
          <w:lang w:eastAsia="en-US"/>
        </w:rPr>
        <w:t>Tidepole</w:t>
      </w:r>
      <w:proofErr w:type="spellEnd"/>
      <w:r w:rsidR="00757F5E" w:rsidRPr="006C645C">
        <w:rPr>
          <w:rFonts w:ascii="Arial" w:eastAsia="Calibri" w:hAnsi="Arial" w:cs="Arial"/>
          <w:sz w:val="22"/>
          <w:szCs w:val="22"/>
          <w:lang w:eastAsia="en-US"/>
        </w:rPr>
        <w:t xml:space="preserve"> reservoir.</w:t>
      </w:r>
    </w:p>
    <w:p w14:paraId="28DBAC8E" w14:textId="77777777" w:rsidR="009D5DB2" w:rsidRPr="009D5DB2" w:rsidRDefault="009D5DB2" w:rsidP="009D5DB2">
      <w:pPr>
        <w:spacing w:after="120"/>
        <w:rPr>
          <w:rFonts w:ascii="Arial" w:hAnsi="Arial" w:cs="Arial"/>
          <w:sz w:val="22"/>
          <w:szCs w:val="22"/>
        </w:rPr>
      </w:pPr>
    </w:p>
    <w:p w14:paraId="6B3E0208" w14:textId="3F61E003" w:rsidR="00841687" w:rsidRPr="006C645C" w:rsidRDefault="00841687" w:rsidP="009D5DB2">
      <w:pPr>
        <w:pStyle w:val="Heading2"/>
      </w:pPr>
      <w:r w:rsidRPr="006C645C">
        <w:lastRenderedPageBreak/>
        <w:t>Consultation</w:t>
      </w:r>
    </w:p>
    <w:p w14:paraId="6C219427" w14:textId="782EE2E3" w:rsidR="00841687" w:rsidRDefault="00841687" w:rsidP="009D5DB2">
      <w:pPr>
        <w:numPr>
          <w:ilvl w:val="0"/>
          <w:numId w:val="16"/>
        </w:numPr>
        <w:tabs>
          <w:tab w:val="clear" w:pos="360"/>
        </w:tabs>
        <w:spacing w:after="120"/>
        <w:ind w:left="0" w:firstLine="0"/>
        <w:rPr>
          <w:rFonts w:ascii="Arial" w:hAnsi="Arial" w:cs="Arial"/>
          <w:sz w:val="22"/>
          <w:szCs w:val="22"/>
        </w:rPr>
      </w:pPr>
      <w:r w:rsidRPr="006C645C">
        <w:rPr>
          <w:rFonts w:ascii="Arial" w:hAnsi="Arial" w:cs="Arial"/>
          <w:sz w:val="22"/>
          <w:szCs w:val="22"/>
        </w:rPr>
        <w:t xml:space="preserve">Subsection 17(1) of the </w:t>
      </w:r>
      <w:r w:rsidRPr="009D5DB2">
        <w:rPr>
          <w:rFonts w:ascii="Arial" w:hAnsi="Arial" w:cs="Arial"/>
          <w:i/>
          <w:iCs/>
          <w:sz w:val="22"/>
          <w:szCs w:val="22"/>
        </w:rPr>
        <w:t>Legislation Act 2003</w:t>
      </w:r>
      <w:r w:rsidRPr="006C645C">
        <w:rPr>
          <w:rFonts w:ascii="Arial" w:hAnsi="Arial" w:cs="Arial"/>
          <w:sz w:val="22"/>
          <w:szCs w:val="22"/>
        </w:rPr>
        <w:t xml:space="preserve"> requires, before the making of a determination, that the Commissioner is satisfied that appropriate and reasonably practicable consultation has been undertaken.</w:t>
      </w:r>
    </w:p>
    <w:p w14:paraId="39C31274" w14:textId="20E71D39" w:rsidR="00843550" w:rsidRDefault="00843550" w:rsidP="009D5DB2">
      <w:pPr>
        <w:numPr>
          <w:ilvl w:val="0"/>
          <w:numId w:val="16"/>
        </w:numPr>
        <w:tabs>
          <w:tab w:val="clear" w:pos="360"/>
        </w:tabs>
        <w:spacing w:after="120"/>
        <w:ind w:left="0" w:firstLine="0"/>
        <w:rPr>
          <w:rFonts w:ascii="Arial" w:hAnsi="Arial" w:cs="Arial"/>
          <w:sz w:val="22"/>
          <w:szCs w:val="22"/>
        </w:rPr>
      </w:pPr>
      <w:r>
        <w:rPr>
          <w:rFonts w:ascii="Arial" w:hAnsi="Arial" w:cs="Arial"/>
          <w:sz w:val="22"/>
          <w:szCs w:val="22"/>
        </w:rPr>
        <w:t>T</w:t>
      </w:r>
      <w:r w:rsidRPr="00843550">
        <w:rPr>
          <w:rFonts w:ascii="Arial" w:hAnsi="Arial" w:cs="Arial"/>
          <w:sz w:val="22"/>
          <w:szCs w:val="22"/>
        </w:rPr>
        <w:t xml:space="preserve">argeted consultation was undertaken for a period of 2 weeks. Copies of the draft legislative instrument and explanatory statement were sent to </w:t>
      </w:r>
      <w:r>
        <w:rPr>
          <w:rFonts w:ascii="Arial" w:hAnsi="Arial" w:cs="Arial"/>
          <w:sz w:val="22"/>
          <w:szCs w:val="22"/>
        </w:rPr>
        <w:t xml:space="preserve">the operator of the </w:t>
      </w:r>
      <w:proofErr w:type="spellStart"/>
      <w:r>
        <w:rPr>
          <w:rFonts w:ascii="Arial" w:hAnsi="Arial" w:cs="Arial"/>
          <w:sz w:val="22"/>
          <w:szCs w:val="22"/>
        </w:rPr>
        <w:t>Tidepole</w:t>
      </w:r>
      <w:proofErr w:type="spellEnd"/>
      <w:r>
        <w:rPr>
          <w:rFonts w:ascii="Arial" w:hAnsi="Arial" w:cs="Arial"/>
          <w:sz w:val="22"/>
          <w:szCs w:val="22"/>
        </w:rPr>
        <w:t xml:space="preserve"> reservoir </w:t>
      </w:r>
      <w:r w:rsidRPr="00843550">
        <w:rPr>
          <w:rFonts w:ascii="Arial" w:hAnsi="Arial" w:cs="Arial"/>
          <w:sz w:val="22"/>
          <w:szCs w:val="22"/>
        </w:rPr>
        <w:t>for comment and feedback.</w:t>
      </w:r>
    </w:p>
    <w:p w14:paraId="572B3F9D" w14:textId="4C2A35B0" w:rsidR="00841687" w:rsidRPr="00843550" w:rsidRDefault="00843550" w:rsidP="009D5DB2">
      <w:pPr>
        <w:numPr>
          <w:ilvl w:val="0"/>
          <w:numId w:val="16"/>
        </w:numPr>
        <w:tabs>
          <w:tab w:val="clear" w:pos="360"/>
        </w:tabs>
        <w:spacing w:after="120"/>
        <w:ind w:left="0" w:firstLine="0"/>
        <w:rPr>
          <w:rFonts w:ascii="Arial" w:hAnsi="Arial" w:cs="Arial"/>
          <w:sz w:val="22"/>
          <w:szCs w:val="22"/>
        </w:rPr>
      </w:pPr>
      <w:r>
        <w:rPr>
          <w:rFonts w:ascii="Arial" w:hAnsi="Arial" w:cs="Arial"/>
          <w:sz w:val="22"/>
          <w:szCs w:val="22"/>
        </w:rPr>
        <w:t>No comments were received.</w:t>
      </w:r>
    </w:p>
    <w:p w14:paraId="308E5AE4" w14:textId="77777777" w:rsidR="009D5DB2" w:rsidRPr="006C645C" w:rsidRDefault="009D5DB2" w:rsidP="009D5DB2">
      <w:pPr>
        <w:spacing w:after="120"/>
        <w:rPr>
          <w:rFonts w:ascii="Arial" w:hAnsi="Arial" w:cs="Arial"/>
          <w:sz w:val="22"/>
          <w:szCs w:val="22"/>
        </w:rPr>
      </w:pPr>
    </w:p>
    <w:p w14:paraId="31346020" w14:textId="77777777" w:rsidR="00841687" w:rsidRPr="006C645C" w:rsidRDefault="00841687" w:rsidP="009D5DB2">
      <w:pPr>
        <w:pStyle w:val="Heading3"/>
        <w:spacing w:before="0"/>
        <w:rPr>
          <w:i/>
          <w:sz w:val="20"/>
          <w:szCs w:val="20"/>
        </w:rPr>
      </w:pPr>
      <w:r w:rsidRPr="006C645C">
        <w:rPr>
          <w:i/>
          <w:sz w:val="20"/>
          <w:szCs w:val="20"/>
        </w:rPr>
        <w:t>Legislative references</w:t>
      </w:r>
    </w:p>
    <w:p w14:paraId="2A917800" w14:textId="77777777" w:rsidR="005765EC" w:rsidRPr="006C645C" w:rsidRDefault="005765EC" w:rsidP="009D5DB2">
      <w:pPr>
        <w:rPr>
          <w:rFonts w:ascii="Arial" w:hAnsi="Arial" w:cs="Arial"/>
          <w:i/>
          <w:iCs/>
          <w:sz w:val="20"/>
        </w:rPr>
      </w:pPr>
      <w:r w:rsidRPr="006C645C">
        <w:rPr>
          <w:rFonts w:ascii="Arial" w:hAnsi="Arial" w:cs="Arial"/>
          <w:i/>
          <w:iCs/>
          <w:sz w:val="20"/>
        </w:rPr>
        <w:t>Acts Interpretation Act 1901</w:t>
      </w:r>
    </w:p>
    <w:p w14:paraId="4158694B" w14:textId="5BE63BD0" w:rsidR="00841687" w:rsidRPr="006C645C" w:rsidRDefault="00841687" w:rsidP="009D5DB2">
      <w:pPr>
        <w:rPr>
          <w:rFonts w:ascii="Arial" w:hAnsi="Arial" w:cs="Arial"/>
          <w:i/>
          <w:iCs/>
          <w:sz w:val="20"/>
        </w:rPr>
      </w:pPr>
      <w:r w:rsidRPr="006C645C">
        <w:rPr>
          <w:rFonts w:ascii="Arial" w:hAnsi="Arial" w:cs="Arial"/>
          <w:i/>
          <w:iCs/>
          <w:sz w:val="20"/>
        </w:rPr>
        <w:t>Excise Act 1901</w:t>
      </w:r>
    </w:p>
    <w:p w14:paraId="77CC2887" w14:textId="77777777" w:rsidR="00841687" w:rsidRPr="006C645C" w:rsidRDefault="00841687" w:rsidP="009D5DB2">
      <w:pPr>
        <w:rPr>
          <w:rFonts w:ascii="Arial" w:hAnsi="Arial" w:cs="Arial"/>
          <w:i/>
          <w:iCs/>
          <w:sz w:val="20"/>
        </w:rPr>
      </w:pPr>
      <w:r w:rsidRPr="006C645C">
        <w:rPr>
          <w:rFonts w:ascii="Arial" w:hAnsi="Arial" w:cs="Arial"/>
          <w:i/>
          <w:iCs/>
          <w:sz w:val="20"/>
        </w:rPr>
        <w:t>Excise Tariff Act 1921</w:t>
      </w:r>
    </w:p>
    <w:p w14:paraId="6E3BAB6A" w14:textId="77777777" w:rsidR="00841687" w:rsidRPr="006C645C" w:rsidRDefault="00841687" w:rsidP="009D5DB2">
      <w:pPr>
        <w:rPr>
          <w:rFonts w:ascii="Arial" w:hAnsi="Arial" w:cs="Arial"/>
          <w:i/>
          <w:iCs/>
          <w:sz w:val="20"/>
        </w:rPr>
      </w:pPr>
      <w:r w:rsidRPr="006C645C">
        <w:rPr>
          <w:rFonts w:ascii="Arial" w:hAnsi="Arial" w:cs="Arial"/>
          <w:i/>
          <w:iCs/>
          <w:sz w:val="20"/>
        </w:rPr>
        <w:t>Legislation Act 2003</w:t>
      </w:r>
    </w:p>
    <w:p w14:paraId="022C02C3" w14:textId="29B55EE2" w:rsidR="00841687" w:rsidRPr="006C645C" w:rsidRDefault="005765EC" w:rsidP="009D5DB2">
      <w:pPr>
        <w:rPr>
          <w:rFonts w:ascii="Arial" w:hAnsi="Arial" w:cs="Arial"/>
          <w:i/>
          <w:iCs/>
          <w:sz w:val="20"/>
        </w:rPr>
      </w:pPr>
      <w:r w:rsidRPr="006C645C">
        <w:rPr>
          <w:rFonts w:ascii="Arial" w:hAnsi="Arial" w:cs="Arial"/>
          <w:bCs/>
          <w:i/>
          <w:sz w:val="20"/>
        </w:rPr>
        <w:t>Legislation (Exemptions and Other Matters) Regulation 2015</w:t>
      </w:r>
      <w:r w:rsidR="00841687" w:rsidRPr="006C645C">
        <w:rPr>
          <w:rFonts w:ascii="Arial" w:hAnsi="Arial" w:cs="Arial"/>
          <w:i/>
          <w:iCs/>
          <w:sz w:val="20"/>
        </w:rPr>
        <w:t>.</w:t>
      </w:r>
    </w:p>
    <w:p w14:paraId="574B1472" w14:textId="77777777" w:rsidR="006C645C" w:rsidRPr="009D5DB2" w:rsidRDefault="006C645C" w:rsidP="009D5DB2">
      <w:pPr>
        <w:rPr>
          <w:rFonts w:ascii="Arial" w:hAnsi="Arial" w:cs="Arial"/>
          <w:sz w:val="22"/>
          <w:szCs w:val="22"/>
        </w:rPr>
      </w:pPr>
      <w:r>
        <w:rPr>
          <w:sz w:val="22"/>
          <w:szCs w:val="22"/>
        </w:rPr>
        <w:br w:type="page"/>
      </w:r>
    </w:p>
    <w:p w14:paraId="203F5DD3" w14:textId="23037924" w:rsidR="00841687" w:rsidRPr="006C645C" w:rsidRDefault="00841687" w:rsidP="009D5DB2">
      <w:pPr>
        <w:pStyle w:val="Heading3"/>
        <w:spacing w:before="0" w:after="120"/>
        <w:jc w:val="center"/>
        <w:rPr>
          <w:sz w:val="22"/>
          <w:szCs w:val="22"/>
        </w:rPr>
      </w:pPr>
      <w:r w:rsidRPr="006C645C">
        <w:rPr>
          <w:sz w:val="22"/>
          <w:szCs w:val="22"/>
        </w:rPr>
        <w:lastRenderedPageBreak/>
        <w:t>Statement of compatibility with Human Rights</w:t>
      </w:r>
    </w:p>
    <w:p w14:paraId="39FF18E2" w14:textId="77777777" w:rsidR="00841687" w:rsidRPr="006C645C" w:rsidRDefault="00841687" w:rsidP="009D5DB2">
      <w:pPr>
        <w:autoSpaceDE w:val="0"/>
        <w:autoSpaceDN w:val="0"/>
        <w:adjustRightInd w:val="0"/>
        <w:spacing w:after="120"/>
        <w:rPr>
          <w:rFonts w:ascii="Arial" w:hAnsi="Arial" w:cs="Arial"/>
          <w:iCs/>
          <w:sz w:val="22"/>
          <w:szCs w:val="22"/>
        </w:rPr>
      </w:pPr>
      <w:r w:rsidRPr="006C645C">
        <w:rPr>
          <w:rFonts w:ascii="Arial" w:hAnsi="Arial" w:cs="Arial"/>
          <w:iCs/>
          <w:sz w:val="22"/>
          <w:szCs w:val="22"/>
        </w:rPr>
        <w:t xml:space="preserve">Table item 16 of section 10 of the </w:t>
      </w:r>
      <w:r w:rsidRPr="006C645C">
        <w:rPr>
          <w:rFonts w:ascii="Arial" w:hAnsi="Arial" w:cs="Arial"/>
          <w:bCs/>
          <w:i/>
          <w:sz w:val="22"/>
          <w:szCs w:val="22"/>
        </w:rPr>
        <w:t>Legislation (Exemptions and Other Matters) Regulation 2015</w:t>
      </w:r>
      <w:r w:rsidRPr="006C645C">
        <w:rPr>
          <w:rFonts w:ascii="Arial" w:hAnsi="Arial" w:cs="Arial"/>
          <w:bCs/>
          <w:sz w:val="22"/>
          <w:szCs w:val="22"/>
        </w:rPr>
        <w:t xml:space="preserve"> states that a by-law is not subject to disallowance where it is made under section 165 of the </w:t>
      </w:r>
      <w:r w:rsidRPr="009D5DB2">
        <w:rPr>
          <w:rFonts w:ascii="Arial" w:hAnsi="Arial" w:cs="Arial"/>
          <w:bCs/>
          <w:i/>
          <w:iCs/>
          <w:sz w:val="22"/>
          <w:szCs w:val="22"/>
        </w:rPr>
        <w:t>Excise Act 1901</w:t>
      </w:r>
      <w:r w:rsidRPr="006C645C">
        <w:rPr>
          <w:rFonts w:ascii="Arial" w:hAnsi="Arial" w:cs="Arial"/>
          <w:bCs/>
          <w:sz w:val="22"/>
          <w:szCs w:val="22"/>
        </w:rPr>
        <w:t xml:space="preserve"> for the purposes of the Excise Tariff within the meaning of section 4 of that Act.</w:t>
      </w:r>
      <w:r w:rsidRPr="006C645C">
        <w:rPr>
          <w:rFonts w:ascii="Arial" w:hAnsi="Arial" w:cs="Arial"/>
          <w:iCs/>
          <w:sz w:val="22"/>
          <w:szCs w:val="22"/>
        </w:rPr>
        <w:t xml:space="preserve"> This by-law falls within that item and is therefore not subject to disallowance. </w:t>
      </w:r>
      <w:r w:rsidRPr="006C645C">
        <w:rPr>
          <w:rFonts w:ascii="Arial" w:hAnsi="Arial" w:cs="Arial"/>
          <w:bCs/>
          <w:sz w:val="22"/>
          <w:szCs w:val="22"/>
        </w:rPr>
        <w:t xml:space="preserve">Paragraph 15J(2)(f) of the </w:t>
      </w:r>
      <w:r w:rsidRPr="006C645C">
        <w:rPr>
          <w:rFonts w:ascii="Arial" w:hAnsi="Arial" w:cs="Arial"/>
          <w:bCs/>
          <w:i/>
          <w:sz w:val="22"/>
          <w:szCs w:val="22"/>
        </w:rPr>
        <w:t>Legislation Act 2003</w:t>
      </w:r>
      <w:r w:rsidRPr="006C645C">
        <w:rPr>
          <w:rFonts w:ascii="Arial" w:hAnsi="Arial" w:cs="Arial"/>
          <w:bCs/>
          <w:sz w:val="22"/>
          <w:szCs w:val="22"/>
        </w:rPr>
        <w:t xml:space="preserve"> exempts this instrument from the requirement to contain a statement of compatibility with human rights.</w:t>
      </w:r>
    </w:p>
    <w:sectPr w:rsidR="00841687" w:rsidRPr="006C645C" w:rsidSect="00081520">
      <w:headerReference w:type="even" r:id="rId9"/>
      <w:headerReference w:type="default" r:id="rId10"/>
      <w:headerReference w:type="first" r:id="rId11"/>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F63F5" w14:textId="77777777" w:rsidR="00321714" w:rsidRDefault="00321714">
      <w:r>
        <w:separator/>
      </w:r>
    </w:p>
  </w:endnote>
  <w:endnote w:type="continuationSeparator" w:id="0">
    <w:p w14:paraId="7C90DCEE" w14:textId="77777777" w:rsidR="00321714" w:rsidRDefault="0032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0443F" w14:textId="77777777" w:rsidR="00321714" w:rsidRDefault="00321714">
      <w:r>
        <w:separator/>
      </w:r>
    </w:p>
  </w:footnote>
  <w:footnote w:type="continuationSeparator" w:id="0">
    <w:p w14:paraId="35FC76AB" w14:textId="77777777" w:rsidR="00321714" w:rsidRDefault="0032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90911" w14:textId="0F5BA7EA" w:rsidR="005C4932" w:rsidRDefault="005C4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D" w14:textId="4A4572A1"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E" w14:textId="37950A2C"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EA6885">
      <w:rPr>
        <w:rFonts w:ascii="Arial" w:hAnsi="Arial" w:cs="Arial"/>
        <w:b/>
        <w:sz w:val="22"/>
        <w:szCs w:val="22"/>
      </w:rPr>
      <w:t>2022/PW/0002</w:t>
    </w:r>
  </w:p>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08DFDE31"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6"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0"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1"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3"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3FCC3903"/>
    <w:multiLevelType w:val="hybridMultilevel"/>
    <w:tmpl w:val="65B697FE"/>
    <w:lvl w:ilvl="0" w:tplc="5D364D7A">
      <w:start w:val="1"/>
      <w:numFmt w:val="decimal"/>
      <w:lvlText w:val="%1."/>
      <w:lvlJc w:val="left"/>
      <w:pPr>
        <w:tabs>
          <w:tab w:val="num" w:pos="360"/>
        </w:tabs>
        <w:ind w:left="360" w:hanging="360"/>
      </w:pPr>
      <w:rPr>
        <w:rFonts w:hint="default"/>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8"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5"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6"/>
  </w:num>
  <w:num w:numId="4">
    <w:abstractNumId w:val="42"/>
  </w:num>
  <w:num w:numId="5">
    <w:abstractNumId w:val="6"/>
  </w:num>
  <w:num w:numId="6">
    <w:abstractNumId w:val="14"/>
  </w:num>
  <w:num w:numId="7">
    <w:abstractNumId w:val="37"/>
  </w:num>
  <w:num w:numId="8">
    <w:abstractNumId w:val="36"/>
  </w:num>
  <w:num w:numId="9">
    <w:abstractNumId w:val="28"/>
  </w:num>
  <w:num w:numId="10">
    <w:abstractNumId w:val="23"/>
  </w:num>
  <w:num w:numId="11">
    <w:abstractNumId w:val="43"/>
  </w:num>
  <w:num w:numId="12">
    <w:abstractNumId w:val="38"/>
  </w:num>
  <w:num w:numId="13">
    <w:abstractNumId w:val="41"/>
  </w:num>
  <w:num w:numId="14">
    <w:abstractNumId w:val="40"/>
  </w:num>
  <w:num w:numId="15">
    <w:abstractNumId w:val="21"/>
  </w:num>
  <w:num w:numId="16">
    <w:abstractNumId w:val="25"/>
  </w:num>
  <w:num w:numId="17">
    <w:abstractNumId w:val="11"/>
  </w:num>
  <w:num w:numId="18">
    <w:abstractNumId w:val="17"/>
  </w:num>
  <w:num w:numId="19">
    <w:abstractNumId w:val="3"/>
  </w:num>
  <w:num w:numId="20">
    <w:abstractNumId w:val="1"/>
  </w:num>
  <w:num w:numId="21">
    <w:abstractNumId w:val="13"/>
  </w:num>
  <w:num w:numId="22">
    <w:abstractNumId w:val="34"/>
  </w:num>
  <w:num w:numId="23">
    <w:abstractNumId w:val="10"/>
  </w:num>
  <w:num w:numId="24">
    <w:abstractNumId w:val="20"/>
  </w:num>
  <w:num w:numId="25">
    <w:abstractNumId w:val="32"/>
  </w:num>
  <w:num w:numId="26">
    <w:abstractNumId w:val="31"/>
  </w:num>
  <w:num w:numId="27">
    <w:abstractNumId w:val="9"/>
  </w:num>
  <w:num w:numId="28">
    <w:abstractNumId w:val="35"/>
  </w:num>
  <w:num w:numId="29">
    <w:abstractNumId w:val="19"/>
  </w:num>
  <w:num w:numId="30">
    <w:abstractNumId w:val="15"/>
  </w:num>
  <w:num w:numId="31">
    <w:abstractNumId w:val="7"/>
  </w:num>
  <w:num w:numId="32">
    <w:abstractNumId w:val="0"/>
  </w:num>
  <w:num w:numId="33">
    <w:abstractNumId w:val="8"/>
  </w:num>
  <w:num w:numId="34">
    <w:abstractNumId w:val="27"/>
  </w:num>
  <w:num w:numId="35">
    <w:abstractNumId w:val="39"/>
  </w:num>
  <w:num w:numId="36">
    <w:abstractNumId w:val="18"/>
  </w:num>
  <w:num w:numId="37">
    <w:abstractNumId w:val="12"/>
  </w:num>
  <w:num w:numId="38">
    <w:abstractNumId w:val="22"/>
  </w:num>
  <w:num w:numId="39">
    <w:abstractNumId w:val="22"/>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0"/>
  </w:num>
  <w:num w:numId="43">
    <w:abstractNumId w:val="2"/>
  </w:num>
  <w:num w:numId="44">
    <w:abstractNumId w:val="5"/>
  </w:num>
  <w:num w:numId="45">
    <w:abstractNumId w:val="3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4E3D"/>
    <w:rsid w:val="0001796D"/>
    <w:rsid w:val="00017BF0"/>
    <w:rsid w:val="0002568B"/>
    <w:rsid w:val="00035A73"/>
    <w:rsid w:val="00043FA7"/>
    <w:rsid w:val="000552E8"/>
    <w:rsid w:val="00056585"/>
    <w:rsid w:val="0005674F"/>
    <w:rsid w:val="00065C6E"/>
    <w:rsid w:val="00072E6E"/>
    <w:rsid w:val="00073F1B"/>
    <w:rsid w:val="00075B58"/>
    <w:rsid w:val="00081520"/>
    <w:rsid w:val="000B11DD"/>
    <w:rsid w:val="000B1785"/>
    <w:rsid w:val="000C390A"/>
    <w:rsid w:val="000C77DD"/>
    <w:rsid w:val="000E295B"/>
    <w:rsid w:val="000E45A0"/>
    <w:rsid w:val="000F4481"/>
    <w:rsid w:val="00101CD5"/>
    <w:rsid w:val="00107460"/>
    <w:rsid w:val="00112415"/>
    <w:rsid w:val="001230D2"/>
    <w:rsid w:val="0013678D"/>
    <w:rsid w:val="00140A34"/>
    <w:rsid w:val="00146ED8"/>
    <w:rsid w:val="00167202"/>
    <w:rsid w:val="001828A4"/>
    <w:rsid w:val="001A3BE2"/>
    <w:rsid w:val="001C35E7"/>
    <w:rsid w:val="001C4578"/>
    <w:rsid w:val="001D02E6"/>
    <w:rsid w:val="001F0184"/>
    <w:rsid w:val="001F28A6"/>
    <w:rsid w:val="001F2A16"/>
    <w:rsid w:val="001F6921"/>
    <w:rsid w:val="001F7C3E"/>
    <w:rsid w:val="00201969"/>
    <w:rsid w:val="002111B8"/>
    <w:rsid w:val="0021222C"/>
    <w:rsid w:val="00213FA5"/>
    <w:rsid w:val="0021496E"/>
    <w:rsid w:val="00222AFB"/>
    <w:rsid w:val="0023733A"/>
    <w:rsid w:val="0024044F"/>
    <w:rsid w:val="00240CFB"/>
    <w:rsid w:val="00245D00"/>
    <w:rsid w:val="00257F2D"/>
    <w:rsid w:val="00262F9F"/>
    <w:rsid w:val="00266D2D"/>
    <w:rsid w:val="0027331F"/>
    <w:rsid w:val="00285E76"/>
    <w:rsid w:val="002949C3"/>
    <w:rsid w:val="002A10A4"/>
    <w:rsid w:val="002A26FE"/>
    <w:rsid w:val="002A478C"/>
    <w:rsid w:val="002B1423"/>
    <w:rsid w:val="002C0BED"/>
    <w:rsid w:val="002F1257"/>
    <w:rsid w:val="00310C61"/>
    <w:rsid w:val="003171B3"/>
    <w:rsid w:val="00321714"/>
    <w:rsid w:val="0032559D"/>
    <w:rsid w:val="00331616"/>
    <w:rsid w:val="00333567"/>
    <w:rsid w:val="00344575"/>
    <w:rsid w:val="0035113C"/>
    <w:rsid w:val="00354525"/>
    <w:rsid w:val="00374385"/>
    <w:rsid w:val="00380CC4"/>
    <w:rsid w:val="003C0686"/>
    <w:rsid w:val="003D08CF"/>
    <w:rsid w:val="003D0CBA"/>
    <w:rsid w:val="003D0F6A"/>
    <w:rsid w:val="003D4BA8"/>
    <w:rsid w:val="003E5269"/>
    <w:rsid w:val="00405394"/>
    <w:rsid w:val="004066E4"/>
    <w:rsid w:val="0040680B"/>
    <w:rsid w:val="00407361"/>
    <w:rsid w:val="00417C55"/>
    <w:rsid w:val="00424A7B"/>
    <w:rsid w:val="00433B41"/>
    <w:rsid w:val="004447C1"/>
    <w:rsid w:val="00446AA8"/>
    <w:rsid w:val="0045590D"/>
    <w:rsid w:val="0046211F"/>
    <w:rsid w:val="0046787B"/>
    <w:rsid w:val="00486653"/>
    <w:rsid w:val="00493CA7"/>
    <w:rsid w:val="004A5FDA"/>
    <w:rsid w:val="004D098C"/>
    <w:rsid w:val="004D24A9"/>
    <w:rsid w:val="004D41FE"/>
    <w:rsid w:val="004E5357"/>
    <w:rsid w:val="004F4A07"/>
    <w:rsid w:val="004F5EB1"/>
    <w:rsid w:val="004F6887"/>
    <w:rsid w:val="005030AD"/>
    <w:rsid w:val="0051249C"/>
    <w:rsid w:val="005176E7"/>
    <w:rsid w:val="00520330"/>
    <w:rsid w:val="0052089F"/>
    <w:rsid w:val="00524B6B"/>
    <w:rsid w:val="00526403"/>
    <w:rsid w:val="005413EE"/>
    <w:rsid w:val="005765EC"/>
    <w:rsid w:val="00587443"/>
    <w:rsid w:val="00587C50"/>
    <w:rsid w:val="005917F3"/>
    <w:rsid w:val="005B0ACD"/>
    <w:rsid w:val="005B38C1"/>
    <w:rsid w:val="005B50A2"/>
    <w:rsid w:val="005C3408"/>
    <w:rsid w:val="005C4932"/>
    <w:rsid w:val="005D611B"/>
    <w:rsid w:val="005F1ACE"/>
    <w:rsid w:val="005F256D"/>
    <w:rsid w:val="0060183A"/>
    <w:rsid w:val="00603110"/>
    <w:rsid w:val="00611C8E"/>
    <w:rsid w:val="006302F7"/>
    <w:rsid w:val="00631F30"/>
    <w:rsid w:val="006400D8"/>
    <w:rsid w:val="00640CC2"/>
    <w:rsid w:val="00642420"/>
    <w:rsid w:val="00646158"/>
    <w:rsid w:val="006513F4"/>
    <w:rsid w:val="0066622C"/>
    <w:rsid w:val="00666487"/>
    <w:rsid w:val="00673B37"/>
    <w:rsid w:val="006945EA"/>
    <w:rsid w:val="006B5470"/>
    <w:rsid w:val="006C645C"/>
    <w:rsid w:val="006D0138"/>
    <w:rsid w:val="006D3C49"/>
    <w:rsid w:val="006D6F52"/>
    <w:rsid w:val="00701718"/>
    <w:rsid w:val="00704CA3"/>
    <w:rsid w:val="00710359"/>
    <w:rsid w:val="00712FFF"/>
    <w:rsid w:val="00722DBF"/>
    <w:rsid w:val="00735157"/>
    <w:rsid w:val="00757F5E"/>
    <w:rsid w:val="0076271C"/>
    <w:rsid w:val="00767CE8"/>
    <w:rsid w:val="00775490"/>
    <w:rsid w:val="00795D0C"/>
    <w:rsid w:val="00797F42"/>
    <w:rsid w:val="007A55BA"/>
    <w:rsid w:val="007C1FBD"/>
    <w:rsid w:val="007C54B3"/>
    <w:rsid w:val="007C5C8E"/>
    <w:rsid w:val="007C7F66"/>
    <w:rsid w:val="007E0A01"/>
    <w:rsid w:val="007E22F5"/>
    <w:rsid w:val="007F25F3"/>
    <w:rsid w:val="007F4901"/>
    <w:rsid w:val="00826DEB"/>
    <w:rsid w:val="00832A78"/>
    <w:rsid w:val="00836B02"/>
    <w:rsid w:val="00836B6F"/>
    <w:rsid w:val="00841687"/>
    <w:rsid w:val="00843550"/>
    <w:rsid w:val="00843F15"/>
    <w:rsid w:val="008467D4"/>
    <w:rsid w:val="00850FB0"/>
    <w:rsid w:val="0085238E"/>
    <w:rsid w:val="00853428"/>
    <w:rsid w:val="008540EA"/>
    <w:rsid w:val="00866A00"/>
    <w:rsid w:val="008702A6"/>
    <w:rsid w:val="008757CE"/>
    <w:rsid w:val="0088392C"/>
    <w:rsid w:val="00897C0E"/>
    <w:rsid w:val="00897E31"/>
    <w:rsid w:val="008A046F"/>
    <w:rsid w:val="008A405A"/>
    <w:rsid w:val="008A6A6A"/>
    <w:rsid w:val="008B650A"/>
    <w:rsid w:val="008B787C"/>
    <w:rsid w:val="008C3898"/>
    <w:rsid w:val="008C66CC"/>
    <w:rsid w:val="008F483C"/>
    <w:rsid w:val="00910595"/>
    <w:rsid w:val="00910756"/>
    <w:rsid w:val="00912D61"/>
    <w:rsid w:val="009322D7"/>
    <w:rsid w:val="00932BDE"/>
    <w:rsid w:val="009371D0"/>
    <w:rsid w:val="00967725"/>
    <w:rsid w:val="0098195F"/>
    <w:rsid w:val="009902F8"/>
    <w:rsid w:val="00993BB8"/>
    <w:rsid w:val="0099555F"/>
    <w:rsid w:val="009A22A1"/>
    <w:rsid w:val="009B3A1B"/>
    <w:rsid w:val="009B6332"/>
    <w:rsid w:val="009C0912"/>
    <w:rsid w:val="009C4EAD"/>
    <w:rsid w:val="009C7443"/>
    <w:rsid w:val="009D5DB2"/>
    <w:rsid w:val="009D6694"/>
    <w:rsid w:val="009F0300"/>
    <w:rsid w:val="00A167A8"/>
    <w:rsid w:val="00A21F0A"/>
    <w:rsid w:val="00A26011"/>
    <w:rsid w:val="00A506C2"/>
    <w:rsid w:val="00A62886"/>
    <w:rsid w:val="00A74C38"/>
    <w:rsid w:val="00A77D24"/>
    <w:rsid w:val="00A8572F"/>
    <w:rsid w:val="00A93E07"/>
    <w:rsid w:val="00A979CF"/>
    <w:rsid w:val="00AA4DF8"/>
    <w:rsid w:val="00AB780C"/>
    <w:rsid w:val="00AC2448"/>
    <w:rsid w:val="00AD0B0B"/>
    <w:rsid w:val="00AD5ADE"/>
    <w:rsid w:val="00AE7138"/>
    <w:rsid w:val="00AF4CAF"/>
    <w:rsid w:val="00B117BA"/>
    <w:rsid w:val="00B15F23"/>
    <w:rsid w:val="00B16508"/>
    <w:rsid w:val="00B20D87"/>
    <w:rsid w:val="00B24053"/>
    <w:rsid w:val="00B31550"/>
    <w:rsid w:val="00B578AC"/>
    <w:rsid w:val="00B62F06"/>
    <w:rsid w:val="00B6433F"/>
    <w:rsid w:val="00B64CF5"/>
    <w:rsid w:val="00B76C9B"/>
    <w:rsid w:val="00B823A1"/>
    <w:rsid w:val="00B8428B"/>
    <w:rsid w:val="00BA41F5"/>
    <w:rsid w:val="00BB3C9C"/>
    <w:rsid w:val="00BF4822"/>
    <w:rsid w:val="00C01D22"/>
    <w:rsid w:val="00C104B6"/>
    <w:rsid w:val="00C10F02"/>
    <w:rsid w:val="00C114F4"/>
    <w:rsid w:val="00C11D03"/>
    <w:rsid w:val="00C31967"/>
    <w:rsid w:val="00C34C96"/>
    <w:rsid w:val="00C371DE"/>
    <w:rsid w:val="00C409AE"/>
    <w:rsid w:val="00C4143E"/>
    <w:rsid w:val="00C42D50"/>
    <w:rsid w:val="00C532E8"/>
    <w:rsid w:val="00C54DF8"/>
    <w:rsid w:val="00C60B49"/>
    <w:rsid w:val="00C64290"/>
    <w:rsid w:val="00C7440A"/>
    <w:rsid w:val="00C865ED"/>
    <w:rsid w:val="00C8775A"/>
    <w:rsid w:val="00CA0877"/>
    <w:rsid w:val="00CA6B59"/>
    <w:rsid w:val="00CB3B6C"/>
    <w:rsid w:val="00CB75F1"/>
    <w:rsid w:val="00CC1833"/>
    <w:rsid w:val="00CC189F"/>
    <w:rsid w:val="00CC1C32"/>
    <w:rsid w:val="00CC3368"/>
    <w:rsid w:val="00CF19C4"/>
    <w:rsid w:val="00CF2B0A"/>
    <w:rsid w:val="00D13C04"/>
    <w:rsid w:val="00D20A78"/>
    <w:rsid w:val="00D278BA"/>
    <w:rsid w:val="00D40454"/>
    <w:rsid w:val="00D4059C"/>
    <w:rsid w:val="00D50FF4"/>
    <w:rsid w:val="00D53D8F"/>
    <w:rsid w:val="00D61C76"/>
    <w:rsid w:val="00D77015"/>
    <w:rsid w:val="00D92B48"/>
    <w:rsid w:val="00DB1693"/>
    <w:rsid w:val="00DD5B07"/>
    <w:rsid w:val="00DE6821"/>
    <w:rsid w:val="00DF2022"/>
    <w:rsid w:val="00DF34BE"/>
    <w:rsid w:val="00DF5D59"/>
    <w:rsid w:val="00E10B37"/>
    <w:rsid w:val="00E149F5"/>
    <w:rsid w:val="00E239E4"/>
    <w:rsid w:val="00E36A38"/>
    <w:rsid w:val="00E53399"/>
    <w:rsid w:val="00E71141"/>
    <w:rsid w:val="00E77995"/>
    <w:rsid w:val="00E87099"/>
    <w:rsid w:val="00EA28E6"/>
    <w:rsid w:val="00EA6885"/>
    <w:rsid w:val="00EE67C4"/>
    <w:rsid w:val="00EF78C4"/>
    <w:rsid w:val="00F04CD7"/>
    <w:rsid w:val="00F23E15"/>
    <w:rsid w:val="00F244A2"/>
    <w:rsid w:val="00F35064"/>
    <w:rsid w:val="00F374D8"/>
    <w:rsid w:val="00F539FB"/>
    <w:rsid w:val="00F5684D"/>
    <w:rsid w:val="00F57AB6"/>
    <w:rsid w:val="00F6480F"/>
    <w:rsid w:val="00F64868"/>
    <w:rsid w:val="00F668F8"/>
    <w:rsid w:val="00F70C2E"/>
    <w:rsid w:val="00F84DF2"/>
    <w:rsid w:val="00F86713"/>
    <w:rsid w:val="00F932E0"/>
    <w:rsid w:val="00FB7701"/>
    <w:rsid w:val="00FC40F0"/>
    <w:rsid w:val="00FC6D3B"/>
    <w:rsid w:val="00FD0129"/>
    <w:rsid w:val="00FE17ED"/>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styleId="UnresolvedMention">
    <w:name w:val="Unresolved Mention"/>
    <w:basedOn w:val="DefaultParagraphFont"/>
    <w:uiPriority w:val="99"/>
    <w:semiHidden/>
    <w:unhideWhenUsed/>
    <w:rsid w:val="002C0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B160BFE3-3A45-4532-8DB2-B18D313165A2}">
  <ds:schemaRefs>
    <ds:schemaRef ds:uri="http://schemas.openxmlformats.org/officeDocument/2006/bibliography"/>
  </ds:schemaRefs>
</ds:datastoreItem>
</file>

<file path=customXml/itemProps2.xml><?xml version="1.0" encoding="utf-8"?>
<ds:datastoreItem xmlns:ds="http://schemas.openxmlformats.org/officeDocument/2006/customXml" ds:itemID="{9092B523-521B-4F01-8DAB-0EC284B7888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2846</Characters>
  <Application>Microsoft Office Word</Application>
  <DocSecurity>0</DocSecurity>
  <Lines>23</Lines>
  <Paragraphs>6</Paragraphs>
  <ScaleCrop>false</ScaleCrop>
  <Company/>
  <LinksUpToDate>false</LinksUpToDate>
  <CharactersWithSpaces>3374</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2022-03-18T05:12:00Z</dcterms:created>
  <dcterms:modified xsi:type="dcterms:W3CDTF">2022-03-18T05:12:00Z</dcterms:modified>
</cp:coreProperties>
</file>