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F06AF" w14:textId="77777777" w:rsidR="007A53DD" w:rsidRPr="00BC76EB" w:rsidRDefault="002533F0" w:rsidP="004A593B">
      <w:pPr>
        <w:spacing w:before="0" w:after="120"/>
        <w:ind w:right="91"/>
        <w:jc w:val="center"/>
        <w:rPr>
          <w:rFonts w:ascii="Arial" w:hAnsi="Arial" w:cs="Arial"/>
          <w:color w:val="0070C0"/>
          <w:szCs w:val="24"/>
        </w:rPr>
      </w:pPr>
      <w:r w:rsidRPr="00BC76EB">
        <w:rPr>
          <w:rFonts w:ascii="Arial" w:hAnsi="Arial" w:cs="Arial"/>
          <w:b/>
          <w:szCs w:val="24"/>
          <w:u w:val="single"/>
        </w:rPr>
        <w:t>EXPLANATORY STATEMENT</w:t>
      </w:r>
    </w:p>
    <w:p w14:paraId="31804C47" w14:textId="77777777" w:rsidR="002533F0" w:rsidRPr="00BC76EB" w:rsidRDefault="002533F0" w:rsidP="002533F0">
      <w:pPr>
        <w:spacing w:before="0"/>
        <w:ind w:right="91"/>
        <w:jc w:val="center"/>
        <w:rPr>
          <w:rFonts w:ascii="Arial" w:hAnsi="Arial" w:cs="Arial"/>
          <w:szCs w:val="24"/>
        </w:rPr>
      </w:pPr>
    </w:p>
    <w:p w14:paraId="21FB1E6E" w14:textId="77777777" w:rsidR="00EC0C59" w:rsidRPr="00BC76EB" w:rsidRDefault="00EC0C59" w:rsidP="002533F0">
      <w:pPr>
        <w:spacing w:before="0"/>
        <w:ind w:right="91"/>
        <w:jc w:val="center"/>
        <w:rPr>
          <w:rFonts w:ascii="Arial" w:hAnsi="Arial" w:cs="Arial"/>
          <w:b/>
          <w:szCs w:val="24"/>
          <w:u w:val="single"/>
        </w:rPr>
      </w:pPr>
    </w:p>
    <w:p w14:paraId="13BF2BBA" w14:textId="3B979871" w:rsidR="00007EC3" w:rsidRPr="00BC76EB" w:rsidRDefault="004A593B" w:rsidP="00007EC3">
      <w:pPr>
        <w:spacing w:before="0"/>
        <w:ind w:right="91"/>
        <w:jc w:val="center"/>
        <w:rPr>
          <w:rFonts w:ascii="Arial" w:hAnsi="Arial" w:cs="Arial"/>
          <w:szCs w:val="24"/>
        </w:rPr>
      </w:pPr>
      <w:r w:rsidRPr="00BC76EB">
        <w:rPr>
          <w:rFonts w:ascii="Arial" w:hAnsi="Arial" w:cs="Arial"/>
          <w:szCs w:val="24"/>
        </w:rPr>
        <w:t xml:space="preserve">Issued by the authority of the </w:t>
      </w:r>
      <w:r w:rsidR="00007EC3">
        <w:rPr>
          <w:rFonts w:ascii="Arial" w:hAnsi="Arial" w:cs="Arial"/>
          <w:szCs w:val="24"/>
        </w:rPr>
        <w:t>Acting Group Manager of the Pensions, Housing and Homelessness Group, Department of Social Services</w:t>
      </w:r>
    </w:p>
    <w:p w14:paraId="39CB253F" w14:textId="41BFEC0F" w:rsidR="004A593B" w:rsidRPr="00BC76EB" w:rsidRDefault="004A593B" w:rsidP="004A593B">
      <w:pPr>
        <w:spacing w:before="0"/>
        <w:ind w:right="91"/>
        <w:jc w:val="center"/>
        <w:rPr>
          <w:rFonts w:ascii="Arial" w:hAnsi="Arial" w:cs="Arial"/>
          <w:szCs w:val="24"/>
        </w:rPr>
      </w:pPr>
    </w:p>
    <w:p w14:paraId="4160C012" w14:textId="77777777" w:rsidR="004A593B" w:rsidRPr="00BC76EB" w:rsidRDefault="004A593B" w:rsidP="004A593B">
      <w:pPr>
        <w:spacing w:before="0"/>
        <w:ind w:right="91"/>
        <w:jc w:val="center"/>
        <w:rPr>
          <w:rFonts w:ascii="Arial" w:hAnsi="Arial" w:cs="Arial"/>
          <w:i/>
          <w:szCs w:val="24"/>
        </w:rPr>
      </w:pPr>
    </w:p>
    <w:p w14:paraId="37B558BE" w14:textId="77777777" w:rsidR="004A593B" w:rsidRPr="004E6680" w:rsidRDefault="004A593B" w:rsidP="004A593B">
      <w:pPr>
        <w:spacing w:before="0"/>
        <w:ind w:right="91"/>
        <w:jc w:val="center"/>
        <w:rPr>
          <w:rFonts w:ascii="Arial" w:hAnsi="Arial" w:cs="Arial"/>
          <w:szCs w:val="24"/>
        </w:rPr>
      </w:pPr>
      <w:r>
        <w:rPr>
          <w:rFonts w:ascii="Arial" w:hAnsi="Arial" w:cs="Arial"/>
          <w:i/>
          <w:szCs w:val="24"/>
        </w:rPr>
        <w:t>Social Security Act 1991</w:t>
      </w:r>
    </w:p>
    <w:p w14:paraId="431A4192" w14:textId="77777777" w:rsidR="004A593B" w:rsidRPr="00BC76EB" w:rsidRDefault="004A593B" w:rsidP="004A593B">
      <w:pPr>
        <w:spacing w:before="0"/>
        <w:ind w:right="91"/>
        <w:jc w:val="center"/>
        <w:rPr>
          <w:rFonts w:ascii="Arial" w:hAnsi="Arial" w:cs="Arial"/>
          <w:szCs w:val="24"/>
        </w:rPr>
      </w:pPr>
    </w:p>
    <w:p w14:paraId="615261FE" w14:textId="77777777" w:rsidR="004A593B" w:rsidRPr="004E6680" w:rsidRDefault="004A593B" w:rsidP="004A593B">
      <w:pPr>
        <w:spacing w:before="0"/>
        <w:ind w:right="91"/>
        <w:jc w:val="center"/>
        <w:rPr>
          <w:rFonts w:ascii="Arial" w:hAnsi="Arial" w:cs="Arial"/>
          <w:i/>
          <w:szCs w:val="24"/>
        </w:rPr>
      </w:pPr>
      <w:r>
        <w:rPr>
          <w:rFonts w:ascii="Arial" w:hAnsi="Arial" w:cs="Arial"/>
          <w:i/>
          <w:szCs w:val="24"/>
        </w:rPr>
        <w:t>Social Security (Exempt Lump Sum – ACT Loose-Fill Asbestos Disease Support Scheme Payments) Determination 2022</w:t>
      </w:r>
    </w:p>
    <w:p w14:paraId="308632F4" w14:textId="77777777" w:rsidR="002533F0" w:rsidRPr="004A593B" w:rsidRDefault="002533F0" w:rsidP="002533F0">
      <w:pPr>
        <w:spacing w:before="0"/>
        <w:ind w:right="91"/>
        <w:jc w:val="center"/>
        <w:rPr>
          <w:rFonts w:ascii="Arial" w:hAnsi="Arial" w:cs="Arial"/>
          <w:szCs w:val="24"/>
        </w:rPr>
      </w:pPr>
    </w:p>
    <w:p w14:paraId="275D80C6"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E017495" w14:textId="08EE7113" w:rsidR="006972CC" w:rsidRPr="006972CC" w:rsidRDefault="006972CC" w:rsidP="003C448C">
      <w:pPr>
        <w:rPr>
          <w:rFonts w:ascii="Arial" w:hAnsi="Arial" w:cs="Arial"/>
          <w:color w:val="000000"/>
          <w:shd w:val="clear" w:color="auto" w:fill="FFFFFF"/>
        </w:rPr>
      </w:pPr>
      <w:r>
        <w:rPr>
          <w:rFonts w:ascii="Arial" w:hAnsi="Arial" w:cs="Arial"/>
          <w:color w:val="000000"/>
          <w:shd w:val="clear" w:color="auto" w:fill="FFFFFF"/>
        </w:rPr>
        <w:t xml:space="preserve">Paragraph 8(11)(d) of the </w:t>
      </w:r>
      <w:r>
        <w:rPr>
          <w:rFonts w:ascii="Arial" w:hAnsi="Arial" w:cs="Arial"/>
          <w:i/>
          <w:color w:val="000000"/>
          <w:shd w:val="clear" w:color="auto" w:fill="FFFFFF"/>
        </w:rPr>
        <w:t>Social Security Act 1991</w:t>
      </w:r>
      <w:r>
        <w:rPr>
          <w:rFonts w:ascii="Arial" w:hAnsi="Arial" w:cs="Arial"/>
          <w:color w:val="000000"/>
          <w:shd w:val="clear" w:color="auto" w:fill="FFFFFF"/>
        </w:rPr>
        <w:t xml:space="preserve"> (the Act) allows the Secretary of the Department of Social Services</w:t>
      </w:r>
      <w:r w:rsidR="00EE3A56">
        <w:rPr>
          <w:rFonts w:ascii="Arial" w:hAnsi="Arial" w:cs="Arial"/>
          <w:color w:val="000000"/>
          <w:shd w:val="clear" w:color="auto" w:fill="FFFFFF"/>
        </w:rPr>
        <w:t>, or their delegate,</w:t>
      </w:r>
      <w:r>
        <w:rPr>
          <w:rFonts w:ascii="Arial" w:hAnsi="Arial" w:cs="Arial"/>
          <w:color w:val="000000"/>
          <w:shd w:val="clear" w:color="auto" w:fill="FFFFFF"/>
        </w:rPr>
        <w:t xml:space="preserve"> to determine by legislative instrument that an amount, or class of amounts, received by a person is an exempt lump sum under social security law. </w:t>
      </w:r>
    </w:p>
    <w:p w14:paraId="395B2734" w14:textId="67DC6AFE" w:rsidR="003C448C" w:rsidRDefault="003C448C" w:rsidP="003C448C">
      <w:pPr>
        <w:rPr>
          <w:rFonts w:ascii="Arial" w:hAnsi="Arial" w:cs="Arial"/>
          <w:color w:val="000000"/>
          <w:shd w:val="clear" w:color="auto" w:fill="FFFFFF"/>
        </w:rPr>
      </w:pPr>
      <w:r>
        <w:rPr>
          <w:rFonts w:ascii="Arial" w:hAnsi="Arial" w:cs="Arial"/>
          <w:color w:val="000000"/>
          <w:shd w:val="clear" w:color="auto" w:fill="FFFFFF"/>
        </w:rPr>
        <w:t xml:space="preserve">The Social Security (Exempt Lump </w:t>
      </w:r>
      <w:r w:rsidRPr="000056CB">
        <w:rPr>
          <w:rFonts w:ascii="Arial" w:hAnsi="Arial" w:cs="Arial"/>
          <w:color w:val="000000"/>
          <w:shd w:val="clear" w:color="auto" w:fill="FFFFFF"/>
        </w:rPr>
        <w:t>Sum – ACT Loose-Fill Asbestos Disease Support Scheme Payments) Determination 2022</w:t>
      </w:r>
      <w:r>
        <w:rPr>
          <w:rFonts w:ascii="Arial" w:hAnsi="Arial" w:cs="Arial"/>
          <w:color w:val="000000"/>
          <w:shd w:val="clear" w:color="auto" w:fill="FFFFFF"/>
        </w:rPr>
        <w:t xml:space="preserve"> (Determination</w:t>
      </w:r>
      <w:r w:rsidR="00925E41">
        <w:rPr>
          <w:rFonts w:ascii="Arial" w:hAnsi="Arial" w:cs="Arial"/>
          <w:color w:val="000000"/>
          <w:shd w:val="clear" w:color="auto" w:fill="FFFFFF"/>
        </w:rPr>
        <w:t>) provides that certain payments</w:t>
      </w:r>
      <w:r>
        <w:rPr>
          <w:rFonts w:ascii="Arial" w:hAnsi="Arial" w:cs="Arial"/>
          <w:color w:val="000000"/>
          <w:shd w:val="clear" w:color="auto" w:fill="FFFFFF"/>
        </w:rPr>
        <w:t xml:space="preserve"> under the ACT Loose-Fill Asbest</w:t>
      </w:r>
      <w:r w:rsidR="00925E41">
        <w:rPr>
          <w:rFonts w:ascii="Arial" w:hAnsi="Arial" w:cs="Arial"/>
          <w:color w:val="000000"/>
          <w:shd w:val="clear" w:color="auto" w:fill="FFFFFF"/>
        </w:rPr>
        <w:t xml:space="preserve">os Disease Support Scheme are </w:t>
      </w:r>
      <w:r>
        <w:rPr>
          <w:rFonts w:ascii="Arial" w:hAnsi="Arial" w:cs="Arial"/>
          <w:color w:val="000000"/>
          <w:shd w:val="clear" w:color="auto" w:fill="FFFFFF"/>
        </w:rPr>
        <w:t>exempt lump sum</w:t>
      </w:r>
      <w:r w:rsidR="00925E41">
        <w:rPr>
          <w:rFonts w:ascii="Arial" w:hAnsi="Arial" w:cs="Arial"/>
          <w:color w:val="000000"/>
          <w:shd w:val="clear" w:color="auto" w:fill="FFFFFF"/>
        </w:rPr>
        <w:t>s</w:t>
      </w:r>
      <w:r>
        <w:rPr>
          <w:rFonts w:ascii="Arial" w:hAnsi="Arial" w:cs="Arial"/>
          <w:color w:val="000000"/>
          <w:shd w:val="clear" w:color="auto" w:fill="FFFFFF"/>
        </w:rPr>
        <w:t xml:space="preserve"> for the purposes of paragraph 8(11)(d) of the Act. </w:t>
      </w:r>
    </w:p>
    <w:p w14:paraId="701AC211"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699A8490" w14:textId="62CAA750" w:rsidR="006972CC" w:rsidRDefault="00D80A0E" w:rsidP="006972CC">
      <w:pPr>
        <w:rPr>
          <w:rFonts w:ascii="Arial" w:hAnsi="Arial" w:cs="Arial"/>
          <w:color w:val="000000"/>
          <w:shd w:val="clear" w:color="auto" w:fill="FFFFFF"/>
        </w:rPr>
      </w:pPr>
      <w:r>
        <w:rPr>
          <w:rFonts w:ascii="Arial" w:hAnsi="Arial" w:cs="Arial"/>
          <w:color w:val="000000"/>
          <w:shd w:val="clear" w:color="auto" w:fill="FFFFFF"/>
        </w:rPr>
        <w:t xml:space="preserve">Income earned, derived or received for a person’s own use or benefit is generally assessable as income under social security law. </w:t>
      </w:r>
      <w:r w:rsidR="006972CC">
        <w:rPr>
          <w:rFonts w:ascii="Arial" w:hAnsi="Arial" w:cs="Arial"/>
          <w:color w:val="000000"/>
          <w:shd w:val="clear" w:color="auto" w:fill="FFFFFF"/>
        </w:rPr>
        <w:t xml:space="preserve">An amount, or class of amounts, received by a person may be specifically exempt under paragraph 8(11)(d) of the Act. </w:t>
      </w:r>
      <w:r w:rsidR="0046435D">
        <w:rPr>
          <w:rFonts w:ascii="Arial" w:hAnsi="Arial" w:cs="Arial"/>
          <w:color w:val="000000"/>
          <w:shd w:val="clear" w:color="auto" w:fill="FFFFFF"/>
        </w:rPr>
        <w:t>This paragraph</w:t>
      </w:r>
      <w:r w:rsidR="006972CC">
        <w:rPr>
          <w:rFonts w:ascii="Arial" w:hAnsi="Arial" w:cs="Arial"/>
          <w:color w:val="000000"/>
          <w:shd w:val="clear" w:color="auto" w:fill="FFFFFF"/>
        </w:rPr>
        <w:t xml:space="preserve"> allows the Secretary </w:t>
      </w:r>
      <w:r w:rsidR="00EE3A56">
        <w:rPr>
          <w:rFonts w:ascii="Arial" w:hAnsi="Arial" w:cs="Arial"/>
          <w:color w:val="000000"/>
          <w:shd w:val="clear" w:color="auto" w:fill="FFFFFF"/>
        </w:rPr>
        <w:t xml:space="preserve">or their delegate </w:t>
      </w:r>
      <w:r w:rsidR="006972CC">
        <w:rPr>
          <w:rFonts w:ascii="Arial" w:hAnsi="Arial" w:cs="Arial"/>
          <w:color w:val="000000"/>
          <w:shd w:val="clear" w:color="auto" w:fill="FFFFFF"/>
        </w:rPr>
        <w:t>to determine that an amount or class of amounts is an exempt lump sum. An exempt lump sum is excluded from the definition of ‘ordinary income’ under subsection 8(1) of the Act, meaning the exempt lump sum amount is not taken into account as part of the social security income test.</w:t>
      </w:r>
    </w:p>
    <w:p w14:paraId="6E40C1F0" w14:textId="4B0D818F" w:rsidR="00370E35" w:rsidRDefault="00370E35" w:rsidP="004B54CA">
      <w:pPr>
        <w:rPr>
          <w:rFonts w:ascii="Arial" w:hAnsi="Arial" w:cs="Arial"/>
          <w:szCs w:val="24"/>
        </w:rPr>
      </w:pPr>
      <w:r>
        <w:rPr>
          <w:rFonts w:ascii="Arial" w:hAnsi="Arial" w:cs="Arial"/>
          <w:szCs w:val="24"/>
        </w:rPr>
        <w:t xml:space="preserve">The exemption of a lump sum payment from the income test does not alter the fact that any ongoing income generated, or any assessable asset produced, by the lump sum is counted under the social security income or assets tests. </w:t>
      </w:r>
    </w:p>
    <w:p w14:paraId="04F2719B" w14:textId="2F79139D" w:rsidR="006972CC" w:rsidRPr="006972CC" w:rsidRDefault="006972CC" w:rsidP="004B54CA">
      <w:pPr>
        <w:rPr>
          <w:rFonts w:ascii="Arial" w:hAnsi="Arial" w:cs="Arial"/>
          <w:szCs w:val="24"/>
        </w:rPr>
      </w:pPr>
      <w:r>
        <w:rPr>
          <w:rFonts w:ascii="Arial" w:hAnsi="Arial" w:cs="Arial"/>
          <w:i/>
          <w:szCs w:val="24"/>
        </w:rPr>
        <w:t>ACT Loose-Fill Asbestos Disease Support Scheme</w:t>
      </w:r>
    </w:p>
    <w:p w14:paraId="4D94027B" w14:textId="6C68BFEE" w:rsidR="006B2583" w:rsidRDefault="006B2583" w:rsidP="004B54CA">
      <w:pPr>
        <w:rPr>
          <w:rFonts w:ascii="Arial" w:hAnsi="Arial" w:cs="Arial"/>
          <w:szCs w:val="24"/>
        </w:rPr>
      </w:pPr>
      <w:r>
        <w:rPr>
          <w:rFonts w:ascii="Arial" w:hAnsi="Arial" w:cs="Arial"/>
          <w:szCs w:val="24"/>
        </w:rPr>
        <w:t xml:space="preserve">The ACT Loose-Fill Asbestos Disease Support Scheme (the Scheme) provides </w:t>
      </w:r>
      <w:r w:rsidR="006E479F">
        <w:rPr>
          <w:rFonts w:ascii="Arial" w:hAnsi="Arial" w:cs="Arial"/>
          <w:szCs w:val="24"/>
        </w:rPr>
        <w:t>ex </w:t>
      </w:r>
      <w:r w:rsidR="00417C14">
        <w:rPr>
          <w:rFonts w:ascii="Arial" w:hAnsi="Arial" w:cs="Arial"/>
          <w:szCs w:val="24"/>
        </w:rPr>
        <w:t>gratia lump sum payments</w:t>
      </w:r>
      <w:r>
        <w:rPr>
          <w:rFonts w:ascii="Arial" w:hAnsi="Arial" w:cs="Arial"/>
          <w:szCs w:val="24"/>
        </w:rPr>
        <w:t xml:space="preserve"> to individuals who have contracted a loose-fill asbestos-related disease after living in a loose-fill asbestos insulation affected property in the ACT in a non-work </w:t>
      </w:r>
      <w:r w:rsidR="00417C14">
        <w:rPr>
          <w:rFonts w:ascii="Arial" w:hAnsi="Arial" w:cs="Arial"/>
          <w:szCs w:val="24"/>
        </w:rPr>
        <w:t xml:space="preserve">related capacity. This </w:t>
      </w:r>
      <w:r>
        <w:rPr>
          <w:rFonts w:ascii="Arial" w:hAnsi="Arial" w:cs="Arial"/>
          <w:szCs w:val="24"/>
        </w:rPr>
        <w:t>assist</w:t>
      </w:r>
      <w:r w:rsidR="00417C14">
        <w:rPr>
          <w:rFonts w:ascii="Arial" w:hAnsi="Arial" w:cs="Arial"/>
          <w:szCs w:val="24"/>
        </w:rPr>
        <w:t>s</w:t>
      </w:r>
      <w:r>
        <w:rPr>
          <w:rFonts w:ascii="Arial" w:hAnsi="Arial" w:cs="Arial"/>
          <w:szCs w:val="24"/>
        </w:rPr>
        <w:t xml:space="preserve"> individuals who cannot otherwise receive support</w:t>
      </w:r>
      <w:r w:rsidR="00A84A51">
        <w:rPr>
          <w:rFonts w:ascii="Arial" w:hAnsi="Arial" w:cs="Arial"/>
          <w:szCs w:val="24"/>
        </w:rPr>
        <w:t xml:space="preserve"> through a workers’ compensation claim</w:t>
      </w:r>
      <w:r w:rsidR="00F0760F">
        <w:rPr>
          <w:rFonts w:ascii="Arial" w:hAnsi="Arial" w:cs="Arial"/>
          <w:szCs w:val="24"/>
        </w:rPr>
        <w:t>,</w:t>
      </w:r>
      <w:r>
        <w:rPr>
          <w:rFonts w:ascii="Arial" w:hAnsi="Arial" w:cs="Arial"/>
          <w:szCs w:val="24"/>
        </w:rPr>
        <w:t xml:space="preserve"> because </w:t>
      </w:r>
      <w:r w:rsidR="00A84A51">
        <w:rPr>
          <w:rFonts w:ascii="Arial" w:hAnsi="Arial" w:cs="Arial"/>
          <w:szCs w:val="24"/>
        </w:rPr>
        <w:t xml:space="preserve">they </w:t>
      </w:r>
      <w:r>
        <w:rPr>
          <w:rFonts w:ascii="Arial" w:hAnsi="Arial" w:cs="Arial"/>
          <w:szCs w:val="24"/>
        </w:rPr>
        <w:t xml:space="preserve">did not contract the disease as a result of occupational exposure to </w:t>
      </w:r>
      <w:r w:rsidR="00A84A51">
        <w:rPr>
          <w:rFonts w:ascii="Arial" w:hAnsi="Arial" w:cs="Arial"/>
          <w:szCs w:val="24"/>
        </w:rPr>
        <w:t>asbestos.</w:t>
      </w:r>
    </w:p>
    <w:p w14:paraId="42300FB6" w14:textId="791B4BDC" w:rsidR="00A84A51" w:rsidRDefault="00A84A51" w:rsidP="004B54CA">
      <w:pPr>
        <w:rPr>
          <w:rFonts w:ascii="Arial" w:hAnsi="Arial" w:cs="Arial"/>
          <w:szCs w:val="24"/>
        </w:rPr>
      </w:pPr>
      <w:r>
        <w:rPr>
          <w:rFonts w:ascii="Arial" w:hAnsi="Arial" w:cs="Arial"/>
          <w:szCs w:val="24"/>
        </w:rPr>
        <w:t xml:space="preserve">Under the Scheme, payments are made to individuals for out of pocket medical or related expenses and loss of earning capacity due to their asbestos-related disease. Where the individual has died, payments are apportioned between their surviving </w:t>
      </w:r>
      <w:r>
        <w:rPr>
          <w:rFonts w:ascii="Arial" w:hAnsi="Arial" w:cs="Arial"/>
          <w:szCs w:val="24"/>
        </w:rPr>
        <w:lastRenderedPageBreak/>
        <w:t>financial dependants.</w:t>
      </w:r>
      <w:r w:rsidR="00417C14">
        <w:rPr>
          <w:rFonts w:ascii="Arial" w:hAnsi="Arial" w:cs="Arial"/>
          <w:szCs w:val="24"/>
        </w:rPr>
        <w:t xml:space="preserve"> Payments are made for claims diagnosed on or after 1 January 2014.</w:t>
      </w:r>
    </w:p>
    <w:p w14:paraId="48D78997" w14:textId="77777777" w:rsidR="00A84A51" w:rsidRDefault="00A84A51" w:rsidP="004B54CA">
      <w:pPr>
        <w:rPr>
          <w:rFonts w:ascii="Arial" w:hAnsi="Arial" w:cs="Arial"/>
          <w:szCs w:val="24"/>
        </w:rPr>
      </w:pPr>
      <w:r>
        <w:rPr>
          <w:rFonts w:ascii="Arial" w:hAnsi="Arial" w:cs="Arial"/>
          <w:szCs w:val="24"/>
        </w:rPr>
        <w:t>The Determination provides that amounts paid in relation to certain expenses as part of the Scheme are exempt lump sums for the purposes of paragraph 8(11)(d) of the Act:</w:t>
      </w:r>
    </w:p>
    <w:p w14:paraId="0FC642D8" w14:textId="707AA631" w:rsidR="00A84A51" w:rsidRPr="00E64591" w:rsidRDefault="00A84A51" w:rsidP="00E64591">
      <w:pPr>
        <w:ind w:left="360"/>
        <w:rPr>
          <w:rFonts w:ascii="Arial" w:hAnsi="Arial" w:cs="Arial"/>
          <w:i/>
          <w:szCs w:val="24"/>
        </w:rPr>
      </w:pPr>
      <w:r w:rsidRPr="00E64591">
        <w:rPr>
          <w:rFonts w:ascii="Arial" w:hAnsi="Arial" w:cs="Arial"/>
          <w:i/>
          <w:szCs w:val="24"/>
        </w:rPr>
        <w:t xml:space="preserve">Gratuitous </w:t>
      </w:r>
      <w:r w:rsidR="00DB2E31" w:rsidRPr="00E64591">
        <w:rPr>
          <w:rFonts w:ascii="Arial" w:hAnsi="Arial" w:cs="Arial"/>
          <w:i/>
          <w:szCs w:val="24"/>
        </w:rPr>
        <w:t>a</w:t>
      </w:r>
      <w:r w:rsidRPr="00E64591">
        <w:rPr>
          <w:rFonts w:ascii="Arial" w:hAnsi="Arial" w:cs="Arial"/>
          <w:i/>
          <w:szCs w:val="24"/>
        </w:rPr>
        <w:t xml:space="preserve">ttendant </w:t>
      </w:r>
      <w:r w:rsidR="00DB2E31" w:rsidRPr="00E64591">
        <w:rPr>
          <w:rFonts w:ascii="Arial" w:hAnsi="Arial" w:cs="Arial"/>
          <w:i/>
          <w:szCs w:val="24"/>
        </w:rPr>
        <w:t>c</w:t>
      </w:r>
      <w:r w:rsidRPr="00E64591">
        <w:rPr>
          <w:rFonts w:ascii="Arial" w:hAnsi="Arial" w:cs="Arial"/>
          <w:i/>
          <w:szCs w:val="24"/>
        </w:rPr>
        <w:t>are expenses:</w:t>
      </w:r>
      <w:r w:rsidRPr="00E64591">
        <w:rPr>
          <w:rFonts w:ascii="Arial" w:hAnsi="Arial" w:cs="Arial"/>
          <w:szCs w:val="24"/>
        </w:rPr>
        <w:t xml:space="preserve"> An amount paid to </w:t>
      </w:r>
      <w:r w:rsidR="00007EC3">
        <w:rPr>
          <w:rFonts w:ascii="Arial" w:hAnsi="Arial" w:cs="Arial"/>
          <w:szCs w:val="24"/>
        </w:rPr>
        <w:t xml:space="preserve">the individual to </w:t>
      </w:r>
      <w:r w:rsidRPr="00E64591">
        <w:rPr>
          <w:rFonts w:ascii="Arial" w:hAnsi="Arial" w:cs="Arial"/>
          <w:szCs w:val="24"/>
        </w:rPr>
        <w:t>offset required attendant care services, provided by a family member who has incurred expenses or financial costs.</w:t>
      </w:r>
    </w:p>
    <w:p w14:paraId="43FF1BE8" w14:textId="4E58AADD" w:rsidR="00A84A51" w:rsidRPr="00E64591" w:rsidRDefault="00DB2E31" w:rsidP="00E64591">
      <w:pPr>
        <w:ind w:left="360"/>
        <w:rPr>
          <w:rFonts w:ascii="Arial" w:hAnsi="Arial" w:cs="Arial"/>
          <w:i/>
          <w:szCs w:val="24"/>
        </w:rPr>
      </w:pPr>
      <w:r w:rsidRPr="00E64591">
        <w:rPr>
          <w:rFonts w:ascii="Arial" w:hAnsi="Arial" w:cs="Arial"/>
          <w:i/>
          <w:szCs w:val="24"/>
        </w:rPr>
        <w:t>Attendant c</w:t>
      </w:r>
      <w:r w:rsidR="00A84A51" w:rsidRPr="00E64591">
        <w:rPr>
          <w:rFonts w:ascii="Arial" w:hAnsi="Arial" w:cs="Arial"/>
          <w:i/>
          <w:szCs w:val="24"/>
        </w:rPr>
        <w:t xml:space="preserve">are and </w:t>
      </w:r>
      <w:r w:rsidRPr="00E64591">
        <w:rPr>
          <w:rFonts w:ascii="Arial" w:hAnsi="Arial" w:cs="Arial"/>
          <w:i/>
          <w:szCs w:val="24"/>
        </w:rPr>
        <w:t>h</w:t>
      </w:r>
      <w:r w:rsidR="00A84A51" w:rsidRPr="00E64591">
        <w:rPr>
          <w:rFonts w:ascii="Arial" w:hAnsi="Arial" w:cs="Arial"/>
          <w:i/>
          <w:szCs w:val="24"/>
        </w:rPr>
        <w:t xml:space="preserve">ousehold </w:t>
      </w:r>
      <w:r w:rsidRPr="00E64591">
        <w:rPr>
          <w:rFonts w:ascii="Arial" w:hAnsi="Arial" w:cs="Arial"/>
          <w:i/>
          <w:szCs w:val="24"/>
        </w:rPr>
        <w:t>s</w:t>
      </w:r>
      <w:r w:rsidR="00A84A51" w:rsidRPr="00E64591">
        <w:rPr>
          <w:rFonts w:ascii="Arial" w:hAnsi="Arial" w:cs="Arial"/>
          <w:i/>
          <w:szCs w:val="24"/>
        </w:rPr>
        <w:t>ervices by third parties:</w:t>
      </w:r>
      <w:r w:rsidR="00A84A51" w:rsidRPr="00E64591">
        <w:rPr>
          <w:rFonts w:ascii="Arial" w:hAnsi="Arial" w:cs="Arial"/>
          <w:szCs w:val="24"/>
        </w:rPr>
        <w:t xml:space="preserve"> An amount paid to offset required household and attendant care services, provided by a third-party provider approved by the claim manager.</w:t>
      </w:r>
    </w:p>
    <w:p w14:paraId="2CDE590A" w14:textId="77777777" w:rsidR="00A84A51" w:rsidRPr="00E64591" w:rsidRDefault="00A84A51" w:rsidP="00E64591">
      <w:pPr>
        <w:ind w:left="360"/>
        <w:rPr>
          <w:rFonts w:ascii="Arial" w:hAnsi="Arial" w:cs="Arial"/>
          <w:i/>
          <w:szCs w:val="24"/>
        </w:rPr>
      </w:pPr>
      <w:r w:rsidRPr="00E64591">
        <w:rPr>
          <w:rFonts w:ascii="Arial" w:hAnsi="Arial" w:cs="Arial"/>
          <w:i/>
          <w:szCs w:val="24"/>
        </w:rPr>
        <w:t>Home and vehicle modifications:</w:t>
      </w:r>
      <w:r w:rsidRPr="00E64591">
        <w:rPr>
          <w:rFonts w:ascii="Arial" w:hAnsi="Arial" w:cs="Arial"/>
          <w:szCs w:val="24"/>
        </w:rPr>
        <w:t xml:space="preserve"> An amount paid to offset any home and vehicle modifications necessary as a result of the asbestos disease.</w:t>
      </w:r>
    </w:p>
    <w:p w14:paraId="690AB297" w14:textId="64C248A1" w:rsidR="00A84A51" w:rsidRPr="00E64591" w:rsidRDefault="00A84A51" w:rsidP="00E64591">
      <w:pPr>
        <w:ind w:left="360"/>
        <w:rPr>
          <w:rFonts w:ascii="Arial" w:hAnsi="Arial" w:cs="Arial"/>
          <w:i/>
          <w:szCs w:val="24"/>
        </w:rPr>
      </w:pPr>
      <w:r w:rsidRPr="00E64591">
        <w:rPr>
          <w:rFonts w:ascii="Arial" w:hAnsi="Arial" w:cs="Arial"/>
          <w:i/>
          <w:szCs w:val="24"/>
        </w:rPr>
        <w:t>Funeral expenses:</w:t>
      </w:r>
      <w:r w:rsidRPr="00E64591">
        <w:rPr>
          <w:rFonts w:ascii="Arial" w:hAnsi="Arial" w:cs="Arial"/>
          <w:szCs w:val="24"/>
        </w:rPr>
        <w:t xml:space="preserve"> A lump sum amount of up to $12,492 </w:t>
      </w:r>
      <w:r w:rsidR="006F7AC4">
        <w:rPr>
          <w:rFonts w:ascii="Arial" w:hAnsi="Arial" w:cs="Arial"/>
          <w:szCs w:val="24"/>
        </w:rPr>
        <w:t xml:space="preserve">(indexed) </w:t>
      </w:r>
      <w:r w:rsidRPr="00E64591">
        <w:rPr>
          <w:rFonts w:ascii="Arial" w:hAnsi="Arial" w:cs="Arial"/>
          <w:szCs w:val="24"/>
        </w:rPr>
        <w:t xml:space="preserve">paid to the individual or apportioned between their </w:t>
      </w:r>
      <w:r w:rsidR="00FD4954" w:rsidRPr="00E64591">
        <w:rPr>
          <w:rFonts w:ascii="Arial" w:hAnsi="Arial" w:cs="Arial"/>
          <w:szCs w:val="24"/>
        </w:rPr>
        <w:t>financial dependa</w:t>
      </w:r>
      <w:r w:rsidRPr="00E64591">
        <w:rPr>
          <w:rFonts w:ascii="Arial" w:hAnsi="Arial" w:cs="Arial"/>
          <w:szCs w:val="24"/>
        </w:rPr>
        <w:t>nts if the individual is deceased.</w:t>
      </w:r>
    </w:p>
    <w:p w14:paraId="5A724284" w14:textId="6FE69A33" w:rsidR="00A84A51" w:rsidRPr="00E64591" w:rsidRDefault="00A84A51" w:rsidP="00E64591">
      <w:pPr>
        <w:ind w:left="360"/>
        <w:rPr>
          <w:rFonts w:ascii="Arial" w:hAnsi="Arial" w:cs="Arial"/>
          <w:i/>
          <w:szCs w:val="24"/>
        </w:rPr>
      </w:pPr>
      <w:r w:rsidRPr="00E64591">
        <w:rPr>
          <w:rFonts w:ascii="Arial" w:hAnsi="Arial" w:cs="Arial"/>
          <w:i/>
          <w:szCs w:val="24"/>
        </w:rPr>
        <w:t>Financial advice:</w:t>
      </w:r>
      <w:r w:rsidRPr="00E64591">
        <w:rPr>
          <w:rFonts w:ascii="Arial" w:hAnsi="Arial" w:cs="Arial"/>
          <w:szCs w:val="24"/>
        </w:rPr>
        <w:t xml:space="preserve"> An amount of </w:t>
      </w:r>
      <w:r w:rsidR="00FD4954" w:rsidRPr="00E64591">
        <w:rPr>
          <w:rFonts w:ascii="Arial" w:hAnsi="Arial" w:cs="Arial"/>
          <w:szCs w:val="24"/>
        </w:rPr>
        <w:t>up to $500 per financial dependa</w:t>
      </w:r>
      <w:r w:rsidRPr="00E64591">
        <w:rPr>
          <w:rFonts w:ascii="Arial" w:hAnsi="Arial" w:cs="Arial"/>
          <w:szCs w:val="24"/>
        </w:rPr>
        <w:t>nt to reimburse for financial advice relating to management of Scheme payments</w:t>
      </w:r>
      <w:r w:rsidR="00007EC3">
        <w:rPr>
          <w:rFonts w:ascii="Arial" w:hAnsi="Arial" w:cs="Arial"/>
          <w:szCs w:val="24"/>
        </w:rPr>
        <w:t>.</w:t>
      </w:r>
      <w:r w:rsidRPr="00E64591">
        <w:rPr>
          <w:rFonts w:ascii="Arial" w:hAnsi="Arial" w:cs="Arial"/>
          <w:szCs w:val="24"/>
        </w:rPr>
        <w:t xml:space="preserve"> </w:t>
      </w:r>
    </w:p>
    <w:p w14:paraId="6A73F2BE" w14:textId="2438DCB8" w:rsidR="00B92C11" w:rsidRPr="00007EC3" w:rsidRDefault="00FD4954" w:rsidP="0090021C">
      <w:pPr>
        <w:ind w:left="360"/>
        <w:rPr>
          <w:rFonts w:ascii="Arial" w:hAnsi="Arial" w:cs="Arial"/>
          <w:szCs w:val="24"/>
        </w:rPr>
      </w:pPr>
      <w:r w:rsidRPr="00E64591">
        <w:rPr>
          <w:rFonts w:ascii="Arial" w:hAnsi="Arial" w:cs="Arial"/>
          <w:i/>
          <w:szCs w:val="24"/>
        </w:rPr>
        <w:t xml:space="preserve">Dependant </w:t>
      </w:r>
      <w:r w:rsidR="00007EC3">
        <w:rPr>
          <w:rFonts w:ascii="Arial" w:hAnsi="Arial" w:cs="Arial"/>
          <w:i/>
          <w:szCs w:val="24"/>
        </w:rPr>
        <w:t xml:space="preserve">lump sum </w:t>
      </w:r>
      <w:r w:rsidRPr="00E64591">
        <w:rPr>
          <w:rFonts w:ascii="Arial" w:hAnsi="Arial" w:cs="Arial"/>
          <w:i/>
          <w:szCs w:val="24"/>
        </w:rPr>
        <w:t>payment (paid to the individual</w:t>
      </w:r>
      <w:r w:rsidR="005B6C3D">
        <w:rPr>
          <w:rFonts w:ascii="Arial" w:hAnsi="Arial" w:cs="Arial"/>
          <w:i/>
          <w:szCs w:val="24"/>
        </w:rPr>
        <w:t xml:space="preserve"> before death</w:t>
      </w:r>
      <w:r w:rsidRPr="00E64591">
        <w:rPr>
          <w:rFonts w:ascii="Arial" w:hAnsi="Arial" w:cs="Arial"/>
          <w:i/>
          <w:szCs w:val="24"/>
        </w:rPr>
        <w:t>):</w:t>
      </w:r>
      <w:r w:rsidRPr="00E64591">
        <w:rPr>
          <w:rFonts w:ascii="Arial" w:hAnsi="Arial" w:cs="Arial"/>
          <w:szCs w:val="24"/>
        </w:rPr>
        <w:t xml:space="preserve"> An amount paid to the individual based on their age when they are diagnosed with a terminal loose-fill asbestos-related disease</w:t>
      </w:r>
      <w:r w:rsidR="00933701" w:rsidRPr="00E64591">
        <w:rPr>
          <w:rFonts w:ascii="Arial" w:hAnsi="Arial" w:cs="Arial"/>
          <w:szCs w:val="24"/>
        </w:rPr>
        <w:t xml:space="preserve">, and who </w:t>
      </w:r>
      <w:r w:rsidR="004331ED">
        <w:rPr>
          <w:rFonts w:ascii="Arial" w:hAnsi="Arial" w:cs="Arial"/>
          <w:szCs w:val="24"/>
        </w:rPr>
        <w:t>is alive</w:t>
      </w:r>
      <w:r w:rsidR="00933701" w:rsidRPr="00E64591">
        <w:rPr>
          <w:rFonts w:ascii="Arial" w:hAnsi="Arial" w:cs="Arial"/>
          <w:szCs w:val="24"/>
        </w:rPr>
        <w:t xml:space="preserve"> at the date of payment.</w:t>
      </w:r>
      <w:r w:rsidRPr="00E64591">
        <w:rPr>
          <w:rFonts w:ascii="Arial" w:hAnsi="Arial" w:cs="Arial"/>
          <w:szCs w:val="24"/>
        </w:rPr>
        <w:t xml:space="preserve"> This payment is made if the </w:t>
      </w:r>
      <w:r w:rsidR="00933701" w:rsidRPr="00E64591">
        <w:rPr>
          <w:rFonts w:ascii="Arial" w:hAnsi="Arial" w:cs="Arial"/>
          <w:szCs w:val="24"/>
        </w:rPr>
        <w:t>individual</w:t>
      </w:r>
      <w:r w:rsidRPr="00E64591">
        <w:rPr>
          <w:rFonts w:ascii="Arial" w:hAnsi="Arial" w:cs="Arial"/>
          <w:szCs w:val="24"/>
        </w:rPr>
        <w:t xml:space="preserve"> has </w:t>
      </w:r>
      <w:r w:rsidR="00933701" w:rsidRPr="00E64591">
        <w:rPr>
          <w:rFonts w:ascii="Arial" w:hAnsi="Arial" w:cs="Arial"/>
          <w:szCs w:val="24"/>
        </w:rPr>
        <w:t>a financial dependant or dependants. This payment is included as an exempt lump sum to prevent the possibility that the individual has their income support payment cancelled in the period before their death.</w:t>
      </w:r>
    </w:p>
    <w:p w14:paraId="497B0520" w14:textId="21400FB0" w:rsidR="00DB2E31" w:rsidRDefault="00DB2E31" w:rsidP="00DB2E31">
      <w:pPr>
        <w:rPr>
          <w:rFonts w:ascii="Arial" w:hAnsi="Arial" w:cs="Arial"/>
          <w:szCs w:val="24"/>
        </w:rPr>
      </w:pPr>
      <w:r>
        <w:rPr>
          <w:rFonts w:ascii="Arial" w:hAnsi="Arial" w:cs="Arial"/>
          <w:szCs w:val="24"/>
        </w:rPr>
        <w:t xml:space="preserve">Amounts paid under the following classes as part of the Scheme are </w:t>
      </w:r>
      <w:r>
        <w:rPr>
          <w:rFonts w:ascii="Arial" w:hAnsi="Arial" w:cs="Arial"/>
          <w:i/>
          <w:szCs w:val="24"/>
        </w:rPr>
        <w:t>not</w:t>
      </w:r>
      <w:r>
        <w:rPr>
          <w:rFonts w:ascii="Arial" w:hAnsi="Arial" w:cs="Arial"/>
          <w:szCs w:val="24"/>
        </w:rPr>
        <w:t xml:space="preserve"> exempt lump sums</w:t>
      </w:r>
      <w:r w:rsidR="00F0733A">
        <w:rPr>
          <w:rFonts w:ascii="Arial" w:hAnsi="Arial" w:cs="Arial"/>
          <w:szCs w:val="24"/>
        </w:rPr>
        <w:t xml:space="preserve"> under this instrument</w:t>
      </w:r>
      <w:r>
        <w:rPr>
          <w:rFonts w:ascii="Arial" w:hAnsi="Arial" w:cs="Arial"/>
          <w:szCs w:val="24"/>
        </w:rPr>
        <w:t>:</w:t>
      </w:r>
    </w:p>
    <w:p w14:paraId="0F80708C" w14:textId="4B239613" w:rsidR="00DB2E31" w:rsidRPr="00E64591" w:rsidRDefault="00DB2E31" w:rsidP="00E64591">
      <w:pPr>
        <w:ind w:left="360"/>
        <w:rPr>
          <w:rFonts w:ascii="Arial" w:hAnsi="Arial" w:cs="Arial"/>
          <w:szCs w:val="24"/>
        </w:rPr>
      </w:pPr>
      <w:r w:rsidRPr="00E64591">
        <w:rPr>
          <w:rFonts w:ascii="Arial" w:hAnsi="Arial" w:cs="Arial"/>
          <w:i/>
          <w:szCs w:val="24"/>
        </w:rPr>
        <w:t>Medical costs:</w:t>
      </w:r>
      <w:r w:rsidRPr="00E64591">
        <w:rPr>
          <w:rFonts w:ascii="Arial" w:hAnsi="Arial" w:cs="Arial"/>
          <w:szCs w:val="24"/>
        </w:rPr>
        <w:t xml:space="preserve"> These are exempt under paragraph 8(8)(v) of the Act.</w:t>
      </w:r>
    </w:p>
    <w:p w14:paraId="3CB7D1DC" w14:textId="2403BC0A" w:rsidR="0046435D" w:rsidRDefault="00DB2E31" w:rsidP="00E64591">
      <w:pPr>
        <w:ind w:left="360"/>
        <w:rPr>
          <w:rFonts w:ascii="Arial" w:hAnsi="Arial" w:cs="Arial"/>
          <w:szCs w:val="24"/>
        </w:rPr>
      </w:pPr>
      <w:r w:rsidRPr="00E64591">
        <w:rPr>
          <w:rFonts w:ascii="Arial" w:hAnsi="Arial" w:cs="Arial"/>
          <w:i/>
          <w:szCs w:val="24"/>
        </w:rPr>
        <w:t>Loss of earning capacity:</w:t>
      </w:r>
      <w:r w:rsidRPr="00E64591">
        <w:rPr>
          <w:rFonts w:ascii="Arial" w:hAnsi="Arial" w:cs="Arial"/>
          <w:szCs w:val="24"/>
        </w:rPr>
        <w:t xml:space="preserve"> </w:t>
      </w:r>
      <w:r w:rsidR="0046435D">
        <w:rPr>
          <w:rFonts w:ascii="Arial" w:hAnsi="Arial" w:cs="Arial"/>
          <w:szCs w:val="24"/>
        </w:rPr>
        <w:t>These payments are subject to the compensation recovery provisions in Part 3.14 of the Act. This is because payments made wholly or partly for lost capacity to earn resulting from personal injury are considered compensation pursuant to subsection 17(2) of the Act.</w:t>
      </w:r>
    </w:p>
    <w:p w14:paraId="31B1E496" w14:textId="116289E2" w:rsidR="00933701" w:rsidRPr="00E64591" w:rsidRDefault="00DB2E31" w:rsidP="00E64591">
      <w:pPr>
        <w:ind w:left="360"/>
        <w:rPr>
          <w:rFonts w:ascii="Arial" w:hAnsi="Arial" w:cs="Arial"/>
          <w:szCs w:val="24"/>
        </w:rPr>
      </w:pPr>
      <w:r w:rsidRPr="00E64591">
        <w:rPr>
          <w:rFonts w:ascii="Arial" w:hAnsi="Arial" w:cs="Arial"/>
          <w:i/>
          <w:szCs w:val="24"/>
        </w:rPr>
        <w:t>Depe</w:t>
      </w:r>
      <w:r w:rsidR="00FD4954" w:rsidRPr="00E64591">
        <w:rPr>
          <w:rFonts w:ascii="Arial" w:hAnsi="Arial" w:cs="Arial"/>
          <w:i/>
          <w:szCs w:val="24"/>
        </w:rPr>
        <w:t xml:space="preserve">ndant </w:t>
      </w:r>
      <w:r w:rsidR="00536200">
        <w:rPr>
          <w:rFonts w:ascii="Arial" w:hAnsi="Arial" w:cs="Arial"/>
          <w:i/>
          <w:szCs w:val="24"/>
        </w:rPr>
        <w:t xml:space="preserve">lump </w:t>
      </w:r>
      <w:r w:rsidR="002A5BDB">
        <w:rPr>
          <w:rFonts w:ascii="Arial" w:hAnsi="Arial" w:cs="Arial"/>
          <w:i/>
          <w:szCs w:val="24"/>
        </w:rPr>
        <w:t xml:space="preserve">sum </w:t>
      </w:r>
      <w:r w:rsidR="00FD4954" w:rsidRPr="00E64591">
        <w:rPr>
          <w:rFonts w:ascii="Arial" w:hAnsi="Arial" w:cs="Arial"/>
          <w:i/>
          <w:szCs w:val="24"/>
        </w:rPr>
        <w:t xml:space="preserve">payment </w:t>
      </w:r>
      <w:r w:rsidR="00B52652">
        <w:rPr>
          <w:rFonts w:ascii="Arial" w:hAnsi="Arial" w:cs="Arial"/>
          <w:i/>
          <w:szCs w:val="24"/>
        </w:rPr>
        <w:t>(</w:t>
      </w:r>
      <w:r w:rsidR="00FD4954" w:rsidRPr="00E64591">
        <w:rPr>
          <w:rFonts w:ascii="Arial" w:hAnsi="Arial" w:cs="Arial"/>
          <w:i/>
          <w:szCs w:val="24"/>
        </w:rPr>
        <w:t>paid to the dependant):</w:t>
      </w:r>
      <w:r w:rsidR="00FD4954" w:rsidRPr="00E64591">
        <w:rPr>
          <w:rFonts w:ascii="Arial" w:hAnsi="Arial" w:cs="Arial"/>
          <w:szCs w:val="24"/>
        </w:rPr>
        <w:t xml:space="preserve"> </w:t>
      </w:r>
      <w:r w:rsidR="00933701" w:rsidRPr="00E64591">
        <w:rPr>
          <w:rFonts w:ascii="Arial" w:hAnsi="Arial" w:cs="Arial"/>
          <w:szCs w:val="24"/>
        </w:rPr>
        <w:t xml:space="preserve">An amount paid to the financial dependant or dependants of the individual where the individual has died. The amount is based on the individual’s age at the time of death. These payments would be considered income for the purposes of the social security income test. This is because the dependant is no longer receiving support from the individual and they have discretion </w:t>
      </w:r>
      <w:r w:rsidR="008402D9">
        <w:rPr>
          <w:rFonts w:ascii="Arial" w:hAnsi="Arial" w:cs="Arial"/>
          <w:szCs w:val="24"/>
        </w:rPr>
        <w:t>as to</w:t>
      </w:r>
      <w:r w:rsidR="008402D9" w:rsidRPr="00E64591">
        <w:rPr>
          <w:rFonts w:ascii="Arial" w:hAnsi="Arial" w:cs="Arial"/>
          <w:szCs w:val="24"/>
        </w:rPr>
        <w:t xml:space="preserve"> </w:t>
      </w:r>
      <w:r w:rsidR="00933701" w:rsidRPr="00E64591">
        <w:rPr>
          <w:rFonts w:ascii="Arial" w:hAnsi="Arial" w:cs="Arial"/>
          <w:szCs w:val="24"/>
        </w:rPr>
        <w:t>how they use this amount to support themselves.</w:t>
      </w:r>
    </w:p>
    <w:p w14:paraId="6C6E9EDD" w14:textId="51A939A8" w:rsidR="00A84A51" w:rsidRPr="00E64591" w:rsidRDefault="00E64591" w:rsidP="00E64591">
      <w:pPr>
        <w:ind w:left="360"/>
        <w:rPr>
          <w:rFonts w:ascii="Arial" w:hAnsi="Arial" w:cs="Arial"/>
          <w:szCs w:val="24"/>
        </w:rPr>
      </w:pPr>
      <w:r w:rsidRPr="00E64591">
        <w:rPr>
          <w:rFonts w:ascii="Arial" w:hAnsi="Arial" w:cs="Arial"/>
          <w:i/>
          <w:szCs w:val="24"/>
        </w:rPr>
        <w:lastRenderedPageBreak/>
        <w:t>Dependent</w:t>
      </w:r>
      <w:r w:rsidR="00B56A92">
        <w:rPr>
          <w:rFonts w:ascii="Arial" w:hAnsi="Arial" w:cs="Arial"/>
          <w:i/>
          <w:szCs w:val="24"/>
        </w:rPr>
        <w:t xml:space="preserve"> child payment:</w:t>
      </w:r>
      <w:r w:rsidR="00DB2E31" w:rsidRPr="00E64591">
        <w:rPr>
          <w:rFonts w:ascii="Arial" w:hAnsi="Arial" w:cs="Arial"/>
          <w:szCs w:val="24"/>
        </w:rPr>
        <w:t xml:space="preserve"> </w:t>
      </w:r>
      <w:r w:rsidR="00CF1373" w:rsidRPr="00E64591">
        <w:rPr>
          <w:rFonts w:ascii="Arial" w:hAnsi="Arial" w:cs="Arial"/>
          <w:szCs w:val="24"/>
        </w:rPr>
        <w:t xml:space="preserve">An amount paid to each of the individual’s </w:t>
      </w:r>
      <w:r w:rsidRPr="00E64591">
        <w:rPr>
          <w:rFonts w:ascii="Arial" w:hAnsi="Arial" w:cs="Arial"/>
          <w:szCs w:val="24"/>
        </w:rPr>
        <w:t>dependent</w:t>
      </w:r>
      <w:r w:rsidR="00CF1373" w:rsidRPr="00E64591">
        <w:rPr>
          <w:rFonts w:ascii="Arial" w:hAnsi="Arial" w:cs="Arial"/>
          <w:szCs w:val="24"/>
        </w:rPr>
        <w:t xml:space="preserve"> children, or </w:t>
      </w:r>
      <w:r w:rsidR="001249D6" w:rsidRPr="00E64591">
        <w:rPr>
          <w:rFonts w:ascii="Arial" w:hAnsi="Arial" w:cs="Arial"/>
          <w:szCs w:val="24"/>
        </w:rPr>
        <w:t xml:space="preserve">to </w:t>
      </w:r>
      <w:r w:rsidR="00CF1373" w:rsidRPr="00E64591">
        <w:rPr>
          <w:rFonts w:ascii="Arial" w:hAnsi="Arial" w:cs="Arial"/>
          <w:szCs w:val="24"/>
        </w:rPr>
        <w:t>the primary carer</w:t>
      </w:r>
      <w:r w:rsidR="001249D6" w:rsidRPr="00E64591">
        <w:rPr>
          <w:rFonts w:ascii="Arial" w:hAnsi="Arial" w:cs="Arial"/>
          <w:szCs w:val="24"/>
        </w:rPr>
        <w:t xml:space="preserve"> of the </w:t>
      </w:r>
      <w:r w:rsidRPr="00E64591">
        <w:rPr>
          <w:rFonts w:ascii="Arial" w:hAnsi="Arial" w:cs="Arial"/>
          <w:szCs w:val="24"/>
        </w:rPr>
        <w:t>dependent</w:t>
      </w:r>
      <w:r w:rsidR="001249D6" w:rsidRPr="00E64591">
        <w:rPr>
          <w:rFonts w:ascii="Arial" w:hAnsi="Arial" w:cs="Arial"/>
          <w:szCs w:val="24"/>
        </w:rPr>
        <w:t xml:space="preserve"> children for the benefit of the children</w:t>
      </w:r>
      <w:r>
        <w:rPr>
          <w:rFonts w:ascii="Arial" w:hAnsi="Arial" w:cs="Arial"/>
          <w:szCs w:val="24"/>
        </w:rPr>
        <w:t xml:space="preserve"> if the children are under 18 years of age</w:t>
      </w:r>
      <w:r w:rsidR="001249D6" w:rsidRPr="00E64591">
        <w:rPr>
          <w:rFonts w:ascii="Arial" w:hAnsi="Arial" w:cs="Arial"/>
          <w:szCs w:val="24"/>
        </w:rPr>
        <w:t>.</w:t>
      </w:r>
      <w:r w:rsidR="007518F4" w:rsidRPr="00E64591">
        <w:rPr>
          <w:rFonts w:ascii="Arial" w:hAnsi="Arial" w:cs="Arial"/>
          <w:szCs w:val="24"/>
        </w:rPr>
        <w:t xml:space="preserve"> Where the payment is made to a financially dependent child, the payment would be considered income for the purposes of the social security test. This is because </w:t>
      </w:r>
      <w:r w:rsidR="00E77D25" w:rsidRPr="00E64591">
        <w:rPr>
          <w:rFonts w:ascii="Arial" w:hAnsi="Arial" w:cs="Arial"/>
          <w:szCs w:val="24"/>
        </w:rPr>
        <w:t>the depend</w:t>
      </w:r>
      <w:r w:rsidR="00BC63BE">
        <w:rPr>
          <w:rFonts w:ascii="Arial" w:hAnsi="Arial" w:cs="Arial"/>
          <w:szCs w:val="24"/>
        </w:rPr>
        <w:t>ant may</w:t>
      </w:r>
      <w:r w:rsidR="00E77D25" w:rsidRPr="00E64591">
        <w:rPr>
          <w:rFonts w:ascii="Arial" w:hAnsi="Arial" w:cs="Arial"/>
          <w:szCs w:val="24"/>
        </w:rPr>
        <w:t xml:space="preserve"> no longer </w:t>
      </w:r>
      <w:r w:rsidR="00BC63BE">
        <w:rPr>
          <w:rFonts w:ascii="Arial" w:hAnsi="Arial" w:cs="Arial"/>
          <w:szCs w:val="24"/>
        </w:rPr>
        <w:t xml:space="preserve">be </w:t>
      </w:r>
      <w:r w:rsidR="00E77D25" w:rsidRPr="00E64591">
        <w:rPr>
          <w:rFonts w:ascii="Arial" w:hAnsi="Arial" w:cs="Arial"/>
          <w:szCs w:val="24"/>
        </w:rPr>
        <w:t xml:space="preserve">receiving support from the individual and they have discretion </w:t>
      </w:r>
      <w:r w:rsidR="008402D9">
        <w:rPr>
          <w:rFonts w:ascii="Arial" w:hAnsi="Arial" w:cs="Arial"/>
          <w:szCs w:val="24"/>
        </w:rPr>
        <w:t>as to</w:t>
      </w:r>
      <w:r w:rsidR="008402D9" w:rsidRPr="00E64591">
        <w:rPr>
          <w:rFonts w:ascii="Arial" w:hAnsi="Arial" w:cs="Arial"/>
          <w:szCs w:val="24"/>
        </w:rPr>
        <w:t xml:space="preserve"> </w:t>
      </w:r>
      <w:r w:rsidR="00E77D25" w:rsidRPr="00E64591">
        <w:rPr>
          <w:rFonts w:ascii="Arial" w:hAnsi="Arial" w:cs="Arial"/>
          <w:szCs w:val="24"/>
        </w:rPr>
        <w:t>how they use this amount to support themselves.</w:t>
      </w:r>
      <w:r w:rsidRPr="00E64591">
        <w:rPr>
          <w:rFonts w:ascii="Arial" w:hAnsi="Arial" w:cs="Arial"/>
          <w:szCs w:val="24"/>
        </w:rPr>
        <w:t xml:space="preserve"> </w:t>
      </w:r>
      <w:r>
        <w:rPr>
          <w:rFonts w:ascii="Arial" w:hAnsi="Arial" w:cs="Arial"/>
          <w:szCs w:val="24"/>
        </w:rPr>
        <w:t>Where the payment is made to the primary carer</w:t>
      </w:r>
      <w:r w:rsidR="008402D9">
        <w:rPr>
          <w:rFonts w:ascii="Arial" w:hAnsi="Arial" w:cs="Arial"/>
          <w:szCs w:val="24"/>
        </w:rPr>
        <w:t xml:space="preserve"> of the dependent child</w:t>
      </w:r>
      <w:r>
        <w:rPr>
          <w:rFonts w:ascii="Arial" w:hAnsi="Arial" w:cs="Arial"/>
          <w:szCs w:val="24"/>
        </w:rPr>
        <w:t xml:space="preserve">, the payment would be excluded as income under paragraph 8(8)(j) of the Act as a payment made for or </w:t>
      </w:r>
      <w:r w:rsidR="00EE36FB">
        <w:rPr>
          <w:rFonts w:ascii="Arial" w:hAnsi="Arial" w:cs="Arial"/>
          <w:szCs w:val="24"/>
        </w:rPr>
        <w:t>in respect of a </w:t>
      </w:r>
      <w:r>
        <w:rPr>
          <w:rFonts w:ascii="Arial" w:hAnsi="Arial" w:cs="Arial"/>
          <w:szCs w:val="24"/>
        </w:rPr>
        <w:t>dependent child.</w:t>
      </w:r>
      <w:r w:rsidR="0046435D">
        <w:rPr>
          <w:rFonts w:ascii="Arial" w:hAnsi="Arial" w:cs="Arial"/>
          <w:szCs w:val="24"/>
        </w:rPr>
        <w:t xml:space="preserve"> Dependent child is defined at subsections 5(2) to (8A) of the Act.</w:t>
      </w:r>
    </w:p>
    <w:p w14:paraId="6949D720" w14:textId="185CC8A2" w:rsidR="00346A79" w:rsidRPr="00346A79" w:rsidRDefault="00346A7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terms and conditions of the Scheme can be found on the ACT Chief Minister, Treasury and Economic Development Directorate website: </w:t>
      </w:r>
      <w:hyperlink r:id="rId8" w:history="1">
        <w:r w:rsidRPr="00346A79">
          <w:rPr>
            <w:rStyle w:val="Hyperlink"/>
            <w:rFonts w:ascii="Arial" w:hAnsi="Arial" w:cs="Arial"/>
            <w:szCs w:val="24"/>
          </w:rPr>
          <w:t>https://www.cmtedd.act.gov.au/industrial-relations-and-public-sector-management/wsir/loose-fill-asbestos-disease-support-scheme</w:t>
        </w:r>
      </w:hyperlink>
    </w:p>
    <w:p w14:paraId="6AD1671D" w14:textId="7A4CA459"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E6DB3D9" w14:textId="40864841" w:rsidR="000B4130" w:rsidRDefault="00DB2E3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Determination </w:t>
      </w:r>
      <w:r w:rsidR="000B4130" w:rsidRPr="00BC76EB">
        <w:rPr>
          <w:rStyle w:val="BookTitle"/>
          <w:rFonts w:ascii="Arial" w:hAnsi="Arial" w:cs="Arial"/>
          <w:i w:val="0"/>
          <w:iCs w:val="0"/>
          <w:smallCaps w:val="0"/>
          <w:spacing w:val="0"/>
          <w:szCs w:val="24"/>
        </w:rPr>
        <w:t xml:space="preserve">commences on </w:t>
      </w:r>
      <w:r w:rsidR="000B4130" w:rsidRPr="00B56A92">
        <w:rPr>
          <w:rStyle w:val="BookTitle"/>
          <w:rFonts w:ascii="Arial" w:hAnsi="Arial" w:cs="Arial"/>
          <w:i w:val="0"/>
          <w:iCs w:val="0"/>
          <w:smallCaps w:val="0"/>
          <w:spacing w:val="0"/>
          <w:szCs w:val="24"/>
        </w:rPr>
        <w:t>the day after it is registered</w:t>
      </w:r>
      <w:r w:rsidRPr="00B56A92">
        <w:rPr>
          <w:rStyle w:val="BookTitle"/>
          <w:rFonts w:ascii="Arial" w:hAnsi="Arial" w:cs="Arial"/>
          <w:i w:val="0"/>
          <w:iCs w:val="0"/>
          <w:smallCaps w:val="0"/>
          <w:spacing w:val="0"/>
          <w:szCs w:val="24"/>
        </w:rPr>
        <w:t>.</w:t>
      </w:r>
    </w:p>
    <w:p w14:paraId="043286DE" w14:textId="0D71DB6D" w:rsidR="006A6D51" w:rsidRPr="0046435D" w:rsidRDefault="006A6D51" w:rsidP="00E01E71">
      <w:pPr>
        <w:rPr>
          <w:rStyle w:val="BookTitle"/>
          <w:rFonts w:ascii="Arial" w:hAnsi="Arial" w:cs="Arial"/>
          <w:b/>
          <w:i w:val="0"/>
          <w:iCs w:val="0"/>
          <w:smallCaps w:val="0"/>
          <w:spacing w:val="0"/>
          <w:szCs w:val="24"/>
        </w:rPr>
      </w:pPr>
      <w:r w:rsidRPr="0046435D">
        <w:rPr>
          <w:rStyle w:val="BookTitle"/>
          <w:rFonts w:ascii="Arial" w:hAnsi="Arial" w:cs="Arial"/>
          <w:b/>
          <w:i w:val="0"/>
          <w:iCs w:val="0"/>
          <w:smallCaps w:val="0"/>
          <w:spacing w:val="0"/>
          <w:szCs w:val="24"/>
        </w:rPr>
        <w:t>Consultation</w:t>
      </w:r>
    </w:p>
    <w:p w14:paraId="63FB9A78" w14:textId="6306EB64" w:rsidR="00B7723F" w:rsidRPr="00B7723F" w:rsidRDefault="00674470" w:rsidP="00E01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ACT Government, the Department of Infrastructure, Transport, Regional Development and Communications, t</w:t>
      </w:r>
      <w:r w:rsidR="00B7723F">
        <w:rPr>
          <w:rStyle w:val="BookTitle"/>
          <w:rFonts w:ascii="Arial" w:hAnsi="Arial" w:cs="Arial"/>
          <w:i w:val="0"/>
          <w:iCs w:val="0"/>
          <w:smallCaps w:val="0"/>
          <w:spacing w:val="0"/>
          <w:szCs w:val="24"/>
        </w:rPr>
        <w:t>he Department of Veterans’ Affairs</w:t>
      </w:r>
      <w:r>
        <w:rPr>
          <w:rStyle w:val="BookTitle"/>
          <w:rFonts w:ascii="Arial" w:hAnsi="Arial" w:cs="Arial"/>
          <w:i w:val="0"/>
          <w:iCs w:val="0"/>
          <w:smallCaps w:val="0"/>
          <w:spacing w:val="0"/>
          <w:szCs w:val="24"/>
        </w:rPr>
        <w:t>,</w:t>
      </w:r>
      <w:r w:rsidR="00B7723F">
        <w:rPr>
          <w:rStyle w:val="BookTitle"/>
          <w:rFonts w:ascii="Arial" w:hAnsi="Arial" w:cs="Arial"/>
          <w:i w:val="0"/>
          <w:iCs w:val="0"/>
          <w:smallCaps w:val="0"/>
          <w:spacing w:val="0"/>
          <w:szCs w:val="24"/>
        </w:rPr>
        <w:t xml:space="preserve"> and the Department of Agriculture, Water and the Environment</w:t>
      </w:r>
      <w:r>
        <w:rPr>
          <w:rStyle w:val="BookTitle"/>
          <w:rFonts w:ascii="Arial" w:hAnsi="Arial" w:cs="Arial"/>
          <w:i w:val="0"/>
          <w:iCs w:val="0"/>
          <w:smallCaps w:val="0"/>
          <w:spacing w:val="0"/>
          <w:szCs w:val="24"/>
        </w:rPr>
        <w:t xml:space="preserve"> </w:t>
      </w:r>
      <w:r w:rsidR="00B7723F">
        <w:rPr>
          <w:rStyle w:val="BookTitle"/>
          <w:rFonts w:ascii="Arial" w:hAnsi="Arial" w:cs="Arial"/>
          <w:i w:val="0"/>
          <w:iCs w:val="0"/>
          <w:smallCaps w:val="0"/>
          <w:spacing w:val="0"/>
          <w:szCs w:val="24"/>
        </w:rPr>
        <w:t>were consulted on the intention to make this instrument.</w:t>
      </w:r>
      <w:r w:rsidR="005B6C3D">
        <w:rPr>
          <w:rStyle w:val="BookTitle"/>
          <w:rFonts w:ascii="Arial" w:hAnsi="Arial" w:cs="Arial"/>
          <w:i w:val="0"/>
          <w:iCs w:val="0"/>
          <w:smallCaps w:val="0"/>
          <w:spacing w:val="0"/>
          <w:szCs w:val="24"/>
        </w:rPr>
        <w:t xml:space="preserve"> No significant concerns were raised.</w:t>
      </w:r>
    </w:p>
    <w:p w14:paraId="19D63544" w14:textId="77777777" w:rsidR="002329E1" w:rsidRPr="00BC76EB" w:rsidRDefault="002329E1" w:rsidP="003A04AD">
      <w:pPr>
        <w:spacing w:after="240"/>
        <w:jc w:val="both"/>
        <w:rPr>
          <w:rFonts w:ascii="Arial" w:hAnsi="Arial" w:cs="Arial"/>
          <w:b/>
          <w:szCs w:val="24"/>
        </w:rPr>
      </w:pPr>
      <w:r w:rsidRPr="0046435D">
        <w:rPr>
          <w:rFonts w:ascii="Arial" w:hAnsi="Arial" w:cs="Arial"/>
          <w:b/>
          <w:szCs w:val="24"/>
        </w:rPr>
        <w:t>Regulat</w:t>
      </w:r>
      <w:r w:rsidR="00D459E0" w:rsidRPr="0046435D">
        <w:rPr>
          <w:rFonts w:ascii="Arial" w:hAnsi="Arial" w:cs="Arial"/>
          <w:b/>
          <w:szCs w:val="24"/>
        </w:rPr>
        <w:t>ion</w:t>
      </w:r>
      <w:r w:rsidRPr="0046435D">
        <w:rPr>
          <w:rFonts w:ascii="Arial" w:hAnsi="Arial" w:cs="Arial"/>
          <w:b/>
          <w:szCs w:val="24"/>
        </w:rPr>
        <w:t xml:space="preserve"> Impact </w:t>
      </w:r>
      <w:r w:rsidR="00D459E0" w:rsidRPr="0046435D">
        <w:rPr>
          <w:rFonts w:ascii="Arial" w:hAnsi="Arial" w:cs="Arial"/>
          <w:b/>
          <w:szCs w:val="24"/>
        </w:rPr>
        <w:t>Statement</w:t>
      </w:r>
      <w:r w:rsidR="00F52853" w:rsidRPr="0046435D">
        <w:rPr>
          <w:rFonts w:ascii="Arial" w:hAnsi="Arial" w:cs="Arial"/>
          <w:b/>
          <w:szCs w:val="24"/>
        </w:rPr>
        <w:t xml:space="preserve"> (RIS)</w:t>
      </w:r>
    </w:p>
    <w:p w14:paraId="49C63A3C" w14:textId="09E4246C" w:rsidR="00D367AA" w:rsidRPr="00BC76EB" w:rsidRDefault="00674470" w:rsidP="00C37944">
      <w:pPr>
        <w:spacing w:before="120"/>
        <w:rPr>
          <w:rFonts w:ascii="Arial" w:hAnsi="Arial" w:cs="Arial"/>
          <w:szCs w:val="24"/>
        </w:rPr>
      </w:pPr>
      <w:r>
        <w:rPr>
          <w:rFonts w:ascii="Arial" w:hAnsi="Arial" w:cs="Arial"/>
          <w:szCs w:val="24"/>
        </w:rPr>
        <w:t xml:space="preserve">A Regulatory Impact Assessment is not required (OBPR Ref No: </w:t>
      </w:r>
      <w:r w:rsidRPr="0046435D">
        <w:rPr>
          <w:rFonts w:ascii="Arial" w:hAnsi="Arial" w:cs="Arial"/>
          <w:szCs w:val="24"/>
        </w:rPr>
        <w:t>OBPR22-02019</w:t>
      </w:r>
      <w:r>
        <w:rPr>
          <w:rFonts w:ascii="Arial" w:hAnsi="Arial" w:cs="Arial"/>
          <w:szCs w:val="24"/>
        </w:rPr>
        <w:t>)</w:t>
      </w:r>
      <w:r w:rsidR="0046435D">
        <w:rPr>
          <w:rFonts w:ascii="Arial" w:hAnsi="Arial" w:cs="Arial"/>
          <w:szCs w:val="24"/>
        </w:rPr>
        <w:t>.</w:t>
      </w:r>
    </w:p>
    <w:p w14:paraId="0CA391CF" w14:textId="559A4A90" w:rsidR="00DB2E31" w:rsidRPr="00BC76EB" w:rsidRDefault="00DB2E31" w:rsidP="00DB2E31">
      <w:pPr>
        <w:spacing w:before="120"/>
        <w:rPr>
          <w:rFonts w:ascii="Arial" w:hAnsi="Arial" w:cs="Arial"/>
          <w:szCs w:val="24"/>
        </w:rPr>
      </w:pPr>
      <w:r w:rsidRPr="00630AAE">
        <w:rPr>
          <w:rFonts w:ascii="Arial" w:hAnsi="Arial" w:cs="Arial"/>
          <w:szCs w:val="24"/>
        </w:rPr>
        <w:t>Subsection 33(3) of the </w:t>
      </w:r>
      <w:r w:rsidRPr="00630AAE">
        <w:rPr>
          <w:rFonts w:ascii="Arial" w:hAnsi="Arial" w:cs="Arial"/>
          <w:i/>
          <w:iCs/>
          <w:szCs w:val="24"/>
        </w:rPr>
        <w:t>Acts Interpretation Act 1901</w:t>
      </w:r>
      <w:r w:rsidRPr="00630AAE">
        <w:rPr>
          <w:rFonts w:ascii="Arial" w:hAnsi="Arial" w:cs="Arial"/>
          <w:szCs w:val="24"/>
        </w:rPr>
        <w:t> provides that where an Act confers a power to make, grant or issue any</w:t>
      </w:r>
      <w:r>
        <w:rPr>
          <w:rFonts w:ascii="Arial" w:hAnsi="Arial" w:cs="Arial"/>
          <w:szCs w:val="24"/>
        </w:rPr>
        <w:t xml:space="preserve"> instrument of a legislative or </w:t>
      </w:r>
      <w:r w:rsidRPr="00630AAE">
        <w:rPr>
          <w:rFonts w:ascii="Arial" w:hAnsi="Arial" w:cs="Arial"/>
          <w:szCs w:val="24"/>
        </w:rPr>
        <w:t>administrative character (including rules, regulations or by-laws), the power shall be construed as including a power exercisable in the like manner and subject to the like conditions (if any) to repeal, rescind, revoke, am</w:t>
      </w:r>
      <w:r>
        <w:rPr>
          <w:rFonts w:ascii="Arial" w:hAnsi="Arial" w:cs="Arial"/>
          <w:szCs w:val="24"/>
        </w:rPr>
        <w:t xml:space="preserve">end or vary any such instrument. The Secretary </w:t>
      </w:r>
      <w:r w:rsidR="00EE3A56">
        <w:rPr>
          <w:rFonts w:ascii="Arial" w:hAnsi="Arial" w:cs="Arial"/>
          <w:szCs w:val="24"/>
        </w:rPr>
        <w:t xml:space="preserve">or their delegate </w:t>
      </w:r>
      <w:r>
        <w:rPr>
          <w:rFonts w:ascii="Arial" w:hAnsi="Arial" w:cs="Arial"/>
          <w:szCs w:val="24"/>
        </w:rPr>
        <w:t xml:space="preserve">has the power under paragraph 8(11)(d) of the Act to </w:t>
      </w:r>
      <w:r w:rsidR="00170D96">
        <w:rPr>
          <w:rFonts w:ascii="Arial" w:hAnsi="Arial" w:cs="Arial"/>
          <w:szCs w:val="24"/>
        </w:rPr>
        <w:t xml:space="preserve">make </w:t>
      </w:r>
      <w:r w:rsidR="00302555">
        <w:rPr>
          <w:rFonts w:ascii="Arial" w:hAnsi="Arial" w:cs="Arial"/>
          <w:szCs w:val="24"/>
        </w:rPr>
        <w:t>this</w:t>
      </w:r>
      <w:r>
        <w:rPr>
          <w:rFonts w:ascii="Arial" w:hAnsi="Arial" w:cs="Arial"/>
          <w:szCs w:val="24"/>
        </w:rPr>
        <w:t xml:space="preserve"> Determination.</w:t>
      </w:r>
    </w:p>
    <w:p w14:paraId="189D994E" w14:textId="77777777" w:rsidR="00946E6D" w:rsidRDefault="0006693F" w:rsidP="00C37944">
      <w:pPr>
        <w:spacing w:before="120"/>
        <w:rPr>
          <w:rFonts w:ascii="Arial" w:hAnsi="Arial" w:cs="Arial"/>
          <w:b/>
          <w:szCs w:val="24"/>
        </w:rPr>
      </w:pPr>
      <w:r>
        <w:rPr>
          <w:rFonts w:ascii="Arial" w:hAnsi="Arial" w:cs="Arial"/>
          <w:b/>
          <w:szCs w:val="24"/>
        </w:rPr>
        <w:t>Availability of independent review</w:t>
      </w:r>
    </w:p>
    <w:p w14:paraId="3AB4CFF1" w14:textId="167C4E7E" w:rsidR="00E77A27" w:rsidRDefault="00E77A27" w:rsidP="00C37944">
      <w:pPr>
        <w:spacing w:before="120"/>
        <w:rPr>
          <w:rFonts w:ascii="Arial" w:hAnsi="Arial" w:cs="Arial"/>
          <w:szCs w:val="24"/>
        </w:rPr>
      </w:pPr>
      <w:r>
        <w:rPr>
          <w:rFonts w:ascii="Arial" w:hAnsi="Arial" w:cs="Arial"/>
          <w:szCs w:val="24"/>
        </w:rPr>
        <w:t xml:space="preserve">The Determination specifies that certain lump sum payments made under the Scheme are exempt from the social security income test. </w:t>
      </w:r>
    </w:p>
    <w:p w14:paraId="39DBF271" w14:textId="692A359C" w:rsidR="00E77A27" w:rsidRDefault="00E77A27" w:rsidP="00C37944">
      <w:pPr>
        <w:spacing w:before="120"/>
        <w:rPr>
          <w:rFonts w:ascii="Arial" w:hAnsi="Arial" w:cs="Arial"/>
          <w:szCs w:val="24"/>
        </w:rPr>
      </w:pPr>
      <w:r>
        <w:rPr>
          <w:rFonts w:ascii="Arial" w:hAnsi="Arial" w:cs="Arial"/>
          <w:szCs w:val="24"/>
        </w:rPr>
        <w:t>A decision on the assessment of an individual’s income</w:t>
      </w:r>
      <w:r w:rsidR="00920788">
        <w:rPr>
          <w:rFonts w:ascii="Arial" w:hAnsi="Arial" w:cs="Arial"/>
          <w:szCs w:val="24"/>
        </w:rPr>
        <w:t xml:space="preserve"> as part of the social security income test, which may involve a</w:t>
      </w:r>
      <w:r>
        <w:rPr>
          <w:rFonts w:ascii="Arial" w:hAnsi="Arial" w:cs="Arial"/>
          <w:szCs w:val="24"/>
        </w:rPr>
        <w:t xml:space="preserve"> payment covered by this Determination, </w:t>
      </w:r>
      <w:r w:rsidR="00920788">
        <w:rPr>
          <w:rFonts w:ascii="Arial" w:hAnsi="Arial" w:cs="Arial"/>
          <w:szCs w:val="24"/>
        </w:rPr>
        <w:t xml:space="preserve">is subject to internal and external review under the Act and Parts 4 and 4A of the </w:t>
      </w:r>
      <w:r w:rsidR="00920788">
        <w:rPr>
          <w:rFonts w:ascii="Arial" w:hAnsi="Arial" w:cs="Arial"/>
          <w:i/>
          <w:szCs w:val="24"/>
        </w:rPr>
        <w:t>Social Security (Administration) Act 1999</w:t>
      </w:r>
      <w:r w:rsidR="00920788">
        <w:rPr>
          <w:rFonts w:ascii="Arial" w:hAnsi="Arial" w:cs="Arial"/>
          <w:szCs w:val="24"/>
        </w:rPr>
        <w:t>.</w:t>
      </w:r>
    </w:p>
    <w:p w14:paraId="3784AA77" w14:textId="50B0D615" w:rsidR="00DB2E31" w:rsidRPr="00351E79" w:rsidRDefault="00DB2E31" w:rsidP="00C37944">
      <w:pPr>
        <w:spacing w:before="120"/>
        <w:rPr>
          <w:rFonts w:ascii="Arial" w:hAnsi="Arial" w:cs="Arial"/>
          <w:szCs w:val="24"/>
        </w:rPr>
      </w:pPr>
      <w:r>
        <w:rPr>
          <w:rStyle w:val="BookTitle"/>
          <w:rFonts w:ascii="Arial" w:hAnsi="Arial" w:cs="Arial"/>
          <w:i w:val="0"/>
          <w:iCs w:val="0"/>
          <w:smallCaps w:val="0"/>
          <w:spacing w:val="0"/>
          <w:szCs w:val="24"/>
        </w:rPr>
        <w:t xml:space="preserve">The Determination is a legislative instrument for the purposes of the </w:t>
      </w:r>
      <w:r>
        <w:rPr>
          <w:rStyle w:val="BookTitle"/>
          <w:rFonts w:ascii="Arial" w:hAnsi="Arial" w:cs="Arial"/>
          <w:iCs w:val="0"/>
          <w:smallCaps w:val="0"/>
          <w:spacing w:val="0"/>
          <w:szCs w:val="24"/>
        </w:rPr>
        <w:t>Legislation Act 2003</w:t>
      </w:r>
      <w:r>
        <w:rPr>
          <w:rStyle w:val="BookTitle"/>
          <w:rFonts w:ascii="Arial" w:hAnsi="Arial" w:cs="Arial"/>
          <w:i w:val="0"/>
          <w:iCs w:val="0"/>
          <w:smallCaps w:val="0"/>
          <w:spacing w:val="0"/>
          <w:szCs w:val="24"/>
        </w:rPr>
        <w:t xml:space="preserve"> and is subject to disallowance.</w:t>
      </w:r>
    </w:p>
    <w:p w14:paraId="44261432" w14:textId="77777777" w:rsidR="001C2000" w:rsidRDefault="001C2000" w:rsidP="003A04AD">
      <w:pPr>
        <w:rPr>
          <w:rStyle w:val="BookTitle"/>
          <w:rFonts w:ascii="Arial" w:hAnsi="Arial" w:cs="Arial"/>
          <w:b/>
          <w:i w:val="0"/>
          <w:iCs w:val="0"/>
          <w:smallCaps w:val="0"/>
          <w:spacing w:val="0"/>
          <w:szCs w:val="24"/>
        </w:rPr>
      </w:pPr>
    </w:p>
    <w:p w14:paraId="3FFD339E" w14:textId="3B90FC26" w:rsidR="006A6D51" w:rsidRPr="00BC76EB" w:rsidRDefault="006A6D51" w:rsidP="003A04AD">
      <w:pPr>
        <w:rPr>
          <w:rStyle w:val="BookTitle"/>
          <w:rFonts w:ascii="Arial" w:hAnsi="Arial" w:cs="Arial"/>
          <w:b/>
          <w:i w:val="0"/>
          <w:iCs w:val="0"/>
          <w:smallCaps w:val="0"/>
          <w:spacing w:val="0"/>
          <w:szCs w:val="24"/>
        </w:rPr>
      </w:pPr>
      <w:bookmarkStart w:id="0" w:name="_GoBack"/>
      <w:bookmarkEnd w:id="0"/>
      <w:r w:rsidRPr="00BC76EB">
        <w:rPr>
          <w:rStyle w:val="BookTitle"/>
          <w:rFonts w:ascii="Arial" w:hAnsi="Arial" w:cs="Arial"/>
          <w:b/>
          <w:i w:val="0"/>
          <w:iCs w:val="0"/>
          <w:smallCaps w:val="0"/>
          <w:spacing w:val="0"/>
          <w:szCs w:val="24"/>
        </w:rPr>
        <w:lastRenderedPageBreak/>
        <w:t>Explanation of the provisions</w:t>
      </w:r>
    </w:p>
    <w:p w14:paraId="2F67BE54" w14:textId="1055FC55" w:rsidR="00732E65" w:rsidRDefault="00365424" w:rsidP="00732E65">
      <w:pPr>
        <w:rPr>
          <w:rStyle w:val="BookTitle"/>
          <w:rFonts w:ascii="Arial" w:hAnsi="Arial" w:cs="Arial"/>
          <w:i w:val="0"/>
          <w:iCs w:val="0"/>
          <w:smallCaps w:val="0"/>
          <w:spacing w:val="0"/>
          <w:szCs w:val="24"/>
        </w:rPr>
      </w:pPr>
      <w:r w:rsidRPr="00732E65">
        <w:rPr>
          <w:rStyle w:val="BookTitle"/>
          <w:rFonts w:ascii="Arial" w:hAnsi="Arial" w:cs="Arial"/>
          <w:b/>
          <w:i w:val="0"/>
          <w:iCs w:val="0"/>
          <w:smallCaps w:val="0"/>
          <w:spacing w:val="0"/>
          <w:szCs w:val="24"/>
        </w:rPr>
        <w:t>Section</w:t>
      </w:r>
      <w:r w:rsidR="00871F28" w:rsidRPr="00732E65">
        <w:rPr>
          <w:rStyle w:val="BookTitle"/>
          <w:rFonts w:ascii="Arial" w:hAnsi="Arial" w:cs="Arial"/>
          <w:b/>
          <w:i w:val="0"/>
          <w:iCs w:val="0"/>
          <w:smallCaps w:val="0"/>
          <w:spacing w:val="0"/>
          <w:szCs w:val="24"/>
        </w:rPr>
        <w:t xml:space="preserve"> 1 </w:t>
      </w:r>
      <w:r w:rsidR="00732E65">
        <w:rPr>
          <w:rStyle w:val="BookTitle"/>
          <w:rFonts w:ascii="Arial" w:hAnsi="Arial" w:cs="Arial"/>
          <w:i w:val="0"/>
          <w:iCs w:val="0"/>
          <w:smallCaps w:val="0"/>
          <w:spacing w:val="0"/>
          <w:szCs w:val="24"/>
        </w:rPr>
        <w:t xml:space="preserve">states that the name of the Determination is the Social Security (Exempt Lump Sum – ACT Loose-Fill Asbestos Disease Support Scheme Payments) Determination </w:t>
      </w:r>
      <w:r w:rsidR="00C51BFC">
        <w:rPr>
          <w:rStyle w:val="BookTitle"/>
          <w:rFonts w:ascii="Arial" w:hAnsi="Arial" w:cs="Arial"/>
          <w:i w:val="0"/>
          <w:iCs w:val="0"/>
          <w:smallCaps w:val="0"/>
          <w:spacing w:val="0"/>
          <w:szCs w:val="24"/>
        </w:rPr>
        <w:t>2022.</w:t>
      </w:r>
      <w:bookmarkStart w:id="1" w:name="_Toc290210739"/>
    </w:p>
    <w:p w14:paraId="479C01CE" w14:textId="77777777" w:rsidR="00732E65" w:rsidRDefault="00732E65" w:rsidP="00732E65">
      <w:pPr>
        <w:spacing w:before="0"/>
        <w:rPr>
          <w:rStyle w:val="BookTitle"/>
          <w:rFonts w:ascii="Arial" w:hAnsi="Arial" w:cs="Arial"/>
          <w:i w:val="0"/>
          <w:iCs w:val="0"/>
          <w:smallCaps w:val="0"/>
          <w:spacing w:val="0"/>
          <w:szCs w:val="24"/>
        </w:rPr>
      </w:pPr>
    </w:p>
    <w:p w14:paraId="3B402A5E" w14:textId="7733264F"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sets out that the Determination commences on the day after it is registered on the Federal Register of Legislation.</w:t>
      </w:r>
    </w:p>
    <w:p w14:paraId="2B3DA696" w14:textId="77777777" w:rsidR="00732E65" w:rsidRDefault="00732E65" w:rsidP="00732E65">
      <w:pPr>
        <w:spacing w:before="0"/>
        <w:rPr>
          <w:rStyle w:val="BookTitle"/>
          <w:rFonts w:ascii="Arial" w:hAnsi="Arial" w:cs="Arial"/>
          <w:i w:val="0"/>
          <w:iCs w:val="0"/>
          <w:smallCaps w:val="0"/>
          <w:spacing w:val="0"/>
          <w:szCs w:val="24"/>
        </w:rPr>
      </w:pPr>
    </w:p>
    <w:p w14:paraId="294FC63C" w14:textId="70CEBABD"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w:t>
      </w:r>
      <w:r w:rsidR="00417C14">
        <w:rPr>
          <w:rStyle w:val="BookTitle"/>
          <w:rFonts w:ascii="Arial" w:hAnsi="Arial" w:cs="Arial"/>
          <w:i w:val="0"/>
          <w:iCs w:val="0"/>
          <w:smallCaps w:val="0"/>
          <w:spacing w:val="0"/>
          <w:szCs w:val="24"/>
        </w:rPr>
        <w:t xml:space="preserve">authority for making the </w:t>
      </w:r>
      <w:r>
        <w:rPr>
          <w:rStyle w:val="BookTitle"/>
          <w:rFonts w:ascii="Arial" w:hAnsi="Arial" w:cs="Arial"/>
          <w:i w:val="0"/>
          <w:iCs w:val="0"/>
          <w:smallCaps w:val="0"/>
          <w:spacing w:val="0"/>
          <w:szCs w:val="24"/>
        </w:rPr>
        <w:t xml:space="preserve">Determination is </w:t>
      </w:r>
      <w:r w:rsidR="008402D9">
        <w:rPr>
          <w:rStyle w:val="BookTitle"/>
          <w:rFonts w:ascii="Arial" w:hAnsi="Arial" w:cs="Arial"/>
          <w:i w:val="0"/>
          <w:iCs w:val="0"/>
          <w:smallCaps w:val="0"/>
          <w:spacing w:val="0"/>
          <w:szCs w:val="24"/>
        </w:rPr>
        <w:t>paragraph 8</w:t>
      </w:r>
      <w:r>
        <w:rPr>
          <w:rStyle w:val="BookTitle"/>
          <w:rFonts w:ascii="Arial" w:hAnsi="Arial" w:cs="Arial"/>
          <w:i w:val="0"/>
          <w:iCs w:val="0"/>
          <w:smallCaps w:val="0"/>
          <w:spacing w:val="0"/>
          <w:szCs w:val="24"/>
        </w:rPr>
        <w:t xml:space="preserve">(11)(d) of the Act. </w:t>
      </w:r>
    </w:p>
    <w:p w14:paraId="39820CEE" w14:textId="77777777" w:rsidR="00732E65" w:rsidRDefault="00732E65" w:rsidP="00732E65">
      <w:pPr>
        <w:spacing w:before="0"/>
        <w:rPr>
          <w:rStyle w:val="BookTitle"/>
          <w:rFonts w:ascii="Arial" w:hAnsi="Arial" w:cs="Arial"/>
          <w:i w:val="0"/>
          <w:iCs w:val="0"/>
          <w:smallCaps w:val="0"/>
          <w:spacing w:val="0"/>
          <w:szCs w:val="24"/>
        </w:rPr>
      </w:pPr>
    </w:p>
    <w:p w14:paraId="0B95BF9E" w14:textId="6EB54511" w:rsidR="00732E65" w:rsidRDefault="00732E65" w:rsidP="00732E65">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lists definitions of terms used in the Determination.</w:t>
      </w:r>
      <w:r w:rsidR="000A6204">
        <w:rPr>
          <w:rStyle w:val="BookTitle"/>
          <w:rFonts w:ascii="Arial" w:hAnsi="Arial" w:cs="Arial"/>
          <w:i w:val="0"/>
          <w:iCs w:val="0"/>
          <w:smallCaps w:val="0"/>
          <w:spacing w:val="0"/>
          <w:szCs w:val="24"/>
        </w:rPr>
        <w:t xml:space="preserve"> </w:t>
      </w:r>
    </w:p>
    <w:p w14:paraId="794C137E" w14:textId="7694AF0C" w:rsidR="00417C14" w:rsidRDefault="00417C14" w:rsidP="00732E65">
      <w:pPr>
        <w:spacing w:before="0"/>
        <w:rPr>
          <w:rStyle w:val="BookTitle"/>
          <w:rFonts w:ascii="Arial" w:hAnsi="Arial" w:cs="Arial"/>
          <w:i w:val="0"/>
          <w:iCs w:val="0"/>
          <w:smallCaps w:val="0"/>
          <w:spacing w:val="0"/>
          <w:szCs w:val="24"/>
        </w:rPr>
      </w:pPr>
    </w:p>
    <w:p w14:paraId="16FD7EC4" w14:textId="2364671C" w:rsidR="00417C14" w:rsidRPr="00417C14" w:rsidRDefault="00D45D74" w:rsidP="00417C14">
      <w:pPr>
        <w:spacing w:before="0"/>
        <w:rPr>
          <w:rFonts w:ascii="Arial" w:hAnsi="Arial" w:cs="Arial"/>
          <w:b/>
          <w:i/>
          <w:szCs w:val="24"/>
        </w:rPr>
      </w:pPr>
      <w:r>
        <w:rPr>
          <w:rFonts w:ascii="Arial" w:hAnsi="Arial" w:cs="Arial"/>
          <w:szCs w:val="24"/>
        </w:rPr>
        <w:t xml:space="preserve">The </w:t>
      </w:r>
      <w:r w:rsidR="00417C14" w:rsidRPr="00417C14">
        <w:rPr>
          <w:rFonts w:ascii="Arial" w:hAnsi="Arial" w:cs="Arial"/>
          <w:b/>
          <w:i/>
          <w:szCs w:val="24"/>
        </w:rPr>
        <w:t xml:space="preserve">ACT Loose-Fill Asbestos Disease Support Payment Scheme </w:t>
      </w:r>
      <w:r w:rsidR="00417C14">
        <w:rPr>
          <w:rFonts w:ascii="Arial" w:hAnsi="Arial" w:cs="Arial"/>
          <w:szCs w:val="24"/>
        </w:rPr>
        <w:t>refers to the Scheme, as described above.</w:t>
      </w:r>
    </w:p>
    <w:p w14:paraId="59DCBB5D" w14:textId="77777777" w:rsidR="00417C14" w:rsidRDefault="00417C14" w:rsidP="00417C14">
      <w:pPr>
        <w:spacing w:before="0"/>
        <w:rPr>
          <w:rFonts w:ascii="Arial" w:hAnsi="Arial" w:cs="Arial"/>
          <w:b/>
          <w:i/>
          <w:szCs w:val="24"/>
        </w:rPr>
      </w:pPr>
    </w:p>
    <w:p w14:paraId="4124B8F7" w14:textId="0439F9F4" w:rsidR="00417C14" w:rsidRPr="00417C14" w:rsidRDefault="00417C14" w:rsidP="00417C14">
      <w:pPr>
        <w:spacing w:before="0"/>
        <w:rPr>
          <w:rFonts w:ascii="Arial" w:hAnsi="Arial" w:cs="Arial"/>
          <w:szCs w:val="24"/>
        </w:rPr>
      </w:pPr>
      <w:r>
        <w:rPr>
          <w:rFonts w:ascii="Arial" w:hAnsi="Arial" w:cs="Arial"/>
          <w:szCs w:val="24"/>
        </w:rPr>
        <w:t xml:space="preserve">An </w:t>
      </w:r>
      <w:r w:rsidRPr="00417C14">
        <w:rPr>
          <w:rFonts w:ascii="Arial" w:hAnsi="Arial" w:cs="Arial"/>
          <w:b/>
          <w:i/>
          <w:szCs w:val="24"/>
        </w:rPr>
        <w:t>asbestos disease support payment</w:t>
      </w:r>
      <w:r w:rsidRPr="00417C14">
        <w:rPr>
          <w:rFonts w:ascii="Arial" w:hAnsi="Arial" w:cs="Arial"/>
          <w:szCs w:val="24"/>
        </w:rPr>
        <w:t xml:space="preserve"> means a lump sum payment made by the ACT Government to</w:t>
      </w:r>
      <w:r w:rsidR="007153C4">
        <w:rPr>
          <w:rFonts w:ascii="Arial" w:hAnsi="Arial" w:cs="Arial"/>
          <w:szCs w:val="24"/>
        </w:rPr>
        <w:t xml:space="preserve"> or on behalf of</w:t>
      </w:r>
      <w:r w:rsidRPr="00417C14">
        <w:rPr>
          <w:rFonts w:ascii="Arial" w:hAnsi="Arial" w:cs="Arial"/>
          <w:szCs w:val="24"/>
        </w:rPr>
        <w:t xml:space="preserve"> an individual or their financial dependant in accordance with the Scheme.</w:t>
      </w:r>
    </w:p>
    <w:p w14:paraId="03FF0847" w14:textId="77777777" w:rsidR="00732E65" w:rsidRDefault="00732E65" w:rsidP="00732E65">
      <w:pPr>
        <w:spacing w:before="0"/>
        <w:rPr>
          <w:rStyle w:val="BookTitle"/>
          <w:rFonts w:ascii="Arial" w:hAnsi="Arial" w:cs="Arial"/>
          <w:i w:val="0"/>
          <w:iCs w:val="0"/>
          <w:smallCaps w:val="0"/>
          <w:spacing w:val="0"/>
          <w:szCs w:val="24"/>
        </w:rPr>
      </w:pPr>
    </w:p>
    <w:p w14:paraId="0F9167A4" w14:textId="77777777" w:rsidR="00D45D74" w:rsidRDefault="00732E65" w:rsidP="007C5C50">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w:t>
      </w:r>
      <w:r w:rsidR="0024227E">
        <w:rPr>
          <w:rStyle w:val="BookTitle"/>
          <w:rFonts w:ascii="Arial" w:hAnsi="Arial" w:cs="Arial"/>
          <w:i w:val="0"/>
          <w:iCs w:val="0"/>
          <w:smallCaps w:val="0"/>
          <w:spacing w:val="0"/>
          <w:szCs w:val="24"/>
        </w:rPr>
        <w:t xml:space="preserve"> </w:t>
      </w:r>
      <w:r w:rsidR="00880652">
        <w:rPr>
          <w:rStyle w:val="BookTitle"/>
          <w:rFonts w:ascii="Arial" w:hAnsi="Arial" w:cs="Arial"/>
          <w:i w:val="0"/>
          <w:iCs w:val="0"/>
          <w:smallCaps w:val="0"/>
          <w:spacing w:val="0"/>
          <w:szCs w:val="24"/>
        </w:rPr>
        <w:t xml:space="preserve">states that </w:t>
      </w:r>
      <w:r w:rsidR="000A6204">
        <w:rPr>
          <w:rStyle w:val="BookTitle"/>
          <w:rFonts w:ascii="Arial" w:hAnsi="Arial" w:cs="Arial"/>
          <w:i w:val="0"/>
          <w:iCs w:val="0"/>
          <w:smallCaps w:val="0"/>
          <w:spacing w:val="0"/>
          <w:szCs w:val="24"/>
        </w:rPr>
        <w:t xml:space="preserve">for the purposes of paragraph 8(11)(d) of the Act, certain asbestos disease support payments made under the Scheme are exempt lump sums. </w:t>
      </w:r>
    </w:p>
    <w:p w14:paraId="6C83874E" w14:textId="77777777" w:rsidR="00D45D74" w:rsidRDefault="00D45D74" w:rsidP="007C5C50">
      <w:pPr>
        <w:spacing w:before="0"/>
        <w:rPr>
          <w:rStyle w:val="BookTitle"/>
          <w:rFonts w:ascii="Arial" w:hAnsi="Arial" w:cs="Arial"/>
          <w:i w:val="0"/>
          <w:iCs w:val="0"/>
          <w:smallCaps w:val="0"/>
          <w:spacing w:val="0"/>
          <w:szCs w:val="24"/>
        </w:rPr>
      </w:pPr>
    </w:p>
    <w:p w14:paraId="231B3B0A" w14:textId="77777777" w:rsidR="00D45D74" w:rsidRDefault="000A6204" w:rsidP="007C5C50">
      <w:pPr>
        <w:spacing w:before="0"/>
        <w:rPr>
          <w:rStyle w:val="BookTitle"/>
          <w:rFonts w:ascii="Arial" w:hAnsi="Arial" w:cs="Arial"/>
          <w:i w:val="0"/>
          <w:iCs w:val="0"/>
          <w:smallCaps w:val="0"/>
          <w:spacing w:val="0"/>
          <w:szCs w:val="24"/>
        </w:rPr>
      </w:pPr>
      <w:r w:rsidRPr="00D45D74">
        <w:rPr>
          <w:rStyle w:val="BookTitle"/>
          <w:rFonts w:ascii="Arial" w:hAnsi="Arial" w:cs="Arial"/>
          <w:i w:val="0"/>
          <w:iCs w:val="0"/>
          <w:smallCaps w:val="0"/>
          <w:spacing w:val="0"/>
          <w:szCs w:val="24"/>
        </w:rPr>
        <w:t>Subsection 5(1)</w:t>
      </w:r>
      <w:r>
        <w:rPr>
          <w:rStyle w:val="BookTitle"/>
          <w:rFonts w:ascii="Arial" w:hAnsi="Arial" w:cs="Arial"/>
          <w:i w:val="0"/>
          <w:iCs w:val="0"/>
          <w:smallCaps w:val="0"/>
          <w:spacing w:val="0"/>
          <w:szCs w:val="24"/>
        </w:rPr>
        <w:t xml:space="preserve"> provides that the gross amount of such a payment is an exempt lump sum. </w:t>
      </w:r>
    </w:p>
    <w:p w14:paraId="3C45AC20" w14:textId="77777777" w:rsidR="00D45D74" w:rsidRDefault="00D45D74" w:rsidP="007C5C50">
      <w:pPr>
        <w:spacing w:before="0"/>
        <w:rPr>
          <w:rStyle w:val="BookTitle"/>
          <w:rFonts w:ascii="Arial" w:hAnsi="Arial" w:cs="Arial"/>
          <w:i w:val="0"/>
          <w:iCs w:val="0"/>
          <w:smallCaps w:val="0"/>
          <w:spacing w:val="0"/>
          <w:szCs w:val="24"/>
        </w:rPr>
      </w:pPr>
    </w:p>
    <w:p w14:paraId="1C9EBD2E" w14:textId="58060605" w:rsidR="007C5C50" w:rsidRDefault="000A6204" w:rsidP="007C5C50">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5(2) specifies that asbestos disease support payments made in relation to the following</w:t>
      </w:r>
      <w:r w:rsidR="005D7F81">
        <w:rPr>
          <w:rStyle w:val="BookTitle"/>
          <w:rFonts w:ascii="Arial" w:hAnsi="Arial" w:cs="Arial"/>
          <w:i w:val="0"/>
          <w:iCs w:val="0"/>
          <w:smallCaps w:val="0"/>
          <w:spacing w:val="0"/>
          <w:szCs w:val="24"/>
        </w:rPr>
        <w:t xml:space="preserve"> expenses</w:t>
      </w:r>
      <w:r>
        <w:rPr>
          <w:rStyle w:val="BookTitle"/>
          <w:rFonts w:ascii="Arial" w:hAnsi="Arial" w:cs="Arial"/>
          <w:i w:val="0"/>
          <w:iCs w:val="0"/>
          <w:smallCaps w:val="0"/>
          <w:spacing w:val="0"/>
          <w:szCs w:val="24"/>
        </w:rPr>
        <w:t xml:space="preserve"> are exempt lump sums:</w:t>
      </w:r>
    </w:p>
    <w:p w14:paraId="73FD0332" w14:textId="3E081C50" w:rsidR="000A6204" w:rsidRDefault="000A6204" w:rsidP="000A6204">
      <w:pPr>
        <w:pStyle w:val="ListParagraph"/>
        <w:numPr>
          <w:ilvl w:val="0"/>
          <w:numId w:val="21"/>
        </w:numPr>
        <w:spacing w:before="0"/>
        <w:rPr>
          <w:rFonts w:ascii="Arial" w:hAnsi="Arial" w:cs="Arial"/>
          <w:szCs w:val="24"/>
        </w:rPr>
      </w:pPr>
      <w:r>
        <w:rPr>
          <w:rFonts w:ascii="Arial" w:hAnsi="Arial" w:cs="Arial"/>
          <w:szCs w:val="24"/>
        </w:rPr>
        <w:t>Gratuitous attendant care expenses</w:t>
      </w:r>
      <w:r w:rsidR="008829D0">
        <w:rPr>
          <w:rFonts w:ascii="Arial" w:hAnsi="Arial" w:cs="Arial"/>
          <w:szCs w:val="24"/>
        </w:rPr>
        <w:t>, where made to the individual</w:t>
      </w:r>
      <w:r>
        <w:rPr>
          <w:rFonts w:ascii="Arial" w:hAnsi="Arial" w:cs="Arial"/>
          <w:szCs w:val="24"/>
        </w:rPr>
        <w:t>;</w:t>
      </w:r>
    </w:p>
    <w:p w14:paraId="33437730" w14:textId="67FF49ED" w:rsidR="000A6204" w:rsidRDefault="000A6204" w:rsidP="000A6204">
      <w:pPr>
        <w:pStyle w:val="ListParagraph"/>
        <w:numPr>
          <w:ilvl w:val="0"/>
          <w:numId w:val="21"/>
        </w:numPr>
        <w:spacing w:before="0"/>
        <w:rPr>
          <w:rFonts w:ascii="Arial" w:hAnsi="Arial" w:cs="Arial"/>
          <w:szCs w:val="24"/>
        </w:rPr>
      </w:pPr>
      <w:r>
        <w:rPr>
          <w:rFonts w:ascii="Arial" w:hAnsi="Arial" w:cs="Arial"/>
          <w:szCs w:val="24"/>
        </w:rPr>
        <w:t>Attendant care and household services by third parties;</w:t>
      </w:r>
    </w:p>
    <w:p w14:paraId="47C3FA2A" w14:textId="1D6AF731" w:rsidR="000A6204" w:rsidRDefault="000A6204" w:rsidP="000A6204">
      <w:pPr>
        <w:pStyle w:val="ListParagraph"/>
        <w:numPr>
          <w:ilvl w:val="0"/>
          <w:numId w:val="21"/>
        </w:numPr>
        <w:spacing w:before="0"/>
        <w:rPr>
          <w:rFonts w:ascii="Arial" w:hAnsi="Arial" w:cs="Arial"/>
          <w:szCs w:val="24"/>
        </w:rPr>
      </w:pPr>
      <w:r>
        <w:rPr>
          <w:rFonts w:ascii="Arial" w:hAnsi="Arial" w:cs="Arial"/>
          <w:szCs w:val="24"/>
        </w:rPr>
        <w:t>Home and vehicle modifications;</w:t>
      </w:r>
    </w:p>
    <w:p w14:paraId="2B99C3F5" w14:textId="02B5545B" w:rsidR="000A6204" w:rsidRDefault="000A6204" w:rsidP="000A6204">
      <w:pPr>
        <w:pStyle w:val="ListParagraph"/>
        <w:numPr>
          <w:ilvl w:val="0"/>
          <w:numId w:val="21"/>
        </w:numPr>
        <w:spacing w:before="0"/>
        <w:rPr>
          <w:rFonts w:ascii="Arial" w:hAnsi="Arial" w:cs="Arial"/>
          <w:szCs w:val="24"/>
        </w:rPr>
      </w:pPr>
      <w:r>
        <w:rPr>
          <w:rFonts w:ascii="Arial" w:hAnsi="Arial" w:cs="Arial"/>
          <w:szCs w:val="24"/>
        </w:rPr>
        <w:t>Funeral expenses;</w:t>
      </w:r>
    </w:p>
    <w:p w14:paraId="0171E33B" w14:textId="6ED58459" w:rsidR="000A6204" w:rsidRDefault="000A6204" w:rsidP="000A6204">
      <w:pPr>
        <w:pStyle w:val="ListParagraph"/>
        <w:numPr>
          <w:ilvl w:val="0"/>
          <w:numId w:val="21"/>
        </w:numPr>
        <w:spacing w:before="0"/>
        <w:rPr>
          <w:rFonts w:ascii="Arial" w:hAnsi="Arial" w:cs="Arial"/>
          <w:szCs w:val="24"/>
        </w:rPr>
      </w:pPr>
      <w:r>
        <w:rPr>
          <w:rFonts w:ascii="Arial" w:hAnsi="Arial" w:cs="Arial"/>
          <w:szCs w:val="24"/>
        </w:rPr>
        <w:t xml:space="preserve">Financial </w:t>
      </w:r>
      <w:r w:rsidR="008829D0">
        <w:rPr>
          <w:rFonts w:ascii="Arial" w:hAnsi="Arial" w:cs="Arial"/>
          <w:szCs w:val="24"/>
        </w:rPr>
        <w:t>advice;</w:t>
      </w:r>
    </w:p>
    <w:p w14:paraId="7014C3AE" w14:textId="1DF17D37" w:rsidR="00C37944" w:rsidRPr="004F345E" w:rsidRDefault="008829D0" w:rsidP="00D82E43">
      <w:pPr>
        <w:pStyle w:val="ListParagraph"/>
        <w:numPr>
          <w:ilvl w:val="0"/>
          <w:numId w:val="21"/>
        </w:numPr>
        <w:spacing w:before="0"/>
        <w:rPr>
          <w:rFonts w:ascii="Arial" w:hAnsi="Arial" w:cs="Arial"/>
          <w:szCs w:val="24"/>
        </w:rPr>
      </w:pPr>
      <w:r w:rsidRPr="004F345E">
        <w:rPr>
          <w:rFonts w:ascii="Arial" w:hAnsi="Arial" w:cs="Arial"/>
          <w:szCs w:val="24"/>
        </w:rPr>
        <w:t xml:space="preserve">Dependant </w:t>
      </w:r>
      <w:r w:rsidR="00067233">
        <w:rPr>
          <w:rFonts w:ascii="Arial" w:hAnsi="Arial" w:cs="Arial"/>
          <w:szCs w:val="24"/>
        </w:rPr>
        <w:t xml:space="preserve">lump sum </w:t>
      </w:r>
      <w:r w:rsidRPr="004F345E">
        <w:rPr>
          <w:rFonts w:ascii="Arial" w:hAnsi="Arial" w:cs="Arial"/>
          <w:szCs w:val="24"/>
        </w:rPr>
        <w:t>payment, where made to the individual.</w:t>
      </w:r>
      <w:r w:rsidR="00C37944" w:rsidRPr="004F345E">
        <w:rPr>
          <w:rFonts w:ascii="Arial" w:hAnsi="Arial" w:cs="Arial"/>
          <w:szCs w:val="24"/>
        </w:rPr>
        <w:br w:type="page"/>
      </w:r>
    </w:p>
    <w:p w14:paraId="186A8FA2"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4B1502C2"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00179C34" w14:textId="77777777" w:rsidR="006546B7" w:rsidRPr="00BC76EB" w:rsidRDefault="006546B7" w:rsidP="006546B7">
      <w:pPr>
        <w:spacing w:before="120" w:after="120"/>
        <w:jc w:val="center"/>
        <w:rPr>
          <w:rFonts w:ascii="Arial" w:hAnsi="Arial" w:cs="Arial"/>
          <w:szCs w:val="24"/>
        </w:rPr>
      </w:pPr>
    </w:p>
    <w:p w14:paraId="24D0348F" w14:textId="6A232F61" w:rsidR="006546B7" w:rsidRPr="00BC76EB" w:rsidRDefault="00ED78FC" w:rsidP="006546B7">
      <w:pPr>
        <w:spacing w:before="120" w:after="120"/>
        <w:jc w:val="center"/>
        <w:rPr>
          <w:rFonts w:ascii="Arial" w:hAnsi="Arial" w:cs="Arial"/>
          <w:b/>
          <w:szCs w:val="24"/>
        </w:rPr>
      </w:pPr>
      <w:r w:rsidRPr="0046435D">
        <w:rPr>
          <w:rFonts w:ascii="Arial" w:hAnsi="Arial" w:cs="Arial"/>
          <w:b/>
        </w:rPr>
        <w:t>Social Security (Exempt Lump Sum – ACT Loose-Fill Asbestos Disease Support Scheme Payments) Determination 2022</w:t>
      </w:r>
    </w:p>
    <w:p w14:paraId="627D183B" w14:textId="77777777" w:rsidR="006546B7" w:rsidRPr="00BC76EB" w:rsidRDefault="006546B7" w:rsidP="006546B7">
      <w:pPr>
        <w:spacing w:before="120" w:after="120"/>
        <w:jc w:val="center"/>
        <w:rPr>
          <w:rFonts w:ascii="Arial" w:hAnsi="Arial" w:cs="Arial"/>
          <w:szCs w:val="24"/>
        </w:rPr>
      </w:pPr>
    </w:p>
    <w:p w14:paraId="74178571" w14:textId="0608E0E7" w:rsidR="006546B7" w:rsidRPr="00BC76EB" w:rsidRDefault="00ED78FC" w:rsidP="006546B7">
      <w:pPr>
        <w:spacing w:before="120" w:after="120"/>
        <w:jc w:val="center"/>
        <w:rPr>
          <w:rFonts w:ascii="Arial" w:hAnsi="Arial" w:cs="Arial"/>
          <w:szCs w:val="24"/>
        </w:rPr>
      </w:pPr>
      <w:r>
        <w:rPr>
          <w:rFonts w:ascii="Arial" w:hAnsi="Arial" w:cs="Arial"/>
          <w:szCs w:val="24"/>
        </w:rPr>
        <w:t xml:space="preserve">The Determination 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567437A"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31AE5C80" w14:textId="39B2902B" w:rsidR="00ED78FC" w:rsidRPr="00FD51C6" w:rsidRDefault="00FD51C6" w:rsidP="006546B7">
      <w:pPr>
        <w:spacing w:before="120" w:after="120"/>
        <w:rPr>
          <w:rFonts w:ascii="Arial" w:hAnsi="Arial" w:cs="Arial"/>
          <w:szCs w:val="24"/>
        </w:rPr>
      </w:pPr>
      <w:r w:rsidRPr="00FD51C6">
        <w:rPr>
          <w:rFonts w:ascii="Arial" w:hAnsi="Arial" w:cs="Arial"/>
          <w:szCs w:val="24"/>
        </w:rPr>
        <w:t>The effect of</w:t>
      </w:r>
      <w:r w:rsidR="00ED78FC" w:rsidRPr="00FD51C6">
        <w:rPr>
          <w:rFonts w:ascii="Arial" w:hAnsi="Arial" w:cs="Arial"/>
          <w:szCs w:val="24"/>
        </w:rPr>
        <w:t xml:space="preserve"> the </w:t>
      </w:r>
      <w:r w:rsidR="00EB17E7">
        <w:rPr>
          <w:rFonts w:ascii="Arial" w:hAnsi="Arial" w:cs="Arial"/>
          <w:szCs w:val="24"/>
        </w:rPr>
        <w:t xml:space="preserve">Social Security (Exempt Lump Sum – ACT Loose-Fill Asbestos Disease Support Scheme Payments) </w:t>
      </w:r>
      <w:r w:rsidR="00ED78FC" w:rsidRPr="00FD51C6">
        <w:rPr>
          <w:rFonts w:ascii="Arial" w:hAnsi="Arial" w:cs="Arial"/>
          <w:szCs w:val="24"/>
        </w:rPr>
        <w:t xml:space="preserve">Determination </w:t>
      </w:r>
      <w:r w:rsidR="00EB17E7">
        <w:rPr>
          <w:rFonts w:ascii="Arial" w:hAnsi="Arial" w:cs="Arial"/>
          <w:szCs w:val="24"/>
        </w:rPr>
        <w:t xml:space="preserve">2022 (Determination) </w:t>
      </w:r>
      <w:r w:rsidR="00ED78FC" w:rsidRPr="00FD51C6">
        <w:rPr>
          <w:rFonts w:ascii="Arial" w:hAnsi="Arial" w:cs="Arial"/>
          <w:szCs w:val="24"/>
        </w:rPr>
        <w:t xml:space="preserve">is that </w:t>
      </w:r>
      <w:r w:rsidRPr="00FD51C6">
        <w:rPr>
          <w:rFonts w:ascii="Arial" w:hAnsi="Arial" w:cs="Arial"/>
          <w:szCs w:val="24"/>
        </w:rPr>
        <w:t xml:space="preserve">an </w:t>
      </w:r>
      <w:r w:rsidR="00ED78FC" w:rsidRPr="00FD51C6">
        <w:rPr>
          <w:rFonts w:ascii="Arial" w:hAnsi="Arial" w:cs="Arial"/>
          <w:szCs w:val="24"/>
        </w:rPr>
        <w:t>individ</w:t>
      </w:r>
      <w:r w:rsidRPr="00FD51C6">
        <w:rPr>
          <w:rFonts w:ascii="Arial" w:hAnsi="Arial" w:cs="Arial"/>
          <w:szCs w:val="24"/>
        </w:rPr>
        <w:t xml:space="preserve">ual who receives certain payments under the </w:t>
      </w:r>
      <w:r w:rsidRPr="0046435D">
        <w:rPr>
          <w:rFonts w:ascii="Arial" w:hAnsi="Arial" w:cs="Arial"/>
        </w:rPr>
        <w:t>ACT Loose-Fill Asbestos Disease Support Scheme (the Scheme)</w:t>
      </w:r>
      <w:r w:rsidRPr="00FD51C6">
        <w:rPr>
          <w:rFonts w:ascii="Arial" w:hAnsi="Arial" w:cs="Arial"/>
          <w:szCs w:val="24"/>
        </w:rPr>
        <w:t xml:space="preserve"> will not hav</w:t>
      </w:r>
      <w:r w:rsidR="00ED78FC" w:rsidRPr="00FD51C6">
        <w:rPr>
          <w:rFonts w:ascii="Arial" w:hAnsi="Arial" w:cs="Arial"/>
          <w:szCs w:val="24"/>
        </w:rPr>
        <w:t>e that payment assessed as income under the social security law.</w:t>
      </w:r>
    </w:p>
    <w:p w14:paraId="49AE85F3"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5AFCA41A" w14:textId="7ACFE073" w:rsidR="00C00D82" w:rsidRDefault="00C00D82" w:rsidP="00D520A1">
      <w:pPr>
        <w:spacing w:before="120" w:after="120"/>
        <w:rPr>
          <w:rFonts w:ascii="Arial" w:hAnsi="Arial" w:cs="Arial"/>
          <w:szCs w:val="24"/>
        </w:rPr>
      </w:pPr>
      <w:r>
        <w:rPr>
          <w:rFonts w:ascii="Arial" w:hAnsi="Arial" w:cs="Arial"/>
          <w:szCs w:val="24"/>
        </w:rPr>
        <w:t>The Determination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w:t>
      </w:r>
      <w:r w:rsidR="00F871C3">
        <w:rPr>
          <w:rFonts w:ascii="Arial" w:hAnsi="Arial" w:cs="Arial"/>
          <w:szCs w:val="24"/>
        </w:rPr>
        <w:t xml:space="preserve"> enable them to acquire at least</w:t>
      </w:r>
      <w:r>
        <w:rPr>
          <w:rFonts w:ascii="Arial" w:hAnsi="Arial" w:cs="Arial"/>
          <w:szCs w:val="24"/>
        </w:rPr>
        <w:t xml:space="preserve"> essential health care, basic shelter and housing, water and sanitation, foodstuff, and the most basic forms of education.</w:t>
      </w:r>
    </w:p>
    <w:p w14:paraId="033D437C" w14:textId="76AC47C2" w:rsidR="00C00D82" w:rsidRDefault="00C00D82" w:rsidP="00D520A1">
      <w:pPr>
        <w:spacing w:before="120" w:after="120"/>
        <w:rPr>
          <w:rFonts w:ascii="Arial" w:hAnsi="Arial" w:cs="Arial"/>
        </w:rPr>
      </w:pPr>
      <w:r>
        <w:rPr>
          <w:rFonts w:ascii="Arial" w:hAnsi="Arial" w:cs="Arial"/>
          <w:szCs w:val="24"/>
        </w:rPr>
        <w:t xml:space="preserve">The Determination will operate beneficially as certain payments under the </w:t>
      </w:r>
      <w:r w:rsidRPr="00F2073D">
        <w:rPr>
          <w:rFonts w:ascii="Arial" w:hAnsi="Arial" w:cs="Arial"/>
        </w:rPr>
        <w:t>Scheme</w:t>
      </w:r>
      <w:r>
        <w:rPr>
          <w:rFonts w:ascii="Arial" w:hAnsi="Arial" w:cs="Arial"/>
        </w:rPr>
        <w:t xml:space="preserve"> will not be taken into account when assessing a person’s eligibility or rate of social security entitlements under the social security income test. If certain payments under the Scheme are not exempted, a person in receipt of that payment may not be eligible for a social security payment or, if they are eligible, their rate of payment might be reduced. The Determination is therefore consistent with the promotion of the right to social security.</w:t>
      </w:r>
    </w:p>
    <w:p w14:paraId="7E989DCA" w14:textId="1989C385" w:rsidR="00C00D82" w:rsidRDefault="00C00D82" w:rsidP="00D520A1">
      <w:pPr>
        <w:spacing w:before="120" w:after="120"/>
        <w:rPr>
          <w:rFonts w:ascii="Arial" w:hAnsi="Arial" w:cs="Arial"/>
          <w:szCs w:val="24"/>
        </w:rPr>
      </w:pPr>
      <w:r>
        <w:rPr>
          <w:rFonts w:ascii="Arial" w:hAnsi="Arial" w:cs="Arial"/>
        </w:rPr>
        <w:t xml:space="preserve">The exemption of </w:t>
      </w:r>
      <w:r>
        <w:rPr>
          <w:rFonts w:ascii="Arial" w:hAnsi="Arial" w:cs="Arial"/>
          <w:szCs w:val="24"/>
        </w:rPr>
        <w:t xml:space="preserve">certain payments under the </w:t>
      </w:r>
      <w:r w:rsidRPr="00F2073D">
        <w:rPr>
          <w:rFonts w:ascii="Arial" w:hAnsi="Arial" w:cs="Arial"/>
        </w:rPr>
        <w:t>Scheme</w:t>
      </w:r>
      <w:r>
        <w:rPr>
          <w:rFonts w:ascii="Arial" w:hAnsi="Arial" w:cs="Arial"/>
        </w:rPr>
        <w:t xml:space="preserve"> from the income test on receipt does not alter the fact that any ongoing income generated by the lump sum is not exempt from the income test, and any assessable asset produced from the lump sum is counted under the social security assets test. This is consistent with the treatment of other lump sum payments under paragraph 8(11)(d) of the </w:t>
      </w:r>
      <w:r w:rsidR="00EB17E7">
        <w:rPr>
          <w:rFonts w:ascii="Arial" w:hAnsi="Arial" w:cs="Arial"/>
          <w:i/>
        </w:rPr>
        <w:t>Social Security Act 1991</w:t>
      </w:r>
      <w:r>
        <w:rPr>
          <w:rFonts w:ascii="Arial" w:hAnsi="Arial" w:cs="Arial"/>
        </w:rPr>
        <w:t>.</w:t>
      </w:r>
    </w:p>
    <w:p w14:paraId="0D9F5543" w14:textId="77777777" w:rsidR="006546B7" w:rsidRPr="00BC76EB" w:rsidRDefault="006546B7" w:rsidP="00007EC3">
      <w:pPr>
        <w:keepNext/>
        <w:spacing w:after="120"/>
        <w:rPr>
          <w:rFonts w:ascii="Arial" w:hAnsi="Arial" w:cs="Arial"/>
          <w:b/>
          <w:szCs w:val="24"/>
        </w:rPr>
      </w:pPr>
      <w:r w:rsidRPr="00BC76EB">
        <w:rPr>
          <w:rFonts w:ascii="Arial" w:hAnsi="Arial" w:cs="Arial"/>
          <w:b/>
          <w:szCs w:val="24"/>
        </w:rPr>
        <w:lastRenderedPageBreak/>
        <w:t xml:space="preserve">Conclusion </w:t>
      </w:r>
    </w:p>
    <w:p w14:paraId="45D07E7D" w14:textId="3A0111AC" w:rsidR="00C00D82" w:rsidRDefault="00C00D82" w:rsidP="00007EC3">
      <w:pPr>
        <w:keepNext/>
        <w:spacing w:before="120" w:after="120"/>
        <w:rPr>
          <w:rFonts w:ascii="Arial" w:hAnsi="Arial" w:cs="Arial"/>
          <w:szCs w:val="24"/>
        </w:rPr>
      </w:pPr>
      <w:r>
        <w:rPr>
          <w:rFonts w:ascii="Arial" w:hAnsi="Arial" w:cs="Arial"/>
          <w:szCs w:val="24"/>
        </w:rPr>
        <w:t>The Determination is compatible with human rights as it supports a person’s right to social security.</w:t>
      </w:r>
    </w:p>
    <w:p w14:paraId="349694B4" w14:textId="5CB542EC" w:rsidR="006546B7" w:rsidRPr="00BC76EB" w:rsidRDefault="006546B7" w:rsidP="00007EC3">
      <w:pPr>
        <w:keepNext/>
        <w:spacing w:before="120" w:after="120"/>
        <w:rPr>
          <w:rFonts w:ascii="Arial" w:hAnsi="Arial" w:cs="Arial"/>
          <w:szCs w:val="24"/>
        </w:rPr>
      </w:pPr>
    </w:p>
    <w:p w14:paraId="0FD37B0F" w14:textId="77777777" w:rsidR="006546B7" w:rsidRPr="00BC76EB" w:rsidRDefault="006546B7" w:rsidP="00007EC3">
      <w:pPr>
        <w:keepNext/>
        <w:spacing w:before="120" w:after="120"/>
        <w:rPr>
          <w:rFonts w:ascii="Arial" w:hAnsi="Arial" w:cs="Arial"/>
          <w:szCs w:val="24"/>
        </w:rPr>
      </w:pPr>
    </w:p>
    <w:p w14:paraId="2427316B" w14:textId="6265D73B" w:rsidR="002810A5" w:rsidRPr="00BC76EB" w:rsidRDefault="00007EC3" w:rsidP="00007EC3">
      <w:pPr>
        <w:keepNext/>
        <w:spacing w:before="0"/>
        <w:ind w:right="91"/>
        <w:jc w:val="center"/>
        <w:rPr>
          <w:rStyle w:val="BookTitle"/>
          <w:rFonts w:ascii="Arial" w:hAnsi="Arial" w:cs="Arial"/>
          <w:i w:val="0"/>
          <w:iCs w:val="0"/>
          <w:smallCaps w:val="0"/>
          <w:spacing w:val="0"/>
          <w:szCs w:val="24"/>
        </w:rPr>
      </w:pPr>
      <w:r>
        <w:rPr>
          <w:rFonts w:ascii="Arial" w:hAnsi="Arial" w:cs="Arial"/>
          <w:b/>
          <w:szCs w:val="24"/>
        </w:rPr>
        <w:t>Caitlin Delaney, Acting Group Manager of the Pensions, Housing and Homelessness Group, Department of Social Services</w:t>
      </w:r>
      <w:bookmarkEnd w:id="1"/>
    </w:p>
    <w:sectPr w:rsidR="002810A5" w:rsidRPr="00BC76E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E536" w16cex:dateUtc="2022-03-30T03:18:00Z"/>
  <w16cex:commentExtensible w16cex:durableId="25EEE26B" w16cex:dateUtc="2022-03-22T00:49:00Z"/>
  <w16cex:commentExtensible w16cex:durableId="25EEEF8E" w16cex:dateUtc="2022-03-30T04:02:00Z"/>
  <w16cex:commentExtensible w16cex:durableId="25EEE41A" w16cex:dateUtc="2022-03-30T03:13:00Z"/>
  <w16cex:commentExtensible w16cex:durableId="25EEE26C" w16cex:dateUtc="2022-03-22T04:28:00Z"/>
  <w16cex:commentExtensible w16cex:durableId="25EEE26D" w16cex:dateUtc="2022-03-22T01:14:00Z"/>
  <w16cex:commentExtensible w16cex:durableId="25EEFC35" w16cex:dateUtc="2022-03-30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77193" w16cid:durableId="25EEE536"/>
  <w16cid:commentId w16cid:paraId="22B752FC" w16cid:durableId="25EEE26B"/>
  <w16cid:commentId w16cid:paraId="49E0E8B4" w16cid:durableId="25EEEF8E"/>
  <w16cid:commentId w16cid:paraId="4E0AF1FB" w16cid:durableId="25EEE41A"/>
  <w16cid:commentId w16cid:paraId="0A3A3ADA" w16cid:durableId="25EEE26C"/>
  <w16cid:commentId w16cid:paraId="68E4872E" w16cid:durableId="25EEE26D"/>
  <w16cid:commentId w16cid:paraId="222940A4" w16cid:durableId="25EEF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07DD" w14:textId="77777777" w:rsidR="00EF183B" w:rsidRDefault="00EF183B" w:rsidP="00AD1645">
      <w:pPr>
        <w:spacing w:before="0"/>
      </w:pPr>
      <w:r>
        <w:separator/>
      </w:r>
    </w:p>
  </w:endnote>
  <w:endnote w:type="continuationSeparator" w:id="0">
    <w:p w14:paraId="64E26B3E" w14:textId="77777777" w:rsidR="00EF183B" w:rsidRDefault="00EF183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F0D0" w14:textId="77777777" w:rsidR="00EF183B" w:rsidRDefault="00EF183B" w:rsidP="00AD1645">
      <w:pPr>
        <w:spacing w:before="0"/>
      </w:pPr>
      <w:r>
        <w:separator/>
      </w:r>
    </w:p>
  </w:footnote>
  <w:footnote w:type="continuationSeparator" w:id="0">
    <w:p w14:paraId="54843673" w14:textId="77777777" w:rsidR="00EF183B" w:rsidRDefault="00EF183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7DF"/>
    <w:multiLevelType w:val="hybridMultilevel"/>
    <w:tmpl w:val="4628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B61BF"/>
    <w:multiLevelType w:val="hybridMultilevel"/>
    <w:tmpl w:val="32AA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800E62"/>
    <w:multiLevelType w:val="hybridMultilevel"/>
    <w:tmpl w:val="F174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num>
  <w:num w:numId="5">
    <w:abstractNumId w:val="14"/>
  </w:num>
  <w:num w:numId="6">
    <w:abstractNumId w:val="2"/>
  </w:num>
  <w:num w:numId="7">
    <w:abstractNumId w:val="11"/>
  </w:num>
  <w:num w:numId="8">
    <w:abstractNumId w:val="16"/>
  </w:num>
  <w:num w:numId="9">
    <w:abstractNumId w:val="8"/>
  </w:num>
  <w:num w:numId="10">
    <w:abstractNumId w:val="17"/>
  </w:num>
  <w:num w:numId="11">
    <w:abstractNumId w:val="3"/>
  </w:num>
  <w:num w:numId="12">
    <w:abstractNumId w:val="5"/>
  </w:num>
  <w:num w:numId="13">
    <w:abstractNumId w:val="1"/>
  </w:num>
  <w:num w:numId="14">
    <w:abstractNumId w:val="9"/>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0"/>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07EC3"/>
    <w:rsid w:val="00021ED2"/>
    <w:rsid w:val="00030B79"/>
    <w:rsid w:val="00031D0B"/>
    <w:rsid w:val="00043B6D"/>
    <w:rsid w:val="00045BF2"/>
    <w:rsid w:val="00051C3F"/>
    <w:rsid w:val="000530C4"/>
    <w:rsid w:val="000575B2"/>
    <w:rsid w:val="0006693F"/>
    <w:rsid w:val="00066DAE"/>
    <w:rsid w:val="00067233"/>
    <w:rsid w:val="00074C1A"/>
    <w:rsid w:val="000760DC"/>
    <w:rsid w:val="000844AF"/>
    <w:rsid w:val="00084B46"/>
    <w:rsid w:val="00085730"/>
    <w:rsid w:val="00096B8D"/>
    <w:rsid w:val="000A3595"/>
    <w:rsid w:val="000A6204"/>
    <w:rsid w:val="000A772F"/>
    <w:rsid w:val="000B4130"/>
    <w:rsid w:val="000C2DDB"/>
    <w:rsid w:val="000C5204"/>
    <w:rsid w:val="000D365F"/>
    <w:rsid w:val="000D44A6"/>
    <w:rsid w:val="000E02A0"/>
    <w:rsid w:val="000E0A1D"/>
    <w:rsid w:val="000E3915"/>
    <w:rsid w:val="0011719D"/>
    <w:rsid w:val="001249D6"/>
    <w:rsid w:val="00126429"/>
    <w:rsid w:val="001310C6"/>
    <w:rsid w:val="00140359"/>
    <w:rsid w:val="001502F9"/>
    <w:rsid w:val="0015134A"/>
    <w:rsid w:val="00152472"/>
    <w:rsid w:val="00163809"/>
    <w:rsid w:val="0016653C"/>
    <w:rsid w:val="00170D96"/>
    <w:rsid w:val="00175BC6"/>
    <w:rsid w:val="00191AEC"/>
    <w:rsid w:val="001920F3"/>
    <w:rsid w:val="001A6EB5"/>
    <w:rsid w:val="001A737C"/>
    <w:rsid w:val="001B4005"/>
    <w:rsid w:val="001B5379"/>
    <w:rsid w:val="001B6F43"/>
    <w:rsid w:val="001C2000"/>
    <w:rsid w:val="001C64F9"/>
    <w:rsid w:val="001C699E"/>
    <w:rsid w:val="001D69AF"/>
    <w:rsid w:val="001E5B72"/>
    <w:rsid w:val="001E5D12"/>
    <w:rsid w:val="001E630D"/>
    <w:rsid w:val="001E7422"/>
    <w:rsid w:val="001F4805"/>
    <w:rsid w:val="001F4C51"/>
    <w:rsid w:val="001F4E3C"/>
    <w:rsid w:val="00214BE8"/>
    <w:rsid w:val="002154EE"/>
    <w:rsid w:val="00224887"/>
    <w:rsid w:val="002329E1"/>
    <w:rsid w:val="002334D9"/>
    <w:rsid w:val="00234F9E"/>
    <w:rsid w:val="0024227E"/>
    <w:rsid w:val="0024465E"/>
    <w:rsid w:val="0024760C"/>
    <w:rsid w:val="002512D5"/>
    <w:rsid w:val="002533F0"/>
    <w:rsid w:val="002642C7"/>
    <w:rsid w:val="00264C31"/>
    <w:rsid w:val="002741BD"/>
    <w:rsid w:val="00274CAF"/>
    <w:rsid w:val="00276D06"/>
    <w:rsid w:val="00276F09"/>
    <w:rsid w:val="002810A5"/>
    <w:rsid w:val="00283079"/>
    <w:rsid w:val="00285926"/>
    <w:rsid w:val="002926E3"/>
    <w:rsid w:val="00293277"/>
    <w:rsid w:val="002A0E63"/>
    <w:rsid w:val="002A1F38"/>
    <w:rsid w:val="002A2A71"/>
    <w:rsid w:val="002A523B"/>
    <w:rsid w:val="002A5BDB"/>
    <w:rsid w:val="002A6007"/>
    <w:rsid w:val="002A63EA"/>
    <w:rsid w:val="002B0175"/>
    <w:rsid w:val="002C0F57"/>
    <w:rsid w:val="002C1403"/>
    <w:rsid w:val="002C1938"/>
    <w:rsid w:val="002C2252"/>
    <w:rsid w:val="002C6177"/>
    <w:rsid w:val="002D0F1C"/>
    <w:rsid w:val="002D1B54"/>
    <w:rsid w:val="002D35D8"/>
    <w:rsid w:val="002D4522"/>
    <w:rsid w:val="002E0BB1"/>
    <w:rsid w:val="002E45E2"/>
    <w:rsid w:val="002F14D4"/>
    <w:rsid w:val="00300D8B"/>
    <w:rsid w:val="00302555"/>
    <w:rsid w:val="003119FD"/>
    <w:rsid w:val="00333A9C"/>
    <w:rsid w:val="00334F9D"/>
    <w:rsid w:val="00337065"/>
    <w:rsid w:val="00340699"/>
    <w:rsid w:val="003430FC"/>
    <w:rsid w:val="003434E2"/>
    <w:rsid w:val="00345FFE"/>
    <w:rsid w:val="00346A79"/>
    <w:rsid w:val="00351E79"/>
    <w:rsid w:val="0035378F"/>
    <w:rsid w:val="003606C5"/>
    <w:rsid w:val="00365424"/>
    <w:rsid w:val="00366264"/>
    <w:rsid w:val="00370E35"/>
    <w:rsid w:val="00374A77"/>
    <w:rsid w:val="00380666"/>
    <w:rsid w:val="00387D89"/>
    <w:rsid w:val="00392EB6"/>
    <w:rsid w:val="00393D4E"/>
    <w:rsid w:val="00394743"/>
    <w:rsid w:val="003A04AD"/>
    <w:rsid w:val="003A7661"/>
    <w:rsid w:val="003B2BB8"/>
    <w:rsid w:val="003B335D"/>
    <w:rsid w:val="003B44E1"/>
    <w:rsid w:val="003C3368"/>
    <w:rsid w:val="003C448C"/>
    <w:rsid w:val="003C54B6"/>
    <w:rsid w:val="003D34FF"/>
    <w:rsid w:val="003D3931"/>
    <w:rsid w:val="003D71F6"/>
    <w:rsid w:val="003E1784"/>
    <w:rsid w:val="00400273"/>
    <w:rsid w:val="00415554"/>
    <w:rsid w:val="00417C14"/>
    <w:rsid w:val="00420387"/>
    <w:rsid w:val="0042132E"/>
    <w:rsid w:val="004331ED"/>
    <w:rsid w:val="00446D6C"/>
    <w:rsid w:val="0045240C"/>
    <w:rsid w:val="0045242A"/>
    <w:rsid w:val="00453FC9"/>
    <w:rsid w:val="00454405"/>
    <w:rsid w:val="00456FBD"/>
    <w:rsid w:val="00457792"/>
    <w:rsid w:val="0046435D"/>
    <w:rsid w:val="004646E1"/>
    <w:rsid w:val="00470C3D"/>
    <w:rsid w:val="004726FF"/>
    <w:rsid w:val="004814F1"/>
    <w:rsid w:val="00482411"/>
    <w:rsid w:val="004956ED"/>
    <w:rsid w:val="0049646F"/>
    <w:rsid w:val="00497768"/>
    <w:rsid w:val="004A0C19"/>
    <w:rsid w:val="004A126A"/>
    <w:rsid w:val="004A24AF"/>
    <w:rsid w:val="004A593B"/>
    <w:rsid w:val="004B3147"/>
    <w:rsid w:val="004B54CA"/>
    <w:rsid w:val="004C163F"/>
    <w:rsid w:val="004D336A"/>
    <w:rsid w:val="004E3A61"/>
    <w:rsid w:val="004E5CBF"/>
    <w:rsid w:val="004F1CD0"/>
    <w:rsid w:val="004F264A"/>
    <w:rsid w:val="004F345E"/>
    <w:rsid w:val="004F5308"/>
    <w:rsid w:val="004F69ED"/>
    <w:rsid w:val="00511520"/>
    <w:rsid w:val="00523DE8"/>
    <w:rsid w:val="00527238"/>
    <w:rsid w:val="005332C8"/>
    <w:rsid w:val="00536060"/>
    <w:rsid w:val="00536200"/>
    <w:rsid w:val="00540BD8"/>
    <w:rsid w:val="0055503B"/>
    <w:rsid w:val="00556EAD"/>
    <w:rsid w:val="00562CBC"/>
    <w:rsid w:val="00566538"/>
    <w:rsid w:val="00566BF6"/>
    <w:rsid w:val="00570884"/>
    <w:rsid w:val="00576330"/>
    <w:rsid w:val="0057641C"/>
    <w:rsid w:val="005766D2"/>
    <w:rsid w:val="00591D1A"/>
    <w:rsid w:val="00594251"/>
    <w:rsid w:val="005948D1"/>
    <w:rsid w:val="005B6C3D"/>
    <w:rsid w:val="005C390A"/>
    <w:rsid w:val="005C3AA9"/>
    <w:rsid w:val="005C54B4"/>
    <w:rsid w:val="005C78B2"/>
    <w:rsid w:val="005D7F81"/>
    <w:rsid w:val="005E4167"/>
    <w:rsid w:val="005E4362"/>
    <w:rsid w:val="005E4607"/>
    <w:rsid w:val="005E7B26"/>
    <w:rsid w:val="005F41C9"/>
    <w:rsid w:val="005F5E17"/>
    <w:rsid w:val="006055C6"/>
    <w:rsid w:val="00610BCE"/>
    <w:rsid w:val="00614C63"/>
    <w:rsid w:val="00620404"/>
    <w:rsid w:val="00622668"/>
    <w:rsid w:val="00622B71"/>
    <w:rsid w:val="00622D63"/>
    <w:rsid w:val="00624E34"/>
    <w:rsid w:val="00632F44"/>
    <w:rsid w:val="006402A6"/>
    <w:rsid w:val="006407D3"/>
    <w:rsid w:val="0064167D"/>
    <w:rsid w:val="00650B9C"/>
    <w:rsid w:val="00650C1C"/>
    <w:rsid w:val="00651A55"/>
    <w:rsid w:val="006546B7"/>
    <w:rsid w:val="006625A2"/>
    <w:rsid w:val="006643AB"/>
    <w:rsid w:val="0067070B"/>
    <w:rsid w:val="00674470"/>
    <w:rsid w:val="00681C7F"/>
    <w:rsid w:val="00683FF5"/>
    <w:rsid w:val="00687351"/>
    <w:rsid w:val="006972CC"/>
    <w:rsid w:val="006A1F70"/>
    <w:rsid w:val="006A4CE7"/>
    <w:rsid w:val="006A5D55"/>
    <w:rsid w:val="006A6D51"/>
    <w:rsid w:val="006B2583"/>
    <w:rsid w:val="006C5E5E"/>
    <w:rsid w:val="006D7E0F"/>
    <w:rsid w:val="006E0F32"/>
    <w:rsid w:val="006E1B19"/>
    <w:rsid w:val="006E479F"/>
    <w:rsid w:val="006F0769"/>
    <w:rsid w:val="006F7AC4"/>
    <w:rsid w:val="00701486"/>
    <w:rsid w:val="007076A5"/>
    <w:rsid w:val="007153C4"/>
    <w:rsid w:val="00716B0D"/>
    <w:rsid w:val="00720E42"/>
    <w:rsid w:val="007241C4"/>
    <w:rsid w:val="00732E65"/>
    <w:rsid w:val="0073766B"/>
    <w:rsid w:val="007518F4"/>
    <w:rsid w:val="00762A05"/>
    <w:rsid w:val="0076503A"/>
    <w:rsid w:val="00771003"/>
    <w:rsid w:val="0077461F"/>
    <w:rsid w:val="0078126B"/>
    <w:rsid w:val="00785261"/>
    <w:rsid w:val="007907A8"/>
    <w:rsid w:val="007938F3"/>
    <w:rsid w:val="0079557B"/>
    <w:rsid w:val="007A53DD"/>
    <w:rsid w:val="007B0256"/>
    <w:rsid w:val="007B156B"/>
    <w:rsid w:val="007B69DD"/>
    <w:rsid w:val="007C4060"/>
    <w:rsid w:val="007C5234"/>
    <w:rsid w:val="007C5C50"/>
    <w:rsid w:val="007D6273"/>
    <w:rsid w:val="007E4FAD"/>
    <w:rsid w:val="007F2B41"/>
    <w:rsid w:val="007F44F6"/>
    <w:rsid w:val="00807CD7"/>
    <w:rsid w:val="00816CFA"/>
    <w:rsid w:val="0083135C"/>
    <w:rsid w:val="008402D9"/>
    <w:rsid w:val="00841C22"/>
    <w:rsid w:val="00860BE9"/>
    <w:rsid w:val="008669B7"/>
    <w:rsid w:val="008707FE"/>
    <w:rsid w:val="00871F28"/>
    <w:rsid w:val="008761FF"/>
    <w:rsid w:val="00880652"/>
    <w:rsid w:val="00880A48"/>
    <w:rsid w:val="00880E92"/>
    <w:rsid w:val="008829D0"/>
    <w:rsid w:val="0088633E"/>
    <w:rsid w:val="008954BF"/>
    <w:rsid w:val="00896466"/>
    <w:rsid w:val="008B026E"/>
    <w:rsid w:val="008B1AA5"/>
    <w:rsid w:val="008B4CF1"/>
    <w:rsid w:val="008C0759"/>
    <w:rsid w:val="008C0839"/>
    <w:rsid w:val="008D14F6"/>
    <w:rsid w:val="008D2D41"/>
    <w:rsid w:val="008D2FC2"/>
    <w:rsid w:val="008D59CA"/>
    <w:rsid w:val="008D5B2E"/>
    <w:rsid w:val="008D68B6"/>
    <w:rsid w:val="008D7A97"/>
    <w:rsid w:val="008E1D0E"/>
    <w:rsid w:val="008E320A"/>
    <w:rsid w:val="008F5702"/>
    <w:rsid w:val="0090001F"/>
    <w:rsid w:val="0090021C"/>
    <w:rsid w:val="00902B2E"/>
    <w:rsid w:val="0090702B"/>
    <w:rsid w:val="00907AEC"/>
    <w:rsid w:val="009140F6"/>
    <w:rsid w:val="00915A96"/>
    <w:rsid w:val="00920788"/>
    <w:rsid w:val="009225F0"/>
    <w:rsid w:val="00925633"/>
    <w:rsid w:val="00925E41"/>
    <w:rsid w:val="00930624"/>
    <w:rsid w:val="00932E80"/>
    <w:rsid w:val="009332B3"/>
    <w:rsid w:val="00933701"/>
    <w:rsid w:val="00935A03"/>
    <w:rsid w:val="009426E4"/>
    <w:rsid w:val="00946730"/>
    <w:rsid w:val="00946E6D"/>
    <w:rsid w:val="00950ACB"/>
    <w:rsid w:val="0095196E"/>
    <w:rsid w:val="00956519"/>
    <w:rsid w:val="00966756"/>
    <w:rsid w:val="00966F79"/>
    <w:rsid w:val="00970C88"/>
    <w:rsid w:val="009759FC"/>
    <w:rsid w:val="00985038"/>
    <w:rsid w:val="00990936"/>
    <w:rsid w:val="0099649B"/>
    <w:rsid w:val="009A4EAB"/>
    <w:rsid w:val="009A5D3E"/>
    <w:rsid w:val="009B4E0E"/>
    <w:rsid w:val="009B71A9"/>
    <w:rsid w:val="009C07CD"/>
    <w:rsid w:val="009C63A9"/>
    <w:rsid w:val="009C63B6"/>
    <w:rsid w:val="009D1BE5"/>
    <w:rsid w:val="009F3C43"/>
    <w:rsid w:val="00A06B72"/>
    <w:rsid w:val="00A22E25"/>
    <w:rsid w:val="00A27E85"/>
    <w:rsid w:val="00A375D4"/>
    <w:rsid w:val="00A37984"/>
    <w:rsid w:val="00A41491"/>
    <w:rsid w:val="00A42690"/>
    <w:rsid w:val="00A4616D"/>
    <w:rsid w:val="00A6045B"/>
    <w:rsid w:val="00A622A9"/>
    <w:rsid w:val="00A63D74"/>
    <w:rsid w:val="00A66DD0"/>
    <w:rsid w:val="00A719D2"/>
    <w:rsid w:val="00A763EC"/>
    <w:rsid w:val="00A84A51"/>
    <w:rsid w:val="00A8767B"/>
    <w:rsid w:val="00A94C22"/>
    <w:rsid w:val="00AA0964"/>
    <w:rsid w:val="00AA0F80"/>
    <w:rsid w:val="00AA37AC"/>
    <w:rsid w:val="00AA45C6"/>
    <w:rsid w:val="00AA51E7"/>
    <w:rsid w:val="00AA6D2B"/>
    <w:rsid w:val="00AB7356"/>
    <w:rsid w:val="00AC271F"/>
    <w:rsid w:val="00AC635D"/>
    <w:rsid w:val="00AD0379"/>
    <w:rsid w:val="00AD1347"/>
    <w:rsid w:val="00AD1645"/>
    <w:rsid w:val="00AD69FE"/>
    <w:rsid w:val="00AE11F6"/>
    <w:rsid w:val="00AE3176"/>
    <w:rsid w:val="00AF0E6A"/>
    <w:rsid w:val="00AF3BCE"/>
    <w:rsid w:val="00B01538"/>
    <w:rsid w:val="00B04EB0"/>
    <w:rsid w:val="00B11683"/>
    <w:rsid w:val="00B261D5"/>
    <w:rsid w:val="00B261D9"/>
    <w:rsid w:val="00B33E33"/>
    <w:rsid w:val="00B376E6"/>
    <w:rsid w:val="00B52652"/>
    <w:rsid w:val="00B52B87"/>
    <w:rsid w:val="00B54C30"/>
    <w:rsid w:val="00B56A92"/>
    <w:rsid w:val="00B57278"/>
    <w:rsid w:val="00B6472A"/>
    <w:rsid w:val="00B73680"/>
    <w:rsid w:val="00B74531"/>
    <w:rsid w:val="00B7723F"/>
    <w:rsid w:val="00B777D9"/>
    <w:rsid w:val="00B81757"/>
    <w:rsid w:val="00B821A0"/>
    <w:rsid w:val="00B92C11"/>
    <w:rsid w:val="00B9485F"/>
    <w:rsid w:val="00BA0202"/>
    <w:rsid w:val="00BA0569"/>
    <w:rsid w:val="00BA2DB9"/>
    <w:rsid w:val="00BB0D37"/>
    <w:rsid w:val="00BB1213"/>
    <w:rsid w:val="00BC35F6"/>
    <w:rsid w:val="00BC63BE"/>
    <w:rsid w:val="00BC76EB"/>
    <w:rsid w:val="00BD25AE"/>
    <w:rsid w:val="00BD7E9D"/>
    <w:rsid w:val="00BE56A0"/>
    <w:rsid w:val="00BE7148"/>
    <w:rsid w:val="00BF2FB3"/>
    <w:rsid w:val="00C00D82"/>
    <w:rsid w:val="00C06E47"/>
    <w:rsid w:val="00C21C68"/>
    <w:rsid w:val="00C2733D"/>
    <w:rsid w:val="00C31B32"/>
    <w:rsid w:val="00C3204C"/>
    <w:rsid w:val="00C3470C"/>
    <w:rsid w:val="00C374B8"/>
    <w:rsid w:val="00C37944"/>
    <w:rsid w:val="00C37BA8"/>
    <w:rsid w:val="00C4511C"/>
    <w:rsid w:val="00C455A2"/>
    <w:rsid w:val="00C51BFC"/>
    <w:rsid w:val="00C559BF"/>
    <w:rsid w:val="00C60509"/>
    <w:rsid w:val="00C66CFA"/>
    <w:rsid w:val="00C7238E"/>
    <w:rsid w:val="00C77B41"/>
    <w:rsid w:val="00C96E58"/>
    <w:rsid w:val="00CA33B2"/>
    <w:rsid w:val="00CA3D78"/>
    <w:rsid w:val="00CA43C4"/>
    <w:rsid w:val="00CA6F15"/>
    <w:rsid w:val="00CB344C"/>
    <w:rsid w:val="00CB42CE"/>
    <w:rsid w:val="00CB6EB6"/>
    <w:rsid w:val="00CC7EC4"/>
    <w:rsid w:val="00CD0DDB"/>
    <w:rsid w:val="00CE1802"/>
    <w:rsid w:val="00CF0527"/>
    <w:rsid w:val="00CF1373"/>
    <w:rsid w:val="00D01DEA"/>
    <w:rsid w:val="00D1638C"/>
    <w:rsid w:val="00D1706F"/>
    <w:rsid w:val="00D2075E"/>
    <w:rsid w:val="00D21D83"/>
    <w:rsid w:val="00D23073"/>
    <w:rsid w:val="00D243C5"/>
    <w:rsid w:val="00D3071D"/>
    <w:rsid w:val="00D31C51"/>
    <w:rsid w:val="00D367AA"/>
    <w:rsid w:val="00D37C2C"/>
    <w:rsid w:val="00D459E0"/>
    <w:rsid w:val="00D45D74"/>
    <w:rsid w:val="00D520A1"/>
    <w:rsid w:val="00D61C4B"/>
    <w:rsid w:val="00D708CA"/>
    <w:rsid w:val="00D72F4B"/>
    <w:rsid w:val="00D80A0E"/>
    <w:rsid w:val="00D849AE"/>
    <w:rsid w:val="00DB2E31"/>
    <w:rsid w:val="00DB6E7A"/>
    <w:rsid w:val="00DC765C"/>
    <w:rsid w:val="00DD3BC1"/>
    <w:rsid w:val="00DE0717"/>
    <w:rsid w:val="00DE3A1F"/>
    <w:rsid w:val="00E01E71"/>
    <w:rsid w:val="00E027AF"/>
    <w:rsid w:val="00E030D3"/>
    <w:rsid w:val="00E15CFF"/>
    <w:rsid w:val="00E230ED"/>
    <w:rsid w:val="00E23C53"/>
    <w:rsid w:val="00E32139"/>
    <w:rsid w:val="00E44FD4"/>
    <w:rsid w:val="00E630AD"/>
    <w:rsid w:val="00E64591"/>
    <w:rsid w:val="00E708B1"/>
    <w:rsid w:val="00E72DC6"/>
    <w:rsid w:val="00E745BB"/>
    <w:rsid w:val="00E75579"/>
    <w:rsid w:val="00E7675B"/>
    <w:rsid w:val="00E77A27"/>
    <w:rsid w:val="00E77D25"/>
    <w:rsid w:val="00E87016"/>
    <w:rsid w:val="00E907A4"/>
    <w:rsid w:val="00E9213D"/>
    <w:rsid w:val="00E9738E"/>
    <w:rsid w:val="00EA16F9"/>
    <w:rsid w:val="00EA2DDC"/>
    <w:rsid w:val="00EA3666"/>
    <w:rsid w:val="00EA677D"/>
    <w:rsid w:val="00EA6829"/>
    <w:rsid w:val="00EA76C2"/>
    <w:rsid w:val="00EB17E7"/>
    <w:rsid w:val="00EB51BC"/>
    <w:rsid w:val="00EC0C59"/>
    <w:rsid w:val="00EC25F5"/>
    <w:rsid w:val="00EC47F6"/>
    <w:rsid w:val="00ED1D5E"/>
    <w:rsid w:val="00ED6613"/>
    <w:rsid w:val="00ED78FC"/>
    <w:rsid w:val="00ED7B96"/>
    <w:rsid w:val="00EE2764"/>
    <w:rsid w:val="00EE36FB"/>
    <w:rsid w:val="00EE3A56"/>
    <w:rsid w:val="00EF183B"/>
    <w:rsid w:val="00EF54F0"/>
    <w:rsid w:val="00EF71BF"/>
    <w:rsid w:val="00F0576D"/>
    <w:rsid w:val="00F0733A"/>
    <w:rsid w:val="00F0760F"/>
    <w:rsid w:val="00F108ED"/>
    <w:rsid w:val="00F227A4"/>
    <w:rsid w:val="00F328DA"/>
    <w:rsid w:val="00F35271"/>
    <w:rsid w:val="00F35580"/>
    <w:rsid w:val="00F502A9"/>
    <w:rsid w:val="00F52853"/>
    <w:rsid w:val="00F61A88"/>
    <w:rsid w:val="00F754A3"/>
    <w:rsid w:val="00F871C3"/>
    <w:rsid w:val="00F925B9"/>
    <w:rsid w:val="00FA0FA0"/>
    <w:rsid w:val="00FA6F53"/>
    <w:rsid w:val="00FA7196"/>
    <w:rsid w:val="00FB030F"/>
    <w:rsid w:val="00FD2F20"/>
    <w:rsid w:val="00FD368E"/>
    <w:rsid w:val="00FD4954"/>
    <w:rsid w:val="00FD51C6"/>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51A5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EF71BF"/>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tedd.act.gov.au/industrial-relations-and-public-sector-management/wsir/loose-fill-asbestos-disease-support-schem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932E-10BF-430E-8967-0B1FB20E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1811</Words>
  <Characters>9857</Characters>
  <Application>Microsoft Office Word</Application>
  <DocSecurity>0</DocSecurity>
  <Lines>203</Lines>
  <Paragraphs>66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DICKSON, Melissa</cp:lastModifiedBy>
  <cp:revision>5</cp:revision>
  <cp:lastPrinted>2016-04-08T01:41:00Z</cp:lastPrinted>
  <dcterms:created xsi:type="dcterms:W3CDTF">2022-04-04T05:06:00Z</dcterms:created>
  <dcterms:modified xsi:type="dcterms:W3CDTF">2022-04-07T02:24:00Z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6D3A9D89BDB44A4FBB24664BCE2CA9E6</vt:lpwstr>
  </property>
  <property fmtid="{D5CDD505-2E9C-101B-9397-08002B2CF9AE}" pid="9" name="PM_ProtectiveMarkingValue_Footer">
    <vt:lpwstr>OFFICIAL</vt:lpwstr>
  </property>
  <property fmtid="{D5CDD505-2E9C-101B-9397-08002B2CF9AE}" pid="10" name="PM_Originator_Hash_SHA1">
    <vt:lpwstr>556A68AC81CE1ABE5CC058CF1C8606C165DBFD1B</vt:lpwstr>
  </property>
  <property fmtid="{D5CDD505-2E9C-101B-9397-08002B2CF9AE}" pid="11" name="PM_OriginationTimeStamp">
    <vt:lpwstr>2022-04-07T02:24:41Z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5BD2EDC9AA6B2BEEEAABD0C6D1B314C5</vt:lpwstr>
  </property>
  <property fmtid="{D5CDD505-2E9C-101B-9397-08002B2CF9AE}" pid="20" name="PM_Hash_Salt">
    <vt:lpwstr>DD58EF7042A061C863227E5700FDF50F</vt:lpwstr>
  </property>
  <property fmtid="{D5CDD505-2E9C-101B-9397-08002B2CF9AE}" pid="21" name="PM_Hash_SHA1">
    <vt:lpwstr>2E0140C5F105323CBF2F870E8B1C4BF4335DA725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CC7A2E707427E08B5F0B3F0AE2A33FB018B94EC351C329D40019AD988D8095F3</vt:lpwstr>
  </property>
  <property fmtid="{D5CDD505-2E9C-101B-9397-08002B2CF9AE}" pid="26" name="PM_OriginatorDomainName_SHA256">
    <vt:lpwstr>E83A2A66C4061446A7E3732E8D44762184B6B377D962B96C83DC624302585857</vt:lpwstr>
  </property>
</Properties>
</file>