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4BBBB" w14:textId="0E17D0A9" w:rsidR="00704A20" w:rsidRDefault="003C5833" w:rsidP="00704A20">
      <w:pPr>
        <w:spacing w:after="220" w:line="240" w:lineRule="auto"/>
        <w:jc w:val="center"/>
        <w:rPr>
          <w:rFonts w:ascii="Times New Roman" w:hAnsi="Times New Roman"/>
          <w:b/>
          <w:sz w:val="24"/>
          <w:szCs w:val="24"/>
          <w:u w:val="single"/>
        </w:rPr>
      </w:pPr>
      <w:r>
        <w:rPr>
          <w:rFonts w:ascii="Times New Roman" w:hAnsi="Times New Roman"/>
          <w:b/>
          <w:sz w:val="24"/>
          <w:szCs w:val="24"/>
          <w:u w:val="single"/>
        </w:rPr>
        <w:t>SAFETY,</w:t>
      </w:r>
      <w:r w:rsidRPr="00F36CE5">
        <w:rPr>
          <w:rFonts w:ascii="Times New Roman" w:hAnsi="Times New Roman"/>
          <w:b/>
          <w:sz w:val="24"/>
          <w:szCs w:val="24"/>
          <w:u w:val="single"/>
        </w:rPr>
        <w:t xml:space="preserve"> REHABILITATION AND COMPENSATION</w:t>
      </w:r>
      <w:r w:rsidR="008A1E2B">
        <w:rPr>
          <w:rFonts w:ascii="Times New Roman" w:hAnsi="Times New Roman"/>
          <w:b/>
          <w:sz w:val="24"/>
          <w:szCs w:val="24"/>
          <w:u w:val="single"/>
        </w:rPr>
        <w:t xml:space="preserve"> DIRECTIONS AMENDMENT INSTRUMENT 2022</w:t>
      </w:r>
    </w:p>
    <w:p w14:paraId="42AC8EEE" w14:textId="77777777" w:rsidR="008A1E2B" w:rsidRPr="00704A20" w:rsidRDefault="008A1E2B" w:rsidP="00704A20">
      <w:pPr>
        <w:spacing w:after="220" w:line="240" w:lineRule="auto"/>
        <w:jc w:val="center"/>
        <w:rPr>
          <w:rFonts w:ascii="Times New Roman" w:hAnsi="Times New Roman"/>
          <w:b/>
          <w:sz w:val="24"/>
          <w:szCs w:val="24"/>
          <w:u w:val="single"/>
        </w:rPr>
      </w:pPr>
    </w:p>
    <w:p w14:paraId="78F2B4FE" w14:textId="77777777" w:rsidR="003C5833" w:rsidRPr="00F36CE5" w:rsidRDefault="003C5833" w:rsidP="003C5833">
      <w:pPr>
        <w:spacing w:after="220" w:line="240" w:lineRule="auto"/>
        <w:jc w:val="center"/>
        <w:rPr>
          <w:rFonts w:ascii="Times New Roman" w:hAnsi="Times New Roman"/>
          <w:b/>
          <w:sz w:val="24"/>
          <w:szCs w:val="24"/>
          <w:u w:val="single"/>
        </w:rPr>
      </w:pPr>
      <w:r w:rsidRPr="00F36CE5">
        <w:rPr>
          <w:rFonts w:ascii="Times New Roman" w:hAnsi="Times New Roman"/>
          <w:b/>
          <w:sz w:val="24"/>
          <w:szCs w:val="24"/>
          <w:u w:val="single"/>
        </w:rPr>
        <w:t>EXPLANATORY STATEMENT</w:t>
      </w:r>
    </w:p>
    <w:p w14:paraId="12168018" w14:textId="77777777" w:rsidR="003C5833" w:rsidRPr="009D2A47" w:rsidRDefault="003C5833" w:rsidP="003C5833">
      <w:pPr>
        <w:spacing w:after="220" w:line="240" w:lineRule="auto"/>
        <w:jc w:val="center"/>
        <w:rPr>
          <w:rFonts w:ascii="Times New Roman" w:hAnsi="Times New Roman"/>
          <w:b/>
          <w:u w:val="single"/>
        </w:rPr>
      </w:pPr>
    </w:p>
    <w:p w14:paraId="043CCA1A" w14:textId="3565C8EF" w:rsidR="003C5833" w:rsidRPr="00C04ACC" w:rsidRDefault="003C5833" w:rsidP="003C5833">
      <w:pPr>
        <w:spacing w:after="220" w:line="240" w:lineRule="auto"/>
        <w:jc w:val="center"/>
        <w:rPr>
          <w:rFonts w:ascii="Times New Roman" w:hAnsi="Times New Roman"/>
        </w:rPr>
      </w:pPr>
      <w:r w:rsidRPr="00C04ACC">
        <w:rPr>
          <w:rFonts w:ascii="Times New Roman" w:hAnsi="Times New Roman"/>
        </w:rPr>
        <w:t xml:space="preserve">Issued by </w:t>
      </w:r>
      <w:r>
        <w:rPr>
          <w:rFonts w:ascii="Times New Roman" w:hAnsi="Times New Roman"/>
        </w:rPr>
        <w:t xml:space="preserve">authority of </w:t>
      </w:r>
      <w:r w:rsidR="00F32E8A" w:rsidRPr="00C04ACC">
        <w:rPr>
          <w:rFonts w:ascii="Times New Roman" w:hAnsi="Times New Roman"/>
        </w:rPr>
        <w:t xml:space="preserve">the </w:t>
      </w:r>
      <w:r w:rsidRPr="00C04ACC">
        <w:rPr>
          <w:rFonts w:ascii="Times New Roman" w:hAnsi="Times New Roman"/>
          <w:lang w:val="en"/>
        </w:rPr>
        <w:t xml:space="preserve">Minister for </w:t>
      </w:r>
      <w:r>
        <w:rPr>
          <w:rFonts w:ascii="Times New Roman" w:hAnsi="Times New Roman"/>
          <w:lang w:val="en"/>
        </w:rPr>
        <w:t xml:space="preserve">Industrial Relations </w:t>
      </w:r>
    </w:p>
    <w:p w14:paraId="2B21EF75" w14:textId="5CE51306" w:rsidR="003C5833" w:rsidRPr="00C04ACC" w:rsidRDefault="003C5833" w:rsidP="003C5833">
      <w:pPr>
        <w:spacing w:after="220" w:line="240" w:lineRule="auto"/>
        <w:jc w:val="center"/>
        <w:rPr>
          <w:rFonts w:ascii="Times New Roman" w:hAnsi="Times New Roman"/>
          <w:i/>
        </w:rPr>
      </w:pPr>
      <w:r>
        <w:rPr>
          <w:rFonts w:ascii="Times New Roman" w:hAnsi="Times New Roman"/>
          <w:lang w:val="en"/>
        </w:rPr>
        <w:t xml:space="preserve">under </w:t>
      </w:r>
      <w:r w:rsidR="008A1E2B">
        <w:rPr>
          <w:rFonts w:ascii="Times New Roman" w:hAnsi="Times New Roman"/>
        </w:rPr>
        <w:t xml:space="preserve">sections 89D and 101 </w:t>
      </w:r>
      <w:r>
        <w:rPr>
          <w:rFonts w:ascii="Times New Roman" w:hAnsi="Times New Roman"/>
        </w:rPr>
        <w:t xml:space="preserve">of the </w:t>
      </w:r>
      <w:r>
        <w:rPr>
          <w:rFonts w:ascii="Times New Roman" w:hAnsi="Times New Roman"/>
          <w:i/>
        </w:rPr>
        <w:t xml:space="preserve">Safety, </w:t>
      </w:r>
      <w:r w:rsidRPr="00C04ACC">
        <w:rPr>
          <w:rFonts w:ascii="Times New Roman" w:hAnsi="Times New Roman"/>
          <w:i/>
        </w:rPr>
        <w:t>Rehabili</w:t>
      </w:r>
      <w:r>
        <w:rPr>
          <w:rFonts w:ascii="Times New Roman" w:hAnsi="Times New Roman"/>
          <w:i/>
        </w:rPr>
        <w:t>tation and Compensation Act 1988</w:t>
      </w:r>
    </w:p>
    <w:p w14:paraId="4FEC3531" w14:textId="77777777" w:rsidR="003C5833" w:rsidRDefault="003C5833" w:rsidP="003C5833">
      <w:pPr>
        <w:spacing w:line="240" w:lineRule="auto"/>
        <w:contextualSpacing/>
        <w:rPr>
          <w:rFonts w:ascii="Times New Roman" w:eastAsia="Times New Roman" w:hAnsi="Times New Roman"/>
          <w:b/>
          <w:caps/>
          <w:sz w:val="24"/>
          <w:szCs w:val="24"/>
        </w:rPr>
      </w:pPr>
    </w:p>
    <w:p w14:paraId="33C182E6" w14:textId="77777777" w:rsidR="003C5833" w:rsidRDefault="003C5833" w:rsidP="003C5833">
      <w:pPr>
        <w:spacing w:line="240" w:lineRule="auto"/>
        <w:contextualSpacing/>
        <w:rPr>
          <w:rFonts w:ascii="Times New Roman" w:eastAsia="Times New Roman" w:hAnsi="Times New Roman"/>
          <w:b/>
          <w:sz w:val="24"/>
          <w:szCs w:val="24"/>
        </w:rPr>
      </w:pPr>
      <w:r w:rsidRPr="005F108B">
        <w:rPr>
          <w:rFonts w:ascii="Times New Roman" w:eastAsia="Times New Roman" w:hAnsi="Times New Roman"/>
          <w:b/>
          <w:caps/>
          <w:sz w:val="24"/>
          <w:szCs w:val="24"/>
        </w:rPr>
        <w:t>Purpose and operation of the Instrument</w:t>
      </w:r>
    </w:p>
    <w:p w14:paraId="21C79330" w14:textId="77777777" w:rsidR="003C5833" w:rsidRDefault="003C5833" w:rsidP="003C5833">
      <w:pPr>
        <w:spacing w:line="240" w:lineRule="auto"/>
        <w:contextualSpacing/>
        <w:rPr>
          <w:rFonts w:ascii="Times New Roman" w:eastAsia="Times New Roman" w:hAnsi="Times New Roman"/>
          <w:lang w:eastAsia="en-AU"/>
        </w:rPr>
      </w:pPr>
    </w:p>
    <w:p w14:paraId="6365B2B1" w14:textId="77777777" w:rsidR="008A1E2B" w:rsidRPr="008A1E2B" w:rsidRDefault="008A1E2B" w:rsidP="008A1E2B">
      <w:pPr>
        <w:shd w:val="clear" w:color="auto" w:fill="FFFFFF"/>
        <w:spacing w:line="240" w:lineRule="auto"/>
        <w:rPr>
          <w:rFonts w:eastAsia="Times New Roman" w:cs="Calibri"/>
          <w:color w:val="000000"/>
          <w:lang w:eastAsia="en-AU"/>
        </w:rPr>
      </w:pPr>
      <w:r w:rsidRPr="008A1E2B">
        <w:rPr>
          <w:rFonts w:ascii="Times New Roman" w:eastAsia="Times New Roman" w:hAnsi="Times New Roman"/>
          <w:color w:val="000000"/>
          <w:lang w:eastAsia="en-AU"/>
        </w:rPr>
        <w:t>The </w:t>
      </w:r>
      <w:r w:rsidRPr="008A1E2B">
        <w:rPr>
          <w:rFonts w:ascii="Times New Roman" w:eastAsia="Times New Roman" w:hAnsi="Times New Roman"/>
          <w:i/>
          <w:iCs/>
          <w:color w:val="000000"/>
          <w:lang w:eastAsia="en-AU"/>
        </w:rPr>
        <w:t>Safety, Rehabilitation and Compensation Act 1988 </w:t>
      </w:r>
      <w:r w:rsidRPr="008A1E2B">
        <w:rPr>
          <w:rFonts w:ascii="Times New Roman" w:eastAsia="Times New Roman" w:hAnsi="Times New Roman"/>
          <w:color w:val="000000"/>
          <w:lang w:eastAsia="en-AU"/>
        </w:rPr>
        <w:t>(SRC Act) establishes the Commonwealth workers’ compensation and rehabilitation scheme for employees of the Commonwealth, Commonwealth authorities and licensed corporations.</w:t>
      </w:r>
    </w:p>
    <w:p w14:paraId="4F851E98" w14:textId="77777777" w:rsidR="008A1E2B" w:rsidRPr="008A1E2B" w:rsidRDefault="008A1E2B" w:rsidP="008A1E2B">
      <w:pPr>
        <w:shd w:val="clear" w:color="auto" w:fill="FFFFFF"/>
        <w:spacing w:line="240" w:lineRule="auto"/>
        <w:rPr>
          <w:rFonts w:eastAsia="Times New Roman" w:cs="Calibri"/>
          <w:color w:val="000000"/>
          <w:lang w:eastAsia="en-AU"/>
        </w:rPr>
      </w:pPr>
      <w:r w:rsidRPr="008A1E2B">
        <w:rPr>
          <w:rFonts w:ascii="Times New Roman" w:eastAsia="Times New Roman" w:hAnsi="Times New Roman"/>
          <w:color w:val="000000"/>
          <w:lang w:eastAsia="en-AU"/>
        </w:rPr>
        <w:t>The Safety, Rehabilitation and Compensation Commission (the Commission) is established by the SRC Act. The Commission has a number of functions and powers under the SRC Act, including the granting of licences to eligible applicants under Part VIII of the Act.</w:t>
      </w:r>
    </w:p>
    <w:p w14:paraId="594E51E4" w14:textId="77777777" w:rsidR="00605616" w:rsidRPr="00871AA7" w:rsidRDefault="008A1E2B" w:rsidP="008A1E2B">
      <w:pPr>
        <w:shd w:val="clear" w:color="auto" w:fill="FFFFFF"/>
        <w:spacing w:line="240" w:lineRule="auto"/>
        <w:rPr>
          <w:rFonts w:ascii="Times New Roman" w:eastAsia="Times New Roman" w:hAnsi="Times New Roman"/>
          <w:color w:val="000000"/>
          <w:lang w:val="en" w:eastAsia="en-AU"/>
        </w:rPr>
      </w:pPr>
      <w:r w:rsidRPr="008A1E2B">
        <w:rPr>
          <w:rFonts w:ascii="Times New Roman" w:eastAsia="Times New Roman" w:hAnsi="Times New Roman"/>
          <w:color w:val="000000"/>
          <w:lang w:eastAsia="en-AU"/>
        </w:rPr>
        <w:t>Pursuant to section 89D of the SRC Act, the Minister may </w:t>
      </w:r>
      <w:r w:rsidRPr="008A1E2B">
        <w:rPr>
          <w:rFonts w:ascii="Times New Roman" w:eastAsia="Times New Roman" w:hAnsi="Times New Roman"/>
          <w:color w:val="000000"/>
          <w:lang w:val="en" w:eastAsia="en-AU"/>
        </w:rPr>
        <w:t xml:space="preserve">give a direction to the Commission with respect to the performance of its functions and the exercise of its powers under the SRC Act. Section 101 of the SRC Act provides that the Minister's power to give directions to the Commission under section 89D of the SRC Act extends to directions concerning any matter relating to the grant of </w:t>
      </w:r>
      <w:proofErr w:type="spellStart"/>
      <w:r w:rsidRPr="008A1E2B">
        <w:rPr>
          <w:rFonts w:ascii="Times New Roman" w:eastAsia="Times New Roman" w:hAnsi="Times New Roman"/>
          <w:color w:val="000000"/>
          <w:lang w:val="en" w:eastAsia="en-AU"/>
        </w:rPr>
        <w:t>licences</w:t>
      </w:r>
      <w:proofErr w:type="spellEnd"/>
      <w:r w:rsidRPr="008A1E2B">
        <w:rPr>
          <w:rFonts w:ascii="Times New Roman" w:eastAsia="Times New Roman" w:hAnsi="Times New Roman"/>
          <w:color w:val="000000"/>
          <w:lang w:val="en" w:eastAsia="en-AU"/>
        </w:rPr>
        <w:t xml:space="preserve"> under Part VIII of the Act.</w:t>
      </w:r>
      <w:r w:rsidR="00605616" w:rsidRPr="00871AA7">
        <w:rPr>
          <w:rFonts w:ascii="Times New Roman" w:eastAsia="Times New Roman" w:hAnsi="Times New Roman"/>
          <w:color w:val="000000"/>
          <w:lang w:val="en" w:eastAsia="en-AU"/>
        </w:rPr>
        <w:t xml:space="preserve"> </w:t>
      </w:r>
    </w:p>
    <w:p w14:paraId="5B17AC30" w14:textId="43B5615E" w:rsidR="008A1E2B" w:rsidRPr="00871AA7" w:rsidRDefault="00605616" w:rsidP="004D2511">
      <w:pPr>
        <w:shd w:val="clear" w:color="auto" w:fill="FFFFFF"/>
        <w:spacing w:line="240" w:lineRule="auto"/>
        <w:rPr>
          <w:rFonts w:ascii="Times New Roman" w:hAnsi="Times New Roman"/>
          <w:iCs/>
          <w:color w:val="000000"/>
          <w:shd w:val="clear" w:color="auto" w:fill="FFFFFF"/>
        </w:rPr>
      </w:pPr>
      <w:r w:rsidRPr="00871AA7">
        <w:rPr>
          <w:rFonts w:ascii="Times New Roman" w:eastAsia="Times New Roman" w:hAnsi="Times New Roman"/>
          <w:color w:val="000000"/>
          <w:lang w:val="en" w:eastAsia="en-AU"/>
        </w:rPr>
        <w:t xml:space="preserve">On and from </w:t>
      </w:r>
      <w:r w:rsidR="004D2511" w:rsidRPr="00871AA7">
        <w:rPr>
          <w:rFonts w:ascii="Times New Roman" w:eastAsia="Times New Roman" w:hAnsi="Times New Roman"/>
          <w:color w:val="000000"/>
          <w:lang w:val="en" w:eastAsia="en-AU"/>
        </w:rPr>
        <w:t>28 March 201</w:t>
      </w:r>
      <w:r w:rsidR="002C381F">
        <w:rPr>
          <w:rFonts w:ascii="Times New Roman" w:eastAsia="Times New Roman" w:hAnsi="Times New Roman"/>
          <w:color w:val="000000"/>
          <w:lang w:val="en" w:eastAsia="en-AU"/>
        </w:rPr>
        <w:t>9</w:t>
      </w:r>
      <w:r w:rsidR="004D2511" w:rsidRPr="00871AA7">
        <w:rPr>
          <w:rFonts w:ascii="Times New Roman" w:eastAsia="Times New Roman" w:hAnsi="Times New Roman"/>
          <w:color w:val="000000"/>
          <w:lang w:val="en" w:eastAsia="en-AU"/>
        </w:rPr>
        <w:t xml:space="preserve">, the Commission has been subject to the Ministerial directions contained in the </w:t>
      </w:r>
      <w:r w:rsidR="004D2511" w:rsidRPr="00871AA7">
        <w:rPr>
          <w:rFonts w:ascii="Times New Roman" w:eastAsia="Times New Roman" w:hAnsi="Times New Roman"/>
          <w:i/>
          <w:color w:val="000000"/>
          <w:lang w:val="en" w:eastAsia="en-AU"/>
        </w:rPr>
        <w:t xml:space="preserve">Safety, Rehabilitation and Compensation Directions 2019 </w:t>
      </w:r>
      <w:r w:rsidR="0096577C" w:rsidRPr="00871AA7">
        <w:rPr>
          <w:rFonts w:ascii="Times New Roman" w:eastAsia="Times New Roman" w:hAnsi="Times New Roman"/>
          <w:color w:val="000000"/>
          <w:lang w:val="en" w:eastAsia="en-AU"/>
        </w:rPr>
        <w:t xml:space="preserve">(the </w:t>
      </w:r>
      <w:r w:rsidR="002E52BB" w:rsidRPr="00871AA7">
        <w:rPr>
          <w:rFonts w:ascii="Times New Roman" w:eastAsia="Times New Roman" w:hAnsi="Times New Roman"/>
          <w:color w:val="000000"/>
          <w:lang w:val="en" w:eastAsia="en-AU"/>
        </w:rPr>
        <w:t xml:space="preserve">2019 </w:t>
      </w:r>
      <w:r w:rsidR="0096577C" w:rsidRPr="00871AA7">
        <w:rPr>
          <w:rFonts w:ascii="Times New Roman" w:eastAsia="Times New Roman" w:hAnsi="Times New Roman"/>
          <w:color w:val="000000"/>
          <w:lang w:val="en" w:eastAsia="en-AU"/>
        </w:rPr>
        <w:t xml:space="preserve">Directions) </w:t>
      </w:r>
      <w:r w:rsidR="004D2511" w:rsidRPr="00871AA7">
        <w:rPr>
          <w:rFonts w:ascii="Times New Roman" w:eastAsia="Times New Roman" w:hAnsi="Times New Roman"/>
          <w:color w:val="000000"/>
          <w:lang w:val="en" w:eastAsia="en-AU"/>
        </w:rPr>
        <w:t xml:space="preserve">which repealed and substantially replicated the </w:t>
      </w:r>
      <w:r w:rsidR="004D2511" w:rsidRPr="00871AA7">
        <w:rPr>
          <w:rFonts w:ascii="Times New Roman" w:hAnsi="Times New Roman"/>
          <w:i/>
          <w:iCs/>
          <w:color w:val="000000"/>
          <w:shd w:val="clear" w:color="auto" w:fill="FFFFFF"/>
        </w:rPr>
        <w:t>Safety, Rehabilitation and Compensation Directions 2002</w:t>
      </w:r>
      <w:r w:rsidR="0096577C" w:rsidRPr="00871AA7">
        <w:rPr>
          <w:rFonts w:ascii="Times New Roman" w:hAnsi="Times New Roman"/>
          <w:iCs/>
          <w:color w:val="000000"/>
          <w:shd w:val="clear" w:color="auto" w:fill="FFFFFF"/>
        </w:rPr>
        <w:t xml:space="preserve">, subject to a number of updates to reflect the commencement of the </w:t>
      </w:r>
      <w:r w:rsidR="0096577C" w:rsidRPr="00871AA7">
        <w:rPr>
          <w:rFonts w:ascii="Times New Roman" w:hAnsi="Times New Roman"/>
          <w:i/>
          <w:iCs/>
          <w:color w:val="000000"/>
          <w:shd w:val="clear" w:color="auto" w:fill="FFFFFF"/>
        </w:rPr>
        <w:t>Safety, Rehabilitation and Compensation Regulations 2019</w:t>
      </w:r>
      <w:r w:rsidR="0096577C" w:rsidRPr="00871AA7">
        <w:rPr>
          <w:rFonts w:ascii="Times New Roman" w:hAnsi="Times New Roman"/>
          <w:iCs/>
          <w:color w:val="000000"/>
          <w:shd w:val="clear" w:color="auto" w:fill="FFFFFF"/>
        </w:rPr>
        <w:t xml:space="preserve">. </w:t>
      </w:r>
    </w:p>
    <w:p w14:paraId="473ADA84" w14:textId="66D3FAEF" w:rsidR="00871AA7" w:rsidRDefault="0096577C" w:rsidP="004D2511">
      <w:pPr>
        <w:shd w:val="clear" w:color="auto" w:fill="FFFFFF"/>
        <w:spacing w:line="240" w:lineRule="auto"/>
        <w:rPr>
          <w:rFonts w:ascii="Times New Roman" w:hAnsi="Times New Roman"/>
          <w:iCs/>
          <w:color w:val="000000"/>
          <w:shd w:val="clear" w:color="auto" w:fill="FFFFFF"/>
        </w:rPr>
      </w:pPr>
      <w:r w:rsidRPr="00871AA7">
        <w:rPr>
          <w:rFonts w:ascii="Times New Roman" w:hAnsi="Times New Roman"/>
          <w:iCs/>
          <w:color w:val="000000"/>
          <w:shd w:val="clear" w:color="auto" w:fill="FFFFFF"/>
        </w:rPr>
        <w:t xml:space="preserve">This instrument amends the </w:t>
      </w:r>
      <w:r w:rsidR="002E52BB" w:rsidRPr="00871AA7">
        <w:rPr>
          <w:rFonts w:ascii="Times New Roman" w:hAnsi="Times New Roman"/>
          <w:iCs/>
          <w:color w:val="000000"/>
          <w:shd w:val="clear" w:color="auto" w:fill="FFFFFF"/>
        </w:rPr>
        <w:t xml:space="preserve">2019 </w:t>
      </w:r>
      <w:r w:rsidRPr="00871AA7">
        <w:rPr>
          <w:rFonts w:ascii="Times New Roman" w:hAnsi="Times New Roman"/>
          <w:iCs/>
          <w:color w:val="000000"/>
          <w:shd w:val="clear" w:color="auto" w:fill="FFFFFF"/>
        </w:rPr>
        <w:t xml:space="preserve">Directions to </w:t>
      </w:r>
      <w:r w:rsidR="00A91C65" w:rsidRPr="00871AA7">
        <w:rPr>
          <w:rFonts w:ascii="Times New Roman" w:hAnsi="Times New Roman"/>
          <w:iCs/>
          <w:color w:val="000000"/>
          <w:shd w:val="clear" w:color="auto" w:fill="FFFFFF"/>
        </w:rPr>
        <w:t xml:space="preserve">introduce new directions </w:t>
      </w:r>
      <w:r w:rsidR="00871AA7">
        <w:rPr>
          <w:rFonts w:ascii="Times New Roman" w:hAnsi="Times New Roman"/>
          <w:iCs/>
          <w:color w:val="000000"/>
          <w:shd w:val="clear" w:color="auto" w:fill="FFFFFF"/>
        </w:rPr>
        <w:t xml:space="preserve">relating to </w:t>
      </w:r>
      <w:r w:rsidR="00871AA7" w:rsidRPr="00871AA7">
        <w:rPr>
          <w:rFonts w:ascii="Times New Roman" w:hAnsi="Times New Roman"/>
          <w:iCs/>
          <w:color w:val="000000"/>
          <w:shd w:val="clear" w:color="auto" w:fill="FFFFFF"/>
        </w:rPr>
        <w:t xml:space="preserve">the exercise of the Commission’s powers to authorise a </w:t>
      </w:r>
      <w:r w:rsidR="00871AA7">
        <w:rPr>
          <w:rFonts w:ascii="Times New Roman" w:hAnsi="Times New Roman"/>
          <w:iCs/>
          <w:color w:val="000000"/>
          <w:shd w:val="clear" w:color="auto" w:fill="FFFFFF"/>
        </w:rPr>
        <w:t>Commonwealth authority</w:t>
      </w:r>
      <w:r w:rsidR="00871AA7" w:rsidRPr="00871AA7">
        <w:rPr>
          <w:rFonts w:ascii="Times New Roman" w:hAnsi="Times New Roman"/>
          <w:iCs/>
          <w:color w:val="000000"/>
          <w:shd w:val="clear" w:color="auto" w:fill="FFFFFF"/>
        </w:rPr>
        <w:t xml:space="preserve"> </w:t>
      </w:r>
      <w:r w:rsidR="00871AA7">
        <w:rPr>
          <w:rFonts w:ascii="Times New Roman" w:hAnsi="Times New Roman"/>
          <w:iCs/>
          <w:color w:val="000000"/>
          <w:shd w:val="clear" w:color="auto" w:fill="FFFFFF"/>
        </w:rPr>
        <w:t>to accept liability in respect of injury, loss, damage or death occurring before the commencement of a licence under Part VIII of the SRC Act. The instrument provides that the Commission must not authorise a Commonwealth authority to accept such liability unless</w:t>
      </w:r>
      <w:r w:rsidR="00F53F6A">
        <w:rPr>
          <w:rFonts w:ascii="Times New Roman" w:hAnsi="Times New Roman"/>
          <w:iCs/>
          <w:color w:val="000000"/>
          <w:shd w:val="clear" w:color="auto" w:fill="FFFFFF"/>
        </w:rPr>
        <w:t xml:space="preserve"> the Commission</w:t>
      </w:r>
      <w:r w:rsidR="00871AA7">
        <w:rPr>
          <w:rFonts w:ascii="Times New Roman" w:hAnsi="Times New Roman"/>
          <w:iCs/>
          <w:color w:val="000000"/>
          <w:shd w:val="clear" w:color="auto" w:fill="FFFFFF"/>
        </w:rPr>
        <w:t xml:space="preserve"> has</w:t>
      </w:r>
      <w:r w:rsidR="00983A4E">
        <w:rPr>
          <w:rFonts w:ascii="Times New Roman" w:hAnsi="Times New Roman"/>
          <w:iCs/>
          <w:color w:val="000000"/>
          <w:shd w:val="clear" w:color="auto" w:fill="FFFFFF"/>
        </w:rPr>
        <w:t xml:space="preserve"> provided prior written notification to the Minister</w:t>
      </w:r>
      <w:r w:rsidR="00871AA7">
        <w:rPr>
          <w:rFonts w:ascii="Times New Roman" w:hAnsi="Times New Roman"/>
          <w:iCs/>
          <w:color w:val="000000"/>
          <w:shd w:val="clear" w:color="auto" w:fill="FFFFFF"/>
        </w:rPr>
        <w:t xml:space="preserve"> of:</w:t>
      </w:r>
    </w:p>
    <w:p w14:paraId="075EAB97" w14:textId="77777777" w:rsidR="00871AA7" w:rsidRPr="00871AA7" w:rsidRDefault="00871AA7" w:rsidP="00871AA7">
      <w:pPr>
        <w:pStyle w:val="ListParagraph"/>
        <w:numPr>
          <w:ilvl w:val="0"/>
          <w:numId w:val="9"/>
        </w:numPr>
        <w:shd w:val="clear" w:color="auto" w:fill="FFFFFF"/>
        <w:spacing w:line="240" w:lineRule="auto"/>
        <w:rPr>
          <w:rFonts w:ascii="Times New Roman" w:hAnsi="Times New Roman"/>
          <w:iCs/>
          <w:color w:val="000000"/>
          <w:shd w:val="clear" w:color="auto" w:fill="FFFFFF"/>
        </w:rPr>
      </w:pPr>
      <w:r w:rsidRPr="00871AA7">
        <w:rPr>
          <w:rFonts w:ascii="Times New Roman" w:hAnsi="Times New Roman"/>
          <w:iCs/>
          <w:color w:val="000000"/>
          <w:shd w:val="clear" w:color="auto" w:fill="FFFFFF"/>
        </w:rPr>
        <w:t>the extent to which the Commonwealth authority would be authorised to accept liability under the Act in relation to injury, loss, damage or death that has occurred prior to the commencement of the licence; and</w:t>
      </w:r>
    </w:p>
    <w:p w14:paraId="55E96B3D" w14:textId="77777777" w:rsidR="00871AA7" w:rsidRPr="00871AA7" w:rsidRDefault="00871AA7" w:rsidP="00871AA7">
      <w:pPr>
        <w:pStyle w:val="ListParagraph"/>
        <w:shd w:val="clear" w:color="auto" w:fill="FFFFFF"/>
        <w:spacing w:line="240" w:lineRule="auto"/>
        <w:rPr>
          <w:rFonts w:ascii="Times New Roman" w:hAnsi="Times New Roman"/>
          <w:iCs/>
          <w:color w:val="000000"/>
          <w:shd w:val="clear" w:color="auto" w:fill="FFFFFF"/>
        </w:rPr>
      </w:pPr>
    </w:p>
    <w:p w14:paraId="76C3E384" w14:textId="77777777" w:rsidR="00871AA7" w:rsidRDefault="00871AA7" w:rsidP="00871AA7">
      <w:pPr>
        <w:pStyle w:val="ListParagraph"/>
        <w:numPr>
          <w:ilvl w:val="0"/>
          <w:numId w:val="9"/>
        </w:numPr>
        <w:shd w:val="clear" w:color="auto" w:fill="FFFFFF"/>
        <w:spacing w:line="240" w:lineRule="auto"/>
        <w:rPr>
          <w:rFonts w:ascii="Times New Roman" w:hAnsi="Times New Roman"/>
          <w:iCs/>
          <w:color w:val="000000"/>
          <w:shd w:val="clear" w:color="auto" w:fill="FFFFFF"/>
        </w:rPr>
      </w:pPr>
      <w:r w:rsidRPr="00871AA7">
        <w:rPr>
          <w:rFonts w:ascii="Times New Roman" w:hAnsi="Times New Roman"/>
          <w:iCs/>
          <w:color w:val="000000"/>
          <w:shd w:val="clear" w:color="auto" w:fill="FFFFFF"/>
        </w:rPr>
        <w:t>the estimated amount of outstanding tail liability that would be assumed by the Commonwealth authority</w:t>
      </w:r>
    </w:p>
    <w:p w14:paraId="2419DC8D" w14:textId="5936FECE" w:rsidR="00DA2D4D" w:rsidRDefault="00871AA7" w:rsidP="00983A4E">
      <w:pPr>
        <w:shd w:val="clear" w:color="auto" w:fill="FFFFFF"/>
        <w:spacing w:line="240" w:lineRule="auto"/>
        <w:rPr>
          <w:rFonts w:ascii="Times New Roman" w:hAnsi="Times New Roman"/>
          <w:iCs/>
          <w:color w:val="000000"/>
          <w:shd w:val="clear" w:color="auto" w:fill="FFFFFF"/>
        </w:rPr>
      </w:pPr>
      <w:r>
        <w:rPr>
          <w:rFonts w:ascii="Times New Roman" w:hAnsi="Times New Roman"/>
          <w:iCs/>
          <w:color w:val="000000"/>
          <w:shd w:val="clear" w:color="auto" w:fill="FFFFFF"/>
        </w:rPr>
        <w:t>under the proposed licence, or licence variation.</w:t>
      </w:r>
      <w:r w:rsidR="002E6EC3">
        <w:rPr>
          <w:rFonts w:ascii="Times New Roman" w:hAnsi="Times New Roman"/>
          <w:iCs/>
          <w:color w:val="000000"/>
          <w:shd w:val="clear" w:color="auto" w:fill="FFFFFF"/>
        </w:rPr>
        <w:t xml:space="preserve"> </w:t>
      </w:r>
    </w:p>
    <w:p w14:paraId="037928C6" w14:textId="797275C5" w:rsidR="00DA2D4D" w:rsidRDefault="002E6EC3" w:rsidP="00983A4E">
      <w:pPr>
        <w:shd w:val="clear" w:color="auto" w:fill="FFFFFF"/>
        <w:spacing w:line="240" w:lineRule="auto"/>
        <w:rPr>
          <w:rFonts w:ascii="Times New Roman" w:hAnsi="Times New Roman"/>
          <w:iCs/>
          <w:color w:val="000000"/>
          <w:shd w:val="clear" w:color="auto" w:fill="FFFFFF"/>
        </w:rPr>
      </w:pPr>
      <w:r>
        <w:rPr>
          <w:rFonts w:ascii="Times New Roman" w:hAnsi="Times New Roman"/>
          <w:iCs/>
          <w:color w:val="000000"/>
          <w:shd w:val="clear" w:color="auto" w:fill="FFFFFF"/>
        </w:rPr>
        <w:t xml:space="preserve">The instrument also provides that, for the purposes of the 2019 Directions, </w:t>
      </w:r>
      <w:r w:rsidRPr="00871AA7">
        <w:rPr>
          <w:rFonts w:ascii="Times New Roman" w:hAnsi="Times New Roman"/>
          <w:iCs/>
          <w:color w:val="000000"/>
          <w:shd w:val="clear" w:color="auto" w:fill="FFFFFF"/>
        </w:rPr>
        <w:t>outstanding tail liability</w:t>
      </w:r>
      <w:r w:rsidR="0013682F">
        <w:rPr>
          <w:rFonts w:ascii="Times New Roman" w:hAnsi="Times New Roman"/>
          <w:iCs/>
          <w:color w:val="000000"/>
          <w:shd w:val="clear" w:color="auto" w:fill="FFFFFF"/>
        </w:rPr>
        <w:t xml:space="preserve"> means</w:t>
      </w:r>
      <w:r w:rsidR="00DA2D4D" w:rsidRPr="00DA2D4D">
        <w:rPr>
          <w:rFonts w:ascii="Times New Roman" w:hAnsi="Times New Roman"/>
          <w:szCs w:val="24"/>
        </w:rPr>
        <w:t xml:space="preserve"> the indicative value of outstanding claim liabilities arising under the Act in relation to injury, loss, damage, or death suffered by employees of a Commonwealth authority in the period prior to the commencement of a licence during which the Commonwealth authority paid an annual premium </w:t>
      </w:r>
      <w:r w:rsidR="00DA2D4D" w:rsidRPr="00DA2D4D">
        <w:rPr>
          <w:rFonts w:ascii="Times New Roman" w:hAnsi="Times New Roman"/>
          <w:szCs w:val="24"/>
        </w:rPr>
        <w:lastRenderedPageBreak/>
        <w:t>under the Act, calculated by Comcare as at the date upon which the Commonwealth authority will, or proposes to, assume such liability.</w:t>
      </w:r>
    </w:p>
    <w:p w14:paraId="33102481" w14:textId="77777777" w:rsidR="00E2066C" w:rsidRDefault="00E2066C" w:rsidP="00182D29">
      <w:pPr>
        <w:spacing w:line="240" w:lineRule="auto"/>
        <w:contextualSpacing/>
        <w:rPr>
          <w:rFonts w:ascii="Times New Roman" w:eastAsia="Times New Roman" w:hAnsi="Times New Roman"/>
          <w:b/>
          <w:caps/>
          <w:sz w:val="24"/>
          <w:szCs w:val="24"/>
        </w:rPr>
      </w:pPr>
    </w:p>
    <w:p w14:paraId="061200B1" w14:textId="77777777" w:rsidR="00182D29" w:rsidRDefault="00182D29" w:rsidP="00182D29">
      <w:pPr>
        <w:spacing w:line="240" w:lineRule="auto"/>
        <w:contextualSpacing/>
        <w:rPr>
          <w:rFonts w:ascii="Times New Roman" w:eastAsia="Times New Roman" w:hAnsi="Times New Roman"/>
          <w:b/>
          <w:sz w:val="24"/>
          <w:szCs w:val="24"/>
        </w:rPr>
      </w:pPr>
      <w:r>
        <w:rPr>
          <w:rFonts w:ascii="Times New Roman" w:eastAsia="Times New Roman" w:hAnsi="Times New Roman"/>
          <w:b/>
          <w:caps/>
          <w:sz w:val="24"/>
          <w:szCs w:val="24"/>
        </w:rPr>
        <w:t xml:space="preserve">CONSULTATION </w:t>
      </w:r>
    </w:p>
    <w:p w14:paraId="7BB1356D" w14:textId="77777777" w:rsidR="00182D29" w:rsidRDefault="00182D29" w:rsidP="00F33B22">
      <w:pPr>
        <w:autoSpaceDE w:val="0"/>
        <w:autoSpaceDN w:val="0"/>
        <w:adjustRightInd w:val="0"/>
        <w:spacing w:before="120" w:after="120" w:line="240" w:lineRule="auto"/>
        <w:contextualSpacing/>
        <w:rPr>
          <w:rFonts w:ascii="Times New Roman" w:eastAsia="Times New Roman" w:hAnsi="Times New Roman"/>
          <w:lang w:eastAsia="en-AU"/>
        </w:rPr>
      </w:pPr>
    </w:p>
    <w:p w14:paraId="6C7E21CA" w14:textId="126DA2EF" w:rsidR="008A1E2B" w:rsidRDefault="00182D29" w:rsidP="00182D29">
      <w:pPr>
        <w:autoSpaceDE w:val="0"/>
        <w:autoSpaceDN w:val="0"/>
        <w:adjustRightInd w:val="0"/>
        <w:spacing w:before="120" w:after="120" w:line="240" w:lineRule="auto"/>
        <w:contextualSpacing/>
        <w:rPr>
          <w:rFonts w:ascii="Times New Roman" w:eastAsia="Times New Roman" w:hAnsi="Times New Roman"/>
          <w:color w:val="000000"/>
          <w:lang w:eastAsia="en-AU"/>
        </w:rPr>
      </w:pPr>
      <w:r w:rsidRPr="00B85EFA">
        <w:rPr>
          <w:rFonts w:ascii="Times New Roman" w:eastAsia="Times New Roman" w:hAnsi="Times New Roman"/>
          <w:color w:val="000000"/>
          <w:lang w:eastAsia="en-AU"/>
        </w:rPr>
        <w:t>Consultation was undertaken with Comcare</w:t>
      </w:r>
      <w:r w:rsidR="0096577C">
        <w:rPr>
          <w:rFonts w:ascii="Times New Roman" w:eastAsia="Times New Roman" w:hAnsi="Times New Roman"/>
          <w:color w:val="000000"/>
          <w:lang w:eastAsia="en-AU"/>
        </w:rPr>
        <w:t xml:space="preserve"> and the Commission</w:t>
      </w:r>
      <w:r w:rsidRPr="00B85EFA">
        <w:rPr>
          <w:rFonts w:ascii="Times New Roman" w:eastAsia="Times New Roman" w:hAnsi="Times New Roman"/>
          <w:color w:val="000000"/>
          <w:lang w:eastAsia="en-AU"/>
        </w:rPr>
        <w:t xml:space="preserve">. </w:t>
      </w:r>
      <w:r w:rsidR="00A91C65" w:rsidRPr="00A91C65">
        <w:rPr>
          <w:rFonts w:ascii="Times New Roman" w:eastAsia="Times New Roman" w:hAnsi="Times New Roman"/>
          <w:color w:val="000000"/>
          <w:lang w:eastAsia="en-AU"/>
        </w:rPr>
        <w:t xml:space="preserve">For the consultation, </w:t>
      </w:r>
      <w:r w:rsidR="00A91C65">
        <w:rPr>
          <w:rFonts w:ascii="Times New Roman" w:eastAsia="Times New Roman" w:hAnsi="Times New Roman"/>
          <w:color w:val="000000"/>
          <w:lang w:eastAsia="en-AU"/>
        </w:rPr>
        <w:t>Comcare and the Commission</w:t>
      </w:r>
      <w:r w:rsidR="00A91C65" w:rsidRPr="00A91C65">
        <w:rPr>
          <w:rFonts w:ascii="Times New Roman" w:eastAsia="Times New Roman" w:hAnsi="Times New Roman"/>
          <w:color w:val="000000"/>
          <w:lang w:eastAsia="en-AU"/>
        </w:rPr>
        <w:t xml:space="preserve"> were provided with a draft version of this instrument, and were invited to provide feedback. Where appropriate, feedback received </w:t>
      </w:r>
      <w:r w:rsidR="00A91C65">
        <w:rPr>
          <w:rFonts w:ascii="Times New Roman" w:eastAsia="Times New Roman" w:hAnsi="Times New Roman"/>
          <w:color w:val="000000"/>
          <w:lang w:eastAsia="en-AU"/>
        </w:rPr>
        <w:t xml:space="preserve">during </w:t>
      </w:r>
      <w:r w:rsidR="00A91C65" w:rsidRPr="00A91C65">
        <w:rPr>
          <w:rFonts w:ascii="Times New Roman" w:eastAsia="Times New Roman" w:hAnsi="Times New Roman"/>
          <w:color w:val="000000"/>
          <w:lang w:eastAsia="en-AU"/>
        </w:rPr>
        <w:t>the consultation process has been incorporated into the instrument</w:t>
      </w:r>
    </w:p>
    <w:p w14:paraId="3DE32FEE" w14:textId="77777777" w:rsidR="008A1E2B" w:rsidRDefault="008A1E2B" w:rsidP="00182D29">
      <w:pPr>
        <w:autoSpaceDE w:val="0"/>
        <w:autoSpaceDN w:val="0"/>
        <w:adjustRightInd w:val="0"/>
        <w:spacing w:before="120" w:after="120" w:line="240" w:lineRule="auto"/>
        <w:contextualSpacing/>
        <w:rPr>
          <w:rFonts w:ascii="Times New Roman" w:eastAsia="Times New Roman" w:hAnsi="Times New Roman"/>
          <w:color w:val="000000"/>
          <w:lang w:eastAsia="en-AU"/>
        </w:rPr>
      </w:pPr>
    </w:p>
    <w:p w14:paraId="45A4DE95" w14:textId="77777777" w:rsidR="0096577C" w:rsidRDefault="0096577C" w:rsidP="00F33B22">
      <w:pPr>
        <w:autoSpaceDE w:val="0"/>
        <w:autoSpaceDN w:val="0"/>
        <w:adjustRightInd w:val="0"/>
        <w:spacing w:before="120" w:after="120" w:line="240" w:lineRule="auto"/>
        <w:contextualSpacing/>
        <w:rPr>
          <w:rFonts w:ascii="Times New Roman" w:eastAsia="Times New Roman" w:hAnsi="Times New Roman"/>
          <w:lang w:eastAsia="en-AU"/>
        </w:rPr>
      </w:pPr>
    </w:p>
    <w:p w14:paraId="6981A8B9" w14:textId="77777777" w:rsidR="00182D29" w:rsidRDefault="00182D29" w:rsidP="00182D29">
      <w:pPr>
        <w:spacing w:line="240" w:lineRule="auto"/>
        <w:contextualSpacing/>
        <w:rPr>
          <w:rFonts w:ascii="Times New Roman" w:eastAsia="Times New Roman" w:hAnsi="Times New Roman"/>
          <w:b/>
          <w:sz w:val="24"/>
          <w:szCs w:val="24"/>
        </w:rPr>
      </w:pPr>
      <w:r>
        <w:rPr>
          <w:rFonts w:ascii="Times New Roman" w:eastAsia="Times New Roman" w:hAnsi="Times New Roman"/>
          <w:b/>
          <w:caps/>
          <w:sz w:val="24"/>
          <w:szCs w:val="24"/>
        </w:rPr>
        <w:t xml:space="preserve">REGULATION IMPACT STATEMENT </w:t>
      </w:r>
    </w:p>
    <w:p w14:paraId="2E32BFC3" w14:textId="77777777" w:rsidR="00182D29" w:rsidRDefault="00182D29" w:rsidP="00F33B22">
      <w:pPr>
        <w:autoSpaceDE w:val="0"/>
        <w:autoSpaceDN w:val="0"/>
        <w:adjustRightInd w:val="0"/>
        <w:spacing w:before="120" w:after="120" w:line="240" w:lineRule="auto"/>
        <w:contextualSpacing/>
        <w:rPr>
          <w:rFonts w:ascii="Times New Roman" w:eastAsia="Times New Roman" w:hAnsi="Times New Roman"/>
          <w:lang w:eastAsia="en-AU"/>
        </w:rPr>
      </w:pPr>
    </w:p>
    <w:p w14:paraId="0325D04B" w14:textId="1842CAF9" w:rsidR="00F53F6A" w:rsidRDefault="00C24492" w:rsidP="00F33B22">
      <w:pPr>
        <w:autoSpaceDE w:val="0"/>
        <w:autoSpaceDN w:val="0"/>
        <w:adjustRightInd w:val="0"/>
        <w:spacing w:before="120" w:after="120" w:line="240" w:lineRule="auto"/>
        <w:contextualSpacing/>
        <w:rPr>
          <w:rFonts w:ascii="Times New Roman" w:eastAsia="Times New Roman" w:hAnsi="Times New Roman"/>
          <w:lang w:eastAsia="en-AU"/>
        </w:rPr>
      </w:pPr>
      <w:r w:rsidRPr="00E4596F">
        <w:rPr>
          <w:rFonts w:ascii="Times New Roman" w:eastAsia="Times New Roman" w:hAnsi="Times New Roman"/>
          <w:lang w:eastAsia="en-AU"/>
        </w:rPr>
        <w:t xml:space="preserve">The Office of </w:t>
      </w:r>
      <w:r w:rsidRPr="00B85EFA">
        <w:rPr>
          <w:rFonts w:ascii="Times New Roman" w:eastAsia="Times New Roman" w:hAnsi="Times New Roman"/>
          <w:lang w:eastAsia="en-AU"/>
        </w:rPr>
        <w:t xml:space="preserve">Best Practice Regulation </w:t>
      </w:r>
      <w:r w:rsidR="00F53F6A">
        <w:rPr>
          <w:rFonts w:ascii="Times New Roman" w:eastAsia="Times New Roman" w:hAnsi="Times New Roman"/>
          <w:lang w:eastAsia="en-AU"/>
        </w:rPr>
        <w:t>was consulted regarding this instrument and indicated tha</w:t>
      </w:r>
      <w:r w:rsidR="00E2066C">
        <w:rPr>
          <w:rFonts w:ascii="Times New Roman" w:eastAsia="Times New Roman" w:hAnsi="Times New Roman"/>
          <w:lang w:eastAsia="en-AU"/>
        </w:rPr>
        <w:t>t a Regulatory Impact Statement was not required (</w:t>
      </w:r>
      <w:r w:rsidR="00E2066C" w:rsidRPr="00E2066C">
        <w:rPr>
          <w:rFonts w:ascii="Times New Roman" w:eastAsia="Times New Roman" w:hAnsi="Times New Roman"/>
          <w:lang w:eastAsia="en-AU"/>
        </w:rPr>
        <w:t>OBPR22-01976</w:t>
      </w:r>
      <w:r w:rsidR="00E2066C">
        <w:rPr>
          <w:rFonts w:ascii="Times New Roman" w:eastAsia="Times New Roman" w:hAnsi="Times New Roman"/>
          <w:lang w:eastAsia="en-AU"/>
        </w:rPr>
        <w:t>).</w:t>
      </w:r>
    </w:p>
    <w:p w14:paraId="74C2D3B8" w14:textId="77777777" w:rsidR="00F33B22" w:rsidRDefault="00F33B22" w:rsidP="00F33B22">
      <w:pPr>
        <w:autoSpaceDE w:val="0"/>
        <w:autoSpaceDN w:val="0"/>
        <w:adjustRightInd w:val="0"/>
        <w:spacing w:before="120" w:after="120" w:line="240" w:lineRule="auto"/>
        <w:contextualSpacing/>
        <w:rPr>
          <w:rFonts w:ascii="Times New Roman" w:eastAsia="Times New Roman" w:hAnsi="Times New Roman"/>
          <w:lang w:eastAsia="en-AU"/>
        </w:rPr>
      </w:pPr>
    </w:p>
    <w:p w14:paraId="18524FD0" w14:textId="77777777" w:rsidR="00F53F6A" w:rsidRDefault="00182D29" w:rsidP="00182D29">
      <w:pPr>
        <w:autoSpaceDE w:val="0"/>
        <w:autoSpaceDN w:val="0"/>
        <w:adjustRightInd w:val="0"/>
        <w:spacing w:before="120" w:after="120" w:line="240" w:lineRule="auto"/>
        <w:contextualSpacing/>
        <w:rPr>
          <w:rFonts w:ascii="Times New Roman" w:eastAsia="Times New Roman" w:hAnsi="Times New Roman"/>
        </w:rPr>
      </w:pPr>
      <w:r w:rsidRPr="00157E7E">
        <w:rPr>
          <w:rFonts w:ascii="Times New Roman" w:eastAsia="Times New Roman" w:hAnsi="Times New Roman"/>
          <w:lang w:eastAsia="en-AU"/>
        </w:rPr>
        <w:t>Th</w:t>
      </w:r>
      <w:r>
        <w:rPr>
          <w:rFonts w:ascii="Times New Roman" w:eastAsia="Times New Roman" w:hAnsi="Times New Roman"/>
          <w:lang w:eastAsia="en-AU"/>
        </w:rPr>
        <w:t>e</w:t>
      </w:r>
      <w:r w:rsidRPr="00157E7E">
        <w:rPr>
          <w:rFonts w:ascii="Times New Roman" w:eastAsia="Times New Roman" w:hAnsi="Times New Roman"/>
          <w:lang w:eastAsia="en-AU"/>
        </w:rPr>
        <w:t xml:space="preserve"> </w:t>
      </w:r>
      <w:r>
        <w:rPr>
          <w:rFonts w:ascii="Times New Roman" w:eastAsia="Times New Roman" w:hAnsi="Times New Roman"/>
          <w:lang w:eastAsia="en-AU"/>
        </w:rPr>
        <w:t>D</w:t>
      </w:r>
      <w:r w:rsidRPr="00157E7E">
        <w:rPr>
          <w:rFonts w:ascii="Times New Roman" w:eastAsia="Times New Roman" w:hAnsi="Times New Roman"/>
          <w:lang w:eastAsia="en-AU"/>
        </w:rPr>
        <w:t xml:space="preserve">eclaration is a legislative instrument for the purposes of the </w:t>
      </w:r>
      <w:r w:rsidRPr="00157E7E">
        <w:rPr>
          <w:rFonts w:ascii="Times New Roman" w:eastAsia="Times New Roman" w:hAnsi="Times New Roman"/>
          <w:i/>
          <w:lang w:eastAsia="en-AU"/>
        </w:rPr>
        <w:t>Legislation Act 2003</w:t>
      </w:r>
      <w:r w:rsidRPr="00157E7E">
        <w:rPr>
          <w:rFonts w:ascii="Times New Roman" w:eastAsia="Times New Roman" w:hAnsi="Times New Roman"/>
        </w:rPr>
        <w:t xml:space="preserve">. </w:t>
      </w:r>
    </w:p>
    <w:p w14:paraId="4AEE9C99" w14:textId="77777777" w:rsidR="00F53F6A" w:rsidRDefault="00F53F6A" w:rsidP="00182D29">
      <w:pPr>
        <w:autoSpaceDE w:val="0"/>
        <w:autoSpaceDN w:val="0"/>
        <w:adjustRightInd w:val="0"/>
        <w:spacing w:before="120" w:after="120" w:line="240" w:lineRule="auto"/>
        <w:contextualSpacing/>
        <w:rPr>
          <w:rFonts w:ascii="Times New Roman" w:eastAsia="Times New Roman" w:hAnsi="Times New Roman"/>
        </w:rPr>
      </w:pPr>
    </w:p>
    <w:p w14:paraId="71412643" w14:textId="28CC914A" w:rsidR="00182D29" w:rsidRDefault="00182D29" w:rsidP="00182D29">
      <w:pPr>
        <w:autoSpaceDE w:val="0"/>
        <w:autoSpaceDN w:val="0"/>
        <w:adjustRightInd w:val="0"/>
        <w:spacing w:before="120" w:after="120" w:line="240" w:lineRule="auto"/>
        <w:contextualSpacing/>
        <w:rPr>
          <w:rFonts w:ascii="Times New Roman" w:eastAsia="Times New Roman" w:hAnsi="Times New Roman"/>
          <w:lang w:eastAsia="en-AU"/>
        </w:rPr>
      </w:pPr>
      <w:r w:rsidRPr="00157E7E">
        <w:rPr>
          <w:rFonts w:ascii="Times New Roman" w:eastAsia="Times New Roman" w:hAnsi="Times New Roman"/>
          <w:lang w:eastAsia="en-AU"/>
        </w:rPr>
        <w:t>Th</w:t>
      </w:r>
      <w:r>
        <w:rPr>
          <w:rFonts w:ascii="Times New Roman" w:eastAsia="Times New Roman" w:hAnsi="Times New Roman"/>
          <w:lang w:eastAsia="en-AU"/>
        </w:rPr>
        <w:t>e</w:t>
      </w:r>
      <w:r w:rsidRPr="00157E7E">
        <w:rPr>
          <w:rFonts w:ascii="Times New Roman" w:eastAsia="Times New Roman" w:hAnsi="Times New Roman"/>
          <w:lang w:eastAsia="en-AU"/>
        </w:rPr>
        <w:t xml:space="preserve"> </w:t>
      </w:r>
      <w:r>
        <w:rPr>
          <w:rFonts w:ascii="Times New Roman" w:eastAsia="Times New Roman" w:hAnsi="Times New Roman"/>
          <w:lang w:eastAsia="en-AU"/>
        </w:rPr>
        <w:t>D</w:t>
      </w:r>
      <w:r w:rsidRPr="00157E7E">
        <w:rPr>
          <w:rFonts w:ascii="Times New Roman" w:eastAsia="Times New Roman" w:hAnsi="Times New Roman"/>
          <w:lang w:eastAsia="en-AU"/>
        </w:rPr>
        <w:t xml:space="preserve">eclaration takes effect on the day after it is registered on the Federal Register of Legislation. </w:t>
      </w:r>
    </w:p>
    <w:p w14:paraId="6B65D23F" w14:textId="77777777" w:rsidR="00182D29" w:rsidRDefault="00182D29" w:rsidP="00182D29">
      <w:pPr>
        <w:autoSpaceDE w:val="0"/>
        <w:autoSpaceDN w:val="0"/>
        <w:adjustRightInd w:val="0"/>
        <w:spacing w:before="120" w:after="120" w:line="240" w:lineRule="auto"/>
        <w:contextualSpacing/>
        <w:rPr>
          <w:rFonts w:ascii="Times New Roman" w:eastAsia="Times New Roman" w:hAnsi="Times New Roman"/>
          <w:lang w:eastAsia="en-AU"/>
        </w:rPr>
      </w:pPr>
    </w:p>
    <w:p w14:paraId="578A74DC" w14:textId="77777777" w:rsidR="00182D29" w:rsidRDefault="00182D29" w:rsidP="00182D29">
      <w:pPr>
        <w:autoSpaceDE w:val="0"/>
        <w:autoSpaceDN w:val="0"/>
        <w:adjustRightInd w:val="0"/>
        <w:spacing w:before="120" w:after="120" w:line="240" w:lineRule="auto"/>
        <w:contextualSpacing/>
        <w:rPr>
          <w:rFonts w:ascii="Times New Roman" w:eastAsia="Times New Roman" w:hAnsi="Times New Roman"/>
          <w:lang w:eastAsia="en-AU"/>
        </w:rPr>
      </w:pPr>
    </w:p>
    <w:p w14:paraId="75B1FF0D" w14:textId="77777777" w:rsidR="00182D29" w:rsidRPr="00BB254A" w:rsidRDefault="00182D29" w:rsidP="00182D29">
      <w:pPr>
        <w:autoSpaceDE w:val="0"/>
        <w:autoSpaceDN w:val="0"/>
        <w:adjustRightInd w:val="0"/>
        <w:spacing w:before="120" w:after="120" w:line="240" w:lineRule="auto"/>
        <w:contextualSpacing/>
        <w:rPr>
          <w:rFonts w:ascii="Times New Roman" w:eastAsia="Times New Roman" w:hAnsi="Times New Roman"/>
          <w:sz w:val="24"/>
          <w:szCs w:val="24"/>
          <w:lang w:eastAsia="en-AU"/>
        </w:rPr>
      </w:pPr>
      <w:r w:rsidRPr="00CB6AA4">
        <w:rPr>
          <w:rFonts w:ascii="Times New Roman" w:hAnsi="Times New Roman"/>
          <w:sz w:val="24"/>
          <w:szCs w:val="24"/>
        </w:rPr>
        <w:t>S</w:t>
      </w:r>
      <w:r w:rsidRPr="00CB6AA4">
        <w:rPr>
          <w:rFonts w:ascii="Times New Roman" w:eastAsia="Times New Roman" w:hAnsi="Times New Roman"/>
          <w:b/>
          <w:bCs/>
          <w:sz w:val="24"/>
          <w:szCs w:val="24"/>
          <w:lang w:eastAsia="en-AU"/>
        </w:rPr>
        <w:t>TATEMENT OF COMPATIBILITY WITH HUMAN RIGHTS</w:t>
      </w:r>
    </w:p>
    <w:p w14:paraId="48927B7A" w14:textId="77777777" w:rsidR="00182D29" w:rsidRDefault="00182D29" w:rsidP="00182D29">
      <w:pPr>
        <w:spacing w:after="220" w:line="240" w:lineRule="auto"/>
        <w:contextualSpacing/>
        <w:rPr>
          <w:rFonts w:ascii="Times New Roman" w:hAnsi="Times New Roman"/>
          <w:i/>
        </w:rPr>
      </w:pPr>
    </w:p>
    <w:p w14:paraId="3697C493" w14:textId="77777777" w:rsidR="00343B6A" w:rsidRPr="00157E7E" w:rsidRDefault="00343B6A" w:rsidP="00182D29">
      <w:pPr>
        <w:spacing w:after="220" w:line="240" w:lineRule="auto"/>
        <w:contextualSpacing/>
        <w:rPr>
          <w:rFonts w:ascii="Times New Roman" w:hAnsi="Times New Roman"/>
        </w:rPr>
      </w:pPr>
      <w:r w:rsidRPr="00157E7E">
        <w:rPr>
          <w:rFonts w:ascii="Times New Roman" w:hAnsi="Times New Roman"/>
          <w:i/>
        </w:rPr>
        <w:t>Prepared in accordance with Part 3 of the Human Rights (Parliamentary Scrutiny) Act 2011</w:t>
      </w:r>
    </w:p>
    <w:p w14:paraId="775CF94A" w14:textId="7A785B92" w:rsidR="00343B6A" w:rsidRPr="00182D29" w:rsidRDefault="00343B6A" w:rsidP="00182D29">
      <w:pPr>
        <w:pStyle w:val="subsection"/>
        <w:spacing w:before="120"/>
        <w:ind w:left="0" w:firstLine="0"/>
        <w:contextualSpacing/>
        <w:rPr>
          <w:b/>
          <w:color w:val="000000"/>
        </w:rPr>
      </w:pPr>
      <w:r w:rsidRPr="00157E7E">
        <w:rPr>
          <w:b/>
          <w:color w:val="000000"/>
        </w:rPr>
        <w:t>Safety</w:t>
      </w:r>
      <w:r w:rsidR="0027419B" w:rsidRPr="00157E7E">
        <w:rPr>
          <w:b/>
          <w:color w:val="000000"/>
        </w:rPr>
        <w:t>,</w:t>
      </w:r>
      <w:r w:rsidRPr="00157E7E">
        <w:rPr>
          <w:b/>
          <w:color w:val="000000"/>
        </w:rPr>
        <w:t xml:space="preserve"> </w:t>
      </w:r>
      <w:r w:rsidR="004F3D44" w:rsidRPr="00157E7E">
        <w:rPr>
          <w:b/>
          <w:color w:val="000000"/>
        </w:rPr>
        <w:t>Rehabilitation and Compensation</w:t>
      </w:r>
      <w:r w:rsidR="00182D29">
        <w:rPr>
          <w:b/>
          <w:color w:val="000000"/>
        </w:rPr>
        <w:t xml:space="preserve"> </w:t>
      </w:r>
      <w:r w:rsidR="00E2066C">
        <w:rPr>
          <w:b/>
        </w:rPr>
        <w:t xml:space="preserve">Directions Amendment Instrument </w:t>
      </w:r>
      <w:r w:rsidR="001C33A5">
        <w:rPr>
          <w:b/>
        </w:rPr>
        <w:t>202</w:t>
      </w:r>
      <w:r w:rsidR="00F219F4">
        <w:rPr>
          <w:b/>
        </w:rPr>
        <w:t>2</w:t>
      </w:r>
    </w:p>
    <w:p w14:paraId="44D48D6F" w14:textId="77777777" w:rsidR="004F3D44" w:rsidRPr="00157E7E" w:rsidRDefault="004F3D44" w:rsidP="00182D29">
      <w:pPr>
        <w:pStyle w:val="subsection"/>
        <w:spacing w:before="0"/>
        <w:contextualSpacing/>
        <w:jc w:val="center"/>
        <w:rPr>
          <w:b/>
          <w:szCs w:val="22"/>
        </w:rPr>
      </w:pPr>
    </w:p>
    <w:p w14:paraId="2942B76A" w14:textId="77777777" w:rsidR="00343B6A" w:rsidRPr="00157E7E" w:rsidRDefault="00343B6A" w:rsidP="00182D29">
      <w:pPr>
        <w:spacing w:after="220" w:line="240" w:lineRule="auto"/>
        <w:contextualSpacing/>
        <w:rPr>
          <w:rFonts w:ascii="Times New Roman" w:hAnsi="Times New Roman"/>
        </w:rPr>
      </w:pPr>
      <w:r w:rsidRPr="00157E7E">
        <w:rPr>
          <w:rFonts w:ascii="Times New Roman" w:hAnsi="Times New Roman"/>
        </w:rPr>
        <w:t xml:space="preserve">This Legislative Instrument is compatible with the human rights and freedoms recognised or declared in the international instruments listed in section 3 of the </w:t>
      </w:r>
      <w:r w:rsidRPr="00157E7E">
        <w:rPr>
          <w:rFonts w:ascii="Times New Roman" w:hAnsi="Times New Roman"/>
          <w:i/>
        </w:rPr>
        <w:t>Human Rights (Parliamentary Scrutiny) Act 2011</w:t>
      </w:r>
      <w:r w:rsidRPr="00157E7E">
        <w:rPr>
          <w:rFonts w:ascii="Times New Roman" w:hAnsi="Times New Roman"/>
        </w:rPr>
        <w:t>.</w:t>
      </w:r>
    </w:p>
    <w:p w14:paraId="7F831A0C" w14:textId="77777777" w:rsidR="00182D29" w:rsidRDefault="00182D29" w:rsidP="00182D29">
      <w:pPr>
        <w:spacing w:after="220" w:line="240" w:lineRule="auto"/>
        <w:contextualSpacing/>
        <w:rPr>
          <w:rFonts w:ascii="Times New Roman" w:hAnsi="Times New Roman"/>
          <w:b/>
        </w:rPr>
      </w:pPr>
    </w:p>
    <w:p w14:paraId="638B3592" w14:textId="77777777" w:rsidR="00343B6A" w:rsidRPr="00157E7E" w:rsidRDefault="00343B6A" w:rsidP="00182D29">
      <w:pPr>
        <w:spacing w:after="220" w:line="240" w:lineRule="auto"/>
        <w:contextualSpacing/>
        <w:rPr>
          <w:rFonts w:ascii="Times New Roman" w:hAnsi="Times New Roman"/>
          <w:b/>
        </w:rPr>
      </w:pPr>
      <w:r w:rsidRPr="00157E7E">
        <w:rPr>
          <w:rFonts w:ascii="Times New Roman" w:hAnsi="Times New Roman"/>
          <w:b/>
        </w:rPr>
        <w:t>Overview of the Legislative Instrument</w:t>
      </w:r>
    </w:p>
    <w:p w14:paraId="6E92FB93" w14:textId="77777777" w:rsidR="00182D29" w:rsidRDefault="00182D29" w:rsidP="00182D29">
      <w:pPr>
        <w:spacing w:after="220" w:line="240" w:lineRule="auto"/>
        <w:contextualSpacing/>
        <w:rPr>
          <w:rFonts w:ascii="Times New Roman" w:eastAsia="Times New Roman" w:hAnsi="Times New Roman"/>
          <w:lang w:eastAsia="en-AU"/>
        </w:rPr>
      </w:pPr>
    </w:p>
    <w:p w14:paraId="351B30AD" w14:textId="77777777" w:rsidR="00E2066C" w:rsidRPr="008A1E2B" w:rsidRDefault="00E2066C" w:rsidP="00E2066C">
      <w:pPr>
        <w:shd w:val="clear" w:color="auto" w:fill="FFFFFF"/>
        <w:spacing w:line="240" w:lineRule="auto"/>
        <w:rPr>
          <w:rFonts w:eastAsia="Times New Roman" w:cs="Calibri"/>
          <w:color w:val="000000"/>
          <w:lang w:eastAsia="en-AU"/>
        </w:rPr>
      </w:pPr>
      <w:r w:rsidRPr="008A1E2B">
        <w:rPr>
          <w:rFonts w:ascii="Times New Roman" w:eastAsia="Times New Roman" w:hAnsi="Times New Roman"/>
          <w:color w:val="000000"/>
          <w:lang w:eastAsia="en-AU"/>
        </w:rPr>
        <w:t>The </w:t>
      </w:r>
      <w:r w:rsidRPr="008A1E2B">
        <w:rPr>
          <w:rFonts w:ascii="Times New Roman" w:eastAsia="Times New Roman" w:hAnsi="Times New Roman"/>
          <w:i/>
          <w:iCs/>
          <w:color w:val="000000"/>
          <w:lang w:eastAsia="en-AU"/>
        </w:rPr>
        <w:t>Safety, Rehabilitation and Compensation Act 1988 </w:t>
      </w:r>
      <w:r w:rsidRPr="008A1E2B">
        <w:rPr>
          <w:rFonts w:ascii="Times New Roman" w:eastAsia="Times New Roman" w:hAnsi="Times New Roman"/>
          <w:color w:val="000000"/>
          <w:lang w:eastAsia="en-AU"/>
        </w:rPr>
        <w:t>(SRC Act) establishes the Commonwealth workers’ compensation and rehabilitation scheme for employees of the Commonwealth, Commonwealth authorities and licensed corporations.</w:t>
      </w:r>
    </w:p>
    <w:p w14:paraId="6F271E68" w14:textId="77777777" w:rsidR="00E2066C" w:rsidRPr="008A1E2B" w:rsidRDefault="00E2066C" w:rsidP="00E2066C">
      <w:pPr>
        <w:shd w:val="clear" w:color="auto" w:fill="FFFFFF"/>
        <w:spacing w:line="240" w:lineRule="auto"/>
        <w:rPr>
          <w:rFonts w:eastAsia="Times New Roman" w:cs="Calibri"/>
          <w:color w:val="000000"/>
          <w:lang w:eastAsia="en-AU"/>
        </w:rPr>
      </w:pPr>
      <w:r w:rsidRPr="008A1E2B">
        <w:rPr>
          <w:rFonts w:ascii="Times New Roman" w:eastAsia="Times New Roman" w:hAnsi="Times New Roman"/>
          <w:color w:val="000000"/>
          <w:lang w:eastAsia="en-AU"/>
        </w:rPr>
        <w:t>The Safety, Rehabilitation and Compensation Commission (the Commission) is established by the SRC Act. The Commission has a number of functions and powers under the SRC Act, including the granting of licences to eligible applicants under Part VIII of the Act.</w:t>
      </w:r>
    </w:p>
    <w:p w14:paraId="4AC67983" w14:textId="77777777" w:rsidR="00E2066C" w:rsidRPr="00871AA7" w:rsidRDefault="00E2066C" w:rsidP="00E2066C">
      <w:pPr>
        <w:shd w:val="clear" w:color="auto" w:fill="FFFFFF"/>
        <w:spacing w:line="240" w:lineRule="auto"/>
        <w:rPr>
          <w:rFonts w:ascii="Times New Roman" w:eastAsia="Times New Roman" w:hAnsi="Times New Roman"/>
          <w:color w:val="000000"/>
          <w:lang w:val="en" w:eastAsia="en-AU"/>
        </w:rPr>
      </w:pPr>
      <w:r w:rsidRPr="008A1E2B">
        <w:rPr>
          <w:rFonts w:ascii="Times New Roman" w:eastAsia="Times New Roman" w:hAnsi="Times New Roman"/>
          <w:color w:val="000000"/>
          <w:lang w:eastAsia="en-AU"/>
        </w:rPr>
        <w:t>Pursuant to section 89D of the SRC Act, the Minister may </w:t>
      </w:r>
      <w:r w:rsidRPr="008A1E2B">
        <w:rPr>
          <w:rFonts w:ascii="Times New Roman" w:eastAsia="Times New Roman" w:hAnsi="Times New Roman"/>
          <w:color w:val="000000"/>
          <w:lang w:val="en" w:eastAsia="en-AU"/>
        </w:rPr>
        <w:t xml:space="preserve">give a direction to the Commission with respect to the performance of its functions and the exercise of its powers under the SRC Act. Section 101 of the SRC Act provides that the Minister's power to give directions to the Commission under section 89D of the SRC Act extends to directions concerning any matter relating to the grant of </w:t>
      </w:r>
      <w:proofErr w:type="spellStart"/>
      <w:r w:rsidRPr="008A1E2B">
        <w:rPr>
          <w:rFonts w:ascii="Times New Roman" w:eastAsia="Times New Roman" w:hAnsi="Times New Roman"/>
          <w:color w:val="000000"/>
          <w:lang w:val="en" w:eastAsia="en-AU"/>
        </w:rPr>
        <w:t>licences</w:t>
      </w:r>
      <w:proofErr w:type="spellEnd"/>
      <w:r w:rsidRPr="008A1E2B">
        <w:rPr>
          <w:rFonts w:ascii="Times New Roman" w:eastAsia="Times New Roman" w:hAnsi="Times New Roman"/>
          <w:color w:val="000000"/>
          <w:lang w:val="en" w:eastAsia="en-AU"/>
        </w:rPr>
        <w:t xml:space="preserve"> under Part VIII of the Act.</w:t>
      </w:r>
      <w:r w:rsidRPr="00871AA7">
        <w:rPr>
          <w:rFonts w:ascii="Times New Roman" w:eastAsia="Times New Roman" w:hAnsi="Times New Roman"/>
          <w:color w:val="000000"/>
          <w:lang w:val="en" w:eastAsia="en-AU"/>
        </w:rPr>
        <w:t xml:space="preserve"> </w:t>
      </w:r>
    </w:p>
    <w:p w14:paraId="3B3068A3" w14:textId="0F397765" w:rsidR="00E2066C" w:rsidRPr="00871AA7" w:rsidRDefault="00E2066C" w:rsidP="00E2066C">
      <w:pPr>
        <w:shd w:val="clear" w:color="auto" w:fill="FFFFFF"/>
        <w:spacing w:line="240" w:lineRule="auto"/>
        <w:rPr>
          <w:rFonts w:ascii="Times New Roman" w:hAnsi="Times New Roman"/>
          <w:iCs/>
          <w:color w:val="000000"/>
          <w:shd w:val="clear" w:color="auto" w:fill="FFFFFF"/>
        </w:rPr>
      </w:pPr>
      <w:r w:rsidRPr="00871AA7">
        <w:rPr>
          <w:rFonts w:ascii="Times New Roman" w:eastAsia="Times New Roman" w:hAnsi="Times New Roman"/>
          <w:color w:val="000000"/>
          <w:lang w:val="en" w:eastAsia="en-AU"/>
        </w:rPr>
        <w:t>On and from 28 March 201</w:t>
      </w:r>
      <w:r w:rsidR="00E85E79">
        <w:rPr>
          <w:rFonts w:ascii="Times New Roman" w:eastAsia="Times New Roman" w:hAnsi="Times New Roman"/>
          <w:color w:val="000000"/>
          <w:lang w:val="en" w:eastAsia="en-AU"/>
        </w:rPr>
        <w:t>9</w:t>
      </w:r>
      <w:bookmarkStart w:id="0" w:name="_GoBack"/>
      <w:bookmarkEnd w:id="0"/>
      <w:r w:rsidRPr="00871AA7">
        <w:rPr>
          <w:rFonts w:ascii="Times New Roman" w:eastAsia="Times New Roman" w:hAnsi="Times New Roman"/>
          <w:color w:val="000000"/>
          <w:lang w:val="en" w:eastAsia="en-AU"/>
        </w:rPr>
        <w:t xml:space="preserve">, the Commission has been subject to the Ministerial directions contained in the </w:t>
      </w:r>
      <w:r w:rsidRPr="00871AA7">
        <w:rPr>
          <w:rFonts w:ascii="Times New Roman" w:eastAsia="Times New Roman" w:hAnsi="Times New Roman"/>
          <w:i/>
          <w:color w:val="000000"/>
          <w:lang w:val="en" w:eastAsia="en-AU"/>
        </w:rPr>
        <w:t xml:space="preserve">Safety, Rehabilitation and Compensation Directions 2019 </w:t>
      </w:r>
      <w:r w:rsidRPr="00871AA7">
        <w:rPr>
          <w:rFonts w:ascii="Times New Roman" w:eastAsia="Times New Roman" w:hAnsi="Times New Roman"/>
          <w:color w:val="000000"/>
          <w:lang w:val="en" w:eastAsia="en-AU"/>
        </w:rPr>
        <w:t xml:space="preserve">(the 2019 Directions) which repealed and substantially replicated the </w:t>
      </w:r>
      <w:r w:rsidRPr="00871AA7">
        <w:rPr>
          <w:rFonts w:ascii="Times New Roman" w:hAnsi="Times New Roman"/>
          <w:i/>
          <w:iCs/>
          <w:color w:val="000000"/>
          <w:shd w:val="clear" w:color="auto" w:fill="FFFFFF"/>
        </w:rPr>
        <w:t>Safety, Rehabilitation and Compensation Directions 2002</w:t>
      </w:r>
      <w:r w:rsidRPr="00871AA7">
        <w:rPr>
          <w:rFonts w:ascii="Times New Roman" w:hAnsi="Times New Roman"/>
          <w:iCs/>
          <w:color w:val="000000"/>
          <w:shd w:val="clear" w:color="auto" w:fill="FFFFFF"/>
        </w:rPr>
        <w:t xml:space="preserve">, subject to a number of updates to reflect the commencement of the </w:t>
      </w:r>
      <w:r w:rsidRPr="00871AA7">
        <w:rPr>
          <w:rFonts w:ascii="Times New Roman" w:hAnsi="Times New Roman"/>
          <w:i/>
          <w:iCs/>
          <w:color w:val="000000"/>
          <w:shd w:val="clear" w:color="auto" w:fill="FFFFFF"/>
        </w:rPr>
        <w:t>Safety, Rehabilitation and Compensation Regulations 2019</w:t>
      </w:r>
      <w:r w:rsidRPr="00871AA7">
        <w:rPr>
          <w:rFonts w:ascii="Times New Roman" w:hAnsi="Times New Roman"/>
          <w:iCs/>
          <w:color w:val="000000"/>
          <w:shd w:val="clear" w:color="auto" w:fill="FFFFFF"/>
        </w:rPr>
        <w:t xml:space="preserve">. </w:t>
      </w:r>
    </w:p>
    <w:p w14:paraId="4B2B0B15" w14:textId="77777777" w:rsidR="00E2066C" w:rsidRDefault="00E2066C" w:rsidP="00E2066C">
      <w:pPr>
        <w:shd w:val="clear" w:color="auto" w:fill="FFFFFF"/>
        <w:spacing w:line="240" w:lineRule="auto"/>
        <w:rPr>
          <w:rFonts w:ascii="Times New Roman" w:hAnsi="Times New Roman"/>
          <w:iCs/>
          <w:color w:val="000000"/>
          <w:shd w:val="clear" w:color="auto" w:fill="FFFFFF"/>
        </w:rPr>
      </w:pPr>
      <w:r w:rsidRPr="00871AA7">
        <w:rPr>
          <w:rFonts w:ascii="Times New Roman" w:hAnsi="Times New Roman"/>
          <w:iCs/>
          <w:color w:val="000000"/>
          <w:shd w:val="clear" w:color="auto" w:fill="FFFFFF"/>
        </w:rPr>
        <w:lastRenderedPageBreak/>
        <w:t xml:space="preserve">This instrument amends the 2019 Directions to introduce new directions </w:t>
      </w:r>
      <w:r>
        <w:rPr>
          <w:rFonts w:ascii="Times New Roman" w:hAnsi="Times New Roman"/>
          <w:iCs/>
          <w:color w:val="000000"/>
          <w:shd w:val="clear" w:color="auto" w:fill="FFFFFF"/>
        </w:rPr>
        <w:t xml:space="preserve">relating to </w:t>
      </w:r>
      <w:r w:rsidRPr="00871AA7">
        <w:rPr>
          <w:rFonts w:ascii="Times New Roman" w:hAnsi="Times New Roman"/>
          <w:iCs/>
          <w:color w:val="000000"/>
          <w:shd w:val="clear" w:color="auto" w:fill="FFFFFF"/>
        </w:rPr>
        <w:t xml:space="preserve">the exercise of the Commission’s powers to authorise a </w:t>
      </w:r>
      <w:r>
        <w:rPr>
          <w:rFonts w:ascii="Times New Roman" w:hAnsi="Times New Roman"/>
          <w:iCs/>
          <w:color w:val="000000"/>
          <w:shd w:val="clear" w:color="auto" w:fill="FFFFFF"/>
        </w:rPr>
        <w:t>Commonwealth authority</w:t>
      </w:r>
      <w:r w:rsidRPr="00871AA7">
        <w:rPr>
          <w:rFonts w:ascii="Times New Roman" w:hAnsi="Times New Roman"/>
          <w:iCs/>
          <w:color w:val="000000"/>
          <w:shd w:val="clear" w:color="auto" w:fill="FFFFFF"/>
        </w:rPr>
        <w:t xml:space="preserve"> </w:t>
      </w:r>
      <w:r>
        <w:rPr>
          <w:rFonts w:ascii="Times New Roman" w:hAnsi="Times New Roman"/>
          <w:iCs/>
          <w:color w:val="000000"/>
          <w:shd w:val="clear" w:color="auto" w:fill="FFFFFF"/>
        </w:rPr>
        <w:t>to accept liability in respect of injury, loss, damage or death occurring before the commencement of a licence under Part VIII of the SRC Act. The instrument provides that the Commission must not authorise a Commonwealth authority to accept such liability unless the Commission has provided prior written notification to the Minister of:</w:t>
      </w:r>
    </w:p>
    <w:p w14:paraId="4D55049D" w14:textId="77777777" w:rsidR="00E2066C" w:rsidRPr="00871AA7" w:rsidRDefault="00E2066C" w:rsidP="00E2066C">
      <w:pPr>
        <w:pStyle w:val="ListParagraph"/>
        <w:numPr>
          <w:ilvl w:val="0"/>
          <w:numId w:val="10"/>
        </w:numPr>
        <w:shd w:val="clear" w:color="auto" w:fill="FFFFFF"/>
        <w:spacing w:line="240" w:lineRule="auto"/>
        <w:rPr>
          <w:rFonts w:ascii="Times New Roman" w:hAnsi="Times New Roman"/>
          <w:iCs/>
          <w:color w:val="000000"/>
          <w:shd w:val="clear" w:color="auto" w:fill="FFFFFF"/>
        </w:rPr>
      </w:pPr>
      <w:r w:rsidRPr="00871AA7">
        <w:rPr>
          <w:rFonts w:ascii="Times New Roman" w:hAnsi="Times New Roman"/>
          <w:iCs/>
          <w:color w:val="000000"/>
          <w:shd w:val="clear" w:color="auto" w:fill="FFFFFF"/>
        </w:rPr>
        <w:t>the extent to which the Commonwealth authority would be authorised to accept liability under the Act in relation to injury, loss, damage or death that has occurred prior to the commencement of the licence; and</w:t>
      </w:r>
    </w:p>
    <w:p w14:paraId="519EC8A9" w14:textId="77777777" w:rsidR="00E2066C" w:rsidRPr="00871AA7" w:rsidRDefault="00E2066C" w:rsidP="00E2066C">
      <w:pPr>
        <w:pStyle w:val="ListParagraph"/>
        <w:shd w:val="clear" w:color="auto" w:fill="FFFFFF"/>
        <w:spacing w:line="240" w:lineRule="auto"/>
        <w:rPr>
          <w:rFonts w:ascii="Times New Roman" w:hAnsi="Times New Roman"/>
          <w:iCs/>
          <w:color w:val="000000"/>
          <w:shd w:val="clear" w:color="auto" w:fill="FFFFFF"/>
        </w:rPr>
      </w:pPr>
    </w:p>
    <w:p w14:paraId="5384DC20" w14:textId="77777777" w:rsidR="00E2066C" w:rsidRDefault="00E2066C" w:rsidP="00E2066C">
      <w:pPr>
        <w:pStyle w:val="ListParagraph"/>
        <w:numPr>
          <w:ilvl w:val="0"/>
          <w:numId w:val="10"/>
        </w:numPr>
        <w:shd w:val="clear" w:color="auto" w:fill="FFFFFF"/>
        <w:spacing w:line="240" w:lineRule="auto"/>
        <w:rPr>
          <w:rFonts w:ascii="Times New Roman" w:hAnsi="Times New Roman"/>
          <w:iCs/>
          <w:color w:val="000000"/>
          <w:shd w:val="clear" w:color="auto" w:fill="FFFFFF"/>
        </w:rPr>
      </w:pPr>
      <w:r w:rsidRPr="00871AA7">
        <w:rPr>
          <w:rFonts w:ascii="Times New Roman" w:hAnsi="Times New Roman"/>
          <w:iCs/>
          <w:color w:val="000000"/>
          <w:shd w:val="clear" w:color="auto" w:fill="FFFFFF"/>
        </w:rPr>
        <w:t>the estimated amount of outstanding tail liability that would be assumed by the Commonwealth authority</w:t>
      </w:r>
    </w:p>
    <w:p w14:paraId="2AFDA493" w14:textId="77777777" w:rsidR="00E2066C" w:rsidRDefault="00E2066C" w:rsidP="00E2066C">
      <w:pPr>
        <w:shd w:val="clear" w:color="auto" w:fill="FFFFFF"/>
        <w:spacing w:line="240" w:lineRule="auto"/>
        <w:rPr>
          <w:rFonts w:ascii="Times New Roman" w:hAnsi="Times New Roman"/>
          <w:iCs/>
          <w:color w:val="000000"/>
          <w:shd w:val="clear" w:color="auto" w:fill="FFFFFF"/>
        </w:rPr>
      </w:pPr>
      <w:r>
        <w:rPr>
          <w:rFonts w:ascii="Times New Roman" w:hAnsi="Times New Roman"/>
          <w:iCs/>
          <w:color w:val="000000"/>
          <w:shd w:val="clear" w:color="auto" w:fill="FFFFFF"/>
        </w:rPr>
        <w:t xml:space="preserve">under the proposed licence, or licence variation. </w:t>
      </w:r>
    </w:p>
    <w:p w14:paraId="765DF63C" w14:textId="0F419284" w:rsidR="00E2066C" w:rsidRDefault="00E2066C" w:rsidP="00E2066C">
      <w:pPr>
        <w:spacing w:after="220" w:line="240" w:lineRule="auto"/>
        <w:contextualSpacing/>
        <w:rPr>
          <w:rFonts w:ascii="Times New Roman" w:eastAsia="Times New Roman" w:hAnsi="Times New Roman"/>
          <w:lang w:eastAsia="en-AU"/>
        </w:rPr>
      </w:pPr>
      <w:r>
        <w:rPr>
          <w:rFonts w:ascii="Times New Roman" w:hAnsi="Times New Roman"/>
          <w:iCs/>
          <w:color w:val="000000"/>
          <w:shd w:val="clear" w:color="auto" w:fill="FFFFFF"/>
        </w:rPr>
        <w:t xml:space="preserve">The instrument also provides that, for the purposes of the 2019 Directions, </w:t>
      </w:r>
      <w:r w:rsidR="00DA2D4D" w:rsidRPr="00871AA7">
        <w:rPr>
          <w:rFonts w:ascii="Times New Roman" w:hAnsi="Times New Roman"/>
          <w:iCs/>
          <w:color w:val="000000"/>
          <w:shd w:val="clear" w:color="auto" w:fill="FFFFFF"/>
        </w:rPr>
        <w:t>outstanding tail liability</w:t>
      </w:r>
      <w:r w:rsidR="0013682F">
        <w:rPr>
          <w:rFonts w:ascii="Times New Roman" w:hAnsi="Times New Roman"/>
          <w:iCs/>
          <w:color w:val="000000"/>
          <w:shd w:val="clear" w:color="auto" w:fill="FFFFFF"/>
        </w:rPr>
        <w:t xml:space="preserve"> means</w:t>
      </w:r>
      <w:r w:rsidR="00DA2D4D" w:rsidRPr="00DA2D4D">
        <w:rPr>
          <w:rFonts w:ascii="Times New Roman" w:hAnsi="Times New Roman"/>
          <w:szCs w:val="24"/>
        </w:rPr>
        <w:t xml:space="preserve"> the indicative value of outstanding claim liabilities arising under the Act in relation to injury, loss, damage, or death suffered by employees of a Commonwealth authority in the period prior to the commencement of a licence during which the Commonwealth authority paid an annual premium under the Act, calculated by Comcare as at the date upon which the Commonwealth authority will, or proposes to, assume such liability.</w:t>
      </w:r>
    </w:p>
    <w:p w14:paraId="0DBC41ED" w14:textId="77777777" w:rsidR="00E2066C" w:rsidRDefault="00E2066C" w:rsidP="00182D29">
      <w:pPr>
        <w:spacing w:after="220" w:line="240" w:lineRule="auto"/>
        <w:contextualSpacing/>
        <w:rPr>
          <w:rFonts w:ascii="Times New Roman" w:eastAsia="Times New Roman" w:hAnsi="Times New Roman"/>
          <w:lang w:eastAsia="en-AU"/>
        </w:rPr>
      </w:pPr>
    </w:p>
    <w:p w14:paraId="4A77513D" w14:textId="77777777" w:rsidR="00182D29" w:rsidRDefault="00182D29" w:rsidP="00182D29">
      <w:pPr>
        <w:spacing w:after="220" w:line="240" w:lineRule="auto"/>
        <w:contextualSpacing/>
        <w:rPr>
          <w:rFonts w:ascii="Times New Roman" w:hAnsi="Times New Roman"/>
          <w:b/>
        </w:rPr>
      </w:pPr>
    </w:p>
    <w:p w14:paraId="5E745AF7" w14:textId="77777777" w:rsidR="00343B6A" w:rsidRPr="00157E7E" w:rsidRDefault="00343B6A" w:rsidP="00182D29">
      <w:pPr>
        <w:spacing w:after="220" w:line="240" w:lineRule="auto"/>
        <w:contextualSpacing/>
        <w:rPr>
          <w:rFonts w:ascii="Times New Roman" w:hAnsi="Times New Roman"/>
          <w:b/>
        </w:rPr>
      </w:pPr>
      <w:r w:rsidRPr="00157E7E">
        <w:rPr>
          <w:rFonts w:ascii="Times New Roman" w:hAnsi="Times New Roman"/>
          <w:b/>
        </w:rPr>
        <w:t>Human rights implications</w:t>
      </w:r>
    </w:p>
    <w:p w14:paraId="667F6A90" w14:textId="41281338" w:rsidR="003E4E32" w:rsidRPr="00157E7E" w:rsidRDefault="00343B6A" w:rsidP="00182D29">
      <w:pPr>
        <w:pStyle w:val="Heading3"/>
        <w:spacing w:before="0" w:beforeAutospacing="0" w:after="220" w:afterAutospacing="0"/>
        <w:contextualSpacing/>
        <w:rPr>
          <w:b w:val="0"/>
          <w:sz w:val="22"/>
          <w:szCs w:val="22"/>
        </w:rPr>
      </w:pPr>
      <w:r w:rsidRPr="00157E7E">
        <w:rPr>
          <w:b w:val="0"/>
          <w:sz w:val="22"/>
          <w:szCs w:val="22"/>
        </w:rPr>
        <w:t xml:space="preserve">Article 9 of the </w:t>
      </w:r>
      <w:r w:rsidRPr="00157E7E">
        <w:rPr>
          <w:b w:val="0"/>
          <w:i/>
          <w:sz w:val="22"/>
          <w:szCs w:val="22"/>
        </w:rPr>
        <w:t>International Covenant on Economic, Social and Cultural Rights</w:t>
      </w:r>
      <w:r w:rsidRPr="00157E7E">
        <w:rPr>
          <w:b w:val="0"/>
          <w:sz w:val="22"/>
          <w:szCs w:val="22"/>
        </w:rPr>
        <w:t xml:space="preserve"> provides for the right of everyone to social</w:t>
      </w:r>
      <w:r w:rsidR="00E65DA9" w:rsidRPr="00157E7E">
        <w:rPr>
          <w:b w:val="0"/>
          <w:sz w:val="22"/>
          <w:szCs w:val="22"/>
        </w:rPr>
        <w:t xml:space="preserve"> security</w:t>
      </w:r>
      <w:r w:rsidRPr="00157E7E">
        <w:rPr>
          <w:b w:val="0"/>
          <w:sz w:val="22"/>
          <w:szCs w:val="22"/>
        </w:rPr>
        <w:t>, including social insurance. General Comment 19 by the Committee on Economic, Social and Cultural Rights sets out the essential elements of the right to social security, including that ‘States parties should … ensure the protection of workers who are injured in the course of employment or other productive work’.</w:t>
      </w:r>
      <w:r w:rsidRPr="00157E7E">
        <w:rPr>
          <w:rStyle w:val="FootnoteReference"/>
          <w:b w:val="0"/>
          <w:sz w:val="22"/>
          <w:szCs w:val="22"/>
        </w:rPr>
        <w:footnoteReference w:id="1"/>
      </w:r>
    </w:p>
    <w:p w14:paraId="185F0B46" w14:textId="77777777" w:rsidR="00182D29" w:rsidRDefault="00182D29" w:rsidP="00182D29">
      <w:pPr>
        <w:pStyle w:val="Heading3"/>
        <w:spacing w:before="0" w:beforeAutospacing="0" w:after="220" w:afterAutospacing="0"/>
        <w:contextualSpacing/>
        <w:rPr>
          <w:b w:val="0"/>
          <w:sz w:val="22"/>
          <w:szCs w:val="22"/>
        </w:rPr>
      </w:pPr>
    </w:p>
    <w:p w14:paraId="39761D51" w14:textId="77777777" w:rsidR="003E4E32" w:rsidRDefault="00343B6A" w:rsidP="00182D29">
      <w:pPr>
        <w:pStyle w:val="Heading3"/>
        <w:spacing w:before="0" w:beforeAutospacing="0" w:after="220" w:afterAutospacing="0"/>
        <w:contextualSpacing/>
        <w:rPr>
          <w:b w:val="0"/>
          <w:sz w:val="22"/>
          <w:szCs w:val="22"/>
        </w:rPr>
      </w:pPr>
      <w:r w:rsidRPr="00157E7E">
        <w:rPr>
          <w:b w:val="0"/>
          <w:sz w:val="22"/>
          <w:szCs w:val="22"/>
        </w:rPr>
        <w:t xml:space="preserve">Workers’ compensation legislation ensures the protection of injured workers by way of compensation payments, payment of medical expenses, permanent impairment benefits and other benefits, such as access to rehabilitation support. </w:t>
      </w:r>
    </w:p>
    <w:p w14:paraId="64E20DB1" w14:textId="77777777" w:rsidR="00182D29" w:rsidRDefault="00182D29" w:rsidP="00182D29">
      <w:pPr>
        <w:pStyle w:val="Heading3"/>
        <w:spacing w:before="0" w:beforeAutospacing="0" w:after="220" w:afterAutospacing="0"/>
        <w:contextualSpacing/>
        <w:rPr>
          <w:b w:val="0"/>
          <w:sz w:val="22"/>
          <w:szCs w:val="22"/>
        </w:rPr>
      </w:pPr>
    </w:p>
    <w:p w14:paraId="727998C1" w14:textId="22B385B6" w:rsidR="008D74CF" w:rsidRDefault="00343B6A" w:rsidP="00182D29">
      <w:pPr>
        <w:pStyle w:val="Heading3"/>
        <w:spacing w:before="0" w:beforeAutospacing="0" w:after="220" w:afterAutospacing="0"/>
        <w:contextualSpacing/>
        <w:rPr>
          <w:b w:val="0"/>
          <w:sz w:val="22"/>
          <w:szCs w:val="22"/>
        </w:rPr>
      </w:pPr>
      <w:r w:rsidRPr="00157E7E">
        <w:rPr>
          <w:b w:val="0"/>
          <w:sz w:val="22"/>
          <w:szCs w:val="22"/>
        </w:rPr>
        <w:t>Th</w:t>
      </w:r>
      <w:r w:rsidR="002918A0">
        <w:rPr>
          <w:b w:val="0"/>
          <w:sz w:val="22"/>
          <w:szCs w:val="22"/>
        </w:rPr>
        <w:t>e</w:t>
      </w:r>
      <w:r w:rsidRPr="00157E7E">
        <w:rPr>
          <w:b w:val="0"/>
          <w:sz w:val="22"/>
          <w:szCs w:val="22"/>
        </w:rPr>
        <w:t xml:space="preserve"> </w:t>
      </w:r>
      <w:r w:rsidR="003E4E32">
        <w:rPr>
          <w:b w:val="0"/>
          <w:sz w:val="22"/>
          <w:szCs w:val="22"/>
        </w:rPr>
        <w:t>instrument</w:t>
      </w:r>
      <w:r w:rsidRPr="00157E7E">
        <w:rPr>
          <w:b w:val="0"/>
          <w:sz w:val="22"/>
          <w:szCs w:val="22"/>
        </w:rPr>
        <w:t xml:space="preserve"> engages but d</w:t>
      </w:r>
      <w:r w:rsidR="003E4E32">
        <w:rPr>
          <w:b w:val="0"/>
          <w:sz w:val="22"/>
          <w:szCs w:val="22"/>
        </w:rPr>
        <w:t>oes not limit human rights. It</w:t>
      </w:r>
      <w:r w:rsidR="008D74CF">
        <w:rPr>
          <w:b w:val="0"/>
          <w:sz w:val="22"/>
          <w:szCs w:val="22"/>
        </w:rPr>
        <w:t>s effect is to direct</w:t>
      </w:r>
      <w:r w:rsidR="003E4E32">
        <w:rPr>
          <w:b w:val="0"/>
          <w:sz w:val="22"/>
          <w:szCs w:val="22"/>
        </w:rPr>
        <w:t xml:space="preserve"> the Commission to give </w:t>
      </w:r>
      <w:r w:rsidR="008D74CF">
        <w:rPr>
          <w:b w:val="0"/>
          <w:sz w:val="22"/>
          <w:szCs w:val="22"/>
        </w:rPr>
        <w:t xml:space="preserve">written </w:t>
      </w:r>
      <w:r w:rsidR="003E4E32">
        <w:rPr>
          <w:b w:val="0"/>
          <w:sz w:val="22"/>
          <w:szCs w:val="22"/>
        </w:rPr>
        <w:t xml:space="preserve">notice </w:t>
      </w:r>
      <w:r w:rsidR="008D74CF">
        <w:rPr>
          <w:b w:val="0"/>
          <w:sz w:val="22"/>
          <w:szCs w:val="22"/>
        </w:rPr>
        <w:t xml:space="preserve">to the Minister </w:t>
      </w:r>
      <w:r w:rsidR="00B22485">
        <w:rPr>
          <w:b w:val="0"/>
          <w:sz w:val="22"/>
          <w:szCs w:val="22"/>
        </w:rPr>
        <w:t xml:space="preserve">(of the matters specified in the instrument) </w:t>
      </w:r>
      <w:r w:rsidR="008D74CF">
        <w:rPr>
          <w:b w:val="0"/>
          <w:sz w:val="22"/>
          <w:szCs w:val="22"/>
        </w:rPr>
        <w:t xml:space="preserve">prior to exercising its power to authorise </w:t>
      </w:r>
      <w:r w:rsidR="008D74CF" w:rsidRPr="008D74CF">
        <w:rPr>
          <w:b w:val="0"/>
          <w:sz w:val="22"/>
          <w:szCs w:val="22"/>
        </w:rPr>
        <w:t>a Commonwealth authority to accept liability in respect of injury, loss, damage or death occurring before the commencement of a licence under Part VIII of the SRC Act</w:t>
      </w:r>
      <w:r w:rsidR="008D74CF">
        <w:rPr>
          <w:b w:val="0"/>
          <w:sz w:val="22"/>
          <w:szCs w:val="22"/>
        </w:rPr>
        <w:t xml:space="preserve">. Accordingly, the instrument </w:t>
      </w:r>
      <w:r w:rsidR="008D74CF" w:rsidRPr="008D74CF">
        <w:rPr>
          <w:b w:val="0"/>
          <w:sz w:val="22"/>
          <w:szCs w:val="22"/>
        </w:rPr>
        <w:t xml:space="preserve">does not alter </w:t>
      </w:r>
      <w:r w:rsidR="00B22485">
        <w:rPr>
          <w:b w:val="0"/>
          <w:sz w:val="22"/>
          <w:szCs w:val="22"/>
        </w:rPr>
        <w:t xml:space="preserve">the </w:t>
      </w:r>
      <w:r w:rsidR="008D74CF" w:rsidRPr="008D74CF">
        <w:rPr>
          <w:b w:val="0"/>
          <w:sz w:val="22"/>
          <w:szCs w:val="22"/>
        </w:rPr>
        <w:t>workers’ compensation rights, entitlements or obligations of employees and so does not limit the right to social security.</w:t>
      </w:r>
    </w:p>
    <w:p w14:paraId="1D78C2F5" w14:textId="77777777" w:rsidR="00343B6A" w:rsidRPr="00157E7E" w:rsidRDefault="00343B6A" w:rsidP="00182D29">
      <w:pPr>
        <w:keepNext/>
        <w:spacing w:after="220" w:line="240" w:lineRule="auto"/>
        <w:contextualSpacing/>
        <w:rPr>
          <w:rFonts w:ascii="Times New Roman" w:hAnsi="Times New Roman"/>
          <w:b/>
        </w:rPr>
      </w:pPr>
      <w:r w:rsidRPr="00157E7E">
        <w:rPr>
          <w:rFonts w:ascii="Times New Roman" w:hAnsi="Times New Roman"/>
          <w:b/>
        </w:rPr>
        <w:t>Conclusion</w:t>
      </w:r>
      <w:r w:rsidR="004F3D44" w:rsidRPr="00157E7E">
        <w:rPr>
          <w:rFonts w:ascii="Times New Roman" w:hAnsi="Times New Roman"/>
          <w:b/>
        </w:rPr>
        <w:t xml:space="preserve">  </w:t>
      </w:r>
    </w:p>
    <w:p w14:paraId="3CDBFEB4" w14:textId="77777777" w:rsidR="00B66B62" w:rsidRDefault="00B66B62" w:rsidP="00182D29">
      <w:pPr>
        <w:spacing w:after="220" w:line="240" w:lineRule="auto"/>
        <w:contextualSpacing/>
        <w:rPr>
          <w:rFonts w:ascii="Times New Roman" w:hAnsi="Times New Roman"/>
        </w:rPr>
      </w:pPr>
    </w:p>
    <w:p w14:paraId="5EC72717" w14:textId="77777777" w:rsidR="00343B6A" w:rsidRPr="00157E7E" w:rsidRDefault="00343B6A" w:rsidP="00182D29">
      <w:pPr>
        <w:spacing w:after="220" w:line="240" w:lineRule="auto"/>
        <w:contextualSpacing/>
        <w:rPr>
          <w:rFonts w:ascii="Times New Roman" w:hAnsi="Times New Roman"/>
        </w:rPr>
      </w:pPr>
      <w:r w:rsidRPr="00157E7E">
        <w:rPr>
          <w:rFonts w:ascii="Times New Roman" w:hAnsi="Times New Roman"/>
        </w:rPr>
        <w:t xml:space="preserve">The Legislative Instrument is compatible with human rights </w:t>
      </w:r>
      <w:r w:rsidR="00EE0C35">
        <w:rPr>
          <w:rFonts w:ascii="Times New Roman" w:hAnsi="Times New Roman"/>
        </w:rPr>
        <w:t>as it does not raise any human rights issues</w:t>
      </w:r>
      <w:r w:rsidRPr="00157E7E">
        <w:rPr>
          <w:rFonts w:ascii="Times New Roman" w:hAnsi="Times New Roman"/>
        </w:rPr>
        <w:t>.</w:t>
      </w:r>
    </w:p>
    <w:p w14:paraId="1933862F" w14:textId="77777777" w:rsidR="00B66B62" w:rsidRDefault="00B66B62" w:rsidP="00343B6A">
      <w:pPr>
        <w:spacing w:after="220"/>
        <w:jc w:val="center"/>
        <w:rPr>
          <w:rFonts w:ascii="Times New Roman" w:hAnsi="Times New Roman"/>
          <w:b/>
        </w:rPr>
      </w:pPr>
    </w:p>
    <w:p w14:paraId="68AF70F8" w14:textId="0997FC7F" w:rsidR="00343B6A" w:rsidRPr="00157E7E" w:rsidRDefault="00C03121" w:rsidP="00343B6A">
      <w:pPr>
        <w:spacing w:after="220"/>
        <w:jc w:val="center"/>
        <w:rPr>
          <w:rFonts w:ascii="Times New Roman" w:hAnsi="Times New Roman"/>
          <w:b/>
        </w:rPr>
      </w:pPr>
      <w:r>
        <w:rPr>
          <w:rFonts w:ascii="Times New Roman" w:hAnsi="Times New Roman"/>
          <w:b/>
        </w:rPr>
        <w:t>Senator the</w:t>
      </w:r>
      <w:r w:rsidR="00343B6A" w:rsidRPr="00157E7E">
        <w:rPr>
          <w:rFonts w:ascii="Times New Roman" w:hAnsi="Times New Roman"/>
          <w:b/>
        </w:rPr>
        <w:t xml:space="preserve"> Hon </w:t>
      </w:r>
      <w:proofErr w:type="spellStart"/>
      <w:r w:rsidR="00D8585C">
        <w:rPr>
          <w:rFonts w:ascii="Times New Roman" w:hAnsi="Times New Roman"/>
          <w:b/>
        </w:rPr>
        <w:t>Michaelia</w:t>
      </w:r>
      <w:proofErr w:type="spellEnd"/>
      <w:r w:rsidR="00D8585C">
        <w:rPr>
          <w:rFonts w:ascii="Times New Roman" w:hAnsi="Times New Roman"/>
          <w:b/>
        </w:rPr>
        <w:t xml:space="preserve"> Cash</w:t>
      </w:r>
    </w:p>
    <w:p w14:paraId="182E2B09" w14:textId="6684D7A8" w:rsidR="00615F6C" w:rsidRPr="008D74CF" w:rsidRDefault="00F32E8A" w:rsidP="008D74CF">
      <w:pPr>
        <w:spacing w:after="220" w:line="240" w:lineRule="auto"/>
        <w:contextualSpacing/>
        <w:jc w:val="center"/>
        <w:rPr>
          <w:rFonts w:ascii="Times New Roman" w:hAnsi="Times New Roman"/>
          <w:lang w:val="en"/>
        </w:rPr>
      </w:pPr>
      <w:r w:rsidRPr="00C04ACC">
        <w:rPr>
          <w:rFonts w:ascii="Times New Roman" w:eastAsia="Times New Roman" w:hAnsi="Times New Roman"/>
          <w:bCs/>
          <w:lang w:eastAsia="en-AU"/>
        </w:rPr>
        <w:t xml:space="preserve">Minister </w:t>
      </w:r>
      <w:r w:rsidRPr="00C04ACC">
        <w:rPr>
          <w:rFonts w:ascii="Times New Roman" w:hAnsi="Times New Roman"/>
          <w:lang w:val="en"/>
        </w:rPr>
        <w:t xml:space="preserve">for </w:t>
      </w:r>
      <w:r>
        <w:rPr>
          <w:rFonts w:ascii="Times New Roman" w:hAnsi="Times New Roman"/>
          <w:lang w:val="en"/>
        </w:rPr>
        <w:t>Industrial Relations</w:t>
      </w:r>
    </w:p>
    <w:p w14:paraId="3E35A873" w14:textId="77777777" w:rsidR="00615F6C" w:rsidRDefault="00615F6C" w:rsidP="00D8585C">
      <w:pPr>
        <w:pageBreakBefore/>
        <w:spacing w:after="220" w:line="240" w:lineRule="auto"/>
        <w:jc w:val="right"/>
        <w:rPr>
          <w:rFonts w:ascii="Times New Roman" w:hAnsi="Times New Roman"/>
          <w:b/>
          <w:sz w:val="24"/>
          <w:szCs w:val="24"/>
        </w:rPr>
      </w:pPr>
      <w:r w:rsidRPr="00521029">
        <w:rPr>
          <w:rFonts w:ascii="Times New Roman" w:hAnsi="Times New Roman"/>
          <w:b/>
          <w:sz w:val="24"/>
          <w:szCs w:val="24"/>
        </w:rPr>
        <w:lastRenderedPageBreak/>
        <w:t>Attachment A</w:t>
      </w:r>
    </w:p>
    <w:p w14:paraId="2B8C15C0" w14:textId="77777777" w:rsidR="00615F6C" w:rsidRPr="00BB254A" w:rsidRDefault="00615F6C" w:rsidP="00615F6C">
      <w:pPr>
        <w:spacing w:after="220" w:line="240" w:lineRule="auto"/>
        <w:rPr>
          <w:rFonts w:ascii="Times New Roman" w:hAnsi="Times New Roman"/>
          <w:b/>
          <w:sz w:val="24"/>
          <w:szCs w:val="24"/>
        </w:rPr>
      </w:pPr>
      <w:r>
        <w:rPr>
          <w:rFonts w:ascii="Times New Roman" w:hAnsi="Times New Roman"/>
          <w:b/>
          <w:sz w:val="24"/>
          <w:szCs w:val="24"/>
        </w:rPr>
        <w:t>NOTES ON SECTIONS</w:t>
      </w:r>
    </w:p>
    <w:p w14:paraId="382B35A6" w14:textId="77777777" w:rsidR="00615F6C" w:rsidRPr="00F36CE5" w:rsidRDefault="00615F6C" w:rsidP="00615F6C">
      <w:pPr>
        <w:spacing w:after="220" w:line="240" w:lineRule="auto"/>
        <w:rPr>
          <w:rFonts w:ascii="Times New Roman" w:hAnsi="Times New Roman"/>
          <w:b/>
        </w:rPr>
      </w:pPr>
      <w:r w:rsidRPr="00F36CE5">
        <w:rPr>
          <w:rFonts w:ascii="Times New Roman" w:hAnsi="Times New Roman"/>
          <w:b/>
        </w:rPr>
        <w:t>Section 1 – Name</w:t>
      </w:r>
    </w:p>
    <w:p w14:paraId="6CB60568" w14:textId="5F08EC73" w:rsidR="00615F6C" w:rsidRPr="007913DA" w:rsidRDefault="00615F6C" w:rsidP="00615F6C">
      <w:pPr>
        <w:spacing w:after="220" w:line="240" w:lineRule="auto"/>
        <w:rPr>
          <w:rFonts w:ascii="Times New Roman" w:hAnsi="Times New Roman"/>
        </w:rPr>
      </w:pPr>
      <w:r w:rsidRPr="00CD26B5">
        <w:rPr>
          <w:rFonts w:ascii="Times New Roman" w:hAnsi="Times New Roman"/>
        </w:rPr>
        <w:t xml:space="preserve">Section 1 provides that the title of the instrument is the </w:t>
      </w:r>
      <w:r w:rsidR="007913DA" w:rsidRPr="007913DA">
        <w:rPr>
          <w:rFonts w:ascii="Times New Roman" w:hAnsi="Times New Roman"/>
          <w:i/>
        </w:rPr>
        <w:t>Safety, Rehabilitation and Compensation Directions Amendment Instrument 2022</w:t>
      </w:r>
      <w:r w:rsidR="007913DA">
        <w:rPr>
          <w:rFonts w:ascii="Times New Roman" w:hAnsi="Times New Roman"/>
        </w:rPr>
        <w:t>.</w:t>
      </w:r>
    </w:p>
    <w:p w14:paraId="1DFA5A66" w14:textId="77777777" w:rsidR="00615F6C" w:rsidRPr="00A007B6" w:rsidRDefault="00615F6C" w:rsidP="00615F6C">
      <w:pPr>
        <w:spacing w:after="220" w:line="240" w:lineRule="auto"/>
        <w:rPr>
          <w:rFonts w:ascii="Times New Roman" w:hAnsi="Times New Roman"/>
          <w:b/>
        </w:rPr>
      </w:pPr>
      <w:r w:rsidRPr="00A007B6">
        <w:rPr>
          <w:rFonts w:ascii="Times New Roman" w:hAnsi="Times New Roman"/>
          <w:b/>
        </w:rPr>
        <w:t xml:space="preserve">Section 2 – Commencement </w:t>
      </w:r>
    </w:p>
    <w:p w14:paraId="286AB906" w14:textId="77777777" w:rsidR="00615F6C" w:rsidRPr="00A007B6" w:rsidRDefault="00615F6C" w:rsidP="00615F6C">
      <w:pPr>
        <w:spacing w:after="220" w:line="240" w:lineRule="auto"/>
        <w:rPr>
          <w:rFonts w:ascii="Times New Roman" w:hAnsi="Times New Roman"/>
        </w:rPr>
      </w:pPr>
      <w:r w:rsidRPr="00A007B6">
        <w:rPr>
          <w:rFonts w:ascii="Times New Roman" w:hAnsi="Times New Roman"/>
        </w:rPr>
        <w:t>Section 2 provides that the instrument commences on the day after it is registered on the Federal Register of Legislation.</w:t>
      </w:r>
    </w:p>
    <w:p w14:paraId="2148D6FA" w14:textId="77777777" w:rsidR="00615F6C" w:rsidRPr="00A007B6" w:rsidRDefault="00615F6C" w:rsidP="00615F6C">
      <w:pPr>
        <w:spacing w:after="220" w:line="240" w:lineRule="auto"/>
        <w:rPr>
          <w:rFonts w:ascii="Times New Roman" w:hAnsi="Times New Roman"/>
          <w:b/>
        </w:rPr>
      </w:pPr>
      <w:r w:rsidRPr="00A007B6">
        <w:rPr>
          <w:rFonts w:ascii="Times New Roman" w:hAnsi="Times New Roman"/>
          <w:b/>
        </w:rPr>
        <w:t xml:space="preserve">Section 3 – Authority </w:t>
      </w:r>
    </w:p>
    <w:p w14:paraId="026BE65A" w14:textId="349D1B9D" w:rsidR="00615F6C" w:rsidRPr="00A007B6" w:rsidRDefault="00615F6C" w:rsidP="00615F6C">
      <w:pPr>
        <w:spacing w:after="220" w:line="240" w:lineRule="auto"/>
        <w:rPr>
          <w:rFonts w:ascii="Times New Roman" w:hAnsi="Times New Roman"/>
        </w:rPr>
      </w:pPr>
      <w:r w:rsidRPr="00A007B6">
        <w:rPr>
          <w:rFonts w:ascii="Times New Roman" w:hAnsi="Times New Roman"/>
        </w:rPr>
        <w:t xml:space="preserve">Section 3 provides that the instrument is made under </w:t>
      </w:r>
      <w:r w:rsidR="007913DA">
        <w:rPr>
          <w:rFonts w:ascii="Times New Roman" w:hAnsi="Times New Roman"/>
        </w:rPr>
        <w:t>sections 89D and 101</w:t>
      </w:r>
      <w:r>
        <w:rPr>
          <w:rFonts w:ascii="Times New Roman" w:hAnsi="Times New Roman"/>
        </w:rPr>
        <w:t xml:space="preserve"> of the </w:t>
      </w:r>
      <w:r w:rsidRPr="00CD26B5">
        <w:rPr>
          <w:rFonts w:ascii="Times New Roman" w:hAnsi="Times New Roman"/>
          <w:i/>
        </w:rPr>
        <w:t>Safety, Rehabilitation and Compensation</w:t>
      </w:r>
      <w:r>
        <w:rPr>
          <w:rFonts w:ascii="Times New Roman" w:hAnsi="Times New Roman"/>
          <w:i/>
        </w:rPr>
        <w:t xml:space="preserve"> Act 1988.</w:t>
      </w:r>
    </w:p>
    <w:p w14:paraId="0070C0A6" w14:textId="77777777" w:rsidR="00615F6C" w:rsidRPr="00A007B6" w:rsidRDefault="00615F6C" w:rsidP="00615F6C">
      <w:pPr>
        <w:spacing w:after="220" w:line="240" w:lineRule="auto"/>
        <w:rPr>
          <w:rFonts w:ascii="Times New Roman" w:hAnsi="Times New Roman"/>
          <w:b/>
        </w:rPr>
      </w:pPr>
      <w:r w:rsidRPr="00A007B6">
        <w:rPr>
          <w:rFonts w:ascii="Times New Roman" w:hAnsi="Times New Roman"/>
          <w:b/>
        </w:rPr>
        <w:t>Section 4 – Definitions</w:t>
      </w:r>
    </w:p>
    <w:p w14:paraId="009B4B65" w14:textId="77777777" w:rsidR="00615F6C" w:rsidRPr="00795953" w:rsidRDefault="00615F6C" w:rsidP="00615F6C">
      <w:pPr>
        <w:spacing w:after="220" w:line="240" w:lineRule="auto"/>
        <w:rPr>
          <w:rFonts w:ascii="Times New Roman" w:hAnsi="Times New Roman"/>
          <w:b/>
        </w:rPr>
      </w:pPr>
      <w:r>
        <w:rPr>
          <w:rFonts w:ascii="Times New Roman" w:hAnsi="Times New Roman"/>
        </w:rPr>
        <w:t>Section 4</w:t>
      </w:r>
      <w:r w:rsidRPr="00795953">
        <w:rPr>
          <w:rFonts w:ascii="Times New Roman" w:hAnsi="Times New Roman"/>
        </w:rPr>
        <w:t xml:space="preserve"> provides </w:t>
      </w:r>
      <w:r>
        <w:rPr>
          <w:rFonts w:ascii="Times New Roman" w:hAnsi="Times New Roman"/>
        </w:rPr>
        <w:t>the</w:t>
      </w:r>
      <w:r w:rsidRPr="00795953">
        <w:rPr>
          <w:rFonts w:ascii="Times New Roman" w:hAnsi="Times New Roman"/>
        </w:rPr>
        <w:t xml:space="preserve"> definitions of terms used in the instrument.</w:t>
      </w:r>
    </w:p>
    <w:p w14:paraId="60A816CF" w14:textId="474358C1" w:rsidR="00615F6C" w:rsidRPr="00A007B6" w:rsidRDefault="00615F6C" w:rsidP="00615F6C">
      <w:pPr>
        <w:spacing w:after="220" w:line="240" w:lineRule="auto"/>
        <w:rPr>
          <w:rFonts w:ascii="Times New Roman" w:hAnsi="Times New Roman"/>
          <w:b/>
        </w:rPr>
      </w:pPr>
      <w:r w:rsidRPr="00A007B6">
        <w:rPr>
          <w:rFonts w:ascii="Times New Roman" w:hAnsi="Times New Roman"/>
          <w:b/>
        </w:rPr>
        <w:t xml:space="preserve">Section 5 – </w:t>
      </w:r>
      <w:r w:rsidR="007913DA">
        <w:rPr>
          <w:rFonts w:ascii="Times New Roman" w:hAnsi="Times New Roman"/>
          <w:b/>
        </w:rPr>
        <w:t>Schedules</w:t>
      </w:r>
    </w:p>
    <w:p w14:paraId="2B7FE7F6" w14:textId="2A111E8E" w:rsidR="00615F6C" w:rsidRPr="00615F6C" w:rsidRDefault="00615F6C" w:rsidP="00615F6C">
      <w:pPr>
        <w:spacing w:after="220" w:line="240" w:lineRule="auto"/>
        <w:rPr>
          <w:rFonts w:ascii="Times New Roman" w:hAnsi="Times New Roman"/>
        </w:rPr>
      </w:pPr>
      <w:r>
        <w:rPr>
          <w:rFonts w:ascii="Times New Roman" w:hAnsi="Times New Roman"/>
        </w:rPr>
        <w:t>Section 5 provides that</w:t>
      </w:r>
      <w:r w:rsidR="007913DA">
        <w:rPr>
          <w:rFonts w:ascii="Times New Roman" w:hAnsi="Times New Roman"/>
        </w:rPr>
        <w:t xml:space="preserve"> each </w:t>
      </w:r>
      <w:r w:rsidR="007913DA" w:rsidRPr="007913DA">
        <w:rPr>
          <w:rFonts w:ascii="Times New Roman" w:hAnsi="Times New Roman"/>
        </w:rPr>
        <w:t>instrument that is specified in a Schedule to this instrument is amended or repealed as set out in the applicable items in the Schedule concerned, and any other item in a Schedule to this instrument has effect according to its terms</w:t>
      </w:r>
      <w:r w:rsidR="007913DA">
        <w:rPr>
          <w:rFonts w:ascii="Times New Roman" w:hAnsi="Times New Roman"/>
        </w:rPr>
        <w:t>.</w:t>
      </w:r>
    </w:p>
    <w:p w14:paraId="64F28F79" w14:textId="6317A088" w:rsidR="00615F6C" w:rsidRPr="00A007B6" w:rsidRDefault="007913DA" w:rsidP="00615F6C">
      <w:pPr>
        <w:spacing w:after="220" w:line="240" w:lineRule="auto"/>
        <w:rPr>
          <w:rFonts w:ascii="Times New Roman" w:hAnsi="Times New Roman"/>
          <w:b/>
        </w:rPr>
      </w:pPr>
      <w:r>
        <w:rPr>
          <w:rFonts w:ascii="Times New Roman" w:hAnsi="Times New Roman"/>
          <w:b/>
        </w:rPr>
        <w:t>Schedule 1</w:t>
      </w:r>
      <w:r w:rsidR="00615F6C" w:rsidRPr="00A007B6">
        <w:rPr>
          <w:rFonts w:ascii="Times New Roman" w:hAnsi="Times New Roman"/>
          <w:b/>
        </w:rPr>
        <w:t xml:space="preserve"> –</w:t>
      </w:r>
      <w:r w:rsidR="00615F6C">
        <w:rPr>
          <w:rFonts w:ascii="Times New Roman" w:hAnsi="Times New Roman"/>
          <w:b/>
        </w:rPr>
        <w:t xml:space="preserve"> </w:t>
      </w:r>
      <w:r>
        <w:rPr>
          <w:rFonts w:ascii="Times New Roman" w:hAnsi="Times New Roman"/>
          <w:b/>
        </w:rPr>
        <w:t>Amendments</w:t>
      </w:r>
    </w:p>
    <w:p w14:paraId="6DCDEC39" w14:textId="32EE60B2" w:rsidR="007913DA" w:rsidRDefault="008E4EC4" w:rsidP="00615F6C">
      <w:pPr>
        <w:spacing w:after="220" w:line="240" w:lineRule="auto"/>
        <w:rPr>
          <w:rFonts w:ascii="Times New Roman" w:hAnsi="Times New Roman"/>
        </w:rPr>
      </w:pPr>
      <w:r>
        <w:rPr>
          <w:rFonts w:ascii="Times New Roman" w:hAnsi="Times New Roman"/>
        </w:rPr>
        <w:t xml:space="preserve">Schedule 1 </w:t>
      </w:r>
      <w:r w:rsidRPr="00925229">
        <w:rPr>
          <w:rFonts w:ascii="Times New Roman" w:hAnsi="Times New Roman"/>
        </w:rPr>
        <w:t>to the instrument</w:t>
      </w:r>
      <w:r>
        <w:rPr>
          <w:rFonts w:ascii="Times New Roman" w:hAnsi="Times New Roman"/>
        </w:rPr>
        <w:t xml:space="preserve"> amends the </w:t>
      </w:r>
      <w:r w:rsidRPr="00764B4E">
        <w:rPr>
          <w:rFonts w:ascii="Times New Roman" w:eastAsia="Times New Roman" w:hAnsi="Times New Roman"/>
          <w:bCs/>
          <w:i/>
          <w:lang w:eastAsia="en-AU"/>
        </w:rPr>
        <w:t>Safety, Rehabilitation and Compensation</w:t>
      </w:r>
      <w:r>
        <w:rPr>
          <w:rFonts w:ascii="Times New Roman" w:eastAsia="Times New Roman" w:hAnsi="Times New Roman"/>
          <w:bCs/>
          <w:i/>
          <w:lang w:eastAsia="en-AU"/>
        </w:rPr>
        <w:t xml:space="preserve"> Directions 2019 </w:t>
      </w:r>
      <w:r>
        <w:rPr>
          <w:rFonts w:ascii="Times New Roman" w:eastAsia="Times New Roman" w:hAnsi="Times New Roman"/>
          <w:bCs/>
          <w:lang w:eastAsia="en-AU"/>
        </w:rPr>
        <w:t>as specified in the schedule.</w:t>
      </w:r>
    </w:p>
    <w:p w14:paraId="0FEC4138" w14:textId="77777777" w:rsidR="007913DA" w:rsidRDefault="007913DA" w:rsidP="00615F6C">
      <w:pPr>
        <w:spacing w:after="220" w:line="240" w:lineRule="auto"/>
        <w:rPr>
          <w:rFonts w:ascii="Times New Roman" w:hAnsi="Times New Roman"/>
        </w:rPr>
      </w:pPr>
    </w:p>
    <w:p w14:paraId="758EB438" w14:textId="77777777" w:rsidR="007913DA" w:rsidRDefault="007913DA" w:rsidP="00615F6C">
      <w:pPr>
        <w:spacing w:after="220" w:line="240" w:lineRule="auto"/>
        <w:rPr>
          <w:rFonts w:ascii="Times New Roman" w:hAnsi="Times New Roman"/>
        </w:rPr>
      </w:pPr>
    </w:p>
    <w:p w14:paraId="17DEA0D3" w14:textId="77777777" w:rsidR="00615F6C" w:rsidRPr="00157E7E" w:rsidRDefault="00615F6C" w:rsidP="00F32E8A">
      <w:pPr>
        <w:jc w:val="center"/>
        <w:rPr>
          <w:rFonts w:ascii="Times New Roman" w:hAnsi="Times New Roman"/>
        </w:rPr>
      </w:pPr>
    </w:p>
    <w:sectPr w:rsidR="00615F6C" w:rsidRPr="00157E7E">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5578F" w14:textId="77777777" w:rsidR="00AC3C47" w:rsidRDefault="00AC3C47" w:rsidP="00343B6A">
      <w:pPr>
        <w:spacing w:after="0" w:line="240" w:lineRule="auto"/>
      </w:pPr>
      <w:r>
        <w:separator/>
      </w:r>
    </w:p>
  </w:endnote>
  <w:endnote w:type="continuationSeparator" w:id="0">
    <w:p w14:paraId="73DF8C44" w14:textId="77777777" w:rsidR="00AC3C47" w:rsidRDefault="00AC3C47" w:rsidP="00343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C6C28" w14:textId="77777777" w:rsidR="00343B6A" w:rsidRPr="00D01AA8" w:rsidRDefault="00343B6A" w:rsidP="00502A97">
    <w:pPr>
      <w:tabs>
        <w:tab w:val="center" w:pos="4513"/>
        <w:tab w:val="right" w:pos="9026"/>
      </w:tabs>
      <w:spacing w:after="0" w:line="240" w:lineRule="auto"/>
      <w:jc w:val="center"/>
      <w:rPr>
        <w:rFonts w:ascii="Times New Roman" w:eastAsia="Times New Roman" w:hAnsi="Times New Roman"/>
        <w:lang w:eastAsia="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4BE51" w14:textId="77777777" w:rsidR="00AC3C47" w:rsidRDefault="00AC3C47" w:rsidP="00343B6A">
      <w:pPr>
        <w:spacing w:after="0" w:line="240" w:lineRule="auto"/>
      </w:pPr>
      <w:r>
        <w:separator/>
      </w:r>
    </w:p>
  </w:footnote>
  <w:footnote w:type="continuationSeparator" w:id="0">
    <w:p w14:paraId="37393964" w14:textId="77777777" w:rsidR="00AC3C47" w:rsidRDefault="00AC3C47" w:rsidP="00343B6A">
      <w:pPr>
        <w:spacing w:after="0" w:line="240" w:lineRule="auto"/>
      </w:pPr>
      <w:r>
        <w:continuationSeparator/>
      </w:r>
    </w:p>
  </w:footnote>
  <w:footnote w:id="1">
    <w:p w14:paraId="4D1DB2DC" w14:textId="77777777" w:rsidR="00343B6A" w:rsidRPr="00F72315" w:rsidRDefault="00343B6A" w:rsidP="00343B6A">
      <w:pPr>
        <w:pStyle w:val="FootnoteText"/>
        <w:rPr>
          <w:sz w:val="18"/>
          <w:szCs w:val="18"/>
        </w:rPr>
      </w:pPr>
      <w:r>
        <w:rPr>
          <w:rStyle w:val="FootnoteReference"/>
        </w:rPr>
        <w:footnoteRef/>
      </w:r>
      <w:r>
        <w:t xml:space="preserve"> </w:t>
      </w:r>
      <w:r w:rsidRPr="00F72315">
        <w:rPr>
          <w:sz w:val="18"/>
          <w:szCs w:val="18"/>
        </w:rPr>
        <w:t xml:space="preserve">Committee on Economic, Social and Cultural Rights, </w:t>
      </w:r>
      <w:r w:rsidRPr="00F72315">
        <w:rPr>
          <w:i/>
          <w:sz w:val="18"/>
          <w:szCs w:val="18"/>
        </w:rPr>
        <w:t>General Comment 19: The Right to Social Security (art. 9)</w:t>
      </w:r>
      <w:r w:rsidRPr="00F72315">
        <w:rPr>
          <w:sz w:val="18"/>
          <w:szCs w:val="18"/>
        </w:rPr>
        <w:t>, U.N. Doc E/C.12/GC/19 (2008),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D180A" w14:textId="77777777" w:rsidR="00343B6A" w:rsidRPr="00926E9E" w:rsidRDefault="00343B6A" w:rsidP="00502A97">
    <w:pPr>
      <w:pStyle w:val="Heade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8248C" w14:textId="77777777" w:rsidR="00343B6A" w:rsidRDefault="00343B6A" w:rsidP="004557B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00A25"/>
    <w:multiLevelType w:val="hybridMultilevel"/>
    <w:tmpl w:val="EB526AD0"/>
    <w:lvl w:ilvl="0" w:tplc="B6742948">
      <w:start w:val="1"/>
      <w:numFmt w:val="lowerLetter"/>
      <w:lvlText w:val="(%1)"/>
      <w:lvlJc w:val="left"/>
      <w:pPr>
        <w:ind w:left="720" w:hanging="360"/>
      </w:pPr>
      <w:rPr>
        <w:rFonts w:hint="default"/>
      </w:rPr>
    </w:lvl>
    <w:lvl w:ilvl="1" w:tplc="2E7A55C4" w:tentative="1">
      <w:start w:val="1"/>
      <w:numFmt w:val="lowerLetter"/>
      <w:lvlText w:val="%2."/>
      <w:lvlJc w:val="left"/>
      <w:pPr>
        <w:ind w:left="1440" w:hanging="360"/>
      </w:pPr>
    </w:lvl>
    <w:lvl w:ilvl="2" w:tplc="D318E728" w:tentative="1">
      <w:start w:val="1"/>
      <w:numFmt w:val="lowerRoman"/>
      <w:lvlText w:val="%3."/>
      <w:lvlJc w:val="right"/>
      <w:pPr>
        <w:ind w:left="2160" w:hanging="180"/>
      </w:pPr>
    </w:lvl>
    <w:lvl w:ilvl="3" w:tplc="95EAC33E" w:tentative="1">
      <w:start w:val="1"/>
      <w:numFmt w:val="decimal"/>
      <w:lvlText w:val="%4."/>
      <w:lvlJc w:val="left"/>
      <w:pPr>
        <w:ind w:left="2880" w:hanging="360"/>
      </w:pPr>
    </w:lvl>
    <w:lvl w:ilvl="4" w:tplc="9A4275D4" w:tentative="1">
      <w:start w:val="1"/>
      <w:numFmt w:val="lowerLetter"/>
      <w:lvlText w:val="%5."/>
      <w:lvlJc w:val="left"/>
      <w:pPr>
        <w:ind w:left="3600" w:hanging="360"/>
      </w:pPr>
    </w:lvl>
    <w:lvl w:ilvl="5" w:tplc="BCEE6C68" w:tentative="1">
      <w:start w:val="1"/>
      <w:numFmt w:val="lowerRoman"/>
      <w:lvlText w:val="%6."/>
      <w:lvlJc w:val="right"/>
      <w:pPr>
        <w:ind w:left="4320" w:hanging="180"/>
      </w:pPr>
    </w:lvl>
    <w:lvl w:ilvl="6" w:tplc="3D28B088" w:tentative="1">
      <w:start w:val="1"/>
      <w:numFmt w:val="decimal"/>
      <w:lvlText w:val="%7."/>
      <w:lvlJc w:val="left"/>
      <w:pPr>
        <w:ind w:left="5040" w:hanging="360"/>
      </w:pPr>
    </w:lvl>
    <w:lvl w:ilvl="7" w:tplc="EC12F648" w:tentative="1">
      <w:start w:val="1"/>
      <w:numFmt w:val="lowerLetter"/>
      <w:lvlText w:val="%8."/>
      <w:lvlJc w:val="left"/>
      <w:pPr>
        <w:ind w:left="5760" w:hanging="360"/>
      </w:pPr>
    </w:lvl>
    <w:lvl w:ilvl="8" w:tplc="DC08ABE6" w:tentative="1">
      <w:start w:val="1"/>
      <w:numFmt w:val="lowerRoman"/>
      <w:lvlText w:val="%9."/>
      <w:lvlJc w:val="right"/>
      <w:pPr>
        <w:ind w:left="6480" w:hanging="180"/>
      </w:pPr>
    </w:lvl>
  </w:abstractNum>
  <w:abstractNum w:abstractNumId="1" w15:restartNumberingAfterBreak="0">
    <w:nsid w:val="396B7B14"/>
    <w:multiLevelType w:val="hybridMultilevel"/>
    <w:tmpl w:val="95D492C8"/>
    <w:lvl w:ilvl="0" w:tplc="E81C06F2">
      <w:start w:val="4"/>
      <w:numFmt w:val="decimal"/>
      <w:lvlText w:val="%1"/>
      <w:lvlJc w:val="left"/>
      <w:pPr>
        <w:ind w:left="720" w:hanging="360"/>
      </w:pPr>
    </w:lvl>
    <w:lvl w:ilvl="1" w:tplc="F366541E">
      <w:start w:val="1"/>
      <w:numFmt w:val="lowerLetter"/>
      <w:lvlText w:val="%2."/>
      <w:lvlJc w:val="left"/>
      <w:pPr>
        <w:ind w:left="1440" w:hanging="360"/>
      </w:pPr>
    </w:lvl>
    <w:lvl w:ilvl="2" w:tplc="9C002B04">
      <w:start w:val="1"/>
      <w:numFmt w:val="lowerRoman"/>
      <w:lvlText w:val="%3."/>
      <w:lvlJc w:val="right"/>
      <w:pPr>
        <w:ind w:left="2160" w:hanging="180"/>
      </w:pPr>
    </w:lvl>
    <w:lvl w:ilvl="3" w:tplc="A12EDBAE">
      <w:start w:val="1"/>
      <w:numFmt w:val="decimal"/>
      <w:lvlText w:val="%4."/>
      <w:lvlJc w:val="left"/>
      <w:pPr>
        <w:ind w:left="2880" w:hanging="360"/>
      </w:pPr>
    </w:lvl>
    <w:lvl w:ilvl="4" w:tplc="1C52BE0A">
      <w:start w:val="1"/>
      <w:numFmt w:val="lowerLetter"/>
      <w:lvlText w:val="%5."/>
      <w:lvlJc w:val="left"/>
      <w:pPr>
        <w:ind w:left="3600" w:hanging="360"/>
      </w:pPr>
    </w:lvl>
    <w:lvl w:ilvl="5" w:tplc="2856AF5A">
      <w:start w:val="1"/>
      <w:numFmt w:val="lowerRoman"/>
      <w:lvlText w:val="%6."/>
      <w:lvlJc w:val="right"/>
      <w:pPr>
        <w:ind w:left="4320" w:hanging="180"/>
      </w:pPr>
    </w:lvl>
    <w:lvl w:ilvl="6" w:tplc="AE44DA6A">
      <w:start w:val="1"/>
      <w:numFmt w:val="decimal"/>
      <w:lvlText w:val="%7."/>
      <w:lvlJc w:val="left"/>
      <w:pPr>
        <w:ind w:left="5040" w:hanging="360"/>
      </w:pPr>
    </w:lvl>
    <w:lvl w:ilvl="7" w:tplc="9E6AF3DC">
      <w:start w:val="1"/>
      <w:numFmt w:val="lowerLetter"/>
      <w:lvlText w:val="%8."/>
      <w:lvlJc w:val="left"/>
      <w:pPr>
        <w:ind w:left="5760" w:hanging="360"/>
      </w:pPr>
    </w:lvl>
    <w:lvl w:ilvl="8" w:tplc="02E08F98">
      <w:start w:val="1"/>
      <w:numFmt w:val="lowerRoman"/>
      <w:lvlText w:val="%9."/>
      <w:lvlJc w:val="right"/>
      <w:pPr>
        <w:ind w:left="6480" w:hanging="180"/>
      </w:pPr>
    </w:lvl>
  </w:abstractNum>
  <w:abstractNum w:abstractNumId="2" w15:restartNumberingAfterBreak="0">
    <w:nsid w:val="3FE3251F"/>
    <w:multiLevelType w:val="hybridMultilevel"/>
    <w:tmpl w:val="AEC8CDF6"/>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440421CF"/>
    <w:multiLevelType w:val="hybridMultilevel"/>
    <w:tmpl w:val="6758185C"/>
    <w:lvl w:ilvl="0" w:tplc="E25A526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CB186A"/>
    <w:multiLevelType w:val="hybridMultilevel"/>
    <w:tmpl w:val="8F7AC0F8"/>
    <w:lvl w:ilvl="0" w:tplc="C04810AE">
      <w:start w:val="1"/>
      <w:numFmt w:val="lowerLetter"/>
      <w:lvlText w:val="(%1)"/>
      <w:lvlJc w:val="left"/>
      <w:pPr>
        <w:tabs>
          <w:tab w:val="num" w:pos="360"/>
        </w:tabs>
        <w:ind w:left="360" w:hanging="360"/>
      </w:pPr>
      <w:rPr>
        <w:rFonts w:hint="default"/>
      </w:rPr>
    </w:lvl>
    <w:lvl w:ilvl="1" w:tplc="5748D0CC">
      <w:start w:val="1"/>
      <w:numFmt w:val="lowerLetter"/>
      <w:lvlText w:val="%2."/>
      <w:lvlJc w:val="left"/>
      <w:pPr>
        <w:tabs>
          <w:tab w:val="num" w:pos="1440"/>
        </w:tabs>
        <w:ind w:left="1440" w:hanging="360"/>
      </w:pPr>
    </w:lvl>
    <w:lvl w:ilvl="2" w:tplc="E354D27C">
      <w:start w:val="1"/>
      <w:numFmt w:val="lowerRoman"/>
      <w:lvlText w:val="%3."/>
      <w:lvlJc w:val="right"/>
      <w:pPr>
        <w:tabs>
          <w:tab w:val="num" w:pos="2160"/>
        </w:tabs>
        <w:ind w:left="2160" w:hanging="180"/>
      </w:pPr>
    </w:lvl>
    <w:lvl w:ilvl="3" w:tplc="7CBCD85A">
      <w:start w:val="1"/>
      <w:numFmt w:val="decimal"/>
      <w:lvlText w:val="%4."/>
      <w:lvlJc w:val="left"/>
      <w:pPr>
        <w:tabs>
          <w:tab w:val="num" w:pos="2880"/>
        </w:tabs>
        <w:ind w:left="2880" w:hanging="360"/>
      </w:pPr>
    </w:lvl>
    <w:lvl w:ilvl="4" w:tplc="B19E6A88">
      <w:start w:val="1"/>
      <w:numFmt w:val="lowerLetter"/>
      <w:lvlText w:val="%5."/>
      <w:lvlJc w:val="left"/>
      <w:pPr>
        <w:tabs>
          <w:tab w:val="num" w:pos="3600"/>
        </w:tabs>
        <w:ind w:left="3600" w:hanging="360"/>
      </w:pPr>
    </w:lvl>
    <w:lvl w:ilvl="5" w:tplc="6A8E409E">
      <w:start w:val="1"/>
      <w:numFmt w:val="lowerRoman"/>
      <w:lvlText w:val="%6."/>
      <w:lvlJc w:val="right"/>
      <w:pPr>
        <w:tabs>
          <w:tab w:val="num" w:pos="4320"/>
        </w:tabs>
        <w:ind w:left="4320" w:hanging="180"/>
      </w:pPr>
    </w:lvl>
    <w:lvl w:ilvl="6" w:tplc="7430B5C6">
      <w:start w:val="1"/>
      <w:numFmt w:val="decimal"/>
      <w:lvlText w:val="%7."/>
      <w:lvlJc w:val="left"/>
      <w:pPr>
        <w:tabs>
          <w:tab w:val="num" w:pos="5040"/>
        </w:tabs>
        <w:ind w:left="5040" w:hanging="360"/>
      </w:pPr>
    </w:lvl>
    <w:lvl w:ilvl="7" w:tplc="2612C4C8">
      <w:start w:val="1"/>
      <w:numFmt w:val="lowerLetter"/>
      <w:lvlText w:val="%8."/>
      <w:lvlJc w:val="left"/>
      <w:pPr>
        <w:tabs>
          <w:tab w:val="num" w:pos="5760"/>
        </w:tabs>
        <w:ind w:left="5760" w:hanging="360"/>
      </w:pPr>
    </w:lvl>
    <w:lvl w:ilvl="8" w:tplc="B3540D10">
      <w:start w:val="1"/>
      <w:numFmt w:val="lowerRoman"/>
      <w:lvlText w:val="%9."/>
      <w:lvlJc w:val="right"/>
      <w:pPr>
        <w:tabs>
          <w:tab w:val="num" w:pos="6480"/>
        </w:tabs>
        <w:ind w:left="6480" w:hanging="180"/>
      </w:pPr>
    </w:lvl>
  </w:abstractNum>
  <w:abstractNum w:abstractNumId="5" w15:restartNumberingAfterBreak="0">
    <w:nsid w:val="6090460C"/>
    <w:multiLevelType w:val="hybridMultilevel"/>
    <w:tmpl w:val="FC62D6EE"/>
    <w:lvl w:ilvl="0" w:tplc="56E2A6FA">
      <w:start w:val="1"/>
      <w:numFmt w:val="lowerLetter"/>
      <w:lvlText w:val="(%1)"/>
      <w:lvlJc w:val="left"/>
      <w:pPr>
        <w:tabs>
          <w:tab w:val="num" w:pos="720"/>
        </w:tabs>
        <w:ind w:left="720" w:hanging="360"/>
      </w:pPr>
      <w:rPr>
        <w:rFonts w:hint="default"/>
      </w:rPr>
    </w:lvl>
    <w:lvl w:ilvl="1" w:tplc="34E23DEC">
      <w:start w:val="1"/>
      <w:numFmt w:val="lowerLetter"/>
      <w:lvlText w:val="%2."/>
      <w:lvlJc w:val="left"/>
      <w:pPr>
        <w:tabs>
          <w:tab w:val="num" w:pos="1440"/>
        </w:tabs>
        <w:ind w:left="1440" w:hanging="360"/>
      </w:pPr>
    </w:lvl>
    <w:lvl w:ilvl="2" w:tplc="DA627ABC">
      <w:start w:val="1"/>
      <w:numFmt w:val="lowerRoman"/>
      <w:lvlText w:val="%3."/>
      <w:lvlJc w:val="right"/>
      <w:pPr>
        <w:tabs>
          <w:tab w:val="num" w:pos="2160"/>
        </w:tabs>
        <w:ind w:left="2160" w:hanging="180"/>
      </w:pPr>
    </w:lvl>
    <w:lvl w:ilvl="3" w:tplc="FB08F2B2">
      <w:start w:val="1"/>
      <w:numFmt w:val="decimal"/>
      <w:lvlText w:val="%4."/>
      <w:lvlJc w:val="left"/>
      <w:pPr>
        <w:tabs>
          <w:tab w:val="num" w:pos="2880"/>
        </w:tabs>
        <w:ind w:left="2880" w:hanging="360"/>
      </w:pPr>
    </w:lvl>
    <w:lvl w:ilvl="4" w:tplc="5A9ECAB8">
      <w:start w:val="1"/>
      <w:numFmt w:val="lowerLetter"/>
      <w:lvlText w:val="%5."/>
      <w:lvlJc w:val="left"/>
      <w:pPr>
        <w:tabs>
          <w:tab w:val="num" w:pos="3600"/>
        </w:tabs>
        <w:ind w:left="3600" w:hanging="360"/>
      </w:pPr>
    </w:lvl>
    <w:lvl w:ilvl="5" w:tplc="791CC6B4">
      <w:start w:val="1"/>
      <w:numFmt w:val="lowerRoman"/>
      <w:lvlText w:val="%6."/>
      <w:lvlJc w:val="right"/>
      <w:pPr>
        <w:tabs>
          <w:tab w:val="num" w:pos="4320"/>
        </w:tabs>
        <w:ind w:left="4320" w:hanging="180"/>
      </w:pPr>
    </w:lvl>
    <w:lvl w:ilvl="6" w:tplc="7FEAAAB2">
      <w:start w:val="1"/>
      <w:numFmt w:val="decimal"/>
      <w:lvlText w:val="%7."/>
      <w:lvlJc w:val="left"/>
      <w:pPr>
        <w:tabs>
          <w:tab w:val="num" w:pos="5040"/>
        </w:tabs>
        <w:ind w:left="5040" w:hanging="360"/>
      </w:pPr>
    </w:lvl>
    <w:lvl w:ilvl="7" w:tplc="13B0BB80">
      <w:start w:val="1"/>
      <w:numFmt w:val="lowerLetter"/>
      <w:lvlText w:val="%8."/>
      <w:lvlJc w:val="left"/>
      <w:pPr>
        <w:tabs>
          <w:tab w:val="num" w:pos="5760"/>
        </w:tabs>
        <w:ind w:left="5760" w:hanging="360"/>
      </w:pPr>
    </w:lvl>
    <w:lvl w:ilvl="8" w:tplc="D24431C0">
      <w:start w:val="1"/>
      <w:numFmt w:val="lowerRoman"/>
      <w:lvlText w:val="%9."/>
      <w:lvlJc w:val="right"/>
      <w:pPr>
        <w:tabs>
          <w:tab w:val="num" w:pos="6480"/>
        </w:tabs>
        <w:ind w:left="6480" w:hanging="180"/>
      </w:pPr>
    </w:lvl>
  </w:abstractNum>
  <w:abstractNum w:abstractNumId="6" w15:restartNumberingAfterBreak="0">
    <w:nsid w:val="657A534E"/>
    <w:multiLevelType w:val="hybridMultilevel"/>
    <w:tmpl w:val="90D0DE1C"/>
    <w:lvl w:ilvl="0" w:tplc="05C0D3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6865E73"/>
    <w:multiLevelType w:val="hybridMultilevel"/>
    <w:tmpl w:val="7A2EB7CC"/>
    <w:lvl w:ilvl="0" w:tplc="FEA6AE44">
      <w:start w:val="1"/>
      <w:numFmt w:val="lowerLetter"/>
      <w:lvlText w:val="(%1)"/>
      <w:lvlJc w:val="left"/>
      <w:pPr>
        <w:ind w:left="720" w:hanging="360"/>
      </w:pPr>
      <w:rPr>
        <w:rFonts w:hint="default"/>
      </w:rPr>
    </w:lvl>
    <w:lvl w:ilvl="1" w:tplc="E72E4F8A">
      <w:start w:val="1"/>
      <w:numFmt w:val="lowerLetter"/>
      <w:lvlText w:val="(%2)"/>
      <w:lvlJc w:val="left"/>
      <w:pPr>
        <w:ind w:left="1440" w:hanging="360"/>
      </w:pPr>
      <w:rPr>
        <w:rFonts w:hint="default"/>
      </w:rPr>
    </w:lvl>
    <w:lvl w:ilvl="2" w:tplc="E2522664" w:tentative="1">
      <w:start w:val="1"/>
      <w:numFmt w:val="lowerRoman"/>
      <w:lvlText w:val="%3."/>
      <w:lvlJc w:val="right"/>
      <w:pPr>
        <w:ind w:left="2160" w:hanging="180"/>
      </w:pPr>
    </w:lvl>
    <w:lvl w:ilvl="3" w:tplc="4656A36C" w:tentative="1">
      <w:start w:val="1"/>
      <w:numFmt w:val="decimal"/>
      <w:lvlText w:val="%4."/>
      <w:lvlJc w:val="left"/>
      <w:pPr>
        <w:ind w:left="2880" w:hanging="360"/>
      </w:pPr>
    </w:lvl>
    <w:lvl w:ilvl="4" w:tplc="FE26926C" w:tentative="1">
      <w:start w:val="1"/>
      <w:numFmt w:val="lowerLetter"/>
      <w:lvlText w:val="%5."/>
      <w:lvlJc w:val="left"/>
      <w:pPr>
        <w:ind w:left="3600" w:hanging="360"/>
      </w:pPr>
    </w:lvl>
    <w:lvl w:ilvl="5" w:tplc="C6D091F6" w:tentative="1">
      <w:start w:val="1"/>
      <w:numFmt w:val="lowerRoman"/>
      <w:lvlText w:val="%6."/>
      <w:lvlJc w:val="right"/>
      <w:pPr>
        <w:ind w:left="4320" w:hanging="180"/>
      </w:pPr>
    </w:lvl>
    <w:lvl w:ilvl="6" w:tplc="18D622A6" w:tentative="1">
      <w:start w:val="1"/>
      <w:numFmt w:val="decimal"/>
      <w:lvlText w:val="%7."/>
      <w:lvlJc w:val="left"/>
      <w:pPr>
        <w:ind w:left="5040" w:hanging="360"/>
      </w:pPr>
    </w:lvl>
    <w:lvl w:ilvl="7" w:tplc="B15EF6A2" w:tentative="1">
      <w:start w:val="1"/>
      <w:numFmt w:val="lowerLetter"/>
      <w:lvlText w:val="%8."/>
      <w:lvlJc w:val="left"/>
      <w:pPr>
        <w:ind w:left="5760" w:hanging="360"/>
      </w:pPr>
    </w:lvl>
    <w:lvl w:ilvl="8" w:tplc="435ECEBE" w:tentative="1">
      <w:start w:val="1"/>
      <w:numFmt w:val="lowerRoman"/>
      <w:lvlText w:val="%9."/>
      <w:lvlJc w:val="right"/>
      <w:pPr>
        <w:ind w:left="6480" w:hanging="180"/>
      </w:pPr>
    </w:lvl>
  </w:abstractNum>
  <w:abstractNum w:abstractNumId="8" w15:restartNumberingAfterBreak="0">
    <w:nsid w:val="78425AE4"/>
    <w:multiLevelType w:val="hybridMultilevel"/>
    <w:tmpl w:val="0D7209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E3C08DE"/>
    <w:multiLevelType w:val="hybridMultilevel"/>
    <w:tmpl w:val="90D0DE1C"/>
    <w:lvl w:ilvl="0" w:tplc="05C0D3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0"/>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6A"/>
    <w:rsid w:val="0002244C"/>
    <w:rsid w:val="000334C3"/>
    <w:rsid w:val="00033EB0"/>
    <w:rsid w:val="000B39A2"/>
    <w:rsid w:val="0013682F"/>
    <w:rsid w:val="00157E7E"/>
    <w:rsid w:val="001614BF"/>
    <w:rsid w:val="00182D29"/>
    <w:rsid w:val="001848A4"/>
    <w:rsid w:val="00196C11"/>
    <w:rsid w:val="001C33A5"/>
    <w:rsid w:val="001F3EDE"/>
    <w:rsid w:val="00262EA1"/>
    <w:rsid w:val="0027419B"/>
    <w:rsid w:val="002918A0"/>
    <w:rsid w:val="002C381F"/>
    <w:rsid w:val="002E52BB"/>
    <w:rsid w:val="002E6EC3"/>
    <w:rsid w:val="002E7A30"/>
    <w:rsid w:val="00305E1B"/>
    <w:rsid w:val="00343B6A"/>
    <w:rsid w:val="00373797"/>
    <w:rsid w:val="003B017C"/>
    <w:rsid w:val="003B1FAE"/>
    <w:rsid w:val="003C5833"/>
    <w:rsid w:val="003D198A"/>
    <w:rsid w:val="003D1A52"/>
    <w:rsid w:val="003E2E81"/>
    <w:rsid w:val="003E4C23"/>
    <w:rsid w:val="003E4E32"/>
    <w:rsid w:val="003F61C5"/>
    <w:rsid w:val="00400120"/>
    <w:rsid w:val="00403FE5"/>
    <w:rsid w:val="00447E5F"/>
    <w:rsid w:val="0045159A"/>
    <w:rsid w:val="00461CD4"/>
    <w:rsid w:val="00466259"/>
    <w:rsid w:val="004851C6"/>
    <w:rsid w:val="004878C3"/>
    <w:rsid w:val="004A0AA6"/>
    <w:rsid w:val="004D2511"/>
    <w:rsid w:val="004E5053"/>
    <w:rsid w:val="004F117B"/>
    <w:rsid w:val="004F3D44"/>
    <w:rsid w:val="005416F5"/>
    <w:rsid w:val="00551DF7"/>
    <w:rsid w:val="00555147"/>
    <w:rsid w:val="00564CE4"/>
    <w:rsid w:val="00596787"/>
    <w:rsid w:val="005D0F96"/>
    <w:rsid w:val="005E1148"/>
    <w:rsid w:val="005E5E61"/>
    <w:rsid w:val="005F04CC"/>
    <w:rsid w:val="00605616"/>
    <w:rsid w:val="00606C6A"/>
    <w:rsid w:val="00615F6C"/>
    <w:rsid w:val="006323A0"/>
    <w:rsid w:val="006434BC"/>
    <w:rsid w:val="0065474A"/>
    <w:rsid w:val="0066011E"/>
    <w:rsid w:val="00702DA6"/>
    <w:rsid w:val="00704A20"/>
    <w:rsid w:val="00723FD4"/>
    <w:rsid w:val="007350DB"/>
    <w:rsid w:val="00744517"/>
    <w:rsid w:val="00744E7A"/>
    <w:rsid w:val="00750AB4"/>
    <w:rsid w:val="00760EA7"/>
    <w:rsid w:val="007913DA"/>
    <w:rsid w:val="007E5979"/>
    <w:rsid w:val="007F3CF1"/>
    <w:rsid w:val="007F4F76"/>
    <w:rsid w:val="00806E08"/>
    <w:rsid w:val="00871AA7"/>
    <w:rsid w:val="00895EDC"/>
    <w:rsid w:val="008A1E2B"/>
    <w:rsid w:val="008C3AE6"/>
    <w:rsid w:val="008D74CF"/>
    <w:rsid w:val="008E4EC4"/>
    <w:rsid w:val="008F28ED"/>
    <w:rsid w:val="008F7FB8"/>
    <w:rsid w:val="00922B3B"/>
    <w:rsid w:val="00950F8C"/>
    <w:rsid w:val="00953173"/>
    <w:rsid w:val="0096577C"/>
    <w:rsid w:val="0097523E"/>
    <w:rsid w:val="00983A4E"/>
    <w:rsid w:val="009952C2"/>
    <w:rsid w:val="009B2BDE"/>
    <w:rsid w:val="009E5B6B"/>
    <w:rsid w:val="00A1548C"/>
    <w:rsid w:val="00A271E0"/>
    <w:rsid w:val="00A502DF"/>
    <w:rsid w:val="00A91C65"/>
    <w:rsid w:val="00AA3B90"/>
    <w:rsid w:val="00AB7D74"/>
    <w:rsid w:val="00AC3C47"/>
    <w:rsid w:val="00AE7699"/>
    <w:rsid w:val="00B2109F"/>
    <w:rsid w:val="00B22485"/>
    <w:rsid w:val="00B2610F"/>
    <w:rsid w:val="00B61AC6"/>
    <w:rsid w:val="00B66B62"/>
    <w:rsid w:val="00B85EFA"/>
    <w:rsid w:val="00B87ACC"/>
    <w:rsid w:val="00B9495E"/>
    <w:rsid w:val="00C005A0"/>
    <w:rsid w:val="00C03121"/>
    <w:rsid w:val="00C22039"/>
    <w:rsid w:val="00C24492"/>
    <w:rsid w:val="00C34794"/>
    <w:rsid w:val="00C86E23"/>
    <w:rsid w:val="00CB16F4"/>
    <w:rsid w:val="00CB1C1B"/>
    <w:rsid w:val="00CB2EAC"/>
    <w:rsid w:val="00D5292B"/>
    <w:rsid w:val="00D72D18"/>
    <w:rsid w:val="00D736BF"/>
    <w:rsid w:val="00D8585C"/>
    <w:rsid w:val="00D96594"/>
    <w:rsid w:val="00DA2D4D"/>
    <w:rsid w:val="00DA62C9"/>
    <w:rsid w:val="00DD2BDE"/>
    <w:rsid w:val="00DE0604"/>
    <w:rsid w:val="00DE54B9"/>
    <w:rsid w:val="00E12AF5"/>
    <w:rsid w:val="00E2066C"/>
    <w:rsid w:val="00E4439E"/>
    <w:rsid w:val="00E65DA9"/>
    <w:rsid w:val="00E83907"/>
    <w:rsid w:val="00E85E79"/>
    <w:rsid w:val="00EA5A73"/>
    <w:rsid w:val="00EB4AD4"/>
    <w:rsid w:val="00ED13CF"/>
    <w:rsid w:val="00EE0C35"/>
    <w:rsid w:val="00F219F4"/>
    <w:rsid w:val="00F32E8A"/>
    <w:rsid w:val="00F33B22"/>
    <w:rsid w:val="00F53F6A"/>
    <w:rsid w:val="00F672D9"/>
    <w:rsid w:val="00F74F2E"/>
    <w:rsid w:val="00FE1A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F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B6A"/>
    <w:rPr>
      <w:rFonts w:ascii="Calibri" w:eastAsia="Calibri" w:hAnsi="Calibri" w:cs="Times New Roman"/>
    </w:rPr>
  </w:style>
  <w:style w:type="paragraph" w:styleId="Heading3">
    <w:name w:val="heading 3"/>
    <w:basedOn w:val="Normal"/>
    <w:link w:val="Heading3Char"/>
    <w:qFormat/>
    <w:rsid w:val="00343B6A"/>
    <w:pPr>
      <w:spacing w:before="100" w:beforeAutospacing="1" w:after="100" w:afterAutospacing="1" w:line="240" w:lineRule="auto"/>
      <w:outlineLvl w:val="2"/>
    </w:pPr>
    <w:rPr>
      <w:rFonts w:ascii="Times New Roman" w:eastAsia="Times New Roman" w:hAnsi="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B6A"/>
    <w:rPr>
      <w:rFonts w:ascii="Tahoma" w:hAnsi="Tahoma" w:cs="Tahoma"/>
      <w:sz w:val="16"/>
      <w:szCs w:val="16"/>
    </w:rPr>
  </w:style>
  <w:style w:type="character" w:customStyle="1" w:styleId="Heading3Char">
    <w:name w:val="Heading 3 Char"/>
    <w:basedOn w:val="DefaultParagraphFont"/>
    <w:link w:val="Heading3"/>
    <w:rsid w:val="00343B6A"/>
    <w:rPr>
      <w:rFonts w:ascii="Times New Roman" w:eastAsia="Times New Roman" w:hAnsi="Times New Roman" w:cs="Times New Roman"/>
      <w:b/>
      <w:bCs/>
      <w:sz w:val="27"/>
      <w:szCs w:val="27"/>
      <w:lang w:eastAsia="en-AU"/>
    </w:rPr>
  </w:style>
  <w:style w:type="paragraph" w:styleId="Header">
    <w:name w:val="header"/>
    <w:basedOn w:val="Normal"/>
    <w:link w:val="HeaderChar"/>
    <w:uiPriority w:val="99"/>
    <w:unhideWhenUsed/>
    <w:rsid w:val="00343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B6A"/>
    <w:rPr>
      <w:rFonts w:ascii="Calibri" w:eastAsia="Calibri" w:hAnsi="Calibri" w:cs="Times New Roman"/>
    </w:rPr>
  </w:style>
  <w:style w:type="paragraph" w:styleId="Footer">
    <w:name w:val="footer"/>
    <w:basedOn w:val="Normal"/>
    <w:link w:val="FooterChar"/>
    <w:uiPriority w:val="99"/>
    <w:unhideWhenUsed/>
    <w:rsid w:val="00343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B6A"/>
    <w:rPr>
      <w:rFonts w:ascii="Calibri" w:eastAsia="Calibri" w:hAnsi="Calibri" w:cs="Times New Roman"/>
    </w:rPr>
  </w:style>
  <w:style w:type="paragraph" w:styleId="ListParagraph">
    <w:name w:val="List Paragraph"/>
    <w:basedOn w:val="Normal"/>
    <w:uiPriority w:val="34"/>
    <w:qFormat/>
    <w:rsid w:val="00343B6A"/>
    <w:pPr>
      <w:ind w:left="720"/>
      <w:contextualSpacing/>
    </w:pPr>
  </w:style>
  <w:style w:type="paragraph" w:styleId="FootnoteText">
    <w:name w:val="footnote text"/>
    <w:basedOn w:val="Normal"/>
    <w:link w:val="FootnoteTextChar"/>
    <w:unhideWhenUsed/>
    <w:rsid w:val="00343B6A"/>
    <w:pPr>
      <w:spacing w:after="0" w:line="240" w:lineRule="auto"/>
    </w:pPr>
    <w:rPr>
      <w:sz w:val="20"/>
      <w:szCs w:val="20"/>
    </w:rPr>
  </w:style>
  <w:style w:type="character" w:customStyle="1" w:styleId="FootnoteTextChar">
    <w:name w:val="Footnote Text Char"/>
    <w:basedOn w:val="DefaultParagraphFont"/>
    <w:link w:val="FootnoteText"/>
    <w:rsid w:val="00343B6A"/>
    <w:rPr>
      <w:rFonts w:ascii="Calibri" w:eastAsia="Calibri" w:hAnsi="Calibri" w:cs="Times New Roman"/>
      <w:sz w:val="20"/>
      <w:szCs w:val="20"/>
    </w:rPr>
  </w:style>
  <w:style w:type="character" w:styleId="FootnoteReference">
    <w:name w:val="footnote reference"/>
    <w:basedOn w:val="DefaultParagraphFont"/>
    <w:unhideWhenUsed/>
    <w:rsid w:val="00343B6A"/>
    <w:rPr>
      <w:vertAlign w:val="superscript"/>
    </w:rPr>
  </w:style>
  <w:style w:type="character" w:styleId="CommentReference">
    <w:name w:val="annotation reference"/>
    <w:basedOn w:val="DefaultParagraphFont"/>
    <w:uiPriority w:val="99"/>
    <w:semiHidden/>
    <w:unhideWhenUsed/>
    <w:rsid w:val="00CB1C1B"/>
    <w:rPr>
      <w:sz w:val="16"/>
      <w:szCs w:val="16"/>
    </w:rPr>
  </w:style>
  <w:style w:type="paragraph" w:styleId="CommentText">
    <w:name w:val="annotation text"/>
    <w:basedOn w:val="Normal"/>
    <w:link w:val="CommentTextChar"/>
    <w:uiPriority w:val="99"/>
    <w:unhideWhenUsed/>
    <w:rsid w:val="00CB1C1B"/>
    <w:pPr>
      <w:spacing w:line="240" w:lineRule="auto"/>
    </w:pPr>
    <w:rPr>
      <w:sz w:val="20"/>
      <w:szCs w:val="20"/>
    </w:rPr>
  </w:style>
  <w:style w:type="character" w:customStyle="1" w:styleId="CommentTextChar">
    <w:name w:val="Comment Text Char"/>
    <w:basedOn w:val="DefaultParagraphFont"/>
    <w:link w:val="CommentText"/>
    <w:uiPriority w:val="99"/>
    <w:rsid w:val="00CB1C1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B1C1B"/>
    <w:rPr>
      <w:b/>
      <w:bCs/>
    </w:rPr>
  </w:style>
  <w:style w:type="character" w:customStyle="1" w:styleId="CommentSubjectChar">
    <w:name w:val="Comment Subject Char"/>
    <w:basedOn w:val="CommentTextChar"/>
    <w:link w:val="CommentSubject"/>
    <w:uiPriority w:val="99"/>
    <w:semiHidden/>
    <w:rsid w:val="00CB1C1B"/>
    <w:rPr>
      <w:rFonts w:ascii="Calibri" w:eastAsia="Calibri" w:hAnsi="Calibri" w:cs="Times New Roman"/>
      <w:b/>
      <w:bCs/>
      <w:sz w:val="20"/>
      <w:szCs w:val="20"/>
    </w:rPr>
  </w:style>
  <w:style w:type="character" w:styleId="Hyperlink">
    <w:name w:val="Hyperlink"/>
    <w:basedOn w:val="DefaultParagraphFont"/>
    <w:uiPriority w:val="99"/>
    <w:unhideWhenUsed/>
    <w:rsid w:val="00723FD4"/>
    <w:rPr>
      <w:color w:val="0000FF" w:themeColor="hyperlink"/>
      <w:u w:val="single"/>
    </w:rPr>
  </w:style>
  <w:style w:type="character" w:styleId="FollowedHyperlink">
    <w:name w:val="FollowedHyperlink"/>
    <w:basedOn w:val="DefaultParagraphFont"/>
    <w:uiPriority w:val="99"/>
    <w:semiHidden/>
    <w:unhideWhenUsed/>
    <w:rsid w:val="0027419B"/>
    <w:rPr>
      <w:color w:val="800080" w:themeColor="followedHyperlink"/>
      <w:u w:val="single"/>
    </w:rPr>
  </w:style>
  <w:style w:type="paragraph" w:customStyle="1" w:styleId="subsection">
    <w:name w:val="subsection"/>
    <w:aliases w:val="ss"/>
    <w:basedOn w:val="Normal"/>
    <w:link w:val="subsectionChar"/>
    <w:rsid w:val="0066011E"/>
    <w:pPr>
      <w:tabs>
        <w:tab w:val="right" w:pos="1021"/>
      </w:tabs>
      <w:spacing w:before="180" w:after="0" w:line="240" w:lineRule="auto"/>
      <w:ind w:left="1134" w:hanging="1134"/>
    </w:pPr>
    <w:rPr>
      <w:rFonts w:ascii="Times New Roman" w:eastAsia="Times New Roman" w:hAnsi="Times New Roman"/>
      <w:szCs w:val="20"/>
      <w:lang w:eastAsia="en-AU"/>
    </w:rPr>
  </w:style>
  <w:style w:type="character" w:customStyle="1" w:styleId="subsectionChar">
    <w:name w:val="subsection Char"/>
    <w:aliases w:val="ss Char"/>
    <w:basedOn w:val="DefaultParagraphFont"/>
    <w:link w:val="subsection"/>
    <w:locked/>
    <w:rsid w:val="0066011E"/>
    <w:rPr>
      <w:rFonts w:ascii="Times New Roman" w:eastAsia="Times New Roman" w:hAnsi="Times New Roman" w:cs="Times New Roman"/>
      <w:szCs w:val="20"/>
      <w:lang w:eastAsia="en-AU"/>
    </w:rPr>
  </w:style>
  <w:style w:type="paragraph" w:customStyle="1" w:styleId="acthead5">
    <w:name w:val="acthead5"/>
    <w:basedOn w:val="Normal"/>
    <w:rsid w:val="00B61AC6"/>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harsectno">
    <w:name w:val="charsectno"/>
    <w:basedOn w:val="DefaultParagraphFont"/>
    <w:rsid w:val="00B61AC6"/>
  </w:style>
  <w:style w:type="paragraph" w:customStyle="1" w:styleId="paragraph">
    <w:name w:val="paragraph"/>
    <w:basedOn w:val="Normal"/>
    <w:rsid w:val="00B61AC6"/>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091203">
      <w:bodyDiv w:val="1"/>
      <w:marLeft w:val="0"/>
      <w:marRight w:val="0"/>
      <w:marTop w:val="0"/>
      <w:marBottom w:val="0"/>
      <w:divBdr>
        <w:top w:val="none" w:sz="0" w:space="0" w:color="auto"/>
        <w:left w:val="none" w:sz="0" w:space="0" w:color="auto"/>
        <w:bottom w:val="none" w:sz="0" w:space="0" w:color="auto"/>
        <w:right w:val="none" w:sz="0" w:space="0" w:color="auto"/>
      </w:divBdr>
    </w:div>
    <w:div w:id="1812626351">
      <w:bodyDiv w:val="1"/>
      <w:marLeft w:val="0"/>
      <w:marRight w:val="0"/>
      <w:marTop w:val="0"/>
      <w:marBottom w:val="0"/>
      <w:divBdr>
        <w:top w:val="none" w:sz="0" w:space="0" w:color="auto"/>
        <w:left w:val="none" w:sz="0" w:space="0" w:color="auto"/>
        <w:bottom w:val="none" w:sz="0" w:space="0" w:color="auto"/>
        <w:right w:val="none" w:sz="0" w:space="0" w:color="auto"/>
      </w:divBdr>
    </w:div>
    <w:div w:id="196156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5B92E77-5AFA-4BC0-B97B-3102FB553A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608BB04B8588846AA579DF8773BC863" ma:contentTypeVersion="" ma:contentTypeDescription="PDMS Document Site Content Type" ma:contentTypeScope="" ma:versionID="94e99ba9b4ee7a646018c29402bcf87b">
  <xsd:schema xmlns:xsd="http://www.w3.org/2001/XMLSchema" xmlns:xs="http://www.w3.org/2001/XMLSchema" xmlns:p="http://schemas.microsoft.com/office/2006/metadata/properties" xmlns:ns2="35B92E77-5AFA-4BC0-B97B-3102FB553A6D" targetNamespace="http://schemas.microsoft.com/office/2006/metadata/properties" ma:root="true" ma:fieldsID="9c3f6618356b86c81169988b23bce0d1" ns2:_="">
    <xsd:import namespace="35B92E77-5AFA-4BC0-B97B-3102FB553A6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92E77-5AFA-4BC0-B97B-3102FB553A6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D673B-DD33-4B52-9F6E-70F11305FB6A}">
  <ds:schemaRefs>
    <ds:schemaRef ds:uri="http://schemas.microsoft.com/office/2006/metadata/properties"/>
    <ds:schemaRef ds:uri="http://schemas.microsoft.com/office/infopath/2007/PartnerControls"/>
    <ds:schemaRef ds:uri="35B92E77-5AFA-4BC0-B97B-3102FB553A6D"/>
  </ds:schemaRefs>
</ds:datastoreItem>
</file>

<file path=customXml/itemProps2.xml><?xml version="1.0" encoding="utf-8"?>
<ds:datastoreItem xmlns:ds="http://schemas.openxmlformats.org/officeDocument/2006/customXml" ds:itemID="{202ED5E0-27B7-4F2F-B80F-C3A59264D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92E77-5AFA-4BC0-B97B-3102FB553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D19E9-86A0-4CFA-87EC-128C92E72E1D}">
  <ds:schemaRefs>
    <ds:schemaRef ds:uri="http://schemas.microsoft.com/sharepoint/v3/contenttype/forms"/>
  </ds:schemaRefs>
</ds:datastoreItem>
</file>

<file path=customXml/itemProps4.xml><?xml version="1.0" encoding="utf-8"?>
<ds:datastoreItem xmlns:ds="http://schemas.openxmlformats.org/officeDocument/2006/customXml" ds:itemID="{B532A714-7102-41E8-A049-D3FC0FF8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2022-04-07T03:57:00Z</dcterms:created>
  <dcterms:modified xsi:type="dcterms:W3CDTF">2022-04-07T04:03:00Z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0x010100266966F133664895A6EE3632470D45F500C608BB04B8588846AA579DF8773BC863</vt:lpwstr>
  </property>
</Properties>
</file>