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F7EC1" w14:textId="77777777" w:rsidR="00715914" w:rsidRPr="00631C5B" w:rsidRDefault="00DA186E" w:rsidP="00715914">
      <w:pPr>
        <w:rPr>
          <w:sz w:val="28"/>
        </w:rPr>
      </w:pPr>
      <w:r w:rsidRPr="00631C5B"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631C5B" w:rsidRDefault="00715914" w:rsidP="00715914">
      <w:pPr>
        <w:rPr>
          <w:sz w:val="19"/>
        </w:rPr>
      </w:pPr>
    </w:p>
    <w:p w14:paraId="6D141519" w14:textId="0FAFFB93" w:rsidR="00554826" w:rsidRPr="00631C5B" w:rsidRDefault="008C65D9" w:rsidP="00554826">
      <w:pPr>
        <w:pStyle w:val="ShortT"/>
        <w:rPr>
          <w:color w:val="000000" w:themeColor="text1"/>
        </w:rPr>
      </w:pPr>
      <w:bookmarkStart w:id="0" w:name="_Hlk96495937"/>
      <w:bookmarkStart w:id="1" w:name="_Hlk90577417"/>
      <w:r w:rsidRPr="00631C5B">
        <w:rPr>
          <w:color w:val="000000" w:themeColor="text1"/>
        </w:rPr>
        <w:t>Health Insurance (Section 3C General Medical Services – Transcatheter Aortic Valve Implantation) Amendment (</w:t>
      </w:r>
      <w:r w:rsidR="00894B2B" w:rsidRPr="00631C5B">
        <w:rPr>
          <w:color w:val="000000" w:themeColor="text1"/>
        </w:rPr>
        <w:t>Low Risk Surgical Patients</w:t>
      </w:r>
      <w:r w:rsidR="006C38E6" w:rsidRPr="00631C5B">
        <w:rPr>
          <w:color w:val="000000" w:themeColor="text1"/>
        </w:rPr>
        <w:t xml:space="preserve"> and CEP Device</w:t>
      </w:r>
      <w:r w:rsidRPr="00631C5B">
        <w:rPr>
          <w:color w:val="000000" w:themeColor="text1"/>
        </w:rPr>
        <w:t>) Determination 2022</w:t>
      </w:r>
      <w:bookmarkEnd w:id="0"/>
    </w:p>
    <w:bookmarkEnd w:id="1"/>
    <w:p w14:paraId="367A4A2F" w14:textId="7C45CCE1" w:rsidR="00554826" w:rsidRPr="00631C5B" w:rsidRDefault="00554826" w:rsidP="00554826">
      <w:pPr>
        <w:pStyle w:val="SignCoverPageStart"/>
        <w:spacing w:before="240"/>
        <w:ind w:right="91"/>
        <w:rPr>
          <w:szCs w:val="22"/>
        </w:rPr>
      </w:pPr>
      <w:r w:rsidRPr="00631C5B">
        <w:rPr>
          <w:szCs w:val="22"/>
        </w:rPr>
        <w:t>I</w:t>
      </w:r>
      <w:r w:rsidRPr="00631C5B">
        <w:rPr>
          <w:color w:val="000000" w:themeColor="text1"/>
          <w:szCs w:val="22"/>
        </w:rPr>
        <w:t xml:space="preserve">, </w:t>
      </w:r>
      <w:r w:rsidR="00317DF4" w:rsidRPr="00631C5B">
        <w:rPr>
          <w:color w:val="000000" w:themeColor="text1"/>
          <w:szCs w:val="22"/>
        </w:rPr>
        <w:t>Travis Haslam</w:t>
      </w:r>
      <w:r w:rsidRPr="00631C5B">
        <w:rPr>
          <w:color w:val="000000" w:themeColor="text1"/>
          <w:szCs w:val="22"/>
        </w:rPr>
        <w:t>,</w:t>
      </w:r>
      <w:r w:rsidRPr="00631C5B">
        <w:rPr>
          <w:color w:val="FF0000"/>
          <w:szCs w:val="22"/>
        </w:rPr>
        <w:t xml:space="preserve"> </w:t>
      </w:r>
      <w:r w:rsidR="00FF4480" w:rsidRPr="00631C5B">
        <w:rPr>
          <w:szCs w:val="22"/>
        </w:rPr>
        <w:t xml:space="preserve">delegate of the </w:t>
      </w:r>
      <w:r w:rsidR="009841B4" w:rsidRPr="00631C5B">
        <w:rPr>
          <w:szCs w:val="22"/>
        </w:rPr>
        <w:t>Minister for Health</w:t>
      </w:r>
      <w:r w:rsidR="00FE7510" w:rsidRPr="00631C5B">
        <w:rPr>
          <w:szCs w:val="22"/>
        </w:rPr>
        <w:t xml:space="preserve"> and Aged Care</w:t>
      </w:r>
      <w:r w:rsidR="009841B4" w:rsidRPr="00631C5B">
        <w:rPr>
          <w:szCs w:val="22"/>
        </w:rPr>
        <w:t xml:space="preserve">, </w:t>
      </w:r>
      <w:r w:rsidRPr="00631C5B">
        <w:rPr>
          <w:szCs w:val="22"/>
        </w:rPr>
        <w:t xml:space="preserve">make the following </w:t>
      </w:r>
      <w:r w:rsidR="009841B4" w:rsidRPr="00631C5B">
        <w:rPr>
          <w:szCs w:val="22"/>
        </w:rPr>
        <w:t>Determination</w:t>
      </w:r>
      <w:r w:rsidRPr="00631C5B">
        <w:rPr>
          <w:szCs w:val="22"/>
        </w:rPr>
        <w:t>.</w:t>
      </w:r>
    </w:p>
    <w:p w14:paraId="0C7CB3E3" w14:textId="1ED74604" w:rsidR="00554826" w:rsidRPr="00631C5B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631C5B">
        <w:rPr>
          <w:szCs w:val="22"/>
        </w:rPr>
        <w:t>Dated</w:t>
      </w:r>
      <w:r w:rsidRPr="00631C5B">
        <w:rPr>
          <w:szCs w:val="22"/>
        </w:rPr>
        <w:tab/>
      </w:r>
      <w:r w:rsidR="000D48EF" w:rsidRPr="00631C5B">
        <w:rPr>
          <w:szCs w:val="22"/>
        </w:rPr>
        <w:t>8 April 2022</w:t>
      </w:r>
    </w:p>
    <w:p w14:paraId="270DB188" w14:textId="34F3D240" w:rsidR="00FF4480" w:rsidRPr="00631C5B" w:rsidRDefault="00317DF4" w:rsidP="00FF4480">
      <w:pPr>
        <w:keepNext/>
        <w:tabs>
          <w:tab w:val="left" w:pos="3402"/>
        </w:tabs>
        <w:spacing w:before="1440" w:line="300" w:lineRule="atLeast"/>
        <w:ind w:right="397"/>
        <w:rPr>
          <w:b/>
          <w:color w:val="000000" w:themeColor="text1"/>
          <w:szCs w:val="22"/>
        </w:rPr>
      </w:pPr>
      <w:r w:rsidRPr="00631C5B">
        <w:rPr>
          <w:color w:val="000000" w:themeColor="text1"/>
          <w:szCs w:val="22"/>
        </w:rPr>
        <w:t>Travis Haslam</w:t>
      </w:r>
    </w:p>
    <w:p w14:paraId="53606C5F" w14:textId="7BE10C28" w:rsidR="00FF4480" w:rsidRPr="00631C5B" w:rsidRDefault="00317DF4" w:rsidP="00FF4480">
      <w:pPr>
        <w:pStyle w:val="SignCoverPageEnd"/>
        <w:ind w:right="91"/>
        <w:rPr>
          <w:color w:val="000000" w:themeColor="text1"/>
          <w:sz w:val="22"/>
        </w:rPr>
      </w:pPr>
      <w:r w:rsidRPr="00631C5B">
        <w:rPr>
          <w:color w:val="000000" w:themeColor="text1"/>
          <w:sz w:val="22"/>
        </w:rPr>
        <w:t xml:space="preserve">Acting First </w:t>
      </w:r>
      <w:r w:rsidR="002E71F4" w:rsidRPr="00631C5B">
        <w:rPr>
          <w:color w:val="000000" w:themeColor="text1"/>
          <w:sz w:val="22"/>
        </w:rPr>
        <w:t>Assistant Secretary</w:t>
      </w:r>
    </w:p>
    <w:p w14:paraId="3FC66176" w14:textId="16A7B0B8" w:rsidR="002E71F4" w:rsidRPr="00631C5B" w:rsidRDefault="002E71F4" w:rsidP="002E71F4">
      <w:pPr>
        <w:pStyle w:val="SignCoverPageEnd"/>
        <w:ind w:right="91"/>
        <w:rPr>
          <w:color w:val="000000" w:themeColor="text1"/>
          <w:sz w:val="22"/>
        </w:rPr>
      </w:pPr>
      <w:r w:rsidRPr="00631C5B">
        <w:rPr>
          <w:color w:val="000000" w:themeColor="text1"/>
          <w:sz w:val="22"/>
        </w:rPr>
        <w:t>Medical Benefits Division</w:t>
      </w:r>
      <w:r w:rsidRPr="00631C5B">
        <w:rPr>
          <w:color w:val="000000" w:themeColor="text1"/>
          <w:sz w:val="22"/>
        </w:rPr>
        <w:br/>
        <w:t>Health Resourcing Group</w:t>
      </w:r>
    </w:p>
    <w:p w14:paraId="769BEDDD" w14:textId="77777777" w:rsidR="00FF4480" w:rsidRPr="00631C5B" w:rsidRDefault="00FF4480" w:rsidP="00FF4480">
      <w:pPr>
        <w:pStyle w:val="SignCoverPageEnd"/>
        <w:ind w:right="91"/>
        <w:rPr>
          <w:color w:val="000000" w:themeColor="text1"/>
          <w:sz w:val="22"/>
        </w:rPr>
      </w:pPr>
      <w:r w:rsidRPr="00631C5B">
        <w:rPr>
          <w:color w:val="000000" w:themeColor="text1"/>
          <w:sz w:val="22"/>
        </w:rPr>
        <w:t>Department of Health</w:t>
      </w:r>
    </w:p>
    <w:p w14:paraId="57012222" w14:textId="77777777" w:rsidR="00554826" w:rsidRPr="00631C5B" w:rsidRDefault="00554826" w:rsidP="00554826"/>
    <w:p w14:paraId="61874D17" w14:textId="77777777" w:rsidR="00554826" w:rsidRPr="00631C5B" w:rsidRDefault="00554826" w:rsidP="00554826"/>
    <w:p w14:paraId="1EA543EC" w14:textId="77777777" w:rsidR="00F6696E" w:rsidRPr="00631C5B" w:rsidRDefault="00F6696E" w:rsidP="00F6696E"/>
    <w:p w14:paraId="452B8309" w14:textId="77777777" w:rsidR="00F6696E" w:rsidRPr="00631C5B" w:rsidRDefault="00F6696E" w:rsidP="00F6696E">
      <w:pPr>
        <w:sectPr w:rsidR="00F6696E" w:rsidRPr="00631C5B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4EC2FE" w14:textId="77777777" w:rsidR="007500C8" w:rsidRPr="00631C5B" w:rsidRDefault="00715914" w:rsidP="00715914">
      <w:pPr>
        <w:outlineLvl w:val="0"/>
        <w:rPr>
          <w:sz w:val="36"/>
        </w:rPr>
      </w:pPr>
      <w:r w:rsidRPr="00631C5B">
        <w:rPr>
          <w:sz w:val="36"/>
        </w:rPr>
        <w:lastRenderedPageBreak/>
        <w:t>Contents</w:t>
      </w:r>
    </w:p>
    <w:p w14:paraId="2BA5E23B" w14:textId="14E03096" w:rsidR="00461644" w:rsidRPr="00631C5B" w:rsidRDefault="00B418CB">
      <w:pPr>
        <w:pStyle w:val="TOC5"/>
        <w:rPr>
          <w:rFonts w:eastAsiaTheme="minorEastAsia"/>
          <w:noProof/>
          <w:kern w:val="0"/>
          <w:szCs w:val="18"/>
        </w:rPr>
      </w:pPr>
      <w:r w:rsidRPr="00631C5B">
        <w:rPr>
          <w:szCs w:val="18"/>
        </w:rPr>
        <w:fldChar w:fldCharType="begin"/>
      </w:r>
      <w:r w:rsidRPr="00631C5B">
        <w:rPr>
          <w:szCs w:val="18"/>
        </w:rPr>
        <w:instrText xml:space="preserve"> TOC \o "1-9" </w:instrText>
      </w:r>
      <w:r w:rsidRPr="00631C5B">
        <w:rPr>
          <w:szCs w:val="18"/>
        </w:rPr>
        <w:fldChar w:fldCharType="separate"/>
      </w:r>
      <w:r w:rsidR="00461644" w:rsidRPr="00631C5B">
        <w:rPr>
          <w:noProof/>
          <w:szCs w:val="18"/>
        </w:rPr>
        <w:t>1  Name</w:t>
      </w:r>
      <w:r w:rsidR="00461644" w:rsidRPr="00631C5B">
        <w:rPr>
          <w:noProof/>
          <w:szCs w:val="18"/>
        </w:rPr>
        <w:tab/>
      </w:r>
      <w:r w:rsidR="00461644" w:rsidRPr="00631C5B">
        <w:rPr>
          <w:noProof/>
          <w:szCs w:val="18"/>
        </w:rPr>
        <w:fldChar w:fldCharType="begin"/>
      </w:r>
      <w:r w:rsidR="00461644" w:rsidRPr="00631C5B">
        <w:rPr>
          <w:noProof/>
          <w:szCs w:val="18"/>
        </w:rPr>
        <w:instrText xml:space="preserve"> PAGEREF _Toc96420289 \h </w:instrText>
      </w:r>
      <w:r w:rsidR="00461644" w:rsidRPr="00631C5B">
        <w:rPr>
          <w:noProof/>
          <w:szCs w:val="18"/>
        </w:rPr>
      </w:r>
      <w:r w:rsidR="00461644" w:rsidRPr="00631C5B">
        <w:rPr>
          <w:noProof/>
          <w:szCs w:val="18"/>
        </w:rPr>
        <w:fldChar w:fldCharType="separate"/>
      </w:r>
      <w:r w:rsidR="00461644" w:rsidRPr="00631C5B">
        <w:rPr>
          <w:noProof/>
          <w:szCs w:val="18"/>
        </w:rPr>
        <w:t>1</w:t>
      </w:r>
      <w:r w:rsidR="00461644" w:rsidRPr="00631C5B">
        <w:rPr>
          <w:noProof/>
          <w:szCs w:val="18"/>
        </w:rPr>
        <w:fldChar w:fldCharType="end"/>
      </w:r>
    </w:p>
    <w:p w14:paraId="15E4BB17" w14:textId="68CF210F" w:rsidR="00461644" w:rsidRPr="00631C5B" w:rsidRDefault="00461644">
      <w:pPr>
        <w:pStyle w:val="TOC5"/>
        <w:rPr>
          <w:rFonts w:eastAsiaTheme="minorEastAsia"/>
          <w:noProof/>
          <w:kern w:val="0"/>
          <w:szCs w:val="18"/>
        </w:rPr>
      </w:pPr>
      <w:r w:rsidRPr="00631C5B">
        <w:rPr>
          <w:noProof/>
          <w:szCs w:val="18"/>
        </w:rPr>
        <w:t>2  Commencement</w:t>
      </w:r>
      <w:r w:rsidRPr="00631C5B">
        <w:rPr>
          <w:noProof/>
          <w:szCs w:val="18"/>
        </w:rPr>
        <w:tab/>
      </w:r>
      <w:r w:rsidRPr="00631C5B">
        <w:rPr>
          <w:noProof/>
          <w:szCs w:val="18"/>
        </w:rPr>
        <w:fldChar w:fldCharType="begin"/>
      </w:r>
      <w:r w:rsidRPr="00631C5B">
        <w:rPr>
          <w:noProof/>
          <w:szCs w:val="18"/>
        </w:rPr>
        <w:instrText xml:space="preserve"> PAGEREF _Toc96420290 \h </w:instrText>
      </w:r>
      <w:r w:rsidRPr="00631C5B">
        <w:rPr>
          <w:noProof/>
          <w:szCs w:val="18"/>
        </w:rPr>
      </w:r>
      <w:r w:rsidRPr="00631C5B">
        <w:rPr>
          <w:noProof/>
          <w:szCs w:val="18"/>
        </w:rPr>
        <w:fldChar w:fldCharType="separate"/>
      </w:r>
      <w:r w:rsidRPr="00631C5B">
        <w:rPr>
          <w:noProof/>
          <w:szCs w:val="18"/>
        </w:rPr>
        <w:t>1</w:t>
      </w:r>
      <w:r w:rsidRPr="00631C5B">
        <w:rPr>
          <w:noProof/>
          <w:szCs w:val="18"/>
        </w:rPr>
        <w:fldChar w:fldCharType="end"/>
      </w:r>
    </w:p>
    <w:p w14:paraId="02EA2A0A" w14:textId="18A3FF3E" w:rsidR="00461644" w:rsidRPr="00631C5B" w:rsidRDefault="00461644">
      <w:pPr>
        <w:pStyle w:val="TOC5"/>
        <w:rPr>
          <w:rFonts w:eastAsiaTheme="minorEastAsia"/>
          <w:noProof/>
          <w:kern w:val="0"/>
          <w:szCs w:val="18"/>
        </w:rPr>
      </w:pPr>
      <w:r w:rsidRPr="00631C5B">
        <w:rPr>
          <w:noProof/>
          <w:szCs w:val="18"/>
        </w:rPr>
        <w:t>3  Authority</w:t>
      </w:r>
      <w:r w:rsidRPr="00631C5B">
        <w:rPr>
          <w:noProof/>
          <w:szCs w:val="18"/>
        </w:rPr>
        <w:tab/>
      </w:r>
      <w:r w:rsidRPr="00631C5B">
        <w:rPr>
          <w:noProof/>
          <w:szCs w:val="18"/>
        </w:rPr>
        <w:fldChar w:fldCharType="begin"/>
      </w:r>
      <w:r w:rsidRPr="00631C5B">
        <w:rPr>
          <w:noProof/>
          <w:szCs w:val="18"/>
        </w:rPr>
        <w:instrText xml:space="preserve"> PAGEREF _Toc96420291 \h </w:instrText>
      </w:r>
      <w:r w:rsidRPr="00631C5B">
        <w:rPr>
          <w:noProof/>
          <w:szCs w:val="18"/>
        </w:rPr>
      </w:r>
      <w:r w:rsidRPr="00631C5B">
        <w:rPr>
          <w:noProof/>
          <w:szCs w:val="18"/>
        </w:rPr>
        <w:fldChar w:fldCharType="separate"/>
      </w:r>
      <w:r w:rsidRPr="00631C5B">
        <w:rPr>
          <w:noProof/>
          <w:szCs w:val="18"/>
        </w:rPr>
        <w:t>1</w:t>
      </w:r>
      <w:r w:rsidRPr="00631C5B">
        <w:rPr>
          <w:noProof/>
          <w:szCs w:val="18"/>
        </w:rPr>
        <w:fldChar w:fldCharType="end"/>
      </w:r>
    </w:p>
    <w:p w14:paraId="6C5B7C73" w14:textId="29EAC184" w:rsidR="00461644" w:rsidRPr="00631C5B" w:rsidRDefault="00461644">
      <w:pPr>
        <w:pStyle w:val="TOC5"/>
        <w:rPr>
          <w:rFonts w:eastAsiaTheme="minorEastAsia"/>
          <w:noProof/>
          <w:kern w:val="0"/>
          <w:szCs w:val="18"/>
        </w:rPr>
      </w:pPr>
      <w:r w:rsidRPr="00631C5B">
        <w:rPr>
          <w:noProof/>
          <w:szCs w:val="18"/>
        </w:rPr>
        <w:t>4  Schedules</w:t>
      </w:r>
      <w:r w:rsidRPr="00631C5B">
        <w:rPr>
          <w:noProof/>
          <w:szCs w:val="18"/>
        </w:rPr>
        <w:tab/>
      </w:r>
      <w:r w:rsidRPr="00631C5B">
        <w:rPr>
          <w:noProof/>
          <w:szCs w:val="18"/>
        </w:rPr>
        <w:fldChar w:fldCharType="begin"/>
      </w:r>
      <w:r w:rsidRPr="00631C5B">
        <w:rPr>
          <w:noProof/>
          <w:szCs w:val="18"/>
        </w:rPr>
        <w:instrText xml:space="preserve"> PAGEREF _Toc96420292 \h </w:instrText>
      </w:r>
      <w:r w:rsidRPr="00631C5B">
        <w:rPr>
          <w:noProof/>
          <w:szCs w:val="18"/>
        </w:rPr>
      </w:r>
      <w:r w:rsidRPr="00631C5B">
        <w:rPr>
          <w:noProof/>
          <w:szCs w:val="18"/>
        </w:rPr>
        <w:fldChar w:fldCharType="separate"/>
      </w:r>
      <w:r w:rsidRPr="00631C5B">
        <w:rPr>
          <w:noProof/>
          <w:szCs w:val="18"/>
        </w:rPr>
        <w:t>1</w:t>
      </w:r>
      <w:r w:rsidRPr="00631C5B">
        <w:rPr>
          <w:noProof/>
          <w:szCs w:val="18"/>
        </w:rPr>
        <w:fldChar w:fldCharType="end"/>
      </w:r>
    </w:p>
    <w:p w14:paraId="0CC2382D" w14:textId="1F761669" w:rsidR="00461644" w:rsidRPr="00631C5B" w:rsidRDefault="00461644">
      <w:pPr>
        <w:pStyle w:val="TOC5"/>
        <w:rPr>
          <w:rFonts w:eastAsiaTheme="minorEastAsia"/>
          <w:noProof/>
          <w:kern w:val="0"/>
          <w:szCs w:val="18"/>
        </w:rPr>
      </w:pPr>
      <w:r w:rsidRPr="00631C5B">
        <w:rPr>
          <w:noProof/>
          <w:szCs w:val="18"/>
        </w:rPr>
        <w:t>Schedule 1— TAVI Amendments</w:t>
      </w:r>
      <w:r w:rsidRPr="00631C5B">
        <w:rPr>
          <w:noProof/>
          <w:szCs w:val="18"/>
        </w:rPr>
        <w:tab/>
      </w:r>
      <w:r w:rsidRPr="00631C5B">
        <w:rPr>
          <w:noProof/>
          <w:szCs w:val="18"/>
        </w:rPr>
        <w:fldChar w:fldCharType="begin"/>
      </w:r>
      <w:r w:rsidRPr="00631C5B">
        <w:rPr>
          <w:noProof/>
          <w:szCs w:val="18"/>
        </w:rPr>
        <w:instrText xml:space="preserve"> PAGEREF _Toc96420293 \h </w:instrText>
      </w:r>
      <w:r w:rsidRPr="00631C5B">
        <w:rPr>
          <w:noProof/>
          <w:szCs w:val="18"/>
        </w:rPr>
      </w:r>
      <w:r w:rsidRPr="00631C5B">
        <w:rPr>
          <w:noProof/>
          <w:szCs w:val="18"/>
        </w:rPr>
        <w:fldChar w:fldCharType="separate"/>
      </w:r>
      <w:r w:rsidRPr="00631C5B">
        <w:rPr>
          <w:noProof/>
          <w:szCs w:val="18"/>
        </w:rPr>
        <w:t>2</w:t>
      </w:r>
      <w:r w:rsidRPr="00631C5B">
        <w:rPr>
          <w:noProof/>
          <w:szCs w:val="18"/>
        </w:rPr>
        <w:fldChar w:fldCharType="end"/>
      </w:r>
    </w:p>
    <w:p w14:paraId="2494364F" w14:textId="11F1CC39" w:rsidR="00F6696E" w:rsidRPr="00631C5B" w:rsidRDefault="00B418CB" w:rsidP="00F6696E">
      <w:pPr>
        <w:outlineLvl w:val="0"/>
        <w:rPr>
          <w:rFonts w:cs="Times New Roman"/>
          <w:sz w:val="18"/>
          <w:szCs w:val="18"/>
        </w:rPr>
      </w:pPr>
      <w:r w:rsidRPr="00631C5B">
        <w:rPr>
          <w:rFonts w:cs="Times New Roman"/>
          <w:sz w:val="18"/>
          <w:szCs w:val="18"/>
        </w:rPr>
        <w:fldChar w:fldCharType="end"/>
      </w:r>
    </w:p>
    <w:p w14:paraId="64F43A28" w14:textId="77777777" w:rsidR="00F6696E" w:rsidRPr="00631C5B" w:rsidRDefault="00F6696E" w:rsidP="00F6696E">
      <w:pPr>
        <w:outlineLvl w:val="0"/>
        <w:rPr>
          <w:sz w:val="20"/>
        </w:rPr>
      </w:pPr>
    </w:p>
    <w:p w14:paraId="0867F8FC" w14:textId="77777777" w:rsidR="00F6696E" w:rsidRPr="00631C5B" w:rsidRDefault="00F6696E" w:rsidP="00F6696E">
      <w:pPr>
        <w:sectPr w:rsidR="00F6696E" w:rsidRPr="00631C5B" w:rsidSect="000E05F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C796F8" w14:textId="77777777" w:rsidR="00554826" w:rsidRPr="00631C5B" w:rsidRDefault="00554826" w:rsidP="00554826">
      <w:pPr>
        <w:pStyle w:val="ActHead5"/>
      </w:pPr>
      <w:bookmarkStart w:id="2" w:name="_Toc96420289"/>
      <w:proofErr w:type="gramStart"/>
      <w:r w:rsidRPr="00631C5B">
        <w:lastRenderedPageBreak/>
        <w:t>1  Name</w:t>
      </w:r>
      <w:bookmarkEnd w:id="2"/>
      <w:proofErr w:type="gramEnd"/>
    </w:p>
    <w:p w14:paraId="5EF75D24" w14:textId="1C404E3E" w:rsidR="00554826" w:rsidRPr="00631C5B" w:rsidRDefault="00554826" w:rsidP="00EC58A1">
      <w:pPr>
        <w:pStyle w:val="subsection"/>
        <w:ind w:left="709" w:hanging="709"/>
        <w:rPr>
          <w:b/>
          <w:color w:val="FF0000"/>
        </w:rPr>
      </w:pPr>
      <w:r w:rsidRPr="00631C5B">
        <w:rPr>
          <w:color w:val="000000" w:themeColor="text1"/>
        </w:rPr>
        <w:tab/>
      </w:r>
      <w:r w:rsidRPr="00631C5B">
        <w:rPr>
          <w:color w:val="000000" w:themeColor="text1"/>
        </w:rPr>
        <w:tab/>
        <w:t>This instrument is the</w:t>
      </w:r>
      <w:bookmarkStart w:id="3" w:name="BKCheck15B_3"/>
      <w:bookmarkEnd w:id="3"/>
      <w:r w:rsidR="008A202E" w:rsidRPr="00631C5B">
        <w:rPr>
          <w:color w:val="000000"/>
        </w:rPr>
        <w:t xml:space="preserve"> </w:t>
      </w:r>
      <w:r w:rsidR="006C38E6" w:rsidRPr="00631C5B">
        <w:rPr>
          <w:i/>
          <w:iCs/>
          <w:color w:val="000000" w:themeColor="text1"/>
        </w:rPr>
        <w:t>Health Insurance (Section 3C General Medical Services – Transcatheter Aortic Valve Implantation) Amendment (Low Risk Surgical Patients and CEP Device) Determination 2022</w:t>
      </w:r>
      <w:r w:rsidR="008A202E" w:rsidRPr="00631C5B">
        <w:rPr>
          <w:i/>
          <w:iCs/>
          <w:color w:val="000000"/>
        </w:rPr>
        <w:t>.</w:t>
      </w:r>
    </w:p>
    <w:p w14:paraId="52BD1EFF" w14:textId="77777777" w:rsidR="00554826" w:rsidRPr="00631C5B" w:rsidRDefault="00554826" w:rsidP="00554826">
      <w:pPr>
        <w:pStyle w:val="ActHead5"/>
      </w:pPr>
      <w:bookmarkStart w:id="4" w:name="_Toc96420290"/>
      <w:proofErr w:type="gramStart"/>
      <w:r w:rsidRPr="00631C5B">
        <w:t>2  Commencement</w:t>
      </w:r>
      <w:bookmarkEnd w:id="4"/>
      <w:proofErr w:type="gramEnd"/>
    </w:p>
    <w:p w14:paraId="3C5AEC36" w14:textId="77777777" w:rsidR="004940C4" w:rsidRPr="00631C5B" w:rsidRDefault="004940C4" w:rsidP="004940C4">
      <w:pPr>
        <w:pStyle w:val="subsection"/>
        <w:tabs>
          <w:tab w:val="left" w:pos="709"/>
        </w:tabs>
        <w:ind w:left="709" w:hanging="709"/>
      </w:pPr>
      <w:r w:rsidRPr="00631C5B">
        <w:t>(1)</w:t>
      </w:r>
      <w:r w:rsidRPr="00631C5B">
        <w:tab/>
      </w:r>
      <w:r w:rsidRPr="00631C5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631C5B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4940C4" w:rsidRPr="00631C5B" w14:paraId="2F3A7035" w14:textId="77777777" w:rsidTr="00911CA1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631C5B" w:rsidRDefault="004940C4" w:rsidP="00911CA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31C5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940C4" w:rsidRPr="00631C5B" w14:paraId="7B1560D1" w14:textId="77777777" w:rsidTr="00911CA1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631C5B" w:rsidRDefault="004940C4" w:rsidP="00911CA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31C5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631C5B" w:rsidRDefault="004940C4" w:rsidP="00911CA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31C5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631C5B" w:rsidRDefault="004940C4" w:rsidP="00911CA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31C5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940C4" w:rsidRPr="00631C5B" w14:paraId="4A74A92F" w14:textId="77777777" w:rsidTr="00911CA1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631C5B" w:rsidRDefault="004940C4" w:rsidP="00911CA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31C5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631C5B" w:rsidRDefault="004940C4" w:rsidP="00911CA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31C5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631C5B" w:rsidRDefault="004940C4" w:rsidP="00911CA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631C5B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4940C4" w:rsidRPr="00631C5B" w14:paraId="1F08CFDD" w14:textId="77777777" w:rsidTr="003E73C0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8B5CA4" w14:textId="77777777" w:rsidR="004940C4" w:rsidRPr="00631C5B" w:rsidRDefault="004940C4" w:rsidP="00911CA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</w:pPr>
            <w:r w:rsidRPr="00631C5B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6E075A" w14:textId="70FBCF7B" w:rsidR="004940C4" w:rsidRPr="00631C5B" w:rsidRDefault="00EC58A1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</w:pPr>
            <w:r w:rsidRPr="00631C5B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 xml:space="preserve">1 </w:t>
            </w:r>
            <w:r w:rsidR="003671EA" w:rsidRPr="00631C5B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>July</w:t>
            </w:r>
            <w:r w:rsidRPr="00631C5B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 xml:space="preserve"> 2022</w:t>
            </w:r>
            <w:r w:rsidR="000A0FDF" w:rsidRPr="00631C5B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1CC044" w14:textId="77777777" w:rsidR="004940C4" w:rsidRPr="00631C5B" w:rsidRDefault="004940C4" w:rsidP="00911CA1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631C5B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 w:rsidRPr="00631C5B">
        <w:rPr>
          <w:sz w:val="18"/>
          <w:szCs w:val="18"/>
        </w:rPr>
        <w:tab/>
        <w:t>Note:</w:t>
      </w:r>
      <w:r w:rsidRPr="00631C5B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631C5B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 w:rsidRPr="00631C5B">
        <w:t>(2)</w:t>
      </w:r>
      <w:r w:rsidRPr="00631C5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631C5B" w:rsidRDefault="00554826" w:rsidP="00554826">
      <w:pPr>
        <w:pStyle w:val="ActHead5"/>
      </w:pPr>
      <w:bookmarkStart w:id="5" w:name="_Toc96420291"/>
      <w:proofErr w:type="gramStart"/>
      <w:r w:rsidRPr="00631C5B">
        <w:t>3  Authority</w:t>
      </w:r>
      <w:bookmarkEnd w:id="5"/>
      <w:proofErr w:type="gramEnd"/>
    </w:p>
    <w:p w14:paraId="4CD49361" w14:textId="77777777" w:rsidR="00554826" w:rsidRPr="00631C5B" w:rsidRDefault="00554826" w:rsidP="004940C4">
      <w:pPr>
        <w:pStyle w:val="subsection"/>
        <w:tabs>
          <w:tab w:val="clear" w:pos="1021"/>
        </w:tabs>
        <w:ind w:left="709" w:hanging="709"/>
      </w:pPr>
      <w:r w:rsidRPr="00631C5B">
        <w:tab/>
      </w:r>
      <w:r w:rsidRPr="00631C5B">
        <w:tab/>
        <w:t xml:space="preserve">This instrument is </w:t>
      </w:r>
      <w:r w:rsidR="00FF4480" w:rsidRPr="00631C5B">
        <w:t>made under subsection 3</w:t>
      </w:r>
      <w:proofErr w:type="gramStart"/>
      <w:r w:rsidR="00FF4480" w:rsidRPr="00631C5B">
        <w:t>C(</w:t>
      </w:r>
      <w:proofErr w:type="gramEnd"/>
      <w:r w:rsidR="00FF4480" w:rsidRPr="00631C5B">
        <w:t xml:space="preserve">1) of the </w:t>
      </w:r>
      <w:r w:rsidR="00FF4480" w:rsidRPr="00631C5B">
        <w:rPr>
          <w:i/>
        </w:rPr>
        <w:t>Health Insurance Act 1973</w:t>
      </w:r>
      <w:r w:rsidR="009D4587" w:rsidRPr="00631C5B">
        <w:t>.</w:t>
      </w:r>
    </w:p>
    <w:p w14:paraId="1226C895" w14:textId="77777777" w:rsidR="00554826" w:rsidRPr="00631C5B" w:rsidRDefault="00495AF2" w:rsidP="00554826">
      <w:pPr>
        <w:pStyle w:val="ActHead5"/>
      </w:pPr>
      <w:bookmarkStart w:id="6" w:name="_Toc454781205"/>
      <w:bookmarkStart w:id="7" w:name="_Toc96420292"/>
      <w:proofErr w:type="gramStart"/>
      <w:r w:rsidRPr="00631C5B">
        <w:t>4</w:t>
      </w:r>
      <w:r w:rsidR="00554826" w:rsidRPr="00631C5B">
        <w:t xml:space="preserve">  Schedules</w:t>
      </w:r>
      <w:bookmarkEnd w:id="6"/>
      <w:bookmarkEnd w:id="7"/>
      <w:proofErr w:type="gramEnd"/>
    </w:p>
    <w:p w14:paraId="74E9B585" w14:textId="77777777" w:rsidR="00554826" w:rsidRPr="00631C5B" w:rsidRDefault="00554826" w:rsidP="004940C4">
      <w:pPr>
        <w:pStyle w:val="subsection"/>
        <w:tabs>
          <w:tab w:val="clear" w:pos="1021"/>
        </w:tabs>
        <w:ind w:left="709" w:hanging="709"/>
      </w:pPr>
      <w:r w:rsidRPr="00631C5B">
        <w:tab/>
      </w:r>
      <w:r w:rsidRPr="00631C5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4E5B4C4" w14:textId="77777777" w:rsidR="00554826" w:rsidRPr="00631C5B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631C5B">
        <w:br w:type="page"/>
      </w:r>
    </w:p>
    <w:p w14:paraId="3B548A03" w14:textId="57968EE1" w:rsidR="00FF4480" w:rsidRPr="00631C5B" w:rsidRDefault="004E1307" w:rsidP="00DB4767">
      <w:pPr>
        <w:pStyle w:val="ActHead5"/>
        <w:rPr>
          <w:rFonts w:ascii="Arial" w:hAnsi="Arial" w:cs="Arial"/>
        </w:rPr>
      </w:pPr>
      <w:bookmarkStart w:id="8" w:name="_Toc96420293"/>
      <w:r w:rsidRPr="00631C5B">
        <w:rPr>
          <w:rFonts w:ascii="Arial" w:hAnsi="Arial" w:cs="Arial"/>
        </w:rPr>
        <w:lastRenderedPageBreak/>
        <w:t xml:space="preserve">Schedule </w:t>
      </w:r>
      <w:r w:rsidR="00D6537E" w:rsidRPr="00631C5B">
        <w:rPr>
          <w:rFonts w:ascii="Arial" w:hAnsi="Arial" w:cs="Arial"/>
        </w:rPr>
        <w:t>1—</w:t>
      </w:r>
      <w:r w:rsidR="009D4587" w:rsidRPr="00631C5B">
        <w:rPr>
          <w:rFonts w:ascii="Arial" w:hAnsi="Arial" w:cs="Arial"/>
        </w:rPr>
        <w:t xml:space="preserve"> </w:t>
      </w:r>
      <w:r w:rsidR="003671EA" w:rsidRPr="00631C5B">
        <w:rPr>
          <w:rFonts w:ascii="Arial" w:hAnsi="Arial" w:cs="Arial"/>
        </w:rPr>
        <w:t xml:space="preserve">TAVI </w:t>
      </w:r>
      <w:r w:rsidR="009D4587" w:rsidRPr="00631C5B">
        <w:rPr>
          <w:rFonts w:ascii="Arial" w:hAnsi="Arial" w:cs="Arial"/>
        </w:rPr>
        <w:t>Amendments</w:t>
      </w:r>
      <w:bookmarkEnd w:id="8"/>
      <w:r w:rsidR="00B763B0" w:rsidRPr="00631C5B">
        <w:rPr>
          <w:rFonts w:ascii="Arial" w:hAnsi="Arial" w:cs="Arial"/>
        </w:rPr>
        <w:t xml:space="preserve"> </w:t>
      </w:r>
    </w:p>
    <w:p w14:paraId="353F6185" w14:textId="7810C048" w:rsidR="00B763B0" w:rsidRPr="00631C5B" w:rsidRDefault="00EC58A1" w:rsidP="00DB4767">
      <w:pPr>
        <w:pStyle w:val="ItemHead"/>
        <w:ind w:left="0" w:firstLine="0"/>
        <w:rPr>
          <w:bCs/>
          <w:i/>
          <w:iCs/>
          <w:color w:val="000000" w:themeColor="text1"/>
          <w:lang w:eastAsia="en-US"/>
        </w:rPr>
      </w:pPr>
      <w:bookmarkStart w:id="9" w:name="_Hlk96499265"/>
      <w:r w:rsidRPr="00631C5B">
        <w:rPr>
          <w:bCs/>
          <w:i/>
          <w:iCs/>
          <w:color w:val="000000" w:themeColor="text1"/>
          <w:lang w:eastAsia="en-US"/>
        </w:rPr>
        <w:t>Health Insurance (Section 3C General Medical Services – Transcatheter Aortic Valve Implantation) Determination 2018</w:t>
      </w:r>
      <w:bookmarkEnd w:id="9"/>
    </w:p>
    <w:p w14:paraId="7F20E69D" w14:textId="044BA2EA" w:rsidR="008E25E8" w:rsidRPr="00631C5B" w:rsidRDefault="008E25E8" w:rsidP="00072302">
      <w:pPr>
        <w:pStyle w:val="itemhead0"/>
        <w:numPr>
          <w:ilvl w:val="0"/>
          <w:numId w:val="26"/>
        </w:numPr>
        <w:shd w:val="clear" w:color="auto" w:fill="FFFFFF"/>
        <w:spacing w:before="220" w:beforeAutospacing="0" w:after="0" w:afterAutospacing="0"/>
        <w:rPr>
          <w:rFonts w:ascii="Arial" w:hAnsi="Arial" w:cs="Arial"/>
          <w:b/>
          <w:bCs/>
          <w:color w:val="000000"/>
        </w:rPr>
      </w:pPr>
      <w:r w:rsidRPr="00631C5B">
        <w:rPr>
          <w:rFonts w:ascii="Arial" w:hAnsi="Arial" w:cs="Arial"/>
          <w:b/>
          <w:bCs/>
          <w:color w:val="000000"/>
        </w:rPr>
        <w:t>S</w:t>
      </w:r>
      <w:r w:rsidR="002A27EE" w:rsidRPr="00631C5B">
        <w:rPr>
          <w:rFonts w:ascii="Arial" w:hAnsi="Arial" w:cs="Arial"/>
          <w:b/>
          <w:bCs/>
          <w:color w:val="000000"/>
        </w:rPr>
        <w:t>ubs</w:t>
      </w:r>
      <w:r w:rsidRPr="00631C5B">
        <w:rPr>
          <w:rFonts w:ascii="Arial" w:hAnsi="Arial" w:cs="Arial"/>
          <w:b/>
          <w:bCs/>
          <w:color w:val="000000"/>
        </w:rPr>
        <w:t>ection 5</w:t>
      </w:r>
      <w:r w:rsidR="002A27EE" w:rsidRPr="00631C5B">
        <w:rPr>
          <w:rFonts w:ascii="Arial" w:hAnsi="Arial" w:cs="Arial"/>
          <w:b/>
          <w:bCs/>
          <w:color w:val="000000"/>
        </w:rPr>
        <w:t>(1)</w:t>
      </w:r>
      <w:r w:rsidRPr="00631C5B">
        <w:rPr>
          <w:rFonts w:ascii="Arial" w:hAnsi="Arial" w:cs="Arial"/>
          <w:b/>
          <w:bCs/>
          <w:color w:val="000000"/>
        </w:rPr>
        <w:t xml:space="preserve"> (definition of </w:t>
      </w:r>
      <w:r w:rsidRPr="00631C5B">
        <w:rPr>
          <w:rFonts w:ascii="Arial" w:hAnsi="Arial" w:cs="Arial"/>
          <w:b/>
          <w:bCs/>
          <w:i/>
          <w:iCs/>
          <w:color w:val="000000"/>
        </w:rPr>
        <w:t>TAVI Case Conference </w:t>
      </w:r>
      <w:r w:rsidRPr="00631C5B">
        <w:rPr>
          <w:rFonts w:ascii="Arial" w:hAnsi="Arial" w:cs="Arial"/>
          <w:b/>
          <w:bCs/>
          <w:color w:val="000000"/>
        </w:rPr>
        <w:t>and</w:t>
      </w:r>
      <w:r w:rsidRPr="00631C5B">
        <w:rPr>
          <w:rFonts w:ascii="Arial" w:hAnsi="Arial" w:cs="Arial"/>
          <w:b/>
          <w:bCs/>
          <w:i/>
          <w:iCs/>
          <w:color w:val="000000"/>
        </w:rPr>
        <w:t> TAVI Hospital</w:t>
      </w:r>
      <w:r w:rsidRPr="00631C5B">
        <w:rPr>
          <w:rFonts w:ascii="Arial" w:hAnsi="Arial" w:cs="Arial"/>
          <w:b/>
          <w:bCs/>
          <w:color w:val="000000"/>
        </w:rPr>
        <w:t>)</w:t>
      </w:r>
    </w:p>
    <w:p w14:paraId="2C3C0102" w14:textId="220BE8BD" w:rsidR="008E25E8" w:rsidRPr="00631C5B" w:rsidRDefault="008E25E8" w:rsidP="008E25E8">
      <w:pPr>
        <w:pStyle w:val="item0"/>
        <w:shd w:val="clear" w:color="auto" w:fill="FFFFFF"/>
        <w:spacing w:before="80" w:beforeAutospacing="0" w:after="0" w:afterAutospacing="0"/>
        <w:ind w:left="709"/>
        <w:rPr>
          <w:color w:val="000000"/>
          <w:sz w:val="22"/>
          <w:szCs w:val="22"/>
        </w:rPr>
      </w:pPr>
      <w:r w:rsidRPr="00631C5B">
        <w:rPr>
          <w:color w:val="000000"/>
          <w:sz w:val="22"/>
          <w:szCs w:val="22"/>
        </w:rPr>
        <w:t>Omit “items 38495 and 38514” wherever occurring, substitute “item 384</w:t>
      </w:r>
      <w:r w:rsidR="00745F80" w:rsidRPr="00631C5B">
        <w:rPr>
          <w:color w:val="000000"/>
          <w:sz w:val="22"/>
          <w:szCs w:val="22"/>
        </w:rPr>
        <w:t>9</w:t>
      </w:r>
      <w:r w:rsidRPr="00631C5B">
        <w:rPr>
          <w:color w:val="000000"/>
          <w:sz w:val="22"/>
          <w:szCs w:val="22"/>
        </w:rPr>
        <w:t xml:space="preserve">5, 38514 </w:t>
      </w:r>
      <w:r w:rsidR="00072302" w:rsidRPr="00631C5B">
        <w:rPr>
          <w:color w:val="000000"/>
          <w:sz w:val="22"/>
          <w:szCs w:val="22"/>
        </w:rPr>
        <w:t>or</w:t>
      </w:r>
      <w:r w:rsidRPr="00631C5B">
        <w:rPr>
          <w:color w:val="000000"/>
          <w:sz w:val="22"/>
          <w:szCs w:val="22"/>
        </w:rPr>
        <w:t xml:space="preserve"> 38522”.</w:t>
      </w:r>
    </w:p>
    <w:p w14:paraId="14FF79D4" w14:textId="705AE58B" w:rsidR="008E25E8" w:rsidRPr="00631C5B" w:rsidRDefault="008E25E8" w:rsidP="00072302">
      <w:pPr>
        <w:pStyle w:val="itemhead0"/>
        <w:numPr>
          <w:ilvl w:val="0"/>
          <w:numId w:val="26"/>
        </w:numPr>
        <w:shd w:val="clear" w:color="auto" w:fill="FFFFFF"/>
        <w:spacing w:before="220" w:beforeAutospacing="0" w:after="0" w:afterAutospacing="0"/>
        <w:rPr>
          <w:rFonts w:ascii="Arial" w:hAnsi="Arial" w:cs="Arial"/>
          <w:b/>
          <w:bCs/>
          <w:color w:val="000000"/>
        </w:rPr>
      </w:pPr>
      <w:r w:rsidRPr="00631C5B">
        <w:rPr>
          <w:rFonts w:ascii="Arial" w:hAnsi="Arial" w:cs="Arial"/>
          <w:b/>
          <w:bCs/>
          <w:color w:val="000000"/>
        </w:rPr>
        <w:t>S</w:t>
      </w:r>
      <w:r w:rsidR="002A27EE" w:rsidRPr="00631C5B">
        <w:rPr>
          <w:rFonts w:ascii="Arial" w:hAnsi="Arial" w:cs="Arial"/>
          <w:b/>
          <w:bCs/>
          <w:color w:val="000000"/>
        </w:rPr>
        <w:t>ubs</w:t>
      </w:r>
      <w:r w:rsidRPr="00631C5B">
        <w:rPr>
          <w:rFonts w:ascii="Arial" w:hAnsi="Arial" w:cs="Arial"/>
          <w:b/>
          <w:bCs/>
          <w:color w:val="000000"/>
        </w:rPr>
        <w:t>ection 5</w:t>
      </w:r>
      <w:r w:rsidR="002A27EE" w:rsidRPr="00631C5B">
        <w:rPr>
          <w:rFonts w:ascii="Arial" w:hAnsi="Arial" w:cs="Arial"/>
          <w:b/>
          <w:bCs/>
          <w:color w:val="000000"/>
        </w:rPr>
        <w:t>(1)</w:t>
      </w:r>
      <w:r w:rsidRPr="00631C5B">
        <w:rPr>
          <w:rFonts w:ascii="Arial" w:hAnsi="Arial" w:cs="Arial"/>
          <w:b/>
          <w:bCs/>
          <w:color w:val="000000"/>
        </w:rPr>
        <w:t xml:space="preserve"> (definition of </w:t>
      </w:r>
      <w:r w:rsidRPr="00631C5B">
        <w:rPr>
          <w:rFonts w:ascii="Arial" w:hAnsi="Arial" w:cs="Arial"/>
          <w:b/>
          <w:bCs/>
          <w:i/>
          <w:iCs/>
          <w:color w:val="000000"/>
        </w:rPr>
        <w:t>TAVI Patient</w:t>
      </w:r>
      <w:r w:rsidRPr="00631C5B">
        <w:rPr>
          <w:rFonts w:ascii="Arial" w:hAnsi="Arial" w:cs="Arial"/>
          <w:b/>
          <w:bCs/>
          <w:color w:val="000000"/>
        </w:rPr>
        <w:t>)</w:t>
      </w:r>
    </w:p>
    <w:p w14:paraId="27F17429" w14:textId="77777777" w:rsidR="008E25E8" w:rsidRPr="00631C5B" w:rsidRDefault="008E25E8" w:rsidP="008E25E8">
      <w:pPr>
        <w:pStyle w:val="item0"/>
        <w:shd w:val="clear" w:color="auto" w:fill="FFFFFF"/>
        <w:spacing w:before="80" w:beforeAutospacing="0" w:after="0" w:afterAutospacing="0"/>
        <w:ind w:left="709"/>
        <w:rPr>
          <w:color w:val="000000"/>
          <w:sz w:val="22"/>
          <w:szCs w:val="22"/>
        </w:rPr>
      </w:pPr>
      <w:r w:rsidRPr="00631C5B">
        <w:rPr>
          <w:color w:val="000000"/>
          <w:sz w:val="22"/>
          <w:szCs w:val="22"/>
        </w:rPr>
        <w:t>Repeal the definition, substitute:</w:t>
      </w:r>
    </w:p>
    <w:p w14:paraId="750220EF" w14:textId="6D6F08AD" w:rsidR="008E25E8" w:rsidRPr="00631C5B" w:rsidRDefault="008E25E8" w:rsidP="008E25E8">
      <w:pPr>
        <w:pStyle w:val="item0"/>
        <w:shd w:val="clear" w:color="auto" w:fill="FFFFFF"/>
        <w:spacing w:before="80" w:beforeAutospacing="0" w:after="0" w:afterAutospacing="0"/>
        <w:ind w:left="709"/>
        <w:rPr>
          <w:color w:val="000000"/>
          <w:sz w:val="22"/>
          <w:szCs w:val="22"/>
        </w:rPr>
      </w:pPr>
      <w:r w:rsidRPr="00631C5B">
        <w:rPr>
          <w:b/>
          <w:bCs/>
          <w:i/>
          <w:iCs/>
          <w:color w:val="000000"/>
          <w:sz w:val="22"/>
          <w:szCs w:val="22"/>
        </w:rPr>
        <w:t>TAVI Patient </w:t>
      </w:r>
      <w:r w:rsidRPr="00631C5B">
        <w:rPr>
          <w:color w:val="000000"/>
          <w:sz w:val="22"/>
          <w:szCs w:val="22"/>
        </w:rPr>
        <w:t>means a patient who, </w:t>
      </w:r>
      <w:proofErr w:type="gramStart"/>
      <w:r w:rsidRPr="00631C5B">
        <w:rPr>
          <w:color w:val="000000"/>
          <w:sz w:val="22"/>
          <w:szCs w:val="22"/>
        </w:rPr>
        <w:t>as a result of</w:t>
      </w:r>
      <w:proofErr w:type="gramEnd"/>
      <w:r w:rsidRPr="00631C5B">
        <w:rPr>
          <w:color w:val="000000"/>
          <w:sz w:val="22"/>
          <w:szCs w:val="22"/>
        </w:rPr>
        <w:t xml:space="preserve"> a TAVI Case Conference, has been assessed as having a high</w:t>
      </w:r>
      <w:r w:rsidR="00072302" w:rsidRPr="00631C5B">
        <w:rPr>
          <w:color w:val="000000"/>
          <w:sz w:val="22"/>
          <w:szCs w:val="22"/>
        </w:rPr>
        <w:t>,</w:t>
      </w:r>
      <w:r w:rsidRPr="00631C5B">
        <w:rPr>
          <w:color w:val="000000"/>
          <w:sz w:val="22"/>
          <w:szCs w:val="22"/>
        </w:rPr>
        <w:t xml:space="preserve"> intermediate</w:t>
      </w:r>
      <w:r w:rsidR="00072302" w:rsidRPr="00631C5B">
        <w:rPr>
          <w:color w:val="000000"/>
          <w:sz w:val="22"/>
          <w:szCs w:val="22"/>
        </w:rPr>
        <w:t xml:space="preserve"> or low</w:t>
      </w:r>
      <w:r w:rsidRPr="00631C5B">
        <w:rPr>
          <w:color w:val="000000"/>
          <w:sz w:val="22"/>
          <w:szCs w:val="22"/>
        </w:rPr>
        <w:t xml:space="preserve"> risk for open surgical aortic valve replacement and is recommended as being suitable to receive the service described in item 38495, 38514 or 38522.</w:t>
      </w:r>
    </w:p>
    <w:p w14:paraId="6DB65B12" w14:textId="2E61F4A9" w:rsidR="008E25E8" w:rsidRPr="00631C5B" w:rsidRDefault="008E25E8" w:rsidP="00072302">
      <w:pPr>
        <w:pStyle w:val="itemhead0"/>
        <w:numPr>
          <w:ilvl w:val="0"/>
          <w:numId w:val="26"/>
        </w:numPr>
        <w:shd w:val="clear" w:color="auto" w:fill="FFFFFF"/>
        <w:spacing w:before="220" w:beforeAutospacing="0" w:after="0" w:afterAutospacing="0"/>
        <w:rPr>
          <w:rFonts w:ascii="Arial" w:hAnsi="Arial" w:cs="Arial"/>
          <w:b/>
          <w:bCs/>
          <w:color w:val="000000"/>
        </w:rPr>
      </w:pPr>
      <w:r w:rsidRPr="00631C5B">
        <w:rPr>
          <w:rFonts w:ascii="Arial" w:hAnsi="Arial" w:cs="Arial"/>
          <w:b/>
          <w:bCs/>
          <w:color w:val="000000"/>
        </w:rPr>
        <w:t>Section 7 (heading)</w:t>
      </w:r>
    </w:p>
    <w:p w14:paraId="07D0B143" w14:textId="77777777" w:rsidR="008E25E8" w:rsidRPr="00631C5B" w:rsidRDefault="008E25E8" w:rsidP="008E25E8">
      <w:pPr>
        <w:pStyle w:val="item0"/>
        <w:shd w:val="clear" w:color="auto" w:fill="FFFFFF"/>
        <w:spacing w:before="80" w:beforeAutospacing="0" w:after="0" w:afterAutospacing="0"/>
        <w:ind w:left="709"/>
        <w:rPr>
          <w:color w:val="000000"/>
          <w:sz w:val="22"/>
          <w:szCs w:val="22"/>
        </w:rPr>
      </w:pPr>
      <w:r w:rsidRPr="00631C5B">
        <w:rPr>
          <w:color w:val="000000"/>
          <w:sz w:val="22"/>
          <w:szCs w:val="22"/>
        </w:rPr>
        <w:t>Repeal the heading, substitute:</w:t>
      </w:r>
    </w:p>
    <w:p w14:paraId="6C2D0438" w14:textId="51F96A57" w:rsidR="008E25E8" w:rsidRPr="00631C5B" w:rsidRDefault="008E25E8" w:rsidP="008E25E8">
      <w:pPr>
        <w:pStyle w:val="Heading1"/>
        <w:shd w:val="clear" w:color="auto" w:fill="FFFFFF"/>
        <w:spacing w:before="360" w:line="285" w:lineRule="atLeast"/>
        <w:ind w:left="1559" w:hanging="850"/>
        <w:rPr>
          <w:rFonts w:ascii="Cambria" w:hAnsi="Cambria"/>
          <w:color w:val="365F91"/>
        </w:rPr>
      </w:pPr>
      <w:bookmarkStart w:id="10" w:name="_Toc15294509"/>
      <w:r w:rsidRPr="00631C5B">
        <w:rPr>
          <w:rFonts w:ascii="Arial" w:hAnsi="Arial" w:cs="Arial"/>
          <w:color w:val="000000"/>
          <w:sz w:val="24"/>
          <w:szCs w:val="24"/>
        </w:rPr>
        <w:t>7.         Application of items 38495</w:t>
      </w:r>
      <w:bookmarkEnd w:id="10"/>
      <w:r w:rsidRPr="00631C5B">
        <w:rPr>
          <w:rFonts w:ascii="Arial" w:hAnsi="Arial" w:cs="Arial"/>
          <w:color w:val="000000"/>
          <w:sz w:val="24"/>
          <w:szCs w:val="24"/>
        </w:rPr>
        <w:t>, 38514 and 38522</w:t>
      </w:r>
    </w:p>
    <w:p w14:paraId="1607D0FB" w14:textId="60FCB86C" w:rsidR="008E25E8" w:rsidRPr="00631C5B" w:rsidRDefault="008E25E8" w:rsidP="00072302">
      <w:pPr>
        <w:pStyle w:val="itemhead0"/>
        <w:numPr>
          <w:ilvl w:val="0"/>
          <w:numId w:val="26"/>
        </w:numPr>
        <w:shd w:val="clear" w:color="auto" w:fill="FFFFFF"/>
        <w:spacing w:before="220" w:beforeAutospacing="0" w:after="0" w:afterAutospacing="0"/>
        <w:rPr>
          <w:rFonts w:ascii="Arial" w:hAnsi="Arial" w:cs="Arial"/>
          <w:b/>
          <w:bCs/>
          <w:color w:val="000000"/>
        </w:rPr>
      </w:pPr>
      <w:r w:rsidRPr="00631C5B">
        <w:rPr>
          <w:rFonts w:ascii="Arial" w:hAnsi="Arial" w:cs="Arial"/>
          <w:b/>
          <w:bCs/>
          <w:color w:val="000000"/>
        </w:rPr>
        <w:t>Section 7 (body)</w:t>
      </w:r>
    </w:p>
    <w:p w14:paraId="44E8F1BE" w14:textId="19CFB4DB" w:rsidR="008E25E8" w:rsidRPr="00631C5B" w:rsidRDefault="008E25E8" w:rsidP="008E25E8">
      <w:pPr>
        <w:pStyle w:val="item0"/>
        <w:shd w:val="clear" w:color="auto" w:fill="FFFFFF"/>
        <w:spacing w:before="80" w:beforeAutospacing="0" w:after="0" w:afterAutospacing="0"/>
        <w:ind w:left="709"/>
        <w:rPr>
          <w:color w:val="000000"/>
          <w:sz w:val="22"/>
          <w:szCs w:val="22"/>
        </w:rPr>
      </w:pPr>
      <w:r w:rsidRPr="00631C5B">
        <w:rPr>
          <w:color w:val="000000"/>
          <w:sz w:val="22"/>
          <w:szCs w:val="22"/>
        </w:rPr>
        <w:t>Omit “items 38495 and 38514”, substitute “item 38495, 38514 or 38522”.</w:t>
      </w:r>
    </w:p>
    <w:p w14:paraId="032FB175" w14:textId="77777777" w:rsidR="007138C7" w:rsidRPr="00631C5B" w:rsidRDefault="007138C7" w:rsidP="007138C7">
      <w:pPr>
        <w:pStyle w:val="NormalWeb"/>
        <w:spacing w:before="80" w:beforeAutospacing="0" w:after="0" w:afterAutospacing="0"/>
      </w:pPr>
    </w:p>
    <w:p w14:paraId="549A52A7" w14:textId="33898DEF" w:rsidR="00A525F8" w:rsidRPr="00631C5B" w:rsidRDefault="00A525F8" w:rsidP="007138C7">
      <w:pPr>
        <w:pStyle w:val="NormalWeb"/>
        <w:numPr>
          <w:ilvl w:val="0"/>
          <w:numId w:val="26"/>
        </w:numPr>
        <w:spacing w:before="80" w:beforeAutospacing="0" w:after="0" w:afterAutospacing="0"/>
        <w:rPr>
          <w:rFonts w:ascii="Arial" w:hAnsi="Arial" w:cs="Arial"/>
          <w:b/>
          <w:color w:val="000000" w:themeColor="text1"/>
          <w:lang w:eastAsia="en-US"/>
        </w:rPr>
      </w:pPr>
      <w:r w:rsidRPr="00631C5B">
        <w:rPr>
          <w:rFonts w:ascii="Arial" w:hAnsi="Arial" w:cs="Arial"/>
          <w:b/>
          <w:color w:val="000000" w:themeColor="text1"/>
          <w:lang w:eastAsia="en-US"/>
        </w:rPr>
        <w:t>Schedule 1 (item 6080, column 3)</w:t>
      </w:r>
    </w:p>
    <w:p w14:paraId="3F16E144" w14:textId="71A39BA9" w:rsidR="00A525F8" w:rsidRPr="00631C5B" w:rsidRDefault="00A525F8" w:rsidP="00D051C1">
      <w:pPr>
        <w:pStyle w:val="NormalWeb"/>
        <w:spacing w:before="80" w:beforeAutospacing="0" w:after="240" w:afterAutospacing="0"/>
        <w:ind w:left="720"/>
        <w:rPr>
          <w:bCs/>
          <w:color w:val="000000" w:themeColor="text1"/>
          <w:sz w:val="22"/>
          <w:szCs w:val="22"/>
          <w:lang w:eastAsia="en-US"/>
        </w:rPr>
      </w:pPr>
      <w:r w:rsidRPr="00631C5B">
        <w:rPr>
          <w:bCs/>
          <w:color w:val="000000" w:themeColor="text1"/>
          <w:sz w:val="22"/>
          <w:szCs w:val="22"/>
          <w:lang w:eastAsia="en-US"/>
        </w:rPr>
        <w:t>Omit “52.95”, substitute “53.80”.</w:t>
      </w:r>
    </w:p>
    <w:p w14:paraId="2C979509" w14:textId="578C34B8" w:rsidR="00A525F8" w:rsidRPr="00631C5B" w:rsidRDefault="00A525F8" w:rsidP="00A525F8">
      <w:pPr>
        <w:pStyle w:val="NormalWeb"/>
        <w:numPr>
          <w:ilvl w:val="0"/>
          <w:numId w:val="26"/>
        </w:numPr>
        <w:spacing w:before="80" w:beforeAutospacing="0" w:after="0" w:afterAutospacing="0"/>
        <w:rPr>
          <w:rFonts w:ascii="Arial" w:hAnsi="Arial" w:cs="Arial"/>
          <w:b/>
          <w:color w:val="000000" w:themeColor="text1"/>
          <w:lang w:eastAsia="en-US"/>
        </w:rPr>
      </w:pPr>
      <w:r w:rsidRPr="00631C5B">
        <w:rPr>
          <w:rFonts w:ascii="Arial" w:hAnsi="Arial" w:cs="Arial"/>
          <w:b/>
          <w:color w:val="000000" w:themeColor="text1"/>
          <w:lang w:eastAsia="en-US"/>
        </w:rPr>
        <w:t>Schedule 1 (item 6081, column 3)</w:t>
      </w:r>
    </w:p>
    <w:p w14:paraId="3A9CBC28" w14:textId="57EE53D0" w:rsidR="00A525F8" w:rsidRPr="00631C5B" w:rsidRDefault="00A525F8" w:rsidP="00A525F8">
      <w:pPr>
        <w:pStyle w:val="NormalWeb"/>
        <w:spacing w:before="80" w:beforeAutospacing="0" w:after="240" w:afterAutospacing="0"/>
        <w:ind w:left="720"/>
        <w:rPr>
          <w:bCs/>
          <w:color w:val="000000" w:themeColor="text1"/>
          <w:sz w:val="22"/>
          <w:szCs w:val="22"/>
          <w:lang w:eastAsia="en-US"/>
        </w:rPr>
      </w:pPr>
      <w:r w:rsidRPr="00631C5B">
        <w:rPr>
          <w:bCs/>
          <w:color w:val="000000" w:themeColor="text1"/>
          <w:sz w:val="22"/>
          <w:szCs w:val="22"/>
          <w:lang w:eastAsia="en-US"/>
        </w:rPr>
        <w:t>Omit “39.50”, substitute “40.15”.</w:t>
      </w:r>
    </w:p>
    <w:p w14:paraId="10B2BF52" w14:textId="2F867745" w:rsidR="00EC58A1" w:rsidRPr="00631C5B" w:rsidRDefault="00EC58A1" w:rsidP="007138C7">
      <w:pPr>
        <w:pStyle w:val="NormalWeb"/>
        <w:numPr>
          <w:ilvl w:val="0"/>
          <w:numId w:val="26"/>
        </w:numPr>
        <w:spacing w:before="80" w:beforeAutospacing="0" w:after="0" w:afterAutospacing="0"/>
        <w:rPr>
          <w:rFonts w:ascii="Arial" w:hAnsi="Arial" w:cs="Arial"/>
          <w:b/>
          <w:color w:val="000000" w:themeColor="text1"/>
          <w:lang w:eastAsia="en-US"/>
        </w:rPr>
      </w:pPr>
      <w:r w:rsidRPr="00631C5B">
        <w:rPr>
          <w:rFonts w:ascii="Arial" w:hAnsi="Arial" w:cs="Arial"/>
          <w:b/>
          <w:color w:val="000000" w:themeColor="text1"/>
          <w:lang w:eastAsia="en-US"/>
        </w:rPr>
        <w:t>Schedule 1 (</w:t>
      </w:r>
      <w:r w:rsidR="008011D8" w:rsidRPr="00631C5B">
        <w:rPr>
          <w:rFonts w:ascii="Arial" w:hAnsi="Arial" w:cs="Arial"/>
          <w:b/>
          <w:color w:val="000000" w:themeColor="text1"/>
          <w:lang w:eastAsia="en-US"/>
        </w:rPr>
        <w:t>i</w:t>
      </w:r>
      <w:r w:rsidRPr="00631C5B">
        <w:rPr>
          <w:rFonts w:ascii="Arial" w:hAnsi="Arial" w:cs="Arial"/>
          <w:b/>
          <w:color w:val="000000" w:themeColor="text1"/>
          <w:lang w:eastAsia="en-US"/>
        </w:rPr>
        <w:t>tem</w:t>
      </w:r>
      <w:r w:rsidR="003671EA" w:rsidRPr="00631C5B">
        <w:rPr>
          <w:rFonts w:ascii="Arial" w:hAnsi="Arial" w:cs="Arial"/>
          <w:b/>
          <w:color w:val="000000" w:themeColor="text1"/>
          <w:lang w:eastAsia="en-US"/>
        </w:rPr>
        <w:t>s</w:t>
      </w:r>
      <w:r w:rsidRPr="00631C5B">
        <w:rPr>
          <w:rFonts w:ascii="Arial" w:hAnsi="Arial" w:cs="Arial"/>
          <w:b/>
          <w:color w:val="000000" w:themeColor="text1"/>
          <w:lang w:eastAsia="en-US"/>
        </w:rPr>
        <w:t xml:space="preserve"> 38495</w:t>
      </w:r>
      <w:r w:rsidR="003671EA" w:rsidRPr="00631C5B">
        <w:rPr>
          <w:rFonts w:ascii="Arial" w:hAnsi="Arial" w:cs="Arial"/>
          <w:b/>
          <w:color w:val="000000" w:themeColor="text1"/>
          <w:lang w:eastAsia="en-US"/>
        </w:rPr>
        <w:t xml:space="preserve"> and 38514</w:t>
      </w:r>
      <w:r w:rsidRPr="00631C5B">
        <w:rPr>
          <w:rFonts w:ascii="Arial" w:hAnsi="Arial" w:cs="Arial"/>
          <w:b/>
          <w:color w:val="000000" w:themeColor="text1"/>
          <w:lang w:eastAsia="en-US"/>
        </w:rPr>
        <w:t>)</w:t>
      </w:r>
    </w:p>
    <w:p w14:paraId="09FF9485" w14:textId="0879A8E0" w:rsidR="00EC58A1" w:rsidRPr="00631C5B" w:rsidRDefault="00EC58A1" w:rsidP="00EC58A1">
      <w:pPr>
        <w:pStyle w:val="Item"/>
        <w:rPr>
          <w:lang w:eastAsia="en-US"/>
        </w:rPr>
      </w:pPr>
      <w:r w:rsidRPr="00631C5B">
        <w:rPr>
          <w:lang w:eastAsia="en-US"/>
        </w:rPr>
        <w:t>Repeal the item</w:t>
      </w:r>
      <w:r w:rsidR="003671EA" w:rsidRPr="00631C5B">
        <w:rPr>
          <w:lang w:eastAsia="en-US"/>
        </w:rPr>
        <w:t>s</w:t>
      </w:r>
      <w:r w:rsidRPr="00631C5B">
        <w:rPr>
          <w:lang w:eastAsia="en-US"/>
        </w:rPr>
        <w:t>, substitute:</w:t>
      </w:r>
    </w:p>
    <w:p w14:paraId="171E7753" w14:textId="77777777" w:rsidR="00EC58A1" w:rsidRPr="00631C5B" w:rsidRDefault="00EC58A1" w:rsidP="00EC58A1">
      <w:pPr>
        <w:pStyle w:val="Item"/>
        <w:ind w:left="0"/>
        <w:rPr>
          <w:lang w:eastAsia="en-US"/>
        </w:rPr>
      </w:pPr>
      <w:r w:rsidRPr="00631C5B">
        <w:rPr>
          <w:lang w:eastAsia="en-US"/>
        </w:rPr>
        <w:t xml:space="preserve"> </w:t>
      </w:r>
    </w:p>
    <w:tbl>
      <w:tblPr>
        <w:tblW w:w="5000" w:type="pct"/>
        <w:tblBorders>
          <w:top w:val="single" w:sz="4" w:space="0" w:color="auto"/>
          <w:bottom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5260"/>
        <w:gridCol w:w="1950"/>
      </w:tblGrid>
      <w:tr w:rsidR="00EC58A1" w:rsidRPr="00631C5B" w14:paraId="5D5FBA08" w14:textId="77777777" w:rsidTr="00EC58A1">
        <w:tc>
          <w:tcPr>
            <w:tcW w:w="6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6D46EAB" w14:textId="77777777" w:rsidR="00EC58A1" w:rsidRPr="00631C5B" w:rsidRDefault="00EC58A1" w:rsidP="00EC58A1">
            <w:pPr>
              <w:spacing w:before="60" w:after="60"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31C5B">
              <w:rPr>
                <w:rFonts w:eastAsia="Times New Roman" w:cs="Times New Roman"/>
                <w:color w:val="000000"/>
                <w:sz w:val="20"/>
                <w:lang w:eastAsia="en-AU"/>
              </w:rPr>
              <w:t>38495</w:t>
            </w:r>
          </w:p>
        </w:tc>
        <w:tc>
          <w:tcPr>
            <w:tcW w:w="31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04B7E46" w14:textId="40452C68" w:rsidR="00BD2A7C" w:rsidRPr="00631C5B" w:rsidRDefault="00EC58A1" w:rsidP="00D944EB">
            <w:pPr>
              <w:shd w:val="clear" w:color="auto" w:fill="FFFFFF"/>
              <w:spacing w:before="100" w:beforeAutospacing="1" w:after="8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31C5B">
              <w:rPr>
                <w:rFonts w:eastAsia="Times New Roman" w:cs="Times New Roman"/>
                <w:color w:val="000000"/>
                <w:sz w:val="20"/>
                <w:lang w:eastAsia="en-AU"/>
              </w:rPr>
              <w:t>TAVI, for the treatment of symptomatic severe aortic stenosis</w:t>
            </w:r>
            <w:r w:rsidR="00820670" w:rsidRPr="00631C5B">
              <w:rPr>
                <w:rFonts w:eastAsia="Times New Roman" w:cs="Times New Roman"/>
                <w:color w:val="000000"/>
                <w:sz w:val="20"/>
                <w:lang w:eastAsia="en-AU"/>
              </w:rPr>
              <w:t>,</w:t>
            </w:r>
            <w:r w:rsidR="00712143" w:rsidRPr="00631C5B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  <w:r w:rsidR="00712143" w:rsidRPr="00631C5B">
              <w:rPr>
                <w:color w:val="000000"/>
                <w:sz w:val="20"/>
              </w:rPr>
              <w:t>performed via transfemoral delivery, unless transfemoral delivery is contraindicated or not feasible,</w:t>
            </w:r>
            <w:r w:rsidR="00820670" w:rsidRPr="00631C5B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if</w:t>
            </w:r>
            <w:r w:rsidR="00BD2A7C" w:rsidRPr="00631C5B">
              <w:rPr>
                <w:rFonts w:eastAsia="Times New Roman" w:cs="Times New Roman"/>
                <w:color w:val="000000"/>
                <w:sz w:val="20"/>
                <w:lang w:eastAsia="en-AU"/>
              </w:rPr>
              <w:t>:</w:t>
            </w:r>
          </w:p>
          <w:p w14:paraId="632D071A" w14:textId="58497B87" w:rsidR="00820670" w:rsidRPr="00631C5B" w:rsidRDefault="00820670" w:rsidP="00D944EB">
            <w:pPr>
              <w:pStyle w:val="ListParagraph"/>
              <w:numPr>
                <w:ilvl w:val="0"/>
                <w:numId w:val="22"/>
              </w:numPr>
              <w:spacing w:before="0" w:beforeAutospacing="0" w:after="80" w:afterAutospacing="0"/>
              <w:ind w:left="486" w:hanging="357"/>
              <w:rPr>
                <w:color w:val="000000"/>
                <w:sz w:val="20"/>
              </w:rPr>
            </w:pPr>
            <w:r w:rsidRPr="00631C5B">
              <w:rPr>
                <w:color w:val="000000"/>
                <w:sz w:val="20"/>
              </w:rPr>
              <w:t xml:space="preserve">the </w:t>
            </w:r>
            <w:r w:rsidR="0027414B" w:rsidRPr="00631C5B">
              <w:rPr>
                <w:color w:val="000000"/>
                <w:sz w:val="20"/>
              </w:rPr>
              <w:t xml:space="preserve">TAVI </w:t>
            </w:r>
            <w:r w:rsidR="00ED6C8E" w:rsidRPr="00631C5B">
              <w:rPr>
                <w:color w:val="000000"/>
                <w:sz w:val="20"/>
              </w:rPr>
              <w:t>P</w:t>
            </w:r>
            <w:r w:rsidRPr="00631C5B">
              <w:rPr>
                <w:color w:val="000000"/>
                <w:sz w:val="20"/>
              </w:rPr>
              <w:t xml:space="preserve">atient </w:t>
            </w:r>
            <w:r w:rsidR="0027414B" w:rsidRPr="00631C5B">
              <w:rPr>
                <w:color w:val="000000"/>
                <w:sz w:val="20"/>
              </w:rPr>
              <w:t xml:space="preserve">is </w:t>
            </w:r>
            <w:r w:rsidRPr="00631C5B">
              <w:rPr>
                <w:color w:val="000000"/>
                <w:sz w:val="20"/>
              </w:rPr>
              <w:t xml:space="preserve">at </w:t>
            </w:r>
            <w:r w:rsidR="00EC58A1" w:rsidRPr="00631C5B">
              <w:rPr>
                <w:color w:val="000000"/>
                <w:sz w:val="20"/>
              </w:rPr>
              <w:t>high risk for surgery</w:t>
            </w:r>
            <w:r w:rsidRPr="00631C5B">
              <w:rPr>
                <w:color w:val="000000"/>
                <w:sz w:val="20"/>
              </w:rPr>
              <w:t>;</w:t>
            </w:r>
            <w:r w:rsidR="00EC58A1" w:rsidRPr="00631C5B">
              <w:rPr>
                <w:b/>
                <w:bCs/>
                <w:color w:val="000000"/>
                <w:sz w:val="20"/>
              </w:rPr>
              <w:t> </w:t>
            </w:r>
            <w:r w:rsidR="00EF71C5" w:rsidRPr="00631C5B">
              <w:rPr>
                <w:color w:val="000000"/>
                <w:sz w:val="20"/>
              </w:rPr>
              <w:t>and</w:t>
            </w:r>
          </w:p>
          <w:p w14:paraId="5B6719AF" w14:textId="77777777" w:rsidR="00820670" w:rsidRPr="00631C5B" w:rsidRDefault="00820670" w:rsidP="00D944EB">
            <w:pPr>
              <w:pStyle w:val="ListParagraph"/>
              <w:numPr>
                <w:ilvl w:val="0"/>
                <w:numId w:val="22"/>
              </w:numPr>
              <w:spacing w:before="0" w:beforeAutospacing="0" w:after="80" w:afterAutospacing="0"/>
              <w:ind w:left="486" w:hanging="357"/>
              <w:rPr>
                <w:color w:val="000000"/>
                <w:sz w:val="20"/>
              </w:rPr>
            </w:pPr>
            <w:r w:rsidRPr="00631C5B">
              <w:rPr>
                <w:color w:val="000000"/>
                <w:sz w:val="20"/>
              </w:rPr>
              <w:t xml:space="preserve">the service: </w:t>
            </w:r>
          </w:p>
          <w:p w14:paraId="2DA4A485" w14:textId="121986ED" w:rsidR="005D7B51" w:rsidRPr="00631C5B" w:rsidRDefault="00820670" w:rsidP="00D944EB">
            <w:pPr>
              <w:pStyle w:val="ListParagraph"/>
              <w:numPr>
                <w:ilvl w:val="0"/>
                <w:numId w:val="23"/>
              </w:numPr>
              <w:spacing w:before="0" w:beforeAutospacing="0" w:after="80" w:afterAutospacing="0"/>
              <w:ind w:left="912" w:hanging="425"/>
              <w:rPr>
                <w:color w:val="000000"/>
                <w:sz w:val="20"/>
              </w:rPr>
            </w:pPr>
            <w:r w:rsidRPr="00631C5B">
              <w:rPr>
                <w:color w:val="000000"/>
                <w:sz w:val="20"/>
              </w:rPr>
              <w:t xml:space="preserve">is </w:t>
            </w:r>
            <w:r w:rsidR="008D6E4C" w:rsidRPr="00631C5B">
              <w:rPr>
                <w:color w:val="000000"/>
                <w:sz w:val="20"/>
              </w:rPr>
              <w:t xml:space="preserve">performed by a TAVI Practitioner in </w:t>
            </w:r>
            <w:r w:rsidR="00EC58A1" w:rsidRPr="00631C5B">
              <w:rPr>
                <w:color w:val="000000"/>
                <w:sz w:val="20"/>
              </w:rPr>
              <w:t>a TAVI Hospital</w:t>
            </w:r>
            <w:r w:rsidR="005D7B51" w:rsidRPr="00631C5B">
              <w:rPr>
                <w:color w:val="000000"/>
                <w:sz w:val="20"/>
              </w:rPr>
              <w:t>;</w:t>
            </w:r>
            <w:r w:rsidR="00EF71C5" w:rsidRPr="00631C5B">
              <w:rPr>
                <w:color w:val="000000"/>
                <w:sz w:val="20"/>
              </w:rPr>
              <w:t xml:space="preserve"> and</w:t>
            </w:r>
          </w:p>
          <w:p w14:paraId="4A1E575B" w14:textId="400A9B90" w:rsidR="00820670" w:rsidRPr="00631C5B" w:rsidRDefault="005D7B51" w:rsidP="00D944EB">
            <w:pPr>
              <w:pStyle w:val="ListParagraph"/>
              <w:numPr>
                <w:ilvl w:val="0"/>
                <w:numId w:val="23"/>
              </w:numPr>
              <w:spacing w:before="0" w:beforeAutospacing="0" w:after="80" w:afterAutospacing="0"/>
              <w:ind w:left="912" w:hanging="425"/>
              <w:rPr>
                <w:color w:val="000000"/>
                <w:sz w:val="20"/>
              </w:rPr>
            </w:pPr>
            <w:r w:rsidRPr="00631C5B">
              <w:rPr>
                <w:color w:val="000000"/>
                <w:sz w:val="20"/>
              </w:rPr>
              <w:lastRenderedPageBreak/>
              <w:t>includes all</w:t>
            </w:r>
            <w:r w:rsidR="00EC58A1" w:rsidRPr="00631C5B">
              <w:rPr>
                <w:color w:val="000000"/>
                <w:sz w:val="20"/>
              </w:rPr>
              <w:t xml:space="preserve"> intraoperative diagnostic imaging that the TAVI Practitioner performs upon the TAVI </w:t>
            </w:r>
            <w:proofErr w:type="gramStart"/>
            <w:r w:rsidR="00EC58A1" w:rsidRPr="00631C5B">
              <w:rPr>
                <w:color w:val="000000"/>
                <w:sz w:val="20"/>
              </w:rPr>
              <w:t>Patient</w:t>
            </w:r>
            <w:r w:rsidR="00342A24" w:rsidRPr="00631C5B">
              <w:rPr>
                <w:color w:val="000000"/>
                <w:sz w:val="20"/>
              </w:rPr>
              <w:t>;</w:t>
            </w:r>
            <w:proofErr w:type="gramEnd"/>
            <w:r w:rsidRPr="00631C5B">
              <w:rPr>
                <w:color w:val="000000"/>
                <w:sz w:val="20"/>
              </w:rPr>
              <w:t xml:space="preserve"> </w:t>
            </w:r>
          </w:p>
          <w:p w14:paraId="2EBEE823" w14:textId="2DF411AC" w:rsidR="00EC58A1" w:rsidRPr="00631C5B" w:rsidRDefault="000261E4" w:rsidP="00D944EB">
            <w:pPr>
              <w:shd w:val="clear" w:color="auto" w:fill="FFFFFF"/>
              <w:spacing w:after="8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31C5B">
              <w:rPr>
                <w:color w:val="000000"/>
                <w:sz w:val="20"/>
              </w:rPr>
              <w:t xml:space="preserve">not being </w:t>
            </w:r>
            <w:proofErr w:type="gramStart"/>
            <w:r w:rsidRPr="00631C5B">
              <w:rPr>
                <w:color w:val="000000"/>
                <w:sz w:val="20"/>
              </w:rPr>
              <w:t>a service</w:t>
            </w:r>
            <w:proofErr w:type="gramEnd"/>
            <w:r w:rsidRPr="00631C5B">
              <w:rPr>
                <w:color w:val="000000"/>
                <w:sz w:val="20"/>
              </w:rPr>
              <w:t xml:space="preserve"> which has been rendered within 5 years of a service to which this item or </w:t>
            </w:r>
            <w:r w:rsidR="00F51F05" w:rsidRPr="00631C5B">
              <w:rPr>
                <w:color w:val="000000"/>
                <w:sz w:val="20"/>
              </w:rPr>
              <w:t xml:space="preserve">item </w:t>
            </w:r>
            <w:r w:rsidRPr="00631C5B">
              <w:rPr>
                <w:color w:val="000000"/>
                <w:sz w:val="20"/>
              </w:rPr>
              <w:t>38514</w:t>
            </w:r>
            <w:r w:rsidR="003671EA" w:rsidRPr="00631C5B">
              <w:rPr>
                <w:color w:val="000000"/>
                <w:sz w:val="20"/>
              </w:rPr>
              <w:t xml:space="preserve"> or 38522</w:t>
            </w:r>
            <w:r w:rsidRPr="00631C5B">
              <w:rPr>
                <w:color w:val="000000"/>
                <w:sz w:val="20"/>
              </w:rPr>
              <w:t xml:space="preserve"> applies</w:t>
            </w:r>
            <w:r w:rsidR="00D9014A" w:rsidRPr="00631C5B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  <w:r w:rsidR="00055C80" w:rsidRPr="00631C5B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(H) </w:t>
            </w:r>
            <w:r w:rsidR="00EC58A1" w:rsidRPr="00631C5B">
              <w:rPr>
                <w:rFonts w:eastAsia="Times New Roman" w:cs="Times New Roman"/>
                <w:color w:val="000000"/>
                <w:sz w:val="20"/>
                <w:lang w:eastAsia="en-AU"/>
              </w:rPr>
              <w:t>(</w:t>
            </w:r>
            <w:proofErr w:type="spellStart"/>
            <w:r w:rsidR="00EC58A1" w:rsidRPr="00631C5B">
              <w:rPr>
                <w:rFonts w:eastAsia="Times New Roman" w:cs="Times New Roman"/>
                <w:color w:val="000000"/>
                <w:sz w:val="20"/>
                <w:lang w:eastAsia="en-AU"/>
              </w:rPr>
              <w:t>Anaes</w:t>
            </w:r>
            <w:proofErr w:type="spellEnd"/>
            <w:r w:rsidR="00EC58A1" w:rsidRPr="00631C5B">
              <w:rPr>
                <w:rFonts w:eastAsia="Times New Roman" w:cs="Times New Roman"/>
                <w:color w:val="000000"/>
                <w:sz w:val="20"/>
                <w:lang w:eastAsia="en-AU"/>
              </w:rPr>
              <w:t>.) (Assist.)</w:t>
            </w:r>
          </w:p>
        </w:tc>
        <w:tc>
          <w:tcPr>
            <w:tcW w:w="11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CDC601A" w14:textId="4934CE43" w:rsidR="00EC58A1" w:rsidRPr="00631C5B" w:rsidRDefault="007138C7" w:rsidP="00EC58A1">
            <w:pPr>
              <w:spacing w:before="60" w:after="60" w:line="253" w:lineRule="atLeast"/>
              <w:ind w:left="595" w:right="-665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631C5B">
              <w:rPr>
                <w:rFonts w:eastAsia="Times New Roman" w:cs="Times New Roman"/>
                <w:color w:val="000000"/>
                <w:sz w:val="20"/>
                <w:lang w:eastAsia="en-AU"/>
              </w:rPr>
              <w:lastRenderedPageBreak/>
              <w:t>1,514.10</w:t>
            </w:r>
          </w:p>
        </w:tc>
      </w:tr>
      <w:tr w:rsidR="00EC58A1" w:rsidRPr="00631C5B" w14:paraId="2B625E19" w14:textId="77777777" w:rsidTr="003671EA">
        <w:tc>
          <w:tcPr>
            <w:tcW w:w="6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0F3594" w14:textId="27ECC1AC" w:rsidR="00EC58A1" w:rsidRPr="00631C5B" w:rsidRDefault="00EC58A1" w:rsidP="00EC58A1">
            <w:pPr>
              <w:spacing w:before="60" w:after="60" w:line="253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31C5B">
              <w:rPr>
                <w:rFonts w:eastAsia="Times New Roman" w:cs="Times New Roman"/>
                <w:color w:val="000000" w:themeColor="text1"/>
                <w:sz w:val="20"/>
              </w:rPr>
              <w:t>38514</w:t>
            </w:r>
          </w:p>
        </w:tc>
        <w:tc>
          <w:tcPr>
            <w:tcW w:w="31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FABED2" w14:textId="2B7C3FE4" w:rsidR="00BD2A7C" w:rsidRPr="00631C5B" w:rsidRDefault="00BD2A7C" w:rsidP="00D944EB">
            <w:pPr>
              <w:spacing w:before="40" w:after="80" w:line="240" w:lineRule="auto"/>
              <w:rPr>
                <w:rFonts w:cs="Times New Roman"/>
                <w:snapToGrid w:val="0"/>
                <w:color w:val="000000" w:themeColor="text1"/>
                <w:sz w:val="20"/>
              </w:rPr>
            </w:pPr>
            <w:r w:rsidRPr="00631C5B">
              <w:rPr>
                <w:rFonts w:cs="Times New Roman"/>
                <w:snapToGrid w:val="0"/>
                <w:color w:val="000000" w:themeColor="text1"/>
                <w:sz w:val="20"/>
              </w:rPr>
              <w:t xml:space="preserve">TAVI, for the treatment of symptomatic severe aortic stenosis, </w:t>
            </w:r>
            <w:r w:rsidR="00712143" w:rsidRPr="00631C5B">
              <w:rPr>
                <w:color w:val="000000"/>
                <w:sz w:val="20"/>
              </w:rPr>
              <w:t>performed via transfemoral delivery, unless transfemoral delivery is contraindicated or not feasible,</w:t>
            </w:r>
            <w:r w:rsidR="00712143" w:rsidRPr="00631C5B">
              <w:rPr>
                <w:rFonts w:cs="Times New Roman"/>
                <w:snapToGrid w:val="0"/>
                <w:color w:val="000000" w:themeColor="text1"/>
                <w:sz w:val="20"/>
              </w:rPr>
              <w:t xml:space="preserve"> </w:t>
            </w:r>
            <w:r w:rsidRPr="00631C5B">
              <w:rPr>
                <w:rFonts w:cs="Times New Roman"/>
                <w:snapToGrid w:val="0"/>
                <w:color w:val="000000" w:themeColor="text1"/>
                <w:sz w:val="20"/>
              </w:rPr>
              <w:t>if:</w:t>
            </w:r>
          </w:p>
          <w:p w14:paraId="1D125AC3" w14:textId="506D5CCF" w:rsidR="00BD2A7C" w:rsidRPr="00631C5B" w:rsidRDefault="00BD2A7C" w:rsidP="00D944EB">
            <w:pPr>
              <w:pStyle w:val="ListParagraph"/>
              <w:numPr>
                <w:ilvl w:val="0"/>
                <w:numId w:val="24"/>
              </w:numPr>
              <w:spacing w:before="0" w:beforeAutospacing="0" w:after="80" w:afterAutospacing="0"/>
              <w:ind w:left="486"/>
              <w:rPr>
                <w:snapToGrid w:val="0"/>
                <w:color w:val="000000" w:themeColor="text1"/>
                <w:sz w:val="20"/>
              </w:rPr>
            </w:pPr>
            <w:r w:rsidRPr="00631C5B">
              <w:rPr>
                <w:snapToGrid w:val="0"/>
                <w:color w:val="000000" w:themeColor="text1"/>
                <w:sz w:val="20"/>
              </w:rPr>
              <w:t xml:space="preserve">the </w:t>
            </w:r>
            <w:r w:rsidR="0027414B" w:rsidRPr="00631C5B">
              <w:rPr>
                <w:snapToGrid w:val="0"/>
                <w:color w:val="000000" w:themeColor="text1"/>
                <w:sz w:val="20"/>
              </w:rPr>
              <w:t xml:space="preserve">TAVI </w:t>
            </w:r>
            <w:r w:rsidR="00ED6C8E" w:rsidRPr="00631C5B">
              <w:rPr>
                <w:snapToGrid w:val="0"/>
                <w:color w:val="000000" w:themeColor="text1"/>
                <w:sz w:val="20"/>
              </w:rPr>
              <w:t>P</w:t>
            </w:r>
            <w:r w:rsidRPr="00631C5B">
              <w:rPr>
                <w:snapToGrid w:val="0"/>
                <w:color w:val="000000" w:themeColor="text1"/>
                <w:sz w:val="20"/>
              </w:rPr>
              <w:t xml:space="preserve">atient </w:t>
            </w:r>
            <w:r w:rsidR="0027414B" w:rsidRPr="00631C5B">
              <w:rPr>
                <w:snapToGrid w:val="0"/>
                <w:color w:val="000000" w:themeColor="text1"/>
                <w:sz w:val="20"/>
              </w:rPr>
              <w:t>is</w:t>
            </w:r>
            <w:r w:rsidR="00954E0F" w:rsidRPr="00631C5B">
              <w:rPr>
                <w:snapToGrid w:val="0"/>
                <w:color w:val="000000" w:themeColor="text1"/>
                <w:sz w:val="20"/>
              </w:rPr>
              <w:t xml:space="preserve"> at </w:t>
            </w:r>
            <w:r w:rsidRPr="00631C5B">
              <w:rPr>
                <w:snapToGrid w:val="0"/>
                <w:color w:val="000000" w:themeColor="text1"/>
                <w:sz w:val="20"/>
              </w:rPr>
              <w:t>intermediate risk for surgery;</w:t>
            </w:r>
            <w:r w:rsidR="002E3D91" w:rsidRPr="00631C5B">
              <w:rPr>
                <w:snapToGrid w:val="0"/>
                <w:color w:val="000000" w:themeColor="text1"/>
                <w:sz w:val="20"/>
              </w:rPr>
              <w:t xml:space="preserve"> and</w:t>
            </w:r>
          </w:p>
          <w:p w14:paraId="53220D2C" w14:textId="3CC4EDEF" w:rsidR="00820670" w:rsidRPr="00631C5B" w:rsidRDefault="00BD2A7C" w:rsidP="00D944EB">
            <w:pPr>
              <w:pStyle w:val="ListParagraph"/>
              <w:numPr>
                <w:ilvl w:val="0"/>
                <w:numId w:val="24"/>
              </w:numPr>
              <w:spacing w:before="0" w:beforeAutospacing="0" w:after="80" w:afterAutospacing="0"/>
              <w:ind w:left="486" w:hanging="357"/>
              <w:rPr>
                <w:snapToGrid w:val="0"/>
                <w:color w:val="000000" w:themeColor="text1"/>
                <w:sz w:val="20"/>
              </w:rPr>
            </w:pPr>
            <w:r w:rsidRPr="00631C5B">
              <w:rPr>
                <w:snapToGrid w:val="0"/>
                <w:color w:val="000000" w:themeColor="text1"/>
                <w:sz w:val="20"/>
              </w:rPr>
              <w:t>the service</w:t>
            </w:r>
            <w:r w:rsidR="00820670" w:rsidRPr="00631C5B">
              <w:rPr>
                <w:snapToGrid w:val="0"/>
                <w:color w:val="000000" w:themeColor="text1"/>
                <w:sz w:val="20"/>
              </w:rPr>
              <w:t xml:space="preserve">: </w:t>
            </w:r>
          </w:p>
          <w:p w14:paraId="1E81CFD4" w14:textId="45BD22EB" w:rsidR="00820670" w:rsidRPr="00631C5B" w:rsidRDefault="00820670" w:rsidP="00D944EB">
            <w:pPr>
              <w:pStyle w:val="ListParagraph"/>
              <w:numPr>
                <w:ilvl w:val="0"/>
                <w:numId w:val="25"/>
              </w:numPr>
              <w:spacing w:before="0" w:beforeAutospacing="0" w:after="80" w:afterAutospacing="0"/>
              <w:ind w:left="912" w:hanging="425"/>
              <w:rPr>
                <w:snapToGrid w:val="0"/>
                <w:color w:val="000000" w:themeColor="text1"/>
                <w:sz w:val="20"/>
              </w:rPr>
            </w:pPr>
            <w:r w:rsidRPr="00631C5B">
              <w:rPr>
                <w:snapToGrid w:val="0"/>
                <w:color w:val="000000" w:themeColor="text1"/>
                <w:sz w:val="20"/>
              </w:rPr>
              <w:t xml:space="preserve">is </w:t>
            </w:r>
            <w:r w:rsidR="008D6E4C" w:rsidRPr="00631C5B">
              <w:rPr>
                <w:snapToGrid w:val="0"/>
                <w:color w:val="000000" w:themeColor="text1"/>
                <w:sz w:val="20"/>
              </w:rPr>
              <w:t xml:space="preserve">performed by a TAVI </w:t>
            </w:r>
            <w:r w:rsidR="00ED6C8E" w:rsidRPr="00631C5B">
              <w:rPr>
                <w:snapToGrid w:val="0"/>
                <w:color w:val="000000" w:themeColor="text1"/>
                <w:sz w:val="20"/>
              </w:rPr>
              <w:t>P</w:t>
            </w:r>
            <w:r w:rsidR="008D6E4C" w:rsidRPr="00631C5B">
              <w:rPr>
                <w:snapToGrid w:val="0"/>
                <w:color w:val="000000" w:themeColor="text1"/>
                <w:sz w:val="20"/>
              </w:rPr>
              <w:t xml:space="preserve">ractitioner in a </w:t>
            </w:r>
            <w:r w:rsidR="00BD2A7C" w:rsidRPr="00631C5B">
              <w:rPr>
                <w:snapToGrid w:val="0"/>
                <w:color w:val="000000" w:themeColor="text1"/>
                <w:sz w:val="20"/>
              </w:rPr>
              <w:t>TAVI Hospital;</w:t>
            </w:r>
            <w:r w:rsidR="002E3D91" w:rsidRPr="00631C5B">
              <w:rPr>
                <w:snapToGrid w:val="0"/>
                <w:color w:val="000000" w:themeColor="text1"/>
                <w:sz w:val="20"/>
              </w:rPr>
              <w:t xml:space="preserve"> and</w:t>
            </w:r>
          </w:p>
          <w:p w14:paraId="35AC2D4A" w14:textId="1E0AF7AD" w:rsidR="00BD2A7C" w:rsidRPr="00631C5B" w:rsidRDefault="00BD2A7C" w:rsidP="00D944EB">
            <w:pPr>
              <w:pStyle w:val="ListParagraph"/>
              <w:numPr>
                <w:ilvl w:val="0"/>
                <w:numId w:val="25"/>
              </w:numPr>
              <w:spacing w:before="0" w:beforeAutospacing="0" w:after="80" w:afterAutospacing="0"/>
              <w:ind w:left="912" w:hanging="425"/>
              <w:rPr>
                <w:snapToGrid w:val="0"/>
                <w:color w:val="000000" w:themeColor="text1"/>
                <w:sz w:val="20"/>
              </w:rPr>
            </w:pPr>
            <w:r w:rsidRPr="00631C5B">
              <w:rPr>
                <w:snapToGrid w:val="0"/>
                <w:color w:val="000000" w:themeColor="text1"/>
                <w:sz w:val="20"/>
              </w:rPr>
              <w:t xml:space="preserve">includes all intraoperative diagnostic imaging that the TAVI Practitioner performs upon the TAVI </w:t>
            </w:r>
            <w:proofErr w:type="gramStart"/>
            <w:r w:rsidRPr="00631C5B">
              <w:rPr>
                <w:snapToGrid w:val="0"/>
                <w:color w:val="000000" w:themeColor="text1"/>
                <w:sz w:val="20"/>
              </w:rPr>
              <w:t>Patient;</w:t>
            </w:r>
            <w:proofErr w:type="gramEnd"/>
          </w:p>
          <w:p w14:paraId="2A875A11" w14:textId="1842770F" w:rsidR="00EC58A1" w:rsidRPr="00631C5B" w:rsidRDefault="000261E4" w:rsidP="00D944EB">
            <w:pPr>
              <w:spacing w:after="80"/>
            </w:pPr>
            <w:r w:rsidRPr="00631C5B">
              <w:rPr>
                <w:color w:val="000000"/>
                <w:sz w:val="20"/>
              </w:rPr>
              <w:t xml:space="preserve">not being </w:t>
            </w:r>
            <w:proofErr w:type="gramStart"/>
            <w:r w:rsidRPr="00631C5B">
              <w:rPr>
                <w:color w:val="000000"/>
                <w:sz w:val="20"/>
              </w:rPr>
              <w:t>a service</w:t>
            </w:r>
            <w:proofErr w:type="gramEnd"/>
            <w:r w:rsidRPr="00631C5B">
              <w:rPr>
                <w:color w:val="000000"/>
                <w:sz w:val="20"/>
              </w:rPr>
              <w:t xml:space="preserve"> which has been rendered within 5 years of a service to which this item or </w:t>
            </w:r>
            <w:r w:rsidR="00F51F05" w:rsidRPr="00631C5B">
              <w:rPr>
                <w:color w:val="000000"/>
                <w:sz w:val="20"/>
              </w:rPr>
              <w:t xml:space="preserve">item </w:t>
            </w:r>
            <w:r w:rsidRPr="00631C5B">
              <w:rPr>
                <w:color w:val="000000"/>
                <w:sz w:val="20"/>
              </w:rPr>
              <w:t>38</w:t>
            </w:r>
            <w:r w:rsidR="00D9014A" w:rsidRPr="00631C5B">
              <w:rPr>
                <w:color w:val="000000"/>
                <w:sz w:val="20"/>
              </w:rPr>
              <w:t>495</w:t>
            </w:r>
            <w:r w:rsidR="003671EA" w:rsidRPr="00631C5B">
              <w:rPr>
                <w:color w:val="000000"/>
                <w:sz w:val="20"/>
              </w:rPr>
              <w:t xml:space="preserve"> or 38522</w:t>
            </w:r>
            <w:r w:rsidRPr="00631C5B">
              <w:rPr>
                <w:color w:val="000000"/>
                <w:sz w:val="20"/>
              </w:rPr>
              <w:t xml:space="preserve"> applies</w:t>
            </w:r>
            <w:r w:rsidR="00D9014A" w:rsidRPr="00631C5B">
              <w:rPr>
                <w:color w:val="000000"/>
                <w:sz w:val="20"/>
              </w:rPr>
              <w:t xml:space="preserve"> </w:t>
            </w:r>
            <w:r w:rsidR="00055C80" w:rsidRPr="00631C5B">
              <w:rPr>
                <w:color w:val="000000"/>
                <w:sz w:val="20"/>
              </w:rPr>
              <w:t xml:space="preserve">(H) </w:t>
            </w:r>
            <w:r w:rsidR="00BD2A7C" w:rsidRPr="00631C5B">
              <w:rPr>
                <w:color w:val="000000"/>
                <w:sz w:val="20"/>
              </w:rPr>
              <w:t>(</w:t>
            </w:r>
            <w:proofErr w:type="spellStart"/>
            <w:r w:rsidR="00BD2A7C" w:rsidRPr="00631C5B">
              <w:rPr>
                <w:color w:val="000000"/>
                <w:sz w:val="20"/>
              </w:rPr>
              <w:t>Anaes</w:t>
            </w:r>
            <w:proofErr w:type="spellEnd"/>
            <w:r w:rsidR="00BD2A7C" w:rsidRPr="00631C5B">
              <w:rPr>
                <w:color w:val="000000"/>
                <w:sz w:val="20"/>
              </w:rPr>
              <w:t>.) (Assist.)</w:t>
            </w:r>
          </w:p>
        </w:tc>
        <w:tc>
          <w:tcPr>
            <w:tcW w:w="11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96F5D9" w14:textId="3157EDDD" w:rsidR="00EC58A1" w:rsidRPr="00631C5B" w:rsidRDefault="007138C7" w:rsidP="00EC58A1">
            <w:pPr>
              <w:spacing w:before="60" w:after="60" w:line="253" w:lineRule="atLeast"/>
              <w:ind w:left="595" w:right="-665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31C5B">
              <w:rPr>
                <w:rFonts w:eastAsia="Times New Roman" w:cs="Times New Roman"/>
                <w:color w:val="000000"/>
                <w:sz w:val="20"/>
                <w:lang w:eastAsia="en-AU"/>
              </w:rPr>
              <w:t>1,514.10</w:t>
            </w:r>
          </w:p>
        </w:tc>
      </w:tr>
      <w:tr w:rsidR="003671EA" w:rsidRPr="00631C5B" w14:paraId="4A7A8FE6" w14:textId="77777777" w:rsidTr="003671EA">
        <w:tc>
          <w:tcPr>
            <w:tcW w:w="6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630EED" w14:textId="6EC02E52" w:rsidR="003671EA" w:rsidRPr="00631C5B" w:rsidRDefault="003671EA" w:rsidP="00EC58A1">
            <w:pPr>
              <w:spacing w:before="60" w:after="60" w:line="253" w:lineRule="atLeast"/>
              <w:rPr>
                <w:rFonts w:eastAsia="Times New Roman" w:cs="Times New Roman"/>
                <w:sz w:val="20"/>
              </w:rPr>
            </w:pPr>
            <w:r w:rsidRPr="00631C5B">
              <w:rPr>
                <w:rFonts w:eastAsia="Times New Roman" w:cs="Times New Roman"/>
                <w:sz w:val="20"/>
              </w:rPr>
              <w:t>38522</w:t>
            </w:r>
          </w:p>
        </w:tc>
        <w:tc>
          <w:tcPr>
            <w:tcW w:w="31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F1D311" w14:textId="77777777" w:rsidR="003671EA" w:rsidRPr="00631C5B" w:rsidRDefault="003671EA" w:rsidP="003671EA">
            <w:pPr>
              <w:shd w:val="clear" w:color="auto" w:fill="FFFFFF"/>
              <w:spacing w:before="40" w:after="80" w:line="240" w:lineRule="auto"/>
              <w:rPr>
                <w:rFonts w:eastAsia="Times New Roman" w:cs="Times New Roman"/>
              </w:rPr>
            </w:pPr>
            <w:r w:rsidRPr="00631C5B">
              <w:rPr>
                <w:rFonts w:eastAsia="Times New Roman" w:cs="Times New Roman"/>
                <w:sz w:val="20"/>
              </w:rPr>
              <w:t>TAVI, for the treatment of symptomatic severe native calcific aortic stenosis, performed via transfemoral delivery, unless transfemoral delivery is contraindicated or not feasible, if:</w:t>
            </w:r>
          </w:p>
          <w:p w14:paraId="023B0A79" w14:textId="77777777" w:rsidR="003671EA" w:rsidRPr="00631C5B" w:rsidRDefault="003671EA" w:rsidP="003671EA">
            <w:pPr>
              <w:shd w:val="clear" w:color="auto" w:fill="FFFFFF"/>
              <w:spacing w:after="80" w:line="240" w:lineRule="auto"/>
              <w:ind w:left="486" w:hanging="360"/>
              <w:rPr>
                <w:rFonts w:eastAsia="Times New Roman" w:cs="Times New Roman"/>
                <w:sz w:val="24"/>
                <w:szCs w:val="24"/>
              </w:rPr>
            </w:pPr>
            <w:r w:rsidRPr="00631C5B">
              <w:rPr>
                <w:rFonts w:eastAsia="Times New Roman" w:cs="Times New Roman"/>
                <w:sz w:val="20"/>
              </w:rPr>
              <w:t>(a)</w:t>
            </w:r>
            <w:r w:rsidRPr="00631C5B">
              <w:rPr>
                <w:rFonts w:eastAsia="Times New Roman" w:cs="Times New Roman"/>
                <w:sz w:val="14"/>
                <w:szCs w:val="14"/>
              </w:rPr>
              <w:t>     </w:t>
            </w:r>
            <w:r w:rsidRPr="00631C5B">
              <w:rPr>
                <w:rFonts w:eastAsia="Times New Roman" w:cs="Times New Roman"/>
                <w:sz w:val="20"/>
              </w:rPr>
              <w:t>the TAVI Patient is at low risk for surgery; and</w:t>
            </w:r>
          </w:p>
          <w:p w14:paraId="2E0D6886" w14:textId="77777777" w:rsidR="003671EA" w:rsidRPr="00631C5B" w:rsidRDefault="003671EA" w:rsidP="003671EA">
            <w:pPr>
              <w:shd w:val="clear" w:color="auto" w:fill="FFFFFF"/>
              <w:spacing w:after="80" w:line="240" w:lineRule="auto"/>
              <w:ind w:left="486" w:hanging="357"/>
              <w:rPr>
                <w:rFonts w:eastAsia="Times New Roman" w:cs="Times New Roman"/>
                <w:sz w:val="24"/>
                <w:szCs w:val="24"/>
              </w:rPr>
            </w:pPr>
            <w:r w:rsidRPr="00631C5B">
              <w:rPr>
                <w:rFonts w:eastAsia="Times New Roman" w:cs="Times New Roman"/>
                <w:sz w:val="20"/>
              </w:rPr>
              <w:t>(b)</w:t>
            </w:r>
            <w:r w:rsidRPr="00631C5B">
              <w:rPr>
                <w:rFonts w:eastAsia="Times New Roman" w:cs="Times New Roman"/>
                <w:sz w:val="14"/>
                <w:szCs w:val="14"/>
              </w:rPr>
              <w:t>    </w:t>
            </w:r>
            <w:r w:rsidRPr="00631C5B">
              <w:rPr>
                <w:rFonts w:eastAsia="Times New Roman" w:cs="Times New Roman"/>
                <w:sz w:val="20"/>
              </w:rPr>
              <w:t>the service:</w:t>
            </w:r>
          </w:p>
          <w:p w14:paraId="536FA8BC" w14:textId="52EA028A" w:rsidR="003671EA" w:rsidRPr="00631C5B" w:rsidRDefault="003671EA" w:rsidP="003671EA">
            <w:pPr>
              <w:shd w:val="clear" w:color="auto" w:fill="FFFFFF"/>
              <w:spacing w:after="80" w:line="240" w:lineRule="auto"/>
              <w:ind w:left="912" w:hanging="425"/>
              <w:rPr>
                <w:rFonts w:eastAsia="Times New Roman" w:cs="Times New Roman"/>
                <w:sz w:val="24"/>
                <w:szCs w:val="24"/>
              </w:rPr>
            </w:pPr>
            <w:r w:rsidRPr="00631C5B">
              <w:rPr>
                <w:rFonts w:eastAsia="Times New Roman" w:cs="Times New Roman"/>
                <w:sz w:val="20"/>
              </w:rPr>
              <w:t>(</w:t>
            </w:r>
            <w:proofErr w:type="spellStart"/>
            <w:r w:rsidRPr="00631C5B">
              <w:rPr>
                <w:rFonts w:eastAsia="Times New Roman" w:cs="Times New Roman"/>
                <w:sz w:val="20"/>
              </w:rPr>
              <w:t>i</w:t>
            </w:r>
            <w:proofErr w:type="spellEnd"/>
            <w:r w:rsidRPr="00631C5B">
              <w:rPr>
                <w:rFonts w:eastAsia="Times New Roman" w:cs="Times New Roman"/>
                <w:sz w:val="20"/>
              </w:rPr>
              <w:t>)</w:t>
            </w:r>
            <w:r w:rsidRPr="00631C5B">
              <w:rPr>
                <w:rFonts w:eastAsia="Times New Roman" w:cs="Times New Roman"/>
                <w:sz w:val="14"/>
                <w:szCs w:val="14"/>
              </w:rPr>
              <w:t>       </w:t>
            </w:r>
            <w:r w:rsidRPr="00631C5B">
              <w:rPr>
                <w:rFonts w:eastAsia="Times New Roman" w:cs="Times New Roman"/>
                <w:sz w:val="20"/>
              </w:rPr>
              <w:t>is performed by a TAVI Practitioner in a TAVI Hospital; and</w:t>
            </w:r>
          </w:p>
          <w:p w14:paraId="7DA90CC9" w14:textId="7EA9B970" w:rsidR="003671EA" w:rsidRPr="00631C5B" w:rsidRDefault="003671EA" w:rsidP="003671EA">
            <w:pPr>
              <w:shd w:val="clear" w:color="auto" w:fill="FFFFFF"/>
              <w:spacing w:after="80" w:line="240" w:lineRule="auto"/>
              <w:ind w:left="912" w:hanging="425"/>
              <w:rPr>
                <w:rFonts w:eastAsia="Times New Roman" w:cs="Times New Roman"/>
                <w:sz w:val="24"/>
                <w:szCs w:val="24"/>
              </w:rPr>
            </w:pPr>
            <w:r w:rsidRPr="00631C5B">
              <w:rPr>
                <w:rFonts w:eastAsia="Times New Roman" w:cs="Times New Roman"/>
                <w:sz w:val="20"/>
              </w:rPr>
              <w:t>(ii)</w:t>
            </w:r>
            <w:r w:rsidRPr="00631C5B">
              <w:rPr>
                <w:rFonts w:eastAsia="Times New Roman" w:cs="Times New Roman"/>
                <w:sz w:val="14"/>
                <w:szCs w:val="14"/>
              </w:rPr>
              <w:t>     </w:t>
            </w:r>
            <w:r w:rsidR="008C65D9" w:rsidRPr="00631C5B">
              <w:rPr>
                <w:rFonts w:eastAsia="Times New Roman" w:cs="Times New Roman"/>
                <w:sz w:val="14"/>
                <w:szCs w:val="14"/>
              </w:rPr>
              <w:t xml:space="preserve"> </w:t>
            </w:r>
            <w:r w:rsidRPr="00631C5B">
              <w:rPr>
                <w:rFonts w:eastAsia="Times New Roman" w:cs="Times New Roman"/>
                <w:sz w:val="20"/>
              </w:rPr>
              <w:t xml:space="preserve">includes all intraoperative diagnostic imaging that the TAVI Practitioner performs upon the TAVI </w:t>
            </w:r>
            <w:proofErr w:type="gramStart"/>
            <w:r w:rsidRPr="00631C5B">
              <w:rPr>
                <w:rFonts w:eastAsia="Times New Roman" w:cs="Times New Roman"/>
                <w:sz w:val="20"/>
              </w:rPr>
              <w:t>Patient;</w:t>
            </w:r>
            <w:proofErr w:type="gramEnd"/>
          </w:p>
          <w:p w14:paraId="3E40834C" w14:textId="2608238A" w:rsidR="003671EA" w:rsidRPr="00631C5B" w:rsidRDefault="003671EA" w:rsidP="003671EA">
            <w:pPr>
              <w:spacing w:before="40" w:after="80" w:line="240" w:lineRule="auto"/>
              <w:rPr>
                <w:rFonts w:cs="Times New Roman"/>
                <w:snapToGrid w:val="0"/>
                <w:sz w:val="20"/>
              </w:rPr>
            </w:pPr>
            <w:r w:rsidRPr="00631C5B">
              <w:rPr>
                <w:rFonts w:eastAsia="Times New Roman" w:cs="Times New Roman"/>
                <w:sz w:val="20"/>
              </w:rPr>
              <w:t xml:space="preserve">not being </w:t>
            </w:r>
            <w:proofErr w:type="gramStart"/>
            <w:r w:rsidRPr="00631C5B">
              <w:rPr>
                <w:rFonts w:eastAsia="Times New Roman" w:cs="Times New Roman"/>
                <w:sz w:val="20"/>
              </w:rPr>
              <w:t>a service</w:t>
            </w:r>
            <w:proofErr w:type="gramEnd"/>
            <w:r w:rsidRPr="00631C5B">
              <w:rPr>
                <w:rFonts w:eastAsia="Times New Roman" w:cs="Times New Roman"/>
                <w:sz w:val="20"/>
              </w:rPr>
              <w:t xml:space="preserve"> which has been rendered within 5 years of a service to which this item or </w:t>
            </w:r>
            <w:r w:rsidR="00F51F05" w:rsidRPr="00631C5B">
              <w:rPr>
                <w:rFonts w:eastAsia="Times New Roman" w:cs="Times New Roman"/>
                <w:sz w:val="20"/>
              </w:rPr>
              <w:t xml:space="preserve">item </w:t>
            </w:r>
            <w:r w:rsidRPr="00631C5B">
              <w:rPr>
                <w:rFonts w:eastAsia="Times New Roman" w:cs="Times New Roman"/>
                <w:sz w:val="20"/>
              </w:rPr>
              <w:t>38495 or 38514 applies (H) (</w:t>
            </w:r>
            <w:proofErr w:type="spellStart"/>
            <w:r w:rsidRPr="00631C5B">
              <w:rPr>
                <w:rFonts w:eastAsia="Times New Roman" w:cs="Times New Roman"/>
                <w:sz w:val="20"/>
              </w:rPr>
              <w:t>Anaes</w:t>
            </w:r>
            <w:proofErr w:type="spellEnd"/>
            <w:r w:rsidRPr="00631C5B">
              <w:rPr>
                <w:rFonts w:eastAsia="Times New Roman" w:cs="Times New Roman"/>
                <w:sz w:val="20"/>
              </w:rPr>
              <w:t>.) (Assist.)</w:t>
            </w:r>
          </w:p>
        </w:tc>
        <w:tc>
          <w:tcPr>
            <w:tcW w:w="11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F9D559" w14:textId="25A09728" w:rsidR="003671EA" w:rsidRPr="00631C5B" w:rsidRDefault="007138C7" w:rsidP="00EC58A1">
            <w:pPr>
              <w:spacing w:before="60" w:after="60" w:line="253" w:lineRule="atLeast"/>
              <w:ind w:left="595" w:right="-665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31C5B">
              <w:rPr>
                <w:rFonts w:eastAsia="Times New Roman" w:cs="Times New Roman"/>
                <w:color w:val="000000"/>
                <w:sz w:val="20"/>
                <w:lang w:eastAsia="en-AU"/>
              </w:rPr>
              <w:t>1,514.10</w:t>
            </w:r>
          </w:p>
        </w:tc>
      </w:tr>
      <w:tr w:rsidR="003671EA" w:rsidRPr="00EC58A1" w14:paraId="594E596F" w14:textId="77777777" w:rsidTr="00EC58A1">
        <w:tc>
          <w:tcPr>
            <w:tcW w:w="650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33A5F4" w14:textId="0818E5A5" w:rsidR="003671EA" w:rsidRPr="00631C5B" w:rsidRDefault="003671EA" w:rsidP="00EC58A1">
            <w:pPr>
              <w:spacing w:before="60" w:after="60" w:line="253" w:lineRule="atLeast"/>
              <w:rPr>
                <w:rFonts w:eastAsia="Times New Roman" w:cs="Times New Roman"/>
                <w:color w:val="000000" w:themeColor="text1"/>
                <w:sz w:val="20"/>
              </w:rPr>
            </w:pPr>
            <w:r w:rsidRPr="00631C5B">
              <w:rPr>
                <w:rFonts w:eastAsia="Times New Roman" w:cs="Times New Roman"/>
                <w:sz w:val="20"/>
              </w:rPr>
              <w:t>38523</w:t>
            </w:r>
          </w:p>
        </w:tc>
        <w:tc>
          <w:tcPr>
            <w:tcW w:w="3100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92F6B9" w14:textId="0E3A8310" w:rsidR="001353A7" w:rsidRPr="00631C5B" w:rsidRDefault="003671EA" w:rsidP="003671EA">
            <w:pPr>
              <w:spacing w:before="40" w:after="80" w:line="240" w:lineRule="auto"/>
              <w:rPr>
                <w:rFonts w:cs="Times New Roman"/>
                <w:snapToGrid w:val="0"/>
                <w:color w:val="000000" w:themeColor="text1"/>
                <w:sz w:val="20"/>
              </w:rPr>
            </w:pPr>
            <w:r w:rsidRPr="00631C5B">
              <w:rPr>
                <w:rFonts w:cs="Times New Roman"/>
                <w:snapToGrid w:val="0"/>
                <w:color w:val="000000" w:themeColor="text1"/>
                <w:sz w:val="20"/>
              </w:rPr>
              <w:t xml:space="preserve">Percutaneous transcatheter delivery of dual-filter cerebral embolic protection system </w:t>
            </w:r>
            <w:r w:rsidR="00E1090B" w:rsidRPr="00631C5B">
              <w:rPr>
                <w:rFonts w:cs="Times New Roman"/>
                <w:snapToGrid w:val="0"/>
                <w:color w:val="000000" w:themeColor="text1"/>
                <w:sz w:val="20"/>
              </w:rPr>
              <w:t xml:space="preserve">during a </w:t>
            </w:r>
            <w:r w:rsidRPr="00631C5B">
              <w:rPr>
                <w:rFonts w:cs="Times New Roman"/>
                <w:snapToGrid w:val="0"/>
                <w:color w:val="000000" w:themeColor="text1"/>
                <w:sz w:val="20"/>
              </w:rPr>
              <w:t>TAVI</w:t>
            </w:r>
            <w:r w:rsidR="00E1090B" w:rsidRPr="00631C5B">
              <w:rPr>
                <w:rFonts w:cs="Times New Roman"/>
                <w:snapToGrid w:val="0"/>
                <w:color w:val="000000" w:themeColor="text1"/>
                <w:sz w:val="20"/>
              </w:rPr>
              <w:t xml:space="preserve"> procedure</w:t>
            </w:r>
            <w:r w:rsidRPr="00631C5B">
              <w:rPr>
                <w:rFonts w:cs="Times New Roman"/>
                <w:snapToGrid w:val="0"/>
                <w:color w:val="000000" w:themeColor="text1"/>
                <w:sz w:val="20"/>
              </w:rPr>
              <w:t>, for the reduction of postoperative embolic ischaemic strokes</w:t>
            </w:r>
            <w:r w:rsidR="007A7DF6" w:rsidRPr="00631C5B">
              <w:rPr>
                <w:rFonts w:cs="Times New Roman"/>
                <w:snapToGrid w:val="0"/>
                <w:color w:val="000000" w:themeColor="text1"/>
                <w:sz w:val="20"/>
              </w:rPr>
              <w:t xml:space="preserve">, </w:t>
            </w:r>
            <w:r w:rsidR="001353A7" w:rsidRPr="00631C5B">
              <w:rPr>
                <w:rFonts w:cs="Times New Roman"/>
                <w:snapToGrid w:val="0"/>
                <w:color w:val="000000" w:themeColor="text1"/>
                <w:sz w:val="20"/>
              </w:rPr>
              <w:t>if:</w:t>
            </w:r>
          </w:p>
          <w:p w14:paraId="663E90B6" w14:textId="4804C542" w:rsidR="007A7DF6" w:rsidRPr="00631C5B" w:rsidRDefault="001353A7" w:rsidP="001353A7">
            <w:pPr>
              <w:pStyle w:val="ListParagraph"/>
              <w:numPr>
                <w:ilvl w:val="0"/>
                <w:numId w:val="28"/>
              </w:numPr>
              <w:spacing w:before="0" w:beforeAutospacing="0" w:after="0" w:afterAutospacing="0"/>
              <w:rPr>
                <w:snapToGrid w:val="0"/>
                <w:color w:val="000000" w:themeColor="text1"/>
                <w:sz w:val="20"/>
              </w:rPr>
            </w:pPr>
            <w:r w:rsidRPr="00631C5B">
              <w:rPr>
                <w:snapToGrid w:val="0"/>
                <w:color w:val="000000" w:themeColor="text1"/>
                <w:sz w:val="20"/>
              </w:rPr>
              <w:t>the service</w:t>
            </w:r>
            <w:r w:rsidR="007A7DF6" w:rsidRPr="00631C5B">
              <w:rPr>
                <w:snapToGrid w:val="0"/>
                <w:color w:val="000000" w:themeColor="text1"/>
                <w:sz w:val="20"/>
              </w:rPr>
              <w:t xml:space="preserve"> is performed upon a TAVI Patient in a TAVI Hospital; and</w:t>
            </w:r>
          </w:p>
          <w:p w14:paraId="23E33852" w14:textId="2676CE17" w:rsidR="001353A7" w:rsidRPr="00631C5B" w:rsidRDefault="007A7DF6">
            <w:pPr>
              <w:pStyle w:val="ListParagraph"/>
              <w:numPr>
                <w:ilvl w:val="0"/>
                <w:numId w:val="28"/>
              </w:numPr>
              <w:spacing w:before="0" w:beforeAutospacing="0" w:after="0" w:afterAutospacing="0"/>
              <w:rPr>
                <w:snapToGrid w:val="0"/>
                <w:color w:val="000000" w:themeColor="text1"/>
                <w:sz w:val="20"/>
              </w:rPr>
            </w:pPr>
            <w:r w:rsidRPr="00631C5B">
              <w:rPr>
                <w:snapToGrid w:val="0"/>
                <w:color w:val="000000" w:themeColor="text1"/>
                <w:sz w:val="20"/>
              </w:rPr>
              <w:t xml:space="preserve">where the service is performed by </w:t>
            </w:r>
            <w:r w:rsidR="00655DA8" w:rsidRPr="00631C5B">
              <w:rPr>
                <w:snapToGrid w:val="0"/>
                <w:color w:val="000000" w:themeColor="text1"/>
                <w:sz w:val="20"/>
              </w:rPr>
              <w:t>the practitioner performing the TAVI procedure</w:t>
            </w:r>
            <w:r w:rsidRPr="00631C5B">
              <w:rPr>
                <w:snapToGrid w:val="0"/>
                <w:color w:val="000000" w:themeColor="text1"/>
                <w:sz w:val="20"/>
              </w:rPr>
              <w:t xml:space="preserve">, the service </w:t>
            </w:r>
            <w:r w:rsidR="001353A7" w:rsidRPr="00631C5B">
              <w:rPr>
                <w:snapToGrid w:val="0"/>
                <w:color w:val="000000" w:themeColor="text1"/>
                <w:sz w:val="20"/>
              </w:rPr>
              <w:t>includes all intraoperative diagnostic imaging that the TAVI Practitioner performs upon the TAVI Patient</w:t>
            </w:r>
          </w:p>
          <w:p w14:paraId="0E723EB6" w14:textId="14B5F776" w:rsidR="003671EA" w:rsidRPr="00631C5B" w:rsidRDefault="003671EA" w:rsidP="001353A7">
            <w:pPr>
              <w:rPr>
                <w:snapToGrid w:val="0"/>
                <w:color w:val="000000" w:themeColor="text1"/>
                <w:sz w:val="20"/>
              </w:rPr>
            </w:pPr>
            <w:r w:rsidRPr="00631C5B">
              <w:rPr>
                <w:snapToGrid w:val="0"/>
                <w:color w:val="000000" w:themeColor="text1"/>
                <w:sz w:val="20"/>
              </w:rPr>
              <w:t>(H) (</w:t>
            </w:r>
            <w:proofErr w:type="spellStart"/>
            <w:r w:rsidRPr="00631C5B">
              <w:rPr>
                <w:snapToGrid w:val="0"/>
                <w:color w:val="000000" w:themeColor="text1"/>
                <w:sz w:val="20"/>
              </w:rPr>
              <w:t>Anaes</w:t>
            </w:r>
            <w:proofErr w:type="spellEnd"/>
            <w:r w:rsidRPr="00631C5B">
              <w:rPr>
                <w:snapToGrid w:val="0"/>
                <w:color w:val="000000" w:themeColor="text1"/>
                <w:sz w:val="20"/>
              </w:rPr>
              <w:t>.) (Assist.)</w:t>
            </w:r>
          </w:p>
        </w:tc>
        <w:tc>
          <w:tcPr>
            <w:tcW w:w="1150" w:type="pct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DC8104" w14:textId="7858DD92" w:rsidR="003671EA" w:rsidRPr="003671EA" w:rsidRDefault="003671EA" w:rsidP="00EC58A1">
            <w:pPr>
              <w:spacing w:before="60" w:after="60" w:line="253" w:lineRule="atLeast"/>
              <w:ind w:left="595" w:right="-665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31C5B">
              <w:rPr>
                <w:rFonts w:eastAsia="Times New Roman" w:cs="Times New Roman"/>
                <w:color w:val="000000"/>
                <w:sz w:val="20"/>
                <w:lang w:eastAsia="en-AU"/>
              </w:rPr>
              <w:t>275.20</w:t>
            </w:r>
          </w:p>
        </w:tc>
      </w:tr>
    </w:tbl>
    <w:p w14:paraId="3C70B706" w14:textId="1F3A8861" w:rsidR="00EC58A1" w:rsidRPr="00EC58A1" w:rsidRDefault="00EC58A1" w:rsidP="00EC58A1">
      <w:pPr>
        <w:shd w:val="clear" w:color="auto" w:fill="FFFFFF"/>
        <w:rPr>
          <w:rFonts w:eastAsia="Times New Roman" w:cs="Times New Roman"/>
          <w:color w:val="000000"/>
          <w:szCs w:val="22"/>
          <w:lang w:eastAsia="en-AU"/>
        </w:rPr>
      </w:pPr>
    </w:p>
    <w:p w14:paraId="11C99597" w14:textId="19D4E33E" w:rsidR="00EC58A1" w:rsidRPr="00EC58A1" w:rsidRDefault="00EC58A1" w:rsidP="00EC58A1">
      <w:pPr>
        <w:pStyle w:val="Item"/>
        <w:ind w:left="0"/>
        <w:rPr>
          <w:lang w:eastAsia="en-US"/>
        </w:rPr>
      </w:pPr>
    </w:p>
    <w:sectPr w:rsidR="00EC58A1" w:rsidRPr="00EC58A1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6280C" w14:textId="77777777" w:rsidR="00E54A2C" w:rsidRDefault="00E54A2C" w:rsidP="00715914">
      <w:pPr>
        <w:spacing w:line="240" w:lineRule="auto"/>
      </w:pPr>
      <w:r>
        <w:separator/>
      </w:r>
    </w:p>
  </w:endnote>
  <w:endnote w:type="continuationSeparator" w:id="0">
    <w:p w14:paraId="09EF8230" w14:textId="77777777" w:rsidR="00E54A2C" w:rsidRDefault="00E54A2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35778" w14:textId="77777777" w:rsidR="000859DE" w:rsidRPr="00E33C1C" w:rsidRDefault="000859DE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859DE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0859DE" w:rsidRDefault="000859DE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3E85E536" w:rsidR="000859DE" w:rsidRPr="004E1307" w:rsidRDefault="000859DE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F01D0">
            <w:rPr>
              <w:i/>
              <w:noProof/>
              <w:sz w:val="18"/>
            </w:rPr>
            <w:t>Health Insurance (Section 3C General Medical Services – Transcatheter Aortic Valve Implantation) Amendment (Limit to Intermediate and High Risk Surgical Patients)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0859DE" w:rsidRDefault="000859DE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0859DE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0859DE" w:rsidRDefault="000859DE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0859DE" w:rsidRPr="00ED79B6" w:rsidRDefault="000859DE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12FF0" w14:textId="77777777" w:rsidR="000859DE" w:rsidRPr="00E33C1C" w:rsidRDefault="000859DE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0859DE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0859DE" w:rsidRDefault="000859D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563F3BE1" w:rsidR="000859DE" w:rsidRDefault="000859DE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F01D0">
            <w:rPr>
              <w:i/>
              <w:noProof/>
              <w:sz w:val="18"/>
            </w:rPr>
            <w:t>Health Insurance (Section 3C General Medical Services – Transcatheter Aortic Valve Implantation) Amendment (Limit to Intermediate and High Risk Surgical Patients)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0859DE" w:rsidRDefault="000859DE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859DE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0859DE" w:rsidRDefault="000859DE" w:rsidP="00A369E3">
          <w:pPr>
            <w:rPr>
              <w:sz w:val="18"/>
            </w:rPr>
          </w:pPr>
        </w:p>
      </w:tc>
    </w:tr>
  </w:tbl>
  <w:p w14:paraId="1B991271" w14:textId="77777777" w:rsidR="000859DE" w:rsidRPr="00ED79B6" w:rsidRDefault="000859D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83C8E" w14:textId="77777777" w:rsidR="000859DE" w:rsidRPr="00E33C1C" w:rsidRDefault="000859DE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0859DE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0859DE" w:rsidRDefault="000859D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0859DE" w:rsidRDefault="000859DE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0859DE" w:rsidRDefault="000859DE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77777777" w:rsidR="000859DE" w:rsidRPr="00ED79B6" w:rsidRDefault="000859DE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51B3B" w14:textId="77777777" w:rsidR="000859DE" w:rsidRPr="002B0EA5" w:rsidRDefault="000859DE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0859DE" w14:paraId="3C05DE38" w14:textId="77777777" w:rsidTr="000E05F9">
      <w:tc>
        <w:tcPr>
          <w:tcW w:w="365" w:type="pct"/>
        </w:tcPr>
        <w:p w14:paraId="66C24B85" w14:textId="77777777" w:rsidR="000859DE" w:rsidRDefault="000859DE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4F9721A3" w:rsidR="000859DE" w:rsidRDefault="000859DE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F01D0">
            <w:rPr>
              <w:i/>
              <w:noProof/>
              <w:sz w:val="18"/>
            </w:rPr>
            <w:t>Health Insurance (Section 3C General Medical Services – Transcatheter Aortic Valve Implantation) Amendment (Limit to Intermediate and High Risk Surgical Patients) Determination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0859DE" w:rsidRDefault="000859DE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0859DE" w14:paraId="31FC1FAD" w14:textId="77777777" w:rsidTr="000E05F9">
      <w:tc>
        <w:tcPr>
          <w:tcW w:w="5000" w:type="pct"/>
          <w:gridSpan w:val="3"/>
        </w:tcPr>
        <w:p w14:paraId="482AEE13" w14:textId="77777777" w:rsidR="000859DE" w:rsidRDefault="000859DE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0859DE" w:rsidRPr="00ED79B6" w:rsidRDefault="000859DE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68EC7" w14:textId="77777777" w:rsidR="000859DE" w:rsidRPr="002B0EA5" w:rsidRDefault="000859DE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0859DE" w14:paraId="16C96B4D" w14:textId="77777777" w:rsidTr="000E05F9">
      <w:tc>
        <w:tcPr>
          <w:tcW w:w="947" w:type="pct"/>
        </w:tcPr>
        <w:p w14:paraId="0850382C" w14:textId="77777777" w:rsidR="000859DE" w:rsidRDefault="000859DE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1A9C6AA5" w:rsidR="000859DE" w:rsidRDefault="000859DE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31C5B">
            <w:rPr>
              <w:i/>
              <w:noProof/>
              <w:sz w:val="18"/>
            </w:rPr>
            <w:t>Health Insurance (Section 3C General Medical Services – Transcatheter Aortic Valve Implantation) Amendment (Low Risk Surgical Patients and CEP Device)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474901C" w14:textId="076F1A13" w:rsidR="000859DE" w:rsidRDefault="000859DE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859DE" w14:paraId="783563EC" w14:textId="77777777" w:rsidTr="000E05F9">
      <w:tc>
        <w:tcPr>
          <w:tcW w:w="5000" w:type="pct"/>
          <w:gridSpan w:val="3"/>
        </w:tcPr>
        <w:p w14:paraId="48261661" w14:textId="77777777" w:rsidR="000859DE" w:rsidRDefault="000859DE" w:rsidP="000E05F9">
          <w:pPr>
            <w:rPr>
              <w:sz w:val="18"/>
            </w:rPr>
          </w:pPr>
        </w:p>
      </w:tc>
    </w:tr>
  </w:tbl>
  <w:p w14:paraId="33474906" w14:textId="77777777" w:rsidR="000859DE" w:rsidRPr="00ED79B6" w:rsidRDefault="000859DE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0D4C0" w14:textId="77777777" w:rsidR="000859DE" w:rsidRPr="002B0EA5" w:rsidRDefault="000859DE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0859DE" w14:paraId="44C0DBC8" w14:textId="77777777" w:rsidTr="000E05F9">
      <w:tc>
        <w:tcPr>
          <w:tcW w:w="365" w:type="pct"/>
        </w:tcPr>
        <w:p w14:paraId="25BE9428" w14:textId="15AC292A" w:rsidR="000859DE" w:rsidRDefault="000859DE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2DF17821" w:rsidR="000859DE" w:rsidRDefault="000859DE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31C5B">
            <w:rPr>
              <w:i/>
              <w:noProof/>
              <w:sz w:val="18"/>
            </w:rPr>
            <w:t>Health Insurance (Section 3C General Medical Services – Transcatheter Aortic Valve Implantation) Amendment (Low Risk Surgical Patients and CEP Device)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4943F4" w14:textId="77777777" w:rsidR="000859DE" w:rsidRDefault="000859DE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0859DE" w14:paraId="145A34D1" w14:textId="77777777" w:rsidTr="000E05F9">
      <w:tc>
        <w:tcPr>
          <w:tcW w:w="5000" w:type="pct"/>
          <w:gridSpan w:val="3"/>
        </w:tcPr>
        <w:p w14:paraId="35BC501D" w14:textId="77777777" w:rsidR="000859DE" w:rsidRDefault="000859DE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0859DE" w:rsidRPr="00ED79B6" w:rsidRDefault="000859DE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6D2C7" w14:textId="77777777" w:rsidR="000859DE" w:rsidRPr="002B0EA5" w:rsidRDefault="000859DE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0859DE" w14:paraId="5DBDFC33" w14:textId="77777777" w:rsidTr="000E05F9">
      <w:tc>
        <w:tcPr>
          <w:tcW w:w="947" w:type="pct"/>
        </w:tcPr>
        <w:p w14:paraId="5B00D949" w14:textId="77777777" w:rsidR="000859DE" w:rsidRDefault="000859DE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00F1D14F" w:rsidR="000859DE" w:rsidRDefault="000859DE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31C5B">
            <w:rPr>
              <w:i/>
              <w:noProof/>
              <w:sz w:val="18"/>
            </w:rPr>
            <w:t>Health Insurance (Section 3C General Medical Services – Transcatheter Aortic Valve Implantation) Amendment (Low Risk Surgical Patients and CEP Device)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C5A7A9" w14:textId="437879CD" w:rsidR="000859DE" w:rsidRDefault="000859DE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859DE" w14:paraId="5D550B5F" w14:textId="77777777" w:rsidTr="000E05F9">
      <w:tc>
        <w:tcPr>
          <w:tcW w:w="5000" w:type="pct"/>
          <w:gridSpan w:val="3"/>
        </w:tcPr>
        <w:p w14:paraId="5C810977" w14:textId="77777777" w:rsidR="000859DE" w:rsidRDefault="000859DE" w:rsidP="000E05F9">
          <w:pPr>
            <w:rPr>
              <w:sz w:val="18"/>
            </w:rPr>
          </w:pPr>
        </w:p>
      </w:tc>
    </w:tr>
  </w:tbl>
  <w:p w14:paraId="22A21FFE" w14:textId="77777777" w:rsidR="000859DE" w:rsidRPr="00ED79B6" w:rsidRDefault="000859DE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ECE74" w14:textId="77777777" w:rsidR="00E54A2C" w:rsidRDefault="00E54A2C" w:rsidP="00715914">
      <w:pPr>
        <w:spacing w:line="240" w:lineRule="auto"/>
      </w:pPr>
      <w:r>
        <w:separator/>
      </w:r>
    </w:p>
  </w:footnote>
  <w:footnote w:type="continuationSeparator" w:id="0">
    <w:p w14:paraId="11919DDF" w14:textId="77777777" w:rsidR="00E54A2C" w:rsidRDefault="00E54A2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B2020" w14:textId="77777777" w:rsidR="000859DE" w:rsidRPr="005F1388" w:rsidRDefault="000859D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8E793" w14:textId="77777777" w:rsidR="000859DE" w:rsidRPr="005F1388" w:rsidRDefault="000859D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F513B" w14:textId="77777777" w:rsidR="000859DE" w:rsidRPr="00ED79B6" w:rsidRDefault="000859DE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ECE74" w14:textId="77777777" w:rsidR="000859DE" w:rsidRPr="00ED79B6" w:rsidRDefault="000859DE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FA8B2" w14:textId="77777777" w:rsidR="000859DE" w:rsidRPr="00ED79B6" w:rsidRDefault="000859D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772F7" w14:textId="77777777" w:rsidR="000859DE" w:rsidRDefault="000859DE" w:rsidP="00715914">
    <w:pPr>
      <w:rPr>
        <w:sz w:val="20"/>
      </w:rPr>
    </w:pPr>
  </w:p>
  <w:p w14:paraId="6C624911" w14:textId="77777777" w:rsidR="000859DE" w:rsidRDefault="000859DE" w:rsidP="00715914">
    <w:pPr>
      <w:rPr>
        <w:sz w:val="20"/>
      </w:rPr>
    </w:pPr>
  </w:p>
  <w:p w14:paraId="1199FB21" w14:textId="77777777" w:rsidR="000859DE" w:rsidRPr="007A1328" w:rsidRDefault="000859DE" w:rsidP="00715914">
    <w:pPr>
      <w:rPr>
        <w:sz w:val="20"/>
      </w:rPr>
    </w:pPr>
  </w:p>
  <w:p w14:paraId="5B43CE78" w14:textId="77777777" w:rsidR="000859DE" w:rsidRPr="007A1328" w:rsidRDefault="000859DE" w:rsidP="00715914">
    <w:pPr>
      <w:rPr>
        <w:b/>
        <w:sz w:val="24"/>
      </w:rPr>
    </w:pPr>
  </w:p>
  <w:p w14:paraId="5354B53F" w14:textId="77777777" w:rsidR="000859DE" w:rsidRPr="007A1328" w:rsidRDefault="000859DE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949B4" w14:textId="77777777" w:rsidR="000859DE" w:rsidRPr="007A1328" w:rsidRDefault="000859DE" w:rsidP="00715914">
    <w:pPr>
      <w:jc w:val="right"/>
      <w:rPr>
        <w:sz w:val="20"/>
      </w:rPr>
    </w:pPr>
  </w:p>
  <w:p w14:paraId="4D4D5754" w14:textId="77777777" w:rsidR="000859DE" w:rsidRPr="007A1328" w:rsidRDefault="000859DE" w:rsidP="00715914">
    <w:pPr>
      <w:jc w:val="right"/>
      <w:rPr>
        <w:sz w:val="20"/>
      </w:rPr>
    </w:pPr>
  </w:p>
  <w:p w14:paraId="2B1C22A9" w14:textId="77777777" w:rsidR="000859DE" w:rsidRPr="007A1328" w:rsidRDefault="000859DE" w:rsidP="00715914">
    <w:pPr>
      <w:jc w:val="right"/>
      <w:rPr>
        <w:sz w:val="20"/>
      </w:rPr>
    </w:pPr>
  </w:p>
  <w:p w14:paraId="716A6B82" w14:textId="77777777" w:rsidR="000859DE" w:rsidRPr="007A1328" w:rsidRDefault="000859DE" w:rsidP="00715914">
    <w:pPr>
      <w:jc w:val="right"/>
      <w:rPr>
        <w:b/>
        <w:sz w:val="24"/>
      </w:rPr>
    </w:pPr>
  </w:p>
  <w:p w14:paraId="1AAB4A52" w14:textId="77777777" w:rsidR="000859DE" w:rsidRPr="007A1328" w:rsidRDefault="000859DE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6E2"/>
    <w:multiLevelType w:val="hybridMultilevel"/>
    <w:tmpl w:val="FA787596"/>
    <w:lvl w:ilvl="0" w:tplc="6B285F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50DE6"/>
    <w:multiLevelType w:val="hybridMultilevel"/>
    <w:tmpl w:val="18F283E4"/>
    <w:lvl w:ilvl="0" w:tplc="8FECB2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4003C5C"/>
    <w:multiLevelType w:val="hybridMultilevel"/>
    <w:tmpl w:val="FA787596"/>
    <w:lvl w:ilvl="0" w:tplc="6B285F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F2E61"/>
    <w:multiLevelType w:val="hybridMultilevel"/>
    <w:tmpl w:val="3B442448"/>
    <w:lvl w:ilvl="0" w:tplc="3F0AB7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A02C5"/>
    <w:multiLevelType w:val="hybridMultilevel"/>
    <w:tmpl w:val="FE06F7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60B70"/>
    <w:multiLevelType w:val="multilevel"/>
    <w:tmpl w:val="E9C6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C069B7"/>
    <w:multiLevelType w:val="hybridMultilevel"/>
    <w:tmpl w:val="18F283E4"/>
    <w:lvl w:ilvl="0" w:tplc="8FECB2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9064F"/>
    <w:multiLevelType w:val="hybridMultilevel"/>
    <w:tmpl w:val="5B32EBBC"/>
    <w:lvl w:ilvl="0" w:tplc="F6AE2C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3"/>
  </w:num>
  <w:num w:numId="13">
    <w:abstractNumId w:val="17"/>
  </w:num>
  <w:num w:numId="14">
    <w:abstractNumId w:val="12"/>
  </w:num>
  <w:num w:numId="15">
    <w:abstractNumId w:val="21"/>
  </w:num>
  <w:num w:numId="16">
    <w:abstractNumId w:val="14"/>
  </w:num>
  <w:num w:numId="17">
    <w:abstractNumId w:val="27"/>
  </w:num>
  <w:num w:numId="18">
    <w:abstractNumId w:val="16"/>
  </w:num>
  <w:num w:numId="19">
    <w:abstractNumId w:val="23"/>
  </w:num>
  <w:num w:numId="20">
    <w:abstractNumId w:val="15"/>
  </w:num>
  <w:num w:numId="21">
    <w:abstractNumId w:val="19"/>
  </w:num>
  <w:num w:numId="22">
    <w:abstractNumId w:val="25"/>
  </w:num>
  <w:num w:numId="23">
    <w:abstractNumId w:val="18"/>
  </w:num>
  <w:num w:numId="24">
    <w:abstractNumId w:val="11"/>
  </w:num>
  <w:num w:numId="25">
    <w:abstractNumId w:val="10"/>
  </w:num>
  <w:num w:numId="26">
    <w:abstractNumId w:val="20"/>
  </w:num>
  <w:num w:numId="27">
    <w:abstractNumId w:val="24"/>
    <w:lvlOverride w:ilvl="0">
      <w:startOverride w:val="1"/>
    </w:lvlOverride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5B"/>
    <w:rsid w:val="00004174"/>
    <w:rsid w:val="00004470"/>
    <w:rsid w:val="00010375"/>
    <w:rsid w:val="000136AF"/>
    <w:rsid w:val="000258B1"/>
    <w:rsid w:val="000261E4"/>
    <w:rsid w:val="00037A04"/>
    <w:rsid w:val="00040A89"/>
    <w:rsid w:val="0004338F"/>
    <w:rsid w:val="000437C1"/>
    <w:rsid w:val="0004455A"/>
    <w:rsid w:val="0005365D"/>
    <w:rsid w:val="00055C80"/>
    <w:rsid w:val="000614BF"/>
    <w:rsid w:val="0006709C"/>
    <w:rsid w:val="00070BC9"/>
    <w:rsid w:val="00072302"/>
    <w:rsid w:val="00073810"/>
    <w:rsid w:val="00074376"/>
    <w:rsid w:val="00077E1B"/>
    <w:rsid w:val="000859DE"/>
    <w:rsid w:val="000872E3"/>
    <w:rsid w:val="000978F5"/>
    <w:rsid w:val="000A0FDF"/>
    <w:rsid w:val="000A5598"/>
    <w:rsid w:val="000B15CD"/>
    <w:rsid w:val="000B35EB"/>
    <w:rsid w:val="000B4ACA"/>
    <w:rsid w:val="000B60D8"/>
    <w:rsid w:val="000D05EF"/>
    <w:rsid w:val="000D48EF"/>
    <w:rsid w:val="000E05F9"/>
    <w:rsid w:val="000E2261"/>
    <w:rsid w:val="000E78B7"/>
    <w:rsid w:val="000F21C1"/>
    <w:rsid w:val="001013CE"/>
    <w:rsid w:val="0010745C"/>
    <w:rsid w:val="00131922"/>
    <w:rsid w:val="00132CEB"/>
    <w:rsid w:val="001339B0"/>
    <w:rsid w:val="001353A7"/>
    <w:rsid w:val="00142B62"/>
    <w:rsid w:val="001441B7"/>
    <w:rsid w:val="001516CB"/>
    <w:rsid w:val="00152336"/>
    <w:rsid w:val="00157B8B"/>
    <w:rsid w:val="00166C2F"/>
    <w:rsid w:val="0017256F"/>
    <w:rsid w:val="001809D7"/>
    <w:rsid w:val="001939E1"/>
    <w:rsid w:val="00194C3E"/>
    <w:rsid w:val="00195382"/>
    <w:rsid w:val="001A1191"/>
    <w:rsid w:val="001B2CB6"/>
    <w:rsid w:val="001C61C5"/>
    <w:rsid w:val="001C69C4"/>
    <w:rsid w:val="001D37EF"/>
    <w:rsid w:val="001E0680"/>
    <w:rsid w:val="001E3590"/>
    <w:rsid w:val="001E4239"/>
    <w:rsid w:val="001E7407"/>
    <w:rsid w:val="001F5D5E"/>
    <w:rsid w:val="001F6219"/>
    <w:rsid w:val="001F6CD4"/>
    <w:rsid w:val="002008BF"/>
    <w:rsid w:val="00206C4D"/>
    <w:rsid w:val="00215AF1"/>
    <w:rsid w:val="002321E8"/>
    <w:rsid w:val="00232984"/>
    <w:rsid w:val="00235AEA"/>
    <w:rsid w:val="0024010F"/>
    <w:rsid w:val="00240749"/>
    <w:rsid w:val="00243018"/>
    <w:rsid w:val="002564A4"/>
    <w:rsid w:val="00266E0A"/>
    <w:rsid w:val="0026736C"/>
    <w:rsid w:val="0027414B"/>
    <w:rsid w:val="00280E43"/>
    <w:rsid w:val="00281308"/>
    <w:rsid w:val="00283C8F"/>
    <w:rsid w:val="00283E94"/>
    <w:rsid w:val="00284719"/>
    <w:rsid w:val="002924C6"/>
    <w:rsid w:val="00297ECB"/>
    <w:rsid w:val="002A27EE"/>
    <w:rsid w:val="002A3F4C"/>
    <w:rsid w:val="002A677B"/>
    <w:rsid w:val="002A7BCF"/>
    <w:rsid w:val="002C3FD1"/>
    <w:rsid w:val="002D043A"/>
    <w:rsid w:val="002D266B"/>
    <w:rsid w:val="002D6224"/>
    <w:rsid w:val="002E3D91"/>
    <w:rsid w:val="002E71F4"/>
    <w:rsid w:val="002F01D0"/>
    <w:rsid w:val="002F2EF1"/>
    <w:rsid w:val="00304F8B"/>
    <w:rsid w:val="00317DF4"/>
    <w:rsid w:val="003203CD"/>
    <w:rsid w:val="00335BC6"/>
    <w:rsid w:val="003415D3"/>
    <w:rsid w:val="00342A24"/>
    <w:rsid w:val="00344338"/>
    <w:rsid w:val="00344701"/>
    <w:rsid w:val="00347A5B"/>
    <w:rsid w:val="00352B0F"/>
    <w:rsid w:val="00355B22"/>
    <w:rsid w:val="00360459"/>
    <w:rsid w:val="003671EA"/>
    <w:rsid w:val="0038049F"/>
    <w:rsid w:val="003820E6"/>
    <w:rsid w:val="003A41A2"/>
    <w:rsid w:val="003B0A72"/>
    <w:rsid w:val="003B55D6"/>
    <w:rsid w:val="003C170F"/>
    <w:rsid w:val="003C6231"/>
    <w:rsid w:val="003C78D3"/>
    <w:rsid w:val="003D0BFE"/>
    <w:rsid w:val="003D5700"/>
    <w:rsid w:val="003E2302"/>
    <w:rsid w:val="003E341B"/>
    <w:rsid w:val="003E4D00"/>
    <w:rsid w:val="003E73C0"/>
    <w:rsid w:val="0040393C"/>
    <w:rsid w:val="004116CD"/>
    <w:rsid w:val="00417EB9"/>
    <w:rsid w:val="00424CA9"/>
    <w:rsid w:val="004276DF"/>
    <w:rsid w:val="00431E9B"/>
    <w:rsid w:val="004379E3"/>
    <w:rsid w:val="0044015E"/>
    <w:rsid w:val="00440732"/>
    <w:rsid w:val="0044291A"/>
    <w:rsid w:val="00461644"/>
    <w:rsid w:val="0046431B"/>
    <w:rsid w:val="00467661"/>
    <w:rsid w:val="00470F5E"/>
    <w:rsid w:val="00472DBE"/>
    <w:rsid w:val="00474A19"/>
    <w:rsid w:val="00477830"/>
    <w:rsid w:val="00481A23"/>
    <w:rsid w:val="00487764"/>
    <w:rsid w:val="004940C4"/>
    <w:rsid w:val="00495AF2"/>
    <w:rsid w:val="00496F97"/>
    <w:rsid w:val="004A438A"/>
    <w:rsid w:val="004B6C48"/>
    <w:rsid w:val="004C0DEB"/>
    <w:rsid w:val="004C37EE"/>
    <w:rsid w:val="004C4E59"/>
    <w:rsid w:val="004C6809"/>
    <w:rsid w:val="004E063A"/>
    <w:rsid w:val="004E1307"/>
    <w:rsid w:val="004E7BEC"/>
    <w:rsid w:val="00505D3D"/>
    <w:rsid w:val="00506AF6"/>
    <w:rsid w:val="00516B8D"/>
    <w:rsid w:val="00516E94"/>
    <w:rsid w:val="00520EEE"/>
    <w:rsid w:val="005303C8"/>
    <w:rsid w:val="00537FBC"/>
    <w:rsid w:val="0055289A"/>
    <w:rsid w:val="0055441A"/>
    <w:rsid w:val="00554826"/>
    <w:rsid w:val="00562877"/>
    <w:rsid w:val="00564803"/>
    <w:rsid w:val="0056525E"/>
    <w:rsid w:val="00584097"/>
    <w:rsid w:val="00584811"/>
    <w:rsid w:val="00585784"/>
    <w:rsid w:val="00593AA6"/>
    <w:rsid w:val="00594161"/>
    <w:rsid w:val="00594749"/>
    <w:rsid w:val="005A4B31"/>
    <w:rsid w:val="005A4B62"/>
    <w:rsid w:val="005A65D5"/>
    <w:rsid w:val="005B200C"/>
    <w:rsid w:val="005B3F55"/>
    <w:rsid w:val="005B4067"/>
    <w:rsid w:val="005B42B2"/>
    <w:rsid w:val="005B6594"/>
    <w:rsid w:val="005C3F41"/>
    <w:rsid w:val="005C7B4F"/>
    <w:rsid w:val="005D1D92"/>
    <w:rsid w:val="005D2D09"/>
    <w:rsid w:val="005D69E7"/>
    <w:rsid w:val="005D7B51"/>
    <w:rsid w:val="005E4F7F"/>
    <w:rsid w:val="005F30B6"/>
    <w:rsid w:val="005F315A"/>
    <w:rsid w:val="00600219"/>
    <w:rsid w:val="00604F2A"/>
    <w:rsid w:val="00606AF9"/>
    <w:rsid w:val="00606F09"/>
    <w:rsid w:val="0061585D"/>
    <w:rsid w:val="00620076"/>
    <w:rsid w:val="00627E0A"/>
    <w:rsid w:val="00631C5B"/>
    <w:rsid w:val="0063209F"/>
    <w:rsid w:val="00642331"/>
    <w:rsid w:val="006443F2"/>
    <w:rsid w:val="0065488B"/>
    <w:rsid w:val="00655DA8"/>
    <w:rsid w:val="00670EA1"/>
    <w:rsid w:val="00677CC2"/>
    <w:rsid w:val="0068744B"/>
    <w:rsid w:val="006905DE"/>
    <w:rsid w:val="0069207B"/>
    <w:rsid w:val="00697781"/>
    <w:rsid w:val="006A0839"/>
    <w:rsid w:val="006A154F"/>
    <w:rsid w:val="006A437B"/>
    <w:rsid w:val="006B1337"/>
    <w:rsid w:val="006B5789"/>
    <w:rsid w:val="006C30C5"/>
    <w:rsid w:val="006C38E6"/>
    <w:rsid w:val="006C41DF"/>
    <w:rsid w:val="006C7F8C"/>
    <w:rsid w:val="006E2E1C"/>
    <w:rsid w:val="006E4395"/>
    <w:rsid w:val="006E6246"/>
    <w:rsid w:val="006E69C2"/>
    <w:rsid w:val="006E6DCC"/>
    <w:rsid w:val="006F1F31"/>
    <w:rsid w:val="006F318F"/>
    <w:rsid w:val="006F7B1F"/>
    <w:rsid w:val="0070017E"/>
    <w:rsid w:val="00700B2C"/>
    <w:rsid w:val="007050A2"/>
    <w:rsid w:val="0070716F"/>
    <w:rsid w:val="00712143"/>
    <w:rsid w:val="00713084"/>
    <w:rsid w:val="007138C7"/>
    <w:rsid w:val="007141BF"/>
    <w:rsid w:val="00714F20"/>
    <w:rsid w:val="0071590F"/>
    <w:rsid w:val="00715914"/>
    <w:rsid w:val="0072147A"/>
    <w:rsid w:val="00723791"/>
    <w:rsid w:val="00731E00"/>
    <w:rsid w:val="007440B7"/>
    <w:rsid w:val="00745F80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A1BB2"/>
    <w:rsid w:val="007A521A"/>
    <w:rsid w:val="007A7C26"/>
    <w:rsid w:val="007A7DF6"/>
    <w:rsid w:val="007C1D5D"/>
    <w:rsid w:val="007C2253"/>
    <w:rsid w:val="007D7911"/>
    <w:rsid w:val="007E163D"/>
    <w:rsid w:val="007E667A"/>
    <w:rsid w:val="007F28C9"/>
    <w:rsid w:val="007F51B2"/>
    <w:rsid w:val="008011D8"/>
    <w:rsid w:val="008040DD"/>
    <w:rsid w:val="00810B93"/>
    <w:rsid w:val="008117E9"/>
    <w:rsid w:val="00820670"/>
    <w:rsid w:val="0082443C"/>
    <w:rsid w:val="00824498"/>
    <w:rsid w:val="00826BCE"/>
    <w:rsid w:val="00826BD1"/>
    <w:rsid w:val="00844D3C"/>
    <w:rsid w:val="00846F98"/>
    <w:rsid w:val="00854D0B"/>
    <w:rsid w:val="00856A31"/>
    <w:rsid w:val="00860B4E"/>
    <w:rsid w:val="0086399C"/>
    <w:rsid w:val="00867B37"/>
    <w:rsid w:val="0087329B"/>
    <w:rsid w:val="008754D0"/>
    <w:rsid w:val="00875D13"/>
    <w:rsid w:val="008855C9"/>
    <w:rsid w:val="00886456"/>
    <w:rsid w:val="008943C9"/>
    <w:rsid w:val="00894B2B"/>
    <w:rsid w:val="00896176"/>
    <w:rsid w:val="008977EC"/>
    <w:rsid w:val="008A1D2A"/>
    <w:rsid w:val="008A202E"/>
    <w:rsid w:val="008A28A5"/>
    <w:rsid w:val="008A46E1"/>
    <w:rsid w:val="008A4F43"/>
    <w:rsid w:val="008A6AAC"/>
    <w:rsid w:val="008B1786"/>
    <w:rsid w:val="008B2706"/>
    <w:rsid w:val="008C2EAC"/>
    <w:rsid w:val="008C65D9"/>
    <w:rsid w:val="008C71DB"/>
    <w:rsid w:val="008D0EE0"/>
    <w:rsid w:val="008D6E4C"/>
    <w:rsid w:val="008E0027"/>
    <w:rsid w:val="008E25E8"/>
    <w:rsid w:val="008E6067"/>
    <w:rsid w:val="008F54E7"/>
    <w:rsid w:val="00903422"/>
    <w:rsid w:val="00911CA1"/>
    <w:rsid w:val="00914E47"/>
    <w:rsid w:val="009254C3"/>
    <w:rsid w:val="00932377"/>
    <w:rsid w:val="00941236"/>
    <w:rsid w:val="00943FD5"/>
    <w:rsid w:val="00947D5A"/>
    <w:rsid w:val="009532A5"/>
    <w:rsid w:val="009545BD"/>
    <w:rsid w:val="00954E0F"/>
    <w:rsid w:val="009634B6"/>
    <w:rsid w:val="00964CF0"/>
    <w:rsid w:val="00977806"/>
    <w:rsid w:val="00982242"/>
    <w:rsid w:val="00983C01"/>
    <w:rsid w:val="009841B4"/>
    <w:rsid w:val="009868E9"/>
    <w:rsid w:val="009900A3"/>
    <w:rsid w:val="009951F7"/>
    <w:rsid w:val="00995BB8"/>
    <w:rsid w:val="009A2865"/>
    <w:rsid w:val="009C1523"/>
    <w:rsid w:val="009C3413"/>
    <w:rsid w:val="009D4587"/>
    <w:rsid w:val="00A0441E"/>
    <w:rsid w:val="00A12128"/>
    <w:rsid w:val="00A22C98"/>
    <w:rsid w:val="00A231E2"/>
    <w:rsid w:val="00A250FB"/>
    <w:rsid w:val="00A25397"/>
    <w:rsid w:val="00A369E3"/>
    <w:rsid w:val="00A42093"/>
    <w:rsid w:val="00A525F8"/>
    <w:rsid w:val="00A57600"/>
    <w:rsid w:val="00A606F0"/>
    <w:rsid w:val="00A64912"/>
    <w:rsid w:val="00A70A74"/>
    <w:rsid w:val="00A75FE9"/>
    <w:rsid w:val="00A76FE3"/>
    <w:rsid w:val="00A907E6"/>
    <w:rsid w:val="00AB05FB"/>
    <w:rsid w:val="00AB3976"/>
    <w:rsid w:val="00AD53CC"/>
    <w:rsid w:val="00AD5641"/>
    <w:rsid w:val="00AF06CF"/>
    <w:rsid w:val="00AF7443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68"/>
    <w:rsid w:val="00B566B1"/>
    <w:rsid w:val="00B63834"/>
    <w:rsid w:val="00B74203"/>
    <w:rsid w:val="00B763B0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2A7C"/>
    <w:rsid w:val="00BD4186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53948"/>
    <w:rsid w:val="00C6549B"/>
    <w:rsid w:val="00C67909"/>
    <w:rsid w:val="00C7171E"/>
    <w:rsid w:val="00C7573B"/>
    <w:rsid w:val="00C8038A"/>
    <w:rsid w:val="00C8684E"/>
    <w:rsid w:val="00C97A54"/>
    <w:rsid w:val="00CA5B23"/>
    <w:rsid w:val="00CA6A30"/>
    <w:rsid w:val="00CB31D9"/>
    <w:rsid w:val="00CB602E"/>
    <w:rsid w:val="00CB7E90"/>
    <w:rsid w:val="00CE051D"/>
    <w:rsid w:val="00CE1335"/>
    <w:rsid w:val="00CE1DEB"/>
    <w:rsid w:val="00CE493D"/>
    <w:rsid w:val="00CF07FA"/>
    <w:rsid w:val="00CF0BB2"/>
    <w:rsid w:val="00CF3EE8"/>
    <w:rsid w:val="00D051C1"/>
    <w:rsid w:val="00D062B4"/>
    <w:rsid w:val="00D13441"/>
    <w:rsid w:val="00D14C1D"/>
    <w:rsid w:val="00D150E7"/>
    <w:rsid w:val="00D20FCA"/>
    <w:rsid w:val="00D220E5"/>
    <w:rsid w:val="00D26508"/>
    <w:rsid w:val="00D451A9"/>
    <w:rsid w:val="00D50EB1"/>
    <w:rsid w:val="00D52DC2"/>
    <w:rsid w:val="00D53BCC"/>
    <w:rsid w:val="00D54C9E"/>
    <w:rsid w:val="00D6537E"/>
    <w:rsid w:val="00D70813"/>
    <w:rsid w:val="00D708DA"/>
    <w:rsid w:val="00D70DFB"/>
    <w:rsid w:val="00D766DF"/>
    <w:rsid w:val="00D8206C"/>
    <w:rsid w:val="00D9014A"/>
    <w:rsid w:val="00D91F10"/>
    <w:rsid w:val="00D944EB"/>
    <w:rsid w:val="00D94F01"/>
    <w:rsid w:val="00DA186E"/>
    <w:rsid w:val="00DA4116"/>
    <w:rsid w:val="00DB251C"/>
    <w:rsid w:val="00DB43FD"/>
    <w:rsid w:val="00DB4630"/>
    <w:rsid w:val="00DB4767"/>
    <w:rsid w:val="00DB51F2"/>
    <w:rsid w:val="00DC4F88"/>
    <w:rsid w:val="00DD397B"/>
    <w:rsid w:val="00DD4466"/>
    <w:rsid w:val="00DE107C"/>
    <w:rsid w:val="00DE33D1"/>
    <w:rsid w:val="00DE4EF6"/>
    <w:rsid w:val="00DE524C"/>
    <w:rsid w:val="00DF2388"/>
    <w:rsid w:val="00E05704"/>
    <w:rsid w:val="00E1090B"/>
    <w:rsid w:val="00E144E9"/>
    <w:rsid w:val="00E3038F"/>
    <w:rsid w:val="00E3048C"/>
    <w:rsid w:val="00E338EF"/>
    <w:rsid w:val="00E54070"/>
    <w:rsid w:val="00E544BB"/>
    <w:rsid w:val="00E54A2C"/>
    <w:rsid w:val="00E60807"/>
    <w:rsid w:val="00E70D71"/>
    <w:rsid w:val="00E72953"/>
    <w:rsid w:val="00E748AB"/>
    <w:rsid w:val="00E74DC7"/>
    <w:rsid w:val="00E8075A"/>
    <w:rsid w:val="00E8079E"/>
    <w:rsid w:val="00E84396"/>
    <w:rsid w:val="00E940D8"/>
    <w:rsid w:val="00E94D5E"/>
    <w:rsid w:val="00EA7100"/>
    <w:rsid w:val="00EA7F9F"/>
    <w:rsid w:val="00EB1274"/>
    <w:rsid w:val="00EB726A"/>
    <w:rsid w:val="00EC0DF6"/>
    <w:rsid w:val="00EC58A1"/>
    <w:rsid w:val="00ED2BB6"/>
    <w:rsid w:val="00ED34E1"/>
    <w:rsid w:val="00ED3B8D"/>
    <w:rsid w:val="00ED6535"/>
    <w:rsid w:val="00ED6C8E"/>
    <w:rsid w:val="00EE39D8"/>
    <w:rsid w:val="00EE5E36"/>
    <w:rsid w:val="00EE6AD9"/>
    <w:rsid w:val="00EE7601"/>
    <w:rsid w:val="00EF2E3A"/>
    <w:rsid w:val="00EF71C5"/>
    <w:rsid w:val="00F02C7C"/>
    <w:rsid w:val="00F072A7"/>
    <w:rsid w:val="00F078DC"/>
    <w:rsid w:val="00F169D1"/>
    <w:rsid w:val="00F2400D"/>
    <w:rsid w:val="00F32BA8"/>
    <w:rsid w:val="00F32EE0"/>
    <w:rsid w:val="00F349F1"/>
    <w:rsid w:val="00F4350D"/>
    <w:rsid w:val="00F444B7"/>
    <w:rsid w:val="00F479C4"/>
    <w:rsid w:val="00F51799"/>
    <w:rsid w:val="00F51F05"/>
    <w:rsid w:val="00F567F7"/>
    <w:rsid w:val="00F61E8A"/>
    <w:rsid w:val="00F6696E"/>
    <w:rsid w:val="00F73BD6"/>
    <w:rsid w:val="00F823E1"/>
    <w:rsid w:val="00F83989"/>
    <w:rsid w:val="00F85099"/>
    <w:rsid w:val="00F9379C"/>
    <w:rsid w:val="00F9632C"/>
    <w:rsid w:val="00FA1E52"/>
    <w:rsid w:val="00FA55FD"/>
    <w:rsid w:val="00FB48D5"/>
    <w:rsid w:val="00FB5A08"/>
    <w:rsid w:val="00FC2B0B"/>
    <w:rsid w:val="00FC6A80"/>
    <w:rsid w:val="00FC72B1"/>
    <w:rsid w:val="00FD6039"/>
    <w:rsid w:val="00FE4688"/>
    <w:rsid w:val="00FE7510"/>
    <w:rsid w:val="00FF448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58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Paragraph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basedOn w:val="Normal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1">
    <w:name w:val="tabletext"/>
    <w:basedOn w:val="Normal"/>
    <w:rsid w:val="00EC58A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cthead50">
    <w:name w:val="acthead5"/>
    <w:basedOn w:val="Normal"/>
    <w:rsid w:val="00055C8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head0">
    <w:name w:val="itemhead"/>
    <w:basedOn w:val="Normal"/>
    <w:rsid w:val="008E25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8E25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paragraphChar">
    <w:name w:val="paragraph Char"/>
    <w:aliases w:val="a Char,Paragraph Char"/>
    <w:link w:val="paragraph"/>
    <w:locked/>
    <w:rsid w:val="00F2400D"/>
    <w:rPr>
      <w:rFonts w:eastAsia="Times New Roman" w:cs="Times New Roman"/>
      <w:sz w:val="22"/>
      <w:lang w:eastAsia="en-AU"/>
    </w:rPr>
  </w:style>
  <w:style w:type="paragraph" w:styleId="NormalWeb">
    <w:name w:val="Normal (Web)"/>
    <w:basedOn w:val="Normal"/>
    <w:uiPriority w:val="99"/>
    <w:unhideWhenUsed/>
    <w:rsid w:val="00C868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Props1.xml><?xml version="1.0" encoding="utf-8"?>
<ds:datastoreItem xmlns:ds="http://schemas.openxmlformats.org/officeDocument/2006/customXml" ds:itemID="{239329DC-7652-4FA4-8332-F094E4B63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32D6C0-ACBE-4838-9F70-D449CBACE5B6}">
  <ds:schemaRefs>
    <ds:schemaRef ds:uri="http://schemas.microsoft.com/office/2006/metadata/properties"/>
    <ds:schemaRef ds:uri="http://schemas.microsoft.com/office/infopath/2007/PartnerControls"/>
    <ds:schemaRef ds:uri="8bd9498f-fa43-4ae2-8bb2-4c55a71680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2019.DOTX</Template>
  <TotalTime>100</TotalTime>
  <Pages>7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PANTIC, Sandra</cp:lastModifiedBy>
  <cp:revision>20</cp:revision>
  <cp:lastPrinted>2021-12-16T21:45:00Z</cp:lastPrinted>
  <dcterms:created xsi:type="dcterms:W3CDTF">2022-02-25T05:17:00Z</dcterms:created>
  <dcterms:modified xsi:type="dcterms:W3CDTF">2022-04-08T01:37:00Z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