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5E018" w14:textId="77777777" w:rsidR="00D524CA" w:rsidRPr="00D10642" w:rsidRDefault="00D524CA" w:rsidP="00D524CA">
      <w:pPr>
        <w:spacing w:after="200" w:line="276" w:lineRule="auto"/>
        <w:jc w:val="center"/>
        <w:outlineLvl w:val="0"/>
        <w:rPr>
          <w:rFonts w:ascii="Times New Roman" w:hAnsi="Times New Roman"/>
          <w:b/>
          <w:sz w:val="24"/>
          <w:szCs w:val="24"/>
          <w:u w:val="single"/>
        </w:rPr>
      </w:pPr>
      <w:bookmarkStart w:id="0" w:name="_Toc2162583"/>
      <w:r w:rsidRPr="00D10642">
        <w:rPr>
          <w:rFonts w:ascii="Times New Roman" w:hAnsi="Times New Roman"/>
          <w:b/>
          <w:sz w:val="24"/>
          <w:szCs w:val="24"/>
          <w:u w:val="single"/>
        </w:rPr>
        <w:t>EXPLANATORY STATEMENT</w:t>
      </w:r>
    </w:p>
    <w:p w14:paraId="72D2C7FD" w14:textId="77777777" w:rsidR="00D524CA" w:rsidRPr="00422501" w:rsidRDefault="00D524CA" w:rsidP="00D524CA">
      <w:pPr>
        <w:spacing w:after="200" w:line="276" w:lineRule="auto"/>
        <w:jc w:val="center"/>
        <w:rPr>
          <w:rFonts w:ascii="Times New Roman" w:hAnsi="Times New Roman"/>
          <w:sz w:val="24"/>
          <w:szCs w:val="24"/>
        </w:rPr>
      </w:pPr>
      <w:r w:rsidRPr="00422501">
        <w:rPr>
          <w:rFonts w:ascii="Times New Roman" w:hAnsi="Times New Roman"/>
          <w:sz w:val="24"/>
          <w:szCs w:val="24"/>
        </w:rPr>
        <w:t>Issued by the authority of the Minister for Veterans</w:t>
      </w:r>
      <w:r>
        <w:rPr>
          <w:rFonts w:ascii="Times New Roman" w:hAnsi="Times New Roman"/>
          <w:sz w:val="24"/>
          <w:szCs w:val="24"/>
        </w:rPr>
        <w:t>’ Affairs</w:t>
      </w:r>
      <w:r w:rsidRPr="00422501">
        <w:rPr>
          <w:rFonts w:ascii="Times New Roman" w:hAnsi="Times New Roman"/>
          <w:sz w:val="24"/>
          <w:szCs w:val="24"/>
        </w:rPr>
        <w:t xml:space="preserve"> and Minister for Defence Personnel</w:t>
      </w:r>
    </w:p>
    <w:p w14:paraId="1B4F3BDC" w14:textId="77777777" w:rsidR="00D524CA" w:rsidRPr="00422501" w:rsidRDefault="00D524CA" w:rsidP="00D524CA">
      <w:pPr>
        <w:spacing w:after="200" w:line="276" w:lineRule="auto"/>
        <w:jc w:val="center"/>
        <w:rPr>
          <w:rFonts w:ascii="Times New Roman" w:hAnsi="Times New Roman"/>
          <w:i/>
          <w:sz w:val="24"/>
          <w:szCs w:val="24"/>
        </w:rPr>
      </w:pPr>
      <w:r w:rsidRPr="00422501">
        <w:rPr>
          <w:rFonts w:ascii="Times New Roman" w:hAnsi="Times New Roman"/>
          <w:i/>
          <w:sz w:val="24"/>
          <w:szCs w:val="24"/>
        </w:rPr>
        <w:t>Military Superannuation and Benefits Trust Deed</w:t>
      </w:r>
    </w:p>
    <w:p w14:paraId="49B81FA4" w14:textId="6C3EAF0D" w:rsidR="00D524CA" w:rsidRDefault="00D524CA" w:rsidP="00D524CA">
      <w:pPr>
        <w:jc w:val="center"/>
        <w:rPr>
          <w:rFonts w:ascii="Times New Roman" w:hAnsi="Times New Roman"/>
          <w:i/>
          <w:sz w:val="24"/>
          <w:szCs w:val="24"/>
          <w:lang w:val="en-US"/>
        </w:rPr>
      </w:pPr>
      <w:r w:rsidRPr="00422501">
        <w:rPr>
          <w:rFonts w:ascii="Times New Roman" w:hAnsi="Times New Roman"/>
          <w:i/>
          <w:sz w:val="24"/>
          <w:szCs w:val="24"/>
          <w:lang w:val="en-US"/>
        </w:rPr>
        <w:t>Military Superannuation and Benefits Amendment (Trust Deed) Instrument 202</w:t>
      </w:r>
      <w:r w:rsidR="006354D2">
        <w:rPr>
          <w:rFonts w:ascii="Times New Roman" w:hAnsi="Times New Roman"/>
          <w:i/>
          <w:sz w:val="24"/>
          <w:szCs w:val="24"/>
          <w:lang w:val="en-US"/>
        </w:rPr>
        <w:t>2</w:t>
      </w:r>
    </w:p>
    <w:p w14:paraId="0C555DCA" w14:textId="1CB3FE9F" w:rsidR="00D524CA" w:rsidRDefault="00D524CA" w:rsidP="006178DD">
      <w:pPr>
        <w:pStyle w:val="BlockText-Plain"/>
        <w:tabs>
          <w:tab w:val="left" w:pos="7380"/>
        </w:tabs>
        <w:spacing w:after="200"/>
        <w:rPr>
          <w:rFonts w:ascii="Times New Roman" w:hAnsi="Times New Roman"/>
          <w:sz w:val="24"/>
          <w:szCs w:val="24"/>
        </w:rPr>
      </w:pPr>
      <w:r w:rsidRPr="00422501">
        <w:rPr>
          <w:rFonts w:ascii="Times New Roman" w:hAnsi="Times New Roman"/>
          <w:sz w:val="24"/>
          <w:szCs w:val="24"/>
        </w:rPr>
        <w:t xml:space="preserve">This Instrument amends the </w:t>
      </w:r>
      <w:r w:rsidRPr="00422501">
        <w:rPr>
          <w:rFonts w:ascii="Times New Roman" w:hAnsi="Times New Roman"/>
          <w:i/>
          <w:sz w:val="24"/>
          <w:szCs w:val="24"/>
        </w:rPr>
        <w:t xml:space="preserve">Military Superannuation and Benefits Trust Deed </w:t>
      </w:r>
      <w:r w:rsidRPr="00422501">
        <w:rPr>
          <w:rFonts w:ascii="Times New Roman" w:hAnsi="Times New Roman"/>
          <w:sz w:val="24"/>
          <w:szCs w:val="24"/>
        </w:rPr>
        <w:t>(the Trust Deed)</w:t>
      </w:r>
      <w:r w:rsidRPr="00422501">
        <w:rPr>
          <w:rFonts w:ascii="Times New Roman" w:hAnsi="Times New Roman"/>
          <w:i/>
          <w:sz w:val="24"/>
          <w:szCs w:val="24"/>
        </w:rPr>
        <w:t xml:space="preserve"> </w:t>
      </w:r>
      <w:r>
        <w:rPr>
          <w:rFonts w:ascii="Times New Roman" w:hAnsi="Times New Roman"/>
          <w:sz w:val="24"/>
          <w:szCs w:val="24"/>
        </w:rPr>
        <w:t xml:space="preserve">as </w:t>
      </w:r>
      <w:r w:rsidRPr="00422501">
        <w:rPr>
          <w:rFonts w:ascii="Times New Roman" w:hAnsi="Times New Roman"/>
          <w:sz w:val="24"/>
          <w:szCs w:val="24"/>
        </w:rPr>
        <w:t xml:space="preserve">made under the </w:t>
      </w:r>
      <w:r w:rsidRPr="00422501">
        <w:rPr>
          <w:rFonts w:ascii="Times New Roman" w:hAnsi="Times New Roman"/>
          <w:i/>
          <w:sz w:val="24"/>
          <w:szCs w:val="24"/>
        </w:rPr>
        <w:t xml:space="preserve">Military Superannuation and Benefits Act 1991 </w:t>
      </w:r>
      <w:r>
        <w:rPr>
          <w:rFonts w:ascii="Times New Roman" w:hAnsi="Times New Roman"/>
          <w:sz w:val="24"/>
          <w:szCs w:val="24"/>
        </w:rPr>
        <w:t xml:space="preserve">(the Act) </w:t>
      </w:r>
      <w:r w:rsidR="006178DD">
        <w:rPr>
          <w:rFonts w:ascii="Times New Roman" w:hAnsi="Times New Roman"/>
          <w:sz w:val="24"/>
          <w:szCs w:val="24"/>
        </w:rPr>
        <w:t>t</w:t>
      </w:r>
      <w:r w:rsidRPr="00422501">
        <w:rPr>
          <w:rFonts w:ascii="Times New Roman" w:hAnsi="Times New Roman"/>
          <w:sz w:val="24"/>
          <w:szCs w:val="24"/>
        </w:rPr>
        <w:t xml:space="preserve">o enable </w:t>
      </w:r>
      <w:r w:rsidR="00742D13">
        <w:rPr>
          <w:rFonts w:ascii="Times New Roman" w:hAnsi="Times New Roman"/>
          <w:sz w:val="24"/>
          <w:szCs w:val="24"/>
        </w:rPr>
        <w:t>the Commonwealth Superannuation Corporation (</w:t>
      </w:r>
      <w:r w:rsidRPr="00422501">
        <w:rPr>
          <w:rFonts w:ascii="Times New Roman" w:hAnsi="Times New Roman"/>
          <w:sz w:val="24"/>
          <w:szCs w:val="24"/>
        </w:rPr>
        <w:t>CSC</w:t>
      </w:r>
      <w:r w:rsidR="00742D13">
        <w:rPr>
          <w:rFonts w:ascii="Times New Roman" w:hAnsi="Times New Roman"/>
          <w:sz w:val="24"/>
          <w:szCs w:val="24"/>
        </w:rPr>
        <w:t>)</w:t>
      </w:r>
      <w:r w:rsidRPr="00422501">
        <w:rPr>
          <w:rFonts w:ascii="Times New Roman" w:hAnsi="Times New Roman"/>
          <w:sz w:val="24"/>
          <w:szCs w:val="24"/>
        </w:rPr>
        <w:t xml:space="preserve"> to administer the First Home Super Saver Scheme (and other 2017/18 Federal Budget related matters).</w:t>
      </w:r>
    </w:p>
    <w:p w14:paraId="41FBC9F3" w14:textId="77777777" w:rsidR="00D524CA" w:rsidRPr="00E96AD6" w:rsidRDefault="00D524CA" w:rsidP="00D524CA">
      <w:pPr>
        <w:spacing w:after="200" w:line="276" w:lineRule="auto"/>
        <w:rPr>
          <w:rFonts w:ascii="Times New Roman" w:hAnsi="Times New Roman"/>
          <w:sz w:val="24"/>
          <w:szCs w:val="24"/>
        </w:rPr>
      </w:pPr>
      <w:r w:rsidRPr="00E96AD6">
        <w:rPr>
          <w:rFonts w:ascii="Times New Roman" w:hAnsi="Times New Roman"/>
          <w:sz w:val="24"/>
          <w:szCs w:val="24"/>
        </w:rPr>
        <w:t xml:space="preserve">Details of the Instrument are set out in the </w:t>
      </w:r>
      <w:r w:rsidRPr="00E96AD6">
        <w:rPr>
          <w:rFonts w:ascii="Times New Roman" w:hAnsi="Times New Roman"/>
          <w:sz w:val="24"/>
          <w:szCs w:val="24"/>
          <w:u w:val="single"/>
        </w:rPr>
        <w:t>Attachment A</w:t>
      </w:r>
      <w:r w:rsidRPr="00E96AD6">
        <w:rPr>
          <w:rFonts w:ascii="Times New Roman" w:hAnsi="Times New Roman"/>
          <w:sz w:val="24"/>
          <w:szCs w:val="24"/>
        </w:rPr>
        <w:t>.</w:t>
      </w:r>
    </w:p>
    <w:p w14:paraId="737F58A0" w14:textId="77777777" w:rsidR="00D524CA" w:rsidRPr="00E96AD6" w:rsidRDefault="00D524CA" w:rsidP="00D524CA">
      <w:pPr>
        <w:spacing w:after="200" w:line="276" w:lineRule="auto"/>
        <w:rPr>
          <w:rFonts w:ascii="Times New Roman" w:hAnsi="Times New Roman"/>
          <w:sz w:val="24"/>
          <w:szCs w:val="24"/>
        </w:rPr>
      </w:pPr>
      <w:r w:rsidRPr="00E96AD6">
        <w:rPr>
          <w:rFonts w:ascii="Times New Roman" w:hAnsi="Times New Roman"/>
          <w:sz w:val="24"/>
          <w:szCs w:val="24"/>
        </w:rPr>
        <w:t xml:space="preserve">The Statement of Compatibility with Human Rights is at </w:t>
      </w:r>
      <w:r w:rsidRPr="005C054F">
        <w:rPr>
          <w:rFonts w:ascii="Times New Roman" w:hAnsi="Times New Roman"/>
          <w:sz w:val="24"/>
          <w:szCs w:val="24"/>
          <w:u w:val="single"/>
        </w:rPr>
        <w:t>Attachment B</w:t>
      </w:r>
      <w:r w:rsidRPr="00E96AD6">
        <w:rPr>
          <w:rFonts w:ascii="Times New Roman" w:hAnsi="Times New Roman"/>
          <w:sz w:val="24"/>
          <w:szCs w:val="24"/>
        </w:rPr>
        <w:t>.</w:t>
      </w:r>
    </w:p>
    <w:p w14:paraId="7777DACC" w14:textId="77777777" w:rsidR="00D524CA" w:rsidRPr="00E96AD6" w:rsidRDefault="00D524CA" w:rsidP="00D524CA">
      <w:pPr>
        <w:spacing w:after="200"/>
        <w:rPr>
          <w:rFonts w:ascii="Times New Roman" w:hAnsi="Times New Roman"/>
          <w:sz w:val="24"/>
          <w:szCs w:val="24"/>
        </w:rPr>
      </w:pPr>
      <w:r>
        <w:rPr>
          <w:rFonts w:ascii="Times New Roman" w:hAnsi="Times New Roman"/>
          <w:sz w:val="24"/>
          <w:szCs w:val="24"/>
        </w:rPr>
        <w:t>Section 5</w:t>
      </w:r>
      <w:r w:rsidRPr="00E96AD6">
        <w:rPr>
          <w:rFonts w:ascii="Times New Roman" w:hAnsi="Times New Roman"/>
          <w:sz w:val="24"/>
          <w:szCs w:val="24"/>
        </w:rPr>
        <w:t xml:space="preserve"> of the Act specifies that CSC must consent to the amendments to the Trust Deed or if the amendments relate to certain matters. CSC has confirmed their consent to the amendments in a letter to the Minister for Veterans</w:t>
      </w:r>
      <w:r>
        <w:rPr>
          <w:rFonts w:ascii="Times New Roman" w:hAnsi="Times New Roman"/>
          <w:sz w:val="24"/>
          <w:szCs w:val="24"/>
        </w:rPr>
        <w:t>’</w:t>
      </w:r>
      <w:r w:rsidRPr="00E96AD6">
        <w:rPr>
          <w:rFonts w:ascii="Times New Roman" w:hAnsi="Times New Roman"/>
          <w:sz w:val="24"/>
          <w:szCs w:val="24"/>
        </w:rPr>
        <w:t xml:space="preserve"> </w:t>
      </w:r>
      <w:r>
        <w:rPr>
          <w:rFonts w:ascii="Times New Roman" w:hAnsi="Times New Roman"/>
          <w:sz w:val="24"/>
          <w:szCs w:val="24"/>
        </w:rPr>
        <w:t xml:space="preserve">Affairs </w:t>
      </w:r>
      <w:r w:rsidRPr="00E96AD6">
        <w:rPr>
          <w:rFonts w:ascii="Times New Roman" w:hAnsi="Times New Roman"/>
          <w:sz w:val="24"/>
          <w:szCs w:val="24"/>
        </w:rPr>
        <w:t xml:space="preserve">and </w:t>
      </w:r>
      <w:r>
        <w:rPr>
          <w:rFonts w:ascii="Times New Roman" w:hAnsi="Times New Roman"/>
          <w:sz w:val="24"/>
          <w:szCs w:val="24"/>
        </w:rPr>
        <w:t xml:space="preserve">Minister for </w:t>
      </w:r>
      <w:r w:rsidRPr="00E96AD6">
        <w:rPr>
          <w:rFonts w:ascii="Times New Roman" w:hAnsi="Times New Roman"/>
          <w:sz w:val="24"/>
          <w:szCs w:val="24"/>
        </w:rPr>
        <w:t xml:space="preserve">Defence Personnel on 11 February 2020. </w:t>
      </w:r>
    </w:p>
    <w:p w14:paraId="4C11BADF" w14:textId="77777777" w:rsidR="00D524CA" w:rsidRPr="009D4F04" w:rsidRDefault="00D524CA" w:rsidP="00D524CA">
      <w:pPr>
        <w:spacing w:after="200" w:line="276" w:lineRule="auto"/>
        <w:rPr>
          <w:rFonts w:ascii="Times New Roman" w:hAnsi="Times New Roman"/>
          <w:sz w:val="24"/>
          <w:szCs w:val="24"/>
        </w:rPr>
      </w:pPr>
      <w:r>
        <w:rPr>
          <w:rFonts w:ascii="Times New Roman" w:hAnsi="Times New Roman"/>
          <w:sz w:val="24"/>
          <w:szCs w:val="24"/>
        </w:rPr>
        <w:t>This</w:t>
      </w:r>
      <w:r w:rsidRPr="004F3B75">
        <w:rPr>
          <w:rFonts w:ascii="Times New Roman" w:hAnsi="Times New Roman"/>
          <w:sz w:val="24"/>
          <w:szCs w:val="24"/>
        </w:rPr>
        <w:t xml:space="preserve"> </w:t>
      </w:r>
      <w:r>
        <w:rPr>
          <w:rFonts w:ascii="Times New Roman" w:hAnsi="Times New Roman"/>
          <w:sz w:val="24"/>
          <w:szCs w:val="24"/>
        </w:rPr>
        <w:t>Instrument</w:t>
      </w:r>
      <w:r w:rsidRPr="004F3B75">
        <w:rPr>
          <w:rFonts w:ascii="Times New Roman" w:hAnsi="Times New Roman"/>
          <w:sz w:val="24"/>
          <w:szCs w:val="24"/>
        </w:rPr>
        <w:t xml:space="preserve"> </w:t>
      </w:r>
      <w:r>
        <w:rPr>
          <w:rFonts w:ascii="Times New Roman" w:hAnsi="Times New Roman"/>
          <w:sz w:val="24"/>
          <w:szCs w:val="24"/>
        </w:rPr>
        <w:t xml:space="preserve">is </w:t>
      </w:r>
      <w:r w:rsidRPr="004F3B75">
        <w:rPr>
          <w:rFonts w:ascii="Times New Roman" w:hAnsi="Times New Roman"/>
          <w:sz w:val="24"/>
          <w:szCs w:val="24"/>
        </w:rPr>
        <w:t xml:space="preserve">a legislative instrument for the purposes of the </w:t>
      </w:r>
      <w:r w:rsidRPr="009D4F04">
        <w:rPr>
          <w:rFonts w:ascii="Times New Roman" w:hAnsi="Times New Roman"/>
          <w:i/>
          <w:sz w:val="24"/>
          <w:szCs w:val="24"/>
        </w:rPr>
        <w:t>Legislation Act 2003</w:t>
      </w:r>
      <w:r w:rsidRPr="009D4F04">
        <w:rPr>
          <w:rFonts w:ascii="Times New Roman" w:hAnsi="Times New Roman"/>
          <w:sz w:val="24"/>
          <w:szCs w:val="24"/>
        </w:rPr>
        <w:t>.</w:t>
      </w:r>
    </w:p>
    <w:p w14:paraId="5F3AD31A" w14:textId="77777777" w:rsidR="00D524CA" w:rsidRPr="004F3B75" w:rsidRDefault="00D524CA" w:rsidP="00D524CA">
      <w:pPr>
        <w:spacing w:after="200" w:line="276" w:lineRule="auto"/>
        <w:rPr>
          <w:rFonts w:ascii="Times New Roman" w:hAnsi="Times New Roman"/>
          <w:b/>
          <w:sz w:val="24"/>
          <w:szCs w:val="24"/>
        </w:rPr>
      </w:pPr>
      <w:r w:rsidRPr="004F3B75">
        <w:rPr>
          <w:rFonts w:ascii="Times New Roman" w:hAnsi="Times New Roman"/>
          <w:b/>
          <w:sz w:val="24"/>
          <w:szCs w:val="24"/>
        </w:rPr>
        <w:t>Commencement</w:t>
      </w:r>
    </w:p>
    <w:p w14:paraId="6EC18155" w14:textId="77777777" w:rsidR="00D524CA" w:rsidRPr="009D4F04" w:rsidRDefault="00D524CA" w:rsidP="00D524CA">
      <w:pPr>
        <w:spacing w:after="200" w:line="276" w:lineRule="auto"/>
        <w:rPr>
          <w:rFonts w:ascii="Times New Roman" w:hAnsi="Times New Roman"/>
          <w:sz w:val="24"/>
          <w:szCs w:val="24"/>
        </w:rPr>
      </w:pPr>
      <w:r w:rsidRPr="004F3B75">
        <w:rPr>
          <w:rFonts w:ascii="Times New Roman" w:hAnsi="Times New Roman"/>
          <w:sz w:val="24"/>
          <w:szCs w:val="24"/>
        </w:rPr>
        <w:t xml:space="preserve">The </w:t>
      </w:r>
      <w:r>
        <w:rPr>
          <w:rFonts w:ascii="Times New Roman" w:hAnsi="Times New Roman"/>
          <w:sz w:val="24"/>
          <w:szCs w:val="24"/>
        </w:rPr>
        <w:t>instrument</w:t>
      </w:r>
      <w:r w:rsidRPr="004F3B75">
        <w:rPr>
          <w:rFonts w:ascii="Times New Roman" w:hAnsi="Times New Roman"/>
          <w:sz w:val="24"/>
          <w:szCs w:val="24"/>
        </w:rPr>
        <w:t xml:space="preserve"> would commence the </w:t>
      </w:r>
      <w:r>
        <w:rPr>
          <w:rFonts w:ascii="Times New Roman" w:hAnsi="Times New Roman"/>
          <w:sz w:val="24"/>
          <w:szCs w:val="24"/>
        </w:rPr>
        <w:t>day after registration.</w:t>
      </w:r>
    </w:p>
    <w:p w14:paraId="108B8182" w14:textId="77777777" w:rsidR="00D524CA" w:rsidRPr="00422501" w:rsidRDefault="00D524CA" w:rsidP="00D524CA">
      <w:pPr>
        <w:spacing w:after="200" w:line="276" w:lineRule="auto"/>
        <w:rPr>
          <w:rFonts w:ascii="Times New Roman" w:hAnsi="Times New Roman"/>
          <w:b/>
          <w:sz w:val="24"/>
          <w:szCs w:val="24"/>
        </w:rPr>
      </w:pPr>
      <w:r w:rsidRPr="00422501">
        <w:rPr>
          <w:rFonts w:ascii="Times New Roman" w:hAnsi="Times New Roman"/>
          <w:b/>
          <w:sz w:val="24"/>
          <w:szCs w:val="24"/>
        </w:rPr>
        <w:t>Regulatory Impact Statement</w:t>
      </w:r>
    </w:p>
    <w:p w14:paraId="52F413CB" w14:textId="77777777" w:rsidR="00D524CA" w:rsidRPr="00422501" w:rsidRDefault="00D524CA" w:rsidP="00D524CA">
      <w:pPr>
        <w:spacing w:after="200" w:line="276" w:lineRule="auto"/>
        <w:rPr>
          <w:rFonts w:ascii="Times New Roman" w:hAnsi="Times New Roman"/>
          <w:sz w:val="24"/>
          <w:szCs w:val="24"/>
        </w:rPr>
      </w:pPr>
      <w:r w:rsidRPr="00422501">
        <w:rPr>
          <w:rFonts w:ascii="Times New Roman" w:hAnsi="Times New Roman"/>
          <w:sz w:val="24"/>
          <w:szCs w:val="24"/>
        </w:rPr>
        <w:t xml:space="preserve">The Office of Best Practice Regulation advised that no regulatory impact statement was required (OBPR ID </w:t>
      </w:r>
      <w:r>
        <w:rPr>
          <w:rFonts w:ascii="Times New Roman" w:hAnsi="Times New Roman"/>
          <w:sz w:val="24"/>
          <w:szCs w:val="24"/>
        </w:rPr>
        <w:t>24745</w:t>
      </w:r>
      <w:r w:rsidRPr="00422501">
        <w:rPr>
          <w:rFonts w:ascii="Times New Roman" w:hAnsi="Times New Roman"/>
          <w:sz w:val="24"/>
          <w:szCs w:val="24"/>
        </w:rPr>
        <w:t>).</w:t>
      </w:r>
    </w:p>
    <w:p w14:paraId="78A83C18" w14:textId="77777777" w:rsidR="00D524CA" w:rsidRPr="00422501" w:rsidRDefault="00D524CA" w:rsidP="00D524CA">
      <w:pPr>
        <w:spacing w:after="200" w:line="276" w:lineRule="auto"/>
        <w:rPr>
          <w:rFonts w:ascii="Times New Roman" w:hAnsi="Times New Roman"/>
          <w:b/>
          <w:sz w:val="24"/>
          <w:szCs w:val="24"/>
        </w:rPr>
      </w:pPr>
      <w:r w:rsidRPr="00422501">
        <w:rPr>
          <w:rFonts w:ascii="Times New Roman" w:hAnsi="Times New Roman"/>
          <w:b/>
          <w:sz w:val="24"/>
          <w:szCs w:val="24"/>
        </w:rPr>
        <w:t>Consultation</w:t>
      </w:r>
    </w:p>
    <w:p w14:paraId="69164D64" w14:textId="77777777" w:rsidR="00D524CA" w:rsidRDefault="00D524CA" w:rsidP="00D524CA">
      <w:pPr>
        <w:spacing w:after="200" w:line="276" w:lineRule="auto"/>
        <w:rPr>
          <w:rFonts w:ascii="Times New Roman" w:hAnsi="Times New Roman"/>
          <w:sz w:val="24"/>
          <w:szCs w:val="24"/>
        </w:rPr>
      </w:pPr>
      <w:r w:rsidRPr="00422501">
        <w:rPr>
          <w:rFonts w:ascii="Times New Roman" w:hAnsi="Times New Roman"/>
          <w:sz w:val="24"/>
          <w:szCs w:val="24"/>
        </w:rPr>
        <w:t>CSC consented to the amendments.</w:t>
      </w:r>
    </w:p>
    <w:p w14:paraId="17A3EC18" w14:textId="77777777" w:rsidR="00D524CA" w:rsidRPr="0006489D" w:rsidRDefault="00D524CA" w:rsidP="00D524CA">
      <w:pPr>
        <w:pStyle w:val="BlockText-Plain"/>
        <w:spacing w:after="200"/>
        <w:rPr>
          <w:rFonts w:ascii="Times New Roman" w:hAnsi="Times New Roman"/>
          <w:sz w:val="24"/>
          <w:szCs w:val="24"/>
        </w:rPr>
      </w:pPr>
    </w:p>
    <w:p w14:paraId="7A497915" w14:textId="77777777" w:rsidR="00E000E5" w:rsidRPr="0006489D" w:rsidRDefault="00E000E5">
      <w:pPr>
        <w:rPr>
          <w:rFonts w:ascii="Times New Roman" w:hAnsi="Times New Roman"/>
          <w:b/>
          <w:sz w:val="24"/>
          <w:szCs w:val="24"/>
        </w:rPr>
      </w:pPr>
      <w:r w:rsidRPr="0006489D">
        <w:rPr>
          <w:rFonts w:ascii="Times New Roman" w:hAnsi="Times New Roman"/>
          <w:b/>
          <w:sz w:val="24"/>
          <w:szCs w:val="24"/>
        </w:rPr>
        <w:br w:type="page"/>
      </w:r>
    </w:p>
    <w:p w14:paraId="0DC5EF12" w14:textId="041A26A7" w:rsidR="00D524CA" w:rsidRPr="009D4F04" w:rsidRDefault="00D524CA" w:rsidP="00D524CA">
      <w:pPr>
        <w:spacing w:after="200" w:line="276" w:lineRule="auto"/>
        <w:ind w:left="5760" w:right="91" w:firstLine="720"/>
        <w:jc w:val="right"/>
        <w:rPr>
          <w:rFonts w:ascii="Times New Roman" w:hAnsi="Times New Roman"/>
          <w:b/>
          <w:sz w:val="24"/>
          <w:szCs w:val="24"/>
          <w:u w:val="single"/>
        </w:rPr>
      </w:pPr>
      <w:r w:rsidRPr="009D4F04">
        <w:rPr>
          <w:rFonts w:ascii="Times New Roman" w:hAnsi="Times New Roman"/>
          <w:b/>
          <w:sz w:val="24"/>
          <w:szCs w:val="24"/>
          <w:u w:val="single"/>
        </w:rPr>
        <w:lastRenderedPageBreak/>
        <w:t>ATTACHMENT A</w:t>
      </w:r>
    </w:p>
    <w:p w14:paraId="7D712D53" w14:textId="7D36C3F1" w:rsidR="00D524CA" w:rsidRPr="00963A8F" w:rsidRDefault="00D524CA" w:rsidP="00D524CA">
      <w:pPr>
        <w:spacing w:after="200" w:line="276" w:lineRule="auto"/>
        <w:ind w:right="91"/>
        <w:rPr>
          <w:rFonts w:ascii="Times New Roman" w:hAnsi="Times New Roman"/>
          <w:b/>
          <w:sz w:val="24"/>
          <w:szCs w:val="24"/>
          <w:u w:val="single"/>
        </w:rPr>
      </w:pPr>
      <w:r w:rsidRPr="00963A8F">
        <w:rPr>
          <w:rFonts w:ascii="Times New Roman" w:hAnsi="Times New Roman"/>
          <w:b/>
          <w:sz w:val="24"/>
          <w:szCs w:val="24"/>
          <w:u w:val="single"/>
        </w:rPr>
        <w:t xml:space="preserve">Details of the </w:t>
      </w:r>
      <w:r w:rsidRPr="00963A8F">
        <w:rPr>
          <w:rFonts w:ascii="Times New Roman" w:hAnsi="Times New Roman"/>
          <w:b/>
          <w:i/>
          <w:sz w:val="24"/>
          <w:szCs w:val="24"/>
          <w:u w:val="single"/>
        </w:rPr>
        <w:t>Military Superannuation and Benefits Amendment (Trust Deed) Instrument 202</w:t>
      </w:r>
      <w:r w:rsidR="006354D2">
        <w:rPr>
          <w:rFonts w:ascii="Times New Roman" w:hAnsi="Times New Roman"/>
          <w:b/>
          <w:i/>
          <w:sz w:val="24"/>
          <w:szCs w:val="24"/>
          <w:u w:val="single"/>
        </w:rPr>
        <w:t>2</w:t>
      </w:r>
    </w:p>
    <w:p w14:paraId="79E4B44C" w14:textId="77777777" w:rsidR="00D524CA" w:rsidRPr="004F3B75" w:rsidRDefault="00D524CA" w:rsidP="00D524CA">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1 sets out the </w:t>
      </w:r>
      <w:r>
        <w:rPr>
          <w:rFonts w:ascii="Times New Roman" w:hAnsi="Times New Roman"/>
          <w:sz w:val="24"/>
          <w:szCs w:val="24"/>
        </w:rPr>
        <w:t>name of the Instrument.</w:t>
      </w:r>
    </w:p>
    <w:p w14:paraId="55E5BE38" w14:textId="77777777" w:rsidR="00D524CA" w:rsidRPr="004F3B75" w:rsidRDefault="00D524CA" w:rsidP="00D524CA">
      <w:pPr>
        <w:pStyle w:val="Sectiontext"/>
        <w:tabs>
          <w:tab w:val="left" w:pos="7380"/>
        </w:tabs>
        <w:rPr>
          <w:rFonts w:ascii="Times New Roman" w:hAnsi="Times New Roman"/>
          <w:sz w:val="24"/>
          <w:szCs w:val="24"/>
        </w:rPr>
      </w:pPr>
      <w:r w:rsidRPr="004F3B75">
        <w:rPr>
          <w:rFonts w:ascii="Times New Roman" w:hAnsi="Times New Roman"/>
          <w:sz w:val="24"/>
          <w:szCs w:val="24"/>
        </w:rPr>
        <w:t>Section 2 of this Instrument provides the commencement date of each provision in the Instrument.</w:t>
      </w:r>
    </w:p>
    <w:p w14:paraId="69BF58DC" w14:textId="77777777" w:rsidR="00D524CA" w:rsidRPr="00422501" w:rsidRDefault="00D524CA" w:rsidP="00D524CA">
      <w:pPr>
        <w:pStyle w:val="BlockText-Plain"/>
        <w:spacing w:after="200"/>
        <w:rPr>
          <w:rFonts w:ascii="Times New Roman" w:hAnsi="Times New Roman"/>
          <w:sz w:val="24"/>
          <w:szCs w:val="24"/>
        </w:rPr>
      </w:pPr>
      <w:r w:rsidRPr="00422501">
        <w:rPr>
          <w:rFonts w:ascii="Times New Roman" w:hAnsi="Times New Roman"/>
          <w:sz w:val="24"/>
          <w:szCs w:val="24"/>
        </w:rPr>
        <w:t xml:space="preserve">Section 3 provides that this Instrument has authority under the </w:t>
      </w:r>
      <w:r w:rsidRPr="00422501">
        <w:rPr>
          <w:rFonts w:ascii="Times New Roman" w:hAnsi="Times New Roman"/>
          <w:i/>
          <w:sz w:val="24"/>
          <w:szCs w:val="24"/>
        </w:rPr>
        <w:t>Military Superannuation and Benefits Act 1991.</w:t>
      </w:r>
    </w:p>
    <w:p w14:paraId="6CC0ED0D" w14:textId="77777777" w:rsidR="00D524CA" w:rsidRPr="00422501" w:rsidRDefault="00D524CA" w:rsidP="00D524CA">
      <w:pPr>
        <w:pStyle w:val="BlockText-Plain"/>
        <w:spacing w:after="200"/>
        <w:rPr>
          <w:rFonts w:ascii="Times New Roman" w:hAnsi="Times New Roman"/>
          <w:sz w:val="24"/>
          <w:szCs w:val="24"/>
        </w:rPr>
      </w:pPr>
      <w:r w:rsidRPr="00422501">
        <w:rPr>
          <w:rFonts w:ascii="Times New Roman" w:hAnsi="Times New Roman"/>
          <w:sz w:val="24"/>
          <w:szCs w:val="24"/>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4931C08E" w14:textId="7BA00E85" w:rsidR="007E00F5" w:rsidRPr="00422501" w:rsidRDefault="0060494C" w:rsidP="007E00F5">
      <w:pPr>
        <w:pStyle w:val="BlockText-Plain"/>
        <w:spacing w:after="200"/>
        <w:rPr>
          <w:rFonts w:ascii="Times New Roman" w:hAnsi="Times New Roman"/>
          <w:i/>
          <w:sz w:val="24"/>
          <w:szCs w:val="24"/>
          <w:u w:val="single"/>
        </w:rPr>
      </w:pPr>
      <w:r>
        <w:rPr>
          <w:rFonts w:ascii="Times New Roman" w:hAnsi="Times New Roman"/>
          <w:i/>
          <w:sz w:val="24"/>
          <w:szCs w:val="24"/>
          <w:u w:val="single"/>
        </w:rPr>
        <w:t>Schedule 1 –</w:t>
      </w:r>
      <w:r w:rsidR="007E00F5" w:rsidRPr="00422501">
        <w:rPr>
          <w:rFonts w:ascii="Times New Roman" w:hAnsi="Times New Roman"/>
          <w:i/>
          <w:sz w:val="24"/>
          <w:szCs w:val="24"/>
          <w:u w:val="single"/>
        </w:rPr>
        <w:t>Amendments to the Military Superannuation and Benefits Trust Deed ―Amendments relating to release authorities</w:t>
      </w:r>
    </w:p>
    <w:p w14:paraId="14B4F3C9" w14:textId="0538A1D4" w:rsidR="007E00F5" w:rsidRPr="00422501" w:rsidRDefault="007E00F5" w:rsidP="007E00F5">
      <w:pPr>
        <w:pStyle w:val="BlockText-Plain"/>
        <w:spacing w:after="200"/>
        <w:rPr>
          <w:rFonts w:ascii="Times New Roman" w:hAnsi="Times New Roman"/>
          <w:sz w:val="24"/>
          <w:szCs w:val="24"/>
        </w:rPr>
      </w:pPr>
      <w:r>
        <w:rPr>
          <w:rFonts w:ascii="Times New Roman" w:hAnsi="Times New Roman"/>
          <w:b/>
          <w:sz w:val="24"/>
          <w:szCs w:val="24"/>
        </w:rPr>
        <w:t>Item</w:t>
      </w:r>
      <w:r w:rsidRPr="00422501">
        <w:rPr>
          <w:rFonts w:ascii="Times New Roman" w:hAnsi="Times New Roman"/>
          <w:b/>
          <w:sz w:val="24"/>
          <w:szCs w:val="24"/>
        </w:rPr>
        <w:t xml:space="preserve"> </w:t>
      </w:r>
      <w:r w:rsidR="00A52552">
        <w:rPr>
          <w:rFonts w:ascii="Times New Roman" w:hAnsi="Times New Roman"/>
          <w:b/>
          <w:sz w:val="24"/>
          <w:szCs w:val="24"/>
        </w:rPr>
        <w:t>1</w:t>
      </w:r>
      <w:r w:rsidR="00A52552" w:rsidRPr="00422501">
        <w:rPr>
          <w:rFonts w:ascii="Times New Roman" w:hAnsi="Times New Roman"/>
          <w:sz w:val="24"/>
          <w:szCs w:val="24"/>
        </w:rPr>
        <w:t xml:space="preserve"> </w:t>
      </w:r>
      <w:r w:rsidRPr="00422501">
        <w:rPr>
          <w:rFonts w:ascii="Times New Roman" w:hAnsi="Times New Roman"/>
          <w:sz w:val="24"/>
          <w:szCs w:val="24"/>
        </w:rPr>
        <w:t xml:space="preserve">amends the heading of Part 10A of the Rules. The amendment provides that Part 10A allows CSC to action all relevant release authorities (such as, but not limited to, those issued as part of the First Home Super Saver Scheme) rather than only those that relate to Division 293 of the </w:t>
      </w:r>
      <w:r w:rsidRPr="00422501">
        <w:rPr>
          <w:rFonts w:ascii="Times New Roman" w:hAnsi="Times New Roman"/>
          <w:i/>
          <w:sz w:val="24"/>
          <w:szCs w:val="24"/>
        </w:rPr>
        <w:t>Income Tax Assessment Act 1997</w:t>
      </w:r>
      <w:r w:rsidRPr="00422501">
        <w:rPr>
          <w:rFonts w:ascii="Times New Roman" w:hAnsi="Times New Roman"/>
          <w:sz w:val="24"/>
          <w:szCs w:val="24"/>
        </w:rPr>
        <w:t xml:space="preserve"> (very high income individuals).</w:t>
      </w:r>
    </w:p>
    <w:p w14:paraId="7CF92495" w14:textId="1E30B481" w:rsidR="007E00F5" w:rsidRPr="00422501" w:rsidRDefault="007E00F5" w:rsidP="00FD1B3E">
      <w:pPr>
        <w:pStyle w:val="BlockText-Plain"/>
        <w:spacing w:after="200"/>
        <w:rPr>
          <w:rFonts w:ascii="Times New Roman" w:hAnsi="Times New Roman"/>
          <w:sz w:val="24"/>
          <w:szCs w:val="24"/>
        </w:rPr>
      </w:pPr>
      <w:r>
        <w:rPr>
          <w:rFonts w:ascii="Times New Roman" w:hAnsi="Times New Roman"/>
          <w:b/>
          <w:sz w:val="24"/>
          <w:szCs w:val="24"/>
        </w:rPr>
        <w:t>Item</w:t>
      </w:r>
      <w:r w:rsidRPr="00422501">
        <w:rPr>
          <w:rFonts w:ascii="Times New Roman" w:hAnsi="Times New Roman"/>
          <w:b/>
          <w:sz w:val="24"/>
          <w:szCs w:val="24"/>
        </w:rPr>
        <w:t xml:space="preserve"> </w:t>
      </w:r>
      <w:r w:rsidR="001D0CB2">
        <w:rPr>
          <w:rFonts w:ascii="Times New Roman" w:hAnsi="Times New Roman"/>
          <w:b/>
          <w:sz w:val="24"/>
          <w:szCs w:val="24"/>
        </w:rPr>
        <w:t>2</w:t>
      </w:r>
      <w:r w:rsidR="001D0CB2" w:rsidRPr="00422501">
        <w:rPr>
          <w:rFonts w:ascii="Times New Roman" w:hAnsi="Times New Roman"/>
          <w:sz w:val="24"/>
          <w:szCs w:val="24"/>
        </w:rPr>
        <w:t xml:space="preserve"> </w:t>
      </w:r>
      <w:r w:rsidRPr="00422501">
        <w:rPr>
          <w:rFonts w:ascii="Times New Roman" w:hAnsi="Times New Roman"/>
          <w:sz w:val="24"/>
          <w:szCs w:val="24"/>
        </w:rPr>
        <w:t>repeals and substitutes the heading for Rule 81A. The new heading has been changed to include the wording ‘debt account discharge liability’.</w:t>
      </w:r>
    </w:p>
    <w:p w14:paraId="1EB28C8F" w14:textId="4D897DCC" w:rsidR="007E00F5" w:rsidRPr="00422501" w:rsidRDefault="007E00F5" w:rsidP="00FD1B3E">
      <w:pPr>
        <w:pStyle w:val="BlockText-Plain"/>
        <w:spacing w:after="200"/>
        <w:rPr>
          <w:rFonts w:ascii="Times New Roman" w:hAnsi="Times New Roman"/>
          <w:sz w:val="24"/>
          <w:szCs w:val="24"/>
        </w:rPr>
      </w:pPr>
      <w:r>
        <w:rPr>
          <w:rFonts w:ascii="Times New Roman" w:hAnsi="Times New Roman"/>
          <w:b/>
          <w:sz w:val="24"/>
          <w:szCs w:val="24"/>
        </w:rPr>
        <w:t>Item</w:t>
      </w:r>
      <w:r w:rsidRPr="00422501">
        <w:rPr>
          <w:rFonts w:ascii="Times New Roman" w:hAnsi="Times New Roman"/>
          <w:b/>
          <w:sz w:val="24"/>
          <w:szCs w:val="24"/>
        </w:rPr>
        <w:t xml:space="preserve"> 3</w:t>
      </w:r>
      <w:r w:rsidRPr="00422501">
        <w:rPr>
          <w:rFonts w:ascii="Times New Roman" w:hAnsi="Times New Roman"/>
          <w:sz w:val="24"/>
          <w:szCs w:val="24"/>
        </w:rPr>
        <w:t xml:space="preserve"> repeals and substitutes Rule 81B. The new Rule provides that CSC may action a release authority issued under the </w:t>
      </w:r>
      <w:r w:rsidRPr="00422501">
        <w:rPr>
          <w:rFonts w:ascii="Times New Roman" w:hAnsi="Times New Roman"/>
          <w:i/>
          <w:iCs/>
          <w:sz w:val="24"/>
          <w:szCs w:val="24"/>
        </w:rPr>
        <w:t>Tax Administration Act 1953</w:t>
      </w:r>
      <w:r w:rsidRPr="00422501">
        <w:rPr>
          <w:rFonts w:ascii="Times New Roman" w:hAnsi="Times New Roman"/>
          <w:sz w:val="24"/>
          <w:szCs w:val="24"/>
        </w:rPr>
        <w:t>. The new Rule also sets out how the benefit should be reduced when the member is a contributing member of the scheme, or if the member is a DFRDB member with an ancillary benefit.</w:t>
      </w:r>
    </w:p>
    <w:p w14:paraId="69E06EA4" w14:textId="77777777" w:rsidR="007E00F5" w:rsidRPr="00422501" w:rsidRDefault="007E00F5" w:rsidP="00FD1B3E">
      <w:pPr>
        <w:pStyle w:val="BlockText-Plain"/>
        <w:spacing w:after="200"/>
        <w:rPr>
          <w:rFonts w:ascii="Times New Roman" w:hAnsi="Times New Roman"/>
          <w:sz w:val="24"/>
          <w:szCs w:val="24"/>
        </w:rPr>
      </w:pPr>
      <w:r w:rsidRPr="00422501">
        <w:rPr>
          <w:rFonts w:ascii="Times New Roman" w:hAnsi="Times New Roman"/>
          <w:sz w:val="24"/>
          <w:szCs w:val="24"/>
        </w:rPr>
        <w:t xml:space="preserve">This section inserts a new Rule 81C. The new Rule provides that CSC may action a release authority issued under the </w:t>
      </w:r>
      <w:r w:rsidRPr="00422501">
        <w:rPr>
          <w:rFonts w:ascii="Times New Roman" w:hAnsi="Times New Roman"/>
          <w:i/>
          <w:iCs/>
          <w:sz w:val="24"/>
          <w:szCs w:val="24"/>
        </w:rPr>
        <w:t>Tax Administration Act 1953</w:t>
      </w:r>
      <w:r w:rsidRPr="00422501">
        <w:rPr>
          <w:rFonts w:ascii="Times New Roman" w:hAnsi="Times New Roman"/>
          <w:sz w:val="24"/>
          <w:szCs w:val="24"/>
        </w:rPr>
        <w:t xml:space="preserve">. The new Rule also provides how the benefit should be reduced if the member is a preserved member of the scheme.  </w:t>
      </w:r>
    </w:p>
    <w:p w14:paraId="7065CB72" w14:textId="77777777" w:rsidR="007E00F5" w:rsidRPr="00422501" w:rsidRDefault="007E00F5" w:rsidP="007E00F5">
      <w:pPr>
        <w:pStyle w:val="BlockText-Plain"/>
        <w:spacing w:after="200"/>
        <w:rPr>
          <w:rFonts w:ascii="Times New Roman" w:hAnsi="Times New Roman"/>
          <w:sz w:val="24"/>
          <w:szCs w:val="24"/>
        </w:rPr>
      </w:pPr>
      <w:r w:rsidRPr="00422501">
        <w:rPr>
          <w:rFonts w:ascii="Times New Roman" w:hAnsi="Times New Roman"/>
          <w:sz w:val="24"/>
          <w:szCs w:val="24"/>
        </w:rPr>
        <w:t xml:space="preserve">This section inserts a new Rule 81D. The new Rule provides that CSC may action a release authority if issued in relation to a first home super saver determination. The new Rule also sets out how the benefit should be reduced, and what components of the benefit may be released.  </w:t>
      </w:r>
    </w:p>
    <w:p w14:paraId="0C3ACBA1" w14:textId="2EABD925" w:rsidR="007E00F5" w:rsidRDefault="007E00F5" w:rsidP="007E00F5">
      <w:pPr>
        <w:pStyle w:val="BlockText-Plain"/>
        <w:spacing w:after="200"/>
        <w:rPr>
          <w:rFonts w:ascii="Times New Roman" w:hAnsi="Times New Roman"/>
          <w:sz w:val="24"/>
          <w:szCs w:val="24"/>
        </w:rPr>
      </w:pPr>
      <w:r>
        <w:rPr>
          <w:rFonts w:ascii="Times New Roman" w:hAnsi="Times New Roman"/>
          <w:b/>
          <w:sz w:val="24"/>
          <w:szCs w:val="24"/>
        </w:rPr>
        <w:t>Item</w:t>
      </w:r>
      <w:r w:rsidRPr="00422501">
        <w:rPr>
          <w:rFonts w:ascii="Times New Roman" w:hAnsi="Times New Roman"/>
          <w:b/>
          <w:sz w:val="24"/>
          <w:szCs w:val="24"/>
        </w:rPr>
        <w:t xml:space="preserve"> </w:t>
      </w:r>
      <w:r w:rsidR="008F30D6">
        <w:rPr>
          <w:rFonts w:ascii="Times New Roman" w:hAnsi="Times New Roman"/>
          <w:b/>
          <w:sz w:val="24"/>
          <w:szCs w:val="24"/>
        </w:rPr>
        <w:t>4</w:t>
      </w:r>
      <w:r w:rsidR="008F30D6" w:rsidRPr="00422501">
        <w:rPr>
          <w:rFonts w:ascii="Times New Roman" w:hAnsi="Times New Roman"/>
          <w:b/>
          <w:sz w:val="24"/>
          <w:szCs w:val="24"/>
        </w:rPr>
        <w:t xml:space="preserve"> </w:t>
      </w:r>
      <w:r w:rsidRPr="00422501">
        <w:rPr>
          <w:rFonts w:ascii="Times New Roman" w:hAnsi="Times New Roman"/>
          <w:sz w:val="24"/>
          <w:szCs w:val="24"/>
        </w:rPr>
        <w:t>amends Item 1 of Schedule 1 to the Rules, which provides definitions for the Rules. The term ‘first home super saver determination’ has been inserted to the list of defined terms.</w:t>
      </w:r>
    </w:p>
    <w:p w14:paraId="46A292AA" w14:textId="3E13F8C8" w:rsidR="00E000E5" w:rsidRDefault="00E000E5">
      <w:pPr>
        <w:rPr>
          <w:rFonts w:ascii="Times New Roman" w:eastAsia="Times New Roman" w:hAnsi="Times New Roman" w:cs="Times New Roman"/>
          <w:sz w:val="24"/>
          <w:szCs w:val="24"/>
          <w:lang w:eastAsia="en-AU"/>
        </w:rPr>
      </w:pPr>
      <w:bookmarkStart w:id="1" w:name="_GoBack"/>
      <w:r>
        <w:rPr>
          <w:rFonts w:ascii="Times New Roman" w:hAnsi="Times New Roman"/>
          <w:sz w:val="24"/>
          <w:szCs w:val="24"/>
        </w:rPr>
        <w:br w:type="page"/>
      </w:r>
    </w:p>
    <w:bookmarkEnd w:id="1"/>
    <w:p w14:paraId="1F3BE255" w14:textId="77777777" w:rsidR="00D524CA" w:rsidRDefault="00D524CA" w:rsidP="007E00F5">
      <w:pPr>
        <w:pStyle w:val="BlockText-Plain"/>
        <w:spacing w:after="200"/>
        <w:rPr>
          <w:rFonts w:ascii="Times New Roman" w:hAnsi="Times New Roman"/>
          <w:sz w:val="24"/>
          <w:szCs w:val="24"/>
        </w:rPr>
      </w:pPr>
    </w:p>
    <w:p w14:paraId="65E15FEB" w14:textId="77777777" w:rsidR="00D524CA" w:rsidRPr="00E000E5" w:rsidRDefault="00D524CA" w:rsidP="00D524CA">
      <w:pPr>
        <w:pStyle w:val="BlockText-Plain"/>
        <w:spacing w:after="200"/>
        <w:jc w:val="center"/>
        <w:rPr>
          <w:rFonts w:ascii="Times New Roman" w:hAnsi="Times New Roman"/>
          <w:color w:val="000000"/>
          <w:sz w:val="24"/>
          <w:szCs w:val="24"/>
        </w:rPr>
      </w:pPr>
      <w:r w:rsidRPr="00E000E5">
        <w:rPr>
          <w:rFonts w:ascii="Times New Roman" w:hAnsi="Times New Roman"/>
          <w:b/>
          <w:color w:val="000000"/>
          <w:sz w:val="24"/>
          <w:szCs w:val="24"/>
        </w:rPr>
        <w:t>Consultation</w:t>
      </w:r>
    </w:p>
    <w:p w14:paraId="1229A43F" w14:textId="77777777" w:rsidR="00D524CA" w:rsidRPr="00E000E5" w:rsidRDefault="00D524CA" w:rsidP="00D524CA">
      <w:pPr>
        <w:rPr>
          <w:rFonts w:ascii="Times New Roman" w:hAnsi="Times New Roman"/>
          <w:color w:val="000000"/>
          <w:sz w:val="24"/>
          <w:szCs w:val="24"/>
        </w:rPr>
      </w:pPr>
      <w:r w:rsidRPr="00E000E5">
        <w:rPr>
          <w:rFonts w:ascii="Times New Roman" w:hAnsi="Times New Roman"/>
          <w:color w:val="000000"/>
          <w:sz w:val="24"/>
          <w:szCs w:val="24"/>
        </w:rPr>
        <w:t>Before this Instrument was made, consultation was undertaken internally with Defence Legal, the Directorate of Military Policy, the Directorate of Military Conditions and Housing Policy, Director General Navy People, Director General Personnel – Army and Director General Personnel – Air Force. External consultation was also undertaken with the Department of Finance and CSC.</w:t>
      </w:r>
    </w:p>
    <w:p w14:paraId="1F145C0D" w14:textId="77777777" w:rsidR="00D524CA" w:rsidRPr="00422501" w:rsidRDefault="00D524CA" w:rsidP="00D524CA">
      <w:pPr>
        <w:rPr>
          <w:rFonts w:ascii="Times New Roman" w:hAnsi="Times New Roman"/>
          <w:color w:val="000000"/>
          <w:sz w:val="24"/>
          <w:szCs w:val="24"/>
        </w:rPr>
      </w:pPr>
      <w:r w:rsidRPr="00E000E5">
        <w:rPr>
          <w:rFonts w:ascii="Times New Roman" w:hAnsi="Times New Roman"/>
          <w:color w:val="000000"/>
          <w:sz w:val="24"/>
          <w:szCs w:val="24"/>
        </w:rPr>
        <w:t>The rule-maker was satisfied that further external consultation was not required</w:t>
      </w:r>
    </w:p>
    <w:p w14:paraId="6B1C11BF" w14:textId="77777777" w:rsidR="00D524CA" w:rsidRPr="00422501" w:rsidRDefault="00D524CA" w:rsidP="00D524CA">
      <w:pPr>
        <w:rPr>
          <w:rFonts w:ascii="Times New Roman" w:hAnsi="Times New Roman"/>
          <w:sz w:val="24"/>
          <w:szCs w:val="24"/>
        </w:rPr>
      </w:pPr>
    </w:p>
    <w:p w14:paraId="2EE1C0FA" w14:textId="77777777" w:rsidR="00D524CA" w:rsidRDefault="00D524CA" w:rsidP="00D524CA">
      <w:pPr>
        <w:rPr>
          <w:rFonts w:hAnsi="Times New Roman"/>
        </w:rPr>
      </w:pPr>
      <w:r>
        <w:rPr>
          <w:rFonts w:hAnsi="Times New Roman"/>
        </w:rPr>
        <w:br w:type="page"/>
      </w:r>
    </w:p>
    <w:p w14:paraId="25B50293" w14:textId="77777777" w:rsidR="00D524CA" w:rsidRPr="00A04522" w:rsidRDefault="00D524CA" w:rsidP="00D524CA">
      <w:pPr>
        <w:pStyle w:val="ListParagraph"/>
        <w:keepLines w:val="0"/>
        <w:spacing w:after="200"/>
        <w:ind w:left="0" w:firstLine="720"/>
        <w:jc w:val="center"/>
        <w:rPr>
          <w:rFonts w:ascii="Times New Roman" w:eastAsiaTheme="minorHAnsi" w:hAnsi="Times New Roman"/>
          <w:b/>
          <w:sz w:val="24"/>
          <w:szCs w:val="24"/>
          <w:lang w:eastAsia="en-US"/>
        </w:rPr>
      </w:pPr>
      <w:r w:rsidRPr="00A04522">
        <w:rPr>
          <w:rFonts w:ascii="Times New Roman" w:eastAsiaTheme="minorHAnsi" w:hAnsi="Times New Roman"/>
          <w:b/>
          <w:sz w:val="24"/>
          <w:szCs w:val="24"/>
          <w:lang w:eastAsia="en-US"/>
        </w:rPr>
        <w:lastRenderedPageBreak/>
        <w:t>STATEMENT OF COMPATIBILITY WITH HUMAN RIGHTS</w:t>
      </w:r>
    </w:p>
    <w:p w14:paraId="2C308D62" w14:textId="77777777" w:rsidR="00D524CA" w:rsidRPr="00A04522" w:rsidRDefault="00D524CA" w:rsidP="00D524CA">
      <w:pPr>
        <w:pStyle w:val="ListParagraph"/>
        <w:keepLines w:val="0"/>
        <w:spacing w:after="200"/>
        <w:ind w:left="0"/>
        <w:jc w:val="center"/>
        <w:rPr>
          <w:rFonts w:ascii="Times New Roman" w:eastAsiaTheme="minorHAnsi" w:hAnsi="Times New Roman"/>
          <w:i/>
          <w:sz w:val="24"/>
          <w:szCs w:val="24"/>
          <w:lang w:eastAsia="en-US"/>
        </w:rPr>
      </w:pPr>
      <w:r w:rsidRPr="00A04522">
        <w:rPr>
          <w:rFonts w:ascii="Times New Roman" w:eastAsiaTheme="minorHAnsi" w:hAnsi="Times New Roman"/>
          <w:i/>
          <w:sz w:val="24"/>
          <w:szCs w:val="24"/>
          <w:lang w:eastAsia="en-US"/>
        </w:rPr>
        <w:t>Prepared in accordance with Part 3 of the Human Rights (Parliamentary Scrutiny) Act 2011</w:t>
      </w:r>
    </w:p>
    <w:p w14:paraId="5DACA31E" w14:textId="009609D4" w:rsidR="00D524CA" w:rsidRPr="005E1BBD" w:rsidRDefault="00D524CA" w:rsidP="00D524CA">
      <w:pPr>
        <w:spacing w:after="200"/>
        <w:jc w:val="center"/>
        <w:rPr>
          <w:rFonts w:ascii="Times New Roman" w:hAnsi="Times New Roman"/>
          <w:b/>
          <w:i/>
          <w:sz w:val="24"/>
          <w:szCs w:val="24"/>
        </w:rPr>
      </w:pPr>
      <w:r w:rsidRPr="005E1BBD">
        <w:rPr>
          <w:rFonts w:ascii="Times New Roman" w:hAnsi="Times New Roman"/>
          <w:b/>
          <w:i/>
          <w:sz w:val="24"/>
          <w:szCs w:val="24"/>
        </w:rPr>
        <w:t>Military Superannuation and Benefits Amendment (Trust Deed) Instrument 202</w:t>
      </w:r>
      <w:r w:rsidR="006354D2">
        <w:rPr>
          <w:rFonts w:ascii="Times New Roman" w:hAnsi="Times New Roman"/>
          <w:b/>
          <w:i/>
          <w:sz w:val="24"/>
          <w:szCs w:val="24"/>
        </w:rPr>
        <w:t>2</w:t>
      </w:r>
    </w:p>
    <w:p w14:paraId="42FAB0C8" w14:textId="6C41049D" w:rsidR="00D524CA" w:rsidRPr="00963A8F" w:rsidRDefault="00D524CA" w:rsidP="00D524CA">
      <w:pPr>
        <w:spacing w:after="200"/>
        <w:rPr>
          <w:rFonts w:ascii="Times New Roman" w:hAnsi="Times New Roman"/>
          <w:i/>
          <w:sz w:val="24"/>
          <w:szCs w:val="24"/>
        </w:rPr>
      </w:pPr>
      <w:r>
        <w:rPr>
          <w:rFonts w:ascii="Times New Roman" w:hAnsi="Times New Roman"/>
          <w:sz w:val="24"/>
          <w:szCs w:val="24"/>
        </w:rPr>
        <w:t xml:space="preserve">The </w:t>
      </w:r>
      <w:r w:rsidRPr="00963A8F">
        <w:rPr>
          <w:rFonts w:ascii="Times New Roman" w:hAnsi="Times New Roman"/>
          <w:i/>
          <w:sz w:val="24"/>
          <w:szCs w:val="24"/>
        </w:rPr>
        <w:t>Military Superannuation and Benefits Amendment (Trust Deed) Instrument 202</w:t>
      </w:r>
      <w:r w:rsidR="009A73EE">
        <w:rPr>
          <w:rFonts w:ascii="Times New Roman" w:hAnsi="Times New Roman"/>
          <w:i/>
          <w:sz w:val="24"/>
          <w:szCs w:val="24"/>
        </w:rPr>
        <w:t>1</w:t>
      </w:r>
      <w:r w:rsidRPr="00963A8F">
        <w:rPr>
          <w:rFonts w:ascii="Times New Roman" w:hAnsi="Times New Roman"/>
          <w:sz w:val="24"/>
          <w:szCs w:val="24"/>
        </w:rPr>
        <w:t xml:space="preserve"> </w:t>
      </w:r>
      <w:r>
        <w:rPr>
          <w:rFonts w:ascii="Times New Roman" w:hAnsi="Times New Roman"/>
          <w:sz w:val="24"/>
          <w:szCs w:val="24"/>
        </w:rPr>
        <w:t>(the</w:t>
      </w:r>
      <w:r w:rsidRPr="00963A8F">
        <w:rPr>
          <w:rFonts w:ascii="Times New Roman" w:hAnsi="Times New Roman"/>
          <w:sz w:val="24"/>
          <w:szCs w:val="24"/>
        </w:rPr>
        <w:t xml:space="preserve"> Instrument</w:t>
      </w:r>
      <w:r>
        <w:rPr>
          <w:rFonts w:ascii="Times New Roman" w:hAnsi="Times New Roman"/>
          <w:sz w:val="24"/>
          <w:szCs w:val="24"/>
        </w:rPr>
        <w:t>)</w:t>
      </w:r>
      <w:r w:rsidRPr="00963A8F">
        <w:rPr>
          <w:rFonts w:ascii="Times New Roman" w:hAnsi="Times New Roman"/>
          <w:sz w:val="24"/>
          <w:szCs w:val="24"/>
        </w:rPr>
        <w:t xml:space="preserve"> is compatible with the human rights and freedoms recognised or declared in the international instruments listed in section 3 of the </w:t>
      </w:r>
      <w:r w:rsidRPr="00963A8F">
        <w:rPr>
          <w:rFonts w:ascii="Times New Roman" w:hAnsi="Times New Roman"/>
          <w:i/>
          <w:sz w:val="24"/>
          <w:szCs w:val="24"/>
        </w:rPr>
        <w:t xml:space="preserve">Human Rights (Parliamentary Scrutiny) Act 2011. </w:t>
      </w:r>
    </w:p>
    <w:p w14:paraId="265CBE4D" w14:textId="77777777" w:rsidR="00D524CA" w:rsidRPr="00963A8F" w:rsidRDefault="00D524CA" w:rsidP="00D524CA">
      <w:pPr>
        <w:pStyle w:val="ListParagraph"/>
        <w:keepLines w:val="0"/>
        <w:spacing w:after="200"/>
        <w:ind w:left="0"/>
        <w:rPr>
          <w:rFonts w:ascii="Times New Roman" w:eastAsiaTheme="minorHAnsi" w:hAnsi="Times New Roman"/>
          <w:b/>
          <w:sz w:val="24"/>
          <w:szCs w:val="24"/>
          <w:lang w:eastAsia="en-US"/>
        </w:rPr>
      </w:pPr>
      <w:r w:rsidRPr="00963A8F">
        <w:rPr>
          <w:rFonts w:ascii="Times New Roman" w:eastAsiaTheme="minorHAnsi" w:hAnsi="Times New Roman"/>
          <w:b/>
          <w:sz w:val="24"/>
          <w:szCs w:val="24"/>
          <w:lang w:eastAsia="en-US"/>
        </w:rPr>
        <w:t>Overview of the Instrument</w:t>
      </w:r>
    </w:p>
    <w:p w14:paraId="689ADBB6" w14:textId="04AD760A" w:rsidR="00D524CA" w:rsidRPr="00357CDB" w:rsidRDefault="00D524CA" w:rsidP="00C67B8B">
      <w:pPr>
        <w:spacing w:after="200"/>
        <w:rPr>
          <w:rFonts w:ascii="Times New Roman" w:hAnsi="Times New Roman"/>
          <w:sz w:val="24"/>
          <w:szCs w:val="24"/>
        </w:rPr>
      </w:pPr>
      <w:r w:rsidRPr="00963A8F">
        <w:rPr>
          <w:rFonts w:ascii="Times New Roman" w:hAnsi="Times New Roman"/>
          <w:sz w:val="24"/>
          <w:szCs w:val="24"/>
        </w:rPr>
        <w:t>Th</w:t>
      </w:r>
      <w:r>
        <w:rPr>
          <w:rFonts w:ascii="Times New Roman" w:hAnsi="Times New Roman"/>
          <w:sz w:val="24"/>
          <w:szCs w:val="24"/>
        </w:rPr>
        <w:t xml:space="preserve">e Instrument </w:t>
      </w:r>
      <w:r w:rsidRPr="00357CDB">
        <w:rPr>
          <w:rFonts w:ascii="Times New Roman" w:hAnsi="Times New Roman"/>
          <w:sz w:val="24"/>
          <w:szCs w:val="24"/>
        </w:rPr>
        <w:t>enable</w:t>
      </w:r>
      <w:r w:rsidR="006178DD">
        <w:rPr>
          <w:rFonts w:ascii="Times New Roman" w:hAnsi="Times New Roman"/>
          <w:sz w:val="24"/>
          <w:szCs w:val="24"/>
        </w:rPr>
        <w:t>s</w:t>
      </w:r>
      <w:r w:rsidRPr="00357CDB">
        <w:rPr>
          <w:rFonts w:ascii="Times New Roman" w:hAnsi="Times New Roman"/>
          <w:sz w:val="24"/>
          <w:szCs w:val="24"/>
        </w:rPr>
        <w:t xml:space="preserve"> </w:t>
      </w:r>
      <w:r w:rsidR="00742D13">
        <w:rPr>
          <w:rFonts w:ascii="Times New Roman" w:hAnsi="Times New Roman"/>
          <w:sz w:val="24"/>
          <w:szCs w:val="24"/>
        </w:rPr>
        <w:t>the Commonwealth Superannuation Corporation (</w:t>
      </w:r>
      <w:r w:rsidRPr="00357CDB">
        <w:rPr>
          <w:rFonts w:ascii="Times New Roman" w:hAnsi="Times New Roman"/>
          <w:sz w:val="24"/>
          <w:szCs w:val="24"/>
        </w:rPr>
        <w:t>CSC</w:t>
      </w:r>
      <w:r w:rsidR="00742D13">
        <w:rPr>
          <w:rFonts w:ascii="Times New Roman" w:hAnsi="Times New Roman"/>
          <w:sz w:val="24"/>
          <w:szCs w:val="24"/>
        </w:rPr>
        <w:t>)</w:t>
      </w:r>
      <w:r w:rsidRPr="00357CDB">
        <w:rPr>
          <w:rFonts w:ascii="Times New Roman" w:hAnsi="Times New Roman"/>
          <w:sz w:val="24"/>
          <w:szCs w:val="24"/>
        </w:rPr>
        <w:t xml:space="preserve"> to administer the First Home Super Saver Scheme (and other 2017/18 Federal Budget related matters)</w:t>
      </w:r>
      <w:r w:rsidR="006178DD">
        <w:rPr>
          <w:rFonts w:ascii="Times New Roman" w:hAnsi="Times New Roman"/>
          <w:sz w:val="24"/>
          <w:szCs w:val="24"/>
        </w:rPr>
        <w:t>.</w:t>
      </w:r>
    </w:p>
    <w:p w14:paraId="7D50F99D" w14:textId="77777777" w:rsidR="00D524CA" w:rsidRPr="00963A8F" w:rsidRDefault="00D524CA" w:rsidP="00D524CA">
      <w:pPr>
        <w:pStyle w:val="ListParagraph"/>
        <w:keepLines w:val="0"/>
        <w:spacing w:after="200"/>
        <w:ind w:left="0"/>
        <w:rPr>
          <w:rFonts w:ascii="Times New Roman" w:eastAsiaTheme="minorHAnsi" w:hAnsi="Times New Roman"/>
          <w:b/>
          <w:sz w:val="24"/>
          <w:szCs w:val="24"/>
          <w:lang w:eastAsia="en-US"/>
        </w:rPr>
      </w:pPr>
      <w:r w:rsidRPr="00963A8F">
        <w:rPr>
          <w:rFonts w:ascii="Times New Roman" w:eastAsiaTheme="minorHAnsi" w:hAnsi="Times New Roman"/>
          <w:b/>
          <w:sz w:val="24"/>
          <w:szCs w:val="24"/>
          <w:lang w:eastAsia="en-US"/>
        </w:rPr>
        <w:t>Human rights implications</w:t>
      </w:r>
    </w:p>
    <w:p w14:paraId="2684FA11" w14:textId="77777777" w:rsidR="00D524CA" w:rsidRPr="00963A8F" w:rsidRDefault="00D524CA" w:rsidP="00D524CA">
      <w:pPr>
        <w:spacing w:after="200"/>
        <w:rPr>
          <w:rFonts w:ascii="Times New Roman" w:hAnsi="Times New Roman"/>
          <w:sz w:val="24"/>
          <w:szCs w:val="24"/>
        </w:rPr>
      </w:pPr>
      <w:r w:rsidRPr="00963A8F">
        <w:rPr>
          <w:rFonts w:ascii="Times New Roman" w:hAnsi="Times New Roman"/>
          <w:i/>
          <w:iCs/>
          <w:sz w:val="24"/>
          <w:szCs w:val="24"/>
        </w:rPr>
        <w:t>Right to the enjoyment of just and favourable conditions of work</w:t>
      </w:r>
    </w:p>
    <w:p w14:paraId="567A25BB" w14:textId="77777777" w:rsidR="00D524CA" w:rsidRPr="00963A8F" w:rsidRDefault="00D524CA" w:rsidP="00D524CA">
      <w:pPr>
        <w:rPr>
          <w:rFonts w:ascii="Times New Roman" w:hAnsi="Times New Roman"/>
          <w:sz w:val="24"/>
          <w:szCs w:val="24"/>
        </w:rPr>
      </w:pPr>
      <w:r w:rsidRPr="00963A8F">
        <w:rPr>
          <w:rFonts w:ascii="Times New Roman" w:hAnsi="Times New Roman"/>
          <w:sz w:val="24"/>
          <w:szCs w:val="24"/>
        </w:rPr>
        <w:t>The protection of a person's right to just and favourable working conditions engages Article 7 of the International Covenant on Economic, Social and Cultural Rights. Article 7 recognises the right to just and favourable conditions of work including remuneration which provide for fair wages, equal pay for equal work and a decent living for the person and their families.</w:t>
      </w:r>
    </w:p>
    <w:p w14:paraId="3B048EB1" w14:textId="4199084F" w:rsidR="00D524CA" w:rsidRPr="00BF0F22" w:rsidRDefault="00D524CA" w:rsidP="00C67B8B">
      <w:pPr>
        <w:spacing w:after="200"/>
        <w:rPr>
          <w:rFonts w:ascii="Times New Roman" w:hAnsi="Times New Roman"/>
          <w:sz w:val="24"/>
          <w:szCs w:val="24"/>
        </w:rPr>
      </w:pPr>
      <w:r w:rsidRPr="00963A8F">
        <w:rPr>
          <w:rFonts w:ascii="Times New Roman" w:hAnsi="Times New Roman"/>
          <w:i/>
          <w:iCs/>
          <w:sz w:val="24"/>
          <w:szCs w:val="24"/>
        </w:rPr>
        <w:t xml:space="preserve">Legitimate objective – </w:t>
      </w:r>
      <w:r w:rsidRPr="00963A8F">
        <w:rPr>
          <w:rFonts w:ascii="Times New Roman" w:hAnsi="Times New Roman"/>
          <w:iCs/>
          <w:sz w:val="24"/>
          <w:szCs w:val="24"/>
        </w:rPr>
        <w:t>The changes are beneficial to members, as they</w:t>
      </w:r>
      <w:r w:rsidR="00311A01">
        <w:rPr>
          <w:rFonts w:ascii="Times New Roman" w:hAnsi="Times New Roman"/>
          <w:iCs/>
          <w:sz w:val="24"/>
          <w:szCs w:val="24"/>
        </w:rPr>
        <w:t xml:space="preserve"> </w:t>
      </w:r>
      <w:r w:rsidRPr="00BF0F22">
        <w:rPr>
          <w:rFonts w:ascii="Times New Roman" w:hAnsi="Times New Roman"/>
          <w:sz w:val="24"/>
          <w:szCs w:val="24"/>
        </w:rPr>
        <w:t>allow additional access to funds in accordance with Federal Budget related matters</w:t>
      </w:r>
      <w:r w:rsidR="00311A01">
        <w:rPr>
          <w:rFonts w:ascii="Times New Roman" w:hAnsi="Times New Roman"/>
          <w:sz w:val="24"/>
          <w:szCs w:val="24"/>
        </w:rPr>
        <w:t>.</w:t>
      </w:r>
    </w:p>
    <w:p w14:paraId="65929B19" w14:textId="77777777" w:rsidR="00D524CA" w:rsidRPr="00963A8F" w:rsidRDefault="00D524CA" w:rsidP="00D524CA">
      <w:pPr>
        <w:spacing w:after="200"/>
        <w:rPr>
          <w:rFonts w:ascii="Times New Roman" w:hAnsi="Times New Roman"/>
          <w:b/>
          <w:sz w:val="24"/>
          <w:szCs w:val="24"/>
        </w:rPr>
      </w:pPr>
      <w:r w:rsidRPr="00963A8F">
        <w:rPr>
          <w:rFonts w:ascii="Times New Roman" w:hAnsi="Times New Roman"/>
          <w:b/>
          <w:sz w:val="24"/>
          <w:szCs w:val="24"/>
        </w:rPr>
        <w:t>Conclusion</w:t>
      </w:r>
    </w:p>
    <w:p w14:paraId="4454F03D" w14:textId="77777777" w:rsidR="00D524CA" w:rsidRPr="00963A8F" w:rsidRDefault="00D524CA" w:rsidP="00D524CA">
      <w:pPr>
        <w:spacing w:after="200"/>
        <w:rPr>
          <w:rFonts w:ascii="Times New Roman" w:hAnsi="Times New Roman"/>
          <w:sz w:val="24"/>
          <w:szCs w:val="24"/>
        </w:rPr>
      </w:pPr>
      <w:r w:rsidRPr="00963A8F">
        <w:rPr>
          <w:rFonts w:ascii="Times New Roman" w:hAnsi="Times New Roman"/>
          <w:sz w:val="24"/>
          <w:szCs w:val="24"/>
        </w:rPr>
        <w:t>The Instrument is compatible with human rights because it promotes and advances the protection of human rights.</w:t>
      </w:r>
    </w:p>
    <w:bookmarkEnd w:id="0"/>
    <w:p w14:paraId="09912C0E" w14:textId="77777777" w:rsidR="00D524CA" w:rsidRPr="00422501" w:rsidRDefault="00D524CA" w:rsidP="007E00F5">
      <w:pPr>
        <w:pStyle w:val="BlockText-Plain"/>
        <w:spacing w:after="200"/>
        <w:rPr>
          <w:rFonts w:ascii="Times New Roman" w:hAnsi="Times New Roman"/>
          <w:sz w:val="24"/>
          <w:szCs w:val="24"/>
        </w:rPr>
      </w:pPr>
    </w:p>
    <w:sectPr w:rsidR="00D524CA" w:rsidRPr="00422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3"/>
    <w:multiLevelType w:val="hybridMultilevel"/>
    <w:tmpl w:val="4A7997A1"/>
    <w:lvl w:ilvl="0" w:tplc="A53675A0">
      <w:start w:val="1"/>
      <w:numFmt w:val="bullet"/>
      <w:lvlText w:val="·"/>
      <w:lvlJc w:val="left"/>
      <w:pPr>
        <w:ind w:left="1080" w:hanging="360"/>
      </w:pPr>
      <w:rPr>
        <w:rFonts w:ascii="Symbol" w:eastAsia="Symbol" w:hAnsi="Symbol"/>
        <w:w w:val="100"/>
        <w:sz w:val="20"/>
        <w:szCs w:val="20"/>
        <w:shd w:val="clear" w:color="auto" w:fill="auto"/>
      </w:rPr>
    </w:lvl>
    <w:lvl w:ilvl="1" w:tplc="061E1F12">
      <w:start w:val="1"/>
      <w:numFmt w:val="bullet"/>
      <w:lvlText w:val="o"/>
      <w:lvlJc w:val="left"/>
      <w:pPr>
        <w:ind w:left="1800" w:hanging="360"/>
      </w:pPr>
      <w:rPr>
        <w:rFonts w:ascii="Courier New" w:eastAsia="Courier New" w:hAnsi="Courier New"/>
        <w:w w:val="100"/>
        <w:sz w:val="20"/>
        <w:szCs w:val="20"/>
        <w:shd w:val="clear" w:color="auto" w:fill="auto"/>
      </w:rPr>
    </w:lvl>
    <w:lvl w:ilvl="2" w:tplc="7FC05214">
      <w:start w:val="1"/>
      <w:numFmt w:val="bullet"/>
      <w:lvlText w:val="§"/>
      <w:lvlJc w:val="left"/>
      <w:pPr>
        <w:ind w:left="2520" w:hanging="360"/>
      </w:pPr>
      <w:rPr>
        <w:rFonts w:ascii="Wingdings" w:eastAsia="Wingdings" w:hAnsi="Wingdings"/>
        <w:w w:val="100"/>
        <w:sz w:val="20"/>
        <w:szCs w:val="20"/>
        <w:shd w:val="clear" w:color="auto" w:fill="auto"/>
      </w:rPr>
    </w:lvl>
    <w:lvl w:ilvl="3" w:tplc="37BC8342">
      <w:start w:val="1"/>
      <w:numFmt w:val="bullet"/>
      <w:lvlText w:val="·"/>
      <w:lvlJc w:val="left"/>
      <w:pPr>
        <w:ind w:left="3240" w:hanging="360"/>
      </w:pPr>
      <w:rPr>
        <w:rFonts w:ascii="Symbol" w:eastAsia="Symbol" w:hAnsi="Symbol"/>
        <w:w w:val="100"/>
        <w:sz w:val="20"/>
        <w:szCs w:val="20"/>
        <w:shd w:val="clear" w:color="auto" w:fill="auto"/>
      </w:rPr>
    </w:lvl>
    <w:lvl w:ilvl="4" w:tplc="F0BE3F94">
      <w:start w:val="1"/>
      <w:numFmt w:val="bullet"/>
      <w:lvlText w:val="o"/>
      <w:lvlJc w:val="left"/>
      <w:pPr>
        <w:ind w:left="3960" w:hanging="360"/>
      </w:pPr>
      <w:rPr>
        <w:rFonts w:ascii="Courier New" w:eastAsia="Courier New" w:hAnsi="Courier New"/>
        <w:w w:val="100"/>
        <w:sz w:val="20"/>
        <w:szCs w:val="20"/>
        <w:shd w:val="clear" w:color="auto" w:fill="auto"/>
      </w:rPr>
    </w:lvl>
    <w:lvl w:ilvl="5" w:tplc="A18E68C2">
      <w:start w:val="1"/>
      <w:numFmt w:val="bullet"/>
      <w:lvlText w:val="§"/>
      <w:lvlJc w:val="left"/>
      <w:pPr>
        <w:ind w:left="4680" w:hanging="360"/>
      </w:pPr>
      <w:rPr>
        <w:rFonts w:ascii="Wingdings" w:eastAsia="Wingdings" w:hAnsi="Wingdings"/>
        <w:w w:val="100"/>
        <w:sz w:val="20"/>
        <w:szCs w:val="20"/>
        <w:shd w:val="clear" w:color="auto" w:fill="auto"/>
      </w:rPr>
    </w:lvl>
    <w:lvl w:ilvl="6" w:tplc="730294AA">
      <w:start w:val="1"/>
      <w:numFmt w:val="bullet"/>
      <w:lvlText w:val="·"/>
      <w:lvlJc w:val="left"/>
      <w:pPr>
        <w:ind w:left="5400" w:hanging="360"/>
      </w:pPr>
      <w:rPr>
        <w:rFonts w:ascii="Symbol" w:eastAsia="Symbol" w:hAnsi="Symbol"/>
        <w:w w:val="100"/>
        <w:sz w:val="20"/>
        <w:szCs w:val="20"/>
        <w:shd w:val="clear" w:color="auto" w:fill="auto"/>
      </w:rPr>
    </w:lvl>
    <w:lvl w:ilvl="7" w:tplc="DC847602">
      <w:start w:val="1"/>
      <w:numFmt w:val="bullet"/>
      <w:lvlText w:val="o"/>
      <w:lvlJc w:val="left"/>
      <w:pPr>
        <w:ind w:left="6120" w:hanging="360"/>
      </w:pPr>
      <w:rPr>
        <w:rFonts w:ascii="Courier New" w:eastAsia="Courier New" w:hAnsi="Courier New"/>
        <w:w w:val="100"/>
        <w:sz w:val="20"/>
        <w:szCs w:val="20"/>
        <w:shd w:val="clear" w:color="auto" w:fill="auto"/>
      </w:rPr>
    </w:lvl>
    <w:lvl w:ilvl="8" w:tplc="AFF00B5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71594560"/>
    <w:multiLevelType w:val="hybridMultilevel"/>
    <w:tmpl w:val="69463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F5"/>
    <w:rsid w:val="0006489D"/>
    <w:rsid w:val="001D0CB2"/>
    <w:rsid w:val="00311A01"/>
    <w:rsid w:val="003E5BA4"/>
    <w:rsid w:val="00587F08"/>
    <w:rsid w:val="0060494C"/>
    <w:rsid w:val="006178DD"/>
    <w:rsid w:val="006354D2"/>
    <w:rsid w:val="0072540A"/>
    <w:rsid w:val="00742D13"/>
    <w:rsid w:val="007E00F5"/>
    <w:rsid w:val="008F30D6"/>
    <w:rsid w:val="009115ED"/>
    <w:rsid w:val="009A73EE"/>
    <w:rsid w:val="00A52552"/>
    <w:rsid w:val="00B267B9"/>
    <w:rsid w:val="00B5224C"/>
    <w:rsid w:val="00B94574"/>
    <w:rsid w:val="00C67B8B"/>
    <w:rsid w:val="00D427C3"/>
    <w:rsid w:val="00D524CA"/>
    <w:rsid w:val="00D708B1"/>
    <w:rsid w:val="00E000E5"/>
    <w:rsid w:val="00ED3DB5"/>
    <w:rsid w:val="00F033CB"/>
    <w:rsid w:val="00FD1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0A67"/>
  <w15:chartTrackingRefBased/>
  <w15:docId w15:val="{3C60636B-D5FA-4294-8E8A-86AA45C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2">
    <w:name w:val="ActHead 2"/>
    <w:aliases w:val="p"/>
    <w:basedOn w:val="Normal"/>
    <w:next w:val="Normal"/>
    <w:qFormat/>
    <w:rsid w:val="007E00F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link w:val="ActHead5Char"/>
    <w:qFormat/>
    <w:rsid w:val="007E00F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7">
    <w:name w:val="ActHead 7"/>
    <w:aliases w:val="ap"/>
    <w:basedOn w:val="Normal"/>
    <w:next w:val="ItemHead"/>
    <w:qFormat/>
    <w:rsid w:val="007E00F5"/>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7E00F5"/>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E00F5"/>
  </w:style>
  <w:style w:type="character" w:customStyle="1" w:styleId="CharAmPartText">
    <w:name w:val="CharAmPartText"/>
    <w:basedOn w:val="DefaultParagraphFont"/>
    <w:qFormat/>
    <w:rsid w:val="007E00F5"/>
  </w:style>
  <w:style w:type="character" w:customStyle="1" w:styleId="CharPartNo">
    <w:name w:val="CharPartNo"/>
    <w:basedOn w:val="DefaultParagraphFont"/>
    <w:uiPriority w:val="1"/>
    <w:qFormat/>
    <w:rsid w:val="007E00F5"/>
  </w:style>
  <w:style w:type="character" w:customStyle="1" w:styleId="CharPartText">
    <w:name w:val="CharPartText"/>
    <w:basedOn w:val="DefaultParagraphFont"/>
    <w:uiPriority w:val="1"/>
    <w:qFormat/>
    <w:rsid w:val="007E00F5"/>
  </w:style>
  <w:style w:type="character" w:customStyle="1" w:styleId="CharSectno">
    <w:name w:val="CharSectno"/>
    <w:basedOn w:val="DefaultParagraphFont"/>
    <w:qFormat/>
    <w:rsid w:val="007E00F5"/>
  </w:style>
  <w:style w:type="paragraph" w:customStyle="1" w:styleId="subsection">
    <w:name w:val="subsection"/>
    <w:aliases w:val="ss"/>
    <w:basedOn w:val="Normal"/>
    <w:link w:val="subsectionChar"/>
    <w:rsid w:val="007E00F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7E00F5"/>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7E00F5"/>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E00F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7E00F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E00F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E00F5"/>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7E00F5"/>
    <w:rPr>
      <w:rFonts w:ascii="Times New Roman" w:eastAsia="Times New Roman" w:hAnsi="Times New Roman" w:cs="Times New Roman"/>
      <w:b/>
      <w:kern w:val="28"/>
      <w:sz w:val="24"/>
      <w:szCs w:val="20"/>
      <w:lang w:eastAsia="en-AU"/>
    </w:rPr>
  </w:style>
  <w:style w:type="paragraph" w:customStyle="1" w:styleId="BlockText-Plain">
    <w:name w:val="Block Text- Plain"/>
    <w:basedOn w:val="Normal"/>
    <w:link w:val="BlockText-PlainChar"/>
    <w:rsid w:val="007E00F5"/>
    <w:pPr>
      <w:keepLines/>
      <w:spacing w:after="0" w:line="240" w:lineRule="auto"/>
    </w:pPr>
    <w:rPr>
      <w:rFonts w:ascii="Arial" w:eastAsia="Times New Roman" w:hAnsi="Arial" w:cs="Times New Roman"/>
      <w:sz w:val="20"/>
      <w:szCs w:val="20"/>
      <w:lang w:eastAsia="en-AU"/>
    </w:rPr>
  </w:style>
  <w:style w:type="character" w:customStyle="1" w:styleId="BlockText-PlainChar">
    <w:name w:val="Block Text- Plain Char"/>
    <w:basedOn w:val="DefaultParagraphFont"/>
    <w:link w:val="BlockText-Plain"/>
    <w:rsid w:val="007E00F5"/>
    <w:rPr>
      <w:rFonts w:ascii="Arial" w:eastAsia="Times New Roman" w:hAnsi="Arial" w:cs="Times New Roman"/>
      <w:sz w:val="20"/>
      <w:szCs w:val="20"/>
      <w:lang w:eastAsia="en-AU"/>
    </w:rPr>
  </w:style>
  <w:style w:type="paragraph" w:customStyle="1" w:styleId="Sectiontext">
    <w:name w:val="Section text"/>
    <w:basedOn w:val="Normal"/>
    <w:link w:val="SectiontextChar"/>
    <w:qFormat/>
    <w:rsid w:val="00D524CA"/>
    <w:pPr>
      <w:spacing w:after="200" w:line="240" w:lineRule="auto"/>
    </w:pPr>
    <w:rPr>
      <w:rFonts w:ascii="Arial" w:eastAsia="Times New Roman" w:hAnsi="Arial" w:cs="Times New Roman"/>
      <w:sz w:val="20"/>
      <w:szCs w:val="20"/>
      <w:lang w:eastAsia="en-AU"/>
    </w:rPr>
  </w:style>
  <w:style w:type="character" w:customStyle="1" w:styleId="SectiontextChar">
    <w:name w:val="Section text Char"/>
    <w:basedOn w:val="DefaultParagraphFont"/>
    <w:link w:val="Sectiontext"/>
    <w:rsid w:val="00D524CA"/>
    <w:rPr>
      <w:rFonts w:ascii="Arial" w:eastAsia="Times New Roman" w:hAnsi="Arial" w:cs="Times New Roman"/>
      <w:sz w:val="20"/>
      <w:szCs w:val="20"/>
      <w:lang w:eastAsia="en-AU"/>
    </w:rPr>
  </w:style>
  <w:style w:type="paragraph" w:styleId="ListParagraph">
    <w:name w:val="List Paragraph"/>
    <w:basedOn w:val="Normal"/>
    <w:uiPriority w:val="34"/>
    <w:qFormat/>
    <w:rsid w:val="00D524CA"/>
    <w:pPr>
      <w:keepLines/>
      <w:spacing w:after="0" w:line="240" w:lineRule="auto"/>
      <w:ind w:left="720"/>
    </w:pPr>
    <w:rPr>
      <w:rFonts w:ascii="Calibri" w:eastAsia="Calibri" w:hAnsi="Calibri" w:cs="Times New Roman"/>
      <w:sz w:val="20"/>
      <w:szCs w:val="20"/>
      <w:lang w:eastAsia="en-AU"/>
    </w:rPr>
  </w:style>
  <w:style w:type="character" w:styleId="CommentReference">
    <w:name w:val="annotation reference"/>
    <w:basedOn w:val="DefaultParagraphFont"/>
    <w:uiPriority w:val="99"/>
    <w:semiHidden/>
    <w:unhideWhenUsed/>
    <w:rsid w:val="0060494C"/>
    <w:rPr>
      <w:sz w:val="16"/>
      <w:szCs w:val="16"/>
    </w:rPr>
  </w:style>
  <w:style w:type="paragraph" w:styleId="CommentText">
    <w:name w:val="annotation text"/>
    <w:basedOn w:val="Normal"/>
    <w:link w:val="CommentTextChar"/>
    <w:uiPriority w:val="99"/>
    <w:semiHidden/>
    <w:unhideWhenUsed/>
    <w:rsid w:val="0060494C"/>
    <w:pPr>
      <w:spacing w:line="240" w:lineRule="auto"/>
    </w:pPr>
    <w:rPr>
      <w:sz w:val="20"/>
      <w:szCs w:val="20"/>
    </w:rPr>
  </w:style>
  <w:style w:type="character" w:customStyle="1" w:styleId="CommentTextChar">
    <w:name w:val="Comment Text Char"/>
    <w:basedOn w:val="DefaultParagraphFont"/>
    <w:link w:val="CommentText"/>
    <w:uiPriority w:val="99"/>
    <w:semiHidden/>
    <w:rsid w:val="0060494C"/>
    <w:rPr>
      <w:sz w:val="20"/>
      <w:szCs w:val="20"/>
    </w:rPr>
  </w:style>
  <w:style w:type="paragraph" w:styleId="CommentSubject">
    <w:name w:val="annotation subject"/>
    <w:basedOn w:val="CommentText"/>
    <w:next w:val="CommentText"/>
    <w:link w:val="CommentSubjectChar"/>
    <w:uiPriority w:val="99"/>
    <w:semiHidden/>
    <w:unhideWhenUsed/>
    <w:rsid w:val="0060494C"/>
    <w:rPr>
      <w:b/>
      <w:bCs/>
    </w:rPr>
  </w:style>
  <w:style w:type="character" w:customStyle="1" w:styleId="CommentSubjectChar">
    <w:name w:val="Comment Subject Char"/>
    <w:basedOn w:val="CommentTextChar"/>
    <w:link w:val="CommentSubject"/>
    <w:uiPriority w:val="99"/>
    <w:semiHidden/>
    <w:rsid w:val="0060494C"/>
    <w:rPr>
      <w:b/>
      <w:bCs/>
      <w:sz w:val="20"/>
      <w:szCs w:val="20"/>
    </w:rPr>
  </w:style>
  <w:style w:type="paragraph" w:styleId="BalloonText">
    <w:name w:val="Balloon Text"/>
    <w:basedOn w:val="Normal"/>
    <w:link w:val="BalloonTextChar"/>
    <w:uiPriority w:val="99"/>
    <w:semiHidden/>
    <w:unhideWhenUsed/>
    <w:rsid w:val="0060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 Lewis MR 1</dc:creator>
  <cp:keywords/>
  <dc:description/>
  <cp:lastModifiedBy>Urbani, Karen MS</cp:lastModifiedBy>
  <cp:revision>3</cp:revision>
  <dcterms:created xsi:type="dcterms:W3CDTF">2022-04-05T04:02:00Z</dcterms:created>
  <dcterms:modified xsi:type="dcterms:W3CDTF">2022-04-05T04:03:00Z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BN36309316</vt:lpwstr>
  </property>
  <property fmtid="{D5CDD505-2E9C-101B-9397-08002B2CF9AE}" pid="4" name="Objective-Title">
    <vt:lpwstr>FHSSS Trust Deed ES</vt:lpwstr>
  </property>
  <property fmtid="{D5CDD505-2E9C-101B-9397-08002B2CF9AE}" pid="5" name="Objective-Comment">
    <vt:lpwstr/>
  </property>
  <property fmtid="{D5CDD505-2E9C-101B-9397-08002B2CF9AE}" pid="6" name="Objective-CreationStamp">
    <vt:filetime>2021-09-22T02:41:59Z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2022-03-31T22:52:27Z</vt:filetime>
  </property>
  <property fmtid="{D5CDD505-2E9C-101B-9397-08002B2CF9AE}" pid="10" name="Objective-ModificationStamp">
    <vt:filetime>2022-03-31T22:52:27Z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Draft Dox</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