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C21B" w14:textId="77777777" w:rsidR="00446CB7" w:rsidRDefault="00446CB7" w:rsidP="00446CB7">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3C7F536F" w14:textId="77777777" w:rsidR="00446CB7" w:rsidRDefault="00446CB7" w:rsidP="00446CB7">
      <w:pPr>
        <w:jc w:val="center"/>
        <w:rPr>
          <w:rFonts w:ascii="Times New Roman" w:hAnsi="Times New Roman" w:cs="Times New Roman"/>
        </w:rPr>
      </w:pPr>
      <w:r>
        <w:rPr>
          <w:rFonts w:ascii="Times New Roman" w:hAnsi="Times New Roman" w:cs="Times New Roman"/>
        </w:rPr>
        <w:t>Approved by the Australian Communications and Media Authority</w:t>
      </w:r>
    </w:p>
    <w:p w14:paraId="7BB0AA0E" w14:textId="7CBBE3B3" w:rsidR="00446CB7" w:rsidRDefault="00F35DB1" w:rsidP="00446CB7">
      <w:pPr>
        <w:jc w:val="center"/>
        <w:rPr>
          <w:rFonts w:ascii="Times New Roman" w:hAnsi="Times New Roman" w:cs="Times New Roman"/>
          <w:i/>
        </w:rPr>
      </w:pPr>
      <w:r>
        <w:rPr>
          <w:rFonts w:ascii="Times New Roman" w:hAnsi="Times New Roman" w:cs="Times New Roman"/>
          <w:i/>
        </w:rPr>
        <w:t>Telecommunications Act 1997</w:t>
      </w:r>
    </w:p>
    <w:p w14:paraId="4378C808" w14:textId="3EBCDB5B" w:rsidR="00446CB7" w:rsidRDefault="005A5334" w:rsidP="00446CB7">
      <w:pPr>
        <w:jc w:val="center"/>
        <w:rPr>
          <w:rFonts w:ascii="Times New Roman" w:hAnsi="Times New Roman" w:cs="Times New Roman"/>
          <w:b/>
          <w:i/>
        </w:rPr>
      </w:pPr>
      <w:bookmarkStart w:id="0" w:name="_Hlk26872030"/>
      <w:r>
        <w:rPr>
          <w:rFonts w:ascii="Times New Roman" w:hAnsi="Times New Roman" w:cs="Times New Roman"/>
          <w:b/>
          <w:i/>
        </w:rPr>
        <w:t>Telecommunications</w:t>
      </w:r>
      <w:r w:rsidR="007B0BAC">
        <w:rPr>
          <w:rFonts w:ascii="Times New Roman" w:hAnsi="Times New Roman" w:cs="Times New Roman"/>
          <w:b/>
          <w:i/>
        </w:rPr>
        <w:t xml:space="preserve"> Service Provider</w:t>
      </w:r>
      <w:r>
        <w:rPr>
          <w:rFonts w:ascii="Times New Roman" w:hAnsi="Times New Roman" w:cs="Times New Roman"/>
          <w:b/>
          <w:i/>
        </w:rPr>
        <w:t xml:space="preserve"> (</w:t>
      </w:r>
      <w:r w:rsidR="007B0BAC">
        <w:rPr>
          <w:rFonts w:ascii="Times New Roman" w:hAnsi="Times New Roman" w:cs="Times New Roman"/>
          <w:b/>
          <w:i/>
        </w:rPr>
        <w:t xml:space="preserve">Customer Identity </w:t>
      </w:r>
      <w:r w:rsidR="005738AA">
        <w:rPr>
          <w:rFonts w:ascii="Times New Roman" w:hAnsi="Times New Roman" w:cs="Times New Roman"/>
          <w:b/>
          <w:i/>
        </w:rPr>
        <w:t>Authentication</w:t>
      </w:r>
      <w:r>
        <w:rPr>
          <w:rFonts w:ascii="Times New Roman" w:hAnsi="Times New Roman" w:cs="Times New Roman"/>
          <w:b/>
          <w:i/>
        </w:rPr>
        <w:t xml:space="preserve">) </w:t>
      </w:r>
      <w:r w:rsidR="007B0BAC">
        <w:rPr>
          <w:rFonts w:ascii="Times New Roman" w:hAnsi="Times New Roman" w:cs="Times New Roman"/>
          <w:b/>
          <w:i/>
        </w:rPr>
        <w:t xml:space="preserve">Determination </w:t>
      </w:r>
      <w:r w:rsidR="00D01A77" w:rsidRPr="00D871E2">
        <w:rPr>
          <w:rFonts w:ascii="Times New Roman" w:hAnsi="Times New Roman" w:cs="Times New Roman"/>
          <w:b/>
          <w:i/>
        </w:rPr>
        <w:t>202</w:t>
      </w:r>
      <w:r w:rsidR="00D01A77">
        <w:rPr>
          <w:rFonts w:ascii="Times New Roman" w:hAnsi="Times New Roman" w:cs="Times New Roman"/>
          <w:b/>
          <w:i/>
        </w:rPr>
        <w:t>2</w:t>
      </w:r>
    </w:p>
    <w:bookmarkEnd w:id="0"/>
    <w:p w14:paraId="0B9EB8F2" w14:textId="77777777" w:rsidR="00446CB7" w:rsidRDefault="00446CB7" w:rsidP="00446CB7">
      <w:pPr>
        <w:spacing w:before="280"/>
        <w:rPr>
          <w:rFonts w:ascii="Times New Roman" w:hAnsi="Times New Roman" w:cs="Times New Roman"/>
          <w:b/>
        </w:rPr>
      </w:pPr>
      <w:r>
        <w:rPr>
          <w:rFonts w:ascii="Times New Roman" w:hAnsi="Times New Roman" w:cs="Times New Roman"/>
          <w:b/>
        </w:rPr>
        <w:t>Authority</w:t>
      </w:r>
    </w:p>
    <w:p w14:paraId="6329CDD1" w14:textId="0C9B22CD" w:rsidR="00446CB7" w:rsidRDefault="00446CB7" w:rsidP="00446CB7">
      <w:pPr>
        <w:rPr>
          <w:rFonts w:ascii="Times New Roman" w:hAnsi="Times New Roman" w:cs="Times New Roman"/>
        </w:rPr>
      </w:pPr>
      <w:r w:rsidRPr="007B0BAC">
        <w:rPr>
          <w:rFonts w:ascii="Times New Roman" w:hAnsi="Times New Roman" w:cs="Times New Roman"/>
        </w:rPr>
        <w:t>The Australian Communications and Media Authority (</w:t>
      </w:r>
      <w:r w:rsidRPr="006E13FE">
        <w:rPr>
          <w:rFonts w:ascii="Times New Roman" w:hAnsi="Times New Roman" w:cs="Times New Roman"/>
          <w:b/>
          <w:bCs/>
        </w:rPr>
        <w:t>the ACMA</w:t>
      </w:r>
      <w:r w:rsidRPr="007B0BAC">
        <w:rPr>
          <w:rFonts w:ascii="Times New Roman" w:hAnsi="Times New Roman" w:cs="Times New Roman"/>
        </w:rPr>
        <w:t xml:space="preserve">) has made the </w:t>
      </w:r>
      <w:r w:rsidR="007B0BAC" w:rsidRPr="007B0BAC">
        <w:rPr>
          <w:rFonts w:ascii="Times New Roman" w:hAnsi="Times New Roman" w:cs="Times New Roman"/>
          <w:i/>
        </w:rPr>
        <w:t xml:space="preserve">Telecommunications Service Provider (Customer Identity </w:t>
      </w:r>
      <w:r w:rsidR="005738AA">
        <w:rPr>
          <w:rFonts w:ascii="Times New Roman" w:hAnsi="Times New Roman" w:cs="Times New Roman"/>
          <w:i/>
        </w:rPr>
        <w:t>Authenticatio</w:t>
      </w:r>
      <w:r w:rsidR="005738AA" w:rsidRPr="007B0BAC">
        <w:rPr>
          <w:rFonts w:ascii="Times New Roman" w:hAnsi="Times New Roman" w:cs="Times New Roman"/>
          <w:i/>
        </w:rPr>
        <w:t>n</w:t>
      </w:r>
      <w:r w:rsidR="007B0BAC" w:rsidRPr="007B0BAC">
        <w:rPr>
          <w:rFonts w:ascii="Times New Roman" w:hAnsi="Times New Roman" w:cs="Times New Roman"/>
          <w:i/>
        </w:rPr>
        <w:t xml:space="preserve">) Determination </w:t>
      </w:r>
      <w:r w:rsidR="00D01A77" w:rsidRPr="00D871E2">
        <w:rPr>
          <w:rFonts w:ascii="Times New Roman" w:hAnsi="Times New Roman" w:cs="Times New Roman"/>
          <w:i/>
        </w:rPr>
        <w:t>202</w:t>
      </w:r>
      <w:r w:rsidR="00D01A77">
        <w:rPr>
          <w:rFonts w:ascii="Times New Roman" w:hAnsi="Times New Roman" w:cs="Times New Roman"/>
          <w:i/>
        </w:rPr>
        <w:t xml:space="preserve">2 </w:t>
      </w:r>
      <w:r>
        <w:rPr>
          <w:rFonts w:ascii="Times New Roman" w:hAnsi="Times New Roman" w:cs="Times New Roman"/>
        </w:rPr>
        <w:t>(</w:t>
      </w:r>
      <w:r>
        <w:rPr>
          <w:rFonts w:ascii="Times New Roman" w:hAnsi="Times New Roman" w:cs="Times New Roman"/>
          <w:b/>
        </w:rPr>
        <w:t xml:space="preserve">the </w:t>
      </w:r>
      <w:r w:rsidR="007B0BAC">
        <w:rPr>
          <w:rFonts w:ascii="Times New Roman" w:hAnsi="Times New Roman" w:cs="Times New Roman"/>
          <w:b/>
        </w:rPr>
        <w:t>Determination</w:t>
      </w:r>
      <w:r>
        <w:rPr>
          <w:rFonts w:ascii="Times New Roman" w:hAnsi="Times New Roman" w:cs="Times New Roman"/>
        </w:rPr>
        <w:t xml:space="preserve">) under </w:t>
      </w:r>
      <w:r w:rsidR="00B074C1">
        <w:rPr>
          <w:rFonts w:ascii="Times New Roman" w:hAnsi="Times New Roman" w:cs="Times New Roman"/>
        </w:rPr>
        <w:t xml:space="preserve">subsection </w:t>
      </w:r>
      <w:r w:rsidR="007B0BAC">
        <w:rPr>
          <w:rFonts w:ascii="Times New Roman" w:hAnsi="Times New Roman" w:cs="Times New Roman"/>
        </w:rPr>
        <w:t>99(1)</w:t>
      </w:r>
      <w:r w:rsidR="000123E0">
        <w:rPr>
          <w:rFonts w:ascii="Times New Roman" w:hAnsi="Times New Roman" w:cs="Times New Roman"/>
        </w:rPr>
        <w:t xml:space="preserve"> </w:t>
      </w:r>
      <w:r>
        <w:rPr>
          <w:rFonts w:ascii="Times New Roman" w:hAnsi="Times New Roman" w:cs="Times New Roman"/>
        </w:rPr>
        <w:t xml:space="preserve">of the </w:t>
      </w:r>
      <w:r w:rsidR="000123E0">
        <w:rPr>
          <w:rFonts w:ascii="Times New Roman" w:hAnsi="Times New Roman" w:cs="Times New Roman"/>
          <w:i/>
        </w:rPr>
        <w:t xml:space="preserve">Telecommunications </w:t>
      </w:r>
      <w:r w:rsidR="00BC614A">
        <w:rPr>
          <w:rFonts w:ascii="Times New Roman" w:hAnsi="Times New Roman" w:cs="Times New Roman"/>
          <w:i/>
        </w:rPr>
        <w:t>Act 1997</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007B0BAC">
        <w:rPr>
          <w:rFonts w:ascii="Times New Roman" w:hAnsi="Times New Roman" w:cs="Times New Roman"/>
        </w:rPr>
        <w:t>.</w:t>
      </w:r>
    </w:p>
    <w:p w14:paraId="6ADAC613" w14:textId="4976A109" w:rsidR="007B0BAC" w:rsidRDefault="007B0BAC" w:rsidP="007B0BAC">
      <w:pPr>
        <w:rPr>
          <w:rFonts w:ascii="Times New Roman" w:hAnsi="Times New Roman" w:cs="Times New Roman"/>
        </w:rPr>
      </w:pPr>
      <w:r>
        <w:rPr>
          <w:rFonts w:ascii="Times New Roman" w:hAnsi="Times New Roman" w:cs="Times New Roman"/>
        </w:rPr>
        <w:t xml:space="preserve">Subsection 99(1) of the Act relevantly provides that the ACMA may, by legislative instrument, </w:t>
      </w:r>
      <w:proofErr w:type="gramStart"/>
      <w:r>
        <w:rPr>
          <w:rFonts w:ascii="Times New Roman" w:hAnsi="Times New Roman" w:cs="Times New Roman"/>
        </w:rPr>
        <w:t>make a determination</w:t>
      </w:r>
      <w:proofErr w:type="gramEnd"/>
      <w:r>
        <w:rPr>
          <w:rFonts w:ascii="Times New Roman" w:hAnsi="Times New Roman" w:cs="Times New Roman"/>
        </w:rPr>
        <w:t xml:space="preserve"> setting out rules that apply to service providers in relation to the supply of specified carriage services and that the determination is called a service provider determination.</w:t>
      </w:r>
    </w:p>
    <w:p w14:paraId="75808F9C" w14:textId="204BFF20" w:rsidR="00FC1130" w:rsidRPr="00325851" w:rsidRDefault="00FC1130" w:rsidP="00FC1130">
      <w:pPr>
        <w:shd w:val="clear" w:color="auto" w:fill="FFFFFF"/>
        <w:spacing w:before="120" w:after="0" w:line="240" w:lineRule="auto"/>
        <w:rPr>
          <w:rFonts w:ascii="Calibri" w:eastAsia="Times New Roman" w:hAnsi="Calibri" w:cs="Calibri"/>
          <w:color w:val="000000"/>
          <w:lang w:eastAsia="en-AU"/>
        </w:rPr>
      </w:pPr>
      <w:r w:rsidRPr="00325851">
        <w:rPr>
          <w:rFonts w:ascii="Times New Roman" w:eastAsia="Times New Roman" w:hAnsi="Times New Roman" w:cs="Times New Roman"/>
          <w:color w:val="000000"/>
          <w:szCs w:val="24"/>
          <w:lang w:eastAsia="en-AU"/>
        </w:rPr>
        <w:t>Subsection 99(3) of the Act provides, relevantly, that the ACMA must not make a service provider determination unless the determination relates to a matter specified in the regulations. The relevant enabling regulations are the </w:t>
      </w:r>
      <w:r w:rsidRPr="00325851">
        <w:rPr>
          <w:rFonts w:ascii="Times New Roman" w:eastAsia="Times New Roman" w:hAnsi="Times New Roman" w:cs="Times New Roman"/>
          <w:i/>
          <w:iCs/>
          <w:color w:val="000000"/>
          <w:szCs w:val="24"/>
          <w:lang w:eastAsia="en-AU"/>
        </w:rPr>
        <w:t>Telecommunications Regulations 2021 </w:t>
      </w:r>
      <w:r w:rsidRPr="00325851">
        <w:rPr>
          <w:rFonts w:ascii="Times New Roman" w:eastAsia="Times New Roman" w:hAnsi="Times New Roman" w:cs="Times New Roman"/>
          <w:color w:val="000000"/>
          <w:szCs w:val="24"/>
          <w:lang w:eastAsia="en-AU"/>
        </w:rPr>
        <w:t>(the </w:t>
      </w:r>
      <w:r w:rsidRPr="00325851">
        <w:rPr>
          <w:rFonts w:ascii="Times New Roman" w:eastAsia="Times New Roman" w:hAnsi="Times New Roman" w:cs="Times New Roman"/>
          <w:b/>
          <w:bCs/>
          <w:color w:val="000000"/>
          <w:szCs w:val="24"/>
          <w:lang w:eastAsia="en-AU"/>
        </w:rPr>
        <w:t>Regulations</w:t>
      </w:r>
      <w:r w:rsidRPr="00325851">
        <w:rPr>
          <w:rFonts w:ascii="Times New Roman" w:eastAsia="Times New Roman" w:hAnsi="Times New Roman" w:cs="Times New Roman"/>
          <w:color w:val="000000"/>
          <w:szCs w:val="24"/>
          <w:lang w:eastAsia="en-AU"/>
        </w:rPr>
        <w:t xml:space="preserve">).  Regulation 10 of the Regulations </w:t>
      </w:r>
      <w:r w:rsidR="005173D1" w:rsidRPr="00325851">
        <w:rPr>
          <w:rFonts w:ascii="Times New Roman" w:eastAsia="Times New Roman" w:hAnsi="Times New Roman" w:cs="Times New Roman"/>
          <w:color w:val="000000"/>
          <w:szCs w:val="24"/>
          <w:lang w:eastAsia="en-AU"/>
        </w:rPr>
        <w:t xml:space="preserve">relevantly provides that a service provider determination may relate to the interests that customers (including prospective customers) of service providers have in relation to the supply of </w:t>
      </w:r>
      <w:r w:rsidRPr="00325851">
        <w:rPr>
          <w:rFonts w:ascii="Times New Roman" w:eastAsia="Times New Roman" w:hAnsi="Times New Roman" w:cs="Times New Roman"/>
          <w:color w:val="000000"/>
          <w:szCs w:val="24"/>
          <w:lang w:eastAsia="en-AU"/>
        </w:rPr>
        <w:t>a standard telephone service</w:t>
      </w:r>
      <w:r w:rsidR="005173D1" w:rsidRPr="00325851">
        <w:rPr>
          <w:rFonts w:ascii="Times New Roman" w:eastAsia="Times New Roman" w:hAnsi="Times New Roman" w:cs="Times New Roman"/>
          <w:color w:val="000000"/>
          <w:szCs w:val="24"/>
          <w:lang w:eastAsia="en-AU"/>
        </w:rPr>
        <w:t>, a public mobile telecommunications service</w:t>
      </w:r>
      <w:r w:rsidRPr="00325851">
        <w:rPr>
          <w:rFonts w:ascii="Times New Roman" w:eastAsia="Times New Roman" w:hAnsi="Times New Roman" w:cs="Times New Roman"/>
          <w:color w:val="000000"/>
          <w:szCs w:val="24"/>
          <w:lang w:eastAsia="en-AU"/>
        </w:rPr>
        <w:t xml:space="preserve"> and a carriage service that enables customers to access the internet (see sub-regulations 10(1)(a)</w:t>
      </w:r>
      <w:r w:rsidR="005173D1" w:rsidRPr="00325851">
        <w:rPr>
          <w:rFonts w:ascii="Times New Roman" w:eastAsia="Times New Roman" w:hAnsi="Times New Roman" w:cs="Times New Roman"/>
          <w:color w:val="000000"/>
          <w:szCs w:val="24"/>
          <w:lang w:eastAsia="en-AU"/>
        </w:rPr>
        <w:t>, (b)</w:t>
      </w:r>
      <w:r w:rsidRPr="00325851">
        <w:rPr>
          <w:rFonts w:ascii="Times New Roman" w:eastAsia="Times New Roman" w:hAnsi="Times New Roman" w:cs="Times New Roman"/>
          <w:color w:val="000000"/>
          <w:szCs w:val="24"/>
          <w:lang w:eastAsia="en-AU"/>
        </w:rPr>
        <w:t xml:space="preserve"> and (c) respectively).</w:t>
      </w:r>
    </w:p>
    <w:p w14:paraId="670CA491" w14:textId="00056BCA" w:rsidR="00FC1130" w:rsidRDefault="00FC1130" w:rsidP="00FC1130">
      <w:pPr>
        <w:shd w:val="clear" w:color="auto" w:fill="FFFFFF"/>
        <w:spacing w:before="120" w:after="0" w:line="240" w:lineRule="auto"/>
        <w:rPr>
          <w:rFonts w:ascii="Calibri" w:eastAsia="Times New Roman" w:hAnsi="Calibri" w:cs="Calibri"/>
          <w:color w:val="000000"/>
          <w:lang w:eastAsia="en-AU"/>
        </w:rPr>
      </w:pPr>
      <w:r w:rsidRPr="00325851">
        <w:rPr>
          <w:rFonts w:ascii="Times New Roman" w:eastAsia="Times New Roman" w:hAnsi="Times New Roman" w:cs="Times New Roman"/>
          <w:color w:val="000000"/>
          <w:szCs w:val="24"/>
          <w:lang w:eastAsia="en-AU"/>
        </w:rPr>
        <w:t xml:space="preserve">The Determination relates to a customer’s interests regarding the supply of telecommunications services which </w:t>
      </w:r>
      <w:r w:rsidR="0082020D" w:rsidRPr="00325851">
        <w:rPr>
          <w:rFonts w:ascii="Times New Roman" w:eastAsia="Times New Roman" w:hAnsi="Times New Roman" w:cs="Times New Roman"/>
          <w:color w:val="000000"/>
          <w:szCs w:val="24"/>
          <w:lang w:eastAsia="en-AU"/>
        </w:rPr>
        <w:t xml:space="preserve">are </w:t>
      </w:r>
      <w:r w:rsidRPr="00325851">
        <w:rPr>
          <w:rFonts w:ascii="Times New Roman" w:eastAsia="Times New Roman" w:hAnsi="Times New Roman" w:cs="Times New Roman"/>
          <w:color w:val="000000"/>
          <w:szCs w:val="24"/>
          <w:lang w:eastAsia="en-AU"/>
        </w:rPr>
        <w:t>standard telephone service</w:t>
      </w:r>
      <w:r w:rsidR="0082020D" w:rsidRPr="00325851">
        <w:rPr>
          <w:rFonts w:ascii="Times New Roman" w:eastAsia="Times New Roman" w:hAnsi="Times New Roman" w:cs="Times New Roman"/>
          <w:color w:val="000000"/>
          <w:szCs w:val="24"/>
          <w:lang w:eastAsia="en-AU"/>
        </w:rPr>
        <w:t xml:space="preserve">s, public mobile telecommunications services or </w:t>
      </w:r>
      <w:r w:rsidR="001D081A" w:rsidRPr="00325851">
        <w:rPr>
          <w:rFonts w:ascii="Times New Roman" w:eastAsia="Times New Roman" w:hAnsi="Times New Roman" w:cs="Times New Roman"/>
          <w:color w:val="000000"/>
          <w:szCs w:val="24"/>
          <w:lang w:eastAsia="en-AU"/>
        </w:rPr>
        <w:t xml:space="preserve">services </w:t>
      </w:r>
      <w:r w:rsidR="0082020D" w:rsidRPr="00325851">
        <w:rPr>
          <w:rFonts w:ascii="Times New Roman" w:eastAsia="Times New Roman" w:hAnsi="Times New Roman" w:cs="Times New Roman"/>
          <w:color w:val="000000"/>
          <w:szCs w:val="24"/>
          <w:lang w:eastAsia="en-AU"/>
        </w:rPr>
        <w:t>which enable customers to access the internet</w:t>
      </w:r>
      <w:r w:rsidRPr="00325851">
        <w:rPr>
          <w:rFonts w:ascii="Times New Roman" w:eastAsia="Times New Roman" w:hAnsi="Times New Roman" w:cs="Times New Roman"/>
          <w:color w:val="000000"/>
          <w:szCs w:val="24"/>
          <w:lang w:eastAsia="en-AU"/>
        </w:rPr>
        <w:t xml:space="preserve"> and as such, subsection 99(3) is satisfied.</w:t>
      </w:r>
    </w:p>
    <w:p w14:paraId="320C7057" w14:textId="77777777" w:rsidR="00FC1130" w:rsidRPr="00824D72" w:rsidRDefault="00FC1130" w:rsidP="00824D72">
      <w:pPr>
        <w:shd w:val="clear" w:color="auto" w:fill="FFFFFF"/>
        <w:spacing w:before="120" w:after="0" w:line="240" w:lineRule="auto"/>
        <w:rPr>
          <w:rFonts w:ascii="Calibri" w:eastAsia="Times New Roman" w:hAnsi="Calibri" w:cs="Calibri"/>
          <w:color w:val="000000"/>
          <w:lang w:eastAsia="en-AU"/>
        </w:rPr>
      </w:pPr>
    </w:p>
    <w:p w14:paraId="339A86B0" w14:textId="307544BB" w:rsidR="00446CB7" w:rsidRDefault="00446CB7" w:rsidP="00502592">
      <w:pPr>
        <w:keepNext/>
        <w:spacing w:line="257" w:lineRule="auto"/>
        <w:rPr>
          <w:rFonts w:ascii="Times New Roman" w:hAnsi="Times New Roman" w:cs="Times New Roman"/>
          <w:b/>
        </w:rPr>
      </w:pPr>
      <w:r>
        <w:rPr>
          <w:rFonts w:ascii="Times New Roman" w:hAnsi="Times New Roman" w:cs="Times New Roman"/>
          <w:b/>
        </w:rPr>
        <w:t xml:space="preserve">Purpose and operation of the </w:t>
      </w:r>
      <w:r w:rsidR="007B0BAC">
        <w:rPr>
          <w:rFonts w:ascii="Times New Roman" w:hAnsi="Times New Roman" w:cs="Times New Roman"/>
          <w:b/>
        </w:rPr>
        <w:t>Determination</w:t>
      </w:r>
    </w:p>
    <w:p w14:paraId="385E3040" w14:textId="04C18231" w:rsidR="00935B40" w:rsidRPr="00590F08" w:rsidRDefault="00935B40" w:rsidP="00502592">
      <w:pPr>
        <w:keepNext/>
        <w:spacing w:after="40"/>
        <w:rPr>
          <w:rFonts w:ascii="Times New Roman" w:hAnsi="Times New Roman" w:cs="Times New Roman"/>
          <w:i/>
          <w:iCs/>
        </w:rPr>
      </w:pPr>
      <w:r w:rsidRPr="00590F08">
        <w:rPr>
          <w:rFonts w:ascii="Times New Roman" w:hAnsi="Times New Roman" w:cs="Times New Roman"/>
          <w:i/>
          <w:iCs/>
        </w:rPr>
        <w:t>Background</w:t>
      </w:r>
    </w:p>
    <w:p w14:paraId="544AEFB3" w14:textId="6B37D840" w:rsidR="00D21F60" w:rsidRDefault="00D21F60" w:rsidP="00590F08">
      <w:pPr>
        <w:pStyle w:val="Paragraph"/>
        <w:spacing w:before="120" w:after="120"/>
        <w:rPr>
          <w:rFonts w:ascii="Times New Roman" w:hAnsi="Times New Roman" w:cs="Times New Roman"/>
          <w:sz w:val="22"/>
          <w:szCs w:val="22"/>
        </w:rPr>
      </w:pPr>
      <w:r w:rsidRPr="00D21F60">
        <w:rPr>
          <w:rFonts w:ascii="Times New Roman" w:hAnsi="Times New Roman" w:cs="Times New Roman"/>
          <w:sz w:val="22"/>
          <w:szCs w:val="22"/>
        </w:rPr>
        <w:t xml:space="preserve">Scams over telecommunications networks are a significant problem, causing financial and emotional harm to victims. </w:t>
      </w:r>
      <w:r w:rsidR="006C03A2">
        <w:rPr>
          <w:rFonts w:ascii="Times New Roman" w:hAnsi="Times New Roman" w:cs="Times New Roman"/>
          <w:sz w:val="22"/>
          <w:szCs w:val="22"/>
        </w:rPr>
        <w:t>Bad actors (</w:t>
      </w:r>
      <w:r w:rsidR="006C03A2" w:rsidRPr="00A61A1A">
        <w:rPr>
          <w:rFonts w:ascii="Times New Roman" w:hAnsi="Times New Roman" w:cs="Times New Roman"/>
          <w:sz w:val="22"/>
          <w:szCs w:val="22"/>
        </w:rPr>
        <w:t>scammers</w:t>
      </w:r>
      <w:r w:rsidR="006C03A2">
        <w:rPr>
          <w:rFonts w:ascii="Times New Roman" w:hAnsi="Times New Roman" w:cs="Times New Roman"/>
          <w:sz w:val="22"/>
          <w:szCs w:val="22"/>
        </w:rPr>
        <w:t>)</w:t>
      </w:r>
      <w:r w:rsidR="006C03A2" w:rsidRPr="00A61A1A">
        <w:rPr>
          <w:rFonts w:ascii="Times New Roman" w:hAnsi="Times New Roman" w:cs="Times New Roman"/>
          <w:sz w:val="22"/>
          <w:szCs w:val="22"/>
        </w:rPr>
        <w:t xml:space="preserve"> are increasingly finding new ways to target business processes and technologies to perpetrate fraud on and through telecommunications services</w:t>
      </w:r>
      <w:r w:rsidR="006C03A2">
        <w:rPr>
          <w:rFonts w:ascii="Times New Roman" w:hAnsi="Times New Roman" w:cs="Times New Roman"/>
          <w:sz w:val="22"/>
          <w:szCs w:val="22"/>
        </w:rPr>
        <w:t>.</w:t>
      </w:r>
    </w:p>
    <w:p w14:paraId="4C2C1F01" w14:textId="4597314B" w:rsidR="00590F08" w:rsidRPr="00590F08" w:rsidRDefault="00590F08" w:rsidP="00590F08">
      <w:pPr>
        <w:pStyle w:val="Paragraph"/>
        <w:spacing w:before="120" w:after="120"/>
        <w:rPr>
          <w:rFonts w:ascii="Times New Roman" w:hAnsi="Times New Roman" w:cs="Times New Roman"/>
          <w:caps/>
          <w:color w:val="000000" w:themeColor="text1"/>
          <w:sz w:val="22"/>
          <w:szCs w:val="22"/>
        </w:rPr>
      </w:pPr>
      <w:r w:rsidRPr="00590F08">
        <w:rPr>
          <w:rFonts w:ascii="Times New Roman" w:hAnsi="Times New Roman" w:cs="Times New Roman"/>
          <w:sz w:val="22"/>
          <w:szCs w:val="22"/>
        </w:rPr>
        <w:t xml:space="preserve">Evidence indicates that identity fraud over telecommunications networks has primarily occurred in </w:t>
      </w:r>
      <w:r w:rsidRPr="00590F08">
        <w:rPr>
          <w:rFonts w:ascii="Times New Roman" w:hAnsi="Times New Roman" w:cs="Times New Roman"/>
          <w:color w:val="000000" w:themeColor="text1"/>
          <w:sz w:val="22"/>
          <w:szCs w:val="22"/>
        </w:rPr>
        <w:t>two main ways:</w:t>
      </w:r>
    </w:p>
    <w:p w14:paraId="53AE58EE" w14:textId="6E753161" w:rsidR="00590F08" w:rsidRPr="00590F08" w:rsidRDefault="00590F08" w:rsidP="00380028">
      <w:pPr>
        <w:pStyle w:val="ListParagraph"/>
        <w:numPr>
          <w:ilvl w:val="0"/>
          <w:numId w:val="20"/>
        </w:numPr>
        <w:spacing w:after="100" w:line="240" w:lineRule="auto"/>
        <w:contextualSpacing w:val="0"/>
        <w:rPr>
          <w:rFonts w:ascii="Times New Roman" w:hAnsi="Times New Roman" w:cs="Times New Roman"/>
          <w:color w:val="000000" w:themeColor="text1"/>
        </w:rPr>
      </w:pPr>
      <w:r w:rsidRPr="00590F08">
        <w:rPr>
          <w:rFonts w:ascii="Times New Roman" w:hAnsi="Times New Roman" w:cs="Times New Roman"/>
          <w:b/>
          <w:bCs/>
          <w:color w:val="000000" w:themeColor="text1"/>
        </w:rPr>
        <w:t>Unauthorised mobile porting:</w:t>
      </w:r>
      <w:r w:rsidRPr="00590F08">
        <w:rPr>
          <w:rFonts w:ascii="Times New Roman" w:hAnsi="Times New Roman" w:cs="Times New Roman"/>
          <w:color w:val="000000" w:themeColor="text1"/>
        </w:rPr>
        <w:t xml:space="preserve"> where, upon request by a scammer, a customer’s number is ported from their current mobile carriage service provider to another in the control of the scammer, generally enabled by use of false or stolen identification</w:t>
      </w:r>
      <w:r w:rsidR="003B79F5">
        <w:rPr>
          <w:rFonts w:ascii="Times New Roman" w:hAnsi="Times New Roman" w:cs="Times New Roman"/>
          <w:color w:val="000000" w:themeColor="text1"/>
        </w:rPr>
        <w:t>.</w:t>
      </w:r>
    </w:p>
    <w:p w14:paraId="62968E0E" w14:textId="77777777" w:rsidR="00590F08" w:rsidRPr="00590F08" w:rsidRDefault="00590F08" w:rsidP="00380028">
      <w:pPr>
        <w:pStyle w:val="FootnoteText"/>
        <w:numPr>
          <w:ilvl w:val="0"/>
          <w:numId w:val="20"/>
        </w:numPr>
        <w:rPr>
          <w:rFonts w:ascii="Times New Roman" w:eastAsia="Calibri" w:hAnsi="Times New Roman"/>
          <w:color w:val="000000" w:themeColor="text1"/>
          <w:sz w:val="22"/>
          <w:szCs w:val="22"/>
          <w:lang w:eastAsia="en-US"/>
        </w:rPr>
      </w:pPr>
      <w:r w:rsidRPr="00590F08">
        <w:rPr>
          <w:rFonts w:ascii="Times New Roman" w:hAnsi="Times New Roman"/>
          <w:b/>
          <w:bCs/>
          <w:color w:val="000000" w:themeColor="text1"/>
          <w:sz w:val="22"/>
          <w:szCs w:val="22"/>
        </w:rPr>
        <w:t>Unauthorised SIM swap:</w:t>
      </w:r>
      <w:r w:rsidRPr="00590F08">
        <w:rPr>
          <w:rFonts w:ascii="Times New Roman" w:hAnsi="Times New Roman"/>
          <w:color w:val="000000" w:themeColor="text1"/>
          <w:sz w:val="22"/>
          <w:szCs w:val="22"/>
        </w:rPr>
        <w:t xml:space="preserve"> </w:t>
      </w:r>
      <w:r w:rsidRPr="00590F08">
        <w:rPr>
          <w:rFonts w:ascii="Times New Roman" w:eastAsia="Calibri" w:hAnsi="Times New Roman"/>
          <w:color w:val="000000" w:themeColor="text1"/>
          <w:sz w:val="22"/>
          <w:szCs w:val="22"/>
          <w:lang w:eastAsia="en-US"/>
        </w:rPr>
        <w:t>SIM swaps can legitimately occur when a consumer has lost their phone or SIM or is transferring the number connected to a mobile service to a new device that requires a different size SIM. This does not involve a change of provider. Unauthorised SIM swap occurs when a customer’s number is transferred to a new SIM in a device controlled by a scammer.</w:t>
      </w:r>
    </w:p>
    <w:p w14:paraId="5BE58568" w14:textId="300C9634" w:rsidR="00EE3E0E" w:rsidRPr="00EE3E0E" w:rsidRDefault="00EE3E0E" w:rsidP="00EE3E0E">
      <w:pPr>
        <w:pStyle w:val="Paragraph"/>
        <w:spacing w:before="120" w:after="120"/>
        <w:rPr>
          <w:rFonts w:ascii="Times New Roman" w:hAnsi="Times New Roman" w:cs="Times New Roman"/>
          <w:sz w:val="22"/>
          <w:szCs w:val="22"/>
        </w:rPr>
      </w:pPr>
      <w:r w:rsidRPr="00EE3E0E">
        <w:rPr>
          <w:rFonts w:ascii="Times New Roman" w:hAnsi="Times New Roman" w:cs="Times New Roman"/>
          <w:sz w:val="22"/>
          <w:szCs w:val="22"/>
          <w:lang w:val="en-US"/>
        </w:rPr>
        <w:t xml:space="preserve">In February 2020, the ACMA made the </w:t>
      </w:r>
      <w:bookmarkStart w:id="1" w:name="_Hlk84837775"/>
      <w:r w:rsidRPr="00EE3E0E">
        <w:rPr>
          <w:rFonts w:ascii="Times New Roman" w:hAnsi="Times New Roman" w:cs="Times New Roman"/>
          <w:sz w:val="22"/>
          <w:szCs w:val="22"/>
        </w:rPr>
        <w:t xml:space="preserve">the </w:t>
      </w:r>
      <w:r w:rsidRPr="00EE3E0E">
        <w:rPr>
          <w:rFonts w:ascii="Times New Roman" w:hAnsi="Times New Roman" w:cs="Times New Roman"/>
          <w:i/>
          <w:sz w:val="22"/>
          <w:szCs w:val="22"/>
          <w:lang w:val="en-US"/>
        </w:rPr>
        <w:t>Telecommunications (Mobile Pre-Porting Additional Identity Verification) Industry Standard 2020</w:t>
      </w:r>
      <w:r>
        <w:rPr>
          <w:rFonts w:ascii="Times New Roman" w:hAnsi="Times New Roman" w:cs="Times New Roman"/>
          <w:iCs/>
          <w:sz w:val="22"/>
          <w:szCs w:val="22"/>
          <w:lang w:val="en-US"/>
        </w:rPr>
        <w:t xml:space="preserve"> (</w:t>
      </w:r>
      <w:r w:rsidRPr="00EE3E0E">
        <w:rPr>
          <w:rFonts w:ascii="Times New Roman" w:hAnsi="Times New Roman" w:cs="Times New Roman"/>
          <w:b/>
          <w:bCs/>
          <w:iCs/>
          <w:sz w:val="22"/>
          <w:szCs w:val="22"/>
          <w:lang w:val="en-US"/>
        </w:rPr>
        <w:t>the Standard</w:t>
      </w:r>
      <w:r>
        <w:rPr>
          <w:rFonts w:ascii="Times New Roman" w:hAnsi="Times New Roman" w:cs="Times New Roman"/>
          <w:iCs/>
          <w:sz w:val="22"/>
          <w:szCs w:val="22"/>
          <w:lang w:val="en-US"/>
        </w:rPr>
        <w:t>)</w:t>
      </w:r>
      <w:r w:rsidRPr="00EE3E0E">
        <w:rPr>
          <w:rFonts w:ascii="Times New Roman" w:hAnsi="Times New Roman" w:cs="Times New Roman"/>
          <w:sz w:val="22"/>
          <w:szCs w:val="22"/>
          <w:lang w:val="en-US"/>
        </w:rPr>
        <w:t xml:space="preserve">. </w:t>
      </w:r>
      <w:bookmarkEnd w:id="1"/>
      <w:r w:rsidRPr="00EE3E0E">
        <w:rPr>
          <w:rFonts w:ascii="Times New Roman" w:hAnsi="Times New Roman" w:cs="Times New Roman"/>
          <w:sz w:val="22"/>
          <w:szCs w:val="22"/>
          <w:lang w:val="en-US"/>
        </w:rPr>
        <w:t xml:space="preserve">It addresses the harms caused by mobile porting fraud by requiring </w:t>
      </w:r>
      <w:r w:rsidRPr="00EE3E0E">
        <w:rPr>
          <w:rFonts w:ascii="Times New Roman" w:hAnsi="Times New Roman" w:cs="Times New Roman"/>
          <w:sz w:val="22"/>
          <w:szCs w:val="22"/>
        </w:rPr>
        <w:t>mobile providers to use additional identity verification before a mobile number is ported from one provider to another.</w:t>
      </w:r>
    </w:p>
    <w:p w14:paraId="343A2704" w14:textId="15C34BF5" w:rsidR="00590F08" w:rsidRDefault="00590F08" w:rsidP="00EE3E0E">
      <w:pPr>
        <w:pStyle w:val="Paragraph"/>
        <w:spacing w:before="120" w:after="120"/>
        <w:rPr>
          <w:rFonts w:ascii="Times New Roman" w:eastAsiaTheme="minorHAnsi" w:hAnsi="Times New Roman" w:cs="Times New Roman"/>
          <w:color w:val="000000" w:themeColor="text1"/>
          <w:sz w:val="22"/>
          <w:szCs w:val="22"/>
        </w:rPr>
      </w:pPr>
      <w:r w:rsidRPr="00590F08">
        <w:rPr>
          <w:rFonts w:ascii="Times New Roman" w:hAnsi="Times New Roman" w:cs="Times New Roman"/>
          <w:sz w:val="22"/>
          <w:szCs w:val="22"/>
        </w:rPr>
        <w:t xml:space="preserve">There is strong evidence that the implementation of the </w:t>
      </w:r>
      <w:r w:rsidR="00220565">
        <w:rPr>
          <w:rFonts w:ascii="Times New Roman" w:hAnsi="Times New Roman" w:cs="Times New Roman"/>
          <w:sz w:val="22"/>
          <w:szCs w:val="22"/>
        </w:rPr>
        <w:t xml:space="preserve">requirements in the </w:t>
      </w:r>
      <w:r w:rsidRPr="00590F08">
        <w:rPr>
          <w:rFonts w:ascii="Times New Roman" w:hAnsi="Times New Roman" w:cs="Times New Roman"/>
          <w:sz w:val="22"/>
          <w:szCs w:val="22"/>
        </w:rPr>
        <w:t xml:space="preserve">Standard </w:t>
      </w:r>
      <w:r w:rsidR="00220565">
        <w:rPr>
          <w:rFonts w:ascii="Times New Roman" w:hAnsi="Times New Roman" w:cs="Times New Roman"/>
          <w:sz w:val="22"/>
          <w:szCs w:val="22"/>
        </w:rPr>
        <w:t xml:space="preserve">by carriage service providers, </w:t>
      </w:r>
      <w:r w:rsidRPr="00590F08">
        <w:rPr>
          <w:rFonts w:ascii="Times New Roman" w:hAnsi="Times New Roman" w:cs="Times New Roman"/>
          <w:sz w:val="22"/>
          <w:szCs w:val="22"/>
        </w:rPr>
        <w:t>has led to a significant drop in unauthorised mobile porting</w:t>
      </w:r>
      <w:r w:rsidR="00EE3E0E">
        <w:rPr>
          <w:rFonts w:ascii="Times New Roman" w:hAnsi="Times New Roman" w:cs="Times New Roman"/>
          <w:sz w:val="22"/>
          <w:szCs w:val="22"/>
        </w:rPr>
        <w:t>. However,</w:t>
      </w:r>
      <w:r w:rsidR="006C03A2">
        <w:rPr>
          <w:rFonts w:ascii="Times New Roman" w:hAnsi="Times New Roman" w:cs="Times New Roman"/>
          <w:sz w:val="22"/>
          <w:szCs w:val="22"/>
        </w:rPr>
        <w:t xml:space="preserve"> s</w:t>
      </w:r>
      <w:r w:rsidR="006C03A2" w:rsidRPr="006C03A2">
        <w:rPr>
          <w:rFonts w:ascii="Times New Roman" w:hAnsi="Times New Roman" w:cs="Times New Roman"/>
          <w:color w:val="000000" w:themeColor="text1"/>
          <w:sz w:val="22"/>
          <w:szCs w:val="22"/>
        </w:rPr>
        <w:t xml:space="preserve">cammers continue to target SIM swap processes as well as other interactions between </w:t>
      </w:r>
      <w:r w:rsidR="00220565">
        <w:rPr>
          <w:rFonts w:ascii="Times New Roman" w:hAnsi="Times New Roman" w:cs="Times New Roman"/>
          <w:color w:val="000000" w:themeColor="text1"/>
          <w:sz w:val="22"/>
          <w:szCs w:val="22"/>
        </w:rPr>
        <w:t>carriage</w:t>
      </w:r>
      <w:r w:rsidR="00220565" w:rsidRPr="006C03A2">
        <w:rPr>
          <w:rFonts w:ascii="Times New Roman" w:hAnsi="Times New Roman" w:cs="Times New Roman"/>
          <w:color w:val="000000" w:themeColor="text1"/>
          <w:sz w:val="22"/>
          <w:szCs w:val="22"/>
        </w:rPr>
        <w:t xml:space="preserve"> </w:t>
      </w:r>
      <w:r w:rsidR="006C03A2" w:rsidRPr="006C03A2">
        <w:rPr>
          <w:rFonts w:ascii="Times New Roman" w:hAnsi="Times New Roman" w:cs="Times New Roman"/>
          <w:color w:val="000000" w:themeColor="text1"/>
          <w:sz w:val="22"/>
          <w:szCs w:val="22"/>
        </w:rPr>
        <w:t>service providers and their customers</w:t>
      </w:r>
      <w:r w:rsidR="006C03A2">
        <w:rPr>
          <w:rFonts w:ascii="Times New Roman" w:hAnsi="Times New Roman" w:cs="Times New Roman"/>
          <w:color w:val="000000" w:themeColor="text1"/>
          <w:sz w:val="22"/>
          <w:szCs w:val="22"/>
        </w:rPr>
        <w:t xml:space="preserve">. </w:t>
      </w:r>
      <w:r w:rsidR="00D21F60" w:rsidRPr="00D21F60">
        <w:rPr>
          <w:rFonts w:ascii="Times New Roman" w:hAnsi="Times New Roman" w:cs="Times New Roman"/>
          <w:color w:val="000000" w:themeColor="text1"/>
          <w:sz w:val="22"/>
          <w:szCs w:val="22"/>
        </w:rPr>
        <w:t xml:space="preserve">There have been cases of scammers using limited personal information to </w:t>
      </w:r>
      <w:r w:rsidR="00D21F60" w:rsidRPr="00D21F60">
        <w:rPr>
          <w:rFonts w:ascii="Times New Roman" w:hAnsi="Times New Roman" w:cs="Times New Roman"/>
          <w:color w:val="000000" w:themeColor="text1"/>
          <w:sz w:val="22"/>
          <w:szCs w:val="22"/>
        </w:rPr>
        <w:lastRenderedPageBreak/>
        <w:t xml:space="preserve">fraudulently transfer a customer’s number to a new SIM in a device controlled by a scammer. Scammers have then used the customer’s number and other information to access the consumer’s bank accounts and authorise transactions by sending bank verification codes to the number. </w:t>
      </w:r>
      <w:r w:rsidR="00683120">
        <w:rPr>
          <w:rFonts w:ascii="Times New Roman" w:hAnsi="Times New Roman" w:cs="Times New Roman"/>
          <w:color w:val="000000" w:themeColor="text1"/>
          <w:sz w:val="22"/>
          <w:szCs w:val="22"/>
        </w:rPr>
        <w:t>S</w:t>
      </w:r>
      <w:r w:rsidRPr="00590F08">
        <w:rPr>
          <w:rFonts w:ascii="Times New Roman" w:hAnsi="Times New Roman" w:cs="Times New Roman"/>
          <w:color w:val="000000" w:themeColor="text1"/>
          <w:sz w:val="22"/>
          <w:szCs w:val="22"/>
        </w:rPr>
        <w:t xml:space="preserve">cammers have </w:t>
      </w:r>
      <w:r w:rsidR="00683120">
        <w:rPr>
          <w:rFonts w:ascii="Times New Roman" w:hAnsi="Times New Roman" w:cs="Times New Roman"/>
          <w:color w:val="000000" w:themeColor="text1"/>
          <w:sz w:val="22"/>
          <w:szCs w:val="22"/>
        </w:rPr>
        <w:t xml:space="preserve">also </w:t>
      </w:r>
      <w:r w:rsidRPr="00590F08">
        <w:rPr>
          <w:rFonts w:ascii="Times New Roman" w:hAnsi="Times New Roman" w:cs="Times New Roman"/>
          <w:color w:val="000000" w:themeColor="text1"/>
          <w:sz w:val="22"/>
          <w:szCs w:val="22"/>
        </w:rPr>
        <w:t>used personal information to facilitate fraud such as ‘purchasing’ expensive handsets or gaining full access to customer accounts and payment details.</w:t>
      </w:r>
    </w:p>
    <w:p w14:paraId="1687CD03" w14:textId="77777777" w:rsidR="00F838DE" w:rsidRPr="004B7ED5" w:rsidRDefault="00F838DE" w:rsidP="00F838DE">
      <w:pPr>
        <w:spacing w:after="40"/>
        <w:rPr>
          <w:rFonts w:ascii="Times New Roman" w:hAnsi="Times New Roman" w:cs="Times New Roman"/>
        </w:rPr>
      </w:pPr>
      <w:r w:rsidRPr="004B7ED5">
        <w:rPr>
          <w:rFonts w:ascii="Times New Roman" w:hAnsi="Times New Roman" w:cs="Times New Roman"/>
        </w:rPr>
        <w:t>The purpose of the Determination is to:</w:t>
      </w:r>
    </w:p>
    <w:p w14:paraId="583AA8A2" w14:textId="77777777" w:rsidR="003574D5" w:rsidRDefault="00F838DE" w:rsidP="00E50D8C">
      <w:pPr>
        <w:pStyle w:val="ListParagraph"/>
        <w:numPr>
          <w:ilvl w:val="0"/>
          <w:numId w:val="3"/>
        </w:numPr>
        <w:spacing w:after="40"/>
        <w:ind w:left="567" w:hanging="567"/>
        <w:rPr>
          <w:rFonts w:ascii="Times New Roman" w:hAnsi="Times New Roman" w:cs="Times New Roman"/>
        </w:rPr>
      </w:pPr>
      <w:r w:rsidRPr="004B7ED5">
        <w:rPr>
          <w:rFonts w:ascii="Times New Roman" w:hAnsi="Times New Roman" w:cs="Times New Roman"/>
        </w:rPr>
        <w:t>reduce the harm caused to customers when access to their personal information, business information or telecommunications service is targeted by unauthorised persons or entities; and</w:t>
      </w:r>
    </w:p>
    <w:p w14:paraId="68E3E42A" w14:textId="77777777" w:rsidR="003574D5" w:rsidRDefault="00F838DE" w:rsidP="00E50D8C">
      <w:pPr>
        <w:pStyle w:val="ListParagraph"/>
        <w:numPr>
          <w:ilvl w:val="0"/>
          <w:numId w:val="3"/>
        </w:numPr>
        <w:spacing w:after="40"/>
        <w:ind w:left="567" w:hanging="567"/>
        <w:rPr>
          <w:rFonts w:ascii="Times New Roman" w:hAnsi="Times New Roman" w:cs="Times New Roman"/>
        </w:rPr>
      </w:pPr>
      <w:r w:rsidRPr="003574D5">
        <w:rPr>
          <w:rFonts w:ascii="Times New Roman" w:hAnsi="Times New Roman" w:cs="Times New Roman"/>
        </w:rPr>
        <w:t xml:space="preserve">require carriage service providers to follow effective identity </w:t>
      </w:r>
      <w:r w:rsidR="00FC19B5" w:rsidRPr="003574D5">
        <w:rPr>
          <w:rFonts w:ascii="Times New Roman" w:hAnsi="Times New Roman" w:cs="Times New Roman"/>
        </w:rPr>
        <w:t>authentication</w:t>
      </w:r>
      <w:r w:rsidRPr="003574D5">
        <w:rPr>
          <w:rFonts w:ascii="Times New Roman" w:hAnsi="Times New Roman" w:cs="Times New Roman"/>
        </w:rPr>
        <w:t xml:space="preserve"> processes to protect the security of high-risk customer interactions.</w:t>
      </w:r>
    </w:p>
    <w:p w14:paraId="04CEFA58" w14:textId="3123F23C" w:rsidR="00F838DE" w:rsidRPr="003574D5" w:rsidRDefault="00E50D8C" w:rsidP="003574D5">
      <w:pPr>
        <w:spacing w:after="40"/>
        <w:rPr>
          <w:rFonts w:ascii="Times New Roman" w:hAnsi="Times New Roman" w:cs="Times New Roman"/>
        </w:rPr>
      </w:pPr>
      <w:r w:rsidRPr="003574D5">
        <w:rPr>
          <w:rFonts w:ascii="Times New Roman" w:hAnsi="Times New Roman" w:cs="Times New Roman"/>
          <w:color w:val="000000" w:themeColor="text1"/>
        </w:rPr>
        <w:t>Implementing a multi</w:t>
      </w:r>
      <w:r w:rsidR="0086740E" w:rsidRPr="003574D5">
        <w:rPr>
          <w:rFonts w:ascii="Times New Roman" w:hAnsi="Times New Roman" w:cs="Times New Roman"/>
          <w:color w:val="000000" w:themeColor="text1"/>
        </w:rPr>
        <w:t>-</w:t>
      </w:r>
      <w:r w:rsidRPr="003574D5">
        <w:rPr>
          <w:rFonts w:ascii="Times New Roman" w:hAnsi="Times New Roman" w:cs="Times New Roman"/>
          <w:color w:val="000000" w:themeColor="text1"/>
        </w:rPr>
        <w:t xml:space="preserve">factor identity authentication process </w:t>
      </w:r>
      <w:r w:rsidR="00A55C07">
        <w:rPr>
          <w:rFonts w:ascii="Times New Roman" w:hAnsi="Times New Roman" w:cs="Times New Roman"/>
          <w:color w:val="000000" w:themeColor="text1"/>
        </w:rPr>
        <w:t>for</w:t>
      </w:r>
      <w:r w:rsidRPr="003574D5">
        <w:rPr>
          <w:rFonts w:ascii="Times New Roman" w:hAnsi="Times New Roman" w:cs="Times New Roman"/>
          <w:color w:val="000000" w:themeColor="text1"/>
        </w:rPr>
        <w:t xml:space="preserve"> high-risk customer interactions will </w:t>
      </w:r>
      <w:r w:rsidRPr="003574D5">
        <w:rPr>
          <w:rFonts w:ascii="Times New Roman" w:hAnsi="Times New Roman" w:cs="Times New Roman"/>
        </w:rPr>
        <w:t>minimise instances of fraudulent SIM swaps and other frauds and reduce associated financial loss and hardship to consumers.</w:t>
      </w:r>
    </w:p>
    <w:p w14:paraId="5832BAA6" w14:textId="77777777" w:rsidR="00B53981" w:rsidRDefault="00B53981" w:rsidP="004B7ED5">
      <w:pPr>
        <w:keepNext/>
        <w:spacing w:after="40"/>
        <w:rPr>
          <w:rFonts w:ascii="Times New Roman" w:hAnsi="Times New Roman" w:cs="Times New Roman"/>
          <w:i/>
          <w:iCs/>
        </w:rPr>
      </w:pPr>
    </w:p>
    <w:p w14:paraId="1A8C3AE9" w14:textId="7D559B46" w:rsidR="004B7ED5" w:rsidRDefault="00B53981" w:rsidP="004B7ED5">
      <w:pPr>
        <w:keepNext/>
        <w:spacing w:after="40"/>
        <w:rPr>
          <w:rFonts w:ascii="Times New Roman" w:hAnsi="Times New Roman" w:cs="Times New Roman"/>
          <w:i/>
          <w:iCs/>
        </w:rPr>
      </w:pPr>
      <w:r>
        <w:rPr>
          <w:rFonts w:ascii="Times New Roman" w:hAnsi="Times New Roman" w:cs="Times New Roman"/>
          <w:i/>
          <w:iCs/>
        </w:rPr>
        <w:t>O</w:t>
      </w:r>
      <w:r w:rsidR="00194EC8" w:rsidRPr="00F4760E">
        <w:rPr>
          <w:rFonts w:ascii="Times New Roman" w:hAnsi="Times New Roman" w:cs="Times New Roman"/>
          <w:i/>
          <w:iCs/>
        </w:rPr>
        <w:t xml:space="preserve">peration of the </w:t>
      </w:r>
      <w:r w:rsidR="007B0BAC" w:rsidRPr="00F4760E">
        <w:rPr>
          <w:rFonts w:ascii="Times New Roman" w:hAnsi="Times New Roman" w:cs="Times New Roman"/>
          <w:i/>
          <w:iCs/>
        </w:rPr>
        <w:t>Determination</w:t>
      </w:r>
    </w:p>
    <w:p w14:paraId="66F8B659" w14:textId="6B7D21A1" w:rsidR="00E50D8C" w:rsidRDefault="00E50D8C" w:rsidP="00A277A8">
      <w:pPr>
        <w:keepNext/>
        <w:spacing w:after="40"/>
        <w:rPr>
          <w:rFonts w:ascii="Times New Roman" w:hAnsi="Times New Roman"/>
        </w:rPr>
      </w:pPr>
      <w:r w:rsidRPr="00EE3E0E">
        <w:rPr>
          <w:rFonts w:ascii="Times New Roman" w:hAnsi="Times New Roman"/>
        </w:rPr>
        <w:t xml:space="preserve">The Determination will </w:t>
      </w:r>
      <w:r>
        <w:rPr>
          <w:rFonts w:ascii="Times New Roman" w:hAnsi="Times New Roman"/>
        </w:rPr>
        <w:t xml:space="preserve">apply to every high-risk customer interaction relating to a customer of a carriage service </w:t>
      </w:r>
      <w:r w:rsidRPr="00CA529E">
        <w:rPr>
          <w:rFonts w:ascii="Times New Roman" w:hAnsi="Times New Roman" w:cs="Times New Roman"/>
        </w:rPr>
        <w:t>provider</w:t>
      </w:r>
      <w:r w:rsidR="00CA529E">
        <w:rPr>
          <w:rFonts w:ascii="Times New Roman" w:hAnsi="Times New Roman" w:cs="Times New Roman"/>
        </w:rPr>
        <w:t xml:space="preserve"> </w:t>
      </w:r>
      <w:r w:rsidRPr="00306109">
        <w:rPr>
          <w:rFonts w:ascii="Times New Roman" w:hAnsi="Times New Roman" w:cs="Times New Roman"/>
        </w:rPr>
        <w:t>to</w:t>
      </w:r>
      <w:r>
        <w:rPr>
          <w:rFonts w:ascii="Times New Roman" w:hAnsi="Times New Roman"/>
        </w:rPr>
        <w:t xml:space="preserve"> </w:t>
      </w:r>
      <w:r w:rsidRPr="00EE3E0E">
        <w:rPr>
          <w:rFonts w:ascii="Times New Roman" w:hAnsi="Times New Roman"/>
        </w:rPr>
        <w:t>ensure industry-wide coverage</w:t>
      </w:r>
      <w:r>
        <w:rPr>
          <w:rFonts w:ascii="Times New Roman" w:hAnsi="Times New Roman"/>
        </w:rPr>
        <w:t>,</w:t>
      </w:r>
      <w:r w:rsidRPr="00EE3E0E">
        <w:rPr>
          <w:rFonts w:ascii="Times New Roman" w:hAnsi="Times New Roman"/>
        </w:rPr>
        <w:t xml:space="preserve"> provid</w:t>
      </w:r>
      <w:r>
        <w:rPr>
          <w:rFonts w:ascii="Times New Roman" w:hAnsi="Times New Roman"/>
        </w:rPr>
        <w:t>ing</w:t>
      </w:r>
      <w:r w:rsidRPr="00EE3E0E">
        <w:rPr>
          <w:rFonts w:ascii="Times New Roman" w:hAnsi="Times New Roman"/>
        </w:rPr>
        <w:t xml:space="preserve"> certainty for both consumers and industry about protections</w:t>
      </w:r>
      <w:r w:rsidRPr="00EE3E0E" w:rsidDel="00765F28">
        <w:rPr>
          <w:rFonts w:ascii="Times New Roman" w:hAnsi="Times New Roman"/>
        </w:rPr>
        <w:t xml:space="preserve"> </w:t>
      </w:r>
      <w:r w:rsidRPr="00EE3E0E">
        <w:rPr>
          <w:rFonts w:ascii="Times New Roman" w:hAnsi="Times New Roman"/>
        </w:rPr>
        <w:t>and obligations.</w:t>
      </w:r>
      <w:r w:rsidR="00FD0D7D">
        <w:rPr>
          <w:rFonts w:ascii="Times New Roman" w:hAnsi="Times New Roman"/>
        </w:rPr>
        <w:t xml:space="preserve"> </w:t>
      </w:r>
      <w:r w:rsidR="00CA529E">
        <w:rPr>
          <w:rFonts w:ascii="Times New Roman" w:hAnsi="Times New Roman"/>
        </w:rPr>
        <w:t xml:space="preserve">The </w:t>
      </w:r>
      <w:r w:rsidR="007223B0">
        <w:rPr>
          <w:rFonts w:ascii="Times New Roman" w:hAnsi="Times New Roman"/>
        </w:rPr>
        <w:t>D</w:t>
      </w:r>
      <w:r w:rsidR="00CA529E">
        <w:rPr>
          <w:rFonts w:ascii="Times New Roman" w:hAnsi="Times New Roman"/>
        </w:rPr>
        <w:t xml:space="preserve">etermination does not apply to a </w:t>
      </w:r>
      <w:r w:rsidR="00CA529E" w:rsidRPr="003C2F59">
        <w:rPr>
          <w:rFonts w:ascii="Times New Roman" w:hAnsi="Times New Roman" w:cs="Times New Roman"/>
        </w:rPr>
        <w:t>customer who is an account managed customer or an integrated customer,</w:t>
      </w:r>
      <w:r w:rsidR="00CA529E">
        <w:rPr>
          <w:rFonts w:ascii="Times New Roman" w:hAnsi="Times New Roman" w:cs="Times New Roman"/>
        </w:rPr>
        <w:t xml:space="preserve"> as there is minimal evidence that transactions conducted on these types of account</w:t>
      </w:r>
      <w:r w:rsidR="00173376">
        <w:rPr>
          <w:rFonts w:ascii="Times New Roman" w:hAnsi="Times New Roman" w:cs="Times New Roman"/>
        </w:rPr>
        <w:t>s</w:t>
      </w:r>
      <w:r w:rsidR="00CA529E">
        <w:rPr>
          <w:rFonts w:ascii="Times New Roman" w:hAnsi="Times New Roman" w:cs="Times New Roman"/>
        </w:rPr>
        <w:t xml:space="preserve"> are at high-risk of fraud.</w:t>
      </w:r>
    </w:p>
    <w:p w14:paraId="18BAC4EE" w14:textId="77777777" w:rsidR="00F24904" w:rsidRDefault="00E80CC0" w:rsidP="00A277A8">
      <w:pPr>
        <w:keepNext/>
        <w:spacing w:after="40"/>
        <w:rPr>
          <w:rFonts w:ascii="Times New Roman" w:hAnsi="Times New Roman" w:cs="Times New Roman"/>
        </w:rPr>
      </w:pPr>
      <w:r w:rsidRPr="004B7ED5">
        <w:rPr>
          <w:rFonts w:ascii="Times New Roman" w:hAnsi="Times New Roman" w:cs="Times New Roman"/>
        </w:rPr>
        <w:t xml:space="preserve">The </w:t>
      </w:r>
      <w:r w:rsidR="007B0BAC" w:rsidRPr="004B7ED5">
        <w:rPr>
          <w:rFonts w:ascii="Times New Roman" w:hAnsi="Times New Roman" w:cs="Times New Roman"/>
        </w:rPr>
        <w:t>Determination</w:t>
      </w:r>
      <w:r w:rsidRPr="004B7ED5">
        <w:rPr>
          <w:rFonts w:ascii="Times New Roman" w:hAnsi="Times New Roman" w:cs="Times New Roman"/>
        </w:rPr>
        <w:t xml:space="preserve"> </w:t>
      </w:r>
      <w:r w:rsidR="009A6CFC" w:rsidRPr="004B7ED5">
        <w:rPr>
          <w:rFonts w:ascii="Times New Roman" w:hAnsi="Times New Roman" w:cs="Times New Roman"/>
        </w:rPr>
        <w:t xml:space="preserve">requires carriage service providers to </w:t>
      </w:r>
      <w:r w:rsidR="00BC76E7" w:rsidRPr="004B7ED5">
        <w:rPr>
          <w:rFonts w:ascii="Times New Roman" w:hAnsi="Times New Roman" w:cs="Times New Roman"/>
        </w:rPr>
        <w:t xml:space="preserve">confirm </w:t>
      </w:r>
      <w:r w:rsidR="00513938" w:rsidRPr="004B7ED5">
        <w:rPr>
          <w:rFonts w:ascii="Times New Roman" w:hAnsi="Times New Roman" w:cs="Times New Roman"/>
        </w:rPr>
        <w:t>a</w:t>
      </w:r>
      <w:r w:rsidR="00BC76E7" w:rsidRPr="004B7ED5">
        <w:rPr>
          <w:rFonts w:ascii="Times New Roman" w:hAnsi="Times New Roman" w:cs="Times New Roman"/>
        </w:rPr>
        <w:t xml:space="preserve"> </w:t>
      </w:r>
      <w:r w:rsidR="003574D5">
        <w:rPr>
          <w:rFonts w:ascii="Times New Roman" w:hAnsi="Times New Roman" w:cs="Times New Roman"/>
        </w:rPr>
        <w:t>requesting person’</w:t>
      </w:r>
      <w:r w:rsidR="00513938" w:rsidRPr="004B7ED5">
        <w:rPr>
          <w:rFonts w:ascii="Times New Roman" w:hAnsi="Times New Roman" w:cs="Times New Roman"/>
        </w:rPr>
        <w:t>s identity</w:t>
      </w:r>
      <w:r w:rsidR="00BC76E7" w:rsidRPr="004B7ED5">
        <w:rPr>
          <w:rFonts w:ascii="Times New Roman" w:hAnsi="Times New Roman" w:cs="Times New Roman"/>
        </w:rPr>
        <w:t xml:space="preserve"> by completing</w:t>
      </w:r>
      <w:r w:rsidR="009A6CFC" w:rsidRPr="004B7ED5">
        <w:rPr>
          <w:rFonts w:ascii="Times New Roman" w:hAnsi="Times New Roman" w:cs="Times New Roman"/>
        </w:rPr>
        <w:t xml:space="preserve"> identity </w:t>
      </w:r>
      <w:r w:rsidR="00FC19B5">
        <w:rPr>
          <w:rFonts w:ascii="Times New Roman" w:hAnsi="Times New Roman" w:cs="Times New Roman"/>
        </w:rPr>
        <w:t>authentication</w:t>
      </w:r>
      <w:r w:rsidR="009A6CFC" w:rsidRPr="004B7ED5">
        <w:rPr>
          <w:rFonts w:ascii="Times New Roman" w:hAnsi="Times New Roman" w:cs="Times New Roman"/>
        </w:rPr>
        <w:t xml:space="preserve"> processes </w:t>
      </w:r>
      <w:r w:rsidR="009A6CFC" w:rsidRPr="00DE6FC8">
        <w:rPr>
          <w:rFonts w:ascii="Times New Roman" w:hAnsi="Times New Roman" w:cs="Times New Roman"/>
        </w:rPr>
        <w:t xml:space="preserve">before </w:t>
      </w:r>
      <w:r w:rsidR="00BC76E7" w:rsidRPr="00DE6FC8">
        <w:rPr>
          <w:rFonts w:ascii="Times New Roman" w:hAnsi="Times New Roman" w:cs="Times New Roman"/>
        </w:rPr>
        <w:t>undertaking</w:t>
      </w:r>
      <w:r w:rsidR="00012B74" w:rsidRPr="00DE6FC8">
        <w:rPr>
          <w:rFonts w:ascii="Times New Roman" w:hAnsi="Times New Roman" w:cs="Times New Roman"/>
        </w:rPr>
        <w:t xml:space="preserve"> </w:t>
      </w:r>
      <w:r w:rsidR="00DE6FC8" w:rsidRPr="00DE6FC8">
        <w:rPr>
          <w:rFonts w:ascii="Times New Roman" w:hAnsi="Times New Roman" w:cs="Times New Roman"/>
        </w:rPr>
        <w:t xml:space="preserve">the first high-risk customer transaction </w:t>
      </w:r>
      <w:proofErr w:type="gramStart"/>
      <w:r w:rsidR="00DE6FC8" w:rsidRPr="00DE6FC8">
        <w:rPr>
          <w:rFonts w:ascii="Times New Roman" w:hAnsi="Times New Roman" w:cs="Times New Roman"/>
        </w:rPr>
        <w:t>in the course of</w:t>
      </w:r>
      <w:proofErr w:type="gramEnd"/>
      <w:r w:rsidR="00DE6FC8" w:rsidRPr="00DE6FC8">
        <w:rPr>
          <w:rFonts w:ascii="Times New Roman" w:hAnsi="Times New Roman" w:cs="Times New Roman"/>
        </w:rPr>
        <w:t xml:space="preserve"> a high-risk customer interaction</w:t>
      </w:r>
      <w:r w:rsidR="009A6CFC" w:rsidRPr="00DE6FC8">
        <w:rPr>
          <w:rFonts w:ascii="Times New Roman" w:hAnsi="Times New Roman" w:cs="Times New Roman"/>
        </w:rPr>
        <w:t>.</w:t>
      </w:r>
      <w:r w:rsidR="008334AC" w:rsidRPr="00DE6FC8">
        <w:rPr>
          <w:rFonts w:ascii="Times New Roman" w:hAnsi="Times New Roman" w:cs="Times New Roman"/>
        </w:rPr>
        <w:t xml:space="preserve"> </w:t>
      </w:r>
      <w:r w:rsidR="00A277A8" w:rsidRPr="00DE6FC8">
        <w:rPr>
          <w:rFonts w:ascii="Times New Roman" w:hAnsi="Times New Roman" w:cs="Times New Roman"/>
        </w:rPr>
        <w:t>For</w:t>
      </w:r>
      <w:r w:rsidR="00A277A8">
        <w:rPr>
          <w:rFonts w:ascii="Times New Roman" w:hAnsi="Times New Roman" w:cs="Times New Roman"/>
        </w:rPr>
        <w:t xml:space="preserve"> the purposes of the Determination, a </w:t>
      </w:r>
      <w:r w:rsidR="00A277A8" w:rsidRPr="00DE6FC8">
        <w:rPr>
          <w:rFonts w:ascii="Times New Roman" w:hAnsi="Times New Roman" w:cs="Times New Roman"/>
        </w:rPr>
        <w:t>high-risk customer interaction</w:t>
      </w:r>
      <w:r w:rsidR="00A277A8" w:rsidRPr="00A277A8">
        <w:rPr>
          <w:rFonts w:ascii="Times New Roman" w:hAnsi="Times New Roman" w:cs="Times New Roman"/>
          <w:b/>
          <w:bCs/>
          <w:i/>
          <w:iCs/>
        </w:rPr>
        <w:t xml:space="preserve"> </w:t>
      </w:r>
      <w:r w:rsidR="00A277A8">
        <w:rPr>
          <w:rFonts w:ascii="Times New Roman" w:hAnsi="Times New Roman" w:cs="Times New Roman"/>
        </w:rPr>
        <w:t>i</w:t>
      </w:r>
      <w:r w:rsidR="00A277A8" w:rsidRPr="00A277A8">
        <w:rPr>
          <w:rFonts w:ascii="Times New Roman" w:hAnsi="Times New Roman" w:cs="Times New Roman"/>
        </w:rPr>
        <w:t xml:space="preserve">s an interaction between a </w:t>
      </w:r>
      <w:r w:rsidR="003574D5">
        <w:rPr>
          <w:rFonts w:ascii="Times New Roman" w:hAnsi="Times New Roman" w:cs="Times New Roman"/>
        </w:rPr>
        <w:t>carriage</w:t>
      </w:r>
      <w:r w:rsidR="00A277A8" w:rsidRPr="00A277A8">
        <w:rPr>
          <w:rFonts w:ascii="Times New Roman" w:hAnsi="Times New Roman" w:cs="Times New Roman"/>
        </w:rPr>
        <w:t xml:space="preserve"> service provider and a requesting person, in relation to a customer’s telecommunications service, initiated by either the requesting person or by the carriage service provider, during which one or more high-risk customer transactions are requested.</w:t>
      </w:r>
    </w:p>
    <w:p w14:paraId="4889539D" w14:textId="648E8F57" w:rsidR="00DE6FC8" w:rsidRPr="00697A23" w:rsidRDefault="00FD0D7D" w:rsidP="00F24904">
      <w:pPr>
        <w:keepNext/>
        <w:spacing w:after="40"/>
        <w:rPr>
          <w:color w:val="000000"/>
          <w:shd w:val="clear" w:color="auto" w:fill="FFFFFF"/>
        </w:rPr>
      </w:pPr>
      <w:r>
        <w:rPr>
          <w:rFonts w:ascii="Times New Roman" w:hAnsi="Times New Roman" w:cs="Times New Roman"/>
        </w:rPr>
        <w:t>H</w:t>
      </w:r>
      <w:r w:rsidRPr="00A277A8">
        <w:rPr>
          <w:rFonts w:ascii="Times New Roman" w:hAnsi="Times New Roman" w:cs="Times New Roman"/>
        </w:rPr>
        <w:t xml:space="preserve">igh-risk customer </w:t>
      </w:r>
      <w:r w:rsidR="00F24904" w:rsidRPr="00A277A8">
        <w:rPr>
          <w:rFonts w:ascii="Times New Roman" w:hAnsi="Times New Roman" w:cs="Times New Roman"/>
        </w:rPr>
        <w:t>transactions</w:t>
      </w:r>
      <w:r w:rsidR="00F24904">
        <w:rPr>
          <w:rFonts w:ascii="Times New Roman" w:hAnsi="Times New Roman" w:cs="Times New Roman"/>
        </w:rPr>
        <w:t xml:space="preserve"> are those transactions which have been identified as gateways for fraud, such as</w:t>
      </w:r>
      <w:r w:rsidR="007223B0">
        <w:rPr>
          <w:rFonts w:ascii="Times New Roman" w:hAnsi="Times New Roman" w:cs="Times New Roman"/>
        </w:rPr>
        <w:t xml:space="preserve"> a</w:t>
      </w:r>
      <w:r w:rsidR="00F24904">
        <w:rPr>
          <w:rFonts w:ascii="Times New Roman" w:hAnsi="Times New Roman" w:cs="Times New Roman"/>
        </w:rPr>
        <w:t xml:space="preserve"> </w:t>
      </w:r>
      <w:r w:rsidR="007223B0">
        <w:rPr>
          <w:rFonts w:ascii="Times New Roman" w:hAnsi="Times New Roman" w:cs="Times New Roman"/>
        </w:rPr>
        <w:t>SIM</w:t>
      </w:r>
      <w:r w:rsidR="00F24904">
        <w:rPr>
          <w:rFonts w:ascii="Times New Roman" w:hAnsi="Times New Roman" w:cs="Times New Roman"/>
        </w:rPr>
        <w:t xml:space="preserve"> swap. </w:t>
      </w:r>
      <w:r w:rsidR="002D7EC0" w:rsidRPr="00F24904">
        <w:rPr>
          <w:rFonts w:ascii="Times New Roman" w:hAnsi="Times New Roman" w:cs="Times New Roman"/>
        </w:rPr>
        <w:t>A h</w:t>
      </w:r>
      <w:r w:rsidR="00F97654" w:rsidRPr="00F24904">
        <w:rPr>
          <w:rFonts w:ascii="Times New Roman" w:hAnsi="Times New Roman" w:cs="Times New Roman"/>
        </w:rPr>
        <w:t>igh-risk customer transaction</w:t>
      </w:r>
      <w:r w:rsidR="002D7EC0" w:rsidRPr="00F24904">
        <w:rPr>
          <w:rFonts w:ascii="Times New Roman" w:hAnsi="Times New Roman" w:cs="Times New Roman"/>
        </w:rPr>
        <w:t xml:space="preserve"> is</w:t>
      </w:r>
      <w:r w:rsidR="00F97654" w:rsidRPr="00F24904">
        <w:rPr>
          <w:rFonts w:ascii="Times New Roman" w:hAnsi="Times New Roman" w:cs="Times New Roman"/>
        </w:rPr>
        <w:t xml:space="preserve"> </w:t>
      </w:r>
      <w:r w:rsidR="00630508" w:rsidRPr="00F24904">
        <w:rPr>
          <w:rFonts w:ascii="Times New Roman" w:hAnsi="Times New Roman" w:cs="Times New Roman"/>
        </w:rPr>
        <w:t xml:space="preserve">defined </w:t>
      </w:r>
      <w:r w:rsidR="00F24904" w:rsidRPr="00F24904">
        <w:rPr>
          <w:rFonts w:ascii="Times New Roman" w:hAnsi="Times New Roman" w:cs="Times New Roman"/>
        </w:rPr>
        <w:t xml:space="preserve">in the Determination </w:t>
      </w:r>
      <w:r w:rsidR="00630508" w:rsidRPr="00F24904">
        <w:rPr>
          <w:rFonts w:ascii="Times New Roman" w:hAnsi="Times New Roman" w:cs="Times New Roman"/>
        </w:rPr>
        <w:t>as</w:t>
      </w:r>
      <w:r w:rsidR="00DE6FC8" w:rsidRPr="00F24904">
        <w:rPr>
          <w:rFonts w:ascii="Times New Roman" w:hAnsi="Times New Roman" w:cs="Times New Roman"/>
        </w:rPr>
        <w:t xml:space="preserve"> a transaction </w:t>
      </w:r>
      <w:r w:rsidR="00CA529E" w:rsidRPr="00F24904">
        <w:rPr>
          <w:rFonts w:ascii="Times New Roman" w:hAnsi="Times New Roman" w:cs="Times New Roman"/>
        </w:rPr>
        <w:t xml:space="preserve">that </w:t>
      </w:r>
      <w:r w:rsidR="00DE6FC8" w:rsidRPr="00F24904">
        <w:rPr>
          <w:rFonts w:ascii="Times New Roman" w:hAnsi="Times New Roman" w:cs="Times New Roman"/>
        </w:rPr>
        <w:t>may result in one or more of the following:</w:t>
      </w:r>
    </w:p>
    <w:p w14:paraId="57599091" w14:textId="00EB7C1F" w:rsidR="00DE6FC8" w:rsidRPr="00DE6FC8" w:rsidRDefault="00DE6FC8" w:rsidP="00DE6FC8">
      <w:pPr>
        <w:pStyle w:val="ListParagraph"/>
        <w:numPr>
          <w:ilvl w:val="0"/>
          <w:numId w:val="3"/>
        </w:numPr>
        <w:spacing w:after="40"/>
        <w:ind w:left="567" w:hanging="567"/>
        <w:rPr>
          <w:rFonts w:ascii="Times New Roman" w:hAnsi="Times New Roman" w:cs="Times New Roman"/>
        </w:rPr>
      </w:pPr>
      <w:r w:rsidRPr="00DE6FC8">
        <w:rPr>
          <w:rFonts w:ascii="Times New Roman" w:hAnsi="Times New Roman" w:cs="Times New Roman"/>
        </w:rPr>
        <w:t xml:space="preserve">a customer losing access to </w:t>
      </w:r>
      <w:r w:rsidR="00CA529E">
        <w:rPr>
          <w:rFonts w:ascii="Times New Roman" w:hAnsi="Times New Roman" w:cs="Times New Roman"/>
        </w:rPr>
        <w:t>the customer’s</w:t>
      </w:r>
      <w:r w:rsidR="00CA529E" w:rsidRPr="00DE6FC8">
        <w:rPr>
          <w:rFonts w:ascii="Times New Roman" w:hAnsi="Times New Roman" w:cs="Times New Roman"/>
        </w:rPr>
        <w:t xml:space="preserve"> </w:t>
      </w:r>
      <w:r w:rsidRPr="00DE6FC8">
        <w:rPr>
          <w:rFonts w:ascii="Times New Roman" w:hAnsi="Times New Roman" w:cs="Times New Roman"/>
        </w:rPr>
        <w:t>telecommunications service;</w:t>
      </w:r>
    </w:p>
    <w:p w14:paraId="220BDF0C" w14:textId="77777777" w:rsidR="00DE6FC8" w:rsidRPr="00DE6FC8" w:rsidRDefault="00DE6FC8" w:rsidP="00DE6FC8">
      <w:pPr>
        <w:pStyle w:val="ListParagraph"/>
        <w:numPr>
          <w:ilvl w:val="0"/>
          <w:numId w:val="3"/>
        </w:numPr>
        <w:spacing w:after="40"/>
        <w:ind w:left="567" w:hanging="567"/>
        <w:rPr>
          <w:rFonts w:ascii="Times New Roman" w:hAnsi="Times New Roman" w:cs="Times New Roman"/>
        </w:rPr>
      </w:pPr>
      <w:r w:rsidRPr="00DE6FC8">
        <w:rPr>
          <w:rFonts w:ascii="Times New Roman" w:hAnsi="Times New Roman" w:cs="Times New Roman"/>
        </w:rPr>
        <w:t xml:space="preserve">a change to a customer’s personal information, business information or account security information held by the carriage service provider relating to the customer’s account; </w:t>
      </w:r>
    </w:p>
    <w:p w14:paraId="3C789711" w14:textId="77777777" w:rsidR="00DE6FC8" w:rsidRPr="00DE6FC8" w:rsidRDefault="00DE6FC8" w:rsidP="00DE6FC8">
      <w:pPr>
        <w:pStyle w:val="ListParagraph"/>
        <w:numPr>
          <w:ilvl w:val="0"/>
          <w:numId w:val="3"/>
        </w:numPr>
        <w:spacing w:after="40"/>
        <w:ind w:left="567" w:hanging="567"/>
        <w:rPr>
          <w:rFonts w:ascii="Times New Roman" w:hAnsi="Times New Roman" w:cs="Times New Roman"/>
        </w:rPr>
      </w:pPr>
      <w:r w:rsidRPr="00DE6FC8">
        <w:rPr>
          <w:rFonts w:ascii="Times New Roman" w:hAnsi="Times New Roman" w:cs="Times New Roman"/>
        </w:rPr>
        <w:t>adding or removing a person as a customer’s authorised representative;</w:t>
      </w:r>
    </w:p>
    <w:p w14:paraId="79483A7E" w14:textId="7C9256D6" w:rsidR="00DE6FC8" w:rsidRPr="00DE6FC8" w:rsidRDefault="00DE6FC8" w:rsidP="00DE6FC8">
      <w:pPr>
        <w:pStyle w:val="ListParagraph"/>
        <w:numPr>
          <w:ilvl w:val="0"/>
          <w:numId w:val="3"/>
        </w:numPr>
        <w:spacing w:after="40"/>
        <w:ind w:left="567" w:hanging="567"/>
        <w:rPr>
          <w:rFonts w:ascii="Times New Roman" w:hAnsi="Times New Roman" w:cs="Times New Roman"/>
        </w:rPr>
      </w:pPr>
      <w:r w:rsidRPr="00DE6FC8">
        <w:rPr>
          <w:rFonts w:ascii="Times New Roman" w:hAnsi="Times New Roman" w:cs="Times New Roman"/>
        </w:rPr>
        <w:t xml:space="preserve">disclosure </w:t>
      </w:r>
      <w:r w:rsidR="00CA529E">
        <w:rPr>
          <w:rFonts w:ascii="Times New Roman" w:hAnsi="Times New Roman" w:cs="Times New Roman"/>
        </w:rPr>
        <w:t xml:space="preserve">to the requesting person </w:t>
      </w:r>
      <w:r w:rsidRPr="00DE6FC8">
        <w:rPr>
          <w:rFonts w:ascii="Times New Roman" w:hAnsi="Times New Roman" w:cs="Times New Roman"/>
        </w:rPr>
        <w:t xml:space="preserve">of a customer’s personal information, business information or account security information held by the carriage service provider relating to the customer’s account; </w:t>
      </w:r>
    </w:p>
    <w:p w14:paraId="62F8F360" w14:textId="4D564A82" w:rsidR="00DE6FC8" w:rsidRPr="00DE6FC8" w:rsidRDefault="00DE6FC8" w:rsidP="00DE6FC8">
      <w:pPr>
        <w:pStyle w:val="ListParagraph"/>
        <w:numPr>
          <w:ilvl w:val="0"/>
          <w:numId w:val="3"/>
        </w:numPr>
        <w:spacing w:after="40"/>
        <w:ind w:left="567" w:hanging="567"/>
        <w:rPr>
          <w:rFonts w:ascii="Times New Roman" w:hAnsi="Times New Roman" w:cs="Times New Roman"/>
        </w:rPr>
      </w:pPr>
      <w:r w:rsidRPr="00DE6FC8">
        <w:rPr>
          <w:rFonts w:ascii="Times New Roman" w:hAnsi="Times New Roman" w:cs="Times New Roman"/>
        </w:rPr>
        <w:t>an additional ongoing</w:t>
      </w:r>
      <w:r w:rsidR="00B42ADC">
        <w:rPr>
          <w:rFonts w:ascii="Times New Roman" w:hAnsi="Times New Roman" w:cs="Times New Roman"/>
        </w:rPr>
        <w:t xml:space="preserve"> charge</w:t>
      </w:r>
      <w:r w:rsidRPr="00DE6FC8">
        <w:rPr>
          <w:rFonts w:ascii="Times New Roman" w:hAnsi="Times New Roman" w:cs="Times New Roman"/>
        </w:rPr>
        <w:t>, or a large one-off charge</w:t>
      </w:r>
      <w:r w:rsidR="00B42ADC">
        <w:rPr>
          <w:rFonts w:ascii="Times New Roman" w:hAnsi="Times New Roman" w:cs="Times New Roman"/>
        </w:rPr>
        <w:t>,</w:t>
      </w:r>
      <w:r w:rsidRPr="00DE6FC8">
        <w:rPr>
          <w:rFonts w:ascii="Times New Roman" w:hAnsi="Times New Roman" w:cs="Times New Roman"/>
        </w:rPr>
        <w:t xml:space="preserve"> being applied to a customer’s account</w:t>
      </w:r>
      <w:r w:rsidR="00D037C1">
        <w:rPr>
          <w:rFonts w:ascii="Times New Roman" w:hAnsi="Times New Roman" w:cs="Times New Roman"/>
        </w:rPr>
        <w:t>.</w:t>
      </w:r>
    </w:p>
    <w:p w14:paraId="3A3764B6" w14:textId="5A50F90A" w:rsidR="00CA529E" w:rsidRDefault="002D7EC0" w:rsidP="00DE6FC8">
      <w:pPr>
        <w:pStyle w:val="Definition"/>
        <w:ind w:left="0"/>
        <w:rPr>
          <w:color w:val="000000"/>
          <w:szCs w:val="22"/>
          <w:shd w:val="clear" w:color="auto" w:fill="FFFFFF"/>
        </w:rPr>
      </w:pPr>
      <w:r>
        <w:rPr>
          <w:color w:val="000000"/>
          <w:szCs w:val="22"/>
          <w:shd w:val="clear" w:color="auto" w:fill="FFFFFF"/>
        </w:rPr>
        <w:t>A high-risk customer transaction</w:t>
      </w:r>
      <w:r w:rsidR="00CA529E">
        <w:rPr>
          <w:color w:val="000000"/>
          <w:szCs w:val="22"/>
          <w:shd w:val="clear" w:color="auto" w:fill="FFFFFF"/>
        </w:rPr>
        <w:t xml:space="preserve"> does not include any of the following:</w:t>
      </w:r>
    </w:p>
    <w:p w14:paraId="7F22661D" w14:textId="71AE2AE4" w:rsidR="00CA529E" w:rsidRPr="00DE6FC8" w:rsidRDefault="00CA529E" w:rsidP="00CA529E">
      <w:pPr>
        <w:pStyle w:val="ListParagraph"/>
        <w:numPr>
          <w:ilvl w:val="0"/>
          <w:numId w:val="3"/>
        </w:numPr>
        <w:spacing w:after="40"/>
        <w:ind w:left="567" w:hanging="567"/>
      </w:pPr>
      <w:r w:rsidRPr="003574D5">
        <w:rPr>
          <w:rFonts w:ascii="Times New Roman" w:hAnsi="Times New Roman" w:cs="Times New Roman"/>
        </w:rPr>
        <w:t xml:space="preserve">a transfer of title </w:t>
      </w:r>
      <w:r>
        <w:rPr>
          <w:rFonts w:ascii="Times New Roman" w:hAnsi="Times New Roman" w:cs="Times New Roman"/>
        </w:rPr>
        <w:t xml:space="preserve">(also known as a change of ownership) </w:t>
      </w:r>
      <w:r w:rsidRPr="003574D5">
        <w:rPr>
          <w:rFonts w:ascii="Times New Roman" w:hAnsi="Times New Roman" w:cs="Times New Roman"/>
        </w:rPr>
        <w:t>where</w:t>
      </w:r>
      <w:r w:rsidRPr="00DE6FC8">
        <w:t>:</w:t>
      </w:r>
    </w:p>
    <w:p w14:paraId="65B466F6" w14:textId="17748FF1" w:rsidR="00CA529E" w:rsidRPr="00DE6FC8" w:rsidRDefault="00CA529E" w:rsidP="00CA529E">
      <w:pPr>
        <w:pStyle w:val="ListParagraph"/>
        <w:numPr>
          <w:ilvl w:val="1"/>
          <w:numId w:val="3"/>
        </w:numPr>
        <w:spacing w:after="40"/>
        <w:rPr>
          <w:rFonts w:ascii="Times New Roman" w:hAnsi="Times New Roman" w:cs="Times New Roman"/>
        </w:rPr>
      </w:pPr>
      <w:r w:rsidRPr="00DE6FC8">
        <w:rPr>
          <w:rFonts w:ascii="Times New Roman" w:hAnsi="Times New Roman" w:cs="Times New Roman"/>
        </w:rPr>
        <w:t xml:space="preserve">the carriage service provider is satisfied that the end-user of a public number, who is not the customer for that number, is affected by domestic </w:t>
      </w:r>
      <w:r>
        <w:rPr>
          <w:rFonts w:ascii="Times New Roman" w:hAnsi="Times New Roman" w:cs="Times New Roman"/>
        </w:rPr>
        <w:t>or</w:t>
      </w:r>
      <w:r w:rsidRPr="00DE6FC8">
        <w:rPr>
          <w:rFonts w:ascii="Times New Roman" w:hAnsi="Times New Roman" w:cs="Times New Roman"/>
        </w:rPr>
        <w:t xml:space="preserve"> family violence; and</w:t>
      </w:r>
    </w:p>
    <w:p w14:paraId="54DED218" w14:textId="561DB0B1" w:rsidR="00CA529E" w:rsidRPr="00DE6FC8" w:rsidRDefault="00CA529E" w:rsidP="00CA529E">
      <w:pPr>
        <w:pStyle w:val="ListParagraph"/>
        <w:numPr>
          <w:ilvl w:val="1"/>
          <w:numId w:val="3"/>
        </w:numPr>
        <w:spacing w:after="40"/>
        <w:rPr>
          <w:rFonts w:ascii="Times New Roman" w:hAnsi="Times New Roman" w:cs="Times New Roman"/>
        </w:rPr>
      </w:pPr>
      <w:r w:rsidRPr="00DE6FC8">
        <w:rPr>
          <w:rFonts w:ascii="Times New Roman" w:hAnsi="Times New Roman" w:cs="Times New Roman"/>
        </w:rPr>
        <w:t xml:space="preserve">the terms and conditions in the standard form of agreement formulated by the carriage service provider for the purposes of section 479 of the Act permits a transfer of title in those circumstances; </w:t>
      </w:r>
    </w:p>
    <w:p w14:paraId="032EBDB0" w14:textId="7E9ECF57" w:rsidR="00CA529E" w:rsidRDefault="00CA529E" w:rsidP="00CA529E">
      <w:pPr>
        <w:pStyle w:val="ListParagraph"/>
        <w:numPr>
          <w:ilvl w:val="0"/>
          <w:numId w:val="3"/>
        </w:numPr>
        <w:spacing w:after="40"/>
        <w:ind w:left="567" w:hanging="567"/>
        <w:rPr>
          <w:rFonts w:ascii="Times New Roman" w:hAnsi="Times New Roman" w:cs="Times New Roman"/>
        </w:rPr>
      </w:pPr>
      <w:r w:rsidRPr="00DE6FC8">
        <w:rPr>
          <w:rFonts w:ascii="Times New Roman" w:hAnsi="Times New Roman" w:cs="Times New Roman"/>
        </w:rPr>
        <w:t>a transaction to port a mobile number to which the Standard applies</w:t>
      </w:r>
      <w:r>
        <w:rPr>
          <w:rFonts w:ascii="Times New Roman" w:hAnsi="Times New Roman" w:cs="Times New Roman"/>
        </w:rPr>
        <w:t>;</w:t>
      </w:r>
    </w:p>
    <w:p w14:paraId="582C13B6" w14:textId="77777777" w:rsidR="00CA529E" w:rsidRPr="00756C74" w:rsidRDefault="00CA529E" w:rsidP="00756C74">
      <w:pPr>
        <w:pStyle w:val="ListParagraph"/>
        <w:numPr>
          <w:ilvl w:val="0"/>
          <w:numId w:val="3"/>
        </w:numPr>
        <w:spacing w:after="40"/>
        <w:ind w:left="567" w:hanging="567"/>
        <w:rPr>
          <w:rFonts w:ascii="Times New Roman" w:hAnsi="Times New Roman" w:cs="Times New Roman"/>
        </w:rPr>
      </w:pPr>
      <w:r w:rsidRPr="00756C74">
        <w:rPr>
          <w:rFonts w:ascii="Times New Roman" w:hAnsi="Times New Roman" w:cs="Times New Roman"/>
        </w:rPr>
        <w:t>a transaction that may result in the disclosure to the requesting person of a customer’s personal information, business information or account security information where the information:</w:t>
      </w:r>
    </w:p>
    <w:p w14:paraId="2DFD1425" w14:textId="77777777" w:rsidR="00CA529E" w:rsidRPr="00306109" w:rsidRDefault="00CA529E" w:rsidP="00306109">
      <w:pPr>
        <w:pStyle w:val="subsection"/>
        <w:numPr>
          <w:ilvl w:val="1"/>
          <w:numId w:val="3"/>
        </w:numPr>
        <w:spacing w:after="40"/>
        <w:rPr>
          <w:rFonts w:eastAsiaTheme="minorHAnsi"/>
          <w:szCs w:val="22"/>
          <w:lang w:eastAsia="en-US"/>
        </w:rPr>
      </w:pPr>
      <w:r w:rsidRPr="00306109">
        <w:rPr>
          <w:rFonts w:eastAsiaTheme="minorHAnsi"/>
          <w:szCs w:val="22"/>
          <w:lang w:eastAsia="en-US"/>
        </w:rPr>
        <w:t>is included in a bill or in other correspondence with the customer; or</w:t>
      </w:r>
    </w:p>
    <w:p w14:paraId="53C33971" w14:textId="72171329" w:rsidR="00306109" w:rsidRDefault="00CA529E" w:rsidP="00306109">
      <w:pPr>
        <w:pStyle w:val="subsection"/>
        <w:numPr>
          <w:ilvl w:val="1"/>
          <w:numId w:val="3"/>
        </w:numPr>
        <w:spacing w:after="40"/>
        <w:rPr>
          <w:rFonts w:eastAsiaTheme="minorHAnsi"/>
          <w:szCs w:val="22"/>
          <w:lang w:eastAsia="en-US"/>
        </w:rPr>
      </w:pPr>
      <w:r w:rsidRPr="00306109">
        <w:rPr>
          <w:rFonts w:eastAsiaTheme="minorHAnsi"/>
          <w:szCs w:val="22"/>
          <w:lang w:eastAsia="en-US"/>
        </w:rPr>
        <w:lastRenderedPageBreak/>
        <w:t xml:space="preserve">is </w:t>
      </w:r>
      <w:r w:rsidR="00306109">
        <w:rPr>
          <w:rFonts w:eastAsiaTheme="minorHAnsi"/>
          <w:szCs w:val="22"/>
          <w:lang w:eastAsia="en-US"/>
        </w:rPr>
        <w:t>mostly hashed or obscured for the purpose of reminding a customer of their information</w:t>
      </w:r>
      <w:r w:rsidR="00215F7E">
        <w:rPr>
          <w:rFonts w:eastAsiaTheme="minorHAnsi"/>
          <w:szCs w:val="22"/>
          <w:lang w:eastAsia="en-US"/>
        </w:rPr>
        <w:t>; or</w:t>
      </w:r>
    </w:p>
    <w:p w14:paraId="080F0BD4" w14:textId="0CABAEDB" w:rsidR="00CA529E" w:rsidRPr="00306109" w:rsidRDefault="00CA529E" w:rsidP="00306109">
      <w:pPr>
        <w:pStyle w:val="subsection"/>
        <w:numPr>
          <w:ilvl w:val="1"/>
          <w:numId w:val="3"/>
        </w:numPr>
        <w:spacing w:after="40"/>
        <w:rPr>
          <w:rFonts w:eastAsiaTheme="minorHAnsi"/>
          <w:szCs w:val="22"/>
          <w:lang w:eastAsia="en-US"/>
        </w:rPr>
      </w:pPr>
      <w:r w:rsidRPr="00306109">
        <w:t>is included in notifications relating to a customer’s telecommunications service.</w:t>
      </w:r>
    </w:p>
    <w:p w14:paraId="57404FE4" w14:textId="2D853A43" w:rsidR="00D037C1" w:rsidRDefault="00803A97">
      <w:pPr>
        <w:pStyle w:val="Definition"/>
        <w:ind w:left="0"/>
        <w:rPr>
          <w:color w:val="000000"/>
          <w:szCs w:val="22"/>
          <w:shd w:val="clear" w:color="auto" w:fill="FFFFFF"/>
        </w:rPr>
      </w:pPr>
      <w:r>
        <w:rPr>
          <w:color w:val="000000"/>
          <w:szCs w:val="22"/>
          <w:shd w:val="clear" w:color="auto" w:fill="FFFFFF"/>
        </w:rPr>
        <w:t>E</w:t>
      </w:r>
      <w:r w:rsidR="00CA529E">
        <w:rPr>
          <w:color w:val="000000"/>
          <w:szCs w:val="22"/>
          <w:shd w:val="clear" w:color="auto" w:fill="FFFFFF"/>
        </w:rPr>
        <w:t>xample</w:t>
      </w:r>
      <w:r w:rsidR="002D7EC0">
        <w:rPr>
          <w:color w:val="000000"/>
          <w:szCs w:val="22"/>
          <w:shd w:val="clear" w:color="auto" w:fill="FFFFFF"/>
        </w:rPr>
        <w:t>s of a high-risk customer transaction for the purposes of the Determination</w:t>
      </w:r>
      <w:r>
        <w:rPr>
          <w:color w:val="000000"/>
          <w:szCs w:val="22"/>
          <w:shd w:val="clear" w:color="auto" w:fill="FFFFFF"/>
        </w:rPr>
        <w:t xml:space="preserve"> include:</w:t>
      </w:r>
      <w:r w:rsidR="002D7EC0">
        <w:rPr>
          <w:color w:val="000000"/>
          <w:szCs w:val="22"/>
          <w:shd w:val="clear" w:color="auto" w:fill="FFFFFF"/>
        </w:rPr>
        <w:t xml:space="preserve"> </w:t>
      </w:r>
      <w:r w:rsidR="00D037C1">
        <w:rPr>
          <w:color w:val="000000"/>
          <w:szCs w:val="22"/>
          <w:shd w:val="clear" w:color="auto" w:fill="FFFFFF"/>
        </w:rPr>
        <w:t xml:space="preserve">requests for </w:t>
      </w:r>
      <w:r w:rsidR="00DE6FC8" w:rsidRPr="00697A23">
        <w:rPr>
          <w:color w:val="000000"/>
          <w:szCs w:val="22"/>
          <w:shd w:val="clear" w:color="auto" w:fill="FFFFFF"/>
        </w:rPr>
        <w:t>a SIM swap</w:t>
      </w:r>
      <w:r w:rsidR="007A31D2">
        <w:rPr>
          <w:color w:val="000000"/>
          <w:szCs w:val="22"/>
          <w:shd w:val="clear" w:color="auto" w:fill="FFFFFF"/>
        </w:rPr>
        <w:t>;</w:t>
      </w:r>
      <w:r w:rsidR="00DE6FC8" w:rsidRPr="00697A23">
        <w:rPr>
          <w:color w:val="000000"/>
          <w:szCs w:val="22"/>
          <w:shd w:val="clear" w:color="auto" w:fill="FFFFFF"/>
        </w:rPr>
        <w:t xml:space="preserve"> transfer</w:t>
      </w:r>
      <w:r w:rsidR="00D037C1">
        <w:rPr>
          <w:color w:val="000000"/>
          <w:szCs w:val="22"/>
          <w:shd w:val="clear" w:color="auto" w:fill="FFFFFF"/>
        </w:rPr>
        <w:t>ring</w:t>
      </w:r>
      <w:r w:rsidR="00DE6FC8" w:rsidRPr="00697A23">
        <w:rPr>
          <w:color w:val="000000"/>
          <w:szCs w:val="22"/>
          <w:shd w:val="clear" w:color="auto" w:fill="FFFFFF"/>
        </w:rPr>
        <w:t xml:space="preserve"> a telecommunications service from being a post-paid carriage service to a pre-paid carriage service</w:t>
      </w:r>
      <w:r w:rsidR="007A31D2">
        <w:rPr>
          <w:color w:val="000000"/>
          <w:szCs w:val="22"/>
          <w:shd w:val="clear" w:color="auto" w:fill="FFFFFF"/>
        </w:rPr>
        <w:t>;</w:t>
      </w:r>
      <w:r w:rsidR="00DE6FC8" w:rsidRPr="00697A23">
        <w:rPr>
          <w:color w:val="000000"/>
          <w:szCs w:val="22"/>
          <w:shd w:val="clear" w:color="auto" w:fill="FFFFFF"/>
        </w:rPr>
        <w:t xml:space="preserve"> </w:t>
      </w:r>
      <w:r w:rsidR="007A31D2" w:rsidRPr="00697A23">
        <w:rPr>
          <w:color w:val="000000"/>
          <w:szCs w:val="22"/>
          <w:shd w:val="clear" w:color="auto" w:fill="FFFFFF"/>
        </w:rPr>
        <w:t>activat</w:t>
      </w:r>
      <w:r w:rsidR="007A31D2">
        <w:rPr>
          <w:color w:val="000000"/>
          <w:szCs w:val="22"/>
          <w:shd w:val="clear" w:color="auto" w:fill="FFFFFF"/>
        </w:rPr>
        <w:t>ing</w:t>
      </w:r>
      <w:r w:rsidR="00DE6FC8" w:rsidRPr="00697A23">
        <w:rPr>
          <w:color w:val="000000"/>
          <w:szCs w:val="22"/>
          <w:shd w:val="clear" w:color="auto" w:fill="FFFFFF"/>
        </w:rPr>
        <w:t xml:space="preserve"> a telecommunications service where the customer is overseas</w:t>
      </w:r>
      <w:r w:rsidR="007A31D2">
        <w:rPr>
          <w:color w:val="000000"/>
          <w:szCs w:val="22"/>
          <w:shd w:val="clear" w:color="auto" w:fill="FFFFFF"/>
        </w:rPr>
        <w:t>;</w:t>
      </w:r>
      <w:r w:rsidR="00DE6FC8" w:rsidRPr="00697A23">
        <w:rPr>
          <w:color w:val="000000"/>
          <w:szCs w:val="22"/>
          <w:shd w:val="clear" w:color="auto" w:fill="FFFFFF"/>
        </w:rPr>
        <w:t xml:space="preserve"> transfer</w:t>
      </w:r>
      <w:r w:rsidR="007A31D2">
        <w:rPr>
          <w:color w:val="000000"/>
          <w:szCs w:val="22"/>
          <w:shd w:val="clear" w:color="auto" w:fill="FFFFFF"/>
        </w:rPr>
        <w:t>ring</w:t>
      </w:r>
      <w:r w:rsidR="00DE6FC8" w:rsidRPr="00697A23">
        <w:rPr>
          <w:color w:val="000000"/>
          <w:szCs w:val="22"/>
          <w:shd w:val="clear" w:color="auto" w:fill="FFFFFF"/>
        </w:rPr>
        <w:t xml:space="preserve"> </w:t>
      </w:r>
      <w:r w:rsidR="007A31D2">
        <w:rPr>
          <w:color w:val="000000"/>
          <w:szCs w:val="22"/>
          <w:shd w:val="clear" w:color="auto" w:fill="FFFFFF"/>
        </w:rPr>
        <w:t>a</w:t>
      </w:r>
      <w:r w:rsidR="007A31D2" w:rsidRPr="00697A23">
        <w:rPr>
          <w:color w:val="000000"/>
          <w:szCs w:val="22"/>
          <w:shd w:val="clear" w:color="auto" w:fill="FFFFFF"/>
        </w:rPr>
        <w:t xml:space="preserve"> </w:t>
      </w:r>
      <w:r w:rsidR="00DE6FC8" w:rsidRPr="00697A23">
        <w:rPr>
          <w:color w:val="000000"/>
          <w:szCs w:val="22"/>
          <w:shd w:val="clear" w:color="auto" w:fill="FFFFFF"/>
        </w:rPr>
        <w:t>title (also known as change of ownership)</w:t>
      </w:r>
      <w:r w:rsidR="007A31D2">
        <w:rPr>
          <w:color w:val="000000"/>
          <w:szCs w:val="22"/>
          <w:shd w:val="clear" w:color="auto" w:fill="FFFFFF"/>
        </w:rPr>
        <w:t>;</w:t>
      </w:r>
      <w:r w:rsidR="00DE6FC8" w:rsidRPr="00697A23">
        <w:rPr>
          <w:color w:val="000000"/>
          <w:szCs w:val="22"/>
          <w:shd w:val="clear" w:color="auto" w:fill="FFFFFF"/>
        </w:rPr>
        <w:t xml:space="preserve"> block</w:t>
      </w:r>
      <w:r w:rsidR="00D037C1">
        <w:rPr>
          <w:color w:val="000000"/>
          <w:szCs w:val="22"/>
          <w:shd w:val="clear" w:color="auto" w:fill="FFFFFF"/>
        </w:rPr>
        <w:t>ing</w:t>
      </w:r>
      <w:r w:rsidR="00DE6FC8" w:rsidRPr="00697A23">
        <w:rPr>
          <w:color w:val="000000"/>
          <w:szCs w:val="22"/>
          <w:shd w:val="clear" w:color="auto" w:fill="FFFFFF"/>
        </w:rPr>
        <w:t xml:space="preserve"> an International Mobile Equipment Identity</w:t>
      </w:r>
      <w:r w:rsidR="00DE6FC8">
        <w:rPr>
          <w:color w:val="000000"/>
          <w:szCs w:val="22"/>
          <w:shd w:val="clear" w:color="auto" w:fill="FFFFFF"/>
        </w:rPr>
        <w:t xml:space="preserve"> or a Permanent Equipment Identifier</w:t>
      </w:r>
      <w:r w:rsidR="007A31D2">
        <w:rPr>
          <w:color w:val="000000"/>
          <w:szCs w:val="22"/>
          <w:shd w:val="clear" w:color="auto" w:fill="FFFFFF"/>
        </w:rPr>
        <w:t>;</w:t>
      </w:r>
      <w:r w:rsidR="00DE6FC8" w:rsidRPr="00697A23">
        <w:rPr>
          <w:color w:val="000000"/>
          <w:szCs w:val="22"/>
          <w:shd w:val="clear" w:color="auto" w:fill="FFFFFF"/>
        </w:rPr>
        <w:t xml:space="preserve"> </w:t>
      </w:r>
      <w:r w:rsidR="005B0E7D" w:rsidRPr="00697A23">
        <w:rPr>
          <w:color w:val="000000"/>
          <w:szCs w:val="22"/>
          <w:shd w:val="clear" w:color="auto" w:fill="FFFFFF"/>
        </w:rPr>
        <w:t>purchas</w:t>
      </w:r>
      <w:r w:rsidR="005B0E7D">
        <w:rPr>
          <w:color w:val="000000"/>
          <w:szCs w:val="22"/>
          <w:shd w:val="clear" w:color="auto" w:fill="FFFFFF"/>
        </w:rPr>
        <w:t>ing</w:t>
      </w:r>
      <w:r w:rsidR="007A31D2">
        <w:rPr>
          <w:color w:val="000000"/>
          <w:szCs w:val="22"/>
          <w:shd w:val="clear" w:color="auto" w:fill="FFFFFF"/>
        </w:rPr>
        <w:t xml:space="preserve"> </w:t>
      </w:r>
      <w:r w:rsidR="00DE6FC8" w:rsidRPr="00697A23">
        <w:rPr>
          <w:color w:val="000000"/>
          <w:szCs w:val="22"/>
          <w:shd w:val="clear" w:color="auto" w:fill="FFFFFF"/>
        </w:rPr>
        <w:t xml:space="preserve">an additional </w:t>
      </w:r>
      <w:r w:rsidR="00D11C15">
        <w:rPr>
          <w:color w:val="000000"/>
          <w:szCs w:val="22"/>
          <w:shd w:val="clear" w:color="auto" w:fill="FFFFFF"/>
        </w:rPr>
        <w:t>mobile communications</w:t>
      </w:r>
      <w:r w:rsidR="00CA529E">
        <w:rPr>
          <w:color w:val="000000"/>
          <w:szCs w:val="22"/>
          <w:shd w:val="clear" w:color="auto" w:fill="FFFFFF"/>
        </w:rPr>
        <w:t xml:space="preserve"> devic</w:t>
      </w:r>
      <w:r w:rsidR="002D7EC0">
        <w:rPr>
          <w:color w:val="000000"/>
          <w:szCs w:val="22"/>
          <w:shd w:val="clear" w:color="auto" w:fill="FFFFFF"/>
        </w:rPr>
        <w:t>e</w:t>
      </w:r>
      <w:r w:rsidR="007A31D2">
        <w:rPr>
          <w:color w:val="000000"/>
          <w:szCs w:val="22"/>
          <w:shd w:val="clear" w:color="auto" w:fill="FFFFFF"/>
        </w:rPr>
        <w:t>;</w:t>
      </w:r>
      <w:r w:rsidR="00D037C1">
        <w:rPr>
          <w:color w:val="000000"/>
          <w:szCs w:val="22"/>
          <w:shd w:val="clear" w:color="auto" w:fill="FFFFFF"/>
        </w:rPr>
        <w:t xml:space="preserve"> or</w:t>
      </w:r>
      <w:r w:rsidR="00DE6FC8" w:rsidRPr="00697A23">
        <w:rPr>
          <w:color w:val="000000"/>
          <w:szCs w:val="22"/>
          <w:shd w:val="clear" w:color="auto" w:fill="FFFFFF"/>
        </w:rPr>
        <w:t xml:space="preserve"> add</w:t>
      </w:r>
      <w:r w:rsidR="005B0E7D">
        <w:rPr>
          <w:color w:val="000000"/>
          <w:szCs w:val="22"/>
          <w:shd w:val="clear" w:color="auto" w:fill="FFFFFF"/>
        </w:rPr>
        <w:t>ing</w:t>
      </w:r>
      <w:r w:rsidR="00DE6FC8" w:rsidRPr="00697A23">
        <w:rPr>
          <w:color w:val="000000"/>
          <w:szCs w:val="22"/>
          <w:shd w:val="clear" w:color="auto" w:fill="FFFFFF"/>
        </w:rPr>
        <w:t xml:space="preserve"> an additional carriage service to an account</w:t>
      </w:r>
      <w:r w:rsidR="00D037C1">
        <w:rPr>
          <w:color w:val="000000"/>
          <w:szCs w:val="22"/>
          <w:shd w:val="clear" w:color="auto" w:fill="FFFFFF"/>
        </w:rPr>
        <w:t xml:space="preserve">. </w:t>
      </w:r>
    </w:p>
    <w:p w14:paraId="28121C36" w14:textId="77777777" w:rsidR="00D037C1" w:rsidRDefault="00D037C1" w:rsidP="00A277A8">
      <w:pPr>
        <w:keepNext/>
        <w:spacing w:after="40"/>
        <w:rPr>
          <w:rFonts w:ascii="Times New Roman" w:hAnsi="Times New Roman" w:cs="Times New Roman"/>
        </w:rPr>
      </w:pPr>
    </w:p>
    <w:p w14:paraId="3724DE11" w14:textId="611A6AD5" w:rsidR="00F4760E" w:rsidRDefault="00107320" w:rsidP="003574D5">
      <w:pPr>
        <w:keepNext/>
        <w:spacing w:after="40"/>
        <w:rPr>
          <w:rFonts w:ascii="Times New Roman" w:hAnsi="Times New Roman" w:cs="Times New Roman"/>
        </w:rPr>
      </w:pPr>
      <w:r w:rsidRPr="00FB7BC5">
        <w:rPr>
          <w:rFonts w:ascii="Times New Roman" w:hAnsi="Times New Roman" w:cs="Times New Roman"/>
        </w:rPr>
        <w:t>Multiple high-risk customer transaction</w:t>
      </w:r>
      <w:r w:rsidR="00630508" w:rsidRPr="00FB7BC5">
        <w:rPr>
          <w:rFonts w:ascii="Times New Roman" w:hAnsi="Times New Roman" w:cs="Times New Roman"/>
        </w:rPr>
        <w:t xml:space="preserve">s can occur </w:t>
      </w:r>
      <w:proofErr w:type="gramStart"/>
      <w:r w:rsidR="00E7195E">
        <w:rPr>
          <w:rFonts w:ascii="Times New Roman" w:hAnsi="Times New Roman" w:cs="Times New Roman"/>
        </w:rPr>
        <w:t xml:space="preserve">in the course </w:t>
      </w:r>
      <w:r w:rsidR="00630508" w:rsidRPr="00FB7BC5">
        <w:rPr>
          <w:rFonts w:ascii="Times New Roman" w:hAnsi="Times New Roman" w:cs="Times New Roman"/>
        </w:rPr>
        <w:t>of</w:t>
      </w:r>
      <w:proofErr w:type="gramEnd"/>
      <w:r w:rsidR="00630508" w:rsidRPr="00FB7BC5">
        <w:rPr>
          <w:rFonts w:ascii="Times New Roman" w:hAnsi="Times New Roman" w:cs="Times New Roman"/>
        </w:rPr>
        <w:t xml:space="preserve"> a high-risk customer interaction.</w:t>
      </w:r>
      <w:r w:rsidRPr="00FB7BC5">
        <w:rPr>
          <w:rFonts w:ascii="Times New Roman" w:hAnsi="Times New Roman" w:cs="Times New Roman"/>
        </w:rPr>
        <w:t xml:space="preserve"> </w:t>
      </w:r>
    </w:p>
    <w:p w14:paraId="13E91FA4" w14:textId="45272F74" w:rsidR="00A855B4" w:rsidRDefault="00A855B4" w:rsidP="003574D5">
      <w:pPr>
        <w:keepNext/>
        <w:spacing w:after="40"/>
        <w:rPr>
          <w:rFonts w:ascii="Times New Roman" w:hAnsi="Times New Roman" w:cs="Times New Roman"/>
        </w:rPr>
      </w:pPr>
    </w:p>
    <w:p w14:paraId="0B545B7F" w14:textId="66D02BC6" w:rsidR="00FD6682" w:rsidRPr="00824D72" w:rsidRDefault="00FD6682" w:rsidP="003574D5">
      <w:pPr>
        <w:keepNext/>
        <w:spacing w:after="40"/>
        <w:rPr>
          <w:rFonts w:ascii="Times New Roman" w:hAnsi="Times New Roman" w:cs="Times New Roman"/>
          <w:u w:val="single"/>
        </w:rPr>
      </w:pPr>
      <w:r w:rsidRPr="00824D72">
        <w:rPr>
          <w:rFonts w:ascii="Times New Roman" w:hAnsi="Times New Roman" w:cs="Times New Roman"/>
          <w:u w:val="single"/>
        </w:rPr>
        <w:t>Multi-factor Authentication Requirements</w:t>
      </w:r>
    </w:p>
    <w:p w14:paraId="73D256B1" w14:textId="38DA1393" w:rsidR="00EB3FEF" w:rsidRPr="00FB7BC5" w:rsidRDefault="00FB7BC5" w:rsidP="003E3B04">
      <w:pPr>
        <w:spacing w:after="40"/>
        <w:rPr>
          <w:rFonts w:ascii="Times New Roman" w:hAnsi="Times New Roman" w:cs="Times New Roman"/>
        </w:rPr>
      </w:pPr>
      <w:r w:rsidRPr="00D11C15">
        <w:rPr>
          <w:rFonts w:ascii="Times New Roman" w:hAnsi="Times New Roman" w:cs="Times New Roman"/>
        </w:rPr>
        <w:t xml:space="preserve">In a case where the high-risk customer interaction is initiated by the requesting person – a </w:t>
      </w:r>
      <w:r w:rsidR="006B65FE" w:rsidRPr="00FB7BC5">
        <w:rPr>
          <w:rFonts w:ascii="Times New Roman" w:hAnsi="Times New Roman" w:cs="Times New Roman"/>
        </w:rPr>
        <w:t>carriage service provider must use an identity authentication process p</w:t>
      </w:r>
      <w:r w:rsidR="00907BB9" w:rsidRPr="00FB7BC5">
        <w:rPr>
          <w:rFonts w:ascii="Times New Roman" w:hAnsi="Times New Roman" w:cs="Times New Roman"/>
        </w:rPr>
        <w:t xml:space="preserve">rior to </w:t>
      </w:r>
      <w:r w:rsidR="00EB3FEF" w:rsidRPr="00FB7BC5">
        <w:rPr>
          <w:rFonts w:ascii="Times New Roman" w:hAnsi="Times New Roman" w:cs="Times New Roman"/>
        </w:rPr>
        <w:t xml:space="preserve">undertaking </w:t>
      </w:r>
      <w:r w:rsidR="003574D5" w:rsidRPr="00FB7BC5">
        <w:rPr>
          <w:rFonts w:ascii="Times New Roman" w:hAnsi="Times New Roman" w:cs="Times New Roman"/>
        </w:rPr>
        <w:t xml:space="preserve">the first high-risk customer transaction </w:t>
      </w:r>
      <w:proofErr w:type="gramStart"/>
      <w:r w:rsidR="003574D5" w:rsidRPr="00FB7BC5">
        <w:rPr>
          <w:rFonts w:ascii="Times New Roman" w:hAnsi="Times New Roman" w:cs="Times New Roman"/>
        </w:rPr>
        <w:t>in the course of</w:t>
      </w:r>
      <w:proofErr w:type="gramEnd"/>
      <w:r w:rsidR="003574D5" w:rsidRPr="00FB7BC5">
        <w:rPr>
          <w:rFonts w:ascii="Times New Roman" w:hAnsi="Times New Roman" w:cs="Times New Roman"/>
        </w:rPr>
        <w:t xml:space="preserve"> a h</w:t>
      </w:r>
      <w:r w:rsidR="00EB3FEF" w:rsidRPr="00FB7BC5">
        <w:rPr>
          <w:rFonts w:ascii="Times New Roman" w:hAnsi="Times New Roman" w:cs="Times New Roman"/>
        </w:rPr>
        <w:t>igh-risk customer interaction</w:t>
      </w:r>
      <w:r w:rsidR="007F51F6" w:rsidRPr="00FB7BC5">
        <w:rPr>
          <w:rFonts w:ascii="Times New Roman" w:hAnsi="Times New Roman" w:cs="Times New Roman"/>
        </w:rPr>
        <w:t>s</w:t>
      </w:r>
      <w:r w:rsidR="006B65FE" w:rsidRPr="00FB7BC5">
        <w:rPr>
          <w:rFonts w:ascii="Times New Roman" w:hAnsi="Times New Roman" w:cs="Times New Roman"/>
        </w:rPr>
        <w:t>. This includes using</w:t>
      </w:r>
      <w:r w:rsidR="003574D5" w:rsidRPr="00FB7BC5">
        <w:rPr>
          <w:rFonts w:ascii="Times New Roman" w:hAnsi="Times New Roman" w:cs="Times New Roman"/>
        </w:rPr>
        <w:t>:</w:t>
      </w:r>
    </w:p>
    <w:p w14:paraId="5ECE80DD" w14:textId="42367E4E" w:rsidR="00EB3FEF" w:rsidRPr="00FB7BC5" w:rsidRDefault="00EB3FEF" w:rsidP="00380028">
      <w:pPr>
        <w:pStyle w:val="BodyText"/>
        <w:numPr>
          <w:ilvl w:val="0"/>
          <w:numId w:val="8"/>
        </w:numPr>
        <w:spacing w:before="1"/>
        <w:ind w:left="567" w:hanging="567"/>
        <w:rPr>
          <w:sz w:val="22"/>
          <w:szCs w:val="22"/>
        </w:rPr>
      </w:pPr>
      <w:r w:rsidRPr="00FB7BC5">
        <w:rPr>
          <w:sz w:val="22"/>
          <w:szCs w:val="22"/>
        </w:rPr>
        <w:t xml:space="preserve">at </w:t>
      </w:r>
      <w:r w:rsidRPr="00FB7BC5">
        <w:rPr>
          <w:rFonts w:eastAsiaTheme="minorHAnsi"/>
          <w:sz w:val="22"/>
          <w:szCs w:val="22"/>
          <w:lang w:eastAsia="en-US" w:bidi="ar-SA"/>
        </w:rPr>
        <w:t>least</w:t>
      </w:r>
      <w:r w:rsidRPr="00FB7BC5">
        <w:rPr>
          <w:sz w:val="22"/>
          <w:szCs w:val="22"/>
        </w:rPr>
        <w:t xml:space="preserve"> two account information authenticators; or</w:t>
      </w:r>
    </w:p>
    <w:p w14:paraId="3F984D07" w14:textId="045BF4E5" w:rsidR="005C3EA8" w:rsidRPr="00FB7BC5" w:rsidRDefault="005C3EA8" w:rsidP="00380028">
      <w:pPr>
        <w:pStyle w:val="BodyText"/>
        <w:numPr>
          <w:ilvl w:val="0"/>
          <w:numId w:val="8"/>
        </w:numPr>
        <w:spacing w:before="1"/>
        <w:ind w:left="567" w:hanging="567"/>
        <w:rPr>
          <w:sz w:val="22"/>
          <w:szCs w:val="22"/>
        </w:rPr>
      </w:pPr>
      <w:r w:rsidRPr="00FB7BC5">
        <w:rPr>
          <w:sz w:val="22"/>
          <w:szCs w:val="22"/>
        </w:rPr>
        <w:t>at least two personal information authenticators; or</w:t>
      </w:r>
    </w:p>
    <w:p w14:paraId="68A9F479" w14:textId="6B18E757" w:rsidR="00FB7BC5" w:rsidRPr="00FB7BC5" w:rsidRDefault="00EB3FEF" w:rsidP="00380028">
      <w:pPr>
        <w:pStyle w:val="BodyText"/>
        <w:numPr>
          <w:ilvl w:val="0"/>
          <w:numId w:val="8"/>
        </w:numPr>
        <w:spacing w:before="1"/>
        <w:ind w:left="567" w:hanging="567"/>
        <w:rPr>
          <w:sz w:val="22"/>
          <w:szCs w:val="22"/>
        </w:rPr>
      </w:pPr>
      <w:r w:rsidRPr="00FB7BC5">
        <w:rPr>
          <w:sz w:val="22"/>
          <w:szCs w:val="22"/>
        </w:rPr>
        <w:t>at least one account information authenticator and one personal information authenticator</w:t>
      </w:r>
      <w:r w:rsidR="00215F7E">
        <w:rPr>
          <w:sz w:val="22"/>
          <w:szCs w:val="22"/>
        </w:rPr>
        <w:t xml:space="preserve"> (see </w:t>
      </w:r>
      <w:r w:rsidR="009E41D2">
        <w:rPr>
          <w:sz w:val="22"/>
          <w:szCs w:val="22"/>
        </w:rPr>
        <w:t>subsection 9(1))</w:t>
      </w:r>
      <w:r w:rsidRPr="00FB7BC5">
        <w:rPr>
          <w:sz w:val="22"/>
          <w:szCs w:val="22"/>
        </w:rPr>
        <w:t>.</w:t>
      </w:r>
    </w:p>
    <w:p w14:paraId="0CFC3A9E" w14:textId="77777777" w:rsidR="00FB7BC5" w:rsidRPr="00FB7BC5" w:rsidRDefault="00FB7BC5" w:rsidP="00FB7BC5">
      <w:pPr>
        <w:pStyle w:val="BodyText"/>
        <w:spacing w:before="1"/>
        <w:rPr>
          <w:sz w:val="22"/>
          <w:szCs w:val="22"/>
        </w:rPr>
      </w:pPr>
    </w:p>
    <w:p w14:paraId="7BA46AEC" w14:textId="356FEDFE" w:rsidR="00FB7BC5" w:rsidRPr="00FB7BC5" w:rsidRDefault="00FB7BC5" w:rsidP="00D11C15">
      <w:pPr>
        <w:pStyle w:val="BodyText"/>
        <w:spacing w:before="1"/>
        <w:rPr>
          <w:sz w:val="22"/>
          <w:szCs w:val="22"/>
        </w:rPr>
      </w:pPr>
      <w:r w:rsidRPr="00D11C15">
        <w:rPr>
          <w:sz w:val="22"/>
          <w:szCs w:val="22"/>
        </w:rPr>
        <w:t xml:space="preserve">In a case where the high-risk customer interaction is initiated by the carriage service provider using the public number listed on the customer’s account </w:t>
      </w:r>
      <w:r w:rsidR="00A0180B">
        <w:rPr>
          <w:sz w:val="22"/>
          <w:szCs w:val="22"/>
        </w:rPr>
        <w:t xml:space="preserve">the </w:t>
      </w:r>
      <w:r w:rsidR="0092149A">
        <w:rPr>
          <w:sz w:val="22"/>
          <w:szCs w:val="22"/>
        </w:rPr>
        <w:t xml:space="preserve">identity authentication requirement </w:t>
      </w:r>
      <w:r w:rsidR="006E6357">
        <w:rPr>
          <w:sz w:val="22"/>
          <w:szCs w:val="22"/>
        </w:rPr>
        <w:t>is</w:t>
      </w:r>
      <w:r w:rsidR="0092149A">
        <w:rPr>
          <w:sz w:val="22"/>
          <w:szCs w:val="22"/>
        </w:rPr>
        <w:t xml:space="preserve"> different</w:t>
      </w:r>
      <w:r w:rsidR="004D3D0E">
        <w:rPr>
          <w:sz w:val="22"/>
          <w:szCs w:val="22"/>
        </w:rPr>
        <w:t xml:space="preserve"> </w:t>
      </w:r>
      <w:r w:rsidR="006E6357">
        <w:rPr>
          <w:sz w:val="22"/>
          <w:szCs w:val="22"/>
        </w:rPr>
        <w:t xml:space="preserve">to that in subsection 9(1) </w:t>
      </w:r>
      <w:r w:rsidR="004D3D0E">
        <w:rPr>
          <w:sz w:val="22"/>
          <w:szCs w:val="22"/>
        </w:rPr>
        <w:t>due to the risk posed to customers from phishing scams, where a scammer may pose as a carriage service provider to fraudulently obtain a customer’s personal information or account security information.</w:t>
      </w:r>
      <w:r w:rsidR="0092149A">
        <w:rPr>
          <w:sz w:val="22"/>
          <w:szCs w:val="22"/>
        </w:rPr>
        <w:t xml:space="preserve">  In this case </w:t>
      </w:r>
      <w:r w:rsidR="00913B0F">
        <w:rPr>
          <w:sz w:val="22"/>
          <w:szCs w:val="22"/>
        </w:rPr>
        <w:t>one of the</w:t>
      </w:r>
      <w:r w:rsidR="0092149A">
        <w:rPr>
          <w:sz w:val="22"/>
          <w:szCs w:val="22"/>
        </w:rPr>
        <w:t xml:space="preserve"> requirement</w:t>
      </w:r>
      <w:r w:rsidR="00913B0F">
        <w:rPr>
          <w:sz w:val="22"/>
          <w:szCs w:val="22"/>
        </w:rPr>
        <w:t>s</w:t>
      </w:r>
      <w:r w:rsidR="0092149A">
        <w:rPr>
          <w:sz w:val="22"/>
          <w:szCs w:val="22"/>
        </w:rPr>
        <w:t xml:space="preserve"> is that</w:t>
      </w:r>
      <w:r w:rsidRPr="00D11C15">
        <w:rPr>
          <w:sz w:val="22"/>
          <w:szCs w:val="22"/>
        </w:rPr>
        <w:t xml:space="preserve"> the provider for the telecommunications service must use at least one personal information authenticator</w:t>
      </w:r>
      <w:r w:rsidR="009E41D2">
        <w:rPr>
          <w:sz w:val="22"/>
          <w:szCs w:val="22"/>
        </w:rPr>
        <w:t xml:space="preserve"> (see subsection 9(2)</w:t>
      </w:r>
      <w:r w:rsidR="005279BD">
        <w:rPr>
          <w:sz w:val="22"/>
          <w:szCs w:val="22"/>
        </w:rPr>
        <w:t>)</w:t>
      </w:r>
      <w:r w:rsidRPr="00D11C15">
        <w:rPr>
          <w:sz w:val="22"/>
          <w:szCs w:val="22"/>
        </w:rPr>
        <w:t>.</w:t>
      </w:r>
      <w:r>
        <w:rPr>
          <w:sz w:val="22"/>
          <w:szCs w:val="22"/>
        </w:rPr>
        <w:t xml:space="preserve"> </w:t>
      </w:r>
      <w:r w:rsidR="009F3CCC">
        <w:rPr>
          <w:sz w:val="22"/>
          <w:szCs w:val="22"/>
        </w:rPr>
        <w:t xml:space="preserve"> </w:t>
      </w:r>
    </w:p>
    <w:p w14:paraId="0AA8C82B" w14:textId="0D9EB595" w:rsidR="00EB3FEF" w:rsidRPr="00FB7BC5" w:rsidRDefault="00EB3FEF" w:rsidP="00EB3FEF">
      <w:pPr>
        <w:pStyle w:val="BodyText"/>
        <w:spacing w:before="1"/>
        <w:rPr>
          <w:sz w:val="22"/>
          <w:szCs w:val="22"/>
        </w:rPr>
      </w:pPr>
    </w:p>
    <w:p w14:paraId="6F0C7094" w14:textId="6A93D85B" w:rsidR="00664E06" w:rsidRDefault="00FB7BC5" w:rsidP="00DC1C5B">
      <w:pPr>
        <w:pStyle w:val="BodyText"/>
        <w:spacing w:before="1"/>
        <w:rPr>
          <w:sz w:val="22"/>
          <w:szCs w:val="22"/>
        </w:rPr>
      </w:pPr>
      <w:r>
        <w:rPr>
          <w:sz w:val="22"/>
          <w:szCs w:val="22"/>
        </w:rPr>
        <w:t>In addition to</w:t>
      </w:r>
      <w:r w:rsidRPr="00EF5F70">
        <w:rPr>
          <w:sz w:val="22"/>
          <w:szCs w:val="22"/>
        </w:rPr>
        <w:t xml:space="preserve"> </w:t>
      </w:r>
      <w:r w:rsidR="001369DE">
        <w:rPr>
          <w:sz w:val="22"/>
          <w:szCs w:val="22"/>
        </w:rPr>
        <w:t xml:space="preserve">the </w:t>
      </w:r>
      <w:r w:rsidR="007F51F6" w:rsidRPr="00EF5F70">
        <w:rPr>
          <w:sz w:val="22"/>
          <w:szCs w:val="22"/>
        </w:rPr>
        <w:t>successful</w:t>
      </w:r>
      <w:r w:rsidR="00EB3FEF" w:rsidRPr="00EF5F70">
        <w:rPr>
          <w:sz w:val="22"/>
          <w:szCs w:val="22"/>
        </w:rPr>
        <w:t xml:space="preserve"> completion of </w:t>
      </w:r>
      <w:r w:rsidR="003574D5">
        <w:rPr>
          <w:sz w:val="22"/>
          <w:szCs w:val="22"/>
        </w:rPr>
        <w:t>the above</w:t>
      </w:r>
      <w:r w:rsidR="001369DE" w:rsidRPr="001369DE">
        <w:rPr>
          <w:sz w:val="22"/>
          <w:szCs w:val="22"/>
        </w:rPr>
        <w:t xml:space="preserve"> identity authentication process</w:t>
      </w:r>
      <w:r>
        <w:rPr>
          <w:sz w:val="22"/>
          <w:szCs w:val="22"/>
        </w:rPr>
        <w:t>es</w:t>
      </w:r>
      <w:r w:rsidR="00DC1C5B" w:rsidRPr="00EF5F70">
        <w:rPr>
          <w:sz w:val="22"/>
          <w:szCs w:val="22"/>
        </w:rPr>
        <w:t xml:space="preserve">, </w:t>
      </w:r>
      <w:r w:rsidR="007F51F6" w:rsidRPr="00EF5F70">
        <w:rPr>
          <w:sz w:val="22"/>
          <w:szCs w:val="22"/>
        </w:rPr>
        <w:t>a</w:t>
      </w:r>
      <w:r w:rsidR="00DC1C5B" w:rsidRPr="00EF5F70">
        <w:rPr>
          <w:sz w:val="22"/>
          <w:szCs w:val="22"/>
        </w:rPr>
        <w:t xml:space="preserve"> carriage service provider must </w:t>
      </w:r>
      <w:r w:rsidR="0054098A">
        <w:rPr>
          <w:sz w:val="22"/>
          <w:szCs w:val="22"/>
        </w:rPr>
        <w:t xml:space="preserve">also </w:t>
      </w:r>
      <w:r w:rsidR="00DC1C5B" w:rsidRPr="00EF5F70">
        <w:rPr>
          <w:sz w:val="22"/>
          <w:szCs w:val="22"/>
        </w:rPr>
        <w:t xml:space="preserve">use </w:t>
      </w:r>
      <w:r w:rsidR="00FC3419" w:rsidRPr="00EF5F70">
        <w:rPr>
          <w:sz w:val="22"/>
          <w:szCs w:val="22"/>
        </w:rPr>
        <w:t xml:space="preserve">one or more </w:t>
      </w:r>
      <w:r w:rsidR="003574D5">
        <w:rPr>
          <w:sz w:val="22"/>
          <w:szCs w:val="22"/>
        </w:rPr>
        <w:t>other</w:t>
      </w:r>
      <w:r w:rsidR="00FC3419" w:rsidRPr="00EF5F70">
        <w:rPr>
          <w:sz w:val="22"/>
          <w:szCs w:val="22"/>
        </w:rPr>
        <w:t xml:space="preserve"> identity </w:t>
      </w:r>
      <w:r w:rsidR="005C3EA8">
        <w:rPr>
          <w:sz w:val="22"/>
          <w:szCs w:val="22"/>
        </w:rPr>
        <w:t>authenticatio</w:t>
      </w:r>
      <w:r w:rsidR="005C3EA8" w:rsidRPr="00EF5F70">
        <w:rPr>
          <w:sz w:val="22"/>
          <w:szCs w:val="22"/>
        </w:rPr>
        <w:t xml:space="preserve">n </w:t>
      </w:r>
      <w:r w:rsidR="00FC3419" w:rsidRPr="00EF5F70">
        <w:rPr>
          <w:sz w:val="22"/>
          <w:szCs w:val="22"/>
        </w:rPr>
        <w:t>processes</w:t>
      </w:r>
      <w:r w:rsidR="00F2315D" w:rsidRPr="00EF5F70">
        <w:rPr>
          <w:sz w:val="22"/>
          <w:szCs w:val="22"/>
        </w:rPr>
        <w:t xml:space="preserve"> to confirm that the person who </w:t>
      </w:r>
      <w:r w:rsidR="00DC1C5B" w:rsidRPr="00EF5F70">
        <w:rPr>
          <w:sz w:val="22"/>
          <w:szCs w:val="22"/>
        </w:rPr>
        <w:t xml:space="preserve">has initiated </w:t>
      </w:r>
      <w:r w:rsidR="00DC1C5B" w:rsidRPr="00594FBE">
        <w:rPr>
          <w:sz w:val="22"/>
          <w:szCs w:val="22"/>
        </w:rPr>
        <w:t>the interaction is the customer</w:t>
      </w:r>
      <w:r w:rsidR="00664E06">
        <w:rPr>
          <w:sz w:val="22"/>
          <w:szCs w:val="22"/>
        </w:rPr>
        <w:t>,</w:t>
      </w:r>
      <w:r w:rsidR="00DC1C5B" w:rsidRPr="00594FBE">
        <w:rPr>
          <w:sz w:val="22"/>
          <w:szCs w:val="22"/>
        </w:rPr>
        <w:t xml:space="preserve"> </w:t>
      </w:r>
      <w:r w:rsidR="005C3EA8">
        <w:rPr>
          <w:sz w:val="22"/>
          <w:szCs w:val="22"/>
        </w:rPr>
        <w:t>or the customer’s authorised representative</w:t>
      </w:r>
      <w:r w:rsidR="00664E06">
        <w:rPr>
          <w:sz w:val="22"/>
          <w:szCs w:val="22"/>
        </w:rPr>
        <w:t>,</w:t>
      </w:r>
      <w:r w:rsidR="005C3EA8">
        <w:rPr>
          <w:sz w:val="22"/>
          <w:szCs w:val="22"/>
        </w:rPr>
        <w:t xml:space="preserve"> </w:t>
      </w:r>
      <w:r w:rsidR="00DC1C5B" w:rsidRPr="00594FBE">
        <w:rPr>
          <w:sz w:val="22"/>
          <w:szCs w:val="22"/>
        </w:rPr>
        <w:t>of that service</w:t>
      </w:r>
      <w:r w:rsidR="003574D5">
        <w:rPr>
          <w:sz w:val="22"/>
          <w:szCs w:val="22"/>
        </w:rPr>
        <w:t>, unless the requesting person is either a person in vulnerable circumstances or an unlisted authorised representative</w:t>
      </w:r>
      <w:r w:rsidR="005279BD">
        <w:rPr>
          <w:sz w:val="22"/>
          <w:szCs w:val="22"/>
        </w:rPr>
        <w:t xml:space="preserve"> (see subsection 9(3))</w:t>
      </w:r>
      <w:r w:rsidR="001369DE">
        <w:rPr>
          <w:sz w:val="22"/>
          <w:szCs w:val="22"/>
        </w:rPr>
        <w:t xml:space="preserve">. </w:t>
      </w:r>
    </w:p>
    <w:p w14:paraId="17132ED9" w14:textId="77777777" w:rsidR="00664E06" w:rsidRDefault="00664E06" w:rsidP="00DC1C5B">
      <w:pPr>
        <w:pStyle w:val="BodyText"/>
        <w:spacing w:before="1"/>
        <w:rPr>
          <w:sz w:val="22"/>
          <w:szCs w:val="22"/>
        </w:rPr>
      </w:pPr>
    </w:p>
    <w:p w14:paraId="4D44C94F" w14:textId="3CF5BA56" w:rsidR="00FC3419" w:rsidRDefault="00D11C15" w:rsidP="00DC1C5B">
      <w:pPr>
        <w:pStyle w:val="BodyText"/>
        <w:spacing w:before="1"/>
        <w:rPr>
          <w:sz w:val="22"/>
          <w:szCs w:val="22"/>
        </w:rPr>
      </w:pPr>
      <w:r>
        <w:rPr>
          <w:sz w:val="22"/>
          <w:szCs w:val="22"/>
        </w:rPr>
        <w:t xml:space="preserve">The </w:t>
      </w:r>
      <w:r w:rsidR="00457D44">
        <w:rPr>
          <w:sz w:val="22"/>
          <w:szCs w:val="22"/>
        </w:rPr>
        <w:t xml:space="preserve">Determination </w:t>
      </w:r>
      <w:r>
        <w:rPr>
          <w:sz w:val="22"/>
          <w:szCs w:val="22"/>
        </w:rPr>
        <w:t>note</w:t>
      </w:r>
      <w:r w:rsidR="00457D44">
        <w:rPr>
          <w:sz w:val="22"/>
          <w:szCs w:val="22"/>
        </w:rPr>
        <w:t>s</w:t>
      </w:r>
      <w:r>
        <w:rPr>
          <w:sz w:val="22"/>
          <w:szCs w:val="22"/>
        </w:rPr>
        <w:t xml:space="preserve"> </w:t>
      </w:r>
      <w:r w:rsidR="00457D44">
        <w:rPr>
          <w:sz w:val="22"/>
          <w:szCs w:val="22"/>
        </w:rPr>
        <w:t xml:space="preserve">under </w:t>
      </w:r>
      <w:r>
        <w:rPr>
          <w:sz w:val="22"/>
          <w:szCs w:val="22"/>
        </w:rPr>
        <w:t>subsection 9(2) that i</w:t>
      </w:r>
      <w:r w:rsidR="00FB7BC5">
        <w:rPr>
          <w:sz w:val="22"/>
          <w:szCs w:val="22"/>
        </w:rPr>
        <w:t xml:space="preserve">n cases where the high-risk customer interaction is initiated by the </w:t>
      </w:r>
      <w:r w:rsidR="00FB7BC5" w:rsidRPr="00FD7C50">
        <w:rPr>
          <w:sz w:val="22"/>
          <w:szCs w:val="22"/>
        </w:rPr>
        <w:t>carriage service provider</w:t>
      </w:r>
      <w:r w:rsidR="00FB7BC5">
        <w:rPr>
          <w:sz w:val="22"/>
          <w:szCs w:val="22"/>
        </w:rPr>
        <w:t xml:space="preserve"> calling </w:t>
      </w:r>
      <w:r w:rsidR="00FB7BC5" w:rsidRPr="00FD7C50">
        <w:rPr>
          <w:sz w:val="22"/>
          <w:szCs w:val="22"/>
        </w:rPr>
        <w:t>the public number listed on the customer’s account</w:t>
      </w:r>
      <w:r w:rsidR="00035C53">
        <w:rPr>
          <w:sz w:val="22"/>
          <w:szCs w:val="22"/>
        </w:rPr>
        <w:t>, that</w:t>
      </w:r>
      <w:r w:rsidR="00FB7BC5">
        <w:rPr>
          <w:sz w:val="22"/>
          <w:szCs w:val="22"/>
        </w:rPr>
        <w:t xml:space="preserve"> will satisfy the requirement to complete another </w:t>
      </w:r>
      <w:r w:rsidR="00FB7BC5" w:rsidRPr="00EF5F70">
        <w:rPr>
          <w:sz w:val="22"/>
          <w:szCs w:val="22"/>
        </w:rPr>
        <w:t xml:space="preserve">identity </w:t>
      </w:r>
      <w:r w:rsidR="00FB7BC5">
        <w:rPr>
          <w:sz w:val="22"/>
          <w:szCs w:val="22"/>
        </w:rPr>
        <w:t>authenticatio</w:t>
      </w:r>
      <w:r w:rsidR="00FB7BC5" w:rsidRPr="00EF5F70">
        <w:rPr>
          <w:sz w:val="22"/>
          <w:szCs w:val="22"/>
        </w:rPr>
        <w:t>n process</w:t>
      </w:r>
      <w:r w:rsidR="00D87AF3">
        <w:rPr>
          <w:sz w:val="22"/>
          <w:szCs w:val="22"/>
        </w:rPr>
        <w:t xml:space="preserve"> under paragraph 9(3)(b)</w:t>
      </w:r>
      <w:r w:rsidR="00FB7BC5" w:rsidRPr="00EF5F70">
        <w:rPr>
          <w:sz w:val="22"/>
          <w:szCs w:val="22"/>
        </w:rPr>
        <w:t xml:space="preserve"> to confirm that the person who has initiated </w:t>
      </w:r>
      <w:r w:rsidR="00FB7BC5" w:rsidRPr="00594FBE">
        <w:rPr>
          <w:sz w:val="22"/>
          <w:szCs w:val="22"/>
        </w:rPr>
        <w:t xml:space="preserve">the interaction is the customer </w:t>
      </w:r>
      <w:r w:rsidR="00FB7BC5">
        <w:rPr>
          <w:sz w:val="22"/>
          <w:szCs w:val="22"/>
        </w:rPr>
        <w:t xml:space="preserve">or the customer’s authorised representative </w:t>
      </w:r>
      <w:r w:rsidR="00FB7BC5" w:rsidRPr="00594FBE">
        <w:rPr>
          <w:sz w:val="22"/>
          <w:szCs w:val="22"/>
        </w:rPr>
        <w:t>of that service</w:t>
      </w:r>
      <w:r w:rsidR="00FB7BC5">
        <w:rPr>
          <w:sz w:val="22"/>
          <w:szCs w:val="22"/>
        </w:rPr>
        <w:t>.</w:t>
      </w:r>
    </w:p>
    <w:p w14:paraId="39FA5779" w14:textId="77777777" w:rsidR="00035C53" w:rsidRDefault="00035C53" w:rsidP="00DC1C5B">
      <w:pPr>
        <w:pStyle w:val="BodyText"/>
        <w:spacing w:before="1"/>
        <w:rPr>
          <w:sz w:val="22"/>
          <w:szCs w:val="22"/>
        </w:rPr>
      </w:pPr>
    </w:p>
    <w:p w14:paraId="4D4F185F" w14:textId="33DFA31B" w:rsidR="00D87AF3" w:rsidRPr="00594FBE" w:rsidRDefault="00302462" w:rsidP="00DC1C5B">
      <w:pPr>
        <w:pStyle w:val="BodyText"/>
        <w:spacing w:before="1"/>
        <w:rPr>
          <w:sz w:val="22"/>
          <w:szCs w:val="22"/>
        </w:rPr>
      </w:pPr>
      <w:r>
        <w:rPr>
          <w:sz w:val="22"/>
          <w:szCs w:val="22"/>
        </w:rPr>
        <w:t xml:space="preserve">If a </w:t>
      </w:r>
      <w:r w:rsidR="00B471AC">
        <w:rPr>
          <w:sz w:val="22"/>
          <w:szCs w:val="22"/>
        </w:rPr>
        <w:t xml:space="preserve">carriage service provider </w:t>
      </w:r>
      <w:r w:rsidR="00A3265F">
        <w:rPr>
          <w:sz w:val="22"/>
          <w:szCs w:val="22"/>
        </w:rPr>
        <w:t xml:space="preserve">has not been able to confirm that the requesting person is the customer for a service </w:t>
      </w:r>
      <w:r w:rsidR="00981864">
        <w:rPr>
          <w:sz w:val="22"/>
          <w:szCs w:val="22"/>
        </w:rPr>
        <w:t xml:space="preserve">using </w:t>
      </w:r>
      <w:r w:rsidR="00D004DD">
        <w:rPr>
          <w:sz w:val="22"/>
          <w:szCs w:val="22"/>
        </w:rPr>
        <w:t>an identity authentication process at subsection 9(3)</w:t>
      </w:r>
      <w:r w:rsidR="005D08D9">
        <w:rPr>
          <w:sz w:val="22"/>
          <w:szCs w:val="22"/>
        </w:rPr>
        <w:t xml:space="preserve"> of the Determination</w:t>
      </w:r>
      <w:r w:rsidR="00D004DD">
        <w:rPr>
          <w:sz w:val="22"/>
          <w:szCs w:val="22"/>
        </w:rPr>
        <w:t xml:space="preserve">, </w:t>
      </w:r>
      <w:r w:rsidR="00590305">
        <w:rPr>
          <w:sz w:val="22"/>
          <w:szCs w:val="22"/>
        </w:rPr>
        <w:t xml:space="preserve">and the </w:t>
      </w:r>
      <w:r w:rsidR="008E55A1">
        <w:rPr>
          <w:sz w:val="22"/>
          <w:szCs w:val="22"/>
        </w:rPr>
        <w:t xml:space="preserve">carriage service provider </w:t>
      </w:r>
      <w:r w:rsidR="00960645">
        <w:rPr>
          <w:sz w:val="22"/>
          <w:szCs w:val="22"/>
        </w:rPr>
        <w:t xml:space="preserve">intends undertaking a high-risk customer transaction, the carriage service provider </w:t>
      </w:r>
      <w:r w:rsidR="00FE7F0B">
        <w:rPr>
          <w:sz w:val="22"/>
          <w:szCs w:val="22"/>
        </w:rPr>
        <w:t>must use a document based identity authentication process to confirm that the requesting person is the customer, or the customer’s authorised representative</w:t>
      </w:r>
      <w:r w:rsidR="00035C53">
        <w:rPr>
          <w:sz w:val="22"/>
          <w:szCs w:val="22"/>
        </w:rPr>
        <w:t>,</w:t>
      </w:r>
      <w:r w:rsidR="006516C1">
        <w:rPr>
          <w:sz w:val="22"/>
          <w:szCs w:val="22"/>
        </w:rPr>
        <w:t xml:space="preserve"> for the service</w:t>
      </w:r>
      <w:r w:rsidR="00035C53">
        <w:rPr>
          <w:sz w:val="22"/>
          <w:szCs w:val="22"/>
        </w:rPr>
        <w:t xml:space="preserve"> (see section 10</w:t>
      </w:r>
      <w:r w:rsidR="008074B9">
        <w:rPr>
          <w:sz w:val="22"/>
          <w:szCs w:val="22"/>
        </w:rPr>
        <w:t>)</w:t>
      </w:r>
      <w:r w:rsidR="00FE7F0B">
        <w:rPr>
          <w:sz w:val="22"/>
          <w:szCs w:val="22"/>
        </w:rPr>
        <w:t>.</w:t>
      </w:r>
    </w:p>
    <w:p w14:paraId="75DBDEA2" w14:textId="70E1F259" w:rsidR="00566836" w:rsidRPr="00697A23" w:rsidRDefault="00B25127" w:rsidP="00566836">
      <w:pPr>
        <w:pStyle w:val="Definition"/>
        <w:ind w:left="0"/>
        <w:rPr>
          <w:szCs w:val="22"/>
        </w:rPr>
      </w:pPr>
      <w:r>
        <w:rPr>
          <w:color w:val="000000"/>
          <w:szCs w:val="22"/>
        </w:rPr>
        <w:t>A person</w:t>
      </w:r>
      <w:r w:rsidR="006F2848" w:rsidRPr="006F2848">
        <w:rPr>
          <w:color w:val="000000"/>
          <w:szCs w:val="22"/>
        </w:rPr>
        <w:t xml:space="preserve"> </w:t>
      </w:r>
      <w:r w:rsidR="00617028" w:rsidRPr="006F2848">
        <w:rPr>
          <w:color w:val="000000"/>
          <w:szCs w:val="22"/>
        </w:rPr>
        <w:t xml:space="preserve">in </w:t>
      </w:r>
      <w:r w:rsidR="005C0167" w:rsidRPr="006F2848">
        <w:rPr>
          <w:color w:val="000000"/>
          <w:szCs w:val="22"/>
        </w:rPr>
        <w:t>vulnerable</w:t>
      </w:r>
      <w:r w:rsidR="00617028" w:rsidRPr="006F2848">
        <w:rPr>
          <w:color w:val="000000"/>
          <w:szCs w:val="22"/>
        </w:rPr>
        <w:t xml:space="preserve"> circumstances </w:t>
      </w:r>
      <w:r>
        <w:rPr>
          <w:color w:val="000000"/>
          <w:szCs w:val="22"/>
        </w:rPr>
        <w:t>is</w:t>
      </w:r>
      <w:r w:rsidR="00617028" w:rsidRPr="006F2848">
        <w:rPr>
          <w:color w:val="000000"/>
          <w:szCs w:val="22"/>
        </w:rPr>
        <w:t xml:space="preserve"> </w:t>
      </w:r>
      <w:r w:rsidR="00566836">
        <w:rPr>
          <w:color w:val="000000"/>
          <w:szCs w:val="22"/>
        </w:rPr>
        <w:t xml:space="preserve">defined as </w:t>
      </w:r>
      <w:r w:rsidR="00566836" w:rsidRPr="00697A23">
        <w:rPr>
          <w:szCs w:val="22"/>
        </w:rPr>
        <w:t>a customer:</w:t>
      </w:r>
    </w:p>
    <w:p w14:paraId="0EF8E5DD" w14:textId="5A6DE630" w:rsidR="00566836" w:rsidRPr="00D11C15" w:rsidRDefault="008074B9" w:rsidP="00380028">
      <w:pPr>
        <w:pStyle w:val="BodyText"/>
        <w:numPr>
          <w:ilvl w:val="0"/>
          <w:numId w:val="8"/>
        </w:numPr>
        <w:spacing w:before="1"/>
        <w:ind w:left="567" w:hanging="567"/>
        <w:rPr>
          <w:sz w:val="22"/>
          <w:szCs w:val="22"/>
        </w:rPr>
      </w:pPr>
      <w:r>
        <w:rPr>
          <w:sz w:val="22"/>
          <w:szCs w:val="22"/>
        </w:rPr>
        <w:t xml:space="preserve">who </w:t>
      </w:r>
      <w:r w:rsidR="00566836" w:rsidRPr="00D11C15">
        <w:rPr>
          <w:sz w:val="22"/>
          <w:szCs w:val="22"/>
        </w:rPr>
        <w:t xml:space="preserve">due to their personal circumstances, is experiencing, or is at risk of experiencing, harm, </w:t>
      </w:r>
      <w:r w:rsidR="006B047B" w:rsidRPr="00D11C15">
        <w:rPr>
          <w:sz w:val="22"/>
          <w:szCs w:val="22"/>
        </w:rPr>
        <w:t>detriment,</w:t>
      </w:r>
      <w:r w:rsidR="00566836" w:rsidRPr="00D11C15">
        <w:rPr>
          <w:sz w:val="22"/>
          <w:szCs w:val="22"/>
        </w:rPr>
        <w:t xml:space="preserve"> or disadvantage (including, a customer who is overseas who has lost their </w:t>
      </w:r>
      <w:r w:rsidR="00D11C15" w:rsidRPr="00D11C15">
        <w:rPr>
          <w:sz w:val="22"/>
          <w:szCs w:val="22"/>
        </w:rPr>
        <w:t>mobile communications</w:t>
      </w:r>
      <w:r w:rsidR="00FB7BC5" w:rsidRPr="00D11C15">
        <w:rPr>
          <w:sz w:val="22"/>
          <w:szCs w:val="22"/>
        </w:rPr>
        <w:t xml:space="preserve"> </w:t>
      </w:r>
      <w:r w:rsidR="00566836" w:rsidRPr="00D11C15">
        <w:rPr>
          <w:sz w:val="22"/>
          <w:szCs w:val="22"/>
        </w:rPr>
        <w:t xml:space="preserve">device or a customer who has been impacted by an emergency or domestic </w:t>
      </w:r>
      <w:r w:rsidR="00833935" w:rsidRPr="00D11C15">
        <w:rPr>
          <w:sz w:val="22"/>
          <w:szCs w:val="22"/>
        </w:rPr>
        <w:t xml:space="preserve">or </w:t>
      </w:r>
      <w:r w:rsidR="00566836" w:rsidRPr="00D11C15">
        <w:rPr>
          <w:sz w:val="22"/>
          <w:szCs w:val="22"/>
        </w:rPr>
        <w:t>family violence);</w:t>
      </w:r>
    </w:p>
    <w:p w14:paraId="7D97103F" w14:textId="4524B407" w:rsidR="00566836" w:rsidRPr="00D11C15" w:rsidRDefault="002739B7" w:rsidP="00380028">
      <w:pPr>
        <w:pStyle w:val="BodyText"/>
        <w:numPr>
          <w:ilvl w:val="0"/>
          <w:numId w:val="8"/>
        </w:numPr>
        <w:spacing w:before="1"/>
        <w:ind w:left="567" w:hanging="567"/>
        <w:rPr>
          <w:sz w:val="22"/>
          <w:szCs w:val="22"/>
        </w:rPr>
      </w:pPr>
      <w:r>
        <w:rPr>
          <w:sz w:val="22"/>
          <w:szCs w:val="22"/>
        </w:rPr>
        <w:t xml:space="preserve">who </w:t>
      </w:r>
      <w:r w:rsidR="00566836" w:rsidRPr="00D11C15">
        <w:rPr>
          <w:sz w:val="22"/>
          <w:szCs w:val="22"/>
        </w:rPr>
        <w:t>due to th</w:t>
      </w:r>
      <w:r>
        <w:rPr>
          <w:sz w:val="22"/>
          <w:szCs w:val="22"/>
        </w:rPr>
        <w:t>os</w:t>
      </w:r>
      <w:r w:rsidR="00566836" w:rsidRPr="00D11C15">
        <w:rPr>
          <w:sz w:val="22"/>
          <w:szCs w:val="22"/>
        </w:rPr>
        <w:t xml:space="preserve">e circumstances cannot access a telecommunication service, device, or cannot provide category A documents or category B documents for the purpose of identity authentication; </w:t>
      </w:r>
      <w:proofErr w:type="gramStart"/>
      <w:r w:rsidR="00566836" w:rsidRPr="00D11C15">
        <w:rPr>
          <w:sz w:val="22"/>
          <w:szCs w:val="22"/>
        </w:rPr>
        <w:t>and</w:t>
      </w:r>
      <w:proofErr w:type="gramEnd"/>
      <w:r w:rsidR="00566836" w:rsidRPr="00D11C15">
        <w:rPr>
          <w:sz w:val="22"/>
          <w:szCs w:val="22"/>
        </w:rPr>
        <w:t xml:space="preserve"> </w:t>
      </w:r>
    </w:p>
    <w:p w14:paraId="6CE14190" w14:textId="2C1B3C4C" w:rsidR="00566836" w:rsidRPr="00566836" w:rsidRDefault="00566836" w:rsidP="00380028">
      <w:pPr>
        <w:pStyle w:val="BodyText"/>
        <w:numPr>
          <w:ilvl w:val="0"/>
          <w:numId w:val="8"/>
        </w:numPr>
        <w:spacing w:before="1"/>
        <w:ind w:left="567" w:hanging="567"/>
        <w:rPr>
          <w:sz w:val="22"/>
          <w:szCs w:val="22"/>
        </w:rPr>
      </w:pPr>
      <w:r w:rsidRPr="00566836">
        <w:rPr>
          <w:sz w:val="22"/>
          <w:szCs w:val="22"/>
        </w:rPr>
        <w:t>is consequently unable to complete the identity authentication processes under section 9(</w:t>
      </w:r>
      <w:r w:rsidR="00D11C15">
        <w:rPr>
          <w:sz w:val="22"/>
          <w:szCs w:val="22"/>
        </w:rPr>
        <w:t>3</w:t>
      </w:r>
      <w:r w:rsidRPr="00566836">
        <w:rPr>
          <w:sz w:val="22"/>
          <w:szCs w:val="22"/>
        </w:rPr>
        <w:t>) or subsection 10(2).</w:t>
      </w:r>
    </w:p>
    <w:p w14:paraId="3209C0E4" w14:textId="77777777" w:rsidR="00566836" w:rsidRPr="0080791A" w:rsidRDefault="00566836" w:rsidP="00566836">
      <w:pPr>
        <w:pStyle w:val="definition0"/>
        <w:shd w:val="clear" w:color="auto" w:fill="FFFFFF"/>
        <w:spacing w:before="120" w:beforeAutospacing="0" w:after="0" w:afterAutospacing="0"/>
        <w:rPr>
          <w:color w:val="000000"/>
          <w:szCs w:val="22"/>
        </w:rPr>
      </w:pPr>
      <w:r>
        <w:rPr>
          <w:color w:val="000000"/>
          <w:sz w:val="22"/>
          <w:szCs w:val="22"/>
        </w:rPr>
        <w:t>A</w:t>
      </w:r>
      <w:r w:rsidRPr="0080791A">
        <w:rPr>
          <w:color w:val="000000"/>
          <w:sz w:val="22"/>
          <w:szCs w:val="22"/>
        </w:rPr>
        <w:t xml:space="preserve"> reference to a customer </w:t>
      </w:r>
      <w:r>
        <w:rPr>
          <w:color w:val="000000"/>
          <w:sz w:val="22"/>
          <w:szCs w:val="22"/>
        </w:rPr>
        <w:t xml:space="preserve">in this definition, </w:t>
      </w:r>
      <w:r w:rsidRPr="0080791A">
        <w:rPr>
          <w:color w:val="000000"/>
          <w:sz w:val="22"/>
          <w:szCs w:val="22"/>
        </w:rPr>
        <w:t>includes their authorised representative.</w:t>
      </w:r>
    </w:p>
    <w:p w14:paraId="73E4F499" w14:textId="77777777" w:rsidR="00B53981" w:rsidRDefault="00B53981" w:rsidP="00566836">
      <w:pPr>
        <w:pStyle w:val="BodyText"/>
        <w:spacing w:before="1"/>
        <w:rPr>
          <w:color w:val="000000"/>
          <w:sz w:val="22"/>
          <w:szCs w:val="22"/>
        </w:rPr>
      </w:pPr>
    </w:p>
    <w:p w14:paraId="754D57EF" w14:textId="2409BCB0" w:rsidR="00AB25B3" w:rsidRDefault="00566836" w:rsidP="00566836">
      <w:pPr>
        <w:pStyle w:val="BodyText"/>
        <w:spacing w:before="1"/>
        <w:rPr>
          <w:sz w:val="22"/>
          <w:szCs w:val="22"/>
        </w:rPr>
      </w:pPr>
      <w:r>
        <w:rPr>
          <w:color w:val="000000"/>
          <w:sz w:val="22"/>
          <w:szCs w:val="22"/>
        </w:rPr>
        <w:t xml:space="preserve">For people in these circumstances, a </w:t>
      </w:r>
      <w:r w:rsidR="00617028" w:rsidRPr="006F2848">
        <w:rPr>
          <w:color w:val="000000"/>
          <w:sz w:val="22"/>
          <w:szCs w:val="22"/>
        </w:rPr>
        <w:t xml:space="preserve">carriage service provider </w:t>
      </w:r>
      <w:r w:rsidR="00892F32">
        <w:rPr>
          <w:color w:val="000000"/>
          <w:sz w:val="22"/>
          <w:szCs w:val="22"/>
        </w:rPr>
        <w:t>may</w:t>
      </w:r>
      <w:r w:rsidR="002C6FEB">
        <w:rPr>
          <w:color w:val="000000"/>
          <w:sz w:val="22"/>
          <w:szCs w:val="22"/>
        </w:rPr>
        <w:t xml:space="preserve"> </w:t>
      </w:r>
      <w:r w:rsidR="00617028" w:rsidRPr="006F2848">
        <w:rPr>
          <w:color w:val="000000"/>
          <w:sz w:val="22"/>
          <w:szCs w:val="22"/>
        </w:rPr>
        <w:t xml:space="preserve">undertake </w:t>
      </w:r>
      <w:r w:rsidR="006516C1">
        <w:rPr>
          <w:color w:val="000000"/>
          <w:sz w:val="22"/>
          <w:szCs w:val="22"/>
        </w:rPr>
        <w:t xml:space="preserve">a </w:t>
      </w:r>
      <w:r w:rsidR="00617028" w:rsidRPr="006F2848">
        <w:rPr>
          <w:color w:val="000000"/>
          <w:sz w:val="22"/>
          <w:szCs w:val="22"/>
        </w:rPr>
        <w:t xml:space="preserve">high-risk customer </w:t>
      </w:r>
      <w:r w:rsidR="006516C1">
        <w:rPr>
          <w:color w:val="000000"/>
          <w:sz w:val="22"/>
          <w:szCs w:val="22"/>
        </w:rPr>
        <w:t>transaction</w:t>
      </w:r>
      <w:r w:rsidR="006516C1" w:rsidRPr="006F2848">
        <w:rPr>
          <w:color w:val="000000"/>
          <w:sz w:val="22"/>
          <w:szCs w:val="22"/>
        </w:rPr>
        <w:t xml:space="preserve"> </w:t>
      </w:r>
      <w:r w:rsidR="00617028" w:rsidRPr="006F2848">
        <w:rPr>
          <w:color w:val="000000"/>
          <w:sz w:val="22"/>
          <w:szCs w:val="22"/>
        </w:rPr>
        <w:t xml:space="preserve">following </w:t>
      </w:r>
      <w:r w:rsidR="00617028" w:rsidRPr="006F2848">
        <w:rPr>
          <w:sz w:val="22"/>
          <w:szCs w:val="22"/>
        </w:rPr>
        <w:t>successful completion of account and/or personal information authenticator processes</w:t>
      </w:r>
      <w:r w:rsidR="00F83731" w:rsidRPr="006F2848">
        <w:rPr>
          <w:sz w:val="22"/>
          <w:szCs w:val="22"/>
        </w:rPr>
        <w:t xml:space="preserve"> </w:t>
      </w:r>
      <w:r w:rsidR="007F5ED3">
        <w:rPr>
          <w:sz w:val="22"/>
          <w:szCs w:val="22"/>
        </w:rPr>
        <w:t>–</w:t>
      </w:r>
      <w:r w:rsidR="00F83731" w:rsidRPr="006F2848">
        <w:rPr>
          <w:sz w:val="22"/>
          <w:szCs w:val="22"/>
        </w:rPr>
        <w:t xml:space="preserve"> provided the carriage service provider has reasonable grounds to believe that the </w:t>
      </w:r>
      <w:r w:rsidR="00F83731" w:rsidRPr="006F2848">
        <w:rPr>
          <w:color w:val="000000"/>
          <w:sz w:val="22"/>
          <w:szCs w:val="22"/>
        </w:rPr>
        <w:t xml:space="preserve">requesting person is a </w:t>
      </w:r>
      <w:r w:rsidR="006F2848" w:rsidRPr="006F2848">
        <w:rPr>
          <w:color w:val="000000"/>
          <w:sz w:val="22"/>
          <w:szCs w:val="22"/>
        </w:rPr>
        <w:t xml:space="preserve">person </w:t>
      </w:r>
      <w:r w:rsidR="00F83731" w:rsidRPr="006F2848">
        <w:rPr>
          <w:color w:val="000000"/>
          <w:sz w:val="22"/>
          <w:szCs w:val="22"/>
        </w:rPr>
        <w:t>in vulnerable circumstances</w:t>
      </w:r>
      <w:r w:rsidR="00617028" w:rsidRPr="006F2848">
        <w:rPr>
          <w:sz w:val="22"/>
          <w:szCs w:val="22"/>
        </w:rPr>
        <w:t>. In these cases, carriage service providers must keep additional records.</w:t>
      </w:r>
    </w:p>
    <w:p w14:paraId="7FCC3E96" w14:textId="73B6A31E" w:rsidR="006F2848" w:rsidRDefault="006F2848" w:rsidP="00EF5F70">
      <w:pPr>
        <w:pStyle w:val="BodyText"/>
        <w:spacing w:before="1"/>
        <w:rPr>
          <w:sz w:val="22"/>
          <w:szCs w:val="22"/>
        </w:rPr>
      </w:pPr>
    </w:p>
    <w:p w14:paraId="409CA23F" w14:textId="1D3ECFD6" w:rsidR="00063C10" w:rsidRDefault="00063C10" w:rsidP="00EF5F70">
      <w:pPr>
        <w:pStyle w:val="BodyText"/>
        <w:spacing w:before="1"/>
        <w:rPr>
          <w:sz w:val="22"/>
          <w:szCs w:val="22"/>
        </w:rPr>
      </w:pPr>
      <w:r>
        <w:rPr>
          <w:sz w:val="22"/>
          <w:szCs w:val="22"/>
        </w:rPr>
        <w:t xml:space="preserve">Identity authentication processes may </w:t>
      </w:r>
      <w:r w:rsidR="0038583C">
        <w:rPr>
          <w:sz w:val="22"/>
          <w:szCs w:val="22"/>
        </w:rPr>
        <w:t xml:space="preserve">also </w:t>
      </w:r>
      <w:r>
        <w:rPr>
          <w:sz w:val="22"/>
          <w:szCs w:val="22"/>
        </w:rPr>
        <w:t>be used to authenticate the identity of a customer</w:t>
      </w:r>
      <w:r w:rsidR="0038583C">
        <w:rPr>
          <w:sz w:val="22"/>
          <w:szCs w:val="22"/>
        </w:rPr>
        <w:t>’s</w:t>
      </w:r>
      <w:r>
        <w:rPr>
          <w:sz w:val="22"/>
          <w:szCs w:val="22"/>
        </w:rPr>
        <w:t xml:space="preserve"> authorised representative</w:t>
      </w:r>
      <w:r w:rsidR="003D0996">
        <w:rPr>
          <w:sz w:val="22"/>
          <w:szCs w:val="22"/>
        </w:rPr>
        <w:t xml:space="preserve">. The </w:t>
      </w:r>
      <w:r>
        <w:rPr>
          <w:sz w:val="22"/>
          <w:szCs w:val="22"/>
        </w:rPr>
        <w:t xml:space="preserve">authorised representative </w:t>
      </w:r>
      <w:r w:rsidR="003D0996">
        <w:rPr>
          <w:sz w:val="22"/>
          <w:szCs w:val="22"/>
        </w:rPr>
        <w:t xml:space="preserve">must be </w:t>
      </w:r>
      <w:r w:rsidRPr="00697A23">
        <w:rPr>
          <w:color w:val="000000"/>
          <w:sz w:val="22"/>
          <w:szCs w:val="22"/>
        </w:rPr>
        <w:t>listed on the</w:t>
      </w:r>
      <w:r w:rsidR="003D0996">
        <w:rPr>
          <w:color w:val="000000"/>
          <w:sz w:val="22"/>
          <w:szCs w:val="22"/>
        </w:rPr>
        <w:t xml:space="preserve"> customer’s </w:t>
      </w:r>
      <w:r w:rsidRPr="00697A23">
        <w:rPr>
          <w:color w:val="000000"/>
          <w:sz w:val="22"/>
          <w:szCs w:val="22"/>
        </w:rPr>
        <w:t>account as having authority from the customer to deal with a carriage service provider on behalf of that customer as their representative</w:t>
      </w:r>
      <w:r>
        <w:rPr>
          <w:color w:val="000000"/>
          <w:sz w:val="22"/>
          <w:szCs w:val="22"/>
        </w:rPr>
        <w:t xml:space="preserve"> and </w:t>
      </w:r>
      <w:r w:rsidR="003D0996">
        <w:rPr>
          <w:color w:val="000000"/>
          <w:sz w:val="22"/>
          <w:szCs w:val="22"/>
        </w:rPr>
        <w:t xml:space="preserve">the authorised representative’s </w:t>
      </w:r>
      <w:r>
        <w:rPr>
          <w:color w:val="000000"/>
          <w:sz w:val="22"/>
          <w:szCs w:val="22"/>
        </w:rPr>
        <w:t xml:space="preserve">personal information </w:t>
      </w:r>
      <w:r w:rsidR="00260207">
        <w:rPr>
          <w:color w:val="000000"/>
          <w:sz w:val="22"/>
          <w:szCs w:val="22"/>
        </w:rPr>
        <w:t xml:space="preserve">must be </w:t>
      </w:r>
      <w:r>
        <w:rPr>
          <w:color w:val="000000"/>
          <w:sz w:val="22"/>
          <w:szCs w:val="22"/>
        </w:rPr>
        <w:t>recorded on the customer’s account. A customer may list an authorised representative on their account using multi-factor authentication</w:t>
      </w:r>
      <w:r w:rsidR="003B4886">
        <w:rPr>
          <w:color w:val="000000"/>
          <w:sz w:val="22"/>
          <w:szCs w:val="22"/>
        </w:rPr>
        <w:t>.</w:t>
      </w:r>
      <w:r>
        <w:rPr>
          <w:color w:val="000000"/>
          <w:sz w:val="22"/>
          <w:szCs w:val="22"/>
        </w:rPr>
        <w:t xml:space="preserve"> </w:t>
      </w:r>
    </w:p>
    <w:p w14:paraId="7BD8DC00" w14:textId="77777777" w:rsidR="00063C10" w:rsidRDefault="00063C10" w:rsidP="00EF5F70">
      <w:pPr>
        <w:pStyle w:val="BodyText"/>
        <w:spacing w:before="1"/>
        <w:rPr>
          <w:sz w:val="22"/>
          <w:szCs w:val="22"/>
        </w:rPr>
      </w:pPr>
    </w:p>
    <w:p w14:paraId="1EC518ED" w14:textId="54450AEE" w:rsidR="006F2848" w:rsidRPr="00063C10" w:rsidRDefault="006F2848" w:rsidP="00EF5F70">
      <w:pPr>
        <w:pStyle w:val="BodyText"/>
        <w:spacing w:before="1"/>
        <w:rPr>
          <w:sz w:val="22"/>
          <w:szCs w:val="22"/>
        </w:rPr>
      </w:pPr>
      <w:r>
        <w:rPr>
          <w:sz w:val="22"/>
          <w:szCs w:val="22"/>
        </w:rPr>
        <w:t>For</w:t>
      </w:r>
      <w:r w:rsidR="003B4886">
        <w:rPr>
          <w:sz w:val="22"/>
          <w:szCs w:val="22"/>
        </w:rPr>
        <w:t xml:space="preserve"> </w:t>
      </w:r>
      <w:r w:rsidR="00EF6CEC">
        <w:rPr>
          <w:sz w:val="22"/>
          <w:szCs w:val="22"/>
        </w:rPr>
        <w:t>cases where</w:t>
      </w:r>
      <w:r w:rsidR="003B4886">
        <w:rPr>
          <w:sz w:val="22"/>
          <w:szCs w:val="22"/>
        </w:rPr>
        <w:t xml:space="preserve"> an authorised representative has not been listed by a customer on their account but</w:t>
      </w:r>
      <w:r w:rsidR="00063C10" w:rsidRPr="00063C10">
        <w:rPr>
          <w:color w:val="000000"/>
          <w:sz w:val="22"/>
          <w:szCs w:val="22"/>
        </w:rPr>
        <w:t xml:space="preserve"> is </w:t>
      </w:r>
      <w:r w:rsidR="00063C10" w:rsidRPr="00063C10">
        <w:rPr>
          <w:sz w:val="22"/>
          <w:szCs w:val="22"/>
        </w:rPr>
        <w:t>authorised by the customer</w:t>
      </w:r>
      <w:r w:rsidR="00C152CC">
        <w:rPr>
          <w:sz w:val="22"/>
          <w:szCs w:val="22"/>
        </w:rPr>
        <w:t>,</w:t>
      </w:r>
      <w:r w:rsidR="00063C10" w:rsidRPr="00063C10">
        <w:rPr>
          <w:sz w:val="22"/>
          <w:szCs w:val="22"/>
        </w:rPr>
        <w:t xml:space="preserve"> or by a court or tribunal or any other body legally empowered to represent customers</w:t>
      </w:r>
      <w:r w:rsidR="00C152CC">
        <w:rPr>
          <w:sz w:val="22"/>
          <w:szCs w:val="22"/>
        </w:rPr>
        <w:t>,</w:t>
      </w:r>
      <w:r w:rsidR="00063C10" w:rsidRPr="00063C10">
        <w:rPr>
          <w:sz w:val="22"/>
          <w:szCs w:val="22"/>
        </w:rPr>
        <w:t xml:space="preserve"> to act on behalf of the customer</w:t>
      </w:r>
      <w:r w:rsidR="003B4886">
        <w:rPr>
          <w:sz w:val="22"/>
          <w:szCs w:val="22"/>
        </w:rPr>
        <w:t xml:space="preserve"> – </w:t>
      </w:r>
      <w:r w:rsidR="00147392">
        <w:rPr>
          <w:sz w:val="22"/>
          <w:szCs w:val="22"/>
        </w:rPr>
        <w:t xml:space="preserve">defined </w:t>
      </w:r>
      <w:r w:rsidR="001A24D0">
        <w:rPr>
          <w:sz w:val="22"/>
          <w:szCs w:val="22"/>
        </w:rPr>
        <w:t xml:space="preserve">as </w:t>
      </w:r>
      <w:r w:rsidR="003B4886">
        <w:rPr>
          <w:sz w:val="22"/>
          <w:szCs w:val="22"/>
        </w:rPr>
        <w:t xml:space="preserve">an </w:t>
      </w:r>
      <w:r w:rsidR="00147392">
        <w:rPr>
          <w:sz w:val="22"/>
          <w:szCs w:val="22"/>
        </w:rPr>
        <w:t>“</w:t>
      </w:r>
      <w:r w:rsidR="003B4886">
        <w:rPr>
          <w:sz w:val="22"/>
          <w:szCs w:val="22"/>
        </w:rPr>
        <w:t>unlisted authorised representative</w:t>
      </w:r>
      <w:r w:rsidR="00147392">
        <w:rPr>
          <w:sz w:val="22"/>
          <w:szCs w:val="22"/>
        </w:rPr>
        <w:t>”</w:t>
      </w:r>
      <w:r w:rsidR="003B4886">
        <w:rPr>
          <w:sz w:val="22"/>
          <w:szCs w:val="22"/>
        </w:rPr>
        <w:t xml:space="preserve"> </w:t>
      </w:r>
      <w:r w:rsidR="001A24D0">
        <w:rPr>
          <w:sz w:val="22"/>
          <w:szCs w:val="22"/>
        </w:rPr>
        <w:t xml:space="preserve">in the Determination </w:t>
      </w:r>
      <w:r w:rsidR="003B4886">
        <w:rPr>
          <w:sz w:val="22"/>
          <w:szCs w:val="22"/>
        </w:rPr>
        <w:t xml:space="preserve">– carriage service providers </w:t>
      </w:r>
      <w:r w:rsidR="003B4886" w:rsidRPr="006F2848">
        <w:rPr>
          <w:color w:val="000000"/>
          <w:sz w:val="22"/>
          <w:szCs w:val="22"/>
        </w:rPr>
        <w:t>may undertake high-risk customer interactions</w:t>
      </w:r>
      <w:r w:rsidR="00AC6A10">
        <w:rPr>
          <w:color w:val="000000"/>
          <w:sz w:val="22"/>
          <w:szCs w:val="22"/>
        </w:rPr>
        <w:t>. However, this can only occur</w:t>
      </w:r>
      <w:r w:rsidR="003B4886" w:rsidRPr="006F2848">
        <w:rPr>
          <w:color w:val="000000"/>
          <w:sz w:val="22"/>
          <w:szCs w:val="22"/>
        </w:rPr>
        <w:t xml:space="preserve"> </w:t>
      </w:r>
      <w:r w:rsidR="00DD2E9A">
        <w:rPr>
          <w:color w:val="000000"/>
          <w:sz w:val="22"/>
          <w:szCs w:val="22"/>
        </w:rPr>
        <w:t>if the</w:t>
      </w:r>
      <w:r w:rsidR="00AC6A10">
        <w:rPr>
          <w:color w:val="000000"/>
          <w:sz w:val="22"/>
          <w:szCs w:val="22"/>
        </w:rPr>
        <w:t xml:space="preserve"> carriage service provider is</w:t>
      </w:r>
      <w:r w:rsidR="00DD2E9A">
        <w:rPr>
          <w:color w:val="000000"/>
          <w:sz w:val="22"/>
          <w:szCs w:val="22"/>
        </w:rPr>
        <w:t xml:space="preserve"> satisfied </w:t>
      </w:r>
      <w:r w:rsidR="00DD2E9A" w:rsidRPr="00697A23">
        <w:rPr>
          <w:color w:val="000000"/>
          <w:sz w:val="22"/>
          <w:szCs w:val="22"/>
        </w:rPr>
        <w:t>that the requesting person is an unlisted authorised representative</w:t>
      </w:r>
      <w:r w:rsidR="00DD2E9A">
        <w:rPr>
          <w:color w:val="000000"/>
          <w:sz w:val="22"/>
          <w:szCs w:val="22"/>
        </w:rPr>
        <w:t xml:space="preserve"> </w:t>
      </w:r>
      <w:proofErr w:type="gramStart"/>
      <w:r w:rsidR="00DD2E9A">
        <w:rPr>
          <w:color w:val="000000"/>
          <w:sz w:val="22"/>
          <w:szCs w:val="22"/>
        </w:rPr>
        <w:t>on the basis of</w:t>
      </w:r>
      <w:proofErr w:type="gramEnd"/>
      <w:r w:rsidR="00DD2E9A">
        <w:rPr>
          <w:color w:val="000000"/>
          <w:sz w:val="22"/>
          <w:szCs w:val="22"/>
        </w:rPr>
        <w:t xml:space="preserve"> documentary evidence </w:t>
      </w:r>
      <w:r w:rsidR="00FB7BC5">
        <w:rPr>
          <w:color w:val="000000"/>
          <w:sz w:val="22"/>
          <w:szCs w:val="22"/>
        </w:rPr>
        <w:t>(</w:t>
      </w:r>
      <w:r w:rsidR="00DD2E9A" w:rsidRPr="006D2A31">
        <w:rPr>
          <w:color w:val="000000"/>
          <w:sz w:val="22"/>
          <w:szCs w:val="22"/>
        </w:rPr>
        <w:t>such as an enduring power of attorney or a financial management order)</w:t>
      </w:r>
      <w:r w:rsidR="00DD2E9A">
        <w:rPr>
          <w:color w:val="000000"/>
          <w:sz w:val="22"/>
          <w:szCs w:val="22"/>
        </w:rPr>
        <w:t xml:space="preserve"> provided by the requesting person</w:t>
      </w:r>
      <w:r w:rsidR="00C152CC">
        <w:rPr>
          <w:color w:val="000000"/>
          <w:sz w:val="22"/>
          <w:szCs w:val="22"/>
        </w:rPr>
        <w:t xml:space="preserve"> (see section 12)</w:t>
      </w:r>
      <w:r w:rsidR="00DD2E9A">
        <w:rPr>
          <w:color w:val="000000"/>
          <w:sz w:val="22"/>
          <w:szCs w:val="22"/>
        </w:rPr>
        <w:t>.</w:t>
      </w:r>
      <w:r w:rsidR="003B4886">
        <w:rPr>
          <w:color w:val="000000"/>
          <w:sz w:val="22"/>
          <w:szCs w:val="22"/>
        </w:rPr>
        <w:t xml:space="preserve"> </w:t>
      </w:r>
    </w:p>
    <w:p w14:paraId="4691D609" w14:textId="77777777" w:rsidR="00617028" w:rsidRDefault="00617028" w:rsidP="00EF5F70">
      <w:pPr>
        <w:pStyle w:val="BodyText"/>
        <w:spacing w:before="1"/>
        <w:rPr>
          <w:sz w:val="22"/>
          <w:szCs w:val="22"/>
        </w:rPr>
      </w:pPr>
    </w:p>
    <w:p w14:paraId="343BB4E5" w14:textId="2F3DF177" w:rsidR="00617028" w:rsidRPr="00876FC9" w:rsidRDefault="00617028" w:rsidP="00876FC9">
      <w:pPr>
        <w:pStyle w:val="Paragraphbeforelist"/>
        <w:rPr>
          <w:rFonts w:ascii="Times New Roman" w:hAnsi="Times New Roman" w:cs="Times New Roman"/>
          <w:sz w:val="22"/>
          <w:szCs w:val="22"/>
        </w:rPr>
      </w:pPr>
      <w:r w:rsidRPr="00876FC9">
        <w:rPr>
          <w:rFonts w:ascii="Times New Roman" w:hAnsi="Times New Roman" w:cs="Times New Roman"/>
          <w:sz w:val="22"/>
          <w:szCs w:val="22"/>
        </w:rPr>
        <w:t xml:space="preserve">Where a carriage service provider has confirmed the identity of the </w:t>
      </w:r>
      <w:r w:rsidR="00DD2E9A" w:rsidRPr="00876FC9">
        <w:rPr>
          <w:rFonts w:ascii="Times New Roman" w:hAnsi="Times New Roman" w:cs="Times New Roman"/>
          <w:sz w:val="22"/>
          <w:szCs w:val="22"/>
        </w:rPr>
        <w:t xml:space="preserve">requesting person </w:t>
      </w:r>
      <w:r w:rsidRPr="00876FC9">
        <w:rPr>
          <w:rFonts w:ascii="Times New Roman" w:hAnsi="Times New Roman" w:cs="Times New Roman"/>
          <w:sz w:val="22"/>
          <w:szCs w:val="22"/>
        </w:rPr>
        <w:t xml:space="preserve">using </w:t>
      </w:r>
      <w:r w:rsidR="00AF50E4" w:rsidRPr="00876FC9">
        <w:rPr>
          <w:rFonts w:ascii="Times New Roman" w:hAnsi="Times New Roman" w:cs="Times New Roman"/>
          <w:sz w:val="22"/>
          <w:szCs w:val="22"/>
        </w:rPr>
        <w:t xml:space="preserve">additional multi-factor </w:t>
      </w:r>
      <w:r w:rsidR="00FC19B5" w:rsidRPr="00876FC9">
        <w:rPr>
          <w:rFonts w:ascii="Times New Roman" w:hAnsi="Times New Roman" w:cs="Times New Roman"/>
          <w:sz w:val="22"/>
          <w:szCs w:val="22"/>
        </w:rPr>
        <w:t>authentication</w:t>
      </w:r>
      <w:r w:rsidR="00AF50E4" w:rsidRPr="00876FC9">
        <w:rPr>
          <w:rFonts w:ascii="Times New Roman" w:hAnsi="Times New Roman" w:cs="Times New Roman"/>
          <w:sz w:val="22"/>
          <w:szCs w:val="22"/>
        </w:rPr>
        <w:t xml:space="preserve"> requirements</w:t>
      </w:r>
      <w:r w:rsidR="00900DC9" w:rsidRPr="00876FC9">
        <w:rPr>
          <w:rFonts w:ascii="Times New Roman" w:hAnsi="Times New Roman" w:cs="Times New Roman"/>
          <w:sz w:val="22"/>
          <w:szCs w:val="22"/>
        </w:rPr>
        <w:t xml:space="preserve"> in section 10 of the Determination</w:t>
      </w:r>
      <w:r w:rsidR="00DD2E9A" w:rsidRPr="00876FC9">
        <w:rPr>
          <w:rFonts w:ascii="Times New Roman" w:hAnsi="Times New Roman" w:cs="Times New Roman"/>
          <w:sz w:val="22"/>
          <w:szCs w:val="22"/>
        </w:rPr>
        <w:t>,</w:t>
      </w:r>
      <w:r w:rsidR="00AF50E4" w:rsidRPr="00876FC9">
        <w:rPr>
          <w:rFonts w:ascii="Times New Roman" w:hAnsi="Times New Roman" w:cs="Times New Roman"/>
          <w:sz w:val="22"/>
          <w:szCs w:val="22"/>
        </w:rPr>
        <w:t xml:space="preserve"> by the process for </w:t>
      </w:r>
      <w:r w:rsidR="006F2848" w:rsidRPr="00876FC9">
        <w:rPr>
          <w:rFonts w:ascii="Times New Roman" w:hAnsi="Times New Roman" w:cs="Times New Roman"/>
          <w:sz w:val="22"/>
          <w:szCs w:val="22"/>
        </w:rPr>
        <w:t xml:space="preserve">people </w:t>
      </w:r>
      <w:r w:rsidR="00AF50E4" w:rsidRPr="00876FC9">
        <w:rPr>
          <w:rFonts w:ascii="Times New Roman" w:hAnsi="Times New Roman" w:cs="Times New Roman"/>
          <w:sz w:val="22"/>
          <w:szCs w:val="22"/>
        </w:rPr>
        <w:t xml:space="preserve">in </w:t>
      </w:r>
      <w:r w:rsidR="005C0167" w:rsidRPr="00876FC9">
        <w:rPr>
          <w:rFonts w:ascii="Times New Roman" w:hAnsi="Times New Roman" w:cs="Times New Roman"/>
          <w:sz w:val="22"/>
          <w:szCs w:val="22"/>
        </w:rPr>
        <w:t>vulnerable</w:t>
      </w:r>
      <w:r w:rsidR="00AF50E4" w:rsidRPr="00876FC9">
        <w:rPr>
          <w:rFonts w:ascii="Times New Roman" w:hAnsi="Times New Roman" w:cs="Times New Roman"/>
          <w:sz w:val="22"/>
          <w:szCs w:val="22"/>
        </w:rPr>
        <w:t xml:space="preserve"> circumstances,</w:t>
      </w:r>
      <w:r w:rsidR="00DD2E9A" w:rsidRPr="00876FC9">
        <w:rPr>
          <w:rFonts w:ascii="Times New Roman" w:hAnsi="Times New Roman" w:cs="Times New Roman"/>
          <w:sz w:val="22"/>
          <w:szCs w:val="22"/>
        </w:rPr>
        <w:t xml:space="preserve"> or by sighting documentary evidence proving they are an unlisted authorised representative,</w:t>
      </w:r>
      <w:r w:rsidR="00AF50E4" w:rsidRPr="00876FC9">
        <w:rPr>
          <w:rFonts w:ascii="Times New Roman" w:hAnsi="Times New Roman" w:cs="Times New Roman"/>
          <w:sz w:val="22"/>
          <w:szCs w:val="22"/>
        </w:rPr>
        <w:t xml:space="preserve"> </w:t>
      </w:r>
      <w:r w:rsidR="000E2F52" w:rsidRPr="00876FC9">
        <w:rPr>
          <w:rFonts w:ascii="Times New Roman" w:hAnsi="Times New Roman" w:cs="Times New Roman"/>
          <w:sz w:val="22"/>
          <w:szCs w:val="22"/>
        </w:rPr>
        <w:t>it</w:t>
      </w:r>
      <w:r w:rsidR="00AF50E4" w:rsidRPr="00876FC9">
        <w:rPr>
          <w:rFonts w:ascii="Times New Roman" w:hAnsi="Times New Roman" w:cs="Times New Roman"/>
          <w:sz w:val="22"/>
          <w:szCs w:val="22"/>
        </w:rPr>
        <w:t xml:space="preserve"> must send a notification to the customer </w:t>
      </w:r>
      <w:r w:rsidR="00760E8C">
        <w:rPr>
          <w:rFonts w:ascii="Times New Roman" w:hAnsi="Times New Roman" w:cs="Times New Roman"/>
          <w:sz w:val="22"/>
          <w:szCs w:val="22"/>
        </w:rPr>
        <w:t xml:space="preserve">prior to </w:t>
      </w:r>
      <w:r w:rsidR="00DD2E9A" w:rsidRPr="00876FC9">
        <w:rPr>
          <w:rFonts w:ascii="Times New Roman" w:hAnsi="Times New Roman" w:cs="Times New Roman"/>
          <w:sz w:val="22"/>
          <w:szCs w:val="22"/>
        </w:rPr>
        <w:t xml:space="preserve">or immediately after </w:t>
      </w:r>
      <w:r w:rsidR="00AF50E4" w:rsidRPr="00876FC9">
        <w:rPr>
          <w:rFonts w:ascii="Times New Roman" w:hAnsi="Times New Roman" w:cs="Times New Roman"/>
          <w:sz w:val="22"/>
          <w:szCs w:val="22"/>
        </w:rPr>
        <w:t xml:space="preserve">the </w:t>
      </w:r>
      <w:r w:rsidR="00DD2E9A" w:rsidRPr="00876FC9">
        <w:rPr>
          <w:rFonts w:ascii="Times New Roman" w:hAnsi="Times New Roman" w:cs="Times New Roman"/>
          <w:sz w:val="22"/>
          <w:szCs w:val="22"/>
        </w:rPr>
        <w:t xml:space="preserve">first </w:t>
      </w:r>
      <w:r w:rsidR="006B3FDD" w:rsidRPr="00876FC9">
        <w:rPr>
          <w:rFonts w:ascii="Times New Roman" w:hAnsi="Times New Roman" w:cs="Times New Roman"/>
          <w:sz w:val="22"/>
          <w:szCs w:val="22"/>
        </w:rPr>
        <w:t xml:space="preserve">high-risk customer </w:t>
      </w:r>
      <w:r w:rsidR="00DD2E9A" w:rsidRPr="00876FC9">
        <w:rPr>
          <w:rFonts w:ascii="Times New Roman" w:hAnsi="Times New Roman" w:cs="Times New Roman"/>
          <w:sz w:val="22"/>
          <w:szCs w:val="22"/>
        </w:rPr>
        <w:t>transaction</w:t>
      </w:r>
      <w:r w:rsidR="00AF50E4" w:rsidRPr="00876FC9">
        <w:rPr>
          <w:rFonts w:ascii="Times New Roman" w:hAnsi="Times New Roman" w:cs="Times New Roman"/>
          <w:sz w:val="22"/>
          <w:szCs w:val="22"/>
        </w:rPr>
        <w:t>, informing the customer</w:t>
      </w:r>
      <w:r w:rsidR="00DD2E9A" w:rsidRPr="00876FC9">
        <w:rPr>
          <w:rFonts w:ascii="Times New Roman" w:hAnsi="Times New Roman" w:cs="Times New Roman"/>
          <w:sz w:val="22"/>
          <w:szCs w:val="22"/>
        </w:rPr>
        <w:t xml:space="preserve"> or their authorised representative (the </w:t>
      </w:r>
      <w:r w:rsidR="00DD2E9A" w:rsidRPr="006C0DBB">
        <w:rPr>
          <w:rFonts w:ascii="Times New Roman" w:hAnsi="Times New Roman" w:cs="Times New Roman"/>
          <w:b/>
          <w:bCs/>
          <w:sz w:val="22"/>
          <w:szCs w:val="22"/>
        </w:rPr>
        <w:t>relevant person</w:t>
      </w:r>
      <w:r w:rsidR="00DD2E9A" w:rsidRPr="00876FC9">
        <w:rPr>
          <w:rFonts w:ascii="Times New Roman" w:hAnsi="Times New Roman" w:cs="Times New Roman"/>
          <w:sz w:val="22"/>
          <w:szCs w:val="22"/>
        </w:rPr>
        <w:t>)</w:t>
      </w:r>
      <w:r w:rsidR="00AF50E4" w:rsidRPr="00876FC9">
        <w:rPr>
          <w:rFonts w:ascii="Times New Roman" w:hAnsi="Times New Roman" w:cs="Times New Roman"/>
          <w:sz w:val="22"/>
          <w:szCs w:val="22"/>
        </w:rPr>
        <w:t>:</w:t>
      </w:r>
    </w:p>
    <w:p w14:paraId="35E6D019" w14:textId="6D8D0807" w:rsidR="00AF50E4" w:rsidRPr="00AF50E4" w:rsidRDefault="00AF50E4" w:rsidP="00380028">
      <w:pPr>
        <w:pStyle w:val="BodyText"/>
        <w:numPr>
          <w:ilvl w:val="0"/>
          <w:numId w:val="8"/>
        </w:numPr>
        <w:spacing w:before="1"/>
        <w:ind w:left="567" w:hanging="567"/>
        <w:rPr>
          <w:sz w:val="22"/>
          <w:szCs w:val="22"/>
        </w:rPr>
      </w:pPr>
      <w:r w:rsidRPr="00AF50E4">
        <w:rPr>
          <w:sz w:val="22"/>
          <w:szCs w:val="22"/>
        </w:rPr>
        <w:t>that a high-risk customer interaction has been instigated;</w:t>
      </w:r>
      <w:r w:rsidR="001E3CE9">
        <w:rPr>
          <w:sz w:val="22"/>
          <w:szCs w:val="22"/>
        </w:rPr>
        <w:t xml:space="preserve"> and</w:t>
      </w:r>
    </w:p>
    <w:p w14:paraId="649630D1" w14:textId="5B6C57F9" w:rsidR="00AF50E4" w:rsidRPr="00EF5F70" w:rsidRDefault="00AF50E4" w:rsidP="00380028">
      <w:pPr>
        <w:pStyle w:val="BodyText"/>
        <w:numPr>
          <w:ilvl w:val="0"/>
          <w:numId w:val="8"/>
        </w:numPr>
        <w:spacing w:before="1"/>
        <w:ind w:left="567" w:hanging="567"/>
        <w:rPr>
          <w:sz w:val="22"/>
          <w:szCs w:val="22"/>
        </w:rPr>
      </w:pPr>
      <w:r w:rsidRPr="00AF50E4">
        <w:rPr>
          <w:sz w:val="22"/>
          <w:szCs w:val="22"/>
        </w:rPr>
        <w:t xml:space="preserve">what the </w:t>
      </w:r>
      <w:r w:rsidR="00DD2E9A">
        <w:rPr>
          <w:sz w:val="22"/>
          <w:szCs w:val="22"/>
        </w:rPr>
        <w:t>relevant person</w:t>
      </w:r>
      <w:r w:rsidR="00DD2E9A" w:rsidRPr="00AF50E4">
        <w:rPr>
          <w:sz w:val="22"/>
          <w:szCs w:val="22"/>
        </w:rPr>
        <w:t xml:space="preserve"> </w:t>
      </w:r>
      <w:r w:rsidRPr="00AF50E4">
        <w:rPr>
          <w:sz w:val="22"/>
          <w:szCs w:val="22"/>
        </w:rPr>
        <w:t>can do if they did not authorise the interaction</w:t>
      </w:r>
      <w:r>
        <w:rPr>
          <w:sz w:val="22"/>
          <w:szCs w:val="22"/>
        </w:rPr>
        <w:t>.</w:t>
      </w:r>
    </w:p>
    <w:p w14:paraId="7830CB32" w14:textId="77777777" w:rsidR="00EF5F70" w:rsidRPr="00EF5F70" w:rsidRDefault="00EF5F70" w:rsidP="00EF5F70">
      <w:pPr>
        <w:pStyle w:val="BodyText"/>
        <w:spacing w:before="1"/>
        <w:rPr>
          <w:rFonts w:eastAsiaTheme="minorHAnsi"/>
          <w:sz w:val="22"/>
          <w:szCs w:val="22"/>
          <w:lang w:eastAsia="en-US" w:bidi="ar-SA"/>
        </w:rPr>
      </w:pPr>
    </w:p>
    <w:p w14:paraId="337ECC4E" w14:textId="4D9BC225" w:rsidR="00AF50E4" w:rsidRDefault="00AF50E4" w:rsidP="00CD07EE">
      <w:pPr>
        <w:pStyle w:val="BodyText"/>
        <w:spacing w:before="1"/>
        <w:rPr>
          <w:rFonts w:eastAsiaTheme="minorHAnsi"/>
          <w:sz w:val="22"/>
          <w:szCs w:val="22"/>
          <w:lang w:eastAsia="en-US" w:bidi="ar-SA"/>
        </w:rPr>
      </w:pPr>
      <w:r>
        <w:rPr>
          <w:rFonts w:eastAsiaTheme="minorHAnsi"/>
          <w:sz w:val="22"/>
          <w:szCs w:val="22"/>
          <w:lang w:eastAsia="en-US" w:bidi="ar-SA"/>
        </w:rPr>
        <w:t xml:space="preserve">A carriage service provider must also provide additional </w:t>
      </w:r>
      <w:r w:rsidR="00DD2E9A">
        <w:rPr>
          <w:rFonts w:eastAsiaTheme="minorHAnsi"/>
          <w:sz w:val="22"/>
          <w:szCs w:val="22"/>
          <w:lang w:eastAsia="en-US" w:bidi="ar-SA"/>
        </w:rPr>
        <w:t>fraud mitigation protections</w:t>
      </w:r>
      <w:r>
        <w:rPr>
          <w:rFonts w:eastAsiaTheme="minorHAnsi"/>
          <w:sz w:val="22"/>
          <w:szCs w:val="22"/>
          <w:lang w:eastAsia="en-US" w:bidi="ar-SA"/>
        </w:rPr>
        <w:t xml:space="preserve"> to customers </w:t>
      </w:r>
      <w:r w:rsidR="00D54B0C">
        <w:rPr>
          <w:rFonts w:eastAsiaTheme="minorHAnsi"/>
          <w:sz w:val="22"/>
          <w:szCs w:val="22"/>
          <w:lang w:eastAsia="en-US" w:bidi="ar-SA"/>
        </w:rPr>
        <w:t xml:space="preserve">who believe they are at risk of fraud, </w:t>
      </w:r>
      <w:r>
        <w:rPr>
          <w:rFonts w:eastAsiaTheme="minorHAnsi"/>
          <w:sz w:val="22"/>
          <w:szCs w:val="22"/>
          <w:lang w:eastAsia="en-US" w:bidi="ar-SA"/>
        </w:rPr>
        <w:t xml:space="preserve">on their request or where a carriage service provider suspects that a customer’s </w:t>
      </w:r>
      <w:r w:rsidR="00325851">
        <w:rPr>
          <w:rFonts w:eastAsiaTheme="minorHAnsi"/>
          <w:sz w:val="22"/>
          <w:szCs w:val="22"/>
          <w:lang w:eastAsia="en-US" w:bidi="ar-SA"/>
        </w:rPr>
        <w:t>telecommunications service is at risk of</w:t>
      </w:r>
      <w:r>
        <w:rPr>
          <w:rFonts w:eastAsiaTheme="minorHAnsi"/>
          <w:sz w:val="22"/>
          <w:szCs w:val="22"/>
          <w:lang w:eastAsia="en-US" w:bidi="ar-SA"/>
        </w:rPr>
        <w:t xml:space="preserve"> </w:t>
      </w:r>
      <w:r w:rsidR="0000353A">
        <w:rPr>
          <w:rFonts w:eastAsiaTheme="minorHAnsi"/>
          <w:sz w:val="22"/>
          <w:szCs w:val="22"/>
          <w:lang w:eastAsia="en-US" w:bidi="ar-SA"/>
        </w:rPr>
        <w:t xml:space="preserve">being subject to </w:t>
      </w:r>
      <w:r>
        <w:rPr>
          <w:rFonts w:eastAsiaTheme="minorHAnsi"/>
          <w:sz w:val="22"/>
          <w:szCs w:val="22"/>
          <w:lang w:eastAsia="en-US" w:bidi="ar-SA"/>
        </w:rPr>
        <w:t>fraudulent activity.</w:t>
      </w:r>
    </w:p>
    <w:p w14:paraId="546AB7A0" w14:textId="77777777" w:rsidR="00AF50E4" w:rsidRDefault="00AF50E4" w:rsidP="00CD07EE">
      <w:pPr>
        <w:pStyle w:val="BodyText"/>
        <w:spacing w:before="1"/>
        <w:rPr>
          <w:rFonts w:eastAsiaTheme="minorHAnsi"/>
          <w:sz w:val="22"/>
          <w:szCs w:val="22"/>
          <w:lang w:eastAsia="en-US" w:bidi="ar-SA"/>
        </w:rPr>
      </w:pPr>
    </w:p>
    <w:p w14:paraId="11601689" w14:textId="62CF0E4A" w:rsidR="008D3654" w:rsidRDefault="00DC537B" w:rsidP="00CD07EE">
      <w:pPr>
        <w:pStyle w:val="BodyText"/>
        <w:spacing w:before="1"/>
        <w:rPr>
          <w:rFonts w:eastAsiaTheme="minorHAnsi"/>
          <w:sz w:val="22"/>
          <w:szCs w:val="22"/>
          <w:lang w:eastAsia="en-US" w:bidi="ar-SA"/>
        </w:rPr>
      </w:pPr>
      <w:r w:rsidRPr="00EF5F70">
        <w:rPr>
          <w:rFonts w:eastAsiaTheme="minorHAnsi"/>
          <w:sz w:val="22"/>
          <w:szCs w:val="22"/>
          <w:lang w:eastAsia="en-US" w:bidi="ar-SA"/>
        </w:rPr>
        <w:t xml:space="preserve">A </w:t>
      </w:r>
      <w:r w:rsidR="006A75BB" w:rsidRPr="00EF5F70">
        <w:rPr>
          <w:rFonts w:eastAsiaTheme="minorHAnsi"/>
          <w:sz w:val="22"/>
          <w:szCs w:val="22"/>
          <w:lang w:eastAsia="en-US" w:bidi="ar-SA"/>
        </w:rPr>
        <w:t xml:space="preserve">carriage service provider </w:t>
      </w:r>
      <w:r w:rsidRPr="00EF5F70">
        <w:rPr>
          <w:rFonts w:eastAsiaTheme="minorHAnsi"/>
          <w:sz w:val="22"/>
          <w:szCs w:val="22"/>
          <w:lang w:eastAsia="en-US" w:bidi="ar-SA"/>
        </w:rPr>
        <w:t xml:space="preserve">is </w:t>
      </w:r>
      <w:r w:rsidR="00C301CB" w:rsidRPr="00EF5F70">
        <w:rPr>
          <w:rFonts w:eastAsiaTheme="minorHAnsi"/>
          <w:sz w:val="22"/>
          <w:szCs w:val="22"/>
          <w:lang w:eastAsia="en-US" w:bidi="ar-SA"/>
        </w:rPr>
        <w:t xml:space="preserve">also required to </w:t>
      </w:r>
      <w:r w:rsidRPr="00EF5F70">
        <w:rPr>
          <w:rFonts w:eastAsiaTheme="minorHAnsi"/>
          <w:sz w:val="22"/>
          <w:szCs w:val="22"/>
          <w:lang w:eastAsia="en-US" w:bidi="ar-SA"/>
        </w:rPr>
        <w:t>publish information on its website</w:t>
      </w:r>
      <w:r w:rsidR="0077701F" w:rsidRPr="00EF5F70">
        <w:rPr>
          <w:rFonts w:eastAsiaTheme="minorHAnsi"/>
          <w:sz w:val="22"/>
          <w:szCs w:val="22"/>
          <w:lang w:eastAsia="en-US" w:bidi="ar-SA"/>
        </w:rPr>
        <w:t xml:space="preserve"> advising customers</w:t>
      </w:r>
      <w:r w:rsidRPr="00EF5F70">
        <w:rPr>
          <w:rFonts w:eastAsiaTheme="minorHAnsi"/>
          <w:sz w:val="22"/>
          <w:szCs w:val="22"/>
          <w:lang w:eastAsia="en-US" w:bidi="ar-SA"/>
        </w:rPr>
        <w:t xml:space="preserve"> </w:t>
      </w:r>
      <w:r w:rsidR="00952319" w:rsidRPr="00EF5F70">
        <w:rPr>
          <w:rFonts w:eastAsiaTheme="minorHAnsi"/>
          <w:sz w:val="22"/>
          <w:szCs w:val="22"/>
          <w:lang w:eastAsia="en-US" w:bidi="ar-SA"/>
        </w:rPr>
        <w:t xml:space="preserve">that </w:t>
      </w:r>
      <w:r w:rsidR="00B41E03" w:rsidRPr="00EF5F70">
        <w:rPr>
          <w:rFonts w:eastAsiaTheme="minorHAnsi"/>
          <w:sz w:val="22"/>
          <w:szCs w:val="22"/>
          <w:lang w:eastAsia="en-US" w:bidi="ar-SA"/>
        </w:rPr>
        <w:t xml:space="preserve">identification </w:t>
      </w:r>
      <w:r w:rsidR="00FC19B5">
        <w:rPr>
          <w:rFonts w:eastAsiaTheme="minorHAnsi"/>
          <w:sz w:val="22"/>
          <w:szCs w:val="22"/>
          <w:lang w:eastAsia="en-US" w:bidi="ar-SA"/>
        </w:rPr>
        <w:t>authentication</w:t>
      </w:r>
      <w:r w:rsidR="00B41E03" w:rsidRPr="00EF5F70">
        <w:rPr>
          <w:rFonts w:eastAsiaTheme="minorHAnsi"/>
          <w:sz w:val="22"/>
          <w:szCs w:val="22"/>
          <w:lang w:eastAsia="en-US" w:bidi="ar-SA"/>
        </w:rPr>
        <w:t xml:space="preserve"> </w:t>
      </w:r>
      <w:r w:rsidR="000947BA" w:rsidRPr="00EF5F70">
        <w:rPr>
          <w:rFonts w:eastAsiaTheme="minorHAnsi"/>
          <w:sz w:val="22"/>
          <w:szCs w:val="22"/>
          <w:lang w:eastAsia="en-US" w:bidi="ar-SA"/>
        </w:rPr>
        <w:t>process</w:t>
      </w:r>
      <w:r w:rsidR="006205D1">
        <w:rPr>
          <w:rFonts w:eastAsiaTheme="minorHAnsi"/>
          <w:sz w:val="22"/>
          <w:szCs w:val="22"/>
          <w:lang w:eastAsia="en-US" w:bidi="ar-SA"/>
        </w:rPr>
        <w:t>es</w:t>
      </w:r>
      <w:r w:rsidR="000947BA" w:rsidRPr="00EF5F70">
        <w:rPr>
          <w:rFonts w:eastAsiaTheme="minorHAnsi"/>
          <w:sz w:val="22"/>
          <w:szCs w:val="22"/>
          <w:lang w:eastAsia="en-US" w:bidi="ar-SA"/>
        </w:rPr>
        <w:t xml:space="preserve"> </w:t>
      </w:r>
      <w:r w:rsidR="00952319" w:rsidRPr="00EF5F70">
        <w:rPr>
          <w:rFonts w:eastAsiaTheme="minorHAnsi"/>
          <w:sz w:val="22"/>
          <w:szCs w:val="22"/>
          <w:lang w:eastAsia="en-US" w:bidi="ar-SA"/>
        </w:rPr>
        <w:t xml:space="preserve">will be used </w:t>
      </w:r>
      <w:r w:rsidR="000947BA" w:rsidRPr="00EF5F70">
        <w:rPr>
          <w:rFonts w:eastAsiaTheme="minorHAnsi"/>
          <w:sz w:val="22"/>
          <w:szCs w:val="22"/>
          <w:lang w:eastAsia="en-US" w:bidi="ar-SA"/>
        </w:rPr>
        <w:t xml:space="preserve">and what </w:t>
      </w:r>
      <w:r w:rsidR="0022008D" w:rsidRPr="00EF5F70">
        <w:rPr>
          <w:rFonts w:eastAsiaTheme="minorHAnsi"/>
          <w:sz w:val="22"/>
          <w:szCs w:val="22"/>
          <w:lang w:eastAsia="en-US" w:bidi="ar-SA"/>
        </w:rPr>
        <w:t xml:space="preserve">a </w:t>
      </w:r>
      <w:r w:rsidR="0077701F" w:rsidRPr="00EF5F70">
        <w:rPr>
          <w:rFonts w:eastAsiaTheme="minorHAnsi"/>
          <w:sz w:val="22"/>
          <w:szCs w:val="22"/>
          <w:lang w:eastAsia="en-US" w:bidi="ar-SA"/>
        </w:rPr>
        <w:t>customer</w:t>
      </w:r>
      <w:r w:rsidR="0022008D" w:rsidRPr="00EF5F70">
        <w:rPr>
          <w:rFonts w:eastAsiaTheme="minorHAnsi"/>
          <w:sz w:val="22"/>
          <w:szCs w:val="22"/>
          <w:lang w:eastAsia="en-US" w:bidi="ar-SA"/>
        </w:rPr>
        <w:t xml:space="preserve"> should </w:t>
      </w:r>
      <w:r w:rsidR="000947BA" w:rsidRPr="00EF5F70">
        <w:rPr>
          <w:rFonts w:eastAsiaTheme="minorHAnsi"/>
          <w:sz w:val="22"/>
          <w:szCs w:val="22"/>
          <w:lang w:eastAsia="en-US" w:bidi="ar-SA"/>
        </w:rPr>
        <w:t xml:space="preserve">do if </w:t>
      </w:r>
      <w:r w:rsidR="0022008D" w:rsidRPr="00EF5F70">
        <w:rPr>
          <w:rFonts w:eastAsiaTheme="minorHAnsi"/>
          <w:sz w:val="22"/>
          <w:szCs w:val="22"/>
          <w:lang w:eastAsia="en-US" w:bidi="ar-SA"/>
        </w:rPr>
        <w:t xml:space="preserve">they </w:t>
      </w:r>
      <w:r w:rsidR="000947BA" w:rsidRPr="00EF5F70">
        <w:rPr>
          <w:rFonts w:eastAsiaTheme="minorHAnsi"/>
          <w:sz w:val="22"/>
          <w:szCs w:val="22"/>
          <w:lang w:eastAsia="en-US" w:bidi="ar-SA"/>
        </w:rPr>
        <w:t xml:space="preserve">suspect their </w:t>
      </w:r>
      <w:r w:rsidR="00B532D4">
        <w:rPr>
          <w:rFonts w:eastAsiaTheme="minorHAnsi"/>
          <w:sz w:val="22"/>
          <w:szCs w:val="22"/>
          <w:lang w:eastAsia="en-US" w:bidi="ar-SA"/>
        </w:rPr>
        <w:t xml:space="preserve">telecommunications service </w:t>
      </w:r>
      <w:r w:rsidR="002D7FE7">
        <w:rPr>
          <w:rFonts w:eastAsiaTheme="minorHAnsi"/>
          <w:sz w:val="22"/>
          <w:szCs w:val="22"/>
          <w:lang w:eastAsia="en-US" w:bidi="ar-SA"/>
        </w:rPr>
        <w:t xml:space="preserve">or account has </w:t>
      </w:r>
      <w:r w:rsidR="000947BA" w:rsidRPr="00EF5F70">
        <w:rPr>
          <w:rFonts w:eastAsiaTheme="minorHAnsi"/>
          <w:sz w:val="22"/>
          <w:szCs w:val="22"/>
          <w:lang w:eastAsia="en-US" w:bidi="ar-SA"/>
        </w:rPr>
        <w:t xml:space="preserve">been </w:t>
      </w:r>
      <w:r w:rsidR="00D24B78">
        <w:rPr>
          <w:rFonts w:eastAsiaTheme="minorHAnsi"/>
          <w:sz w:val="22"/>
          <w:szCs w:val="22"/>
          <w:lang w:eastAsia="en-US" w:bidi="ar-SA"/>
        </w:rPr>
        <w:t xml:space="preserve">subject to </w:t>
      </w:r>
      <w:r w:rsidR="00991C21">
        <w:rPr>
          <w:rFonts w:eastAsiaTheme="minorHAnsi"/>
          <w:sz w:val="22"/>
          <w:szCs w:val="22"/>
          <w:lang w:eastAsia="en-US" w:bidi="ar-SA"/>
        </w:rPr>
        <w:t>fraudulent activity</w:t>
      </w:r>
      <w:r w:rsidR="000947BA" w:rsidRPr="00EF5F70">
        <w:rPr>
          <w:rFonts w:eastAsiaTheme="minorHAnsi"/>
          <w:sz w:val="22"/>
          <w:szCs w:val="22"/>
          <w:lang w:eastAsia="en-US" w:bidi="ar-SA"/>
        </w:rPr>
        <w:t>.</w:t>
      </w:r>
    </w:p>
    <w:p w14:paraId="6B51F24F" w14:textId="41C9AB9F" w:rsidR="000854FD" w:rsidRDefault="000854FD" w:rsidP="00CD07EE">
      <w:pPr>
        <w:pStyle w:val="BodyText"/>
        <w:spacing w:before="1"/>
        <w:rPr>
          <w:rFonts w:eastAsiaTheme="minorHAnsi"/>
          <w:sz w:val="22"/>
          <w:szCs w:val="22"/>
          <w:lang w:eastAsia="en-US" w:bidi="ar-SA"/>
        </w:rPr>
      </w:pPr>
    </w:p>
    <w:p w14:paraId="70C9D464" w14:textId="2491D816" w:rsidR="000854FD" w:rsidRPr="00EF5F70" w:rsidRDefault="000854FD" w:rsidP="00CD07EE">
      <w:pPr>
        <w:pStyle w:val="BodyText"/>
        <w:spacing w:before="1"/>
        <w:rPr>
          <w:rFonts w:eastAsiaTheme="minorHAnsi"/>
          <w:sz w:val="22"/>
          <w:szCs w:val="22"/>
          <w:lang w:eastAsia="en-US" w:bidi="ar-SA"/>
        </w:rPr>
      </w:pPr>
      <w:r>
        <w:rPr>
          <w:rFonts w:eastAsiaTheme="minorHAnsi"/>
          <w:sz w:val="22"/>
          <w:szCs w:val="22"/>
          <w:lang w:eastAsia="en-US" w:bidi="ar-SA"/>
        </w:rPr>
        <w:t>The Determination requires carriage service providers to keep records to demonstrate their compliance with the Determination for a minimum of 1 year.</w:t>
      </w:r>
    </w:p>
    <w:p w14:paraId="0EDB869D" w14:textId="77777777" w:rsidR="008D3654" w:rsidRPr="00E12722" w:rsidRDefault="008D3654" w:rsidP="00CD07EE">
      <w:pPr>
        <w:pStyle w:val="BodyText"/>
        <w:spacing w:before="1"/>
        <w:rPr>
          <w:rFonts w:eastAsiaTheme="minorHAnsi"/>
          <w:sz w:val="22"/>
          <w:szCs w:val="22"/>
          <w:highlight w:val="yellow"/>
          <w:lang w:eastAsia="en-US" w:bidi="ar-SA"/>
        </w:rPr>
      </w:pPr>
    </w:p>
    <w:p w14:paraId="2A7F1DE9" w14:textId="34B225CF" w:rsidR="00CD07EE" w:rsidRDefault="00B41E03" w:rsidP="00CD07EE">
      <w:pPr>
        <w:pStyle w:val="BodyText"/>
        <w:spacing w:before="1"/>
        <w:rPr>
          <w:rFonts w:eastAsiaTheme="minorHAnsi"/>
          <w:sz w:val="22"/>
          <w:szCs w:val="22"/>
          <w:lang w:eastAsia="en-US" w:bidi="ar-SA"/>
        </w:rPr>
      </w:pPr>
      <w:r w:rsidRPr="00E35596">
        <w:rPr>
          <w:rFonts w:eastAsiaTheme="minorHAnsi"/>
          <w:sz w:val="22"/>
          <w:szCs w:val="22"/>
          <w:lang w:eastAsia="en-US" w:bidi="ar-SA"/>
        </w:rPr>
        <w:t xml:space="preserve">Enforcement </w:t>
      </w:r>
      <w:r w:rsidRPr="00484F4B">
        <w:rPr>
          <w:rFonts w:eastAsiaTheme="minorHAnsi"/>
          <w:sz w:val="22"/>
          <w:szCs w:val="22"/>
          <w:lang w:eastAsia="en-US" w:bidi="ar-SA"/>
        </w:rPr>
        <w:t xml:space="preserve">options under the Act for </w:t>
      </w:r>
      <w:r w:rsidR="006022BB" w:rsidRPr="00484F4B">
        <w:rPr>
          <w:rFonts w:eastAsiaTheme="minorHAnsi"/>
          <w:sz w:val="22"/>
          <w:szCs w:val="22"/>
          <w:lang w:eastAsia="en-US" w:bidi="ar-SA"/>
        </w:rPr>
        <w:t xml:space="preserve">breaches of </w:t>
      </w:r>
      <w:r w:rsidR="00AB25B3" w:rsidRPr="00484F4B">
        <w:rPr>
          <w:rFonts w:eastAsiaTheme="minorHAnsi"/>
          <w:sz w:val="22"/>
          <w:szCs w:val="22"/>
          <w:lang w:eastAsia="en-US" w:bidi="ar-SA"/>
        </w:rPr>
        <w:t>a service provider d</w:t>
      </w:r>
      <w:r w:rsidR="007B0BAC" w:rsidRPr="00484F4B">
        <w:rPr>
          <w:rFonts w:eastAsiaTheme="minorHAnsi"/>
          <w:sz w:val="22"/>
          <w:szCs w:val="22"/>
          <w:lang w:eastAsia="en-US" w:bidi="ar-SA"/>
        </w:rPr>
        <w:t>etermination</w:t>
      </w:r>
      <w:r w:rsidR="00B824F3" w:rsidRPr="00484F4B">
        <w:rPr>
          <w:rFonts w:eastAsiaTheme="minorHAnsi"/>
          <w:sz w:val="22"/>
          <w:szCs w:val="22"/>
          <w:lang w:eastAsia="en-US" w:bidi="ar-SA"/>
        </w:rPr>
        <w:t xml:space="preserve"> </w:t>
      </w:r>
      <w:r w:rsidR="00AB7208" w:rsidRPr="00484F4B">
        <w:rPr>
          <w:rFonts w:eastAsiaTheme="minorHAnsi"/>
          <w:sz w:val="22"/>
          <w:szCs w:val="22"/>
          <w:lang w:eastAsia="en-US" w:bidi="ar-SA"/>
        </w:rPr>
        <w:t>includ</w:t>
      </w:r>
      <w:r w:rsidRPr="00484F4B">
        <w:rPr>
          <w:rFonts w:eastAsiaTheme="minorHAnsi"/>
          <w:sz w:val="22"/>
          <w:szCs w:val="22"/>
          <w:lang w:eastAsia="en-US" w:bidi="ar-SA"/>
        </w:rPr>
        <w:t>e</w:t>
      </w:r>
      <w:r w:rsidR="00AB7208" w:rsidRPr="00484F4B">
        <w:rPr>
          <w:rFonts w:eastAsiaTheme="minorHAnsi"/>
          <w:sz w:val="22"/>
          <w:szCs w:val="22"/>
          <w:lang w:eastAsia="en-US" w:bidi="ar-SA"/>
        </w:rPr>
        <w:t xml:space="preserve"> formal warnings and civil </w:t>
      </w:r>
      <w:r w:rsidR="00AB7208" w:rsidRPr="00CC34AA">
        <w:rPr>
          <w:rFonts w:eastAsiaTheme="minorHAnsi"/>
          <w:sz w:val="22"/>
          <w:szCs w:val="22"/>
          <w:lang w:eastAsia="en-US" w:bidi="ar-SA"/>
        </w:rPr>
        <w:t>penalties of up to $250,000</w:t>
      </w:r>
      <w:r w:rsidR="00991C21">
        <w:rPr>
          <w:rFonts w:eastAsiaTheme="minorHAnsi"/>
          <w:sz w:val="22"/>
          <w:szCs w:val="22"/>
          <w:lang w:eastAsia="en-US" w:bidi="ar-SA"/>
        </w:rPr>
        <w:t xml:space="preserve"> per breach</w:t>
      </w:r>
      <w:r w:rsidR="00AB7208" w:rsidRPr="00CC34AA">
        <w:rPr>
          <w:rFonts w:eastAsiaTheme="minorHAnsi"/>
          <w:sz w:val="22"/>
          <w:szCs w:val="22"/>
          <w:lang w:eastAsia="en-US" w:bidi="ar-SA"/>
        </w:rPr>
        <w:t>.</w:t>
      </w:r>
    </w:p>
    <w:p w14:paraId="43684140" w14:textId="77777777" w:rsidR="00CD07EE" w:rsidRPr="00CD07EE" w:rsidRDefault="00CD07EE" w:rsidP="00CD07EE">
      <w:pPr>
        <w:pStyle w:val="BodyText"/>
        <w:spacing w:before="1"/>
        <w:rPr>
          <w:rFonts w:eastAsiaTheme="minorHAnsi"/>
          <w:sz w:val="22"/>
          <w:szCs w:val="22"/>
          <w:lang w:eastAsia="en-US" w:bidi="ar-SA"/>
        </w:rPr>
      </w:pPr>
    </w:p>
    <w:p w14:paraId="7114DD39" w14:textId="44D89C1B" w:rsidR="00446CB7" w:rsidRDefault="00446CB7" w:rsidP="00446CB7">
      <w:pPr>
        <w:rPr>
          <w:rFonts w:ascii="Times New Roman" w:hAnsi="Times New Roman" w:cs="Times New Roman"/>
        </w:rPr>
      </w:pPr>
      <w:r>
        <w:rPr>
          <w:rFonts w:ascii="Times New Roman" w:hAnsi="Times New Roman" w:cs="Times New Roman"/>
        </w:rPr>
        <w:t xml:space="preserve">A provision-by-provision description of the </w:t>
      </w:r>
      <w:r w:rsidR="007B0BAC">
        <w:rPr>
          <w:rFonts w:ascii="Times New Roman" w:hAnsi="Times New Roman" w:cs="Times New Roman"/>
        </w:rPr>
        <w:t>Determination</w:t>
      </w:r>
      <w:r w:rsidR="00A93B98">
        <w:rPr>
          <w:rFonts w:ascii="Times New Roman" w:hAnsi="Times New Roman" w:cs="Times New Roman"/>
        </w:rPr>
        <w:t xml:space="preserve"> </w:t>
      </w:r>
      <w:r>
        <w:rPr>
          <w:rFonts w:ascii="Times New Roman" w:hAnsi="Times New Roman" w:cs="Times New Roman"/>
        </w:rPr>
        <w:t>is set out in the notes</w:t>
      </w:r>
      <w:r w:rsidR="00020BD4">
        <w:rPr>
          <w:rFonts w:ascii="Times New Roman" w:hAnsi="Times New Roman" w:cs="Times New Roman"/>
        </w:rPr>
        <w:t xml:space="preserve"> </w:t>
      </w:r>
      <w:r>
        <w:rPr>
          <w:rFonts w:ascii="Times New Roman" w:hAnsi="Times New Roman" w:cs="Times New Roman"/>
        </w:rPr>
        <w:t xml:space="preserve">at </w:t>
      </w:r>
      <w:r>
        <w:rPr>
          <w:rFonts w:ascii="Times New Roman" w:hAnsi="Times New Roman" w:cs="Times New Roman"/>
          <w:b/>
        </w:rPr>
        <w:t>Attachment A</w:t>
      </w:r>
      <w:r>
        <w:rPr>
          <w:rFonts w:ascii="Times New Roman" w:hAnsi="Times New Roman" w:cs="Times New Roman"/>
        </w:rPr>
        <w:t>.</w:t>
      </w:r>
    </w:p>
    <w:p w14:paraId="4877B88F" w14:textId="3038D4BA" w:rsidR="00446CB7" w:rsidRDefault="00446CB7" w:rsidP="00446CB7">
      <w:pPr>
        <w:rPr>
          <w:rFonts w:ascii="Times New Roman" w:hAnsi="Times New Roman" w:cs="Times New Roman"/>
        </w:rPr>
      </w:pPr>
      <w:r w:rsidRPr="00CC34AA">
        <w:rPr>
          <w:rFonts w:ascii="Times New Roman" w:hAnsi="Times New Roman" w:cs="Times New Roman"/>
        </w:rPr>
        <w:t xml:space="preserve">The </w:t>
      </w:r>
      <w:r w:rsidR="007B0BAC" w:rsidRPr="00CC34AA">
        <w:rPr>
          <w:rFonts w:ascii="Times New Roman" w:hAnsi="Times New Roman" w:cs="Times New Roman"/>
        </w:rPr>
        <w:t>Determination</w:t>
      </w:r>
      <w:r w:rsidR="00A93B98" w:rsidRPr="00CC34AA">
        <w:rPr>
          <w:rFonts w:ascii="Times New Roman" w:hAnsi="Times New Roman" w:cs="Times New Roman"/>
        </w:rPr>
        <w:t xml:space="preserve"> </w:t>
      </w:r>
      <w:r w:rsidRPr="00CC34AA">
        <w:rPr>
          <w:rFonts w:ascii="Times New Roman" w:hAnsi="Times New Roman" w:cs="Times New Roman"/>
        </w:rPr>
        <w:t xml:space="preserve">is a </w:t>
      </w:r>
      <w:r w:rsidR="0021144B" w:rsidRPr="00CC34AA">
        <w:rPr>
          <w:rFonts w:ascii="Times New Roman" w:hAnsi="Times New Roman" w:cs="Times New Roman"/>
        </w:rPr>
        <w:t xml:space="preserve">disallowable </w:t>
      </w:r>
      <w:r w:rsidRPr="00CC34AA">
        <w:rPr>
          <w:rFonts w:ascii="Times New Roman" w:hAnsi="Times New Roman" w:cs="Times New Roman"/>
        </w:rPr>
        <w:t xml:space="preserve">legislative instrument for the purposes of the </w:t>
      </w:r>
      <w:r w:rsidRPr="00CC34AA">
        <w:rPr>
          <w:rFonts w:ascii="Times New Roman" w:hAnsi="Times New Roman" w:cs="Times New Roman"/>
          <w:i/>
        </w:rPr>
        <w:t xml:space="preserve">Legislation Act 2003 </w:t>
      </w:r>
      <w:r w:rsidRPr="00CC34AA">
        <w:rPr>
          <w:rFonts w:ascii="Times New Roman" w:hAnsi="Times New Roman" w:cs="Times New Roman"/>
        </w:rPr>
        <w:t>(</w:t>
      </w:r>
      <w:r w:rsidRPr="00CC34AA">
        <w:rPr>
          <w:rFonts w:ascii="Times New Roman" w:hAnsi="Times New Roman" w:cs="Times New Roman"/>
          <w:b/>
        </w:rPr>
        <w:t>the LA</w:t>
      </w:r>
      <w:r w:rsidRPr="00CC34AA">
        <w:rPr>
          <w:rFonts w:ascii="Times New Roman" w:hAnsi="Times New Roman" w:cs="Times New Roman"/>
        </w:rPr>
        <w:t>).</w:t>
      </w:r>
    </w:p>
    <w:p w14:paraId="33F032AC" w14:textId="77777777" w:rsidR="00446CB7" w:rsidRDefault="00446CB7" w:rsidP="00EC5852">
      <w:pPr>
        <w:keepNext/>
        <w:spacing w:line="257" w:lineRule="auto"/>
        <w:rPr>
          <w:rFonts w:ascii="Times New Roman" w:hAnsi="Times New Roman" w:cs="Times New Roman"/>
          <w:b/>
        </w:rPr>
      </w:pPr>
      <w:r>
        <w:rPr>
          <w:rFonts w:ascii="Times New Roman" w:hAnsi="Times New Roman" w:cs="Times New Roman"/>
          <w:b/>
        </w:rPr>
        <w:t>Documents incorporated by reference</w:t>
      </w:r>
    </w:p>
    <w:p w14:paraId="20D4B977" w14:textId="78005E77" w:rsidR="00446CB7" w:rsidRPr="00081430" w:rsidRDefault="000B1CF8" w:rsidP="00446CB7">
      <w:pPr>
        <w:spacing w:after="40"/>
        <w:rPr>
          <w:rFonts w:ascii="Times New Roman" w:hAnsi="Times New Roman" w:cs="Times New Roman"/>
        </w:rPr>
      </w:pPr>
      <w:r w:rsidRPr="00081430">
        <w:rPr>
          <w:rFonts w:ascii="Times New Roman" w:hAnsi="Times New Roman" w:cs="Times New Roman"/>
        </w:rPr>
        <w:t xml:space="preserve">The </w:t>
      </w:r>
      <w:r w:rsidR="007B0BAC" w:rsidRPr="00081430">
        <w:rPr>
          <w:rFonts w:ascii="Times New Roman" w:hAnsi="Times New Roman" w:cs="Times New Roman"/>
        </w:rPr>
        <w:t>Determination</w:t>
      </w:r>
      <w:r w:rsidRPr="00081430">
        <w:rPr>
          <w:rFonts w:ascii="Times New Roman" w:hAnsi="Times New Roman" w:cs="Times New Roman"/>
        </w:rPr>
        <w:t xml:space="preserve"> incorporates or refers to the following Acts, legislative </w:t>
      </w:r>
      <w:r w:rsidR="006B047B" w:rsidRPr="00081430">
        <w:rPr>
          <w:rFonts w:ascii="Times New Roman" w:hAnsi="Times New Roman" w:cs="Times New Roman"/>
        </w:rPr>
        <w:t>instruments,</w:t>
      </w:r>
      <w:r w:rsidRPr="00081430">
        <w:rPr>
          <w:rFonts w:ascii="Times New Roman" w:hAnsi="Times New Roman" w:cs="Times New Roman"/>
        </w:rPr>
        <w:t xml:space="preserve"> and other documents </w:t>
      </w:r>
      <w:r w:rsidR="003C12B3" w:rsidRPr="00081430">
        <w:rPr>
          <w:rFonts w:ascii="Times New Roman" w:hAnsi="Times New Roman" w:cs="Times New Roman"/>
        </w:rPr>
        <w:t>(including by the adoption of definitions)</w:t>
      </w:r>
      <w:r w:rsidR="00446CB7" w:rsidRPr="00081430">
        <w:rPr>
          <w:rFonts w:ascii="Times New Roman" w:hAnsi="Times New Roman" w:cs="Times New Roman"/>
        </w:rPr>
        <w:t xml:space="preserve">: </w:t>
      </w:r>
    </w:p>
    <w:p w14:paraId="579ADEFD" w14:textId="181974EC" w:rsidR="00D57075" w:rsidRPr="009A6803" w:rsidRDefault="00606432" w:rsidP="00380028">
      <w:pPr>
        <w:pStyle w:val="zr1"/>
        <w:numPr>
          <w:ilvl w:val="0"/>
          <w:numId w:val="21"/>
        </w:numPr>
        <w:shd w:val="clear" w:color="auto" w:fill="FFFFFF"/>
        <w:spacing w:before="120" w:beforeAutospacing="0" w:after="0" w:afterAutospacing="0" w:line="260" w:lineRule="atLeast"/>
        <w:jc w:val="both"/>
        <w:rPr>
          <w:sz w:val="22"/>
          <w:szCs w:val="22"/>
        </w:rPr>
      </w:pPr>
      <w:r w:rsidRPr="00824D72">
        <w:rPr>
          <w:sz w:val="22"/>
          <w:szCs w:val="22"/>
        </w:rPr>
        <w:t>the Act</w:t>
      </w:r>
      <w:r w:rsidRPr="009A6803">
        <w:rPr>
          <w:sz w:val="22"/>
          <w:szCs w:val="22"/>
        </w:rPr>
        <w:t>;</w:t>
      </w:r>
    </w:p>
    <w:p w14:paraId="0544ED90" w14:textId="68DF2C32" w:rsidR="00F66C71" w:rsidRPr="009A6803" w:rsidRDefault="00F66C71" w:rsidP="00380028">
      <w:pPr>
        <w:pStyle w:val="Definition"/>
        <w:numPr>
          <w:ilvl w:val="0"/>
          <w:numId w:val="21"/>
        </w:numPr>
        <w:spacing w:before="120"/>
        <w:rPr>
          <w:szCs w:val="22"/>
        </w:rPr>
      </w:pPr>
      <w:r>
        <w:rPr>
          <w:iCs/>
          <w:szCs w:val="22"/>
        </w:rPr>
        <w:t xml:space="preserve">the </w:t>
      </w:r>
      <w:r w:rsidRPr="00081430">
        <w:rPr>
          <w:i/>
          <w:szCs w:val="22"/>
        </w:rPr>
        <w:t>Acts Interpretation Act 1901</w:t>
      </w:r>
      <w:r w:rsidR="00E238A2">
        <w:rPr>
          <w:szCs w:val="22"/>
        </w:rPr>
        <w:t xml:space="preserve"> (the </w:t>
      </w:r>
      <w:r w:rsidR="00E238A2" w:rsidRPr="00824D72">
        <w:rPr>
          <w:b/>
          <w:bCs/>
          <w:szCs w:val="22"/>
        </w:rPr>
        <w:t>AIA</w:t>
      </w:r>
      <w:r w:rsidR="00E238A2">
        <w:rPr>
          <w:szCs w:val="22"/>
        </w:rPr>
        <w:t>)</w:t>
      </w:r>
      <w:r w:rsidR="00E238A2" w:rsidRPr="009A6803">
        <w:rPr>
          <w:szCs w:val="22"/>
        </w:rPr>
        <w:t>;</w:t>
      </w:r>
    </w:p>
    <w:p w14:paraId="3230089A" w14:textId="666A2CE2" w:rsidR="00D57075" w:rsidRPr="009A6803" w:rsidRDefault="00F66C71" w:rsidP="00380028">
      <w:pPr>
        <w:pStyle w:val="Definition"/>
        <w:numPr>
          <w:ilvl w:val="0"/>
          <w:numId w:val="21"/>
        </w:numPr>
        <w:spacing w:before="120"/>
        <w:rPr>
          <w:szCs w:val="22"/>
        </w:rPr>
      </w:pPr>
      <w:r>
        <w:rPr>
          <w:szCs w:val="22"/>
        </w:rPr>
        <w:t xml:space="preserve">the </w:t>
      </w:r>
      <w:r w:rsidR="0040782C" w:rsidRPr="00081430">
        <w:rPr>
          <w:i/>
          <w:iCs/>
          <w:szCs w:val="22"/>
        </w:rPr>
        <w:t>Defence Act 1903</w:t>
      </w:r>
      <w:r w:rsidRPr="009A6803">
        <w:rPr>
          <w:szCs w:val="22"/>
        </w:rPr>
        <w:t>;</w:t>
      </w:r>
      <w:r w:rsidR="0040782C" w:rsidRPr="009A6803">
        <w:rPr>
          <w:szCs w:val="22"/>
        </w:rPr>
        <w:t xml:space="preserve"> </w:t>
      </w:r>
    </w:p>
    <w:p w14:paraId="7E44B025" w14:textId="389CE2C9" w:rsidR="00F41E18" w:rsidRPr="009A6803" w:rsidRDefault="00EE489B" w:rsidP="00380028">
      <w:pPr>
        <w:pStyle w:val="notetext"/>
        <w:numPr>
          <w:ilvl w:val="0"/>
          <w:numId w:val="21"/>
        </w:numPr>
        <w:rPr>
          <w:sz w:val="22"/>
          <w:szCs w:val="22"/>
        </w:rPr>
      </w:pPr>
      <w:r>
        <w:rPr>
          <w:iCs/>
          <w:sz w:val="22"/>
          <w:szCs w:val="22"/>
        </w:rPr>
        <w:t>t</w:t>
      </w:r>
      <w:r w:rsidRPr="00824D72">
        <w:rPr>
          <w:iCs/>
          <w:sz w:val="22"/>
          <w:szCs w:val="22"/>
        </w:rPr>
        <w:t>he</w:t>
      </w:r>
      <w:r>
        <w:rPr>
          <w:i/>
          <w:sz w:val="22"/>
          <w:szCs w:val="22"/>
        </w:rPr>
        <w:t xml:space="preserve"> </w:t>
      </w:r>
      <w:r w:rsidR="00F40281" w:rsidRPr="00EF37B8">
        <w:rPr>
          <w:iCs/>
          <w:sz w:val="22"/>
          <w:szCs w:val="22"/>
        </w:rPr>
        <w:t>LA</w:t>
      </w:r>
      <w:r w:rsidR="00F41E18" w:rsidRPr="009A6803">
        <w:rPr>
          <w:sz w:val="22"/>
          <w:szCs w:val="22"/>
        </w:rPr>
        <w:t>;</w:t>
      </w:r>
    </w:p>
    <w:p w14:paraId="2052B787" w14:textId="77777777" w:rsidR="00EC44FA" w:rsidRPr="009A6803" w:rsidRDefault="00F41E18" w:rsidP="00380028">
      <w:pPr>
        <w:pStyle w:val="zr1"/>
        <w:numPr>
          <w:ilvl w:val="0"/>
          <w:numId w:val="21"/>
        </w:numPr>
        <w:shd w:val="clear" w:color="auto" w:fill="FFFFFF"/>
        <w:spacing w:before="120" w:beforeAutospacing="0" w:after="0" w:afterAutospacing="0" w:line="260" w:lineRule="atLeast"/>
        <w:rPr>
          <w:sz w:val="22"/>
          <w:szCs w:val="22"/>
        </w:rPr>
      </w:pPr>
      <w:r w:rsidRPr="00E238A2">
        <w:rPr>
          <w:sz w:val="22"/>
          <w:szCs w:val="22"/>
        </w:rPr>
        <w:t>the</w:t>
      </w:r>
      <w:r>
        <w:rPr>
          <w:sz w:val="22"/>
          <w:szCs w:val="22"/>
        </w:rPr>
        <w:t xml:space="preserve"> </w:t>
      </w:r>
      <w:r w:rsidRPr="00081430">
        <w:rPr>
          <w:i/>
          <w:iCs/>
          <w:sz w:val="22"/>
          <w:szCs w:val="22"/>
        </w:rPr>
        <w:t>Telecommunications (Mobile Number Pre-Porting Additional Identity Verification) Industry Standard 2020</w:t>
      </w:r>
      <w:r w:rsidRPr="009A6803">
        <w:rPr>
          <w:sz w:val="22"/>
          <w:szCs w:val="22"/>
        </w:rPr>
        <w:t>;</w:t>
      </w:r>
    </w:p>
    <w:p w14:paraId="3C2428BB" w14:textId="2CAF7A5C" w:rsidR="0040782C" w:rsidRPr="009A6803" w:rsidRDefault="00EC44FA" w:rsidP="00380028">
      <w:pPr>
        <w:pStyle w:val="zr1"/>
        <w:numPr>
          <w:ilvl w:val="0"/>
          <w:numId w:val="21"/>
        </w:numPr>
        <w:shd w:val="clear" w:color="auto" w:fill="FFFFFF"/>
        <w:spacing w:before="120" w:beforeAutospacing="0" w:after="0" w:afterAutospacing="0" w:line="260" w:lineRule="atLeast"/>
        <w:jc w:val="both"/>
        <w:rPr>
          <w:sz w:val="22"/>
          <w:szCs w:val="22"/>
        </w:rPr>
      </w:pPr>
      <w:r>
        <w:rPr>
          <w:sz w:val="22"/>
          <w:szCs w:val="22"/>
        </w:rPr>
        <w:t xml:space="preserve">the </w:t>
      </w:r>
      <w:r>
        <w:rPr>
          <w:i/>
          <w:iCs/>
          <w:sz w:val="22"/>
          <w:szCs w:val="22"/>
        </w:rPr>
        <w:t>Telecommunications Numbering Plan</w:t>
      </w:r>
      <w:r w:rsidR="00D36B41">
        <w:rPr>
          <w:i/>
          <w:iCs/>
          <w:sz w:val="22"/>
          <w:szCs w:val="22"/>
        </w:rPr>
        <w:t xml:space="preserve"> 2015</w:t>
      </w:r>
      <w:r w:rsidR="009A6803">
        <w:rPr>
          <w:sz w:val="22"/>
          <w:szCs w:val="22"/>
        </w:rPr>
        <w:t>.</w:t>
      </w:r>
    </w:p>
    <w:p w14:paraId="31D2CFA3" w14:textId="3DC3DC09" w:rsidR="0040782C" w:rsidRDefault="0040782C" w:rsidP="0040782C">
      <w:pPr>
        <w:spacing w:after="40"/>
        <w:rPr>
          <w:rFonts w:ascii="Times New Roman" w:hAnsi="Times New Roman" w:cs="Times New Roman"/>
          <w:highlight w:val="yellow"/>
        </w:rPr>
      </w:pPr>
    </w:p>
    <w:p w14:paraId="1DDD1465" w14:textId="08820188" w:rsidR="00591E90" w:rsidRPr="00E12722" w:rsidRDefault="00591E90" w:rsidP="0040782C">
      <w:pPr>
        <w:spacing w:after="40"/>
        <w:rPr>
          <w:rFonts w:ascii="Times New Roman" w:hAnsi="Times New Roman" w:cs="Times New Roman"/>
          <w:highlight w:val="yellow"/>
        </w:rPr>
      </w:pPr>
      <w:r>
        <w:rPr>
          <w:rFonts w:ascii="Times New Roman" w:hAnsi="Times New Roman" w:cs="Times New Roman"/>
        </w:rPr>
        <w:t xml:space="preserve">The Acts and legislative instruments listed above may be obtained </w:t>
      </w:r>
      <w:r w:rsidRPr="00591E90">
        <w:rPr>
          <w:rFonts w:ascii="Times New Roman" w:hAnsi="Times New Roman" w:cs="Times New Roman"/>
        </w:rPr>
        <w:t>free of charge on the Federal Register of Legislation at www.legislation.gov.au</w:t>
      </w:r>
      <w:r w:rsidR="006F7C75">
        <w:rPr>
          <w:rFonts w:ascii="Times New Roman" w:hAnsi="Times New Roman" w:cs="Times New Roman"/>
        </w:rPr>
        <w:t>.</w:t>
      </w:r>
    </w:p>
    <w:p w14:paraId="3F43E66E" w14:textId="77777777" w:rsidR="00606432" w:rsidRDefault="00606432" w:rsidP="0040782C">
      <w:pPr>
        <w:spacing w:after="40"/>
        <w:rPr>
          <w:rFonts w:ascii="Times New Roman" w:hAnsi="Times New Roman" w:cs="Times New Roman"/>
        </w:rPr>
      </w:pPr>
    </w:p>
    <w:p w14:paraId="0BBB06C3" w14:textId="5B48187C" w:rsidR="0040782C" w:rsidRPr="00590F08" w:rsidRDefault="00273478" w:rsidP="0040782C">
      <w:pPr>
        <w:spacing w:after="40"/>
        <w:rPr>
          <w:rFonts w:ascii="Times New Roman" w:hAnsi="Times New Roman" w:cs="Times New Roman"/>
        </w:rPr>
      </w:pPr>
      <w:r w:rsidRPr="00590F08">
        <w:rPr>
          <w:rFonts w:ascii="Times New Roman" w:hAnsi="Times New Roman" w:cs="Times New Roman"/>
        </w:rPr>
        <w:t xml:space="preserve">The Acts and legislative instruments listed above are incorporated as in force from time to time in accordance with </w:t>
      </w:r>
      <w:r w:rsidR="001F69BD" w:rsidRPr="00484F4B">
        <w:rPr>
          <w:rFonts w:ascii="Times New Roman" w:hAnsi="Times New Roman" w:cs="Times New Roman"/>
        </w:rPr>
        <w:t>section 7 of the</w:t>
      </w:r>
      <w:r w:rsidR="001F69BD" w:rsidRPr="00590F08">
        <w:rPr>
          <w:rFonts w:ascii="Times New Roman" w:hAnsi="Times New Roman" w:cs="Times New Roman"/>
        </w:rPr>
        <w:t xml:space="preserve"> </w:t>
      </w:r>
      <w:r w:rsidR="007B0BAC" w:rsidRPr="00590F08">
        <w:rPr>
          <w:rFonts w:ascii="Times New Roman" w:hAnsi="Times New Roman" w:cs="Times New Roman"/>
        </w:rPr>
        <w:t>Determination</w:t>
      </w:r>
      <w:r w:rsidR="001F69BD" w:rsidRPr="00590F08">
        <w:rPr>
          <w:rFonts w:ascii="Times New Roman" w:hAnsi="Times New Roman" w:cs="Times New Roman"/>
        </w:rPr>
        <w:t xml:space="preserve">, </w:t>
      </w:r>
      <w:r w:rsidRPr="00590F08">
        <w:rPr>
          <w:rFonts w:ascii="Times New Roman" w:hAnsi="Times New Roman" w:cs="Times New Roman"/>
        </w:rPr>
        <w:t xml:space="preserve">section 10 of the </w:t>
      </w:r>
      <w:r w:rsidR="00B41E03" w:rsidRPr="00824D72">
        <w:rPr>
          <w:rFonts w:ascii="Times New Roman" w:hAnsi="Times New Roman" w:cs="Times New Roman"/>
        </w:rPr>
        <w:t>AIA</w:t>
      </w:r>
      <w:r w:rsidR="00B41E03" w:rsidRPr="00590F08">
        <w:rPr>
          <w:rFonts w:ascii="Times New Roman" w:hAnsi="Times New Roman" w:cs="Times New Roman"/>
          <w:b/>
          <w:bCs/>
        </w:rPr>
        <w:t>,</w:t>
      </w:r>
      <w:r w:rsidR="00F44CD6" w:rsidRPr="00590F08">
        <w:rPr>
          <w:rFonts w:ascii="Times New Roman" w:hAnsi="Times New Roman" w:cs="Times New Roman"/>
          <w:b/>
          <w:bCs/>
        </w:rPr>
        <w:t xml:space="preserve"> </w:t>
      </w:r>
      <w:r w:rsidRPr="00590F08">
        <w:rPr>
          <w:rFonts w:ascii="Times New Roman" w:hAnsi="Times New Roman" w:cs="Times New Roman"/>
        </w:rPr>
        <w:t>subsection 13(1) of the LA</w:t>
      </w:r>
      <w:r w:rsidR="0094079A" w:rsidRPr="00590F08">
        <w:rPr>
          <w:rFonts w:ascii="Times New Roman" w:hAnsi="Times New Roman" w:cs="Times New Roman"/>
        </w:rPr>
        <w:t xml:space="preserve"> and </w:t>
      </w:r>
      <w:r w:rsidR="007B135D" w:rsidRPr="00590F08">
        <w:rPr>
          <w:rFonts w:ascii="Times New Roman" w:hAnsi="Times New Roman" w:cs="Times New Roman"/>
        </w:rPr>
        <w:t>section 589 of the Act</w:t>
      </w:r>
      <w:r w:rsidRPr="00590F08">
        <w:rPr>
          <w:rFonts w:ascii="Times New Roman" w:hAnsi="Times New Roman" w:cs="Times New Roman"/>
        </w:rPr>
        <w:t xml:space="preserve">. </w:t>
      </w:r>
    </w:p>
    <w:p w14:paraId="58E6176A" w14:textId="77777777" w:rsidR="00446CB7" w:rsidRDefault="00446CB7" w:rsidP="00446CB7">
      <w:pPr>
        <w:rPr>
          <w:rFonts w:ascii="Times New Roman" w:hAnsi="Times New Roman" w:cs="Times New Roman"/>
          <w:b/>
        </w:rPr>
      </w:pPr>
      <w:r>
        <w:rPr>
          <w:rFonts w:ascii="Times New Roman" w:hAnsi="Times New Roman" w:cs="Times New Roman"/>
          <w:b/>
        </w:rPr>
        <w:t>Consultation</w:t>
      </w:r>
    </w:p>
    <w:p w14:paraId="2A522FD1" w14:textId="17D8F537" w:rsidR="00BE3235" w:rsidRDefault="00446CB7" w:rsidP="00BE3235">
      <w:pPr>
        <w:rPr>
          <w:rFonts w:ascii="Times New Roman" w:hAnsi="Times New Roman" w:cs="Times New Roman"/>
        </w:rPr>
      </w:pPr>
      <w:r>
        <w:rPr>
          <w:rFonts w:ascii="Times New Roman" w:hAnsi="Times New Roman" w:cs="Times New Roman"/>
        </w:rPr>
        <w:t xml:space="preserve">Before the </w:t>
      </w:r>
      <w:r w:rsidR="007B0BAC">
        <w:rPr>
          <w:rFonts w:ascii="Times New Roman" w:hAnsi="Times New Roman" w:cs="Times New Roman"/>
        </w:rPr>
        <w:t>Determination</w:t>
      </w:r>
      <w:r w:rsidR="00881833">
        <w:rPr>
          <w:rFonts w:ascii="Times New Roman" w:hAnsi="Times New Roman" w:cs="Times New Roman"/>
        </w:rPr>
        <w:t xml:space="preserve"> </w:t>
      </w:r>
      <w:r>
        <w:rPr>
          <w:rFonts w:ascii="Times New Roman" w:hAnsi="Times New Roman" w:cs="Times New Roman"/>
        </w:rPr>
        <w:t>was made, the ACMA was satisfied that consultation was undertaken to the extent appropriate and reasonably practicable, in accordance with section 17 of the LA</w:t>
      </w:r>
      <w:r w:rsidR="00BE3235" w:rsidRPr="00BE3235">
        <w:rPr>
          <w:rFonts w:ascii="Times New Roman" w:hAnsi="Times New Roman" w:cs="Times New Roman"/>
        </w:rPr>
        <w:t xml:space="preserve">. </w:t>
      </w:r>
      <w:r w:rsidR="00E12722">
        <w:rPr>
          <w:rFonts w:ascii="Times New Roman" w:hAnsi="Times New Roman" w:cs="Times New Roman"/>
        </w:rPr>
        <w:t xml:space="preserve">In accordance with </w:t>
      </w:r>
      <w:r w:rsidR="00AB7F0C">
        <w:rPr>
          <w:rFonts w:ascii="Times New Roman" w:hAnsi="Times New Roman" w:cs="Times New Roman"/>
        </w:rPr>
        <w:t>subsection</w:t>
      </w:r>
      <w:r w:rsidR="00E12722" w:rsidRPr="00E12722">
        <w:rPr>
          <w:rFonts w:ascii="Times New Roman" w:hAnsi="Times New Roman" w:cs="Times New Roman"/>
        </w:rPr>
        <w:t xml:space="preserve"> 99(4) of the Act, </w:t>
      </w:r>
      <w:r w:rsidR="005939BB">
        <w:rPr>
          <w:rFonts w:ascii="Times New Roman" w:hAnsi="Times New Roman" w:cs="Times New Roman"/>
        </w:rPr>
        <w:t>the ACMA</w:t>
      </w:r>
      <w:r w:rsidR="005939BB" w:rsidRPr="00E12722">
        <w:rPr>
          <w:rFonts w:ascii="Times New Roman" w:hAnsi="Times New Roman" w:cs="Times New Roman"/>
        </w:rPr>
        <w:t xml:space="preserve"> </w:t>
      </w:r>
      <w:r w:rsidR="00E12722" w:rsidRPr="00E12722">
        <w:rPr>
          <w:rFonts w:ascii="Times New Roman" w:hAnsi="Times New Roman" w:cs="Times New Roman"/>
        </w:rPr>
        <w:t xml:space="preserve">consulted directly with the </w:t>
      </w:r>
      <w:r w:rsidR="00E12722" w:rsidRPr="00BE3235">
        <w:rPr>
          <w:rFonts w:ascii="Times New Roman" w:hAnsi="Times New Roman" w:cs="Times New Roman"/>
        </w:rPr>
        <w:t>Australian Competition and Consumer Commission</w:t>
      </w:r>
      <w:r w:rsidR="00E12722">
        <w:rPr>
          <w:rFonts w:ascii="Times New Roman" w:hAnsi="Times New Roman" w:cs="Times New Roman"/>
        </w:rPr>
        <w:t xml:space="preserve"> (</w:t>
      </w:r>
      <w:r w:rsidR="00E12722" w:rsidRPr="00EF37B8">
        <w:rPr>
          <w:rFonts w:ascii="Times New Roman" w:hAnsi="Times New Roman" w:cs="Times New Roman"/>
          <w:b/>
          <w:bCs/>
        </w:rPr>
        <w:t>ACCC</w:t>
      </w:r>
      <w:r w:rsidR="00E12722">
        <w:rPr>
          <w:rFonts w:ascii="Times New Roman" w:hAnsi="Times New Roman" w:cs="Times New Roman"/>
        </w:rPr>
        <w:t>).</w:t>
      </w:r>
    </w:p>
    <w:p w14:paraId="2C6550FB" w14:textId="1E8628AE" w:rsidR="00E12722" w:rsidRDefault="00451116" w:rsidP="00451116">
      <w:pPr>
        <w:rPr>
          <w:rFonts w:ascii="Times New Roman" w:hAnsi="Times New Roman" w:cs="Times New Roman"/>
        </w:rPr>
      </w:pPr>
      <w:r>
        <w:rPr>
          <w:rFonts w:ascii="Times New Roman" w:hAnsi="Times New Roman" w:cs="Times New Roman"/>
        </w:rPr>
        <w:t xml:space="preserve">The ACMA </w:t>
      </w:r>
      <w:r w:rsidR="00E12722">
        <w:rPr>
          <w:rFonts w:ascii="Times New Roman" w:hAnsi="Times New Roman" w:cs="Times New Roman"/>
        </w:rPr>
        <w:t xml:space="preserve">also </w:t>
      </w:r>
      <w:r w:rsidR="00BE3235" w:rsidRPr="00BE3235">
        <w:rPr>
          <w:rFonts w:ascii="Times New Roman" w:hAnsi="Times New Roman" w:cs="Times New Roman"/>
        </w:rPr>
        <w:t>consult</w:t>
      </w:r>
      <w:r>
        <w:rPr>
          <w:rFonts w:ascii="Times New Roman" w:hAnsi="Times New Roman" w:cs="Times New Roman"/>
        </w:rPr>
        <w:t>ed</w:t>
      </w:r>
      <w:r w:rsidR="00BE3235" w:rsidRPr="00BE3235">
        <w:rPr>
          <w:rFonts w:ascii="Times New Roman" w:hAnsi="Times New Roman" w:cs="Times New Roman"/>
        </w:rPr>
        <w:t xml:space="preserve"> </w:t>
      </w:r>
      <w:r w:rsidR="0001205A">
        <w:rPr>
          <w:rFonts w:ascii="Times New Roman" w:hAnsi="Times New Roman" w:cs="Times New Roman"/>
        </w:rPr>
        <w:t xml:space="preserve">directly </w:t>
      </w:r>
      <w:r w:rsidR="00BE3235" w:rsidRPr="00BE3235">
        <w:rPr>
          <w:rFonts w:ascii="Times New Roman" w:hAnsi="Times New Roman" w:cs="Times New Roman"/>
        </w:rPr>
        <w:t xml:space="preserve">with </w:t>
      </w:r>
      <w:r w:rsidR="00E12722">
        <w:rPr>
          <w:rFonts w:ascii="Times New Roman" w:hAnsi="Times New Roman" w:cs="Times New Roman"/>
        </w:rPr>
        <w:t>industry via a technical reference group establish</w:t>
      </w:r>
      <w:r w:rsidR="00E35596">
        <w:rPr>
          <w:rFonts w:ascii="Times New Roman" w:hAnsi="Times New Roman" w:cs="Times New Roman"/>
        </w:rPr>
        <w:t>ed</w:t>
      </w:r>
      <w:r w:rsidR="00E12722">
        <w:rPr>
          <w:rFonts w:ascii="Times New Roman" w:hAnsi="Times New Roman" w:cs="Times New Roman"/>
        </w:rPr>
        <w:t xml:space="preserve"> to inform the drafting of the Determination.</w:t>
      </w:r>
    </w:p>
    <w:p w14:paraId="4356C9DB" w14:textId="19AF00EC" w:rsidR="00941D32" w:rsidRDefault="0021144B" w:rsidP="00451116">
      <w:pPr>
        <w:rPr>
          <w:rFonts w:ascii="Times New Roman" w:hAnsi="Times New Roman" w:cs="Times New Roman"/>
        </w:rPr>
      </w:pPr>
      <w:r>
        <w:rPr>
          <w:rFonts w:ascii="Times New Roman" w:hAnsi="Times New Roman" w:cs="Times New Roman"/>
        </w:rPr>
        <w:t>T</w:t>
      </w:r>
      <w:r w:rsidR="00316F95" w:rsidRPr="00BE3235">
        <w:rPr>
          <w:rFonts w:ascii="Times New Roman" w:hAnsi="Times New Roman" w:cs="Times New Roman"/>
        </w:rPr>
        <w:t>he ACMA</w:t>
      </w:r>
      <w:r w:rsidR="00316F95">
        <w:rPr>
          <w:rFonts w:ascii="Times New Roman" w:hAnsi="Times New Roman" w:cs="Times New Roman"/>
        </w:rPr>
        <w:t xml:space="preserve"> undertook </w:t>
      </w:r>
      <w:r>
        <w:rPr>
          <w:rFonts w:ascii="Times New Roman" w:hAnsi="Times New Roman" w:cs="Times New Roman"/>
        </w:rPr>
        <w:t xml:space="preserve">a </w:t>
      </w:r>
      <w:r w:rsidR="00316F95">
        <w:rPr>
          <w:rFonts w:ascii="Times New Roman" w:hAnsi="Times New Roman" w:cs="Times New Roman"/>
        </w:rPr>
        <w:t xml:space="preserve">public consultation </w:t>
      </w:r>
      <w:r>
        <w:rPr>
          <w:rFonts w:ascii="Times New Roman" w:hAnsi="Times New Roman" w:cs="Times New Roman"/>
        </w:rPr>
        <w:t xml:space="preserve">process from 17 November until 15 December 2021, </w:t>
      </w:r>
      <w:r w:rsidR="00316F95">
        <w:rPr>
          <w:rFonts w:ascii="Times New Roman" w:hAnsi="Times New Roman" w:cs="Times New Roman"/>
        </w:rPr>
        <w:t>which included</w:t>
      </w:r>
      <w:r w:rsidR="00316F95" w:rsidRPr="00BE3235">
        <w:rPr>
          <w:rFonts w:ascii="Times New Roman" w:hAnsi="Times New Roman" w:cs="Times New Roman"/>
        </w:rPr>
        <w:t xml:space="preserve"> publish</w:t>
      </w:r>
      <w:r w:rsidR="00316F95">
        <w:rPr>
          <w:rFonts w:ascii="Times New Roman" w:hAnsi="Times New Roman" w:cs="Times New Roman"/>
        </w:rPr>
        <w:t>ing</w:t>
      </w:r>
      <w:r w:rsidR="00316F95" w:rsidRPr="00BE3235">
        <w:rPr>
          <w:rFonts w:ascii="Times New Roman" w:hAnsi="Times New Roman" w:cs="Times New Roman"/>
        </w:rPr>
        <w:t xml:space="preserve"> </w:t>
      </w:r>
      <w:r w:rsidR="00316F95">
        <w:rPr>
          <w:rFonts w:ascii="Times New Roman" w:hAnsi="Times New Roman" w:cs="Times New Roman"/>
        </w:rPr>
        <w:t xml:space="preserve">a consultation paper and </w:t>
      </w:r>
      <w:r w:rsidR="002723C2">
        <w:rPr>
          <w:rFonts w:ascii="Times New Roman" w:hAnsi="Times New Roman" w:cs="Times New Roman"/>
        </w:rPr>
        <w:t xml:space="preserve">a </w:t>
      </w:r>
      <w:r w:rsidR="00316F95">
        <w:rPr>
          <w:rFonts w:ascii="Times New Roman" w:hAnsi="Times New Roman" w:cs="Times New Roman"/>
        </w:rPr>
        <w:t>draft</w:t>
      </w:r>
      <w:r w:rsidR="002723C2">
        <w:rPr>
          <w:rFonts w:ascii="Times New Roman" w:hAnsi="Times New Roman" w:cs="Times New Roman"/>
        </w:rPr>
        <w:t xml:space="preserve"> of the</w:t>
      </w:r>
      <w:r w:rsidR="00316F95">
        <w:rPr>
          <w:rFonts w:ascii="Times New Roman" w:hAnsi="Times New Roman" w:cs="Times New Roman"/>
        </w:rPr>
        <w:t xml:space="preserve"> </w:t>
      </w:r>
      <w:r w:rsidR="007B0BAC">
        <w:rPr>
          <w:rFonts w:ascii="Times New Roman" w:hAnsi="Times New Roman" w:cs="Times New Roman"/>
        </w:rPr>
        <w:t>Determination</w:t>
      </w:r>
      <w:r w:rsidR="00316F95">
        <w:rPr>
          <w:rFonts w:ascii="Times New Roman" w:hAnsi="Times New Roman" w:cs="Times New Roman"/>
        </w:rPr>
        <w:t xml:space="preserve"> on the ACMA’s website</w:t>
      </w:r>
      <w:r>
        <w:rPr>
          <w:rFonts w:ascii="Times New Roman" w:hAnsi="Times New Roman" w:cs="Times New Roman"/>
        </w:rPr>
        <w:t xml:space="preserve"> – </w:t>
      </w:r>
      <w:r w:rsidR="00941D32">
        <w:rPr>
          <w:rFonts w:ascii="Times New Roman" w:hAnsi="Times New Roman" w:cs="Times New Roman"/>
        </w:rPr>
        <w:t>see link:</w:t>
      </w:r>
    </w:p>
    <w:p w14:paraId="738AB065" w14:textId="4A3AF2E0" w:rsidR="00941D32" w:rsidRDefault="00F83731" w:rsidP="00941D32">
      <w:pPr>
        <w:rPr>
          <w:rFonts w:ascii="Times New Roman" w:hAnsi="Times New Roman" w:cs="Times New Roman"/>
        </w:rPr>
      </w:pPr>
      <w:bookmarkStart w:id="2" w:name="_Hlk33451712"/>
      <w:r w:rsidRPr="00F83731">
        <w:rPr>
          <w:rFonts w:ascii="Times New Roman" w:hAnsi="Times New Roman" w:cs="Times New Roman"/>
        </w:rPr>
        <w:t>https://www.acma.gov.au/consultations/2021-11/proposal-make-telecommunications-service-provider-customer-identity-verification-determination-2021-consultation-392021</w:t>
      </w:r>
    </w:p>
    <w:bookmarkEnd w:id="2"/>
    <w:p w14:paraId="6B7F69D0" w14:textId="61FE8DA5" w:rsidR="008C7404" w:rsidRDefault="00102942" w:rsidP="00451116">
      <w:pPr>
        <w:rPr>
          <w:rFonts w:ascii="Times New Roman" w:hAnsi="Times New Roman" w:cs="Times New Roman"/>
        </w:rPr>
      </w:pPr>
      <w:r>
        <w:rPr>
          <w:rFonts w:ascii="Times New Roman" w:hAnsi="Times New Roman" w:cs="Times New Roman"/>
        </w:rPr>
        <w:t xml:space="preserve">On </w:t>
      </w:r>
      <w:r w:rsidR="00E35596">
        <w:rPr>
          <w:rFonts w:ascii="Times New Roman" w:hAnsi="Times New Roman" w:cs="Times New Roman"/>
        </w:rPr>
        <w:t>1</w:t>
      </w:r>
      <w:r w:rsidR="00F83731">
        <w:rPr>
          <w:rFonts w:ascii="Times New Roman" w:hAnsi="Times New Roman" w:cs="Times New Roman"/>
        </w:rPr>
        <w:t>7</w:t>
      </w:r>
      <w:r w:rsidR="00E12722">
        <w:rPr>
          <w:rFonts w:ascii="Times New Roman" w:hAnsi="Times New Roman" w:cs="Times New Roman"/>
        </w:rPr>
        <w:t xml:space="preserve"> November 2021</w:t>
      </w:r>
      <w:r w:rsidR="00C9177E">
        <w:rPr>
          <w:rFonts w:ascii="Times New Roman" w:hAnsi="Times New Roman" w:cs="Times New Roman"/>
        </w:rPr>
        <w:t>,</w:t>
      </w:r>
      <w:r>
        <w:rPr>
          <w:rFonts w:ascii="Times New Roman" w:hAnsi="Times New Roman" w:cs="Times New Roman"/>
        </w:rPr>
        <w:t xml:space="preserve"> t</w:t>
      </w:r>
      <w:r w:rsidR="008C7404">
        <w:rPr>
          <w:rFonts w:ascii="Times New Roman" w:hAnsi="Times New Roman" w:cs="Times New Roman"/>
        </w:rPr>
        <w:t xml:space="preserve">he ACMA </w:t>
      </w:r>
      <w:r w:rsidR="00E41250">
        <w:rPr>
          <w:rFonts w:ascii="Times New Roman" w:hAnsi="Times New Roman" w:cs="Times New Roman"/>
        </w:rPr>
        <w:t>distributed</w:t>
      </w:r>
      <w:r w:rsidR="00B700C0">
        <w:rPr>
          <w:rFonts w:ascii="Times New Roman" w:hAnsi="Times New Roman" w:cs="Times New Roman"/>
        </w:rPr>
        <w:t xml:space="preserve"> a</w:t>
      </w:r>
      <w:r w:rsidR="00E12722">
        <w:rPr>
          <w:rFonts w:ascii="Times New Roman" w:hAnsi="Times New Roman" w:cs="Times New Roman"/>
        </w:rPr>
        <w:t xml:space="preserve">n e-bulletin to the ACMA’s </w:t>
      </w:r>
      <w:r w:rsidR="00F83731">
        <w:rPr>
          <w:rFonts w:ascii="Times New Roman" w:hAnsi="Times New Roman" w:cs="Times New Roman"/>
        </w:rPr>
        <w:t xml:space="preserve">telecommunications, </w:t>
      </w:r>
      <w:r w:rsidR="00E12722" w:rsidRPr="00E12722">
        <w:rPr>
          <w:rFonts w:ascii="Times New Roman" w:hAnsi="Times New Roman" w:cs="Times New Roman"/>
        </w:rPr>
        <w:t>phone scams</w:t>
      </w:r>
      <w:r w:rsidR="00E41250">
        <w:rPr>
          <w:rFonts w:ascii="Times New Roman" w:hAnsi="Times New Roman" w:cs="Times New Roman"/>
        </w:rPr>
        <w:t>,</w:t>
      </w:r>
      <w:r w:rsidR="00E12722" w:rsidRPr="00E12722">
        <w:rPr>
          <w:rFonts w:ascii="Times New Roman" w:hAnsi="Times New Roman" w:cs="Times New Roman"/>
        </w:rPr>
        <w:t xml:space="preserve"> </w:t>
      </w:r>
      <w:r w:rsidR="00F83731">
        <w:rPr>
          <w:rFonts w:ascii="Times New Roman" w:hAnsi="Times New Roman" w:cs="Times New Roman"/>
        </w:rPr>
        <w:t xml:space="preserve">and </w:t>
      </w:r>
      <w:r w:rsidR="00E35596">
        <w:rPr>
          <w:rFonts w:ascii="Times New Roman" w:hAnsi="Times New Roman" w:cs="Times New Roman"/>
        </w:rPr>
        <w:t xml:space="preserve">consultation </w:t>
      </w:r>
      <w:r w:rsidR="00F83731" w:rsidRPr="00E12722">
        <w:rPr>
          <w:rFonts w:ascii="Times New Roman" w:hAnsi="Times New Roman" w:cs="Times New Roman"/>
        </w:rPr>
        <w:t xml:space="preserve">newsletter </w:t>
      </w:r>
      <w:r w:rsidR="00E35596">
        <w:rPr>
          <w:rFonts w:ascii="Times New Roman" w:hAnsi="Times New Roman" w:cs="Times New Roman"/>
        </w:rPr>
        <w:t>list</w:t>
      </w:r>
      <w:r w:rsidR="00F83731">
        <w:rPr>
          <w:rFonts w:ascii="Times New Roman" w:hAnsi="Times New Roman" w:cs="Times New Roman"/>
        </w:rPr>
        <w:t xml:space="preserve">s, as well as other </w:t>
      </w:r>
      <w:r w:rsidR="00B552E7">
        <w:rPr>
          <w:rFonts w:ascii="Times New Roman" w:hAnsi="Times New Roman" w:cs="Times New Roman"/>
        </w:rPr>
        <w:t>organisations with an interest in telecommunications regulations as they relate to customers in vulnerable circumstances</w:t>
      </w:r>
      <w:r w:rsidR="003910F2">
        <w:rPr>
          <w:rFonts w:ascii="Times New Roman" w:hAnsi="Times New Roman" w:cs="Times New Roman"/>
        </w:rPr>
        <w:t>. The e-bulletin</w:t>
      </w:r>
      <w:r w:rsidR="00932015">
        <w:rPr>
          <w:rFonts w:ascii="Times New Roman" w:hAnsi="Times New Roman" w:cs="Times New Roman"/>
        </w:rPr>
        <w:t xml:space="preserve"> </w:t>
      </w:r>
      <w:r w:rsidR="00BB1C5C">
        <w:rPr>
          <w:rFonts w:ascii="Times New Roman" w:hAnsi="Times New Roman" w:cs="Times New Roman"/>
        </w:rPr>
        <w:t>invit</w:t>
      </w:r>
      <w:r w:rsidR="003910F2">
        <w:rPr>
          <w:rFonts w:ascii="Times New Roman" w:hAnsi="Times New Roman" w:cs="Times New Roman"/>
        </w:rPr>
        <w:t>ed</w:t>
      </w:r>
      <w:r w:rsidR="00BB1C5C">
        <w:rPr>
          <w:rFonts w:ascii="Times New Roman" w:hAnsi="Times New Roman" w:cs="Times New Roman"/>
        </w:rPr>
        <w:t xml:space="preserve"> </w:t>
      </w:r>
      <w:r w:rsidR="00E41250">
        <w:rPr>
          <w:rFonts w:ascii="Times New Roman" w:hAnsi="Times New Roman" w:cs="Times New Roman"/>
        </w:rPr>
        <w:t xml:space="preserve">submissions on the consultation paper and draft </w:t>
      </w:r>
      <w:r w:rsidR="007E6D71">
        <w:rPr>
          <w:rFonts w:ascii="Times New Roman" w:hAnsi="Times New Roman" w:cs="Times New Roman"/>
        </w:rPr>
        <w:t>Determination</w:t>
      </w:r>
      <w:r w:rsidR="005974C0">
        <w:rPr>
          <w:rFonts w:ascii="Times New Roman" w:hAnsi="Times New Roman" w:cs="Times New Roman"/>
        </w:rPr>
        <w:t xml:space="preserve"> and</w:t>
      </w:r>
      <w:r w:rsidR="00E41250" w:rsidRPr="00E41250">
        <w:rPr>
          <w:rFonts w:ascii="Times New Roman" w:hAnsi="Times New Roman" w:cs="Times New Roman"/>
        </w:rPr>
        <w:t xml:space="preserve"> advis</w:t>
      </w:r>
      <w:r w:rsidR="003910F2">
        <w:rPr>
          <w:rFonts w:ascii="Times New Roman" w:hAnsi="Times New Roman" w:cs="Times New Roman"/>
        </w:rPr>
        <w:t>ed</w:t>
      </w:r>
      <w:r w:rsidR="00E41250" w:rsidRPr="00E41250">
        <w:rPr>
          <w:rFonts w:ascii="Times New Roman" w:hAnsi="Times New Roman" w:cs="Times New Roman"/>
        </w:rPr>
        <w:t xml:space="preserve"> </w:t>
      </w:r>
      <w:r w:rsidR="000E3C3B">
        <w:rPr>
          <w:rFonts w:ascii="Times New Roman" w:hAnsi="Times New Roman" w:cs="Times New Roman"/>
        </w:rPr>
        <w:t>copies</w:t>
      </w:r>
      <w:r w:rsidR="00E41250">
        <w:rPr>
          <w:rFonts w:ascii="Times New Roman" w:hAnsi="Times New Roman" w:cs="Times New Roman"/>
        </w:rPr>
        <w:t xml:space="preserve"> </w:t>
      </w:r>
      <w:r w:rsidR="00E41250" w:rsidRPr="00E41250">
        <w:rPr>
          <w:rFonts w:ascii="Times New Roman" w:hAnsi="Times New Roman" w:cs="Times New Roman"/>
        </w:rPr>
        <w:t>could be obtained via the ACMA’s website</w:t>
      </w:r>
      <w:r w:rsidR="00E41250">
        <w:rPr>
          <w:rFonts w:ascii="Times New Roman" w:hAnsi="Times New Roman" w:cs="Times New Roman"/>
        </w:rPr>
        <w:t>.</w:t>
      </w:r>
    </w:p>
    <w:p w14:paraId="227A1A75" w14:textId="23E58051" w:rsidR="00753A0E" w:rsidRDefault="00316F95" w:rsidP="00316F95">
      <w:pPr>
        <w:rPr>
          <w:rFonts w:ascii="Times New Roman" w:hAnsi="Times New Roman" w:cs="Times New Roman"/>
        </w:rPr>
      </w:pPr>
      <w:r>
        <w:rPr>
          <w:rFonts w:ascii="Times New Roman" w:hAnsi="Times New Roman" w:cs="Times New Roman"/>
        </w:rPr>
        <w:t xml:space="preserve">The ACMA informed key stakeholders of the publication of the documents and </w:t>
      </w:r>
      <w:r w:rsidRPr="006B6A72">
        <w:rPr>
          <w:rFonts w:ascii="Times New Roman" w:hAnsi="Times New Roman" w:cs="Times New Roman"/>
        </w:rPr>
        <w:t>invit</w:t>
      </w:r>
      <w:r>
        <w:rPr>
          <w:rFonts w:ascii="Times New Roman" w:hAnsi="Times New Roman" w:cs="Times New Roman"/>
        </w:rPr>
        <w:t xml:space="preserve">ed </w:t>
      </w:r>
      <w:r w:rsidRPr="006B6A72">
        <w:rPr>
          <w:rFonts w:ascii="Times New Roman" w:hAnsi="Times New Roman" w:cs="Times New Roman"/>
        </w:rPr>
        <w:t xml:space="preserve">comment </w:t>
      </w:r>
      <w:r>
        <w:rPr>
          <w:rFonts w:ascii="Times New Roman" w:hAnsi="Times New Roman" w:cs="Times New Roman"/>
        </w:rPr>
        <w:t xml:space="preserve">on the draft </w:t>
      </w:r>
      <w:r w:rsidR="00857222">
        <w:rPr>
          <w:rFonts w:ascii="Times New Roman" w:hAnsi="Times New Roman" w:cs="Times New Roman"/>
        </w:rPr>
        <w:t xml:space="preserve">of the </w:t>
      </w:r>
      <w:r w:rsidR="007B0BAC">
        <w:rPr>
          <w:rFonts w:ascii="Times New Roman" w:hAnsi="Times New Roman" w:cs="Times New Roman"/>
        </w:rPr>
        <w:t>Determination</w:t>
      </w:r>
      <w:r w:rsidR="00E56F9C">
        <w:rPr>
          <w:rFonts w:ascii="Times New Roman" w:hAnsi="Times New Roman" w:cs="Times New Roman"/>
        </w:rPr>
        <w:t xml:space="preserve"> </w:t>
      </w:r>
      <w:r w:rsidRPr="006B6A72">
        <w:rPr>
          <w:rFonts w:ascii="Times New Roman" w:hAnsi="Times New Roman" w:cs="Times New Roman"/>
        </w:rPr>
        <w:t>and</w:t>
      </w:r>
      <w:r w:rsidR="00E92DD2">
        <w:rPr>
          <w:rFonts w:ascii="Times New Roman" w:hAnsi="Times New Roman" w:cs="Times New Roman"/>
        </w:rPr>
        <w:t xml:space="preserve"> on the</w:t>
      </w:r>
      <w:r w:rsidRPr="006B6A72">
        <w:rPr>
          <w:rFonts w:ascii="Times New Roman" w:hAnsi="Times New Roman" w:cs="Times New Roman"/>
        </w:rPr>
        <w:t xml:space="preserve"> </w:t>
      </w:r>
      <w:r>
        <w:rPr>
          <w:rFonts w:ascii="Times New Roman" w:hAnsi="Times New Roman" w:cs="Times New Roman"/>
        </w:rPr>
        <w:t xml:space="preserve">issues set out in the </w:t>
      </w:r>
      <w:r w:rsidR="00423DEA">
        <w:rPr>
          <w:rFonts w:ascii="Times New Roman" w:hAnsi="Times New Roman" w:cs="Times New Roman"/>
        </w:rPr>
        <w:t xml:space="preserve">accompanying </w:t>
      </w:r>
      <w:r>
        <w:rPr>
          <w:rFonts w:ascii="Times New Roman" w:hAnsi="Times New Roman" w:cs="Times New Roman"/>
        </w:rPr>
        <w:t>consultation paper.</w:t>
      </w:r>
      <w:r w:rsidR="00E12722">
        <w:rPr>
          <w:rFonts w:ascii="Times New Roman" w:hAnsi="Times New Roman" w:cs="Times New Roman"/>
        </w:rPr>
        <w:t xml:space="preserve"> Key stakeholders included</w:t>
      </w:r>
      <w:r w:rsidR="00A16549">
        <w:rPr>
          <w:rFonts w:ascii="Times New Roman" w:hAnsi="Times New Roman" w:cs="Times New Roman"/>
        </w:rPr>
        <w:t>:</w:t>
      </w:r>
      <w:r w:rsidR="00E12722">
        <w:rPr>
          <w:rFonts w:ascii="Times New Roman" w:hAnsi="Times New Roman" w:cs="Times New Roman"/>
        </w:rPr>
        <w:t xml:space="preserve"> </w:t>
      </w:r>
      <w:r w:rsidR="00A16549">
        <w:rPr>
          <w:rFonts w:ascii="Times New Roman" w:hAnsi="Times New Roman" w:cs="Times New Roman"/>
        </w:rPr>
        <w:t xml:space="preserve">the primary telecommunications industry body </w:t>
      </w:r>
      <w:r w:rsidR="00E12722" w:rsidRPr="00E12722">
        <w:rPr>
          <w:rFonts w:ascii="Times New Roman" w:hAnsi="Times New Roman" w:cs="Times New Roman"/>
        </w:rPr>
        <w:t>Communications Alliance and its members</w:t>
      </w:r>
      <w:r w:rsidR="00A16549">
        <w:rPr>
          <w:rFonts w:ascii="Times New Roman" w:hAnsi="Times New Roman" w:cs="Times New Roman"/>
        </w:rPr>
        <w:t>;</w:t>
      </w:r>
      <w:r w:rsidR="00E12722" w:rsidRPr="00E12722">
        <w:rPr>
          <w:rFonts w:ascii="Times New Roman" w:hAnsi="Times New Roman" w:cs="Times New Roman"/>
        </w:rPr>
        <w:t xml:space="preserve"> Australian Mobile Telecommunications Association</w:t>
      </w:r>
      <w:r w:rsidR="00A16549">
        <w:rPr>
          <w:rFonts w:ascii="Times New Roman" w:hAnsi="Times New Roman" w:cs="Times New Roman"/>
        </w:rPr>
        <w:t>;</w:t>
      </w:r>
      <w:r w:rsidR="00E12722" w:rsidRPr="00E12722">
        <w:rPr>
          <w:rFonts w:ascii="Times New Roman" w:hAnsi="Times New Roman" w:cs="Times New Roman"/>
        </w:rPr>
        <w:t xml:space="preserve"> the financial sector (inc</w:t>
      </w:r>
      <w:r w:rsidR="00E12722">
        <w:rPr>
          <w:rFonts w:ascii="Times New Roman" w:hAnsi="Times New Roman" w:cs="Times New Roman"/>
        </w:rPr>
        <w:t>luding</w:t>
      </w:r>
      <w:r w:rsidR="00E12722" w:rsidRPr="00E12722">
        <w:rPr>
          <w:rFonts w:ascii="Times New Roman" w:hAnsi="Times New Roman" w:cs="Times New Roman"/>
        </w:rPr>
        <w:t xml:space="preserve"> banks)</w:t>
      </w:r>
      <w:r w:rsidR="00A16549">
        <w:rPr>
          <w:rFonts w:ascii="Times New Roman" w:hAnsi="Times New Roman" w:cs="Times New Roman"/>
        </w:rPr>
        <w:t>;</w:t>
      </w:r>
      <w:r w:rsidR="00E12722" w:rsidRPr="00E12722">
        <w:rPr>
          <w:rFonts w:ascii="Times New Roman" w:hAnsi="Times New Roman" w:cs="Times New Roman"/>
        </w:rPr>
        <w:t xml:space="preserve"> </w:t>
      </w:r>
      <w:r w:rsidR="00174D14">
        <w:rPr>
          <w:rFonts w:ascii="Times New Roman" w:hAnsi="Times New Roman" w:cs="Times New Roman"/>
        </w:rPr>
        <w:t>the ACCC</w:t>
      </w:r>
      <w:r w:rsidR="00F26EAF">
        <w:rPr>
          <w:rFonts w:ascii="Times New Roman" w:hAnsi="Times New Roman" w:cs="Times New Roman"/>
        </w:rPr>
        <w:t>;</w:t>
      </w:r>
      <w:r w:rsidR="00174D14">
        <w:rPr>
          <w:rFonts w:ascii="Times New Roman" w:hAnsi="Times New Roman" w:cs="Times New Roman"/>
        </w:rPr>
        <w:t xml:space="preserve"> </w:t>
      </w:r>
      <w:r w:rsidR="00E12722" w:rsidRPr="00E12722">
        <w:rPr>
          <w:rFonts w:ascii="Times New Roman" w:hAnsi="Times New Roman" w:cs="Times New Roman"/>
        </w:rPr>
        <w:t>the Australian Cyber Security Centre</w:t>
      </w:r>
      <w:r w:rsidR="00F26EAF">
        <w:rPr>
          <w:rFonts w:ascii="Times New Roman" w:hAnsi="Times New Roman" w:cs="Times New Roman"/>
        </w:rPr>
        <w:t>;</w:t>
      </w:r>
      <w:r w:rsidR="00E12722" w:rsidRPr="00E12722">
        <w:rPr>
          <w:rFonts w:ascii="Times New Roman" w:hAnsi="Times New Roman" w:cs="Times New Roman"/>
        </w:rPr>
        <w:t xml:space="preserve"> </w:t>
      </w:r>
      <w:r w:rsidR="00D04E5C">
        <w:rPr>
          <w:rFonts w:ascii="Times New Roman" w:hAnsi="Times New Roman" w:cs="Times New Roman"/>
        </w:rPr>
        <w:t xml:space="preserve">the Department of </w:t>
      </w:r>
      <w:r w:rsidR="00D04E5C" w:rsidRPr="00174D14">
        <w:rPr>
          <w:rFonts w:ascii="Times New Roman" w:hAnsi="Times New Roman" w:cs="Times New Roman"/>
        </w:rPr>
        <w:t>Home Affairs</w:t>
      </w:r>
      <w:r w:rsidR="00F26EAF">
        <w:rPr>
          <w:rFonts w:ascii="Times New Roman" w:hAnsi="Times New Roman" w:cs="Times New Roman"/>
        </w:rPr>
        <w:t>;</w:t>
      </w:r>
      <w:r w:rsidR="00D04E5C" w:rsidRPr="00E12722">
        <w:rPr>
          <w:rFonts w:ascii="Times New Roman" w:hAnsi="Times New Roman" w:cs="Times New Roman"/>
        </w:rPr>
        <w:t xml:space="preserve"> </w:t>
      </w:r>
      <w:r w:rsidR="00174D14" w:rsidRPr="00E12722">
        <w:rPr>
          <w:rFonts w:ascii="Times New Roman" w:hAnsi="Times New Roman" w:cs="Times New Roman"/>
        </w:rPr>
        <w:t>the Department of Infrastructure, Transport, Regional Development and Communications</w:t>
      </w:r>
      <w:r w:rsidR="00F26EAF">
        <w:rPr>
          <w:rFonts w:ascii="Times New Roman" w:hAnsi="Times New Roman" w:cs="Times New Roman"/>
        </w:rPr>
        <w:t>;</w:t>
      </w:r>
      <w:r w:rsidR="00174D14" w:rsidRPr="00174D14">
        <w:rPr>
          <w:rFonts w:ascii="Times New Roman" w:hAnsi="Times New Roman" w:cs="Times New Roman"/>
        </w:rPr>
        <w:t xml:space="preserve"> the Digital Transformation Agency</w:t>
      </w:r>
      <w:r w:rsidR="00F26EAF">
        <w:rPr>
          <w:rFonts w:ascii="Times New Roman" w:hAnsi="Times New Roman" w:cs="Times New Roman"/>
        </w:rPr>
        <w:t>;</w:t>
      </w:r>
      <w:r w:rsidR="00174D14" w:rsidRPr="00174D14">
        <w:rPr>
          <w:rFonts w:ascii="Times New Roman" w:hAnsi="Times New Roman" w:cs="Times New Roman"/>
        </w:rPr>
        <w:t xml:space="preserve"> the Telecommunications Industry Ombudsman</w:t>
      </w:r>
      <w:r w:rsidR="00F26EAF">
        <w:rPr>
          <w:rFonts w:ascii="Times New Roman" w:hAnsi="Times New Roman" w:cs="Times New Roman"/>
        </w:rPr>
        <w:t>;</w:t>
      </w:r>
      <w:r w:rsidR="00174D14" w:rsidRPr="00174D14">
        <w:rPr>
          <w:rFonts w:ascii="Times New Roman" w:hAnsi="Times New Roman" w:cs="Times New Roman"/>
        </w:rPr>
        <w:t xml:space="preserve"> the Office of the Australian Information Commissioner</w:t>
      </w:r>
      <w:r w:rsidR="00F26EAF">
        <w:rPr>
          <w:rFonts w:ascii="Times New Roman" w:hAnsi="Times New Roman" w:cs="Times New Roman"/>
        </w:rPr>
        <w:t>;</w:t>
      </w:r>
      <w:r w:rsidR="00174D14" w:rsidRPr="00E12722">
        <w:rPr>
          <w:rFonts w:ascii="Times New Roman" w:hAnsi="Times New Roman" w:cs="Times New Roman"/>
        </w:rPr>
        <w:t xml:space="preserve"> </w:t>
      </w:r>
      <w:r w:rsidR="00E12722" w:rsidRPr="00E12722">
        <w:rPr>
          <w:rFonts w:ascii="Times New Roman" w:hAnsi="Times New Roman" w:cs="Times New Roman"/>
        </w:rPr>
        <w:t>the Australian Communications Consumer Action Network</w:t>
      </w:r>
      <w:r w:rsidR="00F26EAF">
        <w:rPr>
          <w:rFonts w:ascii="Times New Roman" w:hAnsi="Times New Roman" w:cs="Times New Roman"/>
        </w:rPr>
        <w:t>;</w:t>
      </w:r>
      <w:r w:rsidR="00A16549">
        <w:rPr>
          <w:rFonts w:ascii="Times New Roman" w:hAnsi="Times New Roman" w:cs="Times New Roman"/>
        </w:rPr>
        <w:t xml:space="preserve"> </w:t>
      </w:r>
      <w:r w:rsidR="00E12722" w:rsidRPr="00E12722">
        <w:rPr>
          <w:rFonts w:ascii="Times New Roman" w:hAnsi="Times New Roman" w:cs="Times New Roman"/>
        </w:rPr>
        <w:t>and ID</w:t>
      </w:r>
      <w:r w:rsidR="003910F2">
        <w:rPr>
          <w:rFonts w:ascii="Times New Roman" w:hAnsi="Times New Roman" w:cs="Times New Roman"/>
        </w:rPr>
        <w:t>CARE</w:t>
      </w:r>
      <w:r w:rsidR="00E12722" w:rsidRPr="00E12722">
        <w:rPr>
          <w:rFonts w:ascii="Times New Roman" w:hAnsi="Times New Roman" w:cs="Times New Roman"/>
        </w:rPr>
        <w:t xml:space="preserve"> (ID</w:t>
      </w:r>
      <w:r w:rsidR="003910F2">
        <w:rPr>
          <w:rFonts w:ascii="Times New Roman" w:hAnsi="Times New Roman" w:cs="Times New Roman"/>
        </w:rPr>
        <w:t>CARE</w:t>
      </w:r>
      <w:r w:rsidR="00E12722" w:rsidRPr="00E12722">
        <w:rPr>
          <w:rFonts w:ascii="Times New Roman" w:hAnsi="Times New Roman" w:cs="Times New Roman"/>
        </w:rPr>
        <w:t xml:space="preserve"> is a not-for-profit that assists victims of ID fraud).</w:t>
      </w:r>
    </w:p>
    <w:p w14:paraId="60D99E5D" w14:textId="5EAD5C89" w:rsidR="00753A0E" w:rsidRDefault="00753A0E" w:rsidP="00316F95">
      <w:pPr>
        <w:rPr>
          <w:rFonts w:ascii="Times New Roman" w:hAnsi="Times New Roman" w:cs="Times New Roman"/>
        </w:rPr>
      </w:pPr>
      <w:r w:rsidRPr="00753A0E">
        <w:rPr>
          <w:rFonts w:ascii="Times New Roman" w:hAnsi="Times New Roman" w:cs="Times New Roman"/>
        </w:rPr>
        <w:t xml:space="preserve">The consultation paper sought comment on certain matters included in the draft instrument as well as inviting general comments. The ACMA received </w:t>
      </w:r>
      <w:r>
        <w:rPr>
          <w:rFonts w:ascii="Times New Roman" w:hAnsi="Times New Roman" w:cs="Times New Roman"/>
        </w:rPr>
        <w:t>14</w:t>
      </w:r>
      <w:r w:rsidRPr="00753A0E">
        <w:rPr>
          <w:rFonts w:ascii="Times New Roman" w:hAnsi="Times New Roman" w:cs="Times New Roman"/>
        </w:rPr>
        <w:t xml:space="preserve"> submissions in response to the consultation paper </w:t>
      </w:r>
      <w:r w:rsidRPr="0060463F">
        <w:rPr>
          <w:rFonts w:ascii="Times New Roman" w:hAnsi="Times New Roman" w:cs="Times New Roman"/>
        </w:rPr>
        <w:t xml:space="preserve">including </w:t>
      </w:r>
      <w:r>
        <w:rPr>
          <w:rFonts w:ascii="Times New Roman" w:hAnsi="Times New Roman" w:cs="Times New Roman"/>
        </w:rPr>
        <w:t xml:space="preserve">from </w:t>
      </w:r>
      <w:r w:rsidRPr="0060463F">
        <w:rPr>
          <w:rFonts w:ascii="Times New Roman" w:hAnsi="Times New Roman" w:cs="Times New Roman"/>
        </w:rPr>
        <w:t xml:space="preserve">the </w:t>
      </w:r>
      <w:r w:rsidRPr="001E3CE9">
        <w:rPr>
          <w:rFonts w:ascii="Times New Roman" w:hAnsi="Times New Roman" w:cs="Times New Roman"/>
        </w:rPr>
        <w:t xml:space="preserve">telecommunications industry, consumer advocates, individual </w:t>
      </w:r>
      <w:proofErr w:type="gramStart"/>
      <w:r w:rsidRPr="001E3CE9">
        <w:rPr>
          <w:rFonts w:ascii="Times New Roman" w:hAnsi="Times New Roman" w:cs="Times New Roman"/>
        </w:rPr>
        <w:t>consumers</w:t>
      </w:r>
      <w:proofErr w:type="gramEnd"/>
      <w:r w:rsidRPr="001E3CE9">
        <w:rPr>
          <w:rFonts w:ascii="Times New Roman" w:hAnsi="Times New Roman" w:cs="Times New Roman"/>
        </w:rPr>
        <w:t xml:space="preserve"> and government agencies</w:t>
      </w:r>
      <w:r w:rsidRPr="00753A0E">
        <w:rPr>
          <w:rFonts w:ascii="Times New Roman" w:hAnsi="Times New Roman" w:cs="Times New Roman"/>
        </w:rPr>
        <w:t xml:space="preserve">. The ACMA considered all relevant issues raised by the </w:t>
      </w:r>
      <w:r>
        <w:rPr>
          <w:rFonts w:ascii="Times New Roman" w:hAnsi="Times New Roman" w:cs="Times New Roman"/>
        </w:rPr>
        <w:t>14</w:t>
      </w:r>
      <w:r w:rsidRPr="00753A0E">
        <w:rPr>
          <w:rFonts w:ascii="Times New Roman" w:hAnsi="Times New Roman" w:cs="Times New Roman"/>
        </w:rPr>
        <w:t xml:space="preserve"> submissions when finalising the </w:t>
      </w:r>
      <w:r>
        <w:rPr>
          <w:rFonts w:ascii="Times New Roman" w:hAnsi="Times New Roman" w:cs="Times New Roman"/>
        </w:rPr>
        <w:t>Determination</w:t>
      </w:r>
      <w:r w:rsidRPr="00753A0E">
        <w:rPr>
          <w:rFonts w:ascii="Times New Roman" w:hAnsi="Times New Roman" w:cs="Times New Roman"/>
        </w:rPr>
        <w:t>.</w:t>
      </w:r>
    </w:p>
    <w:p w14:paraId="22C4EC8C" w14:textId="77777777" w:rsidR="00446CB7" w:rsidRDefault="00446CB7" w:rsidP="00446CB7">
      <w:pPr>
        <w:rPr>
          <w:rFonts w:ascii="Times New Roman" w:hAnsi="Times New Roman" w:cs="Times New Roman"/>
          <w:b/>
        </w:rPr>
      </w:pPr>
      <w:r>
        <w:rPr>
          <w:rFonts w:ascii="Times New Roman" w:hAnsi="Times New Roman" w:cs="Times New Roman"/>
          <w:b/>
        </w:rPr>
        <w:t>Regulatory impact assessment</w:t>
      </w:r>
    </w:p>
    <w:p w14:paraId="3CED349A" w14:textId="62A50402" w:rsidR="00A93932" w:rsidRPr="00806779" w:rsidRDefault="00A93932" w:rsidP="00A93932">
      <w:pPr>
        <w:spacing w:before="80" w:after="120" w:line="280" w:lineRule="atLeast"/>
        <w:rPr>
          <w:rFonts w:ascii="Times New Roman" w:hAnsi="Times New Roman" w:cs="Times New Roman"/>
        </w:rPr>
      </w:pPr>
      <w:r w:rsidRPr="008B42F7">
        <w:rPr>
          <w:rFonts w:ascii="Times New Roman" w:hAnsi="Times New Roman" w:cs="Times New Roman"/>
        </w:rPr>
        <w:t xml:space="preserve">The ACMA prepared </w:t>
      </w:r>
      <w:r w:rsidR="00511A11">
        <w:rPr>
          <w:rFonts w:ascii="Times New Roman" w:hAnsi="Times New Roman" w:cs="Times New Roman"/>
        </w:rPr>
        <w:t xml:space="preserve">a </w:t>
      </w:r>
      <w:r w:rsidR="006064E2">
        <w:rPr>
          <w:rFonts w:ascii="Times New Roman" w:hAnsi="Times New Roman" w:cs="Times New Roman"/>
        </w:rPr>
        <w:t>R</w:t>
      </w:r>
      <w:r w:rsidR="00511A11">
        <w:rPr>
          <w:rFonts w:ascii="Times New Roman" w:hAnsi="Times New Roman" w:cs="Times New Roman"/>
        </w:rPr>
        <w:t xml:space="preserve">egulation </w:t>
      </w:r>
      <w:r w:rsidR="006064E2">
        <w:rPr>
          <w:rFonts w:ascii="Times New Roman" w:hAnsi="Times New Roman" w:cs="Times New Roman"/>
        </w:rPr>
        <w:t>I</w:t>
      </w:r>
      <w:r w:rsidR="00511A11">
        <w:rPr>
          <w:rFonts w:ascii="Times New Roman" w:hAnsi="Times New Roman" w:cs="Times New Roman"/>
        </w:rPr>
        <w:t xml:space="preserve">mpact </w:t>
      </w:r>
      <w:r w:rsidR="006064E2">
        <w:rPr>
          <w:rFonts w:ascii="Times New Roman" w:hAnsi="Times New Roman" w:cs="Times New Roman"/>
        </w:rPr>
        <w:t>S</w:t>
      </w:r>
      <w:r w:rsidR="00511A11">
        <w:rPr>
          <w:rFonts w:ascii="Times New Roman" w:hAnsi="Times New Roman" w:cs="Times New Roman"/>
        </w:rPr>
        <w:t>tatement (</w:t>
      </w:r>
      <w:r w:rsidRPr="00EF37B8">
        <w:rPr>
          <w:rFonts w:ascii="Times New Roman" w:hAnsi="Times New Roman" w:cs="Times New Roman"/>
          <w:b/>
          <w:bCs/>
        </w:rPr>
        <w:t>RIS</w:t>
      </w:r>
      <w:r w:rsidR="00511A11">
        <w:rPr>
          <w:rFonts w:ascii="Times New Roman" w:hAnsi="Times New Roman" w:cs="Times New Roman"/>
        </w:rPr>
        <w:t>)</w:t>
      </w:r>
      <w:r w:rsidRPr="008B42F7">
        <w:rPr>
          <w:rFonts w:ascii="Times New Roman" w:hAnsi="Times New Roman" w:cs="Times New Roman"/>
        </w:rPr>
        <w:t xml:space="preserve"> included </w:t>
      </w:r>
      <w:r w:rsidRPr="001B43CB">
        <w:rPr>
          <w:rFonts w:ascii="Times New Roman" w:hAnsi="Times New Roman" w:cs="Times New Roman"/>
        </w:rPr>
        <w:t xml:space="preserve">at </w:t>
      </w:r>
      <w:r w:rsidRPr="001B43CB">
        <w:rPr>
          <w:rFonts w:ascii="Times New Roman" w:hAnsi="Times New Roman" w:cs="Times New Roman"/>
          <w:b/>
          <w:bCs/>
        </w:rPr>
        <w:t xml:space="preserve">Attachment </w:t>
      </w:r>
      <w:r w:rsidR="00007FDE" w:rsidRPr="001B43CB">
        <w:rPr>
          <w:rFonts w:ascii="Times New Roman" w:hAnsi="Times New Roman" w:cs="Times New Roman"/>
          <w:b/>
          <w:bCs/>
        </w:rPr>
        <w:t>C</w:t>
      </w:r>
      <w:r w:rsidRPr="00806779">
        <w:rPr>
          <w:rFonts w:ascii="Times New Roman" w:hAnsi="Times New Roman" w:cs="Times New Roman"/>
        </w:rPr>
        <w:t xml:space="preserve">. </w:t>
      </w:r>
      <w:r w:rsidR="006E13FE">
        <w:rPr>
          <w:rFonts w:ascii="Times New Roman" w:hAnsi="Times New Roman" w:cs="Times New Roman"/>
        </w:rPr>
        <w:t xml:space="preserve"> The Office of Best Practice Regulation (</w:t>
      </w:r>
      <w:r w:rsidRPr="006E13FE">
        <w:rPr>
          <w:rFonts w:ascii="Times New Roman" w:hAnsi="Times New Roman" w:cs="Times New Roman"/>
          <w:b/>
          <w:bCs/>
        </w:rPr>
        <w:t>OBPR</w:t>
      </w:r>
      <w:r w:rsidR="006E13FE">
        <w:rPr>
          <w:rFonts w:ascii="Times New Roman" w:hAnsi="Times New Roman" w:cs="Times New Roman"/>
        </w:rPr>
        <w:t>)</w:t>
      </w:r>
      <w:r w:rsidR="006064E2">
        <w:rPr>
          <w:rFonts w:ascii="Times New Roman" w:hAnsi="Times New Roman" w:cs="Times New Roman"/>
        </w:rPr>
        <w:t xml:space="preserve"> </w:t>
      </w:r>
      <w:r w:rsidRPr="00806779">
        <w:rPr>
          <w:rFonts w:ascii="Times New Roman" w:hAnsi="Times New Roman" w:cs="Times New Roman"/>
        </w:rPr>
        <w:t>assess</w:t>
      </w:r>
      <w:r w:rsidR="00511A11">
        <w:rPr>
          <w:rFonts w:ascii="Times New Roman" w:hAnsi="Times New Roman" w:cs="Times New Roman"/>
        </w:rPr>
        <w:t>ed the RIS</w:t>
      </w:r>
      <w:r w:rsidRPr="00806779">
        <w:rPr>
          <w:rFonts w:ascii="Times New Roman" w:hAnsi="Times New Roman" w:cs="Times New Roman"/>
        </w:rPr>
        <w:t xml:space="preserve"> </w:t>
      </w:r>
      <w:r w:rsidR="00C168B6">
        <w:rPr>
          <w:rFonts w:ascii="Times New Roman" w:hAnsi="Times New Roman" w:cs="Times New Roman"/>
        </w:rPr>
        <w:t>as</w:t>
      </w:r>
      <w:r w:rsidRPr="00806779">
        <w:rPr>
          <w:rFonts w:ascii="Times New Roman" w:hAnsi="Times New Roman" w:cs="Times New Roman"/>
        </w:rPr>
        <w:t xml:space="preserve"> </w:t>
      </w:r>
      <w:r w:rsidRPr="00C913A2">
        <w:rPr>
          <w:rFonts w:ascii="Times New Roman" w:hAnsi="Times New Roman" w:cs="Times New Roman"/>
        </w:rPr>
        <w:t>compliant</w:t>
      </w:r>
      <w:r w:rsidR="00511A11" w:rsidRPr="00C913A2">
        <w:rPr>
          <w:rFonts w:ascii="Times New Roman" w:hAnsi="Times New Roman" w:cs="Times New Roman"/>
        </w:rPr>
        <w:t xml:space="preserve"> with good practice</w:t>
      </w:r>
      <w:r w:rsidRPr="00806779">
        <w:rPr>
          <w:rFonts w:ascii="Times New Roman" w:hAnsi="Times New Roman" w:cs="Times New Roman"/>
        </w:rPr>
        <w:t xml:space="preserve"> </w:t>
      </w:r>
      <w:r w:rsidR="00806779">
        <w:rPr>
          <w:rFonts w:ascii="Times New Roman" w:hAnsi="Times New Roman" w:cs="Times New Roman"/>
        </w:rPr>
        <w:t>(</w:t>
      </w:r>
      <w:r w:rsidRPr="00806779">
        <w:rPr>
          <w:rFonts w:ascii="Times New Roman" w:hAnsi="Times New Roman" w:cs="Times New Roman"/>
        </w:rPr>
        <w:t>OBPR reference number</w:t>
      </w:r>
      <w:r w:rsidR="00806779">
        <w:rPr>
          <w:rFonts w:ascii="Times New Roman" w:hAnsi="Times New Roman" w:cs="Times New Roman"/>
        </w:rPr>
        <w:t>:</w:t>
      </w:r>
      <w:r w:rsidRPr="00806779">
        <w:rPr>
          <w:rFonts w:ascii="Times New Roman" w:hAnsi="Times New Roman" w:cs="Times New Roman"/>
        </w:rPr>
        <w:t xml:space="preserve"> </w:t>
      </w:r>
      <w:r w:rsidR="00843816" w:rsidRPr="00843816">
        <w:rPr>
          <w:rFonts w:ascii="Times New Roman" w:hAnsi="Times New Roman" w:cs="Times New Roman"/>
        </w:rPr>
        <w:t>43718</w:t>
      </w:r>
      <w:r w:rsidR="00806779">
        <w:rPr>
          <w:rFonts w:ascii="Times New Roman" w:hAnsi="Times New Roman" w:cs="Times New Roman"/>
        </w:rPr>
        <w:t>)</w:t>
      </w:r>
      <w:r w:rsidRPr="00806779">
        <w:rPr>
          <w:rFonts w:ascii="Times New Roman" w:hAnsi="Times New Roman" w:cs="Times New Roman"/>
        </w:rPr>
        <w:t>.</w:t>
      </w:r>
    </w:p>
    <w:p w14:paraId="53BE6A9C" w14:textId="77777777" w:rsidR="00452066" w:rsidRDefault="00446CB7" w:rsidP="00446CB7">
      <w:pPr>
        <w:rPr>
          <w:rFonts w:ascii="Times New Roman" w:hAnsi="Times New Roman" w:cs="Times New Roman"/>
          <w:b/>
        </w:rPr>
      </w:pPr>
      <w:r>
        <w:rPr>
          <w:rFonts w:ascii="Times New Roman" w:hAnsi="Times New Roman" w:cs="Times New Roman"/>
          <w:b/>
        </w:rPr>
        <w:t>Statement of compatibility with human rights</w:t>
      </w:r>
    </w:p>
    <w:p w14:paraId="177D18C0" w14:textId="1E3DF32B" w:rsidR="00446CB7" w:rsidRDefault="00446CB7" w:rsidP="00446CB7">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713E5A">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76C7BBD9" w14:textId="7A94460F" w:rsidR="00895126" w:rsidRPr="00056503" w:rsidRDefault="00446CB7" w:rsidP="00056503">
      <w:pPr>
        <w:rPr>
          <w:rFonts w:ascii="Times New Roman" w:hAnsi="Times New Roman" w:cs="Times New Roman"/>
        </w:rPr>
      </w:pPr>
      <w:r>
        <w:rPr>
          <w:rFonts w:ascii="Times New Roman" w:hAnsi="Times New Roman" w:cs="Times New Roman"/>
        </w:rPr>
        <w:t xml:space="preserve">The statement of compatibility set out </w:t>
      </w:r>
      <w:r w:rsidR="00713E5A">
        <w:rPr>
          <w:rFonts w:ascii="Times New Roman" w:hAnsi="Times New Roman" w:cs="Times New Roman"/>
        </w:rPr>
        <w:t>at</w:t>
      </w:r>
      <w:r w:rsidR="00604B77">
        <w:rPr>
          <w:rFonts w:ascii="Times New Roman" w:hAnsi="Times New Roman" w:cs="Times New Roman"/>
        </w:rPr>
        <w:t xml:space="preserve"> </w:t>
      </w:r>
      <w:r w:rsidR="00604B77" w:rsidRPr="003A700D">
        <w:rPr>
          <w:rFonts w:ascii="Times New Roman" w:hAnsi="Times New Roman" w:cs="Times New Roman"/>
          <w:b/>
          <w:bCs/>
        </w:rPr>
        <w:t>Attachment B</w:t>
      </w:r>
      <w:r w:rsidR="00604B77">
        <w:rPr>
          <w:rFonts w:ascii="Times New Roman" w:hAnsi="Times New Roman" w:cs="Times New Roman"/>
        </w:rPr>
        <w:t xml:space="preserve"> </w:t>
      </w:r>
      <w:r>
        <w:rPr>
          <w:rFonts w:ascii="Times New Roman" w:hAnsi="Times New Roman" w:cs="Times New Roman"/>
        </w:rPr>
        <w:t>has been prepared to meet that requirement.</w:t>
      </w:r>
    </w:p>
    <w:p w14:paraId="78F61D43" w14:textId="77777777" w:rsidR="00082821" w:rsidRDefault="00082821">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677E75C1" w14:textId="3204B08F" w:rsidR="00446CB7" w:rsidRDefault="00446CB7" w:rsidP="00446CB7">
      <w:pPr>
        <w:jc w:val="right"/>
        <w:rPr>
          <w:rFonts w:ascii="Times New Roman" w:hAnsi="Times New Roman" w:cs="Times New Roman"/>
          <w:b/>
          <w:sz w:val="28"/>
          <w:szCs w:val="28"/>
        </w:rPr>
      </w:pPr>
      <w:r>
        <w:rPr>
          <w:rFonts w:ascii="Times New Roman" w:hAnsi="Times New Roman" w:cs="Times New Roman"/>
          <w:b/>
          <w:sz w:val="28"/>
          <w:szCs w:val="28"/>
        </w:rPr>
        <w:t>Attachment A</w:t>
      </w:r>
    </w:p>
    <w:p w14:paraId="2BD3D119" w14:textId="62B994A2" w:rsidR="00F35DB1" w:rsidRPr="00F35DB1" w:rsidRDefault="00446CB7" w:rsidP="00F35DB1">
      <w:pPr>
        <w:jc w:val="center"/>
        <w:rPr>
          <w:rFonts w:ascii="Times New Roman" w:hAnsi="Times New Roman" w:cs="Times New Roman"/>
          <w:b/>
          <w:bCs/>
          <w:i/>
          <w:sz w:val="28"/>
          <w:szCs w:val="28"/>
        </w:rPr>
      </w:pPr>
      <w:r>
        <w:rPr>
          <w:rFonts w:ascii="Times New Roman" w:hAnsi="Times New Roman" w:cs="Times New Roman"/>
          <w:b/>
          <w:sz w:val="28"/>
          <w:szCs w:val="28"/>
        </w:rPr>
        <w:t xml:space="preserve">Notes to the </w:t>
      </w:r>
      <w:r w:rsidR="00F35DB1" w:rsidRPr="00F35DB1">
        <w:rPr>
          <w:rFonts w:ascii="Times New Roman" w:hAnsi="Times New Roman" w:cs="Times New Roman"/>
          <w:b/>
          <w:bCs/>
          <w:i/>
          <w:sz w:val="28"/>
          <w:szCs w:val="28"/>
        </w:rPr>
        <w:t>Telecommunications</w:t>
      </w:r>
      <w:r w:rsidR="00012B74">
        <w:rPr>
          <w:rFonts w:ascii="Times New Roman" w:hAnsi="Times New Roman" w:cs="Times New Roman"/>
          <w:b/>
          <w:bCs/>
          <w:i/>
          <w:sz w:val="28"/>
          <w:szCs w:val="28"/>
        </w:rPr>
        <w:t xml:space="preserve"> Service Provider</w:t>
      </w:r>
      <w:r w:rsidR="00F35DB1" w:rsidRPr="00F35DB1">
        <w:rPr>
          <w:rFonts w:ascii="Times New Roman" w:hAnsi="Times New Roman" w:cs="Times New Roman"/>
          <w:b/>
          <w:bCs/>
          <w:i/>
          <w:sz w:val="28"/>
          <w:szCs w:val="28"/>
        </w:rPr>
        <w:t xml:space="preserve"> (</w:t>
      </w:r>
      <w:r w:rsidR="00012B74">
        <w:rPr>
          <w:rFonts w:ascii="Times New Roman" w:hAnsi="Times New Roman" w:cs="Times New Roman"/>
          <w:b/>
          <w:bCs/>
          <w:i/>
          <w:sz w:val="28"/>
          <w:szCs w:val="28"/>
        </w:rPr>
        <w:t>Customer</w:t>
      </w:r>
      <w:r w:rsidR="00F35DB1" w:rsidRPr="00F35DB1">
        <w:rPr>
          <w:rFonts w:ascii="Times New Roman" w:hAnsi="Times New Roman" w:cs="Times New Roman"/>
          <w:b/>
          <w:bCs/>
          <w:i/>
          <w:sz w:val="28"/>
          <w:szCs w:val="28"/>
        </w:rPr>
        <w:t xml:space="preserve"> Identity </w:t>
      </w:r>
      <w:r w:rsidR="00EF3B4F">
        <w:rPr>
          <w:rFonts w:ascii="Times New Roman" w:hAnsi="Times New Roman" w:cs="Times New Roman"/>
          <w:b/>
          <w:bCs/>
          <w:i/>
          <w:sz w:val="28"/>
          <w:szCs w:val="28"/>
        </w:rPr>
        <w:t>Authenticatio</w:t>
      </w:r>
      <w:r w:rsidR="00EF3B4F" w:rsidRPr="00F35DB1">
        <w:rPr>
          <w:rFonts w:ascii="Times New Roman" w:hAnsi="Times New Roman" w:cs="Times New Roman"/>
          <w:b/>
          <w:bCs/>
          <w:i/>
          <w:sz w:val="28"/>
          <w:szCs w:val="28"/>
        </w:rPr>
        <w:t>n</w:t>
      </w:r>
      <w:r w:rsidR="00F35DB1" w:rsidRPr="00F35DB1">
        <w:rPr>
          <w:rFonts w:ascii="Times New Roman" w:hAnsi="Times New Roman" w:cs="Times New Roman"/>
          <w:b/>
          <w:bCs/>
          <w:i/>
          <w:sz w:val="28"/>
          <w:szCs w:val="28"/>
        </w:rPr>
        <w:t xml:space="preserve">) </w:t>
      </w:r>
      <w:r w:rsidR="007B0BAC">
        <w:rPr>
          <w:rFonts w:ascii="Times New Roman" w:hAnsi="Times New Roman" w:cs="Times New Roman"/>
          <w:b/>
          <w:bCs/>
          <w:i/>
          <w:sz w:val="28"/>
          <w:szCs w:val="28"/>
        </w:rPr>
        <w:t>Determination</w:t>
      </w:r>
      <w:r w:rsidR="00F35DB1" w:rsidRPr="00F35DB1">
        <w:rPr>
          <w:rFonts w:ascii="Times New Roman" w:hAnsi="Times New Roman" w:cs="Times New Roman"/>
          <w:b/>
          <w:bCs/>
          <w:i/>
          <w:sz w:val="28"/>
          <w:szCs w:val="28"/>
        </w:rPr>
        <w:t xml:space="preserve"> </w:t>
      </w:r>
      <w:r w:rsidR="00F35DB1" w:rsidRPr="00307BC6">
        <w:rPr>
          <w:rFonts w:ascii="Times New Roman" w:hAnsi="Times New Roman" w:cs="Times New Roman"/>
          <w:b/>
          <w:bCs/>
          <w:i/>
          <w:sz w:val="28"/>
          <w:szCs w:val="28"/>
        </w:rPr>
        <w:t>202</w:t>
      </w:r>
      <w:r w:rsidR="00EF3B4F" w:rsidRPr="00307BC6">
        <w:rPr>
          <w:rFonts w:ascii="Times New Roman" w:hAnsi="Times New Roman" w:cs="Times New Roman"/>
          <w:b/>
          <w:bCs/>
          <w:i/>
          <w:sz w:val="28"/>
          <w:szCs w:val="28"/>
        </w:rPr>
        <w:t>2</w:t>
      </w:r>
    </w:p>
    <w:p w14:paraId="79786C1D" w14:textId="31BC9CB0" w:rsidR="00446CB7" w:rsidRDefault="00446CB7" w:rsidP="001E3408">
      <w:pPr>
        <w:pStyle w:val="Paragraph"/>
      </w:pPr>
    </w:p>
    <w:p w14:paraId="1BD8902B" w14:textId="4C4A0E04" w:rsidR="00446CB7" w:rsidRDefault="00446CB7" w:rsidP="00446CB7">
      <w:pPr>
        <w:spacing w:before="280"/>
        <w:rPr>
          <w:rFonts w:ascii="Times New Roman" w:hAnsi="Times New Roman" w:cs="Times New Roman"/>
          <w:b/>
        </w:rPr>
      </w:pPr>
      <w:r>
        <w:rPr>
          <w:rFonts w:ascii="Times New Roman" w:hAnsi="Times New Roman" w:cs="Times New Roman"/>
          <w:b/>
        </w:rPr>
        <w:t>Part 1</w:t>
      </w:r>
      <w:r w:rsidR="00DE4376">
        <w:rPr>
          <w:rFonts w:ascii="Times New Roman" w:hAnsi="Times New Roman" w:cs="Times New Roman"/>
          <w:b/>
        </w:rPr>
        <w:t xml:space="preserve"> </w:t>
      </w:r>
      <w:r>
        <w:rPr>
          <w:rFonts w:ascii="Times New Roman" w:hAnsi="Times New Roman" w:cs="Times New Roman"/>
          <w:b/>
        </w:rPr>
        <w:t>–</w:t>
      </w:r>
      <w:r w:rsidR="00DE4376">
        <w:rPr>
          <w:rFonts w:ascii="Times New Roman" w:hAnsi="Times New Roman" w:cs="Times New Roman"/>
          <w:b/>
        </w:rPr>
        <w:t xml:space="preserve"> </w:t>
      </w:r>
      <w:r>
        <w:rPr>
          <w:rFonts w:ascii="Times New Roman" w:hAnsi="Times New Roman" w:cs="Times New Roman"/>
          <w:b/>
        </w:rPr>
        <w:t>Preliminary</w:t>
      </w:r>
    </w:p>
    <w:p w14:paraId="5E1F905F" w14:textId="77777777" w:rsidR="00446CB7" w:rsidRDefault="00446CB7" w:rsidP="00446CB7">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7BF262AD" w14:textId="6C714B11" w:rsidR="00446CB7" w:rsidRPr="00307BC6" w:rsidRDefault="00446CB7" w:rsidP="00C0218D">
      <w:pPr>
        <w:pStyle w:val="Footer"/>
        <w:rPr>
          <w:rFonts w:ascii="Times New Roman" w:hAnsi="Times New Roman" w:cs="Times New Roman"/>
        </w:rPr>
      </w:pPr>
      <w:r w:rsidRPr="00307BC6">
        <w:rPr>
          <w:rFonts w:ascii="Times New Roman" w:hAnsi="Times New Roman" w:cs="Times New Roman"/>
        </w:rPr>
        <w:t xml:space="preserve">This section provides for the </w:t>
      </w:r>
      <w:r w:rsidR="007B0BAC" w:rsidRPr="00307BC6">
        <w:rPr>
          <w:rFonts w:ascii="Times New Roman" w:hAnsi="Times New Roman" w:cs="Times New Roman"/>
        </w:rPr>
        <w:t>Determination</w:t>
      </w:r>
      <w:r w:rsidR="00653A0E" w:rsidRPr="00307BC6">
        <w:rPr>
          <w:rFonts w:ascii="Times New Roman" w:hAnsi="Times New Roman" w:cs="Times New Roman"/>
        </w:rPr>
        <w:t xml:space="preserve"> </w:t>
      </w:r>
      <w:r w:rsidRPr="00307BC6">
        <w:rPr>
          <w:rFonts w:ascii="Times New Roman" w:hAnsi="Times New Roman" w:cs="Times New Roman"/>
        </w:rPr>
        <w:t xml:space="preserve">to be cited as the </w:t>
      </w:r>
      <w:r w:rsidR="00E06918" w:rsidRPr="00307BC6">
        <w:rPr>
          <w:rFonts w:ascii="Times New Roman" w:hAnsi="Times New Roman" w:cs="Times New Roman"/>
          <w:i/>
          <w:iCs/>
        </w:rPr>
        <w:t xml:space="preserve">Telecommunications Service Provider (Customer Identity </w:t>
      </w:r>
      <w:r w:rsidR="00CE1BCB" w:rsidRPr="00307BC6">
        <w:rPr>
          <w:rFonts w:ascii="Times New Roman" w:hAnsi="Times New Roman" w:cs="Times New Roman"/>
          <w:i/>
          <w:iCs/>
        </w:rPr>
        <w:t>Authentication</w:t>
      </w:r>
      <w:r w:rsidR="00E06918" w:rsidRPr="00307BC6">
        <w:rPr>
          <w:rFonts w:ascii="Times New Roman" w:hAnsi="Times New Roman" w:cs="Times New Roman"/>
          <w:i/>
          <w:iCs/>
        </w:rPr>
        <w:t xml:space="preserve">) Determination </w:t>
      </w:r>
      <w:r w:rsidR="00E77D81" w:rsidRPr="00307BC6">
        <w:rPr>
          <w:rFonts w:ascii="Times New Roman" w:hAnsi="Times New Roman" w:cs="Times New Roman"/>
          <w:i/>
          <w:iCs/>
        </w:rPr>
        <w:t>2022</w:t>
      </w:r>
      <w:r w:rsidR="00E06918" w:rsidRPr="00307BC6">
        <w:rPr>
          <w:rFonts w:ascii="Times New Roman" w:hAnsi="Times New Roman" w:cs="Times New Roman"/>
        </w:rPr>
        <w:t>.</w:t>
      </w:r>
    </w:p>
    <w:p w14:paraId="4F7A42AE" w14:textId="77777777" w:rsidR="007424FA" w:rsidRPr="00307BC6" w:rsidRDefault="007424FA" w:rsidP="00C0218D">
      <w:pPr>
        <w:pStyle w:val="Footer"/>
        <w:rPr>
          <w:rFonts w:ascii="Times New Roman" w:hAnsi="Times New Roman" w:cs="Times New Roman"/>
          <w:bCs/>
          <w:i/>
        </w:rPr>
      </w:pPr>
    </w:p>
    <w:p w14:paraId="1CC082B5" w14:textId="77777777" w:rsidR="00446CB7" w:rsidRPr="00850627" w:rsidRDefault="00446CB7" w:rsidP="00446CB7">
      <w:pPr>
        <w:rPr>
          <w:rFonts w:ascii="Times New Roman" w:hAnsi="Times New Roman" w:cs="Times New Roman"/>
          <w:b/>
        </w:rPr>
      </w:pPr>
      <w:r w:rsidRPr="00850627">
        <w:rPr>
          <w:rFonts w:ascii="Times New Roman" w:hAnsi="Times New Roman" w:cs="Times New Roman"/>
          <w:b/>
        </w:rPr>
        <w:t>Section 2</w:t>
      </w:r>
      <w:r w:rsidRPr="00850627">
        <w:rPr>
          <w:rFonts w:ascii="Times New Roman" w:hAnsi="Times New Roman" w:cs="Times New Roman"/>
          <w:b/>
        </w:rPr>
        <w:tab/>
        <w:t>Commencement</w:t>
      </w:r>
    </w:p>
    <w:p w14:paraId="206316F9" w14:textId="3B81E5E6" w:rsidR="00446CB7" w:rsidRPr="009D217B" w:rsidRDefault="00446CB7" w:rsidP="009D217B">
      <w:pPr>
        <w:rPr>
          <w:rFonts w:ascii="Times New Roman" w:hAnsi="Times New Roman" w:cs="Times New Roman"/>
        </w:rPr>
      </w:pPr>
      <w:r w:rsidRPr="00307BC6">
        <w:rPr>
          <w:rFonts w:ascii="Times New Roman" w:hAnsi="Times New Roman" w:cs="Times New Roman"/>
        </w:rPr>
        <w:t xml:space="preserve">This section provides for the </w:t>
      </w:r>
      <w:r w:rsidR="007B0BAC" w:rsidRPr="00307BC6">
        <w:rPr>
          <w:rFonts w:ascii="Times New Roman" w:hAnsi="Times New Roman" w:cs="Times New Roman"/>
        </w:rPr>
        <w:t>Determination</w:t>
      </w:r>
      <w:r w:rsidR="00653A0E" w:rsidRPr="00307BC6">
        <w:rPr>
          <w:rFonts w:ascii="Times New Roman" w:hAnsi="Times New Roman" w:cs="Times New Roman"/>
        </w:rPr>
        <w:t xml:space="preserve"> </w:t>
      </w:r>
      <w:r w:rsidRPr="00307BC6">
        <w:rPr>
          <w:rFonts w:ascii="Times New Roman" w:hAnsi="Times New Roman" w:cs="Times New Roman"/>
        </w:rPr>
        <w:t xml:space="preserve">to commence </w:t>
      </w:r>
      <w:r w:rsidR="0073771A" w:rsidRPr="00307BC6">
        <w:rPr>
          <w:rFonts w:ascii="Times New Roman" w:hAnsi="Times New Roman" w:cs="Times New Roman"/>
        </w:rPr>
        <w:t xml:space="preserve">on </w:t>
      </w:r>
      <w:r w:rsidR="00C06F22">
        <w:rPr>
          <w:rFonts w:ascii="Times New Roman" w:hAnsi="Times New Roman" w:cs="Times New Roman"/>
        </w:rPr>
        <w:t>30 June</w:t>
      </w:r>
      <w:r w:rsidR="00E06918" w:rsidRPr="00307BC6">
        <w:rPr>
          <w:rFonts w:ascii="Times New Roman" w:hAnsi="Times New Roman" w:cs="Times New Roman"/>
        </w:rPr>
        <w:t xml:space="preserve"> 2022</w:t>
      </w:r>
      <w:r w:rsidR="009D217B" w:rsidRPr="00307BC6">
        <w:rPr>
          <w:rFonts w:ascii="Times New Roman" w:hAnsi="Times New Roman" w:cs="Times New Roman"/>
        </w:rPr>
        <w:t>.</w:t>
      </w:r>
      <w:r w:rsidR="009F3C2B" w:rsidDel="009F3C2B">
        <w:rPr>
          <w:rFonts w:ascii="Times New Roman" w:hAnsi="Times New Roman" w:cs="Times New Roman"/>
        </w:rPr>
        <w:t xml:space="preserve"> </w:t>
      </w:r>
    </w:p>
    <w:p w14:paraId="6A2544FB" w14:textId="77777777" w:rsidR="00446CB7" w:rsidRDefault="00446CB7" w:rsidP="00446CB7">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2D4501D" w14:textId="66080974" w:rsidR="00446CB7" w:rsidRDefault="00446CB7" w:rsidP="00446CB7">
      <w:pPr>
        <w:rPr>
          <w:rFonts w:ascii="Times New Roman" w:hAnsi="Times New Roman" w:cs="Times New Roman"/>
        </w:rPr>
      </w:pPr>
      <w:r>
        <w:rPr>
          <w:rFonts w:ascii="Times New Roman" w:hAnsi="Times New Roman" w:cs="Times New Roman"/>
        </w:rPr>
        <w:t xml:space="preserve">This section identifies the provision of the </w:t>
      </w:r>
      <w:r w:rsidR="00952319">
        <w:rPr>
          <w:rFonts w:ascii="Times New Roman" w:hAnsi="Times New Roman" w:cs="Times New Roman"/>
          <w:i/>
        </w:rPr>
        <w:t>Telecommunications Act 1997</w:t>
      </w:r>
      <w:r w:rsidR="00952319">
        <w:rPr>
          <w:rFonts w:ascii="Times New Roman" w:hAnsi="Times New Roman" w:cs="Times New Roman"/>
        </w:rPr>
        <w:t xml:space="preserve"> (</w:t>
      </w:r>
      <w:r w:rsidR="00952319" w:rsidRPr="009373F9">
        <w:rPr>
          <w:rFonts w:ascii="Times New Roman" w:hAnsi="Times New Roman" w:cs="Times New Roman"/>
          <w:b/>
          <w:bCs/>
        </w:rPr>
        <w:t xml:space="preserve">the </w:t>
      </w:r>
      <w:r w:rsidRPr="009373F9">
        <w:rPr>
          <w:rFonts w:ascii="Times New Roman" w:hAnsi="Times New Roman" w:cs="Times New Roman"/>
          <w:b/>
          <w:bCs/>
        </w:rPr>
        <w:t>Act</w:t>
      </w:r>
      <w:r w:rsidR="00952319">
        <w:rPr>
          <w:rFonts w:ascii="Times New Roman" w:hAnsi="Times New Roman" w:cs="Times New Roman"/>
        </w:rPr>
        <w:t>)</w:t>
      </w:r>
      <w:r>
        <w:rPr>
          <w:rFonts w:ascii="Times New Roman" w:hAnsi="Times New Roman" w:cs="Times New Roman"/>
        </w:rPr>
        <w:t xml:space="preserve"> that authorises the making of the </w:t>
      </w:r>
      <w:r w:rsidR="007B0BAC">
        <w:rPr>
          <w:rFonts w:ascii="Times New Roman" w:hAnsi="Times New Roman" w:cs="Times New Roman"/>
        </w:rPr>
        <w:t>Determination</w:t>
      </w:r>
      <w:r>
        <w:rPr>
          <w:rFonts w:ascii="Times New Roman" w:hAnsi="Times New Roman" w:cs="Times New Roman"/>
        </w:rPr>
        <w:t xml:space="preserve">, namely </w:t>
      </w:r>
      <w:r w:rsidR="00E06918">
        <w:rPr>
          <w:rFonts w:ascii="Times New Roman" w:hAnsi="Times New Roman" w:cs="Times New Roman"/>
        </w:rPr>
        <w:t>sub</w:t>
      </w:r>
      <w:r w:rsidR="0073771A">
        <w:rPr>
          <w:rFonts w:ascii="Times New Roman" w:hAnsi="Times New Roman" w:cs="Times New Roman"/>
        </w:rPr>
        <w:t xml:space="preserve">section </w:t>
      </w:r>
      <w:r w:rsidR="00E06918">
        <w:rPr>
          <w:rFonts w:ascii="Times New Roman" w:hAnsi="Times New Roman" w:cs="Times New Roman"/>
        </w:rPr>
        <w:t>99(1)</w:t>
      </w:r>
      <w:r>
        <w:rPr>
          <w:rFonts w:ascii="Times New Roman" w:hAnsi="Times New Roman" w:cs="Times New Roman"/>
        </w:rPr>
        <w:t xml:space="preserve"> of the </w:t>
      </w:r>
      <w:r w:rsidRPr="009373F9">
        <w:rPr>
          <w:rFonts w:ascii="Times New Roman" w:hAnsi="Times New Roman" w:cs="Times New Roman"/>
          <w:bCs/>
        </w:rPr>
        <w:t>Act</w:t>
      </w:r>
      <w:r w:rsidR="009D217B" w:rsidRPr="004534F9">
        <w:rPr>
          <w:rFonts w:ascii="Times New Roman" w:hAnsi="Times New Roman" w:cs="Times New Roman"/>
        </w:rPr>
        <w:t>.</w:t>
      </w:r>
    </w:p>
    <w:p w14:paraId="326B8107" w14:textId="2FCB3FD9" w:rsidR="009D217B" w:rsidRDefault="009D217B" w:rsidP="00446CB7">
      <w:pPr>
        <w:rPr>
          <w:rFonts w:ascii="Times New Roman" w:hAnsi="Times New Roman" w:cs="Times New Roman"/>
          <w:b/>
          <w:bCs/>
        </w:rPr>
      </w:pPr>
      <w:r w:rsidRPr="009D217B">
        <w:rPr>
          <w:rFonts w:ascii="Times New Roman" w:hAnsi="Times New Roman" w:cs="Times New Roman"/>
          <w:b/>
          <w:bCs/>
        </w:rPr>
        <w:t>Section 4</w:t>
      </w:r>
      <w:r w:rsidRPr="009D217B">
        <w:rPr>
          <w:rFonts w:ascii="Times New Roman" w:hAnsi="Times New Roman" w:cs="Times New Roman"/>
          <w:b/>
          <w:bCs/>
        </w:rPr>
        <w:tab/>
        <w:t>Application</w:t>
      </w:r>
    </w:p>
    <w:p w14:paraId="491BF7DF" w14:textId="09FCB8F9" w:rsidR="00EA53A3" w:rsidRPr="006E13FE" w:rsidRDefault="009D217B" w:rsidP="006E13FE">
      <w:pPr>
        <w:rPr>
          <w:rFonts w:ascii="Times New Roman" w:hAnsi="Times New Roman" w:cs="Times New Roman"/>
        </w:rPr>
      </w:pPr>
      <w:r>
        <w:rPr>
          <w:rFonts w:ascii="Times New Roman" w:hAnsi="Times New Roman" w:cs="Times New Roman"/>
        </w:rPr>
        <w:t>This section</w:t>
      </w:r>
      <w:r w:rsidR="003E404F">
        <w:rPr>
          <w:rFonts w:ascii="Times New Roman" w:hAnsi="Times New Roman" w:cs="Times New Roman"/>
        </w:rPr>
        <w:t xml:space="preserve"> </w:t>
      </w:r>
      <w:r w:rsidR="00220522">
        <w:rPr>
          <w:rFonts w:ascii="Times New Roman" w:hAnsi="Times New Roman" w:cs="Times New Roman"/>
        </w:rPr>
        <w:t>provides</w:t>
      </w:r>
      <w:r w:rsidR="002E54C6">
        <w:rPr>
          <w:rFonts w:ascii="Times New Roman" w:hAnsi="Times New Roman" w:cs="Times New Roman"/>
        </w:rPr>
        <w:t xml:space="preserve">, </w:t>
      </w:r>
      <w:r w:rsidR="00F87373">
        <w:rPr>
          <w:rFonts w:ascii="Times New Roman" w:hAnsi="Times New Roman" w:cs="Times New Roman"/>
        </w:rPr>
        <w:t xml:space="preserve">for the purposes of subsection </w:t>
      </w:r>
      <w:r w:rsidR="00E06918">
        <w:rPr>
          <w:rFonts w:ascii="Times New Roman" w:hAnsi="Times New Roman" w:cs="Times New Roman"/>
        </w:rPr>
        <w:t>99</w:t>
      </w:r>
      <w:r w:rsidR="00F87373">
        <w:rPr>
          <w:rFonts w:ascii="Times New Roman" w:hAnsi="Times New Roman" w:cs="Times New Roman"/>
        </w:rPr>
        <w:t xml:space="preserve">(1) of the Act, </w:t>
      </w:r>
      <w:r w:rsidR="002E54C6">
        <w:rPr>
          <w:rFonts w:ascii="Times New Roman" w:hAnsi="Times New Roman" w:cs="Times New Roman"/>
        </w:rPr>
        <w:t>that</w:t>
      </w:r>
      <w:r w:rsidR="006E13FE">
        <w:rPr>
          <w:rFonts w:ascii="Times New Roman" w:hAnsi="Times New Roman" w:cs="Times New Roman"/>
        </w:rPr>
        <w:t xml:space="preserve"> </w:t>
      </w:r>
      <w:r w:rsidR="00EA53A3" w:rsidRPr="006E13FE">
        <w:rPr>
          <w:rFonts w:ascii="Times New Roman" w:hAnsi="Times New Roman" w:cs="Times New Roman"/>
        </w:rPr>
        <w:t xml:space="preserve">the </w:t>
      </w:r>
      <w:r w:rsidR="007B0BAC" w:rsidRPr="006E13FE">
        <w:rPr>
          <w:rFonts w:ascii="Times New Roman" w:hAnsi="Times New Roman" w:cs="Times New Roman"/>
        </w:rPr>
        <w:t>Determination</w:t>
      </w:r>
      <w:r w:rsidR="00EA53A3" w:rsidRPr="006E13FE">
        <w:rPr>
          <w:rFonts w:ascii="Times New Roman" w:hAnsi="Times New Roman" w:cs="Times New Roman"/>
        </w:rPr>
        <w:t xml:space="preserve"> applies to:</w:t>
      </w:r>
    </w:p>
    <w:p w14:paraId="0818EB2B" w14:textId="0FC4C9EB" w:rsidR="00F41DD4" w:rsidRDefault="00E06918" w:rsidP="00380028">
      <w:pPr>
        <w:pStyle w:val="subsection"/>
        <w:numPr>
          <w:ilvl w:val="0"/>
          <w:numId w:val="9"/>
        </w:numPr>
        <w:tabs>
          <w:tab w:val="clear" w:pos="1021"/>
        </w:tabs>
        <w:spacing w:before="120"/>
      </w:pPr>
      <w:r>
        <w:t>carriage service providers involved in the supply of a telecommunications service</w:t>
      </w:r>
      <w:r w:rsidR="00F41DD4">
        <w:t>; and</w:t>
      </w:r>
    </w:p>
    <w:p w14:paraId="0D383F94" w14:textId="2719E013" w:rsidR="00D54B0C" w:rsidRDefault="00D54B0C" w:rsidP="00380028">
      <w:pPr>
        <w:pStyle w:val="subsection"/>
        <w:numPr>
          <w:ilvl w:val="0"/>
          <w:numId w:val="9"/>
        </w:numPr>
        <w:tabs>
          <w:tab w:val="clear" w:pos="1021"/>
        </w:tabs>
        <w:spacing w:before="120"/>
      </w:pPr>
      <w:r>
        <w:t xml:space="preserve">when conducting a </w:t>
      </w:r>
      <w:r w:rsidR="00E06918">
        <w:t xml:space="preserve">high-risk customer interaction relating to a customer </w:t>
      </w:r>
      <w:r w:rsidR="00064160">
        <w:t>of</w:t>
      </w:r>
      <w:r w:rsidR="00E06918">
        <w:t xml:space="preserve"> a carriage service provider</w:t>
      </w:r>
    </w:p>
    <w:p w14:paraId="5EA983B8" w14:textId="38E1ED8E" w:rsidR="00F41DD4" w:rsidRDefault="00D54B0C" w:rsidP="00173494">
      <w:pPr>
        <w:pStyle w:val="subsection"/>
        <w:tabs>
          <w:tab w:val="clear" w:pos="1021"/>
        </w:tabs>
        <w:spacing w:before="120"/>
        <w:ind w:left="360" w:firstLine="0"/>
      </w:pPr>
      <w:r>
        <w:t>but it does not apply to a customer who is an account managed customer or an integrated customer</w:t>
      </w:r>
      <w:r w:rsidR="00064160">
        <w:t>.</w:t>
      </w:r>
    </w:p>
    <w:p w14:paraId="19B44CCB" w14:textId="77777777" w:rsidR="00C903B1" w:rsidRDefault="00C903B1" w:rsidP="00C903B1">
      <w:pPr>
        <w:rPr>
          <w:rFonts w:ascii="Times New Roman" w:hAnsi="Times New Roman" w:cs="Times New Roman"/>
        </w:rPr>
      </w:pPr>
    </w:p>
    <w:p w14:paraId="5B03FFA9" w14:textId="35F00094" w:rsidR="009D217B" w:rsidRPr="006F0F48" w:rsidRDefault="009D217B" w:rsidP="00446CB7">
      <w:pPr>
        <w:rPr>
          <w:rFonts w:ascii="Times New Roman" w:hAnsi="Times New Roman" w:cs="Times New Roman"/>
        </w:rPr>
      </w:pPr>
      <w:r w:rsidRPr="006F0F48">
        <w:rPr>
          <w:rFonts w:ascii="Times New Roman" w:hAnsi="Times New Roman" w:cs="Times New Roman"/>
          <w:b/>
          <w:bCs/>
        </w:rPr>
        <w:t>Section 5</w:t>
      </w:r>
      <w:r w:rsidRPr="006F0F48">
        <w:rPr>
          <w:rFonts w:ascii="Times New Roman" w:hAnsi="Times New Roman" w:cs="Times New Roman"/>
          <w:b/>
          <w:bCs/>
        </w:rPr>
        <w:tab/>
        <w:t>Objectives</w:t>
      </w:r>
    </w:p>
    <w:p w14:paraId="42028A57" w14:textId="62B29AB9" w:rsidR="002611B9" w:rsidRPr="006F0F48" w:rsidRDefault="009D217B" w:rsidP="00446CB7">
      <w:pPr>
        <w:rPr>
          <w:rFonts w:ascii="Times New Roman" w:hAnsi="Times New Roman" w:cs="Times New Roman"/>
        </w:rPr>
      </w:pPr>
      <w:r w:rsidRPr="006F0F48">
        <w:rPr>
          <w:rFonts w:ascii="Times New Roman" w:hAnsi="Times New Roman" w:cs="Times New Roman"/>
        </w:rPr>
        <w:t>This section</w:t>
      </w:r>
      <w:r w:rsidR="003E404F" w:rsidRPr="006F0F48">
        <w:rPr>
          <w:rFonts w:ascii="Times New Roman" w:hAnsi="Times New Roman" w:cs="Times New Roman"/>
        </w:rPr>
        <w:t xml:space="preserve"> sets out the </w:t>
      </w:r>
      <w:r w:rsidR="00064160">
        <w:rPr>
          <w:rFonts w:ascii="Times New Roman" w:hAnsi="Times New Roman" w:cs="Times New Roman"/>
        </w:rPr>
        <w:t>two</w:t>
      </w:r>
      <w:r w:rsidR="0072474D" w:rsidRPr="006F0F48">
        <w:rPr>
          <w:rFonts w:ascii="Times New Roman" w:hAnsi="Times New Roman" w:cs="Times New Roman"/>
        </w:rPr>
        <w:t xml:space="preserve"> objectives </w:t>
      </w:r>
      <w:r w:rsidR="00965B21" w:rsidRPr="006F0F48">
        <w:rPr>
          <w:rFonts w:ascii="Times New Roman" w:hAnsi="Times New Roman" w:cs="Times New Roman"/>
        </w:rPr>
        <w:t xml:space="preserve">of </w:t>
      </w:r>
      <w:r w:rsidR="004C4888" w:rsidRPr="006F0F48">
        <w:rPr>
          <w:rFonts w:ascii="Times New Roman" w:hAnsi="Times New Roman" w:cs="Times New Roman"/>
        </w:rPr>
        <w:t xml:space="preserve">the </w:t>
      </w:r>
      <w:r w:rsidR="007B0BAC">
        <w:rPr>
          <w:rFonts w:ascii="Times New Roman" w:hAnsi="Times New Roman" w:cs="Times New Roman"/>
        </w:rPr>
        <w:t>Determination</w:t>
      </w:r>
      <w:r w:rsidR="002611B9" w:rsidRPr="006F0F48">
        <w:rPr>
          <w:rFonts w:ascii="Times New Roman" w:hAnsi="Times New Roman" w:cs="Times New Roman"/>
        </w:rPr>
        <w:t>.</w:t>
      </w:r>
    </w:p>
    <w:p w14:paraId="00323AAC" w14:textId="3A6B8F1B" w:rsidR="00C95FCA" w:rsidRPr="00702F47" w:rsidRDefault="001B2657" w:rsidP="00446CB7">
      <w:pPr>
        <w:rPr>
          <w:rFonts w:ascii="Times New Roman" w:hAnsi="Times New Roman" w:cs="Times New Roman"/>
        </w:rPr>
      </w:pPr>
      <w:r w:rsidRPr="00702F47">
        <w:rPr>
          <w:rFonts w:ascii="Times New Roman" w:hAnsi="Times New Roman" w:cs="Times New Roman"/>
        </w:rPr>
        <w:t xml:space="preserve">They are </w:t>
      </w:r>
      <w:r w:rsidR="00843816">
        <w:rPr>
          <w:rFonts w:ascii="Times New Roman" w:hAnsi="Times New Roman" w:cs="Times New Roman"/>
        </w:rPr>
        <w:t xml:space="preserve">to </w:t>
      </w:r>
      <w:r w:rsidR="00702F47" w:rsidRPr="00702F47">
        <w:rPr>
          <w:rFonts w:ascii="Times New Roman" w:hAnsi="Times New Roman" w:cs="Times New Roman"/>
        </w:rPr>
        <w:t>reduce the harm caused to customers when access to their personal information, business information or telecommunications service is targeted by unauthorised persons or entities</w:t>
      </w:r>
      <w:r w:rsidR="001D6C2F" w:rsidRPr="00702F47">
        <w:rPr>
          <w:rFonts w:ascii="Times New Roman" w:hAnsi="Times New Roman" w:cs="Times New Roman"/>
        </w:rPr>
        <w:t>;</w:t>
      </w:r>
      <w:r w:rsidR="002E2B35" w:rsidRPr="00702F47">
        <w:rPr>
          <w:rFonts w:ascii="Times New Roman" w:hAnsi="Times New Roman" w:cs="Times New Roman"/>
        </w:rPr>
        <w:t xml:space="preserve"> and </w:t>
      </w:r>
      <w:r w:rsidR="00702F47" w:rsidRPr="00702F47">
        <w:rPr>
          <w:rFonts w:ascii="Times New Roman" w:hAnsi="Times New Roman" w:cs="Times New Roman"/>
        </w:rPr>
        <w:t xml:space="preserve">require carriage service providers to follow effective identity </w:t>
      </w:r>
      <w:r w:rsidR="008E2C9D">
        <w:rPr>
          <w:rFonts w:ascii="Times New Roman" w:hAnsi="Times New Roman" w:cs="Times New Roman"/>
        </w:rPr>
        <w:t>authenticati</w:t>
      </w:r>
      <w:r w:rsidR="008E2C9D" w:rsidRPr="00702F47">
        <w:rPr>
          <w:rFonts w:ascii="Times New Roman" w:hAnsi="Times New Roman" w:cs="Times New Roman"/>
        </w:rPr>
        <w:t xml:space="preserve">on </w:t>
      </w:r>
      <w:r w:rsidR="00702F47" w:rsidRPr="00702F47">
        <w:rPr>
          <w:rFonts w:ascii="Times New Roman" w:hAnsi="Times New Roman" w:cs="Times New Roman"/>
        </w:rPr>
        <w:t>processes to protect the security of high-risk customer interactions</w:t>
      </w:r>
      <w:r w:rsidR="00064160" w:rsidRPr="00702F47">
        <w:rPr>
          <w:rFonts w:ascii="Times New Roman" w:hAnsi="Times New Roman" w:cs="Times New Roman"/>
        </w:rPr>
        <w:t>.</w:t>
      </w:r>
    </w:p>
    <w:p w14:paraId="7D2F903E" w14:textId="77777777" w:rsidR="00446CB7" w:rsidRDefault="00446CB7" w:rsidP="00BE039F">
      <w:pPr>
        <w:keepNext/>
        <w:spacing w:line="257" w:lineRule="auto"/>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Definitions</w:t>
      </w:r>
    </w:p>
    <w:p w14:paraId="24BDA84A" w14:textId="61ECB515" w:rsidR="00446CB7" w:rsidRDefault="00446CB7" w:rsidP="00DC1C5E">
      <w:pPr>
        <w:spacing w:after="60" w:line="257" w:lineRule="auto"/>
        <w:rPr>
          <w:rFonts w:ascii="Times New Roman" w:hAnsi="Times New Roman" w:cs="Times New Roman"/>
        </w:rPr>
      </w:pPr>
      <w:r>
        <w:rPr>
          <w:rFonts w:ascii="Times New Roman" w:hAnsi="Times New Roman" w:cs="Times New Roman"/>
        </w:rPr>
        <w:t xml:space="preserve">This section defines key terms used throughout the </w:t>
      </w:r>
      <w:r w:rsidR="007B0BAC">
        <w:rPr>
          <w:rFonts w:ascii="Times New Roman" w:hAnsi="Times New Roman" w:cs="Times New Roman"/>
        </w:rPr>
        <w:t>Determination</w:t>
      </w:r>
      <w:r>
        <w:rPr>
          <w:rFonts w:ascii="Times New Roman" w:hAnsi="Times New Roman" w:cs="Times New Roman"/>
        </w:rPr>
        <w:t>.</w:t>
      </w:r>
    </w:p>
    <w:p w14:paraId="1AEDEBD6" w14:textId="005A60BA" w:rsidR="00446CB7" w:rsidRDefault="00ED6A96" w:rsidP="00DC1C5E">
      <w:pPr>
        <w:spacing w:after="0" w:line="257" w:lineRule="auto"/>
        <w:rPr>
          <w:rFonts w:ascii="Times New Roman" w:hAnsi="Times New Roman" w:cs="Times New Roman"/>
        </w:rPr>
      </w:pPr>
      <w:r w:rsidRPr="00E06918">
        <w:rPr>
          <w:rFonts w:ascii="Times New Roman" w:hAnsi="Times New Roman" w:cs="Times New Roman"/>
        </w:rPr>
        <w:t>O</w:t>
      </w:r>
      <w:r w:rsidR="00446CB7" w:rsidRPr="00E06918">
        <w:rPr>
          <w:rFonts w:ascii="Times New Roman" w:hAnsi="Times New Roman" w:cs="Times New Roman"/>
        </w:rPr>
        <w:t xml:space="preserve">ther expressions used in the </w:t>
      </w:r>
      <w:r w:rsidR="007B0BAC" w:rsidRPr="00E06918">
        <w:rPr>
          <w:rFonts w:ascii="Times New Roman" w:hAnsi="Times New Roman" w:cs="Times New Roman"/>
        </w:rPr>
        <w:t>Determination</w:t>
      </w:r>
      <w:r w:rsidR="00A93B98" w:rsidRPr="00E06918">
        <w:rPr>
          <w:rFonts w:ascii="Times New Roman" w:hAnsi="Times New Roman" w:cs="Times New Roman"/>
        </w:rPr>
        <w:t xml:space="preserve"> </w:t>
      </w:r>
      <w:r w:rsidR="00446CB7" w:rsidRPr="00E06918">
        <w:rPr>
          <w:rFonts w:ascii="Times New Roman" w:hAnsi="Times New Roman" w:cs="Times New Roman"/>
        </w:rPr>
        <w:t>are defined in the Act.</w:t>
      </w:r>
    </w:p>
    <w:p w14:paraId="71FE872F" w14:textId="77777777" w:rsidR="00DC1C5E" w:rsidRDefault="00DC1C5E" w:rsidP="00DC1C5E">
      <w:pPr>
        <w:spacing w:after="0" w:line="257" w:lineRule="auto"/>
        <w:rPr>
          <w:rFonts w:ascii="Times New Roman" w:hAnsi="Times New Roman" w:cs="Times New Roman"/>
        </w:rPr>
      </w:pPr>
    </w:p>
    <w:p w14:paraId="347D3920" w14:textId="77777777" w:rsidR="00446CB7" w:rsidRDefault="00446CB7" w:rsidP="00446CB7">
      <w:pPr>
        <w:rPr>
          <w:rFonts w:ascii="Times New Roman" w:hAnsi="Times New Roman" w:cs="Times New Roman"/>
          <w:b/>
        </w:rPr>
      </w:pPr>
      <w:r>
        <w:rPr>
          <w:rFonts w:ascii="Times New Roman" w:hAnsi="Times New Roman" w:cs="Times New Roman"/>
          <w:b/>
        </w:rPr>
        <w:t>Section 7</w:t>
      </w:r>
      <w:r>
        <w:rPr>
          <w:rFonts w:ascii="Times New Roman" w:hAnsi="Times New Roman" w:cs="Times New Roman"/>
          <w:b/>
        </w:rPr>
        <w:tab/>
        <w:t>References to other instruments</w:t>
      </w:r>
    </w:p>
    <w:p w14:paraId="333E1944" w14:textId="1BF8219E" w:rsidR="00446CB7" w:rsidRDefault="00446CB7" w:rsidP="006F0F48">
      <w:pPr>
        <w:spacing w:after="40"/>
        <w:rPr>
          <w:rFonts w:ascii="Times New Roman" w:hAnsi="Times New Roman" w:cs="Times New Roman"/>
        </w:rPr>
      </w:pPr>
      <w:r>
        <w:rPr>
          <w:rFonts w:ascii="Times New Roman" w:hAnsi="Times New Roman" w:cs="Times New Roman"/>
        </w:rPr>
        <w:t xml:space="preserve">This section provides that in the </w:t>
      </w:r>
      <w:r w:rsidR="007B0BAC">
        <w:rPr>
          <w:rFonts w:ascii="Times New Roman" w:hAnsi="Times New Roman" w:cs="Times New Roman"/>
        </w:rPr>
        <w:t>Determination</w:t>
      </w:r>
      <w:r>
        <w:rPr>
          <w:rFonts w:ascii="Times New Roman" w:hAnsi="Times New Roman" w:cs="Times New Roman"/>
        </w:rPr>
        <w:t>, unless the contrary intention appears</w:t>
      </w:r>
      <w:r w:rsidR="00F809AF">
        <w:rPr>
          <w:rFonts w:ascii="Times New Roman" w:hAnsi="Times New Roman" w:cs="Times New Roman"/>
        </w:rPr>
        <w:t>,</w:t>
      </w:r>
      <w:r w:rsidR="001E250D">
        <w:rPr>
          <w:rFonts w:ascii="Times New Roman" w:hAnsi="Times New Roman" w:cs="Times New Roman"/>
        </w:rPr>
        <w:t xml:space="preserve"> </w:t>
      </w:r>
      <w:r w:rsidRPr="006F0F48">
        <w:rPr>
          <w:rFonts w:ascii="Times New Roman" w:hAnsi="Times New Roman" w:cs="Times New Roman"/>
        </w:rPr>
        <w:t xml:space="preserve">a reference to any other legislative instrument </w:t>
      </w:r>
      <w:r w:rsidR="000B7294">
        <w:rPr>
          <w:rFonts w:ascii="Times New Roman" w:hAnsi="Times New Roman" w:cs="Times New Roman"/>
        </w:rPr>
        <w:t xml:space="preserve">or </w:t>
      </w:r>
      <w:r w:rsidR="00F809AF">
        <w:rPr>
          <w:rFonts w:ascii="Times New Roman" w:hAnsi="Times New Roman" w:cs="Times New Roman"/>
        </w:rPr>
        <w:t xml:space="preserve">any </w:t>
      </w:r>
      <w:r w:rsidR="000B7294">
        <w:rPr>
          <w:rFonts w:ascii="Times New Roman" w:hAnsi="Times New Roman" w:cs="Times New Roman"/>
        </w:rPr>
        <w:t xml:space="preserve">other </w:t>
      </w:r>
      <w:r w:rsidR="00F809AF">
        <w:rPr>
          <w:rFonts w:ascii="Times New Roman" w:hAnsi="Times New Roman" w:cs="Times New Roman"/>
        </w:rPr>
        <w:t xml:space="preserve">kind of </w:t>
      </w:r>
      <w:r w:rsidR="000B7294">
        <w:rPr>
          <w:rFonts w:ascii="Times New Roman" w:hAnsi="Times New Roman" w:cs="Times New Roman"/>
        </w:rPr>
        <w:t xml:space="preserve">instrument </w:t>
      </w:r>
      <w:r w:rsidRPr="006F0F48">
        <w:rPr>
          <w:rFonts w:ascii="Times New Roman" w:hAnsi="Times New Roman" w:cs="Times New Roman"/>
        </w:rPr>
        <w:t xml:space="preserve">is a reference to that other legislative </w:t>
      </w:r>
      <w:r w:rsidR="00F809AF">
        <w:rPr>
          <w:rFonts w:ascii="Times New Roman" w:hAnsi="Times New Roman" w:cs="Times New Roman"/>
        </w:rPr>
        <w:t xml:space="preserve">instrument </w:t>
      </w:r>
      <w:r w:rsidR="00A80AE6">
        <w:rPr>
          <w:rFonts w:ascii="Times New Roman" w:hAnsi="Times New Roman" w:cs="Times New Roman"/>
        </w:rPr>
        <w:t xml:space="preserve">or </w:t>
      </w:r>
      <w:r w:rsidR="00F809AF">
        <w:rPr>
          <w:rFonts w:ascii="Times New Roman" w:hAnsi="Times New Roman" w:cs="Times New Roman"/>
        </w:rPr>
        <w:t xml:space="preserve">that </w:t>
      </w:r>
      <w:r w:rsidR="00A80AE6">
        <w:rPr>
          <w:rFonts w:ascii="Times New Roman" w:hAnsi="Times New Roman" w:cs="Times New Roman"/>
        </w:rPr>
        <w:t xml:space="preserve">other </w:t>
      </w:r>
      <w:r w:rsidRPr="006F0F48">
        <w:rPr>
          <w:rFonts w:ascii="Times New Roman" w:hAnsi="Times New Roman" w:cs="Times New Roman"/>
        </w:rPr>
        <w:t>instrument as in force from time to time</w:t>
      </w:r>
      <w:r w:rsidR="00A80AE6">
        <w:rPr>
          <w:rFonts w:ascii="Times New Roman" w:hAnsi="Times New Roman" w:cs="Times New Roman"/>
        </w:rPr>
        <w:t>.</w:t>
      </w:r>
    </w:p>
    <w:p w14:paraId="7CB4894B" w14:textId="77777777" w:rsidR="00322934" w:rsidRDefault="00322934" w:rsidP="00446CB7">
      <w:pPr>
        <w:rPr>
          <w:rFonts w:ascii="Times New Roman" w:hAnsi="Times New Roman" w:cs="Times New Roman"/>
          <w:b/>
        </w:rPr>
      </w:pPr>
    </w:p>
    <w:p w14:paraId="705C205D" w14:textId="0ADD3324" w:rsidR="00446CB7" w:rsidRDefault="00446CB7" w:rsidP="005C0167">
      <w:pPr>
        <w:keepNext/>
        <w:keepLines/>
        <w:spacing w:line="257" w:lineRule="auto"/>
        <w:rPr>
          <w:rFonts w:ascii="Times New Roman" w:hAnsi="Times New Roman" w:cs="Times New Roman"/>
          <w:b/>
        </w:rPr>
      </w:pPr>
      <w:r>
        <w:rPr>
          <w:rFonts w:ascii="Times New Roman" w:hAnsi="Times New Roman" w:cs="Times New Roman"/>
          <w:b/>
        </w:rPr>
        <w:t>Part 2</w:t>
      </w:r>
      <w:r w:rsidR="00DE4376">
        <w:rPr>
          <w:rFonts w:ascii="Times New Roman" w:hAnsi="Times New Roman" w:cs="Times New Roman"/>
          <w:b/>
        </w:rPr>
        <w:t xml:space="preserve"> </w:t>
      </w:r>
      <w:r>
        <w:rPr>
          <w:rFonts w:ascii="Times New Roman" w:hAnsi="Times New Roman" w:cs="Times New Roman"/>
          <w:b/>
        </w:rPr>
        <w:t>–</w:t>
      </w:r>
      <w:r w:rsidR="00DE4376">
        <w:rPr>
          <w:rFonts w:ascii="Times New Roman" w:hAnsi="Times New Roman" w:cs="Times New Roman"/>
          <w:b/>
        </w:rPr>
        <w:t xml:space="preserve"> </w:t>
      </w:r>
      <w:r w:rsidR="009D217B" w:rsidRPr="009D217B">
        <w:rPr>
          <w:rFonts w:ascii="Times New Roman" w:hAnsi="Times New Roman" w:cs="Times New Roman"/>
          <w:b/>
        </w:rPr>
        <w:t xml:space="preserve">Identity </w:t>
      </w:r>
      <w:r w:rsidR="008E2C9D">
        <w:rPr>
          <w:rFonts w:ascii="Times New Roman" w:hAnsi="Times New Roman" w:cs="Times New Roman"/>
          <w:b/>
        </w:rPr>
        <w:t>Authenticat</w:t>
      </w:r>
      <w:r w:rsidR="008E2C9D" w:rsidRPr="009D217B">
        <w:rPr>
          <w:rFonts w:ascii="Times New Roman" w:hAnsi="Times New Roman" w:cs="Times New Roman"/>
          <w:b/>
        </w:rPr>
        <w:t xml:space="preserve">ion </w:t>
      </w:r>
      <w:r w:rsidR="009D217B" w:rsidRPr="009D217B">
        <w:rPr>
          <w:rFonts w:ascii="Times New Roman" w:hAnsi="Times New Roman" w:cs="Times New Roman"/>
          <w:b/>
        </w:rPr>
        <w:t>Requirements</w:t>
      </w:r>
    </w:p>
    <w:p w14:paraId="4E0B3F64" w14:textId="1AFA2D81" w:rsidR="00064160" w:rsidRPr="000974EF" w:rsidRDefault="00446CB7" w:rsidP="005C0167">
      <w:pPr>
        <w:keepNext/>
        <w:keepLines/>
        <w:spacing w:line="257" w:lineRule="auto"/>
        <w:rPr>
          <w:rFonts w:ascii="Times New Roman" w:hAnsi="Times New Roman" w:cs="Times New Roman"/>
          <w:b/>
        </w:rPr>
      </w:pPr>
      <w:r>
        <w:rPr>
          <w:rFonts w:ascii="Times New Roman" w:hAnsi="Times New Roman" w:cs="Times New Roman"/>
          <w:b/>
        </w:rPr>
        <w:t>Section 8</w:t>
      </w:r>
      <w:r>
        <w:rPr>
          <w:rFonts w:ascii="Times New Roman" w:hAnsi="Times New Roman" w:cs="Times New Roman"/>
          <w:b/>
        </w:rPr>
        <w:tab/>
      </w:r>
      <w:r w:rsidR="000974EF" w:rsidRPr="00824D72">
        <w:rPr>
          <w:rFonts w:ascii="Times New Roman" w:hAnsi="Times New Roman" w:cs="Times New Roman"/>
          <w:b/>
          <w:bCs/>
        </w:rPr>
        <w:t>Requirement to confirm the requesting person is the customer or the customer’s authorised representative</w:t>
      </w:r>
      <w:r w:rsidR="000974EF" w:rsidRPr="000974EF">
        <w:rPr>
          <w:rFonts w:ascii="Times New Roman" w:hAnsi="Times New Roman" w:cs="Times New Roman"/>
        </w:rPr>
        <w:t xml:space="preserve"> </w:t>
      </w:r>
    </w:p>
    <w:p w14:paraId="09CCFA80" w14:textId="2CF2DC06" w:rsidR="000974EF" w:rsidRPr="005F3E50" w:rsidRDefault="004A5C9F" w:rsidP="000974EF">
      <w:pPr>
        <w:pStyle w:val="subsection"/>
        <w:ind w:left="0" w:firstLine="0"/>
      </w:pPr>
      <w:r w:rsidRPr="005F3E50">
        <w:t>S</w:t>
      </w:r>
      <w:r w:rsidR="00064160" w:rsidRPr="005F3E50">
        <w:t>ection 8 provides</w:t>
      </w:r>
      <w:r w:rsidR="000974EF" w:rsidRPr="005F3E50">
        <w:t xml:space="preserve">, that prior to undertaking the first high-risk customer transaction </w:t>
      </w:r>
      <w:proofErr w:type="gramStart"/>
      <w:r w:rsidR="000974EF" w:rsidRPr="005F3E50">
        <w:t>in the course of</w:t>
      </w:r>
      <w:proofErr w:type="gramEnd"/>
      <w:r w:rsidR="000974EF" w:rsidRPr="005F3E50">
        <w:t xml:space="preserve"> a high-risk customer interaction, a carriage service provider for a telecommunications service must confirm:</w:t>
      </w:r>
    </w:p>
    <w:p w14:paraId="17B2A7D7" w14:textId="0C932FAC" w:rsidR="000974EF" w:rsidRPr="005F3E50" w:rsidRDefault="000974EF" w:rsidP="000974EF">
      <w:pPr>
        <w:pStyle w:val="subsection"/>
        <w:numPr>
          <w:ilvl w:val="0"/>
          <w:numId w:val="3"/>
        </w:numPr>
        <w:spacing w:after="40"/>
        <w:ind w:left="567" w:hanging="567"/>
        <w:rPr>
          <w:rFonts w:eastAsiaTheme="minorHAnsi"/>
          <w:szCs w:val="22"/>
          <w:lang w:eastAsia="en-US"/>
        </w:rPr>
      </w:pPr>
      <w:r w:rsidRPr="005F3E50">
        <w:rPr>
          <w:rFonts w:eastAsiaTheme="minorHAnsi"/>
          <w:szCs w:val="22"/>
          <w:lang w:eastAsia="en-US"/>
        </w:rPr>
        <w:t xml:space="preserve">the requesting person is the customer, or the customer’s authorised representative, for the service by use of the identity authentication process or processes in section 9; or </w:t>
      </w:r>
    </w:p>
    <w:p w14:paraId="3BDDA472" w14:textId="7BEF9ADB" w:rsidR="000974EF" w:rsidRPr="005F3E50" w:rsidRDefault="000974EF" w:rsidP="000974EF">
      <w:pPr>
        <w:pStyle w:val="subsection"/>
        <w:numPr>
          <w:ilvl w:val="0"/>
          <w:numId w:val="3"/>
        </w:numPr>
        <w:spacing w:after="40"/>
        <w:ind w:left="567" w:hanging="567"/>
        <w:rPr>
          <w:rFonts w:eastAsiaTheme="minorHAnsi"/>
          <w:szCs w:val="22"/>
          <w:lang w:eastAsia="en-US"/>
        </w:rPr>
      </w:pPr>
      <w:r w:rsidRPr="005F3E50">
        <w:rPr>
          <w:rFonts w:eastAsiaTheme="minorHAnsi"/>
          <w:szCs w:val="22"/>
          <w:lang w:eastAsia="en-US"/>
        </w:rPr>
        <w:tab/>
        <w:t>if section 10 applies – the requesting person is the customer, or the customer’s authorised representative, for the service by use of the identity authentication process or processes in section 10; or</w:t>
      </w:r>
    </w:p>
    <w:p w14:paraId="49327CF6" w14:textId="5E8AC5CB" w:rsidR="000974EF" w:rsidRPr="005F3E50" w:rsidRDefault="000974EF" w:rsidP="000974EF">
      <w:pPr>
        <w:pStyle w:val="ListParagraph"/>
        <w:numPr>
          <w:ilvl w:val="0"/>
          <w:numId w:val="3"/>
        </w:numPr>
        <w:spacing w:after="40"/>
        <w:ind w:left="567" w:hanging="567"/>
        <w:rPr>
          <w:rFonts w:ascii="Times New Roman" w:hAnsi="Times New Roman" w:cs="Times New Roman"/>
        </w:rPr>
      </w:pPr>
      <w:r w:rsidRPr="005F3E50">
        <w:rPr>
          <w:rFonts w:ascii="Times New Roman" w:hAnsi="Times New Roman" w:cs="Times New Roman"/>
        </w:rPr>
        <w:t>if section 11 applies – the requesting person is the customer, or the customer’s authorised representative, for the service by use of the identity authentication process or processes in section 11</w:t>
      </w:r>
      <w:r w:rsidR="004A5C9F" w:rsidRPr="005F3E50">
        <w:rPr>
          <w:rFonts w:ascii="Times New Roman" w:hAnsi="Times New Roman" w:cs="Times New Roman"/>
        </w:rPr>
        <w:t>.</w:t>
      </w:r>
    </w:p>
    <w:p w14:paraId="47B34FBA" w14:textId="77777777" w:rsidR="00D113DD" w:rsidRDefault="000974EF" w:rsidP="000974EF">
      <w:pPr>
        <w:spacing w:after="40"/>
        <w:rPr>
          <w:rFonts w:ascii="Times New Roman" w:hAnsi="Times New Roman" w:cs="Times New Roman"/>
        </w:rPr>
      </w:pPr>
      <w:r w:rsidRPr="005F3E50">
        <w:rPr>
          <w:rFonts w:ascii="Times New Roman" w:hAnsi="Times New Roman" w:cs="Times New Roman"/>
        </w:rPr>
        <w:t>This requirement is subject to section 12, which sets out rules for unlisted authorised representatives.</w:t>
      </w:r>
    </w:p>
    <w:p w14:paraId="6A037281" w14:textId="552086B6" w:rsidR="000974EF" w:rsidRPr="005F3E50" w:rsidRDefault="000974EF" w:rsidP="000974EF">
      <w:pPr>
        <w:spacing w:after="40"/>
        <w:rPr>
          <w:rFonts w:ascii="Times New Roman" w:hAnsi="Times New Roman" w:cs="Times New Roman"/>
        </w:rPr>
      </w:pPr>
      <w:r w:rsidRPr="005F3E50">
        <w:rPr>
          <w:rFonts w:ascii="Times New Roman" w:hAnsi="Times New Roman" w:cs="Times New Roman"/>
        </w:rPr>
        <w:t>Multiple high-risk transactions may occur as part of a single high-risk interaction.</w:t>
      </w:r>
    </w:p>
    <w:p w14:paraId="541DBD89" w14:textId="77777777" w:rsidR="00132755" w:rsidRPr="005F3E50" w:rsidRDefault="00132755" w:rsidP="000974EF">
      <w:pPr>
        <w:spacing w:after="40"/>
        <w:rPr>
          <w:rFonts w:ascii="Times New Roman" w:hAnsi="Times New Roman" w:cs="Times New Roman"/>
        </w:rPr>
      </w:pPr>
    </w:p>
    <w:p w14:paraId="195287BF" w14:textId="785959E7" w:rsidR="00446CB7" w:rsidRPr="005F3E50" w:rsidRDefault="00064160" w:rsidP="00A754E8">
      <w:pPr>
        <w:keepNext/>
        <w:keepLines/>
        <w:spacing w:line="257" w:lineRule="auto"/>
        <w:rPr>
          <w:rFonts w:ascii="Times New Roman" w:hAnsi="Times New Roman" w:cs="Times New Roman"/>
          <w:b/>
        </w:rPr>
      </w:pPr>
      <w:r w:rsidRPr="005F3E50">
        <w:rPr>
          <w:rFonts w:ascii="Times New Roman" w:hAnsi="Times New Roman" w:cs="Times New Roman"/>
          <w:b/>
        </w:rPr>
        <w:t xml:space="preserve">Section 9 </w:t>
      </w:r>
      <w:r w:rsidRPr="005F3E50">
        <w:rPr>
          <w:rFonts w:ascii="Times New Roman" w:hAnsi="Times New Roman" w:cs="Times New Roman"/>
          <w:b/>
        </w:rPr>
        <w:tab/>
      </w:r>
      <w:r w:rsidR="00E06918" w:rsidRPr="005F3E50">
        <w:rPr>
          <w:rFonts w:ascii="Times New Roman" w:hAnsi="Times New Roman" w:cs="Times New Roman"/>
          <w:b/>
        </w:rPr>
        <w:t>Multi-factor</w:t>
      </w:r>
      <w:r w:rsidR="009D217B" w:rsidRPr="005F3E50">
        <w:rPr>
          <w:rFonts w:ascii="Times New Roman" w:hAnsi="Times New Roman" w:cs="Times New Roman"/>
          <w:b/>
        </w:rPr>
        <w:t xml:space="preserve"> </w:t>
      </w:r>
      <w:r w:rsidR="008E2C9D" w:rsidRPr="005F3E50">
        <w:rPr>
          <w:rFonts w:ascii="Times New Roman" w:hAnsi="Times New Roman" w:cs="Times New Roman"/>
          <w:b/>
        </w:rPr>
        <w:t>Authentication</w:t>
      </w:r>
      <w:r w:rsidR="009D217B" w:rsidRPr="005F3E50">
        <w:rPr>
          <w:rFonts w:ascii="Times New Roman" w:hAnsi="Times New Roman" w:cs="Times New Roman"/>
          <w:b/>
        </w:rPr>
        <w:t xml:space="preserve"> </w:t>
      </w:r>
      <w:r w:rsidR="00E06918" w:rsidRPr="005F3E50">
        <w:rPr>
          <w:rFonts w:ascii="Times New Roman" w:hAnsi="Times New Roman" w:cs="Times New Roman"/>
          <w:b/>
        </w:rPr>
        <w:t>R</w:t>
      </w:r>
      <w:r w:rsidR="009D217B" w:rsidRPr="005F3E50">
        <w:rPr>
          <w:rFonts w:ascii="Times New Roman" w:hAnsi="Times New Roman" w:cs="Times New Roman"/>
          <w:b/>
        </w:rPr>
        <w:t>equirements</w:t>
      </w:r>
    </w:p>
    <w:p w14:paraId="39E18A68" w14:textId="31F2EEC9" w:rsidR="00FF3BF3" w:rsidRPr="005F3E50" w:rsidRDefault="00A754E8" w:rsidP="00A754E8">
      <w:pPr>
        <w:keepNext/>
        <w:keepLines/>
        <w:spacing w:line="257" w:lineRule="auto"/>
        <w:rPr>
          <w:rFonts w:ascii="Times New Roman" w:hAnsi="Times New Roman" w:cs="Times New Roman"/>
        </w:rPr>
      </w:pPr>
      <w:r w:rsidRPr="005F3E50">
        <w:rPr>
          <w:rFonts w:ascii="Times New Roman" w:hAnsi="Times New Roman" w:cs="Times New Roman"/>
        </w:rPr>
        <w:t xml:space="preserve">Section 9 sets out multi-factor identity </w:t>
      </w:r>
      <w:r w:rsidR="008E2C9D" w:rsidRPr="005F3E50">
        <w:rPr>
          <w:rFonts w:ascii="Times New Roman" w:hAnsi="Times New Roman" w:cs="Times New Roman"/>
        </w:rPr>
        <w:t>authenticati</w:t>
      </w:r>
      <w:r w:rsidRPr="005F3E50">
        <w:rPr>
          <w:rFonts w:ascii="Times New Roman" w:hAnsi="Times New Roman" w:cs="Times New Roman"/>
        </w:rPr>
        <w:t>on requirements which apply to all high-risk interactions</w:t>
      </w:r>
      <w:r w:rsidR="009A0A08" w:rsidRPr="005F3E50">
        <w:rPr>
          <w:rFonts w:ascii="Times New Roman" w:hAnsi="Times New Roman" w:cs="Times New Roman"/>
        </w:rPr>
        <w:t xml:space="preserve"> – </w:t>
      </w:r>
      <w:r w:rsidRPr="005F3E50">
        <w:rPr>
          <w:rFonts w:ascii="Times New Roman" w:hAnsi="Times New Roman" w:cs="Times New Roman"/>
        </w:rPr>
        <w:t>unless sections 10</w:t>
      </w:r>
      <w:r w:rsidR="000974EF" w:rsidRPr="005F3E50">
        <w:rPr>
          <w:rFonts w:ascii="Times New Roman" w:hAnsi="Times New Roman" w:cs="Times New Roman"/>
        </w:rPr>
        <w:t>,</w:t>
      </w:r>
      <w:r w:rsidRPr="005F3E50">
        <w:rPr>
          <w:rFonts w:ascii="Times New Roman" w:hAnsi="Times New Roman" w:cs="Times New Roman"/>
        </w:rPr>
        <w:t xml:space="preserve"> 11</w:t>
      </w:r>
      <w:r w:rsidR="000974EF" w:rsidRPr="005F3E50">
        <w:rPr>
          <w:rFonts w:ascii="Times New Roman" w:hAnsi="Times New Roman" w:cs="Times New Roman"/>
        </w:rPr>
        <w:t xml:space="preserve"> or 12</w:t>
      </w:r>
      <w:r w:rsidRPr="005F3E50">
        <w:rPr>
          <w:rFonts w:ascii="Times New Roman" w:hAnsi="Times New Roman" w:cs="Times New Roman"/>
        </w:rPr>
        <w:t xml:space="preserve"> apply.</w:t>
      </w:r>
    </w:p>
    <w:p w14:paraId="5DEC8552" w14:textId="015D7FB3" w:rsidR="00A754E8" w:rsidRPr="005F3E50" w:rsidRDefault="00A163B0" w:rsidP="00A754E8">
      <w:pPr>
        <w:keepNext/>
        <w:keepLines/>
        <w:spacing w:line="257" w:lineRule="auto"/>
        <w:rPr>
          <w:rFonts w:ascii="Times New Roman" w:hAnsi="Times New Roman" w:cs="Times New Roman"/>
        </w:rPr>
      </w:pPr>
      <w:r>
        <w:rPr>
          <w:rFonts w:ascii="Times New Roman" w:hAnsi="Times New Roman" w:cs="Times New Roman"/>
        </w:rPr>
        <w:t>Unless sections 10, 11 or 12</w:t>
      </w:r>
      <w:r w:rsidR="00BA6190">
        <w:rPr>
          <w:rFonts w:ascii="Times New Roman" w:hAnsi="Times New Roman" w:cs="Times New Roman"/>
        </w:rPr>
        <w:t xml:space="preserve"> apply, t</w:t>
      </w:r>
      <w:r w:rsidR="00D345CD" w:rsidRPr="005F3E50">
        <w:rPr>
          <w:rFonts w:ascii="Times New Roman" w:hAnsi="Times New Roman" w:cs="Times New Roman"/>
        </w:rPr>
        <w:t xml:space="preserve">he multi-factor </w:t>
      </w:r>
      <w:r w:rsidR="008E2C9D" w:rsidRPr="005F3E50">
        <w:rPr>
          <w:rFonts w:ascii="Times New Roman" w:hAnsi="Times New Roman" w:cs="Times New Roman"/>
        </w:rPr>
        <w:t xml:space="preserve">authentication </w:t>
      </w:r>
      <w:r w:rsidR="00D345CD" w:rsidRPr="005F3E50">
        <w:rPr>
          <w:rFonts w:ascii="Times New Roman" w:hAnsi="Times New Roman" w:cs="Times New Roman"/>
        </w:rPr>
        <w:t xml:space="preserve">requirements </w:t>
      </w:r>
      <w:r w:rsidR="00BA6190">
        <w:rPr>
          <w:rFonts w:ascii="Times New Roman" w:hAnsi="Times New Roman" w:cs="Times New Roman"/>
        </w:rPr>
        <w:t xml:space="preserve">in this section </w:t>
      </w:r>
      <w:r w:rsidR="00D345CD" w:rsidRPr="005F3E50">
        <w:rPr>
          <w:rFonts w:ascii="Times New Roman" w:hAnsi="Times New Roman" w:cs="Times New Roman"/>
        </w:rPr>
        <w:t xml:space="preserve">must be </w:t>
      </w:r>
      <w:r w:rsidR="00FD734C">
        <w:rPr>
          <w:rFonts w:ascii="Times New Roman" w:hAnsi="Times New Roman" w:cs="Times New Roman"/>
        </w:rPr>
        <w:t>used by a carriage service provider</w:t>
      </w:r>
      <w:r w:rsidR="001E05A0">
        <w:rPr>
          <w:rFonts w:ascii="Times New Roman" w:hAnsi="Times New Roman" w:cs="Times New Roman"/>
        </w:rPr>
        <w:t xml:space="preserve"> to confirm </w:t>
      </w:r>
      <w:r w:rsidR="00471BF9">
        <w:rPr>
          <w:rFonts w:ascii="Times New Roman" w:hAnsi="Times New Roman" w:cs="Times New Roman"/>
        </w:rPr>
        <w:t>the requesting person is the customer, or the customer’s authorised representative,</w:t>
      </w:r>
      <w:r w:rsidR="00D345CD" w:rsidRPr="005F3E50">
        <w:rPr>
          <w:rFonts w:ascii="Times New Roman" w:hAnsi="Times New Roman" w:cs="Times New Roman"/>
        </w:rPr>
        <w:t xml:space="preserve"> before</w:t>
      </w:r>
      <w:r w:rsidR="000974EF" w:rsidRPr="005F3E50">
        <w:rPr>
          <w:rFonts w:ascii="Times New Roman" w:hAnsi="Times New Roman" w:cs="Times New Roman"/>
        </w:rPr>
        <w:t xml:space="preserve"> the first high-risk transaction </w:t>
      </w:r>
      <w:proofErr w:type="gramStart"/>
      <w:r w:rsidR="000974EF" w:rsidRPr="005F3E50">
        <w:rPr>
          <w:rFonts w:ascii="Times New Roman" w:hAnsi="Times New Roman" w:cs="Times New Roman"/>
        </w:rPr>
        <w:t>in the course of</w:t>
      </w:r>
      <w:proofErr w:type="gramEnd"/>
      <w:r w:rsidR="00D345CD" w:rsidRPr="005F3E50">
        <w:rPr>
          <w:rFonts w:ascii="Times New Roman" w:hAnsi="Times New Roman" w:cs="Times New Roman"/>
        </w:rPr>
        <w:t xml:space="preserve"> a high-risk interaction can be undertaken.</w:t>
      </w:r>
    </w:p>
    <w:p w14:paraId="1DBA0647" w14:textId="5B9370FA" w:rsidR="00D345CD" w:rsidRPr="005F3E50" w:rsidRDefault="00D345CD" w:rsidP="00A754E8">
      <w:pPr>
        <w:keepNext/>
        <w:keepLines/>
        <w:spacing w:line="257" w:lineRule="auto"/>
        <w:rPr>
          <w:rFonts w:ascii="Times New Roman" w:hAnsi="Times New Roman" w:cs="Times New Roman"/>
        </w:rPr>
      </w:pPr>
      <w:r w:rsidRPr="005F3E50">
        <w:rPr>
          <w:rFonts w:ascii="Times New Roman" w:hAnsi="Times New Roman" w:cs="Times New Roman"/>
        </w:rPr>
        <w:t xml:space="preserve">Subsection </w:t>
      </w:r>
      <w:r w:rsidR="00C611E6" w:rsidRPr="005F3E50">
        <w:rPr>
          <w:rFonts w:ascii="Times New Roman" w:hAnsi="Times New Roman" w:cs="Times New Roman"/>
        </w:rPr>
        <w:t>9</w:t>
      </w:r>
      <w:r w:rsidRPr="005F3E50">
        <w:rPr>
          <w:rFonts w:ascii="Times New Roman" w:hAnsi="Times New Roman" w:cs="Times New Roman"/>
        </w:rPr>
        <w:t>(1) provides that</w:t>
      </w:r>
      <w:r w:rsidR="00D54B0C" w:rsidRPr="005F3E50">
        <w:rPr>
          <w:rFonts w:ascii="Times New Roman" w:hAnsi="Times New Roman" w:cs="Times New Roman"/>
        </w:rPr>
        <w:t xml:space="preserve"> in a case where the high-risk customer interaction is initiated by the requesting person –</w:t>
      </w:r>
      <w:r w:rsidR="00D54B0C" w:rsidRPr="005F3E50">
        <w:t xml:space="preserve"> </w:t>
      </w:r>
      <w:r w:rsidRPr="005F3E50">
        <w:rPr>
          <w:rFonts w:ascii="Times New Roman" w:hAnsi="Times New Roman" w:cs="Times New Roman"/>
        </w:rPr>
        <w:t>a</w:t>
      </w:r>
      <w:r w:rsidR="00D54B0C" w:rsidRPr="005F3E50">
        <w:rPr>
          <w:rFonts w:ascii="Times New Roman" w:hAnsi="Times New Roman" w:cs="Times New Roman"/>
        </w:rPr>
        <w:t xml:space="preserve"> </w:t>
      </w:r>
      <w:r w:rsidRPr="005F3E50">
        <w:rPr>
          <w:rFonts w:ascii="Times New Roman" w:hAnsi="Times New Roman" w:cs="Times New Roman"/>
        </w:rPr>
        <w:t xml:space="preserve">carriage service provider </w:t>
      </w:r>
      <w:r w:rsidR="008334AC" w:rsidRPr="005F3E50">
        <w:rPr>
          <w:rFonts w:ascii="Times New Roman" w:hAnsi="Times New Roman" w:cs="Times New Roman"/>
        </w:rPr>
        <w:t xml:space="preserve">must </w:t>
      </w:r>
      <w:r w:rsidR="00EA676F" w:rsidRPr="005F3E50">
        <w:rPr>
          <w:rFonts w:ascii="Times New Roman" w:hAnsi="Times New Roman" w:cs="Times New Roman"/>
        </w:rPr>
        <w:t xml:space="preserve">authenticate </w:t>
      </w:r>
      <w:r w:rsidR="005D6ABF">
        <w:rPr>
          <w:rFonts w:ascii="Times New Roman" w:hAnsi="Times New Roman" w:cs="Times New Roman"/>
        </w:rPr>
        <w:t xml:space="preserve">that the requesting person is </w:t>
      </w:r>
      <w:r w:rsidR="00EA676F" w:rsidRPr="005F3E50">
        <w:rPr>
          <w:rFonts w:ascii="Times New Roman" w:hAnsi="Times New Roman" w:cs="Times New Roman"/>
        </w:rPr>
        <w:t>the customer or their authorised representative by using</w:t>
      </w:r>
      <w:r w:rsidRPr="005F3E50">
        <w:rPr>
          <w:rFonts w:ascii="Times New Roman" w:hAnsi="Times New Roman" w:cs="Times New Roman"/>
        </w:rPr>
        <w:t xml:space="preserve"> at least two account information authenticators</w:t>
      </w:r>
      <w:r w:rsidR="00604499">
        <w:rPr>
          <w:rFonts w:ascii="Times New Roman" w:hAnsi="Times New Roman" w:cs="Times New Roman"/>
        </w:rPr>
        <w:t>,</w:t>
      </w:r>
      <w:r w:rsidRPr="005F3E50">
        <w:rPr>
          <w:rFonts w:ascii="Times New Roman" w:hAnsi="Times New Roman" w:cs="Times New Roman"/>
        </w:rPr>
        <w:t xml:space="preserve"> or at least</w:t>
      </w:r>
      <w:r w:rsidR="009A0A08" w:rsidRPr="005F3E50">
        <w:t xml:space="preserve"> </w:t>
      </w:r>
      <w:r w:rsidR="009A0A08" w:rsidRPr="005F3E50">
        <w:rPr>
          <w:rFonts w:ascii="Times New Roman" w:hAnsi="Times New Roman" w:cs="Times New Roman"/>
        </w:rPr>
        <w:t>two personal information authenticators</w:t>
      </w:r>
      <w:r w:rsidR="00604499">
        <w:rPr>
          <w:rFonts w:ascii="Times New Roman" w:hAnsi="Times New Roman" w:cs="Times New Roman"/>
        </w:rPr>
        <w:t>,</w:t>
      </w:r>
      <w:r w:rsidR="009A0A08" w:rsidRPr="005F3E50">
        <w:rPr>
          <w:rFonts w:ascii="Times New Roman" w:hAnsi="Times New Roman" w:cs="Times New Roman"/>
        </w:rPr>
        <w:t xml:space="preserve"> or at least</w:t>
      </w:r>
      <w:r w:rsidRPr="005F3E50">
        <w:rPr>
          <w:rFonts w:ascii="Times New Roman" w:hAnsi="Times New Roman" w:cs="Times New Roman"/>
        </w:rPr>
        <w:t xml:space="preserve"> one account information authenticator and one personal information authenticator</w:t>
      </w:r>
      <w:r w:rsidR="008334AC" w:rsidRPr="005F3E50">
        <w:rPr>
          <w:rFonts w:ascii="Times New Roman" w:hAnsi="Times New Roman" w:cs="Times New Roman"/>
        </w:rPr>
        <w:t>.</w:t>
      </w:r>
    </w:p>
    <w:p w14:paraId="2083C8CC" w14:textId="7EACA52A" w:rsidR="00D54B0C" w:rsidRPr="005F3E50" w:rsidRDefault="00D54B0C" w:rsidP="00A754E8">
      <w:pPr>
        <w:keepNext/>
        <w:keepLines/>
        <w:spacing w:line="257" w:lineRule="auto"/>
        <w:rPr>
          <w:rFonts w:ascii="Times New Roman" w:hAnsi="Times New Roman" w:cs="Times New Roman"/>
        </w:rPr>
      </w:pPr>
      <w:r w:rsidRPr="005F3E50">
        <w:rPr>
          <w:rFonts w:ascii="Times New Roman" w:hAnsi="Times New Roman" w:cs="Times New Roman"/>
        </w:rPr>
        <w:t>Subsection 9(2) provides that in a case where the high-risk customer interaction is initiated by the carriage service provider using the public number listed on the customer’s account – the provider for the telecommunications service must use at least one personal information authenticator.</w:t>
      </w:r>
    </w:p>
    <w:p w14:paraId="54E3EBB4" w14:textId="31F89B1D" w:rsidR="008B2A62" w:rsidRPr="005F3E50" w:rsidRDefault="00E76837" w:rsidP="008334AC">
      <w:pPr>
        <w:keepNext/>
        <w:keepLines/>
        <w:spacing w:line="257" w:lineRule="auto"/>
        <w:rPr>
          <w:rFonts w:ascii="Times New Roman" w:hAnsi="Times New Roman" w:cs="Times New Roman"/>
        </w:rPr>
      </w:pPr>
      <w:r w:rsidRPr="005F3E50">
        <w:rPr>
          <w:rFonts w:ascii="Times New Roman" w:hAnsi="Times New Roman" w:cs="Times New Roman"/>
        </w:rPr>
        <w:t xml:space="preserve">In addition to </w:t>
      </w:r>
      <w:r w:rsidR="008334AC" w:rsidRPr="005F3E50">
        <w:rPr>
          <w:rFonts w:ascii="Times New Roman" w:hAnsi="Times New Roman" w:cs="Times New Roman"/>
        </w:rPr>
        <w:t>comply</w:t>
      </w:r>
      <w:r w:rsidR="00D47B16" w:rsidRPr="005F3E50">
        <w:rPr>
          <w:rFonts w:ascii="Times New Roman" w:hAnsi="Times New Roman" w:cs="Times New Roman"/>
        </w:rPr>
        <w:t>ing</w:t>
      </w:r>
      <w:r w:rsidR="008334AC" w:rsidRPr="005F3E50">
        <w:rPr>
          <w:rFonts w:ascii="Times New Roman" w:hAnsi="Times New Roman" w:cs="Times New Roman"/>
        </w:rPr>
        <w:t xml:space="preserve"> with </w:t>
      </w:r>
      <w:r w:rsidR="00F64C06">
        <w:rPr>
          <w:rFonts w:ascii="Times New Roman" w:hAnsi="Times New Roman" w:cs="Times New Roman"/>
        </w:rPr>
        <w:t>one</w:t>
      </w:r>
      <w:r w:rsidR="00D54B0C" w:rsidRPr="005F3E50">
        <w:rPr>
          <w:rFonts w:ascii="Times New Roman" w:hAnsi="Times New Roman" w:cs="Times New Roman"/>
        </w:rPr>
        <w:t xml:space="preserve"> of </w:t>
      </w:r>
      <w:r w:rsidR="008334AC" w:rsidRPr="005F3E50">
        <w:rPr>
          <w:rFonts w:ascii="Times New Roman" w:hAnsi="Times New Roman" w:cs="Times New Roman"/>
        </w:rPr>
        <w:t>th</w:t>
      </w:r>
      <w:r w:rsidR="00F64C06">
        <w:rPr>
          <w:rFonts w:ascii="Times New Roman" w:hAnsi="Times New Roman" w:cs="Times New Roman"/>
        </w:rPr>
        <w:t>o</w:t>
      </w:r>
      <w:r w:rsidR="00D54B0C" w:rsidRPr="005F3E50">
        <w:rPr>
          <w:rFonts w:ascii="Times New Roman" w:hAnsi="Times New Roman" w:cs="Times New Roman"/>
        </w:rPr>
        <w:t>se</w:t>
      </w:r>
      <w:r w:rsidR="008334AC" w:rsidRPr="005F3E50">
        <w:rPr>
          <w:rFonts w:ascii="Times New Roman" w:hAnsi="Times New Roman" w:cs="Times New Roman"/>
        </w:rPr>
        <w:t xml:space="preserve"> subsection</w:t>
      </w:r>
      <w:r w:rsidR="00D54B0C" w:rsidRPr="005F3E50">
        <w:rPr>
          <w:rFonts w:ascii="Times New Roman" w:hAnsi="Times New Roman" w:cs="Times New Roman"/>
        </w:rPr>
        <w:t>s as relevant</w:t>
      </w:r>
      <w:r w:rsidR="008334AC" w:rsidRPr="005F3E50">
        <w:rPr>
          <w:rFonts w:ascii="Times New Roman" w:hAnsi="Times New Roman" w:cs="Times New Roman"/>
        </w:rPr>
        <w:t xml:space="preserve">, a carriage service provider must </w:t>
      </w:r>
      <w:r w:rsidR="00F64C06">
        <w:rPr>
          <w:rFonts w:ascii="Times New Roman" w:hAnsi="Times New Roman" w:cs="Times New Roman"/>
        </w:rPr>
        <w:t xml:space="preserve">also </w:t>
      </w:r>
      <w:r w:rsidR="008B2A62" w:rsidRPr="005F3E50">
        <w:rPr>
          <w:rFonts w:ascii="Times New Roman" w:hAnsi="Times New Roman" w:cs="Times New Roman"/>
        </w:rPr>
        <w:t xml:space="preserve">use at least one of a range of identity </w:t>
      </w:r>
      <w:r w:rsidR="00FC19B5" w:rsidRPr="005F3E50">
        <w:rPr>
          <w:rFonts w:ascii="Times New Roman" w:hAnsi="Times New Roman" w:cs="Times New Roman"/>
        </w:rPr>
        <w:t>authentication</w:t>
      </w:r>
      <w:r w:rsidR="008B2A62" w:rsidRPr="005F3E50">
        <w:rPr>
          <w:rFonts w:ascii="Times New Roman" w:hAnsi="Times New Roman" w:cs="Times New Roman"/>
        </w:rPr>
        <w:t xml:space="preserve"> processes </w:t>
      </w:r>
      <w:r w:rsidR="009A0A08" w:rsidRPr="005F3E50">
        <w:rPr>
          <w:rFonts w:ascii="Times New Roman" w:hAnsi="Times New Roman" w:cs="Times New Roman"/>
        </w:rPr>
        <w:t xml:space="preserve">as </w:t>
      </w:r>
      <w:r w:rsidR="008B2A62" w:rsidRPr="005F3E50">
        <w:rPr>
          <w:rFonts w:ascii="Times New Roman" w:hAnsi="Times New Roman" w:cs="Times New Roman"/>
        </w:rPr>
        <w:t xml:space="preserve">set out in </w:t>
      </w:r>
      <w:r w:rsidR="00490B2D" w:rsidRPr="005F3E50">
        <w:rPr>
          <w:rFonts w:ascii="Times New Roman" w:hAnsi="Times New Roman" w:cs="Times New Roman"/>
        </w:rPr>
        <w:t>paragraph</w:t>
      </w:r>
      <w:r w:rsidR="00425E14" w:rsidRPr="005F3E50">
        <w:rPr>
          <w:rFonts w:ascii="Times New Roman" w:hAnsi="Times New Roman" w:cs="Times New Roman"/>
        </w:rPr>
        <w:t>s</w:t>
      </w:r>
      <w:r w:rsidR="00490B2D" w:rsidRPr="005F3E50">
        <w:rPr>
          <w:rFonts w:ascii="Times New Roman" w:hAnsi="Times New Roman" w:cs="Times New Roman"/>
        </w:rPr>
        <w:t xml:space="preserve"> </w:t>
      </w:r>
      <w:r w:rsidR="00C611E6" w:rsidRPr="005F3E50">
        <w:rPr>
          <w:rFonts w:ascii="Times New Roman" w:hAnsi="Times New Roman" w:cs="Times New Roman"/>
        </w:rPr>
        <w:t>9</w:t>
      </w:r>
      <w:r w:rsidR="008B2A62" w:rsidRPr="005F3E50">
        <w:rPr>
          <w:rFonts w:ascii="Times New Roman" w:hAnsi="Times New Roman" w:cs="Times New Roman"/>
        </w:rPr>
        <w:t>(</w:t>
      </w:r>
      <w:r w:rsidR="00D54B0C" w:rsidRPr="005F3E50">
        <w:rPr>
          <w:rFonts w:ascii="Times New Roman" w:hAnsi="Times New Roman" w:cs="Times New Roman"/>
        </w:rPr>
        <w:t>3</w:t>
      </w:r>
      <w:r w:rsidR="008B2A62" w:rsidRPr="005F3E50">
        <w:rPr>
          <w:rFonts w:ascii="Times New Roman" w:hAnsi="Times New Roman" w:cs="Times New Roman"/>
        </w:rPr>
        <w:t>)</w:t>
      </w:r>
      <w:r w:rsidR="00A44AB3" w:rsidRPr="005F3E50">
        <w:rPr>
          <w:rFonts w:ascii="Times New Roman" w:hAnsi="Times New Roman" w:cs="Times New Roman"/>
        </w:rPr>
        <w:t xml:space="preserve">(a) to </w:t>
      </w:r>
      <w:r w:rsidR="00AF74BE" w:rsidRPr="005F3E50">
        <w:rPr>
          <w:rFonts w:ascii="Times New Roman" w:hAnsi="Times New Roman" w:cs="Times New Roman"/>
        </w:rPr>
        <w:t>(</w:t>
      </w:r>
      <w:r w:rsidR="00EA676F" w:rsidRPr="005F3E50">
        <w:rPr>
          <w:rFonts w:ascii="Times New Roman" w:hAnsi="Times New Roman" w:cs="Times New Roman"/>
        </w:rPr>
        <w:t>f</w:t>
      </w:r>
      <w:r w:rsidR="00AF74BE" w:rsidRPr="005F3E50">
        <w:rPr>
          <w:rFonts w:ascii="Times New Roman" w:hAnsi="Times New Roman" w:cs="Times New Roman"/>
        </w:rPr>
        <w:t>)</w:t>
      </w:r>
      <w:r w:rsidR="008B2A62" w:rsidRPr="005F3E50">
        <w:rPr>
          <w:rFonts w:ascii="Times New Roman" w:hAnsi="Times New Roman" w:cs="Times New Roman"/>
        </w:rPr>
        <w:t xml:space="preserve"> to confirm </w:t>
      </w:r>
      <w:r w:rsidR="00C16F44" w:rsidRPr="005F3E50">
        <w:rPr>
          <w:rFonts w:ascii="Times New Roman" w:hAnsi="Times New Roman" w:cs="Times New Roman"/>
        </w:rPr>
        <w:t>that the</w:t>
      </w:r>
      <w:r w:rsidR="008B2A62" w:rsidRPr="005F3E50">
        <w:rPr>
          <w:rFonts w:ascii="Times New Roman" w:hAnsi="Times New Roman" w:cs="Times New Roman"/>
        </w:rPr>
        <w:t xml:space="preserve"> person requesting </w:t>
      </w:r>
      <w:r w:rsidR="008334AC" w:rsidRPr="005F3E50">
        <w:rPr>
          <w:rFonts w:ascii="Times New Roman" w:hAnsi="Times New Roman" w:cs="Times New Roman"/>
        </w:rPr>
        <w:t>the high-risk customer interaction i</w:t>
      </w:r>
      <w:r w:rsidR="009A0A08" w:rsidRPr="005F3E50">
        <w:rPr>
          <w:rFonts w:ascii="Times New Roman" w:hAnsi="Times New Roman" w:cs="Times New Roman"/>
        </w:rPr>
        <w:t>s</w:t>
      </w:r>
      <w:r w:rsidR="008334AC" w:rsidRPr="005F3E50">
        <w:rPr>
          <w:rFonts w:ascii="Times New Roman" w:hAnsi="Times New Roman" w:cs="Times New Roman"/>
        </w:rPr>
        <w:t xml:space="preserve"> the customer</w:t>
      </w:r>
      <w:r w:rsidR="009A0A08" w:rsidRPr="005F3E50">
        <w:rPr>
          <w:rFonts w:ascii="Times New Roman" w:hAnsi="Times New Roman" w:cs="Times New Roman"/>
        </w:rPr>
        <w:t xml:space="preserve"> or their authorised representative</w:t>
      </w:r>
      <w:r w:rsidR="008B2A62" w:rsidRPr="005F3E50">
        <w:rPr>
          <w:rFonts w:ascii="Times New Roman" w:hAnsi="Times New Roman" w:cs="Times New Roman"/>
        </w:rPr>
        <w:t xml:space="preserve">. </w:t>
      </w:r>
    </w:p>
    <w:p w14:paraId="095373EE" w14:textId="296373E4" w:rsidR="00C07F0E" w:rsidRPr="005F3E50" w:rsidRDefault="00F05A55" w:rsidP="00DD6A3A">
      <w:pPr>
        <w:rPr>
          <w:rFonts w:ascii="Times New Roman" w:hAnsi="Times New Roman" w:cs="Times New Roman"/>
        </w:rPr>
      </w:pPr>
      <w:r w:rsidRPr="005F3E50">
        <w:rPr>
          <w:rFonts w:ascii="Times New Roman" w:hAnsi="Times New Roman" w:cs="Times New Roman"/>
        </w:rPr>
        <w:t xml:space="preserve">Paragraph </w:t>
      </w:r>
      <w:r w:rsidR="00C611E6" w:rsidRPr="005F3E50">
        <w:rPr>
          <w:rFonts w:ascii="Times New Roman" w:hAnsi="Times New Roman" w:cs="Times New Roman"/>
        </w:rPr>
        <w:t>9</w:t>
      </w:r>
      <w:r w:rsidRPr="005F3E50">
        <w:rPr>
          <w:rFonts w:ascii="Times New Roman" w:hAnsi="Times New Roman" w:cs="Times New Roman"/>
        </w:rPr>
        <w:t>(</w:t>
      </w:r>
      <w:r w:rsidR="00D54B0C" w:rsidRPr="005F3E50">
        <w:rPr>
          <w:rFonts w:ascii="Times New Roman" w:hAnsi="Times New Roman" w:cs="Times New Roman"/>
        </w:rPr>
        <w:t>3</w:t>
      </w:r>
      <w:r w:rsidRPr="005F3E50">
        <w:rPr>
          <w:rFonts w:ascii="Times New Roman" w:hAnsi="Times New Roman" w:cs="Times New Roman"/>
        </w:rPr>
        <w:t xml:space="preserve">)(a) </w:t>
      </w:r>
      <w:r w:rsidR="007A45DE" w:rsidRPr="005F3E50">
        <w:rPr>
          <w:rFonts w:ascii="Times New Roman" w:hAnsi="Times New Roman" w:cs="Times New Roman"/>
        </w:rPr>
        <w:t xml:space="preserve">describes </w:t>
      </w:r>
      <w:r w:rsidR="00022026" w:rsidRPr="005F3E50">
        <w:rPr>
          <w:rFonts w:ascii="Times New Roman" w:hAnsi="Times New Roman" w:cs="Times New Roman"/>
        </w:rPr>
        <w:t xml:space="preserve">one process </w:t>
      </w:r>
      <w:r w:rsidR="004048E1" w:rsidRPr="005F3E50">
        <w:rPr>
          <w:rFonts w:ascii="Times New Roman" w:hAnsi="Times New Roman" w:cs="Times New Roman"/>
        </w:rPr>
        <w:t xml:space="preserve">that can be used </w:t>
      </w:r>
      <w:r w:rsidR="008A5BC4" w:rsidRPr="005F3E50">
        <w:rPr>
          <w:rFonts w:ascii="Times New Roman" w:hAnsi="Times New Roman" w:cs="Times New Roman"/>
        </w:rPr>
        <w:t>by</w:t>
      </w:r>
      <w:r w:rsidR="00A22CB8" w:rsidRPr="005F3E50">
        <w:rPr>
          <w:rFonts w:ascii="Times New Roman" w:hAnsi="Times New Roman" w:cs="Times New Roman"/>
        </w:rPr>
        <w:t xml:space="preserve"> the carriage service provider </w:t>
      </w:r>
      <w:r w:rsidR="0043109D" w:rsidRPr="005F3E50">
        <w:rPr>
          <w:rFonts w:ascii="Times New Roman" w:hAnsi="Times New Roman" w:cs="Times New Roman"/>
        </w:rPr>
        <w:t xml:space="preserve">which </w:t>
      </w:r>
      <w:r w:rsidR="00952319" w:rsidRPr="005F3E50">
        <w:rPr>
          <w:rFonts w:ascii="Times New Roman" w:hAnsi="Times New Roman" w:cs="Times New Roman"/>
        </w:rPr>
        <w:t xml:space="preserve">is </w:t>
      </w:r>
      <w:r w:rsidR="00A22CB8" w:rsidRPr="005F3E50">
        <w:rPr>
          <w:rFonts w:ascii="Times New Roman" w:hAnsi="Times New Roman" w:cs="Times New Roman"/>
        </w:rPr>
        <w:t xml:space="preserve">to confirm that the requesting person has direct and immediate access to </w:t>
      </w:r>
      <w:r w:rsidR="00D47B16" w:rsidRPr="005F3E50">
        <w:rPr>
          <w:rFonts w:ascii="Times New Roman" w:hAnsi="Times New Roman" w:cs="Times New Roman"/>
        </w:rPr>
        <w:t>the telecommunications service</w:t>
      </w:r>
      <w:r w:rsidRPr="005F3E50">
        <w:rPr>
          <w:rFonts w:ascii="Times New Roman" w:hAnsi="Times New Roman" w:cs="Times New Roman"/>
        </w:rPr>
        <w:t>.</w:t>
      </w:r>
      <w:r w:rsidR="00A22CB8" w:rsidRPr="005F3E50">
        <w:rPr>
          <w:rFonts w:ascii="Times New Roman" w:hAnsi="Times New Roman" w:cs="Times New Roman"/>
        </w:rPr>
        <w:t xml:space="preserve"> </w:t>
      </w:r>
      <w:r w:rsidR="00FD235D" w:rsidRPr="005F3E50">
        <w:rPr>
          <w:rFonts w:ascii="Times New Roman" w:hAnsi="Times New Roman" w:cs="Times New Roman"/>
        </w:rPr>
        <w:t xml:space="preserve">Direct and immediate </w:t>
      </w:r>
      <w:r w:rsidR="00D31021" w:rsidRPr="005F3E50">
        <w:rPr>
          <w:rFonts w:ascii="Times New Roman" w:hAnsi="Times New Roman" w:cs="Times New Roman"/>
        </w:rPr>
        <w:t>access</w:t>
      </w:r>
      <w:r w:rsidR="004E7CE6" w:rsidRPr="005F3E50">
        <w:rPr>
          <w:rFonts w:ascii="Times New Roman" w:hAnsi="Times New Roman" w:cs="Times New Roman"/>
        </w:rPr>
        <w:t xml:space="preserve"> to the </w:t>
      </w:r>
      <w:r w:rsidR="00D47B16" w:rsidRPr="005F3E50">
        <w:rPr>
          <w:rFonts w:ascii="Times New Roman" w:hAnsi="Times New Roman" w:cs="Times New Roman"/>
        </w:rPr>
        <w:t>telecommunications service</w:t>
      </w:r>
      <w:r w:rsidR="004E7CE6" w:rsidRPr="005F3E50">
        <w:rPr>
          <w:rFonts w:ascii="Times New Roman" w:hAnsi="Times New Roman" w:cs="Times New Roman"/>
        </w:rPr>
        <w:t xml:space="preserve"> </w:t>
      </w:r>
      <w:r w:rsidR="00D31021" w:rsidRPr="005F3E50">
        <w:rPr>
          <w:rFonts w:ascii="Times New Roman" w:hAnsi="Times New Roman" w:cs="Times New Roman"/>
        </w:rPr>
        <w:t>can be demonstrated in different sales channel</w:t>
      </w:r>
      <w:r w:rsidR="0055410E" w:rsidRPr="005F3E50">
        <w:rPr>
          <w:rFonts w:ascii="Times New Roman" w:hAnsi="Times New Roman" w:cs="Times New Roman"/>
        </w:rPr>
        <w:t xml:space="preserve"> </w:t>
      </w:r>
      <w:r w:rsidR="00CC6AA8" w:rsidRPr="005F3E50">
        <w:rPr>
          <w:rFonts w:ascii="Times New Roman" w:hAnsi="Times New Roman" w:cs="Times New Roman"/>
        </w:rPr>
        <w:t>environment</w:t>
      </w:r>
      <w:r w:rsidR="00D31021" w:rsidRPr="005F3E50">
        <w:rPr>
          <w:rFonts w:ascii="Times New Roman" w:hAnsi="Times New Roman" w:cs="Times New Roman"/>
        </w:rPr>
        <w:t>s in different ways</w:t>
      </w:r>
      <w:r w:rsidR="00B526C1" w:rsidRPr="005F3E50">
        <w:rPr>
          <w:rFonts w:ascii="Times New Roman" w:hAnsi="Times New Roman" w:cs="Times New Roman"/>
        </w:rPr>
        <w:t>.</w:t>
      </w:r>
      <w:r w:rsidR="00D67A19" w:rsidRPr="005F3E50">
        <w:rPr>
          <w:rFonts w:ascii="Times New Roman" w:hAnsi="Times New Roman" w:cs="Times New Roman"/>
        </w:rPr>
        <w:t xml:space="preserve"> The</w:t>
      </w:r>
      <w:r w:rsidR="00726829" w:rsidRPr="005F3E50">
        <w:rPr>
          <w:rFonts w:ascii="Times New Roman" w:hAnsi="Times New Roman" w:cs="Times New Roman"/>
        </w:rPr>
        <w:t xml:space="preserve"> </w:t>
      </w:r>
      <w:r w:rsidR="00D67A19" w:rsidRPr="005F3E50">
        <w:rPr>
          <w:rFonts w:ascii="Times New Roman" w:hAnsi="Times New Roman" w:cs="Times New Roman"/>
        </w:rPr>
        <w:t xml:space="preserve">examples </w:t>
      </w:r>
      <w:r w:rsidR="0077527F">
        <w:rPr>
          <w:rFonts w:ascii="Times New Roman" w:hAnsi="Times New Roman" w:cs="Times New Roman"/>
        </w:rPr>
        <w:t>noted under</w:t>
      </w:r>
      <w:r w:rsidR="00D67A19" w:rsidRPr="005F3E50">
        <w:rPr>
          <w:rFonts w:ascii="Times New Roman" w:hAnsi="Times New Roman" w:cs="Times New Roman"/>
        </w:rPr>
        <w:t xml:space="preserve"> paragraph 9(</w:t>
      </w:r>
      <w:r w:rsidR="00D54B0C" w:rsidRPr="005F3E50">
        <w:rPr>
          <w:rFonts w:ascii="Times New Roman" w:hAnsi="Times New Roman" w:cs="Times New Roman"/>
        </w:rPr>
        <w:t>3</w:t>
      </w:r>
      <w:r w:rsidR="00D67A19" w:rsidRPr="005F3E50">
        <w:rPr>
          <w:rFonts w:ascii="Times New Roman" w:hAnsi="Times New Roman" w:cs="Times New Roman"/>
        </w:rPr>
        <w:t>)(a) illustrate some of the options for confirming the requesting person has direct and immediate access to the telecommunications service.</w:t>
      </w:r>
    </w:p>
    <w:p w14:paraId="276E857C" w14:textId="34D634B2" w:rsidR="00D67A19" w:rsidRPr="005F3E50" w:rsidRDefault="00D67A19" w:rsidP="00DD6A3A">
      <w:pPr>
        <w:rPr>
          <w:rFonts w:ascii="Times New Roman" w:hAnsi="Times New Roman" w:cs="Times New Roman"/>
        </w:rPr>
      </w:pPr>
      <w:r w:rsidRPr="005F3E50">
        <w:rPr>
          <w:rFonts w:ascii="Times New Roman" w:hAnsi="Times New Roman" w:cs="Times New Roman"/>
        </w:rPr>
        <w:t>Paragraph 9(</w:t>
      </w:r>
      <w:r w:rsidR="0077527F">
        <w:rPr>
          <w:rFonts w:ascii="Times New Roman" w:hAnsi="Times New Roman" w:cs="Times New Roman"/>
        </w:rPr>
        <w:t>3</w:t>
      </w:r>
      <w:r w:rsidRPr="005F3E50">
        <w:rPr>
          <w:rFonts w:ascii="Times New Roman" w:hAnsi="Times New Roman" w:cs="Times New Roman"/>
        </w:rPr>
        <w:t>)(</w:t>
      </w:r>
      <w:r w:rsidR="00532955">
        <w:rPr>
          <w:rFonts w:ascii="Times New Roman" w:hAnsi="Times New Roman" w:cs="Times New Roman"/>
        </w:rPr>
        <w:t>b</w:t>
      </w:r>
      <w:r w:rsidRPr="005F3E50">
        <w:rPr>
          <w:rFonts w:ascii="Times New Roman" w:hAnsi="Times New Roman" w:cs="Times New Roman"/>
        </w:rPr>
        <w:t xml:space="preserve">) describes </w:t>
      </w:r>
      <w:r w:rsidR="008757FF">
        <w:rPr>
          <w:rFonts w:ascii="Times New Roman" w:hAnsi="Times New Roman" w:cs="Times New Roman"/>
        </w:rPr>
        <w:t>another</w:t>
      </w:r>
      <w:r w:rsidRPr="005F3E50">
        <w:rPr>
          <w:rFonts w:ascii="Times New Roman" w:hAnsi="Times New Roman" w:cs="Times New Roman"/>
        </w:rPr>
        <w:t xml:space="preserve"> process that can be used by the carriage service provider which is to confirm that the requesting person</w:t>
      </w:r>
      <w:r w:rsidR="00820B44" w:rsidRPr="005F3E50">
        <w:rPr>
          <w:rFonts w:ascii="Times New Roman" w:hAnsi="Times New Roman" w:cs="Times New Roman"/>
        </w:rPr>
        <w:t xml:space="preserve"> </w:t>
      </w:r>
      <w:r w:rsidRPr="005F3E50">
        <w:rPr>
          <w:rFonts w:ascii="Times New Roman" w:hAnsi="Times New Roman" w:cs="Times New Roman"/>
        </w:rPr>
        <w:t xml:space="preserve">has direct and immediate access to the </w:t>
      </w:r>
      <w:r w:rsidR="00C152C6" w:rsidRPr="005F3E50">
        <w:rPr>
          <w:rFonts w:ascii="Times New Roman" w:hAnsi="Times New Roman" w:cs="Times New Roman"/>
        </w:rPr>
        <w:t xml:space="preserve">public number listed on the customer’s account as the contact number for the customer. The example </w:t>
      </w:r>
      <w:r w:rsidR="008757FF">
        <w:rPr>
          <w:rFonts w:ascii="Times New Roman" w:hAnsi="Times New Roman" w:cs="Times New Roman"/>
        </w:rPr>
        <w:t xml:space="preserve">under that paragraph </w:t>
      </w:r>
      <w:r w:rsidR="00C152C6" w:rsidRPr="005F3E50">
        <w:rPr>
          <w:rFonts w:ascii="Times New Roman" w:hAnsi="Times New Roman" w:cs="Times New Roman"/>
        </w:rPr>
        <w:t xml:space="preserve">illustrates one </w:t>
      </w:r>
      <w:r w:rsidR="008757FF">
        <w:rPr>
          <w:rFonts w:ascii="Times New Roman" w:hAnsi="Times New Roman" w:cs="Times New Roman"/>
        </w:rPr>
        <w:t xml:space="preserve">way </w:t>
      </w:r>
      <w:r w:rsidR="000F4288" w:rsidRPr="005F3E50">
        <w:rPr>
          <w:rFonts w:ascii="Times New Roman" w:hAnsi="Times New Roman" w:cs="Times New Roman"/>
        </w:rPr>
        <w:t>how this process might</w:t>
      </w:r>
      <w:r w:rsidR="00C152C6" w:rsidRPr="005F3E50">
        <w:rPr>
          <w:rFonts w:ascii="Times New Roman" w:hAnsi="Times New Roman" w:cs="Times New Roman"/>
        </w:rPr>
        <w:t xml:space="preserve"> occur</w:t>
      </w:r>
      <w:r w:rsidR="000F4288" w:rsidRPr="005F3E50">
        <w:rPr>
          <w:rFonts w:ascii="Times New Roman" w:hAnsi="Times New Roman" w:cs="Times New Roman"/>
        </w:rPr>
        <w:t>.</w:t>
      </w:r>
      <w:r w:rsidR="00C152C6" w:rsidRPr="005F3E50">
        <w:rPr>
          <w:rFonts w:ascii="Times New Roman" w:hAnsi="Times New Roman" w:cs="Times New Roman"/>
        </w:rPr>
        <w:t xml:space="preserve"> </w:t>
      </w:r>
      <w:r w:rsidR="00E76837" w:rsidRPr="005F3E50">
        <w:rPr>
          <w:rFonts w:ascii="Times New Roman" w:hAnsi="Times New Roman" w:cs="Times New Roman"/>
        </w:rPr>
        <w:t>This process would be satisfied in the case specified in subsection 9(2) where the high-risk customer interaction is initiated by the carriage service provider using the public number listed on the customer’s account.</w:t>
      </w:r>
    </w:p>
    <w:p w14:paraId="49DDDC22" w14:textId="389300E7" w:rsidR="00ED12A0" w:rsidRPr="005F3E50" w:rsidRDefault="00F05A55" w:rsidP="000D5463">
      <w:pPr>
        <w:rPr>
          <w:rFonts w:ascii="Times New Roman" w:hAnsi="Times New Roman" w:cs="Times New Roman"/>
        </w:rPr>
      </w:pPr>
      <w:r w:rsidRPr="005F3E50">
        <w:rPr>
          <w:rFonts w:ascii="Times New Roman" w:hAnsi="Times New Roman" w:cs="Times New Roman"/>
        </w:rPr>
        <w:t xml:space="preserve">Paragraph </w:t>
      </w:r>
      <w:r w:rsidR="00C611E6" w:rsidRPr="005F3E50">
        <w:rPr>
          <w:rFonts w:ascii="Times New Roman" w:hAnsi="Times New Roman" w:cs="Times New Roman"/>
        </w:rPr>
        <w:t>9</w:t>
      </w:r>
      <w:r w:rsidR="008B2A62" w:rsidRPr="005F3E50">
        <w:rPr>
          <w:rFonts w:ascii="Times New Roman" w:hAnsi="Times New Roman" w:cs="Times New Roman"/>
        </w:rPr>
        <w:t>(</w:t>
      </w:r>
      <w:r w:rsidR="00E76837" w:rsidRPr="005F3E50">
        <w:rPr>
          <w:rFonts w:ascii="Times New Roman" w:hAnsi="Times New Roman" w:cs="Times New Roman"/>
        </w:rPr>
        <w:t>3</w:t>
      </w:r>
      <w:r w:rsidR="00AF7FB4" w:rsidRPr="005F3E50">
        <w:rPr>
          <w:rFonts w:ascii="Times New Roman" w:hAnsi="Times New Roman" w:cs="Times New Roman"/>
        </w:rPr>
        <w:t>)(</w:t>
      </w:r>
      <w:r w:rsidR="00D67A19" w:rsidRPr="005F3E50">
        <w:rPr>
          <w:rFonts w:ascii="Times New Roman" w:hAnsi="Times New Roman" w:cs="Times New Roman"/>
        </w:rPr>
        <w:t>c</w:t>
      </w:r>
      <w:r w:rsidR="00DD6A3A" w:rsidRPr="005F3E50">
        <w:rPr>
          <w:rFonts w:ascii="Times New Roman" w:hAnsi="Times New Roman" w:cs="Times New Roman"/>
        </w:rPr>
        <w:t xml:space="preserve">) </w:t>
      </w:r>
      <w:r w:rsidR="005A751D" w:rsidRPr="005F3E50">
        <w:rPr>
          <w:rFonts w:ascii="Times New Roman" w:hAnsi="Times New Roman" w:cs="Times New Roman"/>
        </w:rPr>
        <w:t>provides that</w:t>
      </w:r>
      <w:r w:rsidR="00750104" w:rsidRPr="005F3E50">
        <w:rPr>
          <w:rFonts w:ascii="Times New Roman" w:hAnsi="Times New Roman" w:cs="Times New Roman"/>
        </w:rPr>
        <w:t xml:space="preserve"> a process </w:t>
      </w:r>
      <w:r w:rsidR="00525594" w:rsidRPr="005F3E50">
        <w:rPr>
          <w:rFonts w:ascii="Times New Roman" w:hAnsi="Times New Roman" w:cs="Times New Roman"/>
        </w:rPr>
        <w:t xml:space="preserve">using a unique verification code </w:t>
      </w:r>
      <w:r w:rsidR="00025EF3" w:rsidRPr="005F3E50">
        <w:rPr>
          <w:rFonts w:ascii="Times New Roman" w:hAnsi="Times New Roman" w:cs="Times New Roman"/>
        </w:rPr>
        <w:t xml:space="preserve">or secure </w:t>
      </w:r>
      <w:r w:rsidR="00E76837" w:rsidRPr="005F3E50">
        <w:rPr>
          <w:rFonts w:ascii="Times New Roman" w:hAnsi="Times New Roman" w:cs="Times New Roman"/>
        </w:rPr>
        <w:t>hyper</w:t>
      </w:r>
      <w:r w:rsidR="00025EF3" w:rsidRPr="005F3E50">
        <w:rPr>
          <w:rFonts w:ascii="Times New Roman" w:hAnsi="Times New Roman" w:cs="Times New Roman"/>
        </w:rPr>
        <w:t xml:space="preserve">link </w:t>
      </w:r>
      <w:r w:rsidR="00525594" w:rsidRPr="005F3E50">
        <w:rPr>
          <w:rFonts w:ascii="Times New Roman" w:hAnsi="Times New Roman" w:cs="Times New Roman"/>
        </w:rPr>
        <w:t>may be used</w:t>
      </w:r>
      <w:r w:rsidR="00726829" w:rsidRPr="005F3E50">
        <w:rPr>
          <w:rFonts w:ascii="Times New Roman" w:hAnsi="Times New Roman" w:cs="Times New Roman"/>
        </w:rPr>
        <w:t xml:space="preserve"> </w:t>
      </w:r>
      <w:r w:rsidR="00023211">
        <w:rPr>
          <w:rFonts w:ascii="Times New Roman" w:hAnsi="Times New Roman" w:cs="Times New Roman"/>
        </w:rPr>
        <w:t>to confirm that</w:t>
      </w:r>
      <w:r w:rsidR="0049699B">
        <w:rPr>
          <w:rFonts w:ascii="Times New Roman" w:hAnsi="Times New Roman" w:cs="Times New Roman"/>
        </w:rPr>
        <w:t xml:space="preserve"> </w:t>
      </w:r>
      <w:r w:rsidR="00BD6F09">
        <w:rPr>
          <w:rFonts w:ascii="Times New Roman" w:hAnsi="Times New Roman" w:cs="Times New Roman"/>
        </w:rPr>
        <w:t xml:space="preserve">the </w:t>
      </w:r>
      <w:r w:rsidR="0049699B">
        <w:rPr>
          <w:rFonts w:ascii="Times New Roman" w:hAnsi="Times New Roman" w:cs="Times New Roman"/>
        </w:rPr>
        <w:t>requesting person is</w:t>
      </w:r>
      <w:r w:rsidR="00820B44" w:rsidRPr="005F3E50">
        <w:rPr>
          <w:rFonts w:ascii="Times New Roman" w:hAnsi="Times New Roman" w:cs="Times New Roman"/>
        </w:rPr>
        <w:t xml:space="preserve"> the customer</w:t>
      </w:r>
      <w:r w:rsidR="00023211">
        <w:rPr>
          <w:rFonts w:ascii="Times New Roman" w:hAnsi="Times New Roman" w:cs="Times New Roman"/>
        </w:rPr>
        <w:t>,</w:t>
      </w:r>
      <w:r w:rsidR="00820B44" w:rsidRPr="005F3E50">
        <w:rPr>
          <w:rFonts w:ascii="Times New Roman" w:hAnsi="Times New Roman" w:cs="Times New Roman"/>
        </w:rPr>
        <w:t xml:space="preserve"> or their </w:t>
      </w:r>
      <w:r w:rsidR="00726829" w:rsidRPr="005F3E50">
        <w:rPr>
          <w:rFonts w:ascii="Times New Roman" w:hAnsi="Times New Roman" w:cs="Times New Roman"/>
        </w:rPr>
        <w:t>a</w:t>
      </w:r>
      <w:r w:rsidR="00820B44" w:rsidRPr="005F3E50">
        <w:rPr>
          <w:rFonts w:ascii="Times New Roman" w:hAnsi="Times New Roman" w:cs="Times New Roman"/>
        </w:rPr>
        <w:t xml:space="preserve">uthorised </w:t>
      </w:r>
      <w:r w:rsidR="00726829" w:rsidRPr="005F3E50">
        <w:rPr>
          <w:rFonts w:ascii="Times New Roman" w:hAnsi="Times New Roman" w:cs="Times New Roman"/>
        </w:rPr>
        <w:t>representative</w:t>
      </w:r>
      <w:r w:rsidR="0049699B">
        <w:rPr>
          <w:rFonts w:ascii="Times New Roman" w:hAnsi="Times New Roman" w:cs="Times New Roman"/>
        </w:rPr>
        <w:t xml:space="preserve">. </w:t>
      </w:r>
      <w:r w:rsidR="00726829" w:rsidRPr="005F3E50">
        <w:rPr>
          <w:rFonts w:ascii="Times New Roman" w:hAnsi="Times New Roman" w:cs="Times New Roman"/>
        </w:rPr>
        <w:t xml:space="preserve"> </w:t>
      </w:r>
      <w:r w:rsidR="0035645B" w:rsidRPr="005F3E50">
        <w:rPr>
          <w:rFonts w:ascii="Times New Roman" w:hAnsi="Times New Roman" w:cs="Times New Roman"/>
        </w:rPr>
        <w:t xml:space="preserve">It </w:t>
      </w:r>
      <w:r w:rsidR="00DD6A3A" w:rsidRPr="005F3E50">
        <w:rPr>
          <w:rFonts w:ascii="Times New Roman" w:hAnsi="Times New Roman" w:cs="Times New Roman"/>
        </w:rPr>
        <w:t>specifies that a carriage</w:t>
      </w:r>
      <w:r w:rsidR="00E47440" w:rsidRPr="005F3E50">
        <w:rPr>
          <w:rFonts w:ascii="Times New Roman" w:hAnsi="Times New Roman" w:cs="Times New Roman"/>
        </w:rPr>
        <w:t xml:space="preserve"> service</w:t>
      </w:r>
      <w:r w:rsidR="00DD6A3A" w:rsidRPr="005F3E50">
        <w:rPr>
          <w:rFonts w:ascii="Times New Roman" w:hAnsi="Times New Roman" w:cs="Times New Roman"/>
        </w:rPr>
        <w:t xml:space="preserve"> provider </w:t>
      </w:r>
      <w:r w:rsidR="00222ABA">
        <w:rPr>
          <w:rFonts w:ascii="Times New Roman" w:hAnsi="Times New Roman" w:cs="Times New Roman"/>
        </w:rPr>
        <w:t xml:space="preserve">can </w:t>
      </w:r>
      <w:r w:rsidR="00DD6A3A" w:rsidRPr="005F3E50">
        <w:rPr>
          <w:rFonts w:ascii="Times New Roman" w:hAnsi="Times New Roman" w:cs="Times New Roman"/>
        </w:rPr>
        <w:t>send a</w:t>
      </w:r>
      <w:r w:rsidR="000D5463" w:rsidRPr="005F3E50">
        <w:rPr>
          <w:rFonts w:ascii="Times New Roman" w:hAnsi="Times New Roman" w:cs="Times New Roman"/>
        </w:rPr>
        <w:t xml:space="preserve"> message with a</w:t>
      </w:r>
      <w:r w:rsidR="00DD6A3A" w:rsidRPr="005F3E50">
        <w:rPr>
          <w:rFonts w:ascii="Times New Roman" w:hAnsi="Times New Roman" w:cs="Times New Roman"/>
        </w:rPr>
        <w:t xml:space="preserve"> unique verification code </w:t>
      </w:r>
      <w:r w:rsidR="00025EF3" w:rsidRPr="005F3E50">
        <w:rPr>
          <w:rFonts w:ascii="Times New Roman" w:hAnsi="Times New Roman" w:cs="Times New Roman"/>
        </w:rPr>
        <w:t xml:space="preserve">or secure </w:t>
      </w:r>
      <w:r w:rsidR="00E76837" w:rsidRPr="005F3E50">
        <w:rPr>
          <w:rFonts w:ascii="Times New Roman" w:hAnsi="Times New Roman" w:cs="Times New Roman"/>
        </w:rPr>
        <w:t>hyper</w:t>
      </w:r>
      <w:r w:rsidR="00025EF3" w:rsidRPr="005F3E50">
        <w:rPr>
          <w:rFonts w:ascii="Times New Roman" w:hAnsi="Times New Roman" w:cs="Times New Roman"/>
        </w:rPr>
        <w:t xml:space="preserve">link </w:t>
      </w:r>
      <w:r w:rsidR="00DD6A3A" w:rsidRPr="005F3E50">
        <w:rPr>
          <w:rFonts w:ascii="Times New Roman" w:hAnsi="Times New Roman" w:cs="Times New Roman"/>
        </w:rPr>
        <w:t>by SMS</w:t>
      </w:r>
      <w:r w:rsidR="00D47B16" w:rsidRPr="005F3E50">
        <w:rPr>
          <w:rFonts w:ascii="Times New Roman" w:hAnsi="Times New Roman" w:cs="Times New Roman"/>
        </w:rPr>
        <w:t xml:space="preserve">, email, in-app </w:t>
      </w:r>
      <w:proofErr w:type="gramStart"/>
      <w:r w:rsidR="00D47B16" w:rsidRPr="005F3E50">
        <w:rPr>
          <w:rFonts w:ascii="Times New Roman" w:hAnsi="Times New Roman" w:cs="Times New Roman"/>
        </w:rPr>
        <w:t>message</w:t>
      </w:r>
      <w:proofErr w:type="gramEnd"/>
      <w:r w:rsidR="00D47B16" w:rsidRPr="005F3E50">
        <w:rPr>
          <w:rFonts w:ascii="Times New Roman" w:hAnsi="Times New Roman" w:cs="Times New Roman"/>
        </w:rPr>
        <w:t xml:space="preserve"> or some other device which has been validated </w:t>
      </w:r>
      <w:r w:rsidR="00224B3C">
        <w:rPr>
          <w:rFonts w:ascii="Times New Roman" w:hAnsi="Times New Roman" w:cs="Times New Roman"/>
        </w:rPr>
        <w:t>by</w:t>
      </w:r>
      <w:r w:rsidR="00222ABA">
        <w:rPr>
          <w:rFonts w:ascii="Times New Roman" w:hAnsi="Times New Roman" w:cs="Times New Roman"/>
        </w:rPr>
        <w:t xml:space="preserve"> </w:t>
      </w:r>
      <w:r w:rsidR="00222ABA" w:rsidRPr="005F3E50">
        <w:rPr>
          <w:rFonts w:ascii="Times New Roman" w:hAnsi="Times New Roman" w:cs="Times New Roman"/>
        </w:rPr>
        <w:t>the customer</w:t>
      </w:r>
      <w:r w:rsidR="00222ABA">
        <w:rPr>
          <w:rFonts w:ascii="Times New Roman" w:hAnsi="Times New Roman" w:cs="Times New Roman"/>
        </w:rPr>
        <w:t>,</w:t>
      </w:r>
      <w:r w:rsidR="00222ABA" w:rsidRPr="005F3E50">
        <w:rPr>
          <w:rFonts w:ascii="Times New Roman" w:hAnsi="Times New Roman" w:cs="Times New Roman"/>
        </w:rPr>
        <w:t xml:space="preserve"> or their authorised representative (the </w:t>
      </w:r>
      <w:r w:rsidR="00222ABA" w:rsidRPr="006E13FE">
        <w:rPr>
          <w:rFonts w:ascii="Times New Roman" w:hAnsi="Times New Roman" w:cs="Times New Roman"/>
          <w:b/>
          <w:bCs/>
        </w:rPr>
        <w:t>relevant person</w:t>
      </w:r>
      <w:r w:rsidR="00222ABA" w:rsidRPr="005F3E50">
        <w:rPr>
          <w:rFonts w:ascii="Times New Roman" w:hAnsi="Times New Roman" w:cs="Times New Roman"/>
        </w:rPr>
        <w:t>)</w:t>
      </w:r>
      <w:r w:rsidR="00222ABA">
        <w:rPr>
          <w:rFonts w:ascii="Times New Roman" w:hAnsi="Times New Roman" w:cs="Times New Roman"/>
        </w:rPr>
        <w:t>.</w:t>
      </w:r>
      <w:r w:rsidR="00DD6A3A" w:rsidRPr="005F3E50">
        <w:rPr>
          <w:rFonts w:ascii="Times New Roman" w:hAnsi="Times New Roman" w:cs="Times New Roman"/>
        </w:rPr>
        <w:t xml:space="preserve"> </w:t>
      </w:r>
      <w:r w:rsidR="00222ABA">
        <w:rPr>
          <w:rFonts w:ascii="Times New Roman" w:hAnsi="Times New Roman" w:cs="Times New Roman"/>
        </w:rPr>
        <w:t xml:space="preserve"> </w:t>
      </w:r>
      <w:r w:rsidR="00775B7F">
        <w:rPr>
          <w:rFonts w:ascii="Times New Roman" w:hAnsi="Times New Roman" w:cs="Times New Roman"/>
        </w:rPr>
        <w:t>T</w:t>
      </w:r>
      <w:r w:rsidR="00C07F0E" w:rsidRPr="005F3E50">
        <w:rPr>
          <w:rFonts w:ascii="Times New Roman" w:hAnsi="Times New Roman" w:cs="Times New Roman"/>
        </w:rPr>
        <w:t>he</w:t>
      </w:r>
      <w:r w:rsidR="00820B44" w:rsidRPr="005F3E50">
        <w:rPr>
          <w:rFonts w:ascii="Times New Roman" w:hAnsi="Times New Roman" w:cs="Times New Roman"/>
        </w:rPr>
        <w:t xml:space="preserve"> </w:t>
      </w:r>
      <w:r w:rsidR="00C90278">
        <w:rPr>
          <w:rFonts w:ascii="Times New Roman" w:hAnsi="Times New Roman" w:cs="Times New Roman"/>
        </w:rPr>
        <w:t xml:space="preserve">message sent to the </w:t>
      </w:r>
      <w:r w:rsidR="00820B44" w:rsidRPr="005F3E50">
        <w:rPr>
          <w:rFonts w:ascii="Times New Roman" w:hAnsi="Times New Roman" w:cs="Times New Roman"/>
        </w:rPr>
        <w:t xml:space="preserve">relevant person </w:t>
      </w:r>
      <w:r w:rsidR="00C07F0E" w:rsidRPr="005F3E50">
        <w:rPr>
          <w:rFonts w:ascii="Times New Roman" w:hAnsi="Times New Roman" w:cs="Times New Roman"/>
        </w:rPr>
        <w:t xml:space="preserve">must </w:t>
      </w:r>
      <w:r w:rsidR="00820B44" w:rsidRPr="005F3E50">
        <w:rPr>
          <w:rFonts w:ascii="Times New Roman" w:hAnsi="Times New Roman" w:cs="Times New Roman"/>
        </w:rPr>
        <w:t xml:space="preserve">also </w:t>
      </w:r>
      <w:r w:rsidR="00C90278">
        <w:rPr>
          <w:rFonts w:ascii="Times New Roman" w:hAnsi="Times New Roman" w:cs="Times New Roman"/>
        </w:rPr>
        <w:t xml:space="preserve">include </w:t>
      </w:r>
      <w:r w:rsidR="00775B7F">
        <w:rPr>
          <w:rFonts w:ascii="Times New Roman" w:hAnsi="Times New Roman" w:cs="Times New Roman"/>
        </w:rPr>
        <w:t xml:space="preserve">a </w:t>
      </w:r>
      <w:r w:rsidR="00025EF3" w:rsidRPr="005F3E50">
        <w:rPr>
          <w:rFonts w:ascii="Times New Roman" w:hAnsi="Times New Roman" w:cs="Times New Roman"/>
        </w:rPr>
        <w:t xml:space="preserve">clear </w:t>
      </w:r>
      <w:r w:rsidR="00775B7F">
        <w:rPr>
          <w:rFonts w:ascii="Times New Roman" w:hAnsi="Times New Roman" w:cs="Times New Roman"/>
        </w:rPr>
        <w:t xml:space="preserve">statement </w:t>
      </w:r>
      <w:r w:rsidR="00D304E5">
        <w:rPr>
          <w:rFonts w:ascii="Times New Roman" w:hAnsi="Times New Roman" w:cs="Times New Roman"/>
        </w:rPr>
        <w:t>that a high-risk customer interaction has been initiated,</w:t>
      </w:r>
      <w:r w:rsidR="000D5463" w:rsidRPr="005F3E50">
        <w:rPr>
          <w:rFonts w:ascii="Times New Roman" w:hAnsi="Times New Roman" w:cs="Times New Roman"/>
        </w:rPr>
        <w:t xml:space="preserve"> that the code </w:t>
      </w:r>
      <w:r w:rsidR="002C70D3">
        <w:rPr>
          <w:rFonts w:ascii="Times New Roman" w:hAnsi="Times New Roman" w:cs="Times New Roman"/>
        </w:rPr>
        <w:t xml:space="preserve">or hyperlink </w:t>
      </w:r>
      <w:r w:rsidR="000D5463" w:rsidRPr="005F3E50">
        <w:rPr>
          <w:rFonts w:ascii="Times New Roman" w:hAnsi="Times New Roman" w:cs="Times New Roman"/>
        </w:rPr>
        <w:t xml:space="preserve">should not be shared with any other party except the carriage service provider if the </w:t>
      </w:r>
      <w:r w:rsidR="00291B73">
        <w:rPr>
          <w:rFonts w:ascii="Times New Roman" w:hAnsi="Times New Roman" w:cs="Times New Roman"/>
        </w:rPr>
        <w:t xml:space="preserve">relevant person </w:t>
      </w:r>
      <w:r w:rsidR="000D5463" w:rsidRPr="005F3E50">
        <w:rPr>
          <w:rFonts w:ascii="Times New Roman" w:hAnsi="Times New Roman" w:cs="Times New Roman"/>
        </w:rPr>
        <w:t>has requested the high-risk customer interaction</w:t>
      </w:r>
      <w:r w:rsidR="00291B73">
        <w:rPr>
          <w:rFonts w:ascii="Times New Roman" w:hAnsi="Times New Roman" w:cs="Times New Roman"/>
        </w:rPr>
        <w:t>,</w:t>
      </w:r>
      <w:r w:rsidR="000D5463" w:rsidRPr="005F3E50">
        <w:rPr>
          <w:rFonts w:ascii="Times New Roman" w:hAnsi="Times New Roman" w:cs="Times New Roman"/>
        </w:rPr>
        <w:t xml:space="preserve"> and what the </w:t>
      </w:r>
      <w:r w:rsidR="00291B73">
        <w:rPr>
          <w:rFonts w:ascii="Times New Roman" w:hAnsi="Times New Roman" w:cs="Times New Roman"/>
        </w:rPr>
        <w:t xml:space="preserve">relevant person </w:t>
      </w:r>
      <w:r w:rsidR="000D5463" w:rsidRPr="005F3E50">
        <w:rPr>
          <w:rFonts w:ascii="Times New Roman" w:hAnsi="Times New Roman" w:cs="Times New Roman"/>
        </w:rPr>
        <w:t xml:space="preserve">can do if they did not authorise the high-risk customer interaction. </w:t>
      </w:r>
      <w:r w:rsidR="00ED12A0" w:rsidRPr="005F3E50">
        <w:rPr>
          <w:rFonts w:ascii="Times New Roman" w:hAnsi="Times New Roman" w:cs="Times New Roman"/>
        </w:rPr>
        <w:t>Subparagraph 9(</w:t>
      </w:r>
      <w:r w:rsidR="00E76837" w:rsidRPr="005F3E50">
        <w:rPr>
          <w:rFonts w:ascii="Times New Roman" w:hAnsi="Times New Roman" w:cs="Times New Roman"/>
        </w:rPr>
        <w:t>3</w:t>
      </w:r>
      <w:r w:rsidR="00ED12A0" w:rsidRPr="005F3E50">
        <w:rPr>
          <w:rFonts w:ascii="Times New Roman" w:hAnsi="Times New Roman" w:cs="Times New Roman"/>
        </w:rPr>
        <w:t>)(</w:t>
      </w:r>
      <w:r w:rsidR="00726829" w:rsidRPr="005F3E50">
        <w:rPr>
          <w:rFonts w:ascii="Times New Roman" w:hAnsi="Times New Roman" w:cs="Times New Roman"/>
        </w:rPr>
        <w:t>c</w:t>
      </w:r>
      <w:r w:rsidR="00ED12A0" w:rsidRPr="005F3E50">
        <w:rPr>
          <w:rFonts w:ascii="Times New Roman" w:hAnsi="Times New Roman" w:cs="Times New Roman"/>
        </w:rPr>
        <w:t xml:space="preserve">)(iii) provides that the carriage service provider must not undertake a high-risk customer interaction unless they receive </w:t>
      </w:r>
      <w:r w:rsidR="00726829" w:rsidRPr="005F3E50">
        <w:rPr>
          <w:rFonts w:ascii="Times New Roman" w:hAnsi="Times New Roman" w:cs="Times New Roman"/>
        </w:rPr>
        <w:t xml:space="preserve">immediate </w:t>
      </w:r>
      <w:r w:rsidR="00ED12A0" w:rsidRPr="005F3E50">
        <w:rPr>
          <w:rFonts w:ascii="Times New Roman" w:hAnsi="Times New Roman" w:cs="Times New Roman"/>
        </w:rPr>
        <w:t xml:space="preserve">confirmation of receipt of the code or secure </w:t>
      </w:r>
      <w:proofErr w:type="spellStart"/>
      <w:r w:rsidR="00C83994">
        <w:rPr>
          <w:rFonts w:ascii="Times New Roman" w:hAnsi="Times New Roman" w:cs="Times New Roman"/>
        </w:rPr>
        <w:t>hyer</w:t>
      </w:r>
      <w:r w:rsidR="00ED12A0" w:rsidRPr="005F3E50">
        <w:rPr>
          <w:rFonts w:ascii="Times New Roman" w:hAnsi="Times New Roman" w:cs="Times New Roman"/>
        </w:rPr>
        <w:t>link</w:t>
      </w:r>
      <w:proofErr w:type="spellEnd"/>
      <w:r w:rsidR="00ED12A0" w:rsidRPr="005F3E50">
        <w:rPr>
          <w:rFonts w:ascii="Times New Roman" w:hAnsi="Times New Roman" w:cs="Times New Roman"/>
        </w:rPr>
        <w:t xml:space="preserve"> from the relevant person.</w:t>
      </w:r>
    </w:p>
    <w:p w14:paraId="1A1D6B12" w14:textId="18B050BB" w:rsidR="007915D4" w:rsidRPr="005F3E50" w:rsidRDefault="005C1DB1" w:rsidP="007915D4">
      <w:pPr>
        <w:rPr>
          <w:rFonts w:ascii="Times New Roman" w:hAnsi="Times New Roman" w:cs="Times New Roman"/>
        </w:rPr>
      </w:pPr>
      <w:r>
        <w:rPr>
          <w:rFonts w:ascii="Times New Roman" w:hAnsi="Times New Roman" w:cs="Times New Roman"/>
        </w:rPr>
        <w:t>Subsection</w:t>
      </w:r>
      <w:r w:rsidR="00A91B8D" w:rsidRPr="009A6803">
        <w:rPr>
          <w:rFonts w:ascii="Times New Roman" w:hAnsi="Times New Roman" w:cs="Times New Roman"/>
        </w:rPr>
        <w:t xml:space="preserve"> 9(4) provides that when</w:t>
      </w:r>
      <w:r w:rsidR="007915D4" w:rsidRPr="009A6803">
        <w:rPr>
          <w:rFonts w:ascii="Times New Roman" w:hAnsi="Times New Roman" w:cs="Times New Roman"/>
        </w:rPr>
        <w:t xml:space="preserve"> a carriage service provider uses a unique verification code or secure hyperlink to comply with either paragraph 9(3)(a) or (b), it must also comply with paragraph 9(3)(c).</w:t>
      </w:r>
    </w:p>
    <w:p w14:paraId="5EB57516" w14:textId="7EF84869" w:rsidR="006550CB" w:rsidRPr="005F3E50" w:rsidRDefault="006550CB" w:rsidP="000D5463">
      <w:pPr>
        <w:rPr>
          <w:rFonts w:ascii="Times New Roman" w:hAnsi="Times New Roman" w:cs="Times New Roman"/>
        </w:rPr>
      </w:pPr>
      <w:r w:rsidRPr="005F3E50">
        <w:rPr>
          <w:rFonts w:ascii="Times New Roman" w:hAnsi="Times New Roman" w:cs="Times New Roman"/>
        </w:rPr>
        <w:t>Paragraph</w:t>
      </w:r>
      <w:r w:rsidR="007036B6">
        <w:rPr>
          <w:rFonts w:ascii="Times New Roman" w:hAnsi="Times New Roman" w:cs="Times New Roman"/>
        </w:rPr>
        <w:t>s</w:t>
      </w:r>
      <w:r w:rsidRPr="005F3E50">
        <w:rPr>
          <w:rFonts w:ascii="Times New Roman" w:hAnsi="Times New Roman" w:cs="Times New Roman"/>
        </w:rPr>
        <w:t xml:space="preserve"> 9(</w:t>
      </w:r>
      <w:r w:rsidR="00E76837" w:rsidRPr="005F3E50">
        <w:rPr>
          <w:rFonts w:ascii="Times New Roman" w:hAnsi="Times New Roman" w:cs="Times New Roman"/>
        </w:rPr>
        <w:t>3</w:t>
      </w:r>
      <w:r w:rsidRPr="005F3E50">
        <w:rPr>
          <w:rFonts w:ascii="Times New Roman" w:hAnsi="Times New Roman" w:cs="Times New Roman"/>
        </w:rPr>
        <w:t xml:space="preserve">)(d) to (f) provide for other options </w:t>
      </w:r>
      <w:r w:rsidR="007036B6">
        <w:rPr>
          <w:rFonts w:ascii="Times New Roman" w:hAnsi="Times New Roman" w:cs="Times New Roman"/>
        </w:rPr>
        <w:t>that</w:t>
      </w:r>
      <w:r w:rsidRPr="005F3E50">
        <w:rPr>
          <w:rFonts w:ascii="Times New Roman" w:hAnsi="Times New Roman" w:cs="Times New Roman"/>
        </w:rPr>
        <w:t xml:space="preserve"> a carriage service provider may use to confirm that the person requesting is the customer</w:t>
      </w:r>
      <w:r w:rsidR="00797DF0">
        <w:rPr>
          <w:rFonts w:ascii="Times New Roman" w:hAnsi="Times New Roman" w:cs="Times New Roman"/>
        </w:rPr>
        <w:t xml:space="preserve">, or their authorised representative, </w:t>
      </w:r>
      <w:r w:rsidRPr="005F3E50">
        <w:rPr>
          <w:rFonts w:ascii="Times New Roman" w:hAnsi="Times New Roman" w:cs="Times New Roman"/>
        </w:rPr>
        <w:t xml:space="preserve">for that service including biometric data, </w:t>
      </w:r>
      <w:r w:rsidR="007036B6">
        <w:rPr>
          <w:rFonts w:ascii="Times New Roman" w:hAnsi="Times New Roman" w:cs="Times New Roman"/>
        </w:rPr>
        <w:t>c</w:t>
      </w:r>
      <w:r w:rsidRPr="005F3E50">
        <w:rPr>
          <w:rFonts w:ascii="Times New Roman" w:hAnsi="Times New Roman" w:cs="Times New Roman"/>
        </w:rPr>
        <w:t>ategory A documents and cryptographic keys.</w:t>
      </w:r>
    </w:p>
    <w:p w14:paraId="4CD67724" w14:textId="28B909B6" w:rsidR="000D5463" w:rsidRPr="005F3E50" w:rsidRDefault="000D5463" w:rsidP="000D5463">
      <w:pPr>
        <w:rPr>
          <w:rFonts w:ascii="Times New Roman" w:hAnsi="Times New Roman" w:cs="Times New Roman"/>
        </w:rPr>
      </w:pPr>
      <w:r w:rsidRPr="005F3E50">
        <w:rPr>
          <w:rFonts w:ascii="Times New Roman" w:hAnsi="Times New Roman" w:cs="Times New Roman"/>
        </w:rPr>
        <w:t>Subsection 9(</w:t>
      </w:r>
      <w:r w:rsidR="007915D4">
        <w:rPr>
          <w:rFonts w:ascii="Times New Roman" w:hAnsi="Times New Roman" w:cs="Times New Roman"/>
        </w:rPr>
        <w:t>5</w:t>
      </w:r>
      <w:r w:rsidRPr="005F3E50">
        <w:rPr>
          <w:rFonts w:ascii="Times New Roman" w:hAnsi="Times New Roman" w:cs="Times New Roman"/>
        </w:rPr>
        <w:t xml:space="preserve">) provides that </w:t>
      </w:r>
      <w:r w:rsidR="00E20FDF" w:rsidRPr="005F3E50">
        <w:rPr>
          <w:rFonts w:ascii="Times New Roman" w:hAnsi="Times New Roman" w:cs="Times New Roman"/>
        </w:rPr>
        <w:t>if the relevant person takes the specified action at sub-subparagraph 9(3)(c)(ii)(C)</w:t>
      </w:r>
      <w:r w:rsidR="00A50F33">
        <w:rPr>
          <w:rFonts w:ascii="Times New Roman" w:hAnsi="Times New Roman" w:cs="Times New Roman"/>
        </w:rPr>
        <w:t xml:space="preserve"> and one or more high-risk customer transactions have been completed</w:t>
      </w:r>
      <w:r w:rsidR="00785C6F">
        <w:rPr>
          <w:rFonts w:ascii="Times New Roman" w:hAnsi="Times New Roman" w:cs="Times New Roman"/>
        </w:rPr>
        <w:t xml:space="preserve">, the </w:t>
      </w:r>
      <w:r w:rsidRPr="005F3E50">
        <w:rPr>
          <w:rFonts w:ascii="Times New Roman" w:hAnsi="Times New Roman" w:cs="Times New Roman"/>
        </w:rPr>
        <w:t xml:space="preserve">carriage service provider </w:t>
      </w:r>
      <w:r w:rsidR="00B41121">
        <w:rPr>
          <w:rFonts w:ascii="Times New Roman" w:hAnsi="Times New Roman" w:cs="Times New Roman"/>
        </w:rPr>
        <w:t>must</w:t>
      </w:r>
      <w:r w:rsidR="00B41121" w:rsidRPr="005F3E50">
        <w:rPr>
          <w:rFonts w:ascii="Times New Roman" w:hAnsi="Times New Roman" w:cs="Times New Roman"/>
        </w:rPr>
        <w:t xml:space="preserve"> </w:t>
      </w:r>
      <w:r w:rsidR="00785C6F" w:rsidRPr="005F3E50">
        <w:rPr>
          <w:rFonts w:ascii="Times New Roman" w:hAnsi="Times New Roman" w:cs="Times New Roman"/>
        </w:rPr>
        <w:t xml:space="preserve">take steps to reverse or remediate </w:t>
      </w:r>
      <w:r w:rsidR="00022357">
        <w:rPr>
          <w:rFonts w:ascii="Times New Roman" w:hAnsi="Times New Roman" w:cs="Times New Roman"/>
        </w:rPr>
        <w:t xml:space="preserve">any completed transaction.  </w:t>
      </w:r>
      <w:r w:rsidR="00F44441">
        <w:rPr>
          <w:rFonts w:ascii="Times New Roman" w:hAnsi="Times New Roman" w:cs="Times New Roman"/>
        </w:rPr>
        <w:t>I</w:t>
      </w:r>
      <w:r w:rsidR="00022357">
        <w:rPr>
          <w:rFonts w:ascii="Times New Roman" w:hAnsi="Times New Roman" w:cs="Times New Roman"/>
        </w:rPr>
        <w:t xml:space="preserve">f </w:t>
      </w:r>
      <w:r w:rsidR="00595F3A">
        <w:rPr>
          <w:rFonts w:ascii="Times New Roman" w:hAnsi="Times New Roman" w:cs="Times New Roman"/>
        </w:rPr>
        <w:t xml:space="preserve">the high-risk customer transaction has not been undertaken, the carriage service provider must </w:t>
      </w:r>
      <w:r w:rsidRPr="005F3E50">
        <w:rPr>
          <w:rFonts w:ascii="Times New Roman" w:hAnsi="Times New Roman" w:cs="Times New Roman"/>
        </w:rPr>
        <w:t>not undertake the interaction</w:t>
      </w:r>
      <w:r w:rsidR="00595F3A">
        <w:rPr>
          <w:rFonts w:ascii="Times New Roman" w:hAnsi="Times New Roman" w:cs="Times New Roman"/>
        </w:rPr>
        <w:t xml:space="preserve">.  </w:t>
      </w:r>
      <w:r w:rsidR="00FA16E6">
        <w:rPr>
          <w:rFonts w:ascii="Times New Roman" w:hAnsi="Times New Roman" w:cs="Times New Roman"/>
        </w:rPr>
        <w:t xml:space="preserve">In each case, the carriage service provider must notify the relevant person </w:t>
      </w:r>
      <w:r w:rsidR="00845180">
        <w:rPr>
          <w:rFonts w:ascii="Times New Roman" w:hAnsi="Times New Roman" w:cs="Times New Roman"/>
        </w:rPr>
        <w:t>of the steps taken to reverse or remediate</w:t>
      </w:r>
      <w:r w:rsidR="00815B5F">
        <w:rPr>
          <w:rFonts w:ascii="Times New Roman" w:hAnsi="Times New Roman" w:cs="Times New Roman"/>
        </w:rPr>
        <w:t>,</w:t>
      </w:r>
      <w:r w:rsidR="00845180">
        <w:rPr>
          <w:rFonts w:ascii="Times New Roman" w:hAnsi="Times New Roman" w:cs="Times New Roman"/>
        </w:rPr>
        <w:t xml:space="preserve"> or that the transaction </w:t>
      </w:r>
      <w:r w:rsidR="00240EBA">
        <w:rPr>
          <w:rFonts w:ascii="Times New Roman" w:hAnsi="Times New Roman" w:cs="Times New Roman"/>
        </w:rPr>
        <w:t xml:space="preserve">has not been </w:t>
      </w:r>
      <w:proofErr w:type="gramStart"/>
      <w:r w:rsidR="00240EBA">
        <w:rPr>
          <w:rFonts w:ascii="Times New Roman" w:hAnsi="Times New Roman" w:cs="Times New Roman"/>
        </w:rPr>
        <w:t>undertaken, as the case may be</w:t>
      </w:r>
      <w:proofErr w:type="gramEnd"/>
      <w:r w:rsidR="00240EBA">
        <w:rPr>
          <w:rFonts w:ascii="Times New Roman" w:hAnsi="Times New Roman" w:cs="Times New Roman"/>
        </w:rPr>
        <w:t>.  The carriage service provider must also notify the relevant person of what they can do to protect the customer’s account.</w:t>
      </w:r>
      <w:r w:rsidR="00595F3A">
        <w:rPr>
          <w:rFonts w:ascii="Times New Roman" w:hAnsi="Times New Roman" w:cs="Times New Roman"/>
        </w:rPr>
        <w:t xml:space="preserve"> </w:t>
      </w:r>
    </w:p>
    <w:p w14:paraId="1D4A1958" w14:textId="5DB65B70" w:rsidR="0065275B" w:rsidRPr="005F3E50" w:rsidRDefault="00815B5F" w:rsidP="000D5463">
      <w:pPr>
        <w:rPr>
          <w:rFonts w:ascii="Times New Roman" w:hAnsi="Times New Roman" w:cs="Times New Roman"/>
        </w:rPr>
      </w:pPr>
      <w:r>
        <w:rPr>
          <w:rFonts w:ascii="Times New Roman" w:hAnsi="Times New Roman" w:cs="Times New Roman"/>
        </w:rPr>
        <w:t xml:space="preserve">Subsection </w:t>
      </w:r>
      <w:r w:rsidR="0065275B" w:rsidRPr="005F3E50">
        <w:rPr>
          <w:rFonts w:ascii="Times New Roman" w:hAnsi="Times New Roman" w:cs="Times New Roman"/>
        </w:rPr>
        <w:t>9(</w:t>
      </w:r>
      <w:r w:rsidR="00A91B8D">
        <w:rPr>
          <w:rFonts w:ascii="Times New Roman" w:hAnsi="Times New Roman" w:cs="Times New Roman"/>
        </w:rPr>
        <w:t>6</w:t>
      </w:r>
      <w:r w:rsidR="0065275B" w:rsidRPr="005F3E50">
        <w:rPr>
          <w:rFonts w:ascii="Times New Roman" w:hAnsi="Times New Roman" w:cs="Times New Roman"/>
        </w:rPr>
        <w:t xml:space="preserve">) </w:t>
      </w:r>
      <w:r w:rsidR="009015B2">
        <w:rPr>
          <w:rFonts w:ascii="Times New Roman" w:hAnsi="Times New Roman" w:cs="Times New Roman"/>
        </w:rPr>
        <w:t>provides</w:t>
      </w:r>
      <w:r w:rsidR="009015B2" w:rsidRPr="005F3E50">
        <w:rPr>
          <w:rFonts w:ascii="Times New Roman" w:hAnsi="Times New Roman" w:cs="Times New Roman"/>
        </w:rPr>
        <w:t xml:space="preserve"> </w:t>
      </w:r>
      <w:r w:rsidR="0065275B" w:rsidRPr="005F3E50">
        <w:rPr>
          <w:rFonts w:ascii="Times New Roman" w:hAnsi="Times New Roman" w:cs="Times New Roman"/>
        </w:rPr>
        <w:t xml:space="preserve">that a </w:t>
      </w:r>
      <w:r w:rsidR="00B843EF" w:rsidRPr="005F3E50">
        <w:rPr>
          <w:rFonts w:ascii="Times New Roman" w:hAnsi="Times New Roman" w:cs="Times New Roman"/>
        </w:rPr>
        <w:t>carriage service provider may attempt a process under subsections (1)</w:t>
      </w:r>
      <w:r w:rsidR="00E76837" w:rsidRPr="005F3E50">
        <w:rPr>
          <w:rFonts w:ascii="Times New Roman" w:hAnsi="Times New Roman" w:cs="Times New Roman"/>
        </w:rPr>
        <w:t>,</w:t>
      </w:r>
      <w:r w:rsidR="00173494" w:rsidRPr="005F3E50">
        <w:rPr>
          <w:rFonts w:ascii="Times New Roman" w:hAnsi="Times New Roman" w:cs="Times New Roman"/>
        </w:rPr>
        <w:t xml:space="preserve"> </w:t>
      </w:r>
      <w:r w:rsidR="00B843EF" w:rsidRPr="005F3E50">
        <w:rPr>
          <w:rFonts w:ascii="Times New Roman" w:hAnsi="Times New Roman" w:cs="Times New Roman"/>
        </w:rPr>
        <w:t xml:space="preserve">(2) </w:t>
      </w:r>
      <w:r w:rsidR="00E76837" w:rsidRPr="005F3E50">
        <w:rPr>
          <w:rFonts w:ascii="Times New Roman" w:hAnsi="Times New Roman" w:cs="Times New Roman"/>
        </w:rPr>
        <w:t xml:space="preserve">and (3) </w:t>
      </w:r>
      <w:r w:rsidR="00B843EF" w:rsidRPr="005F3E50">
        <w:rPr>
          <w:rFonts w:ascii="Times New Roman" w:hAnsi="Times New Roman" w:cs="Times New Roman"/>
        </w:rPr>
        <w:t>more than once during a high-risk customer interaction.</w:t>
      </w:r>
    </w:p>
    <w:p w14:paraId="4229BB49" w14:textId="4EAB4AF0" w:rsidR="00064160" w:rsidRPr="005F3E50" w:rsidRDefault="00064160" w:rsidP="00064160">
      <w:pPr>
        <w:keepNext/>
        <w:spacing w:line="257" w:lineRule="auto"/>
        <w:ind w:left="1418" w:hanging="1418"/>
        <w:rPr>
          <w:rFonts w:ascii="Times New Roman" w:hAnsi="Times New Roman" w:cs="Times New Roman"/>
          <w:b/>
        </w:rPr>
      </w:pPr>
      <w:r w:rsidRPr="005F3E50">
        <w:rPr>
          <w:rFonts w:ascii="Times New Roman" w:hAnsi="Times New Roman" w:cs="Times New Roman"/>
          <w:b/>
        </w:rPr>
        <w:t>Section 10</w:t>
      </w:r>
      <w:r w:rsidRPr="005F3E50">
        <w:rPr>
          <w:rFonts w:ascii="Times New Roman" w:hAnsi="Times New Roman" w:cs="Times New Roman"/>
          <w:b/>
        </w:rPr>
        <w:tab/>
        <w:t xml:space="preserve">Additional Multi-factor </w:t>
      </w:r>
      <w:r w:rsidR="00586A72" w:rsidRPr="005F3E50">
        <w:rPr>
          <w:rFonts w:ascii="Times New Roman" w:hAnsi="Times New Roman" w:cs="Times New Roman"/>
          <w:b/>
        </w:rPr>
        <w:t xml:space="preserve">Authentication </w:t>
      </w:r>
      <w:r w:rsidRPr="005F3E50">
        <w:rPr>
          <w:rFonts w:ascii="Times New Roman" w:hAnsi="Times New Roman" w:cs="Times New Roman"/>
          <w:b/>
        </w:rPr>
        <w:t>Requirements</w:t>
      </w:r>
    </w:p>
    <w:p w14:paraId="171E8624" w14:textId="49E646F7" w:rsidR="00A345DD" w:rsidRPr="005F3E50" w:rsidRDefault="00A345DD" w:rsidP="00A345DD">
      <w:pPr>
        <w:rPr>
          <w:rFonts w:ascii="Times New Roman" w:hAnsi="Times New Roman" w:cs="Times New Roman"/>
        </w:rPr>
      </w:pPr>
      <w:r w:rsidRPr="005F3E50">
        <w:rPr>
          <w:rFonts w:ascii="Times New Roman" w:hAnsi="Times New Roman" w:cs="Times New Roman"/>
        </w:rPr>
        <w:t xml:space="preserve">Section 10 describes </w:t>
      </w:r>
      <w:r w:rsidR="00715DA2" w:rsidRPr="005F3E50">
        <w:rPr>
          <w:rFonts w:ascii="Times New Roman" w:hAnsi="Times New Roman" w:cs="Times New Roman"/>
        </w:rPr>
        <w:t xml:space="preserve">processes that a carriage service provider may use to establish that the person requesting a </w:t>
      </w:r>
      <w:r w:rsidRPr="005F3E50">
        <w:rPr>
          <w:rFonts w:ascii="Times New Roman" w:hAnsi="Times New Roman" w:cs="Times New Roman"/>
        </w:rPr>
        <w:t xml:space="preserve">high-risk customer </w:t>
      </w:r>
      <w:r w:rsidR="00E60AF3" w:rsidRPr="005F3E50">
        <w:rPr>
          <w:rFonts w:ascii="Times New Roman" w:hAnsi="Times New Roman" w:cs="Times New Roman"/>
        </w:rPr>
        <w:t xml:space="preserve">transaction </w:t>
      </w:r>
      <w:r w:rsidRPr="005F3E50">
        <w:rPr>
          <w:rFonts w:ascii="Times New Roman" w:hAnsi="Times New Roman" w:cs="Times New Roman"/>
        </w:rPr>
        <w:t>is the customer</w:t>
      </w:r>
      <w:r w:rsidR="00FE4CA6" w:rsidRPr="005F3E50">
        <w:rPr>
          <w:rFonts w:ascii="Times New Roman" w:hAnsi="Times New Roman" w:cs="Times New Roman"/>
        </w:rPr>
        <w:t xml:space="preserve"> or their authorised representative </w:t>
      </w:r>
      <w:r w:rsidRPr="005F3E50">
        <w:rPr>
          <w:rFonts w:ascii="Times New Roman" w:hAnsi="Times New Roman" w:cs="Times New Roman"/>
        </w:rPr>
        <w:t>where they cannot successfully complete the identity verification processes at subsection 9(</w:t>
      </w:r>
      <w:r w:rsidR="00E76837" w:rsidRPr="005F3E50">
        <w:rPr>
          <w:rFonts w:ascii="Times New Roman" w:hAnsi="Times New Roman" w:cs="Times New Roman"/>
        </w:rPr>
        <w:t>3</w:t>
      </w:r>
      <w:r w:rsidRPr="005F3E50">
        <w:rPr>
          <w:rFonts w:ascii="Times New Roman" w:hAnsi="Times New Roman" w:cs="Times New Roman"/>
        </w:rPr>
        <w:t xml:space="preserve">). </w:t>
      </w:r>
      <w:r w:rsidR="00F52864">
        <w:rPr>
          <w:rFonts w:ascii="Times New Roman" w:hAnsi="Times New Roman" w:cs="Times New Roman"/>
        </w:rPr>
        <w:t xml:space="preserve"> </w:t>
      </w:r>
      <w:r w:rsidRPr="005F3E50">
        <w:rPr>
          <w:rFonts w:ascii="Times New Roman" w:hAnsi="Times New Roman" w:cs="Times New Roman"/>
        </w:rPr>
        <w:t xml:space="preserve">For example, </w:t>
      </w:r>
      <w:r w:rsidR="00D96D29" w:rsidRPr="005F3E50">
        <w:rPr>
          <w:rFonts w:ascii="Times New Roman" w:hAnsi="Times New Roman" w:cs="Times New Roman"/>
        </w:rPr>
        <w:t xml:space="preserve">when </w:t>
      </w:r>
      <w:r w:rsidR="00291B8C" w:rsidRPr="005F3E50">
        <w:rPr>
          <w:rFonts w:ascii="Times New Roman" w:hAnsi="Times New Roman" w:cs="Times New Roman"/>
        </w:rPr>
        <w:t xml:space="preserve">the mobile device associated with a telecommunications service is lost, a carriage service provider may not be able to </w:t>
      </w:r>
      <w:r w:rsidR="00334E31">
        <w:rPr>
          <w:rFonts w:ascii="Times New Roman" w:hAnsi="Times New Roman" w:cs="Times New Roman"/>
        </w:rPr>
        <w:t xml:space="preserve">comply with </w:t>
      </w:r>
      <w:r w:rsidR="00C53A05">
        <w:rPr>
          <w:rFonts w:ascii="Times New Roman" w:hAnsi="Times New Roman" w:cs="Times New Roman"/>
        </w:rPr>
        <w:t>subsection 9(3)</w:t>
      </w:r>
      <w:r w:rsidR="00291B8C" w:rsidRPr="005F3E50">
        <w:rPr>
          <w:rFonts w:ascii="Times New Roman" w:hAnsi="Times New Roman" w:cs="Times New Roman"/>
        </w:rPr>
        <w:t>.</w:t>
      </w:r>
    </w:p>
    <w:p w14:paraId="07155010" w14:textId="796F2A1F" w:rsidR="00A345DD" w:rsidRPr="005F3E50" w:rsidRDefault="00A345DD" w:rsidP="00A345DD">
      <w:pPr>
        <w:rPr>
          <w:rFonts w:ascii="Times New Roman" w:hAnsi="Times New Roman" w:cs="Times New Roman"/>
        </w:rPr>
      </w:pPr>
      <w:r w:rsidRPr="005F3E50">
        <w:rPr>
          <w:rFonts w:ascii="Times New Roman" w:hAnsi="Times New Roman" w:cs="Times New Roman"/>
        </w:rPr>
        <w:t>Subsection 10(</w:t>
      </w:r>
      <w:r w:rsidR="00FE4CA6" w:rsidRPr="005F3E50">
        <w:rPr>
          <w:rFonts w:ascii="Times New Roman" w:hAnsi="Times New Roman" w:cs="Times New Roman"/>
        </w:rPr>
        <w:t>2</w:t>
      </w:r>
      <w:r w:rsidRPr="005F3E50">
        <w:rPr>
          <w:rFonts w:ascii="Times New Roman" w:hAnsi="Times New Roman" w:cs="Times New Roman"/>
        </w:rPr>
        <w:t>) provides that</w:t>
      </w:r>
      <w:r w:rsidR="00E25433">
        <w:rPr>
          <w:rFonts w:ascii="Times New Roman" w:hAnsi="Times New Roman" w:cs="Times New Roman"/>
        </w:rPr>
        <w:t xml:space="preserve"> </w:t>
      </w:r>
      <w:r w:rsidRPr="005F3E50">
        <w:rPr>
          <w:rFonts w:ascii="Times New Roman" w:hAnsi="Times New Roman" w:cs="Times New Roman"/>
        </w:rPr>
        <w:t>a</w:t>
      </w:r>
      <w:r w:rsidR="00FE4CA6" w:rsidRPr="005F3E50">
        <w:rPr>
          <w:rFonts w:ascii="Times New Roman" w:hAnsi="Times New Roman" w:cs="Times New Roman"/>
        </w:rPr>
        <w:t>n employee or agent of a</w:t>
      </w:r>
      <w:r w:rsidRPr="005F3E50">
        <w:rPr>
          <w:rFonts w:ascii="Times New Roman" w:hAnsi="Times New Roman" w:cs="Times New Roman"/>
        </w:rPr>
        <w:t xml:space="preserve"> carriage service provider must have </w:t>
      </w:r>
      <w:r w:rsidR="00FE4CA6" w:rsidRPr="005F3E50">
        <w:rPr>
          <w:rFonts w:ascii="Times New Roman" w:hAnsi="Times New Roman" w:cs="Times New Roman"/>
        </w:rPr>
        <w:t xml:space="preserve">completed fraud mitigation training to use the identity authentication processes at </w:t>
      </w:r>
      <w:r w:rsidR="00A879E5">
        <w:rPr>
          <w:rFonts w:ascii="Times New Roman" w:hAnsi="Times New Roman" w:cs="Times New Roman"/>
        </w:rPr>
        <w:t>paragraphs</w:t>
      </w:r>
      <w:r w:rsidR="00FE4CA6" w:rsidRPr="005F3E50">
        <w:rPr>
          <w:rFonts w:ascii="Times New Roman" w:hAnsi="Times New Roman" w:cs="Times New Roman"/>
        </w:rPr>
        <w:t xml:space="preserve"> 10(2)(a) to (c). </w:t>
      </w:r>
      <w:r w:rsidR="00913CE7" w:rsidRPr="005F3E50">
        <w:rPr>
          <w:rFonts w:ascii="Times New Roman" w:hAnsi="Times New Roman" w:cs="Times New Roman"/>
        </w:rPr>
        <w:t>Th</w:t>
      </w:r>
      <w:r w:rsidR="00FE652E">
        <w:rPr>
          <w:rFonts w:ascii="Times New Roman" w:hAnsi="Times New Roman" w:cs="Times New Roman"/>
        </w:rPr>
        <w:t xml:space="preserve">ese allow for confirmation that </w:t>
      </w:r>
      <w:r w:rsidR="00913CE7" w:rsidRPr="005F3E50">
        <w:rPr>
          <w:rFonts w:ascii="Times New Roman" w:hAnsi="Times New Roman" w:cs="Times New Roman"/>
        </w:rPr>
        <w:t>the requesting person is the customer or their authorised representative by</w:t>
      </w:r>
      <w:r w:rsidR="00D32DC5">
        <w:rPr>
          <w:rFonts w:ascii="Times New Roman" w:hAnsi="Times New Roman" w:cs="Times New Roman"/>
        </w:rPr>
        <w:t xml:space="preserve"> using</w:t>
      </w:r>
      <w:r w:rsidR="001B5164">
        <w:rPr>
          <w:rFonts w:ascii="Times New Roman" w:hAnsi="Times New Roman" w:cs="Times New Roman"/>
        </w:rPr>
        <w:t>:</w:t>
      </w:r>
    </w:p>
    <w:p w14:paraId="33333787" w14:textId="38AFD2A2" w:rsidR="00332A39" w:rsidRPr="005F3E50" w:rsidRDefault="00715DA2" w:rsidP="00332A39">
      <w:pPr>
        <w:pStyle w:val="ListParagraph"/>
        <w:numPr>
          <w:ilvl w:val="0"/>
          <w:numId w:val="3"/>
        </w:numPr>
        <w:spacing w:after="40"/>
        <w:ind w:left="567" w:hanging="567"/>
        <w:rPr>
          <w:rFonts w:ascii="Times New Roman" w:hAnsi="Times New Roman" w:cs="Times New Roman"/>
        </w:rPr>
      </w:pPr>
      <w:r w:rsidRPr="005F3E50">
        <w:rPr>
          <w:rFonts w:ascii="Times New Roman" w:hAnsi="Times New Roman" w:cs="Times New Roman"/>
        </w:rPr>
        <w:t>category A and category B documents under the process described in Schedule 1 to the Determination</w:t>
      </w:r>
      <w:r w:rsidR="00913CE7" w:rsidRPr="005F3E50">
        <w:rPr>
          <w:rFonts w:ascii="Times New Roman" w:hAnsi="Times New Roman" w:cs="Times New Roman"/>
        </w:rPr>
        <w:t>;</w:t>
      </w:r>
      <w:r w:rsidR="00332A39" w:rsidRPr="005F3E50">
        <w:rPr>
          <w:rFonts w:ascii="Times New Roman" w:hAnsi="Times New Roman" w:cs="Times New Roman"/>
        </w:rPr>
        <w:t xml:space="preserve"> or </w:t>
      </w:r>
    </w:p>
    <w:p w14:paraId="40C8E5F2" w14:textId="7A290692" w:rsidR="00332A39" w:rsidRPr="005F3E50" w:rsidRDefault="00913CE7" w:rsidP="00332A39">
      <w:pPr>
        <w:pStyle w:val="ListParagraph"/>
        <w:numPr>
          <w:ilvl w:val="0"/>
          <w:numId w:val="3"/>
        </w:numPr>
        <w:spacing w:after="40"/>
        <w:ind w:left="567" w:hanging="567"/>
        <w:rPr>
          <w:rFonts w:ascii="Times New Roman" w:hAnsi="Times New Roman" w:cs="Times New Roman"/>
        </w:rPr>
      </w:pPr>
      <w:r w:rsidRPr="005F3E50">
        <w:rPr>
          <w:rFonts w:ascii="Times New Roman" w:hAnsi="Times New Roman" w:cs="Times New Roman"/>
        </w:rPr>
        <w:t xml:space="preserve">a </w:t>
      </w:r>
      <w:r w:rsidR="00715DA2" w:rsidRPr="005F3E50">
        <w:rPr>
          <w:rFonts w:ascii="Times New Roman" w:hAnsi="Times New Roman" w:cs="Times New Roman"/>
        </w:rPr>
        <w:t xml:space="preserve">government online </w:t>
      </w:r>
      <w:r w:rsidRPr="005F3E50">
        <w:rPr>
          <w:rFonts w:ascii="Times New Roman" w:hAnsi="Times New Roman" w:cs="Times New Roman"/>
        </w:rPr>
        <w:t xml:space="preserve">document </w:t>
      </w:r>
      <w:r w:rsidR="00715DA2" w:rsidRPr="005F3E50">
        <w:rPr>
          <w:rFonts w:ascii="Times New Roman" w:hAnsi="Times New Roman" w:cs="Times New Roman"/>
        </w:rPr>
        <w:t>verification service</w:t>
      </w:r>
      <w:r w:rsidR="00332A39" w:rsidRPr="005F3E50">
        <w:rPr>
          <w:rFonts w:ascii="Times New Roman" w:hAnsi="Times New Roman" w:cs="Times New Roman"/>
        </w:rPr>
        <w:t>; or</w:t>
      </w:r>
    </w:p>
    <w:p w14:paraId="617BEB4E" w14:textId="12EE0A73" w:rsidR="00715DA2" w:rsidRPr="005F3E50" w:rsidRDefault="00913CE7" w:rsidP="00332A39">
      <w:pPr>
        <w:pStyle w:val="ListParagraph"/>
        <w:numPr>
          <w:ilvl w:val="0"/>
          <w:numId w:val="3"/>
        </w:numPr>
        <w:spacing w:after="40"/>
        <w:ind w:left="567" w:hanging="567"/>
        <w:rPr>
          <w:rFonts w:ascii="Times New Roman" w:hAnsi="Times New Roman" w:cs="Times New Roman"/>
        </w:rPr>
      </w:pPr>
      <w:r w:rsidRPr="005F3E50">
        <w:rPr>
          <w:rFonts w:ascii="Times New Roman" w:hAnsi="Times New Roman" w:cs="Times New Roman"/>
        </w:rPr>
        <w:t>a government-accredited digital identity service</w:t>
      </w:r>
      <w:r w:rsidR="00332A39" w:rsidRPr="005F3E50">
        <w:rPr>
          <w:rFonts w:ascii="Times New Roman" w:hAnsi="Times New Roman" w:cs="Times New Roman"/>
        </w:rPr>
        <w:t>.</w:t>
      </w:r>
    </w:p>
    <w:p w14:paraId="1AAEAEC9" w14:textId="77777777" w:rsidR="00332A39" w:rsidRPr="005F3E50" w:rsidRDefault="00332A39" w:rsidP="00715DA2">
      <w:pPr>
        <w:rPr>
          <w:rFonts w:ascii="Times New Roman" w:hAnsi="Times New Roman" w:cs="Times New Roman"/>
        </w:rPr>
      </w:pPr>
    </w:p>
    <w:p w14:paraId="69FEF72F" w14:textId="76E6954A" w:rsidR="00715DA2" w:rsidRPr="005F3E50" w:rsidRDefault="00715DA2" w:rsidP="00715DA2">
      <w:pPr>
        <w:rPr>
          <w:rFonts w:ascii="Times New Roman" w:hAnsi="Times New Roman" w:cs="Times New Roman"/>
        </w:rPr>
      </w:pPr>
      <w:r w:rsidRPr="005F3E50">
        <w:rPr>
          <w:rFonts w:ascii="Times New Roman" w:hAnsi="Times New Roman" w:cs="Times New Roman"/>
        </w:rPr>
        <w:t>Subsection</w:t>
      </w:r>
      <w:r w:rsidR="00332A39" w:rsidRPr="005F3E50">
        <w:rPr>
          <w:rFonts w:ascii="Times New Roman" w:hAnsi="Times New Roman" w:cs="Times New Roman"/>
        </w:rPr>
        <w:t>s</w:t>
      </w:r>
      <w:r w:rsidRPr="005F3E50">
        <w:rPr>
          <w:rFonts w:ascii="Times New Roman" w:hAnsi="Times New Roman" w:cs="Times New Roman"/>
        </w:rPr>
        <w:t xml:space="preserve"> </w:t>
      </w:r>
      <w:r w:rsidR="00D96D29" w:rsidRPr="005F3E50">
        <w:rPr>
          <w:rFonts w:ascii="Times New Roman" w:hAnsi="Times New Roman" w:cs="Times New Roman"/>
        </w:rPr>
        <w:t>10</w:t>
      </w:r>
      <w:r w:rsidRPr="005F3E50">
        <w:rPr>
          <w:rFonts w:ascii="Times New Roman" w:hAnsi="Times New Roman" w:cs="Times New Roman"/>
        </w:rPr>
        <w:t>(</w:t>
      </w:r>
      <w:r w:rsidR="00D96D29" w:rsidRPr="005F3E50">
        <w:rPr>
          <w:rFonts w:ascii="Times New Roman" w:hAnsi="Times New Roman" w:cs="Times New Roman"/>
        </w:rPr>
        <w:t>3</w:t>
      </w:r>
      <w:r w:rsidRPr="005F3E50">
        <w:rPr>
          <w:rFonts w:ascii="Times New Roman" w:hAnsi="Times New Roman" w:cs="Times New Roman"/>
        </w:rPr>
        <w:t>)</w:t>
      </w:r>
      <w:r w:rsidR="00332A39" w:rsidRPr="005F3E50">
        <w:rPr>
          <w:rFonts w:ascii="Times New Roman" w:hAnsi="Times New Roman" w:cs="Times New Roman"/>
        </w:rPr>
        <w:t xml:space="preserve"> and (4)</w:t>
      </w:r>
      <w:r w:rsidRPr="005F3E50">
        <w:rPr>
          <w:rFonts w:ascii="Times New Roman" w:hAnsi="Times New Roman" w:cs="Times New Roman"/>
        </w:rPr>
        <w:t xml:space="preserve"> provide that the carriage service provider is only taken to have verified that the requesting person is the </w:t>
      </w:r>
      <w:r w:rsidR="008A5E7C" w:rsidRPr="005F3E50">
        <w:rPr>
          <w:rFonts w:ascii="Times New Roman" w:hAnsi="Times New Roman" w:cs="Times New Roman"/>
        </w:rPr>
        <w:t>customer</w:t>
      </w:r>
      <w:r w:rsidRPr="005F3E50">
        <w:rPr>
          <w:rFonts w:ascii="Times New Roman" w:hAnsi="Times New Roman" w:cs="Times New Roman"/>
          <w:color w:val="000000"/>
        </w:rPr>
        <w:t xml:space="preserve"> </w:t>
      </w:r>
      <w:r w:rsidR="00524A72" w:rsidRPr="005F3E50">
        <w:rPr>
          <w:rFonts w:ascii="Times New Roman" w:hAnsi="Times New Roman" w:cs="Times New Roman"/>
          <w:color w:val="000000"/>
        </w:rPr>
        <w:t xml:space="preserve">or their authorised representative </w:t>
      </w:r>
      <w:r w:rsidR="00332A39" w:rsidRPr="005F3E50">
        <w:rPr>
          <w:rFonts w:ascii="Times New Roman" w:hAnsi="Times New Roman" w:cs="Times New Roman"/>
          <w:color w:val="000000"/>
        </w:rPr>
        <w:t xml:space="preserve">using </w:t>
      </w:r>
      <w:r w:rsidRPr="005F3E50">
        <w:rPr>
          <w:rFonts w:ascii="Times New Roman" w:hAnsi="Times New Roman" w:cs="Times New Roman"/>
          <w:color w:val="000000"/>
        </w:rPr>
        <w:t>paragraph</w:t>
      </w:r>
      <w:r w:rsidR="00332A39" w:rsidRPr="005F3E50">
        <w:rPr>
          <w:rFonts w:ascii="Times New Roman" w:hAnsi="Times New Roman" w:cs="Times New Roman"/>
          <w:color w:val="000000"/>
        </w:rPr>
        <w:t>s</w:t>
      </w:r>
      <w:r w:rsidRPr="005F3E50">
        <w:rPr>
          <w:rFonts w:ascii="Times New Roman" w:hAnsi="Times New Roman" w:cs="Times New Roman"/>
          <w:color w:val="000000"/>
        </w:rPr>
        <w:t xml:space="preserve"> </w:t>
      </w:r>
      <w:r w:rsidR="00CC1AF8" w:rsidRPr="005F3E50">
        <w:rPr>
          <w:rFonts w:ascii="Times New Roman" w:hAnsi="Times New Roman" w:cs="Times New Roman"/>
          <w:color w:val="000000"/>
        </w:rPr>
        <w:t>10</w:t>
      </w:r>
      <w:r w:rsidRPr="005F3E50">
        <w:rPr>
          <w:rFonts w:ascii="Times New Roman" w:hAnsi="Times New Roman" w:cs="Times New Roman"/>
          <w:color w:val="000000"/>
        </w:rPr>
        <w:t>(</w:t>
      </w:r>
      <w:r w:rsidR="008A5E7C" w:rsidRPr="005F3E50">
        <w:rPr>
          <w:rFonts w:ascii="Times New Roman" w:hAnsi="Times New Roman" w:cs="Times New Roman"/>
          <w:color w:val="000000"/>
        </w:rPr>
        <w:t>2</w:t>
      </w:r>
      <w:r w:rsidRPr="005F3E50">
        <w:rPr>
          <w:rFonts w:ascii="Times New Roman" w:hAnsi="Times New Roman" w:cs="Times New Roman"/>
          <w:color w:val="000000"/>
        </w:rPr>
        <w:t>)(b)</w:t>
      </w:r>
      <w:r w:rsidR="00332A39" w:rsidRPr="005F3E50">
        <w:rPr>
          <w:rFonts w:ascii="Times New Roman" w:hAnsi="Times New Roman" w:cs="Times New Roman"/>
          <w:color w:val="000000"/>
        </w:rPr>
        <w:t xml:space="preserve"> and (c)</w:t>
      </w:r>
      <w:r w:rsidRPr="005F3E50">
        <w:rPr>
          <w:rFonts w:ascii="Times New Roman" w:hAnsi="Times New Roman" w:cs="Times New Roman"/>
          <w:color w:val="000000"/>
        </w:rPr>
        <w:t xml:space="preserve"> if </w:t>
      </w:r>
      <w:r w:rsidR="00CA554E" w:rsidRPr="005F3E50">
        <w:rPr>
          <w:rFonts w:ascii="Times New Roman" w:hAnsi="Times New Roman" w:cs="Times New Roman"/>
          <w:color w:val="000000"/>
        </w:rPr>
        <w:t xml:space="preserve">the requesting person provides </w:t>
      </w:r>
      <w:r w:rsidRPr="005F3E50">
        <w:rPr>
          <w:rFonts w:ascii="Times New Roman" w:hAnsi="Times New Roman" w:cs="Times New Roman"/>
          <w:color w:val="000000"/>
        </w:rPr>
        <w:t>specific information about two government documents to the carriage service provider and that information is verified by the relevant online verification service.</w:t>
      </w:r>
    </w:p>
    <w:p w14:paraId="282233C3" w14:textId="480A1888" w:rsidR="00715DA2" w:rsidRPr="005F3E50" w:rsidRDefault="00715DA2" w:rsidP="00715DA2">
      <w:pPr>
        <w:rPr>
          <w:rFonts w:ascii="Times New Roman" w:hAnsi="Times New Roman" w:cs="Times New Roman"/>
          <w:color w:val="000000"/>
        </w:rPr>
      </w:pPr>
      <w:r w:rsidRPr="005F3E50">
        <w:rPr>
          <w:rFonts w:ascii="Times New Roman" w:hAnsi="Times New Roman" w:cs="Times New Roman"/>
        </w:rPr>
        <w:t>The note</w:t>
      </w:r>
      <w:r w:rsidR="007D0F2B">
        <w:rPr>
          <w:rFonts w:ascii="Times New Roman" w:hAnsi="Times New Roman" w:cs="Times New Roman"/>
        </w:rPr>
        <w:t>s</w:t>
      </w:r>
      <w:r w:rsidRPr="005F3E50">
        <w:rPr>
          <w:rFonts w:ascii="Times New Roman" w:hAnsi="Times New Roman" w:cs="Times New Roman"/>
        </w:rPr>
        <w:t xml:space="preserve"> to subsection</w:t>
      </w:r>
      <w:r w:rsidR="007D0F2B">
        <w:rPr>
          <w:rFonts w:ascii="Times New Roman" w:hAnsi="Times New Roman" w:cs="Times New Roman"/>
        </w:rPr>
        <w:t>s</w:t>
      </w:r>
      <w:r w:rsidRPr="005F3E50">
        <w:rPr>
          <w:rFonts w:ascii="Times New Roman" w:hAnsi="Times New Roman" w:cs="Times New Roman"/>
        </w:rPr>
        <w:t xml:space="preserve"> </w:t>
      </w:r>
      <w:r w:rsidR="00CC1AF8" w:rsidRPr="005F3E50">
        <w:rPr>
          <w:rFonts w:ascii="Times New Roman" w:hAnsi="Times New Roman" w:cs="Times New Roman"/>
        </w:rPr>
        <w:t>10</w:t>
      </w:r>
      <w:r w:rsidRPr="005F3E50">
        <w:rPr>
          <w:rFonts w:ascii="Times New Roman" w:hAnsi="Times New Roman" w:cs="Times New Roman"/>
        </w:rPr>
        <w:t>(</w:t>
      </w:r>
      <w:r w:rsidR="008A5E7C" w:rsidRPr="005F3E50">
        <w:rPr>
          <w:rFonts w:ascii="Times New Roman" w:hAnsi="Times New Roman" w:cs="Times New Roman"/>
        </w:rPr>
        <w:t>3</w:t>
      </w:r>
      <w:r w:rsidRPr="005F3E50">
        <w:rPr>
          <w:rFonts w:ascii="Times New Roman" w:hAnsi="Times New Roman" w:cs="Times New Roman"/>
        </w:rPr>
        <w:t>)</w:t>
      </w:r>
      <w:r w:rsidR="007D0F2B">
        <w:rPr>
          <w:rFonts w:ascii="Times New Roman" w:hAnsi="Times New Roman" w:cs="Times New Roman"/>
        </w:rPr>
        <w:t xml:space="preserve"> and (4)</w:t>
      </w:r>
      <w:r w:rsidRPr="005F3E50">
        <w:rPr>
          <w:rFonts w:ascii="Times New Roman" w:hAnsi="Times New Roman" w:cs="Times New Roman"/>
        </w:rPr>
        <w:t xml:space="preserve"> state that the information provided by the requesting person </w:t>
      </w:r>
      <w:r w:rsidR="0048047E" w:rsidRPr="005F3E50">
        <w:rPr>
          <w:rFonts w:ascii="Times New Roman" w:hAnsi="Times New Roman" w:cs="Times New Roman"/>
        </w:rPr>
        <w:t>(</w:t>
      </w:r>
      <w:r w:rsidRPr="005F3E50">
        <w:rPr>
          <w:rFonts w:ascii="Times New Roman" w:hAnsi="Times New Roman" w:cs="Times New Roman"/>
        </w:rPr>
        <w:t>in relation to a government document</w:t>
      </w:r>
      <w:r w:rsidR="0048047E" w:rsidRPr="005F3E50">
        <w:rPr>
          <w:rFonts w:ascii="Times New Roman" w:hAnsi="Times New Roman" w:cs="Times New Roman"/>
        </w:rPr>
        <w:t>)</w:t>
      </w:r>
      <w:r w:rsidRPr="005F3E50">
        <w:rPr>
          <w:rFonts w:ascii="Times New Roman" w:hAnsi="Times New Roman" w:cs="Times New Roman"/>
        </w:rPr>
        <w:t>, is matched against the databases held by the agency that issued the</w:t>
      </w:r>
      <w:r w:rsidRPr="005F3E50">
        <w:rPr>
          <w:rFonts w:ascii="Times New Roman" w:hAnsi="Times New Roman" w:cs="Times New Roman"/>
          <w:color w:val="000000"/>
        </w:rPr>
        <w:t xml:space="preserve"> document and is either accepted or rejected as matched or not. </w:t>
      </w:r>
      <w:r w:rsidR="00D93851">
        <w:rPr>
          <w:rFonts w:ascii="Times New Roman" w:hAnsi="Times New Roman" w:cs="Times New Roman"/>
          <w:color w:val="000000"/>
        </w:rPr>
        <w:t>(</w:t>
      </w:r>
      <w:r w:rsidR="00383F40">
        <w:rPr>
          <w:rFonts w:ascii="Times New Roman" w:hAnsi="Times New Roman" w:cs="Times New Roman"/>
          <w:color w:val="000000"/>
        </w:rPr>
        <w:t>Further i</w:t>
      </w:r>
      <w:r w:rsidRPr="005F3E50">
        <w:rPr>
          <w:rFonts w:ascii="Times New Roman" w:hAnsi="Times New Roman" w:cs="Times New Roman"/>
          <w:color w:val="000000"/>
        </w:rPr>
        <w:t xml:space="preserve">nformation about </w:t>
      </w:r>
      <w:r w:rsidR="00D93851">
        <w:rPr>
          <w:rFonts w:ascii="Times New Roman" w:hAnsi="Times New Roman" w:cs="Times New Roman"/>
          <w:color w:val="000000"/>
        </w:rPr>
        <w:t>the</w:t>
      </w:r>
      <w:r w:rsidRPr="005F3E50">
        <w:rPr>
          <w:rFonts w:ascii="Times New Roman" w:hAnsi="Times New Roman" w:cs="Times New Roman"/>
          <w:color w:val="000000"/>
        </w:rPr>
        <w:t xml:space="preserve"> government online verification service is currently available at the </w:t>
      </w:r>
      <w:proofErr w:type="spellStart"/>
      <w:r w:rsidRPr="005F3E50">
        <w:rPr>
          <w:rFonts w:ascii="Times New Roman" w:hAnsi="Times New Roman" w:cs="Times New Roman"/>
          <w:color w:val="000000"/>
        </w:rPr>
        <w:t>IDMatch</w:t>
      </w:r>
      <w:proofErr w:type="spellEnd"/>
      <w:r w:rsidRPr="005F3E50">
        <w:rPr>
          <w:rFonts w:ascii="Times New Roman" w:hAnsi="Times New Roman" w:cs="Times New Roman"/>
          <w:color w:val="000000"/>
        </w:rPr>
        <w:t xml:space="preserve"> website—see link:</w:t>
      </w:r>
      <w:r w:rsidR="008A5E7C" w:rsidRPr="005F3E50">
        <w:rPr>
          <w:rFonts w:ascii="Times New Roman" w:hAnsi="Times New Roman" w:cs="Times New Roman"/>
          <w:color w:val="000000"/>
        </w:rPr>
        <w:t xml:space="preserve"> </w:t>
      </w:r>
      <w:r w:rsidR="00B65DD1" w:rsidRPr="005F3E50">
        <w:rPr>
          <w:rFonts w:ascii="Times New Roman" w:hAnsi="Times New Roman" w:cs="Times New Roman"/>
          <w:color w:val="000000"/>
        </w:rPr>
        <w:t>https://www.idmatch.gov.au/</w:t>
      </w:r>
      <w:r w:rsidR="00D93851">
        <w:rPr>
          <w:rFonts w:ascii="Times New Roman" w:hAnsi="Times New Roman" w:cs="Times New Roman"/>
          <w:color w:val="000000"/>
        </w:rPr>
        <w:t>.)</w:t>
      </w:r>
      <w:r w:rsidR="00B65DD1" w:rsidRPr="005F3E50" w:rsidDel="00B65DD1">
        <w:rPr>
          <w:rFonts w:ascii="Times New Roman" w:hAnsi="Times New Roman" w:cs="Times New Roman"/>
          <w:color w:val="000000"/>
        </w:rPr>
        <w:t xml:space="preserve"> </w:t>
      </w:r>
    </w:p>
    <w:p w14:paraId="4DE00C1E" w14:textId="4E4DC38D" w:rsidR="00745F8E" w:rsidRPr="005F3E50" w:rsidRDefault="00611009" w:rsidP="00745F8E">
      <w:pPr>
        <w:rPr>
          <w:rFonts w:ascii="Times New Roman" w:hAnsi="Times New Roman" w:cs="Times New Roman"/>
          <w:color w:val="000000"/>
        </w:rPr>
      </w:pPr>
      <w:r w:rsidRPr="005F3E50">
        <w:rPr>
          <w:rFonts w:ascii="Times New Roman" w:hAnsi="Times New Roman" w:cs="Times New Roman"/>
          <w:color w:val="000000"/>
        </w:rPr>
        <w:t>S</w:t>
      </w:r>
      <w:r w:rsidR="006321EA" w:rsidRPr="005F3E50">
        <w:rPr>
          <w:rFonts w:ascii="Times New Roman" w:hAnsi="Times New Roman" w:cs="Times New Roman"/>
          <w:color w:val="000000"/>
        </w:rPr>
        <w:t>ubs</w:t>
      </w:r>
      <w:r w:rsidRPr="005F3E50">
        <w:rPr>
          <w:rFonts w:ascii="Times New Roman" w:hAnsi="Times New Roman" w:cs="Times New Roman"/>
          <w:color w:val="000000"/>
        </w:rPr>
        <w:t>ection</w:t>
      </w:r>
      <w:r w:rsidR="008A5E7C" w:rsidRPr="005F3E50">
        <w:rPr>
          <w:rFonts w:ascii="Times New Roman" w:hAnsi="Times New Roman" w:cs="Times New Roman"/>
          <w:color w:val="000000"/>
        </w:rPr>
        <w:t xml:space="preserve"> </w:t>
      </w:r>
      <w:r w:rsidR="001667D0" w:rsidRPr="005F3E50">
        <w:rPr>
          <w:rFonts w:ascii="Times New Roman" w:hAnsi="Times New Roman" w:cs="Times New Roman"/>
          <w:color w:val="000000"/>
        </w:rPr>
        <w:t>10(</w:t>
      </w:r>
      <w:r w:rsidR="00332A39" w:rsidRPr="005F3E50">
        <w:rPr>
          <w:rFonts w:ascii="Times New Roman" w:hAnsi="Times New Roman" w:cs="Times New Roman"/>
          <w:color w:val="000000"/>
        </w:rPr>
        <w:t>5</w:t>
      </w:r>
      <w:r w:rsidR="001667D0" w:rsidRPr="005F3E50">
        <w:rPr>
          <w:rFonts w:ascii="Times New Roman" w:hAnsi="Times New Roman" w:cs="Times New Roman"/>
          <w:color w:val="000000"/>
        </w:rPr>
        <w:t>)</w:t>
      </w:r>
      <w:r w:rsidR="00CC1AF8" w:rsidRPr="005F3E50">
        <w:rPr>
          <w:rFonts w:ascii="Times New Roman" w:hAnsi="Times New Roman" w:cs="Times New Roman"/>
          <w:color w:val="000000"/>
        </w:rPr>
        <w:t xml:space="preserve"> requires a carriage service provider to </w:t>
      </w:r>
      <w:r w:rsidR="006321EA" w:rsidRPr="005F3E50">
        <w:rPr>
          <w:rFonts w:ascii="Times New Roman" w:hAnsi="Times New Roman" w:cs="Times New Roman"/>
          <w:color w:val="000000"/>
        </w:rPr>
        <w:t xml:space="preserve">send customers </w:t>
      </w:r>
      <w:r w:rsidR="00745F8E" w:rsidRPr="005F3E50">
        <w:rPr>
          <w:rFonts w:ascii="Times New Roman" w:hAnsi="Times New Roman" w:cs="Times New Roman"/>
          <w:color w:val="000000"/>
        </w:rPr>
        <w:t xml:space="preserve">or their authorised representatives (the </w:t>
      </w:r>
      <w:r w:rsidR="00745F8E" w:rsidRPr="006E13FE">
        <w:rPr>
          <w:rFonts w:ascii="Times New Roman" w:hAnsi="Times New Roman" w:cs="Times New Roman"/>
          <w:b/>
          <w:bCs/>
          <w:color w:val="000000"/>
        </w:rPr>
        <w:t>relevant person</w:t>
      </w:r>
      <w:r w:rsidR="00745F8E" w:rsidRPr="005F3E50">
        <w:rPr>
          <w:rFonts w:ascii="Times New Roman" w:hAnsi="Times New Roman" w:cs="Times New Roman"/>
          <w:color w:val="000000"/>
        </w:rPr>
        <w:t xml:space="preserve">) </w:t>
      </w:r>
      <w:r w:rsidR="006321EA" w:rsidRPr="005F3E50">
        <w:rPr>
          <w:rFonts w:ascii="Times New Roman" w:hAnsi="Times New Roman" w:cs="Times New Roman"/>
          <w:color w:val="000000"/>
        </w:rPr>
        <w:t xml:space="preserve">a notification immediately after it has </w:t>
      </w:r>
      <w:r w:rsidR="00833935" w:rsidRPr="005F3E50">
        <w:rPr>
          <w:rFonts w:ascii="Times New Roman" w:hAnsi="Times New Roman" w:cs="Times New Roman"/>
          <w:color w:val="000000"/>
        </w:rPr>
        <w:t>used an identity authentication process for subsection 10(2)</w:t>
      </w:r>
      <w:r w:rsidR="006321EA" w:rsidRPr="005F3E50">
        <w:rPr>
          <w:rFonts w:ascii="Times New Roman" w:hAnsi="Times New Roman" w:cs="Times New Roman"/>
          <w:color w:val="000000"/>
        </w:rPr>
        <w:t xml:space="preserve"> </w:t>
      </w:r>
      <w:r w:rsidR="00745F8E" w:rsidRPr="005F3E50">
        <w:rPr>
          <w:rFonts w:ascii="Times New Roman" w:hAnsi="Times New Roman" w:cs="Times New Roman"/>
          <w:color w:val="000000"/>
        </w:rPr>
        <w:t xml:space="preserve">either </w:t>
      </w:r>
      <w:r w:rsidR="006321EA" w:rsidRPr="005F3E50">
        <w:rPr>
          <w:rFonts w:ascii="Times New Roman" w:hAnsi="Times New Roman" w:cs="Times New Roman"/>
          <w:color w:val="000000"/>
        </w:rPr>
        <w:t xml:space="preserve">prior to </w:t>
      </w:r>
      <w:r w:rsidR="00745F8E" w:rsidRPr="005F3E50">
        <w:rPr>
          <w:rFonts w:ascii="Times New Roman" w:hAnsi="Times New Roman" w:cs="Times New Roman"/>
          <w:color w:val="000000"/>
        </w:rPr>
        <w:t xml:space="preserve">or </w:t>
      </w:r>
      <w:r w:rsidR="000E6F4C" w:rsidRPr="005F3E50">
        <w:rPr>
          <w:rFonts w:ascii="Times New Roman" w:hAnsi="Times New Roman" w:cs="Times New Roman"/>
          <w:color w:val="000000"/>
        </w:rPr>
        <w:t>immediately</w:t>
      </w:r>
      <w:r w:rsidR="00745F8E" w:rsidRPr="005F3E50">
        <w:rPr>
          <w:rFonts w:ascii="Times New Roman" w:hAnsi="Times New Roman" w:cs="Times New Roman"/>
          <w:color w:val="000000"/>
        </w:rPr>
        <w:t xml:space="preserve"> after </w:t>
      </w:r>
      <w:r w:rsidR="006321EA" w:rsidRPr="005F3E50">
        <w:rPr>
          <w:rFonts w:ascii="Times New Roman" w:hAnsi="Times New Roman" w:cs="Times New Roman"/>
          <w:color w:val="000000"/>
        </w:rPr>
        <w:t xml:space="preserve">undertaking the </w:t>
      </w:r>
      <w:r w:rsidR="00745F8E" w:rsidRPr="005F3E50">
        <w:rPr>
          <w:rFonts w:ascii="Times New Roman" w:hAnsi="Times New Roman" w:cs="Times New Roman"/>
          <w:color w:val="000000"/>
        </w:rPr>
        <w:t>first high</w:t>
      </w:r>
      <w:r w:rsidR="000E6F4C" w:rsidRPr="005F3E50">
        <w:rPr>
          <w:rFonts w:ascii="Times New Roman" w:hAnsi="Times New Roman" w:cs="Times New Roman"/>
          <w:color w:val="000000"/>
        </w:rPr>
        <w:t>-</w:t>
      </w:r>
      <w:r w:rsidR="00745F8E" w:rsidRPr="005F3E50">
        <w:rPr>
          <w:rFonts w:ascii="Times New Roman" w:hAnsi="Times New Roman" w:cs="Times New Roman"/>
          <w:color w:val="000000"/>
        </w:rPr>
        <w:t>risk transaction</w:t>
      </w:r>
      <w:r w:rsidR="00C018CD" w:rsidRPr="005F3E50">
        <w:rPr>
          <w:rFonts w:ascii="Times New Roman" w:hAnsi="Times New Roman" w:cs="Times New Roman"/>
          <w:color w:val="000000"/>
        </w:rPr>
        <w:t xml:space="preserve"> to</w:t>
      </w:r>
      <w:r w:rsidR="006321EA" w:rsidRPr="005F3E50">
        <w:rPr>
          <w:rFonts w:ascii="Times New Roman" w:hAnsi="Times New Roman" w:cs="Times New Roman"/>
          <w:color w:val="000000"/>
        </w:rPr>
        <w:t xml:space="preserve"> inform the customer that a high-risk customer </w:t>
      </w:r>
      <w:r w:rsidR="00B0648C" w:rsidRPr="005F3E50">
        <w:rPr>
          <w:rFonts w:ascii="Times New Roman" w:hAnsi="Times New Roman" w:cs="Times New Roman"/>
          <w:color w:val="000000"/>
        </w:rPr>
        <w:t xml:space="preserve">transaction </w:t>
      </w:r>
      <w:r w:rsidR="006321EA" w:rsidRPr="005F3E50">
        <w:rPr>
          <w:rFonts w:ascii="Times New Roman" w:hAnsi="Times New Roman" w:cs="Times New Roman"/>
          <w:color w:val="000000"/>
        </w:rPr>
        <w:t xml:space="preserve">has been </w:t>
      </w:r>
      <w:r w:rsidR="00745F8E" w:rsidRPr="005F3E50">
        <w:rPr>
          <w:rFonts w:ascii="Times New Roman" w:hAnsi="Times New Roman" w:cs="Times New Roman"/>
          <w:color w:val="000000"/>
        </w:rPr>
        <w:t>initiated</w:t>
      </w:r>
      <w:r w:rsidR="00C018CD" w:rsidRPr="005F3E50">
        <w:rPr>
          <w:rFonts w:ascii="Times New Roman" w:hAnsi="Times New Roman" w:cs="Times New Roman"/>
          <w:color w:val="000000"/>
        </w:rPr>
        <w:t xml:space="preserve"> </w:t>
      </w:r>
      <w:r w:rsidR="006321EA" w:rsidRPr="005F3E50">
        <w:rPr>
          <w:rFonts w:ascii="Times New Roman" w:hAnsi="Times New Roman" w:cs="Times New Roman"/>
          <w:color w:val="000000"/>
        </w:rPr>
        <w:t xml:space="preserve">and what the </w:t>
      </w:r>
      <w:r w:rsidR="00745F8E" w:rsidRPr="005F3E50">
        <w:rPr>
          <w:rFonts w:ascii="Times New Roman" w:hAnsi="Times New Roman" w:cs="Times New Roman"/>
          <w:color w:val="000000"/>
        </w:rPr>
        <w:t xml:space="preserve">relevant person </w:t>
      </w:r>
      <w:r w:rsidR="006321EA" w:rsidRPr="005F3E50">
        <w:rPr>
          <w:rFonts w:ascii="Times New Roman" w:hAnsi="Times New Roman" w:cs="Times New Roman"/>
          <w:color w:val="000000"/>
        </w:rPr>
        <w:t xml:space="preserve">can do if they did not authorise the </w:t>
      </w:r>
      <w:r w:rsidR="00745F8E" w:rsidRPr="005F3E50">
        <w:rPr>
          <w:rFonts w:ascii="Times New Roman" w:hAnsi="Times New Roman" w:cs="Times New Roman"/>
          <w:color w:val="000000"/>
        </w:rPr>
        <w:t>interaction</w:t>
      </w:r>
      <w:r w:rsidR="006321EA" w:rsidRPr="005F3E50">
        <w:rPr>
          <w:rFonts w:ascii="Times New Roman" w:hAnsi="Times New Roman" w:cs="Times New Roman"/>
          <w:color w:val="000000"/>
        </w:rPr>
        <w:t xml:space="preserve">. The notification may be sent by SMS message, email, in-app message or to some other device or account which has been validated by the </w:t>
      </w:r>
      <w:r w:rsidR="00595B2D">
        <w:rPr>
          <w:rFonts w:ascii="Times New Roman" w:hAnsi="Times New Roman" w:cs="Times New Roman"/>
          <w:color w:val="000000"/>
        </w:rPr>
        <w:t>relevant person</w:t>
      </w:r>
      <w:r w:rsidR="006321EA" w:rsidRPr="005F3E50">
        <w:rPr>
          <w:rFonts w:ascii="Times New Roman" w:hAnsi="Times New Roman" w:cs="Times New Roman"/>
          <w:color w:val="000000"/>
        </w:rPr>
        <w:t>. Subsection 10(</w:t>
      </w:r>
      <w:r w:rsidR="00745F8E" w:rsidRPr="005F3E50">
        <w:rPr>
          <w:rFonts w:ascii="Times New Roman" w:hAnsi="Times New Roman" w:cs="Times New Roman"/>
          <w:color w:val="000000"/>
        </w:rPr>
        <w:t>6</w:t>
      </w:r>
      <w:r w:rsidR="006321EA" w:rsidRPr="005F3E50">
        <w:rPr>
          <w:rFonts w:ascii="Times New Roman" w:hAnsi="Times New Roman" w:cs="Times New Roman"/>
          <w:color w:val="000000"/>
        </w:rPr>
        <w:t xml:space="preserve">) provides that this requirement does not </w:t>
      </w:r>
      <w:r w:rsidR="002B7249" w:rsidRPr="005F3E50">
        <w:rPr>
          <w:rFonts w:ascii="Times New Roman" w:hAnsi="Times New Roman" w:cs="Times New Roman"/>
          <w:color w:val="000000"/>
        </w:rPr>
        <w:t>apply where there is no mobile service number, validated email address, validated mobile application or other validated device or account associated with the customer’s account.</w:t>
      </w:r>
    </w:p>
    <w:p w14:paraId="0690F09D" w14:textId="66043B13" w:rsidR="00745F8E" w:rsidRPr="005F3E50" w:rsidRDefault="00745F8E" w:rsidP="00745F8E">
      <w:pPr>
        <w:rPr>
          <w:rFonts w:ascii="Times New Roman" w:hAnsi="Times New Roman" w:cs="Times New Roman"/>
          <w:color w:val="000000"/>
        </w:rPr>
      </w:pPr>
      <w:r w:rsidRPr="005F3E50">
        <w:rPr>
          <w:rFonts w:ascii="Times New Roman" w:hAnsi="Times New Roman" w:cs="Times New Roman"/>
          <w:color w:val="000000"/>
        </w:rPr>
        <w:t xml:space="preserve">Subsection </w:t>
      </w:r>
      <w:r w:rsidR="00595B2D">
        <w:rPr>
          <w:rFonts w:ascii="Times New Roman" w:hAnsi="Times New Roman" w:cs="Times New Roman"/>
          <w:color w:val="000000"/>
        </w:rPr>
        <w:t>10(</w:t>
      </w:r>
      <w:r w:rsidRPr="005F3E50">
        <w:rPr>
          <w:rFonts w:ascii="Times New Roman" w:hAnsi="Times New Roman" w:cs="Times New Roman"/>
          <w:color w:val="000000"/>
        </w:rPr>
        <w:t>7</w:t>
      </w:r>
      <w:r w:rsidR="00595B2D">
        <w:rPr>
          <w:rFonts w:ascii="Times New Roman" w:hAnsi="Times New Roman" w:cs="Times New Roman"/>
          <w:color w:val="000000"/>
        </w:rPr>
        <w:t>)</w:t>
      </w:r>
      <w:r w:rsidRPr="005F3E50">
        <w:rPr>
          <w:rFonts w:ascii="Times New Roman" w:hAnsi="Times New Roman" w:cs="Times New Roman"/>
          <w:color w:val="000000"/>
        </w:rPr>
        <w:t xml:space="preserve"> provides that </w:t>
      </w:r>
      <w:r w:rsidR="0078101E">
        <w:rPr>
          <w:rFonts w:ascii="Times New Roman" w:hAnsi="Times New Roman" w:cs="Times New Roman"/>
          <w:color w:val="000000"/>
        </w:rPr>
        <w:t xml:space="preserve">the </w:t>
      </w:r>
      <w:r w:rsidRPr="005F3E50">
        <w:rPr>
          <w:rFonts w:ascii="Times New Roman" w:hAnsi="Times New Roman" w:cs="Times New Roman"/>
          <w:color w:val="000000"/>
        </w:rPr>
        <w:t xml:space="preserve">requirement in subsection (5) does not apply where the carriage service provider has reasonable grounds to believe that the customer is affected by </w:t>
      </w:r>
      <w:proofErr w:type="gramStart"/>
      <w:r w:rsidRPr="005F3E50">
        <w:rPr>
          <w:rFonts w:ascii="Times New Roman" w:hAnsi="Times New Roman" w:cs="Times New Roman"/>
          <w:color w:val="000000"/>
        </w:rPr>
        <w:t>domestic</w:t>
      </w:r>
      <w:proofErr w:type="gramEnd"/>
      <w:r w:rsidRPr="005F3E50">
        <w:rPr>
          <w:rFonts w:ascii="Times New Roman" w:hAnsi="Times New Roman" w:cs="Times New Roman"/>
          <w:color w:val="000000"/>
        </w:rPr>
        <w:t xml:space="preserve"> </w:t>
      </w:r>
      <w:r w:rsidR="00833935" w:rsidRPr="005F3E50">
        <w:rPr>
          <w:rFonts w:ascii="Times New Roman" w:hAnsi="Times New Roman" w:cs="Times New Roman"/>
          <w:color w:val="000000"/>
        </w:rPr>
        <w:t xml:space="preserve">or </w:t>
      </w:r>
      <w:r w:rsidRPr="005F3E50">
        <w:rPr>
          <w:rFonts w:ascii="Times New Roman" w:hAnsi="Times New Roman" w:cs="Times New Roman"/>
          <w:color w:val="000000"/>
        </w:rPr>
        <w:t>family violence and the customer has requested that the notification not be sent.</w:t>
      </w:r>
    </w:p>
    <w:p w14:paraId="1B8C6933" w14:textId="12F261A8" w:rsidR="005C49F7" w:rsidRPr="005F3E50" w:rsidRDefault="006321EA" w:rsidP="00C00525">
      <w:pPr>
        <w:rPr>
          <w:rFonts w:ascii="Times New Roman" w:hAnsi="Times New Roman" w:cs="Times New Roman"/>
          <w:color w:val="000000"/>
        </w:rPr>
      </w:pPr>
      <w:r w:rsidRPr="005F3E50">
        <w:rPr>
          <w:rFonts w:ascii="Times New Roman" w:hAnsi="Times New Roman" w:cs="Times New Roman"/>
        </w:rPr>
        <w:t xml:space="preserve">Subsection </w:t>
      </w:r>
      <w:r w:rsidR="002B7249" w:rsidRPr="005F3E50">
        <w:rPr>
          <w:rFonts w:ascii="Times New Roman" w:hAnsi="Times New Roman" w:cs="Times New Roman"/>
        </w:rPr>
        <w:t>10</w:t>
      </w:r>
      <w:r w:rsidRPr="005F3E50">
        <w:rPr>
          <w:rFonts w:ascii="Times New Roman" w:hAnsi="Times New Roman" w:cs="Times New Roman"/>
        </w:rPr>
        <w:t>(</w:t>
      </w:r>
      <w:r w:rsidR="0019745B" w:rsidRPr="005F3E50">
        <w:rPr>
          <w:rFonts w:ascii="Times New Roman" w:hAnsi="Times New Roman" w:cs="Times New Roman"/>
        </w:rPr>
        <w:t>8</w:t>
      </w:r>
      <w:r w:rsidRPr="005F3E50">
        <w:rPr>
          <w:rFonts w:ascii="Times New Roman" w:hAnsi="Times New Roman" w:cs="Times New Roman"/>
        </w:rPr>
        <w:t xml:space="preserve">) provides that </w:t>
      </w:r>
      <w:r w:rsidR="005C49F7" w:rsidRPr="005F3E50">
        <w:rPr>
          <w:rFonts w:ascii="Times New Roman" w:hAnsi="Times New Roman" w:cs="Times New Roman"/>
        </w:rPr>
        <w:t xml:space="preserve">if the relevant person takes the specified actions at </w:t>
      </w:r>
      <w:r w:rsidR="00E54B4F">
        <w:rPr>
          <w:rFonts w:ascii="Times New Roman" w:hAnsi="Times New Roman" w:cs="Times New Roman"/>
        </w:rPr>
        <w:t>paragraph 10(5)(f)</w:t>
      </w:r>
      <w:r w:rsidR="005C49F7">
        <w:rPr>
          <w:rFonts w:ascii="Times New Roman" w:hAnsi="Times New Roman" w:cs="Times New Roman"/>
        </w:rPr>
        <w:t xml:space="preserve"> and one or more high-risk customer transactions have been completed, the </w:t>
      </w:r>
      <w:r w:rsidR="005C49F7" w:rsidRPr="005F3E50">
        <w:rPr>
          <w:rFonts w:ascii="Times New Roman" w:hAnsi="Times New Roman" w:cs="Times New Roman"/>
        </w:rPr>
        <w:t xml:space="preserve">carriage service provider </w:t>
      </w:r>
      <w:r w:rsidR="005C49F7">
        <w:rPr>
          <w:rFonts w:ascii="Times New Roman" w:hAnsi="Times New Roman" w:cs="Times New Roman"/>
        </w:rPr>
        <w:t>must</w:t>
      </w:r>
      <w:r w:rsidR="005C49F7" w:rsidRPr="005F3E50">
        <w:rPr>
          <w:rFonts w:ascii="Times New Roman" w:hAnsi="Times New Roman" w:cs="Times New Roman"/>
        </w:rPr>
        <w:t xml:space="preserve"> take steps to reverse or remediate </w:t>
      </w:r>
      <w:r w:rsidR="005C49F7">
        <w:rPr>
          <w:rFonts w:ascii="Times New Roman" w:hAnsi="Times New Roman" w:cs="Times New Roman"/>
        </w:rPr>
        <w:t>any completed transaction</w:t>
      </w:r>
      <w:r w:rsidR="00884E75">
        <w:rPr>
          <w:rFonts w:ascii="Times New Roman" w:hAnsi="Times New Roman" w:cs="Times New Roman"/>
        </w:rPr>
        <w:t>.</w:t>
      </w:r>
      <w:r w:rsidR="009A6803">
        <w:rPr>
          <w:rFonts w:ascii="Times New Roman" w:hAnsi="Times New Roman" w:cs="Times New Roman"/>
        </w:rPr>
        <w:t xml:space="preserve"> </w:t>
      </w:r>
      <w:r w:rsidR="00884E75">
        <w:rPr>
          <w:rFonts w:ascii="Times New Roman" w:hAnsi="Times New Roman" w:cs="Times New Roman"/>
        </w:rPr>
        <w:t xml:space="preserve"> I</w:t>
      </w:r>
      <w:r w:rsidR="005C49F7">
        <w:rPr>
          <w:rFonts w:ascii="Times New Roman" w:hAnsi="Times New Roman" w:cs="Times New Roman"/>
        </w:rPr>
        <w:t xml:space="preserve">f the high-risk customer transaction has not been undertaken, the carriage service provider must </w:t>
      </w:r>
      <w:r w:rsidR="005C49F7" w:rsidRPr="005F3E50">
        <w:rPr>
          <w:rFonts w:ascii="Times New Roman" w:hAnsi="Times New Roman" w:cs="Times New Roman"/>
        </w:rPr>
        <w:t>not undertake the interaction</w:t>
      </w:r>
      <w:r w:rsidR="005C49F7">
        <w:rPr>
          <w:rFonts w:ascii="Times New Roman" w:hAnsi="Times New Roman" w:cs="Times New Roman"/>
        </w:rPr>
        <w:t>.  In each case, the carriage service provider must notify the relevant person of the steps taken to reverse or remediate</w:t>
      </w:r>
      <w:r w:rsidR="0078101E">
        <w:rPr>
          <w:rFonts w:ascii="Times New Roman" w:hAnsi="Times New Roman" w:cs="Times New Roman"/>
        </w:rPr>
        <w:t>,</w:t>
      </w:r>
      <w:r w:rsidR="005C49F7">
        <w:rPr>
          <w:rFonts w:ascii="Times New Roman" w:hAnsi="Times New Roman" w:cs="Times New Roman"/>
        </w:rPr>
        <w:t xml:space="preserve"> or that the transaction has not been </w:t>
      </w:r>
      <w:proofErr w:type="gramStart"/>
      <w:r w:rsidR="005C49F7">
        <w:rPr>
          <w:rFonts w:ascii="Times New Roman" w:hAnsi="Times New Roman" w:cs="Times New Roman"/>
        </w:rPr>
        <w:t>undertaken, as the case may be</w:t>
      </w:r>
      <w:proofErr w:type="gramEnd"/>
      <w:r w:rsidR="005C49F7">
        <w:rPr>
          <w:rFonts w:ascii="Times New Roman" w:hAnsi="Times New Roman" w:cs="Times New Roman"/>
        </w:rPr>
        <w:t>.  The carriage service provider must also notify the relevant person of what they can do to protect the customer’s account.</w:t>
      </w:r>
    </w:p>
    <w:p w14:paraId="6C931FE5" w14:textId="1EDF59DA" w:rsidR="00064160" w:rsidRPr="005F3E50" w:rsidRDefault="00064160" w:rsidP="00E06918">
      <w:pPr>
        <w:keepNext/>
        <w:spacing w:line="257" w:lineRule="auto"/>
        <w:rPr>
          <w:rFonts w:ascii="Times New Roman" w:hAnsi="Times New Roman" w:cs="Times New Roman"/>
          <w:b/>
        </w:rPr>
      </w:pPr>
      <w:r w:rsidRPr="005F3E50">
        <w:rPr>
          <w:rFonts w:ascii="Times New Roman" w:hAnsi="Times New Roman" w:cs="Times New Roman"/>
          <w:b/>
        </w:rPr>
        <w:t>Section 11</w:t>
      </w:r>
      <w:r w:rsidRPr="005F3E50">
        <w:rPr>
          <w:rFonts w:ascii="Times New Roman" w:hAnsi="Times New Roman" w:cs="Times New Roman"/>
          <w:b/>
        </w:rPr>
        <w:tab/>
      </w:r>
      <w:r w:rsidR="00B0648C" w:rsidRPr="005F3E50">
        <w:rPr>
          <w:rFonts w:ascii="Times New Roman" w:hAnsi="Times New Roman" w:cs="Times New Roman"/>
          <w:b/>
        </w:rPr>
        <w:t xml:space="preserve">Identity authentication requirements for </w:t>
      </w:r>
      <w:r w:rsidR="00487C6F" w:rsidRPr="005F3E50">
        <w:rPr>
          <w:rFonts w:ascii="Times New Roman" w:hAnsi="Times New Roman" w:cs="Times New Roman"/>
          <w:b/>
        </w:rPr>
        <w:t>people</w:t>
      </w:r>
      <w:r w:rsidR="00B0648C" w:rsidRPr="005F3E50">
        <w:rPr>
          <w:rFonts w:ascii="Times New Roman" w:hAnsi="Times New Roman" w:cs="Times New Roman"/>
          <w:b/>
        </w:rPr>
        <w:t xml:space="preserve"> in vulnerable circumstances </w:t>
      </w:r>
    </w:p>
    <w:p w14:paraId="15B6B2D6" w14:textId="314183D4" w:rsidR="00064160" w:rsidRPr="005F3E50" w:rsidRDefault="00396549" w:rsidP="00B44D1A">
      <w:pPr>
        <w:rPr>
          <w:rFonts w:ascii="Times New Roman" w:hAnsi="Times New Roman" w:cs="Times New Roman"/>
        </w:rPr>
      </w:pPr>
      <w:r w:rsidRPr="005F3E50">
        <w:rPr>
          <w:rFonts w:ascii="Times New Roman" w:hAnsi="Times New Roman" w:cs="Times New Roman"/>
        </w:rPr>
        <w:t xml:space="preserve">Section 11 </w:t>
      </w:r>
      <w:r w:rsidR="00DE3F2D" w:rsidRPr="005F3E50">
        <w:rPr>
          <w:rFonts w:ascii="Times New Roman" w:hAnsi="Times New Roman" w:cs="Times New Roman"/>
        </w:rPr>
        <w:t>sets out the identity authentication process that applies to</w:t>
      </w:r>
      <w:r w:rsidRPr="005F3E50">
        <w:rPr>
          <w:rFonts w:ascii="Times New Roman" w:hAnsi="Times New Roman" w:cs="Times New Roman"/>
        </w:rPr>
        <w:t xml:space="preserve"> a high</w:t>
      </w:r>
      <w:r w:rsidR="00AA6A7B" w:rsidRPr="005F3E50">
        <w:rPr>
          <w:rFonts w:ascii="Times New Roman" w:hAnsi="Times New Roman" w:cs="Times New Roman"/>
        </w:rPr>
        <w:t>-</w:t>
      </w:r>
      <w:r w:rsidRPr="005F3E50">
        <w:rPr>
          <w:rFonts w:ascii="Times New Roman" w:hAnsi="Times New Roman" w:cs="Times New Roman"/>
        </w:rPr>
        <w:t xml:space="preserve">risk customer interaction where a carriage service provider has reasonable grounds to believe that the requesting person is a </w:t>
      </w:r>
      <w:r w:rsidR="008C58AF" w:rsidRPr="005F3E50">
        <w:rPr>
          <w:rFonts w:ascii="Times New Roman" w:hAnsi="Times New Roman" w:cs="Times New Roman"/>
        </w:rPr>
        <w:t xml:space="preserve">person </w:t>
      </w:r>
      <w:r w:rsidRPr="005F3E50">
        <w:rPr>
          <w:rFonts w:ascii="Times New Roman" w:hAnsi="Times New Roman" w:cs="Times New Roman"/>
        </w:rPr>
        <w:t>in vulnerable circumstances.</w:t>
      </w:r>
    </w:p>
    <w:p w14:paraId="30B0FF59" w14:textId="638FB8B5" w:rsidR="00396549" w:rsidRPr="005F3E50" w:rsidRDefault="00396549" w:rsidP="00B44D1A">
      <w:pPr>
        <w:rPr>
          <w:rFonts w:ascii="Times New Roman" w:hAnsi="Times New Roman" w:cs="Times New Roman"/>
        </w:rPr>
      </w:pPr>
      <w:r w:rsidRPr="005F3E50">
        <w:rPr>
          <w:rFonts w:ascii="Times New Roman" w:hAnsi="Times New Roman" w:cs="Times New Roman"/>
        </w:rPr>
        <w:t>Subsection 11(</w:t>
      </w:r>
      <w:r w:rsidR="008C58AF" w:rsidRPr="005F3E50">
        <w:rPr>
          <w:rFonts w:ascii="Times New Roman" w:hAnsi="Times New Roman" w:cs="Times New Roman"/>
        </w:rPr>
        <w:t>2</w:t>
      </w:r>
      <w:r w:rsidRPr="005F3E50">
        <w:rPr>
          <w:rFonts w:ascii="Times New Roman" w:hAnsi="Times New Roman" w:cs="Times New Roman"/>
        </w:rPr>
        <w:t xml:space="preserve">) </w:t>
      </w:r>
      <w:r w:rsidR="00DD5F60" w:rsidRPr="005F3E50">
        <w:rPr>
          <w:rFonts w:ascii="Times New Roman" w:hAnsi="Times New Roman" w:cs="Times New Roman"/>
        </w:rPr>
        <w:t>provides that</w:t>
      </w:r>
      <w:r w:rsidR="00377304">
        <w:rPr>
          <w:rFonts w:ascii="Times New Roman" w:hAnsi="Times New Roman" w:cs="Times New Roman"/>
        </w:rPr>
        <w:t xml:space="preserve"> </w:t>
      </w:r>
      <w:r w:rsidR="00DD5F60" w:rsidRPr="005F3E50">
        <w:rPr>
          <w:rFonts w:ascii="Times New Roman" w:hAnsi="Times New Roman" w:cs="Times New Roman"/>
        </w:rPr>
        <w:t>an employee or agent of the carriage service provider for the telecommunications service</w:t>
      </w:r>
      <w:r w:rsidR="00DD5F60" w:rsidRPr="005F3E50">
        <w:rPr>
          <w:rFonts w:ascii="Times New Roman" w:hAnsi="Times New Roman" w:cs="Times New Roman"/>
          <w:color w:val="000000"/>
        </w:rPr>
        <w:t xml:space="preserve"> who has completed fraud mitigation training must </w:t>
      </w:r>
      <w:r w:rsidR="00DD5F60" w:rsidRPr="005F3E50">
        <w:rPr>
          <w:rFonts w:ascii="Times New Roman" w:hAnsi="Times New Roman" w:cs="Times New Roman"/>
        </w:rPr>
        <w:t xml:space="preserve">use either at least two account information authenticators or at least </w:t>
      </w:r>
      <w:r w:rsidR="00A76CBB" w:rsidRPr="005F3E50">
        <w:rPr>
          <w:rFonts w:ascii="Times New Roman" w:hAnsi="Times New Roman" w:cs="Times New Roman"/>
        </w:rPr>
        <w:t xml:space="preserve">at least two personal information authenticators or at least </w:t>
      </w:r>
      <w:r w:rsidR="00DD5F60" w:rsidRPr="005F3E50">
        <w:rPr>
          <w:rFonts w:ascii="Times New Roman" w:hAnsi="Times New Roman" w:cs="Times New Roman"/>
        </w:rPr>
        <w:t xml:space="preserve">one account information authenticator and one personal information authenticator to </w:t>
      </w:r>
      <w:r w:rsidR="002A2596" w:rsidRPr="005F3E50">
        <w:rPr>
          <w:rFonts w:ascii="Times New Roman" w:hAnsi="Times New Roman" w:cs="Times New Roman"/>
        </w:rPr>
        <w:t>con</w:t>
      </w:r>
      <w:r w:rsidR="00DD5F60" w:rsidRPr="005F3E50">
        <w:rPr>
          <w:rFonts w:ascii="Times New Roman" w:hAnsi="Times New Roman" w:cs="Times New Roman"/>
        </w:rPr>
        <w:t>firm that the requesting person is the customer</w:t>
      </w:r>
      <w:r w:rsidR="008C58AF" w:rsidRPr="005F3E50">
        <w:rPr>
          <w:rFonts w:ascii="Times New Roman" w:hAnsi="Times New Roman" w:cs="Times New Roman"/>
        </w:rPr>
        <w:t xml:space="preserve">, </w:t>
      </w:r>
      <w:r w:rsidR="002A04BC" w:rsidRPr="005F3E50">
        <w:rPr>
          <w:rFonts w:ascii="Times New Roman" w:hAnsi="Times New Roman" w:cs="Times New Roman"/>
        </w:rPr>
        <w:t>or the customer’s authorised representative</w:t>
      </w:r>
      <w:r w:rsidR="0078101E">
        <w:rPr>
          <w:rFonts w:ascii="Times New Roman" w:hAnsi="Times New Roman" w:cs="Times New Roman"/>
        </w:rPr>
        <w:t>,</w:t>
      </w:r>
      <w:r w:rsidR="002A04BC" w:rsidRPr="005F3E50">
        <w:rPr>
          <w:rFonts w:ascii="Times New Roman" w:hAnsi="Times New Roman" w:cs="Times New Roman"/>
        </w:rPr>
        <w:t xml:space="preserve"> </w:t>
      </w:r>
      <w:r w:rsidR="00DD5F60" w:rsidRPr="005F3E50">
        <w:rPr>
          <w:rFonts w:ascii="Times New Roman" w:hAnsi="Times New Roman" w:cs="Times New Roman"/>
        </w:rPr>
        <w:t>for that service</w:t>
      </w:r>
      <w:r w:rsidR="006D426F" w:rsidRPr="005F3E50">
        <w:rPr>
          <w:rFonts w:ascii="Times New Roman" w:hAnsi="Times New Roman" w:cs="Times New Roman"/>
        </w:rPr>
        <w:t>.</w:t>
      </w:r>
    </w:p>
    <w:p w14:paraId="11387F5F" w14:textId="4B5B24F7" w:rsidR="00DD5F60" w:rsidRPr="005F3E50" w:rsidRDefault="00DD5F60" w:rsidP="00B44D1A">
      <w:pPr>
        <w:rPr>
          <w:rFonts w:ascii="Times New Roman" w:hAnsi="Times New Roman" w:cs="Times New Roman"/>
        </w:rPr>
      </w:pPr>
      <w:r w:rsidRPr="005F3E50">
        <w:rPr>
          <w:rFonts w:ascii="Times New Roman" w:hAnsi="Times New Roman" w:cs="Times New Roman"/>
        </w:rPr>
        <w:t xml:space="preserve">Subsection </w:t>
      </w:r>
      <w:r w:rsidR="0060616E" w:rsidRPr="005F3E50">
        <w:rPr>
          <w:rFonts w:ascii="Times New Roman" w:hAnsi="Times New Roman" w:cs="Times New Roman"/>
        </w:rPr>
        <w:t>11</w:t>
      </w:r>
      <w:r w:rsidRPr="005F3E50">
        <w:rPr>
          <w:rFonts w:ascii="Times New Roman" w:hAnsi="Times New Roman" w:cs="Times New Roman"/>
        </w:rPr>
        <w:t xml:space="preserve">(3) </w:t>
      </w:r>
      <w:r w:rsidR="00D80E25" w:rsidRPr="005F3E50">
        <w:rPr>
          <w:rFonts w:ascii="Times New Roman" w:hAnsi="Times New Roman" w:cs="Times New Roman"/>
        </w:rPr>
        <w:t xml:space="preserve">requires </w:t>
      </w:r>
      <w:r w:rsidR="00697E9A">
        <w:rPr>
          <w:rFonts w:ascii="Times New Roman" w:hAnsi="Times New Roman" w:cs="Times New Roman"/>
        </w:rPr>
        <w:t>that a</w:t>
      </w:r>
      <w:r w:rsidR="00697E9A" w:rsidRPr="005F3E50">
        <w:rPr>
          <w:rFonts w:ascii="Times New Roman" w:hAnsi="Times New Roman" w:cs="Times New Roman"/>
        </w:rPr>
        <w:t xml:space="preserve"> </w:t>
      </w:r>
      <w:r w:rsidR="00D80E25" w:rsidRPr="005F3E50">
        <w:rPr>
          <w:rFonts w:ascii="Times New Roman" w:hAnsi="Times New Roman" w:cs="Times New Roman"/>
        </w:rPr>
        <w:t>carriage service provider who complete</w:t>
      </w:r>
      <w:r w:rsidR="009B0677" w:rsidRPr="005F3E50">
        <w:rPr>
          <w:rFonts w:ascii="Times New Roman" w:hAnsi="Times New Roman" w:cs="Times New Roman"/>
        </w:rPr>
        <w:t>s</w:t>
      </w:r>
      <w:r w:rsidR="00D80E25" w:rsidRPr="005F3E50">
        <w:rPr>
          <w:rFonts w:ascii="Times New Roman" w:hAnsi="Times New Roman" w:cs="Times New Roman"/>
        </w:rPr>
        <w:t xml:space="preserve"> </w:t>
      </w:r>
      <w:r w:rsidR="009B0677" w:rsidRPr="005F3E50">
        <w:rPr>
          <w:rFonts w:ascii="Times New Roman" w:hAnsi="Times New Roman" w:cs="Times New Roman"/>
        </w:rPr>
        <w:t xml:space="preserve">a </w:t>
      </w:r>
      <w:r w:rsidR="00D80E25" w:rsidRPr="005F3E50">
        <w:rPr>
          <w:rFonts w:ascii="Times New Roman" w:hAnsi="Times New Roman" w:cs="Times New Roman"/>
        </w:rPr>
        <w:t>high</w:t>
      </w:r>
      <w:r w:rsidR="009B0677" w:rsidRPr="005F3E50">
        <w:rPr>
          <w:rFonts w:ascii="Times New Roman" w:hAnsi="Times New Roman" w:cs="Times New Roman"/>
        </w:rPr>
        <w:t>-</w:t>
      </w:r>
      <w:r w:rsidR="00D80E25" w:rsidRPr="005F3E50">
        <w:rPr>
          <w:rFonts w:ascii="Times New Roman" w:hAnsi="Times New Roman" w:cs="Times New Roman"/>
        </w:rPr>
        <w:t xml:space="preserve">risk customer interaction under section </w:t>
      </w:r>
      <w:r w:rsidR="005A037B">
        <w:rPr>
          <w:rFonts w:ascii="Times New Roman" w:hAnsi="Times New Roman" w:cs="Times New Roman"/>
        </w:rPr>
        <w:t xml:space="preserve">11 </w:t>
      </w:r>
      <w:r w:rsidR="00697E9A">
        <w:rPr>
          <w:rFonts w:ascii="Times New Roman" w:hAnsi="Times New Roman" w:cs="Times New Roman"/>
        </w:rPr>
        <w:t>must</w:t>
      </w:r>
      <w:r w:rsidR="00697E9A" w:rsidRPr="005F3E50">
        <w:rPr>
          <w:rFonts w:ascii="Times New Roman" w:hAnsi="Times New Roman" w:cs="Times New Roman"/>
        </w:rPr>
        <w:t xml:space="preserve"> </w:t>
      </w:r>
      <w:r w:rsidR="00D80E25" w:rsidRPr="005F3E50">
        <w:rPr>
          <w:rFonts w:ascii="Times New Roman" w:hAnsi="Times New Roman" w:cs="Times New Roman"/>
        </w:rPr>
        <w:t>record details of the interaction</w:t>
      </w:r>
      <w:r w:rsidR="000B06B4">
        <w:rPr>
          <w:rFonts w:ascii="Times New Roman" w:hAnsi="Times New Roman" w:cs="Times New Roman"/>
        </w:rPr>
        <w:t xml:space="preserve">, including </w:t>
      </w:r>
      <w:r w:rsidR="00D80E25" w:rsidRPr="005F3E50">
        <w:rPr>
          <w:rFonts w:ascii="Times New Roman" w:hAnsi="Times New Roman" w:cs="Times New Roman"/>
        </w:rPr>
        <w:t xml:space="preserve">the identity </w:t>
      </w:r>
      <w:r w:rsidR="0060616E" w:rsidRPr="005F3E50">
        <w:rPr>
          <w:rFonts w:ascii="Times New Roman" w:hAnsi="Times New Roman" w:cs="Times New Roman"/>
        </w:rPr>
        <w:t xml:space="preserve">authentication </w:t>
      </w:r>
      <w:r w:rsidR="00D80E25" w:rsidRPr="005F3E50">
        <w:rPr>
          <w:rFonts w:ascii="Times New Roman" w:hAnsi="Times New Roman" w:cs="Times New Roman"/>
        </w:rPr>
        <w:t>process the carriage service provider used to confirm that the requesting person was the customer</w:t>
      </w:r>
      <w:r w:rsidR="008C58AF" w:rsidRPr="005F3E50">
        <w:rPr>
          <w:rFonts w:ascii="Times New Roman" w:hAnsi="Times New Roman" w:cs="Times New Roman"/>
        </w:rPr>
        <w:t xml:space="preserve">, </w:t>
      </w:r>
      <w:r w:rsidR="0060616E" w:rsidRPr="005F3E50">
        <w:rPr>
          <w:rFonts w:ascii="Times New Roman" w:hAnsi="Times New Roman" w:cs="Times New Roman"/>
        </w:rPr>
        <w:t>or their authorised representative</w:t>
      </w:r>
      <w:r w:rsidR="005A037B">
        <w:rPr>
          <w:rFonts w:ascii="Times New Roman" w:hAnsi="Times New Roman" w:cs="Times New Roman"/>
        </w:rPr>
        <w:t>,</w:t>
      </w:r>
      <w:r w:rsidR="00D80E25" w:rsidRPr="005F3E50">
        <w:rPr>
          <w:rFonts w:ascii="Times New Roman" w:hAnsi="Times New Roman" w:cs="Times New Roman"/>
        </w:rPr>
        <w:t xml:space="preserve"> for the telecommunications service; the basis on which the provider reasonably believed that the requesting person was a </w:t>
      </w:r>
      <w:r w:rsidR="008C58AF" w:rsidRPr="005F3E50">
        <w:rPr>
          <w:rFonts w:ascii="Times New Roman" w:hAnsi="Times New Roman" w:cs="Times New Roman"/>
        </w:rPr>
        <w:t xml:space="preserve">person </w:t>
      </w:r>
      <w:r w:rsidR="00D80E25" w:rsidRPr="005F3E50">
        <w:rPr>
          <w:rFonts w:ascii="Times New Roman" w:hAnsi="Times New Roman" w:cs="Times New Roman"/>
        </w:rPr>
        <w:t xml:space="preserve">in vulnerable circumstances; and any material or supporting evidence that was provided by the requesting person. </w:t>
      </w:r>
    </w:p>
    <w:p w14:paraId="40ECAB98" w14:textId="6A226DB0" w:rsidR="008C58AF" w:rsidRPr="00BE0C59" w:rsidRDefault="008C58AF" w:rsidP="008C58AF">
      <w:pPr>
        <w:rPr>
          <w:rFonts w:ascii="Times New Roman" w:hAnsi="Times New Roman" w:cs="Times New Roman"/>
          <w:color w:val="000000"/>
        </w:rPr>
      </w:pPr>
      <w:r w:rsidRPr="005F3E50">
        <w:rPr>
          <w:rFonts w:ascii="Times New Roman" w:hAnsi="Times New Roman" w:cs="Times New Roman"/>
          <w:color w:val="000000"/>
        </w:rPr>
        <w:t xml:space="preserve">Subsection 11(4) requires a carriage service provider </w:t>
      </w:r>
      <w:r w:rsidR="00350FDF" w:rsidRPr="005F3E50">
        <w:rPr>
          <w:rFonts w:ascii="Times New Roman" w:hAnsi="Times New Roman" w:cs="Times New Roman"/>
          <w:color w:val="000000"/>
        </w:rPr>
        <w:t xml:space="preserve">to send customers or their authorised representatives (the </w:t>
      </w:r>
      <w:r w:rsidR="00350FDF" w:rsidRPr="006E13FE">
        <w:rPr>
          <w:rFonts w:ascii="Times New Roman" w:hAnsi="Times New Roman" w:cs="Times New Roman"/>
          <w:b/>
          <w:bCs/>
          <w:color w:val="000000"/>
        </w:rPr>
        <w:t>relevant person</w:t>
      </w:r>
      <w:r w:rsidR="00350FDF" w:rsidRPr="005F3E50">
        <w:rPr>
          <w:rFonts w:ascii="Times New Roman" w:hAnsi="Times New Roman" w:cs="Times New Roman"/>
          <w:color w:val="000000"/>
        </w:rPr>
        <w:t xml:space="preserve">) </w:t>
      </w:r>
      <w:r w:rsidRPr="005F3E50">
        <w:rPr>
          <w:rFonts w:ascii="Times New Roman" w:hAnsi="Times New Roman" w:cs="Times New Roman"/>
          <w:color w:val="000000"/>
        </w:rPr>
        <w:t>a notification immediately after it has confirmed that the requesting person is the customer for the service either prior to or immediately after undertaking the first high</w:t>
      </w:r>
      <w:r w:rsidR="00EC7A45">
        <w:rPr>
          <w:rFonts w:ascii="Times New Roman" w:hAnsi="Times New Roman" w:cs="Times New Roman"/>
          <w:color w:val="000000"/>
        </w:rPr>
        <w:t>-</w:t>
      </w:r>
      <w:r w:rsidRPr="005F3E50">
        <w:rPr>
          <w:rFonts w:ascii="Times New Roman" w:hAnsi="Times New Roman" w:cs="Times New Roman"/>
          <w:color w:val="000000"/>
        </w:rPr>
        <w:t xml:space="preserve">risk transaction, informing the customer that a high-risk customer transaction has been initiated; and what the relevant person can do if they did not authorise the interaction. The notification may be sent by SMS message, email, in-app </w:t>
      </w:r>
      <w:r w:rsidRPr="00BE0C59">
        <w:rPr>
          <w:rFonts w:ascii="Times New Roman" w:hAnsi="Times New Roman" w:cs="Times New Roman"/>
          <w:color w:val="000000"/>
        </w:rPr>
        <w:t xml:space="preserve">message or to some other device or account which has been validated by the customer. Subsection 11(5) provides that </w:t>
      </w:r>
      <w:r w:rsidR="001D70C6" w:rsidRPr="00BE0C59">
        <w:rPr>
          <w:rFonts w:ascii="Times New Roman" w:hAnsi="Times New Roman" w:cs="Times New Roman"/>
          <w:color w:val="000000"/>
        </w:rPr>
        <w:t>subsection 11(4)</w:t>
      </w:r>
      <w:r w:rsidR="00FF02E2" w:rsidRPr="00BE0C59">
        <w:rPr>
          <w:rFonts w:ascii="Times New Roman" w:hAnsi="Times New Roman" w:cs="Times New Roman"/>
          <w:color w:val="000000"/>
        </w:rPr>
        <w:t xml:space="preserve"> </w:t>
      </w:r>
      <w:r w:rsidRPr="00BE0C59">
        <w:rPr>
          <w:rFonts w:ascii="Times New Roman" w:hAnsi="Times New Roman" w:cs="Times New Roman"/>
          <w:color w:val="000000"/>
        </w:rPr>
        <w:t>does not apply where there is no mobile service number, validated email address, validated mobile application or some other validated device or account associated with the customer’s account.</w:t>
      </w:r>
    </w:p>
    <w:p w14:paraId="6C797393" w14:textId="02A5E223" w:rsidR="008C58AF" w:rsidRPr="00BE0C59" w:rsidRDefault="008C58AF" w:rsidP="008C58AF">
      <w:pPr>
        <w:rPr>
          <w:rFonts w:ascii="Times New Roman" w:hAnsi="Times New Roman" w:cs="Times New Roman"/>
          <w:color w:val="000000"/>
        </w:rPr>
      </w:pPr>
      <w:r w:rsidRPr="00BE0C59">
        <w:rPr>
          <w:rFonts w:ascii="Times New Roman" w:hAnsi="Times New Roman" w:cs="Times New Roman"/>
          <w:color w:val="000000"/>
        </w:rPr>
        <w:t xml:space="preserve">Subsection </w:t>
      </w:r>
      <w:r w:rsidR="00DB7B03" w:rsidRPr="00BE0C59">
        <w:rPr>
          <w:rFonts w:ascii="Times New Roman" w:hAnsi="Times New Roman" w:cs="Times New Roman"/>
          <w:color w:val="000000"/>
        </w:rPr>
        <w:t>11(</w:t>
      </w:r>
      <w:r w:rsidRPr="00BE0C59">
        <w:rPr>
          <w:rFonts w:ascii="Times New Roman" w:hAnsi="Times New Roman" w:cs="Times New Roman"/>
          <w:color w:val="000000"/>
        </w:rPr>
        <w:t>6</w:t>
      </w:r>
      <w:r w:rsidR="00DB7B03" w:rsidRPr="00BE0C59">
        <w:rPr>
          <w:rFonts w:ascii="Times New Roman" w:hAnsi="Times New Roman" w:cs="Times New Roman"/>
          <w:color w:val="000000"/>
        </w:rPr>
        <w:t>)</w:t>
      </w:r>
      <w:r w:rsidRPr="00BE0C59">
        <w:rPr>
          <w:rFonts w:ascii="Times New Roman" w:hAnsi="Times New Roman" w:cs="Times New Roman"/>
          <w:color w:val="000000"/>
        </w:rPr>
        <w:t xml:space="preserve"> provides that </w:t>
      </w:r>
      <w:r w:rsidR="000B5956">
        <w:rPr>
          <w:rFonts w:ascii="Times New Roman" w:hAnsi="Times New Roman" w:cs="Times New Roman"/>
          <w:color w:val="000000"/>
        </w:rPr>
        <w:t xml:space="preserve">the </w:t>
      </w:r>
      <w:r w:rsidRPr="00BE0C59">
        <w:rPr>
          <w:rFonts w:ascii="Times New Roman" w:hAnsi="Times New Roman" w:cs="Times New Roman"/>
          <w:color w:val="000000"/>
        </w:rPr>
        <w:t xml:space="preserve">requirement in subsection </w:t>
      </w:r>
      <w:r w:rsidR="00566836" w:rsidRPr="00BE0C59">
        <w:rPr>
          <w:rFonts w:ascii="Times New Roman" w:hAnsi="Times New Roman" w:cs="Times New Roman"/>
          <w:color w:val="000000"/>
        </w:rPr>
        <w:t>11</w:t>
      </w:r>
      <w:r w:rsidRPr="00BE0C59">
        <w:rPr>
          <w:rFonts w:ascii="Times New Roman" w:hAnsi="Times New Roman" w:cs="Times New Roman"/>
          <w:color w:val="000000"/>
        </w:rPr>
        <w:t xml:space="preserve">(4) does not apply where the carriage service provider has reasonable grounds to believe that the customer is affected by domestic </w:t>
      </w:r>
      <w:r w:rsidR="00833935" w:rsidRPr="00BE0C59">
        <w:rPr>
          <w:rFonts w:ascii="Times New Roman" w:hAnsi="Times New Roman" w:cs="Times New Roman"/>
          <w:color w:val="000000"/>
        </w:rPr>
        <w:t xml:space="preserve">or </w:t>
      </w:r>
      <w:r w:rsidRPr="00BE0C59">
        <w:rPr>
          <w:rFonts w:ascii="Times New Roman" w:hAnsi="Times New Roman" w:cs="Times New Roman"/>
          <w:color w:val="000000"/>
        </w:rPr>
        <w:t>family violence; and the customer has requested that the notification not be sent.</w:t>
      </w:r>
    </w:p>
    <w:p w14:paraId="622FF68A" w14:textId="30E11A5A" w:rsidR="008C58AF" w:rsidRPr="00B7068D" w:rsidRDefault="008C58AF" w:rsidP="008C58AF">
      <w:pPr>
        <w:rPr>
          <w:rFonts w:ascii="Times New Roman" w:hAnsi="Times New Roman" w:cs="Times New Roman"/>
        </w:rPr>
      </w:pPr>
      <w:r w:rsidRPr="00BE0C59">
        <w:rPr>
          <w:rFonts w:ascii="Times New Roman" w:hAnsi="Times New Roman" w:cs="Times New Roman"/>
        </w:rPr>
        <w:t>Subsection 11(7) provides</w:t>
      </w:r>
      <w:r w:rsidR="004F7DE7" w:rsidRPr="00BE0C59">
        <w:rPr>
          <w:rFonts w:ascii="Times New Roman" w:hAnsi="Times New Roman" w:cs="Times New Roman"/>
        </w:rPr>
        <w:t xml:space="preserve"> </w:t>
      </w:r>
      <w:r w:rsidR="009838C0" w:rsidRPr="00BE0C59">
        <w:rPr>
          <w:rFonts w:ascii="Times New Roman" w:hAnsi="Times New Roman" w:cs="Times New Roman"/>
        </w:rPr>
        <w:t>that if the relevant person takes the specified actions at paragraph 1</w:t>
      </w:r>
      <w:r w:rsidR="004F7DE7" w:rsidRPr="00BE0C59">
        <w:rPr>
          <w:rFonts w:ascii="Times New Roman" w:hAnsi="Times New Roman" w:cs="Times New Roman"/>
        </w:rPr>
        <w:t>1</w:t>
      </w:r>
      <w:r w:rsidR="009838C0" w:rsidRPr="00BE0C59">
        <w:rPr>
          <w:rFonts w:ascii="Times New Roman" w:hAnsi="Times New Roman" w:cs="Times New Roman"/>
        </w:rPr>
        <w:t>(</w:t>
      </w:r>
      <w:r w:rsidR="004F7DE7" w:rsidRPr="00BE0C59">
        <w:rPr>
          <w:rFonts w:ascii="Times New Roman" w:hAnsi="Times New Roman" w:cs="Times New Roman"/>
        </w:rPr>
        <w:t>4</w:t>
      </w:r>
      <w:r w:rsidR="009838C0" w:rsidRPr="00BE0C59">
        <w:rPr>
          <w:rFonts w:ascii="Times New Roman" w:hAnsi="Times New Roman" w:cs="Times New Roman"/>
        </w:rPr>
        <w:t>)(f)</w:t>
      </w:r>
      <w:r w:rsidR="009838C0">
        <w:rPr>
          <w:rFonts w:ascii="Times New Roman" w:hAnsi="Times New Roman" w:cs="Times New Roman"/>
        </w:rPr>
        <w:t xml:space="preserve"> and one or more high-risk customer transactions have been completed, the </w:t>
      </w:r>
      <w:r w:rsidR="009838C0" w:rsidRPr="005F3E50">
        <w:rPr>
          <w:rFonts w:ascii="Times New Roman" w:hAnsi="Times New Roman" w:cs="Times New Roman"/>
        </w:rPr>
        <w:t xml:space="preserve">carriage service provider </w:t>
      </w:r>
      <w:r w:rsidR="009838C0">
        <w:rPr>
          <w:rFonts w:ascii="Times New Roman" w:hAnsi="Times New Roman" w:cs="Times New Roman"/>
        </w:rPr>
        <w:t>must</w:t>
      </w:r>
      <w:r w:rsidR="009838C0" w:rsidRPr="005F3E50">
        <w:rPr>
          <w:rFonts w:ascii="Times New Roman" w:hAnsi="Times New Roman" w:cs="Times New Roman"/>
        </w:rPr>
        <w:t xml:space="preserve"> take steps to reverse or remediate </w:t>
      </w:r>
      <w:r w:rsidR="009838C0">
        <w:rPr>
          <w:rFonts w:ascii="Times New Roman" w:hAnsi="Times New Roman" w:cs="Times New Roman"/>
        </w:rPr>
        <w:t>any completed transaction.</w:t>
      </w:r>
      <w:r w:rsidR="009F6127">
        <w:rPr>
          <w:rFonts w:ascii="Times New Roman" w:hAnsi="Times New Roman" w:cs="Times New Roman"/>
        </w:rPr>
        <w:t xml:space="preserve"> </w:t>
      </w:r>
      <w:r w:rsidR="000B5956">
        <w:rPr>
          <w:rFonts w:ascii="Times New Roman" w:hAnsi="Times New Roman" w:cs="Times New Roman"/>
        </w:rPr>
        <w:t>I</w:t>
      </w:r>
      <w:r w:rsidR="009838C0">
        <w:rPr>
          <w:rFonts w:ascii="Times New Roman" w:hAnsi="Times New Roman" w:cs="Times New Roman"/>
        </w:rPr>
        <w:t xml:space="preserve">f the high-risk customer transaction has not been undertaken, the carriage service provider must </w:t>
      </w:r>
      <w:r w:rsidR="009838C0" w:rsidRPr="005F3E50">
        <w:rPr>
          <w:rFonts w:ascii="Times New Roman" w:hAnsi="Times New Roman" w:cs="Times New Roman"/>
        </w:rPr>
        <w:t>not undertake the interaction</w:t>
      </w:r>
      <w:r w:rsidR="009838C0">
        <w:rPr>
          <w:rFonts w:ascii="Times New Roman" w:hAnsi="Times New Roman" w:cs="Times New Roman"/>
        </w:rPr>
        <w:t>.  In each case, the carriage service provider must notify the relevant person of the steps taken to reverse or remediate</w:t>
      </w:r>
      <w:r w:rsidR="000B5956">
        <w:rPr>
          <w:rFonts w:ascii="Times New Roman" w:hAnsi="Times New Roman" w:cs="Times New Roman"/>
        </w:rPr>
        <w:t>,</w:t>
      </w:r>
      <w:r w:rsidR="009838C0">
        <w:rPr>
          <w:rFonts w:ascii="Times New Roman" w:hAnsi="Times New Roman" w:cs="Times New Roman"/>
        </w:rPr>
        <w:t xml:space="preserve"> or that the transaction has not been </w:t>
      </w:r>
      <w:proofErr w:type="gramStart"/>
      <w:r w:rsidR="009838C0">
        <w:rPr>
          <w:rFonts w:ascii="Times New Roman" w:hAnsi="Times New Roman" w:cs="Times New Roman"/>
        </w:rPr>
        <w:t>undertaken, as the case may be</w:t>
      </w:r>
      <w:proofErr w:type="gramEnd"/>
      <w:r w:rsidR="009838C0">
        <w:rPr>
          <w:rFonts w:ascii="Times New Roman" w:hAnsi="Times New Roman" w:cs="Times New Roman"/>
        </w:rPr>
        <w:t>.  The carriage service provider must also notify the relevant person of what they can do to protect the customer’s account.</w:t>
      </w:r>
    </w:p>
    <w:p w14:paraId="7D3EE16F" w14:textId="15F2C19D" w:rsidR="004A0C8D" w:rsidRPr="00850627" w:rsidRDefault="004A0C8D" w:rsidP="004A0C8D">
      <w:pPr>
        <w:rPr>
          <w:rFonts w:ascii="Times New Roman" w:hAnsi="Times New Roman" w:cs="Times New Roman"/>
          <w:b/>
        </w:rPr>
      </w:pPr>
      <w:r w:rsidRPr="00850627">
        <w:rPr>
          <w:rFonts w:ascii="Times New Roman" w:hAnsi="Times New Roman" w:cs="Times New Roman"/>
          <w:b/>
        </w:rPr>
        <w:t xml:space="preserve">Part </w:t>
      </w:r>
      <w:r w:rsidR="00B372A3" w:rsidRPr="00850627">
        <w:rPr>
          <w:rFonts w:ascii="Times New Roman" w:hAnsi="Times New Roman" w:cs="Times New Roman"/>
          <w:b/>
        </w:rPr>
        <w:t>3</w:t>
      </w:r>
      <w:r w:rsidR="00DE4376" w:rsidRPr="00850627">
        <w:rPr>
          <w:rFonts w:ascii="Times New Roman" w:hAnsi="Times New Roman" w:cs="Times New Roman"/>
          <w:b/>
        </w:rPr>
        <w:t xml:space="preserve"> </w:t>
      </w:r>
      <w:r w:rsidRPr="00850627">
        <w:rPr>
          <w:rFonts w:ascii="Times New Roman" w:hAnsi="Times New Roman" w:cs="Times New Roman"/>
          <w:b/>
        </w:rPr>
        <w:t xml:space="preserve">– </w:t>
      </w:r>
      <w:r w:rsidR="00B372A3" w:rsidRPr="00850627">
        <w:rPr>
          <w:rFonts w:ascii="Times New Roman" w:hAnsi="Times New Roman" w:cs="Times New Roman"/>
          <w:b/>
          <w:bCs/>
        </w:rPr>
        <w:t>Requirements for unlisted authorised representatives</w:t>
      </w:r>
      <w:r w:rsidRPr="00850627" w:rsidDel="006245FE">
        <w:rPr>
          <w:rFonts w:ascii="Times New Roman" w:hAnsi="Times New Roman" w:cs="Times New Roman"/>
          <w:b/>
          <w:bCs/>
        </w:rPr>
        <w:t xml:space="preserve"> </w:t>
      </w:r>
    </w:p>
    <w:p w14:paraId="23AC827D" w14:textId="6426DBB5" w:rsidR="004A0C8D" w:rsidRPr="00850627" w:rsidRDefault="004A0C8D" w:rsidP="004A0C8D">
      <w:pPr>
        <w:keepNext/>
        <w:spacing w:line="257" w:lineRule="auto"/>
        <w:ind w:left="1418" w:hanging="1418"/>
        <w:rPr>
          <w:rFonts w:ascii="Times New Roman" w:hAnsi="Times New Roman" w:cs="Times New Roman"/>
          <w:b/>
          <w:bCs/>
        </w:rPr>
      </w:pPr>
      <w:r w:rsidRPr="00850627">
        <w:rPr>
          <w:rFonts w:ascii="Times New Roman" w:hAnsi="Times New Roman" w:cs="Times New Roman"/>
          <w:b/>
          <w:bCs/>
        </w:rPr>
        <w:t>Section 12</w:t>
      </w:r>
      <w:r w:rsidRPr="00850627">
        <w:rPr>
          <w:rFonts w:ascii="Times New Roman" w:hAnsi="Times New Roman" w:cs="Times New Roman"/>
          <w:b/>
          <w:bCs/>
        </w:rPr>
        <w:tab/>
      </w:r>
      <w:r w:rsidRPr="00850627">
        <w:rPr>
          <w:rFonts w:ascii="Times New Roman" w:hAnsi="Times New Roman" w:cs="Times New Roman"/>
          <w:b/>
        </w:rPr>
        <w:t>Requirements where an unlisted authorised representative initiates a high-risk customer interaction</w:t>
      </w:r>
    </w:p>
    <w:p w14:paraId="5BADD093" w14:textId="34CF473B" w:rsidR="004A0C8D" w:rsidRPr="005F3E50" w:rsidRDefault="00EB41BA" w:rsidP="002B7249">
      <w:pPr>
        <w:rPr>
          <w:rFonts w:ascii="Times New Roman" w:hAnsi="Times New Roman" w:cs="Times New Roman"/>
        </w:rPr>
      </w:pPr>
      <w:r w:rsidRPr="005F3E50">
        <w:rPr>
          <w:rFonts w:ascii="Times New Roman" w:hAnsi="Times New Roman" w:cs="Times New Roman"/>
        </w:rPr>
        <w:t xml:space="preserve">Section 12 </w:t>
      </w:r>
      <w:r w:rsidR="00F56B3D">
        <w:rPr>
          <w:rFonts w:ascii="Times New Roman" w:hAnsi="Times New Roman" w:cs="Times New Roman"/>
        </w:rPr>
        <w:t>sets out the requirements</w:t>
      </w:r>
      <w:r w:rsidR="002B1124">
        <w:rPr>
          <w:rFonts w:ascii="Times New Roman" w:hAnsi="Times New Roman" w:cs="Times New Roman"/>
        </w:rPr>
        <w:t xml:space="preserve"> when an </w:t>
      </w:r>
      <w:r w:rsidRPr="005F3E50">
        <w:rPr>
          <w:rFonts w:ascii="Times New Roman" w:hAnsi="Times New Roman" w:cs="Times New Roman"/>
        </w:rPr>
        <w:t>unlisted authorised repres</w:t>
      </w:r>
      <w:r w:rsidR="001D22F5" w:rsidRPr="005F3E50">
        <w:rPr>
          <w:rFonts w:ascii="Times New Roman" w:hAnsi="Times New Roman" w:cs="Times New Roman"/>
        </w:rPr>
        <w:t>e</w:t>
      </w:r>
      <w:r w:rsidRPr="005F3E50">
        <w:rPr>
          <w:rFonts w:ascii="Times New Roman" w:hAnsi="Times New Roman" w:cs="Times New Roman"/>
        </w:rPr>
        <w:t>nt</w:t>
      </w:r>
      <w:r w:rsidR="001D22F5" w:rsidRPr="005F3E50">
        <w:rPr>
          <w:rFonts w:ascii="Times New Roman" w:hAnsi="Times New Roman" w:cs="Times New Roman"/>
        </w:rPr>
        <w:t>at</w:t>
      </w:r>
      <w:r w:rsidRPr="005F3E50">
        <w:rPr>
          <w:rFonts w:ascii="Times New Roman" w:hAnsi="Times New Roman" w:cs="Times New Roman"/>
        </w:rPr>
        <w:t xml:space="preserve">ive </w:t>
      </w:r>
      <w:r w:rsidR="002B1124">
        <w:rPr>
          <w:rFonts w:ascii="Times New Roman" w:hAnsi="Times New Roman" w:cs="Times New Roman"/>
        </w:rPr>
        <w:t xml:space="preserve">is </w:t>
      </w:r>
      <w:r w:rsidRPr="005F3E50">
        <w:rPr>
          <w:rFonts w:ascii="Times New Roman" w:hAnsi="Times New Roman" w:cs="Times New Roman"/>
        </w:rPr>
        <w:t xml:space="preserve">acting on behalf of a customer. </w:t>
      </w:r>
    </w:p>
    <w:p w14:paraId="361DFDFC" w14:textId="203F2FA4" w:rsidR="004A0C8D" w:rsidRPr="005F3E50" w:rsidRDefault="000C5399" w:rsidP="002B7249">
      <w:pPr>
        <w:rPr>
          <w:rFonts w:ascii="Times New Roman" w:hAnsi="Times New Roman" w:cs="Times New Roman"/>
          <w:color w:val="000000"/>
        </w:rPr>
      </w:pPr>
      <w:r w:rsidRPr="005F3E50">
        <w:rPr>
          <w:rFonts w:ascii="Times New Roman" w:hAnsi="Times New Roman" w:cs="Times New Roman"/>
          <w:color w:val="000000"/>
        </w:rPr>
        <w:t xml:space="preserve">Subsection </w:t>
      </w:r>
      <w:r w:rsidR="002E5234" w:rsidRPr="005F3E50">
        <w:rPr>
          <w:rFonts w:ascii="Times New Roman" w:hAnsi="Times New Roman" w:cs="Times New Roman"/>
          <w:color w:val="000000"/>
        </w:rPr>
        <w:t>12(</w:t>
      </w:r>
      <w:r w:rsidRPr="005F3E50">
        <w:rPr>
          <w:rFonts w:ascii="Times New Roman" w:hAnsi="Times New Roman" w:cs="Times New Roman"/>
          <w:color w:val="000000"/>
        </w:rPr>
        <w:t>2</w:t>
      </w:r>
      <w:r w:rsidR="002E5234" w:rsidRPr="005F3E50">
        <w:rPr>
          <w:rFonts w:ascii="Times New Roman" w:hAnsi="Times New Roman" w:cs="Times New Roman"/>
          <w:color w:val="000000"/>
        </w:rPr>
        <w:t>)</w:t>
      </w:r>
      <w:r w:rsidRPr="005F3E50">
        <w:rPr>
          <w:rFonts w:ascii="Times New Roman" w:hAnsi="Times New Roman" w:cs="Times New Roman"/>
          <w:color w:val="000000"/>
        </w:rPr>
        <w:t xml:space="preserve"> provides that </w:t>
      </w:r>
      <w:r w:rsidR="008209E1" w:rsidRPr="005F3E50">
        <w:rPr>
          <w:rFonts w:ascii="Times New Roman" w:hAnsi="Times New Roman" w:cs="Times New Roman"/>
          <w:color w:val="000000"/>
        </w:rPr>
        <w:t>prior to</w:t>
      </w:r>
      <w:r w:rsidRPr="005F3E50">
        <w:rPr>
          <w:rFonts w:ascii="Times New Roman" w:hAnsi="Times New Roman" w:cs="Times New Roman"/>
          <w:color w:val="000000"/>
        </w:rPr>
        <w:t xml:space="preserve"> undertaking the first high-risk customer transaction </w:t>
      </w:r>
      <w:proofErr w:type="gramStart"/>
      <w:r w:rsidRPr="005F3E50">
        <w:rPr>
          <w:rFonts w:ascii="Times New Roman" w:hAnsi="Times New Roman" w:cs="Times New Roman"/>
          <w:color w:val="000000"/>
        </w:rPr>
        <w:t>in the course of</w:t>
      </w:r>
      <w:proofErr w:type="gramEnd"/>
      <w:r w:rsidRPr="005F3E50">
        <w:rPr>
          <w:rFonts w:ascii="Times New Roman" w:hAnsi="Times New Roman" w:cs="Times New Roman"/>
          <w:color w:val="000000"/>
        </w:rPr>
        <w:t xml:space="preserve"> a high-risk customer interaction, an</w:t>
      </w:r>
      <w:r w:rsidRPr="005F3E50">
        <w:rPr>
          <w:rFonts w:ascii="Times New Roman" w:hAnsi="Times New Roman" w:cs="Times New Roman"/>
        </w:rPr>
        <w:t xml:space="preserve"> employee or agent of the carriage service provider for the telecommunications service</w:t>
      </w:r>
      <w:r w:rsidR="002F7D63" w:rsidRPr="005F3E50">
        <w:rPr>
          <w:rFonts w:ascii="Times New Roman" w:hAnsi="Times New Roman" w:cs="Times New Roman"/>
          <w:color w:val="000000"/>
        </w:rPr>
        <w:t xml:space="preserve"> </w:t>
      </w:r>
      <w:r w:rsidRPr="005F3E50">
        <w:rPr>
          <w:rFonts w:ascii="Times New Roman" w:hAnsi="Times New Roman" w:cs="Times New Roman"/>
          <w:color w:val="000000"/>
        </w:rPr>
        <w:t>who has completed fraud mitigation training</w:t>
      </w:r>
      <w:r w:rsidR="002444FA">
        <w:rPr>
          <w:rFonts w:ascii="Times New Roman" w:hAnsi="Times New Roman" w:cs="Times New Roman"/>
          <w:color w:val="000000"/>
        </w:rPr>
        <w:t>,</w:t>
      </w:r>
      <w:r w:rsidRPr="005F3E50">
        <w:rPr>
          <w:rFonts w:ascii="Times New Roman" w:hAnsi="Times New Roman" w:cs="Times New Roman"/>
          <w:color w:val="000000"/>
        </w:rPr>
        <w:t xml:space="preserve"> must be satisfied that the requesting person is an unlisted authorised representative on the basis of documentary evidence provided by the requesting person. Documentary evidence may include</w:t>
      </w:r>
      <w:r w:rsidR="00097DA6">
        <w:rPr>
          <w:rFonts w:ascii="Times New Roman" w:hAnsi="Times New Roman" w:cs="Times New Roman"/>
          <w:color w:val="000000"/>
        </w:rPr>
        <w:t>, for example, an</w:t>
      </w:r>
      <w:r w:rsidRPr="005F3E50">
        <w:rPr>
          <w:rFonts w:ascii="Times New Roman" w:hAnsi="Times New Roman" w:cs="Times New Roman"/>
          <w:color w:val="000000"/>
        </w:rPr>
        <w:t xml:space="preserve"> enduring power of attorney or a financial management order.</w:t>
      </w:r>
    </w:p>
    <w:p w14:paraId="536BD1E3" w14:textId="541290AF" w:rsidR="000C5399" w:rsidRPr="005F3E50" w:rsidRDefault="000C5399" w:rsidP="000C5399">
      <w:pPr>
        <w:rPr>
          <w:rFonts w:ascii="Times New Roman" w:hAnsi="Times New Roman" w:cs="Times New Roman"/>
        </w:rPr>
      </w:pPr>
      <w:r w:rsidRPr="005F3E50">
        <w:rPr>
          <w:rFonts w:ascii="Times New Roman" w:hAnsi="Times New Roman" w:cs="Times New Roman"/>
        </w:rPr>
        <w:t xml:space="preserve">Subsection </w:t>
      </w:r>
      <w:r w:rsidR="002E5234" w:rsidRPr="005F3E50">
        <w:rPr>
          <w:rFonts w:ascii="Times New Roman" w:hAnsi="Times New Roman" w:cs="Times New Roman"/>
        </w:rPr>
        <w:t>12(</w:t>
      </w:r>
      <w:r w:rsidRPr="005F3E50">
        <w:rPr>
          <w:rFonts w:ascii="Times New Roman" w:hAnsi="Times New Roman" w:cs="Times New Roman"/>
        </w:rPr>
        <w:t>3</w:t>
      </w:r>
      <w:r w:rsidR="002E5234" w:rsidRPr="005F3E50">
        <w:rPr>
          <w:rFonts w:ascii="Times New Roman" w:hAnsi="Times New Roman" w:cs="Times New Roman"/>
        </w:rPr>
        <w:t>)</w:t>
      </w:r>
      <w:r w:rsidRPr="005F3E50">
        <w:rPr>
          <w:rFonts w:ascii="Times New Roman" w:hAnsi="Times New Roman" w:cs="Times New Roman"/>
        </w:rPr>
        <w:t xml:space="preserve"> requires a carriage service provider who complete</w:t>
      </w:r>
      <w:r w:rsidR="00A473A3" w:rsidRPr="005F3E50">
        <w:rPr>
          <w:rFonts w:ascii="Times New Roman" w:hAnsi="Times New Roman" w:cs="Times New Roman"/>
        </w:rPr>
        <w:t>s</w:t>
      </w:r>
      <w:r w:rsidRPr="005F3E50">
        <w:rPr>
          <w:rFonts w:ascii="Times New Roman" w:hAnsi="Times New Roman" w:cs="Times New Roman"/>
        </w:rPr>
        <w:t xml:space="preserve"> </w:t>
      </w:r>
      <w:r w:rsidR="00A473A3" w:rsidRPr="005F3E50">
        <w:rPr>
          <w:rFonts w:ascii="Times New Roman" w:hAnsi="Times New Roman" w:cs="Times New Roman"/>
        </w:rPr>
        <w:t>one or more</w:t>
      </w:r>
      <w:r w:rsidRPr="005F3E50">
        <w:rPr>
          <w:rFonts w:ascii="Times New Roman" w:hAnsi="Times New Roman" w:cs="Times New Roman"/>
        </w:rPr>
        <w:t xml:space="preserve"> high</w:t>
      </w:r>
      <w:r w:rsidR="00A473A3" w:rsidRPr="005F3E50">
        <w:rPr>
          <w:rFonts w:ascii="Times New Roman" w:hAnsi="Times New Roman" w:cs="Times New Roman"/>
        </w:rPr>
        <w:t>-</w:t>
      </w:r>
      <w:r w:rsidRPr="005F3E50">
        <w:rPr>
          <w:rFonts w:ascii="Times New Roman" w:hAnsi="Times New Roman" w:cs="Times New Roman"/>
        </w:rPr>
        <w:t xml:space="preserve">risk customer </w:t>
      </w:r>
      <w:r w:rsidR="00A473A3" w:rsidRPr="005F3E50">
        <w:rPr>
          <w:rFonts w:ascii="Times New Roman" w:hAnsi="Times New Roman" w:cs="Times New Roman"/>
        </w:rPr>
        <w:t xml:space="preserve">transactions </w:t>
      </w:r>
      <w:r w:rsidRPr="005F3E50">
        <w:rPr>
          <w:rFonts w:ascii="Times New Roman" w:hAnsi="Times New Roman" w:cs="Times New Roman"/>
        </w:rPr>
        <w:t xml:space="preserve">under this section to record the details of the </w:t>
      </w:r>
      <w:r w:rsidR="00A473A3" w:rsidRPr="005F3E50">
        <w:rPr>
          <w:rFonts w:ascii="Times New Roman" w:hAnsi="Times New Roman" w:cs="Times New Roman"/>
        </w:rPr>
        <w:t xml:space="preserve">transaction </w:t>
      </w:r>
      <w:r w:rsidRPr="005F3E50">
        <w:rPr>
          <w:rFonts w:ascii="Times New Roman" w:hAnsi="Times New Roman" w:cs="Times New Roman"/>
        </w:rPr>
        <w:t xml:space="preserve">including the basis on which the carriage service provider was satisfied the requesting person </w:t>
      </w:r>
      <w:r w:rsidR="00097DA6">
        <w:rPr>
          <w:rFonts w:ascii="Times New Roman" w:hAnsi="Times New Roman" w:cs="Times New Roman"/>
        </w:rPr>
        <w:t>wa</w:t>
      </w:r>
      <w:r w:rsidRPr="005F3E50">
        <w:rPr>
          <w:rFonts w:ascii="Times New Roman" w:hAnsi="Times New Roman" w:cs="Times New Roman"/>
        </w:rPr>
        <w:t>s an unlisted authorised representative</w:t>
      </w:r>
      <w:r w:rsidR="002444FA">
        <w:rPr>
          <w:rFonts w:ascii="Times New Roman" w:hAnsi="Times New Roman" w:cs="Times New Roman"/>
        </w:rPr>
        <w:t>,</w:t>
      </w:r>
      <w:r w:rsidRPr="005F3E50">
        <w:rPr>
          <w:rFonts w:ascii="Times New Roman" w:hAnsi="Times New Roman" w:cs="Times New Roman"/>
        </w:rPr>
        <w:t xml:space="preserve"> and any material or supporting evidence that was provided by the requesting person. </w:t>
      </w:r>
    </w:p>
    <w:p w14:paraId="4BB43EE6" w14:textId="6DC6F6DF" w:rsidR="000C5399" w:rsidRPr="005F3E50" w:rsidRDefault="000C5399" w:rsidP="000C5399">
      <w:pPr>
        <w:rPr>
          <w:rFonts w:ascii="Times New Roman" w:hAnsi="Times New Roman" w:cs="Times New Roman"/>
          <w:color w:val="000000"/>
        </w:rPr>
      </w:pPr>
      <w:r w:rsidRPr="005F3E50">
        <w:rPr>
          <w:rFonts w:ascii="Times New Roman" w:hAnsi="Times New Roman" w:cs="Times New Roman"/>
          <w:color w:val="000000"/>
        </w:rPr>
        <w:t xml:space="preserve">Subsection </w:t>
      </w:r>
      <w:r w:rsidR="002E5234" w:rsidRPr="005F3E50">
        <w:rPr>
          <w:rFonts w:ascii="Times New Roman" w:hAnsi="Times New Roman" w:cs="Times New Roman"/>
          <w:color w:val="000000"/>
        </w:rPr>
        <w:t>12(</w:t>
      </w:r>
      <w:r w:rsidRPr="005F3E50">
        <w:rPr>
          <w:rFonts w:ascii="Times New Roman" w:hAnsi="Times New Roman" w:cs="Times New Roman"/>
          <w:color w:val="000000"/>
        </w:rPr>
        <w:t>4</w:t>
      </w:r>
      <w:r w:rsidR="002E5234" w:rsidRPr="005F3E50">
        <w:rPr>
          <w:rFonts w:ascii="Times New Roman" w:hAnsi="Times New Roman" w:cs="Times New Roman"/>
          <w:color w:val="000000"/>
        </w:rPr>
        <w:t>)</w:t>
      </w:r>
      <w:r w:rsidRPr="005F3E50">
        <w:rPr>
          <w:rFonts w:ascii="Times New Roman" w:hAnsi="Times New Roman" w:cs="Times New Roman"/>
          <w:color w:val="000000"/>
        </w:rPr>
        <w:t xml:space="preserve"> requires </w:t>
      </w:r>
      <w:r w:rsidR="003C518C">
        <w:rPr>
          <w:rFonts w:ascii="Times New Roman" w:hAnsi="Times New Roman" w:cs="Times New Roman"/>
          <w:color w:val="000000"/>
        </w:rPr>
        <w:t xml:space="preserve">that </w:t>
      </w:r>
      <w:r w:rsidR="009C6694">
        <w:rPr>
          <w:rFonts w:ascii="Times New Roman" w:hAnsi="Times New Roman" w:cs="Times New Roman"/>
          <w:color w:val="000000"/>
        </w:rPr>
        <w:t>the</w:t>
      </w:r>
      <w:r w:rsidR="003C518C" w:rsidRPr="005F3E50">
        <w:rPr>
          <w:rFonts w:ascii="Times New Roman" w:hAnsi="Times New Roman" w:cs="Times New Roman"/>
          <w:color w:val="000000"/>
        </w:rPr>
        <w:t xml:space="preserve"> </w:t>
      </w:r>
      <w:r w:rsidRPr="005F3E50">
        <w:rPr>
          <w:rFonts w:ascii="Times New Roman" w:hAnsi="Times New Roman" w:cs="Times New Roman"/>
          <w:color w:val="000000"/>
        </w:rPr>
        <w:t xml:space="preserve">carriage service provider </w:t>
      </w:r>
      <w:r w:rsidR="003C518C">
        <w:rPr>
          <w:rFonts w:ascii="Times New Roman" w:hAnsi="Times New Roman" w:cs="Times New Roman"/>
          <w:color w:val="000000"/>
        </w:rPr>
        <w:t xml:space="preserve">must </w:t>
      </w:r>
      <w:r w:rsidRPr="005F3E50">
        <w:rPr>
          <w:rFonts w:ascii="Times New Roman" w:hAnsi="Times New Roman" w:cs="Times New Roman"/>
          <w:color w:val="000000"/>
        </w:rPr>
        <w:t xml:space="preserve">send </w:t>
      </w:r>
      <w:r w:rsidR="005C548D" w:rsidRPr="005F3E50">
        <w:rPr>
          <w:rFonts w:ascii="Times New Roman" w:hAnsi="Times New Roman" w:cs="Times New Roman"/>
          <w:color w:val="000000"/>
        </w:rPr>
        <w:t xml:space="preserve">the </w:t>
      </w:r>
      <w:r w:rsidR="00E33B88" w:rsidRPr="005F3E50">
        <w:rPr>
          <w:rFonts w:ascii="Times New Roman" w:hAnsi="Times New Roman" w:cs="Times New Roman"/>
          <w:color w:val="000000"/>
        </w:rPr>
        <w:t xml:space="preserve">customer or their authorised representative (the </w:t>
      </w:r>
      <w:r w:rsidR="00E33B88" w:rsidRPr="006E13FE">
        <w:rPr>
          <w:rFonts w:ascii="Times New Roman" w:hAnsi="Times New Roman" w:cs="Times New Roman"/>
          <w:b/>
          <w:bCs/>
          <w:color w:val="000000"/>
        </w:rPr>
        <w:t>relevant person</w:t>
      </w:r>
      <w:r w:rsidR="00E33B88" w:rsidRPr="005F3E50">
        <w:rPr>
          <w:rFonts w:ascii="Times New Roman" w:hAnsi="Times New Roman" w:cs="Times New Roman"/>
          <w:color w:val="000000"/>
        </w:rPr>
        <w:t xml:space="preserve">) </w:t>
      </w:r>
      <w:r w:rsidRPr="005F3E50">
        <w:rPr>
          <w:rFonts w:ascii="Times New Roman" w:hAnsi="Times New Roman" w:cs="Times New Roman"/>
          <w:color w:val="000000"/>
        </w:rPr>
        <w:t>a notification immediately after it has confirmed that the requesting person is the customer for the service either prior to or immediately after undertaking the first high</w:t>
      </w:r>
      <w:r w:rsidR="00EC7A45">
        <w:rPr>
          <w:rFonts w:ascii="Times New Roman" w:hAnsi="Times New Roman" w:cs="Times New Roman"/>
          <w:color w:val="000000"/>
        </w:rPr>
        <w:t>-</w:t>
      </w:r>
      <w:r w:rsidRPr="005F3E50">
        <w:rPr>
          <w:rFonts w:ascii="Times New Roman" w:hAnsi="Times New Roman" w:cs="Times New Roman"/>
          <w:color w:val="000000"/>
        </w:rPr>
        <w:t xml:space="preserve">risk transaction, informing the </w:t>
      </w:r>
      <w:r w:rsidR="00833935" w:rsidRPr="005F3E50">
        <w:rPr>
          <w:rFonts w:ascii="Times New Roman" w:hAnsi="Times New Roman" w:cs="Times New Roman"/>
          <w:color w:val="000000"/>
        </w:rPr>
        <w:t xml:space="preserve">relevant person </w:t>
      </w:r>
      <w:r w:rsidRPr="005F3E50">
        <w:rPr>
          <w:rFonts w:ascii="Times New Roman" w:hAnsi="Times New Roman" w:cs="Times New Roman"/>
          <w:color w:val="000000"/>
        </w:rPr>
        <w:t xml:space="preserve">that a high-risk customer transaction has been initiated; and what the relevant person can do if they did not authorise the interaction. The notification may be sent by SMS message, email, in-app message or to some other device or account which has been validated by the customer. </w:t>
      </w:r>
    </w:p>
    <w:p w14:paraId="4F0FF683" w14:textId="04F9CDF0" w:rsidR="000C5399" w:rsidRPr="005F3E50" w:rsidRDefault="000C5399" w:rsidP="000C5399">
      <w:pPr>
        <w:rPr>
          <w:rFonts w:ascii="Times New Roman" w:hAnsi="Times New Roman" w:cs="Times New Roman"/>
          <w:color w:val="000000"/>
        </w:rPr>
      </w:pPr>
      <w:r w:rsidRPr="005F3E50">
        <w:rPr>
          <w:rFonts w:ascii="Times New Roman" w:hAnsi="Times New Roman" w:cs="Times New Roman"/>
          <w:color w:val="000000"/>
        </w:rPr>
        <w:t xml:space="preserve">Subsection </w:t>
      </w:r>
      <w:r w:rsidR="002E5234" w:rsidRPr="005F3E50">
        <w:rPr>
          <w:rFonts w:ascii="Times New Roman" w:hAnsi="Times New Roman" w:cs="Times New Roman"/>
          <w:color w:val="000000"/>
        </w:rPr>
        <w:t>12(</w:t>
      </w:r>
      <w:r w:rsidRPr="005F3E50">
        <w:rPr>
          <w:rFonts w:ascii="Times New Roman" w:hAnsi="Times New Roman" w:cs="Times New Roman"/>
          <w:color w:val="000000"/>
        </w:rPr>
        <w:t>5</w:t>
      </w:r>
      <w:r w:rsidR="002E5234" w:rsidRPr="005F3E50">
        <w:rPr>
          <w:rFonts w:ascii="Times New Roman" w:hAnsi="Times New Roman" w:cs="Times New Roman"/>
          <w:color w:val="000000"/>
        </w:rPr>
        <w:t>)</w:t>
      </w:r>
      <w:r w:rsidRPr="005F3E50">
        <w:rPr>
          <w:rFonts w:ascii="Times New Roman" w:hAnsi="Times New Roman" w:cs="Times New Roman"/>
          <w:color w:val="000000"/>
        </w:rPr>
        <w:t xml:space="preserve"> provides that </w:t>
      </w:r>
      <w:r w:rsidR="003C518C">
        <w:rPr>
          <w:rFonts w:ascii="Times New Roman" w:hAnsi="Times New Roman" w:cs="Times New Roman"/>
          <w:color w:val="000000"/>
        </w:rPr>
        <w:t>the</w:t>
      </w:r>
      <w:r w:rsidR="003C518C" w:rsidRPr="005F3E50">
        <w:rPr>
          <w:rFonts w:ascii="Times New Roman" w:hAnsi="Times New Roman" w:cs="Times New Roman"/>
          <w:color w:val="000000"/>
        </w:rPr>
        <w:t xml:space="preserve"> </w:t>
      </w:r>
      <w:r w:rsidRPr="005F3E50">
        <w:rPr>
          <w:rFonts w:ascii="Times New Roman" w:hAnsi="Times New Roman" w:cs="Times New Roman"/>
          <w:color w:val="000000"/>
        </w:rPr>
        <w:t xml:space="preserve">requirement </w:t>
      </w:r>
      <w:r w:rsidR="003C518C" w:rsidRPr="00EC1DE4">
        <w:rPr>
          <w:rFonts w:ascii="Times New Roman" w:hAnsi="Times New Roman" w:cs="Times New Roman"/>
          <w:color w:val="000000"/>
        </w:rPr>
        <w:t>in subsection</w:t>
      </w:r>
      <w:r w:rsidR="00EC1DE4" w:rsidRPr="00EC1DE4">
        <w:rPr>
          <w:rFonts w:ascii="Times New Roman" w:hAnsi="Times New Roman" w:cs="Times New Roman"/>
          <w:color w:val="000000"/>
        </w:rPr>
        <w:t>12</w:t>
      </w:r>
      <w:r w:rsidR="003C518C" w:rsidRPr="00EC1DE4">
        <w:rPr>
          <w:rFonts w:ascii="Times New Roman" w:hAnsi="Times New Roman" w:cs="Times New Roman"/>
          <w:color w:val="000000"/>
        </w:rPr>
        <w:t>(4)</w:t>
      </w:r>
      <w:r w:rsidR="003C518C">
        <w:rPr>
          <w:rFonts w:ascii="Times New Roman" w:hAnsi="Times New Roman" w:cs="Times New Roman"/>
          <w:color w:val="000000"/>
        </w:rPr>
        <w:t xml:space="preserve"> </w:t>
      </w:r>
      <w:r w:rsidRPr="005F3E50">
        <w:rPr>
          <w:rFonts w:ascii="Times New Roman" w:hAnsi="Times New Roman" w:cs="Times New Roman"/>
          <w:color w:val="000000"/>
        </w:rPr>
        <w:t>does not apply where there is no mobile service number, validated email address, validated mobile application or other validated device or account associated with the customer’s account.</w:t>
      </w:r>
      <w:r w:rsidR="00CE6C82">
        <w:rPr>
          <w:rFonts w:ascii="Times New Roman" w:hAnsi="Times New Roman" w:cs="Times New Roman"/>
          <w:color w:val="000000"/>
        </w:rPr>
        <w:t xml:space="preserve"> </w:t>
      </w:r>
    </w:p>
    <w:p w14:paraId="3270E724" w14:textId="7E5E2CA7" w:rsidR="000C5399" w:rsidRPr="009A6803" w:rsidRDefault="000C5399" w:rsidP="000C5399">
      <w:pPr>
        <w:rPr>
          <w:rFonts w:ascii="Times New Roman" w:hAnsi="Times New Roman" w:cs="Times New Roman"/>
          <w:color w:val="000000"/>
        </w:rPr>
      </w:pPr>
      <w:r w:rsidRPr="005F3E50">
        <w:rPr>
          <w:rFonts w:ascii="Times New Roman" w:hAnsi="Times New Roman" w:cs="Times New Roman"/>
          <w:color w:val="000000"/>
        </w:rPr>
        <w:t xml:space="preserve">Subsection </w:t>
      </w:r>
      <w:r w:rsidR="002E5234" w:rsidRPr="005F3E50">
        <w:rPr>
          <w:rFonts w:ascii="Times New Roman" w:hAnsi="Times New Roman" w:cs="Times New Roman"/>
          <w:color w:val="000000"/>
        </w:rPr>
        <w:t>12(</w:t>
      </w:r>
      <w:r w:rsidRPr="005F3E50">
        <w:rPr>
          <w:rFonts w:ascii="Times New Roman" w:hAnsi="Times New Roman" w:cs="Times New Roman"/>
          <w:color w:val="000000"/>
        </w:rPr>
        <w:t>6</w:t>
      </w:r>
      <w:r w:rsidR="002E5234" w:rsidRPr="005F3E50">
        <w:rPr>
          <w:rFonts w:ascii="Times New Roman" w:hAnsi="Times New Roman" w:cs="Times New Roman"/>
          <w:color w:val="000000"/>
        </w:rPr>
        <w:t>)</w:t>
      </w:r>
      <w:r w:rsidRPr="005F3E50">
        <w:rPr>
          <w:rFonts w:ascii="Times New Roman" w:hAnsi="Times New Roman" w:cs="Times New Roman"/>
          <w:color w:val="000000"/>
        </w:rPr>
        <w:t xml:space="preserve"> provides that </w:t>
      </w:r>
      <w:r w:rsidR="00A86515">
        <w:rPr>
          <w:rFonts w:ascii="Times New Roman" w:hAnsi="Times New Roman" w:cs="Times New Roman"/>
          <w:color w:val="000000"/>
        </w:rPr>
        <w:t xml:space="preserve">the </w:t>
      </w:r>
      <w:r w:rsidRPr="005F3E50">
        <w:rPr>
          <w:rFonts w:ascii="Times New Roman" w:hAnsi="Times New Roman" w:cs="Times New Roman"/>
          <w:color w:val="000000"/>
        </w:rPr>
        <w:t xml:space="preserve">requirement </w:t>
      </w:r>
      <w:r w:rsidRPr="00EC1DE4">
        <w:rPr>
          <w:rFonts w:ascii="Times New Roman" w:hAnsi="Times New Roman" w:cs="Times New Roman"/>
          <w:color w:val="000000"/>
        </w:rPr>
        <w:t xml:space="preserve">in subsection </w:t>
      </w:r>
      <w:r w:rsidR="002E5234" w:rsidRPr="00EC1DE4">
        <w:rPr>
          <w:rFonts w:ascii="Times New Roman" w:hAnsi="Times New Roman" w:cs="Times New Roman"/>
          <w:color w:val="000000"/>
        </w:rPr>
        <w:t>12(</w:t>
      </w:r>
      <w:r w:rsidRPr="00EC1DE4">
        <w:rPr>
          <w:rFonts w:ascii="Times New Roman" w:hAnsi="Times New Roman" w:cs="Times New Roman"/>
          <w:color w:val="000000"/>
        </w:rPr>
        <w:t>4</w:t>
      </w:r>
      <w:r w:rsidR="002E5234" w:rsidRPr="00EC1DE4">
        <w:rPr>
          <w:rFonts w:ascii="Times New Roman" w:hAnsi="Times New Roman" w:cs="Times New Roman"/>
          <w:color w:val="000000"/>
        </w:rPr>
        <w:t>)</w:t>
      </w:r>
      <w:r w:rsidRPr="00EC1DE4">
        <w:rPr>
          <w:rFonts w:ascii="Times New Roman" w:hAnsi="Times New Roman" w:cs="Times New Roman"/>
          <w:color w:val="000000"/>
        </w:rPr>
        <w:t xml:space="preserve"> does</w:t>
      </w:r>
      <w:r w:rsidRPr="005F3E50">
        <w:rPr>
          <w:rFonts w:ascii="Times New Roman" w:hAnsi="Times New Roman" w:cs="Times New Roman"/>
          <w:color w:val="000000"/>
        </w:rPr>
        <w:t xml:space="preserve"> not apply where the carriage service provider has reasonable grounds to believe that the customer is affected by </w:t>
      </w:r>
      <w:proofErr w:type="gramStart"/>
      <w:r w:rsidRPr="005F3E50">
        <w:rPr>
          <w:rFonts w:ascii="Times New Roman" w:hAnsi="Times New Roman" w:cs="Times New Roman"/>
          <w:color w:val="000000"/>
        </w:rPr>
        <w:t>domestic</w:t>
      </w:r>
      <w:proofErr w:type="gramEnd"/>
      <w:r w:rsidRPr="005F3E50">
        <w:rPr>
          <w:rFonts w:ascii="Times New Roman" w:hAnsi="Times New Roman" w:cs="Times New Roman"/>
          <w:color w:val="000000"/>
        </w:rPr>
        <w:t xml:space="preserve"> </w:t>
      </w:r>
      <w:r w:rsidR="00833935" w:rsidRPr="005F3E50">
        <w:rPr>
          <w:rFonts w:ascii="Times New Roman" w:hAnsi="Times New Roman" w:cs="Times New Roman"/>
          <w:color w:val="000000"/>
        </w:rPr>
        <w:t xml:space="preserve">or </w:t>
      </w:r>
      <w:r w:rsidRPr="005F3E50">
        <w:rPr>
          <w:rFonts w:ascii="Times New Roman" w:hAnsi="Times New Roman" w:cs="Times New Roman"/>
          <w:color w:val="000000"/>
        </w:rPr>
        <w:t>family violence and the customer has requested that the notification not be sent.</w:t>
      </w:r>
      <w:r w:rsidR="00F6303A">
        <w:rPr>
          <w:rFonts w:ascii="Times New Roman" w:hAnsi="Times New Roman" w:cs="Times New Roman"/>
          <w:color w:val="000000"/>
        </w:rPr>
        <w:t xml:space="preserve"> </w:t>
      </w:r>
    </w:p>
    <w:p w14:paraId="1E6FE0C4" w14:textId="59D775E8" w:rsidR="0091233A" w:rsidRPr="00824D72" w:rsidRDefault="000C5399" w:rsidP="0091233A">
      <w:pPr>
        <w:pStyle w:val="subsection"/>
        <w:tabs>
          <w:tab w:val="clear" w:pos="1021"/>
        </w:tabs>
        <w:ind w:left="0" w:firstLine="0"/>
      </w:pPr>
      <w:r w:rsidRPr="009A6803">
        <w:t xml:space="preserve">Subsection 7 </w:t>
      </w:r>
      <w:r w:rsidR="0013057C" w:rsidRPr="009A6803">
        <w:t>provides that if the relevant person takes the specified actions at paragraph 12(4)(f)</w:t>
      </w:r>
      <w:r w:rsidR="003627B4" w:rsidRPr="009A6803">
        <w:t xml:space="preserve">, </w:t>
      </w:r>
      <w:r w:rsidR="00DB5FFF" w:rsidRPr="009A6803">
        <w:rPr>
          <w:color w:val="000000"/>
          <w:szCs w:val="22"/>
        </w:rPr>
        <w:t>an</w:t>
      </w:r>
      <w:r w:rsidR="00DB5FFF" w:rsidRPr="009A6803">
        <w:rPr>
          <w:szCs w:val="22"/>
        </w:rPr>
        <w:t xml:space="preserve"> employee or agent of the carriage service provider for the telecommunications service</w:t>
      </w:r>
      <w:r w:rsidR="00DB5FFF" w:rsidRPr="009A6803">
        <w:rPr>
          <w:color w:val="000000"/>
          <w:szCs w:val="22"/>
        </w:rPr>
        <w:t xml:space="preserve"> who has completed fraud mitigation training must investigate the basis on which </w:t>
      </w:r>
      <w:r w:rsidR="00734E1C">
        <w:rPr>
          <w:color w:val="000000"/>
          <w:szCs w:val="22"/>
        </w:rPr>
        <w:t xml:space="preserve">the satisfaction </w:t>
      </w:r>
      <w:r w:rsidR="00BB7B00">
        <w:rPr>
          <w:color w:val="000000"/>
          <w:szCs w:val="22"/>
        </w:rPr>
        <w:t xml:space="preserve">required by </w:t>
      </w:r>
      <w:r w:rsidR="00DB5FFF" w:rsidRPr="009A6803">
        <w:rPr>
          <w:color w:val="000000"/>
          <w:szCs w:val="22"/>
        </w:rPr>
        <w:t xml:space="preserve">subsection 12(2) </w:t>
      </w:r>
      <w:r w:rsidR="00BB7B00">
        <w:rPr>
          <w:color w:val="000000"/>
          <w:szCs w:val="22"/>
        </w:rPr>
        <w:t>was attained.</w:t>
      </w:r>
      <w:r w:rsidR="00DB5FFF" w:rsidRPr="009A6803">
        <w:rPr>
          <w:szCs w:val="22"/>
        </w:rPr>
        <w:t xml:space="preserve"> If the employee or agent is satisfied that there has been fraudulent activity in relation to the high-risk customer interaction</w:t>
      </w:r>
      <w:r w:rsidR="0013057C" w:rsidRPr="009A6803">
        <w:t xml:space="preserve"> and one or more high-risk customer transactions have been completed, the carriage service provider must take steps to reverse or remediate any completed transaction.  </w:t>
      </w:r>
      <w:r w:rsidR="002B5A84">
        <w:t>I</w:t>
      </w:r>
      <w:r w:rsidR="0013057C" w:rsidRPr="009A6803">
        <w:t>f the high-risk</w:t>
      </w:r>
      <w:r w:rsidR="0013057C">
        <w:t xml:space="preserve"> customer transaction has not been undertaken, the carriage service provider must </w:t>
      </w:r>
      <w:r w:rsidR="0013057C" w:rsidRPr="005F3E50">
        <w:t>not undertake the interaction</w:t>
      </w:r>
      <w:r w:rsidR="0013057C">
        <w:t>.  In each case, the carriage service provider must notify the relevant person of the steps taken to reverse or remediate</w:t>
      </w:r>
      <w:r w:rsidR="002B5A84">
        <w:t>,</w:t>
      </w:r>
      <w:r w:rsidR="0013057C">
        <w:t xml:space="preserve"> or that the transaction has not been </w:t>
      </w:r>
      <w:proofErr w:type="gramStart"/>
      <w:r w:rsidR="0013057C">
        <w:t>undertaken, as the case may be</w:t>
      </w:r>
      <w:proofErr w:type="gramEnd"/>
      <w:r w:rsidR="0013057C">
        <w:t>.  The carriage service provider must also notify the relevant person of what they can do to protect the customer’s account.</w:t>
      </w:r>
    </w:p>
    <w:p w14:paraId="2D490E59" w14:textId="61E5DDD0" w:rsidR="00E06918" w:rsidRPr="00850627" w:rsidRDefault="00E06918" w:rsidP="00B7068D">
      <w:pPr>
        <w:keepNext/>
        <w:spacing w:before="240" w:line="257" w:lineRule="auto"/>
        <w:rPr>
          <w:rFonts w:ascii="Times New Roman" w:hAnsi="Times New Roman" w:cs="Times New Roman"/>
          <w:b/>
        </w:rPr>
      </w:pPr>
      <w:r w:rsidRPr="00850627">
        <w:rPr>
          <w:rFonts w:ascii="Times New Roman" w:hAnsi="Times New Roman" w:cs="Times New Roman"/>
          <w:b/>
        </w:rPr>
        <w:t xml:space="preserve">Part </w:t>
      </w:r>
      <w:r w:rsidR="004A0C8D" w:rsidRPr="00850627">
        <w:rPr>
          <w:rFonts w:ascii="Times New Roman" w:hAnsi="Times New Roman" w:cs="Times New Roman"/>
          <w:b/>
        </w:rPr>
        <w:t>4</w:t>
      </w:r>
      <w:r w:rsidR="00DE4376" w:rsidRPr="00850627">
        <w:rPr>
          <w:rFonts w:ascii="Times New Roman" w:hAnsi="Times New Roman" w:cs="Times New Roman"/>
          <w:b/>
        </w:rPr>
        <w:t xml:space="preserve"> </w:t>
      </w:r>
      <w:r w:rsidRPr="00850627">
        <w:rPr>
          <w:rFonts w:ascii="Times New Roman" w:hAnsi="Times New Roman" w:cs="Times New Roman"/>
          <w:b/>
        </w:rPr>
        <w:t>–</w:t>
      </w:r>
      <w:r w:rsidR="00EB03FE" w:rsidRPr="00850627">
        <w:rPr>
          <w:rFonts w:ascii="Times New Roman" w:hAnsi="Times New Roman" w:cs="Times New Roman"/>
          <w:b/>
        </w:rPr>
        <w:t xml:space="preserve"> </w:t>
      </w:r>
      <w:r w:rsidRPr="00850627">
        <w:rPr>
          <w:rFonts w:ascii="Times New Roman" w:hAnsi="Times New Roman" w:cs="Times New Roman"/>
          <w:b/>
          <w:bCs/>
        </w:rPr>
        <w:t>Additional protections requirements</w:t>
      </w:r>
      <w:r w:rsidRPr="00850627" w:rsidDel="006245FE">
        <w:rPr>
          <w:rFonts w:ascii="Times New Roman" w:hAnsi="Times New Roman" w:cs="Times New Roman"/>
          <w:b/>
          <w:bCs/>
        </w:rPr>
        <w:t xml:space="preserve"> </w:t>
      </w:r>
    </w:p>
    <w:p w14:paraId="66B8492B" w14:textId="7BC1F1AD" w:rsidR="00E06918" w:rsidRPr="00850627" w:rsidRDefault="00E06918" w:rsidP="00E06918">
      <w:pPr>
        <w:keepNext/>
        <w:spacing w:line="257" w:lineRule="auto"/>
        <w:ind w:left="1418" w:hanging="1418"/>
        <w:rPr>
          <w:rFonts w:ascii="Times New Roman" w:hAnsi="Times New Roman" w:cs="Times New Roman"/>
          <w:b/>
          <w:bCs/>
        </w:rPr>
      </w:pPr>
      <w:r w:rsidRPr="00850627">
        <w:rPr>
          <w:rFonts w:ascii="Times New Roman" w:hAnsi="Times New Roman" w:cs="Times New Roman"/>
          <w:b/>
          <w:bCs/>
        </w:rPr>
        <w:t xml:space="preserve">Section </w:t>
      </w:r>
      <w:r w:rsidR="004A0C8D" w:rsidRPr="00850627">
        <w:rPr>
          <w:rFonts w:ascii="Times New Roman" w:hAnsi="Times New Roman" w:cs="Times New Roman"/>
          <w:b/>
          <w:bCs/>
        </w:rPr>
        <w:t>13</w:t>
      </w:r>
      <w:r w:rsidRPr="00850627">
        <w:rPr>
          <w:rFonts w:ascii="Times New Roman" w:hAnsi="Times New Roman" w:cs="Times New Roman"/>
          <w:b/>
          <w:bCs/>
        </w:rPr>
        <w:tab/>
      </w:r>
      <w:r w:rsidR="00434C37" w:rsidRPr="00850627">
        <w:rPr>
          <w:rFonts w:ascii="Times New Roman" w:hAnsi="Times New Roman" w:cs="Times New Roman"/>
          <w:b/>
        </w:rPr>
        <w:t>Requirements to provide fraud mitigation protections</w:t>
      </w:r>
    </w:p>
    <w:p w14:paraId="3394632A" w14:textId="3FD8D327" w:rsidR="00B52B6A" w:rsidRDefault="00A83A03" w:rsidP="00B44D1A">
      <w:pPr>
        <w:rPr>
          <w:rFonts w:ascii="Times New Roman" w:hAnsi="Times New Roman" w:cs="Times New Roman"/>
        </w:rPr>
      </w:pPr>
      <w:r w:rsidRPr="0073484F">
        <w:rPr>
          <w:rFonts w:ascii="Times New Roman" w:hAnsi="Times New Roman" w:cs="Times New Roman"/>
        </w:rPr>
        <w:t xml:space="preserve">Section </w:t>
      </w:r>
      <w:r w:rsidR="00846379" w:rsidRPr="0073484F">
        <w:rPr>
          <w:rFonts w:ascii="Times New Roman" w:hAnsi="Times New Roman" w:cs="Times New Roman"/>
        </w:rPr>
        <w:t>13</w:t>
      </w:r>
      <w:r w:rsidR="000C5399" w:rsidRPr="0073484F">
        <w:rPr>
          <w:rFonts w:ascii="Times New Roman" w:hAnsi="Times New Roman" w:cs="Times New Roman"/>
        </w:rPr>
        <w:t xml:space="preserve"> </w:t>
      </w:r>
      <w:r w:rsidR="002B5A84">
        <w:rPr>
          <w:rFonts w:ascii="Times New Roman" w:hAnsi="Times New Roman" w:cs="Times New Roman"/>
        </w:rPr>
        <w:t xml:space="preserve">is intended to ensure </w:t>
      </w:r>
      <w:r w:rsidR="00DE3407" w:rsidRPr="0073484F">
        <w:rPr>
          <w:rFonts w:ascii="Times New Roman" w:hAnsi="Times New Roman" w:cs="Times New Roman"/>
        </w:rPr>
        <w:t xml:space="preserve">that a </w:t>
      </w:r>
      <w:r w:rsidR="00894338" w:rsidRPr="0073484F">
        <w:rPr>
          <w:rFonts w:ascii="Times New Roman" w:hAnsi="Times New Roman" w:cs="Times New Roman"/>
        </w:rPr>
        <w:t xml:space="preserve">carriage service provider </w:t>
      </w:r>
      <w:r w:rsidR="00C80120">
        <w:rPr>
          <w:rFonts w:ascii="Times New Roman" w:hAnsi="Times New Roman" w:cs="Times New Roman"/>
        </w:rPr>
        <w:t>has</w:t>
      </w:r>
      <w:r w:rsidR="00B52B6A" w:rsidRPr="0073484F">
        <w:rPr>
          <w:rFonts w:ascii="Times New Roman" w:hAnsi="Times New Roman" w:cs="Times New Roman"/>
        </w:rPr>
        <w:t xml:space="preserve"> fraud mitigation protections and systems in place.</w:t>
      </w:r>
      <w:r w:rsidR="000C5399" w:rsidRPr="0073484F">
        <w:rPr>
          <w:rFonts w:ascii="Times New Roman" w:hAnsi="Times New Roman" w:cs="Times New Roman"/>
        </w:rPr>
        <w:t xml:space="preserve"> Subsection 13(1) requires </w:t>
      </w:r>
      <w:r w:rsidR="00FA04D7" w:rsidRPr="0073484F">
        <w:rPr>
          <w:rFonts w:ascii="Times New Roman" w:hAnsi="Times New Roman" w:cs="Times New Roman"/>
        </w:rPr>
        <w:t xml:space="preserve">that a </w:t>
      </w:r>
      <w:r w:rsidR="000C5399" w:rsidRPr="0073484F">
        <w:rPr>
          <w:rFonts w:ascii="Times New Roman" w:hAnsi="Times New Roman" w:cs="Times New Roman"/>
        </w:rPr>
        <w:t xml:space="preserve">carriage service provider </w:t>
      </w:r>
      <w:r w:rsidR="00FA04D7" w:rsidRPr="0073484F">
        <w:rPr>
          <w:rFonts w:ascii="Times New Roman" w:hAnsi="Times New Roman" w:cs="Times New Roman"/>
        </w:rPr>
        <w:t xml:space="preserve">must </w:t>
      </w:r>
      <w:r w:rsidR="000C5399" w:rsidRPr="0073484F">
        <w:rPr>
          <w:rFonts w:ascii="Times New Roman" w:hAnsi="Times New Roman" w:cs="Times New Roman"/>
        </w:rPr>
        <w:t xml:space="preserve">have systems in place to identify customers who are at risk of </w:t>
      </w:r>
      <w:proofErr w:type="gramStart"/>
      <w:r w:rsidR="000C5399" w:rsidRPr="0073484F">
        <w:rPr>
          <w:rFonts w:ascii="Times New Roman" w:hAnsi="Times New Roman" w:cs="Times New Roman"/>
        </w:rPr>
        <w:t>fraud</w:t>
      </w:r>
      <w:proofErr w:type="gramEnd"/>
      <w:r w:rsidR="000C5399" w:rsidRPr="0073484F">
        <w:rPr>
          <w:rFonts w:ascii="Times New Roman" w:hAnsi="Times New Roman" w:cs="Times New Roman"/>
        </w:rPr>
        <w:t xml:space="preserve"> and </w:t>
      </w:r>
      <w:r w:rsidR="00CF33C7" w:rsidRPr="0073484F">
        <w:rPr>
          <w:rFonts w:ascii="Times New Roman" w:hAnsi="Times New Roman" w:cs="Times New Roman"/>
        </w:rPr>
        <w:t xml:space="preserve">it must </w:t>
      </w:r>
      <w:r w:rsidR="000C5399" w:rsidRPr="0073484F">
        <w:rPr>
          <w:rFonts w:ascii="Times New Roman" w:hAnsi="Times New Roman" w:cs="Times New Roman"/>
        </w:rPr>
        <w:t>provide those customers with fraud mitigation protections.</w:t>
      </w:r>
      <w:r w:rsidR="003356C1" w:rsidRPr="0073484F">
        <w:rPr>
          <w:rFonts w:ascii="Times New Roman" w:hAnsi="Times New Roman" w:cs="Times New Roman"/>
        </w:rPr>
        <w:t xml:space="preserve"> Subsection 1</w:t>
      </w:r>
      <w:r w:rsidR="000C5399" w:rsidRPr="0073484F">
        <w:rPr>
          <w:rFonts w:ascii="Times New Roman" w:hAnsi="Times New Roman" w:cs="Times New Roman"/>
        </w:rPr>
        <w:t>3</w:t>
      </w:r>
      <w:r w:rsidR="003356C1" w:rsidRPr="0073484F">
        <w:rPr>
          <w:rFonts w:ascii="Times New Roman" w:hAnsi="Times New Roman" w:cs="Times New Roman"/>
        </w:rPr>
        <w:t xml:space="preserve">(2) requires a carriage service provider to offer </w:t>
      </w:r>
      <w:r w:rsidR="00CF33C7" w:rsidRPr="0073484F">
        <w:rPr>
          <w:rFonts w:ascii="Times New Roman" w:hAnsi="Times New Roman" w:cs="Times New Roman"/>
        </w:rPr>
        <w:t xml:space="preserve">fraud mitigation </w:t>
      </w:r>
      <w:r w:rsidR="003356C1" w:rsidRPr="0073484F">
        <w:rPr>
          <w:rFonts w:ascii="Times New Roman" w:hAnsi="Times New Roman" w:cs="Times New Roman"/>
        </w:rPr>
        <w:t xml:space="preserve">protections </w:t>
      </w:r>
      <w:r w:rsidR="00833935" w:rsidRPr="0073484F">
        <w:rPr>
          <w:rFonts w:ascii="Times New Roman" w:hAnsi="Times New Roman" w:cs="Times New Roman"/>
        </w:rPr>
        <w:t>in response to a reasonable request</w:t>
      </w:r>
      <w:r w:rsidR="00215E10" w:rsidRPr="0073484F">
        <w:rPr>
          <w:rFonts w:ascii="Times New Roman" w:hAnsi="Times New Roman" w:cs="Times New Roman"/>
        </w:rPr>
        <w:t xml:space="preserve"> made by a customer of the provider </w:t>
      </w:r>
      <w:r w:rsidR="00833935" w:rsidRPr="0073484F">
        <w:rPr>
          <w:rFonts w:ascii="Times New Roman" w:hAnsi="Times New Roman" w:cs="Times New Roman"/>
        </w:rPr>
        <w:t>who believe</w:t>
      </w:r>
      <w:r w:rsidR="00215E10" w:rsidRPr="0073484F">
        <w:rPr>
          <w:rFonts w:ascii="Times New Roman" w:hAnsi="Times New Roman" w:cs="Times New Roman"/>
        </w:rPr>
        <w:t>s</w:t>
      </w:r>
      <w:r w:rsidR="00833935" w:rsidRPr="0073484F">
        <w:rPr>
          <w:rFonts w:ascii="Times New Roman" w:hAnsi="Times New Roman" w:cs="Times New Roman"/>
        </w:rPr>
        <w:t xml:space="preserve"> they are at risk of fraud</w:t>
      </w:r>
      <w:r w:rsidR="003356C1" w:rsidRPr="0073484F">
        <w:rPr>
          <w:rFonts w:ascii="Times New Roman" w:hAnsi="Times New Roman" w:cs="Times New Roman"/>
        </w:rPr>
        <w:t xml:space="preserve">. Subsection </w:t>
      </w:r>
      <w:r w:rsidR="00DE4376" w:rsidRPr="0073484F">
        <w:rPr>
          <w:rFonts w:ascii="Times New Roman" w:hAnsi="Times New Roman" w:cs="Times New Roman"/>
        </w:rPr>
        <w:t>13</w:t>
      </w:r>
      <w:r w:rsidR="003356C1" w:rsidRPr="0073484F">
        <w:rPr>
          <w:rFonts w:ascii="Times New Roman" w:hAnsi="Times New Roman" w:cs="Times New Roman"/>
        </w:rPr>
        <w:t xml:space="preserve">(3) </w:t>
      </w:r>
      <w:r w:rsidR="00B52B6A" w:rsidRPr="0073484F">
        <w:rPr>
          <w:rFonts w:ascii="Times New Roman" w:hAnsi="Times New Roman" w:cs="Times New Roman"/>
        </w:rPr>
        <w:t>describes the types of measures that may constitute fraud mitigation protections.</w:t>
      </w:r>
      <w:r w:rsidR="00B52B6A">
        <w:rPr>
          <w:rFonts w:ascii="Times New Roman" w:hAnsi="Times New Roman" w:cs="Times New Roman"/>
        </w:rPr>
        <w:t xml:space="preserve"> </w:t>
      </w:r>
    </w:p>
    <w:p w14:paraId="61295BCE" w14:textId="67859BB9" w:rsidR="00650202" w:rsidRPr="00850627" w:rsidRDefault="009D217B" w:rsidP="00BE039F">
      <w:pPr>
        <w:keepNext/>
        <w:spacing w:line="257" w:lineRule="auto"/>
        <w:rPr>
          <w:rFonts w:ascii="Times New Roman" w:hAnsi="Times New Roman" w:cs="Times New Roman"/>
          <w:b/>
        </w:rPr>
      </w:pPr>
      <w:r w:rsidRPr="00850627">
        <w:rPr>
          <w:rFonts w:ascii="Times New Roman" w:hAnsi="Times New Roman" w:cs="Times New Roman"/>
          <w:b/>
        </w:rPr>
        <w:t xml:space="preserve">Part </w:t>
      </w:r>
      <w:r w:rsidR="00846379" w:rsidRPr="00850627">
        <w:rPr>
          <w:rFonts w:ascii="Times New Roman" w:hAnsi="Times New Roman" w:cs="Times New Roman"/>
          <w:b/>
        </w:rPr>
        <w:t>5</w:t>
      </w:r>
      <w:r w:rsidR="00DE4376" w:rsidRPr="00850627">
        <w:rPr>
          <w:rFonts w:ascii="Times New Roman" w:hAnsi="Times New Roman" w:cs="Times New Roman"/>
          <w:b/>
        </w:rPr>
        <w:t xml:space="preserve"> </w:t>
      </w:r>
      <w:r w:rsidRPr="00850627">
        <w:rPr>
          <w:rFonts w:ascii="Times New Roman" w:hAnsi="Times New Roman" w:cs="Times New Roman"/>
          <w:b/>
        </w:rPr>
        <w:t>–</w:t>
      </w:r>
      <w:r w:rsidR="00CE25C3" w:rsidRPr="00850627">
        <w:rPr>
          <w:rFonts w:ascii="Times New Roman" w:hAnsi="Times New Roman" w:cs="Times New Roman"/>
          <w:b/>
          <w:bCs/>
        </w:rPr>
        <w:t xml:space="preserve"> </w:t>
      </w:r>
      <w:r w:rsidR="00E06918" w:rsidRPr="00850627">
        <w:rPr>
          <w:rFonts w:ascii="Times New Roman" w:hAnsi="Times New Roman" w:cs="Times New Roman"/>
          <w:b/>
          <w:bCs/>
        </w:rPr>
        <w:t>General matters</w:t>
      </w:r>
      <w:r w:rsidR="00CE25C3" w:rsidRPr="00850627" w:rsidDel="006245FE">
        <w:rPr>
          <w:rFonts w:ascii="Times New Roman" w:hAnsi="Times New Roman" w:cs="Times New Roman"/>
          <w:b/>
          <w:bCs/>
        </w:rPr>
        <w:t xml:space="preserve"> </w:t>
      </w:r>
    </w:p>
    <w:p w14:paraId="7274EED6" w14:textId="0305119B" w:rsidR="00322934" w:rsidRPr="00850627" w:rsidRDefault="009D217B" w:rsidP="006B4FD3">
      <w:pPr>
        <w:keepNext/>
        <w:spacing w:line="257" w:lineRule="auto"/>
        <w:ind w:left="1418" w:hanging="1418"/>
        <w:rPr>
          <w:rFonts w:ascii="Times New Roman" w:hAnsi="Times New Roman" w:cs="Times New Roman"/>
          <w:b/>
          <w:bCs/>
        </w:rPr>
      </w:pPr>
      <w:r w:rsidRPr="00850627">
        <w:rPr>
          <w:rFonts w:ascii="Times New Roman" w:hAnsi="Times New Roman" w:cs="Times New Roman"/>
          <w:b/>
          <w:bCs/>
        </w:rPr>
        <w:t>Section</w:t>
      </w:r>
      <w:r w:rsidR="006B4FD3" w:rsidRPr="00850627">
        <w:rPr>
          <w:rFonts w:ascii="Times New Roman" w:hAnsi="Times New Roman" w:cs="Times New Roman"/>
          <w:b/>
          <w:bCs/>
        </w:rPr>
        <w:t xml:space="preserve"> </w:t>
      </w:r>
      <w:r w:rsidR="00846379" w:rsidRPr="00850627">
        <w:rPr>
          <w:rFonts w:ascii="Times New Roman" w:hAnsi="Times New Roman" w:cs="Times New Roman"/>
          <w:b/>
          <w:bCs/>
        </w:rPr>
        <w:t>14</w:t>
      </w:r>
      <w:r w:rsidR="006B4FD3" w:rsidRPr="00850627">
        <w:rPr>
          <w:rFonts w:ascii="Times New Roman" w:hAnsi="Times New Roman" w:cs="Times New Roman"/>
          <w:b/>
          <w:bCs/>
        </w:rPr>
        <w:tab/>
      </w:r>
      <w:r w:rsidR="005A1B94" w:rsidRPr="00850627">
        <w:rPr>
          <w:rFonts w:ascii="Times New Roman" w:hAnsi="Times New Roman" w:cs="Times New Roman"/>
          <w:b/>
        </w:rPr>
        <w:t xml:space="preserve">Minimum requirements to publish advice about </w:t>
      </w:r>
      <w:r w:rsidR="00E06918" w:rsidRPr="00850627">
        <w:rPr>
          <w:rFonts w:ascii="Times New Roman" w:hAnsi="Times New Roman" w:cs="Times New Roman"/>
          <w:b/>
        </w:rPr>
        <w:t>customer awareness and safeguard information</w:t>
      </w:r>
      <w:r w:rsidR="005A1B94" w:rsidRPr="00850627" w:rsidDel="00CE25C3">
        <w:rPr>
          <w:rFonts w:ascii="Times New Roman" w:hAnsi="Times New Roman" w:cs="Times New Roman"/>
          <w:b/>
          <w:bCs/>
        </w:rPr>
        <w:t xml:space="preserve"> </w:t>
      </w:r>
    </w:p>
    <w:p w14:paraId="283F92B9" w14:textId="7C29441A" w:rsidR="003C7B4E" w:rsidRDefault="00BC71B4" w:rsidP="00BE039F">
      <w:pPr>
        <w:keepNext/>
        <w:spacing w:line="257" w:lineRule="auto"/>
        <w:rPr>
          <w:rFonts w:ascii="Times New Roman" w:eastAsia="Times New Roman" w:hAnsi="Times New Roman" w:cs="Times New Roman"/>
          <w:color w:val="000000"/>
          <w:lang w:eastAsia="en-AU"/>
        </w:rPr>
      </w:pPr>
      <w:r w:rsidRPr="003C7B4E">
        <w:rPr>
          <w:rFonts w:ascii="Times New Roman" w:hAnsi="Times New Roman" w:cs="Times New Roman"/>
          <w:bCs/>
        </w:rPr>
        <w:t xml:space="preserve">This section </w:t>
      </w:r>
      <w:r w:rsidR="00DD75C8">
        <w:rPr>
          <w:rFonts w:ascii="Times New Roman" w:hAnsi="Times New Roman" w:cs="Times New Roman"/>
          <w:bCs/>
        </w:rPr>
        <w:t>provides</w:t>
      </w:r>
      <w:r w:rsidR="00DD75C8" w:rsidRPr="003C7B4E">
        <w:rPr>
          <w:rFonts w:ascii="Times New Roman" w:hAnsi="Times New Roman" w:cs="Times New Roman"/>
          <w:bCs/>
        </w:rPr>
        <w:t xml:space="preserve"> </w:t>
      </w:r>
      <w:r w:rsidRPr="003C7B4E">
        <w:rPr>
          <w:rFonts w:ascii="Times New Roman" w:hAnsi="Times New Roman" w:cs="Times New Roman"/>
          <w:bCs/>
        </w:rPr>
        <w:t xml:space="preserve">that </w:t>
      </w:r>
      <w:r w:rsidR="00DD75C8">
        <w:rPr>
          <w:rFonts w:ascii="Times New Roman" w:hAnsi="Times New Roman" w:cs="Times New Roman"/>
          <w:bCs/>
        </w:rPr>
        <w:t xml:space="preserve">a </w:t>
      </w:r>
      <w:r w:rsidRPr="003C7B4E">
        <w:rPr>
          <w:rFonts w:ascii="Times New Roman" w:hAnsi="Times New Roman" w:cs="Times New Roman"/>
          <w:bCs/>
        </w:rPr>
        <w:t xml:space="preserve">carriage service provider must publish information </w:t>
      </w:r>
      <w:r w:rsidR="005A1B94" w:rsidRPr="003C7B4E">
        <w:rPr>
          <w:rFonts w:ascii="Times New Roman" w:hAnsi="Times New Roman" w:cs="Times New Roman"/>
          <w:bCs/>
        </w:rPr>
        <w:t xml:space="preserve">on </w:t>
      </w:r>
      <w:r w:rsidR="00DD75C8">
        <w:rPr>
          <w:rFonts w:ascii="Times New Roman" w:hAnsi="Times New Roman" w:cs="Times New Roman"/>
          <w:bCs/>
        </w:rPr>
        <w:t>its</w:t>
      </w:r>
      <w:r w:rsidR="00DD75C8" w:rsidRPr="003C7B4E">
        <w:rPr>
          <w:rFonts w:ascii="Times New Roman" w:hAnsi="Times New Roman" w:cs="Times New Roman"/>
          <w:bCs/>
        </w:rPr>
        <w:t xml:space="preserve"> </w:t>
      </w:r>
      <w:r w:rsidR="005A1B94" w:rsidRPr="003C7B4E">
        <w:rPr>
          <w:rFonts w:ascii="Times New Roman" w:hAnsi="Times New Roman" w:cs="Times New Roman"/>
          <w:bCs/>
        </w:rPr>
        <w:t xml:space="preserve">website advising </w:t>
      </w:r>
      <w:r w:rsidRPr="003C7B4E">
        <w:rPr>
          <w:rFonts w:ascii="Times New Roman" w:hAnsi="Times New Roman" w:cs="Times New Roman"/>
          <w:bCs/>
        </w:rPr>
        <w:t>customers</w:t>
      </w:r>
      <w:r w:rsidR="00CB0923" w:rsidRPr="003C7B4E">
        <w:rPr>
          <w:rFonts w:ascii="Times New Roman" w:hAnsi="Times New Roman" w:cs="Times New Roman"/>
          <w:bCs/>
        </w:rPr>
        <w:t xml:space="preserve"> that</w:t>
      </w:r>
      <w:r w:rsidR="00963292">
        <w:rPr>
          <w:rFonts w:ascii="Times New Roman" w:hAnsi="Times New Roman" w:cs="Times New Roman"/>
          <w:bCs/>
        </w:rPr>
        <w:t xml:space="preserve">, </w:t>
      </w:r>
      <w:proofErr w:type="gramStart"/>
      <w:r w:rsidR="00963292">
        <w:rPr>
          <w:rFonts w:ascii="Times New Roman" w:hAnsi="Times New Roman" w:cs="Times New Roman"/>
          <w:bCs/>
        </w:rPr>
        <w:t>in order</w:t>
      </w:r>
      <w:r w:rsidR="00CB0923" w:rsidRPr="003C7B4E">
        <w:rPr>
          <w:rFonts w:ascii="Times New Roman" w:hAnsi="Times New Roman" w:cs="Times New Roman"/>
          <w:bCs/>
        </w:rPr>
        <w:t xml:space="preserve"> </w:t>
      </w:r>
      <w:r w:rsidR="00354125" w:rsidRPr="0015597F">
        <w:rPr>
          <w:rFonts w:ascii="Times New Roman" w:eastAsia="Times New Roman" w:hAnsi="Times New Roman" w:cs="Times New Roman"/>
          <w:color w:val="000000"/>
          <w:lang w:eastAsia="en-AU"/>
        </w:rPr>
        <w:t>to</w:t>
      </w:r>
      <w:proofErr w:type="gramEnd"/>
      <w:r w:rsidR="00354125" w:rsidRPr="0015597F">
        <w:rPr>
          <w:rFonts w:ascii="Times New Roman" w:eastAsia="Times New Roman" w:hAnsi="Times New Roman" w:cs="Times New Roman"/>
          <w:color w:val="000000"/>
          <w:lang w:eastAsia="en-AU"/>
        </w:rPr>
        <w:t xml:space="preserve"> protect customers from unauthorised high-risk customer interactions, identity </w:t>
      </w:r>
      <w:r w:rsidR="005C2402">
        <w:rPr>
          <w:rFonts w:ascii="Times New Roman" w:eastAsia="Times New Roman" w:hAnsi="Times New Roman" w:cs="Times New Roman"/>
          <w:color w:val="000000"/>
          <w:lang w:eastAsia="en-AU"/>
        </w:rPr>
        <w:t>authenticatio</w:t>
      </w:r>
      <w:r w:rsidR="005C2402" w:rsidRPr="0015597F">
        <w:rPr>
          <w:rFonts w:ascii="Times New Roman" w:eastAsia="Times New Roman" w:hAnsi="Times New Roman" w:cs="Times New Roman"/>
          <w:color w:val="000000"/>
          <w:lang w:eastAsia="en-AU"/>
        </w:rPr>
        <w:t xml:space="preserve">n </w:t>
      </w:r>
      <w:r w:rsidR="00354125" w:rsidRPr="0015597F">
        <w:rPr>
          <w:rFonts w:ascii="Times New Roman" w:eastAsia="Times New Roman" w:hAnsi="Times New Roman" w:cs="Times New Roman"/>
          <w:color w:val="000000"/>
          <w:lang w:eastAsia="en-AU"/>
        </w:rPr>
        <w:t xml:space="preserve">processes will be used to </w:t>
      </w:r>
      <w:r w:rsidR="00566836">
        <w:rPr>
          <w:rFonts w:ascii="Times New Roman" w:eastAsia="Times New Roman" w:hAnsi="Times New Roman" w:cs="Times New Roman"/>
          <w:color w:val="000000"/>
          <w:lang w:eastAsia="en-AU"/>
        </w:rPr>
        <w:t>authenticate</w:t>
      </w:r>
      <w:r w:rsidR="00354125" w:rsidRPr="0015597F">
        <w:rPr>
          <w:rFonts w:ascii="Times New Roman" w:eastAsia="Times New Roman" w:hAnsi="Times New Roman" w:cs="Times New Roman"/>
          <w:color w:val="000000"/>
          <w:lang w:eastAsia="en-AU"/>
        </w:rPr>
        <w:t xml:space="preserve"> the identity of the requesting person, </w:t>
      </w:r>
      <w:r w:rsidR="00071B3D">
        <w:rPr>
          <w:rFonts w:ascii="Times New Roman" w:eastAsia="Times New Roman" w:hAnsi="Times New Roman" w:cs="Times New Roman"/>
          <w:color w:val="000000"/>
          <w:lang w:eastAsia="en-AU"/>
        </w:rPr>
        <w:t>and that these processes will occur</w:t>
      </w:r>
      <w:r w:rsidR="00354125" w:rsidRPr="0015597F">
        <w:rPr>
          <w:rFonts w:ascii="Times New Roman" w:eastAsia="Times New Roman" w:hAnsi="Times New Roman" w:cs="Times New Roman"/>
          <w:color w:val="000000"/>
          <w:lang w:eastAsia="en-AU"/>
        </w:rPr>
        <w:t xml:space="preserve"> prior to undertaking a high-risk customer interaction</w:t>
      </w:r>
      <w:r w:rsidR="00354125">
        <w:rPr>
          <w:rFonts w:ascii="Times New Roman" w:eastAsia="Times New Roman" w:hAnsi="Times New Roman" w:cs="Times New Roman"/>
          <w:color w:val="000000"/>
          <w:lang w:eastAsia="en-AU"/>
        </w:rPr>
        <w:t>.</w:t>
      </w:r>
    </w:p>
    <w:p w14:paraId="7B7BE31F" w14:textId="0CBC6249" w:rsidR="00354125" w:rsidRPr="00354125" w:rsidRDefault="00355210" w:rsidP="009D217B">
      <w:pPr>
        <w:rPr>
          <w:rFonts w:ascii="Times New Roman" w:hAnsi="Times New Roman" w:cs="Times New Roman"/>
          <w:bCs/>
        </w:rPr>
      </w:pPr>
      <w:r>
        <w:rPr>
          <w:rFonts w:ascii="Times New Roman" w:hAnsi="Times New Roman" w:cs="Times New Roman"/>
          <w:bCs/>
        </w:rPr>
        <w:t>A c</w:t>
      </w:r>
      <w:r w:rsidR="00972252" w:rsidRPr="00354125">
        <w:rPr>
          <w:rFonts w:ascii="Times New Roman" w:hAnsi="Times New Roman" w:cs="Times New Roman"/>
          <w:bCs/>
        </w:rPr>
        <w:t xml:space="preserve">arriage service provider </w:t>
      </w:r>
      <w:r w:rsidR="00CB0923" w:rsidRPr="00354125">
        <w:rPr>
          <w:rFonts w:ascii="Times New Roman" w:hAnsi="Times New Roman" w:cs="Times New Roman"/>
          <w:bCs/>
        </w:rPr>
        <w:t xml:space="preserve">must also publish information that advises customers </w:t>
      </w:r>
      <w:r w:rsidR="004B6A4C">
        <w:rPr>
          <w:rFonts w:ascii="Times New Roman" w:hAnsi="Times New Roman" w:cs="Times New Roman"/>
          <w:bCs/>
        </w:rPr>
        <w:t>that, if they</w:t>
      </w:r>
      <w:r w:rsidR="001E4002">
        <w:rPr>
          <w:rFonts w:ascii="Times New Roman" w:hAnsi="Times New Roman" w:cs="Times New Roman"/>
          <w:bCs/>
        </w:rPr>
        <w:t xml:space="preserve"> </w:t>
      </w:r>
      <w:r w:rsidR="007422CE">
        <w:rPr>
          <w:rFonts w:ascii="Times New Roman" w:hAnsi="Times New Roman" w:cs="Times New Roman"/>
          <w:bCs/>
        </w:rPr>
        <w:t xml:space="preserve">suspect their </w:t>
      </w:r>
      <w:r w:rsidR="00354125" w:rsidRPr="00354125">
        <w:rPr>
          <w:rFonts w:ascii="Times New Roman" w:hAnsi="Times New Roman" w:cs="Times New Roman"/>
          <w:bCs/>
        </w:rPr>
        <w:t xml:space="preserve">telecommunications service or account </w:t>
      </w:r>
      <w:r w:rsidR="00354125" w:rsidRPr="00354125">
        <w:rPr>
          <w:rFonts w:ascii="Times New Roman" w:eastAsia="Times New Roman" w:hAnsi="Times New Roman" w:cs="Times New Roman"/>
          <w:color w:val="000000"/>
          <w:lang w:eastAsia="en-AU"/>
        </w:rPr>
        <w:t>has been subject to fraud</w:t>
      </w:r>
      <w:r w:rsidR="004B6A4C">
        <w:rPr>
          <w:rFonts w:ascii="Times New Roman" w:eastAsia="Times New Roman" w:hAnsi="Times New Roman" w:cs="Times New Roman"/>
          <w:color w:val="000000"/>
          <w:lang w:eastAsia="en-AU"/>
        </w:rPr>
        <w:t xml:space="preserve">, they should </w:t>
      </w:r>
      <w:r w:rsidR="00354125" w:rsidRPr="00354125">
        <w:rPr>
          <w:rFonts w:ascii="Times New Roman" w:hAnsi="Times New Roman" w:cs="Times New Roman"/>
          <w:bCs/>
        </w:rPr>
        <w:t>immediately report th</w:t>
      </w:r>
      <w:r w:rsidR="004B6A4C">
        <w:rPr>
          <w:rFonts w:ascii="Times New Roman" w:hAnsi="Times New Roman" w:cs="Times New Roman"/>
          <w:bCs/>
        </w:rPr>
        <w:t>e</w:t>
      </w:r>
      <w:r w:rsidR="00354125" w:rsidRPr="00354125">
        <w:rPr>
          <w:rFonts w:ascii="Times New Roman" w:hAnsi="Times New Roman" w:cs="Times New Roman"/>
          <w:bCs/>
        </w:rPr>
        <w:t xml:space="preserve"> activity to </w:t>
      </w:r>
      <w:r w:rsidR="00354125" w:rsidRPr="00354125">
        <w:rPr>
          <w:rFonts w:ascii="Times New Roman" w:eastAsia="Times New Roman" w:hAnsi="Times New Roman" w:cs="Times New Roman"/>
          <w:color w:val="000000"/>
          <w:lang w:eastAsia="en-AU"/>
        </w:rPr>
        <w:t>their carriage service provider and their financial services provider.</w:t>
      </w:r>
    </w:p>
    <w:p w14:paraId="159ABBEB" w14:textId="2034FA66" w:rsidR="002B56B4" w:rsidRPr="002C506B" w:rsidRDefault="004F58F5" w:rsidP="00CE25C3">
      <w:pPr>
        <w:rPr>
          <w:rFonts w:ascii="Times New Roman" w:hAnsi="Times New Roman" w:cs="Times New Roman"/>
          <w:i/>
          <w:iCs/>
        </w:rPr>
      </w:pPr>
      <w:r w:rsidRPr="002C506B">
        <w:rPr>
          <w:rFonts w:ascii="Times New Roman" w:hAnsi="Times New Roman" w:cs="Times New Roman"/>
          <w:bCs/>
        </w:rPr>
        <w:t xml:space="preserve">These are minimum requirements. </w:t>
      </w:r>
      <w:r w:rsidR="0069632E" w:rsidRPr="002C506B">
        <w:rPr>
          <w:rFonts w:ascii="Times New Roman" w:hAnsi="Times New Roman" w:cs="Times New Roman"/>
          <w:bCs/>
        </w:rPr>
        <w:t xml:space="preserve">A </w:t>
      </w:r>
      <w:r w:rsidR="00397232" w:rsidRPr="002C506B">
        <w:rPr>
          <w:rFonts w:ascii="Times New Roman" w:hAnsi="Times New Roman" w:cs="Times New Roman"/>
          <w:bCs/>
        </w:rPr>
        <w:t xml:space="preserve">carriage service provider may also provide any other advice or information </w:t>
      </w:r>
      <w:r w:rsidR="002B6659">
        <w:rPr>
          <w:rFonts w:ascii="Times New Roman" w:hAnsi="Times New Roman" w:cs="Times New Roman"/>
          <w:bCs/>
        </w:rPr>
        <w:t>for</w:t>
      </w:r>
      <w:r w:rsidR="00397232" w:rsidRPr="002C506B">
        <w:rPr>
          <w:rFonts w:ascii="Times New Roman" w:hAnsi="Times New Roman" w:cs="Times New Roman"/>
          <w:bCs/>
        </w:rPr>
        <w:t xml:space="preserve"> customers </w:t>
      </w:r>
      <w:r w:rsidR="002B6659">
        <w:rPr>
          <w:rFonts w:ascii="Times New Roman" w:hAnsi="Times New Roman" w:cs="Times New Roman"/>
          <w:bCs/>
        </w:rPr>
        <w:t>who may</w:t>
      </w:r>
      <w:r w:rsidR="00397232" w:rsidRPr="002C506B">
        <w:rPr>
          <w:rFonts w:ascii="Times New Roman" w:hAnsi="Times New Roman" w:cs="Times New Roman"/>
          <w:bCs/>
        </w:rPr>
        <w:t xml:space="preserve"> suspect unauthorised </w:t>
      </w:r>
      <w:r w:rsidR="00354125" w:rsidRPr="002C506B">
        <w:rPr>
          <w:rFonts w:ascii="Times New Roman" w:eastAsia="Times New Roman" w:hAnsi="Times New Roman" w:cs="Times New Roman"/>
          <w:color w:val="000000"/>
          <w:lang w:eastAsia="en-AU"/>
        </w:rPr>
        <w:t>high-risk customer interactions</w:t>
      </w:r>
      <w:r w:rsidR="0081078D" w:rsidRPr="002C506B">
        <w:rPr>
          <w:rFonts w:ascii="Times New Roman" w:hAnsi="Times New Roman" w:cs="Times New Roman"/>
          <w:bCs/>
        </w:rPr>
        <w:t xml:space="preserve">. For example, </w:t>
      </w:r>
      <w:r w:rsidR="00970ACB" w:rsidRPr="002C506B">
        <w:rPr>
          <w:rFonts w:ascii="Times New Roman" w:hAnsi="Times New Roman" w:cs="Times New Roman"/>
          <w:bCs/>
        </w:rPr>
        <w:t>customers</w:t>
      </w:r>
      <w:r w:rsidR="000B32A4" w:rsidRPr="002C506B">
        <w:rPr>
          <w:rFonts w:ascii="Times New Roman" w:hAnsi="Times New Roman" w:cs="Times New Roman"/>
          <w:bCs/>
        </w:rPr>
        <w:t xml:space="preserve"> might be advised </w:t>
      </w:r>
      <w:r w:rsidR="00397232" w:rsidRPr="002C506B">
        <w:rPr>
          <w:rFonts w:ascii="Times New Roman" w:hAnsi="Times New Roman" w:cs="Times New Roman"/>
          <w:bCs/>
        </w:rPr>
        <w:t xml:space="preserve">to contact </w:t>
      </w:r>
      <w:proofErr w:type="spellStart"/>
      <w:r w:rsidR="00354125" w:rsidRPr="002C506B">
        <w:rPr>
          <w:rFonts w:ascii="Times New Roman" w:hAnsi="Times New Roman" w:cs="Times New Roman"/>
          <w:bCs/>
        </w:rPr>
        <w:t>Scamwatch</w:t>
      </w:r>
      <w:proofErr w:type="spellEnd"/>
      <w:r w:rsidR="00354125" w:rsidRPr="002C506B">
        <w:rPr>
          <w:rFonts w:ascii="Times New Roman" w:hAnsi="Times New Roman" w:cs="Times New Roman"/>
          <w:bCs/>
        </w:rPr>
        <w:t xml:space="preserve"> or IDCARE or the Australian Federal Police or relevant State or Territory Polic</w:t>
      </w:r>
      <w:r w:rsidR="002C506B" w:rsidRPr="002C506B">
        <w:rPr>
          <w:rFonts w:ascii="Times New Roman" w:hAnsi="Times New Roman" w:cs="Times New Roman"/>
          <w:bCs/>
        </w:rPr>
        <w:t>e</w:t>
      </w:r>
      <w:r w:rsidR="003E10B6" w:rsidRPr="002C506B">
        <w:rPr>
          <w:rFonts w:ascii="Times New Roman" w:hAnsi="Times New Roman" w:cs="Times New Roman"/>
        </w:rPr>
        <w:t>.</w:t>
      </w:r>
    </w:p>
    <w:p w14:paraId="43BD32E9" w14:textId="094D6804" w:rsidR="00E06918" w:rsidRPr="003C7B4E" w:rsidRDefault="00E06918" w:rsidP="00E06918">
      <w:pPr>
        <w:keepNext/>
        <w:spacing w:line="257" w:lineRule="auto"/>
        <w:ind w:left="1418" w:hanging="1418"/>
        <w:rPr>
          <w:rFonts w:ascii="Times New Roman" w:hAnsi="Times New Roman" w:cs="Times New Roman"/>
          <w:b/>
          <w:bCs/>
        </w:rPr>
      </w:pPr>
      <w:r w:rsidRPr="003C7B4E">
        <w:rPr>
          <w:rFonts w:ascii="Times New Roman" w:hAnsi="Times New Roman" w:cs="Times New Roman"/>
          <w:b/>
          <w:bCs/>
        </w:rPr>
        <w:t xml:space="preserve">Section </w:t>
      </w:r>
      <w:r w:rsidR="00846379" w:rsidRPr="003C7B4E">
        <w:rPr>
          <w:rFonts w:ascii="Times New Roman" w:hAnsi="Times New Roman" w:cs="Times New Roman"/>
          <w:b/>
          <w:bCs/>
        </w:rPr>
        <w:t>1</w:t>
      </w:r>
      <w:r w:rsidR="00846379">
        <w:rPr>
          <w:rFonts w:ascii="Times New Roman" w:hAnsi="Times New Roman" w:cs="Times New Roman"/>
          <w:b/>
          <w:bCs/>
        </w:rPr>
        <w:t>5</w:t>
      </w:r>
      <w:r w:rsidRPr="003C7B4E">
        <w:rPr>
          <w:rFonts w:ascii="Times New Roman" w:hAnsi="Times New Roman" w:cs="Times New Roman"/>
          <w:b/>
          <w:bCs/>
        </w:rPr>
        <w:tab/>
      </w:r>
      <w:r w:rsidR="003C7B4E" w:rsidRPr="003C7B4E">
        <w:rPr>
          <w:rFonts w:ascii="Times New Roman" w:eastAsia="Times New Roman" w:hAnsi="Times New Roman" w:cs="Times New Roman"/>
          <w:b/>
          <w:bCs/>
          <w:color w:val="000000"/>
          <w:lang w:eastAsia="en-AU"/>
        </w:rPr>
        <w:t>Requirement not to charge a fee for a message or notification</w:t>
      </w:r>
      <w:r w:rsidRPr="003C7B4E" w:rsidDel="00CE25C3">
        <w:rPr>
          <w:rFonts w:ascii="Times New Roman" w:hAnsi="Times New Roman" w:cs="Times New Roman"/>
          <w:b/>
          <w:bCs/>
        </w:rPr>
        <w:t xml:space="preserve"> </w:t>
      </w:r>
    </w:p>
    <w:p w14:paraId="14134EA8" w14:textId="3D0DD199" w:rsidR="00E06918" w:rsidRDefault="001667D0" w:rsidP="00CE25C3">
      <w:pPr>
        <w:rPr>
          <w:rFonts w:ascii="Times New Roman" w:hAnsi="Times New Roman" w:cs="Times New Roman"/>
        </w:rPr>
      </w:pPr>
      <w:r w:rsidRPr="001E4002">
        <w:rPr>
          <w:rFonts w:ascii="Times New Roman" w:hAnsi="Times New Roman" w:cs="Times New Roman"/>
        </w:rPr>
        <w:t xml:space="preserve">Section </w:t>
      </w:r>
      <w:r w:rsidR="00846379" w:rsidRPr="001E4002">
        <w:rPr>
          <w:rFonts w:ascii="Times New Roman" w:hAnsi="Times New Roman" w:cs="Times New Roman"/>
        </w:rPr>
        <w:t xml:space="preserve">15 </w:t>
      </w:r>
      <w:r w:rsidR="00B44D1A" w:rsidRPr="001E4002">
        <w:rPr>
          <w:rFonts w:ascii="Times New Roman" w:hAnsi="Times New Roman" w:cs="Times New Roman"/>
        </w:rPr>
        <w:t xml:space="preserve">provides that carriage service providers must not charge a fee to </w:t>
      </w:r>
      <w:r w:rsidRPr="001E4002">
        <w:rPr>
          <w:rFonts w:ascii="Times New Roman" w:hAnsi="Times New Roman" w:cs="Times New Roman"/>
        </w:rPr>
        <w:t>a</w:t>
      </w:r>
      <w:r w:rsidR="00B44D1A" w:rsidRPr="001E4002">
        <w:rPr>
          <w:rFonts w:ascii="Times New Roman" w:hAnsi="Times New Roman" w:cs="Times New Roman"/>
        </w:rPr>
        <w:t xml:space="preserve"> </w:t>
      </w:r>
      <w:r w:rsidRPr="001E4002">
        <w:rPr>
          <w:rFonts w:ascii="Times New Roman" w:hAnsi="Times New Roman" w:cs="Times New Roman"/>
        </w:rPr>
        <w:t>customer</w:t>
      </w:r>
      <w:r w:rsidR="00B44D1A" w:rsidRPr="001E4002">
        <w:rPr>
          <w:rFonts w:ascii="Times New Roman" w:hAnsi="Times New Roman" w:cs="Times New Roman"/>
        </w:rPr>
        <w:t xml:space="preserve"> for </w:t>
      </w:r>
      <w:r w:rsidRPr="001E4002">
        <w:rPr>
          <w:rFonts w:ascii="Times New Roman" w:hAnsi="Times New Roman" w:cs="Times New Roman"/>
        </w:rPr>
        <w:t xml:space="preserve">a message sent for the purposes of </w:t>
      </w:r>
      <w:r w:rsidRPr="001E4002">
        <w:rPr>
          <w:rFonts w:ascii="Times New Roman" w:eastAsia="Times New Roman" w:hAnsi="Times New Roman" w:cs="Times New Roman"/>
          <w:color w:val="000000"/>
          <w:lang w:eastAsia="en-AU"/>
        </w:rPr>
        <w:t>paragraph 9(</w:t>
      </w:r>
      <w:r w:rsidR="00833935" w:rsidRPr="001E4002">
        <w:rPr>
          <w:rFonts w:ascii="Times New Roman" w:eastAsia="Times New Roman" w:hAnsi="Times New Roman" w:cs="Times New Roman"/>
          <w:color w:val="000000"/>
          <w:lang w:eastAsia="en-AU"/>
        </w:rPr>
        <w:t>3</w:t>
      </w:r>
      <w:r w:rsidRPr="001E4002">
        <w:rPr>
          <w:rFonts w:ascii="Times New Roman" w:eastAsia="Times New Roman" w:hAnsi="Times New Roman" w:cs="Times New Roman"/>
          <w:color w:val="000000"/>
          <w:lang w:eastAsia="en-AU"/>
        </w:rPr>
        <w:t>)(</w:t>
      </w:r>
      <w:r w:rsidR="005C2402" w:rsidRPr="001E4002">
        <w:rPr>
          <w:rFonts w:ascii="Times New Roman" w:eastAsia="Times New Roman" w:hAnsi="Times New Roman" w:cs="Times New Roman"/>
          <w:color w:val="000000"/>
          <w:lang w:eastAsia="en-AU"/>
        </w:rPr>
        <w:t>c</w:t>
      </w:r>
      <w:r w:rsidRPr="001E4002">
        <w:rPr>
          <w:rFonts w:ascii="Times New Roman" w:eastAsia="Times New Roman" w:hAnsi="Times New Roman" w:cs="Times New Roman"/>
          <w:color w:val="000000"/>
          <w:lang w:eastAsia="en-AU"/>
        </w:rPr>
        <w:t>)</w:t>
      </w:r>
      <w:r w:rsidR="006033C2" w:rsidRPr="001E4002">
        <w:rPr>
          <w:rFonts w:ascii="Times New Roman" w:eastAsia="Times New Roman" w:hAnsi="Times New Roman" w:cs="Times New Roman"/>
          <w:color w:val="000000"/>
          <w:lang w:eastAsia="en-AU"/>
        </w:rPr>
        <w:t>,</w:t>
      </w:r>
      <w:r w:rsidRPr="001E4002">
        <w:rPr>
          <w:rFonts w:ascii="Times New Roman" w:eastAsia="Times New Roman" w:hAnsi="Times New Roman" w:cs="Times New Roman"/>
          <w:color w:val="000000"/>
          <w:lang w:eastAsia="en-AU"/>
        </w:rPr>
        <w:t xml:space="preserve"> a notification sent under subsection 10(</w:t>
      </w:r>
      <w:r w:rsidR="00833935" w:rsidRPr="001E4002">
        <w:rPr>
          <w:rFonts w:ascii="Times New Roman" w:eastAsia="Times New Roman" w:hAnsi="Times New Roman" w:cs="Times New Roman"/>
          <w:color w:val="000000"/>
          <w:lang w:eastAsia="en-AU"/>
        </w:rPr>
        <w:t>5</w:t>
      </w:r>
      <w:r w:rsidRPr="001E4002">
        <w:rPr>
          <w:rFonts w:ascii="Times New Roman" w:eastAsia="Times New Roman" w:hAnsi="Times New Roman" w:cs="Times New Roman"/>
          <w:color w:val="000000"/>
          <w:lang w:eastAsia="en-AU"/>
        </w:rPr>
        <w:t>)</w:t>
      </w:r>
      <w:r w:rsidR="00846379" w:rsidRPr="001E4002">
        <w:rPr>
          <w:rFonts w:ascii="Times New Roman" w:eastAsia="Times New Roman" w:hAnsi="Times New Roman" w:cs="Times New Roman"/>
          <w:color w:val="000000"/>
          <w:lang w:eastAsia="en-AU"/>
        </w:rPr>
        <w:t>,</w:t>
      </w:r>
      <w:r w:rsidR="00833935" w:rsidRPr="001E4002">
        <w:rPr>
          <w:rFonts w:ascii="Times New Roman" w:eastAsia="Times New Roman" w:hAnsi="Times New Roman" w:cs="Times New Roman"/>
          <w:color w:val="000000"/>
          <w:lang w:eastAsia="en-AU"/>
        </w:rPr>
        <w:t xml:space="preserve"> </w:t>
      </w:r>
      <w:r w:rsidRPr="001E4002">
        <w:rPr>
          <w:rFonts w:ascii="Times New Roman" w:eastAsia="Times New Roman" w:hAnsi="Times New Roman" w:cs="Times New Roman"/>
          <w:color w:val="000000"/>
          <w:lang w:eastAsia="en-AU"/>
        </w:rPr>
        <w:t>11(</w:t>
      </w:r>
      <w:r w:rsidR="00846379" w:rsidRPr="001E4002">
        <w:rPr>
          <w:rFonts w:ascii="Times New Roman" w:eastAsia="Times New Roman" w:hAnsi="Times New Roman" w:cs="Times New Roman"/>
          <w:color w:val="000000"/>
          <w:lang w:eastAsia="en-AU"/>
        </w:rPr>
        <w:t>4</w:t>
      </w:r>
      <w:r w:rsidRPr="001E4002">
        <w:rPr>
          <w:rFonts w:ascii="Times New Roman" w:eastAsia="Times New Roman" w:hAnsi="Times New Roman" w:cs="Times New Roman"/>
          <w:color w:val="000000"/>
          <w:lang w:eastAsia="en-AU"/>
        </w:rPr>
        <w:t>)</w:t>
      </w:r>
      <w:r w:rsidR="00846379" w:rsidRPr="001E4002">
        <w:rPr>
          <w:rFonts w:ascii="Times New Roman" w:eastAsia="Times New Roman" w:hAnsi="Times New Roman" w:cs="Times New Roman"/>
          <w:color w:val="000000"/>
          <w:lang w:eastAsia="en-AU"/>
        </w:rPr>
        <w:t xml:space="preserve"> or 12(4)</w:t>
      </w:r>
      <w:r w:rsidRPr="001E4002">
        <w:rPr>
          <w:rFonts w:ascii="Times New Roman" w:eastAsia="Times New Roman" w:hAnsi="Times New Roman" w:cs="Times New Roman"/>
          <w:color w:val="000000"/>
          <w:lang w:eastAsia="en-AU"/>
        </w:rPr>
        <w:t xml:space="preserve">; or for taking an action described in section </w:t>
      </w:r>
      <w:r w:rsidR="00846379" w:rsidRPr="001E4002">
        <w:rPr>
          <w:rFonts w:ascii="Times New Roman" w:eastAsia="Times New Roman" w:hAnsi="Times New Roman" w:cs="Times New Roman"/>
          <w:color w:val="000000"/>
          <w:lang w:eastAsia="en-AU"/>
        </w:rPr>
        <w:t>13</w:t>
      </w:r>
      <w:r w:rsidR="00B44D1A" w:rsidRPr="001E4002">
        <w:rPr>
          <w:rFonts w:ascii="Times New Roman" w:hAnsi="Times New Roman" w:cs="Times New Roman"/>
        </w:rPr>
        <w:t>.</w:t>
      </w:r>
      <w:r w:rsidR="00846379">
        <w:rPr>
          <w:rFonts w:ascii="Times New Roman" w:hAnsi="Times New Roman" w:cs="Times New Roman"/>
        </w:rPr>
        <w:t xml:space="preserve"> </w:t>
      </w:r>
    </w:p>
    <w:p w14:paraId="2D43EC53" w14:textId="506EB1CD" w:rsidR="00DD16B1" w:rsidRDefault="00DD16B1" w:rsidP="00CE25C3">
      <w:pPr>
        <w:rPr>
          <w:rFonts w:ascii="Times New Roman" w:hAnsi="Times New Roman" w:cs="Times New Roman"/>
        </w:rPr>
      </w:pPr>
      <w:r>
        <w:rPr>
          <w:rFonts w:ascii="Times New Roman" w:hAnsi="Times New Roman" w:cs="Times New Roman"/>
        </w:rPr>
        <w:t xml:space="preserve">Section 15 does not apply </w:t>
      </w:r>
      <w:r w:rsidRPr="00DD16B1">
        <w:rPr>
          <w:rFonts w:ascii="Times New Roman" w:hAnsi="Times New Roman" w:cs="Times New Roman"/>
        </w:rPr>
        <w:t>where a customer, or a customer’s authorised representative, uses a telecommunications service to initiate a high-risk customer interaction that is not associated with the customer’s account.</w:t>
      </w:r>
    </w:p>
    <w:p w14:paraId="48D7E714" w14:textId="3D3C4456" w:rsidR="00914F52" w:rsidRPr="00914F52" w:rsidRDefault="00914F52" w:rsidP="00A00866">
      <w:pPr>
        <w:keepNext/>
        <w:spacing w:line="257" w:lineRule="auto"/>
        <w:rPr>
          <w:rFonts w:ascii="Times New Roman" w:hAnsi="Times New Roman" w:cs="Times New Roman"/>
          <w:b/>
          <w:bCs/>
        </w:rPr>
      </w:pPr>
      <w:r w:rsidRPr="00914F52">
        <w:rPr>
          <w:rFonts w:ascii="Times New Roman" w:hAnsi="Times New Roman" w:cs="Times New Roman"/>
          <w:b/>
          <w:bCs/>
        </w:rPr>
        <w:t xml:space="preserve">Part </w:t>
      </w:r>
      <w:r w:rsidR="00545035">
        <w:rPr>
          <w:rFonts w:ascii="Times New Roman" w:hAnsi="Times New Roman" w:cs="Times New Roman"/>
          <w:b/>
          <w:bCs/>
        </w:rPr>
        <w:t>6</w:t>
      </w:r>
      <w:r w:rsidR="00DE4376">
        <w:rPr>
          <w:rFonts w:ascii="Times New Roman" w:hAnsi="Times New Roman" w:cs="Times New Roman"/>
          <w:b/>
          <w:bCs/>
        </w:rPr>
        <w:t xml:space="preserve"> </w:t>
      </w:r>
      <w:r w:rsidRPr="00914F52">
        <w:rPr>
          <w:rFonts w:ascii="Times New Roman" w:hAnsi="Times New Roman" w:cs="Times New Roman"/>
          <w:b/>
          <w:bCs/>
        </w:rPr>
        <w:t>–</w:t>
      </w:r>
      <w:r w:rsidRPr="00914F52">
        <w:rPr>
          <w:rFonts w:ascii="Times New Roman" w:hAnsi="Times New Roman" w:cs="Times New Roman"/>
          <w:b/>
          <w:bCs/>
          <w:sz w:val="32"/>
          <w:szCs w:val="32"/>
        </w:rPr>
        <w:t xml:space="preserve"> </w:t>
      </w:r>
      <w:r w:rsidR="00E06918">
        <w:rPr>
          <w:rFonts w:ascii="Times New Roman" w:hAnsi="Times New Roman" w:cs="Times New Roman"/>
          <w:b/>
          <w:bCs/>
        </w:rPr>
        <w:t>Record-keeping</w:t>
      </w:r>
      <w:r w:rsidR="001D5BEC">
        <w:rPr>
          <w:rFonts w:ascii="Times New Roman" w:hAnsi="Times New Roman" w:cs="Times New Roman"/>
          <w:b/>
          <w:bCs/>
        </w:rPr>
        <w:t xml:space="preserve"> </w:t>
      </w:r>
    </w:p>
    <w:p w14:paraId="1DC8CADA" w14:textId="2B76DC3E" w:rsidR="00914F52" w:rsidRDefault="00914F52" w:rsidP="00A00866">
      <w:pPr>
        <w:keepNext/>
        <w:spacing w:line="257" w:lineRule="auto"/>
        <w:rPr>
          <w:rFonts w:ascii="Times New Roman" w:hAnsi="Times New Roman" w:cs="Times New Roman"/>
          <w:b/>
          <w:bCs/>
        </w:rPr>
      </w:pPr>
      <w:r w:rsidRPr="00914F52">
        <w:rPr>
          <w:rFonts w:ascii="Times New Roman" w:hAnsi="Times New Roman" w:cs="Times New Roman"/>
          <w:b/>
          <w:bCs/>
        </w:rPr>
        <w:t xml:space="preserve">Section </w:t>
      </w:r>
      <w:r>
        <w:rPr>
          <w:rFonts w:ascii="Times New Roman" w:hAnsi="Times New Roman" w:cs="Times New Roman"/>
          <w:b/>
          <w:bCs/>
        </w:rPr>
        <w:t>1</w:t>
      </w:r>
      <w:r w:rsidR="00F55F28">
        <w:rPr>
          <w:rFonts w:ascii="Times New Roman" w:hAnsi="Times New Roman" w:cs="Times New Roman"/>
          <w:b/>
          <w:bCs/>
        </w:rPr>
        <w:t>6</w:t>
      </w:r>
      <w:r w:rsidR="006B4FD3">
        <w:rPr>
          <w:rFonts w:ascii="Times New Roman" w:hAnsi="Times New Roman" w:cs="Times New Roman"/>
          <w:b/>
          <w:bCs/>
        </w:rPr>
        <w:tab/>
      </w:r>
      <w:r w:rsidR="00E06918">
        <w:rPr>
          <w:rFonts w:ascii="Times New Roman" w:hAnsi="Times New Roman" w:cs="Times New Roman"/>
          <w:b/>
          <w:bCs/>
        </w:rPr>
        <w:t>Requirement to keep records</w:t>
      </w:r>
    </w:p>
    <w:p w14:paraId="01F04C1B" w14:textId="5354E7AC" w:rsidR="0091164C" w:rsidRPr="0091164C" w:rsidRDefault="00B3450A" w:rsidP="0091164C">
      <w:pPr>
        <w:rPr>
          <w:rFonts w:ascii="Times New Roman" w:hAnsi="Times New Roman" w:cs="Times New Roman"/>
        </w:rPr>
      </w:pPr>
      <w:r w:rsidRPr="001E4002">
        <w:rPr>
          <w:rFonts w:ascii="Times New Roman" w:hAnsi="Times New Roman" w:cs="Times New Roman"/>
        </w:rPr>
        <w:t>Section 1</w:t>
      </w:r>
      <w:r w:rsidR="00F55F28">
        <w:rPr>
          <w:rFonts w:ascii="Times New Roman" w:hAnsi="Times New Roman" w:cs="Times New Roman"/>
        </w:rPr>
        <w:t>6</w:t>
      </w:r>
      <w:r w:rsidRPr="001E4002">
        <w:rPr>
          <w:rFonts w:ascii="Times New Roman" w:hAnsi="Times New Roman" w:cs="Times New Roman"/>
        </w:rPr>
        <w:t xml:space="preserve"> </w:t>
      </w:r>
      <w:r w:rsidR="000D11D2">
        <w:rPr>
          <w:rFonts w:ascii="Times New Roman" w:hAnsi="Times New Roman" w:cs="Times New Roman"/>
        </w:rPr>
        <w:t>requires</w:t>
      </w:r>
      <w:r w:rsidRPr="001E4002">
        <w:rPr>
          <w:rFonts w:ascii="Times New Roman" w:hAnsi="Times New Roman" w:cs="Times New Roman"/>
        </w:rPr>
        <w:t xml:space="preserve"> a carriage service provider to </w:t>
      </w:r>
      <w:r w:rsidR="00C15F2A" w:rsidRPr="001E4002">
        <w:rPr>
          <w:rFonts w:ascii="Times New Roman" w:hAnsi="Times New Roman" w:cs="Times New Roman"/>
        </w:rPr>
        <w:t>keep records that are sufficient to demonstrate its compliance with the requirements in Parts 2, 3</w:t>
      </w:r>
      <w:r w:rsidR="00545035" w:rsidRPr="001E4002">
        <w:rPr>
          <w:rFonts w:ascii="Times New Roman" w:hAnsi="Times New Roman" w:cs="Times New Roman"/>
        </w:rPr>
        <w:t>, 4</w:t>
      </w:r>
      <w:r w:rsidR="00C15F2A" w:rsidRPr="001E4002">
        <w:rPr>
          <w:rFonts w:ascii="Times New Roman" w:hAnsi="Times New Roman" w:cs="Times New Roman"/>
        </w:rPr>
        <w:t xml:space="preserve"> and </w:t>
      </w:r>
      <w:r w:rsidR="00545035" w:rsidRPr="001E4002">
        <w:rPr>
          <w:rFonts w:ascii="Times New Roman" w:hAnsi="Times New Roman" w:cs="Times New Roman"/>
        </w:rPr>
        <w:t>5</w:t>
      </w:r>
      <w:r w:rsidR="00C15F2A" w:rsidRPr="001E4002">
        <w:rPr>
          <w:rFonts w:ascii="Times New Roman" w:hAnsi="Times New Roman" w:cs="Times New Roman"/>
        </w:rPr>
        <w:t xml:space="preserve"> of th</w:t>
      </w:r>
      <w:r w:rsidR="000D11D2">
        <w:rPr>
          <w:rFonts w:ascii="Times New Roman" w:hAnsi="Times New Roman" w:cs="Times New Roman"/>
        </w:rPr>
        <w:t>e</w:t>
      </w:r>
      <w:r w:rsidR="00C15F2A" w:rsidRPr="001E4002">
        <w:rPr>
          <w:rFonts w:ascii="Times New Roman" w:hAnsi="Times New Roman" w:cs="Times New Roman"/>
        </w:rPr>
        <w:t xml:space="preserve"> </w:t>
      </w:r>
      <w:r w:rsidR="000D11D2">
        <w:rPr>
          <w:rFonts w:ascii="Times New Roman" w:hAnsi="Times New Roman" w:cs="Times New Roman"/>
        </w:rPr>
        <w:t>D</w:t>
      </w:r>
      <w:r w:rsidR="00C15F2A" w:rsidRPr="001E4002">
        <w:rPr>
          <w:rFonts w:ascii="Times New Roman" w:hAnsi="Times New Roman" w:cs="Times New Roman"/>
        </w:rPr>
        <w:t>etermination</w:t>
      </w:r>
      <w:r w:rsidR="000D11D2">
        <w:rPr>
          <w:rFonts w:ascii="Times New Roman" w:hAnsi="Times New Roman" w:cs="Times New Roman"/>
        </w:rPr>
        <w:t xml:space="preserve"> and to </w:t>
      </w:r>
      <w:r w:rsidR="00C15F2A" w:rsidRPr="001E4002">
        <w:rPr>
          <w:rFonts w:ascii="Times New Roman" w:hAnsi="Times New Roman" w:cs="Times New Roman"/>
        </w:rPr>
        <w:t xml:space="preserve">retain </w:t>
      </w:r>
      <w:r w:rsidR="000D11D2">
        <w:rPr>
          <w:rFonts w:ascii="Times New Roman" w:hAnsi="Times New Roman" w:cs="Times New Roman"/>
        </w:rPr>
        <w:t xml:space="preserve">those records, and </w:t>
      </w:r>
      <w:r w:rsidR="00C15F2A" w:rsidRPr="001E4002">
        <w:rPr>
          <w:rFonts w:ascii="Times New Roman" w:hAnsi="Times New Roman" w:cs="Times New Roman"/>
        </w:rPr>
        <w:t xml:space="preserve">the records required to be kept by </w:t>
      </w:r>
      <w:r w:rsidR="00DB22AA">
        <w:rPr>
          <w:rFonts w:ascii="Times New Roman" w:hAnsi="Times New Roman" w:cs="Times New Roman"/>
        </w:rPr>
        <w:t xml:space="preserve">subsections </w:t>
      </w:r>
      <w:r w:rsidR="00C15F2A" w:rsidRPr="001E4002">
        <w:rPr>
          <w:rFonts w:ascii="Times New Roman" w:hAnsi="Times New Roman" w:cs="Times New Roman"/>
        </w:rPr>
        <w:t>paragraph 1</w:t>
      </w:r>
      <w:r w:rsidR="004F72C7">
        <w:rPr>
          <w:rFonts w:ascii="Times New Roman" w:hAnsi="Times New Roman" w:cs="Times New Roman"/>
        </w:rPr>
        <w:t>6</w:t>
      </w:r>
      <w:r w:rsidR="00C15F2A" w:rsidRPr="001E4002">
        <w:rPr>
          <w:rFonts w:ascii="Times New Roman" w:hAnsi="Times New Roman" w:cs="Times New Roman"/>
        </w:rPr>
        <w:t>(a)</w:t>
      </w:r>
      <w:r w:rsidR="009E1FE9" w:rsidRPr="001E4002">
        <w:rPr>
          <w:rFonts w:ascii="Times New Roman" w:hAnsi="Times New Roman" w:cs="Times New Roman"/>
        </w:rPr>
        <w:t xml:space="preserve">, </w:t>
      </w:r>
      <w:r w:rsidR="00EB5E71">
        <w:rPr>
          <w:rFonts w:ascii="Times New Roman" w:hAnsi="Times New Roman" w:cs="Times New Roman"/>
        </w:rPr>
        <w:t>subsection</w:t>
      </w:r>
      <w:r w:rsidR="00EB5E71" w:rsidRPr="001E4002">
        <w:rPr>
          <w:rFonts w:ascii="Times New Roman" w:hAnsi="Times New Roman" w:cs="Times New Roman"/>
        </w:rPr>
        <w:t xml:space="preserve"> </w:t>
      </w:r>
      <w:r w:rsidR="00C15F2A" w:rsidRPr="001E4002">
        <w:rPr>
          <w:rFonts w:ascii="Times New Roman" w:hAnsi="Times New Roman" w:cs="Times New Roman"/>
        </w:rPr>
        <w:t>11(</w:t>
      </w:r>
      <w:r w:rsidR="00545035" w:rsidRPr="001E4002">
        <w:rPr>
          <w:rFonts w:ascii="Times New Roman" w:hAnsi="Times New Roman" w:cs="Times New Roman"/>
        </w:rPr>
        <w:t>3</w:t>
      </w:r>
      <w:r w:rsidR="00C15F2A" w:rsidRPr="001E4002">
        <w:rPr>
          <w:rFonts w:ascii="Times New Roman" w:hAnsi="Times New Roman" w:cs="Times New Roman"/>
        </w:rPr>
        <w:t>)</w:t>
      </w:r>
      <w:r w:rsidR="00545035" w:rsidRPr="001E4002">
        <w:t xml:space="preserve"> </w:t>
      </w:r>
      <w:r w:rsidR="00545035" w:rsidRPr="001E4002">
        <w:rPr>
          <w:rFonts w:ascii="Times New Roman" w:hAnsi="Times New Roman" w:cs="Times New Roman"/>
        </w:rPr>
        <w:t>and subsection 12(3)</w:t>
      </w:r>
      <w:r w:rsidR="00833935" w:rsidRPr="001E4002">
        <w:rPr>
          <w:rFonts w:ascii="Times New Roman" w:hAnsi="Times New Roman" w:cs="Times New Roman"/>
        </w:rPr>
        <w:t xml:space="preserve"> </w:t>
      </w:r>
      <w:r w:rsidR="00C15F2A" w:rsidRPr="001E4002">
        <w:rPr>
          <w:rFonts w:ascii="Times New Roman" w:hAnsi="Times New Roman" w:cs="Times New Roman"/>
        </w:rPr>
        <w:t>for a minimum of one year.</w:t>
      </w:r>
    </w:p>
    <w:p w14:paraId="6330A6A8" w14:textId="0492D31F" w:rsidR="009D217B" w:rsidRPr="00850627" w:rsidRDefault="00323CAE" w:rsidP="00173494">
      <w:pPr>
        <w:keepNext/>
        <w:spacing w:line="257" w:lineRule="auto"/>
        <w:rPr>
          <w:rFonts w:ascii="Times New Roman" w:hAnsi="Times New Roman" w:cs="Times New Roman"/>
          <w:b/>
          <w:bCs/>
          <w:szCs w:val="24"/>
        </w:rPr>
      </w:pPr>
      <w:r w:rsidRPr="00850627">
        <w:rPr>
          <w:rFonts w:ascii="Times New Roman" w:hAnsi="Times New Roman" w:cs="Times New Roman"/>
          <w:b/>
          <w:bCs/>
          <w:szCs w:val="24"/>
        </w:rPr>
        <w:t>Schedule 1</w:t>
      </w:r>
    </w:p>
    <w:p w14:paraId="5CD6F99B" w14:textId="308B83F0" w:rsidR="00DE70E4" w:rsidRPr="0080557F" w:rsidRDefault="00A627CC" w:rsidP="00DE70E4">
      <w:pPr>
        <w:rPr>
          <w:rFonts w:ascii="Times New Roman" w:hAnsi="Times New Roman" w:cs="Times New Roman"/>
          <w:bCs/>
        </w:rPr>
      </w:pPr>
      <w:r w:rsidRPr="0080557F">
        <w:rPr>
          <w:rFonts w:ascii="Times New Roman" w:hAnsi="Times New Roman" w:cs="Times New Roman"/>
          <w:bCs/>
        </w:rPr>
        <w:t xml:space="preserve">Schedule 1 sets out the identity </w:t>
      </w:r>
      <w:r w:rsidR="0076045F" w:rsidRPr="0080557F">
        <w:rPr>
          <w:rFonts w:ascii="Times New Roman" w:hAnsi="Times New Roman" w:cs="Times New Roman"/>
          <w:bCs/>
        </w:rPr>
        <w:t xml:space="preserve">authentication </w:t>
      </w:r>
      <w:r w:rsidRPr="0080557F">
        <w:rPr>
          <w:rFonts w:ascii="Times New Roman" w:hAnsi="Times New Roman" w:cs="Times New Roman"/>
          <w:bCs/>
        </w:rPr>
        <w:t xml:space="preserve">process </w:t>
      </w:r>
      <w:r w:rsidR="009E1FE9" w:rsidRPr="0080557F">
        <w:rPr>
          <w:rFonts w:ascii="Times New Roman" w:hAnsi="Times New Roman" w:cs="Times New Roman"/>
          <w:bCs/>
        </w:rPr>
        <w:t xml:space="preserve">that </w:t>
      </w:r>
      <w:r w:rsidRPr="0080557F">
        <w:rPr>
          <w:rFonts w:ascii="Times New Roman" w:hAnsi="Times New Roman" w:cs="Times New Roman"/>
          <w:bCs/>
        </w:rPr>
        <w:t xml:space="preserve">a carriage service provider must use to </w:t>
      </w:r>
      <w:r w:rsidR="00740FA3" w:rsidRPr="0080557F">
        <w:rPr>
          <w:rFonts w:ascii="Times New Roman" w:hAnsi="Times New Roman" w:cs="Times New Roman"/>
          <w:bCs/>
        </w:rPr>
        <w:t xml:space="preserve">authenticate </w:t>
      </w:r>
      <w:r w:rsidRPr="0080557F">
        <w:rPr>
          <w:rFonts w:ascii="Times New Roman" w:hAnsi="Times New Roman" w:cs="Times New Roman"/>
          <w:bCs/>
        </w:rPr>
        <w:t xml:space="preserve">the identity of a customer </w:t>
      </w:r>
      <w:r w:rsidR="003B4C1E" w:rsidRPr="0080557F">
        <w:rPr>
          <w:rFonts w:ascii="Times New Roman" w:hAnsi="Times New Roman" w:cs="Times New Roman"/>
          <w:bCs/>
        </w:rPr>
        <w:t xml:space="preserve">or a customer’s authorised representative </w:t>
      </w:r>
      <w:r w:rsidRPr="0080557F">
        <w:rPr>
          <w:rFonts w:ascii="Times New Roman" w:hAnsi="Times New Roman" w:cs="Times New Roman"/>
          <w:bCs/>
        </w:rPr>
        <w:t>for the purposes of paragraph</w:t>
      </w:r>
      <w:r w:rsidR="0076045F" w:rsidRPr="0080557F">
        <w:rPr>
          <w:rFonts w:ascii="Times New Roman" w:hAnsi="Times New Roman" w:cs="Times New Roman"/>
          <w:bCs/>
        </w:rPr>
        <w:t>s 9(</w:t>
      </w:r>
      <w:r w:rsidR="00833935" w:rsidRPr="0080557F">
        <w:rPr>
          <w:rFonts w:ascii="Times New Roman" w:hAnsi="Times New Roman" w:cs="Times New Roman"/>
          <w:bCs/>
        </w:rPr>
        <w:t>3</w:t>
      </w:r>
      <w:r w:rsidR="0076045F" w:rsidRPr="0080557F">
        <w:rPr>
          <w:rFonts w:ascii="Times New Roman" w:hAnsi="Times New Roman" w:cs="Times New Roman"/>
          <w:bCs/>
        </w:rPr>
        <w:t>)(e)</w:t>
      </w:r>
      <w:r w:rsidR="009E1FE9" w:rsidRPr="0080557F">
        <w:rPr>
          <w:rFonts w:ascii="Times New Roman" w:hAnsi="Times New Roman" w:cs="Times New Roman"/>
          <w:bCs/>
        </w:rPr>
        <w:t xml:space="preserve"> and</w:t>
      </w:r>
      <w:r w:rsidR="0076045F" w:rsidRPr="0080557F">
        <w:rPr>
          <w:rFonts w:ascii="Times New Roman" w:hAnsi="Times New Roman" w:cs="Times New Roman"/>
          <w:bCs/>
        </w:rPr>
        <w:t xml:space="preserve"> paragraph</w:t>
      </w:r>
      <w:r w:rsidRPr="0080557F">
        <w:rPr>
          <w:rFonts w:ascii="Times New Roman" w:hAnsi="Times New Roman" w:cs="Times New Roman"/>
          <w:bCs/>
        </w:rPr>
        <w:t xml:space="preserve"> </w:t>
      </w:r>
      <w:r w:rsidR="002C506B" w:rsidRPr="0080557F">
        <w:rPr>
          <w:rFonts w:ascii="Times New Roman" w:hAnsi="Times New Roman" w:cs="Times New Roman"/>
          <w:bCs/>
        </w:rPr>
        <w:t>10</w:t>
      </w:r>
      <w:r w:rsidRPr="0080557F">
        <w:rPr>
          <w:rFonts w:ascii="Times New Roman" w:hAnsi="Times New Roman" w:cs="Times New Roman"/>
          <w:bCs/>
        </w:rPr>
        <w:t>(</w:t>
      </w:r>
      <w:r w:rsidR="002C506B" w:rsidRPr="0080557F">
        <w:rPr>
          <w:rFonts w:ascii="Times New Roman" w:hAnsi="Times New Roman" w:cs="Times New Roman"/>
          <w:bCs/>
        </w:rPr>
        <w:t>2</w:t>
      </w:r>
      <w:r w:rsidRPr="0080557F">
        <w:rPr>
          <w:rFonts w:ascii="Times New Roman" w:hAnsi="Times New Roman" w:cs="Times New Roman"/>
          <w:bCs/>
        </w:rPr>
        <w:t>)(a).</w:t>
      </w:r>
    </w:p>
    <w:p w14:paraId="17C1A52E" w14:textId="14BE5E86" w:rsidR="00280C39" w:rsidRPr="0080557F" w:rsidRDefault="00A627CC" w:rsidP="00361DB2">
      <w:pPr>
        <w:rPr>
          <w:rFonts w:ascii="Times New Roman" w:hAnsi="Times New Roman" w:cs="Times New Roman"/>
          <w:bCs/>
        </w:rPr>
      </w:pPr>
      <w:r w:rsidRPr="0080557F">
        <w:rPr>
          <w:rFonts w:ascii="Times New Roman" w:hAnsi="Times New Roman" w:cs="Times New Roman"/>
          <w:bCs/>
        </w:rPr>
        <w:t xml:space="preserve">Table 1 </w:t>
      </w:r>
      <w:r w:rsidR="0038522F" w:rsidRPr="0080557F">
        <w:rPr>
          <w:rFonts w:ascii="Times New Roman" w:hAnsi="Times New Roman" w:cs="Times New Roman"/>
          <w:bCs/>
        </w:rPr>
        <w:t xml:space="preserve">in Schedule 1 </w:t>
      </w:r>
      <w:r w:rsidR="009A1600" w:rsidRPr="0080557F">
        <w:rPr>
          <w:rFonts w:ascii="Times New Roman" w:hAnsi="Times New Roman" w:cs="Times New Roman"/>
          <w:bCs/>
        </w:rPr>
        <w:t xml:space="preserve">lists </w:t>
      </w:r>
      <w:r w:rsidR="0043247B" w:rsidRPr="0080557F">
        <w:rPr>
          <w:rFonts w:ascii="Times New Roman" w:hAnsi="Times New Roman" w:cs="Times New Roman"/>
          <w:bCs/>
        </w:rPr>
        <w:t xml:space="preserve">category </w:t>
      </w:r>
      <w:r w:rsidRPr="0080557F">
        <w:rPr>
          <w:rFonts w:ascii="Times New Roman" w:hAnsi="Times New Roman" w:cs="Times New Roman"/>
          <w:bCs/>
        </w:rPr>
        <w:t xml:space="preserve">A documents </w:t>
      </w:r>
      <w:r w:rsidR="0038522F" w:rsidRPr="0080557F">
        <w:rPr>
          <w:rFonts w:ascii="Times New Roman" w:hAnsi="Times New Roman" w:cs="Times New Roman"/>
          <w:bCs/>
        </w:rPr>
        <w:t xml:space="preserve">and </w:t>
      </w:r>
      <w:r w:rsidRPr="0080557F">
        <w:rPr>
          <w:rFonts w:ascii="Times New Roman" w:hAnsi="Times New Roman" w:cs="Times New Roman"/>
          <w:bCs/>
        </w:rPr>
        <w:t xml:space="preserve">Table </w:t>
      </w:r>
      <w:r w:rsidR="0038522F" w:rsidRPr="0080557F">
        <w:rPr>
          <w:rFonts w:ascii="Times New Roman" w:hAnsi="Times New Roman" w:cs="Times New Roman"/>
          <w:bCs/>
        </w:rPr>
        <w:t>2 in Schedule 1</w:t>
      </w:r>
      <w:r w:rsidRPr="0080557F">
        <w:rPr>
          <w:rFonts w:ascii="Times New Roman" w:hAnsi="Times New Roman" w:cs="Times New Roman"/>
          <w:bCs/>
        </w:rPr>
        <w:t xml:space="preserve"> </w:t>
      </w:r>
      <w:r w:rsidR="0038522F" w:rsidRPr="0080557F">
        <w:rPr>
          <w:rFonts w:ascii="Times New Roman" w:hAnsi="Times New Roman" w:cs="Times New Roman"/>
          <w:bCs/>
        </w:rPr>
        <w:t xml:space="preserve">lists </w:t>
      </w:r>
      <w:r w:rsidR="0043247B" w:rsidRPr="0080557F">
        <w:rPr>
          <w:rFonts w:ascii="Times New Roman" w:hAnsi="Times New Roman" w:cs="Times New Roman"/>
          <w:bCs/>
        </w:rPr>
        <w:t xml:space="preserve">category </w:t>
      </w:r>
      <w:r w:rsidRPr="0080557F">
        <w:rPr>
          <w:rFonts w:ascii="Times New Roman" w:hAnsi="Times New Roman" w:cs="Times New Roman"/>
          <w:bCs/>
        </w:rPr>
        <w:t>B</w:t>
      </w:r>
      <w:r w:rsidR="00A55D3B" w:rsidRPr="0080557F">
        <w:rPr>
          <w:rFonts w:ascii="Times New Roman" w:hAnsi="Times New Roman" w:cs="Times New Roman"/>
          <w:bCs/>
        </w:rPr>
        <w:t xml:space="preserve"> d</w:t>
      </w:r>
      <w:r w:rsidR="001D5D9E" w:rsidRPr="0080557F">
        <w:rPr>
          <w:rFonts w:ascii="Times New Roman" w:hAnsi="Times New Roman" w:cs="Times New Roman"/>
          <w:bCs/>
        </w:rPr>
        <w:t>ocuments</w:t>
      </w:r>
      <w:r w:rsidRPr="0080557F">
        <w:rPr>
          <w:rFonts w:ascii="Times New Roman" w:hAnsi="Times New Roman" w:cs="Times New Roman"/>
          <w:bCs/>
        </w:rPr>
        <w:t>.</w:t>
      </w:r>
    </w:p>
    <w:p w14:paraId="5AE5C734" w14:textId="617F2792" w:rsidR="00A627CC" w:rsidRPr="0080557F" w:rsidRDefault="001661EE" w:rsidP="008C58AF">
      <w:r w:rsidRPr="0080557F">
        <w:rPr>
          <w:rFonts w:ascii="Times New Roman" w:hAnsi="Times New Roman" w:cs="Times New Roman"/>
          <w:bCs/>
        </w:rPr>
        <w:t xml:space="preserve">Clause </w:t>
      </w:r>
      <w:r w:rsidR="00970ACB" w:rsidRPr="0080557F">
        <w:rPr>
          <w:rFonts w:ascii="Times New Roman" w:hAnsi="Times New Roman" w:cs="Times New Roman"/>
          <w:bCs/>
        </w:rPr>
        <w:t>(</w:t>
      </w:r>
      <w:r w:rsidRPr="0080557F">
        <w:rPr>
          <w:rFonts w:ascii="Times New Roman" w:hAnsi="Times New Roman" w:cs="Times New Roman"/>
          <w:bCs/>
        </w:rPr>
        <w:t>3</w:t>
      </w:r>
      <w:r w:rsidR="00970ACB" w:rsidRPr="0080557F">
        <w:rPr>
          <w:rFonts w:ascii="Times New Roman" w:hAnsi="Times New Roman" w:cs="Times New Roman"/>
          <w:bCs/>
        </w:rPr>
        <w:t>)</w:t>
      </w:r>
      <w:r w:rsidRPr="0080557F">
        <w:rPr>
          <w:rFonts w:ascii="Times New Roman" w:hAnsi="Times New Roman" w:cs="Times New Roman"/>
          <w:bCs/>
        </w:rPr>
        <w:t xml:space="preserve"> of Schedule 1 provides that</w:t>
      </w:r>
      <w:r w:rsidR="00345381" w:rsidRPr="0080557F">
        <w:rPr>
          <w:rFonts w:ascii="Times New Roman" w:hAnsi="Times New Roman" w:cs="Times New Roman"/>
          <w:bCs/>
        </w:rPr>
        <w:t xml:space="preserve"> for paragraph 9(3)(e) and</w:t>
      </w:r>
      <w:r w:rsidRPr="0080557F">
        <w:rPr>
          <w:rFonts w:ascii="Times New Roman" w:hAnsi="Times New Roman" w:cs="Times New Roman"/>
          <w:bCs/>
        </w:rPr>
        <w:t xml:space="preserve"> s</w:t>
      </w:r>
      <w:r w:rsidR="00A627CC" w:rsidRPr="0080557F">
        <w:rPr>
          <w:rFonts w:ascii="Times New Roman" w:hAnsi="Times New Roman" w:cs="Times New Roman"/>
          <w:bCs/>
        </w:rPr>
        <w:t>ubject</w:t>
      </w:r>
      <w:r w:rsidR="00A627CC" w:rsidRPr="0080557F">
        <w:rPr>
          <w:rFonts w:ascii="Times New Roman" w:hAnsi="Times New Roman" w:cs="Times New Roman"/>
        </w:rPr>
        <w:t xml:space="preserve"> to clause </w:t>
      </w:r>
      <w:r w:rsidR="00970ACB" w:rsidRPr="0080557F">
        <w:rPr>
          <w:rFonts w:ascii="Times New Roman" w:hAnsi="Times New Roman" w:cs="Times New Roman"/>
        </w:rPr>
        <w:t>(</w:t>
      </w:r>
      <w:r w:rsidR="00434936" w:rsidRPr="0080557F">
        <w:rPr>
          <w:rFonts w:ascii="Times New Roman" w:hAnsi="Times New Roman" w:cs="Times New Roman"/>
        </w:rPr>
        <w:t>7</w:t>
      </w:r>
      <w:r w:rsidR="00970ACB" w:rsidRPr="0080557F">
        <w:rPr>
          <w:rFonts w:ascii="Times New Roman" w:hAnsi="Times New Roman" w:cs="Times New Roman"/>
        </w:rPr>
        <w:t>)</w:t>
      </w:r>
      <w:r w:rsidR="00A627CC" w:rsidRPr="0080557F">
        <w:rPr>
          <w:rFonts w:ascii="Times New Roman" w:hAnsi="Times New Roman" w:cs="Times New Roman"/>
        </w:rPr>
        <w:t xml:space="preserve">, </w:t>
      </w:r>
      <w:r w:rsidR="002C506B" w:rsidRPr="0080557F">
        <w:rPr>
          <w:rFonts w:ascii="Times New Roman" w:eastAsia="Times New Roman" w:hAnsi="Times New Roman" w:cs="Times New Roman"/>
          <w:color w:val="000000"/>
          <w:lang w:eastAsia="en-AU"/>
        </w:rPr>
        <w:t xml:space="preserve">a carriage service provider may </w:t>
      </w:r>
      <w:r w:rsidR="0041409A" w:rsidRPr="0080557F">
        <w:rPr>
          <w:rFonts w:ascii="Times New Roman" w:eastAsia="Times New Roman" w:hAnsi="Times New Roman" w:cs="Times New Roman"/>
          <w:color w:val="000000"/>
          <w:lang w:eastAsia="en-AU"/>
        </w:rPr>
        <w:t xml:space="preserve">authenticate that the requesting person is the customer </w:t>
      </w:r>
      <w:r w:rsidR="00434936" w:rsidRPr="0080557F">
        <w:rPr>
          <w:rFonts w:ascii="Times New Roman" w:eastAsia="Times New Roman" w:hAnsi="Times New Roman" w:cs="Times New Roman"/>
          <w:color w:val="000000"/>
          <w:lang w:eastAsia="en-AU"/>
        </w:rPr>
        <w:t>or the customer’s authorised representative</w:t>
      </w:r>
      <w:r w:rsidR="0041409A" w:rsidRPr="0080557F">
        <w:rPr>
          <w:rFonts w:ascii="Times New Roman" w:eastAsia="Times New Roman" w:hAnsi="Times New Roman" w:cs="Times New Roman"/>
          <w:color w:val="000000"/>
          <w:lang w:eastAsia="en-AU"/>
        </w:rPr>
        <w:t xml:space="preserve"> for a telecommunications service by sighting 1 category A document identifying the customer and which includes a photo of the requesting person</w:t>
      </w:r>
      <w:r w:rsidR="00A627CC" w:rsidRPr="0080557F">
        <w:t>.</w:t>
      </w:r>
    </w:p>
    <w:p w14:paraId="7E952E88" w14:textId="65A1E459" w:rsidR="00434936" w:rsidRPr="0080557F" w:rsidRDefault="00AA2D01" w:rsidP="004B7D37">
      <w:pPr>
        <w:rPr>
          <w:rFonts w:ascii="Times New Roman" w:hAnsi="Times New Roman" w:cs="Times New Roman"/>
          <w:szCs w:val="24"/>
        </w:rPr>
      </w:pPr>
      <w:r w:rsidRPr="0080557F">
        <w:rPr>
          <w:rFonts w:ascii="Times New Roman" w:hAnsi="Times New Roman" w:cs="Times New Roman"/>
          <w:szCs w:val="24"/>
        </w:rPr>
        <w:t xml:space="preserve">Clause </w:t>
      </w:r>
      <w:r w:rsidR="00970ACB" w:rsidRPr="0080557F">
        <w:rPr>
          <w:rFonts w:ascii="Times New Roman" w:hAnsi="Times New Roman" w:cs="Times New Roman"/>
          <w:szCs w:val="24"/>
        </w:rPr>
        <w:t>(</w:t>
      </w:r>
      <w:r w:rsidRPr="0080557F">
        <w:rPr>
          <w:rFonts w:ascii="Times New Roman" w:hAnsi="Times New Roman" w:cs="Times New Roman"/>
          <w:szCs w:val="24"/>
        </w:rPr>
        <w:t>4</w:t>
      </w:r>
      <w:r w:rsidR="00970ACB" w:rsidRPr="0080557F">
        <w:rPr>
          <w:rFonts w:ascii="Times New Roman" w:hAnsi="Times New Roman" w:cs="Times New Roman"/>
          <w:szCs w:val="24"/>
        </w:rPr>
        <w:t>)</w:t>
      </w:r>
      <w:r w:rsidRPr="0080557F">
        <w:rPr>
          <w:rFonts w:ascii="Times New Roman" w:hAnsi="Times New Roman" w:cs="Times New Roman"/>
          <w:szCs w:val="24"/>
        </w:rPr>
        <w:t xml:space="preserve"> of Schedule 1 provides that </w:t>
      </w:r>
      <w:r w:rsidR="00434936" w:rsidRPr="0080557F">
        <w:rPr>
          <w:rFonts w:ascii="Times New Roman" w:hAnsi="Times New Roman" w:cs="Times New Roman"/>
          <w:szCs w:val="24"/>
        </w:rPr>
        <w:t xml:space="preserve">for clause (3), the carriage service provider must undertake a visual comparison of the requesting person’s face against the photo on the category A document either in person or by live audio-visual </w:t>
      </w:r>
      <w:r w:rsidR="00434936" w:rsidRPr="0080557F">
        <w:rPr>
          <w:rFonts w:ascii="Times New Roman" w:eastAsia="Times New Roman" w:hAnsi="Times New Roman" w:cs="Times New Roman"/>
          <w:color w:val="000000"/>
          <w:lang w:eastAsia="en-AU"/>
        </w:rPr>
        <w:t>link</w:t>
      </w:r>
      <w:r w:rsidR="00434936" w:rsidRPr="0080557F">
        <w:rPr>
          <w:rFonts w:ascii="Times New Roman" w:hAnsi="Times New Roman" w:cs="Times New Roman"/>
          <w:szCs w:val="24"/>
        </w:rPr>
        <w:t>.</w:t>
      </w:r>
    </w:p>
    <w:p w14:paraId="56F2D9CF" w14:textId="651AFA1A" w:rsidR="00AE7D93" w:rsidRPr="0080557F" w:rsidRDefault="00434936" w:rsidP="00AE7D93">
      <w:pPr>
        <w:shd w:val="clear" w:color="auto" w:fill="FFFFFF"/>
        <w:spacing w:line="233" w:lineRule="atLeast"/>
        <w:rPr>
          <w:rFonts w:ascii="Calibri" w:eastAsia="Times New Roman" w:hAnsi="Calibri" w:cs="Calibri"/>
          <w:color w:val="000000"/>
          <w:lang w:eastAsia="en-AU"/>
        </w:rPr>
      </w:pPr>
      <w:r w:rsidRPr="0080557F">
        <w:rPr>
          <w:rFonts w:ascii="Times New Roman" w:hAnsi="Times New Roman" w:cs="Times New Roman"/>
          <w:szCs w:val="24"/>
        </w:rPr>
        <w:t>Clause (5)</w:t>
      </w:r>
      <w:r w:rsidR="008F66AB" w:rsidRPr="0080557F">
        <w:rPr>
          <w:rFonts w:ascii="Times New Roman" w:hAnsi="Times New Roman" w:cs="Times New Roman"/>
          <w:bCs/>
        </w:rPr>
        <w:t xml:space="preserve"> </w:t>
      </w:r>
      <w:r w:rsidR="00AE7D93" w:rsidRPr="0080557F">
        <w:rPr>
          <w:rFonts w:ascii="Times New Roman" w:hAnsi="Times New Roman" w:cs="Times New Roman"/>
          <w:bCs/>
        </w:rPr>
        <w:t xml:space="preserve">of Schedule 1 </w:t>
      </w:r>
      <w:r w:rsidR="008F66AB" w:rsidRPr="0080557F">
        <w:rPr>
          <w:rFonts w:ascii="Times New Roman" w:hAnsi="Times New Roman" w:cs="Times New Roman"/>
          <w:bCs/>
        </w:rPr>
        <w:t xml:space="preserve">provides </w:t>
      </w:r>
      <w:r w:rsidR="00AE7D93" w:rsidRPr="0080557F">
        <w:rPr>
          <w:rFonts w:ascii="Times New Roman" w:hAnsi="Times New Roman" w:cs="Times New Roman"/>
          <w:bCs/>
        </w:rPr>
        <w:t xml:space="preserve">that, subject to clause (7), a </w:t>
      </w:r>
      <w:r w:rsidR="00AE7D93" w:rsidRPr="0080557F">
        <w:rPr>
          <w:rFonts w:ascii="Times New Roman" w:eastAsia="Times New Roman" w:hAnsi="Times New Roman" w:cs="Times New Roman"/>
          <w:color w:val="000000"/>
          <w:lang w:eastAsia="en-AU"/>
        </w:rPr>
        <w:t xml:space="preserve">carriage service provider may </w:t>
      </w:r>
      <w:r w:rsidR="007F69EA" w:rsidRPr="0080557F">
        <w:rPr>
          <w:rFonts w:ascii="Times New Roman" w:eastAsia="Times New Roman" w:hAnsi="Times New Roman" w:cs="Times New Roman"/>
          <w:color w:val="000000"/>
          <w:lang w:eastAsia="en-AU"/>
        </w:rPr>
        <w:t xml:space="preserve">authenticate </w:t>
      </w:r>
      <w:r w:rsidR="00AE7D93" w:rsidRPr="0080557F">
        <w:rPr>
          <w:rFonts w:ascii="Times New Roman" w:eastAsia="Times New Roman" w:hAnsi="Times New Roman" w:cs="Times New Roman"/>
          <w:color w:val="000000"/>
          <w:lang w:eastAsia="en-AU"/>
        </w:rPr>
        <w:t xml:space="preserve">that the requesting person is the </w:t>
      </w:r>
      <w:r w:rsidR="007F69EA" w:rsidRPr="0080557F">
        <w:rPr>
          <w:rFonts w:ascii="Times New Roman" w:eastAsia="Times New Roman" w:hAnsi="Times New Roman" w:cs="Times New Roman"/>
          <w:color w:val="000000"/>
          <w:lang w:eastAsia="en-AU"/>
        </w:rPr>
        <w:t>customer, or the customer’s representative</w:t>
      </w:r>
      <w:r w:rsidR="007011C7" w:rsidRPr="0080557F">
        <w:rPr>
          <w:rFonts w:ascii="Times New Roman" w:eastAsia="Times New Roman" w:hAnsi="Times New Roman" w:cs="Times New Roman"/>
          <w:color w:val="000000"/>
          <w:lang w:eastAsia="en-AU"/>
        </w:rPr>
        <w:t xml:space="preserve">, for the telecommunications service </w:t>
      </w:r>
      <w:r w:rsidR="00AE7D93" w:rsidRPr="0080557F">
        <w:rPr>
          <w:rFonts w:ascii="Times New Roman" w:eastAsia="Times New Roman" w:hAnsi="Times New Roman" w:cs="Times New Roman"/>
          <w:color w:val="000000"/>
          <w:lang w:eastAsia="en-AU"/>
        </w:rPr>
        <w:t>by sighting:</w:t>
      </w:r>
    </w:p>
    <w:p w14:paraId="3D9AB431" w14:textId="54AC3FD3" w:rsidR="00AE7D93" w:rsidRPr="0080557F" w:rsidRDefault="00AE7D93" w:rsidP="00AE7D93">
      <w:pPr>
        <w:shd w:val="clear" w:color="auto" w:fill="FFFFFF"/>
        <w:spacing w:before="40" w:after="0" w:line="240" w:lineRule="auto"/>
        <w:ind w:left="360" w:hanging="360"/>
        <w:rPr>
          <w:rFonts w:ascii="Times New Roman" w:eastAsia="Times New Roman" w:hAnsi="Times New Roman" w:cs="Times New Roman"/>
          <w:color w:val="000000"/>
          <w:lang w:eastAsia="en-AU"/>
        </w:rPr>
      </w:pPr>
      <w:r w:rsidRPr="0080557F">
        <w:rPr>
          <w:rFonts w:ascii="Symbol" w:eastAsia="Times New Roman" w:hAnsi="Symbol" w:cs="Times New Roman"/>
          <w:color w:val="000000"/>
          <w:lang w:eastAsia="en-AU"/>
        </w:rPr>
        <w:t>·</w:t>
      </w:r>
      <w:r w:rsidRPr="0080557F">
        <w:rPr>
          <w:rFonts w:ascii="Times New Roman" w:eastAsia="Times New Roman" w:hAnsi="Times New Roman" w:cs="Times New Roman"/>
          <w:color w:val="000000"/>
          <w:sz w:val="14"/>
          <w:szCs w:val="14"/>
          <w:lang w:eastAsia="en-AU"/>
        </w:rPr>
        <w:t>         </w:t>
      </w:r>
      <w:r w:rsidRPr="0080557F">
        <w:rPr>
          <w:rFonts w:ascii="Times New Roman" w:eastAsia="Times New Roman" w:hAnsi="Times New Roman" w:cs="Times New Roman"/>
          <w:color w:val="000000"/>
          <w:lang w:eastAsia="en-AU"/>
        </w:rPr>
        <w:t>2 category A documents identifying the customer</w:t>
      </w:r>
      <w:r w:rsidR="007011C7" w:rsidRPr="0080557F">
        <w:rPr>
          <w:rFonts w:ascii="Times New Roman" w:eastAsia="Times New Roman" w:hAnsi="Times New Roman" w:cs="Times New Roman"/>
          <w:color w:val="000000"/>
          <w:lang w:eastAsia="en-AU"/>
        </w:rPr>
        <w:t>, or the customer’s representative</w:t>
      </w:r>
      <w:r w:rsidRPr="0080557F">
        <w:rPr>
          <w:rFonts w:ascii="Times New Roman" w:eastAsia="Times New Roman" w:hAnsi="Times New Roman" w:cs="Times New Roman"/>
          <w:color w:val="000000"/>
          <w:lang w:eastAsia="en-AU"/>
        </w:rPr>
        <w:t>; or</w:t>
      </w:r>
    </w:p>
    <w:p w14:paraId="72FF8082" w14:textId="58DDF78E" w:rsidR="00AE7D93" w:rsidRPr="0080557F" w:rsidRDefault="00AE7D93" w:rsidP="00AE7D93">
      <w:pPr>
        <w:shd w:val="clear" w:color="auto" w:fill="FFFFFF"/>
        <w:spacing w:before="40" w:after="0" w:line="240" w:lineRule="auto"/>
        <w:ind w:left="360" w:hanging="360"/>
        <w:rPr>
          <w:rFonts w:ascii="Times New Roman" w:eastAsia="Times New Roman" w:hAnsi="Times New Roman" w:cs="Times New Roman"/>
          <w:color w:val="000000"/>
          <w:lang w:eastAsia="en-AU"/>
        </w:rPr>
      </w:pPr>
      <w:r w:rsidRPr="0080557F">
        <w:rPr>
          <w:rFonts w:ascii="Symbol" w:eastAsia="Times New Roman" w:hAnsi="Symbol" w:cs="Times New Roman"/>
          <w:color w:val="000000"/>
          <w:lang w:eastAsia="en-AU"/>
        </w:rPr>
        <w:t>·</w:t>
      </w:r>
      <w:r w:rsidRPr="0080557F">
        <w:rPr>
          <w:rFonts w:ascii="Times New Roman" w:eastAsia="Times New Roman" w:hAnsi="Times New Roman" w:cs="Times New Roman"/>
          <w:color w:val="000000"/>
          <w:sz w:val="14"/>
          <w:szCs w:val="14"/>
          <w:lang w:eastAsia="en-AU"/>
        </w:rPr>
        <w:t>         </w:t>
      </w:r>
      <w:r w:rsidRPr="0080557F">
        <w:rPr>
          <w:rFonts w:ascii="Times New Roman" w:eastAsia="Times New Roman" w:hAnsi="Times New Roman" w:cs="Times New Roman"/>
          <w:color w:val="000000"/>
          <w:lang w:eastAsia="en-AU"/>
        </w:rPr>
        <w:t>1 category A document and 2 category B documents, identifying the customer</w:t>
      </w:r>
      <w:r w:rsidR="007011C7" w:rsidRPr="0080557F">
        <w:rPr>
          <w:rFonts w:ascii="Times New Roman" w:eastAsia="Times New Roman" w:hAnsi="Times New Roman" w:cs="Times New Roman"/>
          <w:color w:val="000000"/>
          <w:lang w:eastAsia="en-AU"/>
        </w:rPr>
        <w:t xml:space="preserve"> or the customer’s representative</w:t>
      </w:r>
      <w:r w:rsidRPr="0080557F">
        <w:rPr>
          <w:rFonts w:ascii="Times New Roman" w:eastAsia="Times New Roman" w:hAnsi="Times New Roman" w:cs="Times New Roman"/>
          <w:color w:val="000000"/>
          <w:lang w:eastAsia="en-AU"/>
        </w:rPr>
        <w:t>.</w:t>
      </w:r>
    </w:p>
    <w:p w14:paraId="3C1808E8" w14:textId="6913667B" w:rsidR="00A627CC" w:rsidRPr="0080557F" w:rsidRDefault="00AA2D01" w:rsidP="00A627CC">
      <w:pPr>
        <w:keepNext/>
        <w:spacing w:before="120" w:after="0"/>
        <w:jc w:val="both"/>
        <w:rPr>
          <w:rFonts w:ascii="Times New Roman" w:hAnsi="Times New Roman" w:cs="Times New Roman"/>
          <w:szCs w:val="24"/>
        </w:rPr>
      </w:pPr>
      <w:r w:rsidRPr="0080557F">
        <w:rPr>
          <w:rFonts w:ascii="Times New Roman" w:hAnsi="Times New Roman" w:cs="Times New Roman"/>
          <w:szCs w:val="24"/>
        </w:rPr>
        <w:t xml:space="preserve">Clause </w:t>
      </w:r>
      <w:r w:rsidR="00970ACB" w:rsidRPr="0080557F">
        <w:rPr>
          <w:rFonts w:ascii="Times New Roman" w:hAnsi="Times New Roman" w:cs="Times New Roman"/>
          <w:szCs w:val="24"/>
        </w:rPr>
        <w:t>(</w:t>
      </w:r>
      <w:r w:rsidR="00434936" w:rsidRPr="0080557F">
        <w:rPr>
          <w:rFonts w:ascii="Times New Roman" w:hAnsi="Times New Roman" w:cs="Times New Roman"/>
          <w:szCs w:val="24"/>
        </w:rPr>
        <w:t>6</w:t>
      </w:r>
      <w:r w:rsidR="00970ACB" w:rsidRPr="0080557F">
        <w:rPr>
          <w:rFonts w:ascii="Times New Roman" w:hAnsi="Times New Roman" w:cs="Times New Roman"/>
          <w:szCs w:val="24"/>
        </w:rPr>
        <w:t>)</w:t>
      </w:r>
      <w:r w:rsidRPr="0080557F">
        <w:rPr>
          <w:rFonts w:ascii="Times New Roman" w:hAnsi="Times New Roman" w:cs="Times New Roman"/>
          <w:szCs w:val="24"/>
        </w:rPr>
        <w:t xml:space="preserve"> of Schedule 1 provides that </w:t>
      </w:r>
      <w:r w:rsidR="008F66AB" w:rsidRPr="0080557F">
        <w:rPr>
          <w:rFonts w:ascii="Times New Roman" w:hAnsi="Times New Roman" w:cs="Times New Roman"/>
          <w:szCs w:val="24"/>
        </w:rPr>
        <w:t xml:space="preserve">for clause (5), </w:t>
      </w:r>
      <w:r w:rsidR="00A627CC" w:rsidRPr="0080557F">
        <w:rPr>
          <w:rFonts w:ascii="Times New Roman" w:hAnsi="Times New Roman" w:cs="Times New Roman"/>
          <w:szCs w:val="24"/>
        </w:rPr>
        <w:t>the same type of document may not be used twice in an identity verification process.</w:t>
      </w:r>
    </w:p>
    <w:p w14:paraId="011A7F28" w14:textId="2C0DC817" w:rsidR="00A627CC" w:rsidRPr="00904D6A" w:rsidRDefault="008F66AB" w:rsidP="006F0F48">
      <w:pPr>
        <w:keepNext/>
        <w:spacing w:before="120" w:after="0"/>
        <w:jc w:val="both"/>
        <w:rPr>
          <w:rFonts w:ascii="Times New Roman" w:hAnsi="Times New Roman" w:cs="Times New Roman"/>
          <w:szCs w:val="24"/>
        </w:rPr>
      </w:pPr>
      <w:r w:rsidRPr="0080557F">
        <w:rPr>
          <w:rFonts w:ascii="Times New Roman" w:hAnsi="Times New Roman" w:cs="Times New Roman"/>
          <w:szCs w:val="24"/>
        </w:rPr>
        <w:t xml:space="preserve">Clause (7) </w:t>
      </w:r>
      <w:r w:rsidR="00743F5E" w:rsidRPr="0080557F">
        <w:rPr>
          <w:rFonts w:ascii="Times New Roman" w:hAnsi="Times New Roman" w:cs="Times New Roman"/>
          <w:szCs w:val="24"/>
        </w:rPr>
        <w:t>provides that f</w:t>
      </w:r>
      <w:r w:rsidR="00E41FAD" w:rsidRPr="0080557F">
        <w:rPr>
          <w:rFonts w:ascii="Times New Roman" w:hAnsi="Times New Roman" w:cs="Times New Roman"/>
          <w:szCs w:val="24"/>
        </w:rPr>
        <w:t>or the purpose</w:t>
      </w:r>
      <w:r w:rsidR="008F74F2" w:rsidRPr="0080557F">
        <w:rPr>
          <w:rFonts w:ascii="Times New Roman" w:hAnsi="Times New Roman" w:cs="Times New Roman"/>
          <w:szCs w:val="24"/>
        </w:rPr>
        <w:t>s</w:t>
      </w:r>
      <w:r w:rsidR="00E41FAD" w:rsidRPr="0080557F">
        <w:rPr>
          <w:rFonts w:ascii="Times New Roman" w:hAnsi="Times New Roman" w:cs="Times New Roman"/>
          <w:szCs w:val="24"/>
        </w:rPr>
        <w:t xml:space="preserve"> of the identity verification process described in clause</w:t>
      </w:r>
      <w:r w:rsidR="001015D9">
        <w:rPr>
          <w:rFonts w:ascii="Times New Roman" w:hAnsi="Times New Roman" w:cs="Times New Roman"/>
          <w:szCs w:val="24"/>
        </w:rPr>
        <w:t>s</w:t>
      </w:r>
      <w:r w:rsidR="00E41FAD" w:rsidRPr="0080557F">
        <w:rPr>
          <w:rFonts w:ascii="Times New Roman" w:hAnsi="Times New Roman" w:cs="Times New Roman"/>
          <w:szCs w:val="24"/>
        </w:rPr>
        <w:t xml:space="preserve"> </w:t>
      </w:r>
      <w:r w:rsidR="00970ACB" w:rsidRPr="0080557F">
        <w:rPr>
          <w:rFonts w:ascii="Times New Roman" w:hAnsi="Times New Roman" w:cs="Times New Roman"/>
          <w:szCs w:val="24"/>
        </w:rPr>
        <w:t>(</w:t>
      </w:r>
      <w:r w:rsidR="00E41FAD" w:rsidRPr="0080557F">
        <w:rPr>
          <w:rFonts w:ascii="Times New Roman" w:hAnsi="Times New Roman" w:cs="Times New Roman"/>
          <w:szCs w:val="24"/>
        </w:rPr>
        <w:t>3</w:t>
      </w:r>
      <w:r w:rsidR="00970ACB" w:rsidRPr="0080557F">
        <w:rPr>
          <w:rFonts w:ascii="Times New Roman" w:hAnsi="Times New Roman" w:cs="Times New Roman"/>
          <w:szCs w:val="24"/>
        </w:rPr>
        <w:t>)</w:t>
      </w:r>
      <w:r w:rsidR="00E41FAD" w:rsidRPr="0080557F">
        <w:rPr>
          <w:rFonts w:ascii="Times New Roman" w:hAnsi="Times New Roman" w:cs="Times New Roman"/>
          <w:szCs w:val="24"/>
        </w:rPr>
        <w:t xml:space="preserve">, </w:t>
      </w:r>
      <w:r w:rsidR="001015D9">
        <w:rPr>
          <w:rFonts w:ascii="Times New Roman" w:hAnsi="Times New Roman" w:cs="Times New Roman"/>
          <w:szCs w:val="24"/>
        </w:rPr>
        <w:t>and</w:t>
      </w:r>
      <w:r w:rsidR="00AD06BC" w:rsidRPr="0080557F">
        <w:rPr>
          <w:rFonts w:ascii="Times New Roman" w:hAnsi="Times New Roman" w:cs="Times New Roman"/>
          <w:szCs w:val="24"/>
        </w:rPr>
        <w:t xml:space="preserve"> </w:t>
      </w:r>
      <w:r w:rsidR="00970ACB" w:rsidRPr="0080557F">
        <w:rPr>
          <w:rFonts w:ascii="Times New Roman" w:hAnsi="Times New Roman" w:cs="Times New Roman"/>
          <w:szCs w:val="24"/>
        </w:rPr>
        <w:t>(</w:t>
      </w:r>
      <w:r w:rsidR="00AD06BC" w:rsidRPr="0080557F">
        <w:rPr>
          <w:rFonts w:ascii="Times New Roman" w:hAnsi="Times New Roman" w:cs="Times New Roman"/>
          <w:szCs w:val="24"/>
        </w:rPr>
        <w:t>5</w:t>
      </w:r>
      <w:r w:rsidR="00970ACB" w:rsidRPr="0080557F">
        <w:rPr>
          <w:rFonts w:ascii="Times New Roman" w:hAnsi="Times New Roman" w:cs="Times New Roman"/>
          <w:szCs w:val="24"/>
        </w:rPr>
        <w:t>)</w:t>
      </w:r>
      <w:r w:rsidR="00E41FAD" w:rsidRPr="0080557F">
        <w:rPr>
          <w:rFonts w:ascii="Times New Roman" w:hAnsi="Times New Roman" w:cs="Times New Roman"/>
          <w:szCs w:val="24"/>
        </w:rPr>
        <w:t>:</w:t>
      </w:r>
    </w:p>
    <w:p w14:paraId="22A647E0" w14:textId="47962A7D" w:rsidR="001E2601" w:rsidRDefault="00A23125" w:rsidP="00380028">
      <w:pPr>
        <w:pStyle w:val="paragraphsub"/>
        <w:numPr>
          <w:ilvl w:val="0"/>
          <w:numId w:val="10"/>
        </w:numPr>
        <w:tabs>
          <w:tab w:val="clear" w:pos="1985"/>
        </w:tabs>
      </w:pPr>
      <w:r>
        <w:t>if a document (</w:t>
      </w:r>
      <w:r w:rsidR="00A627CC" w:rsidRPr="00904D6A">
        <w:t>other than an Australian passport</w:t>
      </w:r>
      <w:r>
        <w:t>)</w:t>
      </w:r>
      <w:r w:rsidR="0001009E">
        <w:t xml:space="preserve"> shown to a carriage service provider includes an expiry date</w:t>
      </w:r>
      <w:r w:rsidR="00F611EF">
        <w:t>,</w:t>
      </w:r>
      <w:r w:rsidR="00C14DB3">
        <w:t xml:space="preserve"> the provider must be satisfied that </w:t>
      </w:r>
      <w:r w:rsidR="00F611EF">
        <w:t>the</w:t>
      </w:r>
      <w:r w:rsidR="00C14DB3">
        <w:t xml:space="preserve"> document</w:t>
      </w:r>
      <w:r w:rsidR="00A627CC" w:rsidRPr="00904D6A">
        <w:t xml:space="preserve"> has not expired;</w:t>
      </w:r>
    </w:p>
    <w:p w14:paraId="14E04755" w14:textId="2A1F8D6E" w:rsidR="001E2601" w:rsidRDefault="00A627CC" w:rsidP="00380028">
      <w:pPr>
        <w:pStyle w:val="paragraphsub"/>
        <w:numPr>
          <w:ilvl w:val="0"/>
          <w:numId w:val="10"/>
        </w:numPr>
        <w:tabs>
          <w:tab w:val="clear" w:pos="1985"/>
        </w:tabs>
      </w:pPr>
      <w:r w:rsidRPr="00904D6A">
        <w:t>if a category A document is a foreign military ID card, the</w:t>
      </w:r>
      <w:r w:rsidRPr="00237FFD">
        <w:t xml:space="preserve"> customer </w:t>
      </w:r>
      <w:r w:rsidRPr="00904D6A">
        <w:t>must show the document to the carriage service provider in an access-controlled defence site;</w:t>
      </w:r>
    </w:p>
    <w:p w14:paraId="42F23A4A" w14:textId="17818FED" w:rsidR="001E2601" w:rsidRDefault="00A627CC" w:rsidP="00380028">
      <w:pPr>
        <w:pStyle w:val="paragraphsub"/>
        <w:numPr>
          <w:ilvl w:val="0"/>
          <w:numId w:val="10"/>
        </w:numPr>
        <w:tabs>
          <w:tab w:val="clear" w:pos="1985"/>
        </w:tabs>
      </w:pPr>
      <w:r w:rsidRPr="00237FFD">
        <w:t>if a document shown to a carriage service provider is dated but does not expire, the provider must be reasonably satisfied that the document is recent and accurate;</w:t>
      </w:r>
    </w:p>
    <w:p w14:paraId="616784A4" w14:textId="649C28EA" w:rsidR="001E2601" w:rsidRDefault="00A627CC" w:rsidP="00380028">
      <w:pPr>
        <w:pStyle w:val="paragraphsub"/>
        <w:numPr>
          <w:ilvl w:val="0"/>
          <w:numId w:val="10"/>
        </w:numPr>
        <w:tabs>
          <w:tab w:val="clear" w:pos="1985"/>
        </w:tabs>
      </w:pPr>
      <w:r w:rsidRPr="00237FFD">
        <w:t xml:space="preserve">the name in the </w:t>
      </w:r>
      <w:r w:rsidR="0077701F">
        <w:t>c</w:t>
      </w:r>
      <w:r w:rsidR="0077701F" w:rsidRPr="00237FFD">
        <w:t xml:space="preserve">ategory </w:t>
      </w:r>
      <w:r w:rsidRPr="00237FFD">
        <w:t xml:space="preserve">A document or </w:t>
      </w:r>
      <w:r w:rsidR="0077701F">
        <w:t>c</w:t>
      </w:r>
      <w:r w:rsidR="0077701F" w:rsidRPr="00237FFD">
        <w:t xml:space="preserve">ategory </w:t>
      </w:r>
      <w:r w:rsidRPr="00237FFD">
        <w:t xml:space="preserve">B document must (subject to </w:t>
      </w:r>
      <w:r w:rsidR="00970ACB">
        <w:t>the next dot point</w:t>
      </w:r>
      <w:r w:rsidRPr="00237FFD">
        <w:t>) match the name of the requesting person; and</w:t>
      </w:r>
    </w:p>
    <w:p w14:paraId="6EB04891" w14:textId="10F73E1E" w:rsidR="00A627CC" w:rsidRPr="00237FFD" w:rsidRDefault="00A627CC" w:rsidP="00380028">
      <w:pPr>
        <w:pStyle w:val="paragraphsub"/>
        <w:numPr>
          <w:ilvl w:val="0"/>
          <w:numId w:val="10"/>
        </w:numPr>
        <w:tabs>
          <w:tab w:val="clear" w:pos="1985"/>
        </w:tabs>
      </w:pPr>
      <w:r w:rsidRPr="00237FFD">
        <w:t xml:space="preserve">if the name in the </w:t>
      </w:r>
      <w:r w:rsidR="0077701F">
        <w:t>c</w:t>
      </w:r>
      <w:r w:rsidR="0077701F" w:rsidRPr="00237FFD">
        <w:t xml:space="preserve">ategory </w:t>
      </w:r>
      <w:r w:rsidRPr="00237FFD">
        <w:t xml:space="preserve">A document or </w:t>
      </w:r>
      <w:r w:rsidR="0077701F">
        <w:t>c</w:t>
      </w:r>
      <w:r w:rsidR="0077701F" w:rsidRPr="00237FFD">
        <w:t xml:space="preserve">ategory </w:t>
      </w:r>
      <w:r w:rsidRPr="00237FFD">
        <w:t>B document does not match the name of the requesting person, the document may only be relied upon if the requesting person produces satisfactory documentary evidence of the name change.</w:t>
      </w:r>
    </w:p>
    <w:p w14:paraId="4CE43EA5" w14:textId="77777777" w:rsidR="009D217B" w:rsidRPr="009D217B" w:rsidRDefault="009D217B" w:rsidP="00446CB7">
      <w:pPr>
        <w:rPr>
          <w:rFonts w:ascii="Times New Roman" w:hAnsi="Times New Roman" w:cs="Times New Roman"/>
          <w:bCs/>
        </w:rPr>
      </w:pPr>
    </w:p>
    <w:p w14:paraId="25FD82C6" w14:textId="77777777" w:rsidR="00446CB7" w:rsidRDefault="00446CB7" w:rsidP="00446CB7">
      <w:pPr>
        <w:jc w:val="right"/>
        <w:rPr>
          <w:rFonts w:ascii="Times New Roman" w:hAnsi="Times New Roman" w:cs="Times New Roman"/>
          <w:b/>
          <w:sz w:val="28"/>
          <w:szCs w:val="28"/>
        </w:rPr>
      </w:pPr>
      <w:r>
        <w:rPr>
          <w:rFonts w:ascii="Times New Roman" w:hAnsi="Times New Roman" w:cs="Times New Roman"/>
        </w:rPr>
        <w:br w:type="page"/>
      </w:r>
      <w:r>
        <w:rPr>
          <w:rFonts w:ascii="Times New Roman" w:hAnsi="Times New Roman" w:cs="Times New Roman"/>
          <w:b/>
          <w:sz w:val="28"/>
          <w:szCs w:val="28"/>
        </w:rPr>
        <w:t>Attachment B</w:t>
      </w:r>
    </w:p>
    <w:p w14:paraId="098EB9B4" w14:textId="77777777" w:rsidR="00446CB7" w:rsidRDefault="00446CB7" w:rsidP="00446CB7">
      <w:pPr>
        <w:jc w:val="center"/>
        <w:rPr>
          <w:rFonts w:ascii="Times New Roman" w:hAnsi="Times New Roman" w:cs="Times New Roman"/>
          <w:b/>
          <w:sz w:val="28"/>
          <w:szCs w:val="28"/>
        </w:rPr>
      </w:pPr>
      <w:r>
        <w:rPr>
          <w:rFonts w:ascii="Times New Roman" w:hAnsi="Times New Roman" w:cs="Times New Roman"/>
          <w:b/>
          <w:sz w:val="28"/>
          <w:szCs w:val="28"/>
        </w:rPr>
        <w:t>Statement of compatibility with human rights</w:t>
      </w:r>
    </w:p>
    <w:p w14:paraId="4376E4B7" w14:textId="77777777" w:rsidR="00446CB7" w:rsidRDefault="00446CB7" w:rsidP="00446CB7">
      <w:pPr>
        <w:jc w:val="center"/>
        <w:rPr>
          <w:rFonts w:ascii="Times New Roman" w:hAnsi="Times New Roman" w:cs="Times New Roman"/>
          <w:i/>
        </w:rPr>
      </w:pPr>
      <w:r>
        <w:rPr>
          <w:rFonts w:ascii="Times New Roman" w:hAnsi="Times New Roman" w:cs="Times New Roman"/>
        </w:rPr>
        <w:t xml:space="preserve">Prepared by the Australian Communications and Media Authority under subsection 9(1) of the </w:t>
      </w:r>
      <w:r>
        <w:rPr>
          <w:rFonts w:ascii="Times New Roman" w:hAnsi="Times New Roman" w:cs="Times New Roman"/>
          <w:i/>
        </w:rPr>
        <w:t>Human Rights (Parliamentary Scrutiny) Act 2011</w:t>
      </w:r>
    </w:p>
    <w:p w14:paraId="43310E68" w14:textId="7C702B13" w:rsidR="00446CB7" w:rsidRPr="000A0B7A" w:rsidRDefault="000A0B7A" w:rsidP="000A0B7A">
      <w:pPr>
        <w:jc w:val="center"/>
        <w:rPr>
          <w:rFonts w:ascii="Times New Roman" w:hAnsi="Times New Roman" w:cs="Times New Roman"/>
          <w:b/>
          <w:bCs/>
          <w:i/>
        </w:rPr>
      </w:pPr>
      <w:r w:rsidRPr="000A0B7A">
        <w:rPr>
          <w:rFonts w:ascii="Times New Roman" w:hAnsi="Times New Roman" w:cs="Times New Roman"/>
          <w:b/>
          <w:bCs/>
          <w:i/>
        </w:rPr>
        <w:t>Telecommunications</w:t>
      </w:r>
      <w:r w:rsidR="002A5F20">
        <w:rPr>
          <w:rFonts w:ascii="Times New Roman" w:hAnsi="Times New Roman" w:cs="Times New Roman"/>
          <w:b/>
          <w:bCs/>
          <w:i/>
        </w:rPr>
        <w:t xml:space="preserve"> Service Provider</w:t>
      </w:r>
      <w:r w:rsidRPr="000A0B7A">
        <w:rPr>
          <w:rFonts w:ascii="Times New Roman" w:hAnsi="Times New Roman" w:cs="Times New Roman"/>
          <w:b/>
          <w:bCs/>
          <w:i/>
        </w:rPr>
        <w:t xml:space="preserve"> (</w:t>
      </w:r>
      <w:r w:rsidR="002A5F20">
        <w:rPr>
          <w:rFonts w:ascii="Times New Roman" w:hAnsi="Times New Roman" w:cs="Times New Roman"/>
          <w:b/>
          <w:bCs/>
          <w:i/>
        </w:rPr>
        <w:t>Customer</w:t>
      </w:r>
      <w:r w:rsidRPr="000A0B7A">
        <w:rPr>
          <w:rFonts w:ascii="Times New Roman" w:hAnsi="Times New Roman" w:cs="Times New Roman"/>
          <w:b/>
          <w:bCs/>
          <w:i/>
        </w:rPr>
        <w:t xml:space="preserve"> Identity </w:t>
      </w:r>
      <w:r w:rsidR="007F6FB3">
        <w:rPr>
          <w:rFonts w:ascii="Times New Roman" w:hAnsi="Times New Roman" w:cs="Times New Roman"/>
          <w:b/>
          <w:bCs/>
          <w:i/>
        </w:rPr>
        <w:t>Authenticati</w:t>
      </w:r>
      <w:r w:rsidR="007F6FB3" w:rsidRPr="000A0B7A">
        <w:rPr>
          <w:rFonts w:ascii="Times New Roman" w:hAnsi="Times New Roman" w:cs="Times New Roman"/>
          <w:b/>
          <w:bCs/>
          <w:i/>
        </w:rPr>
        <w:t>on</w:t>
      </w:r>
      <w:r w:rsidRPr="000A0B7A">
        <w:rPr>
          <w:rFonts w:ascii="Times New Roman" w:hAnsi="Times New Roman" w:cs="Times New Roman"/>
          <w:b/>
          <w:bCs/>
          <w:i/>
        </w:rPr>
        <w:t xml:space="preserve">) </w:t>
      </w:r>
      <w:r w:rsidR="007B0BAC" w:rsidRPr="00CF1FD5">
        <w:rPr>
          <w:rFonts w:ascii="Times New Roman" w:hAnsi="Times New Roman" w:cs="Times New Roman"/>
          <w:b/>
          <w:bCs/>
          <w:i/>
        </w:rPr>
        <w:t>Determination</w:t>
      </w:r>
      <w:r w:rsidRPr="00CF1FD5">
        <w:rPr>
          <w:rFonts w:ascii="Times New Roman" w:hAnsi="Times New Roman" w:cs="Times New Roman"/>
          <w:b/>
          <w:bCs/>
          <w:i/>
        </w:rPr>
        <w:t xml:space="preserve"> 202</w:t>
      </w:r>
      <w:r w:rsidR="00E40707" w:rsidRPr="00CF1FD5">
        <w:rPr>
          <w:rFonts w:ascii="Times New Roman" w:hAnsi="Times New Roman" w:cs="Times New Roman"/>
          <w:b/>
          <w:bCs/>
          <w:i/>
        </w:rPr>
        <w:t>2</w:t>
      </w:r>
    </w:p>
    <w:p w14:paraId="4C028206" w14:textId="6DE71A8A" w:rsidR="00446CB7" w:rsidRPr="00CF1FD5" w:rsidRDefault="00446CB7" w:rsidP="00446CB7">
      <w:pPr>
        <w:spacing w:before="280"/>
        <w:rPr>
          <w:rFonts w:ascii="Times New Roman" w:hAnsi="Times New Roman" w:cs="Times New Roman"/>
          <w:b/>
          <w:i/>
        </w:rPr>
      </w:pPr>
      <w:r w:rsidRPr="00CF1FD5">
        <w:rPr>
          <w:rFonts w:ascii="Times New Roman" w:hAnsi="Times New Roman" w:cs="Times New Roman"/>
          <w:b/>
          <w:i/>
        </w:rPr>
        <w:t xml:space="preserve">Overview of the </w:t>
      </w:r>
      <w:r w:rsidR="007B0BAC" w:rsidRPr="00CF1FD5">
        <w:rPr>
          <w:rFonts w:ascii="Times New Roman" w:hAnsi="Times New Roman" w:cs="Times New Roman"/>
          <w:b/>
          <w:i/>
        </w:rPr>
        <w:t>Determination</w:t>
      </w:r>
    </w:p>
    <w:p w14:paraId="32BB088F" w14:textId="7B5ED5B3" w:rsidR="00A10733" w:rsidRPr="00850627" w:rsidRDefault="00A10733" w:rsidP="00A10733">
      <w:pPr>
        <w:pStyle w:val="Default"/>
        <w:spacing w:after="40"/>
        <w:rPr>
          <w:sz w:val="22"/>
          <w:szCs w:val="22"/>
        </w:rPr>
      </w:pPr>
      <w:r w:rsidRPr="00850627">
        <w:rPr>
          <w:sz w:val="22"/>
          <w:szCs w:val="22"/>
        </w:rPr>
        <w:t>The Australian Communications and Media Authority (</w:t>
      </w:r>
      <w:r w:rsidRPr="00850627">
        <w:rPr>
          <w:b/>
          <w:sz w:val="22"/>
          <w:szCs w:val="22"/>
        </w:rPr>
        <w:t>the ACMA</w:t>
      </w:r>
      <w:r w:rsidRPr="00850627">
        <w:rPr>
          <w:sz w:val="22"/>
          <w:szCs w:val="22"/>
        </w:rPr>
        <w:t xml:space="preserve">) has made the </w:t>
      </w:r>
      <w:r w:rsidR="002A5F20" w:rsidRPr="00850627">
        <w:rPr>
          <w:i/>
          <w:sz w:val="22"/>
        </w:rPr>
        <w:t xml:space="preserve">Telecommunications Service Provider (Customer Identity </w:t>
      </w:r>
      <w:r w:rsidR="00661E25" w:rsidRPr="00850627">
        <w:rPr>
          <w:i/>
          <w:sz w:val="22"/>
        </w:rPr>
        <w:t>Authentication</w:t>
      </w:r>
      <w:r w:rsidR="002A5F20" w:rsidRPr="00850627">
        <w:rPr>
          <w:i/>
          <w:sz w:val="22"/>
        </w:rPr>
        <w:t xml:space="preserve">) Determination </w:t>
      </w:r>
      <w:r w:rsidR="00E40707" w:rsidRPr="00850627">
        <w:rPr>
          <w:i/>
          <w:sz w:val="22"/>
        </w:rPr>
        <w:t>2022</w:t>
      </w:r>
      <w:r w:rsidR="00C562D5" w:rsidRPr="00850627">
        <w:rPr>
          <w:i/>
          <w:sz w:val="22"/>
        </w:rPr>
        <w:t xml:space="preserve"> </w:t>
      </w:r>
      <w:r w:rsidRPr="00850627">
        <w:rPr>
          <w:sz w:val="22"/>
          <w:szCs w:val="22"/>
        </w:rPr>
        <w:t>(</w:t>
      </w:r>
      <w:r w:rsidRPr="00850627">
        <w:rPr>
          <w:b/>
          <w:sz w:val="22"/>
          <w:szCs w:val="22"/>
        </w:rPr>
        <w:t xml:space="preserve">the </w:t>
      </w:r>
      <w:r w:rsidR="007B0BAC" w:rsidRPr="00850627">
        <w:rPr>
          <w:b/>
          <w:sz w:val="22"/>
          <w:szCs w:val="22"/>
        </w:rPr>
        <w:t>Determination</w:t>
      </w:r>
      <w:r w:rsidRPr="00850627">
        <w:rPr>
          <w:sz w:val="22"/>
          <w:szCs w:val="22"/>
        </w:rPr>
        <w:t xml:space="preserve">) under subsection </w:t>
      </w:r>
      <w:r w:rsidR="002A5F20" w:rsidRPr="00850627">
        <w:rPr>
          <w:sz w:val="22"/>
          <w:szCs w:val="22"/>
        </w:rPr>
        <w:t>99(1)</w:t>
      </w:r>
      <w:r w:rsidRPr="00850627">
        <w:rPr>
          <w:sz w:val="22"/>
          <w:szCs w:val="22"/>
        </w:rPr>
        <w:t xml:space="preserve"> of the </w:t>
      </w:r>
      <w:r w:rsidRPr="00850627">
        <w:rPr>
          <w:i/>
          <w:sz w:val="22"/>
          <w:szCs w:val="22"/>
        </w:rPr>
        <w:t>Telecommunications Act 1997</w:t>
      </w:r>
      <w:r w:rsidRPr="00850627">
        <w:rPr>
          <w:sz w:val="22"/>
          <w:szCs w:val="22"/>
        </w:rPr>
        <w:t xml:space="preserve"> (</w:t>
      </w:r>
      <w:r w:rsidRPr="00850627">
        <w:rPr>
          <w:b/>
          <w:sz w:val="22"/>
          <w:szCs w:val="22"/>
        </w:rPr>
        <w:t>the Act</w:t>
      </w:r>
      <w:r w:rsidRPr="00850627">
        <w:rPr>
          <w:sz w:val="22"/>
          <w:szCs w:val="22"/>
        </w:rPr>
        <w:t>).</w:t>
      </w:r>
    </w:p>
    <w:p w14:paraId="4D3DB50B" w14:textId="77777777" w:rsidR="006A75BB" w:rsidRPr="006A75BB" w:rsidRDefault="006A75BB" w:rsidP="006A75BB">
      <w:pPr>
        <w:pStyle w:val="Default"/>
        <w:rPr>
          <w:sz w:val="22"/>
          <w:szCs w:val="22"/>
        </w:rPr>
      </w:pPr>
    </w:p>
    <w:p w14:paraId="0C82B2C7" w14:textId="452F0C42" w:rsidR="003A340B" w:rsidRPr="00412AFB" w:rsidRDefault="002A5F20" w:rsidP="00412AFB">
      <w:pPr>
        <w:rPr>
          <w:rFonts w:ascii="Times New Roman" w:hAnsi="Times New Roman" w:cs="Times New Roman"/>
        </w:rPr>
      </w:pPr>
      <w:r>
        <w:rPr>
          <w:rFonts w:ascii="Times New Roman" w:hAnsi="Times New Roman" w:cs="Times New Roman"/>
        </w:rPr>
        <w:t xml:space="preserve">Subsection 99(1) of the Act relevantly provides that the ACMA may, by legislative instrument, </w:t>
      </w:r>
      <w:proofErr w:type="gramStart"/>
      <w:r>
        <w:rPr>
          <w:rFonts w:ascii="Times New Roman" w:hAnsi="Times New Roman" w:cs="Times New Roman"/>
        </w:rPr>
        <w:t>make a determination</w:t>
      </w:r>
      <w:proofErr w:type="gramEnd"/>
      <w:r>
        <w:rPr>
          <w:rFonts w:ascii="Times New Roman" w:hAnsi="Times New Roman" w:cs="Times New Roman"/>
        </w:rPr>
        <w:t xml:space="preserve"> setting out rules that apply to service providers in relation to the supply of specified carriage services and that </w:t>
      </w:r>
      <w:r w:rsidR="006C53B8">
        <w:rPr>
          <w:rFonts w:ascii="Times New Roman" w:hAnsi="Times New Roman" w:cs="Times New Roman"/>
        </w:rPr>
        <w:t xml:space="preserve">such a </w:t>
      </w:r>
      <w:r>
        <w:rPr>
          <w:rFonts w:ascii="Times New Roman" w:hAnsi="Times New Roman" w:cs="Times New Roman"/>
        </w:rPr>
        <w:t>determination is called a service provider determination</w:t>
      </w:r>
      <w:r w:rsidR="00A10733" w:rsidRPr="00A10733">
        <w:rPr>
          <w:rFonts w:ascii="Times New Roman" w:hAnsi="Times New Roman" w:cs="Times New Roman"/>
          <w:color w:val="000000"/>
        </w:rPr>
        <w:t>.</w:t>
      </w:r>
    </w:p>
    <w:p w14:paraId="76F4C718" w14:textId="2C661E1C" w:rsidR="002F4838" w:rsidRPr="00536751" w:rsidRDefault="00536751" w:rsidP="00412AFB">
      <w:pPr>
        <w:rPr>
          <w:rFonts w:ascii="Times New Roman" w:hAnsi="Times New Roman" w:cs="Times New Roman"/>
        </w:rPr>
      </w:pPr>
      <w:r w:rsidRPr="004B7ED5">
        <w:rPr>
          <w:rFonts w:ascii="Times New Roman" w:hAnsi="Times New Roman" w:cs="Times New Roman"/>
        </w:rPr>
        <w:t xml:space="preserve">The Determination requires carriage service providers to </w:t>
      </w:r>
      <w:r w:rsidR="0071322F" w:rsidRPr="004B7ED5">
        <w:rPr>
          <w:rFonts w:ascii="Times New Roman" w:hAnsi="Times New Roman" w:cs="Times New Roman"/>
        </w:rPr>
        <w:t>complet</w:t>
      </w:r>
      <w:r w:rsidR="0071322F">
        <w:rPr>
          <w:rFonts w:ascii="Times New Roman" w:hAnsi="Times New Roman" w:cs="Times New Roman"/>
        </w:rPr>
        <w:t>e</w:t>
      </w:r>
      <w:r w:rsidR="0071322F" w:rsidRPr="004B7ED5">
        <w:rPr>
          <w:rFonts w:ascii="Times New Roman" w:hAnsi="Times New Roman" w:cs="Times New Roman"/>
        </w:rPr>
        <w:t xml:space="preserve"> </w:t>
      </w:r>
      <w:r w:rsidRPr="004B7ED5">
        <w:rPr>
          <w:rFonts w:ascii="Times New Roman" w:hAnsi="Times New Roman" w:cs="Times New Roman"/>
        </w:rPr>
        <w:t xml:space="preserve">customer identity </w:t>
      </w:r>
      <w:r w:rsidR="00586A72">
        <w:rPr>
          <w:rFonts w:ascii="Times New Roman" w:hAnsi="Times New Roman" w:cs="Times New Roman"/>
        </w:rPr>
        <w:t>authenticati</w:t>
      </w:r>
      <w:r w:rsidR="00586A72" w:rsidRPr="004B7ED5">
        <w:rPr>
          <w:rFonts w:ascii="Times New Roman" w:hAnsi="Times New Roman" w:cs="Times New Roman"/>
        </w:rPr>
        <w:t xml:space="preserve">on </w:t>
      </w:r>
      <w:r w:rsidRPr="004B7ED5">
        <w:rPr>
          <w:rFonts w:ascii="Times New Roman" w:hAnsi="Times New Roman" w:cs="Times New Roman"/>
        </w:rPr>
        <w:t xml:space="preserve">processes before undertaking </w:t>
      </w:r>
      <w:r w:rsidR="00CF1FD5">
        <w:rPr>
          <w:rFonts w:ascii="Times New Roman" w:hAnsi="Times New Roman" w:cs="Times New Roman"/>
        </w:rPr>
        <w:t xml:space="preserve">the first high-risk customer transaction </w:t>
      </w:r>
      <w:proofErr w:type="gramStart"/>
      <w:r w:rsidR="00CF1FD5">
        <w:rPr>
          <w:rFonts w:ascii="Times New Roman" w:hAnsi="Times New Roman" w:cs="Times New Roman"/>
        </w:rPr>
        <w:t>in the course of</w:t>
      </w:r>
      <w:proofErr w:type="gramEnd"/>
      <w:r w:rsidR="00CF1FD5">
        <w:rPr>
          <w:rFonts w:ascii="Times New Roman" w:hAnsi="Times New Roman" w:cs="Times New Roman"/>
        </w:rPr>
        <w:t xml:space="preserve"> </w:t>
      </w:r>
      <w:r w:rsidRPr="004B7ED5">
        <w:rPr>
          <w:rFonts w:ascii="Times New Roman" w:hAnsi="Times New Roman" w:cs="Times New Roman"/>
        </w:rPr>
        <w:t xml:space="preserve">a high-risk customer </w:t>
      </w:r>
      <w:r w:rsidR="00334B1D" w:rsidRPr="004B7ED5">
        <w:rPr>
          <w:rFonts w:ascii="Times New Roman" w:hAnsi="Times New Roman" w:cs="Times New Roman"/>
        </w:rPr>
        <w:t>interaction.</w:t>
      </w:r>
      <w:r w:rsidRPr="004B7ED5">
        <w:rPr>
          <w:rFonts w:ascii="Times New Roman" w:hAnsi="Times New Roman" w:cs="Times New Roman"/>
        </w:rPr>
        <w:t xml:space="preserve"> </w:t>
      </w:r>
      <w:r w:rsidR="00E102DE" w:rsidRPr="00536751">
        <w:rPr>
          <w:rFonts w:ascii="Times New Roman" w:hAnsi="Times New Roman" w:cs="Times New Roman"/>
          <w:color w:val="000000"/>
        </w:rPr>
        <w:t>Implementing stronger identi</w:t>
      </w:r>
      <w:r w:rsidR="000F7FB6" w:rsidRPr="00536751">
        <w:rPr>
          <w:rFonts w:ascii="Times New Roman" w:hAnsi="Times New Roman" w:cs="Times New Roman"/>
          <w:color w:val="000000"/>
        </w:rPr>
        <w:t>t</w:t>
      </w:r>
      <w:r w:rsidR="00E102DE" w:rsidRPr="00536751">
        <w:rPr>
          <w:rFonts w:ascii="Times New Roman" w:hAnsi="Times New Roman" w:cs="Times New Roman"/>
          <w:color w:val="000000"/>
        </w:rPr>
        <w:t xml:space="preserve">y </w:t>
      </w:r>
      <w:r w:rsidR="00586A72">
        <w:rPr>
          <w:rFonts w:ascii="Times New Roman" w:hAnsi="Times New Roman" w:cs="Times New Roman"/>
          <w:color w:val="000000"/>
        </w:rPr>
        <w:t>authenticatio</w:t>
      </w:r>
      <w:r w:rsidR="00586A72" w:rsidRPr="00536751">
        <w:rPr>
          <w:rFonts w:ascii="Times New Roman" w:hAnsi="Times New Roman" w:cs="Times New Roman"/>
          <w:color w:val="000000"/>
        </w:rPr>
        <w:t xml:space="preserve">n </w:t>
      </w:r>
      <w:r w:rsidRPr="00536751">
        <w:rPr>
          <w:rFonts w:ascii="Times New Roman" w:hAnsi="Times New Roman" w:cs="Times New Roman"/>
          <w:color w:val="000000"/>
        </w:rPr>
        <w:t xml:space="preserve">processes </w:t>
      </w:r>
      <w:r w:rsidR="003B1635" w:rsidRPr="004B7ED5">
        <w:rPr>
          <w:rFonts w:ascii="Times New Roman" w:hAnsi="Times New Roman" w:cs="Times New Roman"/>
        </w:rPr>
        <w:t xml:space="preserve">in relation to a </w:t>
      </w:r>
      <w:r w:rsidR="003B1635" w:rsidRPr="004B7ED5">
        <w:rPr>
          <w:rFonts w:ascii="Times New Roman" w:hAnsi="Times New Roman" w:cs="Times New Roman"/>
          <w:color w:val="000000"/>
          <w:shd w:val="clear" w:color="auto" w:fill="FFFFFF"/>
        </w:rPr>
        <w:t>customer’s telecommunications service</w:t>
      </w:r>
      <w:r w:rsidR="003B1635" w:rsidRPr="00536751">
        <w:rPr>
          <w:rFonts w:ascii="Times New Roman" w:hAnsi="Times New Roman" w:cs="Times New Roman"/>
          <w:color w:val="000000"/>
        </w:rPr>
        <w:t xml:space="preserve"> </w:t>
      </w:r>
      <w:r w:rsidRPr="00536751">
        <w:rPr>
          <w:rFonts w:ascii="Times New Roman" w:hAnsi="Times New Roman" w:cs="Times New Roman"/>
          <w:color w:val="000000"/>
        </w:rPr>
        <w:t>protects customers from</w:t>
      </w:r>
      <w:r w:rsidR="00E102DE" w:rsidRPr="00536751">
        <w:rPr>
          <w:rFonts w:ascii="Times New Roman" w:hAnsi="Times New Roman" w:cs="Times New Roman"/>
          <w:color w:val="000000"/>
        </w:rPr>
        <w:t xml:space="preserve"> instances of </w:t>
      </w:r>
      <w:r w:rsidR="002C4118">
        <w:rPr>
          <w:rFonts w:ascii="Times New Roman" w:hAnsi="Times New Roman" w:cs="Times New Roman"/>
          <w:color w:val="000000"/>
        </w:rPr>
        <w:t xml:space="preserve">fraud on their telecommunications service and account, such as </w:t>
      </w:r>
      <w:r w:rsidRPr="00536751">
        <w:rPr>
          <w:rFonts w:ascii="Times New Roman" w:hAnsi="Times New Roman" w:cs="Times New Roman"/>
        </w:rPr>
        <w:t>fraudulent SIM swaps</w:t>
      </w:r>
      <w:r w:rsidR="003B1635">
        <w:rPr>
          <w:rFonts w:ascii="Times New Roman" w:hAnsi="Times New Roman" w:cs="Times New Roman"/>
        </w:rPr>
        <w:t>. The processes also</w:t>
      </w:r>
      <w:r w:rsidR="003B1635" w:rsidRPr="00536751">
        <w:rPr>
          <w:rFonts w:ascii="Times New Roman" w:hAnsi="Times New Roman" w:cs="Times New Roman"/>
        </w:rPr>
        <w:t xml:space="preserve"> </w:t>
      </w:r>
      <w:r w:rsidR="00E102DE" w:rsidRPr="00536751">
        <w:rPr>
          <w:rFonts w:ascii="Times New Roman" w:hAnsi="Times New Roman" w:cs="Times New Roman"/>
          <w:color w:val="000000"/>
        </w:rPr>
        <w:t>reduce associated financial loss and hardship to consumers.</w:t>
      </w:r>
    </w:p>
    <w:p w14:paraId="5C767C9A" w14:textId="3D818A8D" w:rsidR="00E102DE" w:rsidRPr="00536751" w:rsidRDefault="002F4838" w:rsidP="00536751">
      <w:pPr>
        <w:rPr>
          <w:rFonts w:ascii="Times New Roman" w:hAnsi="Times New Roman" w:cs="Times New Roman"/>
        </w:rPr>
      </w:pPr>
      <w:bookmarkStart w:id="3" w:name="_Hlk95489643"/>
      <w:r w:rsidRPr="00536751">
        <w:rPr>
          <w:rFonts w:ascii="Times New Roman" w:hAnsi="Times New Roman" w:cs="Times New Roman"/>
        </w:rPr>
        <w:t xml:space="preserve">Scams over telecommunications networks are </w:t>
      </w:r>
      <w:r w:rsidRPr="00536751">
        <w:rPr>
          <w:rFonts w:ascii="Times New Roman" w:eastAsia="Times New Roman" w:hAnsi="Times New Roman" w:cs="Times New Roman"/>
          <w:lang w:val="en-GB" w:eastAsia="en-AU"/>
        </w:rPr>
        <w:t xml:space="preserve">a significant problem, causing </w:t>
      </w:r>
      <w:r w:rsidRPr="00536751">
        <w:rPr>
          <w:rFonts w:ascii="Times New Roman" w:eastAsia="Times New Roman" w:hAnsi="Times New Roman" w:cs="Times New Roman"/>
          <w:lang w:eastAsia="en-AU"/>
        </w:rPr>
        <w:t xml:space="preserve">financial and emotional harm to victims. There have been cases of scammers using limited personal information to fraudulently </w:t>
      </w:r>
      <w:r w:rsidR="00536751" w:rsidRPr="00536751">
        <w:rPr>
          <w:rFonts w:ascii="Times New Roman" w:eastAsia="Times New Roman" w:hAnsi="Times New Roman" w:cs="Times New Roman"/>
          <w:lang w:eastAsia="en-AU"/>
        </w:rPr>
        <w:t xml:space="preserve">transfer </w:t>
      </w:r>
      <w:r w:rsidR="00536751" w:rsidRPr="00536751">
        <w:rPr>
          <w:rFonts w:ascii="Times New Roman" w:eastAsia="Calibri" w:hAnsi="Times New Roman"/>
          <w:color w:val="000000" w:themeColor="text1"/>
        </w:rPr>
        <w:t xml:space="preserve">a customer’s number to a new SIM in a device controlled by a scammer. </w:t>
      </w:r>
      <w:r w:rsidRPr="00536751">
        <w:rPr>
          <w:rFonts w:ascii="Times New Roman" w:eastAsia="Times New Roman" w:hAnsi="Times New Roman" w:cs="Times New Roman"/>
          <w:lang w:eastAsia="en-AU"/>
        </w:rPr>
        <w:t xml:space="preserve">Scammers have then used the </w:t>
      </w:r>
      <w:r w:rsidR="00536751" w:rsidRPr="00536751">
        <w:rPr>
          <w:rFonts w:ascii="Times New Roman" w:eastAsia="Times New Roman" w:hAnsi="Times New Roman" w:cs="Times New Roman"/>
          <w:lang w:eastAsia="en-AU"/>
        </w:rPr>
        <w:t>customer’s</w:t>
      </w:r>
      <w:r w:rsidRPr="00536751">
        <w:rPr>
          <w:rFonts w:ascii="Times New Roman" w:eastAsia="Times New Roman" w:hAnsi="Times New Roman" w:cs="Times New Roman"/>
          <w:lang w:eastAsia="en-AU"/>
        </w:rPr>
        <w:t xml:space="preserve"> number and other information to access the consumer’s bank accounts and authorise transactions by sending bank verification codes to the number.</w:t>
      </w:r>
      <w:r w:rsidR="003A340B" w:rsidRPr="00536751">
        <w:rPr>
          <w:rFonts w:ascii="Times New Roman" w:eastAsia="Times New Roman" w:hAnsi="Times New Roman" w:cs="Times New Roman"/>
          <w:lang w:eastAsia="en-AU"/>
        </w:rPr>
        <w:t xml:space="preserve"> </w:t>
      </w:r>
      <w:r w:rsidRPr="00536751">
        <w:rPr>
          <w:rFonts w:ascii="Times New Roman" w:hAnsi="Times New Roman" w:cs="Times New Roman"/>
        </w:rPr>
        <w:t>Wi</w:t>
      </w:r>
      <w:r w:rsidR="00E102DE" w:rsidRPr="00536751">
        <w:rPr>
          <w:rFonts w:ascii="Times New Roman" w:hAnsi="Times New Roman" w:cs="Times New Roman"/>
          <w:color w:val="000000"/>
        </w:rPr>
        <w:t>thout industry</w:t>
      </w:r>
      <w:r w:rsidRPr="00536751">
        <w:rPr>
          <w:rFonts w:ascii="Times New Roman" w:hAnsi="Times New Roman" w:cs="Times New Roman"/>
        </w:rPr>
        <w:t>-</w:t>
      </w:r>
      <w:r w:rsidR="00E102DE" w:rsidRPr="00536751">
        <w:rPr>
          <w:rFonts w:ascii="Times New Roman" w:hAnsi="Times New Roman" w:cs="Times New Roman"/>
          <w:color w:val="000000"/>
        </w:rPr>
        <w:t xml:space="preserve">wide coverage, some providers could act as </w:t>
      </w:r>
      <w:proofErr w:type="gramStart"/>
      <w:r w:rsidR="00E102DE" w:rsidRPr="00536751">
        <w:rPr>
          <w:rFonts w:ascii="Times New Roman" w:hAnsi="Times New Roman" w:cs="Times New Roman"/>
          <w:color w:val="000000"/>
        </w:rPr>
        <w:t>a safe haven</w:t>
      </w:r>
      <w:proofErr w:type="gramEnd"/>
      <w:r w:rsidR="00E102DE" w:rsidRPr="00536751">
        <w:rPr>
          <w:rFonts w:ascii="Times New Roman" w:hAnsi="Times New Roman" w:cs="Times New Roman"/>
          <w:color w:val="000000"/>
        </w:rPr>
        <w:t xml:space="preserve"> for scammers—putting all Australian </w:t>
      </w:r>
      <w:r w:rsidR="002C4118">
        <w:rPr>
          <w:rFonts w:ascii="Times New Roman" w:hAnsi="Times New Roman" w:cs="Times New Roman"/>
          <w:color w:val="000000"/>
        </w:rPr>
        <w:t>telecommunications</w:t>
      </w:r>
      <w:r w:rsidR="00E102DE" w:rsidRPr="00536751">
        <w:rPr>
          <w:rFonts w:ascii="Times New Roman" w:hAnsi="Times New Roman" w:cs="Times New Roman"/>
          <w:color w:val="000000"/>
        </w:rPr>
        <w:t xml:space="preserve"> </w:t>
      </w:r>
      <w:r w:rsidR="002C4118">
        <w:rPr>
          <w:rFonts w:ascii="Times New Roman" w:hAnsi="Times New Roman" w:cs="Times New Roman"/>
          <w:color w:val="000000"/>
        </w:rPr>
        <w:t xml:space="preserve">service </w:t>
      </w:r>
      <w:r w:rsidR="00E102DE" w:rsidRPr="00536751">
        <w:rPr>
          <w:rFonts w:ascii="Times New Roman" w:hAnsi="Times New Roman" w:cs="Times New Roman"/>
          <w:color w:val="000000"/>
        </w:rPr>
        <w:t>users at risk of fraud</w:t>
      </w:r>
      <w:r w:rsidR="00536751" w:rsidRPr="00536751">
        <w:rPr>
          <w:rFonts w:ascii="Times New Roman" w:hAnsi="Times New Roman" w:cs="Times New Roman"/>
          <w:color w:val="000000"/>
        </w:rPr>
        <w:t xml:space="preserve"> on their service or account</w:t>
      </w:r>
      <w:r w:rsidR="00E102DE" w:rsidRPr="00536751">
        <w:rPr>
          <w:rFonts w:ascii="Times New Roman" w:hAnsi="Times New Roman" w:cs="Times New Roman"/>
          <w:color w:val="000000"/>
        </w:rPr>
        <w:t>.</w:t>
      </w:r>
    </w:p>
    <w:bookmarkEnd w:id="3"/>
    <w:p w14:paraId="07C58BA3" w14:textId="7B7FEFB4" w:rsidR="008B4729" w:rsidRPr="00536751" w:rsidRDefault="008B4729" w:rsidP="00412AFB">
      <w:pPr>
        <w:rPr>
          <w:rFonts w:ascii="Times New Roman" w:hAnsi="Times New Roman" w:cs="Times New Roman"/>
        </w:rPr>
      </w:pPr>
      <w:r w:rsidRPr="00536751">
        <w:rPr>
          <w:rFonts w:ascii="Times New Roman" w:hAnsi="Times New Roman" w:cs="Times New Roman"/>
        </w:rPr>
        <w:t xml:space="preserve">The </w:t>
      </w:r>
      <w:r w:rsidR="007B0BAC" w:rsidRPr="00536751">
        <w:rPr>
          <w:rFonts w:ascii="Times New Roman" w:hAnsi="Times New Roman" w:cs="Times New Roman"/>
        </w:rPr>
        <w:t>Determination</w:t>
      </w:r>
      <w:r w:rsidRPr="00536751">
        <w:rPr>
          <w:rFonts w:ascii="Times New Roman" w:hAnsi="Times New Roman" w:cs="Times New Roman"/>
        </w:rPr>
        <w:t xml:space="preserve"> aims to:</w:t>
      </w:r>
    </w:p>
    <w:p w14:paraId="1B6DDA78" w14:textId="77777777" w:rsidR="00536751" w:rsidRPr="004B7ED5" w:rsidRDefault="00536751" w:rsidP="00536751">
      <w:pPr>
        <w:pStyle w:val="ListParagraph"/>
        <w:numPr>
          <w:ilvl w:val="0"/>
          <w:numId w:val="3"/>
        </w:numPr>
        <w:spacing w:after="40"/>
        <w:ind w:left="567" w:hanging="567"/>
        <w:rPr>
          <w:rFonts w:ascii="Times New Roman" w:hAnsi="Times New Roman" w:cs="Times New Roman"/>
        </w:rPr>
      </w:pPr>
      <w:r w:rsidRPr="004B7ED5">
        <w:rPr>
          <w:rFonts w:ascii="Times New Roman" w:hAnsi="Times New Roman" w:cs="Times New Roman"/>
        </w:rPr>
        <w:t>reduce the harm caused to customers when access to their personal information, business information or telecommunications service is targeted by unauthorised persons or entities; and</w:t>
      </w:r>
    </w:p>
    <w:p w14:paraId="6062FB71" w14:textId="32F3CF11" w:rsidR="00536751" w:rsidRPr="004B7ED5" w:rsidRDefault="00536751" w:rsidP="00536751">
      <w:pPr>
        <w:pStyle w:val="ListParagraph"/>
        <w:numPr>
          <w:ilvl w:val="0"/>
          <w:numId w:val="3"/>
        </w:numPr>
        <w:spacing w:after="40"/>
        <w:ind w:left="567" w:hanging="567"/>
        <w:rPr>
          <w:rFonts w:ascii="Times New Roman" w:hAnsi="Times New Roman" w:cs="Times New Roman"/>
        </w:rPr>
      </w:pPr>
      <w:r w:rsidRPr="004B7ED5">
        <w:rPr>
          <w:rFonts w:ascii="Times New Roman" w:hAnsi="Times New Roman" w:cs="Times New Roman"/>
        </w:rPr>
        <w:t xml:space="preserve">require carriage service providers to follow effective identity </w:t>
      </w:r>
      <w:r w:rsidR="00FC19B5">
        <w:rPr>
          <w:rFonts w:ascii="Times New Roman" w:hAnsi="Times New Roman" w:cs="Times New Roman"/>
        </w:rPr>
        <w:t>authentication</w:t>
      </w:r>
      <w:r w:rsidRPr="004B7ED5">
        <w:rPr>
          <w:rFonts w:ascii="Times New Roman" w:hAnsi="Times New Roman" w:cs="Times New Roman"/>
        </w:rPr>
        <w:t xml:space="preserve"> processes to protect the security of high-risk customer interactions.</w:t>
      </w:r>
    </w:p>
    <w:p w14:paraId="505513B0" w14:textId="77777777" w:rsidR="00536751" w:rsidRPr="008C59EE" w:rsidRDefault="00536751" w:rsidP="00536751">
      <w:pPr>
        <w:pStyle w:val="ListParagraph"/>
        <w:spacing w:after="40"/>
        <w:ind w:left="567"/>
        <w:rPr>
          <w:rFonts w:ascii="Times New Roman" w:hAnsi="Times New Roman" w:cs="Times New Roman"/>
        </w:rPr>
      </w:pPr>
    </w:p>
    <w:p w14:paraId="1192A49B" w14:textId="77777777" w:rsidR="009A6803" w:rsidRDefault="00536751" w:rsidP="00516175">
      <w:pPr>
        <w:pStyle w:val="Paragraph"/>
        <w:rPr>
          <w:rFonts w:ascii="Times New Roman" w:eastAsiaTheme="minorHAnsi" w:hAnsi="Times New Roman" w:cs="Times New Roman"/>
          <w:sz w:val="22"/>
          <w:szCs w:val="22"/>
        </w:rPr>
      </w:pPr>
      <w:r w:rsidRPr="00E4380F">
        <w:rPr>
          <w:rFonts w:ascii="Times New Roman" w:eastAsiaTheme="minorHAnsi" w:hAnsi="Times New Roman" w:cs="Times New Roman"/>
          <w:sz w:val="22"/>
          <w:szCs w:val="22"/>
        </w:rPr>
        <w:t>The Determination applies to all carriage service providers to ensure consistency in application and achieve industry-wide coverage.</w:t>
      </w:r>
    </w:p>
    <w:p w14:paraId="3A292288" w14:textId="0FBE6B18" w:rsidR="009A6803" w:rsidRDefault="009A6803" w:rsidP="009A6803">
      <w:pPr>
        <w:pStyle w:val="definition0"/>
        <w:shd w:val="clear" w:color="auto" w:fill="FFFFFF"/>
        <w:spacing w:before="120" w:beforeAutospacing="0" w:after="0" w:afterAutospacing="0"/>
        <w:rPr>
          <w:color w:val="000000"/>
          <w:sz w:val="22"/>
          <w:szCs w:val="22"/>
        </w:rPr>
      </w:pPr>
      <w:r w:rsidRPr="00E57594">
        <w:rPr>
          <w:rFonts w:eastAsiaTheme="minorHAnsi"/>
          <w:sz w:val="22"/>
          <w:szCs w:val="22"/>
        </w:rPr>
        <w:t xml:space="preserve">The Determination does not apply to account managed or integrated customers or to customers who </w:t>
      </w:r>
      <w:r w:rsidR="00624D35">
        <w:rPr>
          <w:rFonts w:eastAsiaTheme="minorHAnsi"/>
          <w:sz w:val="22"/>
          <w:szCs w:val="22"/>
        </w:rPr>
        <w:t xml:space="preserve">both </w:t>
      </w:r>
      <w:r w:rsidRPr="00E57594">
        <w:rPr>
          <w:color w:val="000000"/>
          <w:sz w:val="22"/>
          <w:szCs w:val="22"/>
        </w:rPr>
        <w:t xml:space="preserve">have a genuine and reasonable opportunity to negotiate the terms of the customer contract and </w:t>
      </w:r>
      <w:r w:rsidR="00624D35">
        <w:rPr>
          <w:color w:val="000000"/>
          <w:sz w:val="22"/>
          <w:szCs w:val="22"/>
        </w:rPr>
        <w:t xml:space="preserve">who have </w:t>
      </w:r>
      <w:r w:rsidRPr="00E57594">
        <w:rPr>
          <w:color w:val="000000"/>
          <w:sz w:val="22"/>
          <w:szCs w:val="22"/>
        </w:rPr>
        <w:t xml:space="preserve">or will have an annual spend with the carriage service provider which </w:t>
      </w:r>
      <w:proofErr w:type="gramStart"/>
      <w:r w:rsidRPr="00E57594">
        <w:rPr>
          <w:color w:val="000000"/>
          <w:sz w:val="22"/>
          <w:szCs w:val="22"/>
        </w:rPr>
        <w:t>is, or</w:t>
      </w:r>
      <w:proofErr w:type="gramEnd"/>
      <w:r w:rsidRPr="00E57594">
        <w:rPr>
          <w:color w:val="000000"/>
          <w:sz w:val="22"/>
          <w:szCs w:val="22"/>
        </w:rPr>
        <w:t xml:space="preserve"> is estimated on reasonable grounds by the carriage service provider to be</w:t>
      </w:r>
      <w:r w:rsidR="00C95A4F">
        <w:rPr>
          <w:color w:val="000000"/>
          <w:sz w:val="22"/>
          <w:szCs w:val="22"/>
        </w:rPr>
        <w:t>,</w:t>
      </w:r>
      <w:r>
        <w:rPr>
          <w:color w:val="000000"/>
          <w:sz w:val="22"/>
          <w:szCs w:val="22"/>
        </w:rPr>
        <w:t xml:space="preserve"> </w:t>
      </w:r>
      <w:r w:rsidRPr="00E57594">
        <w:rPr>
          <w:color w:val="000000"/>
          <w:sz w:val="22"/>
          <w:szCs w:val="22"/>
        </w:rPr>
        <w:t>greater than $40,000.</w:t>
      </w:r>
    </w:p>
    <w:p w14:paraId="3EE6ED51" w14:textId="77777777" w:rsidR="009A6803" w:rsidRPr="00E57594" w:rsidRDefault="009A6803" w:rsidP="009A6803">
      <w:pPr>
        <w:pStyle w:val="definition0"/>
        <w:shd w:val="clear" w:color="auto" w:fill="FFFFFF"/>
        <w:spacing w:before="120" w:beforeAutospacing="0" w:after="0" w:afterAutospacing="0"/>
        <w:rPr>
          <w:color w:val="000000"/>
          <w:sz w:val="22"/>
          <w:szCs w:val="22"/>
        </w:rPr>
      </w:pPr>
    </w:p>
    <w:p w14:paraId="0B5598B9" w14:textId="7B30694A" w:rsidR="00EB2B6D" w:rsidRPr="00E4380F" w:rsidRDefault="00C95A4F" w:rsidP="00516175">
      <w:pPr>
        <w:pStyle w:val="Paragrap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Determination </w:t>
      </w:r>
      <w:r w:rsidR="00545B1F" w:rsidRPr="00E4380F">
        <w:rPr>
          <w:rFonts w:ascii="Times New Roman" w:eastAsiaTheme="minorHAnsi" w:hAnsi="Times New Roman" w:cs="Times New Roman"/>
          <w:sz w:val="22"/>
          <w:szCs w:val="22"/>
        </w:rPr>
        <w:t>covers</w:t>
      </w:r>
      <w:r w:rsidR="00FA1CCA">
        <w:rPr>
          <w:rFonts w:ascii="Times New Roman" w:eastAsiaTheme="minorHAnsi" w:hAnsi="Times New Roman" w:cs="Times New Roman"/>
          <w:sz w:val="22"/>
          <w:szCs w:val="22"/>
        </w:rPr>
        <w:t xml:space="preserve"> </w:t>
      </w:r>
      <w:r w:rsidR="002C4118" w:rsidRPr="00E4380F">
        <w:rPr>
          <w:rFonts w:ascii="Times New Roman" w:eastAsiaTheme="minorHAnsi" w:hAnsi="Times New Roman" w:cs="Times New Roman"/>
          <w:sz w:val="22"/>
          <w:szCs w:val="22"/>
        </w:rPr>
        <w:t>high-risk customer interaction</w:t>
      </w:r>
      <w:r w:rsidR="00503CA4">
        <w:rPr>
          <w:rFonts w:ascii="Times New Roman" w:eastAsiaTheme="minorHAnsi" w:hAnsi="Times New Roman" w:cs="Times New Roman"/>
          <w:sz w:val="22"/>
          <w:szCs w:val="22"/>
        </w:rPr>
        <w:t>s. These are</w:t>
      </w:r>
      <w:r w:rsidR="0040678B" w:rsidRPr="00E4380F">
        <w:rPr>
          <w:rFonts w:ascii="Times New Roman" w:eastAsiaTheme="minorHAnsi" w:hAnsi="Times New Roman" w:cs="Times New Roman"/>
          <w:sz w:val="22"/>
          <w:szCs w:val="22"/>
        </w:rPr>
        <w:t xml:space="preserve"> interaction</w:t>
      </w:r>
      <w:r w:rsidR="00503CA4">
        <w:rPr>
          <w:rFonts w:ascii="Times New Roman" w:eastAsiaTheme="minorHAnsi" w:hAnsi="Times New Roman" w:cs="Times New Roman"/>
          <w:sz w:val="22"/>
          <w:szCs w:val="22"/>
        </w:rPr>
        <w:t>s</w:t>
      </w:r>
      <w:r w:rsidR="0040678B" w:rsidRPr="00E4380F">
        <w:rPr>
          <w:rFonts w:ascii="Times New Roman" w:eastAsiaTheme="minorHAnsi" w:hAnsi="Times New Roman" w:cs="Times New Roman"/>
          <w:sz w:val="22"/>
          <w:szCs w:val="22"/>
        </w:rPr>
        <w:t xml:space="preserve"> between a telecommunications service provider and a requesting person, in relation to a customer’s telecommunications service, initiated by either the requesting person or by the carriage service provider, during which one or more high-risk customer transactions are requested</w:t>
      </w:r>
      <w:r w:rsidR="002C4118" w:rsidRPr="00E4380F">
        <w:rPr>
          <w:rFonts w:ascii="Times New Roman" w:eastAsiaTheme="minorHAnsi" w:hAnsi="Times New Roman" w:cs="Times New Roman"/>
          <w:sz w:val="22"/>
          <w:szCs w:val="22"/>
        </w:rPr>
        <w:t>.</w:t>
      </w:r>
      <w:r w:rsidR="0080557F">
        <w:rPr>
          <w:rFonts w:ascii="Times New Roman" w:eastAsiaTheme="minorHAnsi" w:hAnsi="Times New Roman" w:cs="Times New Roman"/>
          <w:sz w:val="22"/>
          <w:szCs w:val="22"/>
        </w:rPr>
        <w:t xml:space="preserve"> </w:t>
      </w:r>
      <w:r w:rsidR="00415399">
        <w:rPr>
          <w:rFonts w:ascii="Times New Roman" w:eastAsiaTheme="minorHAnsi" w:hAnsi="Times New Roman" w:cs="Times New Roman"/>
          <w:sz w:val="22"/>
          <w:szCs w:val="22"/>
        </w:rPr>
        <w:t>The term “h</w:t>
      </w:r>
      <w:r w:rsidR="0080557F">
        <w:rPr>
          <w:rFonts w:ascii="Times New Roman" w:eastAsiaTheme="minorHAnsi" w:hAnsi="Times New Roman" w:cs="Times New Roman"/>
          <w:sz w:val="22"/>
          <w:szCs w:val="22"/>
        </w:rPr>
        <w:t>igh-risk customer transaction</w:t>
      </w:r>
      <w:r w:rsidR="00415399">
        <w:rPr>
          <w:rFonts w:ascii="Times New Roman" w:eastAsiaTheme="minorHAnsi" w:hAnsi="Times New Roman" w:cs="Times New Roman"/>
          <w:sz w:val="22"/>
          <w:szCs w:val="22"/>
        </w:rPr>
        <w:t>”</w:t>
      </w:r>
      <w:r w:rsidR="0080557F">
        <w:rPr>
          <w:rFonts w:ascii="Times New Roman" w:eastAsiaTheme="minorHAnsi" w:hAnsi="Times New Roman" w:cs="Times New Roman"/>
          <w:sz w:val="22"/>
          <w:szCs w:val="22"/>
        </w:rPr>
        <w:t xml:space="preserve"> is defined in the Determination.</w:t>
      </w:r>
    </w:p>
    <w:p w14:paraId="47D8BC46" w14:textId="70881B3C" w:rsidR="002C4118" w:rsidRDefault="002C4118" w:rsidP="002C4118">
      <w:pPr>
        <w:pStyle w:val="BodyText"/>
        <w:spacing w:before="1"/>
        <w:rPr>
          <w:rFonts w:eastAsiaTheme="minorHAnsi"/>
          <w:sz w:val="22"/>
          <w:szCs w:val="22"/>
          <w:lang w:eastAsia="en-US" w:bidi="ar-SA"/>
        </w:rPr>
      </w:pPr>
      <w:r w:rsidRPr="00EF5F70">
        <w:rPr>
          <w:rFonts w:eastAsiaTheme="minorHAnsi"/>
          <w:sz w:val="22"/>
          <w:szCs w:val="22"/>
          <w:lang w:eastAsia="en-US" w:bidi="ar-SA"/>
        </w:rPr>
        <w:t xml:space="preserve">A carriage service provider is also required to publish </w:t>
      </w:r>
      <w:r w:rsidR="000C35C0">
        <w:rPr>
          <w:rFonts w:eastAsiaTheme="minorHAnsi"/>
          <w:sz w:val="22"/>
          <w:szCs w:val="22"/>
          <w:lang w:eastAsia="en-US" w:bidi="ar-SA"/>
        </w:rPr>
        <w:t xml:space="preserve">minimum </w:t>
      </w:r>
      <w:r w:rsidRPr="00EF5F70">
        <w:rPr>
          <w:rFonts w:eastAsiaTheme="minorHAnsi"/>
          <w:sz w:val="22"/>
          <w:szCs w:val="22"/>
          <w:lang w:eastAsia="en-US" w:bidi="ar-SA"/>
        </w:rPr>
        <w:t xml:space="preserve">information on its website advising customers that an additional identification </w:t>
      </w:r>
      <w:r w:rsidR="00FC19B5">
        <w:rPr>
          <w:rFonts w:eastAsiaTheme="minorHAnsi"/>
          <w:sz w:val="22"/>
          <w:szCs w:val="22"/>
          <w:lang w:eastAsia="en-US" w:bidi="ar-SA"/>
        </w:rPr>
        <w:t>authentication</w:t>
      </w:r>
      <w:r w:rsidRPr="00EF5F70">
        <w:rPr>
          <w:rFonts w:eastAsiaTheme="minorHAnsi"/>
          <w:sz w:val="22"/>
          <w:szCs w:val="22"/>
          <w:lang w:eastAsia="en-US" w:bidi="ar-SA"/>
        </w:rPr>
        <w:t xml:space="preserve"> process will be used and what a customer should do if they suspect their </w:t>
      </w:r>
      <w:r w:rsidR="00A941F2">
        <w:rPr>
          <w:rFonts w:eastAsiaTheme="minorHAnsi"/>
          <w:sz w:val="22"/>
          <w:szCs w:val="22"/>
          <w:lang w:eastAsia="en-US" w:bidi="ar-SA"/>
        </w:rPr>
        <w:t xml:space="preserve">telecommunications service </w:t>
      </w:r>
      <w:r w:rsidRPr="00EF5F70">
        <w:rPr>
          <w:rFonts w:eastAsiaTheme="minorHAnsi"/>
          <w:sz w:val="22"/>
          <w:szCs w:val="22"/>
          <w:lang w:eastAsia="en-US" w:bidi="ar-SA"/>
        </w:rPr>
        <w:t xml:space="preserve">may have been </w:t>
      </w:r>
      <w:r w:rsidR="00E5159B">
        <w:rPr>
          <w:rFonts w:eastAsiaTheme="minorHAnsi"/>
          <w:sz w:val="22"/>
          <w:szCs w:val="22"/>
          <w:lang w:eastAsia="en-US" w:bidi="ar-SA"/>
        </w:rPr>
        <w:t xml:space="preserve">subject to </w:t>
      </w:r>
      <w:r w:rsidRPr="00EF5F70">
        <w:rPr>
          <w:rFonts w:eastAsiaTheme="minorHAnsi"/>
          <w:sz w:val="22"/>
          <w:szCs w:val="22"/>
          <w:lang w:eastAsia="en-US" w:bidi="ar-SA"/>
        </w:rPr>
        <w:t>fraudulent</w:t>
      </w:r>
      <w:r w:rsidR="004A57F2">
        <w:rPr>
          <w:rFonts w:eastAsiaTheme="minorHAnsi"/>
          <w:sz w:val="22"/>
          <w:szCs w:val="22"/>
          <w:lang w:eastAsia="en-US" w:bidi="ar-SA"/>
        </w:rPr>
        <w:t xml:space="preserve"> activity.</w:t>
      </w:r>
    </w:p>
    <w:p w14:paraId="3C0E63D4" w14:textId="77777777" w:rsidR="00880E0D" w:rsidRPr="00545B1F" w:rsidRDefault="00880E0D" w:rsidP="00545B1F">
      <w:pPr>
        <w:pStyle w:val="Default"/>
        <w:rPr>
          <w:sz w:val="22"/>
          <w:szCs w:val="22"/>
        </w:rPr>
      </w:pPr>
    </w:p>
    <w:p w14:paraId="33B7E1B2" w14:textId="77777777" w:rsidR="00446CB7" w:rsidRPr="002553B3" w:rsidRDefault="00446CB7" w:rsidP="00BC7470">
      <w:pPr>
        <w:keepNext/>
        <w:spacing w:line="257" w:lineRule="auto"/>
        <w:rPr>
          <w:rFonts w:ascii="Times New Roman" w:hAnsi="Times New Roman" w:cs="Times New Roman"/>
          <w:b/>
          <w:i/>
        </w:rPr>
      </w:pPr>
      <w:r w:rsidRPr="002553B3">
        <w:rPr>
          <w:rFonts w:ascii="Times New Roman" w:hAnsi="Times New Roman" w:cs="Times New Roman"/>
          <w:b/>
          <w:i/>
        </w:rPr>
        <w:t>Human rights implications</w:t>
      </w:r>
    </w:p>
    <w:p w14:paraId="305A3D5C" w14:textId="1FEA258D" w:rsidR="00446CB7" w:rsidRPr="002553B3" w:rsidRDefault="00446CB7" w:rsidP="00446CB7">
      <w:pPr>
        <w:rPr>
          <w:rFonts w:ascii="Times New Roman" w:hAnsi="Times New Roman" w:cs="Times New Roman"/>
        </w:rPr>
      </w:pPr>
      <w:r w:rsidRPr="002553B3">
        <w:rPr>
          <w:rFonts w:ascii="Times New Roman" w:hAnsi="Times New Roman" w:cs="Times New Roman"/>
        </w:rPr>
        <w:t xml:space="preserve">The ACMA has assessed whether the </w:t>
      </w:r>
      <w:r w:rsidR="007B0BAC" w:rsidRPr="002553B3">
        <w:rPr>
          <w:rFonts w:ascii="Times New Roman" w:hAnsi="Times New Roman" w:cs="Times New Roman"/>
        </w:rPr>
        <w:t>Determination</w:t>
      </w:r>
      <w:r w:rsidR="00F026F1" w:rsidRPr="002553B3">
        <w:rPr>
          <w:rFonts w:ascii="Times New Roman" w:hAnsi="Times New Roman" w:cs="Times New Roman"/>
        </w:rPr>
        <w:t xml:space="preserve"> </w:t>
      </w:r>
      <w:r w:rsidRPr="002553B3">
        <w:rPr>
          <w:rFonts w:ascii="Times New Roman" w:hAnsi="Times New Roman" w:cs="Times New Roman"/>
        </w:rPr>
        <w:t xml:space="preserve">is compatible with human rights, being the rights and freedoms recognised or declared by the international instruments listed in subsection 3(1) of the </w:t>
      </w:r>
      <w:r w:rsidRPr="002553B3">
        <w:rPr>
          <w:rFonts w:ascii="Times New Roman" w:hAnsi="Times New Roman" w:cs="Times New Roman"/>
          <w:i/>
        </w:rPr>
        <w:t>Human Rights (Parliamentary Scrutiny) Act 2011</w:t>
      </w:r>
      <w:r w:rsidRPr="002553B3">
        <w:rPr>
          <w:rFonts w:ascii="Times New Roman" w:hAnsi="Times New Roman" w:cs="Times New Roman"/>
        </w:rPr>
        <w:t xml:space="preserve"> as they apply to Australia.</w:t>
      </w:r>
    </w:p>
    <w:p w14:paraId="10F0C825" w14:textId="2D9CA1AE" w:rsidR="00446CB7" w:rsidRPr="002553B3" w:rsidRDefault="00446CB7" w:rsidP="00446CB7">
      <w:pPr>
        <w:spacing w:after="40"/>
        <w:rPr>
          <w:rFonts w:ascii="Times New Roman" w:hAnsi="Times New Roman" w:cs="Times New Roman"/>
        </w:rPr>
      </w:pPr>
      <w:r w:rsidRPr="002553B3">
        <w:rPr>
          <w:rFonts w:ascii="Times New Roman" w:hAnsi="Times New Roman" w:cs="Times New Roman"/>
        </w:rPr>
        <w:t xml:space="preserve">Having considered the likely impact of the </w:t>
      </w:r>
      <w:r w:rsidR="007B0BAC" w:rsidRPr="002553B3">
        <w:rPr>
          <w:rFonts w:ascii="Times New Roman" w:hAnsi="Times New Roman" w:cs="Times New Roman"/>
        </w:rPr>
        <w:t>Determination</w:t>
      </w:r>
      <w:r w:rsidR="00F026F1" w:rsidRPr="002553B3">
        <w:rPr>
          <w:rFonts w:ascii="Times New Roman" w:hAnsi="Times New Roman" w:cs="Times New Roman"/>
        </w:rPr>
        <w:t xml:space="preserve"> </w:t>
      </w:r>
      <w:r w:rsidRPr="002553B3">
        <w:rPr>
          <w:rFonts w:ascii="Times New Roman" w:hAnsi="Times New Roman" w:cs="Times New Roman"/>
        </w:rPr>
        <w:t xml:space="preserve">and the nature of the applicable rights and freedoms, the ACMA has formed the view that the </w:t>
      </w:r>
      <w:r w:rsidR="007B0BAC" w:rsidRPr="002553B3">
        <w:rPr>
          <w:rFonts w:ascii="Times New Roman" w:hAnsi="Times New Roman" w:cs="Times New Roman"/>
        </w:rPr>
        <w:t>Determination</w:t>
      </w:r>
      <w:r w:rsidR="00EA50CF" w:rsidRPr="002553B3">
        <w:rPr>
          <w:rFonts w:ascii="Times New Roman" w:hAnsi="Times New Roman" w:cs="Times New Roman"/>
        </w:rPr>
        <w:t xml:space="preserve"> </w:t>
      </w:r>
      <w:r w:rsidRPr="002553B3">
        <w:rPr>
          <w:rFonts w:ascii="Times New Roman" w:hAnsi="Times New Roman" w:cs="Times New Roman"/>
        </w:rPr>
        <w:t>engages the following</w:t>
      </w:r>
      <w:r w:rsidR="004A57F2">
        <w:rPr>
          <w:rFonts w:ascii="Times New Roman" w:hAnsi="Times New Roman" w:cs="Times New Roman"/>
        </w:rPr>
        <w:t xml:space="preserve"> rights</w:t>
      </w:r>
      <w:r w:rsidR="00CE2064" w:rsidRPr="002553B3">
        <w:rPr>
          <w:rFonts w:ascii="Times New Roman" w:hAnsi="Times New Roman" w:cs="Times New Roman"/>
        </w:rPr>
        <w:t>:</w:t>
      </w:r>
    </w:p>
    <w:p w14:paraId="003ADF21" w14:textId="0ADB4B20" w:rsidR="00446CB7" w:rsidRPr="002553B3" w:rsidRDefault="009A3947" w:rsidP="009A7996">
      <w:pPr>
        <w:pStyle w:val="ListParagraph"/>
        <w:numPr>
          <w:ilvl w:val="0"/>
          <w:numId w:val="2"/>
        </w:numPr>
        <w:rPr>
          <w:rFonts w:ascii="Times New Roman" w:hAnsi="Times New Roman" w:cs="Times New Roman"/>
        </w:rPr>
      </w:pPr>
      <w:r w:rsidRPr="002553B3">
        <w:rPr>
          <w:rFonts w:ascii="Times New Roman" w:hAnsi="Times New Roman" w:cs="Times New Roman"/>
        </w:rPr>
        <w:t>the right to privacy in Article 17 of the </w:t>
      </w:r>
      <w:r w:rsidRPr="002553B3">
        <w:rPr>
          <w:rFonts w:ascii="Times New Roman" w:hAnsi="Times New Roman" w:cs="Times New Roman"/>
          <w:i/>
          <w:iCs/>
        </w:rPr>
        <w:t>International Covenant on Civil and Political Rights </w:t>
      </w:r>
      <w:r w:rsidRPr="002553B3">
        <w:rPr>
          <w:rFonts w:ascii="Times New Roman" w:hAnsi="Times New Roman" w:cs="Times New Roman"/>
        </w:rPr>
        <w:t>(</w:t>
      </w:r>
      <w:r w:rsidRPr="002553B3">
        <w:rPr>
          <w:rFonts w:ascii="Times New Roman" w:hAnsi="Times New Roman" w:cs="Times New Roman"/>
          <w:b/>
          <w:bCs/>
        </w:rPr>
        <w:t>the ICCPR</w:t>
      </w:r>
      <w:r w:rsidRPr="002553B3">
        <w:rPr>
          <w:rFonts w:ascii="Times New Roman" w:hAnsi="Times New Roman" w:cs="Times New Roman"/>
        </w:rPr>
        <w:t>)</w:t>
      </w:r>
      <w:r w:rsidR="00446CB7" w:rsidRPr="002553B3">
        <w:rPr>
          <w:rFonts w:ascii="Times New Roman" w:hAnsi="Times New Roman" w:cs="Times New Roman"/>
        </w:rPr>
        <w:t>;</w:t>
      </w:r>
    </w:p>
    <w:p w14:paraId="6D8EA47E" w14:textId="4B4838F0" w:rsidR="00446CB7" w:rsidRDefault="00CE2064" w:rsidP="009A7996">
      <w:pPr>
        <w:pStyle w:val="ListParagraph"/>
        <w:numPr>
          <w:ilvl w:val="0"/>
          <w:numId w:val="2"/>
        </w:numPr>
        <w:rPr>
          <w:rFonts w:ascii="Times New Roman" w:hAnsi="Times New Roman" w:cs="Times New Roman"/>
        </w:rPr>
      </w:pPr>
      <w:r w:rsidRPr="002553B3">
        <w:rPr>
          <w:rFonts w:ascii="Times New Roman" w:hAnsi="Times New Roman" w:cs="Times New Roman"/>
        </w:rPr>
        <w:t>the right to freedom of expression in Article 19 of the ICCPR.</w:t>
      </w:r>
    </w:p>
    <w:p w14:paraId="489334DC" w14:textId="5C5E6395" w:rsidR="009A3947" w:rsidRPr="002C4118" w:rsidRDefault="009A3947" w:rsidP="009A3947">
      <w:pPr>
        <w:pStyle w:val="Default"/>
        <w:rPr>
          <w:b/>
          <w:bCs/>
          <w:i/>
          <w:iCs/>
        </w:rPr>
      </w:pPr>
      <w:r w:rsidRPr="002553B3">
        <w:rPr>
          <w:b/>
          <w:bCs/>
          <w:i/>
          <w:iCs/>
        </w:rPr>
        <w:t>Right to privacy</w:t>
      </w:r>
    </w:p>
    <w:p w14:paraId="2C1F4184" w14:textId="77777777" w:rsidR="00934336" w:rsidRPr="002C4118" w:rsidRDefault="00934336" w:rsidP="009A3947">
      <w:pPr>
        <w:pStyle w:val="Default"/>
      </w:pPr>
    </w:p>
    <w:p w14:paraId="525FAB32" w14:textId="7A0A99B0" w:rsidR="009A3947" w:rsidRPr="002C4118" w:rsidRDefault="009A3947" w:rsidP="00CE2064">
      <w:pPr>
        <w:spacing w:after="40"/>
        <w:rPr>
          <w:rFonts w:ascii="Times New Roman" w:hAnsi="Times New Roman" w:cs="Times New Roman"/>
        </w:rPr>
      </w:pPr>
      <w:r w:rsidRPr="002C4118">
        <w:rPr>
          <w:rFonts w:ascii="Times New Roman" w:hAnsi="Times New Roman" w:cs="Times New Roman"/>
        </w:rPr>
        <w:t>Article 17 of the ICCPR provides:</w:t>
      </w:r>
      <w:r w:rsidRPr="002C4118">
        <w:rPr>
          <w:rFonts w:ascii="Times New Roman" w:hAnsi="Times New Roman" w:cs="Times New Roman"/>
        </w:rPr>
        <w:br/>
      </w:r>
    </w:p>
    <w:p w14:paraId="3B377DBF" w14:textId="51FE077C" w:rsidR="009A3947" w:rsidRPr="002C4118" w:rsidRDefault="009A3947" w:rsidP="00380028">
      <w:pPr>
        <w:pStyle w:val="ListParagraph"/>
        <w:numPr>
          <w:ilvl w:val="0"/>
          <w:numId w:val="6"/>
        </w:numPr>
        <w:spacing w:after="40"/>
        <w:rPr>
          <w:rFonts w:ascii="Times New Roman" w:hAnsi="Times New Roman" w:cs="Times New Roman"/>
        </w:rPr>
      </w:pPr>
      <w:r w:rsidRPr="002C4118">
        <w:rPr>
          <w:rFonts w:ascii="Times New Roman" w:hAnsi="Times New Roman" w:cs="Times New Roman"/>
        </w:rPr>
        <w:t xml:space="preserve">No one shall be subjected to arbitrary or unlawful interference with his privacy, family, </w:t>
      </w:r>
      <w:r w:rsidR="006B047B" w:rsidRPr="002C4118">
        <w:rPr>
          <w:rFonts w:ascii="Times New Roman" w:hAnsi="Times New Roman" w:cs="Times New Roman"/>
        </w:rPr>
        <w:t>home,</w:t>
      </w:r>
      <w:r w:rsidRPr="002C4118">
        <w:rPr>
          <w:rFonts w:ascii="Times New Roman" w:hAnsi="Times New Roman" w:cs="Times New Roman"/>
        </w:rPr>
        <w:t xml:space="preserve"> or correspondence, nor to unlawful attacks on his honour and reputation.</w:t>
      </w:r>
    </w:p>
    <w:p w14:paraId="5A0A4774" w14:textId="01FA02E1" w:rsidR="00CE2064" w:rsidRPr="002C4118" w:rsidRDefault="009A3947" w:rsidP="00380028">
      <w:pPr>
        <w:pStyle w:val="ListParagraph"/>
        <w:numPr>
          <w:ilvl w:val="0"/>
          <w:numId w:val="6"/>
        </w:numPr>
        <w:spacing w:after="40"/>
        <w:rPr>
          <w:rFonts w:ascii="Times New Roman" w:hAnsi="Times New Roman" w:cs="Times New Roman"/>
        </w:rPr>
      </w:pPr>
      <w:r w:rsidRPr="002C4118">
        <w:rPr>
          <w:rFonts w:ascii="Times New Roman" w:hAnsi="Times New Roman" w:cs="Times New Roman"/>
        </w:rPr>
        <w:t>Everyone has the right to the protection of the law against such interference or attacks.</w:t>
      </w:r>
    </w:p>
    <w:p w14:paraId="6F4D24C3" w14:textId="77777777" w:rsidR="00CE2064" w:rsidRPr="00EA21AF" w:rsidRDefault="00CE2064" w:rsidP="00CE2064">
      <w:pPr>
        <w:spacing w:after="40"/>
        <w:rPr>
          <w:rFonts w:ascii="Times New Roman" w:hAnsi="Times New Roman" w:cs="Times New Roman"/>
          <w:highlight w:val="yellow"/>
        </w:rPr>
      </w:pPr>
    </w:p>
    <w:p w14:paraId="5ABCF3D1" w14:textId="3451F12C" w:rsidR="009A3947" w:rsidRPr="00D63CF1" w:rsidRDefault="009A3947" w:rsidP="009A3947">
      <w:pPr>
        <w:pStyle w:val="Default"/>
        <w:rPr>
          <w:sz w:val="22"/>
          <w:szCs w:val="22"/>
        </w:rPr>
      </w:pPr>
      <w:r w:rsidRPr="002C4118">
        <w:rPr>
          <w:sz w:val="22"/>
          <w:szCs w:val="22"/>
        </w:rPr>
        <w:t>Article 17 of the ICCPR (like Article 16 of the </w:t>
      </w:r>
      <w:r w:rsidRPr="002C4118">
        <w:rPr>
          <w:i/>
          <w:iCs/>
          <w:sz w:val="22"/>
          <w:szCs w:val="22"/>
        </w:rPr>
        <w:t>Convention on the Rights of the Child</w:t>
      </w:r>
      <w:r w:rsidRPr="002C4118">
        <w:rPr>
          <w:sz w:val="22"/>
          <w:szCs w:val="22"/>
        </w:rPr>
        <w:t> and Article 22 of the </w:t>
      </w:r>
      <w:r w:rsidRPr="002C4118">
        <w:rPr>
          <w:i/>
          <w:iCs/>
          <w:sz w:val="22"/>
          <w:szCs w:val="22"/>
        </w:rPr>
        <w:t>Convention on the Rights of Persons with Disabilities</w:t>
      </w:r>
      <w:r w:rsidRPr="002C4118">
        <w:rPr>
          <w:sz w:val="22"/>
          <w:szCs w:val="22"/>
        </w:rPr>
        <w:t>) protects the right to freedom from unlawful or arbitrary interference with privacy</w:t>
      </w:r>
      <w:r w:rsidRPr="00D63CF1">
        <w:rPr>
          <w:sz w:val="22"/>
          <w:szCs w:val="22"/>
        </w:rPr>
        <w:t xml:space="preserve">. Certain provisions in the </w:t>
      </w:r>
      <w:r w:rsidR="007B0BAC" w:rsidRPr="00D63CF1">
        <w:rPr>
          <w:sz w:val="22"/>
          <w:szCs w:val="22"/>
        </w:rPr>
        <w:t>Determination</w:t>
      </w:r>
      <w:r w:rsidRPr="00D63CF1">
        <w:rPr>
          <w:sz w:val="22"/>
          <w:szCs w:val="22"/>
        </w:rPr>
        <w:t xml:space="preserve"> could be considered to limit the right to privacy. However, the right to privacy is not an absolute right and a limitation is not</w:t>
      </w:r>
      <w:r w:rsidR="00243B33" w:rsidRPr="00D63CF1">
        <w:rPr>
          <w:sz w:val="22"/>
          <w:szCs w:val="22"/>
        </w:rPr>
        <w:t xml:space="preserve"> necessarily</w:t>
      </w:r>
      <w:r w:rsidRPr="00D63CF1">
        <w:rPr>
          <w:sz w:val="22"/>
          <w:szCs w:val="22"/>
        </w:rPr>
        <w:t xml:space="preserve"> incompatible with the right itself.</w:t>
      </w:r>
    </w:p>
    <w:p w14:paraId="594DCB90" w14:textId="18873C4A" w:rsidR="009A3947" w:rsidRPr="00EA21AF" w:rsidRDefault="009A3947" w:rsidP="00446CB7">
      <w:pPr>
        <w:pStyle w:val="Default"/>
        <w:rPr>
          <w:sz w:val="22"/>
          <w:szCs w:val="22"/>
          <w:highlight w:val="yellow"/>
        </w:rPr>
      </w:pPr>
    </w:p>
    <w:p w14:paraId="01CF6335" w14:textId="18A38976" w:rsidR="009A3947" w:rsidRPr="002553B3" w:rsidRDefault="009A3947" w:rsidP="009A3947">
      <w:pPr>
        <w:pStyle w:val="Default"/>
        <w:rPr>
          <w:sz w:val="22"/>
          <w:szCs w:val="22"/>
        </w:rPr>
      </w:pPr>
      <w:r w:rsidRPr="00D63CF1">
        <w:rPr>
          <w:sz w:val="22"/>
          <w:szCs w:val="22"/>
        </w:rPr>
        <w:t xml:space="preserve">The </w:t>
      </w:r>
      <w:r w:rsidR="007B0BAC" w:rsidRPr="00D63CF1">
        <w:rPr>
          <w:sz w:val="22"/>
          <w:szCs w:val="22"/>
        </w:rPr>
        <w:t>Determination</w:t>
      </w:r>
      <w:r w:rsidRPr="00D63CF1">
        <w:rPr>
          <w:sz w:val="22"/>
          <w:szCs w:val="22"/>
        </w:rPr>
        <w:t xml:space="preserve"> authorises the collection and use of personal information by carriage service providers</w:t>
      </w:r>
      <w:r w:rsidR="001203B4" w:rsidRPr="00D63CF1">
        <w:rPr>
          <w:sz w:val="22"/>
          <w:szCs w:val="22"/>
        </w:rPr>
        <w:t xml:space="preserve"> to prevent </w:t>
      </w:r>
      <w:r w:rsidR="002A5F20" w:rsidRPr="00D63CF1">
        <w:rPr>
          <w:sz w:val="22"/>
          <w:szCs w:val="22"/>
        </w:rPr>
        <w:t>unauthorised high-risk customer interactions</w:t>
      </w:r>
      <w:r w:rsidRPr="00D63CF1">
        <w:rPr>
          <w:sz w:val="22"/>
          <w:szCs w:val="22"/>
        </w:rPr>
        <w:t xml:space="preserve">. However, to the extent that the </w:t>
      </w:r>
      <w:r w:rsidR="007B0BAC" w:rsidRPr="00D63CF1">
        <w:rPr>
          <w:sz w:val="22"/>
          <w:szCs w:val="22"/>
        </w:rPr>
        <w:t>Determination</w:t>
      </w:r>
      <w:r w:rsidRPr="00D63CF1">
        <w:rPr>
          <w:sz w:val="22"/>
          <w:szCs w:val="22"/>
        </w:rPr>
        <w:t xml:space="preserve"> could be said to authorise an interference with privacy, that interference will be neither unlawful nor arbitrary. It will not be unlawful because the collection of personal information which is provided for and circumscribed by the </w:t>
      </w:r>
      <w:r w:rsidR="007B0BAC" w:rsidRPr="00D63CF1">
        <w:rPr>
          <w:sz w:val="22"/>
          <w:szCs w:val="22"/>
        </w:rPr>
        <w:t>Determination</w:t>
      </w:r>
      <w:r w:rsidRPr="00D63CF1">
        <w:rPr>
          <w:sz w:val="22"/>
          <w:szCs w:val="22"/>
        </w:rPr>
        <w:t xml:space="preserve"> </w:t>
      </w:r>
      <w:r w:rsidR="00105883" w:rsidRPr="002553B3">
        <w:rPr>
          <w:sz w:val="22"/>
          <w:szCs w:val="22"/>
        </w:rPr>
        <w:t xml:space="preserve">and </w:t>
      </w:r>
      <w:r w:rsidR="00131E33" w:rsidRPr="002553B3">
        <w:rPr>
          <w:sz w:val="22"/>
          <w:szCs w:val="22"/>
        </w:rPr>
        <w:t xml:space="preserve">any use </w:t>
      </w:r>
      <w:r w:rsidR="00082C8B" w:rsidRPr="002553B3">
        <w:rPr>
          <w:sz w:val="22"/>
          <w:szCs w:val="22"/>
        </w:rPr>
        <w:t xml:space="preserve">or disclosure </w:t>
      </w:r>
      <w:r w:rsidR="00F024BD" w:rsidRPr="002553B3">
        <w:rPr>
          <w:sz w:val="22"/>
          <w:szCs w:val="22"/>
        </w:rPr>
        <w:t>of that personal information</w:t>
      </w:r>
      <w:r w:rsidR="002553B3">
        <w:rPr>
          <w:sz w:val="22"/>
          <w:szCs w:val="22"/>
        </w:rPr>
        <w:t>,</w:t>
      </w:r>
      <w:r w:rsidR="00F024BD" w:rsidRPr="002553B3">
        <w:rPr>
          <w:sz w:val="22"/>
          <w:szCs w:val="22"/>
        </w:rPr>
        <w:t xml:space="preserve"> </w:t>
      </w:r>
      <w:r w:rsidR="00105883" w:rsidRPr="002553B3">
        <w:rPr>
          <w:sz w:val="22"/>
          <w:szCs w:val="22"/>
        </w:rPr>
        <w:t xml:space="preserve">will be </w:t>
      </w:r>
      <w:r w:rsidR="00393EF6" w:rsidRPr="002553B3">
        <w:rPr>
          <w:sz w:val="22"/>
          <w:szCs w:val="22"/>
        </w:rPr>
        <w:t xml:space="preserve">subject to the </w:t>
      </w:r>
      <w:r w:rsidR="00D76F3E" w:rsidRPr="002553B3">
        <w:rPr>
          <w:i/>
          <w:iCs/>
          <w:sz w:val="22"/>
          <w:szCs w:val="22"/>
        </w:rPr>
        <w:t>Privacy Act</w:t>
      </w:r>
      <w:r w:rsidR="00235DA1" w:rsidRPr="002553B3">
        <w:rPr>
          <w:i/>
          <w:iCs/>
          <w:sz w:val="22"/>
          <w:szCs w:val="22"/>
        </w:rPr>
        <w:t xml:space="preserve"> 1988</w:t>
      </w:r>
      <w:r w:rsidRPr="002553B3">
        <w:rPr>
          <w:sz w:val="22"/>
          <w:szCs w:val="22"/>
        </w:rPr>
        <w:t>.</w:t>
      </w:r>
    </w:p>
    <w:p w14:paraId="1C64AABD" w14:textId="77777777" w:rsidR="009A3947" w:rsidRPr="00EA21AF" w:rsidRDefault="009A3947" w:rsidP="009A3947">
      <w:pPr>
        <w:pStyle w:val="Default"/>
        <w:rPr>
          <w:sz w:val="22"/>
          <w:szCs w:val="22"/>
          <w:highlight w:val="yellow"/>
        </w:rPr>
      </w:pPr>
    </w:p>
    <w:p w14:paraId="414D4F53" w14:textId="419D3181" w:rsidR="009A3947" w:rsidRPr="002553B3" w:rsidRDefault="009A3947" w:rsidP="009A3947">
      <w:pPr>
        <w:pStyle w:val="Default"/>
        <w:rPr>
          <w:sz w:val="22"/>
          <w:szCs w:val="22"/>
        </w:rPr>
      </w:pPr>
      <w:r w:rsidRPr="00D63CF1">
        <w:rPr>
          <w:sz w:val="22"/>
          <w:szCs w:val="22"/>
        </w:rPr>
        <w:t xml:space="preserve">It will not be arbitrary because the </w:t>
      </w:r>
      <w:r w:rsidR="007B0BAC" w:rsidRPr="00D63CF1">
        <w:rPr>
          <w:sz w:val="22"/>
          <w:szCs w:val="22"/>
        </w:rPr>
        <w:t>Determination</w:t>
      </w:r>
      <w:r w:rsidRPr="00D63CF1">
        <w:rPr>
          <w:sz w:val="22"/>
          <w:szCs w:val="22"/>
        </w:rPr>
        <w:t xml:space="preserve"> specifies only the minimum amount of personal information </w:t>
      </w:r>
      <w:r w:rsidR="0065022C" w:rsidRPr="00D63CF1">
        <w:rPr>
          <w:sz w:val="22"/>
          <w:szCs w:val="22"/>
        </w:rPr>
        <w:t xml:space="preserve">or data </w:t>
      </w:r>
      <w:r w:rsidRPr="00D63CF1">
        <w:rPr>
          <w:sz w:val="22"/>
          <w:szCs w:val="22"/>
        </w:rPr>
        <w:t xml:space="preserve">that is reasonably necessary to assist with </w:t>
      </w:r>
      <w:r w:rsidRPr="002553B3">
        <w:rPr>
          <w:sz w:val="22"/>
          <w:szCs w:val="22"/>
        </w:rPr>
        <w:t xml:space="preserve">the legitimate objective of </w:t>
      </w:r>
      <w:commentRangeStart w:id="4"/>
      <w:r w:rsidR="00C06F22">
        <w:rPr>
          <w:sz w:val="22"/>
          <w:szCs w:val="22"/>
        </w:rPr>
        <w:t>fraud prevention</w:t>
      </w:r>
      <w:commentRangeEnd w:id="4"/>
      <w:r w:rsidR="00C06F22">
        <w:rPr>
          <w:rStyle w:val="CommentReference"/>
          <w:rFonts w:asciiTheme="minorHAnsi" w:hAnsiTheme="minorHAnsi" w:cstheme="minorBidi"/>
          <w:color w:val="auto"/>
        </w:rPr>
        <w:commentReference w:id="4"/>
      </w:r>
      <w:r w:rsidRPr="002553B3">
        <w:rPr>
          <w:sz w:val="22"/>
          <w:szCs w:val="22"/>
        </w:rPr>
        <w:t>.</w:t>
      </w:r>
      <w:r w:rsidR="007E2312">
        <w:rPr>
          <w:sz w:val="22"/>
          <w:szCs w:val="22"/>
        </w:rPr>
        <w:t xml:space="preserve"> </w:t>
      </w:r>
    </w:p>
    <w:p w14:paraId="173F42C5" w14:textId="77777777" w:rsidR="009A3947" w:rsidRPr="002553B3" w:rsidRDefault="009A3947" w:rsidP="009A3947">
      <w:pPr>
        <w:pStyle w:val="Default"/>
        <w:rPr>
          <w:sz w:val="22"/>
          <w:szCs w:val="22"/>
        </w:rPr>
      </w:pPr>
    </w:p>
    <w:p w14:paraId="7A6E78A4" w14:textId="1BF12255" w:rsidR="009A3947" w:rsidRPr="002C4118" w:rsidRDefault="009A3947" w:rsidP="009A3947">
      <w:pPr>
        <w:pStyle w:val="Default"/>
        <w:rPr>
          <w:sz w:val="22"/>
          <w:szCs w:val="22"/>
        </w:rPr>
      </w:pPr>
      <w:r w:rsidRPr="002C4118">
        <w:rPr>
          <w:sz w:val="22"/>
          <w:szCs w:val="22"/>
        </w:rPr>
        <w:t xml:space="preserve">In addition, Part 13 of the Act is directed at protecting the confidentiality of (among other things) personal information held by </w:t>
      </w:r>
      <w:r w:rsidR="00E75FBE" w:rsidRPr="002C4118">
        <w:rPr>
          <w:sz w:val="22"/>
          <w:szCs w:val="22"/>
        </w:rPr>
        <w:t>carriage service provider</w:t>
      </w:r>
      <w:r w:rsidRPr="002C4118">
        <w:rPr>
          <w:sz w:val="22"/>
          <w:szCs w:val="22"/>
        </w:rPr>
        <w:t xml:space="preserve">s. The disclosure or use of such information is prohibited except in limited circumstances, such as for purposes relating to the enforcement of the criminal law, assisting the ACMA to </w:t>
      </w:r>
      <w:r w:rsidR="00B37802" w:rsidRPr="002C4118">
        <w:rPr>
          <w:sz w:val="22"/>
          <w:szCs w:val="22"/>
        </w:rPr>
        <w:t>conduct</w:t>
      </w:r>
      <w:r w:rsidRPr="002C4118">
        <w:rPr>
          <w:sz w:val="22"/>
          <w:szCs w:val="22"/>
        </w:rPr>
        <w:t xml:space="preserve"> its functions or powers, or providing emergency warnings.</w:t>
      </w:r>
    </w:p>
    <w:p w14:paraId="00C8A001" w14:textId="77777777" w:rsidR="009A3947" w:rsidRPr="002C4118" w:rsidRDefault="009A3947" w:rsidP="009A3947">
      <w:pPr>
        <w:pStyle w:val="Default"/>
        <w:rPr>
          <w:sz w:val="22"/>
          <w:szCs w:val="22"/>
        </w:rPr>
      </w:pPr>
    </w:p>
    <w:p w14:paraId="4DE8F0ED" w14:textId="08E019FB" w:rsidR="009A3947" w:rsidRPr="00D63CF1" w:rsidRDefault="009A3947" w:rsidP="009A3947">
      <w:pPr>
        <w:pStyle w:val="Default"/>
        <w:rPr>
          <w:sz w:val="22"/>
          <w:szCs w:val="22"/>
        </w:rPr>
      </w:pPr>
      <w:r w:rsidRPr="00D63CF1">
        <w:rPr>
          <w:sz w:val="22"/>
          <w:szCs w:val="22"/>
        </w:rPr>
        <w:t xml:space="preserve">Part 13 also imposes a range of record-keeping requirements on carriage service providers in relation to authorised disclosures or uses of information. The </w:t>
      </w:r>
      <w:r w:rsidR="00894002" w:rsidRPr="00D63CF1">
        <w:rPr>
          <w:sz w:val="22"/>
          <w:szCs w:val="22"/>
        </w:rPr>
        <w:t xml:space="preserve">Australian </w:t>
      </w:r>
      <w:r w:rsidRPr="00D63CF1">
        <w:rPr>
          <w:sz w:val="22"/>
          <w:szCs w:val="22"/>
        </w:rPr>
        <w:t xml:space="preserve">Information Commissioner has the function of monitoring compliance and reporting to the </w:t>
      </w:r>
      <w:r w:rsidR="00DB0A9E" w:rsidRPr="00D63CF1">
        <w:rPr>
          <w:sz w:val="22"/>
          <w:szCs w:val="22"/>
        </w:rPr>
        <w:t xml:space="preserve">Minister </w:t>
      </w:r>
      <w:r w:rsidRPr="00D63CF1">
        <w:rPr>
          <w:sz w:val="22"/>
          <w:szCs w:val="22"/>
        </w:rPr>
        <w:t xml:space="preserve">in relation to these record-keeping requirements, and on whether the records indicate compliance with limitations imposed on disclosure and use of personal information held by </w:t>
      </w:r>
      <w:r w:rsidR="00B40B9E" w:rsidRPr="00D63CF1">
        <w:rPr>
          <w:sz w:val="22"/>
          <w:szCs w:val="22"/>
        </w:rPr>
        <w:t>mobile carriage service providers</w:t>
      </w:r>
      <w:r w:rsidRPr="00D63CF1">
        <w:rPr>
          <w:sz w:val="22"/>
          <w:szCs w:val="22"/>
        </w:rPr>
        <w:t>.</w:t>
      </w:r>
    </w:p>
    <w:p w14:paraId="41849A29" w14:textId="77777777" w:rsidR="009A3947" w:rsidRPr="00D63CF1" w:rsidRDefault="009A3947" w:rsidP="009A3947">
      <w:pPr>
        <w:pStyle w:val="Default"/>
        <w:rPr>
          <w:sz w:val="22"/>
          <w:szCs w:val="22"/>
        </w:rPr>
      </w:pPr>
    </w:p>
    <w:p w14:paraId="7C6FA2C3" w14:textId="45FDD67A" w:rsidR="009A3947" w:rsidRPr="008556DA" w:rsidRDefault="00D63CF1" w:rsidP="009A3947">
      <w:pPr>
        <w:pStyle w:val="Default"/>
        <w:rPr>
          <w:sz w:val="22"/>
          <w:szCs w:val="22"/>
        </w:rPr>
      </w:pPr>
      <w:r w:rsidRPr="008556DA">
        <w:rPr>
          <w:sz w:val="22"/>
          <w:szCs w:val="22"/>
        </w:rPr>
        <w:t>Most c</w:t>
      </w:r>
      <w:r w:rsidR="00DB0A9E" w:rsidRPr="008556DA">
        <w:rPr>
          <w:sz w:val="22"/>
          <w:szCs w:val="22"/>
        </w:rPr>
        <w:t>arriage service providers</w:t>
      </w:r>
      <w:r w:rsidR="00AC04D3" w:rsidRPr="008556DA">
        <w:rPr>
          <w:sz w:val="22"/>
          <w:szCs w:val="22"/>
        </w:rPr>
        <w:t xml:space="preserve"> </w:t>
      </w:r>
      <w:r w:rsidR="009A3947" w:rsidRPr="008556DA">
        <w:rPr>
          <w:sz w:val="22"/>
          <w:szCs w:val="22"/>
        </w:rPr>
        <w:t>are also subject to the </w:t>
      </w:r>
      <w:r w:rsidR="009A3947" w:rsidRPr="008556DA">
        <w:rPr>
          <w:i/>
          <w:iCs/>
          <w:sz w:val="22"/>
          <w:szCs w:val="22"/>
        </w:rPr>
        <w:t>Privacy Act</w:t>
      </w:r>
      <w:r w:rsidR="009A3947" w:rsidRPr="008556DA">
        <w:rPr>
          <w:sz w:val="22"/>
          <w:szCs w:val="22"/>
        </w:rPr>
        <w:t> </w:t>
      </w:r>
      <w:r w:rsidR="009A3947" w:rsidRPr="008556DA">
        <w:rPr>
          <w:i/>
          <w:iCs/>
          <w:sz w:val="22"/>
          <w:szCs w:val="22"/>
        </w:rPr>
        <w:t>1988 </w:t>
      </w:r>
      <w:r w:rsidR="009A3947" w:rsidRPr="008556DA">
        <w:rPr>
          <w:sz w:val="22"/>
          <w:szCs w:val="22"/>
        </w:rPr>
        <w:t xml:space="preserve">in relation to the personal information they handle in accordance with the </w:t>
      </w:r>
      <w:r w:rsidR="007B0BAC" w:rsidRPr="008556DA">
        <w:rPr>
          <w:sz w:val="22"/>
          <w:szCs w:val="22"/>
        </w:rPr>
        <w:t>Determination</w:t>
      </w:r>
      <w:r w:rsidR="009A3947" w:rsidRPr="008556DA">
        <w:rPr>
          <w:sz w:val="22"/>
          <w:szCs w:val="22"/>
        </w:rPr>
        <w:t xml:space="preserve">. The </w:t>
      </w:r>
      <w:r w:rsidR="007B0BAC" w:rsidRPr="008556DA">
        <w:rPr>
          <w:sz w:val="22"/>
          <w:szCs w:val="22"/>
        </w:rPr>
        <w:t>Determination</w:t>
      </w:r>
      <w:r w:rsidR="009A3947" w:rsidRPr="008556DA">
        <w:rPr>
          <w:sz w:val="22"/>
          <w:szCs w:val="22"/>
        </w:rPr>
        <w:t xml:space="preserve"> is expected to enhance the privacy protections afforded to individuals in the following ways:</w:t>
      </w:r>
    </w:p>
    <w:p w14:paraId="49EC78B6" w14:textId="60BE22B7" w:rsidR="0002402C" w:rsidRPr="008556DA" w:rsidRDefault="0002402C" w:rsidP="00380028">
      <w:pPr>
        <w:pStyle w:val="Default"/>
        <w:numPr>
          <w:ilvl w:val="0"/>
          <w:numId w:val="7"/>
        </w:numPr>
        <w:spacing w:before="120"/>
        <w:ind w:left="714" w:hanging="357"/>
        <w:rPr>
          <w:sz w:val="22"/>
          <w:szCs w:val="22"/>
        </w:rPr>
      </w:pPr>
      <w:r w:rsidRPr="008556DA">
        <w:rPr>
          <w:sz w:val="22"/>
          <w:szCs w:val="22"/>
        </w:rPr>
        <w:t>customers of carriage service providers</w:t>
      </w:r>
      <w:r w:rsidR="005B11FC" w:rsidRPr="008556DA">
        <w:rPr>
          <w:sz w:val="22"/>
          <w:szCs w:val="22"/>
        </w:rPr>
        <w:t xml:space="preserve"> will</w:t>
      </w:r>
      <w:r w:rsidRPr="008556DA">
        <w:rPr>
          <w:sz w:val="22"/>
          <w:szCs w:val="22"/>
        </w:rPr>
        <w:t xml:space="preserve"> have additional protections in place to </w:t>
      </w:r>
      <w:r w:rsidR="00B574E9" w:rsidRPr="008556DA">
        <w:rPr>
          <w:sz w:val="22"/>
          <w:szCs w:val="22"/>
        </w:rPr>
        <w:t>reduce the harm caused to customers when access to their personal information, business information or telecommunications service is targeted by unauthorised persons or entities</w:t>
      </w:r>
      <w:r w:rsidR="00970ACB" w:rsidRPr="008556DA">
        <w:rPr>
          <w:sz w:val="22"/>
          <w:szCs w:val="22"/>
        </w:rPr>
        <w:t>;</w:t>
      </w:r>
    </w:p>
    <w:p w14:paraId="7B5823F9" w14:textId="4060F71A" w:rsidR="005B11FC" w:rsidRPr="008556DA" w:rsidRDefault="009A3947" w:rsidP="00380028">
      <w:pPr>
        <w:pStyle w:val="Default"/>
        <w:numPr>
          <w:ilvl w:val="0"/>
          <w:numId w:val="7"/>
        </w:numPr>
        <w:rPr>
          <w:sz w:val="22"/>
          <w:szCs w:val="22"/>
        </w:rPr>
      </w:pPr>
      <w:r w:rsidRPr="008556DA">
        <w:rPr>
          <w:sz w:val="22"/>
          <w:szCs w:val="22"/>
        </w:rPr>
        <w:t xml:space="preserve">customers of carriage service providers are provided with a range of </w:t>
      </w:r>
      <w:r w:rsidR="005B11FC" w:rsidRPr="008556DA">
        <w:rPr>
          <w:sz w:val="22"/>
          <w:szCs w:val="22"/>
        </w:rPr>
        <w:t xml:space="preserve">measures </w:t>
      </w:r>
      <w:r w:rsidRPr="008556DA">
        <w:rPr>
          <w:sz w:val="22"/>
          <w:szCs w:val="22"/>
        </w:rPr>
        <w:t xml:space="preserve">about how their identity can be </w:t>
      </w:r>
      <w:r w:rsidR="00621B60">
        <w:rPr>
          <w:sz w:val="22"/>
          <w:szCs w:val="22"/>
        </w:rPr>
        <w:t>authenticat</w:t>
      </w:r>
      <w:r w:rsidR="00621B60" w:rsidRPr="008556DA">
        <w:rPr>
          <w:sz w:val="22"/>
          <w:szCs w:val="22"/>
        </w:rPr>
        <w:t>ed</w:t>
      </w:r>
      <w:r w:rsidR="00970ACB" w:rsidRPr="008556DA">
        <w:rPr>
          <w:sz w:val="22"/>
          <w:szCs w:val="22"/>
        </w:rPr>
        <w:t>;</w:t>
      </w:r>
    </w:p>
    <w:p w14:paraId="20CCC89A" w14:textId="1EECDCD3" w:rsidR="009A3947" w:rsidRPr="008556DA" w:rsidRDefault="005B11FC" w:rsidP="00380028">
      <w:pPr>
        <w:pStyle w:val="Default"/>
        <w:numPr>
          <w:ilvl w:val="0"/>
          <w:numId w:val="7"/>
        </w:numPr>
        <w:rPr>
          <w:sz w:val="22"/>
          <w:szCs w:val="22"/>
        </w:rPr>
      </w:pPr>
      <w:r w:rsidRPr="008556DA">
        <w:rPr>
          <w:sz w:val="22"/>
          <w:szCs w:val="22"/>
        </w:rPr>
        <w:t xml:space="preserve">carriage service providers </w:t>
      </w:r>
      <w:r w:rsidR="00D22312" w:rsidRPr="008556DA">
        <w:rPr>
          <w:sz w:val="22"/>
          <w:szCs w:val="22"/>
        </w:rPr>
        <w:t>will publish advice for customers</w:t>
      </w:r>
      <w:r w:rsidR="007331EF" w:rsidRPr="008556DA">
        <w:rPr>
          <w:sz w:val="22"/>
          <w:szCs w:val="22"/>
        </w:rPr>
        <w:t xml:space="preserve"> about </w:t>
      </w:r>
      <w:r w:rsidR="00CD7E11" w:rsidRPr="008556DA">
        <w:rPr>
          <w:sz w:val="22"/>
          <w:szCs w:val="22"/>
        </w:rPr>
        <w:t xml:space="preserve">the additional identity processes and where </w:t>
      </w:r>
      <w:r w:rsidR="00D22312" w:rsidRPr="008556DA">
        <w:rPr>
          <w:sz w:val="22"/>
          <w:szCs w:val="22"/>
        </w:rPr>
        <w:t xml:space="preserve">customers </w:t>
      </w:r>
      <w:r w:rsidR="00E2376E" w:rsidRPr="008556DA">
        <w:rPr>
          <w:sz w:val="22"/>
          <w:szCs w:val="22"/>
        </w:rPr>
        <w:t>can</w:t>
      </w:r>
      <w:r w:rsidR="00CA0B1C" w:rsidRPr="008556DA">
        <w:rPr>
          <w:sz w:val="22"/>
          <w:szCs w:val="22"/>
        </w:rPr>
        <w:t xml:space="preserve"> </w:t>
      </w:r>
      <w:r w:rsidR="007331EF" w:rsidRPr="008556DA">
        <w:rPr>
          <w:sz w:val="22"/>
          <w:szCs w:val="22"/>
        </w:rPr>
        <w:t xml:space="preserve">report </w:t>
      </w:r>
      <w:r w:rsidR="006B107F" w:rsidRPr="008556DA">
        <w:rPr>
          <w:sz w:val="22"/>
          <w:szCs w:val="22"/>
        </w:rPr>
        <w:t xml:space="preserve">unauthorised </w:t>
      </w:r>
      <w:r w:rsidR="00621B60">
        <w:rPr>
          <w:sz w:val="22"/>
          <w:szCs w:val="22"/>
        </w:rPr>
        <w:t>transactions</w:t>
      </w:r>
      <w:r w:rsidR="00970ACB" w:rsidRPr="008556DA">
        <w:rPr>
          <w:sz w:val="22"/>
          <w:szCs w:val="22"/>
        </w:rPr>
        <w:t>;</w:t>
      </w:r>
      <w:r w:rsidR="00893FEE">
        <w:rPr>
          <w:sz w:val="22"/>
          <w:szCs w:val="22"/>
        </w:rPr>
        <w:t xml:space="preserve"> and</w:t>
      </w:r>
    </w:p>
    <w:p w14:paraId="28BBFD8F" w14:textId="46810990" w:rsidR="00CD7E11" w:rsidRPr="008556DA" w:rsidRDefault="00CD7E11" w:rsidP="00380028">
      <w:pPr>
        <w:pStyle w:val="Default"/>
        <w:numPr>
          <w:ilvl w:val="0"/>
          <w:numId w:val="7"/>
        </w:numPr>
        <w:rPr>
          <w:sz w:val="22"/>
          <w:szCs w:val="22"/>
        </w:rPr>
      </w:pPr>
      <w:r w:rsidRPr="008556DA">
        <w:rPr>
          <w:sz w:val="22"/>
          <w:szCs w:val="22"/>
        </w:rPr>
        <w:t xml:space="preserve">an </w:t>
      </w:r>
      <w:r w:rsidR="005B11FC" w:rsidRPr="008556DA">
        <w:rPr>
          <w:sz w:val="22"/>
          <w:szCs w:val="22"/>
        </w:rPr>
        <w:t>industry-wide app</w:t>
      </w:r>
      <w:r w:rsidRPr="008556DA">
        <w:rPr>
          <w:sz w:val="22"/>
          <w:szCs w:val="22"/>
        </w:rPr>
        <w:t>roach provides greater protection for all customers.</w:t>
      </w:r>
    </w:p>
    <w:p w14:paraId="73E2C6A2" w14:textId="77777777" w:rsidR="00CD7E11" w:rsidRPr="008556DA" w:rsidRDefault="00CD7E11" w:rsidP="00CD7E11">
      <w:pPr>
        <w:pStyle w:val="Default"/>
      </w:pPr>
    </w:p>
    <w:p w14:paraId="3CED99A8" w14:textId="6FB72349" w:rsidR="009A3947" w:rsidRPr="008556DA" w:rsidRDefault="009A3947" w:rsidP="00CD7E11">
      <w:pPr>
        <w:pStyle w:val="Default"/>
        <w:rPr>
          <w:sz w:val="22"/>
          <w:szCs w:val="22"/>
        </w:rPr>
      </w:pPr>
      <w:r w:rsidRPr="008556DA">
        <w:rPr>
          <w:sz w:val="22"/>
          <w:szCs w:val="22"/>
        </w:rPr>
        <w:t xml:space="preserve">These safeguards, together with the other restrictions on the handling of personal information described above, indicate that the </w:t>
      </w:r>
      <w:r w:rsidR="007B0BAC" w:rsidRPr="008556DA">
        <w:rPr>
          <w:sz w:val="22"/>
          <w:szCs w:val="22"/>
        </w:rPr>
        <w:t>Determination</w:t>
      </w:r>
      <w:r w:rsidRPr="008556DA">
        <w:rPr>
          <w:sz w:val="22"/>
          <w:szCs w:val="22"/>
        </w:rPr>
        <w:t xml:space="preserve"> is reasonable, </w:t>
      </w:r>
      <w:r w:rsidR="006B047B" w:rsidRPr="008556DA">
        <w:rPr>
          <w:sz w:val="22"/>
          <w:szCs w:val="22"/>
        </w:rPr>
        <w:t>necessary,</w:t>
      </w:r>
      <w:r w:rsidRPr="008556DA">
        <w:rPr>
          <w:sz w:val="22"/>
          <w:szCs w:val="22"/>
        </w:rPr>
        <w:t xml:space="preserve"> and proportionate to the objective of </w:t>
      </w:r>
      <w:r w:rsidR="00C06F22">
        <w:rPr>
          <w:sz w:val="22"/>
          <w:szCs w:val="22"/>
        </w:rPr>
        <w:t>fraud prevention</w:t>
      </w:r>
      <w:r w:rsidRPr="008556DA">
        <w:rPr>
          <w:sz w:val="22"/>
          <w:szCs w:val="22"/>
        </w:rPr>
        <w:t>.</w:t>
      </w:r>
    </w:p>
    <w:p w14:paraId="1720A8B8" w14:textId="51267CD2" w:rsidR="009A3947" w:rsidRDefault="009A3947" w:rsidP="00446CB7">
      <w:pPr>
        <w:pStyle w:val="Default"/>
        <w:rPr>
          <w:sz w:val="22"/>
          <w:szCs w:val="22"/>
          <w:highlight w:val="yellow"/>
        </w:rPr>
      </w:pPr>
    </w:p>
    <w:p w14:paraId="3E2B3669" w14:textId="0349EA73" w:rsidR="0002402C" w:rsidRPr="00504586" w:rsidRDefault="0002402C" w:rsidP="0002402C">
      <w:pPr>
        <w:pStyle w:val="Default"/>
        <w:rPr>
          <w:b/>
          <w:bCs/>
          <w:i/>
          <w:iCs/>
          <w:sz w:val="22"/>
          <w:szCs w:val="22"/>
        </w:rPr>
      </w:pPr>
      <w:r w:rsidRPr="00504586">
        <w:rPr>
          <w:b/>
          <w:bCs/>
          <w:i/>
          <w:iCs/>
          <w:sz w:val="22"/>
          <w:szCs w:val="22"/>
        </w:rPr>
        <w:t>Right to freedom of expression</w:t>
      </w:r>
    </w:p>
    <w:p w14:paraId="45B3DEAC" w14:textId="77777777" w:rsidR="009E74E7" w:rsidRPr="00EA21AF" w:rsidRDefault="009E74E7" w:rsidP="0002402C">
      <w:pPr>
        <w:pStyle w:val="Default"/>
        <w:rPr>
          <w:sz w:val="22"/>
          <w:szCs w:val="22"/>
          <w:highlight w:val="yellow"/>
        </w:rPr>
      </w:pPr>
    </w:p>
    <w:p w14:paraId="1AD32C91" w14:textId="082ED86C" w:rsidR="0002402C" w:rsidRPr="00504586" w:rsidRDefault="0002402C" w:rsidP="0002402C">
      <w:pPr>
        <w:pStyle w:val="Default"/>
        <w:rPr>
          <w:sz w:val="22"/>
          <w:szCs w:val="22"/>
        </w:rPr>
      </w:pPr>
      <w:r w:rsidRPr="00504586">
        <w:rPr>
          <w:sz w:val="22"/>
          <w:szCs w:val="22"/>
        </w:rPr>
        <w:t>Article 19(2) of the ICCPR (like Article 13 of the </w:t>
      </w:r>
      <w:r w:rsidRPr="00504586">
        <w:rPr>
          <w:i/>
          <w:iCs/>
          <w:sz w:val="22"/>
          <w:szCs w:val="22"/>
        </w:rPr>
        <w:t>Convention on the Rights of the Child</w:t>
      </w:r>
      <w:r w:rsidRPr="00504586">
        <w:rPr>
          <w:sz w:val="22"/>
          <w:szCs w:val="22"/>
        </w:rPr>
        <w:t> and Article 21 of the </w:t>
      </w:r>
      <w:r w:rsidRPr="00504586">
        <w:rPr>
          <w:i/>
          <w:iCs/>
          <w:sz w:val="22"/>
          <w:szCs w:val="22"/>
        </w:rPr>
        <w:t>Convention on the Rights of Persons with Disabilities</w:t>
      </w:r>
      <w:r w:rsidRPr="00504586">
        <w:rPr>
          <w:sz w:val="22"/>
          <w:szCs w:val="22"/>
        </w:rPr>
        <w:t>) protects the right to freedom of expression, including the right to seek, receive and impart information and ideas through any media of a person’s choice. However, this right is subject to certain restrictions, including the protection of national security or public order.</w:t>
      </w:r>
      <w:r w:rsidR="00504586">
        <w:rPr>
          <w:sz w:val="22"/>
          <w:szCs w:val="22"/>
        </w:rPr>
        <w:t xml:space="preserve"> </w:t>
      </w:r>
      <w:r w:rsidRPr="00504586">
        <w:rPr>
          <w:sz w:val="22"/>
          <w:szCs w:val="22"/>
        </w:rPr>
        <w:t>Protection of public order includes law enforcement.</w:t>
      </w:r>
    </w:p>
    <w:p w14:paraId="1AC16AD9" w14:textId="77777777" w:rsidR="0002402C" w:rsidRPr="00504586" w:rsidRDefault="0002402C" w:rsidP="0002402C">
      <w:pPr>
        <w:pStyle w:val="Default"/>
        <w:rPr>
          <w:sz w:val="22"/>
          <w:szCs w:val="22"/>
        </w:rPr>
      </w:pPr>
    </w:p>
    <w:p w14:paraId="32618906" w14:textId="5A42FA53" w:rsidR="0002402C" w:rsidRPr="00504586" w:rsidRDefault="0002402C" w:rsidP="0002402C">
      <w:pPr>
        <w:pStyle w:val="Default"/>
        <w:rPr>
          <w:sz w:val="22"/>
          <w:szCs w:val="22"/>
        </w:rPr>
      </w:pPr>
      <w:r w:rsidRPr="00504586">
        <w:rPr>
          <w:sz w:val="22"/>
          <w:szCs w:val="22"/>
        </w:rPr>
        <w:t xml:space="preserve">Where a </w:t>
      </w:r>
      <w:r w:rsidR="00E75FBE" w:rsidRPr="00504586">
        <w:rPr>
          <w:sz w:val="22"/>
          <w:szCs w:val="22"/>
        </w:rPr>
        <w:t xml:space="preserve">carriage service provider </w:t>
      </w:r>
      <w:r w:rsidR="00504586" w:rsidRPr="00504586">
        <w:rPr>
          <w:sz w:val="22"/>
          <w:szCs w:val="22"/>
        </w:rPr>
        <w:t>does not undertake a high-risk customer interaction</w:t>
      </w:r>
      <w:r w:rsidRPr="00504586">
        <w:rPr>
          <w:sz w:val="22"/>
          <w:szCs w:val="22"/>
        </w:rPr>
        <w:t xml:space="preserve"> (because the </w:t>
      </w:r>
      <w:r w:rsidR="00E75FBE" w:rsidRPr="00504586">
        <w:rPr>
          <w:sz w:val="22"/>
          <w:szCs w:val="22"/>
        </w:rPr>
        <w:t xml:space="preserve">carriage service provider </w:t>
      </w:r>
      <w:r w:rsidRPr="00504586">
        <w:rPr>
          <w:sz w:val="22"/>
          <w:szCs w:val="22"/>
        </w:rPr>
        <w:t xml:space="preserve">has been unable to </w:t>
      </w:r>
      <w:r w:rsidR="008517CB">
        <w:rPr>
          <w:sz w:val="22"/>
          <w:szCs w:val="22"/>
        </w:rPr>
        <w:t>authenticate</w:t>
      </w:r>
      <w:r w:rsidR="008517CB" w:rsidRPr="00504586">
        <w:rPr>
          <w:sz w:val="22"/>
          <w:szCs w:val="22"/>
        </w:rPr>
        <w:t xml:space="preserve"> </w:t>
      </w:r>
      <w:r w:rsidR="00504586" w:rsidRPr="00504586">
        <w:rPr>
          <w:sz w:val="22"/>
          <w:szCs w:val="22"/>
        </w:rPr>
        <w:t xml:space="preserve">the requesting person as the </w:t>
      </w:r>
      <w:r w:rsidR="00191393" w:rsidRPr="00504586">
        <w:rPr>
          <w:sz w:val="22"/>
          <w:szCs w:val="22"/>
        </w:rPr>
        <w:t>customer</w:t>
      </w:r>
      <w:r w:rsidRPr="00504586">
        <w:rPr>
          <w:sz w:val="22"/>
          <w:szCs w:val="22"/>
        </w:rPr>
        <w:t xml:space="preserve">) under the </w:t>
      </w:r>
      <w:r w:rsidR="007B0BAC" w:rsidRPr="00504586">
        <w:rPr>
          <w:sz w:val="22"/>
          <w:szCs w:val="22"/>
        </w:rPr>
        <w:t>Determination</w:t>
      </w:r>
      <w:r w:rsidRPr="00504586">
        <w:rPr>
          <w:sz w:val="22"/>
          <w:szCs w:val="22"/>
        </w:rPr>
        <w:t>, this may affect a person’s right to freedom of expression</w:t>
      </w:r>
      <w:r w:rsidR="004C1DEC" w:rsidRPr="00504586">
        <w:rPr>
          <w:sz w:val="22"/>
          <w:szCs w:val="22"/>
        </w:rPr>
        <w:t xml:space="preserve"> </w:t>
      </w:r>
      <w:r w:rsidR="00C54484" w:rsidRPr="00504586">
        <w:rPr>
          <w:sz w:val="22"/>
          <w:szCs w:val="22"/>
        </w:rPr>
        <w:t xml:space="preserve">as their right </w:t>
      </w:r>
      <w:r w:rsidR="00DA0739" w:rsidRPr="00504586">
        <w:rPr>
          <w:sz w:val="22"/>
          <w:szCs w:val="22"/>
        </w:rPr>
        <w:t xml:space="preserve">to seek, receive and impart information and ideas through their </w:t>
      </w:r>
      <w:r w:rsidR="00504586" w:rsidRPr="00504586">
        <w:rPr>
          <w:sz w:val="22"/>
          <w:szCs w:val="22"/>
        </w:rPr>
        <w:t>telecommunications service</w:t>
      </w:r>
      <w:r w:rsidR="00F11A54" w:rsidRPr="00504586">
        <w:rPr>
          <w:sz w:val="22"/>
          <w:szCs w:val="22"/>
        </w:rPr>
        <w:t xml:space="preserve"> </w:t>
      </w:r>
      <w:r w:rsidR="00712E82" w:rsidRPr="00504586">
        <w:rPr>
          <w:sz w:val="22"/>
          <w:szCs w:val="22"/>
        </w:rPr>
        <w:t xml:space="preserve">may </w:t>
      </w:r>
      <w:r w:rsidR="00F11A54" w:rsidRPr="00504586">
        <w:rPr>
          <w:sz w:val="22"/>
          <w:szCs w:val="22"/>
        </w:rPr>
        <w:t>be impacted</w:t>
      </w:r>
      <w:r w:rsidRPr="00504586">
        <w:rPr>
          <w:sz w:val="22"/>
          <w:szCs w:val="22"/>
        </w:rPr>
        <w:t>.</w:t>
      </w:r>
    </w:p>
    <w:p w14:paraId="185547F0" w14:textId="77777777" w:rsidR="0002402C" w:rsidRPr="00504586" w:rsidRDefault="0002402C" w:rsidP="0002402C">
      <w:pPr>
        <w:pStyle w:val="Default"/>
        <w:rPr>
          <w:sz w:val="22"/>
          <w:szCs w:val="22"/>
        </w:rPr>
      </w:pPr>
    </w:p>
    <w:p w14:paraId="62D2768E" w14:textId="7CCE6C2F" w:rsidR="0002402C" w:rsidRDefault="0002402C" w:rsidP="0002402C">
      <w:pPr>
        <w:pStyle w:val="Default"/>
        <w:rPr>
          <w:sz w:val="22"/>
          <w:szCs w:val="22"/>
        </w:rPr>
      </w:pPr>
      <w:r w:rsidRPr="00504586">
        <w:rPr>
          <w:sz w:val="22"/>
          <w:szCs w:val="22"/>
        </w:rPr>
        <w:t xml:space="preserve">One of the </w:t>
      </w:r>
      <w:r w:rsidR="00712E82" w:rsidRPr="00504586">
        <w:rPr>
          <w:sz w:val="22"/>
          <w:szCs w:val="22"/>
        </w:rPr>
        <w:t xml:space="preserve">underlying </w:t>
      </w:r>
      <w:r w:rsidRPr="00504586">
        <w:rPr>
          <w:sz w:val="22"/>
          <w:szCs w:val="22"/>
        </w:rPr>
        <w:t xml:space="preserve">objectives of the Act, and the </w:t>
      </w:r>
      <w:r w:rsidR="007B0BAC" w:rsidRPr="00504586">
        <w:rPr>
          <w:sz w:val="22"/>
          <w:szCs w:val="22"/>
        </w:rPr>
        <w:t>Determination</w:t>
      </w:r>
      <w:r w:rsidRPr="00504586">
        <w:rPr>
          <w:sz w:val="22"/>
          <w:szCs w:val="22"/>
        </w:rPr>
        <w:t xml:space="preserve">, is to prevent telecommunications networks and facilities from being used in, or in relation to, the commission of offences against the laws of the Commonwealth or of the States or Territories. This objective promotes </w:t>
      </w:r>
      <w:r w:rsidR="00C06F22">
        <w:rPr>
          <w:sz w:val="22"/>
          <w:szCs w:val="22"/>
        </w:rPr>
        <w:t>fraud prevention</w:t>
      </w:r>
      <w:r w:rsidRPr="00504586">
        <w:rPr>
          <w:sz w:val="22"/>
          <w:szCs w:val="22"/>
        </w:rPr>
        <w:t>.</w:t>
      </w:r>
    </w:p>
    <w:p w14:paraId="37C8D703" w14:textId="77777777" w:rsidR="00CA0E39" w:rsidRDefault="00CA0E39" w:rsidP="0002402C">
      <w:pPr>
        <w:pStyle w:val="Default"/>
        <w:rPr>
          <w:sz w:val="22"/>
          <w:szCs w:val="22"/>
        </w:rPr>
      </w:pPr>
    </w:p>
    <w:p w14:paraId="3F1B1B73" w14:textId="5EE2BC51" w:rsidR="0002402C" w:rsidRDefault="0002402C" w:rsidP="0002402C">
      <w:pPr>
        <w:pStyle w:val="Default"/>
        <w:rPr>
          <w:sz w:val="22"/>
          <w:szCs w:val="22"/>
        </w:rPr>
      </w:pPr>
      <w:r w:rsidRPr="00504586">
        <w:rPr>
          <w:sz w:val="22"/>
          <w:szCs w:val="22"/>
        </w:rPr>
        <w:t xml:space="preserve">Requiring persons who use telecommunications networks and facilities to </w:t>
      </w:r>
      <w:r w:rsidR="00BC086C" w:rsidRPr="00504586">
        <w:rPr>
          <w:sz w:val="22"/>
          <w:szCs w:val="22"/>
        </w:rPr>
        <w:t xml:space="preserve">have </w:t>
      </w:r>
      <w:r w:rsidRPr="00504586">
        <w:rPr>
          <w:sz w:val="22"/>
          <w:szCs w:val="22"/>
        </w:rPr>
        <w:t xml:space="preserve">their identity </w:t>
      </w:r>
      <w:r w:rsidR="008517CB">
        <w:rPr>
          <w:sz w:val="22"/>
          <w:szCs w:val="22"/>
        </w:rPr>
        <w:t>authenticated</w:t>
      </w:r>
      <w:r w:rsidR="008517CB" w:rsidRPr="00504586">
        <w:rPr>
          <w:sz w:val="22"/>
          <w:szCs w:val="22"/>
        </w:rPr>
        <w:t xml:space="preserve"> </w:t>
      </w:r>
      <w:r w:rsidRPr="00504586">
        <w:rPr>
          <w:sz w:val="22"/>
          <w:szCs w:val="22"/>
        </w:rPr>
        <w:t xml:space="preserve">is one basic and crucial way to minimise the risk of telecommunications networks being used in, or in relation to, the commission of offences. It also assists relevant agencies to identify and apprehend persons who do use, or attempt to use, telecommunications networks and facilities in, or in relation to, the commission of offences. The </w:t>
      </w:r>
      <w:r w:rsidR="007B0BAC" w:rsidRPr="00504586">
        <w:rPr>
          <w:sz w:val="22"/>
          <w:szCs w:val="22"/>
        </w:rPr>
        <w:t>Determination</w:t>
      </w:r>
      <w:r w:rsidRPr="00504586">
        <w:rPr>
          <w:sz w:val="22"/>
          <w:szCs w:val="22"/>
        </w:rPr>
        <w:t xml:space="preserve"> is, in this respect, a reasonable, </w:t>
      </w:r>
      <w:r w:rsidR="006B047B" w:rsidRPr="00504586">
        <w:rPr>
          <w:sz w:val="22"/>
          <w:szCs w:val="22"/>
        </w:rPr>
        <w:t>necessary,</w:t>
      </w:r>
      <w:r w:rsidRPr="00504586">
        <w:rPr>
          <w:sz w:val="22"/>
          <w:szCs w:val="22"/>
        </w:rPr>
        <w:t xml:space="preserve"> and proportionate restriction on the freedom of expression.</w:t>
      </w:r>
    </w:p>
    <w:p w14:paraId="6345206D" w14:textId="77777777" w:rsidR="00191393" w:rsidRDefault="00191393" w:rsidP="0002402C">
      <w:pPr>
        <w:pStyle w:val="Default"/>
        <w:rPr>
          <w:sz w:val="22"/>
          <w:szCs w:val="22"/>
        </w:rPr>
      </w:pPr>
    </w:p>
    <w:p w14:paraId="0BB71E29" w14:textId="1619300D" w:rsidR="00CA0E39" w:rsidRPr="00D871E2" w:rsidRDefault="00CA0E39" w:rsidP="00CA0E39">
      <w:pPr>
        <w:pStyle w:val="Default"/>
        <w:rPr>
          <w:sz w:val="22"/>
          <w:szCs w:val="22"/>
        </w:rPr>
      </w:pPr>
      <w:r>
        <w:rPr>
          <w:sz w:val="22"/>
          <w:szCs w:val="22"/>
        </w:rPr>
        <w:t xml:space="preserve">Furthermore, the Determination provides additional protections to the freedom of expression of certain groups of people, specifically </w:t>
      </w:r>
      <w:r w:rsidR="00D871E2">
        <w:rPr>
          <w:sz w:val="22"/>
          <w:szCs w:val="22"/>
        </w:rPr>
        <w:t xml:space="preserve">people </w:t>
      </w:r>
      <w:r>
        <w:rPr>
          <w:sz w:val="22"/>
          <w:szCs w:val="22"/>
        </w:rPr>
        <w:t xml:space="preserve">in vulnerable circumstances, </w:t>
      </w:r>
      <w:r w:rsidR="00D871E2">
        <w:rPr>
          <w:sz w:val="22"/>
          <w:szCs w:val="22"/>
        </w:rPr>
        <w:t xml:space="preserve">and customers with unlisted authorised representatives, </w:t>
      </w:r>
      <w:r>
        <w:rPr>
          <w:sz w:val="22"/>
          <w:szCs w:val="22"/>
        </w:rPr>
        <w:t xml:space="preserve">by enabling carriage service providers to undertake high-risk interactions where the customer is unable to </w:t>
      </w:r>
      <w:r w:rsidRPr="001255F0">
        <w:rPr>
          <w:sz w:val="22"/>
          <w:szCs w:val="22"/>
        </w:rPr>
        <w:t>access a telecommunication service, device, category A documents or category B documents</w:t>
      </w:r>
      <w:r>
        <w:rPr>
          <w:sz w:val="22"/>
          <w:szCs w:val="22"/>
        </w:rPr>
        <w:t xml:space="preserve">, provided the carriage service provider undertakes </w:t>
      </w:r>
      <w:r w:rsidR="00152F86">
        <w:rPr>
          <w:sz w:val="22"/>
          <w:szCs w:val="22"/>
        </w:rPr>
        <w:t xml:space="preserve">alternative </w:t>
      </w:r>
      <w:r w:rsidR="00F62CEC">
        <w:rPr>
          <w:sz w:val="22"/>
          <w:szCs w:val="22"/>
        </w:rPr>
        <w:t>checks</w:t>
      </w:r>
      <w:r w:rsidR="000C2256">
        <w:rPr>
          <w:sz w:val="22"/>
          <w:szCs w:val="22"/>
        </w:rPr>
        <w:t xml:space="preserve"> and </w:t>
      </w:r>
      <w:r>
        <w:rPr>
          <w:sz w:val="22"/>
          <w:szCs w:val="22"/>
        </w:rPr>
        <w:t>additional record keeping activities.</w:t>
      </w:r>
      <w:r w:rsidR="00D871E2">
        <w:rPr>
          <w:sz w:val="22"/>
          <w:szCs w:val="22"/>
        </w:rPr>
        <w:t xml:space="preserve"> Unlisted </w:t>
      </w:r>
      <w:r w:rsidR="00D871E2" w:rsidRPr="00D871E2">
        <w:rPr>
          <w:sz w:val="22"/>
          <w:szCs w:val="22"/>
        </w:rPr>
        <w:t xml:space="preserve">authorised representatives may include people or agencies who have been authorised by the customer or by a court or tribunal or any other body legally empowered to represent customers to act on behalf of the </w:t>
      </w:r>
      <w:r w:rsidR="002F7B0D" w:rsidRPr="00D871E2">
        <w:rPr>
          <w:sz w:val="22"/>
          <w:szCs w:val="22"/>
        </w:rPr>
        <w:t>customer but</w:t>
      </w:r>
      <w:r w:rsidR="00D871E2" w:rsidRPr="00D871E2">
        <w:rPr>
          <w:sz w:val="22"/>
          <w:szCs w:val="22"/>
        </w:rPr>
        <w:t xml:space="preserve"> have not previously been listed on the </w:t>
      </w:r>
      <w:r w:rsidR="00991612" w:rsidRPr="00D871E2">
        <w:rPr>
          <w:sz w:val="22"/>
          <w:szCs w:val="22"/>
        </w:rPr>
        <w:t>customer’s</w:t>
      </w:r>
      <w:r w:rsidR="00D871E2" w:rsidRPr="00D871E2">
        <w:rPr>
          <w:sz w:val="22"/>
          <w:szCs w:val="22"/>
        </w:rPr>
        <w:t xml:space="preserve"> account by the customer.</w:t>
      </w:r>
    </w:p>
    <w:p w14:paraId="0B0CC890" w14:textId="77777777" w:rsidR="00CA0E39" w:rsidRDefault="00CA0E39" w:rsidP="00CA0E39">
      <w:pPr>
        <w:pStyle w:val="Default"/>
        <w:rPr>
          <w:sz w:val="22"/>
          <w:szCs w:val="22"/>
        </w:rPr>
      </w:pPr>
    </w:p>
    <w:p w14:paraId="207A47BF" w14:textId="6561925D" w:rsidR="00446CB7" w:rsidRPr="00CA0E39" w:rsidRDefault="00446CB7" w:rsidP="00CA0E39">
      <w:pPr>
        <w:keepNext/>
        <w:spacing w:line="257" w:lineRule="auto"/>
        <w:rPr>
          <w:rFonts w:ascii="Times New Roman" w:hAnsi="Times New Roman" w:cs="Times New Roman"/>
          <w:bCs/>
          <w:iCs/>
        </w:rPr>
      </w:pPr>
      <w:r w:rsidRPr="00CA0E39">
        <w:rPr>
          <w:rFonts w:ascii="Times New Roman" w:hAnsi="Times New Roman" w:cs="Times New Roman"/>
          <w:b/>
          <w:i/>
        </w:rPr>
        <w:t>Conclusion</w:t>
      </w:r>
    </w:p>
    <w:p w14:paraId="70DA173E" w14:textId="0CF2554B" w:rsidR="000D18BF" w:rsidRDefault="00446CB7" w:rsidP="008F171E">
      <w:pPr>
        <w:rPr>
          <w:rFonts w:ascii="Times New Roman" w:hAnsi="Times New Roman" w:cs="Times New Roman"/>
        </w:rPr>
        <w:sectPr w:rsidR="000D18BF" w:rsidSect="00DC1C5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276" w:left="1440" w:header="708" w:footer="288" w:gutter="0"/>
          <w:cols w:space="708"/>
          <w:titlePg/>
          <w:docGrid w:linePitch="360"/>
        </w:sectPr>
      </w:pPr>
      <w:r w:rsidRPr="00CA0E39">
        <w:rPr>
          <w:rFonts w:ascii="Times New Roman" w:hAnsi="Times New Roman" w:cs="Times New Roman"/>
        </w:rPr>
        <w:t xml:space="preserve">The </w:t>
      </w:r>
      <w:r w:rsidR="007B0BAC" w:rsidRPr="00CA0E39">
        <w:rPr>
          <w:rFonts w:ascii="Times New Roman" w:hAnsi="Times New Roman" w:cs="Times New Roman"/>
        </w:rPr>
        <w:t>Determination</w:t>
      </w:r>
      <w:r w:rsidR="00EA50CF" w:rsidRPr="00CA0E39">
        <w:rPr>
          <w:rFonts w:ascii="Times New Roman" w:hAnsi="Times New Roman" w:cs="Times New Roman"/>
        </w:rPr>
        <w:t xml:space="preserve"> </w:t>
      </w:r>
      <w:r w:rsidRPr="00CA0E39">
        <w:rPr>
          <w:rFonts w:ascii="Times New Roman" w:hAnsi="Times New Roman" w:cs="Times New Roman"/>
        </w:rPr>
        <w:t xml:space="preserve">is compatible with human rights because </w:t>
      </w:r>
      <w:r w:rsidR="003924BA" w:rsidRPr="00CA0E39">
        <w:rPr>
          <w:rFonts w:ascii="Times New Roman" w:hAnsi="Times New Roman" w:cs="Times New Roman"/>
        </w:rPr>
        <w:t xml:space="preserve">any interference with privacy is neither unlawful nor arbitrary. The restrictions imposed on freedom of expression are reasonable, </w:t>
      </w:r>
      <w:r w:rsidR="006B047B" w:rsidRPr="00CA0E39">
        <w:rPr>
          <w:rFonts w:ascii="Times New Roman" w:hAnsi="Times New Roman" w:cs="Times New Roman"/>
        </w:rPr>
        <w:t>necessary,</w:t>
      </w:r>
      <w:r w:rsidR="003924BA" w:rsidRPr="00CA0E39">
        <w:rPr>
          <w:rFonts w:ascii="Times New Roman" w:hAnsi="Times New Roman" w:cs="Times New Roman"/>
        </w:rPr>
        <w:t xml:space="preserve"> and proportionate to give effect to the legitimate objective of </w:t>
      </w:r>
      <w:r w:rsidR="00C06F22">
        <w:rPr>
          <w:rFonts w:ascii="Times New Roman" w:hAnsi="Times New Roman" w:cs="Times New Roman"/>
        </w:rPr>
        <w:t>fraud prevention</w:t>
      </w:r>
      <w:r w:rsidR="003924BA" w:rsidRPr="00CA0E39">
        <w:rPr>
          <w:rFonts w:ascii="Times New Roman" w:hAnsi="Times New Roman" w:cs="Times New Roman"/>
        </w:rPr>
        <w:t>.</w:t>
      </w:r>
      <w:r w:rsidR="004A538A">
        <w:rPr>
          <w:rFonts w:ascii="Times New Roman" w:hAnsi="Times New Roman" w:cs="Times New Roman"/>
        </w:rPr>
        <w:br w:type="page"/>
      </w:r>
    </w:p>
    <w:p w14:paraId="175A23D3" w14:textId="7A92E7F8" w:rsidR="004A538A" w:rsidRDefault="004A538A">
      <w:pPr>
        <w:spacing w:line="259" w:lineRule="auto"/>
        <w:rPr>
          <w:rFonts w:ascii="Times New Roman" w:hAnsi="Times New Roman" w:cs="Times New Roman"/>
        </w:rPr>
      </w:pPr>
    </w:p>
    <w:p w14:paraId="773D1D47" w14:textId="77777777" w:rsidR="004D7D46" w:rsidRDefault="004D7D46">
      <w:pPr>
        <w:spacing w:line="259" w:lineRule="auto"/>
        <w:rPr>
          <w:rFonts w:ascii="Times New Roman" w:hAnsi="Times New Roman" w:cs="Times New Roman"/>
        </w:rPr>
      </w:pPr>
    </w:p>
    <w:p w14:paraId="01ECC9AA" w14:textId="6A4A97FD" w:rsidR="004D7D46" w:rsidRDefault="004D7D46" w:rsidP="00450B97">
      <w:pPr>
        <w:jc w:val="center"/>
        <w:rPr>
          <w:rFonts w:ascii="Times New Roman" w:hAnsi="Times New Roman" w:cs="Times New Roman"/>
          <w:b/>
          <w:sz w:val="28"/>
          <w:szCs w:val="28"/>
        </w:rPr>
      </w:pPr>
      <w:r>
        <w:rPr>
          <w:rFonts w:ascii="Times New Roman" w:hAnsi="Times New Roman" w:cs="Times New Roman"/>
          <w:b/>
          <w:sz w:val="28"/>
          <w:szCs w:val="28"/>
        </w:rPr>
        <w:t>Attachment C</w:t>
      </w:r>
    </w:p>
    <w:p w14:paraId="00F12BCB" w14:textId="1DA6FEEB" w:rsidR="00450B97" w:rsidRDefault="00743DAD" w:rsidP="00BD215B">
      <w:pPr>
        <w:jc w:val="center"/>
        <w:rPr>
          <w:rFonts w:ascii="Times New Roman" w:hAnsi="Times New Roman" w:cs="Times New Roman"/>
          <w:b/>
          <w:sz w:val="28"/>
          <w:szCs w:val="28"/>
        </w:rPr>
      </w:pPr>
      <w:r w:rsidRPr="00321674">
        <w:rPr>
          <w:rFonts w:ascii="Times New Roman" w:hAnsi="Times New Roman" w:cs="Times New Roman"/>
          <w:b/>
          <w:sz w:val="28"/>
          <w:szCs w:val="28"/>
        </w:rPr>
        <w:t>Regulation Impact Statement</w:t>
      </w:r>
    </w:p>
    <w:p w14:paraId="2A8E3A4A" w14:textId="2D5EF636" w:rsidR="000C2256" w:rsidRDefault="000C2256" w:rsidP="00BD215B">
      <w:pPr>
        <w:jc w:val="center"/>
        <w:rPr>
          <w:rFonts w:ascii="Times New Roman" w:hAnsi="Times New Roman" w:cs="Times New Roman"/>
          <w:b/>
          <w:sz w:val="28"/>
          <w:szCs w:val="28"/>
        </w:rPr>
      </w:pPr>
    </w:p>
    <w:p w14:paraId="20F091A5" w14:textId="77777777" w:rsidR="007D5EE0" w:rsidRDefault="007D5EE0" w:rsidP="007D5EE0">
      <w:pPr>
        <w:pStyle w:val="Reportsubtitle"/>
      </w:pPr>
      <w:r w:rsidRPr="00244971">
        <w:rPr>
          <w:b/>
          <w:color w:val="auto"/>
        </w:rPr>
        <w:t xml:space="preserve">Reducing the impact of </w:t>
      </w:r>
      <w:r>
        <w:rPr>
          <w:b/>
          <w:color w:val="auto"/>
        </w:rPr>
        <w:t xml:space="preserve">unauthorised </w:t>
      </w:r>
      <w:r>
        <w:rPr>
          <w:b/>
          <w:color w:val="auto"/>
        </w:rPr>
        <w:br/>
        <w:t>high-risk customer transactions</w:t>
      </w:r>
      <w:r w:rsidRPr="00244971">
        <w:rPr>
          <w:b/>
          <w:color w:val="auto"/>
        </w:rPr>
        <w:t xml:space="preserve"> </w:t>
      </w:r>
      <w:r>
        <w:rPr>
          <w:b/>
          <w:color w:val="auto"/>
        </w:rPr>
        <w:br/>
      </w:r>
      <w:r w:rsidRPr="00244971">
        <w:t>Regulation Impact Statement</w:t>
      </w:r>
    </w:p>
    <w:p w14:paraId="481032FE" w14:textId="77777777" w:rsidR="007D5EE0" w:rsidRPr="000D76E0" w:rsidRDefault="007D5EE0" w:rsidP="007D5EE0">
      <w:pPr>
        <w:pStyle w:val="Reportdate"/>
        <w:spacing w:after="720"/>
        <w:rPr>
          <w:rFonts w:cs="Arial"/>
        </w:rPr>
        <w:sectPr w:rsidR="007D5EE0" w:rsidRPr="000D76E0" w:rsidSect="00B46A0E">
          <w:headerReference w:type="default" r:id="rId21"/>
          <w:footerReference w:type="default" r:id="rId22"/>
          <w:headerReference w:type="first" r:id="rId23"/>
          <w:pgSz w:w="11906" w:h="16838" w:code="9"/>
          <w:pgMar w:top="3924" w:right="992" w:bottom="1440" w:left="1134" w:header="709" w:footer="454" w:gutter="0"/>
          <w:cols w:space="708"/>
          <w:docGrid w:linePitch="360"/>
        </w:sectPr>
      </w:pPr>
      <w:r>
        <w:t>February 2022</w:t>
      </w:r>
    </w:p>
    <w:p w14:paraId="30812220" w14:textId="77777777" w:rsidR="007D5EE0" w:rsidRPr="00F44F3A" w:rsidRDefault="007D5EE0" w:rsidP="007D5EE0">
      <w:pPr>
        <w:pStyle w:val="ACMACorporateAddressHeader"/>
      </w:pPr>
      <w:r w:rsidRPr="00F44F3A">
        <w:t>Canberra</w:t>
      </w:r>
    </w:p>
    <w:p w14:paraId="6506F605" w14:textId="77777777" w:rsidR="007D5EE0" w:rsidRPr="00FC07B9" w:rsidRDefault="007D5EE0" w:rsidP="007D5EE0">
      <w:pPr>
        <w:pStyle w:val="ACMACorporateAddresses"/>
      </w:pPr>
      <w:r w:rsidRPr="00FC07B9">
        <w:t xml:space="preserve">Red Building </w:t>
      </w:r>
      <w:r w:rsidRPr="00FC07B9">
        <w:br/>
        <w:t>Benjamin Offices</w:t>
      </w:r>
      <w:r w:rsidRPr="00FC07B9">
        <w:br/>
        <w:t xml:space="preserve">Chan Street </w:t>
      </w:r>
      <w:r w:rsidRPr="00FC07B9">
        <w:br/>
        <w:t>Belconnen ACT</w:t>
      </w:r>
    </w:p>
    <w:p w14:paraId="57191A32" w14:textId="77777777" w:rsidR="007D5EE0" w:rsidRPr="00FC07B9" w:rsidRDefault="007D5EE0" w:rsidP="007D5EE0">
      <w:pPr>
        <w:pStyle w:val="ACMACorporateAddresses"/>
      </w:pPr>
      <w:r w:rsidRPr="00FC07B9">
        <w:t>PO Box 78</w:t>
      </w:r>
      <w:r w:rsidRPr="00FC07B9">
        <w:br/>
        <w:t>Belconnen ACT 2616</w:t>
      </w:r>
    </w:p>
    <w:p w14:paraId="790EDE15" w14:textId="77777777" w:rsidR="007D5EE0" w:rsidRPr="00FC07B9" w:rsidRDefault="007D5EE0" w:rsidP="007D5EE0">
      <w:pPr>
        <w:pStyle w:val="ACMACorporateAddresses"/>
      </w:pPr>
      <w:r w:rsidRPr="00FC07B9">
        <w:t>T</w:t>
      </w:r>
      <w:r w:rsidRPr="00FC07B9">
        <w:tab/>
        <w:t>+61 2 6219 5555</w:t>
      </w:r>
      <w:r w:rsidRPr="00FC07B9">
        <w:br/>
        <w:t>F</w:t>
      </w:r>
      <w:r w:rsidRPr="00FC07B9">
        <w:tab/>
        <w:t>+61 2 6219 5353</w:t>
      </w:r>
    </w:p>
    <w:p w14:paraId="4A6AB760" w14:textId="77777777" w:rsidR="007D5EE0" w:rsidRPr="00F44F3A" w:rsidRDefault="007D5EE0" w:rsidP="007D5EE0">
      <w:pPr>
        <w:pStyle w:val="ACMACorporateAddressHeader"/>
      </w:pPr>
      <w:r w:rsidRPr="00F44F3A">
        <w:t>Melbourne</w:t>
      </w:r>
    </w:p>
    <w:p w14:paraId="7B09BF81" w14:textId="77777777" w:rsidR="007D5EE0" w:rsidRPr="00F44F3A" w:rsidRDefault="007D5EE0" w:rsidP="007D5EE0">
      <w:pPr>
        <w:pStyle w:val="ACMACorporateAddresses"/>
      </w:pPr>
      <w:r w:rsidRPr="00F44F3A">
        <w:t xml:space="preserve">Level 32 </w:t>
      </w:r>
      <w:r w:rsidRPr="00F44F3A">
        <w:br/>
        <w:t>Melbourne Central Tower</w:t>
      </w:r>
      <w:r w:rsidRPr="00F44F3A">
        <w:br/>
        <w:t xml:space="preserve">360 Elizabeth Street </w:t>
      </w:r>
      <w:r w:rsidRPr="00F44F3A">
        <w:br/>
        <w:t>Melbourne VIC</w:t>
      </w:r>
    </w:p>
    <w:p w14:paraId="4004ABB4" w14:textId="77777777" w:rsidR="007D5EE0" w:rsidRPr="00F44F3A" w:rsidRDefault="007D5EE0" w:rsidP="007D5EE0">
      <w:pPr>
        <w:pStyle w:val="ACMACorporateAddresses"/>
      </w:pPr>
      <w:r w:rsidRPr="00F44F3A">
        <w:t>PO Box 13112</w:t>
      </w:r>
      <w:r w:rsidRPr="00F44F3A">
        <w:br/>
        <w:t xml:space="preserve">Law Courts </w:t>
      </w:r>
      <w:r w:rsidRPr="00F44F3A">
        <w:br/>
        <w:t>Melbourne VIC 8010</w:t>
      </w:r>
    </w:p>
    <w:p w14:paraId="0E3BEB57" w14:textId="77777777" w:rsidR="007D5EE0" w:rsidRPr="00F44F3A" w:rsidRDefault="007D5EE0" w:rsidP="007D5EE0">
      <w:pPr>
        <w:pStyle w:val="ACMACorporateAddresses"/>
      </w:pPr>
      <w:r w:rsidRPr="00F44F3A">
        <w:t>T</w:t>
      </w:r>
      <w:r w:rsidRPr="00F44F3A">
        <w:tab/>
        <w:t>+61 3 9963 6800</w:t>
      </w:r>
      <w:r w:rsidRPr="00F44F3A">
        <w:br/>
        <w:t>F</w:t>
      </w:r>
      <w:r w:rsidRPr="00F44F3A">
        <w:tab/>
        <w:t>+61 3 9963 6899</w:t>
      </w:r>
    </w:p>
    <w:p w14:paraId="2BC01F01" w14:textId="77777777" w:rsidR="007D5EE0" w:rsidRPr="00F44F3A" w:rsidRDefault="007D5EE0" w:rsidP="007D5EE0">
      <w:pPr>
        <w:pStyle w:val="ACMACorporateAddressHeader"/>
      </w:pPr>
      <w:r w:rsidRPr="00F44F3A">
        <w:t>Sydney</w:t>
      </w:r>
    </w:p>
    <w:p w14:paraId="04723E43" w14:textId="77777777" w:rsidR="007D5EE0" w:rsidRPr="00F44F3A" w:rsidRDefault="007D5EE0" w:rsidP="007D5EE0">
      <w:pPr>
        <w:pStyle w:val="ACMACorporateAddresses"/>
      </w:pPr>
      <w:r w:rsidRPr="00F44F3A">
        <w:t xml:space="preserve">Level 5 </w:t>
      </w:r>
      <w:r w:rsidRPr="00F44F3A">
        <w:br/>
        <w:t>The Bay Centre</w:t>
      </w:r>
      <w:r w:rsidRPr="00F44F3A">
        <w:br/>
        <w:t xml:space="preserve">65 Pirrama Road </w:t>
      </w:r>
      <w:r w:rsidRPr="00F44F3A">
        <w:br/>
        <w:t>Pyrmont NSW</w:t>
      </w:r>
    </w:p>
    <w:p w14:paraId="2DCB3C19" w14:textId="77777777" w:rsidR="007D5EE0" w:rsidRPr="00F44F3A" w:rsidRDefault="007D5EE0" w:rsidP="007D5EE0">
      <w:pPr>
        <w:pStyle w:val="ACMACorporateAddresses"/>
      </w:pPr>
      <w:r w:rsidRPr="00F44F3A">
        <w:t>PO Box Q500</w:t>
      </w:r>
      <w:r w:rsidRPr="00F44F3A">
        <w:br/>
        <w:t xml:space="preserve">Queen Victoria Building </w:t>
      </w:r>
      <w:r w:rsidRPr="00F44F3A">
        <w:br/>
        <w:t>NSW 1230</w:t>
      </w:r>
    </w:p>
    <w:p w14:paraId="68CD67EB" w14:textId="77777777" w:rsidR="007D5EE0" w:rsidRPr="00F44F3A" w:rsidRDefault="007D5EE0" w:rsidP="007D5EE0">
      <w:pPr>
        <w:pStyle w:val="ACMACorporateAddresses"/>
      </w:pPr>
      <w:r w:rsidRPr="00F44F3A">
        <w:t>T</w:t>
      </w:r>
      <w:r w:rsidRPr="00F44F3A">
        <w:tab/>
        <w:t>+61 2 9334 7700 or 1800 226 667</w:t>
      </w:r>
      <w:r w:rsidRPr="00F44F3A">
        <w:br/>
        <w:t>F</w:t>
      </w:r>
      <w:r w:rsidRPr="00F44F3A">
        <w:tab/>
        <w:t>+61 2 9334 7799</w:t>
      </w:r>
    </w:p>
    <w:p w14:paraId="2B187E3C" w14:textId="77777777" w:rsidR="007D5EE0" w:rsidRPr="006D46E5" w:rsidRDefault="007D5EE0" w:rsidP="007D5EE0">
      <w:pPr>
        <w:pStyle w:val="ACMACopyrightHeader"/>
      </w:pPr>
      <w:r w:rsidRPr="00140318">
        <w:t>Copyright notice</w:t>
      </w:r>
    </w:p>
    <w:p w14:paraId="65AF91CC" w14:textId="77777777" w:rsidR="007D5EE0" w:rsidRPr="006D46E5" w:rsidRDefault="007D5EE0" w:rsidP="007D5EE0">
      <w:pPr>
        <w:pStyle w:val="ACMACClogo"/>
      </w:pPr>
      <w:r w:rsidRPr="00623FF9">
        <w:rPr>
          <w:noProof/>
        </w:rPr>
        <w:drawing>
          <wp:inline distT="0" distB="0" distL="0" distR="0" wp14:anchorId="08ECCE02" wp14:editId="7FA7CA23">
            <wp:extent cx="838200" cy="295275"/>
            <wp:effectExtent l="0" t="0" r="0" b="0"/>
            <wp:docPr id="1" name="Picture 1" title="Creative Commons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24"/>
                    </pic:cNvPr>
                    <pic:cNvPicPr>
                      <a:picLocks noChangeAspect="1" noChangeArrowheads="1"/>
                    </pic:cNvPicPr>
                  </pic:nvPicPr>
                  <pic:blipFill>
                    <a:blip r:embed="rId25" cstate="print"/>
                    <a:srcRect/>
                    <a:stretch>
                      <a:fillRect/>
                    </a:stretch>
                  </pic:blipFill>
                  <pic:spPr bwMode="auto">
                    <a:xfrm>
                      <a:off x="0" y="0"/>
                      <a:ext cx="838200" cy="295275"/>
                    </a:xfrm>
                    <a:prstGeom prst="rect">
                      <a:avLst/>
                    </a:prstGeom>
                    <a:noFill/>
                  </pic:spPr>
                </pic:pic>
              </a:graphicData>
            </a:graphic>
          </wp:inline>
        </w:drawing>
      </w:r>
    </w:p>
    <w:p w14:paraId="1B791C53" w14:textId="77777777" w:rsidR="007D5EE0" w:rsidRDefault="00BE4E20" w:rsidP="007D5EE0">
      <w:pPr>
        <w:pStyle w:val="ACMACorporateAddresses"/>
        <w:rPr>
          <w:rStyle w:val="Hyperlink"/>
        </w:rPr>
      </w:pPr>
      <w:hyperlink r:id="rId26" w:history="1">
        <w:r w:rsidR="007D5EE0">
          <w:rPr>
            <w:rStyle w:val="Hyperlink"/>
          </w:rPr>
          <w:t>https://creativecommons.org/licenses/by/4.0/</w:t>
        </w:r>
      </w:hyperlink>
    </w:p>
    <w:p w14:paraId="10404E22" w14:textId="77777777" w:rsidR="007D5EE0" w:rsidRDefault="007D5EE0" w:rsidP="007D5EE0">
      <w:pPr>
        <w:pStyle w:val="ACMACorporateAddresses"/>
      </w:pPr>
      <w:proofErr w:type="gramStart"/>
      <w:r>
        <w:t>With the exception of</w:t>
      </w:r>
      <w:proofErr w:type="gramEnd"/>
      <w:r>
        <w:t xml:space="preserve"> coats of arms, logos, emblems, images, other third-party material, or devices protected by a trademark, this content is made available under the terms of the Creative Commons Attribution 4.0 International (CC BY 4.0) licence. </w:t>
      </w:r>
    </w:p>
    <w:p w14:paraId="0E0227C0" w14:textId="77777777" w:rsidR="007D5EE0" w:rsidRDefault="007D5EE0" w:rsidP="007D5EE0">
      <w:pPr>
        <w:pStyle w:val="ACMACorporateAddresses"/>
      </w:pPr>
      <w:r>
        <w:t>We request attribution as © Commonwealth of Australia (Australian Communications and Media Authority) 2022.</w:t>
      </w:r>
    </w:p>
    <w:p w14:paraId="03BBA97A" w14:textId="77777777" w:rsidR="007D5EE0" w:rsidRDefault="007D5EE0" w:rsidP="007D5EE0">
      <w:pPr>
        <w:pStyle w:val="ACMACorporateAddresses"/>
      </w:pPr>
      <w:r>
        <w:t>All other rights are reserved.</w:t>
      </w:r>
    </w:p>
    <w:p w14:paraId="51614DB0" w14:textId="77777777" w:rsidR="007D5EE0" w:rsidRDefault="007D5EE0" w:rsidP="007D5EE0">
      <w:pPr>
        <w:pStyle w:val="ACMACorporateAddresses"/>
      </w:pPr>
      <w:r>
        <w:t>The Australian Communications and Media Authority has undertaken reasonable enquiries to identify material owned by third parties and secure permission for its reproduction. Permission may need to be obtained from third parties to re-use their material.</w:t>
      </w:r>
    </w:p>
    <w:p w14:paraId="1CEE44C3" w14:textId="77777777" w:rsidR="007D5EE0" w:rsidRDefault="007D5EE0" w:rsidP="007D5EE0">
      <w:pPr>
        <w:pStyle w:val="ACMACorporateAddresses"/>
      </w:pPr>
      <w:r>
        <w:t>Written enquiries may be sent to:</w:t>
      </w:r>
    </w:p>
    <w:p w14:paraId="7BD0AEEC" w14:textId="77777777" w:rsidR="007D5EE0" w:rsidRDefault="007D5EE0" w:rsidP="007D5EE0">
      <w:pPr>
        <w:pStyle w:val="ACMACorporateAddresses"/>
        <w:rPr>
          <w:rStyle w:val="Hyperlink"/>
        </w:rPr>
      </w:pPr>
      <w:r>
        <w:t>Manager, Editorial Services</w:t>
      </w:r>
      <w:r>
        <w:br/>
        <w:t>PO Box 13112</w:t>
      </w:r>
      <w:r>
        <w:br/>
        <w:t>Law Courts</w:t>
      </w:r>
      <w:r>
        <w:br/>
        <w:t>Melbourne VIC 8010</w:t>
      </w:r>
      <w:r>
        <w:br/>
        <w:t xml:space="preserve">Email: </w:t>
      </w:r>
      <w:hyperlink r:id="rId27" w:history="1">
        <w:r>
          <w:rPr>
            <w:rStyle w:val="Hyperlink"/>
          </w:rPr>
          <w:t>info@acma.gov.au</w:t>
        </w:r>
      </w:hyperlink>
    </w:p>
    <w:p w14:paraId="0FD39BE2" w14:textId="77777777" w:rsidR="007D5EE0" w:rsidRDefault="007D5EE0" w:rsidP="007D5EE0">
      <w:pPr>
        <w:pStyle w:val="ACMACorporateAddresses"/>
        <w:rPr>
          <w:rStyle w:val="Hyperlink"/>
        </w:rPr>
      </w:pPr>
    </w:p>
    <w:p w14:paraId="440FE23A" w14:textId="77777777" w:rsidR="007D5EE0" w:rsidRPr="00D16FE3" w:rsidRDefault="007D5EE0" w:rsidP="007D5EE0">
      <w:pPr>
        <w:pStyle w:val="ACMACorporateAddresses"/>
        <w:sectPr w:rsidR="007D5EE0" w:rsidRPr="00D16FE3" w:rsidSect="00B46A0E">
          <w:headerReference w:type="even" r:id="rId28"/>
          <w:headerReference w:type="default" r:id="rId29"/>
          <w:footerReference w:type="even" r:id="rId30"/>
          <w:footerReference w:type="default" r:id="rId31"/>
          <w:pgSz w:w="11906" w:h="16838" w:code="9"/>
          <w:pgMar w:top="3924" w:right="1797" w:bottom="697" w:left="1134" w:header="709" w:footer="119" w:gutter="0"/>
          <w:cols w:space="708"/>
          <w:docGrid w:linePitch="360"/>
        </w:sectPr>
      </w:pPr>
    </w:p>
    <w:p w14:paraId="30669C98" w14:textId="77777777" w:rsidR="007D5EE0" w:rsidRDefault="007D5EE0" w:rsidP="007D5EE0">
      <w:pPr>
        <w:pStyle w:val="TOC1"/>
        <w:rPr>
          <w:rFonts w:asciiTheme="minorHAnsi" w:eastAsiaTheme="minorEastAsia" w:hAnsiTheme="minorHAnsi" w:cstheme="minorBidi"/>
          <w:b w:val="0"/>
          <w:spacing w:val="0"/>
          <w:sz w:val="22"/>
          <w:szCs w:val="22"/>
        </w:rPr>
      </w:pPr>
      <w:r>
        <w:rPr>
          <w:b w:val="0"/>
        </w:rPr>
        <w:fldChar w:fldCharType="begin"/>
      </w:r>
      <w:r>
        <w:rPr>
          <w:b w:val="0"/>
        </w:rPr>
        <w:instrText xml:space="preserve"> TOC \o "1-3" \h \z \t "Exec summary heading,1" </w:instrText>
      </w:r>
      <w:r>
        <w:rPr>
          <w:b w:val="0"/>
        </w:rPr>
        <w:fldChar w:fldCharType="separate"/>
      </w:r>
      <w:hyperlink w:anchor="_Toc98323729" w:history="1">
        <w:r w:rsidRPr="00F731FE">
          <w:rPr>
            <w:rStyle w:val="Hyperlink"/>
          </w:rPr>
          <w:t>Introduction</w:t>
        </w:r>
        <w:r>
          <w:rPr>
            <w:webHidden/>
          </w:rPr>
          <w:tab/>
        </w:r>
        <w:r>
          <w:rPr>
            <w:webHidden/>
          </w:rPr>
          <w:fldChar w:fldCharType="begin"/>
        </w:r>
        <w:r>
          <w:rPr>
            <w:webHidden/>
          </w:rPr>
          <w:instrText xml:space="preserve"> PAGEREF _Toc98323729 \h </w:instrText>
        </w:r>
        <w:r>
          <w:rPr>
            <w:webHidden/>
          </w:rPr>
        </w:r>
        <w:r>
          <w:rPr>
            <w:webHidden/>
          </w:rPr>
          <w:fldChar w:fldCharType="separate"/>
        </w:r>
        <w:r>
          <w:rPr>
            <w:webHidden/>
          </w:rPr>
          <w:t>1</w:t>
        </w:r>
        <w:r>
          <w:rPr>
            <w:webHidden/>
          </w:rPr>
          <w:fldChar w:fldCharType="end"/>
        </w:r>
      </w:hyperlink>
    </w:p>
    <w:p w14:paraId="6B923EAB" w14:textId="77777777" w:rsidR="007D5EE0" w:rsidRDefault="00BE4E20" w:rsidP="007D5EE0">
      <w:pPr>
        <w:pStyle w:val="TOC2"/>
        <w:rPr>
          <w:rFonts w:asciiTheme="minorHAnsi" w:eastAsiaTheme="minorEastAsia" w:hAnsiTheme="minorHAnsi" w:cstheme="minorBidi"/>
          <w:spacing w:val="0"/>
          <w:sz w:val="22"/>
          <w:szCs w:val="22"/>
        </w:rPr>
      </w:pPr>
      <w:hyperlink w:anchor="_Toc98323730" w:history="1">
        <w:r w:rsidR="007D5EE0" w:rsidRPr="00F731FE">
          <w:rPr>
            <w:rStyle w:val="Hyperlink"/>
          </w:rPr>
          <w:t>Regulatory setting</w:t>
        </w:r>
        <w:r w:rsidR="007D5EE0">
          <w:rPr>
            <w:webHidden/>
          </w:rPr>
          <w:tab/>
        </w:r>
        <w:r w:rsidR="007D5EE0">
          <w:rPr>
            <w:webHidden/>
          </w:rPr>
          <w:fldChar w:fldCharType="begin"/>
        </w:r>
        <w:r w:rsidR="007D5EE0">
          <w:rPr>
            <w:webHidden/>
          </w:rPr>
          <w:instrText xml:space="preserve"> PAGEREF _Toc98323730 \h </w:instrText>
        </w:r>
        <w:r w:rsidR="007D5EE0">
          <w:rPr>
            <w:webHidden/>
          </w:rPr>
        </w:r>
        <w:r w:rsidR="007D5EE0">
          <w:rPr>
            <w:webHidden/>
          </w:rPr>
          <w:fldChar w:fldCharType="separate"/>
        </w:r>
        <w:r w:rsidR="007D5EE0">
          <w:rPr>
            <w:webHidden/>
          </w:rPr>
          <w:t>1</w:t>
        </w:r>
        <w:r w:rsidR="007D5EE0">
          <w:rPr>
            <w:webHidden/>
          </w:rPr>
          <w:fldChar w:fldCharType="end"/>
        </w:r>
      </w:hyperlink>
    </w:p>
    <w:p w14:paraId="647B22F3" w14:textId="77777777" w:rsidR="007D5EE0" w:rsidRDefault="00BE4E20" w:rsidP="007D5EE0">
      <w:pPr>
        <w:pStyle w:val="TOC3"/>
        <w:rPr>
          <w:rFonts w:asciiTheme="minorHAnsi" w:eastAsiaTheme="minorEastAsia" w:hAnsiTheme="minorHAnsi" w:cstheme="minorBidi"/>
        </w:rPr>
      </w:pPr>
      <w:hyperlink w:anchor="_Toc98323731" w:history="1">
        <w:r w:rsidR="007D5EE0" w:rsidRPr="00F731FE">
          <w:rPr>
            <w:rStyle w:val="Hyperlink"/>
          </w:rPr>
          <w:t>Reporting and compliance</w:t>
        </w:r>
        <w:r w:rsidR="007D5EE0">
          <w:rPr>
            <w:webHidden/>
          </w:rPr>
          <w:tab/>
        </w:r>
        <w:r w:rsidR="007D5EE0">
          <w:rPr>
            <w:webHidden/>
          </w:rPr>
          <w:fldChar w:fldCharType="begin"/>
        </w:r>
        <w:r w:rsidR="007D5EE0">
          <w:rPr>
            <w:webHidden/>
          </w:rPr>
          <w:instrText xml:space="preserve"> PAGEREF _Toc98323731 \h </w:instrText>
        </w:r>
        <w:r w:rsidR="007D5EE0">
          <w:rPr>
            <w:webHidden/>
          </w:rPr>
        </w:r>
        <w:r w:rsidR="007D5EE0">
          <w:rPr>
            <w:webHidden/>
          </w:rPr>
          <w:fldChar w:fldCharType="separate"/>
        </w:r>
        <w:r w:rsidR="007D5EE0">
          <w:rPr>
            <w:webHidden/>
          </w:rPr>
          <w:t>2</w:t>
        </w:r>
        <w:r w:rsidR="007D5EE0">
          <w:rPr>
            <w:webHidden/>
          </w:rPr>
          <w:fldChar w:fldCharType="end"/>
        </w:r>
      </w:hyperlink>
    </w:p>
    <w:p w14:paraId="62F8B5CB" w14:textId="77777777" w:rsidR="007D5EE0" w:rsidRDefault="00BE4E20" w:rsidP="007D5EE0">
      <w:pPr>
        <w:pStyle w:val="TOC3"/>
        <w:rPr>
          <w:rFonts w:asciiTheme="minorHAnsi" w:eastAsiaTheme="minorEastAsia" w:hAnsiTheme="minorHAnsi" w:cstheme="minorBidi"/>
        </w:rPr>
      </w:pPr>
      <w:hyperlink w:anchor="_Toc98323732" w:history="1">
        <w:r w:rsidR="007D5EE0" w:rsidRPr="00F731FE">
          <w:rPr>
            <w:rStyle w:val="Hyperlink"/>
          </w:rPr>
          <w:t>Provision of telecommunications services</w:t>
        </w:r>
        <w:r w:rsidR="007D5EE0">
          <w:rPr>
            <w:webHidden/>
          </w:rPr>
          <w:tab/>
        </w:r>
        <w:r w:rsidR="007D5EE0">
          <w:rPr>
            <w:webHidden/>
          </w:rPr>
          <w:fldChar w:fldCharType="begin"/>
        </w:r>
        <w:r w:rsidR="007D5EE0">
          <w:rPr>
            <w:webHidden/>
          </w:rPr>
          <w:instrText xml:space="preserve"> PAGEREF _Toc98323732 \h </w:instrText>
        </w:r>
        <w:r w:rsidR="007D5EE0">
          <w:rPr>
            <w:webHidden/>
          </w:rPr>
        </w:r>
        <w:r w:rsidR="007D5EE0">
          <w:rPr>
            <w:webHidden/>
          </w:rPr>
          <w:fldChar w:fldCharType="separate"/>
        </w:r>
        <w:r w:rsidR="007D5EE0">
          <w:rPr>
            <w:webHidden/>
          </w:rPr>
          <w:t>2</w:t>
        </w:r>
        <w:r w:rsidR="007D5EE0">
          <w:rPr>
            <w:webHidden/>
          </w:rPr>
          <w:fldChar w:fldCharType="end"/>
        </w:r>
      </w:hyperlink>
    </w:p>
    <w:p w14:paraId="7A630DB3"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33" w:history="1">
        <w:r w:rsidR="007D5EE0" w:rsidRPr="00F731FE">
          <w:rPr>
            <w:rStyle w:val="Hyperlink"/>
          </w:rPr>
          <w:t>What is the policy problem?</w:t>
        </w:r>
        <w:r w:rsidR="007D5EE0">
          <w:rPr>
            <w:webHidden/>
          </w:rPr>
          <w:tab/>
        </w:r>
        <w:r w:rsidR="007D5EE0">
          <w:rPr>
            <w:webHidden/>
          </w:rPr>
          <w:fldChar w:fldCharType="begin"/>
        </w:r>
        <w:r w:rsidR="007D5EE0">
          <w:rPr>
            <w:webHidden/>
          </w:rPr>
          <w:instrText xml:space="preserve"> PAGEREF _Toc98323733 \h </w:instrText>
        </w:r>
        <w:r w:rsidR="007D5EE0">
          <w:rPr>
            <w:webHidden/>
          </w:rPr>
        </w:r>
        <w:r w:rsidR="007D5EE0">
          <w:rPr>
            <w:webHidden/>
          </w:rPr>
          <w:fldChar w:fldCharType="separate"/>
        </w:r>
        <w:r w:rsidR="007D5EE0">
          <w:rPr>
            <w:webHidden/>
          </w:rPr>
          <w:t>3</w:t>
        </w:r>
        <w:r w:rsidR="007D5EE0">
          <w:rPr>
            <w:webHidden/>
          </w:rPr>
          <w:fldChar w:fldCharType="end"/>
        </w:r>
      </w:hyperlink>
    </w:p>
    <w:p w14:paraId="45118DE1" w14:textId="77777777" w:rsidR="007D5EE0" w:rsidRDefault="00BE4E20" w:rsidP="007D5EE0">
      <w:pPr>
        <w:pStyle w:val="TOC2"/>
        <w:rPr>
          <w:rFonts w:asciiTheme="minorHAnsi" w:eastAsiaTheme="minorEastAsia" w:hAnsiTheme="minorHAnsi" w:cstheme="minorBidi"/>
          <w:spacing w:val="0"/>
          <w:sz w:val="22"/>
          <w:szCs w:val="22"/>
        </w:rPr>
      </w:pPr>
      <w:hyperlink w:anchor="_Toc98323734" w:history="1">
        <w:r w:rsidR="007D5EE0" w:rsidRPr="00F731FE">
          <w:rPr>
            <w:rStyle w:val="Hyperlink"/>
          </w:rPr>
          <w:t>Scammers perpetrate fraud</w:t>
        </w:r>
        <w:r w:rsidR="007D5EE0">
          <w:rPr>
            <w:webHidden/>
          </w:rPr>
          <w:tab/>
        </w:r>
        <w:r w:rsidR="007D5EE0">
          <w:rPr>
            <w:webHidden/>
          </w:rPr>
          <w:fldChar w:fldCharType="begin"/>
        </w:r>
        <w:r w:rsidR="007D5EE0">
          <w:rPr>
            <w:webHidden/>
          </w:rPr>
          <w:instrText xml:space="preserve"> PAGEREF _Toc98323734 \h </w:instrText>
        </w:r>
        <w:r w:rsidR="007D5EE0">
          <w:rPr>
            <w:webHidden/>
          </w:rPr>
        </w:r>
        <w:r w:rsidR="007D5EE0">
          <w:rPr>
            <w:webHidden/>
          </w:rPr>
          <w:fldChar w:fldCharType="separate"/>
        </w:r>
        <w:r w:rsidR="007D5EE0">
          <w:rPr>
            <w:webHidden/>
          </w:rPr>
          <w:t>4</w:t>
        </w:r>
        <w:r w:rsidR="007D5EE0">
          <w:rPr>
            <w:webHidden/>
          </w:rPr>
          <w:fldChar w:fldCharType="end"/>
        </w:r>
      </w:hyperlink>
    </w:p>
    <w:p w14:paraId="4D7CC256" w14:textId="77777777" w:rsidR="007D5EE0" w:rsidRDefault="00BE4E20" w:rsidP="007D5EE0">
      <w:pPr>
        <w:pStyle w:val="TOC3"/>
        <w:rPr>
          <w:rFonts w:asciiTheme="minorHAnsi" w:eastAsiaTheme="minorEastAsia" w:hAnsiTheme="minorHAnsi" w:cstheme="minorBidi"/>
        </w:rPr>
      </w:pPr>
      <w:hyperlink w:anchor="_Toc98323735" w:history="1">
        <w:r w:rsidR="007D5EE0" w:rsidRPr="00F731FE">
          <w:rPr>
            <w:rStyle w:val="Hyperlink"/>
          </w:rPr>
          <w:t>Identity crime</w:t>
        </w:r>
        <w:r w:rsidR="007D5EE0">
          <w:rPr>
            <w:webHidden/>
          </w:rPr>
          <w:tab/>
        </w:r>
        <w:r w:rsidR="007D5EE0">
          <w:rPr>
            <w:webHidden/>
          </w:rPr>
          <w:fldChar w:fldCharType="begin"/>
        </w:r>
        <w:r w:rsidR="007D5EE0">
          <w:rPr>
            <w:webHidden/>
          </w:rPr>
          <w:instrText xml:space="preserve"> PAGEREF _Toc98323735 \h </w:instrText>
        </w:r>
        <w:r w:rsidR="007D5EE0">
          <w:rPr>
            <w:webHidden/>
          </w:rPr>
        </w:r>
        <w:r w:rsidR="007D5EE0">
          <w:rPr>
            <w:webHidden/>
          </w:rPr>
          <w:fldChar w:fldCharType="separate"/>
        </w:r>
        <w:r w:rsidR="007D5EE0">
          <w:rPr>
            <w:webHidden/>
          </w:rPr>
          <w:t>4</w:t>
        </w:r>
        <w:r w:rsidR="007D5EE0">
          <w:rPr>
            <w:webHidden/>
          </w:rPr>
          <w:fldChar w:fldCharType="end"/>
        </w:r>
      </w:hyperlink>
    </w:p>
    <w:p w14:paraId="46382FAA" w14:textId="77777777" w:rsidR="007D5EE0" w:rsidRDefault="00BE4E20" w:rsidP="007D5EE0">
      <w:pPr>
        <w:pStyle w:val="TOC3"/>
        <w:rPr>
          <w:rFonts w:asciiTheme="minorHAnsi" w:eastAsiaTheme="minorEastAsia" w:hAnsiTheme="minorHAnsi" w:cstheme="minorBidi"/>
        </w:rPr>
      </w:pPr>
      <w:hyperlink w:anchor="_Toc98323736" w:history="1">
        <w:r w:rsidR="007D5EE0" w:rsidRPr="00F731FE">
          <w:rPr>
            <w:rStyle w:val="Hyperlink"/>
          </w:rPr>
          <w:t>Incidence of scams in Australia</w:t>
        </w:r>
        <w:r w:rsidR="007D5EE0">
          <w:rPr>
            <w:webHidden/>
          </w:rPr>
          <w:tab/>
        </w:r>
        <w:r w:rsidR="007D5EE0">
          <w:rPr>
            <w:webHidden/>
          </w:rPr>
          <w:fldChar w:fldCharType="begin"/>
        </w:r>
        <w:r w:rsidR="007D5EE0">
          <w:rPr>
            <w:webHidden/>
          </w:rPr>
          <w:instrText xml:space="preserve"> PAGEREF _Toc98323736 \h </w:instrText>
        </w:r>
        <w:r w:rsidR="007D5EE0">
          <w:rPr>
            <w:webHidden/>
          </w:rPr>
        </w:r>
        <w:r w:rsidR="007D5EE0">
          <w:rPr>
            <w:webHidden/>
          </w:rPr>
          <w:fldChar w:fldCharType="separate"/>
        </w:r>
        <w:r w:rsidR="007D5EE0">
          <w:rPr>
            <w:webHidden/>
          </w:rPr>
          <w:t>7</w:t>
        </w:r>
        <w:r w:rsidR="007D5EE0">
          <w:rPr>
            <w:webHidden/>
          </w:rPr>
          <w:fldChar w:fldCharType="end"/>
        </w:r>
      </w:hyperlink>
    </w:p>
    <w:p w14:paraId="74895F1A" w14:textId="77777777" w:rsidR="007D5EE0" w:rsidRDefault="00BE4E20" w:rsidP="007D5EE0">
      <w:pPr>
        <w:pStyle w:val="TOC2"/>
        <w:rPr>
          <w:rFonts w:asciiTheme="minorHAnsi" w:eastAsiaTheme="minorEastAsia" w:hAnsiTheme="minorHAnsi" w:cstheme="minorBidi"/>
          <w:spacing w:val="0"/>
          <w:sz w:val="22"/>
          <w:szCs w:val="22"/>
        </w:rPr>
      </w:pPr>
      <w:hyperlink w:anchor="_Toc98323737" w:history="1">
        <w:r w:rsidR="007D5EE0" w:rsidRPr="00F731FE">
          <w:rPr>
            <w:rStyle w:val="Hyperlink"/>
          </w:rPr>
          <w:t>Scam activity on telecommunications networks</w:t>
        </w:r>
        <w:r w:rsidR="007D5EE0">
          <w:rPr>
            <w:webHidden/>
          </w:rPr>
          <w:tab/>
        </w:r>
        <w:r w:rsidR="007D5EE0">
          <w:rPr>
            <w:webHidden/>
          </w:rPr>
          <w:fldChar w:fldCharType="begin"/>
        </w:r>
        <w:r w:rsidR="007D5EE0">
          <w:rPr>
            <w:webHidden/>
          </w:rPr>
          <w:instrText xml:space="preserve"> PAGEREF _Toc98323737 \h </w:instrText>
        </w:r>
        <w:r w:rsidR="007D5EE0">
          <w:rPr>
            <w:webHidden/>
          </w:rPr>
        </w:r>
        <w:r w:rsidR="007D5EE0">
          <w:rPr>
            <w:webHidden/>
          </w:rPr>
          <w:fldChar w:fldCharType="separate"/>
        </w:r>
        <w:r w:rsidR="007D5EE0">
          <w:rPr>
            <w:webHidden/>
          </w:rPr>
          <w:t>8</w:t>
        </w:r>
        <w:r w:rsidR="007D5EE0">
          <w:rPr>
            <w:webHidden/>
          </w:rPr>
          <w:fldChar w:fldCharType="end"/>
        </w:r>
      </w:hyperlink>
    </w:p>
    <w:p w14:paraId="55125A2F" w14:textId="77777777" w:rsidR="007D5EE0" w:rsidRDefault="00BE4E20" w:rsidP="007D5EE0">
      <w:pPr>
        <w:pStyle w:val="TOC3"/>
        <w:rPr>
          <w:rFonts w:asciiTheme="minorHAnsi" w:eastAsiaTheme="minorEastAsia" w:hAnsiTheme="minorHAnsi" w:cstheme="minorBidi"/>
        </w:rPr>
      </w:pPr>
      <w:hyperlink w:anchor="_Toc98323738" w:history="1">
        <w:r w:rsidR="007D5EE0" w:rsidRPr="00F731FE">
          <w:rPr>
            <w:rStyle w:val="Hyperlink"/>
          </w:rPr>
          <w:t>Scamwatch reports – phone-based scams</w:t>
        </w:r>
        <w:r w:rsidR="007D5EE0">
          <w:rPr>
            <w:webHidden/>
          </w:rPr>
          <w:tab/>
        </w:r>
        <w:r w:rsidR="007D5EE0">
          <w:rPr>
            <w:webHidden/>
          </w:rPr>
          <w:fldChar w:fldCharType="begin"/>
        </w:r>
        <w:r w:rsidR="007D5EE0">
          <w:rPr>
            <w:webHidden/>
          </w:rPr>
          <w:instrText xml:space="preserve"> PAGEREF _Toc98323738 \h </w:instrText>
        </w:r>
        <w:r w:rsidR="007D5EE0">
          <w:rPr>
            <w:webHidden/>
          </w:rPr>
        </w:r>
        <w:r w:rsidR="007D5EE0">
          <w:rPr>
            <w:webHidden/>
          </w:rPr>
          <w:fldChar w:fldCharType="separate"/>
        </w:r>
        <w:r w:rsidR="007D5EE0">
          <w:rPr>
            <w:webHidden/>
          </w:rPr>
          <w:t>8</w:t>
        </w:r>
        <w:r w:rsidR="007D5EE0">
          <w:rPr>
            <w:webHidden/>
          </w:rPr>
          <w:fldChar w:fldCharType="end"/>
        </w:r>
      </w:hyperlink>
    </w:p>
    <w:p w14:paraId="3C1AB316" w14:textId="77777777" w:rsidR="007D5EE0" w:rsidRDefault="00BE4E20" w:rsidP="007D5EE0">
      <w:pPr>
        <w:pStyle w:val="TOC3"/>
        <w:rPr>
          <w:rFonts w:asciiTheme="minorHAnsi" w:eastAsiaTheme="minorEastAsia" w:hAnsiTheme="minorHAnsi" w:cstheme="minorBidi"/>
        </w:rPr>
      </w:pPr>
      <w:hyperlink w:anchor="_Toc98323739" w:history="1">
        <w:r w:rsidR="007D5EE0" w:rsidRPr="00F731FE">
          <w:rPr>
            <w:rStyle w:val="Hyperlink"/>
          </w:rPr>
          <w:t>High-risk customer transactions</w:t>
        </w:r>
        <w:r w:rsidR="007D5EE0">
          <w:rPr>
            <w:webHidden/>
          </w:rPr>
          <w:tab/>
        </w:r>
        <w:r w:rsidR="007D5EE0">
          <w:rPr>
            <w:webHidden/>
          </w:rPr>
          <w:fldChar w:fldCharType="begin"/>
        </w:r>
        <w:r w:rsidR="007D5EE0">
          <w:rPr>
            <w:webHidden/>
          </w:rPr>
          <w:instrText xml:space="preserve"> PAGEREF _Toc98323739 \h </w:instrText>
        </w:r>
        <w:r w:rsidR="007D5EE0">
          <w:rPr>
            <w:webHidden/>
          </w:rPr>
        </w:r>
        <w:r w:rsidR="007D5EE0">
          <w:rPr>
            <w:webHidden/>
          </w:rPr>
          <w:fldChar w:fldCharType="separate"/>
        </w:r>
        <w:r w:rsidR="007D5EE0">
          <w:rPr>
            <w:webHidden/>
          </w:rPr>
          <w:t>9</w:t>
        </w:r>
        <w:r w:rsidR="007D5EE0">
          <w:rPr>
            <w:webHidden/>
          </w:rPr>
          <w:fldChar w:fldCharType="end"/>
        </w:r>
      </w:hyperlink>
    </w:p>
    <w:p w14:paraId="6755300D" w14:textId="77777777" w:rsidR="007D5EE0" w:rsidRDefault="00BE4E20" w:rsidP="007D5EE0">
      <w:pPr>
        <w:pStyle w:val="TOC3"/>
        <w:rPr>
          <w:rFonts w:asciiTheme="minorHAnsi" w:eastAsiaTheme="minorEastAsia" w:hAnsiTheme="minorHAnsi" w:cstheme="minorBidi"/>
        </w:rPr>
      </w:pPr>
      <w:hyperlink w:anchor="_Toc98323740" w:history="1">
        <w:r w:rsidR="007D5EE0" w:rsidRPr="00F731FE">
          <w:rPr>
            <w:rStyle w:val="Hyperlink"/>
          </w:rPr>
          <w:t>Multi-factor authentication</w:t>
        </w:r>
        <w:r w:rsidR="007D5EE0">
          <w:rPr>
            <w:webHidden/>
          </w:rPr>
          <w:tab/>
        </w:r>
        <w:r w:rsidR="007D5EE0">
          <w:rPr>
            <w:webHidden/>
          </w:rPr>
          <w:fldChar w:fldCharType="begin"/>
        </w:r>
        <w:r w:rsidR="007D5EE0">
          <w:rPr>
            <w:webHidden/>
          </w:rPr>
          <w:instrText xml:space="preserve"> PAGEREF _Toc98323740 \h </w:instrText>
        </w:r>
        <w:r w:rsidR="007D5EE0">
          <w:rPr>
            <w:webHidden/>
          </w:rPr>
        </w:r>
        <w:r w:rsidR="007D5EE0">
          <w:rPr>
            <w:webHidden/>
          </w:rPr>
          <w:fldChar w:fldCharType="separate"/>
        </w:r>
        <w:r w:rsidR="007D5EE0">
          <w:rPr>
            <w:webHidden/>
          </w:rPr>
          <w:t>10</w:t>
        </w:r>
        <w:r w:rsidR="007D5EE0">
          <w:rPr>
            <w:webHidden/>
          </w:rPr>
          <w:fldChar w:fldCharType="end"/>
        </w:r>
      </w:hyperlink>
    </w:p>
    <w:p w14:paraId="4A21537D" w14:textId="77777777" w:rsidR="007D5EE0" w:rsidRDefault="00BE4E20" w:rsidP="007D5EE0">
      <w:pPr>
        <w:pStyle w:val="TOC3"/>
        <w:rPr>
          <w:rFonts w:asciiTheme="minorHAnsi" w:eastAsiaTheme="minorEastAsia" w:hAnsiTheme="minorHAnsi" w:cstheme="minorBidi"/>
        </w:rPr>
      </w:pPr>
      <w:hyperlink w:anchor="_Toc98323741" w:history="1">
        <w:r w:rsidR="007D5EE0" w:rsidRPr="00F731FE">
          <w:rPr>
            <w:rStyle w:val="Hyperlink"/>
          </w:rPr>
          <w:t>Scammers targeting weak customer authentication processes</w:t>
        </w:r>
        <w:r w:rsidR="007D5EE0">
          <w:rPr>
            <w:webHidden/>
          </w:rPr>
          <w:tab/>
        </w:r>
        <w:r w:rsidR="007D5EE0">
          <w:rPr>
            <w:webHidden/>
          </w:rPr>
          <w:fldChar w:fldCharType="begin"/>
        </w:r>
        <w:r w:rsidR="007D5EE0">
          <w:rPr>
            <w:webHidden/>
          </w:rPr>
          <w:instrText xml:space="preserve"> PAGEREF _Toc98323741 \h </w:instrText>
        </w:r>
        <w:r w:rsidR="007D5EE0">
          <w:rPr>
            <w:webHidden/>
          </w:rPr>
        </w:r>
        <w:r w:rsidR="007D5EE0">
          <w:rPr>
            <w:webHidden/>
          </w:rPr>
          <w:fldChar w:fldCharType="separate"/>
        </w:r>
        <w:r w:rsidR="007D5EE0">
          <w:rPr>
            <w:webHidden/>
          </w:rPr>
          <w:t>11</w:t>
        </w:r>
        <w:r w:rsidR="007D5EE0">
          <w:rPr>
            <w:webHidden/>
          </w:rPr>
          <w:fldChar w:fldCharType="end"/>
        </w:r>
      </w:hyperlink>
    </w:p>
    <w:p w14:paraId="7B8CCA68" w14:textId="77777777" w:rsidR="007D5EE0" w:rsidRDefault="00BE4E20" w:rsidP="007D5EE0">
      <w:pPr>
        <w:pStyle w:val="TOC3"/>
        <w:rPr>
          <w:rFonts w:asciiTheme="minorHAnsi" w:eastAsiaTheme="minorEastAsia" w:hAnsiTheme="minorHAnsi" w:cstheme="minorBidi"/>
        </w:rPr>
      </w:pPr>
      <w:hyperlink w:anchor="_Toc98323742" w:history="1">
        <w:r w:rsidR="007D5EE0" w:rsidRPr="00F731FE">
          <w:rPr>
            <w:rStyle w:val="Hyperlink"/>
          </w:rPr>
          <w:t>Reported fraud</w:t>
        </w:r>
        <w:r w:rsidR="007D5EE0">
          <w:rPr>
            <w:webHidden/>
          </w:rPr>
          <w:tab/>
        </w:r>
        <w:r w:rsidR="007D5EE0">
          <w:rPr>
            <w:webHidden/>
          </w:rPr>
          <w:fldChar w:fldCharType="begin"/>
        </w:r>
        <w:r w:rsidR="007D5EE0">
          <w:rPr>
            <w:webHidden/>
          </w:rPr>
          <w:instrText xml:space="preserve"> PAGEREF _Toc98323742 \h </w:instrText>
        </w:r>
        <w:r w:rsidR="007D5EE0">
          <w:rPr>
            <w:webHidden/>
          </w:rPr>
        </w:r>
        <w:r w:rsidR="007D5EE0">
          <w:rPr>
            <w:webHidden/>
          </w:rPr>
          <w:fldChar w:fldCharType="separate"/>
        </w:r>
        <w:r w:rsidR="007D5EE0">
          <w:rPr>
            <w:webHidden/>
          </w:rPr>
          <w:t>12</w:t>
        </w:r>
        <w:r w:rsidR="007D5EE0">
          <w:rPr>
            <w:webHidden/>
          </w:rPr>
          <w:fldChar w:fldCharType="end"/>
        </w:r>
      </w:hyperlink>
    </w:p>
    <w:p w14:paraId="633DFC7A" w14:textId="77777777" w:rsidR="007D5EE0" w:rsidRDefault="00BE4E20" w:rsidP="007D5EE0">
      <w:pPr>
        <w:pStyle w:val="TOC2"/>
        <w:rPr>
          <w:rFonts w:asciiTheme="minorHAnsi" w:eastAsiaTheme="minorEastAsia" w:hAnsiTheme="minorHAnsi" w:cstheme="minorBidi"/>
          <w:spacing w:val="0"/>
          <w:sz w:val="22"/>
          <w:szCs w:val="22"/>
        </w:rPr>
      </w:pPr>
      <w:hyperlink w:anchor="_Toc98323743" w:history="1">
        <w:r w:rsidR="007D5EE0" w:rsidRPr="00F731FE">
          <w:rPr>
            <w:rStyle w:val="Hyperlink"/>
          </w:rPr>
          <w:t>International experience</w:t>
        </w:r>
        <w:r w:rsidR="007D5EE0">
          <w:rPr>
            <w:webHidden/>
          </w:rPr>
          <w:tab/>
        </w:r>
        <w:r w:rsidR="007D5EE0">
          <w:rPr>
            <w:webHidden/>
          </w:rPr>
          <w:fldChar w:fldCharType="begin"/>
        </w:r>
        <w:r w:rsidR="007D5EE0">
          <w:rPr>
            <w:webHidden/>
          </w:rPr>
          <w:instrText xml:space="preserve"> PAGEREF _Toc98323743 \h </w:instrText>
        </w:r>
        <w:r w:rsidR="007D5EE0">
          <w:rPr>
            <w:webHidden/>
          </w:rPr>
        </w:r>
        <w:r w:rsidR="007D5EE0">
          <w:rPr>
            <w:webHidden/>
          </w:rPr>
          <w:fldChar w:fldCharType="separate"/>
        </w:r>
        <w:r w:rsidR="007D5EE0">
          <w:rPr>
            <w:webHidden/>
          </w:rPr>
          <w:t>13</w:t>
        </w:r>
        <w:r w:rsidR="007D5EE0">
          <w:rPr>
            <w:webHidden/>
          </w:rPr>
          <w:fldChar w:fldCharType="end"/>
        </w:r>
      </w:hyperlink>
    </w:p>
    <w:p w14:paraId="5C0BC888" w14:textId="77777777" w:rsidR="007D5EE0" w:rsidRDefault="00BE4E20" w:rsidP="007D5EE0">
      <w:pPr>
        <w:pStyle w:val="TOC1"/>
        <w:tabs>
          <w:tab w:val="left" w:pos="885"/>
        </w:tabs>
        <w:rPr>
          <w:rFonts w:asciiTheme="minorHAnsi" w:eastAsiaTheme="minorEastAsia" w:hAnsiTheme="minorHAnsi" w:cstheme="minorBidi"/>
          <w:b w:val="0"/>
          <w:spacing w:val="0"/>
          <w:sz w:val="22"/>
          <w:szCs w:val="22"/>
        </w:rPr>
      </w:pPr>
      <w:hyperlink w:anchor="_Toc98323744" w:history="1">
        <w:r w:rsidR="007D5EE0" w:rsidRPr="00F731FE">
          <w:rPr>
            <w:rStyle w:val="Hyperlink"/>
          </w:rPr>
          <w:t>2.</w:t>
        </w:r>
        <w:r w:rsidR="007D5EE0">
          <w:rPr>
            <w:rFonts w:asciiTheme="minorHAnsi" w:eastAsiaTheme="minorEastAsia" w:hAnsiTheme="minorHAnsi" w:cstheme="minorBidi"/>
            <w:b w:val="0"/>
            <w:spacing w:val="0"/>
            <w:sz w:val="22"/>
            <w:szCs w:val="22"/>
          </w:rPr>
          <w:tab/>
        </w:r>
        <w:r w:rsidR="007D5EE0" w:rsidRPr="00F731FE">
          <w:rPr>
            <w:rStyle w:val="Hyperlink"/>
          </w:rPr>
          <w:t>Why is government action needed?</w:t>
        </w:r>
        <w:r w:rsidR="007D5EE0">
          <w:rPr>
            <w:webHidden/>
          </w:rPr>
          <w:tab/>
        </w:r>
        <w:r w:rsidR="007D5EE0">
          <w:rPr>
            <w:webHidden/>
          </w:rPr>
          <w:fldChar w:fldCharType="begin"/>
        </w:r>
        <w:r w:rsidR="007D5EE0">
          <w:rPr>
            <w:webHidden/>
          </w:rPr>
          <w:instrText xml:space="preserve"> PAGEREF _Toc98323744 \h </w:instrText>
        </w:r>
        <w:r w:rsidR="007D5EE0">
          <w:rPr>
            <w:webHidden/>
          </w:rPr>
        </w:r>
        <w:r w:rsidR="007D5EE0">
          <w:rPr>
            <w:webHidden/>
          </w:rPr>
          <w:fldChar w:fldCharType="separate"/>
        </w:r>
        <w:r w:rsidR="007D5EE0">
          <w:rPr>
            <w:webHidden/>
          </w:rPr>
          <w:t>16</w:t>
        </w:r>
        <w:r w:rsidR="007D5EE0">
          <w:rPr>
            <w:webHidden/>
          </w:rPr>
          <w:fldChar w:fldCharType="end"/>
        </w:r>
      </w:hyperlink>
    </w:p>
    <w:p w14:paraId="4B18FF0B" w14:textId="77777777" w:rsidR="007D5EE0" w:rsidRDefault="00BE4E20" w:rsidP="007D5EE0">
      <w:pPr>
        <w:pStyle w:val="TOC2"/>
        <w:rPr>
          <w:rFonts w:asciiTheme="minorHAnsi" w:eastAsiaTheme="minorEastAsia" w:hAnsiTheme="minorHAnsi" w:cstheme="minorBidi"/>
          <w:spacing w:val="0"/>
          <w:sz w:val="22"/>
          <w:szCs w:val="22"/>
        </w:rPr>
      </w:pPr>
      <w:hyperlink w:anchor="_Toc98323745" w:history="1">
        <w:r w:rsidR="007D5EE0" w:rsidRPr="00F731FE">
          <w:rPr>
            <w:rStyle w:val="Hyperlink"/>
          </w:rPr>
          <w:t>Government priority</w:t>
        </w:r>
        <w:r w:rsidR="007D5EE0">
          <w:rPr>
            <w:webHidden/>
          </w:rPr>
          <w:tab/>
        </w:r>
        <w:r w:rsidR="007D5EE0">
          <w:rPr>
            <w:webHidden/>
          </w:rPr>
          <w:fldChar w:fldCharType="begin"/>
        </w:r>
        <w:r w:rsidR="007D5EE0">
          <w:rPr>
            <w:webHidden/>
          </w:rPr>
          <w:instrText xml:space="preserve"> PAGEREF _Toc98323745 \h </w:instrText>
        </w:r>
        <w:r w:rsidR="007D5EE0">
          <w:rPr>
            <w:webHidden/>
          </w:rPr>
        </w:r>
        <w:r w:rsidR="007D5EE0">
          <w:rPr>
            <w:webHidden/>
          </w:rPr>
          <w:fldChar w:fldCharType="separate"/>
        </w:r>
        <w:r w:rsidR="007D5EE0">
          <w:rPr>
            <w:webHidden/>
          </w:rPr>
          <w:t>16</w:t>
        </w:r>
        <w:r w:rsidR="007D5EE0">
          <w:rPr>
            <w:webHidden/>
          </w:rPr>
          <w:fldChar w:fldCharType="end"/>
        </w:r>
      </w:hyperlink>
    </w:p>
    <w:p w14:paraId="18FD2995" w14:textId="77777777" w:rsidR="007D5EE0" w:rsidRDefault="00BE4E20" w:rsidP="007D5EE0">
      <w:pPr>
        <w:pStyle w:val="TOC3"/>
        <w:rPr>
          <w:rFonts w:asciiTheme="minorHAnsi" w:eastAsiaTheme="minorEastAsia" w:hAnsiTheme="minorHAnsi" w:cstheme="minorBidi"/>
        </w:rPr>
      </w:pPr>
      <w:hyperlink w:anchor="_Toc98323746" w:history="1">
        <w:r w:rsidR="007D5EE0" w:rsidRPr="00F731FE">
          <w:rPr>
            <w:rStyle w:val="Hyperlink"/>
          </w:rPr>
          <w:t>Action is required now</w:t>
        </w:r>
        <w:r w:rsidR="007D5EE0">
          <w:rPr>
            <w:webHidden/>
          </w:rPr>
          <w:tab/>
        </w:r>
        <w:r w:rsidR="007D5EE0">
          <w:rPr>
            <w:webHidden/>
          </w:rPr>
          <w:fldChar w:fldCharType="begin"/>
        </w:r>
        <w:r w:rsidR="007D5EE0">
          <w:rPr>
            <w:webHidden/>
          </w:rPr>
          <w:instrText xml:space="preserve"> PAGEREF _Toc98323746 \h </w:instrText>
        </w:r>
        <w:r w:rsidR="007D5EE0">
          <w:rPr>
            <w:webHidden/>
          </w:rPr>
        </w:r>
        <w:r w:rsidR="007D5EE0">
          <w:rPr>
            <w:webHidden/>
          </w:rPr>
          <w:fldChar w:fldCharType="separate"/>
        </w:r>
        <w:r w:rsidR="007D5EE0">
          <w:rPr>
            <w:webHidden/>
          </w:rPr>
          <w:t>17</w:t>
        </w:r>
        <w:r w:rsidR="007D5EE0">
          <w:rPr>
            <w:webHidden/>
          </w:rPr>
          <w:fldChar w:fldCharType="end"/>
        </w:r>
      </w:hyperlink>
    </w:p>
    <w:p w14:paraId="4330F1C6" w14:textId="77777777" w:rsidR="007D5EE0" w:rsidRDefault="00BE4E20" w:rsidP="007D5EE0">
      <w:pPr>
        <w:pStyle w:val="TOC1"/>
        <w:tabs>
          <w:tab w:val="left" w:pos="885"/>
        </w:tabs>
        <w:rPr>
          <w:rFonts w:asciiTheme="minorHAnsi" w:eastAsiaTheme="minorEastAsia" w:hAnsiTheme="minorHAnsi" w:cstheme="minorBidi"/>
          <w:b w:val="0"/>
          <w:spacing w:val="0"/>
          <w:sz w:val="22"/>
          <w:szCs w:val="22"/>
        </w:rPr>
      </w:pPr>
      <w:hyperlink w:anchor="_Toc98323747" w:history="1">
        <w:r w:rsidR="007D5EE0" w:rsidRPr="00F731FE">
          <w:rPr>
            <w:rStyle w:val="Hyperlink"/>
          </w:rPr>
          <w:t>3.</w:t>
        </w:r>
        <w:r w:rsidR="007D5EE0">
          <w:rPr>
            <w:rFonts w:asciiTheme="minorHAnsi" w:eastAsiaTheme="minorEastAsia" w:hAnsiTheme="minorHAnsi" w:cstheme="minorBidi"/>
            <w:b w:val="0"/>
            <w:spacing w:val="0"/>
            <w:sz w:val="22"/>
            <w:szCs w:val="22"/>
          </w:rPr>
          <w:tab/>
        </w:r>
        <w:r w:rsidR="007D5EE0" w:rsidRPr="00F731FE">
          <w:rPr>
            <w:rStyle w:val="Hyperlink"/>
          </w:rPr>
          <w:t>What policy options have been considered?</w:t>
        </w:r>
        <w:r w:rsidR="007D5EE0">
          <w:rPr>
            <w:webHidden/>
          </w:rPr>
          <w:tab/>
        </w:r>
        <w:r w:rsidR="007D5EE0">
          <w:rPr>
            <w:webHidden/>
          </w:rPr>
          <w:fldChar w:fldCharType="begin"/>
        </w:r>
        <w:r w:rsidR="007D5EE0">
          <w:rPr>
            <w:webHidden/>
          </w:rPr>
          <w:instrText xml:space="preserve"> PAGEREF _Toc98323747 \h </w:instrText>
        </w:r>
        <w:r w:rsidR="007D5EE0">
          <w:rPr>
            <w:webHidden/>
          </w:rPr>
        </w:r>
        <w:r w:rsidR="007D5EE0">
          <w:rPr>
            <w:webHidden/>
          </w:rPr>
          <w:fldChar w:fldCharType="separate"/>
        </w:r>
        <w:r w:rsidR="007D5EE0">
          <w:rPr>
            <w:webHidden/>
          </w:rPr>
          <w:t>19</w:t>
        </w:r>
        <w:r w:rsidR="007D5EE0">
          <w:rPr>
            <w:webHidden/>
          </w:rPr>
          <w:fldChar w:fldCharType="end"/>
        </w:r>
      </w:hyperlink>
    </w:p>
    <w:p w14:paraId="47B81F0F" w14:textId="77777777" w:rsidR="007D5EE0" w:rsidRDefault="00BE4E20" w:rsidP="007D5EE0">
      <w:pPr>
        <w:pStyle w:val="TOC2"/>
        <w:rPr>
          <w:rFonts w:asciiTheme="minorHAnsi" w:eastAsiaTheme="minorEastAsia" w:hAnsiTheme="minorHAnsi" w:cstheme="minorBidi"/>
          <w:spacing w:val="0"/>
          <w:sz w:val="22"/>
          <w:szCs w:val="22"/>
        </w:rPr>
      </w:pPr>
      <w:hyperlink w:anchor="_Toc98323748" w:history="1">
        <w:r w:rsidR="007D5EE0" w:rsidRPr="00F731FE">
          <w:rPr>
            <w:rStyle w:val="Hyperlink"/>
          </w:rPr>
          <w:t>Option 1: Non-regulatory option (status quo)</w:t>
        </w:r>
        <w:r w:rsidR="007D5EE0">
          <w:rPr>
            <w:webHidden/>
          </w:rPr>
          <w:tab/>
        </w:r>
        <w:r w:rsidR="007D5EE0">
          <w:rPr>
            <w:webHidden/>
          </w:rPr>
          <w:fldChar w:fldCharType="begin"/>
        </w:r>
        <w:r w:rsidR="007D5EE0">
          <w:rPr>
            <w:webHidden/>
          </w:rPr>
          <w:instrText xml:space="preserve"> PAGEREF _Toc98323748 \h </w:instrText>
        </w:r>
        <w:r w:rsidR="007D5EE0">
          <w:rPr>
            <w:webHidden/>
          </w:rPr>
        </w:r>
        <w:r w:rsidR="007D5EE0">
          <w:rPr>
            <w:webHidden/>
          </w:rPr>
          <w:fldChar w:fldCharType="separate"/>
        </w:r>
        <w:r w:rsidR="007D5EE0">
          <w:rPr>
            <w:webHidden/>
          </w:rPr>
          <w:t>19</w:t>
        </w:r>
        <w:r w:rsidR="007D5EE0">
          <w:rPr>
            <w:webHidden/>
          </w:rPr>
          <w:fldChar w:fldCharType="end"/>
        </w:r>
      </w:hyperlink>
    </w:p>
    <w:p w14:paraId="7D8C4C06" w14:textId="77777777" w:rsidR="007D5EE0" w:rsidRDefault="00BE4E20" w:rsidP="007D5EE0">
      <w:pPr>
        <w:pStyle w:val="TOC2"/>
        <w:rPr>
          <w:rFonts w:asciiTheme="minorHAnsi" w:eastAsiaTheme="minorEastAsia" w:hAnsiTheme="minorHAnsi" w:cstheme="minorBidi"/>
          <w:spacing w:val="0"/>
          <w:sz w:val="22"/>
          <w:szCs w:val="22"/>
        </w:rPr>
      </w:pPr>
      <w:hyperlink w:anchor="_Toc98323749" w:history="1">
        <w:r w:rsidR="007D5EE0" w:rsidRPr="00F731FE">
          <w:rPr>
            <w:rStyle w:val="Hyperlink"/>
          </w:rPr>
          <w:t>Option 2: Consumer education campaign</w:t>
        </w:r>
        <w:r w:rsidR="007D5EE0">
          <w:rPr>
            <w:webHidden/>
          </w:rPr>
          <w:tab/>
        </w:r>
        <w:r w:rsidR="007D5EE0">
          <w:rPr>
            <w:webHidden/>
          </w:rPr>
          <w:fldChar w:fldCharType="begin"/>
        </w:r>
        <w:r w:rsidR="007D5EE0">
          <w:rPr>
            <w:webHidden/>
          </w:rPr>
          <w:instrText xml:space="preserve"> PAGEREF _Toc98323749 \h </w:instrText>
        </w:r>
        <w:r w:rsidR="007D5EE0">
          <w:rPr>
            <w:webHidden/>
          </w:rPr>
        </w:r>
        <w:r w:rsidR="007D5EE0">
          <w:rPr>
            <w:webHidden/>
          </w:rPr>
          <w:fldChar w:fldCharType="separate"/>
        </w:r>
        <w:r w:rsidR="007D5EE0">
          <w:rPr>
            <w:webHidden/>
          </w:rPr>
          <w:t>19</w:t>
        </w:r>
        <w:r w:rsidR="007D5EE0">
          <w:rPr>
            <w:webHidden/>
          </w:rPr>
          <w:fldChar w:fldCharType="end"/>
        </w:r>
      </w:hyperlink>
    </w:p>
    <w:p w14:paraId="0A4D909F" w14:textId="77777777" w:rsidR="007D5EE0" w:rsidRDefault="00BE4E20" w:rsidP="007D5EE0">
      <w:pPr>
        <w:pStyle w:val="TOC2"/>
        <w:rPr>
          <w:rFonts w:asciiTheme="minorHAnsi" w:eastAsiaTheme="minorEastAsia" w:hAnsiTheme="minorHAnsi" w:cstheme="minorBidi"/>
          <w:spacing w:val="0"/>
          <w:sz w:val="22"/>
          <w:szCs w:val="22"/>
        </w:rPr>
      </w:pPr>
      <w:hyperlink w:anchor="_Toc98323750" w:history="1">
        <w:r w:rsidR="007D5EE0" w:rsidRPr="00F731FE">
          <w:rPr>
            <w:rStyle w:val="Hyperlink"/>
          </w:rPr>
          <w:t>Option 3: Enforceable obligations</w:t>
        </w:r>
        <w:r w:rsidR="007D5EE0">
          <w:rPr>
            <w:webHidden/>
          </w:rPr>
          <w:tab/>
        </w:r>
        <w:r w:rsidR="007D5EE0">
          <w:rPr>
            <w:webHidden/>
          </w:rPr>
          <w:fldChar w:fldCharType="begin"/>
        </w:r>
        <w:r w:rsidR="007D5EE0">
          <w:rPr>
            <w:webHidden/>
          </w:rPr>
          <w:instrText xml:space="preserve"> PAGEREF _Toc98323750 \h </w:instrText>
        </w:r>
        <w:r w:rsidR="007D5EE0">
          <w:rPr>
            <w:webHidden/>
          </w:rPr>
        </w:r>
        <w:r w:rsidR="007D5EE0">
          <w:rPr>
            <w:webHidden/>
          </w:rPr>
          <w:fldChar w:fldCharType="separate"/>
        </w:r>
        <w:r w:rsidR="007D5EE0">
          <w:rPr>
            <w:webHidden/>
          </w:rPr>
          <w:t>20</w:t>
        </w:r>
        <w:r w:rsidR="007D5EE0">
          <w:rPr>
            <w:webHidden/>
          </w:rPr>
          <w:fldChar w:fldCharType="end"/>
        </w:r>
      </w:hyperlink>
    </w:p>
    <w:p w14:paraId="5CB1E2C6"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51" w:history="1">
        <w:r w:rsidR="007D5EE0" w:rsidRPr="00F731FE">
          <w:rPr>
            <w:rStyle w:val="Hyperlink"/>
          </w:rPr>
          <w:t>4. What is the likely net benefit of each option?</w:t>
        </w:r>
        <w:r w:rsidR="007D5EE0">
          <w:rPr>
            <w:webHidden/>
          </w:rPr>
          <w:tab/>
        </w:r>
        <w:r w:rsidR="007D5EE0">
          <w:rPr>
            <w:webHidden/>
          </w:rPr>
          <w:fldChar w:fldCharType="begin"/>
        </w:r>
        <w:r w:rsidR="007D5EE0">
          <w:rPr>
            <w:webHidden/>
          </w:rPr>
          <w:instrText xml:space="preserve"> PAGEREF _Toc98323751 \h </w:instrText>
        </w:r>
        <w:r w:rsidR="007D5EE0">
          <w:rPr>
            <w:webHidden/>
          </w:rPr>
        </w:r>
        <w:r w:rsidR="007D5EE0">
          <w:rPr>
            <w:webHidden/>
          </w:rPr>
          <w:fldChar w:fldCharType="separate"/>
        </w:r>
        <w:r w:rsidR="007D5EE0">
          <w:rPr>
            <w:webHidden/>
          </w:rPr>
          <w:t>22</w:t>
        </w:r>
        <w:r w:rsidR="007D5EE0">
          <w:rPr>
            <w:webHidden/>
          </w:rPr>
          <w:fldChar w:fldCharType="end"/>
        </w:r>
      </w:hyperlink>
    </w:p>
    <w:p w14:paraId="2F55BCEB" w14:textId="77777777" w:rsidR="007D5EE0" w:rsidRDefault="00BE4E20" w:rsidP="007D5EE0">
      <w:pPr>
        <w:pStyle w:val="TOC2"/>
        <w:rPr>
          <w:rFonts w:asciiTheme="minorHAnsi" w:eastAsiaTheme="minorEastAsia" w:hAnsiTheme="minorHAnsi" w:cstheme="minorBidi"/>
          <w:spacing w:val="0"/>
          <w:sz w:val="22"/>
          <w:szCs w:val="22"/>
        </w:rPr>
      </w:pPr>
      <w:hyperlink w:anchor="_Toc98323752" w:history="1">
        <w:r w:rsidR="007D5EE0" w:rsidRPr="00F731FE">
          <w:rPr>
            <w:rStyle w:val="Hyperlink"/>
          </w:rPr>
          <w:t>Option 1: Status quo</w:t>
        </w:r>
        <w:r w:rsidR="007D5EE0">
          <w:rPr>
            <w:webHidden/>
          </w:rPr>
          <w:tab/>
        </w:r>
        <w:r w:rsidR="007D5EE0">
          <w:rPr>
            <w:webHidden/>
          </w:rPr>
          <w:fldChar w:fldCharType="begin"/>
        </w:r>
        <w:r w:rsidR="007D5EE0">
          <w:rPr>
            <w:webHidden/>
          </w:rPr>
          <w:instrText xml:space="preserve"> PAGEREF _Toc98323752 \h </w:instrText>
        </w:r>
        <w:r w:rsidR="007D5EE0">
          <w:rPr>
            <w:webHidden/>
          </w:rPr>
        </w:r>
        <w:r w:rsidR="007D5EE0">
          <w:rPr>
            <w:webHidden/>
          </w:rPr>
          <w:fldChar w:fldCharType="separate"/>
        </w:r>
        <w:r w:rsidR="007D5EE0">
          <w:rPr>
            <w:webHidden/>
          </w:rPr>
          <w:t>22</w:t>
        </w:r>
        <w:r w:rsidR="007D5EE0">
          <w:rPr>
            <w:webHidden/>
          </w:rPr>
          <w:fldChar w:fldCharType="end"/>
        </w:r>
      </w:hyperlink>
    </w:p>
    <w:p w14:paraId="073D47EF" w14:textId="77777777" w:rsidR="007D5EE0" w:rsidRDefault="00BE4E20" w:rsidP="007D5EE0">
      <w:pPr>
        <w:pStyle w:val="TOC3"/>
        <w:rPr>
          <w:rFonts w:asciiTheme="minorHAnsi" w:eastAsiaTheme="minorEastAsia" w:hAnsiTheme="minorHAnsi" w:cstheme="minorBidi"/>
        </w:rPr>
      </w:pPr>
      <w:hyperlink w:anchor="_Toc98323753" w:history="1">
        <w:r w:rsidR="007D5EE0" w:rsidRPr="00F731FE">
          <w:rPr>
            <w:rStyle w:val="Hyperlink"/>
          </w:rPr>
          <w:t>Benefits</w:t>
        </w:r>
        <w:r w:rsidR="007D5EE0">
          <w:rPr>
            <w:webHidden/>
          </w:rPr>
          <w:tab/>
        </w:r>
        <w:r w:rsidR="007D5EE0">
          <w:rPr>
            <w:webHidden/>
          </w:rPr>
          <w:fldChar w:fldCharType="begin"/>
        </w:r>
        <w:r w:rsidR="007D5EE0">
          <w:rPr>
            <w:webHidden/>
          </w:rPr>
          <w:instrText xml:space="preserve"> PAGEREF _Toc98323753 \h </w:instrText>
        </w:r>
        <w:r w:rsidR="007D5EE0">
          <w:rPr>
            <w:webHidden/>
          </w:rPr>
        </w:r>
        <w:r w:rsidR="007D5EE0">
          <w:rPr>
            <w:webHidden/>
          </w:rPr>
          <w:fldChar w:fldCharType="separate"/>
        </w:r>
        <w:r w:rsidR="007D5EE0">
          <w:rPr>
            <w:webHidden/>
          </w:rPr>
          <w:t>22</w:t>
        </w:r>
        <w:r w:rsidR="007D5EE0">
          <w:rPr>
            <w:webHidden/>
          </w:rPr>
          <w:fldChar w:fldCharType="end"/>
        </w:r>
      </w:hyperlink>
    </w:p>
    <w:p w14:paraId="54FD5704" w14:textId="77777777" w:rsidR="007D5EE0" w:rsidRDefault="00BE4E20" w:rsidP="007D5EE0">
      <w:pPr>
        <w:pStyle w:val="TOC3"/>
        <w:rPr>
          <w:rFonts w:asciiTheme="minorHAnsi" w:eastAsiaTheme="minorEastAsia" w:hAnsiTheme="minorHAnsi" w:cstheme="minorBidi"/>
        </w:rPr>
      </w:pPr>
      <w:hyperlink w:anchor="_Toc98323754" w:history="1">
        <w:r w:rsidR="007D5EE0" w:rsidRPr="00F731FE">
          <w:rPr>
            <w:rStyle w:val="Hyperlink"/>
          </w:rPr>
          <w:t>Costs</w:t>
        </w:r>
        <w:r w:rsidR="007D5EE0">
          <w:rPr>
            <w:webHidden/>
          </w:rPr>
          <w:tab/>
        </w:r>
        <w:r w:rsidR="007D5EE0">
          <w:rPr>
            <w:webHidden/>
          </w:rPr>
          <w:fldChar w:fldCharType="begin"/>
        </w:r>
        <w:r w:rsidR="007D5EE0">
          <w:rPr>
            <w:webHidden/>
          </w:rPr>
          <w:instrText xml:space="preserve"> PAGEREF _Toc98323754 \h </w:instrText>
        </w:r>
        <w:r w:rsidR="007D5EE0">
          <w:rPr>
            <w:webHidden/>
          </w:rPr>
        </w:r>
        <w:r w:rsidR="007D5EE0">
          <w:rPr>
            <w:webHidden/>
          </w:rPr>
          <w:fldChar w:fldCharType="separate"/>
        </w:r>
        <w:r w:rsidR="007D5EE0">
          <w:rPr>
            <w:webHidden/>
          </w:rPr>
          <w:t>22</w:t>
        </w:r>
        <w:r w:rsidR="007D5EE0">
          <w:rPr>
            <w:webHidden/>
          </w:rPr>
          <w:fldChar w:fldCharType="end"/>
        </w:r>
      </w:hyperlink>
    </w:p>
    <w:p w14:paraId="16002154" w14:textId="77777777" w:rsidR="007D5EE0" w:rsidRDefault="00BE4E20" w:rsidP="007D5EE0">
      <w:pPr>
        <w:pStyle w:val="TOC2"/>
        <w:rPr>
          <w:rFonts w:asciiTheme="minorHAnsi" w:eastAsiaTheme="minorEastAsia" w:hAnsiTheme="minorHAnsi" w:cstheme="minorBidi"/>
          <w:spacing w:val="0"/>
          <w:sz w:val="22"/>
          <w:szCs w:val="22"/>
        </w:rPr>
      </w:pPr>
      <w:hyperlink w:anchor="_Toc98323755" w:history="1">
        <w:r w:rsidR="007D5EE0" w:rsidRPr="00F731FE">
          <w:rPr>
            <w:rStyle w:val="Hyperlink"/>
          </w:rPr>
          <w:t>Option 2: Consumer education campaign</w:t>
        </w:r>
        <w:r w:rsidR="007D5EE0">
          <w:rPr>
            <w:webHidden/>
          </w:rPr>
          <w:tab/>
        </w:r>
        <w:r w:rsidR="007D5EE0">
          <w:rPr>
            <w:webHidden/>
          </w:rPr>
          <w:fldChar w:fldCharType="begin"/>
        </w:r>
        <w:r w:rsidR="007D5EE0">
          <w:rPr>
            <w:webHidden/>
          </w:rPr>
          <w:instrText xml:space="preserve"> PAGEREF _Toc98323755 \h </w:instrText>
        </w:r>
        <w:r w:rsidR="007D5EE0">
          <w:rPr>
            <w:webHidden/>
          </w:rPr>
        </w:r>
        <w:r w:rsidR="007D5EE0">
          <w:rPr>
            <w:webHidden/>
          </w:rPr>
          <w:fldChar w:fldCharType="separate"/>
        </w:r>
        <w:r w:rsidR="007D5EE0">
          <w:rPr>
            <w:webHidden/>
          </w:rPr>
          <w:t>23</w:t>
        </w:r>
        <w:r w:rsidR="007D5EE0">
          <w:rPr>
            <w:webHidden/>
          </w:rPr>
          <w:fldChar w:fldCharType="end"/>
        </w:r>
      </w:hyperlink>
    </w:p>
    <w:p w14:paraId="1E0B4412" w14:textId="77777777" w:rsidR="007D5EE0" w:rsidRDefault="00BE4E20" w:rsidP="007D5EE0">
      <w:pPr>
        <w:pStyle w:val="TOC3"/>
        <w:rPr>
          <w:rFonts w:asciiTheme="minorHAnsi" w:eastAsiaTheme="minorEastAsia" w:hAnsiTheme="minorHAnsi" w:cstheme="minorBidi"/>
        </w:rPr>
      </w:pPr>
      <w:hyperlink w:anchor="_Toc98323756" w:history="1">
        <w:r w:rsidR="007D5EE0" w:rsidRPr="00F731FE">
          <w:rPr>
            <w:rStyle w:val="Hyperlink"/>
          </w:rPr>
          <w:t>Benefits</w:t>
        </w:r>
        <w:r w:rsidR="007D5EE0">
          <w:rPr>
            <w:webHidden/>
          </w:rPr>
          <w:tab/>
        </w:r>
        <w:r w:rsidR="007D5EE0">
          <w:rPr>
            <w:webHidden/>
          </w:rPr>
          <w:fldChar w:fldCharType="begin"/>
        </w:r>
        <w:r w:rsidR="007D5EE0">
          <w:rPr>
            <w:webHidden/>
          </w:rPr>
          <w:instrText xml:space="preserve"> PAGEREF _Toc98323756 \h </w:instrText>
        </w:r>
        <w:r w:rsidR="007D5EE0">
          <w:rPr>
            <w:webHidden/>
          </w:rPr>
        </w:r>
        <w:r w:rsidR="007D5EE0">
          <w:rPr>
            <w:webHidden/>
          </w:rPr>
          <w:fldChar w:fldCharType="separate"/>
        </w:r>
        <w:r w:rsidR="007D5EE0">
          <w:rPr>
            <w:webHidden/>
          </w:rPr>
          <w:t>23</w:t>
        </w:r>
        <w:r w:rsidR="007D5EE0">
          <w:rPr>
            <w:webHidden/>
          </w:rPr>
          <w:fldChar w:fldCharType="end"/>
        </w:r>
      </w:hyperlink>
    </w:p>
    <w:p w14:paraId="313F34FD" w14:textId="77777777" w:rsidR="007D5EE0" w:rsidRDefault="00BE4E20" w:rsidP="007D5EE0">
      <w:pPr>
        <w:pStyle w:val="TOC3"/>
        <w:rPr>
          <w:rFonts w:asciiTheme="minorHAnsi" w:eastAsiaTheme="minorEastAsia" w:hAnsiTheme="minorHAnsi" w:cstheme="minorBidi"/>
        </w:rPr>
      </w:pPr>
      <w:hyperlink w:anchor="_Toc98323757" w:history="1">
        <w:r w:rsidR="007D5EE0" w:rsidRPr="00F731FE">
          <w:rPr>
            <w:rStyle w:val="Hyperlink"/>
          </w:rPr>
          <w:t>Costs</w:t>
        </w:r>
        <w:r w:rsidR="007D5EE0">
          <w:rPr>
            <w:webHidden/>
          </w:rPr>
          <w:tab/>
        </w:r>
        <w:r w:rsidR="007D5EE0">
          <w:rPr>
            <w:webHidden/>
          </w:rPr>
          <w:fldChar w:fldCharType="begin"/>
        </w:r>
        <w:r w:rsidR="007D5EE0">
          <w:rPr>
            <w:webHidden/>
          </w:rPr>
          <w:instrText xml:space="preserve"> PAGEREF _Toc98323757 \h </w:instrText>
        </w:r>
        <w:r w:rsidR="007D5EE0">
          <w:rPr>
            <w:webHidden/>
          </w:rPr>
        </w:r>
        <w:r w:rsidR="007D5EE0">
          <w:rPr>
            <w:webHidden/>
          </w:rPr>
          <w:fldChar w:fldCharType="separate"/>
        </w:r>
        <w:r w:rsidR="007D5EE0">
          <w:rPr>
            <w:webHidden/>
          </w:rPr>
          <w:t>25</w:t>
        </w:r>
        <w:r w:rsidR="007D5EE0">
          <w:rPr>
            <w:webHidden/>
          </w:rPr>
          <w:fldChar w:fldCharType="end"/>
        </w:r>
      </w:hyperlink>
    </w:p>
    <w:p w14:paraId="60E0AE91" w14:textId="77777777" w:rsidR="007D5EE0" w:rsidRDefault="00BE4E20" w:rsidP="007D5EE0">
      <w:pPr>
        <w:pStyle w:val="TOC2"/>
        <w:rPr>
          <w:rFonts w:asciiTheme="minorHAnsi" w:eastAsiaTheme="minorEastAsia" w:hAnsiTheme="minorHAnsi" w:cstheme="minorBidi"/>
          <w:spacing w:val="0"/>
          <w:sz w:val="22"/>
          <w:szCs w:val="22"/>
        </w:rPr>
      </w:pPr>
      <w:hyperlink w:anchor="_Toc98323758" w:history="1">
        <w:r w:rsidR="007D5EE0" w:rsidRPr="00F731FE">
          <w:rPr>
            <w:rStyle w:val="Hyperlink"/>
          </w:rPr>
          <w:t>Option 3: Enforceable obligations</w:t>
        </w:r>
        <w:r w:rsidR="007D5EE0">
          <w:rPr>
            <w:webHidden/>
          </w:rPr>
          <w:tab/>
        </w:r>
        <w:r w:rsidR="007D5EE0">
          <w:rPr>
            <w:webHidden/>
          </w:rPr>
          <w:fldChar w:fldCharType="begin"/>
        </w:r>
        <w:r w:rsidR="007D5EE0">
          <w:rPr>
            <w:webHidden/>
          </w:rPr>
          <w:instrText xml:space="preserve"> PAGEREF _Toc98323758 \h </w:instrText>
        </w:r>
        <w:r w:rsidR="007D5EE0">
          <w:rPr>
            <w:webHidden/>
          </w:rPr>
        </w:r>
        <w:r w:rsidR="007D5EE0">
          <w:rPr>
            <w:webHidden/>
          </w:rPr>
          <w:fldChar w:fldCharType="separate"/>
        </w:r>
        <w:r w:rsidR="007D5EE0">
          <w:rPr>
            <w:webHidden/>
          </w:rPr>
          <w:t>25</w:t>
        </w:r>
        <w:r w:rsidR="007D5EE0">
          <w:rPr>
            <w:webHidden/>
          </w:rPr>
          <w:fldChar w:fldCharType="end"/>
        </w:r>
      </w:hyperlink>
    </w:p>
    <w:p w14:paraId="2695D6A8" w14:textId="77777777" w:rsidR="007D5EE0" w:rsidRDefault="00BE4E20" w:rsidP="007D5EE0">
      <w:pPr>
        <w:pStyle w:val="TOC3"/>
        <w:rPr>
          <w:rFonts w:asciiTheme="minorHAnsi" w:eastAsiaTheme="minorEastAsia" w:hAnsiTheme="minorHAnsi" w:cstheme="minorBidi"/>
        </w:rPr>
      </w:pPr>
      <w:hyperlink w:anchor="_Toc98323759" w:history="1">
        <w:r w:rsidR="007D5EE0" w:rsidRPr="00F731FE">
          <w:rPr>
            <w:rStyle w:val="Hyperlink"/>
          </w:rPr>
          <w:t>Benefits</w:t>
        </w:r>
        <w:r w:rsidR="007D5EE0">
          <w:rPr>
            <w:webHidden/>
          </w:rPr>
          <w:tab/>
        </w:r>
        <w:r w:rsidR="007D5EE0">
          <w:rPr>
            <w:webHidden/>
          </w:rPr>
          <w:fldChar w:fldCharType="begin"/>
        </w:r>
        <w:r w:rsidR="007D5EE0">
          <w:rPr>
            <w:webHidden/>
          </w:rPr>
          <w:instrText xml:space="preserve"> PAGEREF _Toc98323759 \h </w:instrText>
        </w:r>
        <w:r w:rsidR="007D5EE0">
          <w:rPr>
            <w:webHidden/>
          </w:rPr>
        </w:r>
        <w:r w:rsidR="007D5EE0">
          <w:rPr>
            <w:webHidden/>
          </w:rPr>
          <w:fldChar w:fldCharType="separate"/>
        </w:r>
        <w:r w:rsidR="007D5EE0">
          <w:rPr>
            <w:webHidden/>
          </w:rPr>
          <w:t>25</w:t>
        </w:r>
        <w:r w:rsidR="007D5EE0">
          <w:rPr>
            <w:webHidden/>
          </w:rPr>
          <w:fldChar w:fldCharType="end"/>
        </w:r>
      </w:hyperlink>
    </w:p>
    <w:p w14:paraId="5D58A6AC" w14:textId="77777777" w:rsidR="007D5EE0" w:rsidRDefault="00BE4E20" w:rsidP="007D5EE0">
      <w:pPr>
        <w:pStyle w:val="TOC3"/>
        <w:rPr>
          <w:rFonts w:asciiTheme="minorHAnsi" w:eastAsiaTheme="minorEastAsia" w:hAnsiTheme="minorHAnsi" w:cstheme="minorBidi"/>
        </w:rPr>
      </w:pPr>
      <w:hyperlink w:anchor="_Toc98323760" w:history="1">
        <w:r w:rsidR="007D5EE0" w:rsidRPr="00F731FE">
          <w:rPr>
            <w:rStyle w:val="Hyperlink"/>
          </w:rPr>
          <w:t>Costs</w:t>
        </w:r>
        <w:r w:rsidR="007D5EE0">
          <w:rPr>
            <w:webHidden/>
          </w:rPr>
          <w:tab/>
        </w:r>
        <w:r w:rsidR="007D5EE0">
          <w:rPr>
            <w:webHidden/>
          </w:rPr>
          <w:fldChar w:fldCharType="begin"/>
        </w:r>
        <w:r w:rsidR="007D5EE0">
          <w:rPr>
            <w:webHidden/>
          </w:rPr>
          <w:instrText xml:space="preserve"> PAGEREF _Toc98323760 \h </w:instrText>
        </w:r>
        <w:r w:rsidR="007D5EE0">
          <w:rPr>
            <w:webHidden/>
          </w:rPr>
        </w:r>
        <w:r w:rsidR="007D5EE0">
          <w:rPr>
            <w:webHidden/>
          </w:rPr>
          <w:fldChar w:fldCharType="separate"/>
        </w:r>
        <w:r w:rsidR="007D5EE0">
          <w:rPr>
            <w:webHidden/>
          </w:rPr>
          <w:t>26</w:t>
        </w:r>
        <w:r w:rsidR="007D5EE0">
          <w:rPr>
            <w:webHidden/>
          </w:rPr>
          <w:fldChar w:fldCharType="end"/>
        </w:r>
      </w:hyperlink>
    </w:p>
    <w:p w14:paraId="2CFF04CE" w14:textId="77777777" w:rsidR="007D5EE0" w:rsidRDefault="00BE4E20" w:rsidP="007D5EE0">
      <w:pPr>
        <w:pStyle w:val="TOC2"/>
        <w:rPr>
          <w:rFonts w:asciiTheme="minorHAnsi" w:eastAsiaTheme="minorEastAsia" w:hAnsiTheme="minorHAnsi" w:cstheme="minorBidi"/>
          <w:spacing w:val="0"/>
          <w:sz w:val="22"/>
          <w:szCs w:val="22"/>
        </w:rPr>
      </w:pPr>
      <w:hyperlink w:anchor="_Toc98323761" w:history="1">
        <w:r w:rsidR="007D5EE0" w:rsidRPr="00F731FE">
          <w:rPr>
            <w:rStyle w:val="Hyperlink"/>
          </w:rPr>
          <w:t>Regulatory burden measurement table</w:t>
        </w:r>
        <w:r w:rsidR="007D5EE0">
          <w:rPr>
            <w:webHidden/>
          </w:rPr>
          <w:tab/>
        </w:r>
        <w:r w:rsidR="007D5EE0">
          <w:rPr>
            <w:webHidden/>
          </w:rPr>
          <w:fldChar w:fldCharType="begin"/>
        </w:r>
        <w:r w:rsidR="007D5EE0">
          <w:rPr>
            <w:webHidden/>
          </w:rPr>
          <w:instrText xml:space="preserve"> PAGEREF _Toc98323761 \h </w:instrText>
        </w:r>
        <w:r w:rsidR="007D5EE0">
          <w:rPr>
            <w:webHidden/>
          </w:rPr>
        </w:r>
        <w:r w:rsidR="007D5EE0">
          <w:rPr>
            <w:webHidden/>
          </w:rPr>
          <w:fldChar w:fldCharType="separate"/>
        </w:r>
        <w:r w:rsidR="007D5EE0">
          <w:rPr>
            <w:webHidden/>
          </w:rPr>
          <w:t>28</w:t>
        </w:r>
        <w:r w:rsidR="007D5EE0">
          <w:rPr>
            <w:webHidden/>
          </w:rPr>
          <w:fldChar w:fldCharType="end"/>
        </w:r>
      </w:hyperlink>
    </w:p>
    <w:p w14:paraId="4E681107" w14:textId="77777777" w:rsidR="007D5EE0" w:rsidRDefault="00BE4E20" w:rsidP="007D5EE0">
      <w:pPr>
        <w:pStyle w:val="TOC2"/>
        <w:rPr>
          <w:rFonts w:asciiTheme="minorHAnsi" w:eastAsiaTheme="minorEastAsia" w:hAnsiTheme="minorHAnsi" w:cstheme="minorBidi"/>
          <w:spacing w:val="0"/>
          <w:sz w:val="22"/>
          <w:szCs w:val="22"/>
        </w:rPr>
      </w:pPr>
      <w:hyperlink w:anchor="_Toc98323762" w:history="1">
        <w:r w:rsidR="007D5EE0" w:rsidRPr="00F731FE">
          <w:rPr>
            <w:rStyle w:val="Hyperlink"/>
          </w:rPr>
          <w:t>Likely annual net benefit over 10 years</w:t>
        </w:r>
        <w:r w:rsidR="007D5EE0">
          <w:rPr>
            <w:webHidden/>
          </w:rPr>
          <w:tab/>
        </w:r>
        <w:r w:rsidR="007D5EE0">
          <w:rPr>
            <w:webHidden/>
          </w:rPr>
          <w:fldChar w:fldCharType="begin"/>
        </w:r>
        <w:r w:rsidR="007D5EE0">
          <w:rPr>
            <w:webHidden/>
          </w:rPr>
          <w:instrText xml:space="preserve"> PAGEREF _Toc98323762 \h </w:instrText>
        </w:r>
        <w:r w:rsidR="007D5EE0">
          <w:rPr>
            <w:webHidden/>
          </w:rPr>
        </w:r>
        <w:r w:rsidR="007D5EE0">
          <w:rPr>
            <w:webHidden/>
          </w:rPr>
          <w:fldChar w:fldCharType="separate"/>
        </w:r>
        <w:r w:rsidR="007D5EE0">
          <w:rPr>
            <w:webHidden/>
          </w:rPr>
          <w:t>29</w:t>
        </w:r>
        <w:r w:rsidR="007D5EE0">
          <w:rPr>
            <w:webHidden/>
          </w:rPr>
          <w:fldChar w:fldCharType="end"/>
        </w:r>
      </w:hyperlink>
    </w:p>
    <w:p w14:paraId="09620A3F"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63" w:history="1">
        <w:r w:rsidR="007D5EE0" w:rsidRPr="00F731FE">
          <w:rPr>
            <w:rStyle w:val="Hyperlink"/>
          </w:rPr>
          <w:t>Who was consulted and what did they say?</w:t>
        </w:r>
        <w:r w:rsidR="007D5EE0">
          <w:rPr>
            <w:webHidden/>
          </w:rPr>
          <w:tab/>
        </w:r>
        <w:r w:rsidR="007D5EE0">
          <w:rPr>
            <w:webHidden/>
          </w:rPr>
          <w:fldChar w:fldCharType="begin"/>
        </w:r>
        <w:r w:rsidR="007D5EE0">
          <w:rPr>
            <w:webHidden/>
          </w:rPr>
          <w:instrText xml:space="preserve"> PAGEREF _Toc98323763 \h </w:instrText>
        </w:r>
        <w:r w:rsidR="007D5EE0">
          <w:rPr>
            <w:webHidden/>
          </w:rPr>
        </w:r>
        <w:r w:rsidR="007D5EE0">
          <w:rPr>
            <w:webHidden/>
          </w:rPr>
          <w:fldChar w:fldCharType="separate"/>
        </w:r>
        <w:r w:rsidR="007D5EE0">
          <w:rPr>
            <w:webHidden/>
          </w:rPr>
          <w:t>30</w:t>
        </w:r>
        <w:r w:rsidR="007D5EE0">
          <w:rPr>
            <w:webHidden/>
          </w:rPr>
          <w:fldChar w:fldCharType="end"/>
        </w:r>
      </w:hyperlink>
    </w:p>
    <w:p w14:paraId="112FB80E" w14:textId="77777777" w:rsidR="007D5EE0" w:rsidRDefault="00BE4E20" w:rsidP="007D5EE0">
      <w:pPr>
        <w:pStyle w:val="TOC2"/>
        <w:rPr>
          <w:rFonts w:asciiTheme="minorHAnsi" w:eastAsiaTheme="minorEastAsia" w:hAnsiTheme="minorHAnsi" w:cstheme="minorBidi"/>
          <w:spacing w:val="0"/>
          <w:sz w:val="22"/>
          <w:szCs w:val="22"/>
        </w:rPr>
      </w:pPr>
      <w:hyperlink w:anchor="_Toc98323764" w:history="1">
        <w:r w:rsidR="007D5EE0" w:rsidRPr="00F731FE">
          <w:rPr>
            <w:rStyle w:val="Hyperlink"/>
          </w:rPr>
          <w:t>Consultation</w:t>
        </w:r>
        <w:r w:rsidR="007D5EE0">
          <w:rPr>
            <w:webHidden/>
          </w:rPr>
          <w:tab/>
        </w:r>
        <w:r w:rsidR="007D5EE0">
          <w:rPr>
            <w:webHidden/>
          </w:rPr>
          <w:fldChar w:fldCharType="begin"/>
        </w:r>
        <w:r w:rsidR="007D5EE0">
          <w:rPr>
            <w:webHidden/>
          </w:rPr>
          <w:instrText xml:space="preserve"> PAGEREF _Toc98323764 \h </w:instrText>
        </w:r>
        <w:r w:rsidR="007D5EE0">
          <w:rPr>
            <w:webHidden/>
          </w:rPr>
        </w:r>
        <w:r w:rsidR="007D5EE0">
          <w:rPr>
            <w:webHidden/>
          </w:rPr>
          <w:fldChar w:fldCharType="separate"/>
        </w:r>
        <w:r w:rsidR="007D5EE0">
          <w:rPr>
            <w:webHidden/>
          </w:rPr>
          <w:t>30</w:t>
        </w:r>
        <w:r w:rsidR="007D5EE0">
          <w:rPr>
            <w:webHidden/>
          </w:rPr>
          <w:fldChar w:fldCharType="end"/>
        </w:r>
      </w:hyperlink>
    </w:p>
    <w:p w14:paraId="6EB4A828" w14:textId="77777777" w:rsidR="007D5EE0" w:rsidRDefault="00BE4E20" w:rsidP="007D5EE0">
      <w:pPr>
        <w:pStyle w:val="TOC3"/>
        <w:rPr>
          <w:rFonts w:asciiTheme="minorHAnsi" w:eastAsiaTheme="minorEastAsia" w:hAnsiTheme="minorHAnsi" w:cstheme="minorBidi"/>
        </w:rPr>
      </w:pPr>
      <w:hyperlink w:anchor="_Toc98323765" w:history="1">
        <w:r w:rsidR="007D5EE0" w:rsidRPr="00F731FE">
          <w:rPr>
            <w:rStyle w:val="Hyperlink"/>
          </w:rPr>
          <w:t>Consultation on enforceable obligations</w:t>
        </w:r>
        <w:r w:rsidR="007D5EE0">
          <w:rPr>
            <w:webHidden/>
          </w:rPr>
          <w:tab/>
        </w:r>
        <w:r w:rsidR="007D5EE0">
          <w:rPr>
            <w:webHidden/>
          </w:rPr>
          <w:fldChar w:fldCharType="begin"/>
        </w:r>
        <w:r w:rsidR="007D5EE0">
          <w:rPr>
            <w:webHidden/>
          </w:rPr>
          <w:instrText xml:space="preserve"> PAGEREF _Toc98323765 \h </w:instrText>
        </w:r>
        <w:r w:rsidR="007D5EE0">
          <w:rPr>
            <w:webHidden/>
          </w:rPr>
        </w:r>
        <w:r w:rsidR="007D5EE0">
          <w:rPr>
            <w:webHidden/>
          </w:rPr>
          <w:fldChar w:fldCharType="separate"/>
        </w:r>
        <w:r w:rsidR="007D5EE0">
          <w:rPr>
            <w:webHidden/>
          </w:rPr>
          <w:t>32</w:t>
        </w:r>
        <w:r w:rsidR="007D5EE0">
          <w:rPr>
            <w:webHidden/>
          </w:rPr>
          <w:fldChar w:fldCharType="end"/>
        </w:r>
      </w:hyperlink>
    </w:p>
    <w:p w14:paraId="23A3F3C7"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66" w:history="1">
        <w:r w:rsidR="007D5EE0" w:rsidRPr="00F731FE">
          <w:rPr>
            <w:rStyle w:val="Hyperlink"/>
          </w:rPr>
          <w:t>What is the best option from those considered?</w:t>
        </w:r>
        <w:r w:rsidR="007D5EE0">
          <w:rPr>
            <w:webHidden/>
          </w:rPr>
          <w:tab/>
        </w:r>
        <w:r w:rsidR="007D5EE0">
          <w:rPr>
            <w:webHidden/>
          </w:rPr>
          <w:fldChar w:fldCharType="begin"/>
        </w:r>
        <w:r w:rsidR="007D5EE0">
          <w:rPr>
            <w:webHidden/>
          </w:rPr>
          <w:instrText xml:space="preserve"> PAGEREF _Toc98323766 \h </w:instrText>
        </w:r>
        <w:r w:rsidR="007D5EE0">
          <w:rPr>
            <w:webHidden/>
          </w:rPr>
        </w:r>
        <w:r w:rsidR="007D5EE0">
          <w:rPr>
            <w:webHidden/>
          </w:rPr>
          <w:fldChar w:fldCharType="separate"/>
        </w:r>
        <w:r w:rsidR="007D5EE0">
          <w:rPr>
            <w:webHidden/>
          </w:rPr>
          <w:t>34</w:t>
        </w:r>
        <w:r w:rsidR="007D5EE0">
          <w:rPr>
            <w:webHidden/>
          </w:rPr>
          <w:fldChar w:fldCharType="end"/>
        </w:r>
      </w:hyperlink>
    </w:p>
    <w:p w14:paraId="63CBECD6" w14:textId="77777777" w:rsidR="007D5EE0" w:rsidRDefault="00BE4E20" w:rsidP="007D5EE0">
      <w:pPr>
        <w:pStyle w:val="TOC3"/>
        <w:rPr>
          <w:rFonts w:asciiTheme="minorHAnsi" w:eastAsiaTheme="minorEastAsia" w:hAnsiTheme="minorHAnsi" w:cstheme="minorBidi"/>
        </w:rPr>
      </w:pPr>
      <w:hyperlink w:anchor="_Toc98323767" w:history="1">
        <w:r w:rsidR="007D5EE0" w:rsidRPr="00F731FE">
          <w:rPr>
            <w:rStyle w:val="Hyperlink"/>
          </w:rPr>
          <w:t>Status quo (non-regulatory option)</w:t>
        </w:r>
        <w:r w:rsidR="007D5EE0">
          <w:rPr>
            <w:webHidden/>
          </w:rPr>
          <w:tab/>
        </w:r>
        <w:r w:rsidR="007D5EE0">
          <w:rPr>
            <w:webHidden/>
          </w:rPr>
          <w:fldChar w:fldCharType="begin"/>
        </w:r>
        <w:r w:rsidR="007D5EE0">
          <w:rPr>
            <w:webHidden/>
          </w:rPr>
          <w:instrText xml:space="preserve"> PAGEREF _Toc98323767 \h </w:instrText>
        </w:r>
        <w:r w:rsidR="007D5EE0">
          <w:rPr>
            <w:webHidden/>
          </w:rPr>
        </w:r>
        <w:r w:rsidR="007D5EE0">
          <w:rPr>
            <w:webHidden/>
          </w:rPr>
          <w:fldChar w:fldCharType="separate"/>
        </w:r>
        <w:r w:rsidR="007D5EE0">
          <w:rPr>
            <w:webHidden/>
          </w:rPr>
          <w:t>34</w:t>
        </w:r>
        <w:r w:rsidR="007D5EE0">
          <w:rPr>
            <w:webHidden/>
          </w:rPr>
          <w:fldChar w:fldCharType="end"/>
        </w:r>
      </w:hyperlink>
    </w:p>
    <w:p w14:paraId="2149BBE4" w14:textId="77777777" w:rsidR="007D5EE0" w:rsidRDefault="00BE4E20" w:rsidP="007D5EE0">
      <w:pPr>
        <w:pStyle w:val="TOC3"/>
        <w:rPr>
          <w:rFonts w:asciiTheme="minorHAnsi" w:eastAsiaTheme="minorEastAsia" w:hAnsiTheme="minorHAnsi" w:cstheme="minorBidi"/>
        </w:rPr>
      </w:pPr>
      <w:hyperlink w:anchor="_Toc98323768" w:history="1">
        <w:r w:rsidR="007D5EE0" w:rsidRPr="00F731FE">
          <w:rPr>
            <w:rStyle w:val="Hyperlink"/>
          </w:rPr>
          <w:t>Consumer education campaign</w:t>
        </w:r>
        <w:r w:rsidR="007D5EE0">
          <w:rPr>
            <w:webHidden/>
          </w:rPr>
          <w:tab/>
        </w:r>
        <w:r w:rsidR="007D5EE0">
          <w:rPr>
            <w:webHidden/>
          </w:rPr>
          <w:fldChar w:fldCharType="begin"/>
        </w:r>
        <w:r w:rsidR="007D5EE0">
          <w:rPr>
            <w:webHidden/>
          </w:rPr>
          <w:instrText xml:space="preserve"> PAGEREF _Toc98323768 \h </w:instrText>
        </w:r>
        <w:r w:rsidR="007D5EE0">
          <w:rPr>
            <w:webHidden/>
          </w:rPr>
        </w:r>
        <w:r w:rsidR="007D5EE0">
          <w:rPr>
            <w:webHidden/>
          </w:rPr>
          <w:fldChar w:fldCharType="separate"/>
        </w:r>
        <w:r w:rsidR="007D5EE0">
          <w:rPr>
            <w:webHidden/>
          </w:rPr>
          <w:t>34</w:t>
        </w:r>
        <w:r w:rsidR="007D5EE0">
          <w:rPr>
            <w:webHidden/>
          </w:rPr>
          <w:fldChar w:fldCharType="end"/>
        </w:r>
      </w:hyperlink>
    </w:p>
    <w:p w14:paraId="24B9CDC1"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69" w:history="1">
        <w:r w:rsidR="007D5EE0" w:rsidRPr="00F731FE">
          <w:rPr>
            <w:rStyle w:val="Hyperlink"/>
          </w:rPr>
          <w:t>How will you implement your chosen option?</w:t>
        </w:r>
        <w:r w:rsidR="007D5EE0">
          <w:rPr>
            <w:webHidden/>
          </w:rPr>
          <w:tab/>
        </w:r>
        <w:r w:rsidR="007D5EE0">
          <w:rPr>
            <w:webHidden/>
          </w:rPr>
          <w:fldChar w:fldCharType="begin"/>
        </w:r>
        <w:r w:rsidR="007D5EE0">
          <w:rPr>
            <w:webHidden/>
          </w:rPr>
          <w:instrText xml:space="preserve"> PAGEREF _Toc98323769 \h </w:instrText>
        </w:r>
        <w:r w:rsidR="007D5EE0">
          <w:rPr>
            <w:webHidden/>
          </w:rPr>
        </w:r>
        <w:r w:rsidR="007D5EE0">
          <w:rPr>
            <w:webHidden/>
          </w:rPr>
          <w:fldChar w:fldCharType="separate"/>
        </w:r>
        <w:r w:rsidR="007D5EE0">
          <w:rPr>
            <w:webHidden/>
          </w:rPr>
          <w:t>36</w:t>
        </w:r>
        <w:r w:rsidR="007D5EE0">
          <w:rPr>
            <w:webHidden/>
          </w:rPr>
          <w:fldChar w:fldCharType="end"/>
        </w:r>
      </w:hyperlink>
    </w:p>
    <w:p w14:paraId="07173A3C" w14:textId="77777777" w:rsidR="007D5EE0" w:rsidRDefault="00BE4E20" w:rsidP="007D5EE0">
      <w:pPr>
        <w:pStyle w:val="TOC2"/>
        <w:rPr>
          <w:rFonts w:asciiTheme="minorHAnsi" w:eastAsiaTheme="minorEastAsia" w:hAnsiTheme="minorHAnsi" w:cstheme="minorBidi"/>
          <w:spacing w:val="0"/>
          <w:sz w:val="22"/>
          <w:szCs w:val="22"/>
        </w:rPr>
      </w:pPr>
      <w:hyperlink w:anchor="_Toc98323770" w:history="1">
        <w:r w:rsidR="007D5EE0" w:rsidRPr="00F731FE">
          <w:rPr>
            <w:rStyle w:val="Hyperlink"/>
          </w:rPr>
          <w:t>Implementation</w:t>
        </w:r>
        <w:r w:rsidR="007D5EE0">
          <w:rPr>
            <w:webHidden/>
          </w:rPr>
          <w:tab/>
        </w:r>
        <w:r w:rsidR="007D5EE0">
          <w:rPr>
            <w:webHidden/>
          </w:rPr>
          <w:fldChar w:fldCharType="begin"/>
        </w:r>
        <w:r w:rsidR="007D5EE0">
          <w:rPr>
            <w:webHidden/>
          </w:rPr>
          <w:instrText xml:space="preserve"> PAGEREF _Toc98323770 \h </w:instrText>
        </w:r>
        <w:r w:rsidR="007D5EE0">
          <w:rPr>
            <w:webHidden/>
          </w:rPr>
        </w:r>
        <w:r w:rsidR="007D5EE0">
          <w:rPr>
            <w:webHidden/>
          </w:rPr>
          <w:fldChar w:fldCharType="separate"/>
        </w:r>
        <w:r w:rsidR="007D5EE0">
          <w:rPr>
            <w:webHidden/>
          </w:rPr>
          <w:t>36</w:t>
        </w:r>
        <w:r w:rsidR="007D5EE0">
          <w:rPr>
            <w:webHidden/>
          </w:rPr>
          <w:fldChar w:fldCharType="end"/>
        </w:r>
      </w:hyperlink>
    </w:p>
    <w:p w14:paraId="2121D076" w14:textId="77777777" w:rsidR="007D5EE0" w:rsidRDefault="00BE4E20" w:rsidP="007D5EE0">
      <w:pPr>
        <w:pStyle w:val="TOC3"/>
        <w:rPr>
          <w:rFonts w:asciiTheme="minorHAnsi" w:eastAsiaTheme="minorEastAsia" w:hAnsiTheme="minorHAnsi" w:cstheme="minorBidi"/>
        </w:rPr>
      </w:pPr>
      <w:hyperlink w:anchor="_Toc98323771" w:history="1">
        <w:r w:rsidR="007D5EE0" w:rsidRPr="00F731FE">
          <w:rPr>
            <w:rStyle w:val="Hyperlink"/>
          </w:rPr>
          <w:t>Engagement to support implementation</w:t>
        </w:r>
        <w:r w:rsidR="007D5EE0">
          <w:rPr>
            <w:webHidden/>
          </w:rPr>
          <w:tab/>
        </w:r>
        <w:r w:rsidR="007D5EE0">
          <w:rPr>
            <w:webHidden/>
          </w:rPr>
          <w:fldChar w:fldCharType="begin"/>
        </w:r>
        <w:r w:rsidR="007D5EE0">
          <w:rPr>
            <w:webHidden/>
          </w:rPr>
          <w:instrText xml:space="preserve"> PAGEREF _Toc98323771 \h </w:instrText>
        </w:r>
        <w:r w:rsidR="007D5EE0">
          <w:rPr>
            <w:webHidden/>
          </w:rPr>
        </w:r>
        <w:r w:rsidR="007D5EE0">
          <w:rPr>
            <w:webHidden/>
          </w:rPr>
          <w:fldChar w:fldCharType="separate"/>
        </w:r>
        <w:r w:rsidR="007D5EE0">
          <w:rPr>
            <w:webHidden/>
          </w:rPr>
          <w:t>37</w:t>
        </w:r>
        <w:r w:rsidR="007D5EE0">
          <w:rPr>
            <w:webHidden/>
          </w:rPr>
          <w:fldChar w:fldCharType="end"/>
        </w:r>
      </w:hyperlink>
    </w:p>
    <w:p w14:paraId="29470F58" w14:textId="77777777" w:rsidR="007D5EE0" w:rsidRDefault="00BE4E20" w:rsidP="007D5EE0">
      <w:pPr>
        <w:pStyle w:val="TOC3"/>
        <w:rPr>
          <w:rFonts w:asciiTheme="minorHAnsi" w:eastAsiaTheme="minorEastAsia" w:hAnsiTheme="minorHAnsi" w:cstheme="minorBidi"/>
        </w:rPr>
      </w:pPr>
      <w:hyperlink w:anchor="_Toc98323772" w:history="1">
        <w:r w:rsidR="007D5EE0" w:rsidRPr="00F731FE">
          <w:rPr>
            <w:rStyle w:val="Hyperlink"/>
          </w:rPr>
          <w:t>Education campaign</w:t>
        </w:r>
        <w:r w:rsidR="007D5EE0">
          <w:rPr>
            <w:webHidden/>
          </w:rPr>
          <w:tab/>
        </w:r>
        <w:r w:rsidR="007D5EE0">
          <w:rPr>
            <w:webHidden/>
          </w:rPr>
          <w:fldChar w:fldCharType="begin"/>
        </w:r>
        <w:r w:rsidR="007D5EE0">
          <w:rPr>
            <w:webHidden/>
          </w:rPr>
          <w:instrText xml:space="preserve"> PAGEREF _Toc98323772 \h </w:instrText>
        </w:r>
        <w:r w:rsidR="007D5EE0">
          <w:rPr>
            <w:webHidden/>
          </w:rPr>
        </w:r>
        <w:r w:rsidR="007D5EE0">
          <w:rPr>
            <w:webHidden/>
          </w:rPr>
          <w:fldChar w:fldCharType="separate"/>
        </w:r>
        <w:r w:rsidR="007D5EE0">
          <w:rPr>
            <w:webHidden/>
          </w:rPr>
          <w:t>37</w:t>
        </w:r>
        <w:r w:rsidR="007D5EE0">
          <w:rPr>
            <w:webHidden/>
          </w:rPr>
          <w:fldChar w:fldCharType="end"/>
        </w:r>
      </w:hyperlink>
    </w:p>
    <w:p w14:paraId="26245998"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73" w:history="1">
        <w:r w:rsidR="007D5EE0" w:rsidRPr="00F731FE">
          <w:rPr>
            <w:rStyle w:val="Hyperlink"/>
          </w:rPr>
          <w:t>Evaluation</w:t>
        </w:r>
        <w:r w:rsidR="007D5EE0">
          <w:rPr>
            <w:webHidden/>
          </w:rPr>
          <w:tab/>
        </w:r>
        <w:r w:rsidR="007D5EE0">
          <w:rPr>
            <w:webHidden/>
          </w:rPr>
          <w:fldChar w:fldCharType="begin"/>
        </w:r>
        <w:r w:rsidR="007D5EE0">
          <w:rPr>
            <w:webHidden/>
          </w:rPr>
          <w:instrText xml:space="preserve"> PAGEREF _Toc98323773 \h </w:instrText>
        </w:r>
        <w:r w:rsidR="007D5EE0">
          <w:rPr>
            <w:webHidden/>
          </w:rPr>
        </w:r>
        <w:r w:rsidR="007D5EE0">
          <w:rPr>
            <w:webHidden/>
          </w:rPr>
          <w:fldChar w:fldCharType="separate"/>
        </w:r>
        <w:r w:rsidR="007D5EE0">
          <w:rPr>
            <w:webHidden/>
          </w:rPr>
          <w:t>38</w:t>
        </w:r>
        <w:r w:rsidR="007D5EE0">
          <w:rPr>
            <w:webHidden/>
          </w:rPr>
          <w:fldChar w:fldCharType="end"/>
        </w:r>
      </w:hyperlink>
    </w:p>
    <w:p w14:paraId="5B8DDFA7"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74" w:history="1">
        <w:r w:rsidR="007D5EE0" w:rsidRPr="00F731FE">
          <w:rPr>
            <w:rStyle w:val="Hyperlink"/>
          </w:rPr>
          <w:t>Appendix A: Table 1 – Calculations to inform the regulatory burden measurement</w:t>
        </w:r>
        <w:r w:rsidR="007D5EE0">
          <w:rPr>
            <w:webHidden/>
          </w:rPr>
          <w:tab/>
        </w:r>
        <w:r w:rsidR="007D5EE0">
          <w:rPr>
            <w:webHidden/>
          </w:rPr>
          <w:fldChar w:fldCharType="begin"/>
        </w:r>
        <w:r w:rsidR="007D5EE0">
          <w:rPr>
            <w:webHidden/>
          </w:rPr>
          <w:instrText xml:space="preserve"> PAGEREF _Toc98323774 \h </w:instrText>
        </w:r>
        <w:r w:rsidR="007D5EE0">
          <w:rPr>
            <w:webHidden/>
          </w:rPr>
        </w:r>
        <w:r w:rsidR="007D5EE0">
          <w:rPr>
            <w:webHidden/>
          </w:rPr>
          <w:fldChar w:fldCharType="separate"/>
        </w:r>
        <w:r w:rsidR="007D5EE0">
          <w:rPr>
            <w:webHidden/>
          </w:rPr>
          <w:t>39</w:t>
        </w:r>
        <w:r w:rsidR="007D5EE0">
          <w:rPr>
            <w:webHidden/>
          </w:rPr>
          <w:fldChar w:fldCharType="end"/>
        </w:r>
      </w:hyperlink>
    </w:p>
    <w:p w14:paraId="6CC9F5C9" w14:textId="77777777" w:rsidR="007D5EE0" w:rsidRDefault="00BE4E20" w:rsidP="007D5EE0">
      <w:pPr>
        <w:pStyle w:val="TOC3"/>
        <w:rPr>
          <w:rFonts w:asciiTheme="minorHAnsi" w:eastAsiaTheme="minorEastAsia" w:hAnsiTheme="minorHAnsi" w:cstheme="minorBidi"/>
        </w:rPr>
      </w:pPr>
      <w:hyperlink w:anchor="_Toc98323775" w:history="1">
        <w:r w:rsidR="007D5EE0" w:rsidRPr="00F731FE">
          <w:rPr>
            <w:rStyle w:val="Hyperlink"/>
          </w:rPr>
          <w:t>Relevant facts and assumptions</w:t>
        </w:r>
        <w:r w:rsidR="007D5EE0">
          <w:rPr>
            <w:webHidden/>
          </w:rPr>
          <w:tab/>
        </w:r>
        <w:r w:rsidR="007D5EE0">
          <w:rPr>
            <w:webHidden/>
          </w:rPr>
          <w:fldChar w:fldCharType="begin"/>
        </w:r>
        <w:r w:rsidR="007D5EE0">
          <w:rPr>
            <w:webHidden/>
          </w:rPr>
          <w:instrText xml:space="preserve"> PAGEREF _Toc98323775 \h </w:instrText>
        </w:r>
        <w:r w:rsidR="007D5EE0">
          <w:rPr>
            <w:webHidden/>
          </w:rPr>
        </w:r>
        <w:r w:rsidR="007D5EE0">
          <w:rPr>
            <w:webHidden/>
          </w:rPr>
          <w:fldChar w:fldCharType="separate"/>
        </w:r>
        <w:r w:rsidR="007D5EE0">
          <w:rPr>
            <w:webHidden/>
          </w:rPr>
          <w:t>40</w:t>
        </w:r>
        <w:r w:rsidR="007D5EE0">
          <w:rPr>
            <w:webHidden/>
          </w:rPr>
          <w:fldChar w:fldCharType="end"/>
        </w:r>
      </w:hyperlink>
    </w:p>
    <w:p w14:paraId="1AE72458" w14:textId="77777777" w:rsidR="007D5EE0" w:rsidRDefault="00BE4E20" w:rsidP="007D5EE0">
      <w:pPr>
        <w:pStyle w:val="TOC1"/>
        <w:rPr>
          <w:rFonts w:asciiTheme="minorHAnsi" w:eastAsiaTheme="minorEastAsia" w:hAnsiTheme="minorHAnsi" w:cstheme="minorBidi"/>
          <w:b w:val="0"/>
          <w:spacing w:val="0"/>
          <w:sz w:val="22"/>
          <w:szCs w:val="22"/>
        </w:rPr>
      </w:pPr>
      <w:hyperlink w:anchor="_Toc98323776" w:history="1">
        <w:r w:rsidR="007D5EE0" w:rsidRPr="00F731FE">
          <w:rPr>
            <w:rStyle w:val="Hyperlink"/>
          </w:rPr>
          <w:t>Appendix B: Table 2 – Calculations to inform the likely annual net benefit over 10 years</w:t>
        </w:r>
        <w:r w:rsidR="007D5EE0">
          <w:rPr>
            <w:webHidden/>
          </w:rPr>
          <w:tab/>
        </w:r>
        <w:r w:rsidR="007D5EE0">
          <w:rPr>
            <w:webHidden/>
          </w:rPr>
          <w:fldChar w:fldCharType="begin"/>
        </w:r>
        <w:r w:rsidR="007D5EE0">
          <w:rPr>
            <w:webHidden/>
          </w:rPr>
          <w:instrText xml:space="preserve"> PAGEREF _Toc98323776 \h </w:instrText>
        </w:r>
        <w:r w:rsidR="007D5EE0">
          <w:rPr>
            <w:webHidden/>
          </w:rPr>
        </w:r>
        <w:r w:rsidR="007D5EE0">
          <w:rPr>
            <w:webHidden/>
          </w:rPr>
          <w:fldChar w:fldCharType="separate"/>
        </w:r>
        <w:r w:rsidR="007D5EE0">
          <w:rPr>
            <w:webHidden/>
          </w:rPr>
          <w:t>41</w:t>
        </w:r>
        <w:r w:rsidR="007D5EE0">
          <w:rPr>
            <w:webHidden/>
          </w:rPr>
          <w:fldChar w:fldCharType="end"/>
        </w:r>
      </w:hyperlink>
    </w:p>
    <w:p w14:paraId="306A156B" w14:textId="77777777" w:rsidR="007D5EE0" w:rsidRPr="000D76E0" w:rsidRDefault="007D5EE0" w:rsidP="007D5EE0">
      <w:pPr>
        <w:rPr>
          <w:rFonts w:cs="Arial"/>
        </w:rPr>
        <w:sectPr w:rsidR="007D5EE0" w:rsidRPr="000D76E0" w:rsidSect="00B46A0E">
          <w:headerReference w:type="even" r:id="rId32"/>
          <w:headerReference w:type="default" r:id="rId33"/>
          <w:footerReference w:type="even" r:id="rId34"/>
          <w:footerReference w:type="default" r:id="rId35"/>
          <w:footerReference w:type="first" r:id="rId36"/>
          <w:pgSz w:w="11906" w:h="16838" w:code="9"/>
          <w:pgMar w:top="3646" w:right="3101" w:bottom="1134" w:left="1134" w:header="709" w:footer="119" w:gutter="0"/>
          <w:cols w:space="708"/>
          <w:titlePg/>
          <w:docGrid w:linePitch="360"/>
        </w:sectPr>
      </w:pPr>
      <w:r>
        <w:rPr>
          <w:rFonts w:cs="Arial"/>
          <w:b/>
          <w:noProof/>
          <w:spacing w:val="-14"/>
          <w:sz w:val="28"/>
        </w:rPr>
        <w:fldChar w:fldCharType="end"/>
      </w:r>
    </w:p>
    <w:p w14:paraId="70C46E5A" w14:textId="77777777" w:rsidR="007D5EE0" w:rsidRPr="009174F3" w:rsidRDefault="007D5EE0" w:rsidP="007D5EE0">
      <w:pPr>
        <w:pStyle w:val="Heading1"/>
      </w:pPr>
      <w:bookmarkStart w:id="5" w:name="_Toc98323729"/>
      <w:r>
        <w:t>Introduction</w:t>
      </w:r>
      <w:bookmarkEnd w:id="5"/>
    </w:p>
    <w:p w14:paraId="3ACA73A6" w14:textId="77777777" w:rsidR="007D5EE0" w:rsidRPr="00DA6096" w:rsidRDefault="007D5EE0" w:rsidP="007D5EE0">
      <w:pPr>
        <w:pStyle w:val="Paragraph"/>
      </w:pPr>
      <w:r w:rsidRPr="0015441B">
        <w:t xml:space="preserve">The Australian Government wants to </w:t>
      </w:r>
      <w:r w:rsidRPr="00172744">
        <w:rPr>
          <w:iCs/>
          <w:color w:val="000000" w:themeColor="text1"/>
          <w:szCs w:val="20"/>
          <w:lang w:val="en-GB"/>
        </w:rPr>
        <w:t xml:space="preserve">prevent </w:t>
      </w:r>
      <w:r>
        <w:rPr>
          <w:iCs/>
          <w:color w:val="000000" w:themeColor="text1"/>
          <w:szCs w:val="20"/>
          <w:lang w:val="en-GB"/>
        </w:rPr>
        <w:t>unauthorised high-risk customer transactions in the telecommunications sector and mitigate fraud and associated harms to Australians.</w:t>
      </w:r>
    </w:p>
    <w:p w14:paraId="03C37203" w14:textId="77777777" w:rsidR="007D5EE0" w:rsidRDefault="007D5EE0" w:rsidP="007D5EE0">
      <w:pPr>
        <w:pStyle w:val="Paragraph"/>
      </w:pPr>
      <w:r w:rsidRPr="002106F1">
        <w:t xml:space="preserve">Mobile </w:t>
      </w:r>
      <w:r>
        <w:t>devices</w:t>
      </w:r>
      <w:r w:rsidRPr="002106F1">
        <w:t xml:space="preserve"> often contain large amounts of personal information</w:t>
      </w:r>
      <w:r>
        <w:t xml:space="preserve"> </w:t>
      </w:r>
      <w:r w:rsidRPr="002106F1">
        <w:t xml:space="preserve">and are regularly used for </w:t>
      </w:r>
      <w:r>
        <w:t xml:space="preserve">user-authentication </w:t>
      </w:r>
      <w:r w:rsidRPr="002106F1">
        <w:t>for a range of accounts</w:t>
      </w:r>
      <w:r>
        <w:t xml:space="preserve">, including with telecommunications providers, financial and banking institutions, social media, retail websites and government services (such as the </w:t>
      </w:r>
      <w:proofErr w:type="spellStart"/>
      <w:r>
        <w:t>myGov</w:t>
      </w:r>
      <w:proofErr w:type="spellEnd"/>
      <w:r>
        <w:t xml:space="preserve"> online portal)</w:t>
      </w:r>
      <w:r w:rsidRPr="002106F1">
        <w:t>.</w:t>
      </w:r>
    </w:p>
    <w:p w14:paraId="7BF9943C" w14:textId="77777777" w:rsidR="007D5EE0" w:rsidRPr="004D06B9" w:rsidRDefault="007D5EE0" w:rsidP="007D5EE0">
      <w:pPr>
        <w:pStyle w:val="Paragraph"/>
      </w:pPr>
      <w:r w:rsidRPr="004D06B9">
        <w:t xml:space="preserve">However, </w:t>
      </w:r>
      <w:r>
        <w:rPr>
          <w:iCs/>
          <w:color w:val="000000" w:themeColor="text1"/>
          <w:szCs w:val="20"/>
        </w:rPr>
        <w:t>bad</w:t>
      </w:r>
      <w:r w:rsidRPr="004D06B9">
        <w:rPr>
          <w:iCs/>
          <w:color w:val="000000" w:themeColor="text1"/>
          <w:szCs w:val="20"/>
        </w:rPr>
        <w:t xml:space="preserve"> actors </w:t>
      </w:r>
      <w:r>
        <w:rPr>
          <w:iCs/>
          <w:color w:val="000000" w:themeColor="text1"/>
          <w:szCs w:val="20"/>
        </w:rPr>
        <w:t xml:space="preserve">(scammers) </w:t>
      </w:r>
      <w:r w:rsidRPr="004D06B9">
        <w:rPr>
          <w:iCs/>
          <w:color w:val="000000" w:themeColor="text1"/>
          <w:szCs w:val="20"/>
        </w:rPr>
        <w:t xml:space="preserve">are increasingly finding new ways to </w:t>
      </w:r>
      <w:r>
        <w:rPr>
          <w:iCs/>
          <w:color w:val="000000" w:themeColor="text1"/>
          <w:szCs w:val="20"/>
        </w:rPr>
        <w:t>target</w:t>
      </w:r>
      <w:r w:rsidRPr="004D06B9">
        <w:t xml:space="preserve"> business processes and technologies </w:t>
      </w:r>
      <w:r>
        <w:t>to</w:t>
      </w:r>
      <w:r w:rsidRPr="004D06B9">
        <w:t xml:space="preserve"> </w:t>
      </w:r>
      <w:r w:rsidRPr="004D06B9">
        <w:rPr>
          <w:iCs/>
          <w:color w:val="000000" w:themeColor="text1"/>
          <w:szCs w:val="20"/>
        </w:rPr>
        <w:t>perpetrate scams on</w:t>
      </w:r>
      <w:r>
        <w:rPr>
          <w:iCs/>
          <w:color w:val="000000" w:themeColor="text1"/>
          <w:szCs w:val="20"/>
        </w:rPr>
        <w:t xml:space="preserve"> and through</w:t>
      </w:r>
      <w:r w:rsidRPr="004D06B9">
        <w:rPr>
          <w:iCs/>
          <w:color w:val="000000" w:themeColor="text1"/>
          <w:szCs w:val="20"/>
        </w:rPr>
        <w:t xml:space="preserve"> telecommunications services</w:t>
      </w:r>
      <w:r w:rsidRPr="004D06B9">
        <w:t>.</w:t>
      </w:r>
    </w:p>
    <w:p w14:paraId="30B8B603" w14:textId="77777777" w:rsidR="007D5EE0" w:rsidRPr="00DB122C" w:rsidRDefault="007D5EE0" w:rsidP="007D5EE0">
      <w:pPr>
        <w:pStyle w:val="Paragraph"/>
      </w:pPr>
      <w:r w:rsidRPr="004D06B9">
        <w:t xml:space="preserve">Scammers perpetrate their crimes via a range of obfuscation techniques and scam </w:t>
      </w:r>
      <w:r>
        <w:t>activity</w:t>
      </w:r>
      <w:r w:rsidRPr="00DB122C">
        <w:t xml:space="preserve"> such as targeting weaknesses in telecommunication</w:t>
      </w:r>
      <w:r>
        <w:t>s</w:t>
      </w:r>
      <w:r w:rsidRPr="00DB122C">
        <w:t xml:space="preserve"> providers’ customer authentication processes and </w:t>
      </w:r>
      <w:r w:rsidRPr="004D06B9">
        <w:t>steal</w:t>
      </w:r>
      <w:r>
        <w:t>ing</w:t>
      </w:r>
      <w:r w:rsidRPr="004D06B9">
        <w:t xml:space="preserve"> identity </w:t>
      </w:r>
      <w:r>
        <w:t xml:space="preserve">details </w:t>
      </w:r>
      <w:r w:rsidRPr="004D06B9">
        <w:t xml:space="preserve">or money </w:t>
      </w:r>
      <w:r>
        <w:t>via</w:t>
      </w:r>
      <w:r w:rsidRPr="004D06B9">
        <w:t xml:space="preserve"> phone calls from live operators or robocalls</w:t>
      </w:r>
      <w:r w:rsidRPr="00DB122C">
        <w:t>.</w:t>
      </w:r>
    </w:p>
    <w:p w14:paraId="392B6071" w14:textId="77777777" w:rsidR="007D5EE0" w:rsidRDefault="007D5EE0" w:rsidP="007D5EE0">
      <w:pPr>
        <w:pStyle w:val="Paragraph"/>
      </w:pPr>
      <w:r>
        <w:t>Wide use of</w:t>
      </w:r>
      <w:r w:rsidRPr="004D06B9">
        <w:t xml:space="preserve"> </w:t>
      </w:r>
      <w:r>
        <w:t xml:space="preserve">communications </w:t>
      </w:r>
      <w:r w:rsidRPr="004D06B9">
        <w:t xml:space="preserve">technologies </w:t>
      </w:r>
      <w:r>
        <w:t xml:space="preserve">as a channel to a significant range of critical transactions and social interactions </w:t>
      </w:r>
      <w:r w:rsidRPr="004D06B9">
        <w:t>ha</w:t>
      </w:r>
      <w:r>
        <w:t>s</w:t>
      </w:r>
      <w:r w:rsidRPr="004D06B9">
        <w:t xml:space="preserve"> </w:t>
      </w:r>
      <w:r>
        <w:t>increased</w:t>
      </w:r>
      <w:r w:rsidRPr="004D06B9">
        <w:t xml:space="preserve"> consumer expectation</w:t>
      </w:r>
      <w:r>
        <w:t>s</w:t>
      </w:r>
      <w:r w:rsidRPr="004D06B9">
        <w:t xml:space="preserve"> that access to those technologies and services is appropriately safeguarded from harms.</w:t>
      </w:r>
    </w:p>
    <w:p w14:paraId="501F903D" w14:textId="77777777" w:rsidR="007D5EE0" w:rsidRPr="00537913" w:rsidRDefault="007D5EE0" w:rsidP="007D5EE0">
      <w:pPr>
        <w:pStyle w:val="Paragraph"/>
      </w:pPr>
      <w:r w:rsidRPr="004D06B9">
        <w:rPr>
          <w:iCs/>
        </w:rPr>
        <w:t xml:space="preserve">Scam activity impacts directly on the financial and emotional wellbeing of many Australians. </w:t>
      </w:r>
      <w:r w:rsidRPr="004D06B9">
        <w:t>Consumers who are the victim of identity theft typically</w:t>
      </w:r>
      <w:r w:rsidRPr="00537913">
        <w:t xml:space="preserve"> suffer both financial loss and psychological harms. The effects can be life-altering, impacting health, emotional wellbeing, and relationships with others.</w:t>
      </w:r>
      <w:r w:rsidRPr="00537913">
        <w:rPr>
          <w:vertAlign w:val="superscript"/>
        </w:rPr>
        <w:footnoteReference w:id="2"/>
      </w:r>
    </w:p>
    <w:p w14:paraId="65ED4F0C" w14:textId="77777777" w:rsidR="007D5EE0" w:rsidRPr="00537913" w:rsidRDefault="007D5EE0" w:rsidP="007D5EE0">
      <w:pPr>
        <w:pStyle w:val="Paragraph"/>
        <w:rPr>
          <w:lang w:val="en-GB"/>
        </w:rPr>
      </w:pPr>
      <w:r>
        <w:rPr>
          <w:iCs/>
        </w:rPr>
        <w:t>This activity</w:t>
      </w:r>
      <w:r w:rsidRPr="00537913">
        <w:rPr>
          <w:iCs/>
        </w:rPr>
        <w:t xml:space="preserve"> also undermines confidence in our telecommunications services.</w:t>
      </w:r>
      <w:r w:rsidRPr="00537913">
        <w:t xml:space="preserve"> </w:t>
      </w:r>
      <w:r w:rsidRPr="00537913">
        <w:rPr>
          <w:szCs w:val="20"/>
        </w:rPr>
        <w:t>There have been cases of scammers using limited personal information to access telecommunications customers’</w:t>
      </w:r>
      <w:r w:rsidRPr="00537913">
        <w:rPr>
          <w:color w:val="000000" w:themeColor="text1"/>
        </w:rPr>
        <w:t xml:space="preserve"> accounts and services to facilitate identity theft financial crimes.</w:t>
      </w:r>
    </w:p>
    <w:p w14:paraId="5BFE65DC" w14:textId="77777777" w:rsidR="007D5EE0" w:rsidRPr="00537913" w:rsidRDefault="007D5EE0" w:rsidP="007D5EE0">
      <w:pPr>
        <w:pStyle w:val="Paragraph"/>
        <w:rPr>
          <w:iCs/>
          <w:color w:val="000000" w:themeColor="text1"/>
          <w:szCs w:val="20"/>
          <w:lang w:val="en-GB"/>
        </w:rPr>
      </w:pPr>
      <w:r w:rsidRPr="00537913">
        <w:rPr>
          <w:iCs/>
          <w:color w:val="000000" w:themeColor="text1"/>
          <w:szCs w:val="20"/>
          <w:lang w:val="en-GB"/>
        </w:rPr>
        <w:t>S</w:t>
      </w:r>
      <w:r w:rsidRPr="00537913">
        <w:rPr>
          <w:bCs/>
          <w:iCs/>
        </w:rPr>
        <w:t>cams are a whole-of-community problem, and government, industry and consumers all have a role in mitigating associated detriments.</w:t>
      </w:r>
    </w:p>
    <w:p w14:paraId="49969558" w14:textId="77777777" w:rsidR="007D5EE0" w:rsidRDefault="007D5EE0" w:rsidP="007D5EE0">
      <w:pPr>
        <w:pStyle w:val="Paragraph"/>
      </w:pPr>
      <w:r>
        <w:t xml:space="preserve">We are </w:t>
      </w:r>
      <w:bookmarkStart w:id="6" w:name="_Hlk32830990"/>
      <w:r w:rsidRPr="00537913">
        <w:t xml:space="preserve">seeking to reduce the harm and loss caused </w:t>
      </w:r>
      <w:r>
        <w:t xml:space="preserve">to Australians </w:t>
      </w:r>
      <w:r w:rsidRPr="00537913">
        <w:t xml:space="preserve">by scammers targeting telecommunications providers’ customer authentication processes where there is </w:t>
      </w:r>
      <w:r>
        <w:t xml:space="preserve">currently </w:t>
      </w:r>
      <w:r w:rsidRPr="00537913">
        <w:t>little regulatory coverage.</w:t>
      </w:r>
    </w:p>
    <w:bookmarkEnd w:id="6"/>
    <w:p w14:paraId="30EC2471" w14:textId="77777777" w:rsidR="007D5EE0" w:rsidRDefault="007D5EE0" w:rsidP="007D5EE0">
      <w:pPr>
        <w:pStyle w:val="Paragraph"/>
      </w:pPr>
      <w:r>
        <w:t>This will help prevent significant harms to Australian consumers and promote greater confidence in telecommunications services – regardless of which provider a customer uses.</w:t>
      </w:r>
    </w:p>
    <w:p w14:paraId="6E3EC3DC" w14:textId="77777777" w:rsidR="007D5EE0" w:rsidRPr="00C35CCE" w:rsidRDefault="007D5EE0" w:rsidP="007D5EE0">
      <w:pPr>
        <w:pStyle w:val="Heading2"/>
      </w:pPr>
      <w:bookmarkStart w:id="7" w:name="_Toc98323730"/>
      <w:r>
        <w:t>Regulatory setting</w:t>
      </w:r>
      <w:bookmarkEnd w:id="7"/>
      <w:r>
        <w:t xml:space="preserve"> </w:t>
      </w:r>
    </w:p>
    <w:p w14:paraId="78ECD3B1" w14:textId="77777777" w:rsidR="007D5EE0" w:rsidRDefault="007D5EE0" w:rsidP="007D5EE0">
      <w:pPr>
        <w:pStyle w:val="Paragraph"/>
      </w:pPr>
      <w:r>
        <w:t>The ACMA is</w:t>
      </w:r>
      <w:r w:rsidRPr="008B5193">
        <w:t xml:space="preserve"> an independent Commonwealth statutory authority. </w:t>
      </w:r>
      <w:r>
        <w:t>We</w:t>
      </w:r>
      <w:r w:rsidRPr="008B5193">
        <w:t xml:space="preserve"> regulate communications and media services in Australia to maximise the economic and social benefits for Australia.</w:t>
      </w:r>
      <w:r>
        <w:t xml:space="preserve"> This includes regulating telecommunications providers.</w:t>
      </w:r>
    </w:p>
    <w:p w14:paraId="30822869" w14:textId="77777777" w:rsidR="007D5EE0" w:rsidRPr="005845DA" w:rsidRDefault="007D5EE0" w:rsidP="007D5EE0">
      <w:pPr>
        <w:pStyle w:val="Paragraph"/>
        <w:rPr>
          <w:b/>
          <w:bCs/>
          <w:szCs w:val="20"/>
        </w:rPr>
      </w:pPr>
      <w:r>
        <w:rPr>
          <w:color w:val="000000" w:themeColor="text1"/>
          <w:szCs w:val="20"/>
        </w:rPr>
        <w:t xml:space="preserve">We </w:t>
      </w:r>
      <w:r w:rsidRPr="00784EA4">
        <w:rPr>
          <w:color w:val="000000" w:themeColor="text1"/>
          <w:szCs w:val="20"/>
        </w:rPr>
        <w:t xml:space="preserve">regulate in accordance with </w:t>
      </w:r>
      <w:r>
        <w:rPr>
          <w:color w:val="000000" w:themeColor="text1"/>
          <w:szCs w:val="20"/>
        </w:rPr>
        <w:t>4</w:t>
      </w:r>
      <w:r w:rsidRPr="00784EA4">
        <w:rPr>
          <w:color w:val="000000" w:themeColor="text1"/>
          <w:szCs w:val="20"/>
        </w:rPr>
        <w:t xml:space="preserve"> principal acts</w:t>
      </w:r>
      <w:r>
        <w:rPr>
          <w:color w:val="000000" w:themeColor="text1"/>
          <w:szCs w:val="20"/>
        </w:rPr>
        <w:t xml:space="preserve"> – </w:t>
      </w:r>
      <w:r w:rsidRPr="00784EA4">
        <w:rPr>
          <w:color w:val="000000" w:themeColor="text1"/>
          <w:szCs w:val="20"/>
        </w:rPr>
        <w:t xml:space="preserve">the </w:t>
      </w:r>
      <w:r w:rsidRPr="0079077F">
        <w:rPr>
          <w:i/>
          <w:color w:val="000000" w:themeColor="text1"/>
          <w:szCs w:val="20"/>
        </w:rPr>
        <w:t>Radiocommunications Act 1992</w:t>
      </w:r>
      <w:r w:rsidRPr="00784EA4">
        <w:rPr>
          <w:color w:val="000000" w:themeColor="text1"/>
          <w:szCs w:val="20"/>
        </w:rPr>
        <w:t xml:space="preserve">, </w:t>
      </w:r>
      <w:r w:rsidRPr="0079077F">
        <w:rPr>
          <w:i/>
          <w:color w:val="000000" w:themeColor="text1"/>
          <w:szCs w:val="20"/>
        </w:rPr>
        <w:t>Telecommunications (Consumer Protection and Service Standards) Act 1999</w:t>
      </w:r>
      <w:r w:rsidRPr="00784EA4">
        <w:rPr>
          <w:color w:val="000000" w:themeColor="text1"/>
          <w:szCs w:val="20"/>
        </w:rPr>
        <w:t xml:space="preserve">, </w:t>
      </w:r>
      <w:r w:rsidRPr="0079077F">
        <w:rPr>
          <w:i/>
          <w:color w:val="000000" w:themeColor="text1"/>
          <w:szCs w:val="20"/>
        </w:rPr>
        <w:t>Broadcasting Services Act 1992</w:t>
      </w:r>
      <w:r w:rsidRPr="00784EA4">
        <w:rPr>
          <w:color w:val="000000" w:themeColor="text1"/>
          <w:szCs w:val="20"/>
        </w:rPr>
        <w:t xml:space="preserve">, and the </w:t>
      </w:r>
      <w:hyperlink r:id="rId37" w:history="1">
        <w:r w:rsidRPr="0079077F">
          <w:rPr>
            <w:i/>
            <w:color w:val="000000" w:themeColor="text1"/>
          </w:rPr>
          <w:t>Telecommunications Act 1997</w:t>
        </w:r>
      </w:hyperlink>
      <w:r w:rsidRPr="00784EA4">
        <w:rPr>
          <w:color w:val="000000" w:themeColor="text1"/>
          <w:szCs w:val="20"/>
        </w:rPr>
        <w:t>.</w:t>
      </w:r>
      <w:bookmarkStart w:id="8" w:name="_Toc32833679"/>
      <w:bookmarkStart w:id="9" w:name="_Toc32833736"/>
      <w:bookmarkStart w:id="10" w:name="_Toc32833809"/>
      <w:bookmarkStart w:id="11" w:name="_Toc33176361"/>
      <w:r w:rsidRPr="00E5382C">
        <w:rPr>
          <w:color w:val="000000" w:themeColor="text1"/>
          <w:szCs w:val="20"/>
        </w:rPr>
        <w:t xml:space="preserve"> </w:t>
      </w:r>
      <w:r>
        <w:rPr>
          <w:color w:val="000000" w:themeColor="text1"/>
          <w:szCs w:val="20"/>
        </w:rPr>
        <w:t xml:space="preserve">We also have responsibilities under the </w:t>
      </w:r>
      <w:r w:rsidRPr="00326593">
        <w:rPr>
          <w:i/>
          <w:iCs/>
          <w:color w:val="000000" w:themeColor="text1"/>
          <w:szCs w:val="20"/>
        </w:rPr>
        <w:t>Interactive Gambling Act 2001</w:t>
      </w:r>
      <w:r>
        <w:rPr>
          <w:i/>
          <w:iCs/>
          <w:color w:val="000000" w:themeColor="text1"/>
          <w:szCs w:val="20"/>
        </w:rPr>
        <w:t xml:space="preserve">, </w:t>
      </w:r>
      <w:r w:rsidRPr="00CF76A3">
        <w:rPr>
          <w:color w:val="000000" w:themeColor="text1"/>
          <w:szCs w:val="20"/>
        </w:rPr>
        <w:t>the</w:t>
      </w:r>
      <w:r w:rsidRPr="00CF76A3">
        <w:rPr>
          <w:i/>
          <w:iCs/>
          <w:color w:val="000000" w:themeColor="text1"/>
          <w:szCs w:val="20"/>
        </w:rPr>
        <w:t xml:space="preserve"> </w:t>
      </w:r>
      <w:r w:rsidRPr="00326593">
        <w:rPr>
          <w:i/>
          <w:iCs/>
          <w:color w:val="000000" w:themeColor="text1"/>
          <w:szCs w:val="20"/>
        </w:rPr>
        <w:t>Spam Act 2003</w:t>
      </w:r>
      <w:r>
        <w:rPr>
          <w:i/>
          <w:iCs/>
          <w:color w:val="000000" w:themeColor="text1"/>
          <w:szCs w:val="20"/>
        </w:rPr>
        <w:t xml:space="preserve"> </w:t>
      </w:r>
      <w:r w:rsidRPr="00CF76A3">
        <w:rPr>
          <w:color w:val="000000" w:themeColor="text1"/>
          <w:szCs w:val="20"/>
        </w:rPr>
        <w:t>and the</w:t>
      </w:r>
      <w:r>
        <w:rPr>
          <w:color w:val="000000" w:themeColor="text1"/>
          <w:szCs w:val="20"/>
        </w:rPr>
        <w:t xml:space="preserve"> </w:t>
      </w:r>
      <w:r w:rsidRPr="00326593">
        <w:rPr>
          <w:i/>
          <w:iCs/>
          <w:color w:val="000000" w:themeColor="text1"/>
          <w:szCs w:val="20"/>
        </w:rPr>
        <w:t>Do Not Call Register Act 2006</w:t>
      </w:r>
      <w:r>
        <w:rPr>
          <w:color w:val="000000" w:themeColor="text1"/>
          <w:szCs w:val="20"/>
        </w:rPr>
        <w:t>.</w:t>
      </w:r>
    </w:p>
    <w:p w14:paraId="0C550868" w14:textId="77777777" w:rsidR="007D5EE0" w:rsidRDefault="007D5EE0" w:rsidP="007D5EE0">
      <w:pPr>
        <w:pStyle w:val="Heading3"/>
      </w:pPr>
      <w:bookmarkStart w:id="12" w:name="_Toc98323731"/>
      <w:bookmarkEnd w:id="8"/>
      <w:bookmarkEnd w:id="9"/>
      <w:bookmarkEnd w:id="10"/>
      <w:bookmarkEnd w:id="11"/>
      <w:r>
        <w:t>Reporting and compliance</w:t>
      </w:r>
      <w:bookmarkEnd w:id="12"/>
      <w:r>
        <w:t xml:space="preserve"> </w:t>
      </w:r>
    </w:p>
    <w:p w14:paraId="35304377" w14:textId="77777777" w:rsidR="007D5EE0" w:rsidRPr="00B9083F" w:rsidRDefault="007D5EE0" w:rsidP="007D5EE0">
      <w:pPr>
        <w:rPr>
          <w:rFonts w:ascii="Arial" w:eastAsia="Times New Roman" w:hAnsi="Arial" w:cs="Arial"/>
          <w:sz w:val="20"/>
          <w:szCs w:val="24"/>
          <w:lang w:eastAsia="en-AU"/>
        </w:rPr>
      </w:pPr>
      <w:r w:rsidRPr="00B9083F">
        <w:rPr>
          <w:rFonts w:ascii="Arial" w:eastAsia="Times New Roman" w:hAnsi="Arial" w:cs="Arial"/>
          <w:sz w:val="20"/>
          <w:szCs w:val="24"/>
          <w:lang w:eastAsia="en-AU"/>
        </w:rPr>
        <w:t>Combating scams perpetrated through telecommunications networks is a government priority, and multiple government and law enforcement agencies have statutory roles and/or receive reports of scam activity. We have a role to play as the sectoral regulator of the telecommunications industry and e-marketing and telemarketing.</w:t>
      </w:r>
    </w:p>
    <w:p w14:paraId="1799033A" w14:textId="77777777" w:rsidR="007D5EE0" w:rsidRPr="00B9083F" w:rsidRDefault="007D5EE0" w:rsidP="007D5EE0">
      <w:pPr>
        <w:rPr>
          <w:rFonts w:ascii="Arial" w:eastAsia="Times New Roman" w:hAnsi="Arial" w:cs="Arial"/>
          <w:sz w:val="20"/>
          <w:szCs w:val="24"/>
          <w:lang w:eastAsia="en-AU"/>
        </w:rPr>
      </w:pPr>
      <w:r w:rsidRPr="00B9083F">
        <w:rPr>
          <w:rFonts w:ascii="Arial" w:eastAsia="Times New Roman" w:hAnsi="Arial" w:cs="Arial"/>
          <w:sz w:val="20"/>
          <w:szCs w:val="24"/>
          <w:lang w:eastAsia="en-AU"/>
        </w:rPr>
        <w:t>Other key agencies with relevant regulatory responsibilities (and which receive scam reports from consumers) include the Australian Competition and Consumer Commission (ACCC) as the Commonwealth competition and consumer regulator, the Australian Cyber Security Centre (ACSC) as the Australian Government lead on cyber security issues, and the Australian Federal Police (AFP) and other law enforcement agencies in relation to perpetrated scams.</w:t>
      </w:r>
    </w:p>
    <w:p w14:paraId="641D7720" w14:textId="77777777" w:rsidR="007D5EE0" w:rsidRPr="00784EA4" w:rsidRDefault="007D5EE0" w:rsidP="007D5EE0">
      <w:pPr>
        <w:pStyle w:val="Heading3"/>
      </w:pPr>
      <w:bookmarkStart w:id="13" w:name="_Toc98323732"/>
      <w:r>
        <w:t>Provision of telecommunications services</w:t>
      </w:r>
      <w:bookmarkEnd w:id="13"/>
    </w:p>
    <w:p w14:paraId="596FE329" w14:textId="77777777" w:rsidR="007D5EE0" w:rsidRDefault="007D5EE0" w:rsidP="007D5EE0">
      <w:pPr>
        <w:pStyle w:val="Paragraph"/>
      </w:pPr>
      <w:r w:rsidRPr="001115FC">
        <w:t xml:space="preserve">Under the </w:t>
      </w:r>
      <w:r>
        <w:t xml:space="preserve">Telecommunications </w:t>
      </w:r>
      <w:r w:rsidRPr="001115FC">
        <w:t xml:space="preserve">Act, </w:t>
      </w:r>
      <w:r>
        <w:t xml:space="preserve">2 </w:t>
      </w:r>
      <w:r w:rsidRPr="001115FC">
        <w:t xml:space="preserve">main types of organisations are involved in the provision of </w:t>
      </w:r>
      <w:r>
        <w:t xml:space="preserve">telecommunications </w:t>
      </w:r>
      <w:r w:rsidRPr="001115FC">
        <w:t>services to the public –</w:t>
      </w:r>
      <w:r>
        <w:t xml:space="preserve"> carriers and carriage service providers </w:t>
      </w:r>
      <w:r w:rsidRPr="00F72FAF">
        <w:t>(C/C</w:t>
      </w:r>
      <w:r>
        <w:t>SPs).</w:t>
      </w:r>
      <w:r w:rsidRPr="001115FC">
        <w:rPr>
          <w:vertAlign w:val="superscript"/>
        </w:rPr>
        <w:footnoteReference w:id="3"/>
      </w:r>
      <w:r>
        <w:t xml:space="preserve"> They</w:t>
      </w:r>
      <w:r w:rsidRPr="00272E83">
        <w:t xml:space="preserve"> play a frontline role in </w:t>
      </w:r>
      <w:r>
        <w:t xml:space="preserve">protecting their customers, keeping their networks secure and in </w:t>
      </w:r>
      <w:r w:rsidRPr="00272E83">
        <w:t xml:space="preserve">current </w:t>
      </w:r>
      <w:r>
        <w:t xml:space="preserve">phone scam </w:t>
      </w:r>
      <w:r w:rsidRPr="00272E83">
        <w:t xml:space="preserve">disruption </w:t>
      </w:r>
      <w:r>
        <w:t>activit</w:t>
      </w:r>
      <w:r w:rsidRPr="00272E83">
        <w:t>ies.</w:t>
      </w:r>
    </w:p>
    <w:p w14:paraId="346A823F" w14:textId="77777777" w:rsidR="007D5EE0" w:rsidRPr="00B87F8D" w:rsidRDefault="007D5EE0" w:rsidP="007D5EE0">
      <w:pPr>
        <w:pStyle w:val="Paragraph"/>
        <w:rPr>
          <w:szCs w:val="20"/>
        </w:rPr>
      </w:pPr>
      <w:r>
        <w:t>A carrier</w:t>
      </w:r>
      <w:r w:rsidRPr="001115FC">
        <w:t xml:space="preserve"> </w:t>
      </w:r>
      <w:r>
        <w:t>has</w:t>
      </w:r>
      <w:r w:rsidRPr="001115FC">
        <w:t xml:space="preserve"> complex infrastructure and systems. </w:t>
      </w:r>
      <w:r>
        <w:t>It</w:t>
      </w:r>
      <w:r w:rsidRPr="001115FC">
        <w:t xml:space="preserve"> own</w:t>
      </w:r>
      <w:r>
        <w:t>s</w:t>
      </w:r>
      <w:r w:rsidRPr="001115FC">
        <w:t xml:space="preserve"> network units that deliver </w:t>
      </w:r>
      <w:r w:rsidRPr="00B87F8D">
        <w:rPr>
          <w:szCs w:val="20"/>
        </w:rPr>
        <w:t xml:space="preserve">carriage services. Its facilities may include transmission infrastructure, cabling, wireless </w:t>
      </w:r>
      <w:proofErr w:type="gramStart"/>
      <w:r w:rsidRPr="00B87F8D">
        <w:rPr>
          <w:szCs w:val="20"/>
        </w:rPr>
        <w:t>networks</w:t>
      </w:r>
      <w:proofErr w:type="gramEnd"/>
      <w:r w:rsidRPr="00B87F8D">
        <w:rPr>
          <w:szCs w:val="20"/>
        </w:rPr>
        <w:t xml:space="preserve"> and satellite facilities. Carriers have a large customer base and high traffic volumes and operate international gateways that carry network traffic originating overseas and terminating in Australia.</w:t>
      </w:r>
      <w:r w:rsidRPr="00B87F8D">
        <w:rPr>
          <w:rStyle w:val="FootnoteReference"/>
          <w:szCs w:val="20"/>
        </w:rPr>
        <w:footnoteReference w:id="4"/>
      </w:r>
    </w:p>
    <w:p w14:paraId="7513895E" w14:textId="77777777" w:rsidR="007D5EE0" w:rsidRPr="00B87F8D" w:rsidRDefault="007D5EE0" w:rsidP="007D5EE0">
      <w:pPr>
        <w:pStyle w:val="Paragraph"/>
        <w:rPr>
          <w:szCs w:val="20"/>
        </w:rPr>
      </w:pPr>
      <w:r w:rsidRPr="00B87F8D">
        <w:rPr>
          <w:szCs w:val="20"/>
        </w:rPr>
        <w:t>A CSP does not own network units – it provides telecommunications services over network units that a licensed carrier owns. A CSP can include organisations that resell time on a carrier network for phone calls, provide access to the internet (internet service providers) and phone services over the internet (VoIP service providers).</w:t>
      </w:r>
      <w:r w:rsidRPr="00B87F8D">
        <w:rPr>
          <w:rStyle w:val="FootnoteReference"/>
          <w:szCs w:val="20"/>
        </w:rPr>
        <w:footnoteReference w:id="5"/>
      </w:r>
    </w:p>
    <w:p w14:paraId="0989DD3A" w14:textId="77777777" w:rsidR="007D5EE0" w:rsidRPr="00B87F8D" w:rsidRDefault="007D5EE0" w:rsidP="007D5EE0">
      <w:pPr>
        <w:pStyle w:val="Paragraph"/>
        <w:spacing w:before="120" w:after="120"/>
        <w:rPr>
          <w:szCs w:val="20"/>
        </w:rPr>
      </w:pPr>
      <w:r w:rsidRPr="00B87F8D">
        <w:rPr>
          <w:szCs w:val="20"/>
        </w:rPr>
        <w:t>Although not directly responsible for the harms and impacts caused by scammers, C/CSPs are responsible for the security of their networks and assisting to prevent the use of the services in the commission of an offence against the Commonwealth, state, or territory.</w:t>
      </w:r>
    </w:p>
    <w:p w14:paraId="08F8BA23" w14:textId="77777777" w:rsidR="007D5EE0" w:rsidRDefault="007D5EE0" w:rsidP="007D5EE0">
      <w:pPr>
        <w:pStyle w:val="Heading1"/>
      </w:pPr>
      <w:bookmarkStart w:id="14" w:name="_Toc55546897"/>
      <w:bookmarkStart w:id="15" w:name="_Toc98323733"/>
      <w:r>
        <w:t>What is the policy problem?</w:t>
      </w:r>
      <w:bookmarkEnd w:id="14"/>
      <w:bookmarkEnd w:id="15"/>
    </w:p>
    <w:p w14:paraId="49098FCE" w14:textId="77777777" w:rsidR="007D5EE0" w:rsidRDefault="007D5EE0" w:rsidP="007D5EE0">
      <w:pPr>
        <w:pStyle w:val="Paragraph"/>
      </w:pPr>
      <w:bookmarkStart w:id="16" w:name="_Toc55546898"/>
      <w:bookmarkStart w:id="17" w:name="_Toc32833686"/>
      <w:bookmarkStart w:id="18" w:name="_Toc32833741"/>
      <w:bookmarkStart w:id="19" w:name="_Toc32833814"/>
      <w:bookmarkStart w:id="20" w:name="_Toc33176369"/>
      <w:r w:rsidRPr="006A31F4">
        <w:t>Since the first recorded attempt at fraud as far back as the year 300 BC in Greece,</w:t>
      </w:r>
      <w:r w:rsidRPr="006A31F4">
        <w:rPr>
          <w:vertAlign w:val="superscript"/>
        </w:rPr>
        <w:footnoteReference w:id="6"/>
      </w:r>
      <w:r w:rsidRPr="006A31F4">
        <w:rPr>
          <w:vertAlign w:val="superscript"/>
        </w:rPr>
        <w:t xml:space="preserve"> </w:t>
      </w:r>
      <w:r w:rsidRPr="006A31F4">
        <w:t>the tactics and methods used by scammers ha</w:t>
      </w:r>
      <w:r>
        <w:t>ve</w:t>
      </w:r>
      <w:r w:rsidRPr="006A31F4">
        <w:t xml:space="preserve"> been constantly evolving.</w:t>
      </w:r>
      <w:r>
        <w:rPr>
          <w:rFonts w:ascii="RobotoCondensed-Regular" w:hAnsi="RobotoCondensed-Regular"/>
          <w:color w:val="333333"/>
          <w:sz w:val="27"/>
          <w:szCs w:val="27"/>
          <w:shd w:val="clear" w:color="auto" w:fill="FFFFFF"/>
        </w:rPr>
        <w:t xml:space="preserve"> </w:t>
      </w:r>
      <w:r>
        <w:t>Yet</w:t>
      </w:r>
      <w:r w:rsidRPr="006A31F4">
        <w:t xml:space="preserve"> </w:t>
      </w:r>
      <w:r>
        <w:t xml:space="preserve">the goal remains the same – to capture </w:t>
      </w:r>
      <w:r w:rsidRPr="0030227C">
        <w:t>personal and financial information because it is valuable.</w:t>
      </w:r>
    </w:p>
    <w:p w14:paraId="0EDEA96E" w14:textId="77777777" w:rsidR="007D5EE0" w:rsidRDefault="007D5EE0" w:rsidP="007D5EE0">
      <w:pPr>
        <w:pStyle w:val="Paragraph"/>
      </w:pPr>
      <w:r>
        <w:t>Scammers are criminals or bad actors who, in the telecommunications arena, often operate from offshore. They</w:t>
      </w:r>
      <w:r w:rsidRPr="007938A5">
        <w:t xml:space="preserve"> are </w:t>
      </w:r>
      <w:r>
        <w:t xml:space="preserve">determined and </w:t>
      </w:r>
      <w:r w:rsidRPr="007938A5">
        <w:t>technologically agile</w:t>
      </w:r>
      <w:r>
        <w:t xml:space="preserve"> – </w:t>
      </w:r>
      <w:r w:rsidRPr="007938A5">
        <w:t>quickly identi</w:t>
      </w:r>
      <w:r>
        <w:t>fying</w:t>
      </w:r>
      <w:r w:rsidRPr="007938A5">
        <w:t xml:space="preserve"> and exploit</w:t>
      </w:r>
      <w:r>
        <w:t>ing</w:t>
      </w:r>
      <w:r w:rsidRPr="007938A5">
        <w:t xml:space="preserve"> weaknesses</w:t>
      </w:r>
      <w:r>
        <w:t xml:space="preserve"> in systems and networks, and fraudulently gaining access to Australians’ lives and finances</w:t>
      </w:r>
      <w:r w:rsidRPr="007938A5">
        <w:t>.</w:t>
      </w:r>
    </w:p>
    <w:p w14:paraId="0F16A167" w14:textId="77777777" w:rsidR="007D5EE0" w:rsidRPr="006A31F4" w:rsidRDefault="007D5EE0" w:rsidP="007D5EE0">
      <w:pPr>
        <w:pStyle w:val="Paragraph"/>
      </w:pPr>
      <w:r>
        <w:t>While scams can be perpetrated in any number of contexts, the digital and telecommunications environments have provided attractive and generally low-cost, high-anonymity channels for scammers to use.</w:t>
      </w:r>
    </w:p>
    <w:p w14:paraId="723AA7FC" w14:textId="77777777" w:rsidR="007D5EE0" w:rsidRDefault="007D5EE0" w:rsidP="007D5EE0">
      <w:pPr>
        <w:pStyle w:val="Paragraph"/>
        <w:spacing w:before="120"/>
      </w:pPr>
      <w:r>
        <w:t xml:space="preserve">As COVID-19 has highlighted, more than ever, reliable communications and media services are critical to consumers, businesses, and governments. Telecommunications networks have kept Australians connected, particularly as social distancing, isolation, and quarantine arrangements disrupt usual ways of interacting. These critical networks have also been at the centre of Australia’s ability to move to home-based work, telehealth, and remote schooling arrangements while </w:t>
      </w:r>
      <w:r w:rsidRPr="00AC46FE">
        <w:t>continuing to support economic activity across the country.</w:t>
      </w:r>
      <w:r w:rsidRPr="00AC46FE">
        <w:rPr>
          <w:rStyle w:val="FootnoteReference"/>
        </w:rPr>
        <w:footnoteReference w:id="7"/>
      </w:r>
    </w:p>
    <w:p w14:paraId="4F4B57E5" w14:textId="77777777" w:rsidR="007D5EE0" w:rsidRDefault="007D5EE0" w:rsidP="007D5EE0">
      <w:pPr>
        <w:pStyle w:val="Paragraph"/>
      </w:pPr>
      <w:r w:rsidRPr="00AC46FE">
        <w:t xml:space="preserve">Mobile phones are an essential part of everyday life for most Australians – people use them to keep in touch with friends and family through voice calls, text messages, messaging applications and social media. </w:t>
      </w:r>
      <w:r w:rsidRPr="00AC46FE">
        <w:rPr>
          <w:szCs w:val="22"/>
        </w:rPr>
        <w:t xml:space="preserve">Mobile </w:t>
      </w:r>
      <w:r w:rsidRPr="00AC46FE">
        <w:t>phone numbers are frequently used as a means of authenticating a user for various types of accounts, including accounts with telecommunications carriers</w:t>
      </w:r>
      <w:r>
        <w:t xml:space="preserve"> and CSPs</w:t>
      </w:r>
      <w:r w:rsidRPr="00AC46FE">
        <w:t xml:space="preserve">, email and social media providers, </w:t>
      </w:r>
      <w:r>
        <w:t xml:space="preserve">banks and </w:t>
      </w:r>
      <w:r w:rsidRPr="00AC46FE">
        <w:t xml:space="preserve">financial institutions, </w:t>
      </w:r>
      <w:r>
        <w:t xml:space="preserve">government, and education </w:t>
      </w:r>
      <w:r w:rsidRPr="00AC46FE">
        <w:t>and retail websites.</w:t>
      </w:r>
      <w:r>
        <w:t xml:space="preserve"> In short, telephone numbers in connection with the supply of a telecommunications service are a fundamental enabler of our digital identities.</w:t>
      </w:r>
    </w:p>
    <w:p w14:paraId="1877D505" w14:textId="77777777" w:rsidR="007D5EE0" w:rsidRDefault="007D5EE0" w:rsidP="007D5EE0">
      <w:pPr>
        <w:pStyle w:val="Paragraph"/>
      </w:pPr>
      <w:r>
        <w:t>As</w:t>
      </w:r>
      <w:r w:rsidRPr="00AC46FE">
        <w:t xml:space="preserve"> many consumers </w:t>
      </w:r>
      <w:proofErr w:type="gramStart"/>
      <w:r w:rsidRPr="00AC46FE">
        <w:t>have their mobile phones with them at all times</w:t>
      </w:r>
      <w:proofErr w:type="gramEnd"/>
      <w:r w:rsidRPr="00AC46FE">
        <w:t xml:space="preserve">, text message-based </w:t>
      </w:r>
      <w:r>
        <w:t>2</w:t>
      </w:r>
      <w:r w:rsidRPr="00AC46FE">
        <w:t xml:space="preserve">-factor authentication can be </w:t>
      </w:r>
      <w:r>
        <w:t>an</w:t>
      </w:r>
      <w:r w:rsidRPr="00AC46FE">
        <w:t xml:space="preserve"> </w:t>
      </w:r>
      <w:r>
        <w:t xml:space="preserve">efficient and </w:t>
      </w:r>
      <w:r w:rsidRPr="00AC46FE">
        <w:t>convenient</w:t>
      </w:r>
      <w:r>
        <w:t xml:space="preserve"> measure to confirm a person identity prior to any number of transactions across sectors</w:t>
      </w:r>
      <w:r w:rsidRPr="00AC46FE">
        <w:t>.</w:t>
      </w:r>
      <w:r>
        <w:t xml:space="preserve"> This </w:t>
      </w:r>
      <w:r w:rsidRPr="00AC46FE">
        <w:t xml:space="preserve">authentication </w:t>
      </w:r>
      <w:r>
        <w:t xml:space="preserve">method, however, </w:t>
      </w:r>
      <w:r w:rsidRPr="00AC46FE">
        <w:t xml:space="preserve">relies upon a customer’s control of their device and phone number, which is typically achieved through </w:t>
      </w:r>
      <w:r>
        <w:t>a</w:t>
      </w:r>
      <w:r w:rsidRPr="00AC46FE">
        <w:t xml:space="preserve"> SI</w:t>
      </w:r>
      <w:r>
        <w:t>M</w:t>
      </w:r>
      <w:r w:rsidRPr="00AC46FE">
        <w:t>. Phone calls and text messages are routed to the device that has the SIM associated with the relevant phone number</w:t>
      </w:r>
      <w:r>
        <w:t xml:space="preserve"> and service</w:t>
      </w:r>
      <w:r w:rsidRPr="00AC46FE">
        <w:t>.</w:t>
      </w:r>
    </w:p>
    <w:p w14:paraId="4833D8B6" w14:textId="77777777" w:rsidR="007D5EE0" w:rsidRDefault="007D5EE0" w:rsidP="007D5EE0">
      <w:pPr>
        <w:pStyle w:val="Paragraph"/>
      </w:pPr>
      <w:r w:rsidRPr="000F356F">
        <w:t xml:space="preserve">The use of mobile phones for </w:t>
      </w:r>
      <w:r>
        <w:t>2-</w:t>
      </w:r>
      <w:r w:rsidRPr="000F356F">
        <w:t xml:space="preserve">factor authentication means </w:t>
      </w:r>
      <w:r w:rsidRPr="00D32A86">
        <w:t>scammers</w:t>
      </w:r>
      <w:r w:rsidRPr="000F356F">
        <w:t xml:space="preserve"> </w:t>
      </w:r>
      <w:r>
        <w:t xml:space="preserve">target telecommunications providers’ customer accounts. Scammers </w:t>
      </w:r>
      <w:r w:rsidRPr="000F356F">
        <w:t xml:space="preserve">can use </w:t>
      </w:r>
      <w:r>
        <w:t xml:space="preserve">an illegitimately obtained phone </w:t>
      </w:r>
      <w:r w:rsidRPr="000F356F">
        <w:t xml:space="preserve">number </w:t>
      </w:r>
      <w:r>
        <w:t xml:space="preserve">(or service) </w:t>
      </w:r>
      <w:r w:rsidRPr="000F356F">
        <w:t xml:space="preserve">to </w:t>
      </w:r>
      <w:r>
        <w:t xml:space="preserve">gain </w:t>
      </w:r>
      <w:r w:rsidRPr="000F356F">
        <w:t xml:space="preserve">access </w:t>
      </w:r>
      <w:r>
        <w:t xml:space="preserve">to </w:t>
      </w:r>
      <w:r w:rsidRPr="000F356F">
        <w:t xml:space="preserve">bank accounts, social media, </w:t>
      </w:r>
      <w:r>
        <w:t xml:space="preserve">online businesses, </w:t>
      </w:r>
      <w:r w:rsidRPr="000F356F">
        <w:t xml:space="preserve">government services such as </w:t>
      </w:r>
      <w:proofErr w:type="spellStart"/>
      <w:r>
        <w:t>m</w:t>
      </w:r>
      <w:r w:rsidRPr="000F356F">
        <w:t>yGov</w:t>
      </w:r>
      <w:proofErr w:type="spellEnd"/>
      <w:r w:rsidRPr="000F356F">
        <w:t xml:space="preserve"> and any other account which uses the phone as a secondary security check</w:t>
      </w:r>
      <w:r>
        <w:t>.</w:t>
      </w:r>
    </w:p>
    <w:p w14:paraId="080DAB4B" w14:textId="77777777" w:rsidR="007D5EE0" w:rsidRDefault="007D5EE0" w:rsidP="007D5EE0">
      <w:pPr>
        <w:pStyle w:val="Paragraph"/>
      </w:pPr>
      <w:r w:rsidRPr="00AC46FE">
        <w:t xml:space="preserve">If a </w:t>
      </w:r>
      <w:r>
        <w:t>scammer</w:t>
      </w:r>
      <w:r w:rsidRPr="00AC46FE">
        <w:t xml:space="preserve"> can </w:t>
      </w:r>
      <w:r>
        <w:t>receive</w:t>
      </w:r>
      <w:r w:rsidRPr="00AC46FE">
        <w:t xml:space="preserve"> text messages</w:t>
      </w:r>
      <w:r>
        <w:t xml:space="preserve"> after gaining unauthorised control of a number or service</w:t>
      </w:r>
      <w:r w:rsidRPr="00AC46FE">
        <w:t xml:space="preserve">, they can steal identities, </w:t>
      </w:r>
      <w:r>
        <w:t>obtain financial benefit,</w:t>
      </w:r>
      <w:r w:rsidRPr="00AC46FE">
        <w:t xml:space="preserve"> and</w:t>
      </w:r>
      <w:r>
        <w:t>/or fraudulently</w:t>
      </w:r>
      <w:r w:rsidRPr="00AC46FE">
        <w:t xml:space="preserve"> take control of Australians’ digital lives.</w:t>
      </w:r>
    </w:p>
    <w:p w14:paraId="0F710250" w14:textId="77777777" w:rsidR="007D5EE0" w:rsidRDefault="007D5EE0" w:rsidP="007D5EE0">
      <w:pPr>
        <w:pStyle w:val="Heading2"/>
      </w:pPr>
      <w:bookmarkStart w:id="21" w:name="_Toc98323734"/>
      <w:r>
        <w:t>Scammers perpetrate fraud</w:t>
      </w:r>
      <w:bookmarkEnd w:id="21"/>
    </w:p>
    <w:p w14:paraId="7D727506" w14:textId="77777777" w:rsidR="007D5EE0" w:rsidRPr="00057FF0" w:rsidRDefault="007D5EE0" w:rsidP="007D5EE0">
      <w:pPr>
        <w:pStyle w:val="Paragraph"/>
        <w:rPr>
          <w:vertAlign w:val="superscript"/>
        </w:rPr>
      </w:pPr>
      <w:r w:rsidRPr="005E6089">
        <w:t xml:space="preserve">Fraud can be defined as ‘dishonestly obtaining a benefit, or causing a loss, by deception or other </w:t>
      </w:r>
      <w:proofErr w:type="gramStart"/>
      <w:r w:rsidRPr="005E6089">
        <w:t>means’</w:t>
      </w:r>
      <w:proofErr w:type="gramEnd"/>
      <w:r w:rsidRPr="005E6089">
        <w:t xml:space="preserve">. In this definition, </w:t>
      </w:r>
      <w:r>
        <w:t>‘</w:t>
      </w:r>
      <w:r w:rsidRPr="005E6089">
        <w:t>benefit</w:t>
      </w:r>
      <w:r>
        <w:t>’</w:t>
      </w:r>
      <w:r w:rsidRPr="005E6089">
        <w:t xml:space="preserve"> refers both to tangible items, such as money or objects, and intangible benefits including power, status</w:t>
      </w:r>
      <w:r>
        <w:t>,</w:t>
      </w:r>
      <w:r w:rsidRPr="005E6089">
        <w:t xml:space="preserve"> or information</w:t>
      </w:r>
      <w:r>
        <w:t>.</w:t>
      </w:r>
      <w:r w:rsidRPr="00057FF0">
        <w:rPr>
          <w:vertAlign w:val="superscript"/>
        </w:rPr>
        <w:footnoteReference w:id="8"/>
      </w:r>
    </w:p>
    <w:p w14:paraId="2B006FB3" w14:textId="77777777" w:rsidR="007D5EE0" w:rsidRDefault="007D5EE0" w:rsidP="007D5EE0">
      <w:pPr>
        <w:pStyle w:val="Paragraph"/>
      </w:pPr>
      <w:r>
        <w:rPr>
          <w:shd w:val="clear" w:color="auto" w:fill="FFFFFF"/>
        </w:rPr>
        <w:t>The impact of fraud goes well beyond financial loss. Fraud impacts people, industries, entities, services, and the environment. Understanding the total impact of fraud allows entities to make better informed decisions. Serious impacts can arise from any type of fraud, whether it’s carried out by opportunistic individuals or serious and organised criminal groups. However, serious, and organised crime can often increase the scale and impacts of fraud.</w:t>
      </w:r>
    </w:p>
    <w:p w14:paraId="4AC9FE11" w14:textId="77777777" w:rsidR="007D5EE0" w:rsidRDefault="007D5EE0" w:rsidP="007D5EE0">
      <w:pPr>
        <w:pStyle w:val="Paragraph"/>
        <w:rPr>
          <w:shd w:val="clear" w:color="auto" w:fill="FFFFFF"/>
        </w:rPr>
      </w:pPr>
      <w:r>
        <w:t xml:space="preserve">Fraud </w:t>
      </w:r>
      <w:r w:rsidRPr="003C0F78">
        <w:t>can be categorised by type or by the industry in which it occurs</w:t>
      </w:r>
      <w:r>
        <w:t>,</w:t>
      </w:r>
      <w:r w:rsidRPr="003C0F78">
        <w:t xml:space="preserve"> includ</w:t>
      </w:r>
      <w:r>
        <w:t>ing</w:t>
      </w:r>
      <w:r w:rsidRPr="003C0F78">
        <w:t xml:space="preserve"> superannuation fraud, serious and organised investment fraud, mass marketed fraud, revenue and taxation fra</w:t>
      </w:r>
      <w:r>
        <w:t>u</w:t>
      </w:r>
      <w:r w:rsidRPr="003C0F78">
        <w:t>d, financial market fraud, card fraud and identity fraud</w:t>
      </w:r>
      <w:r>
        <w:t xml:space="preserve"> (discussed next section)</w:t>
      </w:r>
      <w:r w:rsidRPr="003C0F78">
        <w:t>.</w:t>
      </w:r>
    </w:p>
    <w:p w14:paraId="4224BC6D" w14:textId="77777777" w:rsidR="007D5EE0" w:rsidRPr="00164D39" w:rsidRDefault="007D5EE0" w:rsidP="007D5EE0">
      <w:pPr>
        <w:pStyle w:val="Heading3"/>
      </w:pPr>
      <w:bookmarkStart w:id="22" w:name="_Toc98323735"/>
      <w:r>
        <w:t>Identity crime</w:t>
      </w:r>
      <w:bookmarkEnd w:id="22"/>
    </w:p>
    <w:p w14:paraId="165D6ACE" w14:textId="77777777" w:rsidR="007D5EE0" w:rsidRDefault="007D5EE0" w:rsidP="007D5EE0">
      <w:pPr>
        <w:pStyle w:val="Paragraph"/>
      </w:pPr>
      <w:r w:rsidRPr="00072E83">
        <w:t>Identity</w:t>
      </w:r>
      <w:r>
        <w:t xml:space="preserve"> crime </w:t>
      </w:r>
      <w:r w:rsidRPr="00072E83">
        <w:t>continues to be one of the most common crimes in Australia</w:t>
      </w:r>
      <w:r>
        <w:t xml:space="preserve">. </w:t>
      </w:r>
      <w:r w:rsidRPr="00072E83">
        <w:t>According to the Australian Institute of Criminology</w:t>
      </w:r>
      <w:r>
        <w:t xml:space="preserve"> (AIC)</w:t>
      </w:r>
      <w:r w:rsidRPr="00072E83">
        <w:t>, the annual economic impact of</w:t>
      </w:r>
      <w:r>
        <w:t xml:space="preserve"> </w:t>
      </w:r>
      <w:hyperlink r:id="rId38" w:tgtFrame="_blank" w:history="1">
        <w:r w:rsidRPr="00A55FCA">
          <w:t>identity crime</w:t>
        </w:r>
      </w:hyperlink>
      <w:r>
        <w:t xml:space="preserve"> </w:t>
      </w:r>
      <w:r w:rsidRPr="006B2956">
        <w:t>exceeds $2</w:t>
      </w:r>
      <w:r>
        <w:t xml:space="preserve"> </w:t>
      </w:r>
      <w:r w:rsidRPr="006B2956">
        <w:t>billion</w:t>
      </w:r>
      <w:r>
        <w:t>.</w:t>
      </w:r>
      <w:r w:rsidRPr="00072E83">
        <w:rPr>
          <w:rStyle w:val="FootnoteReference"/>
          <w:szCs w:val="20"/>
        </w:rPr>
        <w:footnoteReference w:id="9"/>
      </w:r>
    </w:p>
    <w:p w14:paraId="18D72613" w14:textId="77777777" w:rsidR="007D5EE0" w:rsidRPr="003C0F78" w:rsidRDefault="007D5EE0" w:rsidP="007D5EE0">
      <w:pPr>
        <w:pStyle w:val="Paragraphbeforelist"/>
      </w:pPr>
      <w:r w:rsidRPr="003C0F78">
        <w:t>Identity crime can take many forms, including:</w:t>
      </w:r>
    </w:p>
    <w:p w14:paraId="10DC5416" w14:textId="77777777" w:rsidR="007D5EE0" w:rsidRPr="00687927" w:rsidRDefault="007D5EE0" w:rsidP="007D5EE0">
      <w:pPr>
        <w:pStyle w:val="ListBullet"/>
        <w:rPr>
          <w:rFonts w:eastAsiaTheme="minorHAnsi"/>
          <w:lang w:eastAsia="en-US"/>
        </w:rPr>
      </w:pPr>
      <w:r w:rsidRPr="00687927">
        <w:rPr>
          <w:rFonts w:eastAsiaTheme="minorHAnsi"/>
          <w:lang w:eastAsia="en-US"/>
        </w:rPr>
        <w:t>the theft of personal identity information and related financial information</w:t>
      </w:r>
    </w:p>
    <w:p w14:paraId="6F9297C5" w14:textId="77777777" w:rsidR="007D5EE0" w:rsidRPr="00B50FF1" w:rsidRDefault="007D5EE0" w:rsidP="007D5EE0">
      <w:pPr>
        <w:pStyle w:val="ListBullet"/>
      </w:pPr>
      <w:r w:rsidRPr="00B50FF1">
        <w:rPr>
          <w:rFonts w:eastAsiaTheme="minorHAnsi"/>
          <w:lang w:eastAsia="en-US"/>
        </w:rPr>
        <w:t>assuming another person’s identity for fraudulent purposes</w:t>
      </w:r>
    </w:p>
    <w:p w14:paraId="65D56137" w14:textId="77777777" w:rsidR="007D5EE0" w:rsidRDefault="007D5EE0" w:rsidP="007D5EE0">
      <w:pPr>
        <w:pStyle w:val="ListBulletLast"/>
        <w:numPr>
          <w:ilvl w:val="0"/>
          <w:numId w:val="4"/>
        </w:numPr>
      </w:pPr>
      <w:r w:rsidRPr="000239A9">
        <w:rPr>
          <w:rFonts w:eastAsiaTheme="minorHAnsi"/>
          <w:lang w:eastAsia="en-US"/>
        </w:rPr>
        <w:t>producing false identities and financial documents to enable other crimes.</w:t>
      </w:r>
    </w:p>
    <w:p w14:paraId="45FF768A" w14:textId="77777777" w:rsidR="007D5EE0" w:rsidRPr="003C0F78" w:rsidRDefault="007D5EE0" w:rsidP="007D5EE0">
      <w:pPr>
        <w:pStyle w:val="Paragraphbeforelist"/>
      </w:pPr>
      <w:r w:rsidRPr="00CA2F99">
        <w:t xml:space="preserve">Identity crime is </w:t>
      </w:r>
      <w:r>
        <w:t xml:space="preserve">also </w:t>
      </w:r>
      <w:r w:rsidRPr="00CA2F99">
        <w:t>a key enabler of serious and organised crime.</w:t>
      </w:r>
      <w:r w:rsidRPr="000F744B">
        <w:t xml:space="preserve"> </w:t>
      </w:r>
      <w:r w:rsidRPr="00C2163C">
        <w:t xml:space="preserve">Fraudulent identities may be used for </w:t>
      </w:r>
      <w:r>
        <w:rPr>
          <w:rFonts w:eastAsiaTheme="minorHAnsi"/>
          <w:lang w:eastAsia="en-US"/>
        </w:rPr>
        <w:t xml:space="preserve">removing funds from bank accounts, </w:t>
      </w:r>
      <w:r w:rsidRPr="00C2163C">
        <w:t>money laundering, tax</w:t>
      </w:r>
      <w:r>
        <w:t> </w:t>
      </w:r>
      <w:r w:rsidRPr="00C2163C">
        <w:t>evasion, dealing in stolen motor vehicles, or to protect the true identities of organised crime members</w:t>
      </w:r>
      <w:r>
        <w:t xml:space="preserve"> and</w:t>
      </w:r>
      <w:r w:rsidRPr="00687927">
        <w:rPr>
          <w:rFonts w:eastAsiaTheme="minorHAnsi"/>
          <w:lang w:eastAsia="en-US"/>
        </w:rPr>
        <w:t xml:space="preserve"> travel without being identified or traced by law enforcement agencies.</w:t>
      </w:r>
      <w:r>
        <w:rPr>
          <w:rStyle w:val="FootnoteReference"/>
        </w:rPr>
        <w:footnoteReference w:id="10"/>
      </w:r>
    </w:p>
    <w:p w14:paraId="747353C3" w14:textId="77777777" w:rsidR="007D5EE0" w:rsidRDefault="007D5EE0" w:rsidP="007D5EE0">
      <w:pPr>
        <w:pStyle w:val="Paragraph"/>
        <w:spacing w:before="240"/>
      </w:pPr>
      <w:r w:rsidRPr="00C2163C">
        <w:t xml:space="preserve">In addition to facilitating the commission of other offences, organised crime groups may also sell stolen identity information to other criminal networks. When a person has their identity stolen, they may experience repeated victimisation. In this way, </w:t>
      </w:r>
      <w:r w:rsidRPr="000B2662">
        <w:t xml:space="preserve">organised crime groups can use fraudulent identities to cause considerable </w:t>
      </w:r>
      <w:r>
        <w:t xml:space="preserve">additional </w:t>
      </w:r>
      <w:r w:rsidRPr="000B2662">
        <w:t>financial</w:t>
      </w:r>
      <w:r>
        <w:t> </w:t>
      </w:r>
      <w:r w:rsidRPr="000B2662">
        <w:t>loss.</w:t>
      </w:r>
    </w:p>
    <w:p w14:paraId="0761528F" w14:textId="77777777" w:rsidR="007D5EE0" w:rsidRDefault="007D5EE0" w:rsidP="007D5EE0">
      <w:pPr>
        <w:pStyle w:val="ListBullet"/>
        <w:numPr>
          <w:ilvl w:val="0"/>
          <w:numId w:val="0"/>
        </w:numPr>
      </w:pPr>
      <w:r>
        <w:t xml:space="preserve">The indirect cost of identity crime in 2018–19 was estimated to add a further $1 billion, bringing the total </w:t>
      </w:r>
      <w:r w:rsidRPr="007A6C43">
        <w:t>economic impact of identity crime in Australia for 2018–19 to approximately $3.1 billion.</w:t>
      </w:r>
      <w:r w:rsidRPr="007A6C43">
        <w:rPr>
          <w:vertAlign w:val="superscript"/>
        </w:rPr>
        <w:footnoteReference w:id="11"/>
      </w:r>
    </w:p>
    <w:p w14:paraId="3BA8EF06" w14:textId="77777777" w:rsidR="007D5EE0" w:rsidRDefault="007D5EE0" w:rsidP="007D5EE0">
      <w:pPr>
        <w:pStyle w:val="ListBullet"/>
        <w:numPr>
          <w:ilvl w:val="0"/>
          <w:numId w:val="0"/>
        </w:numPr>
      </w:pPr>
    </w:p>
    <w:p w14:paraId="5AE6800F" w14:textId="77777777" w:rsidR="007D5EE0" w:rsidRDefault="007D5EE0" w:rsidP="007D5EE0">
      <w:pPr>
        <w:pStyle w:val="ListBullet"/>
        <w:numPr>
          <w:ilvl w:val="0"/>
          <w:numId w:val="0"/>
        </w:numPr>
      </w:pPr>
    </w:p>
    <w:p w14:paraId="57CBB935" w14:textId="77777777" w:rsidR="007D5EE0" w:rsidRDefault="007D5EE0" w:rsidP="007D5EE0">
      <w:pPr>
        <w:pStyle w:val="ListBullet"/>
        <w:numPr>
          <w:ilvl w:val="0"/>
          <w:numId w:val="0"/>
        </w:numPr>
      </w:pPr>
    </w:p>
    <w:p w14:paraId="3D8D0676" w14:textId="77777777" w:rsidR="007D5EE0" w:rsidRPr="000834C7" w:rsidRDefault="007D5EE0" w:rsidP="007D5EE0">
      <w:pPr>
        <w:pStyle w:val="ListBullet"/>
        <w:numPr>
          <w:ilvl w:val="0"/>
          <w:numId w:val="0"/>
        </w:numPr>
      </w:pPr>
    </w:p>
    <w:p w14:paraId="663DBF65" w14:textId="77777777" w:rsidR="007D5EE0" w:rsidRDefault="007D5EE0" w:rsidP="007D5EE0">
      <w:pPr>
        <w:pStyle w:val="Heading4"/>
        <w:keepNext/>
        <w:keepLines/>
        <w:spacing w:before="0" w:after="60"/>
      </w:pPr>
      <w:r>
        <w:t>Impact of identity crime on victims</w:t>
      </w:r>
    </w:p>
    <w:p w14:paraId="69E4806C" w14:textId="77777777" w:rsidR="007D5EE0" w:rsidRPr="009066E4" w:rsidRDefault="007D5EE0" w:rsidP="007D5EE0">
      <w:pPr>
        <w:pStyle w:val="Paragraph"/>
        <w:spacing w:before="240"/>
        <w:rPr>
          <w:color w:val="7C426F"/>
        </w:rPr>
      </w:pPr>
      <w:r w:rsidRPr="009066E4">
        <w:rPr>
          <w:noProof/>
          <w:color w:val="7C426F"/>
        </w:rPr>
        <w:drawing>
          <wp:anchor distT="0" distB="0" distL="114300" distR="114300" simplePos="0" relativeHeight="251659264" behindDoc="0" locked="0" layoutInCell="1" allowOverlap="1" wp14:anchorId="63028F62" wp14:editId="74438761">
            <wp:simplePos x="0" y="0"/>
            <wp:positionH relativeFrom="margin">
              <wp:align>left</wp:align>
            </wp:positionH>
            <wp:positionV relativeFrom="paragraph">
              <wp:posOffset>59738</wp:posOffset>
            </wp:positionV>
            <wp:extent cx="457200" cy="457200"/>
            <wp:effectExtent l="0" t="0" r="0" b="0"/>
            <wp:wrapSquare wrapText="bothSides"/>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457200" cy="457200"/>
                    </a:xfrm>
                    <a:prstGeom prst="rect">
                      <a:avLst/>
                    </a:prstGeom>
                  </pic:spPr>
                </pic:pic>
              </a:graphicData>
            </a:graphic>
          </wp:anchor>
        </w:drawing>
      </w:r>
      <w:r w:rsidRPr="009066E4">
        <w:rPr>
          <w:color w:val="7C426F"/>
        </w:rPr>
        <w:t>A survey by the AIC found that 1 in 4 Australians have been a victim of identity crime at some point in their lives.</w:t>
      </w:r>
    </w:p>
    <w:p w14:paraId="7E1F9D4D"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 xml:space="preserve">In 2020, </w:t>
      </w:r>
      <w:proofErr w:type="spellStart"/>
      <w:r w:rsidRPr="00B9083F">
        <w:rPr>
          <w:rFonts w:ascii="Arial" w:eastAsia="Times New Roman" w:hAnsi="Arial" w:cs="Arial"/>
          <w:sz w:val="20"/>
          <w:szCs w:val="24"/>
          <w:lang w:eastAsia="en-AU"/>
        </w:rPr>
        <w:t>Scamwatch</w:t>
      </w:r>
      <w:proofErr w:type="spellEnd"/>
      <w:r w:rsidRPr="00B9083F">
        <w:rPr>
          <w:rFonts w:ascii="Arial" w:eastAsia="Times New Roman" w:hAnsi="Arial" w:cs="Arial"/>
          <w:sz w:val="20"/>
          <w:szCs w:val="24"/>
          <w:lang w:eastAsia="en-AU"/>
        </w:rPr>
        <w:t xml:space="preserve"> reported that 25% of all scam reports involved the loss of personal information – up from 16% in 2019. The increasing value of personal information at a time when face-to-face interactions were not possible was a significant driver of scam activity in 2020.</w:t>
      </w:r>
      <w:r w:rsidRPr="00CA4723">
        <w:rPr>
          <w:rFonts w:ascii="Arial" w:eastAsia="Times New Roman" w:hAnsi="Arial" w:cs="Arial"/>
          <w:sz w:val="20"/>
          <w:szCs w:val="24"/>
          <w:vertAlign w:val="superscript"/>
          <w:lang w:eastAsia="en-AU"/>
        </w:rPr>
        <w:footnoteReference w:id="12"/>
      </w:r>
    </w:p>
    <w:p w14:paraId="1DE28CA9"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The true impact remains unknown as losses are almost certainly under-reported because many are embarrassed by falling victim to scams.</w:t>
      </w:r>
    </w:p>
    <w:p w14:paraId="173AE246" w14:textId="77777777" w:rsidR="007D5EE0" w:rsidRPr="003A1862" w:rsidRDefault="007D5EE0" w:rsidP="007D5EE0">
      <w:pPr>
        <w:spacing w:before="120"/>
        <w:rPr>
          <w:rFonts w:ascii="Arial" w:hAnsi="Arial" w:cs="Arial"/>
          <w:color w:val="7C426F"/>
          <w:sz w:val="20"/>
          <w:szCs w:val="20"/>
        </w:rPr>
      </w:pPr>
      <w:r w:rsidRPr="003A1862">
        <w:rPr>
          <w:rFonts w:ascii="Arial" w:hAnsi="Arial" w:cs="Arial"/>
          <w:noProof/>
          <w:color w:val="000000" w:themeColor="text1"/>
          <w:sz w:val="20"/>
          <w:szCs w:val="20"/>
        </w:rPr>
        <w:drawing>
          <wp:anchor distT="0" distB="0" distL="114300" distR="114300" simplePos="0" relativeHeight="251660288" behindDoc="0" locked="0" layoutInCell="1" allowOverlap="1" wp14:anchorId="5DAD79D7" wp14:editId="632812A2">
            <wp:simplePos x="0" y="0"/>
            <wp:positionH relativeFrom="margin">
              <wp:align>left</wp:align>
            </wp:positionH>
            <wp:positionV relativeFrom="paragraph">
              <wp:posOffset>10884</wp:posOffset>
            </wp:positionV>
            <wp:extent cx="457200" cy="457200"/>
            <wp:effectExtent l="0" t="0" r="0" b="0"/>
            <wp:wrapSquare wrapText="bothSides"/>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457200" cy="457200"/>
                    </a:xfrm>
                    <a:prstGeom prst="rect">
                      <a:avLst/>
                    </a:prstGeom>
                  </pic:spPr>
                </pic:pic>
              </a:graphicData>
            </a:graphic>
          </wp:anchor>
        </w:drawing>
      </w:r>
      <w:hyperlink r:id="rId41" w:history="1">
        <w:proofErr w:type="spellStart"/>
        <w:r w:rsidRPr="003A1862">
          <w:rPr>
            <w:rFonts w:ascii="Arial" w:hAnsi="Arial" w:cs="Arial"/>
            <w:color w:val="7C426F"/>
            <w:sz w:val="20"/>
            <w:szCs w:val="20"/>
          </w:rPr>
          <w:t>Scamwatch</w:t>
        </w:r>
        <w:proofErr w:type="spellEnd"/>
      </w:hyperlink>
      <w:r w:rsidRPr="003A1862">
        <w:rPr>
          <w:rFonts w:ascii="Arial" w:hAnsi="Arial" w:cs="Arial"/>
          <w:color w:val="7C426F"/>
          <w:sz w:val="20"/>
          <w:szCs w:val="20"/>
        </w:rPr>
        <w:t xml:space="preserve"> is the primary government website used by Australians to report scams, and it is estimated only around 13% of all victims of scams will make a report to </w:t>
      </w:r>
      <w:proofErr w:type="spellStart"/>
      <w:r w:rsidRPr="003A1862">
        <w:rPr>
          <w:rFonts w:ascii="Arial" w:hAnsi="Arial" w:cs="Arial"/>
          <w:color w:val="7C426F"/>
          <w:sz w:val="20"/>
          <w:szCs w:val="20"/>
        </w:rPr>
        <w:t>Scamwatch</w:t>
      </w:r>
      <w:proofErr w:type="spellEnd"/>
      <w:r w:rsidRPr="003A1862">
        <w:rPr>
          <w:rFonts w:ascii="Arial" w:hAnsi="Arial" w:cs="Arial"/>
          <w:color w:val="7C426F"/>
          <w:sz w:val="20"/>
          <w:szCs w:val="20"/>
        </w:rPr>
        <w:t>.</w:t>
      </w:r>
      <w:r w:rsidRPr="003A1862">
        <w:rPr>
          <w:rFonts w:ascii="Arial" w:hAnsi="Arial" w:cs="Arial"/>
          <w:color w:val="7C426F"/>
          <w:sz w:val="20"/>
          <w:szCs w:val="20"/>
          <w:vertAlign w:val="superscript"/>
        </w:rPr>
        <w:footnoteReference w:id="13"/>
      </w:r>
    </w:p>
    <w:p w14:paraId="490757B8"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Victims may report their experiences in many ways – from discussing what occurred with family and friends, through to reporting to consumer protection agencies, businesses, and/or reporting to police and other government regulators.</w:t>
      </w:r>
    </w:p>
    <w:p w14:paraId="39BD01D7"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 xml:space="preserve">Identity crime continues to affect </w:t>
      </w:r>
      <w:proofErr w:type="gramStart"/>
      <w:r w:rsidRPr="00B9083F">
        <w:rPr>
          <w:rFonts w:ascii="Arial" w:eastAsia="Times New Roman" w:hAnsi="Arial" w:cs="Arial"/>
          <w:sz w:val="20"/>
          <w:szCs w:val="24"/>
          <w:lang w:eastAsia="en-AU"/>
        </w:rPr>
        <w:t>a large number of</w:t>
      </w:r>
      <w:proofErr w:type="gramEnd"/>
      <w:r w:rsidRPr="00B9083F">
        <w:rPr>
          <w:rFonts w:ascii="Arial" w:eastAsia="Times New Roman" w:hAnsi="Arial" w:cs="Arial"/>
          <w:sz w:val="20"/>
          <w:szCs w:val="24"/>
          <w:lang w:eastAsia="en-AU"/>
        </w:rPr>
        <w:t xml:space="preserve"> Australians, as well as businesses and government agencies. Victims of fraud also suffer very real emotional distress and trauma. These impacts can be severe and long-term as people try to recover what is often, and increasingly, an integral part of their digital identities.</w:t>
      </w:r>
    </w:p>
    <w:p w14:paraId="22FC6056"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 xml:space="preserve">Victims may report to one or </w:t>
      </w:r>
      <w:proofErr w:type="gramStart"/>
      <w:r w:rsidRPr="00B9083F">
        <w:rPr>
          <w:rFonts w:ascii="Arial" w:eastAsia="Times New Roman" w:hAnsi="Arial" w:cs="Arial"/>
          <w:sz w:val="20"/>
          <w:szCs w:val="24"/>
          <w:lang w:eastAsia="en-AU"/>
        </w:rPr>
        <w:t>all of</w:t>
      </w:r>
      <w:proofErr w:type="gramEnd"/>
      <w:r w:rsidRPr="00B9083F">
        <w:rPr>
          <w:rFonts w:ascii="Arial" w:eastAsia="Times New Roman" w:hAnsi="Arial" w:cs="Arial"/>
          <w:sz w:val="20"/>
          <w:szCs w:val="24"/>
          <w:lang w:eastAsia="en-AU"/>
        </w:rPr>
        <w:t xml:space="preserve"> the government or consumer agencies that take reports – such as the ACMA, ACCC, Telecommunications Industry Ombudsman (TIO), IDCARE</w:t>
      </w:r>
      <w:r w:rsidRPr="00EE20B0">
        <w:rPr>
          <w:rFonts w:ascii="Arial" w:eastAsia="Times New Roman" w:hAnsi="Arial" w:cs="Arial"/>
          <w:sz w:val="20"/>
          <w:szCs w:val="24"/>
          <w:vertAlign w:val="superscript"/>
          <w:lang w:eastAsia="en-AU"/>
        </w:rPr>
        <w:footnoteReference w:id="14"/>
      </w:r>
      <w:r w:rsidRPr="00EE20B0">
        <w:rPr>
          <w:rFonts w:ascii="Arial" w:eastAsia="Times New Roman" w:hAnsi="Arial" w:cs="Arial"/>
          <w:sz w:val="20"/>
          <w:szCs w:val="24"/>
          <w:vertAlign w:val="superscript"/>
          <w:lang w:eastAsia="en-AU"/>
        </w:rPr>
        <w:t xml:space="preserve"> </w:t>
      </w:r>
      <w:r w:rsidRPr="00B9083F">
        <w:rPr>
          <w:rFonts w:ascii="Arial" w:eastAsia="Times New Roman" w:hAnsi="Arial" w:cs="Arial"/>
          <w:sz w:val="20"/>
          <w:szCs w:val="24"/>
          <w:lang w:eastAsia="en-AU"/>
        </w:rPr>
        <w:t>and the Australian Cyber Security Centre (ACSC).</w:t>
      </w:r>
      <w:r w:rsidRPr="004308D4">
        <w:rPr>
          <w:rFonts w:ascii="Arial" w:eastAsia="Times New Roman" w:hAnsi="Arial" w:cs="Arial"/>
          <w:sz w:val="20"/>
          <w:szCs w:val="24"/>
          <w:vertAlign w:val="superscript"/>
          <w:lang w:eastAsia="en-AU"/>
        </w:rPr>
        <w:footnoteReference w:id="15"/>
      </w:r>
      <w:r w:rsidRPr="004308D4">
        <w:rPr>
          <w:rFonts w:ascii="Arial" w:eastAsia="Times New Roman" w:hAnsi="Arial" w:cs="Arial"/>
          <w:sz w:val="20"/>
          <w:szCs w:val="24"/>
          <w:vertAlign w:val="superscript"/>
          <w:lang w:eastAsia="en-AU"/>
        </w:rPr>
        <w:t xml:space="preserve"> </w:t>
      </w:r>
      <w:r w:rsidRPr="00B9083F">
        <w:rPr>
          <w:rFonts w:ascii="Arial" w:eastAsia="Times New Roman" w:hAnsi="Arial" w:cs="Arial"/>
          <w:sz w:val="20"/>
          <w:szCs w:val="24"/>
          <w:lang w:eastAsia="en-AU"/>
        </w:rPr>
        <w:t>Or victims can be so overwhelmed by the available options that they decide to do nothing, and ‘exit’ the painful experience without reporting at all.</w:t>
      </w:r>
      <w:r w:rsidRPr="00FE658A">
        <w:rPr>
          <w:rFonts w:ascii="Arial" w:eastAsia="Times New Roman" w:hAnsi="Arial" w:cs="Arial"/>
          <w:sz w:val="20"/>
          <w:szCs w:val="24"/>
          <w:vertAlign w:val="superscript"/>
          <w:lang w:eastAsia="en-AU"/>
        </w:rPr>
        <w:footnoteReference w:id="16"/>
      </w:r>
    </w:p>
    <w:p w14:paraId="470884CE"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 xml:space="preserve">Australians who are the victim of identity theft typically suffer both financial loss and psychological harms. As seen in the table below, the consequences can include experiencing reputational damage and health problems to experiencing mental and emotional distress. The effects can be life-altering, impacting health, emotional </w:t>
      </w:r>
      <w:proofErr w:type="gramStart"/>
      <w:r w:rsidRPr="00B9083F">
        <w:rPr>
          <w:rFonts w:ascii="Arial" w:eastAsia="Times New Roman" w:hAnsi="Arial" w:cs="Arial"/>
          <w:sz w:val="20"/>
          <w:szCs w:val="24"/>
          <w:lang w:eastAsia="en-AU"/>
        </w:rPr>
        <w:t>wellbeing</w:t>
      </w:r>
      <w:proofErr w:type="gramEnd"/>
      <w:r w:rsidRPr="00B9083F">
        <w:rPr>
          <w:rFonts w:ascii="Arial" w:eastAsia="Times New Roman" w:hAnsi="Arial" w:cs="Arial"/>
          <w:sz w:val="20"/>
          <w:szCs w:val="24"/>
          <w:lang w:eastAsia="en-AU"/>
        </w:rPr>
        <w:t xml:space="preserve"> and relationships with others.</w:t>
      </w:r>
      <w:r w:rsidRPr="00B9083F">
        <w:rPr>
          <w:rFonts w:ascii="Arial" w:eastAsia="Times New Roman" w:hAnsi="Arial" w:cs="Arial"/>
          <w:sz w:val="20"/>
          <w:szCs w:val="24"/>
          <w:vertAlign w:val="superscript"/>
          <w:lang w:eastAsia="en-AU"/>
        </w:rPr>
        <w:footnoteReference w:id="17"/>
      </w:r>
    </w:p>
    <w:p w14:paraId="2CDBAA34" w14:textId="77777777" w:rsidR="007D5EE0" w:rsidRDefault="007D5EE0" w:rsidP="007D5EE0">
      <w:pPr>
        <w:spacing w:before="120" w:after="120"/>
        <w:rPr>
          <w:rFonts w:cs="Arial"/>
        </w:rPr>
      </w:pPr>
      <w:r>
        <w:rPr>
          <w:noProof/>
        </w:rPr>
        <w:drawing>
          <wp:inline distT="0" distB="0" distL="0" distR="0" wp14:anchorId="135FAF6A" wp14:editId="58D931D3">
            <wp:extent cx="4698853" cy="2536561"/>
            <wp:effectExtent l="0" t="0" r="6985" b="0"/>
            <wp:docPr id="16" name="Picture 16" descr="Chart: Consequences experienced as a result of personal information being misused in the previous 12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Consequences experienced as a result of personal information being misused in the previous 12 months. "/>
                    <pic:cNvPicPr/>
                  </pic:nvPicPr>
                  <pic:blipFill>
                    <a:blip r:embed="rId42"/>
                    <a:stretch>
                      <a:fillRect/>
                    </a:stretch>
                  </pic:blipFill>
                  <pic:spPr>
                    <a:xfrm>
                      <a:off x="0" y="0"/>
                      <a:ext cx="4726933" cy="2551719"/>
                    </a:xfrm>
                    <a:prstGeom prst="rect">
                      <a:avLst/>
                    </a:prstGeom>
                  </pic:spPr>
                </pic:pic>
              </a:graphicData>
            </a:graphic>
          </wp:inline>
        </w:drawing>
      </w:r>
    </w:p>
    <w:p w14:paraId="021D5ECB" w14:textId="77777777" w:rsidR="007D5EE0" w:rsidRPr="007454E8" w:rsidRDefault="007D5EE0" w:rsidP="007D5EE0">
      <w:pPr>
        <w:pStyle w:val="Tableorfigurenote"/>
        <w:spacing w:before="0"/>
        <w:rPr>
          <w:szCs w:val="16"/>
        </w:rPr>
      </w:pPr>
      <w:bookmarkStart w:id="23" w:name="_Hlk98316261"/>
      <w:r w:rsidRPr="007454E8">
        <w:rPr>
          <w:szCs w:val="16"/>
        </w:rPr>
        <w:t>Source</w:t>
      </w:r>
      <w:r>
        <w:rPr>
          <w:szCs w:val="16"/>
        </w:rPr>
        <w:t>:</w:t>
      </w:r>
      <w:r w:rsidRPr="007454E8">
        <w:rPr>
          <w:szCs w:val="16"/>
        </w:rPr>
        <w:t xml:space="preserve"> AIC 2020, </w:t>
      </w:r>
      <w:hyperlink r:id="rId43" w:history="1">
        <w:r w:rsidRPr="007454E8">
          <w:rPr>
            <w:rStyle w:val="Hyperlink"/>
            <w:iCs/>
            <w:szCs w:val="16"/>
          </w:rPr>
          <w:t>Identity crime and misuse in Australia</w:t>
        </w:r>
      </w:hyperlink>
      <w:r w:rsidRPr="007454E8">
        <w:rPr>
          <w:rStyle w:val="Hyperlink"/>
          <w:iCs/>
          <w:szCs w:val="16"/>
        </w:rPr>
        <w:t xml:space="preserve"> 2019</w:t>
      </w:r>
      <w:r w:rsidRPr="00482DD1">
        <w:rPr>
          <w:rStyle w:val="Hyperlink"/>
          <w:i w:val="0"/>
          <w:szCs w:val="16"/>
        </w:rPr>
        <w:t>.</w:t>
      </w:r>
    </w:p>
    <w:bookmarkEnd w:id="23"/>
    <w:p w14:paraId="3BCA3351" w14:textId="77777777" w:rsidR="007D5EE0" w:rsidRPr="00B9083F" w:rsidRDefault="007D5EE0" w:rsidP="007D5EE0">
      <w:pPr>
        <w:rPr>
          <w:rFonts w:ascii="Arial" w:eastAsia="Times New Roman" w:hAnsi="Arial" w:cs="Arial"/>
          <w:sz w:val="20"/>
          <w:szCs w:val="24"/>
          <w:lang w:eastAsia="en-AU"/>
        </w:rPr>
      </w:pPr>
      <w:r w:rsidRPr="00B9083F">
        <w:rPr>
          <w:rFonts w:ascii="Arial" w:eastAsia="Times New Roman" w:hAnsi="Arial" w:cs="Arial"/>
          <w:sz w:val="20"/>
          <w:szCs w:val="24"/>
          <w:lang w:eastAsia="en-AU"/>
        </w:rPr>
        <w:t xml:space="preserve">Once a customer has had their identity stolen, it can be very difficult and time-consuming to reverse the effects. IDCARE found that its clients took, on average, </w:t>
      </w:r>
      <w:r w:rsidRPr="00B9083F">
        <w:rPr>
          <w:rFonts w:ascii="Arial" w:eastAsia="Times New Roman" w:hAnsi="Arial" w:cs="Arial"/>
          <w:sz w:val="20"/>
          <w:szCs w:val="24"/>
          <w:lang w:eastAsia="en-AU"/>
        </w:rPr>
        <w:br/>
        <w:t>33.7 days to detect the compromise of their personal information. In comparison, it took only an average of 6.9 days from the initial theft of personal and account information for criminals to commit multiple identity crimes with that information.</w:t>
      </w:r>
      <w:r w:rsidRPr="0078388F">
        <w:rPr>
          <w:rFonts w:ascii="Arial" w:eastAsia="Times New Roman" w:hAnsi="Arial" w:cs="Arial"/>
          <w:sz w:val="20"/>
          <w:szCs w:val="24"/>
          <w:vertAlign w:val="superscript"/>
          <w:lang w:eastAsia="en-AU"/>
        </w:rPr>
        <w:footnoteReference w:id="18"/>
      </w:r>
    </w:p>
    <w:p w14:paraId="571F6C4A"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AIC also found that victims required 34 hours on average to deal with the consequences of their personal information being misused</w:t>
      </w:r>
      <w:r w:rsidRPr="00447EBC">
        <w:rPr>
          <w:rFonts w:ascii="Arial" w:eastAsia="Times New Roman" w:hAnsi="Arial" w:cs="Arial"/>
          <w:sz w:val="20"/>
          <w:szCs w:val="24"/>
          <w:vertAlign w:val="superscript"/>
          <w:lang w:eastAsia="en-AU"/>
        </w:rPr>
        <w:footnoteReference w:id="19"/>
      </w:r>
      <w:r w:rsidRPr="00B9083F">
        <w:rPr>
          <w:rFonts w:ascii="Arial" w:eastAsia="Times New Roman" w:hAnsi="Arial" w:cs="Arial"/>
          <w:sz w:val="20"/>
          <w:szCs w:val="24"/>
          <w:lang w:eastAsia="en-AU"/>
        </w:rPr>
        <w:t xml:space="preserve"> while IDCARE estimated that an average of 32 hours is spent by customers to address identity theft.</w:t>
      </w:r>
      <w:r w:rsidRPr="00175C40">
        <w:rPr>
          <w:rFonts w:ascii="Arial" w:eastAsia="Times New Roman" w:hAnsi="Arial" w:cs="Arial"/>
          <w:sz w:val="20"/>
          <w:szCs w:val="24"/>
          <w:vertAlign w:val="superscript"/>
          <w:lang w:eastAsia="en-AU"/>
        </w:rPr>
        <w:footnoteReference w:id="20"/>
      </w:r>
      <w:r w:rsidRPr="00B9083F">
        <w:rPr>
          <w:rFonts w:ascii="Arial" w:eastAsia="Times New Roman" w:hAnsi="Arial" w:cs="Arial"/>
          <w:sz w:val="20"/>
          <w:szCs w:val="24"/>
          <w:lang w:eastAsia="en-AU"/>
        </w:rPr>
        <w:t xml:space="preserve"> These figures do not include lost productivity, where a customer has taken time off work to address identity theft.</w:t>
      </w:r>
      <w:r w:rsidRPr="009826A1">
        <w:rPr>
          <w:rFonts w:ascii="Arial" w:eastAsia="Times New Roman" w:hAnsi="Arial" w:cs="Arial"/>
          <w:sz w:val="20"/>
          <w:szCs w:val="24"/>
          <w:vertAlign w:val="superscript"/>
          <w:lang w:eastAsia="en-AU"/>
        </w:rPr>
        <w:footnoteReference w:id="21"/>
      </w:r>
    </w:p>
    <w:p w14:paraId="6B8A36C3" w14:textId="77777777" w:rsidR="007D5EE0" w:rsidRPr="00B9083F" w:rsidRDefault="007D5EE0" w:rsidP="007D5EE0">
      <w:pPr>
        <w:rPr>
          <w:rFonts w:ascii="Arial" w:eastAsia="Times New Roman" w:hAnsi="Arial" w:cs="Arial"/>
          <w:sz w:val="20"/>
          <w:szCs w:val="24"/>
          <w:lang w:eastAsia="en-AU"/>
        </w:rPr>
      </w:pPr>
      <w:r w:rsidRPr="00B9083F">
        <w:rPr>
          <w:rFonts w:ascii="Arial" w:eastAsia="Times New Roman" w:hAnsi="Arial" w:cs="Arial"/>
          <w:sz w:val="20"/>
          <w:szCs w:val="24"/>
          <w:lang w:eastAsia="en-AU"/>
        </w:rPr>
        <w:t>Identity theft has long-term repercussions for victims as victims can also experience multiple instances of fraud over months or years and IDCARE recommends victims set up yearly reporting to allow for continual monitoring.</w:t>
      </w:r>
      <w:r w:rsidRPr="00E3623A">
        <w:rPr>
          <w:rFonts w:ascii="Arial" w:eastAsia="Times New Roman" w:hAnsi="Arial" w:cs="Arial"/>
          <w:sz w:val="20"/>
          <w:szCs w:val="24"/>
          <w:vertAlign w:val="superscript"/>
          <w:lang w:eastAsia="en-AU"/>
        </w:rPr>
        <w:footnoteReference w:id="22"/>
      </w:r>
    </w:p>
    <w:p w14:paraId="3063B58D" w14:textId="77777777" w:rsidR="007D5EE0" w:rsidRPr="00B9083F" w:rsidRDefault="007D5EE0" w:rsidP="00B9083F">
      <w:pPr>
        <w:rPr>
          <w:rFonts w:ascii="Arial" w:eastAsia="Times New Roman" w:hAnsi="Arial" w:cs="Arial"/>
          <w:sz w:val="20"/>
          <w:szCs w:val="24"/>
          <w:lang w:eastAsia="en-AU"/>
        </w:rPr>
      </w:pPr>
      <w:r w:rsidRPr="00B9083F">
        <w:rPr>
          <w:rFonts w:ascii="Arial" w:eastAsia="Times New Roman" w:hAnsi="Arial" w:cs="Arial"/>
          <w:sz w:val="20"/>
          <w:szCs w:val="24"/>
          <w:lang w:eastAsia="en-AU"/>
        </w:rPr>
        <w:t>Some of the impacts are also captured in the 3 case studies in this document. These examples draw on reports from victims of identity theft and fraud to highlight not only the financial impacts but also the psychological and emotional harms to Australians from unauthorised actions performed on their accounts.</w:t>
      </w:r>
    </w:p>
    <w:p w14:paraId="7C38AC79" w14:textId="77777777" w:rsidR="007D5EE0" w:rsidRPr="00707DB0" w:rsidRDefault="007D5EE0" w:rsidP="007D5EE0">
      <w:pPr>
        <w:pStyle w:val="Paragraph"/>
        <w:shd w:val="clear" w:color="auto" w:fill="D9D9D9" w:themeFill="background1" w:themeFillShade="D9"/>
        <w:spacing w:after="60"/>
        <w:rPr>
          <w:b/>
          <w:bCs/>
          <w:szCs w:val="20"/>
        </w:rPr>
      </w:pPr>
      <w:r w:rsidRPr="00707DB0">
        <w:rPr>
          <w:b/>
          <w:bCs/>
          <w:szCs w:val="20"/>
        </w:rPr>
        <w:t>Case study 1: Jen’s Twitter takeover</w:t>
      </w:r>
    </w:p>
    <w:p w14:paraId="253D9E63" w14:textId="77777777" w:rsidR="007D5EE0" w:rsidRPr="00707DB0" w:rsidRDefault="007D5EE0" w:rsidP="007D5EE0">
      <w:pPr>
        <w:shd w:val="clear" w:color="auto" w:fill="D9D9D9" w:themeFill="background1" w:themeFillShade="D9"/>
        <w:rPr>
          <w:rFonts w:ascii="Arial" w:hAnsi="Arial" w:cs="Arial"/>
          <w:sz w:val="20"/>
          <w:szCs w:val="20"/>
        </w:rPr>
      </w:pPr>
      <w:r w:rsidRPr="00707DB0">
        <w:rPr>
          <w:rFonts w:ascii="Arial" w:hAnsi="Arial" w:cs="Arial"/>
          <w:sz w:val="20"/>
          <w:szCs w:val="20"/>
        </w:rPr>
        <w:t>When Jen’s* small business Twitter account was taken over by hackers, a stream of tweets with profanities and slurs were posted for an hour. Jen was the victim of a SIM swap scam, where scammers took control of her business mobile phone account through a mixture of obfuscation techniques and online stalking.</w:t>
      </w:r>
    </w:p>
    <w:p w14:paraId="47F1FC54" w14:textId="77777777" w:rsidR="007D5EE0" w:rsidRPr="00707DB0" w:rsidRDefault="007D5EE0" w:rsidP="007D5EE0">
      <w:pPr>
        <w:shd w:val="clear" w:color="auto" w:fill="D9D9D9" w:themeFill="background1" w:themeFillShade="D9"/>
        <w:rPr>
          <w:rFonts w:ascii="Arial" w:hAnsi="Arial" w:cs="Arial"/>
          <w:sz w:val="20"/>
          <w:szCs w:val="20"/>
        </w:rPr>
      </w:pPr>
      <w:r w:rsidRPr="00707DB0">
        <w:rPr>
          <w:rFonts w:ascii="Arial" w:hAnsi="Arial" w:cs="Arial"/>
          <w:sz w:val="20"/>
          <w:szCs w:val="20"/>
        </w:rPr>
        <w:t>Jen’s business suffered reputational damage that has been hard to reverse, in addition to $25,000 in lost earnings as customers cancelled orders believing Jen was behind the offensive tweets.</w:t>
      </w:r>
    </w:p>
    <w:p w14:paraId="2969FD7B" w14:textId="77777777" w:rsidR="007D5EE0" w:rsidRPr="00707DB0" w:rsidRDefault="007D5EE0" w:rsidP="007D5EE0">
      <w:pPr>
        <w:shd w:val="clear" w:color="auto" w:fill="D9D9D9" w:themeFill="background1" w:themeFillShade="D9"/>
        <w:rPr>
          <w:rFonts w:ascii="Arial" w:hAnsi="Arial" w:cs="Arial"/>
          <w:sz w:val="20"/>
          <w:szCs w:val="20"/>
        </w:rPr>
      </w:pPr>
      <w:r w:rsidRPr="00707DB0">
        <w:rPr>
          <w:rFonts w:ascii="Arial" w:hAnsi="Arial" w:cs="Arial"/>
          <w:sz w:val="20"/>
          <w:szCs w:val="20"/>
        </w:rPr>
        <w:t>Jen later found out that the scammers had obtained her personal details by mining data stolen during the breach of a different company’s systems, and then contacted her mobile phone provider pretending to be her to request the SIM swap.</w:t>
      </w:r>
    </w:p>
    <w:p w14:paraId="622E1ECA" w14:textId="77777777" w:rsidR="007D5EE0" w:rsidRPr="00707DB0" w:rsidRDefault="007D5EE0" w:rsidP="007D5EE0">
      <w:pPr>
        <w:shd w:val="clear" w:color="auto" w:fill="D9D9D9" w:themeFill="background1" w:themeFillShade="D9"/>
        <w:rPr>
          <w:rFonts w:ascii="Arial" w:hAnsi="Arial" w:cs="Arial"/>
          <w:sz w:val="20"/>
          <w:szCs w:val="20"/>
        </w:rPr>
      </w:pPr>
      <w:r w:rsidRPr="00707DB0">
        <w:rPr>
          <w:rFonts w:ascii="Arial" w:hAnsi="Arial" w:cs="Arial"/>
          <w:sz w:val="20"/>
          <w:szCs w:val="20"/>
        </w:rPr>
        <w:t>Fraudsters will often use information that has been put up on social media, like mother’s maiden name or pet names, and use this information to build up a profile of information on a potential victim. Unfortunately for Jen, her active social media presence had inadvertently made her particularly vulnerable.</w:t>
      </w:r>
    </w:p>
    <w:p w14:paraId="1E6013AF" w14:textId="77777777" w:rsidR="007D5EE0" w:rsidRPr="00707DB0" w:rsidRDefault="007D5EE0" w:rsidP="007D5EE0">
      <w:pPr>
        <w:shd w:val="clear" w:color="auto" w:fill="D9D9D9" w:themeFill="background1" w:themeFillShade="D9"/>
        <w:rPr>
          <w:rFonts w:ascii="Arial" w:hAnsi="Arial" w:cs="Arial"/>
          <w:sz w:val="20"/>
          <w:szCs w:val="20"/>
        </w:rPr>
      </w:pPr>
      <w:r w:rsidRPr="00707DB0">
        <w:rPr>
          <w:rFonts w:ascii="Arial" w:hAnsi="Arial" w:cs="Arial"/>
          <w:sz w:val="20"/>
          <w:szCs w:val="20"/>
        </w:rPr>
        <w:t>Jen spent months trying to resolve the damage to both her personal reputation as well as her business brand. She has had to invest in new businesses systems and upgrade her data protection measures. Jen has spent hours with the social media companies to re-establish her accounts and is still trying to rebuild her customer base.</w:t>
      </w:r>
    </w:p>
    <w:p w14:paraId="66DFF46B" w14:textId="77777777" w:rsidR="007D5EE0" w:rsidRPr="006913EC" w:rsidRDefault="007D5EE0" w:rsidP="007D5EE0">
      <w:pPr>
        <w:shd w:val="clear" w:color="auto" w:fill="D9D9D9" w:themeFill="background1" w:themeFillShade="D9"/>
        <w:spacing w:line="240" w:lineRule="auto"/>
        <w:rPr>
          <w:rFonts w:ascii="Arial" w:hAnsi="Arial" w:cs="Arial"/>
          <w:sz w:val="18"/>
          <w:szCs w:val="18"/>
        </w:rPr>
      </w:pPr>
      <w:r w:rsidRPr="006913EC">
        <w:rPr>
          <w:rFonts w:ascii="Arial" w:hAnsi="Arial" w:cs="Arial"/>
          <w:color w:val="000000"/>
          <w:sz w:val="18"/>
          <w:szCs w:val="18"/>
        </w:rPr>
        <w:t>*</w:t>
      </w:r>
      <w:r w:rsidRPr="006913EC">
        <w:rPr>
          <w:rFonts w:ascii="Arial" w:hAnsi="Arial" w:cs="Arial"/>
          <w:i/>
          <w:iCs/>
          <w:sz w:val="18"/>
          <w:szCs w:val="18"/>
        </w:rPr>
        <w:t xml:space="preserve">Case study is based on one or more reports of SIM swap fraud to a government agency. </w:t>
      </w:r>
      <w:r w:rsidRPr="006913EC">
        <w:rPr>
          <w:rFonts w:ascii="Arial" w:hAnsi="Arial" w:cs="Arial"/>
          <w:i/>
          <w:sz w:val="18"/>
          <w:szCs w:val="18"/>
        </w:rPr>
        <w:t>Names of individuals and companies have been changed</w:t>
      </w:r>
      <w:r w:rsidRPr="006913EC">
        <w:rPr>
          <w:rFonts w:ascii="Arial" w:hAnsi="Arial" w:cs="Arial"/>
          <w:i/>
          <w:iCs/>
          <w:sz w:val="18"/>
          <w:szCs w:val="18"/>
        </w:rPr>
        <w:t>.</w:t>
      </w:r>
      <w:r w:rsidRPr="006913EC">
        <w:rPr>
          <w:rFonts w:ascii="Arial" w:hAnsi="Arial" w:cs="Arial"/>
          <w:i/>
          <w:iCs/>
          <w:sz w:val="18"/>
          <w:szCs w:val="18"/>
        </w:rPr>
        <w:br/>
      </w:r>
    </w:p>
    <w:p w14:paraId="38B09087" w14:textId="77777777" w:rsidR="007D5EE0" w:rsidRPr="006037EF" w:rsidRDefault="007D5EE0" w:rsidP="007D5EE0">
      <w:pPr>
        <w:pStyle w:val="Heading3"/>
        <w:keepLines/>
        <w:spacing w:after="100"/>
      </w:pPr>
      <w:bookmarkStart w:id="24" w:name="_Toc88057155"/>
      <w:bookmarkStart w:id="25" w:name="_Toc98323736"/>
      <w:r w:rsidRPr="006037EF">
        <w:t>Incidence of scams in Australia</w:t>
      </w:r>
      <w:bookmarkEnd w:id="24"/>
      <w:bookmarkEnd w:id="25"/>
    </w:p>
    <w:p w14:paraId="68A554D8" w14:textId="77777777" w:rsidR="007D5EE0" w:rsidRPr="009066E4" w:rsidRDefault="007D5EE0" w:rsidP="00B9083F">
      <w:pPr>
        <w:pStyle w:val="Paragraph"/>
        <w:spacing w:before="240"/>
        <w:rPr>
          <w:color w:val="7C426F"/>
        </w:rPr>
      </w:pPr>
      <w:r w:rsidRPr="009066E4">
        <w:rPr>
          <w:noProof/>
          <w:color w:val="7C426F"/>
        </w:rPr>
        <w:drawing>
          <wp:anchor distT="0" distB="0" distL="114300" distR="114300" simplePos="0" relativeHeight="251661312" behindDoc="0" locked="0" layoutInCell="1" allowOverlap="1" wp14:anchorId="1F594DF6" wp14:editId="401095D5">
            <wp:simplePos x="0" y="0"/>
            <wp:positionH relativeFrom="margin">
              <wp:align>left</wp:align>
            </wp:positionH>
            <wp:positionV relativeFrom="paragraph">
              <wp:posOffset>51207</wp:posOffset>
            </wp:positionV>
            <wp:extent cx="457200" cy="457200"/>
            <wp:effectExtent l="0" t="0" r="0" b="0"/>
            <wp:wrapSquare wrapText="bothSides"/>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457200" cy="457200"/>
                    </a:xfrm>
                    <a:prstGeom prst="rect">
                      <a:avLst/>
                    </a:prstGeom>
                  </pic:spPr>
                </pic:pic>
              </a:graphicData>
            </a:graphic>
          </wp:anchor>
        </w:drawing>
      </w:r>
      <w:r w:rsidRPr="009066E4">
        <w:rPr>
          <w:color w:val="7C426F"/>
        </w:rPr>
        <w:t xml:space="preserve">Research commissioned by the ACCC in 2019 shows that </w:t>
      </w:r>
      <w:proofErr w:type="spellStart"/>
      <w:r w:rsidRPr="009066E4">
        <w:rPr>
          <w:color w:val="7C426F"/>
        </w:rPr>
        <w:t>Scamwatch</w:t>
      </w:r>
      <w:proofErr w:type="spellEnd"/>
      <w:r w:rsidRPr="009066E4">
        <w:rPr>
          <w:color w:val="7C426F"/>
        </w:rPr>
        <w:t xml:space="preserve"> is just one of many places people report scams, and only a third of people who respond to a scam go on to report that scam to a government agency.</w:t>
      </w:r>
      <w:r w:rsidRPr="003D75BE">
        <w:rPr>
          <w:color w:val="7C426F"/>
          <w:vertAlign w:val="superscript"/>
        </w:rPr>
        <w:footnoteReference w:id="23"/>
      </w:r>
    </w:p>
    <w:p w14:paraId="29B4DF73" w14:textId="77777777" w:rsidR="007D5EE0" w:rsidRDefault="007D5EE0" w:rsidP="007D5EE0">
      <w:pPr>
        <w:pStyle w:val="Paragraphbeforelist"/>
        <w:keepNext/>
        <w:keepLines/>
      </w:pPr>
      <w:r>
        <w:t xml:space="preserve">In 2020, </w:t>
      </w:r>
      <w:proofErr w:type="spellStart"/>
      <w:r>
        <w:t>Scamwatch</w:t>
      </w:r>
      <w:proofErr w:type="spellEnd"/>
      <w:r>
        <w:t xml:space="preserve"> obtained data from other government agencies,</w:t>
      </w:r>
      <w:r>
        <w:rPr>
          <w:rStyle w:val="FootnoteReference"/>
        </w:rPr>
        <w:footnoteReference w:id="24"/>
      </w:r>
      <w:r>
        <w:t xml:space="preserve"> 8 banks and </w:t>
      </w:r>
      <w:r>
        <w:br/>
        <w:t>2 remittance service providers to better illustrate the harm caused by scams – with reports of $851 million in combined losses from scams.</w:t>
      </w:r>
      <w:r>
        <w:rPr>
          <w:rStyle w:val="FootnoteReference"/>
        </w:rPr>
        <w:footnoteReference w:id="25"/>
      </w:r>
    </w:p>
    <w:p w14:paraId="1AED17B8" w14:textId="77777777" w:rsidR="007D5EE0" w:rsidRDefault="007D5EE0" w:rsidP="007D5EE0">
      <w:pPr>
        <w:pStyle w:val="ListBullet"/>
        <w:keepNext/>
        <w:keepLines/>
      </w:pPr>
      <w:proofErr w:type="spellStart"/>
      <w:r>
        <w:t>Scamwatch</w:t>
      </w:r>
      <w:proofErr w:type="spellEnd"/>
      <w:r>
        <w:t xml:space="preserve"> received the </w:t>
      </w:r>
      <w:r w:rsidRPr="00270CB8">
        <w:t>largest number of reports – with $176 million reported lost</w:t>
      </w:r>
      <w:r>
        <w:t> </w:t>
      </w:r>
      <w:r w:rsidRPr="00270CB8">
        <w:t xml:space="preserve">– an increase of </w:t>
      </w:r>
      <w:r>
        <w:t>around 23% from the $143 million in losses reported in 2019.</w:t>
      </w:r>
    </w:p>
    <w:p w14:paraId="14B3B8A0" w14:textId="77777777" w:rsidR="007D5EE0" w:rsidRDefault="007D5EE0" w:rsidP="007D5EE0">
      <w:pPr>
        <w:pStyle w:val="ListBulletLast"/>
        <w:numPr>
          <w:ilvl w:val="0"/>
          <w:numId w:val="4"/>
        </w:numPr>
      </w:pPr>
      <w:r w:rsidRPr="00270CB8">
        <w:t xml:space="preserve">Of these reports, almost 21,000 reports of identity theft were received </w:t>
      </w:r>
      <w:r>
        <w:t>–</w:t>
      </w:r>
      <w:r w:rsidRPr="00270CB8">
        <w:t xml:space="preserve"> representing an increase of 84% </w:t>
      </w:r>
      <w:r>
        <w:t>from</w:t>
      </w:r>
      <w:r w:rsidRPr="00270CB8">
        <w:t xml:space="preserve"> 2019.</w:t>
      </w:r>
      <w:r w:rsidRPr="00270CB8">
        <w:rPr>
          <w:rStyle w:val="FootnoteReference"/>
        </w:rPr>
        <w:footnoteReference w:id="26"/>
      </w:r>
    </w:p>
    <w:p w14:paraId="4DBE903D" w14:textId="77777777" w:rsidR="007D5EE0" w:rsidRDefault="007D5EE0" w:rsidP="007D5EE0">
      <w:pPr>
        <w:pStyle w:val="ListBulletLast"/>
      </w:pPr>
      <w:r>
        <w:t>B</w:t>
      </w:r>
      <w:r w:rsidRPr="00F12B73">
        <w:t>etween 1 January and 19 September</w:t>
      </w:r>
      <w:r>
        <w:t xml:space="preserve"> 2021, </w:t>
      </w:r>
      <w:r w:rsidRPr="00F12B73">
        <w:t xml:space="preserve">Australians </w:t>
      </w:r>
      <w:r>
        <w:t xml:space="preserve">have </w:t>
      </w:r>
      <w:r w:rsidRPr="00F12B73">
        <w:t>report</w:t>
      </w:r>
      <w:r>
        <w:t>ed</w:t>
      </w:r>
      <w:r w:rsidRPr="00F12B73">
        <w:t xml:space="preserve"> a record $211</w:t>
      </w:r>
      <w:r>
        <w:t> </w:t>
      </w:r>
      <w:r w:rsidRPr="00F12B73">
        <w:t>million in losses to scams</w:t>
      </w:r>
      <w:r>
        <w:t xml:space="preserve"> to </w:t>
      </w:r>
      <w:proofErr w:type="spellStart"/>
      <w:r>
        <w:t>Scamwatch</w:t>
      </w:r>
      <w:proofErr w:type="spellEnd"/>
      <w:r>
        <w:t xml:space="preserve"> – </w:t>
      </w:r>
      <w:r w:rsidRPr="00F12B73">
        <w:t>an 89</w:t>
      </w:r>
      <w:r>
        <w:t>%</w:t>
      </w:r>
      <w:r w:rsidRPr="00F12B73">
        <w:t xml:space="preserve"> increase </w:t>
      </w:r>
      <w:r>
        <w:t xml:space="preserve">from the </w:t>
      </w:r>
      <w:r w:rsidRPr="00F12B73">
        <w:t xml:space="preserve">same period </w:t>
      </w:r>
      <w:r>
        <w:t>in 2020 – with t</w:t>
      </w:r>
      <w:r w:rsidRPr="00F12B73">
        <w:t xml:space="preserve">he </w:t>
      </w:r>
      <w:r>
        <w:t xml:space="preserve">reported </w:t>
      </w:r>
      <w:r w:rsidRPr="00F12B73">
        <w:t>losses</w:t>
      </w:r>
      <w:r>
        <w:t xml:space="preserve"> </w:t>
      </w:r>
      <w:r w:rsidRPr="00F12B73">
        <w:t>surpass</w:t>
      </w:r>
      <w:r>
        <w:t>ing</w:t>
      </w:r>
      <w:r w:rsidRPr="00F12B73">
        <w:t xml:space="preserve"> the $17</w:t>
      </w:r>
      <w:r>
        <w:t xml:space="preserve">6 </w:t>
      </w:r>
      <w:r w:rsidRPr="00F12B73">
        <w:t xml:space="preserve">million reported to </w:t>
      </w:r>
      <w:proofErr w:type="spellStart"/>
      <w:r w:rsidRPr="00F12B73">
        <w:t>Scamwatch</w:t>
      </w:r>
      <w:proofErr w:type="spellEnd"/>
      <w:r w:rsidRPr="00F12B73">
        <w:t xml:space="preserve"> across all of </w:t>
      </w:r>
      <w:r>
        <w:t>2020.</w:t>
      </w:r>
      <w:r>
        <w:rPr>
          <w:rStyle w:val="FootnoteReference"/>
        </w:rPr>
        <w:footnoteReference w:id="27"/>
      </w:r>
    </w:p>
    <w:p w14:paraId="22B06441" w14:textId="77777777" w:rsidR="007D5EE0" w:rsidRDefault="007D5EE0" w:rsidP="007D5EE0">
      <w:pPr>
        <w:pStyle w:val="ListBulletLast"/>
      </w:pPr>
      <w:r>
        <w:t>D</w:t>
      </w:r>
      <w:r w:rsidRPr="004F7DF1">
        <w:t xml:space="preserve">ata from </w:t>
      </w:r>
      <w:proofErr w:type="spellStart"/>
      <w:r w:rsidRPr="004F7DF1">
        <w:t>Scamwatch</w:t>
      </w:r>
      <w:proofErr w:type="spellEnd"/>
      <w:r w:rsidRPr="004F7DF1">
        <w:t xml:space="preserve"> indicates that reported losses </w:t>
      </w:r>
      <w:r>
        <w:t xml:space="preserve">from identity theft </w:t>
      </w:r>
      <w:r w:rsidRPr="004F7DF1">
        <w:t xml:space="preserve">are continuing to rise – in </w:t>
      </w:r>
      <w:r>
        <w:t xml:space="preserve">late </w:t>
      </w:r>
      <w:r w:rsidRPr="004F7DF1">
        <w:t>2021 (1 Jan to 30 September 2021), it had received</w:t>
      </w:r>
      <w:r>
        <w:t> </w:t>
      </w:r>
      <w:r w:rsidRPr="004F7DF1">
        <w:t>reports of $</w:t>
      </w:r>
      <w:r w:rsidRPr="004F7DF1">
        <w:rPr>
          <w:rStyle w:val="js-total-amount-lost"/>
        </w:rPr>
        <w:t xml:space="preserve">7,754,647 in financial losses to identity theft – </w:t>
      </w:r>
      <w:r w:rsidRPr="004F7DF1">
        <w:t>an increase of</w:t>
      </w:r>
      <w:r>
        <w:t> </w:t>
      </w:r>
      <w:r w:rsidRPr="004F7DF1">
        <w:t>234% on 2020.</w:t>
      </w:r>
      <w:r w:rsidRPr="004F7DF1">
        <w:rPr>
          <w:vertAlign w:val="superscript"/>
        </w:rPr>
        <w:footnoteReference w:id="28"/>
      </w:r>
    </w:p>
    <w:p w14:paraId="6402E143" w14:textId="77777777" w:rsidR="007D5EE0" w:rsidRDefault="007D5EE0" w:rsidP="007D5EE0">
      <w:pPr>
        <w:pStyle w:val="Paragraph"/>
      </w:pPr>
      <w:r>
        <w:t xml:space="preserve">While the increase could be partially attributed to </w:t>
      </w:r>
      <w:r w:rsidRPr="003C3CCE">
        <w:t>m</w:t>
      </w:r>
      <w:r>
        <w:t>ore</w:t>
      </w:r>
      <w:r w:rsidRPr="003C3CCE">
        <w:t xml:space="preserve"> </w:t>
      </w:r>
      <w:r>
        <w:t xml:space="preserve">Australians </w:t>
      </w:r>
      <w:r w:rsidRPr="003C3CCE">
        <w:t xml:space="preserve">turning to </w:t>
      </w:r>
      <w:r>
        <w:t xml:space="preserve">an </w:t>
      </w:r>
      <w:r w:rsidRPr="003C3CCE">
        <w:t xml:space="preserve">online </w:t>
      </w:r>
      <w:r>
        <w:t>environment</w:t>
      </w:r>
      <w:r w:rsidRPr="003C3CCE">
        <w:t xml:space="preserve"> because of COVID-19 lockdown</w:t>
      </w:r>
      <w:r>
        <w:t>s, and scammers similarly adapting, the table below indicates that reports of scam activity have been increasing over the 10 years since 2011.</w:t>
      </w:r>
      <w:r>
        <w:rPr>
          <w:rStyle w:val="FootnoteReference"/>
        </w:rPr>
        <w:footnoteReference w:id="29"/>
      </w:r>
    </w:p>
    <w:p w14:paraId="5D88A466" w14:textId="77777777" w:rsidR="007D5EE0" w:rsidRDefault="007D5EE0" w:rsidP="007D5EE0">
      <w:pPr>
        <w:pStyle w:val="Paragraph"/>
      </w:pPr>
      <w:r>
        <w:t>Scammers are agile, sophisticated, and quick to respond to emerging technologies to take advantage of changing environments.</w:t>
      </w:r>
    </w:p>
    <w:p w14:paraId="5E17CDD2" w14:textId="77777777" w:rsidR="007D5EE0" w:rsidRDefault="007D5EE0" w:rsidP="007D5EE0">
      <w:pPr>
        <w:pStyle w:val="Paragraph"/>
        <w:rPr>
          <w:noProof/>
        </w:rPr>
      </w:pPr>
      <w:r>
        <w:rPr>
          <w:noProof/>
        </w:rPr>
        <w:drawing>
          <wp:inline distT="0" distB="0" distL="0" distR="0" wp14:anchorId="5750E073" wp14:editId="54BF6DF9">
            <wp:extent cx="4747564" cy="2018665"/>
            <wp:effectExtent l="0" t="0" r="15240" b="635"/>
            <wp:docPr id="5" name="Chart 5" descr="Reports to Scamwatch 2011 to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23FD94A" w14:textId="77777777" w:rsidR="007D5EE0" w:rsidRPr="007454E8" w:rsidRDefault="007D5EE0" w:rsidP="007D5EE0">
      <w:pPr>
        <w:pStyle w:val="Tableorfigurenote"/>
        <w:spacing w:before="0"/>
        <w:rPr>
          <w:szCs w:val="16"/>
        </w:rPr>
      </w:pPr>
      <w:r w:rsidRPr="0001000C">
        <w:rPr>
          <w:szCs w:val="16"/>
        </w:rPr>
        <w:t xml:space="preserve">Source: ACCC </w:t>
      </w:r>
      <w:proofErr w:type="spellStart"/>
      <w:r w:rsidRPr="0001000C">
        <w:rPr>
          <w:szCs w:val="16"/>
        </w:rPr>
        <w:t>Scamwatch</w:t>
      </w:r>
      <w:proofErr w:type="spellEnd"/>
      <w:r w:rsidRPr="0001000C">
        <w:rPr>
          <w:szCs w:val="16"/>
        </w:rPr>
        <w:t xml:space="preserve"> 202</w:t>
      </w:r>
      <w:r>
        <w:rPr>
          <w:szCs w:val="16"/>
        </w:rPr>
        <w:t>1</w:t>
      </w:r>
      <w:r w:rsidRPr="0001000C">
        <w:rPr>
          <w:szCs w:val="16"/>
        </w:rPr>
        <w:t>.</w:t>
      </w:r>
    </w:p>
    <w:p w14:paraId="767FCA37" w14:textId="77777777" w:rsidR="007D5EE0" w:rsidRDefault="007D5EE0" w:rsidP="007D5EE0">
      <w:pPr>
        <w:pStyle w:val="Paragraph"/>
      </w:pPr>
      <w:r>
        <w:t xml:space="preserve">Government action is required to address the evolving and growing consumer detriment from scams – particularly as </w:t>
      </w:r>
      <w:r w:rsidRPr="00B32624">
        <w:t xml:space="preserve">uncertainty and disruption caused by </w:t>
      </w:r>
      <w:r>
        <w:t xml:space="preserve">events like </w:t>
      </w:r>
      <w:r w:rsidRPr="00B32624">
        <w:t xml:space="preserve">COVID-19 create </w:t>
      </w:r>
      <w:r>
        <w:t xml:space="preserve">more </w:t>
      </w:r>
      <w:r w:rsidRPr="00B32624">
        <w:t xml:space="preserve">opportunity for </w:t>
      </w:r>
      <w:r>
        <w:t xml:space="preserve">identity </w:t>
      </w:r>
      <w:r w:rsidRPr="00B32624">
        <w:t>crime and fraud.</w:t>
      </w:r>
    </w:p>
    <w:p w14:paraId="1F7D941F" w14:textId="77777777" w:rsidR="007D5EE0" w:rsidRPr="00AE2E8D" w:rsidRDefault="007D5EE0" w:rsidP="007D5EE0">
      <w:pPr>
        <w:pStyle w:val="Heading2"/>
      </w:pPr>
      <w:bookmarkStart w:id="27" w:name="_Toc98323737"/>
      <w:r w:rsidRPr="00FA4674">
        <w:t>Scam activity on telecommunication</w:t>
      </w:r>
      <w:r>
        <w:t>s</w:t>
      </w:r>
      <w:r w:rsidRPr="00FA4674">
        <w:t xml:space="preserve"> networks</w:t>
      </w:r>
      <w:bookmarkEnd w:id="27"/>
    </w:p>
    <w:p w14:paraId="2FA831B8" w14:textId="77777777" w:rsidR="007D5EE0" w:rsidRPr="00082901" w:rsidRDefault="007D5EE0" w:rsidP="007D5EE0">
      <w:pPr>
        <w:pStyle w:val="Paragraph"/>
      </w:pPr>
      <w:r>
        <w:t>Most indicators are that s</w:t>
      </w:r>
      <w:r w:rsidRPr="00082901">
        <w:t xml:space="preserve">cam activity on Australian telecommunications networks is </w:t>
      </w:r>
      <w:r>
        <w:t xml:space="preserve">at a significant, historically high level. It is </w:t>
      </w:r>
      <w:r w:rsidRPr="00082901">
        <w:t>increasingly sophisticated and hard to detect. It generally originates offshore, readily adapts to disruption measures and ruthlessly exploits new opportunities and vulnerabilities.</w:t>
      </w:r>
    </w:p>
    <w:p w14:paraId="62882C1E" w14:textId="77777777" w:rsidR="007D5EE0" w:rsidRDefault="007D5EE0" w:rsidP="007D5EE0">
      <w:pPr>
        <w:pStyle w:val="Paragraph"/>
        <w:spacing w:before="240"/>
      </w:pPr>
      <w:r>
        <w:t>O</w:t>
      </w:r>
      <w:r w:rsidRPr="00C77160">
        <w:t xml:space="preserve">ften </w:t>
      </w:r>
      <w:r>
        <w:t>scammers’</w:t>
      </w:r>
      <w:r w:rsidRPr="00C77160">
        <w:t xml:space="preserve"> methods involve the</w:t>
      </w:r>
      <w:r>
        <w:t xml:space="preserve"> fraudulent</w:t>
      </w:r>
      <w:r w:rsidRPr="00C77160">
        <w:t xml:space="preserve"> collection of personal information and data to commit identity fraud</w:t>
      </w:r>
      <w:r>
        <w:t>. For example, scammers may make</w:t>
      </w:r>
      <w:r w:rsidRPr="00C77160">
        <w:t xml:space="preserve"> </w:t>
      </w:r>
      <w:r>
        <w:t xml:space="preserve">direct </w:t>
      </w:r>
      <w:r w:rsidRPr="00C77160">
        <w:t xml:space="preserve">phone calls from live operators or </w:t>
      </w:r>
      <w:r w:rsidRPr="00DB758F">
        <w:t>robocalls</w:t>
      </w:r>
      <w:r>
        <w:t xml:space="preserve"> or send a barrage of text messages with links to fraudulent websites</w:t>
      </w:r>
      <w:r w:rsidRPr="00C77160">
        <w:t>.</w:t>
      </w:r>
      <w:r>
        <w:t xml:space="preserve"> </w:t>
      </w:r>
      <w:r w:rsidRPr="00C77160">
        <w:t>Scammers will ask the individual to ‘prove’ who they are or ask for access to their</w:t>
      </w:r>
      <w:r>
        <w:t xml:space="preserve"> </w:t>
      </w:r>
      <w:r w:rsidRPr="00C77160">
        <w:t>device</w:t>
      </w:r>
      <w:r>
        <w:t xml:space="preserve"> or computer to direct a victim towards downloading software that allows a scammer to take control of personal accounts.</w:t>
      </w:r>
    </w:p>
    <w:p w14:paraId="1D1177A8" w14:textId="77777777" w:rsidR="007D5EE0" w:rsidRDefault="007D5EE0" w:rsidP="007D5EE0">
      <w:pPr>
        <w:pStyle w:val="Paragraph"/>
        <w:spacing w:before="240"/>
      </w:pPr>
      <w:r>
        <w:t>Scammers</w:t>
      </w:r>
      <w:r w:rsidRPr="00C77160">
        <w:t xml:space="preserve"> </w:t>
      </w:r>
      <w:r>
        <w:t xml:space="preserve">will also </w:t>
      </w:r>
      <w:r w:rsidRPr="00C77160">
        <w:t xml:space="preserve">make false promises </w:t>
      </w:r>
      <w:r>
        <w:t xml:space="preserve">or look to incentivise individuals to act on something </w:t>
      </w:r>
      <w:r w:rsidRPr="00C77160">
        <w:t>– such as opportunities to buy products, invest money, receive free product trials</w:t>
      </w:r>
      <w:r>
        <w:t xml:space="preserve"> or a</w:t>
      </w:r>
      <w:r w:rsidRPr="00C77160">
        <w:t xml:space="preserve"> prize</w:t>
      </w:r>
      <w:r>
        <w:t xml:space="preserve"> or</w:t>
      </w:r>
      <w:r w:rsidRPr="00C77160">
        <w:t xml:space="preserve"> grant, </w:t>
      </w:r>
      <w:r>
        <w:t xml:space="preserve">or references to </w:t>
      </w:r>
      <w:r w:rsidRPr="00C77160">
        <w:t xml:space="preserve">unpaid tax or a computer virus. Some may even threaten legal action or </w:t>
      </w:r>
      <w:r>
        <w:t>financial</w:t>
      </w:r>
      <w:r w:rsidRPr="00C77160">
        <w:t xml:space="preserve"> loss</w:t>
      </w:r>
      <w:r>
        <w:t xml:space="preserve"> to push the victim to act.</w:t>
      </w:r>
    </w:p>
    <w:p w14:paraId="42282C11" w14:textId="77777777" w:rsidR="007D5EE0" w:rsidRDefault="007D5EE0" w:rsidP="007D5EE0">
      <w:pPr>
        <w:pStyle w:val="Paragraph"/>
      </w:pPr>
      <w:r w:rsidRPr="00082901">
        <w:t>Scammers adapt to technology as quickly as it changes and build knowledge of local environments to impersonate trusted organisations. Scammers are also quick to take advantage of local events and crises</w:t>
      </w:r>
      <w:r>
        <w:t xml:space="preserve"> – such as quickly exploiting the transition to an online environment and government support packages for Australians during the COVID-19 pandemic.</w:t>
      </w:r>
    </w:p>
    <w:p w14:paraId="1A2F5F52" w14:textId="77777777" w:rsidR="007D5EE0" w:rsidRPr="00082901" w:rsidRDefault="007D5EE0" w:rsidP="007D5EE0">
      <w:pPr>
        <w:pStyle w:val="Heading3"/>
      </w:pPr>
      <w:bookmarkStart w:id="28" w:name="_Toc98323738"/>
      <w:proofErr w:type="spellStart"/>
      <w:r>
        <w:t>Scamwatch</w:t>
      </w:r>
      <w:proofErr w:type="spellEnd"/>
      <w:r>
        <w:t xml:space="preserve"> reports – phone-based scams</w:t>
      </w:r>
      <w:bookmarkEnd w:id="28"/>
    </w:p>
    <w:p w14:paraId="266889C8" w14:textId="77777777" w:rsidR="007D5EE0" w:rsidRPr="000B23F2" w:rsidRDefault="007D5EE0" w:rsidP="007D5EE0">
      <w:pPr>
        <w:pStyle w:val="Paragraphbeforelist"/>
      </w:pPr>
      <w:r>
        <w:t>In 2020, reports</w:t>
      </w:r>
      <w:r w:rsidRPr="000B23F2">
        <w:t xml:space="preserve"> of scams by phone or text accounted for 62.7% of all report</w:t>
      </w:r>
      <w:r>
        <w:t>s</w:t>
      </w:r>
      <w:r w:rsidRPr="000B23F2">
        <w:t xml:space="preserve"> to </w:t>
      </w:r>
      <w:proofErr w:type="spellStart"/>
      <w:r w:rsidRPr="000B23F2">
        <w:t>Scamwatch</w:t>
      </w:r>
      <w:proofErr w:type="spellEnd"/>
      <w:r w:rsidRPr="000B23F2">
        <w:t>:</w:t>
      </w:r>
    </w:p>
    <w:p w14:paraId="137A91F4" w14:textId="77777777" w:rsidR="007D5EE0" w:rsidRPr="000B23F2" w:rsidRDefault="007D5EE0" w:rsidP="007D5EE0">
      <w:pPr>
        <w:pStyle w:val="ListBullet"/>
      </w:pPr>
      <w:r w:rsidRPr="000B23F2">
        <w:t>$51.3</w:t>
      </w:r>
      <w:r>
        <w:t xml:space="preserve"> </w:t>
      </w:r>
      <w:r w:rsidRPr="000B23F2">
        <w:t>m</w:t>
      </w:r>
      <w:r>
        <w:t>illion</w:t>
      </w:r>
      <w:r w:rsidRPr="000B23F2">
        <w:t xml:space="preserve"> in losses from phone or text</w:t>
      </w:r>
      <w:r>
        <w:t xml:space="preserve"> </w:t>
      </w:r>
      <w:r>
        <w:rPr>
          <w:rFonts w:cs="Arial"/>
        </w:rPr>
        <w:t>–</w:t>
      </w:r>
      <w:r>
        <w:t xml:space="preserve"> a </w:t>
      </w:r>
      <w:r w:rsidRPr="000B23F2">
        <w:t xml:space="preserve">43.9% increase in losses </w:t>
      </w:r>
      <w:r>
        <w:t xml:space="preserve">from </w:t>
      </w:r>
      <w:r w:rsidRPr="000B23F2">
        <w:t>2019 ($35.63 million losses)</w:t>
      </w:r>
    </w:p>
    <w:p w14:paraId="603DFE61" w14:textId="77777777" w:rsidR="007D5EE0" w:rsidRDefault="007D5EE0" w:rsidP="007D5EE0">
      <w:pPr>
        <w:pStyle w:val="ListBulletLast"/>
        <w:numPr>
          <w:ilvl w:val="0"/>
          <w:numId w:val="4"/>
        </w:numPr>
      </w:pPr>
      <w:r w:rsidRPr="00721A85">
        <w:t xml:space="preserve">135,490 reports from phone or text </w:t>
      </w:r>
      <w:r>
        <w:t xml:space="preserve">– </w:t>
      </w:r>
      <w:r w:rsidRPr="00721A85">
        <w:t xml:space="preserve">up </w:t>
      </w:r>
      <w:r>
        <w:t>39</w:t>
      </w:r>
      <w:r w:rsidRPr="00721A85">
        <w:t xml:space="preserve">% in 2020 </w:t>
      </w:r>
      <w:r>
        <w:t>from</w:t>
      </w:r>
      <w:r w:rsidRPr="00721A85">
        <w:t xml:space="preserve"> 2019 </w:t>
      </w:r>
      <w:r>
        <w:br/>
      </w:r>
      <w:r w:rsidRPr="00721A85">
        <w:t>(97,416 reports).</w:t>
      </w:r>
    </w:p>
    <w:p w14:paraId="4554A6AE" w14:textId="77777777" w:rsidR="007D5EE0" w:rsidRDefault="007D5EE0" w:rsidP="007D5EE0">
      <w:pPr>
        <w:pStyle w:val="ListBulletLast"/>
      </w:pPr>
      <w:r w:rsidRPr="00024161">
        <w:t>Many of the losses</w:t>
      </w:r>
      <w:r>
        <w:t xml:space="preserve"> reported to </w:t>
      </w:r>
      <w:proofErr w:type="spellStart"/>
      <w:r>
        <w:t>Scamwatch</w:t>
      </w:r>
      <w:proofErr w:type="spellEnd"/>
      <w:r>
        <w:t xml:space="preserve"> in 2021 were</w:t>
      </w:r>
      <w:r w:rsidRPr="00024161">
        <w:t xml:space="preserve"> from phone</w:t>
      </w:r>
      <w:r>
        <w:t>-</w:t>
      </w:r>
      <w:r w:rsidRPr="00024161">
        <w:t xml:space="preserve">based scams, which </w:t>
      </w:r>
      <w:r>
        <w:t xml:space="preserve">to the end of September </w:t>
      </w:r>
      <w:r w:rsidRPr="00024161">
        <w:t>account</w:t>
      </w:r>
      <w:r>
        <w:t>ed</w:t>
      </w:r>
      <w:r w:rsidRPr="00024161">
        <w:t xml:space="preserve"> for over $63.6 million (31</w:t>
      </w:r>
      <w:r>
        <w:t>%</w:t>
      </w:r>
      <w:r w:rsidRPr="00024161">
        <w:t xml:space="preserve">) of the </w:t>
      </w:r>
      <w:r>
        <w:t xml:space="preserve">$211 million reported </w:t>
      </w:r>
      <w:r w:rsidRPr="00024161">
        <w:t xml:space="preserve">losses. Additionally, of the 213,000 reports that </w:t>
      </w:r>
      <w:proofErr w:type="spellStart"/>
      <w:r w:rsidRPr="00024161">
        <w:t>Scamwatch</w:t>
      </w:r>
      <w:proofErr w:type="spellEnd"/>
      <w:r w:rsidRPr="00024161">
        <w:t xml:space="preserve"> received </w:t>
      </w:r>
      <w:r>
        <w:t>to the end of September</w:t>
      </w:r>
      <w:r w:rsidRPr="00024161">
        <w:t>, 113,000 were about phone scams.</w:t>
      </w:r>
      <w:r>
        <w:rPr>
          <w:rStyle w:val="FootnoteReference"/>
        </w:rPr>
        <w:footnoteReference w:id="30"/>
      </w:r>
    </w:p>
    <w:p w14:paraId="5B8B3A13" w14:textId="77777777" w:rsidR="007D5EE0" w:rsidRDefault="007D5EE0" w:rsidP="007D5EE0">
      <w:pPr>
        <w:pStyle w:val="ListBulletLast"/>
      </w:pPr>
      <w:r>
        <w:t xml:space="preserve">The reported losses to phone-based scams in the 12-month period to September 2021 is evidence that the trend is continuing. As table 1 shows, there have been 220,714 reports and over $90,842,325 million in losses. This is a 77% increase in financial losses on the year before and an 62.9% increase in reported scams to </w:t>
      </w:r>
      <w:proofErr w:type="spellStart"/>
      <w:r>
        <w:t>Scamwatch</w:t>
      </w:r>
      <w:proofErr w:type="spellEnd"/>
      <w:r>
        <w:t>.</w:t>
      </w:r>
    </w:p>
    <w:p w14:paraId="073FD514" w14:textId="77777777" w:rsidR="007D5EE0" w:rsidRPr="004F1A65" w:rsidRDefault="007D5EE0" w:rsidP="00380028">
      <w:pPr>
        <w:pStyle w:val="Tableheading"/>
        <w:numPr>
          <w:ilvl w:val="0"/>
          <w:numId w:val="22"/>
        </w:numPr>
      </w:pPr>
      <w:proofErr w:type="spellStart"/>
      <w:r w:rsidRPr="004F1A65">
        <w:t>Scamwatch</w:t>
      </w:r>
      <w:proofErr w:type="spellEnd"/>
      <w:r w:rsidRPr="004F1A65">
        <w:t xml:space="preserve"> 12</w:t>
      </w:r>
      <w:r>
        <w:t>-</w:t>
      </w:r>
      <w:r w:rsidRPr="004F1A65">
        <w:t>month combined reports of scams via phone and text</w:t>
      </w:r>
      <w:r w:rsidRPr="00510F2F">
        <w:rPr>
          <w:rStyle w:val="FootnoteReference"/>
          <w:b w:val="0"/>
          <w:bCs w:val="0"/>
          <w:sz w:val="18"/>
          <w:szCs w:val="18"/>
        </w:rPr>
        <w:footnoteReference w:id="31"/>
      </w:r>
    </w:p>
    <w:tbl>
      <w:tblPr>
        <w:tblW w:w="7792" w:type="dxa"/>
        <w:tblLayout w:type="fixed"/>
        <w:tblCellMar>
          <w:top w:w="85" w:type="dxa"/>
          <w:bottom w:w="85" w:type="dxa"/>
        </w:tblCellMar>
        <w:tblLook w:val="04A0" w:firstRow="1" w:lastRow="0" w:firstColumn="1" w:lastColumn="0" w:noHBand="0" w:noVBand="1"/>
      </w:tblPr>
      <w:tblGrid>
        <w:gridCol w:w="1394"/>
        <w:gridCol w:w="1436"/>
        <w:gridCol w:w="1134"/>
        <w:gridCol w:w="1276"/>
        <w:gridCol w:w="1134"/>
        <w:gridCol w:w="1418"/>
      </w:tblGrid>
      <w:tr w:rsidR="007D5EE0" w:rsidRPr="00E562D9" w14:paraId="16AC30AA" w14:textId="77777777" w:rsidTr="009A305E">
        <w:trPr>
          <w:trHeight w:val="315"/>
        </w:trPr>
        <w:tc>
          <w:tcPr>
            <w:tcW w:w="1394" w:type="dxa"/>
            <w:tcBorders>
              <w:top w:val="single" w:sz="4" w:space="0" w:color="auto"/>
              <w:left w:val="single" w:sz="4" w:space="0" w:color="auto"/>
              <w:bottom w:val="single" w:sz="4" w:space="0" w:color="auto"/>
              <w:right w:val="single" w:sz="4" w:space="0" w:color="auto"/>
            </w:tcBorders>
            <w:shd w:val="clear" w:color="auto" w:fill="404040" w:themeFill="text1" w:themeFillTint="BF"/>
            <w:noWrap/>
            <w:hideMark/>
          </w:tcPr>
          <w:p w14:paraId="36DE2281" w14:textId="77777777" w:rsidR="007D5EE0" w:rsidRPr="000D50AF" w:rsidRDefault="007D5EE0" w:rsidP="009A305E">
            <w:pPr>
              <w:pStyle w:val="Paragraph"/>
              <w:spacing w:line="240" w:lineRule="auto"/>
              <w:jc w:val="center"/>
              <w:rPr>
                <w:b/>
                <w:bCs/>
                <w:color w:val="FFFFFF" w:themeColor="background1"/>
              </w:rPr>
            </w:pPr>
            <w:r w:rsidRPr="000D50AF">
              <w:rPr>
                <w:b/>
                <w:bCs/>
                <w:color w:val="FFFFFF" w:themeColor="background1"/>
              </w:rPr>
              <w:t>12 months to September 2021</w:t>
            </w:r>
          </w:p>
        </w:tc>
        <w:tc>
          <w:tcPr>
            <w:tcW w:w="1436" w:type="dxa"/>
            <w:tcBorders>
              <w:top w:val="single" w:sz="4" w:space="0" w:color="auto"/>
              <w:left w:val="nil"/>
              <w:bottom w:val="single" w:sz="4" w:space="0" w:color="auto"/>
              <w:right w:val="single" w:sz="4" w:space="0" w:color="auto"/>
            </w:tcBorders>
            <w:shd w:val="clear" w:color="auto" w:fill="404040" w:themeFill="text1" w:themeFillTint="BF"/>
            <w:noWrap/>
            <w:hideMark/>
          </w:tcPr>
          <w:p w14:paraId="02DE7839" w14:textId="77777777" w:rsidR="007D5EE0" w:rsidRPr="000D50AF" w:rsidRDefault="007D5EE0" w:rsidP="009A305E">
            <w:pPr>
              <w:pStyle w:val="Paragraph"/>
              <w:spacing w:line="240" w:lineRule="auto"/>
              <w:jc w:val="center"/>
              <w:rPr>
                <w:b/>
                <w:bCs/>
                <w:color w:val="FFFFFF" w:themeColor="background1"/>
              </w:rPr>
            </w:pPr>
            <w:r w:rsidRPr="000D50AF">
              <w:rPr>
                <w:b/>
                <w:bCs/>
                <w:color w:val="FFFFFF" w:themeColor="background1"/>
              </w:rPr>
              <w:t xml:space="preserve">Monetary </w:t>
            </w:r>
            <w:r>
              <w:rPr>
                <w:b/>
                <w:bCs/>
                <w:color w:val="FFFFFF" w:themeColor="background1"/>
              </w:rPr>
              <w:t>l</w:t>
            </w:r>
            <w:r w:rsidRPr="000D50AF">
              <w:rPr>
                <w:b/>
                <w:bCs/>
                <w:color w:val="FFFFFF" w:themeColor="background1"/>
              </w:rPr>
              <w:t>oss</w:t>
            </w:r>
          </w:p>
        </w:tc>
        <w:tc>
          <w:tcPr>
            <w:tcW w:w="1134" w:type="dxa"/>
            <w:tcBorders>
              <w:top w:val="single" w:sz="4" w:space="0" w:color="auto"/>
              <w:left w:val="nil"/>
              <w:bottom w:val="single" w:sz="4" w:space="0" w:color="auto"/>
              <w:right w:val="single" w:sz="4" w:space="0" w:color="auto"/>
            </w:tcBorders>
            <w:shd w:val="clear" w:color="auto" w:fill="404040" w:themeFill="text1" w:themeFillTint="BF"/>
            <w:noWrap/>
            <w:hideMark/>
          </w:tcPr>
          <w:p w14:paraId="2BB6CF84" w14:textId="77777777" w:rsidR="007D5EE0" w:rsidRPr="000D50AF" w:rsidRDefault="007D5EE0" w:rsidP="009A305E">
            <w:pPr>
              <w:pStyle w:val="Paragraph"/>
              <w:spacing w:line="240" w:lineRule="auto"/>
              <w:jc w:val="center"/>
              <w:rPr>
                <w:b/>
                <w:bCs/>
                <w:color w:val="FFFFFF" w:themeColor="background1"/>
              </w:rPr>
            </w:pPr>
            <w:r w:rsidRPr="000D50AF">
              <w:rPr>
                <w:b/>
                <w:bCs/>
                <w:color w:val="FFFFFF" w:themeColor="background1"/>
              </w:rPr>
              <w:t xml:space="preserve">Reported w/ </w:t>
            </w:r>
            <w:r>
              <w:rPr>
                <w:b/>
                <w:bCs/>
                <w:color w:val="FFFFFF" w:themeColor="background1"/>
              </w:rPr>
              <w:t>f</w:t>
            </w:r>
            <w:r w:rsidRPr="000D50AF">
              <w:rPr>
                <w:b/>
                <w:bCs/>
                <w:color w:val="FFFFFF" w:themeColor="background1"/>
              </w:rPr>
              <w:t xml:space="preserve">inancial </w:t>
            </w:r>
            <w:r>
              <w:rPr>
                <w:b/>
                <w:bCs/>
                <w:color w:val="FFFFFF" w:themeColor="background1"/>
              </w:rPr>
              <w:t>l</w:t>
            </w:r>
            <w:r w:rsidRPr="000D50AF">
              <w:rPr>
                <w:b/>
                <w:bCs/>
                <w:color w:val="FFFFFF" w:themeColor="background1"/>
              </w:rPr>
              <w:t>oss (F/L)</w:t>
            </w:r>
          </w:p>
        </w:tc>
        <w:tc>
          <w:tcPr>
            <w:tcW w:w="1276" w:type="dxa"/>
            <w:tcBorders>
              <w:top w:val="single" w:sz="4" w:space="0" w:color="auto"/>
              <w:left w:val="nil"/>
              <w:bottom w:val="single" w:sz="4" w:space="0" w:color="auto"/>
              <w:right w:val="single" w:sz="4" w:space="0" w:color="auto"/>
            </w:tcBorders>
            <w:shd w:val="clear" w:color="auto" w:fill="404040" w:themeFill="text1" w:themeFillTint="BF"/>
            <w:noWrap/>
            <w:hideMark/>
          </w:tcPr>
          <w:p w14:paraId="1F43C643" w14:textId="77777777" w:rsidR="007D5EE0" w:rsidRPr="000D50AF" w:rsidRDefault="007D5EE0" w:rsidP="009A305E">
            <w:pPr>
              <w:pStyle w:val="Paragraph"/>
              <w:spacing w:line="240" w:lineRule="auto"/>
              <w:jc w:val="center"/>
              <w:rPr>
                <w:b/>
                <w:bCs/>
                <w:color w:val="FFFFFF" w:themeColor="background1"/>
              </w:rPr>
            </w:pPr>
            <w:r w:rsidRPr="000D50AF">
              <w:rPr>
                <w:b/>
                <w:bCs/>
                <w:color w:val="FFFFFF" w:themeColor="background1"/>
              </w:rPr>
              <w:t xml:space="preserve">Number of </w:t>
            </w:r>
            <w:r>
              <w:rPr>
                <w:b/>
                <w:bCs/>
                <w:color w:val="FFFFFF" w:themeColor="background1"/>
              </w:rPr>
              <w:t>s</w:t>
            </w:r>
            <w:r w:rsidRPr="000D50AF">
              <w:rPr>
                <w:b/>
                <w:bCs/>
                <w:color w:val="FFFFFF" w:themeColor="background1"/>
              </w:rPr>
              <w:t xml:space="preserve">cams </w:t>
            </w:r>
            <w:r>
              <w:rPr>
                <w:b/>
                <w:bCs/>
                <w:color w:val="FFFFFF" w:themeColor="background1"/>
              </w:rPr>
              <w:t>r</w:t>
            </w:r>
            <w:r w:rsidRPr="000D50AF">
              <w:rPr>
                <w:b/>
                <w:bCs/>
                <w:color w:val="FFFFFF" w:themeColor="background1"/>
              </w:rPr>
              <w:t>eported</w:t>
            </w:r>
          </w:p>
        </w:tc>
        <w:tc>
          <w:tcPr>
            <w:tcW w:w="1134" w:type="dxa"/>
            <w:tcBorders>
              <w:top w:val="single" w:sz="4" w:space="0" w:color="auto"/>
              <w:left w:val="nil"/>
              <w:bottom w:val="single" w:sz="4" w:space="0" w:color="auto"/>
              <w:right w:val="single" w:sz="4" w:space="0" w:color="auto"/>
            </w:tcBorders>
            <w:shd w:val="clear" w:color="auto" w:fill="404040" w:themeFill="text1" w:themeFillTint="BF"/>
            <w:noWrap/>
            <w:hideMark/>
          </w:tcPr>
          <w:p w14:paraId="0619B184" w14:textId="77777777" w:rsidR="007D5EE0" w:rsidRPr="000D50AF" w:rsidRDefault="007D5EE0" w:rsidP="009A305E">
            <w:pPr>
              <w:pStyle w:val="Paragraph"/>
              <w:spacing w:line="240" w:lineRule="auto"/>
              <w:jc w:val="center"/>
              <w:rPr>
                <w:b/>
                <w:bCs/>
                <w:color w:val="FFFFFF" w:themeColor="background1"/>
              </w:rPr>
            </w:pPr>
            <w:r w:rsidRPr="000D50AF">
              <w:rPr>
                <w:b/>
                <w:bCs/>
                <w:color w:val="FFFFFF" w:themeColor="background1"/>
              </w:rPr>
              <w:t xml:space="preserve">Average </w:t>
            </w:r>
            <w:r>
              <w:rPr>
                <w:b/>
                <w:bCs/>
                <w:color w:val="FFFFFF" w:themeColor="background1"/>
              </w:rPr>
              <w:t>l</w:t>
            </w:r>
            <w:r w:rsidRPr="000D50AF">
              <w:rPr>
                <w:b/>
                <w:bCs/>
                <w:color w:val="FFFFFF" w:themeColor="background1"/>
              </w:rPr>
              <w:t>oss</w:t>
            </w:r>
          </w:p>
        </w:tc>
        <w:tc>
          <w:tcPr>
            <w:tcW w:w="1418" w:type="dxa"/>
            <w:tcBorders>
              <w:top w:val="single" w:sz="4" w:space="0" w:color="auto"/>
              <w:left w:val="nil"/>
              <w:bottom w:val="single" w:sz="4" w:space="0" w:color="auto"/>
              <w:right w:val="single" w:sz="4" w:space="0" w:color="auto"/>
            </w:tcBorders>
            <w:shd w:val="clear" w:color="auto" w:fill="404040" w:themeFill="text1" w:themeFillTint="BF"/>
            <w:noWrap/>
            <w:hideMark/>
          </w:tcPr>
          <w:p w14:paraId="22BBB8C5" w14:textId="77777777" w:rsidR="007D5EE0" w:rsidRPr="000D50AF" w:rsidRDefault="007D5EE0" w:rsidP="009A305E">
            <w:pPr>
              <w:pStyle w:val="Paragraph"/>
              <w:spacing w:line="240" w:lineRule="auto"/>
              <w:jc w:val="center"/>
              <w:rPr>
                <w:b/>
                <w:bCs/>
                <w:color w:val="FFFFFF" w:themeColor="background1"/>
              </w:rPr>
            </w:pPr>
            <w:r w:rsidRPr="000D50AF">
              <w:rPr>
                <w:b/>
                <w:bCs/>
                <w:color w:val="FFFFFF" w:themeColor="background1"/>
              </w:rPr>
              <w:t xml:space="preserve">Average </w:t>
            </w:r>
            <w:r>
              <w:rPr>
                <w:b/>
                <w:bCs/>
                <w:color w:val="FFFFFF" w:themeColor="background1"/>
              </w:rPr>
              <w:t>l</w:t>
            </w:r>
            <w:r w:rsidRPr="000D50AF">
              <w:rPr>
                <w:b/>
                <w:bCs/>
                <w:color w:val="FFFFFF" w:themeColor="background1"/>
              </w:rPr>
              <w:t xml:space="preserve">oss of </w:t>
            </w:r>
            <w:r>
              <w:rPr>
                <w:b/>
                <w:bCs/>
                <w:color w:val="FFFFFF" w:themeColor="background1"/>
              </w:rPr>
              <w:t>r</w:t>
            </w:r>
            <w:r w:rsidRPr="000D50AF">
              <w:rPr>
                <w:b/>
                <w:bCs/>
                <w:color w:val="FFFFFF" w:themeColor="background1"/>
              </w:rPr>
              <w:t>eporting F/L</w:t>
            </w:r>
          </w:p>
        </w:tc>
      </w:tr>
      <w:tr w:rsidR="007D5EE0" w:rsidRPr="005210CE" w14:paraId="53A705EF" w14:textId="77777777" w:rsidTr="009A305E">
        <w:trPr>
          <w:trHeight w:val="300"/>
        </w:trPr>
        <w:tc>
          <w:tcPr>
            <w:tcW w:w="139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6D3AE17" w14:textId="77777777" w:rsidR="007D5EE0" w:rsidRPr="005210CE" w:rsidRDefault="007D5EE0" w:rsidP="009A305E">
            <w:pPr>
              <w:pStyle w:val="Paragraph"/>
              <w:spacing w:line="240" w:lineRule="auto"/>
              <w:jc w:val="center"/>
            </w:pPr>
            <w:r w:rsidRPr="005210CE">
              <w:t>All reports</w:t>
            </w:r>
          </w:p>
        </w:tc>
        <w:tc>
          <w:tcPr>
            <w:tcW w:w="1436" w:type="dxa"/>
            <w:tcBorders>
              <w:top w:val="nil"/>
              <w:left w:val="nil"/>
              <w:bottom w:val="single" w:sz="4" w:space="0" w:color="auto"/>
              <w:right w:val="single" w:sz="4" w:space="0" w:color="auto"/>
            </w:tcBorders>
            <w:shd w:val="clear" w:color="auto" w:fill="F2F2F2" w:themeFill="background1" w:themeFillShade="F2"/>
            <w:noWrap/>
            <w:vAlign w:val="bottom"/>
            <w:hideMark/>
          </w:tcPr>
          <w:p w14:paraId="61CA9B5E" w14:textId="77777777" w:rsidR="007D5EE0" w:rsidRPr="005210CE" w:rsidRDefault="007D5EE0" w:rsidP="009A305E">
            <w:pPr>
              <w:pStyle w:val="Paragraph"/>
              <w:spacing w:line="240" w:lineRule="auto"/>
              <w:jc w:val="center"/>
            </w:pPr>
            <w:r w:rsidRPr="005210CE">
              <w:t>$90,842,325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34B75E62" w14:textId="77777777" w:rsidR="007D5EE0" w:rsidRPr="005210CE" w:rsidRDefault="007D5EE0" w:rsidP="009A305E">
            <w:pPr>
              <w:pStyle w:val="Paragraph"/>
              <w:spacing w:line="240" w:lineRule="auto"/>
              <w:jc w:val="center"/>
            </w:pPr>
            <w:r w:rsidRPr="005210CE">
              <w:t>8.6%</w:t>
            </w:r>
          </w:p>
        </w:tc>
        <w:tc>
          <w:tcPr>
            <w:tcW w:w="1276" w:type="dxa"/>
            <w:tcBorders>
              <w:top w:val="nil"/>
              <w:left w:val="nil"/>
              <w:bottom w:val="single" w:sz="4" w:space="0" w:color="auto"/>
              <w:right w:val="single" w:sz="4" w:space="0" w:color="auto"/>
            </w:tcBorders>
            <w:shd w:val="clear" w:color="auto" w:fill="F2F2F2" w:themeFill="background1" w:themeFillShade="F2"/>
            <w:vAlign w:val="bottom"/>
            <w:hideMark/>
          </w:tcPr>
          <w:p w14:paraId="79ACAB64" w14:textId="77777777" w:rsidR="007D5EE0" w:rsidRPr="005210CE" w:rsidRDefault="007D5EE0" w:rsidP="009A305E">
            <w:pPr>
              <w:pStyle w:val="Paragraph"/>
              <w:spacing w:line="240" w:lineRule="auto"/>
              <w:jc w:val="center"/>
            </w:pPr>
            <w:r w:rsidRPr="005210CE">
              <w:t>220</w:t>
            </w:r>
            <w:r>
              <w:t>,</w:t>
            </w:r>
            <w:r w:rsidRPr="005210CE">
              <w:t>714</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14:paraId="70381AB4" w14:textId="77777777" w:rsidR="007D5EE0" w:rsidRPr="005210CE" w:rsidRDefault="007D5EE0" w:rsidP="009A305E">
            <w:pPr>
              <w:pStyle w:val="Paragraph"/>
              <w:spacing w:line="240" w:lineRule="auto"/>
              <w:jc w:val="center"/>
            </w:pPr>
            <w:r w:rsidRPr="005210CE">
              <w:t>$412</w:t>
            </w:r>
          </w:p>
        </w:tc>
        <w:tc>
          <w:tcPr>
            <w:tcW w:w="1418" w:type="dxa"/>
            <w:tcBorders>
              <w:top w:val="nil"/>
              <w:left w:val="nil"/>
              <w:bottom w:val="single" w:sz="4" w:space="0" w:color="auto"/>
              <w:right w:val="single" w:sz="4" w:space="0" w:color="auto"/>
            </w:tcBorders>
            <w:shd w:val="clear" w:color="auto" w:fill="F2F2F2" w:themeFill="background1" w:themeFillShade="F2"/>
            <w:noWrap/>
            <w:vAlign w:val="bottom"/>
            <w:hideMark/>
          </w:tcPr>
          <w:p w14:paraId="33656380" w14:textId="77777777" w:rsidR="007D5EE0" w:rsidRPr="005210CE" w:rsidRDefault="007D5EE0" w:rsidP="009A305E">
            <w:pPr>
              <w:pStyle w:val="Paragraph"/>
              <w:spacing w:line="240" w:lineRule="auto"/>
              <w:jc w:val="center"/>
            </w:pPr>
            <w:r w:rsidRPr="005210CE">
              <w:t>$4,786</w:t>
            </w:r>
          </w:p>
        </w:tc>
      </w:tr>
    </w:tbl>
    <w:p w14:paraId="499B72E5" w14:textId="77777777" w:rsidR="007D5EE0" w:rsidRPr="006C7C88" w:rsidRDefault="007D5EE0" w:rsidP="007D5EE0">
      <w:pPr>
        <w:spacing w:before="240"/>
        <w:rPr>
          <w:rFonts w:ascii="Arial" w:hAnsi="Arial" w:cs="Arial"/>
          <w:b/>
          <w:bCs/>
          <w:iCs/>
          <w:sz w:val="20"/>
          <w:szCs w:val="20"/>
        </w:rPr>
      </w:pPr>
      <w:r w:rsidRPr="006C7C88">
        <w:rPr>
          <w:rFonts w:ascii="Arial" w:hAnsi="Arial" w:cs="Arial"/>
          <w:iCs/>
          <w:sz w:val="20"/>
          <w:szCs w:val="20"/>
        </w:rPr>
        <w:t xml:space="preserve">Scam activity impacts directly on the financial and emotional wellbeing of many Australians. It also undermines confidence in our telecommunications services. In this sense, CSPs and the broader community (beyond victims of scams themselves) are also impacted by scam activity, even where they have not been directly involved in </w:t>
      </w:r>
      <w:r w:rsidRPr="006C7C88">
        <w:rPr>
          <w:rFonts w:ascii="Arial" w:hAnsi="Arial" w:cs="Arial"/>
          <w:iCs/>
          <w:sz w:val="20"/>
          <w:szCs w:val="20"/>
        </w:rPr>
        <w:br/>
        <w:t>a scam.</w:t>
      </w:r>
    </w:p>
    <w:p w14:paraId="6B93A98F" w14:textId="77777777" w:rsidR="007D5EE0" w:rsidRPr="006C7C88" w:rsidRDefault="007D5EE0" w:rsidP="007D5EE0">
      <w:pPr>
        <w:pStyle w:val="Heading3"/>
        <w:rPr>
          <w:szCs w:val="20"/>
        </w:rPr>
      </w:pPr>
      <w:bookmarkStart w:id="29" w:name="_Toc98323739"/>
      <w:r w:rsidRPr="006C7C88">
        <w:rPr>
          <w:szCs w:val="20"/>
        </w:rPr>
        <w:t>High-risk customer transactions</w:t>
      </w:r>
      <w:bookmarkEnd w:id="29"/>
    </w:p>
    <w:p w14:paraId="1ADCC225" w14:textId="77777777" w:rsidR="007D5EE0" w:rsidRPr="006C7C88" w:rsidRDefault="007D5EE0" w:rsidP="007D5EE0">
      <w:pPr>
        <w:spacing w:before="240" w:after="100" w:line="240" w:lineRule="auto"/>
        <w:rPr>
          <w:rFonts w:ascii="Arial" w:hAnsi="Arial" w:cs="Arial"/>
          <w:color w:val="7C426F"/>
          <w:sz w:val="20"/>
          <w:szCs w:val="20"/>
        </w:rPr>
      </w:pPr>
      <w:r w:rsidRPr="006C7C88">
        <w:rPr>
          <w:rFonts w:ascii="Arial" w:hAnsi="Arial" w:cs="Arial"/>
          <w:noProof/>
          <w:color w:val="7C426F"/>
          <w:sz w:val="20"/>
          <w:szCs w:val="20"/>
        </w:rPr>
        <w:drawing>
          <wp:anchor distT="0" distB="0" distL="114300" distR="114300" simplePos="0" relativeHeight="251662336" behindDoc="0" locked="0" layoutInCell="1" allowOverlap="1" wp14:anchorId="4EEACD43" wp14:editId="20D15B15">
            <wp:simplePos x="0" y="0"/>
            <wp:positionH relativeFrom="margin">
              <wp:posOffset>50800</wp:posOffset>
            </wp:positionH>
            <wp:positionV relativeFrom="paragraph">
              <wp:posOffset>59534</wp:posOffset>
            </wp:positionV>
            <wp:extent cx="457200" cy="457200"/>
            <wp:effectExtent l="0" t="0" r="0" b="0"/>
            <wp:wrapSquare wrapText="bothSides"/>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457200" cy="457200"/>
                    </a:xfrm>
                    <a:prstGeom prst="rect">
                      <a:avLst/>
                    </a:prstGeom>
                  </pic:spPr>
                </pic:pic>
              </a:graphicData>
            </a:graphic>
          </wp:anchor>
        </w:drawing>
      </w:r>
      <w:r w:rsidRPr="006C7C88">
        <w:rPr>
          <w:rFonts w:ascii="Arial" w:hAnsi="Arial" w:cs="Arial"/>
          <w:color w:val="7C426F"/>
          <w:sz w:val="20"/>
          <w:szCs w:val="20"/>
        </w:rPr>
        <w:t xml:space="preserve">Anyone can fall prey to a scam </w:t>
      </w:r>
      <w:proofErr w:type="gramStart"/>
      <w:r w:rsidRPr="006C7C88">
        <w:rPr>
          <w:rFonts w:ascii="Arial" w:hAnsi="Arial" w:cs="Arial"/>
          <w:color w:val="7C426F"/>
          <w:sz w:val="20"/>
          <w:szCs w:val="20"/>
        </w:rPr>
        <w:t>as a result of</w:t>
      </w:r>
      <w:proofErr w:type="gramEnd"/>
      <w:r w:rsidRPr="006C7C88">
        <w:rPr>
          <w:rFonts w:ascii="Arial" w:hAnsi="Arial" w:cs="Arial"/>
          <w:color w:val="7C426F"/>
          <w:sz w:val="20"/>
          <w:szCs w:val="20"/>
        </w:rPr>
        <w:t xml:space="preserve"> a high-risk customer interaction regardless of age, gender, education or economic background.</w:t>
      </w:r>
    </w:p>
    <w:p w14:paraId="2210CE33" w14:textId="77777777" w:rsidR="007D5EE0" w:rsidRPr="006C7C88" w:rsidRDefault="007D5EE0" w:rsidP="007D5EE0">
      <w:pPr>
        <w:spacing w:after="100" w:line="240" w:lineRule="auto"/>
        <w:rPr>
          <w:rFonts w:ascii="Arial" w:hAnsi="Arial" w:cs="Arial"/>
          <w:sz w:val="20"/>
          <w:szCs w:val="20"/>
        </w:rPr>
      </w:pPr>
    </w:p>
    <w:p w14:paraId="79C33C50" w14:textId="77777777" w:rsidR="007D5EE0" w:rsidRPr="006C7C88" w:rsidRDefault="007D5EE0" w:rsidP="007D5EE0">
      <w:pPr>
        <w:pStyle w:val="Paragraph"/>
        <w:rPr>
          <w:szCs w:val="20"/>
        </w:rPr>
      </w:pPr>
      <w:r w:rsidRPr="006C7C88">
        <w:rPr>
          <w:szCs w:val="20"/>
        </w:rPr>
        <w:t>A high-risk customer interaction is any interaction that could, where unauthorised access is gained, result in a customer losing access to their telecommunications service or theft of their personal information.</w:t>
      </w:r>
    </w:p>
    <w:p w14:paraId="51EDB555" w14:textId="77777777" w:rsidR="007D5EE0" w:rsidRPr="006C7C88" w:rsidRDefault="007D5EE0" w:rsidP="007D5EE0">
      <w:pPr>
        <w:pStyle w:val="Paragraph"/>
        <w:rPr>
          <w:szCs w:val="20"/>
        </w:rPr>
      </w:pPr>
      <w:r w:rsidRPr="006C7C88">
        <w:rPr>
          <w:szCs w:val="20"/>
        </w:rPr>
        <w:t>It may include where a customer has contacted a CSP or where a CSP contacts a customer, and the CSP discloses customer information or makes a change to the telecommunications service provided to a customer or their account. For example, to enable a SIM swap</w:t>
      </w:r>
      <w:r w:rsidRPr="006C7C88">
        <w:rPr>
          <w:rStyle w:val="FootnoteReference"/>
          <w:szCs w:val="20"/>
          <w:lang w:val="en-US"/>
        </w:rPr>
        <w:footnoteReference w:id="32"/>
      </w:r>
      <w:r w:rsidRPr="006C7C88">
        <w:rPr>
          <w:szCs w:val="20"/>
        </w:rPr>
        <w:t xml:space="preserve"> request, call diversion request, post-paid to pre-paid mobile service request, or any request to change information in customer accounts (such as change of address or adding an authorised account holder).</w:t>
      </w:r>
    </w:p>
    <w:p w14:paraId="275269DA" w14:textId="77777777" w:rsidR="007D5EE0" w:rsidRPr="006C7C88" w:rsidRDefault="007D5EE0" w:rsidP="007D5EE0">
      <w:pPr>
        <w:spacing w:after="100" w:line="240" w:lineRule="auto"/>
        <w:rPr>
          <w:rFonts w:ascii="Arial" w:hAnsi="Arial" w:cs="Arial"/>
          <w:sz w:val="20"/>
          <w:szCs w:val="20"/>
        </w:rPr>
      </w:pPr>
      <w:r w:rsidRPr="006C7C88">
        <w:rPr>
          <w:rFonts w:ascii="Arial" w:hAnsi="Arial" w:cs="Arial"/>
          <w:sz w:val="20"/>
          <w:szCs w:val="20"/>
        </w:rPr>
        <w:t>Scammers target CSPs’ authentication processes to gather sufficient information to later pose as the customer to facilitate a transaction, such as a fraudulent SIM swap or ‘purchasing’ expensive handsets and allowing scammers to gain full access to customer accounts and payment details. This includes making phishing</w:t>
      </w:r>
      <w:r w:rsidRPr="006C7C88">
        <w:rPr>
          <w:rStyle w:val="FootnoteReference"/>
          <w:rFonts w:cs="Arial"/>
          <w:sz w:val="20"/>
          <w:szCs w:val="20"/>
        </w:rPr>
        <w:footnoteReference w:id="33"/>
      </w:r>
      <w:r w:rsidRPr="006C7C88">
        <w:rPr>
          <w:rFonts w:ascii="Arial" w:hAnsi="Arial" w:cs="Arial"/>
          <w:sz w:val="20"/>
          <w:szCs w:val="20"/>
        </w:rPr>
        <w:t xml:space="preserve"> calls to CSPs’ customer service representatives to harvest the details they need or to make changes to the target’s account.</w:t>
      </w:r>
    </w:p>
    <w:p w14:paraId="1FB3A039" w14:textId="77777777" w:rsidR="007D5EE0" w:rsidRPr="005313C4" w:rsidRDefault="007D5EE0" w:rsidP="007D5EE0">
      <w:pPr>
        <w:pStyle w:val="Heading4"/>
        <w:rPr>
          <w:i w:val="0"/>
          <w:iCs/>
          <w:szCs w:val="20"/>
        </w:rPr>
      </w:pPr>
      <w:r w:rsidRPr="005313C4">
        <w:rPr>
          <w:i w:val="0"/>
          <w:iCs/>
          <w:szCs w:val="20"/>
        </w:rPr>
        <w:t>Current customer authentication measures</w:t>
      </w:r>
    </w:p>
    <w:p w14:paraId="49165DE2" w14:textId="77777777" w:rsidR="007D5EE0" w:rsidRPr="006C7C88" w:rsidRDefault="007D5EE0" w:rsidP="007D5EE0">
      <w:pPr>
        <w:pStyle w:val="Paragraph"/>
        <w:rPr>
          <w:szCs w:val="20"/>
        </w:rPr>
      </w:pPr>
      <w:r w:rsidRPr="006C7C88">
        <w:rPr>
          <w:szCs w:val="20"/>
        </w:rPr>
        <w:t>There are no specific regulatory obligations on C/CSPs in relation to high-risk customer transactions; however, they have an obligation under Part 13 of the Telecommunications Act to protect the confidentiality of information relating to communications carried or supplied. C/CSPs also have an obligation under Part 14 of the Telecommunications Act to do their best to prevent their networks or facilities being used in the commission of offences against the laws of the Commonwealth, states, and territories.</w:t>
      </w:r>
    </w:p>
    <w:p w14:paraId="7A1C8343" w14:textId="77777777" w:rsidR="007D5EE0" w:rsidRPr="006C7C88" w:rsidRDefault="007D5EE0" w:rsidP="007D5EE0">
      <w:pPr>
        <w:pStyle w:val="Paragraph"/>
        <w:rPr>
          <w:szCs w:val="20"/>
        </w:rPr>
      </w:pPr>
      <w:r w:rsidRPr="006C7C88">
        <w:rPr>
          <w:szCs w:val="20"/>
        </w:rPr>
        <w:t xml:space="preserve">C/CSPs have obligations to protect personal information under the </w:t>
      </w:r>
      <w:r w:rsidRPr="006C7C88">
        <w:rPr>
          <w:i/>
          <w:iCs/>
          <w:szCs w:val="20"/>
        </w:rPr>
        <w:t xml:space="preserve">Privacy Act 1988 </w:t>
      </w:r>
      <w:r w:rsidRPr="006C7C88">
        <w:rPr>
          <w:szCs w:val="20"/>
        </w:rPr>
        <w:t>(the Privacy Act) as well as under Part 6 of the Telecommunications Act. C/CSPs also view the relationship with their customers as commercially sensitive and want to protect their customer base.</w:t>
      </w:r>
    </w:p>
    <w:p w14:paraId="32E48B37" w14:textId="77777777" w:rsidR="007D5EE0" w:rsidRPr="006C7C88" w:rsidRDefault="007D5EE0" w:rsidP="007D5EE0">
      <w:pPr>
        <w:pStyle w:val="Paragraph"/>
        <w:rPr>
          <w:szCs w:val="20"/>
        </w:rPr>
      </w:pPr>
      <w:r w:rsidRPr="006C7C88">
        <w:rPr>
          <w:szCs w:val="20"/>
        </w:rPr>
        <w:t xml:space="preserve">There are obligations on providers to check a customer’s identity before buying or activating a prepaid mobile service set out in the </w:t>
      </w:r>
      <w:hyperlink r:id="rId45" w:history="1">
        <w:r w:rsidRPr="006C7C88">
          <w:rPr>
            <w:rStyle w:val="Hyperlink"/>
            <w:szCs w:val="20"/>
          </w:rPr>
          <w:t>Telecommunications (Service Provider – Identity Checks for Prepaid Mobile Carriage Services) Determination 2017</w:t>
        </w:r>
      </w:hyperlink>
      <w:r w:rsidRPr="006C7C88">
        <w:rPr>
          <w:szCs w:val="20"/>
        </w:rPr>
        <w:t>.</w:t>
      </w:r>
    </w:p>
    <w:p w14:paraId="04BD89C9" w14:textId="77777777" w:rsidR="007D5EE0" w:rsidRPr="006C7C88" w:rsidRDefault="007D5EE0" w:rsidP="007D5EE0">
      <w:pPr>
        <w:pStyle w:val="Paragraph"/>
        <w:rPr>
          <w:szCs w:val="20"/>
        </w:rPr>
      </w:pPr>
      <w:r w:rsidRPr="006C7C88">
        <w:rPr>
          <w:szCs w:val="20"/>
        </w:rPr>
        <w:t>There are also ACMA-registered enforceable industry codes developed by Communications Alliance Ltd</w:t>
      </w:r>
      <w:r w:rsidRPr="006C7C88">
        <w:rPr>
          <w:szCs w:val="20"/>
          <w:vertAlign w:val="superscript"/>
        </w:rPr>
        <w:footnoteReference w:id="34"/>
      </w:r>
      <w:r w:rsidRPr="006C7C88">
        <w:rPr>
          <w:szCs w:val="20"/>
        </w:rPr>
        <w:t xml:space="preserve"> that specify technical and operational requirements, including the </w:t>
      </w:r>
      <w:hyperlink r:id="rId46" w:history="1">
        <w:r w:rsidRPr="006C7C88">
          <w:rPr>
            <w:rStyle w:val="Hyperlink"/>
            <w:szCs w:val="20"/>
          </w:rPr>
          <w:t>Telecommunications Consumer Protections Code</w:t>
        </w:r>
      </w:hyperlink>
      <w:r w:rsidRPr="006C7C88">
        <w:rPr>
          <w:rStyle w:val="Hyperlink"/>
          <w:szCs w:val="20"/>
        </w:rPr>
        <w:t>,</w:t>
      </w:r>
      <w:r w:rsidRPr="006C7C88">
        <w:rPr>
          <w:szCs w:val="20"/>
        </w:rPr>
        <w:t xml:space="preserve"> and </w:t>
      </w:r>
      <w:hyperlink r:id="rId47" w:history="1">
        <w:r w:rsidRPr="006C7C88">
          <w:rPr>
            <w:rStyle w:val="Hyperlink"/>
            <w:szCs w:val="20"/>
          </w:rPr>
          <w:t>Mobile Number Portability Code</w:t>
        </w:r>
      </w:hyperlink>
      <w:r w:rsidRPr="006C7C88">
        <w:rPr>
          <w:szCs w:val="20"/>
        </w:rPr>
        <w:t>. These codes include key commitments to protecting consumers’ privacy and obligations when obtaining a customer’s consent and authorisation prior to porting a service to another provider.</w:t>
      </w:r>
    </w:p>
    <w:p w14:paraId="765B9E76" w14:textId="77777777" w:rsidR="007D5EE0" w:rsidRPr="006C7C88" w:rsidRDefault="007D5EE0" w:rsidP="007D5EE0">
      <w:pPr>
        <w:pStyle w:val="ListBullet"/>
        <w:numPr>
          <w:ilvl w:val="0"/>
          <w:numId w:val="0"/>
        </w:numPr>
        <w:rPr>
          <w:rFonts w:cs="Arial"/>
          <w:szCs w:val="20"/>
        </w:rPr>
      </w:pPr>
      <w:r w:rsidRPr="006C7C88">
        <w:rPr>
          <w:rFonts w:cs="Arial"/>
          <w:szCs w:val="20"/>
        </w:rPr>
        <w:t xml:space="preserve">The arrangements for customer authorisation are contained in the </w:t>
      </w:r>
      <w:hyperlink r:id="rId48" w:history="1">
        <w:r w:rsidRPr="006C7C88">
          <w:rPr>
            <w:rStyle w:val="Hyperlink"/>
            <w:rFonts w:cs="Arial"/>
            <w:szCs w:val="20"/>
          </w:rPr>
          <w:t>Customer Authorisation Industry Guideline</w:t>
        </w:r>
      </w:hyperlink>
      <w:r w:rsidRPr="006C7C88">
        <w:rPr>
          <w:rFonts w:cs="Arial"/>
          <w:szCs w:val="20"/>
        </w:rPr>
        <w:t>. The guideline streamlines and simplifies information provided to and gathered from customers when transferring a service. It sets out:</w:t>
      </w:r>
    </w:p>
    <w:p w14:paraId="33DB08C8" w14:textId="77777777" w:rsidR="007D5EE0" w:rsidRPr="006C7C88" w:rsidRDefault="007D5EE0" w:rsidP="007D5EE0">
      <w:pPr>
        <w:pStyle w:val="ListBullet"/>
        <w:rPr>
          <w:rFonts w:eastAsiaTheme="minorHAnsi" w:cs="Arial"/>
          <w:szCs w:val="20"/>
        </w:rPr>
      </w:pPr>
      <w:r w:rsidRPr="006C7C88">
        <w:rPr>
          <w:rFonts w:eastAsiaTheme="minorHAnsi" w:cs="Arial"/>
          <w:szCs w:val="20"/>
        </w:rPr>
        <w:t>common information to be provided to all customers before they agree to transfer their number</w:t>
      </w:r>
    </w:p>
    <w:p w14:paraId="74ECBA7E" w14:textId="77777777" w:rsidR="007D5EE0" w:rsidRPr="006C7C88" w:rsidRDefault="007D5EE0" w:rsidP="007D5EE0">
      <w:pPr>
        <w:pStyle w:val="ListBulletLast"/>
        <w:numPr>
          <w:ilvl w:val="0"/>
          <w:numId w:val="4"/>
        </w:numPr>
        <w:rPr>
          <w:szCs w:val="20"/>
        </w:rPr>
      </w:pPr>
      <w:r w:rsidRPr="006C7C88">
        <w:rPr>
          <w:rFonts w:eastAsiaTheme="minorHAnsi"/>
          <w:szCs w:val="20"/>
        </w:rPr>
        <w:t>information to be obtained from the customer to obtain a valid customer</w:t>
      </w:r>
      <w:r w:rsidRPr="006C7C88">
        <w:rPr>
          <w:szCs w:val="20"/>
        </w:rPr>
        <w:t xml:space="preserve"> authorisation.</w:t>
      </w:r>
    </w:p>
    <w:p w14:paraId="38BB6BCF" w14:textId="77777777" w:rsidR="007D5EE0" w:rsidRPr="006C7C88" w:rsidRDefault="007D5EE0" w:rsidP="007D5EE0">
      <w:pPr>
        <w:pStyle w:val="Paragraph"/>
        <w:rPr>
          <w:szCs w:val="20"/>
        </w:rPr>
      </w:pPr>
      <w:r w:rsidRPr="006C7C88">
        <w:rPr>
          <w:szCs w:val="20"/>
        </w:rPr>
        <w:t xml:space="preserve">Compliance with an industry guidance note is not mandatory nor enforceable by </w:t>
      </w:r>
      <w:r w:rsidRPr="006C7C88">
        <w:rPr>
          <w:szCs w:val="20"/>
        </w:rPr>
        <w:br/>
        <w:t>the ACMA.</w:t>
      </w:r>
    </w:p>
    <w:p w14:paraId="0923BDBE" w14:textId="77777777" w:rsidR="007D5EE0" w:rsidRPr="006C7C88" w:rsidRDefault="007D5EE0" w:rsidP="007D5EE0">
      <w:pPr>
        <w:pStyle w:val="Heading3"/>
        <w:rPr>
          <w:szCs w:val="20"/>
        </w:rPr>
      </w:pPr>
      <w:bookmarkStart w:id="30" w:name="_Toc98323740"/>
      <w:r w:rsidRPr="006C7C88">
        <w:rPr>
          <w:szCs w:val="20"/>
        </w:rPr>
        <w:t>Multi-factor authentication</w:t>
      </w:r>
      <w:bookmarkEnd w:id="30"/>
    </w:p>
    <w:p w14:paraId="3B32D7D3" w14:textId="77777777" w:rsidR="007D5EE0" w:rsidRDefault="007D5EE0" w:rsidP="007D5EE0">
      <w:pPr>
        <w:pStyle w:val="Paragraph"/>
        <w:spacing w:before="120" w:after="120"/>
      </w:pPr>
      <w:r w:rsidRPr="006C7C88">
        <w:rPr>
          <w:szCs w:val="20"/>
        </w:rPr>
        <w:t>Multi-factor identity verification, often referred to as ‘2-factor authentication’, offers an effective security control to prevent malicious actors from gaining access to a device, and any sensitive information within. Two-factor identification identifies a user by utilising something the person knows (like a password or code sent to them) and something they have (their mobile phone). When implemented correctly, it can be a</w:t>
      </w:r>
      <w:r w:rsidRPr="00202CB8">
        <w:t xml:space="preserve"> highly effective strategy to mitigate harm, particularly where remote authentication </w:t>
      </w:r>
      <w:r>
        <w:br/>
      </w:r>
      <w:r w:rsidRPr="00202CB8">
        <w:t>is</w:t>
      </w:r>
      <w:r>
        <w:t xml:space="preserve"> require</w:t>
      </w:r>
      <w:r w:rsidRPr="00202CB8">
        <w:t>d.</w:t>
      </w:r>
    </w:p>
    <w:p w14:paraId="288E7D2A" w14:textId="77777777" w:rsidR="007D5EE0" w:rsidRPr="00FD72B7" w:rsidRDefault="007D5EE0" w:rsidP="007D5EE0">
      <w:pPr>
        <w:pStyle w:val="Paragraph"/>
        <w:spacing w:before="120" w:after="120"/>
        <w:rPr>
          <w:iCs/>
          <w:color w:val="000000" w:themeColor="text1"/>
          <w:szCs w:val="20"/>
        </w:rPr>
      </w:pPr>
      <w:r>
        <w:t>In 2020, we introduced t</w:t>
      </w:r>
      <w:r w:rsidRPr="00202CB8">
        <w:t xml:space="preserve">he </w:t>
      </w:r>
      <w:hyperlink r:id="rId49" w:history="1">
        <w:r w:rsidRPr="00202CB8">
          <w:rPr>
            <w:rStyle w:val="Hyperlink"/>
          </w:rPr>
          <w:t>Telecommunications (Mobile Pre-Porting Additional Identity Verification) Industry Standard 2020</w:t>
        </w:r>
      </w:hyperlink>
      <w:r w:rsidRPr="00202CB8">
        <w:rPr>
          <w:lang w:val="en-US"/>
        </w:rPr>
        <w:t xml:space="preserve"> (the PPV Standard) </w:t>
      </w:r>
      <w:r>
        <w:rPr>
          <w:lang w:val="en-US"/>
        </w:rPr>
        <w:t xml:space="preserve">to </w:t>
      </w:r>
      <w:r w:rsidRPr="00202CB8">
        <w:rPr>
          <w:lang w:val="en-US"/>
        </w:rPr>
        <w:t>address the harms caused by mobile porting fraud</w:t>
      </w:r>
      <w:r>
        <w:rPr>
          <w:lang w:val="en-US"/>
        </w:rPr>
        <w:t xml:space="preserve">. It sets out </w:t>
      </w:r>
      <w:r w:rsidRPr="00202CB8">
        <w:t>additional identity verification processes that gaining mobile CSPs must complete prior to initiating a port of a customer’s number – including the use of</w:t>
      </w:r>
      <w:r w:rsidRPr="00202CB8">
        <w:rPr>
          <w:lang w:val="en-US"/>
        </w:rPr>
        <w:t xml:space="preserve"> </w:t>
      </w:r>
      <w:r w:rsidRPr="00202CB8">
        <w:rPr>
          <w:iCs/>
          <w:color w:val="000000" w:themeColor="text1"/>
          <w:szCs w:val="20"/>
        </w:rPr>
        <w:t>multi-factor customer identity verification processes.</w:t>
      </w:r>
    </w:p>
    <w:p w14:paraId="7D6480FB" w14:textId="77777777" w:rsidR="007D5EE0" w:rsidRPr="00202CB8" w:rsidRDefault="007D5EE0" w:rsidP="007D5EE0">
      <w:pPr>
        <w:pStyle w:val="Paragraph"/>
        <w:spacing w:before="120" w:after="120"/>
      </w:pPr>
      <w:r w:rsidRPr="00202CB8">
        <w:t>There is strong evidence that the implementation of the PPV Standard has led to a significant drop in unauthorised mobile porting.</w:t>
      </w:r>
      <w:r w:rsidRPr="00CF0FF8">
        <w:rPr>
          <w:iCs/>
          <w:vertAlign w:val="superscript"/>
        </w:rPr>
        <w:footnoteReference w:id="35"/>
      </w:r>
      <w:r w:rsidRPr="00202CB8">
        <w:t xml:space="preserve"> Major telecommunications providers have reported an approximate drop of 95% in reported porting fraud cases.</w:t>
      </w:r>
      <w:r w:rsidRPr="00202CB8">
        <w:rPr>
          <w:rStyle w:val="FootnoteReference"/>
        </w:rPr>
        <w:footnoteReference w:id="36"/>
      </w:r>
      <w:r w:rsidRPr="00202CB8">
        <w:t xml:space="preserve"> The Australian Competition and Consumer Commission (ACCC)</w:t>
      </w:r>
      <w:r w:rsidRPr="00202CB8">
        <w:rPr>
          <w:rStyle w:val="FootnoteReference"/>
        </w:rPr>
        <w:footnoteReference w:id="37"/>
      </w:r>
      <w:r w:rsidRPr="00202CB8">
        <w:t xml:space="preserve"> also released figures showing an approximate 50% reduction in reported losses </w:t>
      </w:r>
      <w:r>
        <w:t xml:space="preserve">from mobile number porting </w:t>
      </w:r>
      <w:r w:rsidRPr="00202CB8">
        <w:t>in 2020 following the commencement of the PPV Standard in April 2020.</w:t>
      </w:r>
      <w:r w:rsidRPr="00202CB8">
        <w:rPr>
          <w:rStyle w:val="FootnoteReference"/>
        </w:rPr>
        <w:footnoteReference w:id="38"/>
      </w:r>
    </w:p>
    <w:p w14:paraId="13B51D64" w14:textId="77777777" w:rsidR="007D5EE0" w:rsidRPr="00457324" w:rsidRDefault="007D5EE0" w:rsidP="007D5EE0">
      <w:pPr>
        <w:pStyle w:val="Paragraph"/>
        <w:rPr>
          <w:rFonts w:cs="Times New Roman"/>
          <w:iCs/>
          <w:color w:val="000000" w:themeColor="text1"/>
          <w:szCs w:val="20"/>
        </w:rPr>
      </w:pPr>
      <w:r w:rsidRPr="00202CB8">
        <w:rPr>
          <w:lang w:val="en-US"/>
        </w:rPr>
        <w:t xml:space="preserve">However, the protections in the enforceable obligations set out in the PPV Standard do not extend to other types of high-risk customer </w:t>
      </w:r>
      <w:r>
        <w:rPr>
          <w:lang w:val="en-US"/>
        </w:rPr>
        <w:t>transactions</w:t>
      </w:r>
      <w:r w:rsidRPr="00202CB8">
        <w:rPr>
          <w:lang w:val="en-US"/>
        </w:rPr>
        <w:t xml:space="preserve">, such as SIM swap requests or requests to change customer account information. These requests rely on customer authentication </w:t>
      </w:r>
      <w:r w:rsidRPr="00202CB8">
        <w:rPr>
          <w:iCs/>
          <w:color w:val="000000" w:themeColor="text1"/>
          <w:szCs w:val="20"/>
        </w:rPr>
        <w:t>processes that differ from provider to provider and how a customer contacts each provider or the channel they use (e.g.</w:t>
      </w:r>
      <w:r>
        <w:rPr>
          <w:iCs/>
          <w:color w:val="000000" w:themeColor="text1"/>
          <w:szCs w:val="20"/>
        </w:rPr>
        <w:t>,</w:t>
      </w:r>
      <w:r w:rsidRPr="00202CB8">
        <w:rPr>
          <w:iCs/>
          <w:color w:val="000000" w:themeColor="text1"/>
          <w:szCs w:val="20"/>
        </w:rPr>
        <w:t xml:space="preserve"> online, phone or in-store). These business processes can be exploited – and that gap allows scammers to target customer accounts to commit fraud and </w:t>
      </w:r>
      <w:r w:rsidRPr="00202CB8">
        <w:rPr>
          <w:color w:val="000000" w:themeColor="text1"/>
        </w:rPr>
        <w:t>identity crime.</w:t>
      </w:r>
    </w:p>
    <w:p w14:paraId="263530B7" w14:textId="77777777" w:rsidR="007D5EE0" w:rsidRPr="00FD72B7" w:rsidRDefault="007D5EE0" w:rsidP="007D5EE0">
      <w:pPr>
        <w:pStyle w:val="Paragraph"/>
        <w:shd w:val="clear" w:color="auto" w:fill="D9D9D9" w:themeFill="background1" w:themeFillShade="D9"/>
        <w:rPr>
          <w:b/>
          <w:bCs/>
          <w:szCs w:val="20"/>
        </w:rPr>
      </w:pPr>
      <w:r w:rsidRPr="00FD72B7">
        <w:rPr>
          <w:b/>
          <w:bCs/>
          <w:szCs w:val="20"/>
        </w:rPr>
        <w:t xml:space="preserve">Case </w:t>
      </w:r>
      <w:r>
        <w:rPr>
          <w:b/>
          <w:bCs/>
          <w:szCs w:val="20"/>
        </w:rPr>
        <w:t>s</w:t>
      </w:r>
      <w:r w:rsidRPr="00FD72B7">
        <w:rPr>
          <w:b/>
          <w:bCs/>
          <w:szCs w:val="20"/>
        </w:rPr>
        <w:t>tudy 2</w:t>
      </w:r>
      <w:r>
        <w:rPr>
          <w:b/>
          <w:bCs/>
          <w:szCs w:val="20"/>
        </w:rPr>
        <w:t>:</w:t>
      </w:r>
      <w:r w:rsidRPr="00FD72B7">
        <w:rPr>
          <w:b/>
          <w:bCs/>
          <w:szCs w:val="20"/>
        </w:rPr>
        <w:t xml:space="preserve"> Simon’s SIM swap</w:t>
      </w:r>
    </w:p>
    <w:p w14:paraId="619A9679" w14:textId="77777777" w:rsidR="007D5EE0" w:rsidRPr="00FD72B7" w:rsidRDefault="007D5EE0" w:rsidP="007D5EE0">
      <w:pPr>
        <w:pStyle w:val="Paragraph"/>
        <w:shd w:val="clear" w:color="auto" w:fill="D9D9D9" w:themeFill="background1" w:themeFillShade="D9"/>
        <w:rPr>
          <w:szCs w:val="20"/>
        </w:rPr>
      </w:pPr>
      <w:r w:rsidRPr="00FD72B7">
        <w:rPr>
          <w:szCs w:val="20"/>
        </w:rPr>
        <w:t xml:space="preserve">Simon* was recently the victim of SIM swap fraud, where his number was transferred by his phone provider to a new pre-purchased </w:t>
      </w:r>
      <w:proofErr w:type="spellStart"/>
      <w:r w:rsidRPr="00FD72B7">
        <w:rPr>
          <w:szCs w:val="20"/>
        </w:rPr>
        <w:t>eSIM</w:t>
      </w:r>
      <w:proofErr w:type="spellEnd"/>
      <w:r w:rsidRPr="00FD72B7">
        <w:rPr>
          <w:szCs w:val="20"/>
          <w:vertAlign w:val="superscript"/>
        </w:rPr>
        <w:footnoteReference w:id="39"/>
      </w:r>
      <w:r w:rsidRPr="00FD72B7">
        <w:rPr>
          <w:szCs w:val="20"/>
        </w:rPr>
        <w:t xml:space="preserve"> which had been issued to an unauthorised person following a phone call by the scammer to his provider.</w:t>
      </w:r>
    </w:p>
    <w:p w14:paraId="028B906E" w14:textId="77777777" w:rsidR="007D5EE0" w:rsidRPr="00FD72B7" w:rsidRDefault="007D5EE0" w:rsidP="007D5EE0">
      <w:pPr>
        <w:pStyle w:val="Paragraph"/>
        <w:shd w:val="clear" w:color="auto" w:fill="D9D9D9" w:themeFill="background1" w:themeFillShade="D9"/>
        <w:rPr>
          <w:b/>
          <w:bCs/>
          <w:szCs w:val="20"/>
        </w:rPr>
      </w:pPr>
      <w:r w:rsidRPr="00FD72B7">
        <w:rPr>
          <w:szCs w:val="20"/>
        </w:rPr>
        <w:t>The unauthorised person was identified by providing Simon’s name, date of birth and phone number</w:t>
      </w:r>
      <w:r>
        <w:rPr>
          <w:szCs w:val="20"/>
        </w:rPr>
        <w:t xml:space="preserve">. </w:t>
      </w:r>
      <w:proofErr w:type="gramStart"/>
      <w:r>
        <w:rPr>
          <w:szCs w:val="20"/>
        </w:rPr>
        <w:t>O</w:t>
      </w:r>
      <w:r w:rsidRPr="00FD72B7">
        <w:rPr>
          <w:szCs w:val="20"/>
        </w:rPr>
        <w:t>n the basis of</w:t>
      </w:r>
      <w:proofErr w:type="gramEnd"/>
      <w:r w:rsidRPr="00FD72B7">
        <w:rPr>
          <w:szCs w:val="20"/>
        </w:rPr>
        <w:t xml:space="preserve"> that information, the unauthorised person was able to request that an </w:t>
      </w:r>
      <w:proofErr w:type="spellStart"/>
      <w:r w:rsidRPr="00FD72B7">
        <w:rPr>
          <w:szCs w:val="20"/>
        </w:rPr>
        <w:t>eSIM</w:t>
      </w:r>
      <w:proofErr w:type="spellEnd"/>
      <w:r w:rsidRPr="00FD72B7">
        <w:rPr>
          <w:szCs w:val="20"/>
        </w:rPr>
        <w:t xml:space="preserve"> be issued and sent to an email address that did not belong to Simon and was not registered to his account with his provider.</w:t>
      </w:r>
    </w:p>
    <w:p w14:paraId="3F3071BA" w14:textId="77777777" w:rsidR="007D5EE0" w:rsidRPr="00FD72B7" w:rsidRDefault="007D5EE0" w:rsidP="007D5EE0">
      <w:pPr>
        <w:pStyle w:val="Paragraph"/>
        <w:shd w:val="clear" w:color="auto" w:fill="D9D9D9" w:themeFill="background1" w:themeFillShade="D9"/>
        <w:rPr>
          <w:szCs w:val="20"/>
        </w:rPr>
      </w:pPr>
      <w:r w:rsidRPr="00FD72B7">
        <w:rPr>
          <w:szCs w:val="20"/>
        </w:rPr>
        <w:t>Simon’s provider advised that the caller was sufficiently identified by name, date of birth and mobile and therefore they had met their obligations to confirm identity under the current rules. No further steps were taken to verify that the caller was Simon, and no email or SMS was sent by his provider prior to the swap completion to verify that the request was genuine.</w:t>
      </w:r>
    </w:p>
    <w:p w14:paraId="4087B507" w14:textId="77777777" w:rsidR="007D5EE0" w:rsidRPr="00FD72B7" w:rsidRDefault="007D5EE0" w:rsidP="007D5EE0">
      <w:pPr>
        <w:pStyle w:val="Paragraph"/>
        <w:shd w:val="clear" w:color="auto" w:fill="D9D9D9" w:themeFill="background1" w:themeFillShade="D9"/>
        <w:rPr>
          <w:szCs w:val="20"/>
        </w:rPr>
      </w:pPr>
      <w:r w:rsidRPr="00FD72B7">
        <w:rPr>
          <w:szCs w:val="20"/>
        </w:rPr>
        <w:t>As a result of this, Simon suffered a substantial financial loss of $15,000, and loss of identity documents which were stored in his online drive. The psychological impact on Simon was also significant, with the knowledge and anxiety that his identity could potentially be used to defraud other innocent victims.</w:t>
      </w:r>
    </w:p>
    <w:p w14:paraId="3138B0D3" w14:textId="77777777" w:rsidR="007D5EE0" w:rsidRPr="002622FE" w:rsidRDefault="007D5EE0" w:rsidP="007D5EE0">
      <w:pPr>
        <w:pStyle w:val="Paragraph"/>
        <w:shd w:val="clear" w:color="auto" w:fill="D9D9D9" w:themeFill="background1" w:themeFillShade="D9"/>
        <w:rPr>
          <w:sz w:val="18"/>
          <w:szCs w:val="18"/>
        </w:rPr>
      </w:pPr>
      <w:r w:rsidRPr="00FD72B7">
        <w:rPr>
          <w:szCs w:val="20"/>
        </w:rPr>
        <w:t>*</w:t>
      </w:r>
      <w:r w:rsidRPr="002622FE">
        <w:rPr>
          <w:i/>
          <w:iCs/>
          <w:sz w:val="18"/>
          <w:szCs w:val="18"/>
        </w:rPr>
        <w:t xml:space="preserve">Case study is based on one or more reports of SIM swap fraud made to a government agency. </w:t>
      </w:r>
      <w:r w:rsidRPr="002622FE">
        <w:rPr>
          <w:i/>
          <w:sz w:val="18"/>
          <w:szCs w:val="18"/>
        </w:rPr>
        <w:t>Names of individuals and companies have been changed</w:t>
      </w:r>
      <w:r w:rsidRPr="002622FE">
        <w:rPr>
          <w:i/>
          <w:iCs/>
          <w:sz w:val="18"/>
          <w:szCs w:val="18"/>
        </w:rPr>
        <w:t>.</w:t>
      </w:r>
    </w:p>
    <w:p w14:paraId="66E45BFA" w14:textId="77777777" w:rsidR="007D5EE0" w:rsidRPr="005B0AA4" w:rsidRDefault="007D5EE0" w:rsidP="007D5EE0">
      <w:pPr>
        <w:pStyle w:val="Heading3"/>
      </w:pPr>
      <w:bookmarkStart w:id="31" w:name="_Toc98323741"/>
      <w:r w:rsidRPr="005B0AA4">
        <w:t>Scammers targeting weak customer authentication processes</w:t>
      </w:r>
      <w:bookmarkEnd w:id="31"/>
    </w:p>
    <w:p w14:paraId="61A9710A" w14:textId="77777777" w:rsidR="007D5EE0" w:rsidRPr="005B0AA4" w:rsidRDefault="007D5EE0" w:rsidP="007D5EE0">
      <w:pPr>
        <w:pStyle w:val="Paragraph"/>
      </w:pPr>
      <w:bookmarkStart w:id="32" w:name="_Hlk86847647"/>
      <w:r w:rsidRPr="005B0AA4">
        <w:t xml:space="preserve">Australian consumers are experiencing significant harm perpetrated by scammers targeting weaknesses in telecommunications providers’ customer authentication processes where there is </w:t>
      </w:r>
      <w:r>
        <w:t xml:space="preserve">currently </w:t>
      </w:r>
      <w:r w:rsidRPr="005B0AA4">
        <w:t>little regulatory coverage</w:t>
      </w:r>
      <w:bookmarkEnd w:id="32"/>
      <w:r w:rsidRPr="005B0AA4">
        <w:t>. This involves unauthorised actions performed on customer accounts as well as a lack of protection of consumer’s personal information from unauthorised access.</w:t>
      </w:r>
    </w:p>
    <w:p w14:paraId="3C628A10" w14:textId="77777777" w:rsidR="007D5EE0" w:rsidRPr="00B9083F" w:rsidRDefault="007D5EE0" w:rsidP="007D5EE0">
      <w:pPr>
        <w:spacing w:before="240"/>
        <w:rPr>
          <w:rFonts w:ascii="Arial" w:eastAsia="Times New Roman" w:hAnsi="Arial" w:cs="Arial"/>
          <w:sz w:val="20"/>
          <w:szCs w:val="24"/>
          <w:lang w:val="en-US" w:eastAsia="en-AU"/>
        </w:rPr>
      </w:pPr>
      <w:r w:rsidRPr="00B9083F">
        <w:rPr>
          <w:rFonts w:ascii="Arial" w:eastAsia="Times New Roman" w:hAnsi="Arial" w:cs="Arial"/>
          <w:sz w:val="20"/>
          <w:szCs w:val="24"/>
          <w:lang w:val="en-US" w:eastAsia="en-AU"/>
        </w:rPr>
        <w:t xml:space="preserve">For example, when a mobile phone owner loses, breaks, or upgrades their mobile phone, they can sometimes take the SIM card out of their previous mobile phone and insert it into their new phone. Often, however, the customer needs to contact their CSP, explain that they are changing devices, and request that their CSP reassign the account information to the SIM in their new device. When a scammer successfully impersonates the customer and convinces the CSP to change the real customer’s mobile phone service to a new SIM in a device that the scammer controls, the scammer gains access to </w:t>
      </w:r>
      <w:proofErr w:type="gramStart"/>
      <w:r w:rsidRPr="00B9083F">
        <w:rPr>
          <w:rFonts w:ascii="Arial" w:eastAsia="Times New Roman" w:hAnsi="Arial" w:cs="Arial"/>
          <w:sz w:val="20"/>
          <w:szCs w:val="24"/>
          <w:lang w:val="en-US" w:eastAsia="en-AU"/>
        </w:rPr>
        <w:t>all of</w:t>
      </w:r>
      <w:proofErr w:type="gramEnd"/>
      <w:r w:rsidRPr="00B9083F">
        <w:rPr>
          <w:rFonts w:ascii="Arial" w:eastAsia="Times New Roman" w:hAnsi="Arial" w:cs="Arial"/>
          <w:sz w:val="20"/>
          <w:szCs w:val="24"/>
          <w:lang w:val="en-US" w:eastAsia="en-AU"/>
        </w:rPr>
        <w:t xml:space="preserve"> the information associated with the customer’s account, and gains control over the customer’s phone number and receives both the customer’s text messages and phone calls.</w:t>
      </w:r>
    </w:p>
    <w:p w14:paraId="2B576433" w14:textId="77777777" w:rsidR="007D5EE0" w:rsidRPr="00B9083F" w:rsidRDefault="007D5EE0" w:rsidP="007D5EE0">
      <w:pPr>
        <w:spacing w:before="240"/>
        <w:rPr>
          <w:rFonts w:ascii="Arial" w:eastAsia="Times New Roman" w:hAnsi="Arial" w:cs="Arial"/>
          <w:sz w:val="20"/>
          <w:szCs w:val="24"/>
          <w:lang w:val="en-US" w:eastAsia="en-AU"/>
        </w:rPr>
      </w:pPr>
      <w:r w:rsidRPr="00B9083F">
        <w:rPr>
          <w:rFonts w:ascii="Arial" w:eastAsia="Times New Roman" w:hAnsi="Arial" w:cs="Arial"/>
          <w:sz w:val="20"/>
          <w:szCs w:val="24"/>
          <w:lang w:val="en-US" w:eastAsia="en-AU"/>
        </w:rPr>
        <w:t xml:space="preserve">Once an </w:t>
      </w:r>
      <w:proofErr w:type="spellStart"/>
      <w:r w:rsidRPr="00B9083F">
        <w:rPr>
          <w:rFonts w:ascii="Arial" w:eastAsia="Times New Roman" w:hAnsi="Arial" w:cs="Arial"/>
          <w:sz w:val="20"/>
          <w:szCs w:val="24"/>
          <w:lang w:val="en-US" w:eastAsia="en-AU"/>
        </w:rPr>
        <w:t>unauthorised</w:t>
      </w:r>
      <w:proofErr w:type="spellEnd"/>
      <w:r w:rsidRPr="00B9083F">
        <w:rPr>
          <w:rFonts w:ascii="Arial" w:eastAsia="Times New Roman" w:hAnsi="Arial" w:cs="Arial"/>
          <w:sz w:val="20"/>
          <w:szCs w:val="24"/>
          <w:lang w:val="en-US" w:eastAsia="en-AU"/>
        </w:rPr>
        <w:t xml:space="preserve"> SIM swap request has been completed, the scammer has acquired the potential means to take over many more of the victim’s accounts. Such account takeover tactics can cause substantial consumer detriment.</w:t>
      </w:r>
    </w:p>
    <w:p w14:paraId="52ABD0F1" w14:textId="77777777" w:rsidR="007D5EE0" w:rsidRPr="00B9083F" w:rsidRDefault="007D5EE0" w:rsidP="007D5EE0">
      <w:pPr>
        <w:spacing w:before="240"/>
        <w:rPr>
          <w:rFonts w:ascii="Arial" w:eastAsia="Times New Roman" w:hAnsi="Arial" w:cs="Arial"/>
          <w:sz w:val="20"/>
          <w:szCs w:val="24"/>
          <w:lang w:val="en-US" w:eastAsia="en-AU"/>
        </w:rPr>
      </w:pPr>
      <w:r w:rsidRPr="00B9083F">
        <w:rPr>
          <w:rFonts w:ascii="Arial" w:eastAsia="Times New Roman" w:hAnsi="Arial" w:cs="Arial"/>
          <w:sz w:val="20"/>
          <w:szCs w:val="24"/>
          <w:lang w:val="en-US" w:eastAsia="en-AU"/>
        </w:rPr>
        <w:t>As a further example, text messages are often used by banks, businesses, and payment services to verify a customer’s identity, when a customer requests updates to those accounts. Intercepting a text message used to authenticate a customer can allow a scammer to reset a customer’s password and take over the customer’s financial, social media, and other accounts. Having taken over these accounts, the scammer can then change the login details, drain bank accounts, steal cryptocurrency, and sell or try to ransom social media accounts.</w:t>
      </w:r>
      <w:r w:rsidRPr="00713686">
        <w:rPr>
          <w:rFonts w:ascii="Arial" w:eastAsia="Times New Roman" w:hAnsi="Arial" w:cs="Arial"/>
          <w:sz w:val="20"/>
          <w:szCs w:val="24"/>
          <w:vertAlign w:val="superscript"/>
          <w:lang w:val="en-US" w:eastAsia="en-AU"/>
        </w:rPr>
        <w:footnoteReference w:id="40"/>
      </w:r>
      <w:r w:rsidRPr="00713686">
        <w:rPr>
          <w:rFonts w:ascii="Arial" w:eastAsia="Times New Roman" w:hAnsi="Arial" w:cs="Arial"/>
          <w:sz w:val="20"/>
          <w:szCs w:val="24"/>
          <w:vertAlign w:val="superscript"/>
          <w:lang w:val="en-US" w:eastAsia="en-AU"/>
        </w:rPr>
        <w:t xml:space="preserve"> </w:t>
      </w:r>
      <w:r w:rsidRPr="00B9083F">
        <w:rPr>
          <w:rFonts w:ascii="Arial" w:eastAsia="Times New Roman" w:hAnsi="Arial" w:cs="Arial"/>
          <w:sz w:val="20"/>
          <w:szCs w:val="24"/>
          <w:lang w:val="en-US" w:eastAsia="en-AU"/>
        </w:rPr>
        <w:t xml:space="preserve">Loss of service on a customer’s device – the phone going dark or only allowing emergency calls – is typically the first sign of </w:t>
      </w:r>
      <w:proofErr w:type="spellStart"/>
      <w:r w:rsidRPr="00B9083F">
        <w:rPr>
          <w:rFonts w:ascii="Arial" w:eastAsia="Times New Roman" w:hAnsi="Arial" w:cs="Arial"/>
          <w:sz w:val="20"/>
          <w:szCs w:val="24"/>
          <w:lang w:val="en-US" w:eastAsia="en-AU"/>
        </w:rPr>
        <w:t>unauthorised</w:t>
      </w:r>
      <w:proofErr w:type="spellEnd"/>
      <w:r w:rsidRPr="00B9083F">
        <w:rPr>
          <w:rFonts w:ascii="Arial" w:eastAsia="Times New Roman" w:hAnsi="Arial" w:cs="Arial"/>
          <w:sz w:val="20"/>
          <w:szCs w:val="24"/>
          <w:lang w:val="en-US" w:eastAsia="en-AU"/>
        </w:rPr>
        <w:t xml:space="preserve"> SIM swapping for a customer.</w:t>
      </w:r>
    </w:p>
    <w:p w14:paraId="247B9448" w14:textId="77777777" w:rsidR="007D5EE0" w:rsidRPr="009B1192" w:rsidRDefault="007D5EE0" w:rsidP="007D5EE0">
      <w:pPr>
        <w:pStyle w:val="Heading3"/>
        <w:rPr>
          <w:szCs w:val="24"/>
          <w:lang w:val="en-US"/>
        </w:rPr>
      </w:pPr>
      <w:bookmarkStart w:id="33" w:name="_Toc98323742"/>
      <w:r w:rsidRPr="009B1192">
        <w:rPr>
          <w:szCs w:val="24"/>
          <w:lang w:val="en-US"/>
        </w:rPr>
        <w:t>Reported fraud</w:t>
      </w:r>
      <w:bookmarkEnd w:id="33"/>
    </w:p>
    <w:p w14:paraId="33F442C2" w14:textId="77777777" w:rsidR="007D5EE0" w:rsidRPr="00B9083F" w:rsidRDefault="007D5EE0" w:rsidP="007D5EE0">
      <w:pPr>
        <w:spacing w:after="100" w:line="240" w:lineRule="auto"/>
        <w:rPr>
          <w:rFonts w:ascii="Arial" w:eastAsia="Times New Roman" w:hAnsi="Arial" w:cs="Arial"/>
          <w:sz w:val="20"/>
          <w:szCs w:val="24"/>
          <w:lang w:val="en-US" w:eastAsia="en-AU"/>
        </w:rPr>
      </w:pPr>
      <w:r w:rsidRPr="00B9083F">
        <w:rPr>
          <w:rFonts w:ascii="Arial" w:eastAsia="Times New Roman" w:hAnsi="Arial" w:cs="Arial"/>
          <w:sz w:val="20"/>
          <w:szCs w:val="24"/>
          <w:lang w:val="en-US" w:eastAsia="en-AU"/>
        </w:rPr>
        <w:t>Data from key stakeholders indicates ongoing and emerging harms from scammers targeting customer authentication processes. It is difficult to quantify due to the various reporting options, underreporting and types of fraud.</w:t>
      </w:r>
    </w:p>
    <w:p w14:paraId="3CB1D396" w14:textId="77777777" w:rsidR="007D5EE0" w:rsidRPr="00B9083F" w:rsidRDefault="007D5EE0" w:rsidP="007D5EE0">
      <w:pPr>
        <w:spacing w:after="100" w:line="240" w:lineRule="auto"/>
        <w:rPr>
          <w:rFonts w:cs="Arial"/>
          <w:sz w:val="20"/>
          <w:szCs w:val="20"/>
        </w:rPr>
      </w:pPr>
      <w:r w:rsidRPr="00B9083F">
        <w:rPr>
          <w:rFonts w:ascii="Arial" w:eastAsia="Times New Roman" w:hAnsi="Arial" w:cs="Arial"/>
          <w:sz w:val="20"/>
          <w:szCs w:val="24"/>
          <w:lang w:val="en-US" w:eastAsia="en-AU"/>
        </w:rPr>
        <w:t xml:space="preserve">We have received data from other government agencies, CSPs and other bodies, including entities in the financial sector, for the period 1 January to 30 September 2021 that provides strong evidence of ongoing, </w:t>
      </w:r>
      <w:proofErr w:type="spellStart"/>
      <w:r w:rsidRPr="00B9083F">
        <w:rPr>
          <w:rFonts w:ascii="Arial" w:eastAsia="Times New Roman" w:hAnsi="Arial" w:cs="Arial"/>
          <w:sz w:val="20"/>
          <w:szCs w:val="24"/>
          <w:lang w:val="en-US" w:eastAsia="en-AU"/>
        </w:rPr>
        <w:t>realised</w:t>
      </w:r>
      <w:proofErr w:type="spellEnd"/>
      <w:r w:rsidRPr="00B9083F">
        <w:rPr>
          <w:rFonts w:ascii="Arial" w:eastAsia="Times New Roman" w:hAnsi="Arial" w:cs="Arial"/>
          <w:sz w:val="20"/>
          <w:szCs w:val="24"/>
          <w:lang w:val="en-US" w:eastAsia="en-AU"/>
        </w:rPr>
        <w:t xml:space="preserve"> harm. </w:t>
      </w:r>
      <w:proofErr w:type="gramStart"/>
      <w:r w:rsidRPr="00B9083F">
        <w:rPr>
          <w:rFonts w:ascii="Arial" w:eastAsia="Times New Roman" w:hAnsi="Arial" w:cs="Arial"/>
          <w:sz w:val="20"/>
          <w:szCs w:val="24"/>
          <w:lang w:val="en-US" w:eastAsia="en-AU"/>
        </w:rPr>
        <w:t>In particular, that</w:t>
      </w:r>
      <w:proofErr w:type="gramEnd"/>
      <w:r w:rsidRPr="00B9083F">
        <w:rPr>
          <w:rFonts w:ascii="Arial" w:eastAsia="Times New Roman" w:hAnsi="Arial" w:cs="Arial"/>
          <w:sz w:val="20"/>
          <w:szCs w:val="24"/>
          <w:lang w:val="en-US" w:eastAsia="en-AU"/>
        </w:rPr>
        <w:t xml:space="preserve"> scammers are targeting SIM swap processes,</w:t>
      </w:r>
      <w:r w:rsidRPr="00B9083F">
        <w:rPr>
          <w:rFonts w:ascii="Arial" w:eastAsia="Times New Roman" w:hAnsi="Arial" w:cs="Arial"/>
          <w:sz w:val="20"/>
          <w:szCs w:val="24"/>
          <w:vertAlign w:val="superscript"/>
          <w:lang w:val="en-US" w:eastAsia="en-AU"/>
        </w:rPr>
        <w:footnoteReference w:id="41"/>
      </w:r>
      <w:r w:rsidRPr="00B9083F">
        <w:rPr>
          <w:rFonts w:ascii="Arial" w:eastAsia="Times New Roman" w:hAnsi="Arial" w:cs="Arial"/>
          <w:sz w:val="20"/>
          <w:szCs w:val="24"/>
          <w:vertAlign w:val="superscript"/>
          <w:lang w:val="en-US" w:eastAsia="en-AU"/>
        </w:rPr>
        <w:t xml:space="preserve"> </w:t>
      </w:r>
      <w:r w:rsidRPr="00B9083F">
        <w:rPr>
          <w:rFonts w:ascii="Arial" w:eastAsia="Times New Roman" w:hAnsi="Arial" w:cs="Arial"/>
          <w:sz w:val="20"/>
          <w:szCs w:val="24"/>
          <w:lang w:val="en-US" w:eastAsia="en-AU"/>
        </w:rPr>
        <w:t xml:space="preserve">with some data sources indicating harms have in fact increased. The data does not holistically cover attempted or </w:t>
      </w:r>
      <w:proofErr w:type="spellStart"/>
      <w:r w:rsidRPr="00B9083F">
        <w:rPr>
          <w:rFonts w:ascii="Arial" w:eastAsia="Times New Roman" w:hAnsi="Arial" w:cs="Arial"/>
          <w:sz w:val="20"/>
          <w:szCs w:val="20"/>
          <w:lang w:val="en-US" w:eastAsia="en-AU"/>
        </w:rPr>
        <w:t>unrealised</w:t>
      </w:r>
      <w:proofErr w:type="spellEnd"/>
      <w:r w:rsidRPr="00B9083F">
        <w:rPr>
          <w:rFonts w:ascii="Arial" w:eastAsia="Times New Roman" w:hAnsi="Arial" w:cs="Arial"/>
          <w:sz w:val="20"/>
          <w:szCs w:val="20"/>
          <w:lang w:val="en-US" w:eastAsia="en-AU"/>
        </w:rPr>
        <w:t xml:space="preserve"> reported fraud to CSPs or to a range of banks or financial institutions</w:t>
      </w:r>
      <w:r w:rsidRPr="00B9083F">
        <w:rPr>
          <w:rFonts w:cs="Arial"/>
          <w:sz w:val="20"/>
          <w:szCs w:val="20"/>
        </w:rPr>
        <w:t>.</w:t>
      </w:r>
    </w:p>
    <w:p w14:paraId="0D0EE36F" w14:textId="77777777" w:rsidR="007D5EE0" w:rsidRPr="00B9083F" w:rsidRDefault="007D5EE0" w:rsidP="007D5EE0">
      <w:pPr>
        <w:spacing w:after="100" w:line="240" w:lineRule="auto"/>
        <w:rPr>
          <w:rFonts w:ascii="Arial" w:hAnsi="Arial" w:cs="Arial"/>
          <w:sz w:val="20"/>
          <w:szCs w:val="20"/>
        </w:rPr>
      </w:pPr>
      <w:r w:rsidRPr="00B9083F">
        <w:rPr>
          <w:rFonts w:ascii="Arial" w:hAnsi="Arial" w:cs="Arial"/>
          <w:sz w:val="20"/>
          <w:szCs w:val="20"/>
        </w:rPr>
        <w:t xml:space="preserve">It is also acknowledged that scam attempts from unauthorised customer transactions and their impacts are likely to be much higher as </w:t>
      </w:r>
      <w:proofErr w:type="spellStart"/>
      <w:r w:rsidRPr="00B9083F">
        <w:rPr>
          <w:rFonts w:ascii="Arial" w:hAnsi="Arial" w:cs="Arial"/>
          <w:sz w:val="20"/>
          <w:szCs w:val="20"/>
        </w:rPr>
        <w:t>Scamwatch</w:t>
      </w:r>
      <w:proofErr w:type="spellEnd"/>
      <w:r w:rsidRPr="00B9083F">
        <w:rPr>
          <w:rFonts w:ascii="Arial" w:hAnsi="Arial" w:cs="Arial"/>
          <w:sz w:val="20"/>
          <w:szCs w:val="20"/>
        </w:rPr>
        <w:t xml:space="preserve"> research – and ACMA data matching – has found that scams are grossly under-reported to government.</w:t>
      </w:r>
      <w:r w:rsidRPr="00B9083F">
        <w:rPr>
          <w:rStyle w:val="FootnoteReference"/>
          <w:rFonts w:cs="Arial"/>
          <w:sz w:val="20"/>
          <w:szCs w:val="20"/>
        </w:rPr>
        <w:footnoteReference w:id="42"/>
      </w:r>
    </w:p>
    <w:p w14:paraId="0F37C6CF" w14:textId="77777777" w:rsidR="007D5EE0" w:rsidRDefault="007D5EE0" w:rsidP="007D5EE0">
      <w:pPr>
        <w:pStyle w:val="Paragraph"/>
      </w:pPr>
      <w:bookmarkStart w:id="34" w:name="_Hlk85199633"/>
      <w:r>
        <w:t>Between 1 January and 30 September</w:t>
      </w:r>
      <w:r w:rsidRPr="00E927D6">
        <w:t xml:space="preserve"> </w:t>
      </w:r>
      <w:r>
        <w:t>2021, we are aware of at least 510 incidents of reported fraud with $4,680,665.22</w:t>
      </w:r>
      <w:r w:rsidRPr="00BE428F">
        <w:t xml:space="preserve"> </w:t>
      </w:r>
      <w:r>
        <w:t>in financial losses. From these, 163 reported a financial loss for an average loss of $28,715.74 per incident – with the largest single reported financial loss being $463,782.</w:t>
      </w:r>
      <w:r>
        <w:rPr>
          <w:rStyle w:val="FootnoteReference"/>
        </w:rPr>
        <w:footnoteReference w:id="43"/>
      </w:r>
    </w:p>
    <w:p w14:paraId="69D2B07D" w14:textId="77777777" w:rsidR="007D5EE0" w:rsidRDefault="007D5EE0" w:rsidP="007D5EE0">
      <w:pPr>
        <w:pStyle w:val="Paragraph"/>
      </w:pPr>
      <w:r>
        <w:t>It is important to note that these reports and losses continue despite some CSPs</w:t>
      </w:r>
      <w:r w:rsidRPr="003449E6">
        <w:t xml:space="preserve"> </w:t>
      </w:r>
      <w:r>
        <w:t>already implementing</w:t>
      </w:r>
      <w:r w:rsidRPr="003449E6">
        <w:t xml:space="preserve"> scam disruption </w:t>
      </w:r>
      <w:r>
        <w:t xml:space="preserve">and enhanced identity authentication measures. </w:t>
      </w:r>
      <w:r w:rsidRPr="00A04866">
        <w:rPr>
          <w:szCs w:val="20"/>
        </w:rPr>
        <w:t>While technology to combat scams evolves, so does scammers use of new obfuscation techniques and methods.</w:t>
      </w:r>
    </w:p>
    <w:p w14:paraId="52C99B94" w14:textId="77777777" w:rsidR="007D5EE0" w:rsidRPr="006913EC" w:rsidRDefault="007D5EE0" w:rsidP="007D5EE0">
      <w:pPr>
        <w:pStyle w:val="Paragraph"/>
        <w:shd w:val="clear" w:color="auto" w:fill="D9D9D9" w:themeFill="background1" w:themeFillShade="D9"/>
        <w:rPr>
          <w:b/>
          <w:bCs/>
          <w:szCs w:val="20"/>
        </w:rPr>
      </w:pPr>
      <w:r w:rsidRPr="006913EC">
        <w:rPr>
          <w:b/>
          <w:bCs/>
          <w:szCs w:val="20"/>
        </w:rPr>
        <w:t>Case study 3: Lucien loses out</w:t>
      </w:r>
    </w:p>
    <w:p w14:paraId="1B625363" w14:textId="77777777" w:rsidR="007D5EE0" w:rsidRPr="006913EC" w:rsidRDefault="007D5EE0" w:rsidP="007D5EE0">
      <w:pPr>
        <w:shd w:val="clear" w:color="auto" w:fill="D9D9D9" w:themeFill="background1" w:themeFillShade="D9"/>
        <w:rPr>
          <w:rFonts w:ascii="Arial" w:hAnsi="Arial" w:cs="Arial"/>
          <w:sz w:val="20"/>
          <w:szCs w:val="20"/>
        </w:rPr>
      </w:pPr>
      <w:r w:rsidRPr="006913EC">
        <w:rPr>
          <w:rFonts w:ascii="Arial" w:hAnsi="Arial" w:cs="Arial"/>
          <w:sz w:val="20"/>
          <w:szCs w:val="20"/>
        </w:rPr>
        <w:t>Lucien received an SMS from his provider at 11:30 pm saying his registered contact details had been changed and to contact his provider as soon as possible if he had not made these changes. Lucien immediately tried to call his provider to report he had not made the changes. Because he called after business hours, he received a recorded message asking him to call back after 9:00 am the next day.</w:t>
      </w:r>
    </w:p>
    <w:p w14:paraId="2625AF8B" w14:textId="77777777" w:rsidR="007D5EE0" w:rsidRPr="006913EC" w:rsidRDefault="007D5EE0" w:rsidP="007D5EE0">
      <w:pPr>
        <w:shd w:val="clear" w:color="auto" w:fill="D9D9D9" w:themeFill="background1" w:themeFillShade="D9"/>
        <w:rPr>
          <w:rFonts w:ascii="Arial" w:hAnsi="Arial" w:cs="Arial"/>
          <w:sz w:val="20"/>
          <w:szCs w:val="20"/>
        </w:rPr>
      </w:pPr>
      <w:r w:rsidRPr="006913EC">
        <w:rPr>
          <w:rFonts w:ascii="Arial" w:hAnsi="Arial" w:cs="Arial"/>
          <w:sz w:val="20"/>
          <w:szCs w:val="20"/>
        </w:rPr>
        <w:t>When Lucien called his provider the next morning, the provider confirmed Lucien’s registered email address had been changed and agreed to restore the original email address. Because of Lucien’s concerns about his account security, his provider placed a password on the account and said Lucien would need to quote the password whenever he wanted to make changes to his account.</w:t>
      </w:r>
    </w:p>
    <w:p w14:paraId="0ECC3247" w14:textId="77777777" w:rsidR="007D5EE0" w:rsidRPr="006913EC" w:rsidRDefault="007D5EE0" w:rsidP="007D5EE0">
      <w:pPr>
        <w:shd w:val="clear" w:color="auto" w:fill="D9D9D9" w:themeFill="background1" w:themeFillShade="D9"/>
        <w:rPr>
          <w:rFonts w:ascii="Arial" w:hAnsi="Arial" w:cs="Arial"/>
          <w:sz w:val="20"/>
          <w:szCs w:val="20"/>
        </w:rPr>
      </w:pPr>
      <w:r w:rsidRPr="006913EC">
        <w:rPr>
          <w:rFonts w:ascii="Arial" w:hAnsi="Arial" w:cs="Arial"/>
          <w:sz w:val="20"/>
          <w:szCs w:val="20"/>
        </w:rPr>
        <w:t xml:space="preserve">One hour later, Lucien’s mobile phone lost service and he found the passwords for his email address, internet banking account and </w:t>
      </w:r>
      <w:proofErr w:type="spellStart"/>
      <w:r w:rsidRPr="006913EC">
        <w:rPr>
          <w:rFonts w:ascii="Arial" w:hAnsi="Arial" w:cs="Arial"/>
          <w:sz w:val="20"/>
          <w:szCs w:val="20"/>
        </w:rPr>
        <w:t>myGov</w:t>
      </w:r>
      <w:proofErr w:type="spellEnd"/>
      <w:r w:rsidRPr="006913EC">
        <w:rPr>
          <w:rFonts w:ascii="Arial" w:hAnsi="Arial" w:cs="Arial"/>
          <w:sz w:val="20"/>
          <w:szCs w:val="20"/>
        </w:rPr>
        <w:t xml:space="preserve"> account had all been changed.</w:t>
      </w:r>
    </w:p>
    <w:p w14:paraId="4AB18BE8" w14:textId="77777777" w:rsidR="007D5EE0" w:rsidRPr="006913EC" w:rsidRDefault="007D5EE0" w:rsidP="007D5EE0">
      <w:pPr>
        <w:shd w:val="clear" w:color="auto" w:fill="D9D9D9" w:themeFill="background1" w:themeFillShade="D9"/>
        <w:rPr>
          <w:rFonts w:ascii="Arial" w:hAnsi="Arial" w:cs="Arial"/>
          <w:sz w:val="20"/>
          <w:szCs w:val="20"/>
        </w:rPr>
      </w:pPr>
      <w:r w:rsidRPr="006913EC">
        <w:rPr>
          <w:rFonts w:ascii="Arial" w:hAnsi="Arial" w:cs="Arial"/>
          <w:sz w:val="20"/>
          <w:szCs w:val="20"/>
        </w:rPr>
        <w:t>It was discovered that the provider had not asked the scammer to provide Lucien’s password on second and subsequent access attempts. It had instead authenticated the scammer by asking for Lucien’s address and account number.</w:t>
      </w:r>
    </w:p>
    <w:p w14:paraId="18513360" w14:textId="77777777" w:rsidR="007D5EE0" w:rsidRPr="006913EC" w:rsidRDefault="007D5EE0" w:rsidP="007D5EE0">
      <w:pPr>
        <w:shd w:val="clear" w:color="auto" w:fill="D9D9D9" w:themeFill="background1" w:themeFillShade="D9"/>
        <w:rPr>
          <w:rFonts w:ascii="Arial" w:hAnsi="Arial" w:cs="Arial"/>
          <w:sz w:val="20"/>
          <w:szCs w:val="20"/>
        </w:rPr>
      </w:pPr>
      <w:r w:rsidRPr="006913EC">
        <w:rPr>
          <w:rFonts w:ascii="Arial" w:hAnsi="Arial" w:cs="Arial"/>
          <w:sz w:val="20"/>
          <w:szCs w:val="20"/>
        </w:rPr>
        <w:t>The scammer was able to provide this information and process a SIM swap, giving them access to Lucien’s mobile number. They then used their access to the mobile number to complete 2-factor authentication and reset the passwords on Lucien’s other accounts.</w:t>
      </w:r>
    </w:p>
    <w:p w14:paraId="7E2CB985" w14:textId="77777777" w:rsidR="007D5EE0" w:rsidRPr="000452FD" w:rsidRDefault="007D5EE0" w:rsidP="007D5EE0">
      <w:pPr>
        <w:shd w:val="clear" w:color="auto" w:fill="D9D9D9" w:themeFill="background1" w:themeFillShade="D9"/>
        <w:rPr>
          <w:rFonts w:ascii="Arial" w:hAnsi="Arial" w:cs="Arial"/>
          <w:sz w:val="18"/>
          <w:szCs w:val="18"/>
        </w:rPr>
      </w:pPr>
      <w:r w:rsidRPr="000452FD">
        <w:rPr>
          <w:rFonts w:ascii="Arial" w:hAnsi="Arial" w:cs="Arial"/>
          <w:i/>
          <w:iCs/>
          <w:sz w:val="18"/>
          <w:szCs w:val="18"/>
        </w:rPr>
        <w:t>Case study from the TIO submission to the Communications Alliance consultation on an industry code 2021.</w:t>
      </w:r>
    </w:p>
    <w:p w14:paraId="14D626BE" w14:textId="77777777" w:rsidR="007D5EE0" w:rsidRPr="00021E58" w:rsidRDefault="007D5EE0" w:rsidP="007D5EE0">
      <w:pPr>
        <w:pStyle w:val="Heading2"/>
      </w:pPr>
      <w:bookmarkStart w:id="35" w:name="_Toc98323743"/>
      <w:r w:rsidRPr="00021E58">
        <w:t>International experience</w:t>
      </w:r>
      <w:bookmarkEnd w:id="35"/>
    </w:p>
    <w:p w14:paraId="76991193" w14:textId="77777777" w:rsidR="007D5EE0" w:rsidRDefault="007D5EE0" w:rsidP="007D5EE0">
      <w:pPr>
        <w:pStyle w:val="Paragraph"/>
        <w:spacing w:before="240"/>
      </w:pPr>
      <w:r w:rsidRPr="00021E58">
        <w:t>Australia is not alone in grappling with the problem of scammers targeting weaknesses in telecommunications providers’ customer authentication processes. Other jurisdictions are looking at a range of measures to address</w:t>
      </w:r>
      <w:r>
        <w:t xml:space="preserve"> </w:t>
      </w:r>
      <w:r w:rsidRPr="00021E58">
        <w:t xml:space="preserve">high-risk customer </w:t>
      </w:r>
      <w:r>
        <w:t>transactions</w:t>
      </w:r>
      <w:r w:rsidRPr="00021E58">
        <w:t xml:space="preserve"> such as</w:t>
      </w:r>
      <w:r>
        <w:t xml:space="preserve"> unauthorised</w:t>
      </w:r>
      <w:r w:rsidRPr="00021E58">
        <w:t xml:space="preserve"> SIM swap and porting requests.</w:t>
      </w:r>
    </w:p>
    <w:p w14:paraId="69442A56" w14:textId="77777777" w:rsidR="007D5EE0" w:rsidRPr="00021E58" w:rsidRDefault="007D5EE0" w:rsidP="007D5EE0">
      <w:pPr>
        <w:pStyle w:val="Heading4"/>
      </w:pPr>
      <w:r w:rsidRPr="00021E58">
        <w:t>New Zealand (NZ)</w:t>
      </w:r>
    </w:p>
    <w:p w14:paraId="771921D8" w14:textId="77777777" w:rsidR="007D5EE0" w:rsidRPr="003C622F" w:rsidRDefault="007D5EE0" w:rsidP="007D5EE0">
      <w:pPr>
        <w:pStyle w:val="Paragraph"/>
      </w:pPr>
      <w:r w:rsidRPr="00021E58">
        <w:t xml:space="preserve">In NZ, mobile number porting is regulated under the </w:t>
      </w:r>
      <w:r w:rsidRPr="00021E58">
        <w:rPr>
          <w:i/>
          <w:iCs/>
        </w:rPr>
        <w:t>Telecommunications Act 2001</w:t>
      </w:r>
      <w:r w:rsidRPr="00021E58">
        <w:t xml:space="preserve"> </w:t>
      </w:r>
      <w:r>
        <w:t xml:space="preserve">and </w:t>
      </w:r>
      <w:r w:rsidRPr="00021E58">
        <w:t>administered by the Commerce Commission</w:t>
      </w:r>
      <w:r>
        <w:t xml:space="preserve"> and </w:t>
      </w:r>
      <w:r w:rsidRPr="00021E58">
        <w:t>the NZ Telecommunications Forum (TCF). In June 2021, the TCF introduced new rules for consumers (who switch mobile providers and want to keep their phone number) to receive a dedicated SMS text message to help prevent fraudsters.</w:t>
      </w:r>
      <w:r w:rsidRPr="00021E58">
        <w:rPr>
          <w:vertAlign w:val="superscript"/>
        </w:rPr>
        <w:footnoteReference w:id="44"/>
      </w:r>
      <w:r w:rsidRPr="00021E58">
        <w:t xml:space="preserve"> The dedicated </w:t>
      </w:r>
      <w:r w:rsidRPr="003C622F">
        <w:t>SMS is part of a series of measures the mobile phone industry in NZ is implementing to make it much tougher for scammers to exploit the number porting system.</w:t>
      </w:r>
    </w:p>
    <w:p w14:paraId="1A345E4C" w14:textId="77777777" w:rsidR="007D5EE0" w:rsidRPr="003C622F" w:rsidRDefault="007D5EE0" w:rsidP="007D5EE0">
      <w:pPr>
        <w:pStyle w:val="Paragraph"/>
      </w:pPr>
      <w:r w:rsidRPr="003C622F">
        <w:t xml:space="preserve">A more advanced SMS solution is also under development in NZ. Once implemented, customers who have had a porting request on their account will receive an SMS from their current provider to which they will need to reply ‘YES’ </w:t>
      </w:r>
      <w:proofErr w:type="gramStart"/>
      <w:r w:rsidRPr="003C622F">
        <w:t>in order for</w:t>
      </w:r>
      <w:proofErr w:type="gramEnd"/>
      <w:r w:rsidRPr="003C622F">
        <w:t xml:space="preserve"> the number porting process to occur.</w:t>
      </w:r>
      <w:r w:rsidRPr="003C622F">
        <w:rPr>
          <w:rStyle w:val="FootnoteReference"/>
        </w:rPr>
        <w:footnoteReference w:id="45"/>
      </w:r>
    </w:p>
    <w:p w14:paraId="661242C7" w14:textId="77777777" w:rsidR="007D5EE0" w:rsidRPr="003C622F" w:rsidRDefault="007D5EE0" w:rsidP="007D5EE0">
      <w:pPr>
        <w:pStyle w:val="Paragraph"/>
      </w:pPr>
      <w:r w:rsidRPr="003C622F">
        <w:t>NZ mobile providers have also tightened up the requirements for customers to verify their identification when requesting a SIM swap. Providers that have physical stores now require these customers to present their identification in-store.</w:t>
      </w:r>
      <w:r w:rsidRPr="003C622F">
        <w:rPr>
          <w:vertAlign w:val="superscript"/>
        </w:rPr>
        <w:footnoteReference w:id="46"/>
      </w:r>
    </w:p>
    <w:p w14:paraId="6598BCD5" w14:textId="77777777" w:rsidR="007D5EE0" w:rsidRPr="003C622F" w:rsidRDefault="007D5EE0" w:rsidP="007D5EE0">
      <w:pPr>
        <w:pStyle w:val="Heading4"/>
      </w:pPr>
      <w:r w:rsidRPr="003C622F">
        <w:t>United Kingdom (UK)</w:t>
      </w:r>
    </w:p>
    <w:p w14:paraId="2F9130D7" w14:textId="77777777" w:rsidR="007D5EE0" w:rsidRPr="003C622F" w:rsidRDefault="007D5EE0" w:rsidP="007D5EE0">
      <w:pPr>
        <w:pStyle w:val="Paragraph"/>
      </w:pPr>
      <w:proofErr w:type="spellStart"/>
      <w:r w:rsidRPr="003C622F">
        <w:t>Ofcom</w:t>
      </w:r>
      <w:proofErr w:type="spellEnd"/>
      <w:r w:rsidRPr="003C622F">
        <w:t xml:space="preserve"> is the UK regulator of communications services – including </w:t>
      </w:r>
      <w:r w:rsidRPr="003C622F">
        <w:rPr>
          <w:u w:color="0000FF"/>
        </w:rPr>
        <w:t>broadband, home phone and mobile services</w:t>
      </w:r>
      <w:r w:rsidRPr="003C622F">
        <w:t xml:space="preserve">. It collaborates with industry, police, government, and other regulators to ensure strong actions are in place to tackle the threat posed by scam text and calls. </w:t>
      </w:r>
      <w:proofErr w:type="spellStart"/>
      <w:r w:rsidRPr="003C622F">
        <w:t>Ofcom</w:t>
      </w:r>
      <w:proofErr w:type="spellEnd"/>
      <w:r w:rsidRPr="003C622F">
        <w:t xml:space="preserve"> also supports industry’s work to develop technical solutions and engages in consumer awareness campaigns of the steps people can take to protect themselves.</w:t>
      </w:r>
      <w:r w:rsidRPr="003C622F">
        <w:rPr>
          <w:rStyle w:val="FootnoteReference"/>
        </w:rPr>
        <w:footnoteReference w:id="47"/>
      </w:r>
    </w:p>
    <w:p w14:paraId="700B6C70" w14:textId="77777777" w:rsidR="007D5EE0" w:rsidRPr="003C622F" w:rsidRDefault="007D5EE0" w:rsidP="007D5EE0">
      <w:pPr>
        <w:pStyle w:val="Paragraph"/>
      </w:pPr>
      <w:r w:rsidRPr="003C622F">
        <w:t xml:space="preserve">In July 2019, </w:t>
      </w:r>
      <w:proofErr w:type="spellStart"/>
      <w:r w:rsidRPr="003C622F">
        <w:t>Ofcom</w:t>
      </w:r>
      <w:proofErr w:type="spellEnd"/>
      <w:r w:rsidRPr="003C622F">
        <w:t xml:space="preserve"> introduced a new way to handle number portability for UK customers – establishing a ‘text-to-switch</w:t>
      </w:r>
      <w:r>
        <w:t>’</w:t>
      </w:r>
      <w:r w:rsidRPr="003C622F">
        <w:rPr>
          <w:rStyle w:val="FootnoteReference"/>
        </w:rPr>
        <w:footnoteReference w:id="48"/>
      </w:r>
      <w:r w:rsidRPr="003C622F">
        <w:t xml:space="preserve"> process that allows people to switch mobile provider by sending a simple, free text message to their current provider (texting ‘PAC’ to the number 65075 allows a porting request to occur).</w:t>
      </w:r>
    </w:p>
    <w:p w14:paraId="014BF7B5" w14:textId="77777777" w:rsidR="007D5EE0" w:rsidRPr="003C622F" w:rsidRDefault="007D5EE0" w:rsidP="007D5EE0">
      <w:pPr>
        <w:pStyle w:val="Paragraph"/>
      </w:pPr>
      <w:proofErr w:type="spellStart"/>
      <w:r w:rsidRPr="003C622F">
        <w:t>Ofcom</w:t>
      </w:r>
      <w:proofErr w:type="spellEnd"/>
      <w:r w:rsidRPr="003C622F">
        <w:t xml:space="preserve"> also encourages anyone who receives a suspicious text message to report it by forwarding the message to ‘7726’, which directs the message to the relevant mobile provider. The numbers can then be investigated and potentially blocked if found to be a persistently rogue number – helping to disrupt scam activity and prevent more people being exposed to scam attempts.</w:t>
      </w:r>
    </w:p>
    <w:p w14:paraId="5A6A8756" w14:textId="77777777" w:rsidR="007D5EE0" w:rsidRPr="003C622F" w:rsidRDefault="007D5EE0" w:rsidP="007D5EE0">
      <w:pPr>
        <w:pStyle w:val="Paragraph"/>
      </w:pPr>
      <w:r w:rsidRPr="003C622F">
        <w:t xml:space="preserve">UK mobile phone companies have </w:t>
      </w:r>
      <w:r>
        <w:t>been criticised</w:t>
      </w:r>
      <w:r w:rsidRPr="003C622F">
        <w:t xml:space="preserve"> after allowing the details of customers to be disclosed. An investigation in 2020 by consumer group Which?</w:t>
      </w:r>
      <w:r w:rsidRPr="003C622F">
        <w:rPr>
          <w:rStyle w:val="FootnoteReference"/>
        </w:rPr>
        <w:footnoteReference w:id="49"/>
      </w:r>
      <w:r w:rsidRPr="003C622F">
        <w:t xml:space="preserve"> into reports of SIM swap fraud found that despite safeguards, there had been a 400% increase over 5 years. Criminals were able to subvert the rules and get the information they need through persistence.</w:t>
      </w:r>
      <w:r w:rsidRPr="003C622F">
        <w:rPr>
          <w:rStyle w:val="FootnoteReference"/>
        </w:rPr>
        <w:footnoteReference w:id="50"/>
      </w:r>
    </w:p>
    <w:p w14:paraId="43D6CB01" w14:textId="77777777" w:rsidR="007D5EE0" w:rsidRPr="003C622F" w:rsidRDefault="007D5EE0" w:rsidP="007D5EE0">
      <w:pPr>
        <w:pStyle w:val="Paragraph"/>
      </w:pPr>
      <w:r w:rsidRPr="003C622F">
        <w:t xml:space="preserve">Recent research released by </w:t>
      </w:r>
      <w:proofErr w:type="spellStart"/>
      <w:r w:rsidRPr="003C622F">
        <w:t>Ofcom</w:t>
      </w:r>
      <w:proofErr w:type="spellEnd"/>
      <w:r w:rsidRPr="003C622F">
        <w:t xml:space="preserve"> also shows that in the summer of 2021, almost 45</w:t>
      </w:r>
      <w:r>
        <w:t> </w:t>
      </w:r>
      <w:r w:rsidRPr="003C622F">
        <w:t>million people received potential scam texts or calls in the UK.</w:t>
      </w:r>
      <w:r w:rsidRPr="003C622F">
        <w:rPr>
          <w:rStyle w:val="FootnoteReference"/>
        </w:rPr>
        <w:footnoteReference w:id="51"/>
      </w:r>
      <w:r w:rsidRPr="003C622F">
        <w:t xml:space="preserve"> More than </w:t>
      </w:r>
      <w:r>
        <w:t>8</w:t>
      </w:r>
      <w:r w:rsidRPr="003C622F">
        <w:t xml:space="preserve"> in 10 (82%) said they had received a suspicious message, in the form of either a text, recorded message or live phone call to a landline or mobile.</w:t>
      </w:r>
      <w:r w:rsidRPr="003C622F">
        <w:rPr>
          <w:rStyle w:val="FootnoteReference"/>
        </w:rPr>
        <w:footnoteReference w:id="52"/>
      </w:r>
    </w:p>
    <w:p w14:paraId="2236C5B9" w14:textId="77777777" w:rsidR="007D5EE0" w:rsidRPr="001D7129" w:rsidRDefault="007D5EE0" w:rsidP="007D5EE0">
      <w:pPr>
        <w:pStyle w:val="Paragraph"/>
      </w:pPr>
      <w:proofErr w:type="spellStart"/>
      <w:r w:rsidRPr="00994EB5">
        <w:t>Ofcom</w:t>
      </w:r>
      <w:proofErr w:type="spellEnd"/>
      <w:r w:rsidRPr="00994EB5">
        <w:t xml:space="preserve"> remains </w:t>
      </w:r>
      <w:r w:rsidRPr="001D7129">
        <w:t>concerned about the significant rise in scam calls and texts over the last 18 months as the tactics used by scammers are becoming increasingly sophisticated – including using multiple communication channels and impersonating the brands of well-known companies and organisations. It continues to work with providers and law enforcement to tackle scams.</w:t>
      </w:r>
      <w:r w:rsidRPr="001D7129">
        <w:rPr>
          <w:rStyle w:val="FootnoteReference"/>
        </w:rPr>
        <w:footnoteReference w:id="53"/>
      </w:r>
    </w:p>
    <w:p w14:paraId="2A4C1450" w14:textId="77777777" w:rsidR="007D5EE0" w:rsidRPr="001D7129" w:rsidRDefault="007D5EE0" w:rsidP="007D5EE0">
      <w:pPr>
        <w:pStyle w:val="Heading4"/>
      </w:pPr>
      <w:r w:rsidRPr="001D7129">
        <w:t>United States (US)</w:t>
      </w:r>
    </w:p>
    <w:p w14:paraId="43B40D31" w14:textId="77777777" w:rsidR="007D5EE0" w:rsidRPr="001D7129" w:rsidRDefault="007D5EE0" w:rsidP="007D5EE0">
      <w:pPr>
        <w:pStyle w:val="Paragraph"/>
      </w:pPr>
      <w:r w:rsidRPr="001D7129">
        <w:t>In 2019, the Federal Bureau of Investigation (FBI) warned of the risks of SIM-swapping. The FBI wanted more complex forms of authentication to be introduced after seeing an increase in the use of SIM swapping by criminals to steal digital currency using information found on social media – including personally identifying information or details about the victim’s digital currency accounts.</w:t>
      </w:r>
      <w:r w:rsidRPr="001D7129">
        <w:rPr>
          <w:vertAlign w:val="superscript"/>
        </w:rPr>
        <w:footnoteReference w:id="54"/>
      </w:r>
    </w:p>
    <w:p w14:paraId="6D6AD941" w14:textId="77777777" w:rsidR="007D5EE0" w:rsidRPr="001D7129" w:rsidRDefault="007D5EE0" w:rsidP="007D5EE0">
      <w:pPr>
        <w:pStyle w:val="Paragraph"/>
      </w:pPr>
      <w:r w:rsidRPr="001D7129">
        <w:t>The Federal Communications Commission (FCC) is an independent government agency overseen by Congress that is the primary authority for communications law, regulation, and technological innovation. On 30 September 2021, the FCC began ‘a formal rulemaking process with the goal of confronting subscriber identity module (SIM) swapping scams and port-out fraud – both of which bad actors use to steal consumers’ cell phone accounts without ever gaining physical control of a consumer’s phone’.</w:t>
      </w:r>
      <w:r w:rsidRPr="001D7129">
        <w:rPr>
          <w:vertAlign w:val="superscript"/>
        </w:rPr>
        <w:footnoteReference w:id="55"/>
      </w:r>
    </w:p>
    <w:p w14:paraId="371D8541" w14:textId="77777777" w:rsidR="007D5EE0" w:rsidRPr="001D7129" w:rsidRDefault="007D5EE0" w:rsidP="007D5EE0">
      <w:pPr>
        <w:pStyle w:val="Paragraph"/>
      </w:pPr>
      <w:r w:rsidRPr="001D7129">
        <w:t>The FCC had received numerous complaints from consumers who have suffered significant distress, inconvenience and financial harm because of SIM swapping and port-out fraud. In addition, recent data breaches exposed customer information that could potentially make it easier to pull off these kinds of attacks.</w:t>
      </w:r>
    </w:p>
    <w:p w14:paraId="028DE529" w14:textId="77777777" w:rsidR="007D5EE0" w:rsidRPr="001D7129" w:rsidRDefault="007D5EE0" w:rsidP="007D5EE0">
      <w:pPr>
        <w:pStyle w:val="Paragraph"/>
      </w:pPr>
      <w:r w:rsidRPr="001D7129">
        <w:t xml:space="preserve">The FCC </w:t>
      </w:r>
      <w:r>
        <w:t>has recently</w:t>
      </w:r>
      <w:r w:rsidRPr="001D7129">
        <w:t xml:space="preserve"> consult</w:t>
      </w:r>
      <w:r>
        <w:t>ed</w:t>
      </w:r>
      <w:r w:rsidRPr="001D7129">
        <w:t xml:space="preserve"> on </w:t>
      </w:r>
      <w:r>
        <w:t xml:space="preserve">a </w:t>
      </w:r>
      <w:r w:rsidRPr="001D7129">
        <w:t xml:space="preserve">proposal to amend the Customer Proprietary Network Information (CPNI) and </w:t>
      </w:r>
      <w:r>
        <w:t>l</w:t>
      </w:r>
      <w:r w:rsidRPr="001D7129">
        <w:t xml:space="preserve">ocal </w:t>
      </w:r>
      <w:r>
        <w:t>n</w:t>
      </w:r>
      <w:r w:rsidRPr="001D7129">
        <w:t xml:space="preserve">umber </w:t>
      </w:r>
      <w:r>
        <w:t>p</w:t>
      </w:r>
      <w:r w:rsidRPr="001D7129">
        <w:t>ortability rules to require carriers to adopt secure methods of authenticating a customer before redirecting a customer’s phone number to a new device or carrier. It also propose</w:t>
      </w:r>
      <w:r>
        <w:t>d</w:t>
      </w:r>
      <w:r w:rsidRPr="001D7129">
        <w:t xml:space="preserve"> requiring providers to immediately notify customers whenever a SIM change or port request is made on customers’ accounts.</w:t>
      </w:r>
      <w:r w:rsidRPr="001D7129">
        <w:rPr>
          <w:vertAlign w:val="superscript"/>
        </w:rPr>
        <w:footnoteReference w:id="56"/>
      </w:r>
      <w:r>
        <w:t xml:space="preserve"> New rules are anticipated in 2022.</w:t>
      </w:r>
    </w:p>
    <w:p w14:paraId="189D0181" w14:textId="77777777" w:rsidR="007D5EE0" w:rsidRPr="00A7032A" w:rsidRDefault="007D5EE0" w:rsidP="007D5EE0">
      <w:pPr>
        <w:pStyle w:val="Heading1"/>
      </w:pPr>
      <w:bookmarkStart w:id="36" w:name="_Toc55546902"/>
      <w:bookmarkStart w:id="37" w:name="_Toc98323744"/>
      <w:bookmarkEnd w:id="16"/>
      <w:bookmarkEnd w:id="34"/>
      <w:r w:rsidRPr="00A7032A">
        <w:t>2.</w:t>
      </w:r>
      <w:r w:rsidRPr="00A7032A">
        <w:tab/>
        <w:t>Why is government action needed?</w:t>
      </w:r>
      <w:bookmarkEnd w:id="17"/>
      <w:bookmarkEnd w:id="18"/>
      <w:bookmarkEnd w:id="19"/>
      <w:bookmarkEnd w:id="20"/>
      <w:bookmarkEnd w:id="36"/>
      <w:bookmarkEnd w:id="37"/>
    </w:p>
    <w:p w14:paraId="5A4F80C4" w14:textId="77777777" w:rsidR="007D5EE0" w:rsidRPr="00431402" w:rsidRDefault="007D5EE0" w:rsidP="007D5EE0">
      <w:pPr>
        <w:pStyle w:val="Heading2"/>
      </w:pPr>
      <w:bookmarkStart w:id="38" w:name="_Toc98323745"/>
      <w:r>
        <w:t>Government priority</w:t>
      </w:r>
      <w:bookmarkEnd w:id="38"/>
    </w:p>
    <w:p w14:paraId="370BB3F3" w14:textId="77777777" w:rsidR="007D5EE0" w:rsidRPr="007850E2" w:rsidRDefault="007D5EE0" w:rsidP="007D5EE0">
      <w:pPr>
        <w:pStyle w:val="Paragraph"/>
      </w:pPr>
      <w:r w:rsidRPr="00B80308">
        <w:t xml:space="preserve">International </w:t>
      </w:r>
      <w:r>
        <w:t xml:space="preserve">and local </w:t>
      </w:r>
      <w:r w:rsidRPr="00B80308">
        <w:t xml:space="preserve">experience </w:t>
      </w:r>
      <w:r>
        <w:t>i</w:t>
      </w:r>
      <w:r w:rsidRPr="00B80308">
        <w:t>ndicate</w:t>
      </w:r>
      <w:r>
        <w:t>s</w:t>
      </w:r>
      <w:r w:rsidRPr="00B80308">
        <w:t xml:space="preserve"> that there is no single or simple solution to </w:t>
      </w:r>
      <w:r>
        <w:t xml:space="preserve">preventing fraud and </w:t>
      </w:r>
      <w:r w:rsidRPr="00B80308">
        <w:t xml:space="preserve">combating </w:t>
      </w:r>
      <w:r>
        <w:t xml:space="preserve">phone </w:t>
      </w:r>
      <w:r w:rsidRPr="00B80308">
        <w:t>scams</w:t>
      </w:r>
      <w:r>
        <w:t xml:space="preserve">. </w:t>
      </w:r>
      <w:r w:rsidRPr="0010638A">
        <w:t>Technological solutions to scam disruption</w:t>
      </w:r>
      <w:r>
        <w:t xml:space="preserve"> </w:t>
      </w:r>
      <w:r w:rsidRPr="0010638A">
        <w:t>need to sit within a broader framework to be effective</w:t>
      </w:r>
      <w:r>
        <w:t xml:space="preserve">, which is why in </w:t>
      </w:r>
      <w:r w:rsidRPr="007850E2">
        <w:t xml:space="preserve">2018, </w:t>
      </w:r>
      <w:r>
        <w:t>we</w:t>
      </w:r>
      <w:r w:rsidRPr="007850E2">
        <w:t xml:space="preserve"> established the cross-agency Scam Technology Project with the ACCC</w:t>
      </w:r>
      <w:r>
        <w:t xml:space="preserve"> </w:t>
      </w:r>
      <w:r w:rsidRPr="007850E2">
        <w:t xml:space="preserve">and the ACSC </w:t>
      </w:r>
      <w:r>
        <w:t xml:space="preserve">– with inputs from industry – </w:t>
      </w:r>
      <w:r w:rsidRPr="007850E2">
        <w:t>to explore ways to reduce scam activity over telecommunications networks.</w:t>
      </w:r>
      <w:r w:rsidRPr="00B80308">
        <w:rPr>
          <w:vertAlign w:val="superscript"/>
        </w:rPr>
        <w:footnoteReference w:id="57"/>
      </w:r>
    </w:p>
    <w:p w14:paraId="57033576" w14:textId="77777777" w:rsidR="007D5EE0" w:rsidRPr="00715C33" w:rsidRDefault="007D5EE0" w:rsidP="007D5EE0">
      <w:pPr>
        <w:pStyle w:val="Paragraph"/>
      </w:pPr>
      <w:r w:rsidRPr="007850E2">
        <w:t xml:space="preserve">In November 2019, the </w:t>
      </w:r>
      <w:r>
        <w:t xml:space="preserve">then </w:t>
      </w:r>
      <w:r w:rsidRPr="007850E2">
        <w:t xml:space="preserve">Minister for Communications, Cyber Safety and the Arts </w:t>
      </w:r>
      <w:r>
        <w:t>endorsed</w:t>
      </w:r>
      <w:r w:rsidRPr="007850E2">
        <w:t xml:space="preserve"> the project’s 3-point </w:t>
      </w:r>
      <w:r>
        <w:t>‘</w:t>
      </w:r>
      <w:hyperlink r:id="rId50" w:history="1">
        <w:r w:rsidRPr="0022788A">
          <w:t>Combating scams</w:t>
        </w:r>
        <w:r>
          <w:t>’</w:t>
        </w:r>
        <w:r w:rsidRPr="007A1956">
          <w:t xml:space="preserve"> action plan</w:t>
        </w:r>
      </w:hyperlink>
      <w:r w:rsidRPr="007A1956">
        <w:t xml:space="preserve"> – including forming a joint government-industry taskforce</w:t>
      </w:r>
      <w:r w:rsidRPr="00976001">
        <w:t xml:space="preserve"> </w:t>
      </w:r>
      <w:r>
        <w:t>(STAT),</w:t>
      </w:r>
      <w:r>
        <w:rPr>
          <w:rStyle w:val="FootnoteReference"/>
        </w:rPr>
        <w:footnoteReference w:id="58"/>
      </w:r>
      <w:r w:rsidRPr="007A1956">
        <w:t xml:space="preserve"> developing new enforceable obligations and immediately trialling new scam reduction initiatives</w:t>
      </w:r>
      <w:r>
        <w:t>.</w:t>
      </w:r>
    </w:p>
    <w:p w14:paraId="3126D4F2" w14:textId="77777777" w:rsidR="007D5EE0" w:rsidRDefault="007D5EE0" w:rsidP="007D5EE0">
      <w:pPr>
        <w:pStyle w:val="Paragraph"/>
      </w:pPr>
      <w:r>
        <w:t>In April 2020, the government introduced new measures to prevent mobile porting fraud</w:t>
      </w:r>
      <w:r>
        <w:rPr>
          <w:rStyle w:val="FootnoteReference"/>
        </w:rPr>
        <w:footnoteReference w:id="59"/>
      </w:r>
      <w:r>
        <w:t xml:space="preserve"> that included setting out verification processes to confirm</w:t>
      </w:r>
      <w:r w:rsidRPr="0019604D">
        <w:t xml:space="preserve"> </w:t>
      </w:r>
      <w:r>
        <w:t xml:space="preserve">that </w:t>
      </w:r>
      <w:r w:rsidRPr="0019604D">
        <w:t xml:space="preserve">the person </w:t>
      </w:r>
      <w:r>
        <w:t xml:space="preserve">initiating the </w:t>
      </w:r>
      <w:r w:rsidRPr="0019604D">
        <w:t>port</w:t>
      </w:r>
      <w:r>
        <w:t xml:space="preserve"> holds the rights of use to</w:t>
      </w:r>
      <w:r w:rsidRPr="0019604D">
        <w:t xml:space="preserve"> that number</w:t>
      </w:r>
      <w:r>
        <w:t xml:space="preserve">. The new measures have seen a reduction in reports of mobile porting fraud of </w:t>
      </w:r>
      <w:r w:rsidRPr="00B71979">
        <w:t>approximate</w:t>
      </w:r>
      <w:r>
        <w:t>ly</w:t>
      </w:r>
      <w:r w:rsidRPr="00B71979">
        <w:t xml:space="preserve"> 95%.</w:t>
      </w:r>
      <w:r>
        <w:rPr>
          <w:rStyle w:val="FootnoteReference"/>
        </w:rPr>
        <w:footnoteReference w:id="60"/>
      </w:r>
    </w:p>
    <w:p w14:paraId="39C42307" w14:textId="77777777" w:rsidR="007D5EE0" w:rsidRDefault="007D5EE0" w:rsidP="007D5EE0">
      <w:pPr>
        <w:pStyle w:val="Paragraph"/>
      </w:pPr>
      <w:r>
        <w:t xml:space="preserve">In December 2020, we followed this by </w:t>
      </w:r>
      <w:r w:rsidRPr="007F2250">
        <w:rPr>
          <w:rFonts w:eastAsiaTheme="minorHAnsi"/>
          <w:szCs w:val="20"/>
          <w:lang w:eastAsia="en-US"/>
        </w:rPr>
        <w:t>register</w:t>
      </w:r>
      <w:r>
        <w:rPr>
          <w:rFonts w:eastAsiaTheme="minorHAnsi"/>
          <w:szCs w:val="20"/>
          <w:lang w:eastAsia="en-US"/>
        </w:rPr>
        <w:t>ing</w:t>
      </w:r>
      <w:r w:rsidRPr="007F2250">
        <w:rPr>
          <w:rFonts w:eastAsiaTheme="minorHAnsi"/>
          <w:szCs w:val="20"/>
          <w:lang w:eastAsia="en-US"/>
        </w:rPr>
        <w:t xml:space="preserve"> new rules requir</w:t>
      </w:r>
      <w:r>
        <w:rPr>
          <w:rFonts w:eastAsiaTheme="minorHAnsi"/>
          <w:szCs w:val="20"/>
          <w:lang w:eastAsia="en-US"/>
        </w:rPr>
        <w:t>ing</w:t>
      </w:r>
      <w:r w:rsidRPr="007F2250">
        <w:rPr>
          <w:rFonts w:eastAsiaTheme="minorHAnsi"/>
          <w:szCs w:val="20"/>
          <w:lang w:eastAsia="en-US"/>
        </w:rPr>
        <w:t xml:space="preserve"> </w:t>
      </w:r>
      <w:r>
        <w:rPr>
          <w:rFonts w:eastAsiaTheme="minorHAnsi"/>
          <w:szCs w:val="20"/>
          <w:lang w:eastAsia="en-US"/>
        </w:rPr>
        <w:t>C/CSPs</w:t>
      </w:r>
      <w:r w:rsidRPr="007F2250">
        <w:rPr>
          <w:rFonts w:eastAsiaTheme="minorHAnsi"/>
          <w:szCs w:val="20"/>
          <w:lang w:eastAsia="en-US"/>
        </w:rPr>
        <w:t xml:space="preserve"> to detect, trace and block scam calls</w:t>
      </w:r>
      <w:r>
        <w:rPr>
          <w:rFonts w:eastAsiaTheme="minorHAnsi"/>
          <w:szCs w:val="20"/>
          <w:lang w:eastAsia="en-US"/>
        </w:rPr>
        <w:t xml:space="preserve">. In the first 7 months of the new rules being in force, industry </w:t>
      </w:r>
      <w:r w:rsidRPr="00B1590D">
        <w:rPr>
          <w:rFonts w:eastAsiaTheme="minorHAnsi"/>
          <w:szCs w:val="20"/>
          <w:lang w:eastAsia="en-US"/>
        </w:rPr>
        <w:t xml:space="preserve">blocked </w:t>
      </w:r>
      <w:r>
        <w:rPr>
          <w:rFonts w:eastAsiaTheme="minorHAnsi"/>
          <w:szCs w:val="20"/>
          <w:lang w:eastAsia="en-US"/>
        </w:rPr>
        <w:t>over 214</w:t>
      </w:r>
      <w:r w:rsidRPr="00B1590D">
        <w:rPr>
          <w:rFonts w:eastAsiaTheme="minorHAnsi"/>
          <w:szCs w:val="20"/>
          <w:lang w:eastAsia="en-US"/>
        </w:rPr>
        <w:t xml:space="preserve"> million scam calls</w:t>
      </w:r>
      <w:r w:rsidRPr="007F2250">
        <w:rPr>
          <w:rFonts w:eastAsiaTheme="minorHAnsi"/>
          <w:szCs w:val="20"/>
          <w:lang w:eastAsia="en-US"/>
        </w:rPr>
        <w:t>.</w:t>
      </w:r>
      <w:r>
        <w:rPr>
          <w:rStyle w:val="FootnoteReference"/>
          <w:rFonts w:eastAsiaTheme="minorHAnsi"/>
          <w:szCs w:val="20"/>
          <w:lang w:eastAsia="en-US"/>
        </w:rPr>
        <w:footnoteReference w:id="61"/>
      </w:r>
      <w:r>
        <w:rPr>
          <w:rFonts w:eastAsiaTheme="minorHAnsi"/>
          <w:szCs w:val="20"/>
          <w:lang w:eastAsia="en-US"/>
        </w:rPr>
        <w:t xml:space="preserve"> </w:t>
      </w:r>
      <w:r>
        <w:t>While these scam mitigation measures have significantly reduced the impact of mobile porting fraud and are promising in relation to reducing scam calls received by Australians, they do not address the impact and harms associated with high-risk customer transactions.</w:t>
      </w:r>
    </w:p>
    <w:p w14:paraId="34809896" w14:textId="77777777" w:rsidR="007D5EE0" w:rsidRPr="00C87870" w:rsidRDefault="007D5EE0" w:rsidP="007D5EE0">
      <w:pPr>
        <w:pStyle w:val="Paragraph"/>
      </w:pPr>
      <w:r w:rsidRPr="006B4E9A">
        <w:rPr>
          <w:iCs/>
        </w:rPr>
        <w:t xml:space="preserve">The government’s policy objective </w:t>
      </w:r>
      <w:bookmarkStart w:id="39" w:name="_Hlk86909189"/>
      <w:r w:rsidRPr="006B4E9A">
        <w:rPr>
          <w:iCs/>
        </w:rPr>
        <w:t>is to reduce</w:t>
      </w:r>
      <w:r>
        <w:rPr>
          <w:iCs/>
        </w:rPr>
        <w:t xml:space="preserve"> the incidence of</w:t>
      </w:r>
      <w:r w:rsidRPr="006B4E9A">
        <w:rPr>
          <w:iCs/>
        </w:rPr>
        <w:t xml:space="preserve"> </w:t>
      </w:r>
      <w:r w:rsidRPr="005C7803">
        <w:rPr>
          <w:iCs/>
        </w:rPr>
        <w:t xml:space="preserve">fraud and identity crime from scams occurring, given the </w:t>
      </w:r>
      <w:r>
        <w:rPr>
          <w:iCs/>
        </w:rPr>
        <w:t xml:space="preserve">realised harms and </w:t>
      </w:r>
      <w:r w:rsidRPr="005C7803">
        <w:rPr>
          <w:iCs/>
        </w:rPr>
        <w:t xml:space="preserve">potential for </w:t>
      </w:r>
      <w:r>
        <w:rPr>
          <w:iCs/>
        </w:rPr>
        <w:t>Australians to experience</w:t>
      </w:r>
      <w:r w:rsidRPr="005C7803">
        <w:rPr>
          <w:iCs/>
        </w:rPr>
        <w:t xml:space="preserve"> </w:t>
      </w:r>
      <w:r>
        <w:rPr>
          <w:iCs/>
        </w:rPr>
        <w:t>significant impacts</w:t>
      </w:r>
      <w:bookmarkEnd w:id="39"/>
      <w:r w:rsidRPr="005C7803">
        <w:rPr>
          <w:iCs/>
        </w:rPr>
        <w:t>.</w:t>
      </w:r>
      <w:r w:rsidRPr="005C7803">
        <w:rPr>
          <w:rStyle w:val="FootnoteReference"/>
          <w:iCs/>
        </w:rPr>
        <w:footnoteReference w:id="62"/>
      </w:r>
      <w:r w:rsidRPr="005C7803">
        <w:rPr>
          <w:iCs/>
        </w:rPr>
        <w:t xml:space="preserve"> </w:t>
      </w:r>
      <w:r>
        <w:rPr>
          <w:iCs/>
        </w:rPr>
        <w:t xml:space="preserve">Government wants to work with regulators, </w:t>
      </w:r>
      <w:r w:rsidRPr="00962FA3">
        <w:rPr>
          <w:iCs/>
        </w:rPr>
        <w:t>law enforcement agencies and industry to keep Australians safe from harm</w:t>
      </w:r>
      <w:r>
        <w:rPr>
          <w:iCs/>
        </w:rPr>
        <w:t>.</w:t>
      </w:r>
      <w:r w:rsidRPr="005C7803">
        <w:rPr>
          <w:iCs/>
        </w:rPr>
        <w:t xml:space="preserve"> </w:t>
      </w:r>
      <w:r>
        <w:rPr>
          <w:iCs/>
        </w:rPr>
        <w:t>At present, th</w:t>
      </w:r>
      <w:r w:rsidRPr="005C7803">
        <w:rPr>
          <w:iCs/>
        </w:rPr>
        <w:t>ere</w:t>
      </w:r>
      <w:r w:rsidRPr="005C7803">
        <w:t xml:space="preserve"> are no current enforceable obligations concerning high-risk customer </w:t>
      </w:r>
      <w:r>
        <w:t>transactions</w:t>
      </w:r>
      <w:r w:rsidRPr="005C7803">
        <w:t xml:space="preserve"> in Australia, </w:t>
      </w:r>
      <w:r>
        <w:t>and</w:t>
      </w:r>
      <w:r w:rsidRPr="005C7803">
        <w:t xml:space="preserve"> fraud prevention activities</w:t>
      </w:r>
      <w:r w:rsidRPr="005C7803">
        <w:rPr>
          <w:bCs/>
          <w:iCs/>
        </w:rPr>
        <w:t xml:space="preserve"> are inconsistent across the</w:t>
      </w:r>
      <w:r>
        <w:rPr>
          <w:bCs/>
          <w:iCs/>
        </w:rPr>
        <w:t xml:space="preserve"> telecommunications industry.</w:t>
      </w:r>
    </w:p>
    <w:p w14:paraId="446A928D" w14:textId="77777777" w:rsidR="007D5EE0" w:rsidRPr="0067222A" w:rsidRDefault="007D5EE0" w:rsidP="007D5EE0">
      <w:pPr>
        <w:pStyle w:val="Paragraph"/>
      </w:pPr>
      <w:bookmarkStart w:id="40" w:name="_Hlk88039365"/>
      <w:r w:rsidRPr="002031C0">
        <w:t>Communications Alliance has recently developed an industry code (C666:2021 Existing Customer Authentication)</w:t>
      </w:r>
      <w:r w:rsidRPr="002031C0">
        <w:rPr>
          <w:vertAlign w:val="superscript"/>
        </w:rPr>
        <w:footnoteReference w:id="63"/>
      </w:r>
      <w:r w:rsidRPr="002031C0">
        <w:t xml:space="preserve"> and submitted it to </w:t>
      </w:r>
      <w:r>
        <w:t>us</w:t>
      </w:r>
      <w:r w:rsidRPr="002031C0">
        <w:t xml:space="preserve"> for potential registration. The proposed code seeks to provide a common set of principles for CSPs to use to put authentication procedures in place. It is supported by a confidential guidance note</w:t>
      </w:r>
      <w:r w:rsidRPr="002031C0">
        <w:rPr>
          <w:vertAlign w:val="superscript"/>
        </w:rPr>
        <w:footnoteReference w:id="64"/>
      </w:r>
      <w:r w:rsidRPr="002031C0">
        <w:t xml:space="preserve"> that would be available to Communications Alliance members to support implementation of the industry code. The guidance note is intentionally non-public to avoid alerting those that seek to commit fraud of the detailed actions being taken to safeguard against them. The government was not involved in drafting the guidance note.</w:t>
      </w:r>
    </w:p>
    <w:bookmarkEnd w:id="40"/>
    <w:p w14:paraId="4784FFD1" w14:textId="77777777" w:rsidR="007D5EE0" w:rsidRDefault="007D5EE0" w:rsidP="007D5EE0">
      <w:pPr>
        <w:pStyle w:val="Paragraph"/>
      </w:pPr>
      <w:r>
        <w:t xml:space="preserve">We </w:t>
      </w:r>
      <w:r w:rsidRPr="0067222A">
        <w:t>note</w:t>
      </w:r>
      <w:r>
        <w:t xml:space="preserve"> </w:t>
      </w:r>
      <w:r w:rsidRPr="0067222A">
        <w:t>that breaches of an industry code require it to direct a company to comply with the code and identify further non-compliance before it can access the full range of its stronger enforcement powers.</w:t>
      </w:r>
    </w:p>
    <w:p w14:paraId="5456D189" w14:textId="77777777" w:rsidR="007D5EE0" w:rsidRPr="00B939E0" w:rsidRDefault="007D5EE0" w:rsidP="007D5EE0">
      <w:pPr>
        <w:pStyle w:val="Paragraph"/>
      </w:pPr>
      <w:r w:rsidRPr="00B939E0">
        <w:t xml:space="preserve">While </w:t>
      </w:r>
      <w:r>
        <w:t xml:space="preserve">CSP-led </w:t>
      </w:r>
      <w:r w:rsidRPr="00B939E0">
        <w:t xml:space="preserve">scam-disruption initiatives are welcomed, </w:t>
      </w:r>
      <w:r>
        <w:t>they also</w:t>
      </w:r>
      <w:r w:rsidRPr="00B939E0">
        <w:t xml:space="preserve"> raise </w:t>
      </w:r>
      <w:r>
        <w:t xml:space="preserve">further </w:t>
      </w:r>
      <w:r w:rsidRPr="00B939E0">
        <w:t>questions about how protections will be afforded to all customers</w:t>
      </w:r>
      <w:r>
        <w:t xml:space="preserve"> –</w:t>
      </w:r>
      <w:r w:rsidRPr="00B939E0">
        <w:t xml:space="preserve"> </w:t>
      </w:r>
      <w:r>
        <w:t>as n</w:t>
      </w:r>
      <w:r w:rsidRPr="00B939E0">
        <w:t>ot all CSPs have acted to adopt measures to protect customer accounts</w:t>
      </w:r>
      <w:r>
        <w:t>,</w:t>
      </w:r>
      <w:r w:rsidRPr="00B939E0">
        <w:t xml:space="preserve"> while some have implemented better security provisions than others. Th</w:t>
      </w:r>
      <w:r>
        <w:t>is</w:t>
      </w:r>
      <w:r w:rsidRPr="00B939E0">
        <w:t xml:space="preserve"> gap </w:t>
      </w:r>
      <w:r>
        <w:t xml:space="preserve">in protections </w:t>
      </w:r>
      <w:r w:rsidRPr="00B939E0">
        <w:t>creates further opportunities for scammers</w:t>
      </w:r>
      <w:r>
        <w:t xml:space="preserve"> to target customer accounts</w:t>
      </w:r>
      <w:r w:rsidRPr="00B939E0">
        <w:t>, which has consequences for all Australians.</w:t>
      </w:r>
    </w:p>
    <w:p w14:paraId="21B16218" w14:textId="77777777" w:rsidR="007D5EE0" w:rsidRDefault="007D5EE0" w:rsidP="007D5EE0">
      <w:pPr>
        <w:pStyle w:val="Heading3"/>
      </w:pPr>
      <w:bookmarkStart w:id="41" w:name="_Toc98323746"/>
      <w:r>
        <w:t>Action is required now</w:t>
      </w:r>
      <w:bookmarkEnd w:id="41"/>
    </w:p>
    <w:p w14:paraId="2D0CE6B8" w14:textId="77777777" w:rsidR="007D5EE0" w:rsidRPr="00C36AC2" w:rsidRDefault="007D5EE0" w:rsidP="007D5EE0">
      <w:pPr>
        <w:pStyle w:val="Paragraph"/>
      </w:pPr>
      <w:r w:rsidRPr="00F147E0">
        <w:t>Without government action, Australian telecommunications users are at risk of scammers taking control of phone accounts and significantly impacting on people’s financial and digital lives without ever gaining physical control of a consumer’s phone</w:t>
      </w:r>
      <w:r w:rsidRPr="00C36AC2">
        <w:rPr>
          <w:color w:val="FF0000"/>
        </w:rPr>
        <w:t>.</w:t>
      </w:r>
    </w:p>
    <w:p w14:paraId="62FBFCEE" w14:textId="77777777" w:rsidR="007D5EE0" w:rsidRDefault="007D5EE0" w:rsidP="007D5EE0">
      <w:pPr>
        <w:pStyle w:val="Paragraph"/>
      </w:pPr>
      <w:r w:rsidRPr="006B18D4">
        <w:t>Australians rely on telecommunications networks to access information and essential services. In the past decade, developments in digital products and services have reshaped business models, global markets, consumer experience and expectations.</w:t>
      </w:r>
      <w:r w:rsidRPr="00180020">
        <w:t xml:space="preserve"> </w:t>
      </w:r>
      <w:r w:rsidRPr="00464429">
        <w:t>Major services such as social media, email providers and government agencies now use mobile phones for password resets and multi-factor identification purposes</w:t>
      </w:r>
      <w:r>
        <w:t>. T</w:t>
      </w:r>
      <w:r w:rsidRPr="00453A6F">
        <w:t>here</w:t>
      </w:r>
      <w:r>
        <w:t xml:space="preserve"> i</w:t>
      </w:r>
      <w:r w:rsidRPr="00453A6F">
        <w:t xml:space="preserve">s increasing interest in stealing phone numbers because banks often send </w:t>
      </w:r>
      <w:r>
        <w:t>2</w:t>
      </w:r>
      <w:r w:rsidRPr="00453A6F">
        <w:t>-step verification codes over SMS</w:t>
      </w:r>
      <w:r>
        <w:t>.</w:t>
      </w:r>
    </w:p>
    <w:p w14:paraId="7823195D" w14:textId="77777777" w:rsidR="007D5EE0" w:rsidRPr="009B35CA" w:rsidRDefault="007D5EE0" w:rsidP="007D5EE0">
      <w:pPr>
        <w:pStyle w:val="Paragraph"/>
      </w:pPr>
      <w:r w:rsidRPr="009B35CA">
        <w:t>These emerging technologies have also resulted in a greater consumer expectation that access to those services is appropriately safeguarded from harms. The potential for scammers to circumvent individual CSP level initiatives (including by moving activity to another CSP), means there is a need for government to act now to encourage industry-wide solutions to be adopted.</w:t>
      </w:r>
    </w:p>
    <w:p w14:paraId="7590FBFE" w14:textId="77777777" w:rsidR="007D5EE0" w:rsidRPr="007C4C66" w:rsidRDefault="007D5EE0" w:rsidP="007D5EE0">
      <w:pPr>
        <w:pStyle w:val="Paragraph"/>
      </w:pPr>
      <w:r w:rsidRPr="009B35CA">
        <w:t xml:space="preserve">The problem </w:t>
      </w:r>
      <w:r w:rsidRPr="00B61CB6">
        <w:t>of scams</w:t>
      </w:r>
      <w:r w:rsidRPr="009B35CA">
        <w:t xml:space="preserve"> increasing despite concerted efforts by government, law enforcement and industry to limit scams perpetrated on telecommunication</w:t>
      </w:r>
      <w:r>
        <w:t>s</w:t>
      </w:r>
      <w:r w:rsidRPr="009B35CA">
        <w:t xml:space="preserve"> networks. As previously noted, </w:t>
      </w:r>
      <w:proofErr w:type="spellStart"/>
      <w:r w:rsidRPr="009B35CA">
        <w:t>Scamwatch</w:t>
      </w:r>
      <w:proofErr w:type="spellEnd"/>
      <w:r w:rsidRPr="009B35CA">
        <w:t xml:space="preserve"> research shows that scams are both under and inconsistently reported </w:t>
      </w:r>
      <w:r>
        <w:t>–</w:t>
      </w:r>
      <w:r w:rsidRPr="00A857C2">
        <w:t xml:space="preserve"> victims </w:t>
      </w:r>
      <w:r>
        <w:t>m</w:t>
      </w:r>
      <w:r w:rsidRPr="00A857C2">
        <w:t>ay report to none, one or all the government or consumer agencies that take</w:t>
      </w:r>
      <w:r>
        <w:t xml:space="preserve"> reports, leading government to underestimate the scale of the problem</w:t>
      </w:r>
      <w:r w:rsidRPr="00C22A57">
        <w:t>.</w:t>
      </w:r>
    </w:p>
    <w:p w14:paraId="56203F2D" w14:textId="77777777" w:rsidR="007D5EE0" w:rsidRPr="00F2679F" w:rsidRDefault="007D5EE0" w:rsidP="007D5EE0">
      <w:pPr>
        <w:pStyle w:val="Paragraph"/>
        <w:rPr>
          <w:shd w:val="clear" w:color="auto" w:fill="FFFFFF"/>
        </w:rPr>
      </w:pPr>
      <w:r w:rsidRPr="00F2679F">
        <w:t xml:space="preserve">Any gap in efforts by government and industry to prevent fraud and address the problem of unauthorised high-risk customer </w:t>
      </w:r>
      <w:r>
        <w:t>transactions</w:t>
      </w:r>
      <w:r w:rsidRPr="00F2679F">
        <w:t xml:space="preserve"> will be exploited by scammers. </w:t>
      </w:r>
      <w:r w:rsidRPr="00F2679F">
        <w:rPr>
          <w:shd w:val="clear" w:color="auto" w:fill="FFFFFF"/>
        </w:rPr>
        <w:t>It is an ongoing challenge, because once a solution is found to address one type of scam, the scammers involved target new weaknesses</w:t>
      </w:r>
      <w:r w:rsidRPr="00F2679F">
        <w:t xml:space="preserve">. By way of example, if a consumer has a fixed and mobile service with a provider, and regulatory obligations do not attach to </w:t>
      </w:r>
      <w:r>
        <w:t>transactions</w:t>
      </w:r>
      <w:r w:rsidRPr="00F2679F">
        <w:t xml:space="preserve"> for both, it is likely that scammers will target the ‘unprotected’ channel.</w:t>
      </w:r>
    </w:p>
    <w:p w14:paraId="2E247D96" w14:textId="77777777" w:rsidR="007D5EE0" w:rsidRPr="00F2679F" w:rsidRDefault="007D5EE0" w:rsidP="007D5EE0">
      <w:pPr>
        <w:pStyle w:val="Paragraph"/>
      </w:pPr>
      <w:r w:rsidRPr="00F2679F">
        <w:t xml:space="preserve">Improving the consumer safeguards requirements for customer authentication across all service types (via enhanced identity verification processes covering all points at high risk of fraud in customer </w:t>
      </w:r>
      <w:r>
        <w:t>transactions</w:t>
      </w:r>
      <w:r w:rsidRPr="00F2679F">
        <w:t xml:space="preserve">) can significantly reduce the number of Australians impacted by the harms associated with unauthorised </w:t>
      </w:r>
      <w:r>
        <w:t>transactions.</w:t>
      </w:r>
    </w:p>
    <w:p w14:paraId="48F2ADF8" w14:textId="77777777" w:rsidR="007D5EE0" w:rsidRPr="00F2679F" w:rsidRDefault="007D5EE0" w:rsidP="007D5EE0">
      <w:pPr>
        <w:pStyle w:val="Paragraph"/>
      </w:pPr>
      <w:r w:rsidRPr="00F2679F">
        <w:t>Government action that compels a consistent approach to community-wide customer protection measures provides the strongest approach to achieving an outcome for the Australian community.</w:t>
      </w:r>
    </w:p>
    <w:p w14:paraId="2108F211" w14:textId="77777777" w:rsidR="007D5EE0" w:rsidRPr="00F4483B" w:rsidRDefault="007D5EE0" w:rsidP="007D5EE0">
      <w:pPr>
        <w:pStyle w:val="Heading1"/>
      </w:pPr>
      <w:bookmarkStart w:id="42" w:name="_Toc32833688"/>
      <w:bookmarkStart w:id="43" w:name="_Toc32833743"/>
      <w:bookmarkStart w:id="44" w:name="_Toc32833816"/>
      <w:bookmarkStart w:id="45" w:name="_Toc33176371"/>
      <w:bookmarkStart w:id="46" w:name="_Toc55546905"/>
      <w:bookmarkStart w:id="47" w:name="_Toc98323747"/>
      <w:bookmarkStart w:id="48" w:name="_Hlk29987546"/>
      <w:r w:rsidRPr="00F4483B">
        <w:t>3.</w:t>
      </w:r>
      <w:r w:rsidRPr="00F4483B">
        <w:tab/>
        <w:t>What policy options have been considered?</w:t>
      </w:r>
      <w:bookmarkEnd w:id="42"/>
      <w:bookmarkEnd w:id="43"/>
      <w:bookmarkEnd w:id="44"/>
      <w:bookmarkEnd w:id="45"/>
      <w:bookmarkEnd w:id="46"/>
      <w:bookmarkEnd w:id="47"/>
    </w:p>
    <w:p w14:paraId="6F3B2A06" w14:textId="77777777" w:rsidR="007D5EE0" w:rsidRDefault="007D5EE0" w:rsidP="007D5EE0">
      <w:pPr>
        <w:pStyle w:val="Paragraph"/>
      </w:pPr>
      <w:r>
        <w:t xml:space="preserve">The policy options below are consistent with regulatory options available in accordance with the Telecommunications </w:t>
      </w:r>
      <w:r w:rsidRPr="00BF30F1">
        <w:t>Act</w:t>
      </w:r>
      <w:r>
        <w:t xml:space="preserve"> to meet the government’s objectives of reduc</w:t>
      </w:r>
      <w:r>
        <w:rPr>
          <w:rFonts w:cs="Times New Roman"/>
          <w:iCs/>
        </w:rPr>
        <w:t xml:space="preserve">ing </w:t>
      </w:r>
      <w:r w:rsidRPr="00EE32EC">
        <w:rPr>
          <w:iCs/>
        </w:rPr>
        <w:t>the incidence of fraud and identity crime from scams occurring, given the significant potential for Australians to experience harms</w:t>
      </w:r>
      <w:r w:rsidRPr="00BF30F1">
        <w:t>.</w:t>
      </w:r>
    </w:p>
    <w:p w14:paraId="4BC81CB1" w14:textId="77777777" w:rsidR="007D5EE0" w:rsidRPr="00F4483B" w:rsidRDefault="007D5EE0" w:rsidP="007D5EE0">
      <w:pPr>
        <w:pStyle w:val="Heading2"/>
      </w:pPr>
      <w:bookmarkStart w:id="49" w:name="_Toc32833689"/>
      <w:bookmarkStart w:id="50" w:name="_Toc32833744"/>
      <w:bookmarkStart w:id="51" w:name="_Toc32833817"/>
      <w:bookmarkStart w:id="52" w:name="_Toc33176372"/>
      <w:bookmarkStart w:id="53" w:name="_Toc55546906"/>
      <w:bookmarkStart w:id="54" w:name="_Toc98323748"/>
      <w:r w:rsidRPr="00F4483B">
        <w:t>Option 1: Non-regulatory option (</w:t>
      </w:r>
      <w:r>
        <w:t>s</w:t>
      </w:r>
      <w:r w:rsidRPr="00F4483B">
        <w:t>tatus quo</w:t>
      </w:r>
      <w:bookmarkEnd w:id="49"/>
      <w:bookmarkEnd w:id="50"/>
      <w:bookmarkEnd w:id="51"/>
      <w:bookmarkEnd w:id="52"/>
      <w:r w:rsidRPr="00F4483B">
        <w:t>)</w:t>
      </w:r>
      <w:bookmarkEnd w:id="53"/>
      <w:bookmarkEnd w:id="54"/>
    </w:p>
    <w:p w14:paraId="57019D86" w14:textId="77777777" w:rsidR="007D5EE0" w:rsidRPr="00F24768" w:rsidRDefault="007D5EE0" w:rsidP="007D5EE0">
      <w:pPr>
        <w:pStyle w:val="Paragraph"/>
      </w:pPr>
      <w:r>
        <w:t>The government continues to e</w:t>
      </w:r>
      <w:r w:rsidRPr="009918AF">
        <w:t>ncourage</w:t>
      </w:r>
      <w:r>
        <w:t xml:space="preserve"> the</w:t>
      </w:r>
      <w:r w:rsidRPr="009918AF">
        <w:t xml:space="preserve"> </w:t>
      </w:r>
      <w:r>
        <w:t xml:space="preserve">telecommunications </w:t>
      </w:r>
      <w:r w:rsidRPr="009918AF">
        <w:t xml:space="preserve">industry to </w:t>
      </w:r>
      <w:r>
        <w:t>implement voluntary customer authentication measures</w:t>
      </w:r>
      <w:r w:rsidRPr="00A062D8">
        <w:t xml:space="preserve"> and </w:t>
      </w:r>
      <w:r>
        <w:t>provides</w:t>
      </w:r>
      <w:r w:rsidRPr="00A062D8">
        <w:t xml:space="preserve"> general advice</w:t>
      </w:r>
      <w:r>
        <w:t xml:space="preserve"> to consumers</w:t>
      </w:r>
      <w:r w:rsidRPr="00A062D8">
        <w:t xml:space="preserve"> on avoiding </w:t>
      </w:r>
      <w:r>
        <w:t xml:space="preserve">fraud, identity theft and </w:t>
      </w:r>
      <w:r w:rsidRPr="00A062D8">
        <w:t>scams (for example</w:t>
      </w:r>
      <w:r>
        <w:t>, through</w:t>
      </w:r>
      <w:r w:rsidRPr="00A062D8">
        <w:t xml:space="preserve"> </w:t>
      </w:r>
      <w:proofErr w:type="spellStart"/>
      <w:r w:rsidRPr="007072CD">
        <w:rPr>
          <w:u w:color="0000FF"/>
        </w:rPr>
        <w:t>Scamwatch</w:t>
      </w:r>
      <w:proofErr w:type="spellEnd"/>
      <w:r w:rsidRPr="007072CD">
        <w:t xml:space="preserve">, </w:t>
      </w:r>
      <w:proofErr w:type="spellStart"/>
      <w:r w:rsidRPr="007072CD">
        <w:t>ReportCyber</w:t>
      </w:r>
      <w:proofErr w:type="spellEnd"/>
      <w:r w:rsidRPr="00A062D8">
        <w:t xml:space="preserve"> and </w:t>
      </w:r>
      <w:r w:rsidRPr="00410C45">
        <w:rPr>
          <w:u w:color="0000FF"/>
        </w:rPr>
        <w:t>ACMA resource</w:t>
      </w:r>
      <w:r>
        <w:t>s setting out how consumers can protect themselves</w:t>
      </w:r>
      <w:r w:rsidRPr="00A062D8">
        <w:t>)</w:t>
      </w:r>
      <w:r>
        <w:t>.</w:t>
      </w:r>
      <w:r w:rsidRPr="00A062D8">
        <w:t xml:space="preserve"> </w:t>
      </w:r>
      <w:r>
        <w:t xml:space="preserve">The </w:t>
      </w:r>
      <w:bookmarkStart w:id="55" w:name="_Hlk31624105"/>
      <w:r w:rsidRPr="00F24768">
        <w:t xml:space="preserve">existing legislation and regulations </w:t>
      </w:r>
      <w:r>
        <w:t xml:space="preserve">for CSPs </w:t>
      </w:r>
      <w:r w:rsidRPr="00F24768">
        <w:t>remain</w:t>
      </w:r>
      <w:r>
        <w:t xml:space="preserve"> – including obligations under Part 13 and Part 14 of the Telecommunications Act</w:t>
      </w:r>
      <w:r w:rsidRPr="00F24768">
        <w:t>.</w:t>
      </w:r>
    </w:p>
    <w:bookmarkEnd w:id="55"/>
    <w:p w14:paraId="7404F4BE" w14:textId="77777777" w:rsidR="007D5EE0" w:rsidRPr="00F24768" w:rsidRDefault="007D5EE0" w:rsidP="007D5EE0">
      <w:pPr>
        <w:pStyle w:val="Paragraph"/>
      </w:pPr>
      <w:r w:rsidRPr="00F24768">
        <w:t>Communications Alliance encourage</w:t>
      </w:r>
      <w:r>
        <w:t>s</w:t>
      </w:r>
      <w:r w:rsidRPr="00F24768">
        <w:t xml:space="preserve"> </w:t>
      </w:r>
      <w:r>
        <w:t>CSPs</w:t>
      </w:r>
      <w:r w:rsidRPr="00F24768">
        <w:t xml:space="preserve"> to act in accordance </w:t>
      </w:r>
      <w:r>
        <w:t xml:space="preserve">with </w:t>
      </w:r>
      <w:r w:rsidRPr="00F24768">
        <w:t>industry guidance</w:t>
      </w:r>
      <w:r>
        <w:t xml:space="preserve">, </w:t>
      </w:r>
      <w:r w:rsidRPr="00F24768">
        <w:t xml:space="preserve">with members deciding whether to </w:t>
      </w:r>
      <w:r>
        <w:t xml:space="preserve">voluntarily </w:t>
      </w:r>
      <w:r w:rsidRPr="00F24768">
        <w:t>comply. Those</w:t>
      </w:r>
      <w:r>
        <w:t xml:space="preserve"> providers</w:t>
      </w:r>
      <w:r w:rsidRPr="00F24768">
        <w:t xml:space="preserve"> </w:t>
      </w:r>
      <w:r>
        <w:t>deploying measures continue to use</w:t>
      </w:r>
      <w:r w:rsidRPr="00F24768">
        <w:t xml:space="preserve"> them in addition to existing laws and regulations to help </w:t>
      </w:r>
      <w:r>
        <w:t>reduce</w:t>
      </w:r>
      <w:r w:rsidRPr="00F24768">
        <w:t xml:space="preserve"> instances of </w:t>
      </w:r>
      <w:r>
        <w:t>fraud</w:t>
      </w:r>
      <w:r w:rsidRPr="00F24768">
        <w:t>.</w:t>
      </w:r>
    </w:p>
    <w:p w14:paraId="7D2E1FC5" w14:textId="77777777" w:rsidR="007D5EE0" w:rsidRPr="004A42C5" w:rsidRDefault="007D5EE0" w:rsidP="007D5EE0">
      <w:pPr>
        <w:pStyle w:val="Paragraph"/>
      </w:pPr>
      <w:r w:rsidRPr="004A42C5">
        <w:t>Under this option</w:t>
      </w:r>
      <w:r>
        <w:t xml:space="preserve">, </w:t>
      </w:r>
      <w:r w:rsidRPr="004A42C5">
        <w:t>CSPs would continue with the</w:t>
      </w:r>
      <w:r>
        <w:t xml:space="preserve"> </w:t>
      </w:r>
      <w:r w:rsidRPr="004A42C5">
        <w:t xml:space="preserve">disparate (and </w:t>
      </w:r>
      <w:r>
        <w:t xml:space="preserve">mainly </w:t>
      </w:r>
      <w:r w:rsidRPr="004A42C5">
        <w:t xml:space="preserve">larger </w:t>
      </w:r>
      <w:r>
        <w:t>CSP</w:t>
      </w:r>
      <w:r w:rsidRPr="004A42C5">
        <w:t xml:space="preserve"> level) operational approaches currently employed </w:t>
      </w:r>
      <w:r>
        <w:t>to manage</w:t>
      </w:r>
      <w:r w:rsidRPr="00464429">
        <w:t xml:space="preserve"> </w:t>
      </w:r>
      <w:r>
        <w:t xml:space="preserve">customer authentication </w:t>
      </w:r>
      <w:r w:rsidRPr="00464429">
        <w:t>fraud</w:t>
      </w:r>
      <w:r w:rsidRPr="004A42C5">
        <w:t>.</w:t>
      </w:r>
    </w:p>
    <w:p w14:paraId="6D85C76B" w14:textId="77777777" w:rsidR="007D5EE0" w:rsidRPr="00A21D55" w:rsidRDefault="007D5EE0" w:rsidP="007D5EE0">
      <w:pPr>
        <w:pStyle w:val="Paragraph"/>
      </w:pPr>
      <w:r w:rsidRPr="004A42C5">
        <w:t xml:space="preserve">No compliance requirements or enforcement options would </w:t>
      </w:r>
      <w:r w:rsidRPr="00A21D55">
        <w:t xml:space="preserve">apply. Scams will still occur, and it is likely the volume of calls and harms escalate as no industry-wide technological nor network strategies have been implemented to reduce unauthorised high-risk customer </w:t>
      </w:r>
      <w:r>
        <w:t>transactions</w:t>
      </w:r>
      <w:r w:rsidRPr="00A21D55">
        <w:t>.</w:t>
      </w:r>
    </w:p>
    <w:p w14:paraId="404041A4" w14:textId="77777777" w:rsidR="007D5EE0" w:rsidRPr="00A21D55" w:rsidRDefault="007D5EE0" w:rsidP="007D5EE0">
      <w:pPr>
        <w:pStyle w:val="Paragraph"/>
      </w:pPr>
      <w:r w:rsidRPr="00A21D55">
        <w:t>Australians will continue to experience significant harms as there will be varying levels of protection from scammers – while scammers will continue to exploit, and target, weak links, and ineffective authentication processes.</w:t>
      </w:r>
    </w:p>
    <w:p w14:paraId="7C230E76" w14:textId="77777777" w:rsidR="007D5EE0" w:rsidRPr="00605E88" w:rsidRDefault="007D5EE0" w:rsidP="007D5EE0">
      <w:pPr>
        <w:pStyle w:val="Heading2"/>
      </w:pPr>
      <w:bookmarkStart w:id="56" w:name="_Toc55546907"/>
      <w:bookmarkStart w:id="57" w:name="_Toc98323749"/>
      <w:bookmarkStart w:id="58" w:name="_Toc32833690"/>
      <w:bookmarkStart w:id="59" w:name="_Toc32833745"/>
      <w:bookmarkStart w:id="60" w:name="_Toc32833818"/>
      <w:bookmarkStart w:id="61" w:name="_Toc33176373"/>
      <w:r w:rsidRPr="00605E88">
        <w:t>Option 2: Consumer education campaign</w:t>
      </w:r>
      <w:bookmarkEnd w:id="56"/>
      <w:bookmarkEnd w:id="57"/>
      <w:r w:rsidRPr="00605E88">
        <w:t xml:space="preserve"> </w:t>
      </w:r>
      <w:bookmarkEnd w:id="58"/>
      <w:bookmarkEnd w:id="59"/>
      <w:bookmarkEnd w:id="60"/>
      <w:bookmarkEnd w:id="61"/>
    </w:p>
    <w:p w14:paraId="67EEB58F" w14:textId="77777777" w:rsidR="007D5EE0" w:rsidRDefault="007D5EE0" w:rsidP="007D5EE0">
      <w:pPr>
        <w:pStyle w:val="Paragraph"/>
      </w:pPr>
      <w:r>
        <w:t xml:space="preserve">The government does not introduce any new form of regulation but instead conducts a targeted public </w:t>
      </w:r>
      <w:r w:rsidRPr="00DF7981">
        <w:t>education campaign</w:t>
      </w:r>
      <w:r>
        <w:t xml:space="preserve"> that builds on existing phone scams resources to provide clear and accessible information to assist consumers to better manage and avoid fraud over </w:t>
      </w:r>
      <w:r w:rsidRPr="004A42C5">
        <w:t>telecommunications networks</w:t>
      </w:r>
      <w:r>
        <w:t>. The existing legislation and regulations governing CSPs remain.</w:t>
      </w:r>
    </w:p>
    <w:p w14:paraId="4BB80FFB" w14:textId="77777777" w:rsidR="007D5EE0" w:rsidRDefault="007D5EE0" w:rsidP="007D5EE0">
      <w:pPr>
        <w:pStyle w:val="Paragraph"/>
      </w:pPr>
      <w:r>
        <w:t>The campaign focuses on advising customers how to improve their online and physical identity for phone and customer account security – and what to do if they become a victim of a fraudulent customer authentication interaction – including where to report it.</w:t>
      </w:r>
    </w:p>
    <w:p w14:paraId="6F49F2A3" w14:textId="77777777" w:rsidR="007D5EE0" w:rsidRDefault="007D5EE0" w:rsidP="007D5EE0">
      <w:pPr>
        <w:pStyle w:val="Paragraph"/>
      </w:pPr>
      <w:r>
        <w:t>Information is provided to CSPs to further support their understanding of the current regulatory framework so they act in a manner that will minimise the need for further regulatory intervention. Better informed customers pressure CSPs to go beyond existing regulation and voluntarily implement additional protections.</w:t>
      </w:r>
    </w:p>
    <w:p w14:paraId="02EE4AFC" w14:textId="77777777" w:rsidR="007D5EE0" w:rsidRDefault="007D5EE0" w:rsidP="007D5EE0">
      <w:pPr>
        <w:pStyle w:val="Paragraph"/>
      </w:pPr>
      <w:r w:rsidRPr="00BF5B6A">
        <w:t xml:space="preserve">Campaign activities are also undertaken in collaboration with other government agencies, consumer advocacy groups and </w:t>
      </w:r>
      <w:r>
        <w:t>CSPs</w:t>
      </w:r>
      <w:r w:rsidRPr="00BF5B6A">
        <w:t>. These</w:t>
      </w:r>
      <w:r>
        <w:t xml:space="preserve"> activities</w:t>
      </w:r>
      <w:r w:rsidRPr="00BF5B6A">
        <w:t xml:space="preserve"> include </w:t>
      </w:r>
      <w:r>
        <w:t xml:space="preserve">leveraging off existing </w:t>
      </w:r>
      <w:r w:rsidRPr="00BF5B6A">
        <w:t xml:space="preserve">websites and social media channels, issuing emails/letters/bulletins, and </w:t>
      </w:r>
      <w:r>
        <w:t xml:space="preserve">establishing </w:t>
      </w:r>
      <w:r w:rsidRPr="00BF5B6A">
        <w:t>stakeholder and community forums.</w:t>
      </w:r>
    </w:p>
    <w:p w14:paraId="0ABF4B17" w14:textId="77777777" w:rsidR="007D5EE0" w:rsidRDefault="007D5EE0" w:rsidP="007D5EE0">
      <w:pPr>
        <w:pStyle w:val="Paragraph"/>
      </w:pPr>
      <w:r w:rsidRPr="00BF5B6A">
        <w:t xml:space="preserve">Information is </w:t>
      </w:r>
      <w:r>
        <w:t xml:space="preserve">also designed for </w:t>
      </w:r>
      <w:r w:rsidRPr="00BF5B6A">
        <w:t xml:space="preserve">culturally and linguistically diverse communities and </w:t>
      </w:r>
      <w:r>
        <w:t>consumers who may be in vulnerable circumstances (such as some older Australians and First Nations Australians) to inform and help them better manage scam calls</w:t>
      </w:r>
      <w:r w:rsidRPr="00BF5B6A">
        <w:t>.</w:t>
      </w:r>
      <w:r w:rsidRPr="00252F6D">
        <w:t xml:space="preserve"> </w:t>
      </w:r>
      <w:r w:rsidRPr="002C70B4">
        <w:t>However</w:t>
      </w:r>
      <w:r>
        <w:t xml:space="preserve">, </w:t>
      </w:r>
      <w:r w:rsidRPr="00252F6D">
        <w:t>some members of the community may not receive nor understand the information.</w:t>
      </w:r>
    </w:p>
    <w:p w14:paraId="67B064E8" w14:textId="77777777" w:rsidR="007D5EE0" w:rsidRDefault="007D5EE0" w:rsidP="007D5EE0">
      <w:pPr>
        <w:pStyle w:val="Paragraphbeforelist"/>
      </w:pPr>
      <w:r>
        <w:t xml:space="preserve">The </w:t>
      </w:r>
      <w:r w:rsidRPr="001C6EC8">
        <w:t xml:space="preserve">campaign is run annually for </w:t>
      </w:r>
      <w:r>
        <w:t>10</w:t>
      </w:r>
      <w:r w:rsidRPr="001C6EC8">
        <w:t xml:space="preserve"> years by</w:t>
      </w:r>
      <w:r>
        <w:t xml:space="preserve"> the ACMA in accordance with usual practice and builds on our other campaigns. A campaign based upon the below steps will </w:t>
      </w:r>
      <w:r w:rsidRPr="00725535">
        <w:t>cost on average $3</w:t>
      </w:r>
      <w:r>
        <w:t>0,56</w:t>
      </w:r>
      <w:r w:rsidRPr="00725535">
        <w:t>0</w:t>
      </w:r>
      <w:r>
        <w:t xml:space="preserve"> per annum</w:t>
      </w:r>
      <w:r w:rsidRPr="00725535">
        <w:t xml:space="preserve"> (depending on the size of the intended audience):</w:t>
      </w:r>
    </w:p>
    <w:p w14:paraId="751C07EA" w14:textId="77777777" w:rsidR="007D5EE0" w:rsidRDefault="007D5EE0" w:rsidP="007D5EE0">
      <w:pPr>
        <w:pStyle w:val="ListBullet"/>
      </w:pPr>
      <w:r>
        <w:t>information published on ACMA and other government websites</w:t>
      </w:r>
    </w:p>
    <w:p w14:paraId="4F687F4A" w14:textId="77777777" w:rsidR="007D5EE0" w:rsidRDefault="007D5EE0" w:rsidP="007D5EE0">
      <w:pPr>
        <w:pStyle w:val="ListBullet"/>
      </w:pPr>
      <w:r>
        <w:t>a short video providing individuals and business with relevant information in an accessible format</w:t>
      </w:r>
    </w:p>
    <w:p w14:paraId="76E80748" w14:textId="77777777" w:rsidR="007D5EE0" w:rsidRDefault="007D5EE0" w:rsidP="007D5EE0">
      <w:pPr>
        <w:pStyle w:val="ListBullet"/>
      </w:pPr>
      <w:r>
        <w:t>poster campaign focusing on information for vulnerable communities, including translations into multiple languages and First Nations Australians audience</w:t>
      </w:r>
    </w:p>
    <w:p w14:paraId="3E6C4759" w14:textId="77777777" w:rsidR="007D5EE0" w:rsidRDefault="007D5EE0" w:rsidP="007D5EE0">
      <w:pPr>
        <w:pStyle w:val="ListBullet"/>
      </w:pPr>
      <w:r>
        <w:t>targeted ads on social media to reach consumers</w:t>
      </w:r>
    </w:p>
    <w:p w14:paraId="5AF9F447" w14:textId="77777777" w:rsidR="007D5EE0" w:rsidRDefault="007D5EE0" w:rsidP="007D5EE0">
      <w:pPr>
        <w:pStyle w:val="ListBullet"/>
      </w:pPr>
      <w:r>
        <w:t>use of LinkedIn to reach business, consumer groups and C/CSPs</w:t>
      </w:r>
    </w:p>
    <w:p w14:paraId="421D248E" w14:textId="77777777" w:rsidR="007D5EE0" w:rsidRDefault="007D5EE0" w:rsidP="007D5EE0">
      <w:pPr>
        <w:pStyle w:val="ListBullet"/>
      </w:pPr>
      <w:r>
        <w:t>use of direct email lists</w:t>
      </w:r>
    </w:p>
    <w:p w14:paraId="7310307A" w14:textId="77777777" w:rsidR="007D5EE0" w:rsidRDefault="007D5EE0" w:rsidP="007D5EE0">
      <w:pPr>
        <w:pStyle w:val="ListBullet"/>
      </w:pPr>
      <w:r>
        <w:t>promotional materials with key messages (such as magnets, notepads, pens)</w:t>
      </w:r>
    </w:p>
    <w:p w14:paraId="4F20B0CE" w14:textId="77777777" w:rsidR="007D5EE0" w:rsidRDefault="007D5EE0" w:rsidP="007D5EE0">
      <w:pPr>
        <w:pStyle w:val="ListBulletLast"/>
        <w:numPr>
          <w:ilvl w:val="0"/>
          <w:numId w:val="4"/>
        </w:numPr>
      </w:pPr>
      <w:r>
        <w:t>boosting impressions of the social media content</w:t>
      </w:r>
      <w:r w:rsidRPr="00223B6E">
        <w:t xml:space="preserve"> </w:t>
      </w:r>
      <w:r>
        <w:t xml:space="preserve">(potentially </w:t>
      </w:r>
      <w:r w:rsidRPr="00223B6E">
        <w:t xml:space="preserve">reaching </w:t>
      </w:r>
      <w:r>
        <w:t xml:space="preserve">over </w:t>
      </w:r>
      <w:r w:rsidRPr="00223B6E">
        <w:t>7.7</w:t>
      </w:r>
      <w:r>
        <w:t> million </w:t>
      </w:r>
      <w:r w:rsidRPr="00223B6E">
        <w:t>people</w:t>
      </w:r>
      <w:r>
        <w:t>).</w:t>
      </w:r>
    </w:p>
    <w:p w14:paraId="342BABAC" w14:textId="77777777" w:rsidR="007D5EE0" w:rsidRPr="006C533E" w:rsidRDefault="007D5EE0" w:rsidP="007D5EE0">
      <w:pPr>
        <w:pStyle w:val="Paragraph"/>
      </w:pPr>
      <w:r w:rsidRPr="00DC353A">
        <w:t>Th</w:t>
      </w:r>
      <w:r>
        <w:t>is</w:t>
      </w:r>
      <w:r w:rsidRPr="00DC353A">
        <w:t xml:space="preserve"> option relies </w:t>
      </w:r>
      <w:r>
        <w:t xml:space="preserve">entirely </w:t>
      </w:r>
      <w:r w:rsidRPr="00DC353A">
        <w:t xml:space="preserve">on better informed </w:t>
      </w:r>
      <w:r>
        <w:t>Australian</w:t>
      </w:r>
      <w:r w:rsidRPr="00DC353A">
        <w:t>s reacting appropriately to</w:t>
      </w:r>
      <w:r>
        <w:t xml:space="preserve"> the campaign</w:t>
      </w:r>
      <w:r w:rsidRPr="00DC353A">
        <w:t>.</w:t>
      </w:r>
      <w:r>
        <w:t xml:space="preserve"> </w:t>
      </w:r>
      <w:r w:rsidRPr="00AC5D6B">
        <w:t xml:space="preserve">Industry behaviour may still present potential or realised harms as </w:t>
      </w:r>
      <w:proofErr w:type="gramStart"/>
      <w:r w:rsidRPr="00AC5D6B">
        <w:t>the majority of</w:t>
      </w:r>
      <w:proofErr w:type="gramEnd"/>
      <w:r w:rsidRPr="00AC5D6B">
        <w:t xml:space="preserve"> engagement with CSPs will be for the purposes of education and compliance with the existing regulatory framework.</w:t>
      </w:r>
    </w:p>
    <w:p w14:paraId="0A65C15A" w14:textId="77777777" w:rsidR="007D5EE0" w:rsidRPr="00405DFC" w:rsidRDefault="007D5EE0" w:rsidP="007D5EE0">
      <w:pPr>
        <w:pStyle w:val="Heading2"/>
      </w:pPr>
      <w:bookmarkStart w:id="62" w:name="_Toc55546908"/>
      <w:bookmarkStart w:id="63" w:name="_Toc98323750"/>
      <w:bookmarkStart w:id="64" w:name="_Toc32833691"/>
      <w:bookmarkStart w:id="65" w:name="_Toc32833746"/>
      <w:bookmarkStart w:id="66" w:name="_Toc32833819"/>
      <w:bookmarkStart w:id="67" w:name="_Toc33176374"/>
      <w:r w:rsidRPr="00405DFC">
        <w:t>Option 3: Enforceable obligations</w:t>
      </w:r>
      <w:bookmarkEnd w:id="62"/>
      <w:bookmarkEnd w:id="63"/>
    </w:p>
    <w:p w14:paraId="7CB74154" w14:textId="77777777" w:rsidR="007D5EE0" w:rsidRPr="00E4296C" w:rsidRDefault="007D5EE0" w:rsidP="007D5EE0">
      <w:pPr>
        <w:pStyle w:val="Paragraph"/>
      </w:pPr>
      <w:r w:rsidRPr="00450FB5">
        <w:t xml:space="preserve">The government introduces </w:t>
      </w:r>
      <w:r>
        <w:t xml:space="preserve">new regulation in the form of </w:t>
      </w:r>
      <w:r w:rsidRPr="00450FB5">
        <w:t xml:space="preserve">enforceable obligations </w:t>
      </w:r>
      <w:r>
        <w:t xml:space="preserve">that require CSPs to better protect customer accounts </w:t>
      </w:r>
      <w:r w:rsidRPr="00450FB5">
        <w:t>when where there is a high</w:t>
      </w:r>
      <w:r>
        <w:t xml:space="preserve"> </w:t>
      </w:r>
      <w:r w:rsidRPr="00450FB5">
        <w:t xml:space="preserve">risk of scammers targeting the </w:t>
      </w:r>
      <w:r>
        <w:t>transactions</w:t>
      </w:r>
      <w:r w:rsidRPr="00450FB5">
        <w:t xml:space="preserve"> to perpetrate identity and/or financial theft.</w:t>
      </w:r>
    </w:p>
    <w:p w14:paraId="1D523718" w14:textId="77777777" w:rsidR="007D5EE0" w:rsidRDefault="007D5EE0" w:rsidP="007D5EE0">
      <w:pPr>
        <w:pStyle w:val="Paragraph"/>
      </w:pPr>
      <w:r w:rsidRPr="00E4296C">
        <w:t xml:space="preserve">This includes establishing </w:t>
      </w:r>
      <w:r>
        <w:t xml:space="preserve">robust </w:t>
      </w:r>
      <w:r w:rsidRPr="00450FB5">
        <w:t>industry-</w:t>
      </w:r>
      <w:r>
        <w:t xml:space="preserve">wide and consistent measures </w:t>
      </w:r>
      <w:r w:rsidRPr="00450FB5">
        <w:t xml:space="preserve">for all CSPs </w:t>
      </w:r>
      <w:r w:rsidRPr="00E4296C">
        <w:t xml:space="preserve">that have </w:t>
      </w:r>
      <w:r w:rsidRPr="00450FB5">
        <w:t xml:space="preserve">regulatory parity with the </w:t>
      </w:r>
      <w:r>
        <w:t xml:space="preserve">PPV </w:t>
      </w:r>
      <w:r w:rsidRPr="00450FB5">
        <w:t>Standard to address the serious nature of the harms involved</w:t>
      </w:r>
      <w:r>
        <w:t xml:space="preserve">. The obligations will prevent </w:t>
      </w:r>
      <w:proofErr w:type="gramStart"/>
      <w:r>
        <w:t>particular channels</w:t>
      </w:r>
      <w:proofErr w:type="gramEnd"/>
      <w:r>
        <w:t xml:space="preserve"> being targeted by scammers if protections are, or are perceived to be, weaker than other channels.</w:t>
      </w:r>
    </w:p>
    <w:p w14:paraId="761845B1" w14:textId="77777777" w:rsidR="007D5EE0" w:rsidRPr="005A2B25" w:rsidRDefault="007D5EE0" w:rsidP="007D5EE0">
      <w:pPr>
        <w:pStyle w:val="Paragraph"/>
        <w:rPr>
          <w:szCs w:val="20"/>
        </w:rPr>
      </w:pPr>
      <w:r w:rsidRPr="000F2538">
        <w:t>Enforceable obligations strongly align with the government’s objective of reduc</w:t>
      </w:r>
      <w:r w:rsidRPr="000F2538">
        <w:rPr>
          <w:iCs/>
        </w:rPr>
        <w:t>ing the incidence of fraud and identity crime from scams occurring.</w:t>
      </w:r>
      <w:r w:rsidRPr="000F2538">
        <w:t xml:space="preserve"> </w:t>
      </w:r>
      <w:r w:rsidRPr="00E4296C">
        <w:t xml:space="preserve">A CSP would be required </w:t>
      </w:r>
      <w:r>
        <w:t>to</w:t>
      </w:r>
      <w:r w:rsidRPr="00E4296C">
        <w:t xml:space="preserve"> adopt enhanced identity verification processes to </w:t>
      </w:r>
      <w:r>
        <w:t>prevent</w:t>
      </w:r>
      <w:r w:rsidRPr="00E4296C">
        <w:t xml:space="preserve"> harm to existing </w:t>
      </w:r>
      <w:r w:rsidRPr="005A2B25">
        <w:rPr>
          <w:szCs w:val="20"/>
        </w:rPr>
        <w:t>customers arising from unauthorised high-risk customer transactions.</w:t>
      </w:r>
    </w:p>
    <w:p w14:paraId="1C369D6D" w14:textId="77777777" w:rsidR="007D5EE0" w:rsidRPr="005A2B25" w:rsidRDefault="007D5EE0" w:rsidP="007D5EE0">
      <w:pPr>
        <w:pStyle w:val="Paragraph"/>
        <w:rPr>
          <w:szCs w:val="20"/>
        </w:rPr>
      </w:pPr>
      <w:r w:rsidRPr="005A2B25">
        <w:rPr>
          <w:szCs w:val="20"/>
        </w:rPr>
        <w:t>A CSP would be obliged to take measures designed to help prevent identity theft and associated financial losses occurring through unauthorised transactions. This would include not proceeding with a high-risk customer interaction unless the customer’s identity is verified by robust processes – i.e., multi-factor identity verification processes have been used.</w:t>
      </w:r>
    </w:p>
    <w:p w14:paraId="76421777" w14:textId="77777777" w:rsidR="007D5EE0" w:rsidRDefault="007D5EE0" w:rsidP="007D5EE0">
      <w:pPr>
        <w:pStyle w:val="Paragraph"/>
      </w:pPr>
      <w:r w:rsidRPr="00E4296C">
        <w:t xml:space="preserve">A CSP would also be required to provide customers </w:t>
      </w:r>
      <w:bookmarkStart w:id="68" w:name="_Hlk84938799"/>
      <w:r w:rsidRPr="00E4296C">
        <w:t xml:space="preserve">with additional levels of protection if requested by the customer </w:t>
      </w:r>
      <w:bookmarkEnd w:id="68"/>
      <w:r w:rsidRPr="00E4296C">
        <w:t xml:space="preserve">(such as </w:t>
      </w:r>
      <w:r>
        <w:t xml:space="preserve">instances </w:t>
      </w:r>
      <w:r w:rsidRPr="00E4296C">
        <w:t>where their identity documentation has been compromised and/or subject to past theft)</w:t>
      </w:r>
      <w:r>
        <w:t>.</w:t>
      </w:r>
    </w:p>
    <w:p w14:paraId="608B2B43" w14:textId="77777777" w:rsidR="007D5EE0" w:rsidRPr="00D11C80" w:rsidRDefault="007D5EE0" w:rsidP="007D5EE0">
      <w:pPr>
        <w:pStyle w:val="Paragraph"/>
        <w:rPr>
          <w:iCs/>
        </w:rPr>
      </w:pPr>
      <w:r>
        <w:t xml:space="preserve">The stronger protection measures are also designed to ensure that genuine customers – particularly those who are vulnerable, disadvantaged or in </w:t>
      </w:r>
      <w:proofErr w:type="gramStart"/>
      <w:r>
        <w:t>an emergency situation</w:t>
      </w:r>
      <w:proofErr w:type="gramEnd"/>
      <w:r>
        <w:t xml:space="preserve"> – can still undertake transactions with their service provider.</w:t>
      </w:r>
    </w:p>
    <w:p w14:paraId="56078D12" w14:textId="77777777" w:rsidR="007D5EE0" w:rsidRPr="00062374" w:rsidRDefault="007D5EE0" w:rsidP="007D5EE0">
      <w:pPr>
        <w:pStyle w:val="Paragraph"/>
        <w:rPr>
          <w:szCs w:val="20"/>
        </w:rPr>
      </w:pPr>
      <w:r w:rsidRPr="00062374">
        <w:rPr>
          <w:szCs w:val="20"/>
        </w:rPr>
        <w:t>This option proposes enforceable obligations be principle or outcomes-based (to the extent they can) to avoid providing sensitive information to scammers. The enforceable obligations would permit adaptive and flexible initiatives to address scams and/or do not stifle potential innovation.</w:t>
      </w:r>
    </w:p>
    <w:p w14:paraId="7ABBBC4F" w14:textId="77777777" w:rsidR="007D5EE0" w:rsidRPr="00CD4159" w:rsidRDefault="007D5EE0" w:rsidP="007D5EE0">
      <w:r w:rsidRPr="00062374">
        <w:rPr>
          <w:rFonts w:ascii="Arial" w:hAnsi="Arial" w:cs="Arial"/>
          <w:sz w:val="20"/>
          <w:szCs w:val="20"/>
        </w:rPr>
        <w:t>Depending on the mechanism chosen to deliver enforceable obligations, we can act under Part 4 or Part 6 of the Telecommunications Act to ensure CSPs comply with requirements that will help reduce harms to Australian telecommunications users</w:t>
      </w:r>
      <w:r w:rsidRPr="00CD4159">
        <w:t>.</w:t>
      </w:r>
    </w:p>
    <w:p w14:paraId="0F341B90" w14:textId="77777777" w:rsidR="007D5EE0" w:rsidRDefault="007D5EE0" w:rsidP="007D5EE0">
      <w:pPr>
        <w:pStyle w:val="Heading1"/>
      </w:pPr>
      <w:bookmarkStart w:id="69" w:name="_Toc32833692"/>
      <w:bookmarkStart w:id="70" w:name="_Toc32833747"/>
      <w:bookmarkStart w:id="71" w:name="_Toc32833820"/>
      <w:bookmarkStart w:id="72" w:name="_Toc33176375"/>
      <w:bookmarkStart w:id="73" w:name="_Toc55546909"/>
      <w:bookmarkStart w:id="74" w:name="_Toc98323751"/>
      <w:bookmarkStart w:id="75" w:name="_Hlk30167323"/>
      <w:bookmarkEnd w:id="48"/>
      <w:bookmarkEnd w:id="64"/>
      <w:bookmarkEnd w:id="65"/>
      <w:bookmarkEnd w:id="66"/>
      <w:bookmarkEnd w:id="67"/>
      <w:r w:rsidRPr="000A3902">
        <w:t>4. What is the likely net benefit of each option?</w:t>
      </w:r>
      <w:bookmarkEnd w:id="69"/>
      <w:bookmarkEnd w:id="70"/>
      <w:bookmarkEnd w:id="71"/>
      <w:bookmarkEnd w:id="72"/>
      <w:bookmarkEnd w:id="73"/>
      <w:bookmarkEnd w:id="74"/>
    </w:p>
    <w:p w14:paraId="5D121656" w14:textId="77777777" w:rsidR="007D5EE0" w:rsidRPr="00D6509C" w:rsidRDefault="007D5EE0" w:rsidP="007D5EE0">
      <w:pPr>
        <w:pStyle w:val="Paragraphbeforelist"/>
      </w:pPr>
      <w:r w:rsidRPr="00D6509C">
        <w:t>The assessment of net benefit is informed by the following assumptions:</w:t>
      </w:r>
    </w:p>
    <w:p w14:paraId="19EFD5D5" w14:textId="77777777" w:rsidR="007D5EE0" w:rsidRPr="00CA68FD" w:rsidRDefault="007D5EE0" w:rsidP="007D5EE0">
      <w:pPr>
        <w:pStyle w:val="ListBullet"/>
      </w:pPr>
      <w:r>
        <w:t>c</w:t>
      </w:r>
      <w:r w:rsidRPr="00CA68FD">
        <w:t>osts and benefits for all options are projected forward for 10 years</w:t>
      </w:r>
    </w:p>
    <w:p w14:paraId="20EB1822" w14:textId="77777777" w:rsidR="007D5EE0" w:rsidRPr="00CA68FD" w:rsidRDefault="007D5EE0" w:rsidP="007D5EE0">
      <w:pPr>
        <w:pStyle w:val="ListBullet"/>
      </w:pPr>
      <w:r>
        <w:t>f</w:t>
      </w:r>
      <w:r w:rsidRPr="00CA68FD">
        <w:t xml:space="preserve">uture costs/benefits are discounted to present value using a </w:t>
      </w:r>
      <w:r w:rsidRPr="00622BB0">
        <w:t>discount rate of 7%</w:t>
      </w:r>
    </w:p>
    <w:p w14:paraId="76099C53" w14:textId="77777777" w:rsidR="007D5EE0" w:rsidRPr="00CA68FD" w:rsidRDefault="007D5EE0" w:rsidP="007D5EE0">
      <w:pPr>
        <w:pStyle w:val="ListBulletLast"/>
        <w:numPr>
          <w:ilvl w:val="0"/>
          <w:numId w:val="4"/>
        </w:numPr>
      </w:pPr>
      <w:r>
        <w:t>c</w:t>
      </w:r>
      <w:r w:rsidRPr="00CA68FD">
        <w:t>osts and benefits are reported in average annual figures.</w:t>
      </w:r>
    </w:p>
    <w:p w14:paraId="69BF2365" w14:textId="77777777" w:rsidR="007D5EE0" w:rsidRPr="000A3902" w:rsidRDefault="007D5EE0" w:rsidP="007D5EE0">
      <w:pPr>
        <w:pStyle w:val="Heading2"/>
      </w:pPr>
      <w:bookmarkStart w:id="76" w:name="_Toc32833693"/>
      <w:bookmarkStart w:id="77" w:name="_Toc32833748"/>
      <w:bookmarkStart w:id="78" w:name="_Toc32833821"/>
      <w:bookmarkStart w:id="79" w:name="_Toc33176376"/>
      <w:bookmarkStart w:id="80" w:name="_Toc55546910"/>
      <w:bookmarkStart w:id="81" w:name="_Toc98323752"/>
      <w:r>
        <w:t xml:space="preserve">Option 1: </w:t>
      </w:r>
      <w:r w:rsidRPr="000A3902">
        <w:t>Status quo</w:t>
      </w:r>
      <w:bookmarkEnd w:id="76"/>
      <w:bookmarkEnd w:id="77"/>
      <w:bookmarkEnd w:id="78"/>
      <w:bookmarkEnd w:id="79"/>
      <w:bookmarkEnd w:id="80"/>
      <w:bookmarkEnd w:id="81"/>
    </w:p>
    <w:p w14:paraId="64BDD4A6" w14:textId="77777777" w:rsidR="007D5EE0" w:rsidRDefault="007D5EE0" w:rsidP="007D5EE0">
      <w:pPr>
        <w:pStyle w:val="Paragraph"/>
        <w:rPr>
          <w:rFonts w:eastAsiaTheme="minorHAnsi"/>
          <w:lang w:eastAsia="en-US"/>
        </w:rPr>
      </w:pPr>
      <w:r>
        <w:t>If the status quo is maintained, the Australian community will continue to be subject to fraudulent transactions as</w:t>
      </w:r>
      <w:r w:rsidRPr="001215D5">
        <w:t xml:space="preserve"> </w:t>
      </w:r>
      <w:r>
        <w:t>scammers</w:t>
      </w:r>
      <w:r w:rsidRPr="001215D5">
        <w:t xml:space="preserve"> can target any </w:t>
      </w:r>
      <w:r>
        <w:t>Australian with a telecommunications account.</w:t>
      </w:r>
    </w:p>
    <w:p w14:paraId="6193C0EA" w14:textId="77777777" w:rsidR="007D5EE0" w:rsidRPr="000A3902" w:rsidRDefault="007D5EE0" w:rsidP="007D5EE0">
      <w:pPr>
        <w:pStyle w:val="Heading3"/>
      </w:pPr>
      <w:bookmarkStart w:id="82" w:name="_Toc55546911"/>
      <w:bookmarkStart w:id="83" w:name="_Toc98323753"/>
      <w:r w:rsidRPr="000A3902">
        <w:t>Benefits</w:t>
      </w:r>
      <w:bookmarkEnd w:id="82"/>
      <w:bookmarkEnd w:id="83"/>
    </w:p>
    <w:p w14:paraId="7C5CBE53" w14:textId="77777777" w:rsidR="007D5EE0" w:rsidRPr="000179D0" w:rsidDel="00F84468" w:rsidRDefault="007D5EE0" w:rsidP="007D5EE0">
      <w:pPr>
        <w:pStyle w:val="Paragraph"/>
        <w:rPr>
          <w:rFonts w:eastAsiaTheme="minorHAnsi"/>
        </w:rPr>
      </w:pPr>
      <w:r>
        <w:t>CSP</w:t>
      </w:r>
      <w:r w:rsidRPr="000179D0">
        <w:t xml:space="preserve">s </w:t>
      </w:r>
      <w:r>
        <w:t>that have not</w:t>
      </w:r>
      <w:r w:rsidRPr="000179D0">
        <w:t xml:space="preserve"> implement</w:t>
      </w:r>
      <w:r>
        <w:t>ed</w:t>
      </w:r>
      <w:r w:rsidRPr="000179D0" w:rsidDel="00513131">
        <w:rPr>
          <w:rFonts w:eastAsiaTheme="minorHAnsi"/>
        </w:rPr>
        <w:t xml:space="preserve"> </w:t>
      </w:r>
      <w:r>
        <w:rPr>
          <w:rFonts w:eastAsiaTheme="minorHAnsi"/>
        </w:rPr>
        <w:t xml:space="preserve">stronger customer authentication processes </w:t>
      </w:r>
      <w:r w:rsidRPr="000179D0">
        <w:rPr>
          <w:rFonts w:eastAsiaTheme="minorHAnsi"/>
        </w:rPr>
        <w:t xml:space="preserve">may benefit from choosing not </w:t>
      </w:r>
      <w:r>
        <w:rPr>
          <w:rFonts w:eastAsiaTheme="minorHAnsi"/>
        </w:rPr>
        <w:t>t</w:t>
      </w:r>
      <w:r w:rsidRPr="000179D0">
        <w:rPr>
          <w:rFonts w:eastAsiaTheme="minorHAnsi"/>
        </w:rPr>
        <w:t xml:space="preserve">o implement any additional processes beyond what is currently </w:t>
      </w:r>
      <w:r>
        <w:rPr>
          <w:rFonts w:eastAsiaTheme="minorHAnsi"/>
        </w:rPr>
        <w:t xml:space="preserve">deployed or </w:t>
      </w:r>
      <w:r w:rsidRPr="000179D0">
        <w:rPr>
          <w:rFonts w:eastAsiaTheme="minorHAnsi"/>
        </w:rPr>
        <w:t>required to meet existing obligations under Part</w:t>
      </w:r>
      <w:r>
        <w:rPr>
          <w:rFonts w:eastAsiaTheme="minorHAnsi"/>
        </w:rPr>
        <w:t>s</w:t>
      </w:r>
      <w:r w:rsidRPr="000179D0">
        <w:rPr>
          <w:rFonts w:eastAsiaTheme="minorHAnsi"/>
        </w:rPr>
        <w:t xml:space="preserve"> 13 </w:t>
      </w:r>
      <w:r>
        <w:rPr>
          <w:rFonts w:eastAsiaTheme="minorHAnsi"/>
        </w:rPr>
        <w:t xml:space="preserve">and 14 </w:t>
      </w:r>
      <w:r w:rsidRPr="000179D0">
        <w:rPr>
          <w:rFonts w:eastAsiaTheme="minorHAnsi"/>
        </w:rPr>
        <w:t xml:space="preserve">of the </w:t>
      </w:r>
      <w:r>
        <w:rPr>
          <w:rFonts w:eastAsiaTheme="minorHAnsi"/>
        </w:rPr>
        <w:t xml:space="preserve">Telecommunications </w:t>
      </w:r>
      <w:r w:rsidRPr="000179D0">
        <w:rPr>
          <w:rFonts w:eastAsiaTheme="minorHAnsi"/>
        </w:rPr>
        <w:t>Act</w:t>
      </w:r>
      <w:r>
        <w:rPr>
          <w:rFonts w:eastAsiaTheme="minorHAnsi"/>
        </w:rPr>
        <w:t>, although it is noted that such a provider may be subject to reputational loss and lack of consumer confidence.</w:t>
      </w:r>
    </w:p>
    <w:p w14:paraId="0CFE76E2" w14:textId="77777777" w:rsidR="007D5EE0" w:rsidRPr="000A3902" w:rsidRDefault="007D5EE0" w:rsidP="007D5EE0">
      <w:pPr>
        <w:pStyle w:val="Heading3"/>
      </w:pPr>
      <w:bookmarkStart w:id="84" w:name="_Toc55546912"/>
      <w:bookmarkStart w:id="85" w:name="_Toc98323754"/>
      <w:bookmarkStart w:id="86" w:name="_Hlk52801182"/>
      <w:r w:rsidRPr="000A3902">
        <w:t>Costs</w:t>
      </w:r>
      <w:bookmarkEnd w:id="84"/>
      <w:bookmarkEnd w:id="85"/>
    </w:p>
    <w:bookmarkEnd w:id="86"/>
    <w:p w14:paraId="192371FA" w14:textId="77777777" w:rsidR="007D5EE0" w:rsidRDefault="007D5EE0" w:rsidP="007D5EE0">
      <w:pPr>
        <w:pStyle w:val="Paragraph"/>
      </w:pPr>
      <w:r w:rsidRPr="00D02CE7">
        <w:t xml:space="preserve">It can be anticipated </w:t>
      </w:r>
      <w:r>
        <w:t xml:space="preserve">that </w:t>
      </w:r>
      <w:r w:rsidRPr="00D02CE7">
        <w:t xml:space="preserve">the impact of harms associated with </w:t>
      </w:r>
      <w:r>
        <w:t xml:space="preserve">unauthorised </w:t>
      </w:r>
      <w:r w:rsidRPr="00D02CE7">
        <w:t xml:space="preserve">high-risk customer </w:t>
      </w:r>
      <w:r>
        <w:t>transactions</w:t>
      </w:r>
      <w:r w:rsidRPr="00D02CE7">
        <w:t xml:space="preserve"> w</w:t>
      </w:r>
      <w:r>
        <w:t>ill</w:t>
      </w:r>
      <w:r w:rsidRPr="00D02CE7">
        <w:t xml:space="preserve"> continue to increase</w:t>
      </w:r>
      <w:r>
        <w:t xml:space="preserve"> over time.</w:t>
      </w:r>
      <w:r>
        <w:rPr>
          <w:rFonts w:eastAsia="Calibri"/>
          <w:lang w:eastAsia="en-US"/>
        </w:rPr>
        <w:t xml:space="preserve"> </w:t>
      </w:r>
      <w:r>
        <w:t>Due to the inconsistent reporting patterns about incidents, it is likely the estimate will not capture the full scope of the problem.</w:t>
      </w:r>
    </w:p>
    <w:p w14:paraId="7FD84E4C" w14:textId="77777777" w:rsidR="007D5EE0" w:rsidRPr="003E5E71" w:rsidRDefault="007D5EE0" w:rsidP="007D5EE0">
      <w:pPr>
        <w:pStyle w:val="Paragraph"/>
        <w:rPr>
          <w:rFonts w:eastAsia="Calibri"/>
          <w:lang w:eastAsia="en-US"/>
        </w:rPr>
      </w:pPr>
      <w:r w:rsidRPr="004803D5">
        <w:t>Therefore,</w:t>
      </w:r>
      <w:r>
        <w:t xml:space="preserve"> for the purposes of this RIS,</w:t>
      </w:r>
      <w:r w:rsidRPr="004803D5">
        <w:t xml:space="preserve"> a conservative average annual increase of 2</w:t>
      </w:r>
      <w:r>
        <w:t>5</w:t>
      </w:r>
      <w:r w:rsidRPr="004803D5">
        <w:t>% has been applied</w:t>
      </w:r>
      <w:r>
        <w:t xml:space="preserve"> to measure the growing consumer detriment</w:t>
      </w:r>
      <w:r w:rsidRPr="004803D5">
        <w:t>.</w:t>
      </w:r>
      <w:r>
        <w:t xml:space="preserve"> This considers the trend of increasing reports and associated losses reported to </w:t>
      </w:r>
      <w:proofErr w:type="spellStart"/>
      <w:r>
        <w:t>Scamwatch</w:t>
      </w:r>
      <w:proofErr w:type="spellEnd"/>
      <w:r>
        <w:t xml:space="preserve"> in the 12 months to September 2021.</w:t>
      </w:r>
      <w:r w:rsidRPr="004803D5">
        <w:rPr>
          <w:rStyle w:val="FootnoteReference"/>
        </w:rPr>
        <w:footnoteReference w:id="65"/>
      </w:r>
    </w:p>
    <w:p w14:paraId="2840A894" w14:textId="77777777" w:rsidR="007D5EE0" w:rsidRDefault="007D5EE0" w:rsidP="007D5EE0">
      <w:pPr>
        <w:pStyle w:val="Paragraph"/>
      </w:pPr>
      <w:r w:rsidRPr="00033D6E">
        <w:t>It can be anticipated that if the status quo remained, reported losses for Australians w</w:t>
      </w:r>
      <w:r>
        <w:t>ill</w:t>
      </w:r>
      <w:r w:rsidRPr="00033D6E">
        <w:t xml:space="preserve"> continue to increase, and there would be, on average, </w:t>
      </w:r>
      <w:r>
        <w:t xml:space="preserve">at least </w:t>
      </w:r>
      <w:r w:rsidRPr="00033D6E">
        <w:t>$13.5 million in financial losses each year over a 10-year period due to fraud from</w:t>
      </w:r>
      <w:r>
        <w:t xml:space="preserve"> unauthorised</w:t>
      </w:r>
      <w:r w:rsidRPr="00033D6E">
        <w:t xml:space="preserve"> high-risk customer </w:t>
      </w:r>
      <w:r>
        <w:t>transactions</w:t>
      </w:r>
      <w:r w:rsidRPr="00033D6E">
        <w:t>.</w:t>
      </w:r>
      <w:r w:rsidRPr="00033D6E">
        <w:rPr>
          <w:vertAlign w:val="superscript"/>
        </w:rPr>
        <w:footnoteReference w:id="66"/>
      </w:r>
    </w:p>
    <w:p w14:paraId="5390100E" w14:textId="77777777" w:rsidR="007D5EE0" w:rsidRPr="00033D6E" w:rsidRDefault="007D5EE0" w:rsidP="007D5EE0">
      <w:pPr>
        <w:pStyle w:val="Paragraph"/>
        <w:rPr>
          <w:highlight w:val="yellow"/>
        </w:rPr>
      </w:pPr>
      <w:r w:rsidRPr="00033D6E">
        <w:rPr>
          <w:rFonts w:eastAsia="Calibri"/>
        </w:rPr>
        <w:t xml:space="preserve">The impact on the Australian community is serious and includes (but is not limited to) financial loss, negative credit ratings, psychological </w:t>
      </w:r>
      <w:proofErr w:type="gramStart"/>
      <w:r w:rsidRPr="00033D6E">
        <w:rPr>
          <w:rFonts w:eastAsia="Calibri"/>
        </w:rPr>
        <w:t>harms</w:t>
      </w:r>
      <w:proofErr w:type="gramEnd"/>
      <w:r w:rsidRPr="00033D6E">
        <w:rPr>
          <w:rFonts w:eastAsia="Calibri"/>
        </w:rPr>
        <w:t xml:space="preserve"> and emotional stress. If the status quo is maintained, it can be assumed that the level of harm attributed to the impact of scams will continue to increase as scammers become more efficient at targeting weaknesses in customer authentication processes.</w:t>
      </w:r>
    </w:p>
    <w:p w14:paraId="58C4BE34" w14:textId="77777777" w:rsidR="007D5EE0" w:rsidRPr="006718EB" w:rsidRDefault="007D5EE0" w:rsidP="007D5EE0">
      <w:pPr>
        <w:rPr>
          <w:rFonts w:ascii="Arial" w:hAnsi="Arial" w:cs="Arial"/>
          <w:sz w:val="20"/>
          <w:szCs w:val="20"/>
        </w:rPr>
      </w:pPr>
      <w:r w:rsidRPr="006718EB">
        <w:rPr>
          <w:rFonts w:ascii="Arial" w:hAnsi="Arial" w:cs="Arial"/>
          <w:sz w:val="20"/>
          <w:szCs w:val="20"/>
        </w:rPr>
        <w:t>Assuming each customer notifies their financial institution, the financial cost of fraud may be borne by those institutions – with customers potentially able to recover money lost through fraud protection policies. However, it is not clear all frauds are reported or that recompense occurs in all cases, while the costs borne by financial institutions are likely to increase insurance costs and/or be recovered across the customer base.</w:t>
      </w:r>
    </w:p>
    <w:p w14:paraId="0EC1B7EC" w14:textId="77777777" w:rsidR="007D5EE0" w:rsidRPr="006718EB" w:rsidRDefault="007D5EE0" w:rsidP="007D5EE0">
      <w:pPr>
        <w:rPr>
          <w:rFonts w:ascii="Arial" w:hAnsi="Arial" w:cs="Arial"/>
          <w:sz w:val="20"/>
          <w:szCs w:val="20"/>
        </w:rPr>
      </w:pPr>
      <w:r w:rsidRPr="006718EB">
        <w:rPr>
          <w:rFonts w:ascii="Arial" w:hAnsi="Arial" w:cs="Arial"/>
          <w:sz w:val="20"/>
          <w:szCs w:val="20"/>
        </w:rPr>
        <w:t>In addition, while many victims may, ultimately, recoup financial losses, identity theft victims may experience similar emotional effects as victims of violent crimes, ranging from anxiety to emotional volatility. Once someone has had their identity stolen, it can be very difficult and time-consuming to reverse the effects.</w:t>
      </w:r>
      <w:r w:rsidRPr="006718EB">
        <w:rPr>
          <w:rStyle w:val="FootnoteReference"/>
          <w:rFonts w:cs="Arial"/>
          <w:sz w:val="20"/>
          <w:szCs w:val="20"/>
        </w:rPr>
        <w:footnoteReference w:id="67"/>
      </w:r>
    </w:p>
    <w:p w14:paraId="38B982D8" w14:textId="77777777" w:rsidR="007D5EE0" w:rsidRPr="006718EB" w:rsidRDefault="007D5EE0" w:rsidP="007D5EE0">
      <w:pPr>
        <w:rPr>
          <w:rFonts w:ascii="Arial" w:hAnsi="Arial" w:cs="Arial"/>
          <w:sz w:val="20"/>
          <w:szCs w:val="20"/>
        </w:rPr>
      </w:pPr>
      <w:r w:rsidRPr="006718EB">
        <w:rPr>
          <w:rFonts w:ascii="Arial" w:hAnsi="Arial" w:cs="Arial"/>
          <w:sz w:val="20"/>
          <w:szCs w:val="20"/>
        </w:rPr>
        <w:t>T</w:t>
      </w:r>
      <w:r w:rsidRPr="006718EB" w:rsidDel="00181D8D">
        <w:rPr>
          <w:rFonts w:ascii="Arial" w:hAnsi="Arial" w:cs="Arial"/>
          <w:sz w:val="20"/>
          <w:szCs w:val="20"/>
        </w:rPr>
        <w:t xml:space="preserve">he impact on </w:t>
      </w:r>
      <w:r w:rsidRPr="006718EB">
        <w:rPr>
          <w:rFonts w:ascii="Arial" w:hAnsi="Arial" w:cs="Arial"/>
          <w:sz w:val="20"/>
          <w:szCs w:val="20"/>
        </w:rPr>
        <w:t>individuals</w:t>
      </w:r>
      <w:r w:rsidRPr="006718EB" w:rsidDel="00181D8D">
        <w:rPr>
          <w:rFonts w:ascii="Arial" w:hAnsi="Arial" w:cs="Arial"/>
          <w:sz w:val="20"/>
          <w:szCs w:val="20"/>
        </w:rPr>
        <w:t xml:space="preserve"> whose identity is stolen goes beyond economic losses suffered. Identity theft affects more than just any single individual. The fraud </w:t>
      </w:r>
      <w:r w:rsidRPr="006718EB">
        <w:rPr>
          <w:rFonts w:ascii="Arial" w:hAnsi="Arial" w:cs="Arial"/>
          <w:sz w:val="20"/>
          <w:szCs w:val="20"/>
        </w:rPr>
        <w:t>can also impact</w:t>
      </w:r>
      <w:r w:rsidRPr="006718EB" w:rsidDel="00181D8D">
        <w:rPr>
          <w:rFonts w:ascii="Arial" w:hAnsi="Arial" w:cs="Arial"/>
          <w:sz w:val="20"/>
          <w:szCs w:val="20"/>
        </w:rPr>
        <w:t xml:space="preserve"> those close to victims, with financial and psychological stress i</w:t>
      </w:r>
      <w:r w:rsidRPr="006718EB">
        <w:rPr>
          <w:rFonts w:ascii="Arial" w:hAnsi="Arial" w:cs="Arial"/>
          <w:sz w:val="20"/>
          <w:szCs w:val="20"/>
        </w:rPr>
        <w:t>nvolved.</w:t>
      </w:r>
      <w:r w:rsidRPr="006718EB" w:rsidDel="00181D8D">
        <w:rPr>
          <w:rFonts w:ascii="Arial" w:hAnsi="Arial" w:cs="Arial"/>
          <w:sz w:val="20"/>
          <w:szCs w:val="20"/>
          <w:vertAlign w:val="superscript"/>
        </w:rPr>
        <w:footnoteReference w:id="68"/>
      </w:r>
      <w:r w:rsidRPr="006718EB" w:rsidDel="00181D8D">
        <w:rPr>
          <w:rFonts w:ascii="Arial" w:hAnsi="Arial" w:cs="Arial"/>
          <w:sz w:val="20"/>
          <w:szCs w:val="20"/>
        </w:rPr>
        <w:t xml:space="preserve"> In some </w:t>
      </w:r>
      <w:r w:rsidRPr="006718EB">
        <w:rPr>
          <w:rFonts w:ascii="Arial" w:hAnsi="Arial" w:cs="Arial"/>
          <w:sz w:val="20"/>
          <w:szCs w:val="20"/>
        </w:rPr>
        <w:t xml:space="preserve">extreme </w:t>
      </w:r>
      <w:r w:rsidRPr="006718EB" w:rsidDel="00181D8D">
        <w:rPr>
          <w:rFonts w:ascii="Arial" w:hAnsi="Arial" w:cs="Arial"/>
          <w:sz w:val="20"/>
          <w:szCs w:val="20"/>
        </w:rPr>
        <w:t>cases, victims have difficulties in finding employment, are refused services, or are refused credit due to the fraud.</w:t>
      </w:r>
      <w:r w:rsidRPr="006718EB" w:rsidDel="00181D8D">
        <w:rPr>
          <w:rFonts w:ascii="Arial" w:hAnsi="Arial" w:cs="Arial"/>
          <w:sz w:val="20"/>
          <w:szCs w:val="20"/>
          <w:vertAlign w:val="superscript"/>
        </w:rPr>
        <w:footnoteReference w:id="69"/>
      </w:r>
    </w:p>
    <w:p w14:paraId="3FDD7575" w14:textId="77777777" w:rsidR="007D5EE0" w:rsidRPr="006718EB" w:rsidRDefault="007D5EE0" w:rsidP="007D5EE0">
      <w:pPr>
        <w:rPr>
          <w:rFonts w:ascii="Arial" w:hAnsi="Arial" w:cs="Arial"/>
          <w:sz w:val="20"/>
          <w:szCs w:val="20"/>
        </w:rPr>
      </w:pPr>
      <w:r w:rsidRPr="006718EB">
        <w:rPr>
          <w:rFonts w:ascii="Arial" w:hAnsi="Arial" w:cs="Arial"/>
          <w:sz w:val="20"/>
          <w:szCs w:val="20"/>
        </w:rPr>
        <w:t xml:space="preserve">Customers who have had their identity stolen need to spend time addressing their losses (both financial and of their identity) and may use support services to assist them. For example, they may seek advice from IDCARE, contact government services that might be compromised (such as </w:t>
      </w:r>
      <w:proofErr w:type="spellStart"/>
      <w:r w:rsidRPr="006718EB">
        <w:rPr>
          <w:rFonts w:ascii="Arial" w:hAnsi="Arial" w:cs="Arial"/>
          <w:sz w:val="20"/>
          <w:szCs w:val="20"/>
        </w:rPr>
        <w:t>myGov</w:t>
      </w:r>
      <w:proofErr w:type="spellEnd"/>
      <w:r w:rsidRPr="006718EB">
        <w:rPr>
          <w:rFonts w:ascii="Arial" w:hAnsi="Arial" w:cs="Arial"/>
          <w:sz w:val="20"/>
          <w:szCs w:val="20"/>
        </w:rPr>
        <w:t>, ATO, Medicare), their financial institutions (banks, superannuation, investment firms) and their CSP.</w:t>
      </w:r>
    </w:p>
    <w:p w14:paraId="2DEFCCF1" w14:textId="77777777" w:rsidR="007D5EE0" w:rsidRPr="006718EB" w:rsidDel="00181D8D" w:rsidRDefault="007D5EE0" w:rsidP="007D5EE0">
      <w:pPr>
        <w:pStyle w:val="Paragraph"/>
        <w:rPr>
          <w:szCs w:val="20"/>
        </w:rPr>
      </w:pPr>
      <w:r w:rsidRPr="006718EB">
        <w:rPr>
          <w:szCs w:val="20"/>
        </w:rPr>
        <w:t>For the purposes of the RIS, it is assumed that it takes on average 33 hours for victims to address identity theft. This represents a minimum cost of $1,056 per victim – or total losses of $718,080 per year.</w:t>
      </w:r>
      <w:r w:rsidRPr="006718EB">
        <w:rPr>
          <w:rStyle w:val="FootnoteReference"/>
          <w:szCs w:val="20"/>
        </w:rPr>
        <w:footnoteReference w:id="70"/>
      </w:r>
      <w:r w:rsidRPr="006718EB">
        <w:rPr>
          <w:szCs w:val="20"/>
        </w:rPr>
        <w:t xml:space="preserve"> This represents, </w:t>
      </w:r>
      <w:bookmarkStart w:id="87" w:name="_Hlk86153965"/>
      <w:r w:rsidRPr="006718EB">
        <w:rPr>
          <w:szCs w:val="20"/>
        </w:rPr>
        <w:t>on average, an annual total cost of $1,549,920 in time each year over a 10-year period.</w:t>
      </w:r>
      <w:r w:rsidRPr="006718EB">
        <w:rPr>
          <w:rStyle w:val="FootnoteReference"/>
          <w:szCs w:val="20"/>
        </w:rPr>
        <w:footnoteReference w:id="71"/>
      </w:r>
    </w:p>
    <w:bookmarkEnd w:id="87"/>
    <w:p w14:paraId="6395FF4F" w14:textId="77777777" w:rsidR="007D5EE0" w:rsidRPr="00A80D58" w:rsidRDefault="007D5EE0" w:rsidP="007D5EE0">
      <w:pPr>
        <w:pStyle w:val="Heading4"/>
      </w:pPr>
      <w:r>
        <w:t>CSPs</w:t>
      </w:r>
    </w:p>
    <w:p w14:paraId="0C7057AA" w14:textId="77777777" w:rsidR="007D5EE0" w:rsidRPr="000179D0" w:rsidRDefault="007D5EE0" w:rsidP="007D5EE0">
      <w:pPr>
        <w:pStyle w:val="Paragraph"/>
      </w:pPr>
      <w:r>
        <w:t xml:space="preserve">This </w:t>
      </w:r>
      <w:r w:rsidRPr="000179D0">
        <w:t xml:space="preserve">option does not generally impose any additional regulatory costs on </w:t>
      </w:r>
      <w:r>
        <w:t>CSPs</w:t>
      </w:r>
      <w:r w:rsidRPr="000179D0">
        <w:t>.</w:t>
      </w:r>
    </w:p>
    <w:p w14:paraId="4CDFBFB1" w14:textId="77777777" w:rsidR="007D5EE0" w:rsidRPr="001F0E27" w:rsidRDefault="007D5EE0" w:rsidP="007D5EE0">
      <w:pPr>
        <w:pStyle w:val="Heading2"/>
      </w:pPr>
      <w:bookmarkStart w:id="88" w:name="_Toc55546913"/>
      <w:bookmarkStart w:id="89" w:name="_Toc98323755"/>
      <w:r>
        <w:t xml:space="preserve">Option 2: </w:t>
      </w:r>
      <w:r w:rsidRPr="001F0E27">
        <w:t>Consumer education campaign</w:t>
      </w:r>
      <w:bookmarkEnd w:id="88"/>
      <w:bookmarkEnd w:id="89"/>
    </w:p>
    <w:p w14:paraId="3EC9C636" w14:textId="77777777" w:rsidR="007D5EE0" w:rsidRPr="0005788E" w:rsidRDefault="007D5EE0" w:rsidP="007D5EE0">
      <w:pPr>
        <w:rPr>
          <w:rFonts w:ascii="Arial" w:hAnsi="Arial" w:cs="Arial"/>
          <w:sz w:val="20"/>
          <w:szCs w:val="20"/>
        </w:rPr>
      </w:pPr>
      <w:r w:rsidRPr="0005788E">
        <w:rPr>
          <w:rFonts w:ascii="Arial" w:hAnsi="Arial" w:cs="Arial"/>
          <w:sz w:val="20"/>
          <w:szCs w:val="20"/>
        </w:rPr>
        <w:t>There are no direct costs to individuals or business from an education campaign. An education campaign will support the Australian community to be more aware of protecting their identity.</w:t>
      </w:r>
    </w:p>
    <w:p w14:paraId="5DC5E872" w14:textId="77777777" w:rsidR="007D5EE0" w:rsidRPr="0005788E" w:rsidRDefault="007D5EE0" w:rsidP="007D5EE0">
      <w:pPr>
        <w:pStyle w:val="Heading3"/>
        <w:rPr>
          <w:szCs w:val="20"/>
        </w:rPr>
      </w:pPr>
      <w:bookmarkStart w:id="90" w:name="_Toc32833700"/>
      <w:bookmarkStart w:id="91" w:name="_Toc33176383"/>
      <w:bookmarkStart w:id="92" w:name="_Toc55546914"/>
      <w:bookmarkStart w:id="93" w:name="_Toc98323756"/>
      <w:r w:rsidRPr="0005788E">
        <w:rPr>
          <w:szCs w:val="20"/>
        </w:rPr>
        <w:t>Benefits</w:t>
      </w:r>
      <w:bookmarkEnd w:id="90"/>
      <w:bookmarkEnd w:id="91"/>
      <w:bookmarkEnd w:id="92"/>
      <w:bookmarkEnd w:id="93"/>
    </w:p>
    <w:p w14:paraId="0C734DA9" w14:textId="77777777" w:rsidR="007D5EE0" w:rsidRPr="0005788E" w:rsidRDefault="007D5EE0" w:rsidP="007D5EE0">
      <w:pPr>
        <w:rPr>
          <w:rFonts w:ascii="Arial" w:hAnsi="Arial" w:cs="Arial"/>
          <w:sz w:val="20"/>
          <w:szCs w:val="20"/>
        </w:rPr>
      </w:pPr>
      <w:r w:rsidRPr="0005788E">
        <w:rPr>
          <w:rFonts w:ascii="Arial" w:hAnsi="Arial" w:cs="Arial"/>
          <w:sz w:val="20"/>
          <w:szCs w:val="20"/>
        </w:rPr>
        <w:t xml:space="preserve">In 2019, </w:t>
      </w:r>
      <w:proofErr w:type="spellStart"/>
      <w:r w:rsidRPr="0005788E">
        <w:rPr>
          <w:rFonts w:ascii="Arial" w:hAnsi="Arial" w:cs="Arial"/>
          <w:sz w:val="20"/>
          <w:szCs w:val="20"/>
        </w:rPr>
        <w:t>Scamwatch</w:t>
      </w:r>
      <w:proofErr w:type="spellEnd"/>
      <w:r w:rsidRPr="0005788E">
        <w:rPr>
          <w:rFonts w:ascii="Arial" w:hAnsi="Arial" w:cs="Arial"/>
          <w:sz w:val="20"/>
          <w:szCs w:val="20"/>
        </w:rPr>
        <w:t xml:space="preserve"> heard from scam targets who avoided becoming victims simply because they told someone about their experience, and that person advised them that it sounded like a scam.</w:t>
      </w:r>
      <w:r w:rsidRPr="0005788E">
        <w:rPr>
          <w:rStyle w:val="FootnoteReference"/>
          <w:rFonts w:cs="Arial"/>
          <w:sz w:val="20"/>
          <w:szCs w:val="20"/>
        </w:rPr>
        <w:footnoteReference w:id="72"/>
      </w:r>
      <w:r w:rsidRPr="0005788E">
        <w:rPr>
          <w:rFonts w:ascii="Arial" w:hAnsi="Arial" w:cs="Arial"/>
          <w:sz w:val="20"/>
          <w:szCs w:val="20"/>
        </w:rPr>
        <w:t xml:space="preserve"> A consumer education campaign would broadly target all Australians to become better informed about how to protect their personal information. It would help reduce the impact of harms (albeit only to the extent this personal information is used in frauds targeting high risk customer processes) incurred by Australians </w:t>
      </w:r>
      <w:proofErr w:type="gramStart"/>
      <w:r w:rsidRPr="0005788E">
        <w:rPr>
          <w:rFonts w:ascii="Arial" w:hAnsi="Arial" w:cs="Arial"/>
          <w:sz w:val="20"/>
          <w:szCs w:val="20"/>
        </w:rPr>
        <w:t>as a consequence of</w:t>
      </w:r>
      <w:proofErr w:type="gramEnd"/>
      <w:r w:rsidRPr="0005788E">
        <w:rPr>
          <w:rFonts w:ascii="Arial" w:hAnsi="Arial" w:cs="Arial"/>
          <w:sz w:val="20"/>
          <w:szCs w:val="20"/>
        </w:rPr>
        <w:t xml:space="preserve"> weak customer authentication measures.</w:t>
      </w:r>
    </w:p>
    <w:p w14:paraId="3E77039E" w14:textId="77777777" w:rsidR="007D5EE0" w:rsidRPr="0005788E" w:rsidRDefault="007D5EE0" w:rsidP="007D5EE0">
      <w:pPr>
        <w:rPr>
          <w:rFonts w:ascii="Arial" w:hAnsi="Arial" w:cs="Arial"/>
          <w:sz w:val="20"/>
          <w:szCs w:val="20"/>
        </w:rPr>
      </w:pPr>
      <w:r w:rsidRPr="0005788E">
        <w:rPr>
          <w:rFonts w:ascii="Arial" w:hAnsi="Arial" w:cs="Arial"/>
          <w:sz w:val="20"/>
          <w:szCs w:val="20"/>
        </w:rPr>
        <w:t>Australians will be engaged in an education campaign which provides tools and resources that can help empower them to respond when responding to a CSP or engaging in a high-risk customer interaction – for example, by taking control of how they share their personal information in public and guidance on what to do if they are a victim of identity theft or fraud.</w:t>
      </w:r>
    </w:p>
    <w:p w14:paraId="76D29937" w14:textId="77777777" w:rsidR="007D5EE0" w:rsidRPr="0005788E" w:rsidRDefault="007D5EE0" w:rsidP="007D5EE0">
      <w:pPr>
        <w:pStyle w:val="Paragraph"/>
        <w:rPr>
          <w:szCs w:val="20"/>
        </w:rPr>
      </w:pPr>
      <w:r w:rsidRPr="0005788E">
        <w:rPr>
          <w:szCs w:val="20"/>
        </w:rPr>
        <w:t>Over time, there has been a shift from reports of scams seeking money to reports about scams seeking information.</w:t>
      </w:r>
      <w:r w:rsidRPr="0005788E">
        <w:rPr>
          <w:szCs w:val="20"/>
          <w:vertAlign w:val="superscript"/>
        </w:rPr>
        <w:footnoteReference w:id="73"/>
      </w:r>
      <w:r w:rsidRPr="0005788E">
        <w:rPr>
          <w:szCs w:val="20"/>
        </w:rPr>
        <w:t xml:space="preserve"> An informed individual is more likely to better protect their personal information and may increase reports, which will help reduce the harms associated with scam over telecommunications networks.</w:t>
      </w:r>
    </w:p>
    <w:p w14:paraId="084CC480" w14:textId="77777777" w:rsidR="007D5EE0" w:rsidRPr="0005788E" w:rsidRDefault="007D5EE0" w:rsidP="007D5EE0">
      <w:pPr>
        <w:rPr>
          <w:rFonts w:ascii="Arial" w:hAnsi="Arial" w:cs="Arial"/>
          <w:sz w:val="20"/>
          <w:szCs w:val="20"/>
        </w:rPr>
      </w:pPr>
      <w:r w:rsidRPr="0005788E">
        <w:rPr>
          <w:rFonts w:ascii="Arial" w:hAnsi="Arial" w:cs="Arial"/>
          <w:sz w:val="20"/>
          <w:szCs w:val="20"/>
        </w:rPr>
        <w:t>Well-informed decisions are vital in encouraging competition and driving providers to operate efficiently. Informed customers will actively seek the best protection for themselves and may ask CSPs what they are doing to prevent misuse of their personal information before choosing a service provider.</w:t>
      </w:r>
    </w:p>
    <w:p w14:paraId="041B1D2C" w14:textId="77777777" w:rsidR="007D5EE0" w:rsidRPr="0005788E" w:rsidRDefault="007D5EE0" w:rsidP="007D5EE0">
      <w:pPr>
        <w:rPr>
          <w:rFonts w:ascii="Arial" w:hAnsi="Arial" w:cs="Arial"/>
          <w:noProof/>
          <w:sz w:val="20"/>
          <w:szCs w:val="20"/>
        </w:rPr>
      </w:pPr>
      <w:r w:rsidRPr="0005788E">
        <w:rPr>
          <w:rFonts w:ascii="Arial" w:hAnsi="Arial" w:cs="Arial"/>
          <w:sz w:val="20"/>
          <w:szCs w:val="20"/>
        </w:rPr>
        <w:t>This may incentivise CSPs to voluntarily increase identity protections in accordance with the status quo, which may also reduce instances of fraud and identity crime. It is assumed better informed consumers will drive more CSPs to view voluntary additional protections as aligned to their existing regulatory obligations, that is, part of their duty to do their best to prevent their networks or facilities being used in commission of criminal activity. For example, a CSP that voluntarily implements stronger customer authentication measures may help stop thousands of Australians being targeted by scammers.</w:t>
      </w:r>
    </w:p>
    <w:p w14:paraId="1F3ADD14" w14:textId="77777777" w:rsidR="007D5EE0" w:rsidRPr="0005788E" w:rsidRDefault="007D5EE0" w:rsidP="007D5EE0">
      <w:pPr>
        <w:rPr>
          <w:rFonts w:ascii="Arial" w:hAnsi="Arial" w:cs="Arial"/>
          <w:sz w:val="20"/>
          <w:szCs w:val="20"/>
        </w:rPr>
      </w:pPr>
      <w:r w:rsidRPr="0005788E">
        <w:rPr>
          <w:rFonts w:ascii="Arial" w:hAnsi="Arial" w:cs="Arial"/>
          <w:sz w:val="20"/>
          <w:szCs w:val="20"/>
        </w:rPr>
        <w:t>An educational campaign may have reputational benefits for the telecommunications industry – particularly for CSPs that can demonstrate their commitment to improved protections for their customers as CSPs that adopt good practices may have a competitive advantage by being able to advertise themselves as a trusted provider that protects the identity of their customers.</w:t>
      </w:r>
    </w:p>
    <w:p w14:paraId="304015AB" w14:textId="77777777" w:rsidR="007D5EE0" w:rsidRPr="0005788E" w:rsidRDefault="007D5EE0" w:rsidP="007D5EE0">
      <w:pPr>
        <w:pStyle w:val="Heading4"/>
        <w:rPr>
          <w:szCs w:val="20"/>
        </w:rPr>
      </w:pPr>
      <w:r w:rsidRPr="0005788E">
        <w:rPr>
          <w:szCs w:val="20"/>
        </w:rPr>
        <w:t>Initial benefits</w:t>
      </w:r>
    </w:p>
    <w:p w14:paraId="258C0CF3" w14:textId="77777777" w:rsidR="007D5EE0" w:rsidRPr="0005788E" w:rsidRDefault="007D5EE0" w:rsidP="007D5EE0">
      <w:pPr>
        <w:pStyle w:val="Paragraph"/>
        <w:rPr>
          <w:szCs w:val="20"/>
        </w:rPr>
      </w:pPr>
      <w:r w:rsidRPr="0005788E">
        <w:rPr>
          <w:szCs w:val="20"/>
        </w:rPr>
        <w:t>The practical impact of an education campaign could result in an estimated 10 to 20% reduction in the impact of fraud compared to the status quo. This reduction is due to the increase in CSPs adopting voluntary protections and the impact of better informed and proactive customers.</w:t>
      </w:r>
    </w:p>
    <w:p w14:paraId="08D9993A" w14:textId="77777777" w:rsidR="007D5EE0" w:rsidRPr="0005788E" w:rsidRDefault="007D5EE0" w:rsidP="007D5EE0">
      <w:pPr>
        <w:pStyle w:val="Paragraph"/>
        <w:rPr>
          <w:szCs w:val="20"/>
        </w:rPr>
      </w:pPr>
      <w:r w:rsidRPr="0005788E">
        <w:rPr>
          <w:szCs w:val="20"/>
        </w:rPr>
        <w:t>Yet, information provision alone does not create long-lasting behaviour change, and the campaign would have to be re-run multiple times for it to have sustained benefit.</w:t>
      </w:r>
    </w:p>
    <w:p w14:paraId="1ED7FC78" w14:textId="77777777" w:rsidR="007D5EE0" w:rsidRPr="0005788E" w:rsidRDefault="007D5EE0" w:rsidP="007D5EE0">
      <w:pPr>
        <w:pStyle w:val="Paragraph"/>
        <w:rPr>
          <w:szCs w:val="20"/>
        </w:rPr>
      </w:pPr>
      <w:bookmarkStart w:id="95" w:name="_Hlk32851502"/>
      <w:bookmarkStart w:id="96" w:name="_Hlk53583976"/>
      <w:r w:rsidRPr="0005788E">
        <w:rPr>
          <w:szCs w:val="20"/>
        </w:rPr>
        <w:t>The initial benefits of this reduction represent an equivalent decrease of up to 20% in instances of psychological harm caused by identity theft from fraudulent customer transactions, and the need for consumers to seek support services.</w:t>
      </w:r>
    </w:p>
    <w:p w14:paraId="5EFD5C7C" w14:textId="77777777" w:rsidR="007D5EE0" w:rsidRPr="00EE439E" w:rsidRDefault="007D5EE0" w:rsidP="007D5EE0">
      <w:pPr>
        <w:pStyle w:val="Paragraphbeforelist"/>
      </w:pPr>
      <w:r w:rsidRPr="0005788E">
        <w:rPr>
          <w:szCs w:val="20"/>
        </w:rPr>
        <w:t>The initial benefits</w:t>
      </w:r>
      <w:r w:rsidRPr="0005788E">
        <w:rPr>
          <w:rStyle w:val="FootnoteReference"/>
          <w:szCs w:val="20"/>
        </w:rPr>
        <w:footnoteReference w:id="74"/>
      </w:r>
      <w:r w:rsidRPr="0005788E">
        <w:rPr>
          <w:szCs w:val="20"/>
        </w:rPr>
        <w:t xml:space="preserve"> of this reduction represent prevention of financial</w:t>
      </w:r>
      <w:r w:rsidRPr="00EE439E">
        <w:t xml:space="preserve"> losses to fraud from high-risk </w:t>
      </w:r>
      <w:r>
        <w:t>transactions</w:t>
      </w:r>
      <w:r w:rsidRPr="00EE439E">
        <w:t xml:space="preserve"> of between $1,013,517 and $2,027,034 each year comprising of:</w:t>
      </w:r>
    </w:p>
    <w:p w14:paraId="38D1F988" w14:textId="77777777" w:rsidR="007D5EE0" w:rsidRPr="00EE439E" w:rsidRDefault="007D5EE0" w:rsidP="007D5EE0">
      <w:pPr>
        <w:pStyle w:val="ListBullet"/>
      </w:pPr>
      <w:r w:rsidRPr="00EE439E">
        <w:t>direct savings of $908,934 to $1,817,869</w:t>
      </w:r>
    </w:p>
    <w:p w14:paraId="6A5EB33D" w14:textId="77777777" w:rsidR="007D5EE0" w:rsidRPr="00EE439E" w:rsidRDefault="007D5EE0" w:rsidP="007D5EE0">
      <w:pPr>
        <w:pStyle w:val="ListBullet"/>
      </w:pPr>
      <w:r w:rsidRPr="00EE439E">
        <w:t>savings in time spent by customers responding to identity theft of between $104,582 to $209,165</w:t>
      </w:r>
      <w:r w:rsidRPr="00EE439E">
        <w:rPr>
          <w:vertAlign w:val="superscript"/>
        </w:rPr>
        <w:footnoteReference w:id="75"/>
      </w:r>
    </w:p>
    <w:p w14:paraId="4E0F2D63" w14:textId="77777777" w:rsidR="007D5EE0" w:rsidRPr="00393E97" w:rsidRDefault="007D5EE0" w:rsidP="007D5EE0">
      <w:pPr>
        <w:pStyle w:val="ListBullet"/>
      </w:pPr>
      <w:bookmarkStart w:id="97" w:name="_Hlk54957580"/>
      <w:r w:rsidRPr="00393E97">
        <w:t>freeing up of financial institution and/or telecommunication</w:t>
      </w:r>
      <w:r>
        <w:t>s</w:t>
      </w:r>
      <w:r w:rsidRPr="00393E97">
        <w:t xml:space="preserve"> fraud team</w:t>
      </w:r>
      <w:r w:rsidRPr="00393E97">
        <w:rPr>
          <w:rStyle w:val="FootnoteReference"/>
        </w:rPr>
        <w:footnoteReference w:id="76"/>
      </w:r>
      <w:r w:rsidRPr="00393E97">
        <w:t xml:space="preserve"> resources by </w:t>
      </w:r>
      <w:r>
        <w:t>1</w:t>
      </w:r>
      <w:r w:rsidRPr="00393E97">
        <w:t xml:space="preserve">0 to </w:t>
      </w:r>
      <w:r>
        <w:t>2</w:t>
      </w:r>
      <w:r w:rsidRPr="00393E97">
        <w:t>0% each year to assist customers on other matters</w:t>
      </w:r>
    </w:p>
    <w:bookmarkEnd w:id="97"/>
    <w:p w14:paraId="374CFCF7" w14:textId="77777777" w:rsidR="007D5EE0" w:rsidRPr="00393E97" w:rsidRDefault="007D5EE0" w:rsidP="007D5EE0">
      <w:pPr>
        <w:pStyle w:val="ListBulletLast"/>
        <w:numPr>
          <w:ilvl w:val="0"/>
          <w:numId w:val="4"/>
        </w:numPr>
      </w:pPr>
      <w:r w:rsidRPr="00393E97">
        <w:t xml:space="preserve">a reduction in the resources required by community organisations (such as IDCARE) to assist customers who have experienced identity theft </w:t>
      </w:r>
      <w:r>
        <w:t xml:space="preserve">from unauthorised high-risk customer transactions </w:t>
      </w:r>
      <w:r w:rsidRPr="00393E97">
        <w:t xml:space="preserve">(equivalent savings of </w:t>
      </w:r>
      <w:r>
        <w:t>1</w:t>
      </w:r>
      <w:r w:rsidRPr="00393E97">
        <w:t xml:space="preserve">0 to </w:t>
      </w:r>
      <w:r>
        <w:t>2</w:t>
      </w:r>
      <w:r w:rsidRPr="00393E97">
        <w:t>0%).</w:t>
      </w:r>
      <w:bookmarkEnd w:id="95"/>
      <w:bookmarkEnd w:id="96"/>
    </w:p>
    <w:p w14:paraId="1F916CF2" w14:textId="77777777" w:rsidR="007D5EE0" w:rsidRPr="001F0E27" w:rsidRDefault="007D5EE0" w:rsidP="007D5EE0">
      <w:pPr>
        <w:pStyle w:val="Heading3"/>
      </w:pPr>
      <w:bookmarkStart w:id="98" w:name="_Toc32833701"/>
      <w:bookmarkStart w:id="99" w:name="_Toc33176384"/>
      <w:bookmarkStart w:id="100" w:name="_Toc55546915"/>
      <w:bookmarkStart w:id="101" w:name="_Toc98323757"/>
      <w:r w:rsidRPr="001F0E27">
        <w:t>Costs</w:t>
      </w:r>
      <w:bookmarkEnd w:id="98"/>
      <w:bookmarkEnd w:id="99"/>
      <w:bookmarkEnd w:id="100"/>
      <w:bookmarkEnd w:id="101"/>
    </w:p>
    <w:p w14:paraId="290D31E5" w14:textId="77777777" w:rsidR="007D5EE0" w:rsidRPr="007175FC" w:rsidRDefault="007D5EE0" w:rsidP="007D5EE0">
      <w:pPr>
        <w:pStyle w:val="Paragraph"/>
        <w:rPr>
          <w:rFonts w:eastAsia="Calibri"/>
          <w:lang w:eastAsia="en-US"/>
        </w:rPr>
      </w:pPr>
      <w:r w:rsidRPr="007175FC">
        <w:rPr>
          <w:rFonts w:eastAsia="Calibri"/>
          <w:lang w:eastAsia="en-US"/>
        </w:rPr>
        <w:t>Better informed customers may increase workloads for fraud teams</w:t>
      </w:r>
      <w:r>
        <w:rPr>
          <w:rFonts w:eastAsia="Calibri"/>
          <w:lang w:eastAsia="en-US"/>
        </w:rPr>
        <w:t xml:space="preserve"> – </w:t>
      </w:r>
      <w:r w:rsidRPr="007175FC">
        <w:rPr>
          <w:rFonts w:eastAsia="Calibri"/>
          <w:lang w:eastAsia="en-US"/>
        </w:rPr>
        <w:t xml:space="preserve">as </w:t>
      </w:r>
      <w:r>
        <w:rPr>
          <w:rFonts w:eastAsia="Calibri"/>
          <w:lang w:eastAsia="en-US"/>
        </w:rPr>
        <w:t>Australian</w:t>
      </w:r>
      <w:r w:rsidRPr="007175FC">
        <w:rPr>
          <w:rFonts w:eastAsia="Calibri"/>
          <w:lang w:eastAsia="en-US"/>
        </w:rPr>
        <w:t xml:space="preserve">s will be more responsive to the signs of </w:t>
      </w:r>
      <w:r>
        <w:rPr>
          <w:rFonts w:eastAsia="Calibri"/>
          <w:lang w:eastAsia="en-US"/>
        </w:rPr>
        <w:t>scams</w:t>
      </w:r>
      <w:r w:rsidRPr="007175FC">
        <w:rPr>
          <w:rFonts w:eastAsia="Calibri"/>
          <w:lang w:eastAsia="en-US"/>
        </w:rPr>
        <w:t xml:space="preserve">. </w:t>
      </w:r>
      <w:r>
        <w:rPr>
          <w:rFonts w:eastAsia="Calibri"/>
          <w:lang w:eastAsia="en-US"/>
        </w:rPr>
        <w:t xml:space="preserve">Financial institutions and CSPs </w:t>
      </w:r>
      <w:r w:rsidRPr="007175FC">
        <w:rPr>
          <w:rFonts w:eastAsia="Calibri"/>
          <w:lang w:eastAsia="en-US"/>
        </w:rPr>
        <w:t xml:space="preserve">will continue to need to spend time and resources responding to </w:t>
      </w:r>
      <w:r>
        <w:rPr>
          <w:rFonts w:eastAsia="Calibri"/>
          <w:lang w:eastAsia="en-US"/>
        </w:rPr>
        <w:t>fraud and identity theft from unauthorised high-risk customer transactions,</w:t>
      </w:r>
      <w:r w:rsidRPr="007175FC">
        <w:rPr>
          <w:rFonts w:eastAsia="Calibri"/>
          <w:lang w:eastAsia="en-US"/>
        </w:rPr>
        <w:t xml:space="preserve"> as well as assisting </w:t>
      </w:r>
      <w:r>
        <w:rPr>
          <w:rFonts w:eastAsia="Calibri"/>
          <w:lang w:eastAsia="en-US"/>
        </w:rPr>
        <w:t>customers</w:t>
      </w:r>
      <w:r w:rsidRPr="007175FC">
        <w:rPr>
          <w:rFonts w:eastAsia="Calibri"/>
          <w:lang w:eastAsia="en-US"/>
        </w:rPr>
        <w:t xml:space="preserve"> to manage the impact.</w:t>
      </w:r>
    </w:p>
    <w:p w14:paraId="7A3FD795" w14:textId="77777777" w:rsidR="007D5EE0" w:rsidRDefault="007D5EE0" w:rsidP="007D5EE0">
      <w:pPr>
        <w:pStyle w:val="Paragraph"/>
        <w:rPr>
          <w:rFonts w:eastAsia="Calibri"/>
          <w:lang w:eastAsia="en-US"/>
        </w:rPr>
      </w:pPr>
      <w:r>
        <w:rPr>
          <w:rFonts w:eastAsia="Calibri"/>
          <w:lang w:eastAsia="en-US"/>
        </w:rPr>
        <w:t>CSP</w:t>
      </w:r>
      <w:r w:rsidRPr="00B53257">
        <w:rPr>
          <w:rFonts w:eastAsia="Calibri"/>
          <w:lang w:eastAsia="en-US"/>
        </w:rPr>
        <w:t xml:space="preserve">s may need to direct </w:t>
      </w:r>
      <w:r>
        <w:rPr>
          <w:rFonts w:eastAsia="Calibri"/>
          <w:lang w:eastAsia="en-US"/>
        </w:rPr>
        <w:t xml:space="preserve">existing </w:t>
      </w:r>
      <w:r w:rsidRPr="00B53257">
        <w:rPr>
          <w:rFonts w:eastAsia="Calibri"/>
          <w:lang w:eastAsia="en-US"/>
        </w:rPr>
        <w:t xml:space="preserve">resources towards implementing additional stakeholder engagement activities and updating existing information to align with </w:t>
      </w:r>
      <w:r>
        <w:rPr>
          <w:rFonts w:eastAsia="Calibri"/>
          <w:lang w:eastAsia="en-US"/>
        </w:rPr>
        <w:t xml:space="preserve">educational </w:t>
      </w:r>
      <w:r w:rsidRPr="00B53257">
        <w:rPr>
          <w:rFonts w:eastAsia="Calibri"/>
          <w:lang w:eastAsia="en-US"/>
        </w:rPr>
        <w:t>campaign activities.</w:t>
      </w:r>
      <w:r w:rsidRPr="00BE0A98">
        <w:rPr>
          <w:rFonts w:eastAsia="Calibri"/>
          <w:lang w:eastAsia="en-US"/>
        </w:rPr>
        <w:t xml:space="preserve"> This includes additional time spent on training frontline staff or resourcing specialist fraud teams on how to identify and address potential </w:t>
      </w:r>
      <w:r>
        <w:rPr>
          <w:rFonts w:eastAsia="Calibri"/>
          <w:lang w:eastAsia="en-US"/>
        </w:rPr>
        <w:t xml:space="preserve">identity crimes and </w:t>
      </w:r>
      <w:r w:rsidRPr="00BE0A98">
        <w:rPr>
          <w:rFonts w:eastAsia="Calibri"/>
          <w:lang w:eastAsia="en-US"/>
        </w:rPr>
        <w:t>scams</w:t>
      </w:r>
      <w:r>
        <w:rPr>
          <w:rFonts w:eastAsia="Calibri"/>
          <w:lang w:eastAsia="en-US"/>
        </w:rPr>
        <w:t>.</w:t>
      </w:r>
    </w:p>
    <w:p w14:paraId="7E3E7493" w14:textId="77777777" w:rsidR="007D5EE0" w:rsidRPr="001F0E27" w:rsidRDefault="007D5EE0" w:rsidP="007D5EE0">
      <w:pPr>
        <w:pStyle w:val="Heading2"/>
        <w:keepLines/>
      </w:pPr>
      <w:bookmarkStart w:id="102" w:name="_Toc55546916"/>
      <w:bookmarkStart w:id="103" w:name="_Toc98323758"/>
      <w:r>
        <w:t xml:space="preserve">Option 3: </w:t>
      </w:r>
      <w:r w:rsidRPr="001F0E27">
        <w:t>Enforceable obligations</w:t>
      </w:r>
      <w:bookmarkEnd w:id="102"/>
      <w:bookmarkEnd w:id="103"/>
    </w:p>
    <w:p w14:paraId="3D0B1893" w14:textId="77777777" w:rsidR="007D5EE0" w:rsidRPr="00D34F82" w:rsidRDefault="007D5EE0" w:rsidP="007D5EE0">
      <w:pPr>
        <w:pStyle w:val="Heading3"/>
      </w:pPr>
      <w:bookmarkStart w:id="104" w:name="_Toc55546917"/>
      <w:bookmarkStart w:id="105" w:name="_Toc98323759"/>
      <w:r w:rsidRPr="001F0E27">
        <w:t>Benefits</w:t>
      </w:r>
      <w:bookmarkEnd w:id="104"/>
      <w:bookmarkEnd w:id="105"/>
    </w:p>
    <w:p w14:paraId="6DBA8BE7" w14:textId="77777777" w:rsidR="007D5EE0" w:rsidRDefault="007D5EE0" w:rsidP="007D5EE0">
      <w:pPr>
        <w:pStyle w:val="Paragraph"/>
      </w:pPr>
      <w:r>
        <w:t>The Australian community</w:t>
      </w:r>
      <w:r w:rsidRPr="00C15659">
        <w:t xml:space="preserve"> can expect to benefit from </w:t>
      </w:r>
      <w:r>
        <w:t>the option to introduce enforceable obligations that</w:t>
      </w:r>
      <w:r w:rsidRPr="00C15659">
        <w:t xml:space="preserve"> mandates </w:t>
      </w:r>
      <w:r>
        <w:t>action to address fraudulent customer transactions and provides increased consumer safeguards.</w:t>
      </w:r>
    </w:p>
    <w:p w14:paraId="28960838" w14:textId="77777777" w:rsidR="007D5EE0" w:rsidRDefault="007D5EE0" w:rsidP="007D5EE0">
      <w:pPr>
        <w:pStyle w:val="Paragraph"/>
      </w:pPr>
      <w:r w:rsidRPr="00DC66ED">
        <w:t xml:space="preserve">Enforceable obligations have the potential to provide significant positive impacts by reducing the financial and emotional harms that an individual may face from </w:t>
      </w:r>
      <w:r>
        <w:t>fraudulent activity.</w:t>
      </w:r>
    </w:p>
    <w:p w14:paraId="1EC60405" w14:textId="77777777" w:rsidR="007D5EE0" w:rsidRDefault="007D5EE0" w:rsidP="007D5EE0">
      <w:pPr>
        <w:pStyle w:val="Paragraph"/>
      </w:pPr>
      <w:r>
        <w:t>Mandating b</w:t>
      </w:r>
      <w:r w:rsidRPr="005974E3">
        <w:t>etter identity protection</w:t>
      </w:r>
      <w:r>
        <w:t xml:space="preserve"> would also be</w:t>
      </w:r>
      <w:r w:rsidRPr="005974E3">
        <w:t xml:space="preserve"> consistent with</w:t>
      </w:r>
      <w:r w:rsidRPr="002A6182">
        <w:t xml:space="preserve"> the government’s </w:t>
      </w:r>
      <w:hyperlink r:id="rId51" w:anchor="content-index-7" w:history="1">
        <w:r w:rsidRPr="002A6182">
          <w:rPr>
            <w:rStyle w:val="Hyperlink"/>
          </w:rPr>
          <w:t>National Identity Security Strategy and National Identity Proofing Guidelines</w:t>
        </w:r>
      </w:hyperlink>
      <w:r w:rsidRPr="00C60821">
        <w:rPr>
          <w:rStyle w:val="Hyperlink"/>
        </w:rPr>
        <w:t>.</w:t>
      </w:r>
      <w:r w:rsidRPr="002A6182">
        <w:rPr>
          <w:rStyle w:val="FootnoteReference"/>
        </w:rPr>
        <w:footnoteReference w:id="77"/>
      </w:r>
      <w:r w:rsidRPr="001E0E19">
        <w:rPr>
          <w:rStyle w:val="Hyperlink"/>
          <w:u w:val="none"/>
        </w:rPr>
        <w:t xml:space="preserve"> </w:t>
      </w:r>
      <w:r>
        <w:t xml:space="preserve">Placing enforceable obligations on CSPs to protect customers through enhanced authentication processes will also provide improved opportunities for </w:t>
      </w:r>
      <w:r w:rsidRPr="005D713C">
        <w:t>referral for regulatory or law enforcement action</w:t>
      </w:r>
      <w:r>
        <w:t>.</w:t>
      </w:r>
    </w:p>
    <w:p w14:paraId="2D94E5B8" w14:textId="77777777" w:rsidR="007D5EE0" w:rsidRDefault="007D5EE0" w:rsidP="007D5EE0">
      <w:pPr>
        <w:pStyle w:val="Paragraph"/>
      </w:pPr>
      <w:r w:rsidRPr="00D82BBF">
        <w:t xml:space="preserve">The most significant benefit </w:t>
      </w:r>
      <w:r>
        <w:t>from enforceable obligations</w:t>
      </w:r>
      <w:r w:rsidRPr="00D82BBF">
        <w:t xml:space="preserve"> w</w:t>
      </w:r>
      <w:r>
        <w:t xml:space="preserve">ill </w:t>
      </w:r>
      <w:r w:rsidRPr="00D82BBF">
        <w:t xml:space="preserve">be a reduction </w:t>
      </w:r>
      <w:r>
        <w:t>in the financial impact on Australians</w:t>
      </w:r>
      <w:r w:rsidRPr="00D82BBF">
        <w:t>.</w:t>
      </w:r>
      <w:r>
        <w:t xml:space="preserve"> F</w:t>
      </w:r>
      <w:r w:rsidRPr="00FC6B6A">
        <w:t>or this assessment</w:t>
      </w:r>
      <w:r>
        <w:t>,</w:t>
      </w:r>
      <w:r w:rsidRPr="00FC6B6A">
        <w:t xml:space="preserve"> it is conservatively estimated that enforceable obligations will </w:t>
      </w:r>
      <w:r w:rsidRPr="00425D23">
        <w:t xml:space="preserve">result </w:t>
      </w:r>
      <w:r w:rsidRPr="00D34F82">
        <w:t xml:space="preserve">in a </w:t>
      </w:r>
      <w:r w:rsidRPr="00813DB0">
        <w:t>70%</w:t>
      </w:r>
      <w:r w:rsidRPr="00D34F82">
        <w:t xml:space="preserve"> reduction in the impact of scams</w:t>
      </w:r>
      <w:r>
        <w:t xml:space="preserve"> and fraud</w:t>
      </w:r>
      <w:r w:rsidRPr="00D34F82">
        <w:t xml:space="preserve"> from</w:t>
      </w:r>
      <w:r>
        <w:t xml:space="preserve"> unauthorised</w:t>
      </w:r>
      <w:r w:rsidRPr="00D34F82">
        <w:t xml:space="preserve"> high-risk customer </w:t>
      </w:r>
      <w:r>
        <w:t>transactions</w:t>
      </w:r>
      <w:r w:rsidRPr="00D34F82">
        <w:t xml:space="preserve"> – depending on the mechanism used to set obligations. This will also leverage the existing regulatory framework</w:t>
      </w:r>
      <w:r>
        <w:t xml:space="preserve"> – including system and process changes to implement the PPV Standard.</w:t>
      </w:r>
    </w:p>
    <w:p w14:paraId="443D9CA2" w14:textId="77777777" w:rsidR="007D5EE0" w:rsidRDefault="007D5EE0" w:rsidP="007D5EE0">
      <w:pPr>
        <w:pStyle w:val="Heading4"/>
      </w:pPr>
      <w:bookmarkStart w:id="106" w:name="_Toc55546919"/>
      <w:r>
        <w:t>CSPs</w:t>
      </w:r>
      <w:bookmarkEnd w:id="106"/>
    </w:p>
    <w:p w14:paraId="0AAED60F" w14:textId="77777777" w:rsidR="007D5EE0" w:rsidRPr="005E516E" w:rsidRDefault="007D5EE0" w:rsidP="007D5EE0">
      <w:pPr>
        <w:pStyle w:val="Paragraph"/>
      </w:pPr>
      <w:r>
        <w:t>Enforceable obligations</w:t>
      </w:r>
      <w:r w:rsidRPr="005E516E">
        <w:t xml:space="preserve"> provide </w:t>
      </w:r>
      <w:r>
        <w:t xml:space="preserve">the opportunity to enforce and promote </w:t>
      </w:r>
      <w:r w:rsidRPr="005E516E">
        <w:t xml:space="preserve">consistent, </w:t>
      </w:r>
      <w:r>
        <w:t>industry</w:t>
      </w:r>
      <w:r w:rsidRPr="005E516E">
        <w:t>-wide approach</w:t>
      </w:r>
      <w:r>
        <w:t>es</w:t>
      </w:r>
      <w:r w:rsidRPr="005E516E">
        <w:t xml:space="preserve"> </w:t>
      </w:r>
      <w:r>
        <w:t xml:space="preserve">to combating scams </w:t>
      </w:r>
      <w:r w:rsidRPr="005E516E">
        <w:t xml:space="preserve">by establishing processes and protections that provide certainty for </w:t>
      </w:r>
      <w:r>
        <w:t>CSPs</w:t>
      </w:r>
      <w:r w:rsidRPr="005E516E">
        <w:t xml:space="preserve"> and their customers.</w:t>
      </w:r>
    </w:p>
    <w:p w14:paraId="7056C3CE" w14:textId="77777777" w:rsidR="007D5EE0" w:rsidRPr="005E516E" w:rsidRDefault="007D5EE0" w:rsidP="007D5EE0">
      <w:pPr>
        <w:pStyle w:val="Paragraph"/>
      </w:pPr>
      <w:r w:rsidRPr="005E516E">
        <w:t xml:space="preserve">Indirectly, </w:t>
      </w:r>
      <w:r>
        <w:t>CSPs</w:t>
      </w:r>
      <w:r w:rsidRPr="005E516E">
        <w:t xml:space="preserve"> </w:t>
      </w:r>
      <w:r>
        <w:t>and financial institutions will</w:t>
      </w:r>
      <w:r w:rsidRPr="005E516E">
        <w:t xml:space="preserve"> benefit from</w:t>
      </w:r>
      <w:r>
        <w:t xml:space="preserve"> spending</w:t>
      </w:r>
      <w:r w:rsidRPr="005E516E">
        <w:t xml:space="preserve"> less time </w:t>
      </w:r>
      <w:r>
        <w:t xml:space="preserve">and resources responding to </w:t>
      </w:r>
      <w:r w:rsidRPr="005E516E">
        <w:t>complaints about scam</w:t>
      </w:r>
      <w:r>
        <w:t xml:space="preserve">s, </w:t>
      </w:r>
      <w:r w:rsidRPr="004060D6">
        <w:t>as well as assisting consumers to manage the impact.</w:t>
      </w:r>
    </w:p>
    <w:p w14:paraId="4BA2A52E" w14:textId="77777777" w:rsidR="007D5EE0" w:rsidRPr="00E56892" w:rsidRDefault="007D5EE0" w:rsidP="007D5EE0">
      <w:pPr>
        <w:pStyle w:val="Paragraphbeforelist"/>
      </w:pPr>
      <w:r w:rsidRPr="00E56892">
        <w:t>The benefits</w:t>
      </w:r>
      <w:r w:rsidRPr="00E56892">
        <w:rPr>
          <w:vertAlign w:val="superscript"/>
        </w:rPr>
        <w:footnoteReference w:id="78"/>
      </w:r>
      <w:r w:rsidRPr="00E56892">
        <w:t xml:space="preserve"> of this option represent</w:t>
      </w:r>
      <w:r>
        <w:t>:</w:t>
      </w:r>
    </w:p>
    <w:p w14:paraId="39A7AC8E" w14:textId="77777777" w:rsidR="007D5EE0" w:rsidRPr="00D52DC7" w:rsidRDefault="007D5EE0" w:rsidP="007D5EE0">
      <w:pPr>
        <w:pStyle w:val="ListBullet"/>
      </w:pPr>
      <w:r>
        <w:t xml:space="preserve">average </w:t>
      </w:r>
      <w:r w:rsidRPr="00E56892">
        <w:t xml:space="preserve">annual savings from financial losses to fraud of </w:t>
      </w:r>
      <w:r w:rsidRPr="00D52DC7">
        <w:t>approximately $7,094,617</w:t>
      </w:r>
    </w:p>
    <w:p w14:paraId="70938B11" w14:textId="77777777" w:rsidR="007D5EE0" w:rsidRPr="00D52DC7" w:rsidRDefault="007D5EE0" w:rsidP="007D5EE0">
      <w:pPr>
        <w:pStyle w:val="ListBullet"/>
      </w:pPr>
      <w:r w:rsidRPr="00D52DC7">
        <w:t>direct savings to consumers of around $6,362,540</w:t>
      </w:r>
      <w:r w:rsidRPr="00D52DC7">
        <w:rPr>
          <w:vertAlign w:val="superscript"/>
        </w:rPr>
        <w:footnoteReference w:id="79"/>
      </w:r>
    </w:p>
    <w:p w14:paraId="674AEFF4" w14:textId="77777777" w:rsidR="007D5EE0" w:rsidRPr="00D52DC7" w:rsidRDefault="007D5EE0" w:rsidP="007D5EE0">
      <w:pPr>
        <w:pStyle w:val="ListBullet"/>
      </w:pPr>
      <w:r w:rsidRPr="00D52DC7">
        <w:t>annual savings in time spent by customers responding to identity theft of approximately $732,077</w:t>
      </w:r>
      <w:r w:rsidRPr="00D52DC7">
        <w:rPr>
          <w:vertAlign w:val="superscript"/>
        </w:rPr>
        <w:footnoteReference w:id="80"/>
      </w:r>
    </w:p>
    <w:p w14:paraId="40E44952" w14:textId="77777777" w:rsidR="007D5EE0" w:rsidRPr="00E56892" w:rsidRDefault="007D5EE0" w:rsidP="007D5EE0">
      <w:pPr>
        <w:pStyle w:val="ListBullet"/>
      </w:pPr>
      <w:r w:rsidRPr="00E56892">
        <w:t xml:space="preserve">a 70% decrease in instances of psychological harm caused by identity theft </w:t>
      </w:r>
      <w:r>
        <w:t>resulting from unauthorised access to customer accounts and details</w:t>
      </w:r>
      <w:r w:rsidRPr="00E56892">
        <w:t>, and the need for consumers to seek support services</w:t>
      </w:r>
    </w:p>
    <w:p w14:paraId="10DD94ED" w14:textId="77777777" w:rsidR="007D5EE0" w:rsidRPr="00A04411" w:rsidRDefault="007D5EE0" w:rsidP="007D5EE0">
      <w:pPr>
        <w:pStyle w:val="ListBullet"/>
      </w:pPr>
      <w:r w:rsidRPr="00A04411">
        <w:t>freeing up of financial institution or telecommunication</w:t>
      </w:r>
      <w:r>
        <w:t>s</w:t>
      </w:r>
      <w:r w:rsidRPr="00A04411">
        <w:t xml:space="preserve"> fraud team resources </w:t>
      </w:r>
      <w:r>
        <w:t>to</w:t>
      </w:r>
      <w:r w:rsidRPr="00A04411">
        <w:t xml:space="preserve"> assist customers on other matters</w:t>
      </w:r>
      <w:r>
        <w:t xml:space="preserve"> (equivalent to savings of 70%)</w:t>
      </w:r>
    </w:p>
    <w:p w14:paraId="1FA6FC2D" w14:textId="77777777" w:rsidR="007D5EE0" w:rsidRPr="00A04411" w:rsidRDefault="007D5EE0" w:rsidP="007D5EE0">
      <w:pPr>
        <w:pStyle w:val="ListBulletLast"/>
        <w:numPr>
          <w:ilvl w:val="0"/>
          <w:numId w:val="4"/>
        </w:numPr>
      </w:pPr>
      <w:r w:rsidRPr="00A04411">
        <w:t xml:space="preserve">a reduction in the resources required by </w:t>
      </w:r>
      <w:r>
        <w:t xml:space="preserve">support </w:t>
      </w:r>
      <w:r w:rsidRPr="00A04411">
        <w:t xml:space="preserve">organisations </w:t>
      </w:r>
      <w:r>
        <w:t xml:space="preserve">to </w:t>
      </w:r>
      <w:r w:rsidRPr="00A04411">
        <w:t>assist customers who have experienced identity theft relating to</w:t>
      </w:r>
      <w:r>
        <w:t xml:space="preserve"> unauthorised high risk transaction fraud</w:t>
      </w:r>
      <w:r w:rsidRPr="00A04411">
        <w:t xml:space="preserve"> (equivalent </w:t>
      </w:r>
      <w:r>
        <w:t xml:space="preserve">to </w:t>
      </w:r>
      <w:r w:rsidRPr="00A04411">
        <w:t>savings of 70%).</w:t>
      </w:r>
    </w:p>
    <w:p w14:paraId="6425070A" w14:textId="77777777" w:rsidR="007D5EE0" w:rsidRDefault="007D5EE0" w:rsidP="007D5EE0">
      <w:pPr>
        <w:pStyle w:val="Paragraph"/>
        <w:rPr>
          <w:iCs/>
        </w:rPr>
      </w:pPr>
      <w:r>
        <w:t>A mandatory approach to addressing customer authentication processes provides a reputational benefit for CSPs. It demonstrates to consumers that CSPs are regulated and have industry-wide measures that will improve consumer safeguards and disrupt fraudulent activity.</w:t>
      </w:r>
    </w:p>
    <w:p w14:paraId="7B8BE96A" w14:textId="77777777" w:rsidR="007D5EE0" w:rsidRDefault="007D5EE0" w:rsidP="007D5EE0">
      <w:pPr>
        <w:pStyle w:val="Paragraph"/>
        <w:rPr>
          <w:iCs/>
        </w:rPr>
      </w:pPr>
      <w:r>
        <w:rPr>
          <w:iCs/>
        </w:rPr>
        <w:t>It</w:t>
      </w:r>
      <w:r w:rsidRPr="004636CF">
        <w:rPr>
          <w:iCs/>
        </w:rPr>
        <w:t xml:space="preserve"> </w:t>
      </w:r>
      <w:r>
        <w:rPr>
          <w:iCs/>
        </w:rPr>
        <w:t xml:space="preserve">provides </w:t>
      </w:r>
      <w:r w:rsidRPr="004636CF">
        <w:rPr>
          <w:iCs/>
        </w:rPr>
        <w:t xml:space="preserve">positive benefits for </w:t>
      </w:r>
      <w:r>
        <w:rPr>
          <w:iCs/>
        </w:rPr>
        <w:t>CSPs</w:t>
      </w:r>
      <w:r w:rsidRPr="004636CF">
        <w:rPr>
          <w:iCs/>
        </w:rPr>
        <w:t xml:space="preserve"> when their networks and services are viewed as more safe and secure. This</w:t>
      </w:r>
      <w:r>
        <w:t xml:space="preserve"> benefit </w:t>
      </w:r>
      <w:r w:rsidRPr="004636CF">
        <w:rPr>
          <w:iCs/>
        </w:rPr>
        <w:t>accrues from customers who are satisfied with extra protections</w:t>
      </w:r>
      <w:r>
        <w:rPr>
          <w:iCs/>
        </w:rPr>
        <w:t>,</w:t>
      </w:r>
      <w:r w:rsidRPr="004636CF">
        <w:rPr>
          <w:iCs/>
        </w:rPr>
        <w:t xml:space="preserve"> as well as businesses who appreciate the secondary protections afforded to their customers through </w:t>
      </w:r>
      <w:r>
        <w:rPr>
          <w:iCs/>
        </w:rPr>
        <w:t>enforceable obligations</w:t>
      </w:r>
      <w:r w:rsidRPr="00592263">
        <w:rPr>
          <w:iCs/>
        </w:rPr>
        <w:t>.</w:t>
      </w:r>
      <w:r w:rsidRPr="00CB7C81">
        <w:rPr>
          <w:iCs/>
        </w:rPr>
        <w:t xml:space="preserve"> </w:t>
      </w:r>
      <w:r>
        <w:rPr>
          <w:iCs/>
        </w:rPr>
        <w:t xml:space="preserve">In addition, </w:t>
      </w:r>
      <w:r w:rsidRPr="00592263">
        <w:rPr>
          <w:iCs/>
        </w:rPr>
        <w:t>CSPs</w:t>
      </w:r>
      <w:r>
        <w:rPr>
          <w:iCs/>
        </w:rPr>
        <w:t xml:space="preserve"> –</w:t>
      </w:r>
      <w:r w:rsidRPr="00592263">
        <w:rPr>
          <w:iCs/>
        </w:rPr>
        <w:t xml:space="preserve"> </w:t>
      </w:r>
      <w:r>
        <w:rPr>
          <w:iCs/>
        </w:rPr>
        <w:t xml:space="preserve">which are </w:t>
      </w:r>
      <w:r w:rsidRPr="00592263">
        <w:rPr>
          <w:iCs/>
        </w:rPr>
        <w:t xml:space="preserve">relentlessly targeted by scammers impersonating their brands and attempting to steal </w:t>
      </w:r>
      <w:r w:rsidRPr="00592263" w:rsidDel="00112D10">
        <w:rPr>
          <w:iCs/>
        </w:rPr>
        <w:t xml:space="preserve">the </w:t>
      </w:r>
      <w:r w:rsidRPr="00592263">
        <w:rPr>
          <w:iCs/>
        </w:rPr>
        <w:t>identity of their customers</w:t>
      </w:r>
      <w:r w:rsidRPr="00CE5A68">
        <w:rPr>
          <w:iCs/>
        </w:rPr>
        <w:t xml:space="preserve"> </w:t>
      </w:r>
      <w:r>
        <w:rPr>
          <w:iCs/>
        </w:rPr>
        <w:t>– benefit from the extra protections.</w:t>
      </w:r>
    </w:p>
    <w:p w14:paraId="41867F18" w14:textId="77777777" w:rsidR="007D5EE0" w:rsidRDefault="007D5EE0" w:rsidP="007D5EE0">
      <w:pPr>
        <w:pStyle w:val="Heading3"/>
      </w:pPr>
      <w:bookmarkStart w:id="107" w:name="_Toc32833704"/>
      <w:bookmarkStart w:id="108" w:name="_Toc33176387"/>
      <w:bookmarkStart w:id="109" w:name="_Toc55546920"/>
      <w:bookmarkStart w:id="110" w:name="_Toc98323760"/>
      <w:r w:rsidRPr="001F0E27">
        <w:t>Costs</w:t>
      </w:r>
      <w:bookmarkEnd w:id="107"/>
      <w:bookmarkEnd w:id="108"/>
      <w:bookmarkEnd w:id="109"/>
      <w:bookmarkEnd w:id="110"/>
    </w:p>
    <w:p w14:paraId="5FC691A9" w14:textId="77777777" w:rsidR="007D5EE0" w:rsidRPr="008035ED" w:rsidRDefault="007D5EE0" w:rsidP="007D5EE0">
      <w:pPr>
        <w:rPr>
          <w:rFonts w:ascii="Arial" w:hAnsi="Arial" w:cs="Arial"/>
          <w:sz w:val="20"/>
          <w:szCs w:val="20"/>
        </w:rPr>
      </w:pPr>
      <w:r w:rsidRPr="008035ED">
        <w:rPr>
          <w:rFonts w:ascii="Arial" w:hAnsi="Arial" w:cs="Arial"/>
          <w:sz w:val="20"/>
          <w:szCs w:val="20"/>
        </w:rPr>
        <w:t>There are no direct costs to Australian customers from enforceable obligations; however, the Australian community can expect to benefit from collaborative and coordinated action to address unauthorised high-risk customer transactions over telecommunications networks.</w:t>
      </w:r>
    </w:p>
    <w:p w14:paraId="5FCEE758" w14:textId="77777777" w:rsidR="007D5EE0" w:rsidRPr="008035ED" w:rsidRDefault="007D5EE0" w:rsidP="007D5EE0">
      <w:pPr>
        <w:rPr>
          <w:rFonts w:ascii="Arial" w:hAnsi="Arial" w:cs="Arial"/>
          <w:sz w:val="20"/>
          <w:szCs w:val="20"/>
        </w:rPr>
      </w:pPr>
      <w:r w:rsidRPr="008035ED">
        <w:rPr>
          <w:rFonts w:ascii="Arial" w:hAnsi="Arial" w:cs="Arial"/>
          <w:sz w:val="20"/>
          <w:szCs w:val="20"/>
        </w:rPr>
        <w:t xml:space="preserve">Experience has shown there is no ‘silver bullet’ to addressing scams. Scammers </w:t>
      </w:r>
      <w:proofErr w:type="gramStart"/>
      <w:r w:rsidRPr="008035ED">
        <w:rPr>
          <w:rFonts w:ascii="Arial" w:hAnsi="Arial" w:cs="Arial"/>
          <w:sz w:val="20"/>
          <w:szCs w:val="20"/>
        </w:rPr>
        <w:t>are able to</w:t>
      </w:r>
      <w:proofErr w:type="gramEnd"/>
      <w:r w:rsidRPr="008035ED">
        <w:rPr>
          <w:rFonts w:ascii="Arial" w:hAnsi="Arial" w:cs="Arial"/>
          <w:sz w:val="20"/>
          <w:szCs w:val="20"/>
        </w:rPr>
        <w:t xml:space="preserve"> quickly pivot to take advantage of changing environments – as seen most recently with the coronavirus pandemic.</w:t>
      </w:r>
    </w:p>
    <w:p w14:paraId="1F8E0AD7" w14:textId="77777777" w:rsidR="007D5EE0" w:rsidRPr="008035ED" w:rsidRDefault="007D5EE0" w:rsidP="007D5EE0">
      <w:pPr>
        <w:rPr>
          <w:rFonts w:ascii="Arial" w:hAnsi="Arial" w:cs="Arial"/>
          <w:sz w:val="20"/>
          <w:szCs w:val="20"/>
        </w:rPr>
      </w:pPr>
      <w:r w:rsidRPr="008035ED">
        <w:rPr>
          <w:rFonts w:ascii="Arial" w:hAnsi="Arial" w:cs="Arial"/>
          <w:sz w:val="20"/>
          <w:szCs w:val="20"/>
        </w:rPr>
        <w:t>Costs to the community come from the residual instances of fraudulent transactions that is, those not reduced by the enforceable obligations, including from the impact of psychological harm and distress experienced by each victim of a fraudulent interaction and the ongoing repercussions of identity theft.</w:t>
      </w:r>
    </w:p>
    <w:p w14:paraId="274294DA" w14:textId="77777777" w:rsidR="007D5EE0" w:rsidRPr="008035ED" w:rsidRDefault="007D5EE0" w:rsidP="007D5EE0">
      <w:pPr>
        <w:pStyle w:val="Heading4"/>
        <w:rPr>
          <w:szCs w:val="20"/>
        </w:rPr>
      </w:pPr>
      <w:bookmarkStart w:id="111" w:name="_Toc55546922"/>
      <w:r w:rsidRPr="008035ED">
        <w:rPr>
          <w:szCs w:val="20"/>
        </w:rPr>
        <w:t>CSPs</w:t>
      </w:r>
      <w:bookmarkEnd w:id="111"/>
    </w:p>
    <w:p w14:paraId="40553242" w14:textId="77777777" w:rsidR="007D5EE0" w:rsidRDefault="007D5EE0" w:rsidP="007D5EE0">
      <w:pPr>
        <w:pStyle w:val="Paragraph"/>
      </w:pPr>
      <w:r w:rsidRPr="008035ED">
        <w:rPr>
          <w:szCs w:val="20"/>
        </w:rPr>
        <w:t>Ensuring enforceable obligations are outcomes-based, to the extent possible, will provide</w:t>
      </w:r>
      <w:r w:rsidRPr="008035ED">
        <w:rPr>
          <w:rFonts w:eastAsia="Calibri"/>
          <w:szCs w:val="20"/>
          <w:lang w:eastAsia="en-US"/>
        </w:rPr>
        <w:t xml:space="preserve"> </w:t>
      </w:r>
      <w:r w:rsidRPr="008035ED">
        <w:rPr>
          <w:szCs w:val="20"/>
        </w:rPr>
        <w:t>flexibility for CSPs in complying. For example, it may</w:t>
      </w:r>
      <w:r w:rsidRPr="009D77B0">
        <w:t xml:space="preserve"> be more efficient for </w:t>
      </w:r>
      <w:r>
        <w:t>providers</w:t>
      </w:r>
      <w:r w:rsidRPr="009D77B0">
        <w:t xml:space="preserve"> to automate their systems</w:t>
      </w:r>
      <w:r>
        <w:t>,</w:t>
      </w:r>
      <w:r w:rsidRPr="009D77B0">
        <w:t xml:space="preserve"> but for a smaller </w:t>
      </w:r>
      <w:r>
        <w:t>carriage service provider</w:t>
      </w:r>
      <w:r w:rsidRPr="009D77B0">
        <w:t xml:space="preserve"> with less customers, the necessary activities could be conducted manually.</w:t>
      </w:r>
      <w:r>
        <w:t xml:space="preserve"> Providers may also choose which type of multi-factor identification they use, including for specific channels.</w:t>
      </w:r>
    </w:p>
    <w:p w14:paraId="1F75D742" w14:textId="77777777" w:rsidR="007D5EE0" w:rsidRDefault="007D5EE0" w:rsidP="007D5EE0">
      <w:pPr>
        <w:pStyle w:val="Paragraph"/>
        <w:rPr>
          <w:rFonts w:eastAsia="Calibri"/>
          <w:szCs w:val="20"/>
          <w:lang w:eastAsia="en-US"/>
        </w:rPr>
      </w:pPr>
      <w:r>
        <w:rPr>
          <w:rFonts w:eastAsia="Calibri"/>
          <w:szCs w:val="20"/>
          <w:lang w:eastAsia="en-US"/>
        </w:rPr>
        <w:t xml:space="preserve">Each CSP </w:t>
      </w:r>
      <w:r w:rsidRPr="0038181B">
        <w:rPr>
          <w:rFonts w:eastAsia="Calibri"/>
          <w:szCs w:val="20"/>
          <w:lang w:eastAsia="en-US"/>
        </w:rPr>
        <w:t xml:space="preserve">is responsible for </w:t>
      </w:r>
      <w:r>
        <w:rPr>
          <w:rFonts w:eastAsia="Calibri"/>
          <w:szCs w:val="20"/>
          <w:lang w:eastAsia="en-US"/>
        </w:rPr>
        <w:t xml:space="preserve">exactly </w:t>
      </w:r>
      <w:r w:rsidRPr="0038181B">
        <w:rPr>
          <w:rFonts w:eastAsia="Calibri"/>
          <w:szCs w:val="20"/>
          <w:lang w:eastAsia="en-US"/>
        </w:rPr>
        <w:t xml:space="preserve">determining how they monitor their network to detect and act against </w:t>
      </w:r>
      <w:r>
        <w:rPr>
          <w:rFonts w:eastAsia="Calibri"/>
          <w:szCs w:val="20"/>
          <w:lang w:eastAsia="en-US"/>
        </w:rPr>
        <w:t xml:space="preserve">fraudulent customer transactions and it is anticipated </w:t>
      </w:r>
      <w:bookmarkStart w:id="112" w:name="_Hlk54175486"/>
      <w:r w:rsidRPr="0038181B">
        <w:rPr>
          <w:rFonts w:eastAsia="Calibri"/>
          <w:szCs w:val="20"/>
          <w:lang w:eastAsia="en-US"/>
        </w:rPr>
        <w:t xml:space="preserve">that </w:t>
      </w:r>
      <w:r>
        <w:rPr>
          <w:rFonts w:eastAsia="Calibri"/>
          <w:szCs w:val="20"/>
          <w:lang w:eastAsia="en-US"/>
        </w:rPr>
        <w:t>7</w:t>
      </w:r>
      <w:r w:rsidRPr="0038181B">
        <w:rPr>
          <w:rFonts w:eastAsia="Calibri"/>
          <w:szCs w:val="20"/>
          <w:lang w:eastAsia="en-US"/>
        </w:rPr>
        <w:t xml:space="preserve">0% </w:t>
      </w:r>
      <w:r>
        <w:rPr>
          <w:rFonts w:eastAsia="Calibri"/>
          <w:szCs w:val="20"/>
          <w:lang w:eastAsia="en-US"/>
        </w:rPr>
        <w:t xml:space="preserve">of costs for </w:t>
      </w:r>
      <w:r w:rsidRPr="0038181B">
        <w:rPr>
          <w:rFonts w:eastAsia="Calibri"/>
          <w:szCs w:val="20"/>
          <w:lang w:eastAsia="en-US"/>
        </w:rPr>
        <w:t>systems automation would have accrued to comply with existing obligations.</w:t>
      </w:r>
    </w:p>
    <w:p w14:paraId="06CFCB2F" w14:textId="77777777" w:rsidR="007D5EE0" w:rsidRPr="00FE049E" w:rsidRDefault="007D5EE0" w:rsidP="007D5EE0">
      <w:pPr>
        <w:pStyle w:val="Paragraph"/>
        <w:rPr>
          <w:rFonts w:eastAsia="Calibri"/>
        </w:rPr>
      </w:pPr>
      <w:r w:rsidRPr="0038181B">
        <w:rPr>
          <w:rFonts w:eastAsia="Calibri"/>
          <w:lang w:eastAsia="en-US"/>
        </w:rPr>
        <w:t xml:space="preserve">Where costs accrue under </w:t>
      </w:r>
      <w:r>
        <w:rPr>
          <w:rFonts w:eastAsia="Calibri"/>
          <w:lang w:eastAsia="en-US"/>
        </w:rPr>
        <w:t>enforceable obligations,</w:t>
      </w:r>
      <w:r w:rsidRPr="0038181B">
        <w:rPr>
          <w:rFonts w:eastAsia="Calibri"/>
          <w:lang w:eastAsia="en-US"/>
        </w:rPr>
        <w:t xml:space="preserve"> costs will be higher for </w:t>
      </w:r>
      <w:r>
        <w:rPr>
          <w:rFonts w:eastAsia="Calibri"/>
          <w:lang w:eastAsia="en-US"/>
        </w:rPr>
        <w:t>CSPs who have failed to implement multi-factor authentication processes prior to obligations coming into force.</w:t>
      </w:r>
    </w:p>
    <w:p w14:paraId="6CB27322" w14:textId="77777777" w:rsidR="007D5EE0" w:rsidRDefault="007D5EE0" w:rsidP="007D5EE0">
      <w:pPr>
        <w:pStyle w:val="Paragraph"/>
      </w:pPr>
      <w:r>
        <w:rPr>
          <w:rFonts w:eastAsia="Calibri"/>
          <w:szCs w:val="20"/>
          <w:lang w:eastAsia="en-US"/>
        </w:rPr>
        <w:t>The number of CSPs</w:t>
      </w:r>
      <w:r w:rsidRPr="00632D1A">
        <w:rPr>
          <w:rFonts w:eastAsia="Calibri"/>
          <w:szCs w:val="20"/>
          <w:lang w:eastAsia="en-US"/>
        </w:rPr>
        <w:t xml:space="preserve"> </w:t>
      </w:r>
      <w:r>
        <w:rPr>
          <w:rFonts w:eastAsia="Calibri"/>
          <w:szCs w:val="20"/>
          <w:lang w:eastAsia="en-US"/>
        </w:rPr>
        <w:t>that will be covered by enforceable obligations has been</w:t>
      </w:r>
      <w:r w:rsidRPr="00632D1A">
        <w:rPr>
          <w:rFonts w:eastAsia="Calibri"/>
          <w:szCs w:val="20"/>
          <w:lang w:eastAsia="en-US"/>
        </w:rPr>
        <w:t xml:space="preserve"> conservative</w:t>
      </w:r>
      <w:r>
        <w:rPr>
          <w:rFonts w:eastAsia="Calibri"/>
          <w:szCs w:val="20"/>
          <w:lang w:eastAsia="en-US"/>
        </w:rPr>
        <w:t>ly</w:t>
      </w:r>
      <w:r w:rsidRPr="00632D1A">
        <w:rPr>
          <w:rFonts w:eastAsia="Calibri"/>
          <w:szCs w:val="20"/>
          <w:lang w:eastAsia="en-US"/>
        </w:rPr>
        <w:t xml:space="preserve"> </w:t>
      </w:r>
      <w:r>
        <w:rPr>
          <w:rFonts w:eastAsia="Calibri"/>
          <w:szCs w:val="20"/>
          <w:lang w:eastAsia="en-US"/>
        </w:rPr>
        <w:t xml:space="preserve">estimated at a maximum of 412. This maximum includes each CSP; however, there are </w:t>
      </w:r>
      <w:proofErr w:type="gramStart"/>
      <w:r>
        <w:rPr>
          <w:rFonts w:eastAsia="Calibri"/>
          <w:szCs w:val="20"/>
          <w:lang w:eastAsia="en-US"/>
        </w:rPr>
        <w:t>a number of</w:t>
      </w:r>
      <w:proofErr w:type="gramEnd"/>
      <w:r>
        <w:rPr>
          <w:rFonts w:eastAsia="Calibri"/>
          <w:szCs w:val="20"/>
          <w:lang w:eastAsia="en-US"/>
        </w:rPr>
        <w:t xml:space="preserve"> partnerships and carrier relationships in place. For example, some smaller CSPs</w:t>
      </w:r>
      <w:r w:rsidRPr="00A65E00">
        <w:rPr>
          <w:rFonts w:eastAsia="Calibri"/>
          <w:szCs w:val="20"/>
          <w:lang w:eastAsia="en-US"/>
        </w:rPr>
        <w:t xml:space="preserve"> </w:t>
      </w:r>
      <w:r>
        <w:rPr>
          <w:rFonts w:eastAsia="Calibri"/>
          <w:szCs w:val="20"/>
          <w:lang w:eastAsia="en-US"/>
        </w:rPr>
        <w:t>are owned</w:t>
      </w:r>
      <w:r w:rsidRPr="00A65E00">
        <w:rPr>
          <w:rFonts w:eastAsia="Calibri"/>
          <w:szCs w:val="20"/>
          <w:lang w:eastAsia="en-US"/>
        </w:rPr>
        <w:t xml:space="preserve"> </w:t>
      </w:r>
      <w:r>
        <w:rPr>
          <w:rFonts w:eastAsia="Calibri"/>
          <w:szCs w:val="20"/>
          <w:lang w:eastAsia="en-US"/>
        </w:rPr>
        <w:t>by</w:t>
      </w:r>
      <w:r w:rsidRPr="00A65E00">
        <w:rPr>
          <w:rFonts w:eastAsia="Calibri"/>
          <w:szCs w:val="20"/>
          <w:lang w:eastAsia="en-US"/>
        </w:rPr>
        <w:t xml:space="preserve"> larger </w:t>
      </w:r>
      <w:r>
        <w:rPr>
          <w:rFonts w:eastAsia="Calibri"/>
          <w:szCs w:val="20"/>
          <w:lang w:eastAsia="en-US"/>
        </w:rPr>
        <w:t xml:space="preserve">CSPs, while others </w:t>
      </w:r>
      <w:r w:rsidRPr="005A6750">
        <w:rPr>
          <w:rFonts w:eastAsia="Calibri"/>
          <w:szCs w:val="20"/>
          <w:lang w:eastAsia="en-US"/>
        </w:rPr>
        <w:t>purchas</w:t>
      </w:r>
      <w:r>
        <w:rPr>
          <w:rFonts w:eastAsia="Calibri"/>
          <w:szCs w:val="20"/>
          <w:lang w:eastAsia="en-US"/>
        </w:rPr>
        <w:t>e</w:t>
      </w:r>
      <w:r w:rsidRPr="005A6750">
        <w:rPr>
          <w:rFonts w:eastAsia="Calibri"/>
          <w:szCs w:val="20"/>
          <w:lang w:eastAsia="en-US"/>
        </w:rPr>
        <w:t xml:space="preserve"> network capacity to provide services to their customers</w:t>
      </w:r>
      <w:r>
        <w:rPr>
          <w:rFonts w:eastAsia="Calibri"/>
          <w:szCs w:val="20"/>
          <w:lang w:eastAsia="en-US"/>
        </w:rPr>
        <w:t>.</w:t>
      </w:r>
    </w:p>
    <w:p w14:paraId="14F7CDE0" w14:textId="77777777" w:rsidR="007D5EE0" w:rsidRDefault="007D5EE0" w:rsidP="007D5EE0">
      <w:pPr>
        <w:pStyle w:val="Paragraph"/>
      </w:pPr>
      <w:r>
        <w:t>I</w:t>
      </w:r>
      <w:r w:rsidRPr="00E72C36">
        <w:t>t is</w:t>
      </w:r>
      <w:r>
        <w:t xml:space="preserve"> anticipated</w:t>
      </w:r>
      <w:r w:rsidRPr="00E72C36">
        <w:t xml:space="preserve"> that while all CSPs </w:t>
      </w:r>
      <w:r>
        <w:t xml:space="preserve">will </w:t>
      </w:r>
      <w:r w:rsidRPr="00E72C36">
        <w:t xml:space="preserve">need to have processes to comply with </w:t>
      </w:r>
      <w:r>
        <w:t xml:space="preserve">new enforceable obligations, </w:t>
      </w:r>
      <w:r w:rsidRPr="00397C1A">
        <w:t xml:space="preserve">CSPs </w:t>
      </w:r>
      <w:r>
        <w:t>already</w:t>
      </w:r>
      <w:r w:rsidRPr="00397C1A">
        <w:t xml:space="preserve"> incur ongoing costs associated with </w:t>
      </w:r>
      <w:r>
        <w:t>complying with the obligations in the PPV Standard and can leverage off those measures.</w:t>
      </w:r>
    </w:p>
    <w:p w14:paraId="01A1BADC" w14:textId="77777777" w:rsidR="007D5EE0" w:rsidRDefault="007D5EE0" w:rsidP="007D5EE0">
      <w:pPr>
        <w:pStyle w:val="Paragraph"/>
        <w:rPr>
          <w:rFonts w:eastAsia="Calibri"/>
          <w:szCs w:val="20"/>
          <w:lang w:eastAsia="en-US"/>
        </w:rPr>
      </w:pPr>
      <w:r w:rsidRPr="00FE049E">
        <w:t>It is estimated on average that the total annual regulatory costs would be $765,391 over 10 years</w:t>
      </w:r>
      <w:r>
        <w:t>.</w:t>
      </w:r>
      <w:r>
        <w:rPr>
          <w:rStyle w:val="FootnoteReference"/>
        </w:rPr>
        <w:footnoteReference w:id="81"/>
      </w:r>
    </w:p>
    <w:bookmarkEnd w:id="112"/>
    <w:p w14:paraId="348A2B0B" w14:textId="77777777" w:rsidR="007D5EE0" w:rsidRDefault="007D5EE0" w:rsidP="007D5EE0">
      <w:pPr>
        <w:pStyle w:val="Paragraph"/>
        <w:rPr>
          <w:rFonts w:eastAsia="Calibri"/>
          <w:szCs w:val="20"/>
          <w:lang w:eastAsia="en-US"/>
        </w:rPr>
      </w:pPr>
      <w:r w:rsidRPr="00E7524D">
        <w:rPr>
          <w:rFonts w:eastAsia="Calibri"/>
          <w:szCs w:val="20"/>
          <w:lang w:eastAsia="en-US"/>
        </w:rPr>
        <w:t xml:space="preserve">As Table </w:t>
      </w:r>
      <w:r>
        <w:rPr>
          <w:rFonts w:eastAsia="Calibri"/>
          <w:szCs w:val="20"/>
          <w:lang w:eastAsia="en-US"/>
        </w:rPr>
        <w:t>2</w:t>
      </w:r>
      <w:r w:rsidRPr="00E7524D">
        <w:rPr>
          <w:rFonts w:eastAsia="Calibri"/>
          <w:szCs w:val="20"/>
          <w:lang w:eastAsia="en-US"/>
        </w:rPr>
        <w:t xml:space="preserve"> </w:t>
      </w:r>
      <w:r>
        <w:rPr>
          <w:rFonts w:eastAsia="Calibri"/>
          <w:szCs w:val="20"/>
          <w:lang w:eastAsia="en-US"/>
        </w:rPr>
        <w:t xml:space="preserve">shows </w:t>
      </w:r>
      <w:r w:rsidRPr="00E7524D">
        <w:rPr>
          <w:rFonts w:eastAsia="Calibri"/>
          <w:szCs w:val="20"/>
          <w:lang w:eastAsia="en-US"/>
        </w:rPr>
        <w:t>below, costs from Year 2 drop significantly and mainly reflect the activity involved in responding to new business process developments.</w:t>
      </w:r>
    </w:p>
    <w:p w14:paraId="33A2036A" w14:textId="77777777" w:rsidR="007D5EE0" w:rsidRDefault="007D5EE0" w:rsidP="007D5EE0">
      <w:pPr>
        <w:pStyle w:val="Tableheading"/>
        <w:numPr>
          <w:ilvl w:val="0"/>
          <w:numId w:val="0"/>
        </w:numPr>
        <w:rPr>
          <w:rFonts w:eastAsia="Calibri"/>
          <w:lang w:eastAsia="en-US"/>
        </w:rPr>
      </w:pPr>
      <w:r>
        <w:rPr>
          <w:rFonts w:eastAsia="Calibri"/>
          <w:lang w:eastAsia="en-US"/>
        </w:rPr>
        <w:t xml:space="preserve">Table 2: </w:t>
      </w:r>
      <w:r w:rsidRPr="003308A1">
        <w:rPr>
          <w:rFonts w:eastAsia="Calibri"/>
          <w:lang w:eastAsia="en-US"/>
        </w:rPr>
        <w:t>Costs to all CSPs to comply with enforceable obligations over 10</w:t>
      </w:r>
      <w:r>
        <w:rPr>
          <w:rFonts w:eastAsia="Calibri"/>
          <w:lang w:eastAsia="en-US"/>
        </w:rPr>
        <w:t> </w:t>
      </w:r>
      <w:r w:rsidRPr="003308A1">
        <w:rPr>
          <w:rFonts w:eastAsia="Calibri"/>
          <w:lang w:eastAsia="en-US"/>
        </w:rPr>
        <w:t>years</w:t>
      </w:r>
      <w:r w:rsidRPr="003308A1">
        <w:rPr>
          <w:rFonts w:eastAsia="Calibri"/>
          <w:vertAlign w:val="superscript"/>
          <w:lang w:eastAsia="en-US"/>
        </w:rPr>
        <w:footnoteReference w:id="82"/>
      </w:r>
    </w:p>
    <w:tbl>
      <w:tblPr>
        <w:tblStyle w:val="TableGrid"/>
        <w:tblW w:w="4807" w:type="pct"/>
        <w:tblInd w:w="0" w:type="dxa"/>
        <w:tblCellMar>
          <w:top w:w="85" w:type="dxa"/>
          <w:left w:w="85" w:type="dxa"/>
          <w:bottom w:w="85" w:type="dxa"/>
          <w:right w:w="85" w:type="dxa"/>
        </w:tblCellMar>
        <w:tblLook w:val="04A0" w:firstRow="1" w:lastRow="0" w:firstColumn="1" w:lastColumn="0" w:noHBand="0" w:noVBand="1"/>
      </w:tblPr>
      <w:tblGrid>
        <w:gridCol w:w="2690"/>
        <w:gridCol w:w="2408"/>
        <w:gridCol w:w="2267"/>
      </w:tblGrid>
      <w:tr w:rsidR="007D5EE0" w:rsidRPr="003308A1" w14:paraId="1827336B" w14:textId="77777777" w:rsidTr="009A305E">
        <w:trPr>
          <w:cantSplit/>
          <w:tblHeader/>
        </w:trPr>
        <w:tc>
          <w:tcPr>
            <w:tcW w:w="1826" w:type="pct"/>
            <w:shd w:val="clear" w:color="auto" w:fill="404040" w:themeFill="text1" w:themeFillTint="BF"/>
          </w:tcPr>
          <w:p w14:paraId="6969C43F" w14:textId="77777777" w:rsidR="007D5EE0" w:rsidRPr="006C1066" w:rsidRDefault="007D5EE0" w:rsidP="009A305E">
            <w:pPr>
              <w:pStyle w:val="Paragraph"/>
              <w:keepNext/>
              <w:keepLines/>
              <w:spacing w:after="0"/>
              <w:rPr>
                <w:rFonts w:eastAsia="Calibri"/>
                <w:b/>
                <w:color w:val="FFFFFF" w:themeColor="background1"/>
                <w:szCs w:val="20"/>
                <w:lang w:eastAsia="en-US"/>
              </w:rPr>
            </w:pPr>
            <w:r w:rsidRPr="006C1066">
              <w:rPr>
                <w:rFonts w:eastAsia="Calibri"/>
                <w:b/>
                <w:color w:val="FFFFFF" w:themeColor="background1"/>
                <w:szCs w:val="20"/>
                <w:lang w:eastAsia="en-US"/>
              </w:rPr>
              <w:t>Category</w:t>
            </w:r>
          </w:p>
        </w:tc>
        <w:tc>
          <w:tcPr>
            <w:tcW w:w="1635" w:type="pct"/>
            <w:shd w:val="clear" w:color="auto" w:fill="404040" w:themeFill="text1" w:themeFillTint="BF"/>
          </w:tcPr>
          <w:p w14:paraId="199A9911" w14:textId="77777777" w:rsidR="007D5EE0" w:rsidRPr="006C1066" w:rsidRDefault="007D5EE0" w:rsidP="009A305E">
            <w:pPr>
              <w:pStyle w:val="Paragraph"/>
              <w:keepNext/>
              <w:keepLines/>
              <w:spacing w:after="0"/>
              <w:rPr>
                <w:rFonts w:eastAsia="Calibri"/>
                <w:b/>
                <w:color w:val="FFFFFF" w:themeColor="background1"/>
                <w:szCs w:val="20"/>
                <w:lang w:eastAsia="en-US"/>
              </w:rPr>
            </w:pPr>
            <w:r w:rsidRPr="006C1066">
              <w:rPr>
                <w:rFonts w:eastAsia="Calibri"/>
                <w:b/>
                <w:color w:val="FFFFFF" w:themeColor="background1"/>
                <w:szCs w:val="20"/>
                <w:lang w:eastAsia="en-US"/>
              </w:rPr>
              <w:t xml:space="preserve">Costs: Year 1 </w:t>
            </w:r>
          </w:p>
        </w:tc>
        <w:tc>
          <w:tcPr>
            <w:tcW w:w="1539" w:type="pct"/>
            <w:shd w:val="clear" w:color="auto" w:fill="404040" w:themeFill="text1" w:themeFillTint="BF"/>
          </w:tcPr>
          <w:p w14:paraId="5AEED9D2" w14:textId="77777777" w:rsidR="007D5EE0" w:rsidRPr="006C1066" w:rsidRDefault="007D5EE0" w:rsidP="009A305E">
            <w:pPr>
              <w:pStyle w:val="Paragraph"/>
              <w:keepNext/>
              <w:keepLines/>
              <w:spacing w:after="0"/>
              <w:rPr>
                <w:rFonts w:eastAsia="Calibri"/>
                <w:b/>
                <w:color w:val="FFFFFF" w:themeColor="background1"/>
                <w:szCs w:val="20"/>
                <w:lang w:eastAsia="en-US"/>
              </w:rPr>
            </w:pPr>
            <w:r w:rsidRPr="006C1066">
              <w:rPr>
                <w:rFonts w:eastAsia="Calibri"/>
                <w:b/>
                <w:color w:val="FFFFFF" w:themeColor="background1"/>
                <w:szCs w:val="20"/>
                <w:lang w:eastAsia="en-US"/>
              </w:rPr>
              <w:t>Cost: Year 2 onwards</w:t>
            </w:r>
          </w:p>
        </w:tc>
      </w:tr>
      <w:tr w:rsidR="007D5EE0" w:rsidRPr="003308A1" w14:paraId="64B38027" w14:textId="77777777" w:rsidTr="009A305E">
        <w:trPr>
          <w:cantSplit/>
        </w:trPr>
        <w:tc>
          <w:tcPr>
            <w:tcW w:w="1826" w:type="pct"/>
          </w:tcPr>
          <w:p w14:paraId="32EC5974" w14:textId="77777777" w:rsidR="007D5EE0" w:rsidRPr="002A54B2" w:rsidRDefault="007D5EE0" w:rsidP="009A305E">
            <w:pPr>
              <w:pStyle w:val="Paragraph"/>
              <w:keepNext/>
              <w:keepLines/>
              <w:spacing w:after="0"/>
              <w:rPr>
                <w:rFonts w:eastAsia="Calibri"/>
                <w:bCs/>
                <w:szCs w:val="20"/>
                <w:lang w:eastAsia="en-US"/>
              </w:rPr>
            </w:pPr>
            <w:r w:rsidRPr="002A54B2">
              <w:rPr>
                <w:rFonts w:eastAsia="Calibri"/>
                <w:bCs/>
                <w:szCs w:val="20"/>
                <w:lang w:eastAsia="en-US"/>
              </w:rPr>
              <w:t>Large</w:t>
            </w:r>
          </w:p>
        </w:tc>
        <w:tc>
          <w:tcPr>
            <w:tcW w:w="1635" w:type="pct"/>
          </w:tcPr>
          <w:p w14:paraId="303078DB" w14:textId="77777777" w:rsidR="007D5EE0" w:rsidRPr="003308A1" w:rsidRDefault="007D5EE0" w:rsidP="009A305E">
            <w:pPr>
              <w:pStyle w:val="Paragraph"/>
              <w:keepNext/>
              <w:keepLines/>
              <w:spacing w:after="0"/>
              <w:rPr>
                <w:rFonts w:eastAsia="Calibri"/>
                <w:szCs w:val="20"/>
                <w:lang w:eastAsia="en-US"/>
              </w:rPr>
            </w:pPr>
            <w:r w:rsidRPr="00F161C5">
              <w:rPr>
                <w:rFonts w:eastAsia="Calibri"/>
                <w:szCs w:val="20"/>
                <w:lang w:eastAsia="en-US"/>
              </w:rPr>
              <w:t>$453,285</w:t>
            </w:r>
          </w:p>
        </w:tc>
        <w:tc>
          <w:tcPr>
            <w:tcW w:w="1539" w:type="pct"/>
          </w:tcPr>
          <w:p w14:paraId="4E99287F" w14:textId="77777777" w:rsidR="007D5EE0" w:rsidRPr="003308A1" w:rsidRDefault="007D5EE0" w:rsidP="009A305E">
            <w:pPr>
              <w:pStyle w:val="Paragraph"/>
              <w:keepNext/>
              <w:keepLines/>
              <w:spacing w:after="0"/>
              <w:rPr>
                <w:rFonts w:eastAsia="Calibri"/>
                <w:szCs w:val="20"/>
                <w:lang w:eastAsia="en-US"/>
              </w:rPr>
            </w:pPr>
            <w:r w:rsidRPr="00A73A15">
              <w:rPr>
                <w:rFonts w:eastAsia="Calibri"/>
                <w:szCs w:val="20"/>
                <w:lang w:eastAsia="en-US"/>
              </w:rPr>
              <w:t>$92,190</w:t>
            </w:r>
          </w:p>
        </w:tc>
      </w:tr>
      <w:tr w:rsidR="007D5EE0" w:rsidRPr="003308A1" w14:paraId="5CAA6F05" w14:textId="77777777" w:rsidTr="009A305E">
        <w:trPr>
          <w:cantSplit/>
        </w:trPr>
        <w:tc>
          <w:tcPr>
            <w:tcW w:w="1826" w:type="pct"/>
          </w:tcPr>
          <w:p w14:paraId="55484736" w14:textId="77777777" w:rsidR="007D5EE0" w:rsidRPr="002A54B2" w:rsidRDefault="007D5EE0" w:rsidP="009A305E">
            <w:pPr>
              <w:pStyle w:val="Paragraph"/>
              <w:keepNext/>
              <w:keepLines/>
              <w:spacing w:after="0"/>
              <w:rPr>
                <w:rFonts w:eastAsia="Calibri"/>
                <w:bCs/>
                <w:szCs w:val="20"/>
                <w:lang w:eastAsia="en-US"/>
              </w:rPr>
            </w:pPr>
            <w:r w:rsidRPr="002A54B2">
              <w:rPr>
                <w:rFonts w:eastAsia="Calibri"/>
                <w:bCs/>
                <w:szCs w:val="20"/>
                <w:lang w:eastAsia="en-US"/>
              </w:rPr>
              <w:t>Medium</w:t>
            </w:r>
          </w:p>
        </w:tc>
        <w:tc>
          <w:tcPr>
            <w:tcW w:w="1635" w:type="pct"/>
          </w:tcPr>
          <w:p w14:paraId="50E0C3CC" w14:textId="77777777" w:rsidR="007D5EE0" w:rsidRPr="003308A1" w:rsidRDefault="007D5EE0" w:rsidP="009A305E">
            <w:pPr>
              <w:pStyle w:val="Paragraph"/>
              <w:keepNext/>
              <w:keepLines/>
              <w:spacing w:after="0"/>
              <w:rPr>
                <w:rFonts w:eastAsia="Calibri"/>
                <w:szCs w:val="20"/>
                <w:lang w:eastAsia="en-US"/>
              </w:rPr>
            </w:pPr>
            <w:r w:rsidRPr="00F161C5">
              <w:rPr>
                <w:rFonts w:eastAsia="Calibri"/>
                <w:szCs w:val="20"/>
                <w:lang w:eastAsia="en-US"/>
              </w:rPr>
              <w:t>$739,724</w:t>
            </w:r>
          </w:p>
        </w:tc>
        <w:tc>
          <w:tcPr>
            <w:tcW w:w="1539" w:type="pct"/>
          </w:tcPr>
          <w:p w14:paraId="59C45980" w14:textId="77777777" w:rsidR="007D5EE0" w:rsidRPr="003308A1" w:rsidRDefault="007D5EE0" w:rsidP="009A305E">
            <w:pPr>
              <w:pStyle w:val="Paragraph"/>
              <w:keepNext/>
              <w:keepLines/>
              <w:spacing w:after="0"/>
              <w:rPr>
                <w:rFonts w:eastAsia="Calibri"/>
                <w:szCs w:val="20"/>
                <w:lang w:eastAsia="en-US"/>
              </w:rPr>
            </w:pPr>
            <w:r w:rsidRPr="00A73A15">
              <w:rPr>
                <w:rFonts w:eastAsia="Calibri"/>
                <w:szCs w:val="20"/>
                <w:lang w:eastAsia="en-US"/>
              </w:rPr>
              <w:t xml:space="preserve">$157,149 </w:t>
            </w:r>
          </w:p>
        </w:tc>
      </w:tr>
      <w:tr w:rsidR="007D5EE0" w:rsidRPr="003308A1" w14:paraId="6D9F0ECE" w14:textId="77777777" w:rsidTr="009A305E">
        <w:trPr>
          <w:cantSplit/>
        </w:trPr>
        <w:tc>
          <w:tcPr>
            <w:tcW w:w="1826" w:type="pct"/>
          </w:tcPr>
          <w:p w14:paraId="117205C2" w14:textId="77777777" w:rsidR="007D5EE0" w:rsidRPr="002A54B2" w:rsidRDefault="007D5EE0" w:rsidP="009A305E">
            <w:pPr>
              <w:pStyle w:val="Paragraph"/>
              <w:keepNext/>
              <w:keepLines/>
              <w:spacing w:after="0"/>
              <w:rPr>
                <w:rFonts w:eastAsia="Calibri"/>
                <w:bCs/>
                <w:szCs w:val="20"/>
                <w:lang w:eastAsia="en-US"/>
              </w:rPr>
            </w:pPr>
            <w:r w:rsidRPr="002A54B2">
              <w:rPr>
                <w:rFonts w:eastAsia="Calibri"/>
                <w:bCs/>
                <w:szCs w:val="20"/>
                <w:lang w:eastAsia="en-US"/>
              </w:rPr>
              <w:t>Small</w:t>
            </w:r>
          </w:p>
        </w:tc>
        <w:tc>
          <w:tcPr>
            <w:tcW w:w="1635" w:type="pct"/>
          </w:tcPr>
          <w:p w14:paraId="5E53AF61" w14:textId="77777777" w:rsidR="007D5EE0" w:rsidRPr="003308A1" w:rsidRDefault="007D5EE0" w:rsidP="009A305E">
            <w:pPr>
              <w:pStyle w:val="Paragraph"/>
              <w:keepNext/>
              <w:keepLines/>
              <w:spacing w:after="0"/>
              <w:rPr>
                <w:rFonts w:eastAsia="Calibri"/>
                <w:szCs w:val="20"/>
                <w:lang w:eastAsia="en-US"/>
              </w:rPr>
            </w:pPr>
            <w:r w:rsidRPr="00F161C5">
              <w:rPr>
                <w:rFonts w:eastAsia="Calibri"/>
                <w:szCs w:val="20"/>
                <w:lang w:eastAsia="en-US"/>
              </w:rPr>
              <w:t>$914,363</w:t>
            </w:r>
          </w:p>
        </w:tc>
        <w:tc>
          <w:tcPr>
            <w:tcW w:w="1539" w:type="pct"/>
          </w:tcPr>
          <w:p w14:paraId="4B7BF627" w14:textId="77777777" w:rsidR="007D5EE0" w:rsidRPr="003308A1" w:rsidRDefault="007D5EE0" w:rsidP="009A305E">
            <w:pPr>
              <w:pStyle w:val="Paragraph"/>
              <w:keepNext/>
              <w:keepLines/>
              <w:spacing w:after="0"/>
              <w:rPr>
                <w:rFonts w:eastAsia="Calibri"/>
                <w:szCs w:val="20"/>
                <w:lang w:eastAsia="en-US"/>
              </w:rPr>
            </w:pPr>
            <w:r w:rsidRPr="00A73A15">
              <w:rPr>
                <w:rFonts w:eastAsia="Calibri"/>
                <w:szCs w:val="20"/>
                <w:lang w:eastAsia="en-US"/>
              </w:rPr>
              <w:t xml:space="preserve">$334,575 </w:t>
            </w:r>
          </w:p>
        </w:tc>
      </w:tr>
      <w:tr w:rsidR="007D5EE0" w:rsidRPr="003308A1" w14:paraId="42608C5C" w14:textId="77777777" w:rsidTr="009A305E">
        <w:trPr>
          <w:cantSplit/>
        </w:trPr>
        <w:tc>
          <w:tcPr>
            <w:tcW w:w="1826" w:type="pct"/>
          </w:tcPr>
          <w:p w14:paraId="0A07F079" w14:textId="77777777" w:rsidR="007D5EE0" w:rsidRPr="002A54B2" w:rsidRDefault="007D5EE0" w:rsidP="009A305E">
            <w:pPr>
              <w:pStyle w:val="Paragraph"/>
              <w:keepNext/>
              <w:keepLines/>
              <w:spacing w:after="0"/>
              <w:rPr>
                <w:rFonts w:eastAsia="Calibri"/>
                <w:bCs/>
                <w:szCs w:val="20"/>
                <w:lang w:eastAsia="en-US"/>
              </w:rPr>
            </w:pPr>
            <w:r w:rsidRPr="002A54B2">
              <w:rPr>
                <w:rFonts w:eastAsia="Calibri"/>
                <w:bCs/>
                <w:szCs w:val="20"/>
                <w:lang w:eastAsia="en-US"/>
              </w:rPr>
              <w:t>Very small</w:t>
            </w:r>
          </w:p>
        </w:tc>
        <w:tc>
          <w:tcPr>
            <w:tcW w:w="1635" w:type="pct"/>
          </w:tcPr>
          <w:p w14:paraId="6DA0FA57" w14:textId="77777777" w:rsidR="007D5EE0" w:rsidRPr="003308A1" w:rsidRDefault="007D5EE0" w:rsidP="009A305E">
            <w:pPr>
              <w:pStyle w:val="Paragraph"/>
              <w:keepNext/>
              <w:keepLines/>
              <w:spacing w:after="0"/>
              <w:rPr>
                <w:rFonts w:eastAsia="Calibri"/>
                <w:szCs w:val="20"/>
                <w:lang w:eastAsia="en-US"/>
              </w:rPr>
            </w:pPr>
            <w:r w:rsidRPr="00F161C5">
              <w:rPr>
                <w:rFonts w:eastAsia="Calibri"/>
                <w:szCs w:val="20"/>
                <w:lang w:eastAsia="en-US"/>
              </w:rPr>
              <w:t>$866,576</w:t>
            </w:r>
          </w:p>
        </w:tc>
        <w:tc>
          <w:tcPr>
            <w:tcW w:w="1539" w:type="pct"/>
          </w:tcPr>
          <w:p w14:paraId="53B0D823" w14:textId="77777777" w:rsidR="007D5EE0" w:rsidRPr="003308A1" w:rsidRDefault="007D5EE0" w:rsidP="009A305E">
            <w:pPr>
              <w:pStyle w:val="Paragraph"/>
              <w:keepNext/>
              <w:keepLines/>
              <w:spacing w:after="0"/>
              <w:rPr>
                <w:rFonts w:eastAsia="Calibri"/>
                <w:szCs w:val="20"/>
                <w:lang w:eastAsia="en-US"/>
              </w:rPr>
            </w:pPr>
            <w:r w:rsidRPr="00A73A15">
              <w:rPr>
                <w:rFonts w:eastAsia="Calibri"/>
                <w:szCs w:val="20"/>
                <w:lang w:eastAsia="en-US"/>
              </w:rPr>
              <w:t xml:space="preserve">$477,301 </w:t>
            </w:r>
          </w:p>
        </w:tc>
      </w:tr>
      <w:tr w:rsidR="007D5EE0" w:rsidRPr="003308A1" w14:paraId="60E457F6" w14:textId="77777777" w:rsidTr="009A305E">
        <w:trPr>
          <w:cantSplit/>
        </w:trPr>
        <w:tc>
          <w:tcPr>
            <w:tcW w:w="1826" w:type="pct"/>
          </w:tcPr>
          <w:p w14:paraId="0CF57081" w14:textId="77777777" w:rsidR="007D5EE0" w:rsidRPr="003308A1" w:rsidRDefault="007D5EE0" w:rsidP="009A305E">
            <w:pPr>
              <w:pStyle w:val="Paragraph"/>
              <w:keepNext/>
              <w:keepLines/>
              <w:spacing w:after="0"/>
              <w:rPr>
                <w:rFonts w:eastAsia="Calibri"/>
                <w:b/>
                <w:szCs w:val="20"/>
                <w:lang w:eastAsia="en-US"/>
              </w:rPr>
            </w:pPr>
            <w:r w:rsidRPr="003308A1">
              <w:rPr>
                <w:rFonts w:eastAsia="Calibri"/>
                <w:b/>
                <w:szCs w:val="20"/>
                <w:lang w:eastAsia="en-US"/>
              </w:rPr>
              <w:t>Sub-total</w:t>
            </w:r>
          </w:p>
        </w:tc>
        <w:tc>
          <w:tcPr>
            <w:tcW w:w="1635" w:type="pct"/>
          </w:tcPr>
          <w:p w14:paraId="3EE9B87D" w14:textId="77777777" w:rsidR="007D5EE0" w:rsidRPr="003308A1" w:rsidRDefault="007D5EE0" w:rsidP="009A305E">
            <w:pPr>
              <w:pStyle w:val="Paragraph"/>
              <w:keepNext/>
              <w:keepLines/>
              <w:spacing w:after="0"/>
              <w:rPr>
                <w:rFonts w:eastAsia="Calibri"/>
                <w:szCs w:val="20"/>
                <w:lang w:eastAsia="en-US"/>
              </w:rPr>
            </w:pPr>
            <w:r w:rsidRPr="00F161C5">
              <w:rPr>
                <w:rFonts w:eastAsia="Calibri"/>
                <w:szCs w:val="20"/>
                <w:lang w:eastAsia="en-US"/>
              </w:rPr>
              <w:t xml:space="preserve">$2,973,948 </w:t>
            </w:r>
          </w:p>
        </w:tc>
        <w:tc>
          <w:tcPr>
            <w:tcW w:w="1539" w:type="pct"/>
          </w:tcPr>
          <w:p w14:paraId="27577305" w14:textId="77777777" w:rsidR="007D5EE0" w:rsidRPr="003308A1" w:rsidRDefault="007D5EE0" w:rsidP="009A305E">
            <w:pPr>
              <w:pStyle w:val="Paragraph"/>
              <w:keepNext/>
              <w:keepLines/>
              <w:spacing w:after="0"/>
              <w:rPr>
                <w:rFonts w:eastAsia="Calibri"/>
                <w:szCs w:val="20"/>
                <w:lang w:eastAsia="en-US"/>
              </w:rPr>
            </w:pPr>
            <w:r w:rsidRPr="00A73A15">
              <w:rPr>
                <w:rFonts w:eastAsia="Calibri"/>
                <w:szCs w:val="20"/>
                <w:lang w:eastAsia="en-US"/>
              </w:rPr>
              <w:t xml:space="preserve">$1,061,215 </w:t>
            </w:r>
          </w:p>
        </w:tc>
      </w:tr>
      <w:tr w:rsidR="007D5EE0" w:rsidRPr="003308A1" w14:paraId="45C9390D" w14:textId="77777777" w:rsidTr="009A305E">
        <w:trPr>
          <w:cantSplit/>
        </w:trPr>
        <w:tc>
          <w:tcPr>
            <w:tcW w:w="1826" w:type="pct"/>
          </w:tcPr>
          <w:p w14:paraId="330F6DB5" w14:textId="77777777" w:rsidR="007D5EE0" w:rsidRPr="002A54B2" w:rsidRDefault="007D5EE0" w:rsidP="009A305E">
            <w:pPr>
              <w:pStyle w:val="Paragraph"/>
              <w:keepNext/>
              <w:keepLines/>
              <w:spacing w:after="0"/>
              <w:rPr>
                <w:rFonts w:eastAsia="Calibri"/>
                <w:bCs/>
                <w:szCs w:val="20"/>
                <w:lang w:eastAsia="en-US"/>
              </w:rPr>
            </w:pPr>
            <w:r>
              <w:rPr>
                <w:rFonts w:eastAsia="Calibri"/>
                <w:bCs/>
                <w:szCs w:val="20"/>
                <w:lang w:eastAsia="en-US"/>
              </w:rPr>
              <w:t>Discounting sunk costs</w:t>
            </w:r>
          </w:p>
        </w:tc>
        <w:tc>
          <w:tcPr>
            <w:tcW w:w="1635" w:type="pct"/>
          </w:tcPr>
          <w:p w14:paraId="71F07D76" w14:textId="77777777" w:rsidR="007D5EE0" w:rsidRPr="003308A1" w:rsidRDefault="007D5EE0" w:rsidP="009A305E">
            <w:pPr>
              <w:pStyle w:val="Paragraph"/>
              <w:keepNext/>
              <w:keepLines/>
              <w:spacing w:after="0"/>
              <w:rPr>
                <w:rFonts w:eastAsia="Calibri"/>
                <w:szCs w:val="20"/>
                <w:lang w:eastAsia="en-US"/>
              </w:rPr>
            </w:pPr>
            <w:r>
              <w:rPr>
                <w:rFonts w:eastAsia="Calibri"/>
                <w:szCs w:val="20"/>
                <w:lang w:eastAsia="en-US"/>
              </w:rPr>
              <w:t>$2,081,764</w:t>
            </w:r>
          </w:p>
        </w:tc>
        <w:tc>
          <w:tcPr>
            <w:tcW w:w="1539" w:type="pct"/>
          </w:tcPr>
          <w:p w14:paraId="320A075D" w14:textId="77777777" w:rsidR="007D5EE0" w:rsidRPr="003308A1" w:rsidRDefault="007D5EE0" w:rsidP="009A305E">
            <w:pPr>
              <w:pStyle w:val="Paragraph"/>
              <w:keepNext/>
              <w:keepLines/>
              <w:spacing w:after="0"/>
              <w:rPr>
                <w:rFonts w:eastAsia="Calibri"/>
                <w:szCs w:val="20"/>
                <w:lang w:eastAsia="en-US"/>
              </w:rPr>
            </w:pPr>
          </w:p>
        </w:tc>
      </w:tr>
      <w:tr w:rsidR="007D5EE0" w:rsidRPr="003308A1" w14:paraId="77892D88" w14:textId="77777777" w:rsidTr="009A305E">
        <w:trPr>
          <w:cantSplit/>
        </w:trPr>
        <w:tc>
          <w:tcPr>
            <w:tcW w:w="1826" w:type="pct"/>
            <w:shd w:val="clear" w:color="auto" w:fill="F2F2F2" w:themeFill="background1" w:themeFillShade="F2"/>
          </w:tcPr>
          <w:p w14:paraId="539E7F63" w14:textId="77777777" w:rsidR="007D5EE0" w:rsidRPr="003308A1" w:rsidRDefault="007D5EE0" w:rsidP="009A305E">
            <w:pPr>
              <w:pStyle w:val="Paragraph"/>
              <w:keepNext/>
              <w:keepLines/>
              <w:spacing w:after="0"/>
              <w:rPr>
                <w:rFonts w:eastAsia="Calibri"/>
                <w:b/>
                <w:szCs w:val="20"/>
                <w:lang w:eastAsia="en-US"/>
              </w:rPr>
            </w:pPr>
            <w:r w:rsidRPr="003308A1">
              <w:rPr>
                <w:rFonts w:eastAsia="Calibri"/>
                <w:b/>
                <w:szCs w:val="20"/>
                <w:lang w:eastAsia="en-US"/>
              </w:rPr>
              <w:t>Total</w:t>
            </w:r>
          </w:p>
        </w:tc>
        <w:tc>
          <w:tcPr>
            <w:tcW w:w="1635" w:type="pct"/>
            <w:shd w:val="clear" w:color="auto" w:fill="F2F2F2" w:themeFill="background1" w:themeFillShade="F2"/>
          </w:tcPr>
          <w:p w14:paraId="0289E6BD" w14:textId="77777777" w:rsidR="007D5EE0" w:rsidRPr="007C0A2C" w:rsidRDefault="007D5EE0" w:rsidP="009A305E">
            <w:pPr>
              <w:pStyle w:val="Paragraph"/>
              <w:keepNext/>
              <w:keepLines/>
              <w:spacing w:after="0"/>
              <w:rPr>
                <w:rFonts w:eastAsia="Calibri"/>
                <w:b/>
                <w:bCs/>
                <w:szCs w:val="20"/>
                <w:lang w:eastAsia="en-US"/>
              </w:rPr>
            </w:pPr>
            <w:r w:rsidRPr="00E33BBA">
              <w:rPr>
                <w:rFonts w:eastAsia="Calibri"/>
                <w:b/>
                <w:bCs/>
                <w:szCs w:val="20"/>
                <w:lang w:eastAsia="en-US"/>
              </w:rPr>
              <w:t>$892,184</w:t>
            </w:r>
          </w:p>
        </w:tc>
        <w:tc>
          <w:tcPr>
            <w:tcW w:w="1539" w:type="pct"/>
            <w:shd w:val="clear" w:color="auto" w:fill="F2F2F2" w:themeFill="background1" w:themeFillShade="F2"/>
          </w:tcPr>
          <w:p w14:paraId="7F65981B" w14:textId="77777777" w:rsidR="007D5EE0" w:rsidRPr="001513A5" w:rsidRDefault="007D5EE0" w:rsidP="009A305E">
            <w:pPr>
              <w:pStyle w:val="Paragraph"/>
              <w:keepNext/>
              <w:keepLines/>
              <w:spacing w:after="0"/>
              <w:rPr>
                <w:rFonts w:eastAsia="Calibri"/>
                <w:b/>
                <w:bCs/>
                <w:szCs w:val="20"/>
                <w:lang w:eastAsia="en-US"/>
              </w:rPr>
            </w:pPr>
            <w:r w:rsidRPr="001513A5">
              <w:rPr>
                <w:rFonts w:eastAsia="Calibri"/>
                <w:b/>
                <w:bCs/>
                <w:szCs w:val="20"/>
                <w:lang w:eastAsia="en-US"/>
              </w:rPr>
              <w:t xml:space="preserve">$1,061,215 </w:t>
            </w:r>
          </w:p>
        </w:tc>
      </w:tr>
    </w:tbl>
    <w:p w14:paraId="64A4B68F" w14:textId="77777777" w:rsidR="007D5EE0" w:rsidRDefault="007D5EE0" w:rsidP="007D5EE0">
      <w:pPr>
        <w:pStyle w:val="Paragraph"/>
        <w:spacing w:after="120"/>
        <w:rPr>
          <w:rFonts w:eastAsia="Calibri"/>
          <w:szCs w:val="20"/>
          <w:lang w:eastAsia="en-US"/>
        </w:rPr>
      </w:pPr>
    </w:p>
    <w:p w14:paraId="1DFC8B68" w14:textId="77777777" w:rsidR="007D5EE0" w:rsidRDefault="007D5EE0" w:rsidP="007D5EE0">
      <w:pPr>
        <w:pStyle w:val="Paragraph"/>
        <w:rPr>
          <w:rFonts w:eastAsia="Calibri"/>
          <w:szCs w:val="20"/>
          <w:lang w:eastAsia="en-US"/>
        </w:rPr>
      </w:pPr>
      <w:r w:rsidRPr="000D1FC2">
        <w:rPr>
          <w:rFonts w:eastAsia="Calibri"/>
          <w:szCs w:val="20"/>
          <w:lang w:eastAsia="en-US"/>
        </w:rPr>
        <w:t xml:space="preserve">Given the work undertaken in </w:t>
      </w:r>
      <w:r>
        <w:rPr>
          <w:rFonts w:eastAsia="Calibri"/>
          <w:szCs w:val="20"/>
          <w:lang w:eastAsia="en-US"/>
        </w:rPr>
        <w:t>Y</w:t>
      </w:r>
      <w:r w:rsidRPr="000D1FC2">
        <w:rPr>
          <w:rFonts w:eastAsia="Calibri"/>
          <w:szCs w:val="20"/>
          <w:lang w:eastAsia="en-US"/>
        </w:rPr>
        <w:t xml:space="preserve">ear </w:t>
      </w:r>
      <w:r>
        <w:rPr>
          <w:rFonts w:eastAsia="Calibri"/>
          <w:szCs w:val="20"/>
          <w:lang w:eastAsia="en-US"/>
        </w:rPr>
        <w:t>1</w:t>
      </w:r>
      <w:r w:rsidRPr="000D1FC2">
        <w:rPr>
          <w:rFonts w:eastAsia="Calibri"/>
          <w:szCs w:val="20"/>
          <w:lang w:eastAsia="en-US"/>
        </w:rPr>
        <w:t xml:space="preserve">, it is assumed the processes will improve with staff being more experienced, and that the </w:t>
      </w:r>
      <w:r>
        <w:rPr>
          <w:rFonts w:eastAsia="Calibri"/>
          <w:szCs w:val="20"/>
          <w:lang w:eastAsia="en-US"/>
        </w:rPr>
        <w:t>volume of fraudulent authentication requiring</w:t>
      </w:r>
      <w:r w:rsidRPr="000D1FC2">
        <w:rPr>
          <w:rFonts w:eastAsia="Calibri"/>
          <w:szCs w:val="20"/>
          <w:lang w:eastAsia="en-US"/>
        </w:rPr>
        <w:t xml:space="preserve"> action decreases.</w:t>
      </w:r>
    </w:p>
    <w:p w14:paraId="7C7CC721" w14:textId="77777777" w:rsidR="007D5EE0" w:rsidRPr="00A2039B" w:rsidRDefault="007D5EE0" w:rsidP="007D5EE0">
      <w:pPr>
        <w:pStyle w:val="Paragraph"/>
      </w:pPr>
      <w:r w:rsidRPr="00A65E00">
        <w:rPr>
          <w:rFonts w:eastAsia="Calibri"/>
        </w:rPr>
        <w:t>Where costs accrue in complying with enforceable obligations, the costs are predominately</w:t>
      </w:r>
      <w:r>
        <w:rPr>
          <w:rFonts w:eastAsia="Calibri"/>
        </w:rPr>
        <w:t xml:space="preserve"> </w:t>
      </w:r>
      <w:r w:rsidRPr="00A65E00">
        <w:rPr>
          <w:rFonts w:eastAsia="Calibri"/>
        </w:rPr>
        <w:t>one-off system development costs such as the implementation of potential new systems or procedures, and training staff in those systems.</w:t>
      </w:r>
    </w:p>
    <w:p w14:paraId="59F03F96" w14:textId="77777777" w:rsidR="007D5EE0" w:rsidRDefault="007D5EE0" w:rsidP="007D5EE0">
      <w:pPr>
        <w:pStyle w:val="Paragraph"/>
      </w:pPr>
      <w:r w:rsidRPr="00F57AD7">
        <w:t>Scams are an international problem that challenge industry and regulators across the globe.</w:t>
      </w:r>
      <w:r w:rsidRPr="0056584F">
        <w:t xml:space="preserve"> Putting in place stronger authentication measures may potentially divert scammers to other markets or services (such as apps and social networking sites). </w:t>
      </w:r>
      <w:r>
        <w:t>T</w:t>
      </w:r>
      <w:r w:rsidRPr="0056584F">
        <w:t>hese other platforms are also the subject of government action. For example, the ACCC is conducting the Digital Platform Services Inquiry to consider whether there is a need for regulatory reform to address the competition and consumer concerns identified in digital platform services markets to date.</w:t>
      </w:r>
      <w:r w:rsidRPr="00F57AD7">
        <w:rPr>
          <w:rStyle w:val="FootnoteReference"/>
        </w:rPr>
        <w:t xml:space="preserve"> </w:t>
      </w:r>
      <w:r>
        <w:rPr>
          <w:rStyle w:val="FootnoteReference"/>
        </w:rPr>
        <w:footnoteReference w:id="83"/>
      </w:r>
      <w:r>
        <w:t xml:space="preserve"> In addition, the ACSC has carriage for actions to create a more secure online world for Australians, their businesses and essential services through </w:t>
      </w:r>
      <w:hyperlink r:id="rId52" w:history="1">
        <w:r w:rsidRPr="00F57AD7">
          <w:rPr>
            <w:rStyle w:val="Hyperlink"/>
          </w:rPr>
          <w:t>Australia’s Cyber Security Strategy 2020.</w:t>
        </w:r>
      </w:hyperlink>
    </w:p>
    <w:p w14:paraId="70C44E68" w14:textId="77777777" w:rsidR="007D5EE0" w:rsidRDefault="007D5EE0" w:rsidP="007D5EE0">
      <w:pPr>
        <w:pStyle w:val="Paragraph"/>
      </w:pPr>
      <w:r>
        <w:t xml:space="preserve">Addressing unauthorised high-risk customer transactions through enforceable obligations </w:t>
      </w:r>
      <w:r w:rsidRPr="009C1DED">
        <w:t xml:space="preserve">will make Australia a harder target </w:t>
      </w:r>
      <w:r>
        <w:t xml:space="preserve">for scammers </w:t>
      </w:r>
      <w:r w:rsidRPr="009C1DED">
        <w:t>overall and have specific benefits such as restoring confidence in the telecommunication</w:t>
      </w:r>
      <w:r>
        <w:t>s</w:t>
      </w:r>
      <w:r w:rsidRPr="009C1DED">
        <w:t xml:space="preserve"> networks that underpin the way Australians engage in the modern world. </w:t>
      </w:r>
      <w:r w:rsidRPr="00231EA6">
        <w:t>It mu</w:t>
      </w:r>
      <w:r w:rsidRPr="00DF4607">
        <w:t>st be a coordinated approach, or the weakest link will be targeted</w:t>
      </w:r>
      <w:r>
        <w:t>.</w:t>
      </w:r>
    </w:p>
    <w:p w14:paraId="3600E1B8" w14:textId="77777777" w:rsidR="007D5EE0" w:rsidRPr="001C7B5E" w:rsidRDefault="007D5EE0" w:rsidP="007D5EE0">
      <w:pPr>
        <w:pStyle w:val="Heading2"/>
        <w:spacing w:after="120"/>
      </w:pPr>
      <w:bookmarkStart w:id="113" w:name="_Toc32833705"/>
      <w:bookmarkStart w:id="114" w:name="_Toc32833751"/>
      <w:bookmarkStart w:id="115" w:name="_Toc32833824"/>
      <w:bookmarkStart w:id="116" w:name="_Toc33176388"/>
      <w:bookmarkStart w:id="117" w:name="_Toc55546923"/>
      <w:bookmarkStart w:id="118" w:name="_Toc98323761"/>
      <w:r w:rsidRPr="001C7B5E">
        <w:t>Regulatory burden measurement table</w:t>
      </w:r>
      <w:bookmarkEnd w:id="113"/>
      <w:bookmarkEnd w:id="114"/>
      <w:bookmarkEnd w:id="115"/>
      <w:bookmarkEnd w:id="116"/>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4A0" w:firstRow="1" w:lastRow="0" w:firstColumn="1" w:lastColumn="0" w:noHBand="0" w:noVBand="1"/>
      </w:tblPr>
      <w:tblGrid>
        <w:gridCol w:w="4220"/>
        <w:gridCol w:w="3441"/>
      </w:tblGrid>
      <w:tr w:rsidR="007D5EE0" w:rsidRPr="004479DB" w14:paraId="05F89F87" w14:textId="77777777" w:rsidTr="009A305E">
        <w:trPr>
          <w:trHeight w:val="225"/>
        </w:trPr>
        <w:tc>
          <w:tcPr>
            <w:tcW w:w="2754" w:type="pct"/>
            <w:shd w:val="clear" w:color="auto" w:fill="404040" w:themeFill="text1" w:themeFillTint="BF"/>
          </w:tcPr>
          <w:p w14:paraId="5AE02616" w14:textId="77777777" w:rsidR="007D5EE0" w:rsidRPr="004479DB" w:rsidRDefault="007D5EE0" w:rsidP="009A305E">
            <w:pPr>
              <w:keepNext/>
              <w:keepLines/>
              <w:spacing w:after="0"/>
              <w:rPr>
                <w:rFonts w:ascii="Arial" w:hAnsi="Arial" w:cs="Arial"/>
                <w:b/>
                <w:color w:val="FFFFFF" w:themeColor="background1"/>
                <w:sz w:val="20"/>
                <w:szCs w:val="20"/>
              </w:rPr>
            </w:pPr>
            <w:r w:rsidRPr="004479DB">
              <w:rPr>
                <w:rFonts w:ascii="Arial" w:hAnsi="Arial" w:cs="Arial"/>
                <w:b/>
                <w:color w:val="FFFFFF" w:themeColor="background1"/>
                <w:sz w:val="20"/>
                <w:szCs w:val="20"/>
              </w:rPr>
              <w:t>Option</w:t>
            </w:r>
          </w:p>
        </w:tc>
        <w:tc>
          <w:tcPr>
            <w:tcW w:w="2246" w:type="pct"/>
            <w:shd w:val="clear" w:color="auto" w:fill="404040" w:themeFill="text1" w:themeFillTint="BF"/>
          </w:tcPr>
          <w:p w14:paraId="6421F674" w14:textId="77777777" w:rsidR="007D5EE0" w:rsidRPr="004479DB" w:rsidRDefault="007D5EE0" w:rsidP="009A305E">
            <w:pPr>
              <w:keepNext/>
              <w:keepLines/>
              <w:spacing w:after="0"/>
              <w:rPr>
                <w:rFonts w:ascii="Arial" w:hAnsi="Arial" w:cs="Arial"/>
                <w:b/>
                <w:color w:val="FFFFFF" w:themeColor="background1"/>
                <w:sz w:val="20"/>
                <w:szCs w:val="20"/>
              </w:rPr>
            </w:pPr>
            <w:r w:rsidRPr="004479DB">
              <w:rPr>
                <w:rFonts w:ascii="Arial" w:hAnsi="Arial" w:cs="Arial"/>
                <w:b/>
                <w:color w:val="FFFFFF" w:themeColor="background1"/>
                <w:sz w:val="20"/>
                <w:szCs w:val="20"/>
              </w:rPr>
              <w:t>Regulatory cost (annual)</w:t>
            </w:r>
          </w:p>
        </w:tc>
      </w:tr>
      <w:tr w:rsidR="007D5EE0" w:rsidRPr="004479DB" w14:paraId="4E448482" w14:textId="77777777" w:rsidTr="009A305E">
        <w:trPr>
          <w:trHeight w:val="62"/>
        </w:trPr>
        <w:tc>
          <w:tcPr>
            <w:tcW w:w="2754" w:type="pct"/>
            <w:tcMar>
              <w:top w:w="80" w:type="dxa"/>
              <w:left w:w="80" w:type="dxa"/>
              <w:bottom w:w="80" w:type="dxa"/>
              <w:right w:w="80" w:type="dxa"/>
            </w:tcMar>
            <w:hideMark/>
          </w:tcPr>
          <w:p w14:paraId="2E0CBA49" w14:textId="77777777" w:rsidR="007D5EE0" w:rsidRPr="004479DB" w:rsidRDefault="007D5EE0" w:rsidP="009A305E">
            <w:pPr>
              <w:keepNext/>
              <w:keepLines/>
              <w:spacing w:after="0"/>
              <w:rPr>
                <w:rFonts w:ascii="Arial" w:hAnsi="Arial" w:cs="Arial"/>
                <w:sz w:val="20"/>
                <w:szCs w:val="20"/>
              </w:rPr>
            </w:pPr>
            <w:r w:rsidRPr="004479DB">
              <w:rPr>
                <w:rFonts w:ascii="Arial" w:hAnsi="Arial" w:cs="Arial"/>
                <w:sz w:val="20"/>
                <w:szCs w:val="20"/>
              </w:rPr>
              <w:t>Status quo</w:t>
            </w:r>
          </w:p>
        </w:tc>
        <w:tc>
          <w:tcPr>
            <w:tcW w:w="2246" w:type="pct"/>
            <w:tcMar>
              <w:top w:w="80" w:type="dxa"/>
              <w:left w:w="80" w:type="dxa"/>
              <w:bottom w:w="80" w:type="dxa"/>
              <w:right w:w="80" w:type="dxa"/>
            </w:tcMar>
            <w:hideMark/>
          </w:tcPr>
          <w:p w14:paraId="39535DDC" w14:textId="77777777" w:rsidR="007D5EE0" w:rsidRPr="004479DB" w:rsidRDefault="007D5EE0" w:rsidP="009A305E">
            <w:pPr>
              <w:keepNext/>
              <w:keepLines/>
              <w:spacing w:after="0"/>
              <w:rPr>
                <w:rFonts w:ascii="Arial" w:hAnsi="Arial" w:cs="Arial"/>
                <w:sz w:val="20"/>
                <w:szCs w:val="20"/>
              </w:rPr>
            </w:pPr>
            <w:r w:rsidRPr="004479DB">
              <w:rPr>
                <w:rFonts w:ascii="Arial" w:hAnsi="Arial" w:cs="Arial"/>
                <w:sz w:val="20"/>
                <w:szCs w:val="20"/>
              </w:rPr>
              <w:t>n/a</w:t>
            </w:r>
          </w:p>
        </w:tc>
      </w:tr>
      <w:tr w:rsidR="007D5EE0" w:rsidRPr="004479DB" w14:paraId="559C8D30" w14:textId="77777777" w:rsidTr="009A305E">
        <w:tc>
          <w:tcPr>
            <w:tcW w:w="2754" w:type="pct"/>
            <w:shd w:val="clear" w:color="auto" w:fill="auto"/>
            <w:tcMar>
              <w:top w:w="80" w:type="dxa"/>
              <w:left w:w="80" w:type="dxa"/>
              <w:bottom w:w="80" w:type="dxa"/>
              <w:right w:w="80" w:type="dxa"/>
            </w:tcMar>
            <w:hideMark/>
          </w:tcPr>
          <w:p w14:paraId="359C42EC" w14:textId="77777777" w:rsidR="007D5EE0" w:rsidRPr="004479DB" w:rsidRDefault="007D5EE0" w:rsidP="009A305E">
            <w:pPr>
              <w:keepNext/>
              <w:keepLines/>
              <w:spacing w:after="0"/>
              <w:rPr>
                <w:rFonts w:ascii="Arial" w:hAnsi="Arial" w:cs="Arial"/>
                <w:sz w:val="20"/>
                <w:szCs w:val="20"/>
              </w:rPr>
            </w:pPr>
            <w:r w:rsidRPr="004479DB">
              <w:rPr>
                <w:rFonts w:ascii="Arial" w:hAnsi="Arial" w:cs="Arial"/>
                <w:sz w:val="20"/>
                <w:szCs w:val="20"/>
              </w:rPr>
              <w:t>Consumer education campaign</w:t>
            </w:r>
          </w:p>
        </w:tc>
        <w:tc>
          <w:tcPr>
            <w:tcW w:w="2246" w:type="pct"/>
            <w:shd w:val="clear" w:color="auto" w:fill="auto"/>
            <w:tcMar>
              <w:top w:w="80" w:type="dxa"/>
              <w:left w:w="80" w:type="dxa"/>
              <w:bottom w:w="80" w:type="dxa"/>
              <w:right w:w="80" w:type="dxa"/>
            </w:tcMar>
            <w:hideMark/>
          </w:tcPr>
          <w:p w14:paraId="46C02D74" w14:textId="77777777" w:rsidR="007D5EE0" w:rsidRPr="004479DB" w:rsidRDefault="007D5EE0" w:rsidP="009A305E">
            <w:pPr>
              <w:keepNext/>
              <w:keepLines/>
              <w:spacing w:after="0"/>
              <w:rPr>
                <w:rFonts w:ascii="Arial" w:hAnsi="Arial" w:cs="Arial"/>
                <w:sz w:val="20"/>
                <w:szCs w:val="20"/>
              </w:rPr>
            </w:pPr>
            <w:r w:rsidRPr="004479DB">
              <w:rPr>
                <w:rFonts w:ascii="Arial" w:hAnsi="Arial" w:cs="Arial"/>
                <w:sz w:val="20"/>
                <w:szCs w:val="20"/>
              </w:rPr>
              <w:t>n/a</w:t>
            </w:r>
          </w:p>
        </w:tc>
      </w:tr>
      <w:tr w:rsidR="007D5EE0" w:rsidRPr="004479DB" w14:paraId="0E80A77E" w14:textId="77777777" w:rsidTr="009A305E">
        <w:tc>
          <w:tcPr>
            <w:tcW w:w="2754" w:type="pct"/>
            <w:shd w:val="clear" w:color="auto" w:fill="auto"/>
            <w:tcMar>
              <w:top w:w="80" w:type="dxa"/>
              <w:left w:w="80" w:type="dxa"/>
              <w:bottom w:w="80" w:type="dxa"/>
              <w:right w:w="80" w:type="dxa"/>
            </w:tcMar>
            <w:hideMark/>
          </w:tcPr>
          <w:p w14:paraId="71E1404D" w14:textId="77777777" w:rsidR="007D5EE0" w:rsidRPr="004479DB" w:rsidRDefault="007D5EE0" w:rsidP="009A305E">
            <w:pPr>
              <w:keepNext/>
              <w:keepLines/>
              <w:spacing w:after="0"/>
              <w:rPr>
                <w:rFonts w:ascii="Arial" w:hAnsi="Arial" w:cs="Arial"/>
                <w:sz w:val="20"/>
                <w:szCs w:val="20"/>
              </w:rPr>
            </w:pPr>
            <w:r w:rsidRPr="004479DB">
              <w:rPr>
                <w:rFonts w:ascii="Arial" w:hAnsi="Arial" w:cs="Arial"/>
                <w:sz w:val="20"/>
                <w:szCs w:val="20"/>
              </w:rPr>
              <w:t>Enforceable obligations</w:t>
            </w:r>
          </w:p>
        </w:tc>
        <w:tc>
          <w:tcPr>
            <w:tcW w:w="2246" w:type="pct"/>
            <w:shd w:val="clear" w:color="auto" w:fill="auto"/>
            <w:tcMar>
              <w:top w:w="80" w:type="dxa"/>
              <w:left w:w="80" w:type="dxa"/>
              <w:bottom w:w="80" w:type="dxa"/>
              <w:right w:w="80" w:type="dxa"/>
            </w:tcMar>
            <w:hideMark/>
          </w:tcPr>
          <w:p w14:paraId="696CD051" w14:textId="77777777" w:rsidR="007D5EE0" w:rsidRPr="004479DB" w:rsidRDefault="007D5EE0" w:rsidP="009A305E">
            <w:pPr>
              <w:keepNext/>
              <w:keepLines/>
              <w:spacing w:after="0"/>
              <w:rPr>
                <w:rFonts w:ascii="Arial" w:hAnsi="Arial" w:cs="Arial"/>
                <w:sz w:val="20"/>
                <w:szCs w:val="20"/>
              </w:rPr>
            </w:pPr>
            <w:r w:rsidRPr="004479DB">
              <w:rPr>
                <w:rFonts w:ascii="Arial" w:hAnsi="Arial" w:cs="Arial"/>
                <w:sz w:val="20"/>
                <w:szCs w:val="20"/>
              </w:rPr>
              <w:t>$765,391</w:t>
            </w:r>
          </w:p>
        </w:tc>
      </w:tr>
      <w:bookmarkEnd w:id="75"/>
    </w:tbl>
    <w:p w14:paraId="78A64E1C" w14:textId="77777777" w:rsidR="007D5EE0" w:rsidRDefault="007D5EE0" w:rsidP="007D5EE0">
      <w:pPr>
        <w:spacing w:line="259" w:lineRule="auto"/>
      </w:pPr>
    </w:p>
    <w:p w14:paraId="1F0F7100" w14:textId="77777777" w:rsidR="007D5EE0" w:rsidRPr="004A56B3" w:rsidRDefault="007D5EE0" w:rsidP="007D5EE0">
      <w:pPr>
        <w:spacing w:line="259" w:lineRule="auto"/>
        <w:rPr>
          <w:rFonts w:ascii="Arial" w:hAnsi="Arial" w:cs="Arial"/>
          <w:sz w:val="20"/>
          <w:szCs w:val="20"/>
        </w:rPr>
      </w:pPr>
      <w:r w:rsidRPr="004A56B3">
        <w:rPr>
          <w:rFonts w:ascii="Arial" w:hAnsi="Arial" w:cs="Arial"/>
          <w:sz w:val="20"/>
          <w:szCs w:val="20"/>
        </w:rPr>
        <w:t>We anticipate that the regulatory burden for all CSPs to comply with enforceable obligations is around $0.77 million annually for 10 years.</w:t>
      </w:r>
    </w:p>
    <w:p w14:paraId="2E6EC4F9" w14:textId="77777777" w:rsidR="007D5EE0" w:rsidRDefault="007D5EE0" w:rsidP="007D5EE0">
      <w:pPr>
        <w:pStyle w:val="Paragraphbeforelist"/>
      </w:pPr>
      <w:r>
        <w:t xml:space="preserve">This assumes </w:t>
      </w:r>
      <w:r w:rsidRPr="004C412F">
        <w:t>that</w:t>
      </w:r>
      <w:r>
        <w:t>:</w:t>
      </w:r>
    </w:p>
    <w:p w14:paraId="6A87523B" w14:textId="77777777" w:rsidR="007D5EE0" w:rsidRDefault="007D5EE0" w:rsidP="007D5EE0">
      <w:pPr>
        <w:pStyle w:val="ListBullet"/>
      </w:pPr>
      <w:r>
        <w:t>7</w:t>
      </w:r>
      <w:r w:rsidRPr="004C412F">
        <w:t xml:space="preserve">0% </w:t>
      </w:r>
      <w:r>
        <w:t xml:space="preserve">of costs for </w:t>
      </w:r>
      <w:r w:rsidRPr="004C412F">
        <w:t>systems automation would have accrued to comply with existing obligations</w:t>
      </w:r>
      <w:r>
        <w:t xml:space="preserve"> already introduced</w:t>
      </w:r>
    </w:p>
    <w:p w14:paraId="646A901A" w14:textId="77777777" w:rsidR="007D5EE0" w:rsidRDefault="007D5EE0" w:rsidP="007D5EE0">
      <w:pPr>
        <w:pStyle w:val="ListBullet"/>
      </w:pPr>
      <w:r w:rsidRPr="004C412F">
        <w:t>costs will be higher for</w:t>
      </w:r>
      <w:r>
        <w:t xml:space="preserve"> the 3</w:t>
      </w:r>
      <w:r w:rsidRPr="004C412F">
        <w:t xml:space="preserve"> </w:t>
      </w:r>
      <w:r>
        <w:t>CSPs that are also carriers</w:t>
      </w:r>
      <w:r w:rsidRPr="004C412F">
        <w:t xml:space="preserve"> (including carriers operating both fixed and mobile services)</w:t>
      </w:r>
    </w:p>
    <w:p w14:paraId="67271A26" w14:textId="77777777" w:rsidR="007D5EE0" w:rsidRDefault="007D5EE0" w:rsidP="007D5EE0">
      <w:pPr>
        <w:pStyle w:val="ListBullet"/>
      </w:pPr>
      <w:r>
        <w:t>IT and systems costs will be predominately one-off</w:t>
      </w:r>
    </w:p>
    <w:p w14:paraId="62230270" w14:textId="77777777" w:rsidR="007D5EE0" w:rsidRDefault="007D5EE0" w:rsidP="007D5EE0">
      <w:pPr>
        <w:pStyle w:val="ListBulletLast"/>
        <w:numPr>
          <w:ilvl w:val="0"/>
          <w:numId w:val="4"/>
        </w:numPr>
      </w:pPr>
      <w:r w:rsidRPr="005A6213">
        <w:t>costs will decrease as processes improve over time.</w:t>
      </w:r>
    </w:p>
    <w:p w14:paraId="74216C55" w14:textId="77777777" w:rsidR="007D5EE0" w:rsidRDefault="007D5EE0" w:rsidP="007D5EE0">
      <w:pPr>
        <w:pStyle w:val="Paragraph"/>
      </w:pPr>
      <w:r>
        <w:br w:type="page"/>
      </w:r>
    </w:p>
    <w:p w14:paraId="4145FD6D" w14:textId="77777777" w:rsidR="007D5EE0" w:rsidRDefault="007D5EE0" w:rsidP="007D5EE0">
      <w:pPr>
        <w:pStyle w:val="Heading2"/>
      </w:pPr>
      <w:bookmarkStart w:id="119" w:name="_Toc55546924"/>
      <w:bookmarkStart w:id="120" w:name="_Toc98323762"/>
      <w:bookmarkStart w:id="121" w:name="_Hlk54885974"/>
      <w:r>
        <w:t>Likely annual net benefit over 10 years</w:t>
      </w:r>
      <w:bookmarkEnd w:id="119"/>
      <w:bookmarkEnd w:id="120"/>
    </w:p>
    <w:bookmarkEnd w:id="121"/>
    <w:p w14:paraId="351824E0" w14:textId="77777777" w:rsidR="007D5EE0" w:rsidRPr="00046936" w:rsidRDefault="007D5EE0" w:rsidP="007D5EE0">
      <w:pPr>
        <w:rPr>
          <w:rFonts w:ascii="Arial" w:hAnsi="Arial" w:cs="Arial"/>
          <w:sz w:val="20"/>
          <w:szCs w:val="20"/>
        </w:rPr>
      </w:pPr>
      <w:r w:rsidRPr="00046936">
        <w:rPr>
          <w:rFonts w:ascii="Arial" w:hAnsi="Arial" w:cs="Arial"/>
          <w:sz w:val="20"/>
          <w:szCs w:val="20"/>
        </w:rPr>
        <w:t>Factoring in the regulatory burden measurement, we anticipate that the option that will provide the best net benefit for the Australian community is Option 3: enforceable obligations (see Appendix B).</w:t>
      </w:r>
    </w:p>
    <w:tbl>
      <w:tblPr>
        <w:tblStyle w:val="TableGrid"/>
        <w:tblW w:w="9036" w:type="dxa"/>
        <w:tblInd w:w="0" w:type="dxa"/>
        <w:tblCellMar>
          <w:top w:w="85" w:type="dxa"/>
          <w:left w:w="57" w:type="dxa"/>
          <w:bottom w:w="85" w:type="dxa"/>
          <w:right w:w="57" w:type="dxa"/>
        </w:tblCellMar>
        <w:tblLook w:val="04A0" w:firstRow="1" w:lastRow="0" w:firstColumn="1" w:lastColumn="0" w:noHBand="0" w:noVBand="1"/>
      </w:tblPr>
      <w:tblGrid>
        <w:gridCol w:w="964"/>
        <w:gridCol w:w="1871"/>
        <w:gridCol w:w="1605"/>
        <w:gridCol w:w="1530"/>
        <w:gridCol w:w="1507"/>
        <w:gridCol w:w="1559"/>
      </w:tblGrid>
      <w:tr w:rsidR="007D5EE0" w:rsidRPr="00480E72" w14:paraId="2352A10E" w14:textId="77777777" w:rsidTr="009A305E">
        <w:trPr>
          <w:trHeight w:val="315"/>
        </w:trPr>
        <w:tc>
          <w:tcPr>
            <w:tcW w:w="2835" w:type="dxa"/>
            <w:gridSpan w:val="2"/>
            <w:shd w:val="clear" w:color="auto" w:fill="404040" w:themeFill="text1" w:themeFillTint="BF"/>
            <w:noWrap/>
            <w:vAlign w:val="center"/>
            <w:hideMark/>
          </w:tcPr>
          <w:p w14:paraId="7A4B7CE3" w14:textId="77777777" w:rsidR="007D5EE0" w:rsidRPr="00480E72" w:rsidRDefault="007D5EE0" w:rsidP="009A305E">
            <w:pPr>
              <w:pStyle w:val="Paragraph"/>
              <w:spacing w:after="0"/>
              <w:jc w:val="center"/>
              <w:rPr>
                <w:color w:val="FFFFFF" w:themeColor="background1"/>
              </w:rPr>
            </w:pPr>
            <w:r w:rsidRPr="00480E72">
              <w:rPr>
                <w:b/>
                <w:bCs/>
                <w:color w:val="FFFFFF" w:themeColor="background1"/>
              </w:rPr>
              <w:t>Options summary</w:t>
            </w:r>
            <w:r w:rsidRPr="00480E72">
              <w:rPr>
                <w:b/>
                <w:bCs/>
                <w:color w:val="FFFFFF" w:themeColor="background1"/>
                <w:szCs w:val="20"/>
              </w:rPr>
              <w:t>*</w:t>
            </w:r>
          </w:p>
        </w:tc>
        <w:tc>
          <w:tcPr>
            <w:tcW w:w="1605" w:type="dxa"/>
            <w:shd w:val="clear" w:color="auto" w:fill="404040" w:themeFill="text1" w:themeFillTint="BF"/>
            <w:noWrap/>
            <w:vAlign w:val="center"/>
            <w:hideMark/>
          </w:tcPr>
          <w:p w14:paraId="3D0316A9" w14:textId="77777777" w:rsidR="007D5EE0" w:rsidRPr="00480E72" w:rsidRDefault="007D5EE0" w:rsidP="009A305E">
            <w:pPr>
              <w:pStyle w:val="Paragraph"/>
              <w:spacing w:after="0"/>
              <w:jc w:val="center"/>
              <w:rPr>
                <w:b/>
                <w:bCs/>
                <w:color w:val="FFFFFF" w:themeColor="background1"/>
              </w:rPr>
            </w:pPr>
            <w:r w:rsidRPr="00480E72">
              <w:rPr>
                <w:b/>
                <w:bCs/>
                <w:color w:val="FFFFFF" w:themeColor="background1"/>
              </w:rPr>
              <w:t>Option 1: Status quo</w:t>
            </w:r>
          </w:p>
        </w:tc>
        <w:tc>
          <w:tcPr>
            <w:tcW w:w="3037" w:type="dxa"/>
            <w:gridSpan w:val="2"/>
            <w:shd w:val="clear" w:color="auto" w:fill="404040" w:themeFill="text1" w:themeFillTint="BF"/>
            <w:noWrap/>
            <w:vAlign w:val="center"/>
            <w:hideMark/>
          </w:tcPr>
          <w:p w14:paraId="3A893786" w14:textId="77777777" w:rsidR="007D5EE0" w:rsidRPr="00480E72" w:rsidRDefault="007D5EE0" w:rsidP="009A305E">
            <w:pPr>
              <w:pStyle w:val="Paragraph"/>
              <w:spacing w:after="0"/>
              <w:jc w:val="center"/>
              <w:rPr>
                <w:b/>
                <w:bCs/>
                <w:color w:val="FFFFFF" w:themeColor="background1"/>
              </w:rPr>
            </w:pPr>
            <w:r w:rsidRPr="00480E72">
              <w:rPr>
                <w:b/>
                <w:bCs/>
                <w:color w:val="FFFFFF" w:themeColor="background1"/>
              </w:rPr>
              <w:t xml:space="preserve">Option 2: </w:t>
            </w:r>
            <w:r w:rsidRPr="00480E72">
              <w:rPr>
                <w:b/>
                <w:bCs/>
                <w:color w:val="FFFFFF" w:themeColor="background1"/>
              </w:rPr>
              <w:br/>
              <w:t>Education campaign</w:t>
            </w:r>
          </w:p>
        </w:tc>
        <w:tc>
          <w:tcPr>
            <w:tcW w:w="1559" w:type="dxa"/>
            <w:shd w:val="clear" w:color="auto" w:fill="404040" w:themeFill="text1" w:themeFillTint="BF"/>
            <w:noWrap/>
            <w:vAlign w:val="center"/>
            <w:hideMark/>
          </w:tcPr>
          <w:p w14:paraId="3D23D943" w14:textId="77777777" w:rsidR="007D5EE0" w:rsidRPr="00480E72" w:rsidRDefault="007D5EE0" w:rsidP="009A305E">
            <w:pPr>
              <w:pStyle w:val="Paragraph"/>
              <w:spacing w:after="0"/>
              <w:jc w:val="center"/>
              <w:rPr>
                <w:b/>
                <w:bCs/>
                <w:color w:val="FFFFFF" w:themeColor="background1"/>
              </w:rPr>
            </w:pPr>
            <w:r w:rsidRPr="00480E72">
              <w:rPr>
                <w:b/>
                <w:bCs/>
                <w:color w:val="FFFFFF" w:themeColor="background1"/>
              </w:rPr>
              <w:t>Option 3:</w:t>
            </w:r>
            <w:r w:rsidRPr="00480E72">
              <w:rPr>
                <w:b/>
                <w:bCs/>
                <w:color w:val="FFFFFF" w:themeColor="background1"/>
              </w:rPr>
              <w:br/>
              <w:t>Enforceable obligations</w:t>
            </w:r>
          </w:p>
        </w:tc>
      </w:tr>
      <w:tr w:rsidR="007D5EE0" w:rsidRPr="00480E72" w14:paraId="3EB59FEF" w14:textId="77777777" w:rsidTr="009A305E">
        <w:trPr>
          <w:trHeight w:val="300"/>
        </w:trPr>
        <w:tc>
          <w:tcPr>
            <w:tcW w:w="2835" w:type="dxa"/>
            <w:gridSpan w:val="2"/>
            <w:noWrap/>
            <w:vAlign w:val="center"/>
            <w:hideMark/>
          </w:tcPr>
          <w:p w14:paraId="33F95507" w14:textId="77777777" w:rsidR="007D5EE0" w:rsidRPr="00480E72" w:rsidRDefault="007D5EE0" w:rsidP="009A305E">
            <w:pPr>
              <w:pStyle w:val="Paragraph"/>
              <w:spacing w:after="0"/>
            </w:pPr>
          </w:p>
        </w:tc>
        <w:tc>
          <w:tcPr>
            <w:tcW w:w="1605" w:type="dxa"/>
            <w:noWrap/>
            <w:vAlign w:val="center"/>
            <w:hideMark/>
          </w:tcPr>
          <w:p w14:paraId="7F3FB732" w14:textId="77777777" w:rsidR="007D5EE0" w:rsidRPr="00480E72" w:rsidRDefault="007D5EE0" w:rsidP="009A305E">
            <w:pPr>
              <w:pStyle w:val="Paragraph"/>
              <w:spacing w:after="0"/>
              <w:jc w:val="right"/>
            </w:pPr>
          </w:p>
        </w:tc>
        <w:tc>
          <w:tcPr>
            <w:tcW w:w="1530" w:type="dxa"/>
            <w:noWrap/>
            <w:vAlign w:val="center"/>
            <w:hideMark/>
          </w:tcPr>
          <w:p w14:paraId="4A63E835" w14:textId="77777777" w:rsidR="007D5EE0" w:rsidRPr="00480E72" w:rsidRDefault="007D5EE0" w:rsidP="009A305E">
            <w:pPr>
              <w:pStyle w:val="Paragraph"/>
              <w:spacing w:after="0"/>
              <w:jc w:val="right"/>
            </w:pPr>
            <w:r w:rsidRPr="00480E72">
              <w:t>Low</w:t>
            </w:r>
          </w:p>
        </w:tc>
        <w:tc>
          <w:tcPr>
            <w:tcW w:w="1507" w:type="dxa"/>
            <w:noWrap/>
            <w:vAlign w:val="center"/>
            <w:hideMark/>
          </w:tcPr>
          <w:p w14:paraId="75D01A95" w14:textId="77777777" w:rsidR="007D5EE0" w:rsidRPr="00480E72" w:rsidRDefault="007D5EE0" w:rsidP="009A305E">
            <w:pPr>
              <w:pStyle w:val="Paragraph"/>
              <w:spacing w:after="0"/>
              <w:jc w:val="right"/>
            </w:pPr>
            <w:r w:rsidRPr="00480E72">
              <w:t>High</w:t>
            </w:r>
          </w:p>
        </w:tc>
        <w:tc>
          <w:tcPr>
            <w:tcW w:w="1559" w:type="dxa"/>
            <w:noWrap/>
            <w:vAlign w:val="center"/>
          </w:tcPr>
          <w:p w14:paraId="4B98C475" w14:textId="77777777" w:rsidR="007D5EE0" w:rsidRPr="00480E72" w:rsidRDefault="007D5EE0" w:rsidP="009A305E">
            <w:pPr>
              <w:pStyle w:val="Paragraph"/>
              <w:spacing w:after="0"/>
              <w:jc w:val="right"/>
            </w:pPr>
            <w:r w:rsidRPr="00480E72">
              <w:t>High</w:t>
            </w:r>
          </w:p>
        </w:tc>
      </w:tr>
      <w:tr w:rsidR="007D5EE0" w:rsidRPr="00480E72" w14:paraId="1BCE4A9D" w14:textId="77777777" w:rsidTr="009A305E">
        <w:trPr>
          <w:trHeight w:val="300"/>
        </w:trPr>
        <w:tc>
          <w:tcPr>
            <w:tcW w:w="2835" w:type="dxa"/>
            <w:gridSpan w:val="2"/>
            <w:noWrap/>
            <w:vAlign w:val="center"/>
            <w:hideMark/>
          </w:tcPr>
          <w:p w14:paraId="58C56F16" w14:textId="77777777" w:rsidR="007D5EE0" w:rsidRPr="00480E72" w:rsidRDefault="007D5EE0" w:rsidP="009A305E">
            <w:pPr>
              <w:pStyle w:val="Paragraph"/>
              <w:spacing w:after="0"/>
            </w:pPr>
            <w:r w:rsidRPr="00480E72">
              <w:t xml:space="preserve">Effectiveness of intervention </w:t>
            </w:r>
            <w:r>
              <w:t>–</w:t>
            </w:r>
            <w:r w:rsidRPr="00480E72">
              <w:t xml:space="preserve"> % reduction in scam calls</w:t>
            </w:r>
          </w:p>
        </w:tc>
        <w:tc>
          <w:tcPr>
            <w:tcW w:w="1605" w:type="dxa"/>
            <w:noWrap/>
            <w:vAlign w:val="center"/>
            <w:hideMark/>
          </w:tcPr>
          <w:p w14:paraId="294381F9" w14:textId="77777777" w:rsidR="007D5EE0" w:rsidRPr="00480E72" w:rsidRDefault="007D5EE0" w:rsidP="009A305E">
            <w:pPr>
              <w:pStyle w:val="Paragraph"/>
              <w:spacing w:after="0"/>
              <w:jc w:val="right"/>
            </w:pPr>
            <w:r w:rsidRPr="00480E72">
              <w:t>0</w:t>
            </w:r>
          </w:p>
        </w:tc>
        <w:tc>
          <w:tcPr>
            <w:tcW w:w="1530" w:type="dxa"/>
            <w:noWrap/>
            <w:vAlign w:val="center"/>
            <w:hideMark/>
          </w:tcPr>
          <w:p w14:paraId="1DDE0547" w14:textId="77777777" w:rsidR="007D5EE0" w:rsidRPr="00480E72" w:rsidRDefault="007D5EE0" w:rsidP="009A305E">
            <w:pPr>
              <w:pStyle w:val="Paragraph"/>
              <w:spacing w:after="0"/>
              <w:jc w:val="right"/>
            </w:pPr>
            <w:r w:rsidRPr="00480E72">
              <w:t>0.1</w:t>
            </w:r>
          </w:p>
        </w:tc>
        <w:tc>
          <w:tcPr>
            <w:tcW w:w="1507" w:type="dxa"/>
            <w:noWrap/>
            <w:vAlign w:val="center"/>
            <w:hideMark/>
          </w:tcPr>
          <w:p w14:paraId="697D23C5" w14:textId="77777777" w:rsidR="007D5EE0" w:rsidRPr="00480E72" w:rsidRDefault="007D5EE0" w:rsidP="009A305E">
            <w:pPr>
              <w:pStyle w:val="Paragraph"/>
              <w:spacing w:after="0"/>
              <w:jc w:val="right"/>
            </w:pPr>
            <w:r w:rsidRPr="00480E72">
              <w:t>0.2</w:t>
            </w:r>
          </w:p>
        </w:tc>
        <w:tc>
          <w:tcPr>
            <w:tcW w:w="1559" w:type="dxa"/>
            <w:noWrap/>
            <w:vAlign w:val="center"/>
          </w:tcPr>
          <w:p w14:paraId="00D23881" w14:textId="77777777" w:rsidR="007D5EE0" w:rsidRPr="00480E72" w:rsidRDefault="007D5EE0" w:rsidP="009A305E">
            <w:pPr>
              <w:pStyle w:val="Paragraph"/>
              <w:spacing w:after="0"/>
              <w:jc w:val="right"/>
            </w:pPr>
            <w:r w:rsidRPr="00480E72">
              <w:t>0.7</w:t>
            </w:r>
          </w:p>
        </w:tc>
      </w:tr>
      <w:tr w:rsidR="007D5EE0" w:rsidRPr="00480E72" w14:paraId="50F893AA" w14:textId="77777777" w:rsidTr="009A305E">
        <w:trPr>
          <w:trHeight w:val="489"/>
        </w:trPr>
        <w:tc>
          <w:tcPr>
            <w:tcW w:w="964" w:type="dxa"/>
            <w:noWrap/>
            <w:vAlign w:val="center"/>
            <w:hideMark/>
          </w:tcPr>
          <w:p w14:paraId="541120C8" w14:textId="77777777" w:rsidR="007D5EE0" w:rsidRPr="00480E72" w:rsidRDefault="007D5EE0" w:rsidP="009A305E">
            <w:pPr>
              <w:pStyle w:val="Paragraph"/>
              <w:spacing w:after="0"/>
            </w:pPr>
            <w:r w:rsidRPr="00480E72">
              <w:t>Cost</w:t>
            </w:r>
          </w:p>
        </w:tc>
        <w:tc>
          <w:tcPr>
            <w:tcW w:w="1871" w:type="dxa"/>
            <w:noWrap/>
            <w:vAlign w:val="center"/>
            <w:hideMark/>
          </w:tcPr>
          <w:p w14:paraId="30238365" w14:textId="77777777" w:rsidR="007D5EE0" w:rsidRPr="00480E72" w:rsidRDefault="007D5EE0" w:rsidP="009A305E">
            <w:pPr>
              <w:pStyle w:val="Paragraph"/>
              <w:spacing w:after="0"/>
            </w:pPr>
            <w:r w:rsidRPr="00480E72">
              <w:t>Costs (direct)</w:t>
            </w:r>
          </w:p>
        </w:tc>
        <w:tc>
          <w:tcPr>
            <w:tcW w:w="1605" w:type="dxa"/>
            <w:noWrap/>
            <w:vAlign w:val="center"/>
            <w:hideMark/>
          </w:tcPr>
          <w:p w14:paraId="5D7476AE" w14:textId="77777777" w:rsidR="007D5EE0" w:rsidRPr="00480E72" w:rsidRDefault="007D5EE0" w:rsidP="009A305E">
            <w:pPr>
              <w:pStyle w:val="Paragraph"/>
              <w:spacing w:after="0"/>
              <w:jc w:val="right"/>
            </w:pPr>
            <w:r w:rsidRPr="00480E72">
              <w:t xml:space="preserve"> $13,470,470 </w:t>
            </w:r>
          </w:p>
        </w:tc>
        <w:tc>
          <w:tcPr>
            <w:tcW w:w="1530" w:type="dxa"/>
            <w:noWrap/>
            <w:vAlign w:val="center"/>
            <w:hideMark/>
          </w:tcPr>
          <w:p w14:paraId="57F9EBDE" w14:textId="77777777" w:rsidR="007D5EE0" w:rsidRPr="00480E72" w:rsidRDefault="007D5EE0" w:rsidP="009A305E">
            <w:pPr>
              <w:pStyle w:val="Paragraph"/>
              <w:spacing w:after="0"/>
              <w:jc w:val="right"/>
            </w:pPr>
            <w:r w:rsidRPr="00480E72">
              <w:t xml:space="preserve"> $13,470,470 </w:t>
            </w:r>
          </w:p>
        </w:tc>
        <w:tc>
          <w:tcPr>
            <w:tcW w:w="1507" w:type="dxa"/>
            <w:noWrap/>
            <w:vAlign w:val="center"/>
            <w:hideMark/>
          </w:tcPr>
          <w:p w14:paraId="29DA8AC0" w14:textId="77777777" w:rsidR="007D5EE0" w:rsidRPr="00480E72" w:rsidRDefault="007D5EE0" w:rsidP="009A305E">
            <w:pPr>
              <w:pStyle w:val="Paragraph"/>
              <w:spacing w:after="0"/>
              <w:jc w:val="right"/>
            </w:pPr>
            <w:r w:rsidRPr="00480E72">
              <w:t xml:space="preserve"> $13,470,470 </w:t>
            </w:r>
          </w:p>
        </w:tc>
        <w:tc>
          <w:tcPr>
            <w:tcW w:w="1559" w:type="dxa"/>
            <w:noWrap/>
            <w:vAlign w:val="center"/>
          </w:tcPr>
          <w:p w14:paraId="4009BF31" w14:textId="77777777" w:rsidR="007D5EE0" w:rsidRPr="00480E72" w:rsidRDefault="007D5EE0" w:rsidP="009A305E">
            <w:pPr>
              <w:pStyle w:val="Paragraph"/>
              <w:spacing w:after="0"/>
              <w:jc w:val="right"/>
            </w:pPr>
            <w:r w:rsidRPr="00480E72">
              <w:t xml:space="preserve"> $13,470,470 </w:t>
            </w:r>
          </w:p>
        </w:tc>
      </w:tr>
      <w:tr w:rsidR="007D5EE0" w:rsidRPr="00480E72" w14:paraId="7DB3830F" w14:textId="77777777" w:rsidTr="009A305E">
        <w:trPr>
          <w:trHeight w:val="300"/>
        </w:trPr>
        <w:tc>
          <w:tcPr>
            <w:tcW w:w="964" w:type="dxa"/>
            <w:noWrap/>
            <w:vAlign w:val="center"/>
            <w:hideMark/>
          </w:tcPr>
          <w:p w14:paraId="6B45CAEE" w14:textId="77777777" w:rsidR="007D5EE0" w:rsidRPr="00480E72" w:rsidRDefault="007D5EE0" w:rsidP="009A305E">
            <w:pPr>
              <w:pStyle w:val="Paragraph"/>
              <w:spacing w:after="0"/>
            </w:pPr>
            <w:r w:rsidRPr="00480E72">
              <w:t>Cost</w:t>
            </w:r>
          </w:p>
        </w:tc>
        <w:tc>
          <w:tcPr>
            <w:tcW w:w="1871" w:type="dxa"/>
            <w:noWrap/>
            <w:vAlign w:val="center"/>
            <w:hideMark/>
          </w:tcPr>
          <w:p w14:paraId="6F86F50F" w14:textId="77777777" w:rsidR="007D5EE0" w:rsidRPr="00480E72" w:rsidRDefault="007D5EE0" w:rsidP="009A305E">
            <w:pPr>
              <w:pStyle w:val="Paragraph"/>
              <w:spacing w:after="0"/>
            </w:pPr>
            <w:r w:rsidRPr="00480E72">
              <w:t>Costs (time)</w:t>
            </w:r>
          </w:p>
        </w:tc>
        <w:tc>
          <w:tcPr>
            <w:tcW w:w="1605" w:type="dxa"/>
            <w:noWrap/>
            <w:vAlign w:val="center"/>
            <w:hideMark/>
          </w:tcPr>
          <w:p w14:paraId="2774302B" w14:textId="77777777" w:rsidR="007D5EE0" w:rsidRPr="00480E72" w:rsidRDefault="007D5EE0" w:rsidP="009A305E">
            <w:pPr>
              <w:pStyle w:val="Paragraph"/>
              <w:spacing w:after="0"/>
              <w:jc w:val="right"/>
            </w:pPr>
            <w:r w:rsidRPr="00480E72">
              <w:t xml:space="preserve"> $1,549,920 </w:t>
            </w:r>
          </w:p>
        </w:tc>
        <w:tc>
          <w:tcPr>
            <w:tcW w:w="1530" w:type="dxa"/>
            <w:tcBorders>
              <w:bottom w:val="single" w:sz="4" w:space="0" w:color="000000" w:themeColor="text1"/>
            </w:tcBorders>
            <w:noWrap/>
            <w:vAlign w:val="center"/>
            <w:hideMark/>
          </w:tcPr>
          <w:p w14:paraId="2F68B4DE" w14:textId="77777777" w:rsidR="007D5EE0" w:rsidRPr="00480E72" w:rsidRDefault="007D5EE0" w:rsidP="009A305E">
            <w:pPr>
              <w:pStyle w:val="Paragraph"/>
              <w:spacing w:after="0"/>
              <w:jc w:val="right"/>
            </w:pPr>
            <w:r w:rsidRPr="00480E72">
              <w:t xml:space="preserve"> $1,549,920 </w:t>
            </w:r>
          </w:p>
        </w:tc>
        <w:tc>
          <w:tcPr>
            <w:tcW w:w="1507" w:type="dxa"/>
            <w:tcBorders>
              <w:bottom w:val="single" w:sz="4" w:space="0" w:color="000000" w:themeColor="text1"/>
            </w:tcBorders>
            <w:noWrap/>
            <w:vAlign w:val="center"/>
            <w:hideMark/>
          </w:tcPr>
          <w:p w14:paraId="5EEF7AEB" w14:textId="77777777" w:rsidR="007D5EE0" w:rsidRPr="00480E72" w:rsidRDefault="007D5EE0" w:rsidP="009A305E">
            <w:pPr>
              <w:pStyle w:val="Paragraph"/>
              <w:spacing w:after="0"/>
              <w:jc w:val="right"/>
            </w:pPr>
            <w:r w:rsidRPr="00480E72">
              <w:t xml:space="preserve"> $1,549,920 </w:t>
            </w:r>
          </w:p>
        </w:tc>
        <w:tc>
          <w:tcPr>
            <w:tcW w:w="1559" w:type="dxa"/>
            <w:noWrap/>
            <w:vAlign w:val="center"/>
          </w:tcPr>
          <w:p w14:paraId="244B7425" w14:textId="77777777" w:rsidR="007D5EE0" w:rsidRPr="00480E72" w:rsidRDefault="007D5EE0" w:rsidP="009A305E">
            <w:pPr>
              <w:pStyle w:val="Paragraph"/>
              <w:spacing w:after="0"/>
              <w:jc w:val="right"/>
            </w:pPr>
            <w:r w:rsidRPr="00480E72">
              <w:t xml:space="preserve"> $1,549,920 </w:t>
            </w:r>
          </w:p>
        </w:tc>
      </w:tr>
      <w:tr w:rsidR="007D5EE0" w:rsidRPr="00480E72" w14:paraId="32CB52E6" w14:textId="77777777" w:rsidTr="009A305E">
        <w:trPr>
          <w:trHeight w:val="300"/>
        </w:trPr>
        <w:tc>
          <w:tcPr>
            <w:tcW w:w="964" w:type="dxa"/>
            <w:noWrap/>
            <w:vAlign w:val="center"/>
          </w:tcPr>
          <w:p w14:paraId="6AB7CB8F" w14:textId="77777777" w:rsidR="007D5EE0" w:rsidRPr="00480E72" w:rsidRDefault="007D5EE0" w:rsidP="009A305E">
            <w:pPr>
              <w:pStyle w:val="Paragraph"/>
              <w:spacing w:after="0"/>
            </w:pPr>
          </w:p>
        </w:tc>
        <w:tc>
          <w:tcPr>
            <w:tcW w:w="1871" w:type="dxa"/>
            <w:noWrap/>
            <w:vAlign w:val="center"/>
          </w:tcPr>
          <w:p w14:paraId="2809298F" w14:textId="77777777" w:rsidR="007D5EE0" w:rsidRPr="00480E72" w:rsidRDefault="007D5EE0" w:rsidP="009A305E">
            <w:pPr>
              <w:pStyle w:val="Paragraph"/>
              <w:spacing w:after="0"/>
            </w:pPr>
          </w:p>
        </w:tc>
        <w:tc>
          <w:tcPr>
            <w:tcW w:w="1605" w:type="dxa"/>
            <w:tcBorders>
              <w:right w:val="single" w:sz="4" w:space="0" w:color="000000" w:themeColor="text1"/>
            </w:tcBorders>
            <w:noWrap/>
            <w:vAlign w:val="center"/>
          </w:tcPr>
          <w:p w14:paraId="028C090D" w14:textId="77777777" w:rsidR="007D5EE0" w:rsidRPr="00480E72" w:rsidRDefault="007D5EE0" w:rsidP="009A305E">
            <w:pPr>
              <w:pStyle w:val="Paragraph"/>
              <w:spacing w:after="0"/>
              <w:jc w:val="right"/>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5143F0BE" w14:textId="77777777" w:rsidR="007D5EE0" w:rsidRPr="00480E72" w:rsidRDefault="007D5EE0" w:rsidP="009A305E">
            <w:pPr>
              <w:pStyle w:val="Paragraph"/>
              <w:spacing w:after="0"/>
              <w:jc w:val="right"/>
            </w:pP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36778BA2" w14:textId="77777777" w:rsidR="007D5EE0" w:rsidRPr="00480E72" w:rsidRDefault="007D5EE0" w:rsidP="009A305E">
            <w:pPr>
              <w:pStyle w:val="Paragraph"/>
              <w:spacing w:after="0"/>
              <w:jc w:val="right"/>
            </w:pPr>
          </w:p>
        </w:tc>
        <w:tc>
          <w:tcPr>
            <w:tcW w:w="1559" w:type="dxa"/>
            <w:tcBorders>
              <w:left w:val="single" w:sz="4" w:space="0" w:color="000000" w:themeColor="text1"/>
            </w:tcBorders>
            <w:noWrap/>
            <w:vAlign w:val="center"/>
          </w:tcPr>
          <w:p w14:paraId="233491D5" w14:textId="77777777" w:rsidR="007D5EE0" w:rsidRPr="00480E72" w:rsidRDefault="007D5EE0" w:rsidP="009A305E">
            <w:pPr>
              <w:pStyle w:val="Paragraph"/>
              <w:spacing w:after="0"/>
              <w:jc w:val="right"/>
            </w:pPr>
          </w:p>
        </w:tc>
      </w:tr>
      <w:tr w:rsidR="007D5EE0" w:rsidRPr="00480E72" w14:paraId="51477A37" w14:textId="77777777" w:rsidTr="009A305E">
        <w:trPr>
          <w:trHeight w:val="300"/>
        </w:trPr>
        <w:tc>
          <w:tcPr>
            <w:tcW w:w="964" w:type="dxa"/>
            <w:noWrap/>
            <w:vAlign w:val="center"/>
            <w:hideMark/>
          </w:tcPr>
          <w:p w14:paraId="3D381613" w14:textId="77777777" w:rsidR="007D5EE0" w:rsidRPr="00480E72" w:rsidRDefault="007D5EE0" w:rsidP="009A305E">
            <w:pPr>
              <w:pStyle w:val="Paragraph"/>
              <w:spacing w:after="0"/>
            </w:pPr>
            <w:r w:rsidRPr="00480E72">
              <w:t>Cost</w:t>
            </w:r>
          </w:p>
        </w:tc>
        <w:tc>
          <w:tcPr>
            <w:tcW w:w="1871" w:type="dxa"/>
            <w:noWrap/>
            <w:vAlign w:val="center"/>
            <w:hideMark/>
          </w:tcPr>
          <w:p w14:paraId="2BB3AC8C" w14:textId="77777777" w:rsidR="007D5EE0" w:rsidRPr="00480E72" w:rsidRDefault="007D5EE0" w:rsidP="009A305E">
            <w:pPr>
              <w:pStyle w:val="Paragraph"/>
              <w:spacing w:after="0"/>
            </w:pPr>
            <w:r w:rsidRPr="00480E72">
              <w:t>Education campaign cost</w:t>
            </w:r>
          </w:p>
        </w:tc>
        <w:tc>
          <w:tcPr>
            <w:tcW w:w="1605" w:type="dxa"/>
            <w:tcBorders>
              <w:right w:val="single" w:sz="4" w:space="0" w:color="000000" w:themeColor="text1"/>
            </w:tcBorders>
            <w:noWrap/>
            <w:vAlign w:val="center"/>
            <w:hideMark/>
          </w:tcPr>
          <w:p w14:paraId="26EF41F0" w14:textId="77777777" w:rsidR="007D5EE0" w:rsidRPr="00480E72" w:rsidRDefault="007D5EE0" w:rsidP="009A305E">
            <w:pPr>
              <w:pStyle w:val="Paragraph"/>
              <w:spacing w:after="0"/>
              <w:jc w:val="right"/>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3C16E2D" w14:textId="77777777" w:rsidR="007D5EE0" w:rsidRPr="00480E72" w:rsidRDefault="007D5EE0" w:rsidP="009A305E">
            <w:pPr>
              <w:pStyle w:val="Paragraph"/>
              <w:spacing w:after="0"/>
              <w:jc w:val="right"/>
            </w:pPr>
            <w:r w:rsidRPr="00480E72">
              <w:t xml:space="preserve">$22,528            </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EAC93F4" w14:textId="77777777" w:rsidR="007D5EE0" w:rsidRPr="00480E72" w:rsidRDefault="007D5EE0" w:rsidP="009A305E">
            <w:pPr>
              <w:pStyle w:val="Paragraph"/>
              <w:spacing w:after="0"/>
              <w:jc w:val="right"/>
            </w:pPr>
            <w:r w:rsidRPr="00480E72">
              <w:t xml:space="preserve">$22,528 </w:t>
            </w:r>
          </w:p>
        </w:tc>
        <w:tc>
          <w:tcPr>
            <w:tcW w:w="1559" w:type="dxa"/>
            <w:tcBorders>
              <w:left w:val="single" w:sz="4" w:space="0" w:color="000000" w:themeColor="text1"/>
            </w:tcBorders>
            <w:noWrap/>
            <w:vAlign w:val="center"/>
          </w:tcPr>
          <w:p w14:paraId="6DB4EF26" w14:textId="77777777" w:rsidR="007D5EE0" w:rsidRPr="00480E72" w:rsidRDefault="007D5EE0" w:rsidP="009A305E">
            <w:pPr>
              <w:pStyle w:val="Paragraph"/>
              <w:spacing w:after="0"/>
              <w:jc w:val="right"/>
            </w:pPr>
          </w:p>
        </w:tc>
      </w:tr>
      <w:tr w:rsidR="007D5EE0" w:rsidRPr="00480E72" w14:paraId="2C1D2FCD" w14:textId="77777777" w:rsidTr="009A305E">
        <w:trPr>
          <w:trHeight w:val="300"/>
        </w:trPr>
        <w:tc>
          <w:tcPr>
            <w:tcW w:w="964" w:type="dxa"/>
            <w:noWrap/>
            <w:vAlign w:val="center"/>
            <w:hideMark/>
          </w:tcPr>
          <w:p w14:paraId="3E288219" w14:textId="77777777" w:rsidR="007D5EE0" w:rsidRPr="00480E72" w:rsidRDefault="007D5EE0" w:rsidP="009A305E">
            <w:pPr>
              <w:pStyle w:val="Paragraph"/>
              <w:spacing w:after="0"/>
            </w:pPr>
            <w:r w:rsidRPr="00480E72">
              <w:t>Cost</w:t>
            </w:r>
          </w:p>
        </w:tc>
        <w:tc>
          <w:tcPr>
            <w:tcW w:w="1871" w:type="dxa"/>
            <w:noWrap/>
            <w:vAlign w:val="center"/>
            <w:hideMark/>
          </w:tcPr>
          <w:p w14:paraId="3313C50F" w14:textId="77777777" w:rsidR="007D5EE0" w:rsidRPr="00480E72" w:rsidRDefault="007D5EE0" w:rsidP="009A305E">
            <w:pPr>
              <w:pStyle w:val="Paragraph"/>
              <w:spacing w:after="0"/>
            </w:pPr>
            <w:r w:rsidRPr="00480E72">
              <w:t>Regulatory costs</w:t>
            </w:r>
          </w:p>
        </w:tc>
        <w:tc>
          <w:tcPr>
            <w:tcW w:w="1605" w:type="dxa"/>
            <w:tcBorders>
              <w:right w:val="single" w:sz="4" w:space="0" w:color="000000" w:themeColor="text1"/>
            </w:tcBorders>
            <w:noWrap/>
            <w:vAlign w:val="center"/>
            <w:hideMark/>
          </w:tcPr>
          <w:p w14:paraId="187BB156" w14:textId="77777777" w:rsidR="007D5EE0" w:rsidRPr="00480E72" w:rsidRDefault="007D5EE0" w:rsidP="009A305E">
            <w:pPr>
              <w:pStyle w:val="Paragraph"/>
              <w:spacing w:after="0"/>
              <w:jc w:val="right"/>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C4EDE66" w14:textId="77777777" w:rsidR="007D5EE0" w:rsidRPr="00480E72" w:rsidRDefault="007D5EE0" w:rsidP="009A305E">
            <w:pPr>
              <w:pStyle w:val="Paragraph"/>
              <w:spacing w:after="0"/>
              <w:jc w:val="right"/>
            </w:pP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B6C4B2" w14:textId="77777777" w:rsidR="007D5EE0" w:rsidRPr="00480E72" w:rsidRDefault="007D5EE0" w:rsidP="009A305E">
            <w:pPr>
              <w:pStyle w:val="Paragraph"/>
              <w:spacing w:after="0"/>
              <w:jc w:val="right"/>
            </w:pPr>
          </w:p>
        </w:tc>
        <w:tc>
          <w:tcPr>
            <w:tcW w:w="1559" w:type="dxa"/>
            <w:tcBorders>
              <w:left w:val="single" w:sz="4" w:space="0" w:color="000000" w:themeColor="text1"/>
            </w:tcBorders>
            <w:noWrap/>
            <w:vAlign w:val="center"/>
          </w:tcPr>
          <w:p w14:paraId="76A4D21A" w14:textId="77777777" w:rsidR="007D5EE0" w:rsidRPr="00480E72" w:rsidRDefault="007D5EE0" w:rsidP="009A305E">
            <w:pPr>
              <w:pStyle w:val="Paragraph"/>
              <w:spacing w:after="0"/>
              <w:jc w:val="right"/>
            </w:pPr>
            <w:r w:rsidRPr="00480E72">
              <w:t>$765,391</w:t>
            </w:r>
          </w:p>
        </w:tc>
      </w:tr>
      <w:tr w:rsidR="007D5EE0" w:rsidRPr="00480E72" w14:paraId="77AFE251" w14:textId="77777777" w:rsidTr="009A305E">
        <w:trPr>
          <w:trHeight w:val="300"/>
        </w:trPr>
        <w:tc>
          <w:tcPr>
            <w:tcW w:w="964" w:type="dxa"/>
            <w:noWrap/>
            <w:vAlign w:val="center"/>
            <w:hideMark/>
          </w:tcPr>
          <w:p w14:paraId="76BF84CA" w14:textId="77777777" w:rsidR="007D5EE0" w:rsidRPr="00480E72" w:rsidRDefault="007D5EE0" w:rsidP="009A305E">
            <w:pPr>
              <w:pStyle w:val="Paragraph"/>
              <w:spacing w:after="0"/>
            </w:pPr>
            <w:r w:rsidRPr="00480E72">
              <w:t>Benefit</w:t>
            </w:r>
          </w:p>
        </w:tc>
        <w:tc>
          <w:tcPr>
            <w:tcW w:w="1871" w:type="dxa"/>
            <w:noWrap/>
            <w:vAlign w:val="center"/>
            <w:hideMark/>
          </w:tcPr>
          <w:p w14:paraId="2C5637DD" w14:textId="77777777" w:rsidR="007D5EE0" w:rsidRPr="00480E72" w:rsidRDefault="007D5EE0" w:rsidP="009A305E">
            <w:pPr>
              <w:pStyle w:val="Paragraph"/>
              <w:spacing w:after="0"/>
            </w:pPr>
            <w:r w:rsidRPr="00480E72">
              <w:t>Reduced fraud</w:t>
            </w:r>
          </w:p>
        </w:tc>
        <w:tc>
          <w:tcPr>
            <w:tcW w:w="1605" w:type="dxa"/>
            <w:noWrap/>
            <w:vAlign w:val="center"/>
            <w:hideMark/>
          </w:tcPr>
          <w:p w14:paraId="02A9E425" w14:textId="77777777" w:rsidR="007D5EE0" w:rsidRPr="00480E72" w:rsidRDefault="007D5EE0" w:rsidP="009A305E">
            <w:pPr>
              <w:pStyle w:val="Paragraph"/>
              <w:spacing w:after="0"/>
              <w:jc w:val="right"/>
            </w:pPr>
          </w:p>
        </w:tc>
        <w:tc>
          <w:tcPr>
            <w:tcW w:w="1530" w:type="dxa"/>
            <w:tcBorders>
              <w:top w:val="single" w:sz="4" w:space="0" w:color="000000" w:themeColor="text1"/>
            </w:tcBorders>
            <w:noWrap/>
            <w:vAlign w:val="center"/>
            <w:hideMark/>
          </w:tcPr>
          <w:p w14:paraId="4AA1FE29" w14:textId="77777777" w:rsidR="007D5EE0" w:rsidRPr="00480E72" w:rsidRDefault="007D5EE0" w:rsidP="009A305E">
            <w:pPr>
              <w:pStyle w:val="Paragraph"/>
              <w:spacing w:after="0"/>
              <w:jc w:val="right"/>
            </w:pPr>
            <w:r w:rsidRPr="00480E72">
              <w:t xml:space="preserve"> $908,934 </w:t>
            </w:r>
          </w:p>
        </w:tc>
        <w:tc>
          <w:tcPr>
            <w:tcW w:w="1507" w:type="dxa"/>
            <w:tcBorders>
              <w:top w:val="single" w:sz="4" w:space="0" w:color="000000" w:themeColor="text1"/>
            </w:tcBorders>
            <w:noWrap/>
            <w:vAlign w:val="center"/>
            <w:hideMark/>
          </w:tcPr>
          <w:p w14:paraId="43A056DE" w14:textId="77777777" w:rsidR="007D5EE0" w:rsidRPr="00480E72" w:rsidRDefault="007D5EE0" w:rsidP="009A305E">
            <w:pPr>
              <w:pStyle w:val="Paragraph"/>
              <w:spacing w:after="0"/>
              <w:jc w:val="right"/>
            </w:pPr>
            <w:r w:rsidRPr="00480E72">
              <w:t xml:space="preserve"> $1,817,869 </w:t>
            </w:r>
          </w:p>
        </w:tc>
        <w:tc>
          <w:tcPr>
            <w:tcW w:w="1559" w:type="dxa"/>
            <w:noWrap/>
            <w:vAlign w:val="center"/>
          </w:tcPr>
          <w:p w14:paraId="793169AC" w14:textId="77777777" w:rsidR="007D5EE0" w:rsidRPr="00480E72" w:rsidRDefault="007D5EE0" w:rsidP="009A305E">
            <w:pPr>
              <w:pStyle w:val="Paragraph"/>
              <w:spacing w:after="0"/>
              <w:jc w:val="right"/>
            </w:pPr>
            <w:r w:rsidRPr="00480E72">
              <w:t xml:space="preserve">  $6,362,540</w:t>
            </w:r>
          </w:p>
        </w:tc>
      </w:tr>
      <w:tr w:rsidR="007D5EE0" w:rsidRPr="00480E72" w14:paraId="150226C0" w14:textId="77777777" w:rsidTr="009A305E">
        <w:trPr>
          <w:trHeight w:val="300"/>
        </w:trPr>
        <w:tc>
          <w:tcPr>
            <w:tcW w:w="964" w:type="dxa"/>
            <w:noWrap/>
            <w:vAlign w:val="center"/>
            <w:hideMark/>
          </w:tcPr>
          <w:p w14:paraId="318A40ED" w14:textId="77777777" w:rsidR="007D5EE0" w:rsidRPr="00480E72" w:rsidRDefault="007D5EE0" w:rsidP="009A305E">
            <w:pPr>
              <w:pStyle w:val="Paragraph"/>
              <w:spacing w:after="0"/>
            </w:pPr>
            <w:r w:rsidRPr="00480E72">
              <w:t>Benefit</w:t>
            </w:r>
          </w:p>
        </w:tc>
        <w:tc>
          <w:tcPr>
            <w:tcW w:w="1871" w:type="dxa"/>
            <w:noWrap/>
            <w:vAlign w:val="center"/>
            <w:hideMark/>
          </w:tcPr>
          <w:p w14:paraId="1FE9958C" w14:textId="77777777" w:rsidR="007D5EE0" w:rsidRPr="00480E72" w:rsidRDefault="007D5EE0" w:rsidP="009A305E">
            <w:pPr>
              <w:pStyle w:val="Paragraph"/>
              <w:spacing w:after="0"/>
            </w:pPr>
            <w:r w:rsidRPr="00480E72">
              <w:t>Reduced time costs</w:t>
            </w:r>
          </w:p>
        </w:tc>
        <w:tc>
          <w:tcPr>
            <w:tcW w:w="1605" w:type="dxa"/>
            <w:noWrap/>
            <w:vAlign w:val="center"/>
            <w:hideMark/>
          </w:tcPr>
          <w:p w14:paraId="5F1AE058" w14:textId="77777777" w:rsidR="007D5EE0" w:rsidRPr="00480E72" w:rsidRDefault="007D5EE0" w:rsidP="009A305E">
            <w:pPr>
              <w:pStyle w:val="Paragraph"/>
              <w:spacing w:after="0"/>
              <w:jc w:val="right"/>
            </w:pPr>
          </w:p>
        </w:tc>
        <w:tc>
          <w:tcPr>
            <w:tcW w:w="1530" w:type="dxa"/>
            <w:noWrap/>
            <w:vAlign w:val="center"/>
            <w:hideMark/>
          </w:tcPr>
          <w:p w14:paraId="251D6A8F" w14:textId="77777777" w:rsidR="007D5EE0" w:rsidRPr="00480E72" w:rsidRDefault="007D5EE0" w:rsidP="009A305E">
            <w:pPr>
              <w:pStyle w:val="Paragraph"/>
              <w:spacing w:after="0"/>
              <w:jc w:val="right"/>
            </w:pPr>
            <w:r w:rsidRPr="00480E72">
              <w:t xml:space="preserve"> $104,582 </w:t>
            </w:r>
          </w:p>
        </w:tc>
        <w:tc>
          <w:tcPr>
            <w:tcW w:w="1507" w:type="dxa"/>
            <w:noWrap/>
            <w:vAlign w:val="center"/>
            <w:hideMark/>
          </w:tcPr>
          <w:p w14:paraId="748DBA93" w14:textId="77777777" w:rsidR="007D5EE0" w:rsidRPr="00480E72" w:rsidRDefault="007D5EE0" w:rsidP="009A305E">
            <w:pPr>
              <w:pStyle w:val="Paragraph"/>
              <w:spacing w:after="0"/>
              <w:jc w:val="right"/>
            </w:pPr>
            <w:r w:rsidRPr="00480E72">
              <w:t xml:space="preserve"> $209,165 </w:t>
            </w:r>
          </w:p>
        </w:tc>
        <w:tc>
          <w:tcPr>
            <w:tcW w:w="1559" w:type="dxa"/>
            <w:noWrap/>
            <w:vAlign w:val="center"/>
          </w:tcPr>
          <w:p w14:paraId="7C3B964E" w14:textId="77777777" w:rsidR="007D5EE0" w:rsidRPr="00480E72" w:rsidRDefault="007D5EE0" w:rsidP="009A305E">
            <w:pPr>
              <w:pStyle w:val="Paragraph"/>
              <w:spacing w:after="0"/>
              <w:jc w:val="right"/>
            </w:pPr>
            <w:r w:rsidRPr="00480E72">
              <w:t>$732,077</w:t>
            </w:r>
          </w:p>
        </w:tc>
      </w:tr>
      <w:tr w:rsidR="007D5EE0" w:rsidRPr="00480E72" w14:paraId="1B312284" w14:textId="77777777" w:rsidTr="009A305E">
        <w:trPr>
          <w:trHeight w:val="300"/>
        </w:trPr>
        <w:tc>
          <w:tcPr>
            <w:tcW w:w="964" w:type="dxa"/>
            <w:noWrap/>
            <w:vAlign w:val="center"/>
          </w:tcPr>
          <w:p w14:paraId="0E954355" w14:textId="77777777" w:rsidR="007D5EE0" w:rsidRPr="00480E72" w:rsidRDefault="007D5EE0" w:rsidP="009A305E">
            <w:pPr>
              <w:pStyle w:val="Paragraph"/>
              <w:spacing w:after="0"/>
            </w:pPr>
          </w:p>
        </w:tc>
        <w:tc>
          <w:tcPr>
            <w:tcW w:w="1871" w:type="dxa"/>
            <w:noWrap/>
            <w:vAlign w:val="center"/>
          </w:tcPr>
          <w:p w14:paraId="0F44D478" w14:textId="77777777" w:rsidR="007D5EE0" w:rsidRPr="00480E72" w:rsidRDefault="007D5EE0" w:rsidP="009A305E">
            <w:pPr>
              <w:pStyle w:val="Paragraph"/>
              <w:spacing w:after="0"/>
            </w:pPr>
          </w:p>
        </w:tc>
        <w:tc>
          <w:tcPr>
            <w:tcW w:w="1605" w:type="dxa"/>
            <w:noWrap/>
            <w:vAlign w:val="center"/>
          </w:tcPr>
          <w:p w14:paraId="5E97C919" w14:textId="77777777" w:rsidR="007D5EE0" w:rsidRPr="00480E72" w:rsidRDefault="007D5EE0" w:rsidP="009A305E">
            <w:pPr>
              <w:pStyle w:val="Paragraph"/>
              <w:spacing w:after="0"/>
              <w:jc w:val="right"/>
            </w:pPr>
          </w:p>
        </w:tc>
        <w:tc>
          <w:tcPr>
            <w:tcW w:w="1530" w:type="dxa"/>
            <w:noWrap/>
            <w:vAlign w:val="center"/>
          </w:tcPr>
          <w:p w14:paraId="000AA531" w14:textId="77777777" w:rsidR="007D5EE0" w:rsidRPr="00480E72" w:rsidRDefault="007D5EE0" w:rsidP="009A305E">
            <w:pPr>
              <w:pStyle w:val="Paragraph"/>
              <w:spacing w:after="0"/>
              <w:jc w:val="right"/>
            </w:pPr>
          </w:p>
        </w:tc>
        <w:tc>
          <w:tcPr>
            <w:tcW w:w="1507" w:type="dxa"/>
            <w:noWrap/>
            <w:vAlign w:val="center"/>
          </w:tcPr>
          <w:p w14:paraId="33700BDD" w14:textId="77777777" w:rsidR="007D5EE0" w:rsidRPr="00480E72" w:rsidRDefault="007D5EE0" w:rsidP="009A305E">
            <w:pPr>
              <w:pStyle w:val="Paragraph"/>
              <w:spacing w:after="0"/>
              <w:jc w:val="right"/>
            </w:pPr>
          </w:p>
        </w:tc>
        <w:tc>
          <w:tcPr>
            <w:tcW w:w="1559" w:type="dxa"/>
            <w:noWrap/>
            <w:vAlign w:val="center"/>
          </w:tcPr>
          <w:p w14:paraId="6C83E690" w14:textId="77777777" w:rsidR="007D5EE0" w:rsidRPr="00480E72" w:rsidRDefault="007D5EE0" w:rsidP="009A305E">
            <w:pPr>
              <w:pStyle w:val="Paragraph"/>
              <w:spacing w:after="0"/>
              <w:jc w:val="right"/>
            </w:pPr>
          </w:p>
        </w:tc>
      </w:tr>
      <w:tr w:rsidR="007D5EE0" w:rsidRPr="00480E72" w14:paraId="26A4EA0B" w14:textId="77777777" w:rsidTr="009A305E">
        <w:trPr>
          <w:trHeight w:val="315"/>
        </w:trPr>
        <w:tc>
          <w:tcPr>
            <w:tcW w:w="2835" w:type="dxa"/>
            <w:gridSpan w:val="2"/>
            <w:shd w:val="clear" w:color="auto" w:fill="F2F2F2" w:themeFill="background1" w:themeFillShade="F2"/>
            <w:noWrap/>
            <w:vAlign w:val="center"/>
            <w:hideMark/>
          </w:tcPr>
          <w:p w14:paraId="4705F3B3" w14:textId="77777777" w:rsidR="007D5EE0" w:rsidRPr="00480E72" w:rsidRDefault="007D5EE0" w:rsidP="009A305E">
            <w:pPr>
              <w:pStyle w:val="Paragraph"/>
              <w:spacing w:after="0"/>
              <w:rPr>
                <w:b/>
                <w:bCs/>
              </w:rPr>
            </w:pPr>
            <w:r w:rsidRPr="00480E72">
              <w:rPr>
                <w:b/>
                <w:bCs/>
              </w:rPr>
              <w:t>Net cost/benefit</w:t>
            </w:r>
          </w:p>
        </w:tc>
        <w:tc>
          <w:tcPr>
            <w:tcW w:w="1605" w:type="dxa"/>
            <w:shd w:val="clear" w:color="auto" w:fill="F2F2F2" w:themeFill="background1" w:themeFillShade="F2"/>
            <w:noWrap/>
            <w:vAlign w:val="center"/>
            <w:hideMark/>
          </w:tcPr>
          <w:p w14:paraId="4A62FA63" w14:textId="77777777" w:rsidR="007D5EE0" w:rsidRPr="00480E72" w:rsidRDefault="007D5EE0" w:rsidP="009A305E">
            <w:pPr>
              <w:pStyle w:val="Paragraph"/>
              <w:spacing w:after="0"/>
              <w:jc w:val="right"/>
              <w:rPr>
                <w:b/>
                <w:bCs/>
              </w:rPr>
            </w:pPr>
            <w:r w:rsidRPr="00480E72">
              <w:rPr>
                <w:b/>
                <w:bCs/>
              </w:rPr>
              <w:t>-$15,020,390</w:t>
            </w:r>
          </w:p>
        </w:tc>
        <w:tc>
          <w:tcPr>
            <w:tcW w:w="1530" w:type="dxa"/>
            <w:shd w:val="clear" w:color="auto" w:fill="F2F2F2" w:themeFill="background1" w:themeFillShade="F2"/>
            <w:noWrap/>
            <w:vAlign w:val="center"/>
            <w:hideMark/>
          </w:tcPr>
          <w:p w14:paraId="522C7211" w14:textId="77777777" w:rsidR="007D5EE0" w:rsidRPr="00480E72" w:rsidRDefault="007D5EE0" w:rsidP="009A305E">
            <w:pPr>
              <w:pStyle w:val="Paragraph"/>
              <w:spacing w:after="0"/>
              <w:jc w:val="right"/>
              <w:rPr>
                <w:b/>
                <w:bCs/>
              </w:rPr>
            </w:pPr>
            <w:r w:rsidRPr="00480E72">
              <w:rPr>
                <w:b/>
                <w:bCs/>
              </w:rPr>
              <w:t>-$14,029,401</w:t>
            </w:r>
          </w:p>
        </w:tc>
        <w:tc>
          <w:tcPr>
            <w:tcW w:w="1507" w:type="dxa"/>
            <w:shd w:val="clear" w:color="auto" w:fill="F2F2F2" w:themeFill="background1" w:themeFillShade="F2"/>
            <w:noWrap/>
            <w:vAlign w:val="center"/>
            <w:hideMark/>
          </w:tcPr>
          <w:p w14:paraId="0E20E8AB" w14:textId="77777777" w:rsidR="007D5EE0" w:rsidRPr="00480E72" w:rsidRDefault="007D5EE0" w:rsidP="009A305E">
            <w:pPr>
              <w:pStyle w:val="Paragraph"/>
              <w:spacing w:after="0"/>
              <w:jc w:val="right"/>
              <w:rPr>
                <w:b/>
                <w:bCs/>
              </w:rPr>
            </w:pPr>
            <w:r w:rsidRPr="00480E72">
              <w:rPr>
                <w:b/>
                <w:bCs/>
              </w:rPr>
              <w:t>-$13,015,884</w:t>
            </w:r>
          </w:p>
        </w:tc>
        <w:tc>
          <w:tcPr>
            <w:tcW w:w="1559" w:type="dxa"/>
            <w:shd w:val="clear" w:color="auto" w:fill="F2F2F2" w:themeFill="background1" w:themeFillShade="F2"/>
            <w:noWrap/>
            <w:vAlign w:val="center"/>
          </w:tcPr>
          <w:p w14:paraId="1F8AB094" w14:textId="77777777" w:rsidR="007D5EE0" w:rsidRPr="00480E72" w:rsidRDefault="007D5EE0" w:rsidP="009A305E">
            <w:pPr>
              <w:pStyle w:val="Paragraph"/>
              <w:spacing w:after="0"/>
              <w:jc w:val="right"/>
              <w:rPr>
                <w:b/>
                <w:bCs/>
              </w:rPr>
            </w:pPr>
            <w:r w:rsidRPr="00480E72">
              <w:rPr>
                <w:b/>
                <w:bCs/>
              </w:rPr>
              <w:t>-$8,691,163</w:t>
            </w:r>
          </w:p>
        </w:tc>
      </w:tr>
      <w:tr w:rsidR="007D5EE0" w:rsidRPr="00480E72" w14:paraId="1CFE0A2B" w14:textId="77777777" w:rsidTr="009A305E">
        <w:trPr>
          <w:trHeight w:val="315"/>
        </w:trPr>
        <w:tc>
          <w:tcPr>
            <w:tcW w:w="2835" w:type="dxa"/>
            <w:gridSpan w:val="2"/>
            <w:shd w:val="clear" w:color="auto" w:fill="F2F2F2" w:themeFill="background1" w:themeFillShade="F2"/>
            <w:noWrap/>
            <w:vAlign w:val="center"/>
          </w:tcPr>
          <w:p w14:paraId="1FB37E64" w14:textId="77777777" w:rsidR="007D5EE0" w:rsidRPr="00480E72" w:rsidRDefault="007D5EE0" w:rsidP="009A305E">
            <w:pPr>
              <w:pStyle w:val="Paragraph"/>
              <w:spacing w:after="0"/>
              <w:rPr>
                <w:b/>
                <w:bCs/>
              </w:rPr>
            </w:pPr>
            <w:r w:rsidRPr="00480E72">
              <w:rPr>
                <w:b/>
                <w:bCs/>
              </w:rPr>
              <w:t xml:space="preserve">Total </w:t>
            </w:r>
            <w:r>
              <w:rPr>
                <w:b/>
                <w:bCs/>
              </w:rPr>
              <w:t>b</w:t>
            </w:r>
            <w:r w:rsidRPr="00480E72">
              <w:rPr>
                <w:b/>
                <w:bCs/>
              </w:rPr>
              <w:t>enefits</w:t>
            </w:r>
          </w:p>
        </w:tc>
        <w:tc>
          <w:tcPr>
            <w:tcW w:w="1605" w:type="dxa"/>
            <w:shd w:val="clear" w:color="auto" w:fill="F2F2F2" w:themeFill="background1" w:themeFillShade="F2"/>
            <w:noWrap/>
            <w:vAlign w:val="center"/>
          </w:tcPr>
          <w:p w14:paraId="4404865D" w14:textId="77777777" w:rsidR="007D5EE0" w:rsidRPr="00480E72" w:rsidRDefault="007D5EE0" w:rsidP="009A305E">
            <w:pPr>
              <w:pStyle w:val="Paragraph"/>
              <w:spacing w:after="0"/>
              <w:jc w:val="right"/>
            </w:pPr>
          </w:p>
        </w:tc>
        <w:tc>
          <w:tcPr>
            <w:tcW w:w="1530" w:type="dxa"/>
            <w:shd w:val="clear" w:color="auto" w:fill="F2F2F2" w:themeFill="background1" w:themeFillShade="F2"/>
            <w:noWrap/>
            <w:vAlign w:val="center"/>
          </w:tcPr>
          <w:p w14:paraId="7CA374EC" w14:textId="77777777" w:rsidR="007D5EE0" w:rsidRPr="00480E72" w:rsidRDefault="007D5EE0" w:rsidP="009A305E">
            <w:pPr>
              <w:pStyle w:val="Paragraph"/>
              <w:spacing w:after="0"/>
              <w:jc w:val="right"/>
              <w:rPr>
                <w:b/>
                <w:bCs/>
              </w:rPr>
            </w:pPr>
            <w:r w:rsidRPr="00480E72">
              <w:rPr>
                <w:b/>
                <w:bCs/>
              </w:rPr>
              <w:t>$1,013,517</w:t>
            </w:r>
          </w:p>
        </w:tc>
        <w:tc>
          <w:tcPr>
            <w:tcW w:w="1507" w:type="dxa"/>
            <w:shd w:val="clear" w:color="auto" w:fill="F2F2F2" w:themeFill="background1" w:themeFillShade="F2"/>
            <w:noWrap/>
            <w:vAlign w:val="center"/>
          </w:tcPr>
          <w:p w14:paraId="25C98B74" w14:textId="77777777" w:rsidR="007D5EE0" w:rsidRPr="00480E72" w:rsidRDefault="007D5EE0" w:rsidP="009A305E">
            <w:pPr>
              <w:pStyle w:val="Paragraph"/>
              <w:spacing w:after="0"/>
              <w:jc w:val="right"/>
              <w:rPr>
                <w:b/>
                <w:bCs/>
              </w:rPr>
            </w:pPr>
            <w:r w:rsidRPr="00480E72">
              <w:rPr>
                <w:b/>
                <w:bCs/>
              </w:rPr>
              <w:t>$2,027,034</w:t>
            </w:r>
          </w:p>
        </w:tc>
        <w:tc>
          <w:tcPr>
            <w:tcW w:w="1559" w:type="dxa"/>
            <w:shd w:val="clear" w:color="auto" w:fill="F2F2F2" w:themeFill="background1" w:themeFillShade="F2"/>
            <w:noWrap/>
            <w:vAlign w:val="center"/>
          </w:tcPr>
          <w:p w14:paraId="3FF7B596" w14:textId="77777777" w:rsidR="007D5EE0" w:rsidRPr="00480E72" w:rsidRDefault="007D5EE0" w:rsidP="009A305E">
            <w:pPr>
              <w:pStyle w:val="Paragraph"/>
              <w:spacing w:after="0"/>
              <w:jc w:val="right"/>
              <w:rPr>
                <w:b/>
                <w:bCs/>
              </w:rPr>
            </w:pPr>
            <w:r w:rsidRPr="00480E72">
              <w:rPr>
                <w:b/>
                <w:bCs/>
              </w:rPr>
              <w:t>$7,094,617</w:t>
            </w:r>
          </w:p>
        </w:tc>
      </w:tr>
    </w:tbl>
    <w:p w14:paraId="58D8E2D2" w14:textId="77777777" w:rsidR="007D5EE0" w:rsidRDefault="007D5EE0" w:rsidP="007D5EE0">
      <w:pPr>
        <w:pStyle w:val="Tableorfigurenote"/>
      </w:pPr>
      <w:r w:rsidRPr="00480E72">
        <w:t xml:space="preserve">* Assumes 25% annual growth in fraudulent </w:t>
      </w:r>
      <w:r>
        <w:t>transactions</w:t>
      </w:r>
      <w:r w:rsidRPr="00480E72">
        <w:t>, and a discount rate of 7%. This table has factored in regulatory costs as detailed in the regulatory burden measurement table, which is based on a conservative overestimation of the number of CSPs that will incur regulatory costs.</w:t>
      </w:r>
    </w:p>
    <w:p w14:paraId="13826BE8" w14:textId="77777777" w:rsidR="007D5EE0" w:rsidRDefault="007D5EE0" w:rsidP="007D5EE0">
      <w:pPr>
        <w:spacing w:after="0" w:line="240" w:lineRule="auto"/>
        <w:rPr>
          <w:rFonts w:cs="Arial"/>
          <w:i/>
          <w:sz w:val="16"/>
        </w:rPr>
      </w:pPr>
      <w:r>
        <w:br w:type="page"/>
      </w:r>
    </w:p>
    <w:p w14:paraId="0D72600D" w14:textId="77777777" w:rsidR="007D5EE0" w:rsidRPr="00BF41CE" w:rsidRDefault="007D5EE0" w:rsidP="007D5EE0">
      <w:pPr>
        <w:pStyle w:val="Heading1"/>
      </w:pPr>
      <w:bookmarkStart w:id="122" w:name="_Toc32833706"/>
      <w:bookmarkStart w:id="123" w:name="_Toc32833752"/>
      <w:bookmarkStart w:id="124" w:name="_Toc32833825"/>
      <w:bookmarkStart w:id="125" w:name="_Toc33176389"/>
      <w:bookmarkStart w:id="126" w:name="_Toc55546925"/>
      <w:bookmarkStart w:id="127" w:name="_Toc83629961"/>
      <w:bookmarkStart w:id="128" w:name="_Toc98323763"/>
      <w:r w:rsidRPr="00BF41CE">
        <w:t>Who was consulted and what did they say?</w:t>
      </w:r>
      <w:bookmarkEnd w:id="122"/>
      <w:bookmarkEnd w:id="123"/>
      <w:bookmarkEnd w:id="124"/>
      <w:bookmarkEnd w:id="125"/>
      <w:bookmarkEnd w:id="126"/>
      <w:bookmarkEnd w:id="127"/>
      <w:bookmarkEnd w:id="128"/>
    </w:p>
    <w:p w14:paraId="77DB921C" w14:textId="77777777" w:rsidR="007D5EE0" w:rsidRDefault="007D5EE0" w:rsidP="007D5EE0">
      <w:pPr>
        <w:pStyle w:val="Heading2"/>
      </w:pPr>
      <w:bookmarkStart w:id="129" w:name="_Toc32833707"/>
      <w:bookmarkStart w:id="130" w:name="_Toc32833753"/>
      <w:bookmarkStart w:id="131" w:name="_Toc32833826"/>
      <w:bookmarkStart w:id="132" w:name="_Toc33176390"/>
      <w:bookmarkStart w:id="133" w:name="_Toc55546926"/>
      <w:bookmarkStart w:id="134" w:name="_Toc83629962"/>
      <w:bookmarkStart w:id="135" w:name="_Toc98323764"/>
      <w:r w:rsidRPr="00BF41CE">
        <w:t>Consultation</w:t>
      </w:r>
      <w:bookmarkEnd w:id="129"/>
      <w:bookmarkEnd w:id="130"/>
      <w:bookmarkEnd w:id="131"/>
      <w:bookmarkEnd w:id="132"/>
      <w:bookmarkEnd w:id="133"/>
      <w:bookmarkEnd w:id="134"/>
      <w:bookmarkEnd w:id="135"/>
    </w:p>
    <w:p w14:paraId="3D812FA3" w14:textId="77777777" w:rsidR="007D5EE0" w:rsidRDefault="007D5EE0" w:rsidP="007D5EE0">
      <w:pPr>
        <w:pStyle w:val="Paragraph"/>
      </w:pPr>
      <w:r>
        <w:t>Since 2019, we have been working closely with the ACCC, ACSC</w:t>
      </w:r>
      <w:r w:rsidRPr="000408D0">
        <w:t xml:space="preserve"> </w:t>
      </w:r>
      <w:r>
        <w:t xml:space="preserve">and other government agencies and departments to disrupt scams targeting Australians. We have also worked with Communications Alliance (and its members through the </w:t>
      </w:r>
      <w:r w:rsidRPr="00C77234">
        <w:t>Scam Tel</w:t>
      </w:r>
      <w:r>
        <w:t>ecommunications</w:t>
      </w:r>
      <w:r w:rsidRPr="00C77234">
        <w:t xml:space="preserve"> Action Taskforce </w:t>
      </w:r>
      <w:r>
        <w:t xml:space="preserve">or STAT) </w:t>
      </w:r>
      <w:r w:rsidRPr="00265AFF">
        <w:t>to explore ways to reduce scam activity</w:t>
      </w:r>
      <w:r w:rsidRPr="00C972AF">
        <w:t xml:space="preserve"> over telecommunication</w:t>
      </w:r>
      <w:r>
        <w:t>s</w:t>
      </w:r>
      <w:r w:rsidRPr="00C972AF">
        <w:t xml:space="preserve"> networks</w:t>
      </w:r>
      <w:r w:rsidRPr="00265AFF">
        <w:t>.</w:t>
      </w:r>
    </w:p>
    <w:p w14:paraId="200D569C" w14:textId="77777777" w:rsidR="007D5EE0" w:rsidRPr="00485A28" w:rsidRDefault="007D5EE0" w:rsidP="007D5EE0">
      <w:pPr>
        <w:pStyle w:val="Paragraph"/>
        <w:rPr>
          <w:szCs w:val="20"/>
        </w:rPr>
      </w:pPr>
      <w:r w:rsidRPr="00485A28">
        <w:rPr>
          <w:szCs w:val="20"/>
        </w:rPr>
        <w:t xml:space="preserve">We established the STAT in early 2020 as a key action from the </w:t>
      </w:r>
      <w:r w:rsidRPr="00485A28">
        <w:rPr>
          <w:i/>
          <w:iCs/>
          <w:szCs w:val="20"/>
        </w:rPr>
        <w:t>Combating scams</w:t>
      </w:r>
      <w:r w:rsidRPr="00485A28">
        <w:rPr>
          <w:szCs w:val="20"/>
        </w:rPr>
        <w:t xml:space="preserve"> action plan to build cross-government and industry collaboration on scams across telecommunications services. Key participants include the ACCC, the ACSC, telecommunications providers, the finance sector, police, the Australian Tax Office, Services Australia, and Australia Post.</w:t>
      </w:r>
    </w:p>
    <w:p w14:paraId="3AC062B5" w14:textId="77777777" w:rsidR="007D5EE0" w:rsidRPr="00485A28" w:rsidRDefault="007D5EE0" w:rsidP="007D5EE0">
      <w:pPr>
        <w:pStyle w:val="Paragraph"/>
        <w:rPr>
          <w:szCs w:val="20"/>
        </w:rPr>
      </w:pPr>
      <w:r w:rsidRPr="00485A28">
        <w:rPr>
          <w:szCs w:val="20"/>
        </w:rPr>
        <w:t>The STAT operates on the principle that reducing harms to Australian telecommunications users can only be achieved through working together to develop processes and infrastructure that support a consistent, industry-wide approach to combating scams. The taskforce meets 3 times per year where the current threat environment, and existing and emerging disruption initiatives, are discussed.</w:t>
      </w:r>
    </w:p>
    <w:p w14:paraId="019790E6" w14:textId="77777777" w:rsidR="007D5EE0" w:rsidRPr="00485A28" w:rsidRDefault="007D5EE0" w:rsidP="007D5EE0">
      <w:pPr>
        <w:spacing w:line="259" w:lineRule="auto"/>
        <w:rPr>
          <w:rFonts w:ascii="Arial" w:hAnsi="Arial" w:cs="Arial"/>
          <w:sz w:val="20"/>
          <w:szCs w:val="20"/>
        </w:rPr>
      </w:pPr>
      <w:r w:rsidRPr="00485A28">
        <w:rPr>
          <w:rFonts w:ascii="Arial" w:hAnsi="Arial" w:cs="Arial"/>
          <w:sz w:val="20"/>
          <w:szCs w:val="20"/>
        </w:rPr>
        <w:t>Significant stakeholder engagement and consultation has also occurred around developing enforceable obligations to reduce the impact of scams on telecommunications services.</w:t>
      </w:r>
      <w:r w:rsidRPr="00485A28">
        <w:rPr>
          <w:rStyle w:val="FootnoteReference"/>
          <w:rFonts w:cs="Arial"/>
          <w:sz w:val="20"/>
          <w:szCs w:val="20"/>
        </w:rPr>
        <w:footnoteReference w:id="84"/>
      </w:r>
      <w:r w:rsidRPr="00485A28">
        <w:rPr>
          <w:rFonts w:ascii="Arial" w:hAnsi="Arial" w:cs="Arial"/>
          <w:sz w:val="20"/>
          <w:szCs w:val="20"/>
        </w:rPr>
        <w:t xml:space="preserve"> We introduced requirements on industry to prevent mobile porting fraud (PPV Standard) and registered an industry code to reduce scams calls (</w:t>
      </w:r>
      <w:hyperlink r:id="rId53" w:history="1">
        <w:r w:rsidRPr="00485A28">
          <w:rPr>
            <w:rStyle w:val="Hyperlink"/>
            <w:rFonts w:ascii="Arial" w:hAnsi="Arial" w:cs="Arial"/>
            <w:sz w:val="20"/>
            <w:szCs w:val="20"/>
          </w:rPr>
          <w:t>C661:2020 Reducing Scam Calls</w:t>
        </w:r>
      </w:hyperlink>
      <w:r w:rsidRPr="00485A28">
        <w:rPr>
          <w:rStyle w:val="Hyperlink"/>
          <w:rFonts w:ascii="Arial" w:hAnsi="Arial" w:cs="Arial"/>
          <w:sz w:val="20"/>
          <w:szCs w:val="20"/>
        </w:rPr>
        <w:t>).</w:t>
      </w:r>
      <w:r w:rsidRPr="00485A28">
        <w:rPr>
          <w:rStyle w:val="FootnoteReference"/>
          <w:rFonts w:cs="Arial"/>
          <w:sz w:val="20"/>
          <w:szCs w:val="20"/>
        </w:rPr>
        <w:footnoteReference w:id="85"/>
      </w:r>
      <w:r w:rsidRPr="00485A28" w:rsidDel="007C4BBD">
        <w:rPr>
          <w:rStyle w:val="FootnoteReference"/>
          <w:rFonts w:cs="Arial"/>
          <w:sz w:val="20"/>
          <w:szCs w:val="20"/>
        </w:rPr>
        <w:t xml:space="preserve"> </w:t>
      </w:r>
    </w:p>
    <w:p w14:paraId="2E9E848C" w14:textId="77777777" w:rsidR="007D5EE0" w:rsidRPr="00485A28" w:rsidRDefault="007D5EE0" w:rsidP="007D5EE0">
      <w:pPr>
        <w:pStyle w:val="Paragraph"/>
        <w:rPr>
          <w:szCs w:val="20"/>
        </w:rPr>
      </w:pPr>
      <w:r w:rsidRPr="00485A28">
        <w:rPr>
          <w:szCs w:val="20"/>
        </w:rPr>
        <w:t xml:space="preserve">Given the evolving targets and techniques used by scammers, the STAT (and its associated working groups) </w:t>
      </w:r>
      <w:proofErr w:type="gramStart"/>
      <w:r w:rsidRPr="00485A28">
        <w:rPr>
          <w:szCs w:val="20"/>
        </w:rPr>
        <w:t>have</w:t>
      </w:r>
      <w:proofErr w:type="gramEnd"/>
      <w:r w:rsidRPr="00485A28">
        <w:rPr>
          <w:szCs w:val="20"/>
        </w:rPr>
        <w:t xml:space="preserve"> provided a forum to identify emerging issues and share approaches to combat scams or participate in scam reduction initiatives. This has included monitoring the issue of unauthorised high-risk customer transactions. We have regularly engaged with industry to better understand the problem and options to ensure community-wide protections are in place.</w:t>
      </w:r>
    </w:p>
    <w:p w14:paraId="124FC328" w14:textId="77777777" w:rsidR="007D5EE0" w:rsidRDefault="007D5EE0" w:rsidP="007D5EE0">
      <w:pPr>
        <w:pStyle w:val="Paragraph"/>
      </w:pPr>
      <w:r w:rsidRPr="00485A28">
        <w:rPr>
          <w:szCs w:val="20"/>
        </w:rPr>
        <w:t>We also convene the Numbering Advisory Committee (NAC) approximately 2 to 3 times a year to assist us in performing its functions relating to</w:t>
      </w:r>
      <w:r>
        <w:t xml:space="preserve"> management of Australia’s numbering resources. </w:t>
      </w:r>
      <w:r w:rsidRPr="00B710A6">
        <w:t xml:space="preserve">Members of the </w:t>
      </w:r>
      <w:r>
        <w:t>NAC</w:t>
      </w:r>
      <w:r w:rsidRPr="00B710A6">
        <w:t xml:space="preserve"> include </w:t>
      </w:r>
      <w:r>
        <w:t>representatives from consumer organisations, CSPs,</w:t>
      </w:r>
      <w:r w:rsidRPr="00B710A6">
        <w:t xml:space="preserve"> industry associations and government representatives</w:t>
      </w:r>
      <w:r>
        <w:t>.</w:t>
      </w:r>
    </w:p>
    <w:p w14:paraId="18FEA1C6" w14:textId="77777777" w:rsidR="007D5EE0" w:rsidRDefault="007D5EE0" w:rsidP="007D5EE0">
      <w:pPr>
        <w:pStyle w:val="Paragraphbeforelist"/>
      </w:pPr>
      <w:r>
        <w:t>In 2021, the NAC discussed the need for measures to reduce fraudulent customer transactions, including:</w:t>
      </w:r>
    </w:p>
    <w:p w14:paraId="7B90E8A7" w14:textId="77777777" w:rsidR="007D5EE0" w:rsidRDefault="007D5EE0" w:rsidP="007D5EE0">
      <w:pPr>
        <w:pStyle w:val="ListBullet"/>
      </w:pPr>
      <w:r>
        <w:t>the development of digital authentication measures</w:t>
      </w:r>
    </w:p>
    <w:p w14:paraId="013A4E50" w14:textId="77777777" w:rsidR="007D5EE0" w:rsidRDefault="007D5EE0" w:rsidP="007D5EE0">
      <w:pPr>
        <w:pStyle w:val="ListBullet"/>
      </w:pPr>
      <w:r>
        <w:t>the then in-development customer authentication industry guideline</w:t>
      </w:r>
    </w:p>
    <w:p w14:paraId="34DB03B1" w14:textId="77777777" w:rsidR="007D5EE0" w:rsidRPr="007C4C66" w:rsidRDefault="007D5EE0" w:rsidP="007D5EE0">
      <w:pPr>
        <w:pStyle w:val="ListBulletLast"/>
        <w:numPr>
          <w:ilvl w:val="0"/>
          <w:numId w:val="4"/>
        </w:numPr>
      </w:pPr>
      <w:r>
        <w:t>whether stronger measures (like enforceable obligations) were required to monitor CSPs actions in reducing fraud resulting from unauthorised high-risk customer transactions.</w:t>
      </w:r>
    </w:p>
    <w:p w14:paraId="512972B8" w14:textId="77777777" w:rsidR="007D5EE0" w:rsidRDefault="007D5EE0" w:rsidP="007D5EE0">
      <w:pPr>
        <w:pStyle w:val="Paragraph"/>
      </w:pPr>
      <w:r>
        <w:t xml:space="preserve">We have </w:t>
      </w:r>
      <w:r w:rsidRPr="007572DB">
        <w:t xml:space="preserve">regularly sought data to understand the magnitude of the issue and information about any actions taken by </w:t>
      </w:r>
      <w:r>
        <w:t>CSPs</w:t>
      </w:r>
      <w:r w:rsidRPr="007572DB">
        <w:t xml:space="preserve"> to address </w:t>
      </w:r>
      <w:r>
        <w:t>the negative impact of unauthorised high-risk customer transactions on Australians</w:t>
      </w:r>
      <w:r w:rsidRPr="007572DB">
        <w:t>.</w:t>
      </w:r>
      <w:r w:rsidRPr="00557E93">
        <w:t xml:space="preserve"> </w:t>
      </w:r>
      <w:r>
        <w:t xml:space="preserve">Industry advice indicated </w:t>
      </w:r>
      <w:r w:rsidRPr="002A6182">
        <w:t xml:space="preserve">that </w:t>
      </w:r>
      <w:r>
        <w:t xml:space="preserve">while </w:t>
      </w:r>
      <w:r w:rsidRPr="002A6182">
        <w:t>PPV</w:t>
      </w:r>
      <w:r>
        <w:t xml:space="preserve"> Standard</w:t>
      </w:r>
      <w:r w:rsidRPr="002A6182">
        <w:t xml:space="preserve"> processes </w:t>
      </w:r>
      <w:r>
        <w:t>has been successful in reducing incidences of mobile porting fraud, the obligations</w:t>
      </w:r>
      <w:r w:rsidRPr="002A6182">
        <w:t xml:space="preserve"> are not designed </w:t>
      </w:r>
      <w:r>
        <w:t xml:space="preserve">to </w:t>
      </w:r>
      <w:r w:rsidRPr="002A6182">
        <w:t xml:space="preserve">address </w:t>
      </w:r>
      <w:r>
        <w:t>other customer identity verification processes including SIM swap requests, updating billing and customer account information.</w:t>
      </w:r>
    </w:p>
    <w:p w14:paraId="3E22E4E2" w14:textId="77777777" w:rsidR="007D5EE0" w:rsidRDefault="007D5EE0" w:rsidP="007D5EE0">
      <w:pPr>
        <w:pStyle w:val="Paragraph"/>
      </w:pPr>
      <w:r>
        <w:t xml:space="preserve">CSPs are supportive of new enforceable obligations, noting the exact form of such regulations is not settled or agreed, as it affects their customer base. </w:t>
      </w:r>
      <w:r w:rsidRPr="002A6182">
        <w:t xml:space="preserve">Discussions with the </w:t>
      </w:r>
      <w:r>
        <w:t>3 major</w:t>
      </w:r>
      <w:r w:rsidRPr="002A6182">
        <w:t xml:space="preserve"> carriers</w:t>
      </w:r>
      <w:r>
        <w:t xml:space="preserve"> that operate as CSPs</w:t>
      </w:r>
      <w:r w:rsidRPr="002A6182">
        <w:t xml:space="preserve"> ha</w:t>
      </w:r>
      <w:r>
        <w:t>ve</w:t>
      </w:r>
      <w:r w:rsidRPr="002A6182">
        <w:t xml:space="preserve"> </w:t>
      </w:r>
      <w:r>
        <w:t xml:space="preserve">also </w:t>
      </w:r>
      <w:r w:rsidRPr="002A6182">
        <w:t xml:space="preserve">revealed </w:t>
      </w:r>
      <w:r>
        <w:t xml:space="preserve">that </w:t>
      </w:r>
      <w:r w:rsidRPr="002A6182">
        <w:t xml:space="preserve">to varying degrees, </w:t>
      </w:r>
      <w:r>
        <w:t xml:space="preserve">each </w:t>
      </w:r>
      <w:r w:rsidRPr="002A6182">
        <w:t>have implemented</w:t>
      </w:r>
      <w:r>
        <w:t xml:space="preserve"> (</w:t>
      </w:r>
      <w:r w:rsidRPr="002A6182">
        <w:t>or are implementing</w:t>
      </w:r>
      <w:r>
        <w:t>)</w:t>
      </w:r>
      <w:r w:rsidRPr="002A6182">
        <w:t>, a range of measures to try to prevent fraud</w:t>
      </w:r>
      <w:r>
        <w:t xml:space="preserve"> from unauthorised high-risk customer transactions.</w:t>
      </w:r>
      <w:r w:rsidRPr="002A6182">
        <w:t xml:space="preserve"> These include strengthening multi-factor authentication controls for high-risk customer account </w:t>
      </w:r>
      <w:r>
        <w:t>transactions</w:t>
      </w:r>
      <w:r w:rsidRPr="002A6182">
        <w:t xml:space="preserve"> and increasing </w:t>
      </w:r>
      <w:r>
        <w:t>protection</w:t>
      </w:r>
      <w:r w:rsidRPr="002A6182">
        <w:t>s around access to SIMs.</w:t>
      </w:r>
    </w:p>
    <w:p w14:paraId="5BB380C6" w14:textId="77777777" w:rsidR="007D5EE0" w:rsidRDefault="007D5EE0" w:rsidP="007D5EE0">
      <w:pPr>
        <w:pStyle w:val="Paragraph"/>
      </w:pPr>
      <w:r>
        <w:t>Those</w:t>
      </w:r>
      <w:r w:rsidRPr="002D48B3">
        <w:t xml:space="preserve"> </w:t>
      </w:r>
      <w:r>
        <w:t xml:space="preserve">that </w:t>
      </w:r>
      <w:r w:rsidRPr="002D48B3">
        <w:t xml:space="preserve">have implemented enhanced protections in relation to </w:t>
      </w:r>
      <w:r>
        <w:t>all or some</w:t>
      </w:r>
      <w:r w:rsidRPr="002D48B3">
        <w:t xml:space="preserve"> customer </w:t>
      </w:r>
      <w:r>
        <w:t>transactions have</w:t>
      </w:r>
      <w:r w:rsidRPr="002D48B3">
        <w:t xml:space="preserve"> advise</w:t>
      </w:r>
      <w:r>
        <w:t xml:space="preserve">d us </w:t>
      </w:r>
      <w:r w:rsidRPr="002D48B3">
        <w:t xml:space="preserve">that strengthening multifactor authentication controls around high-risk customer account </w:t>
      </w:r>
      <w:r>
        <w:t>transactions</w:t>
      </w:r>
      <w:r w:rsidRPr="002D48B3">
        <w:t xml:space="preserve"> has proven an effective measure</w:t>
      </w:r>
      <w:r>
        <w:t xml:space="preserve">. It is viewed as </w:t>
      </w:r>
      <w:r w:rsidRPr="002D48B3">
        <w:t>a potential way to</w:t>
      </w:r>
      <w:r>
        <w:t xml:space="preserve"> not only</w:t>
      </w:r>
      <w:r w:rsidRPr="002D48B3">
        <w:t xml:space="preserve"> reduce SIM swap fraud </w:t>
      </w:r>
      <w:r>
        <w:t>but also</w:t>
      </w:r>
      <w:r w:rsidRPr="002D48B3">
        <w:t xml:space="preserve"> other current </w:t>
      </w:r>
      <w:r>
        <w:t>(</w:t>
      </w:r>
      <w:r w:rsidRPr="002D48B3">
        <w:t xml:space="preserve">and </w:t>
      </w:r>
      <w:r>
        <w:t xml:space="preserve">emerging </w:t>
      </w:r>
      <w:r w:rsidRPr="002D48B3">
        <w:t>types</w:t>
      </w:r>
      <w:r>
        <w:t>)</w:t>
      </w:r>
      <w:r w:rsidRPr="002D48B3">
        <w:t xml:space="preserve"> of fraud attempted by scammers.</w:t>
      </w:r>
    </w:p>
    <w:p w14:paraId="1060217F" w14:textId="77777777" w:rsidR="007D5EE0" w:rsidRDefault="007D5EE0" w:rsidP="007D5EE0">
      <w:pPr>
        <w:pStyle w:val="Paragraph"/>
        <w:rPr>
          <w:szCs w:val="21"/>
        </w:rPr>
      </w:pPr>
      <w:bookmarkStart w:id="136" w:name="_Hlk85556630"/>
      <w:r>
        <w:rPr>
          <w:color w:val="000000" w:themeColor="text1"/>
          <w:szCs w:val="21"/>
        </w:rPr>
        <w:t>We have</w:t>
      </w:r>
      <w:r w:rsidRPr="00DB0E57">
        <w:rPr>
          <w:color w:val="000000" w:themeColor="text1"/>
          <w:szCs w:val="21"/>
        </w:rPr>
        <w:t xml:space="preserve"> also corresponded with CSP</w:t>
      </w:r>
      <w:r>
        <w:rPr>
          <w:color w:val="000000" w:themeColor="text1"/>
          <w:szCs w:val="21"/>
        </w:rPr>
        <w:t>s</w:t>
      </w:r>
      <w:r w:rsidRPr="00DB0E57">
        <w:rPr>
          <w:color w:val="000000" w:themeColor="text1"/>
          <w:szCs w:val="21"/>
        </w:rPr>
        <w:t xml:space="preserve"> about additional </w:t>
      </w:r>
      <w:r>
        <w:rPr>
          <w:color w:val="000000" w:themeColor="text1"/>
          <w:szCs w:val="21"/>
        </w:rPr>
        <w:t>better</w:t>
      </w:r>
      <w:r w:rsidRPr="00DB0E57">
        <w:rPr>
          <w:color w:val="000000" w:themeColor="text1"/>
          <w:szCs w:val="21"/>
        </w:rPr>
        <w:t xml:space="preserve"> practice approaches that some mobile CSPs had adopted to furt</w:t>
      </w:r>
      <w:r w:rsidRPr="00DB0E57">
        <w:rPr>
          <w:szCs w:val="21"/>
        </w:rPr>
        <w:t xml:space="preserve">her protect customers from mobile porting fraud and </w:t>
      </w:r>
      <w:r>
        <w:rPr>
          <w:szCs w:val="21"/>
        </w:rPr>
        <w:t xml:space="preserve">their </w:t>
      </w:r>
      <w:r w:rsidRPr="00DB0E57">
        <w:rPr>
          <w:szCs w:val="21"/>
        </w:rPr>
        <w:t>applicability to existing customer authentication practices.</w:t>
      </w:r>
      <w:r>
        <w:rPr>
          <w:szCs w:val="21"/>
        </w:rPr>
        <w:t xml:space="preserve"> These approaches included unique verification code messages being sent to customers, providers flagging ‘at risk’ accounts, and notifying customers about port-out requests. Providers have generally supported these business improvements to improve customer protections.</w:t>
      </w:r>
    </w:p>
    <w:p w14:paraId="52F1B863" w14:textId="77777777" w:rsidR="007D5EE0" w:rsidRPr="00C9289C" w:rsidRDefault="007D5EE0" w:rsidP="007D5EE0">
      <w:pPr>
        <w:pStyle w:val="Paragraph"/>
      </w:pPr>
      <w:r>
        <w:t>We have</w:t>
      </w:r>
      <w:r w:rsidRPr="007572DB">
        <w:t xml:space="preserve"> similarly engaged with </w:t>
      </w:r>
      <w:r>
        <w:t xml:space="preserve">the Australian Financial Crimes Exchange (AFCX), </w:t>
      </w:r>
      <w:r w:rsidRPr="007572DB">
        <w:t xml:space="preserve">IDCARE and the Australian Communications Consumer Action Network (ACCAN) to understand their view of the problem. </w:t>
      </w:r>
      <w:r w:rsidRPr="009609F3">
        <w:t>All recognise the significant impact on Australians and are supportive of further measures being introduced</w:t>
      </w:r>
      <w:r w:rsidRPr="0017558C">
        <w:t xml:space="preserve">. </w:t>
      </w:r>
      <w:r>
        <w:t xml:space="preserve">We have </w:t>
      </w:r>
      <w:r w:rsidRPr="0032725A">
        <w:t xml:space="preserve">also been keeping the Department of Infrastructure, Transport, Regional Development and Communications (DITRDC), ACCC and TIO informed of </w:t>
      </w:r>
      <w:r>
        <w:t>our findings.</w:t>
      </w:r>
    </w:p>
    <w:bookmarkEnd w:id="136"/>
    <w:p w14:paraId="1E3B9119" w14:textId="77777777" w:rsidR="007D5EE0" w:rsidRDefault="007D5EE0" w:rsidP="007D5EE0">
      <w:pPr>
        <w:pStyle w:val="Paragraph"/>
      </w:pPr>
      <w:r>
        <w:t>The ACMA recently formed an industry reference group to</w:t>
      </w:r>
      <w:r w:rsidRPr="004A0480">
        <w:t xml:space="preserve"> </w:t>
      </w:r>
      <w:r>
        <w:t xml:space="preserve">further improve </w:t>
      </w:r>
      <w:r w:rsidRPr="007572DB">
        <w:t>understand</w:t>
      </w:r>
      <w:r>
        <w:t>ing of</w:t>
      </w:r>
      <w:r w:rsidRPr="007572DB">
        <w:t xml:space="preserve"> existing industry practices</w:t>
      </w:r>
      <w:r>
        <w:t xml:space="preserve">, including having regard to </w:t>
      </w:r>
      <w:r w:rsidRPr="00117481">
        <w:t>customer identity verification processes tha</w:t>
      </w:r>
      <w:r>
        <w:t xml:space="preserve">t CSPs </w:t>
      </w:r>
      <w:r w:rsidRPr="00117481">
        <w:t xml:space="preserve">have implemented or are in </w:t>
      </w:r>
      <w:r>
        <w:t xml:space="preserve">the </w:t>
      </w:r>
      <w:r w:rsidRPr="00117481">
        <w:t>process of implementing</w:t>
      </w:r>
      <w:r>
        <w:t xml:space="preserve"> (</w:t>
      </w:r>
      <w:r w:rsidRPr="00117481">
        <w:t>including those set out in the draft industry code</w:t>
      </w:r>
      <w:r>
        <w:t>).</w:t>
      </w:r>
    </w:p>
    <w:p w14:paraId="6E3A2B78" w14:textId="77777777" w:rsidR="007D5EE0" w:rsidRPr="0017558C" w:rsidRDefault="007D5EE0" w:rsidP="007D5EE0">
      <w:pPr>
        <w:pStyle w:val="Paragraph"/>
        <w:rPr>
          <w:szCs w:val="21"/>
        </w:rPr>
      </w:pPr>
      <w:r w:rsidRPr="0017558C">
        <w:rPr>
          <w:szCs w:val="21"/>
        </w:rPr>
        <w:t xml:space="preserve">There is general agreement from most stakeholders that government and industry must act to reduce the significant harms being experienced by Australians because of unauthorised high-risk customer </w:t>
      </w:r>
      <w:r>
        <w:rPr>
          <w:szCs w:val="21"/>
        </w:rPr>
        <w:t>transactions</w:t>
      </w:r>
      <w:r w:rsidRPr="0017558C">
        <w:rPr>
          <w:szCs w:val="21"/>
        </w:rPr>
        <w:t>. Where stakeholder views differ on the problem, is in the mechanism that should be used to introduce enforceable obligations. Generally, government and consumer groups support direct regulation to mitigate the significant harms faced by Australians while industry favours a co-regulatory approach.</w:t>
      </w:r>
    </w:p>
    <w:p w14:paraId="48A28E0F" w14:textId="77777777" w:rsidR="007D5EE0" w:rsidRDefault="007D5EE0" w:rsidP="007D5EE0">
      <w:pPr>
        <w:pStyle w:val="Heading3"/>
      </w:pPr>
      <w:bookmarkStart w:id="137" w:name="_Toc98323765"/>
      <w:r>
        <w:t>Consultation on enforceable obligations</w:t>
      </w:r>
      <w:bookmarkEnd w:id="137"/>
    </w:p>
    <w:p w14:paraId="1F30ABD8" w14:textId="77777777" w:rsidR="007D5EE0" w:rsidRDefault="007D5EE0" w:rsidP="007D5EE0">
      <w:pPr>
        <w:pStyle w:val="Paragraphbeforelist"/>
      </w:pPr>
      <w:r>
        <w:t xml:space="preserve">In September 2021, Communications Alliance demonstrated support for enforceable obligations by releasing a draft code – </w:t>
      </w:r>
      <w:r w:rsidRPr="00E43333">
        <w:t>C666:2021 Existing Customer Authentication Industry Code</w:t>
      </w:r>
      <w:r>
        <w:rPr>
          <w:i/>
          <w:iCs/>
        </w:rPr>
        <w:t xml:space="preserve"> </w:t>
      </w:r>
      <w:r>
        <w:t>– for public comment. Submissions closed in October 2021, and the code was recently submitted to the ACMA for registration.</w:t>
      </w:r>
    </w:p>
    <w:p w14:paraId="293D4181" w14:textId="77777777" w:rsidR="007D5EE0" w:rsidRPr="007F2B60" w:rsidRDefault="007D5EE0" w:rsidP="007D5EE0">
      <w:pPr>
        <w:pStyle w:val="Paragraphbeforelist"/>
        <w:rPr>
          <w:szCs w:val="20"/>
        </w:rPr>
      </w:pPr>
      <w:r w:rsidRPr="007F2B60">
        <w:rPr>
          <w:szCs w:val="20"/>
        </w:rPr>
        <w:t>Four submissions were received in response to the draft code,</w:t>
      </w:r>
      <w:r w:rsidRPr="007F2B60">
        <w:rPr>
          <w:rStyle w:val="FootnoteReference"/>
          <w:szCs w:val="20"/>
        </w:rPr>
        <w:footnoteReference w:id="86"/>
      </w:r>
      <w:r w:rsidRPr="007F2B60">
        <w:rPr>
          <w:szCs w:val="20"/>
        </w:rPr>
        <w:t xml:space="preserve"> and all 4 supported the introduction of measures that improved customer authentication to prevent harms. Some of the key themes raised in those submissions included:</w:t>
      </w:r>
    </w:p>
    <w:p w14:paraId="2E06C902" w14:textId="77777777" w:rsidR="007D5EE0" w:rsidRPr="007F2B60" w:rsidRDefault="007D5EE0" w:rsidP="00380028">
      <w:pPr>
        <w:pStyle w:val="Bulletlevel1"/>
        <w:numPr>
          <w:ilvl w:val="0"/>
          <w:numId w:val="23"/>
        </w:numPr>
        <w:ind w:left="425" w:hanging="425"/>
        <w:rPr>
          <w:rFonts w:eastAsia="Calibri"/>
          <w:szCs w:val="20"/>
          <w:lang w:eastAsia="en-US"/>
        </w:rPr>
      </w:pPr>
      <w:r w:rsidRPr="007F2B60">
        <w:rPr>
          <w:rFonts w:eastAsia="Calibri"/>
          <w:szCs w:val="20"/>
          <w:lang w:eastAsia="en-US"/>
        </w:rPr>
        <w:t>clarification of the objectives and scope of the code</w:t>
      </w:r>
    </w:p>
    <w:p w14:paraId="555A0EB8" w14:textId="77777777" w:rsidR="007D5EE0" w:rsidRPr="007F2B60" w:rsidRDefault="007D5EE0" w:rsidP="00380028">
      <w:pPr>
        <w:pStyle w:val="Bulletlevel1"/>
        <w:numPr>
          <w:ilvl w:val="0"/>
          <w:numId w:val="23"/>
        </w:numPr>
        <w:ind w:left="425" w:hanging="425"/>
        <w:rPr>
          <w:rFonts w:eastAsia="Calibri"/>
          <w:szCs w:val="20"/>
          <w:lang w:eastAsia="en-US"/>
        </w:rPr>
      </w:pPr>
      <w:r w:rsidRPr="007F2B60">
        <w:rPr>
          <w:rFonts w:eastAsia="Calibri"/>
          <w:szCs w:val="20"/>
          <w:lang w:eastAsia="en-US"/>
        </w:rPr>
        <w:t>clarification of the definition for high-risk transactions and whether a list of high-risk interaction types would be beneficial</w:t>
      </w:r>
    </w:p>
    <w:p w14:paraId="7AF37D23" w14:textId="77777777" w:rsidR="007D5EE0" w:rsidRPr="007F2B60" w:rsidRDefault="007D5EE0" w:rsidP="00380028">
      <w:pPr>
        <w:pStyle w:val="Bulletlevel1"/>
        <w:numPr>
          <w:ilvl w:val="0"/>
          <w:numId w:val="23"/>
        </w:numPr>
        <w:ind w:left="425" w:hanging="425"/>
        <w:rPr>
          <w:rFonts w:eastAsia="Calibri"/>
          <w:szCs w:val="20"/>
          <w:lang w:eastAsia="en-US"/>
        </w:rPr>
      </w:pPr>
      <w:r w:rsidRPr="007F2B60">
        <w:rPr>
          <w:rFonts w:eastAsia="Calibri"/>
          <w:szCs w:val="20"/>
          <w:lang w:eastAsia="en-US"/>
        </w:rPr>
        <w:t>the option of CSPs including self-service options for high-risk transactions</w:t>
      </w:r>
    </w:p>
    <w:p w14:paraId="6A148ED0" w14:textId="77777777" w:rsidR="007D5EE0" w:rsidRPr="007F2B60" w:rsidRDefault="007D5EE0" w:rsidP="00380028">
      <w:pPr>
        <w:pStyle w:val="Bulletlevel1"/>
        <w:numPr>
          <w:ilvl w:val="0"/>
          <w:numId w:val="23"/>
        </w:numPr>
        <w:ind w:left="425" w:hanging="425"/>
        <w:rPr>
          <w:rFonts w:eastAsia="Calibri"/>
          <w:szCs w:val="20"/>
          <w:lang w:eastAsia="en-US"/>
        </w:rPr>
      </w:pPr>
      <w:r w:rsidRPr="007F2B60">
        <w:rPr>
          <w:rFonts w:eastAsia="Calibri"/>
          <w:szCs w:val="20"/>
          <w:lang w:eastAsia="en-US"/>
        </w:rPr>
        <w:t>implementation issues of biometric data or possession-based authentication methods</w:t>
      </w:r>
    </w:p>
    <w:p w14:paraId="31B7BF5E" w14:textId="77777777" w:rsidR="007D5EE0" w:rsidRPr="007F2B60" w:rsidRDefault="007D5EE0" w:rsidP="007D5EE0">
      <w:pPr>
        <w:pStyle w:val="ListBulletLast"/>
        <w:numPr>
          <w:ilvl w:val="0"/>
          <w:numId w:val="4"/>
        </w:numPr>
        <w:tabs>
          <w:tab w:val="clear" w:pos="295"/>
        </w:tabs>
        <w:ind w:left="426" w:hanging="426"/>
        <w:rPr>
          <w:rFonts w:eastAsia="Calibri"/>
          <w:szCs w:val="20"/>
          <w:lang w:eastAsia="en-US"/>
        </w:rPr>
      </w:pPr>
      <w:r w:rsidRPr="007F2B60">
        <w:rPr>
          <w:rFonts w:eastAsia="Calibri"/>
          <w:szCs w:val="20"/>
          <w:lang w:eastAsia="en-US"/>
        </w:rPr>
        <w:t>considering only disclosing call detail or account information via customer-initiated contact.</w:t>
      </w:r>
    </w:p>
    <w:p w14:paraId="71355203" w14:textId="77777777" w:rsidR="007D5EE0" w:rsidRPr="007F2B60" w:rsidRDefault="007D5EE0" w:rsidP="007D5EE0">
      <w:pPr>
        <w:rPr>
          <w:rFonts w:ascii="Arial" w:hAnsi="Arial" w:cs="Arial"/>
          <w:sz w:val="20"/>
          <w:szCs w:val="20"/>
        </w:rPr>
      </w:pPr>
      <w:r w:rsidRPr="007F2B60">
        <w:rPr>
          <w:rFonts w:ascii="Arial" w:hAnsi="Arial" w:cs="Arial"/>
          <w:sz w:val="20"/>
          <w:szCs w:val="20"/>
        </w:rPr>
        <w:t>Communications Alliance is also required to consult with the ACCC, the Office of the Australian Information Commissioner (OAIC), the TIO, and at least one body or association that represents the interests of consumers has been consulted about the development of the code (ACCAN). Communications Alliance has provided evidence to us to substantiate that appropriate consultation was undertaken with the ACCC, OAIC and the TIO.</w:t>
      </w:r>
    </w:p>
    <w:p w14:paraId="25982744" w14:textId="77777777" w:rsidR="007D5EE0" w:rsidRPr="007F2B60" w:rsidRDefault="007D5EE0" w:rsidP="007D5EE0">
      <w:pPr>
        <w:rPr>
          <w:rFonts w:ascii="Arial" w:hAnsi="Arial" w:cs="Arial"/>
          <w:sz w:val="20"/>
          <w:szCs w:val="20"/>
        </w:rPr>
      </w:pPr>
      <w:r w:rsidRPr="007F2B60">
        <w:rPr>
          <w:rFonts w:ascii="Arial" w:hAnsi="Arial" w:cs="Arial"/>
          <w:sz w:val="20"/>
          <w:szCs w:val="20"/>
        </w:rPr>
        <w:t>As per section 117 of the Telecommunications Act, we must also consult with the OAIC that it is satisfied with such a code – particularly if it deals with matters under the Privacy Act.</w:t>
      </w:r>
    </w:p>
    <w:p w14:paraId="59271E03" w14:textId="77777777" w:rsidR="007D5EE0" w:rsidRPr="007F2B60" w:rsidRDefault="007D5EE0" w:rsidP="007D5EE0">
      <w:pPr>
        <w:rPr>
          <w:rFonts w:ascii="Arial" w:hAnsi="Arial" w:cs="Arial"/>
          <w:sz w:val="20"/>
          <w:szCs w:val="20"/>
        </w:rPr>
      </w:pPr>
      <w:r w:rsidRPr="007F2B60">
        <w:rPr>
          <w:rFonts w:ascii="Arial" w:hAnsi="Arial" w:cs="Arial"/>
          <w:sz w:val="20"/>
          <w:szCs w:val="20"/>
        </w:rPr>
        <w:t>While an industry code is one of the regulatory options available to us to introduce enforceable obligations, we have explored some of the issues raised prior to and post- consultation on the industry code. Our priority is to implement the most effective solution to address the considerable consumer detriment being experienced.</w:t>
      </w:r>
    </w:p>
    <w:p w14:paraId="4CB74FC7" w14:textId="77777777" w:rsidR="007D5EE0" w:rsidRPr="00CB7273" w:rsidRDefault="007D5EE0" w:rsidP="007D5EE0">
      <w:pPr>
        <w:pStyle w:val="Paragraphbeforelist"/>
      </w:pPr>
      <w:r w:rsidRPr="007F2B60">
        <w:rPr>
          <w:szCs w:val="20"/>
        </w:rPr>
        <w:t>On 17 November 2021, we commenced a public consultation process on a draft service provider determination to gather further input and</w:t>
      </w:r>
      <w:r w:rsidRPr="00CB7273">
        <w:t xml:space="preserve"> test assumptions. The process included:</w:t>
      </w:r>
    </w:p>
    <w:p w14:paraId="2F7C5458" w14:textId="77777777" w:rsidR="007D5EE0" w:rsidRPr="00CB7273" w:rsidRDefault="007D5EE0" w:rsidP="007D5EE0">
      <w:pPr>
        <w:pStyle w:val="ListBullet"/>
      </w:pPr>
      <w:r w:rsidRPr="00CB7273">
        <w:t xml:space="preserve">publication of a consultation paper and draft instrument (via </w:t>
      </w:r>
      <w:r>
        <w:t xml:space="preserve">our </w:t>
      </w:r>
      <w:r w:rsidRPr="00CB7273">
        <w:t>website)</w:t>
      </w:r>
    </w:p>
    <w:p w14:paraId="4FBC7FA5" w14:textId="77777777" w:rsidR="007D5EE0" w:rsidRPr="00CB7273" w:rsidRDefault="007D5EE0" w:rsidP="007D5EE0">
      <w:pPr>
        <w:pStyle w:val="ListBullet"/>
      </w:pPr>
      <w:r w:rsidRPr="00CB7273">
        <w:t>targeted consultation with government agencies and consumer groups</w:t>
      </w:r>
    </w:p>
    <w:p w14:paraId="0D79C851" w14:textId="77777777" w:rsidR="007D5EE0" w:rsidRPr="00CB7273" w:rsidRDefault="007D5EE0" w:rsidP="007D5EE0">
      <w:pPr>
        <w:pStyle w:val="ListBullet"/>
      </w:pPr>
      <w:r w:rsidRPr="00CB7273">
        <w:t>consultation with the reference group, STAT, Communications Alliance, and other industry stakeholders</w:t>
      </w:r>
    </w:p>
    <w:p w14:paraId="14068A12" w14:textId="77777777" w:rsidR="007D5EE0" w:rsidRPr="00CB7273" w:rsidRDefault="007D5EE0" w:rsidP="007D5EE0">
      <w:pPr>
        <w:pStyle w:val="ListBulletLast"/>
        <w:numPr>
          <w:ilvl w:val="0"/>
          <w:numId w:val="4"/>
        </w:numPr>
      </w:pPr>
      <w:r w:rsidRPr="00CB7273">
        <w:t>consultation with other organisations including those that support victims of identity crime and those that support family violence and emergency-affected people.</w:t>
      </w:r>
    </w:p>
    <w:p w14:paraId="59EB8252" w14:textId="77777777" w:rsidR="007D5EE0" w:rsidRPr="00CB7273" w:rsidRDefault="007D5EE0" w:rsidP="007D5EE0">
      <w:pPr>
        <w:pStyle w:val="ListBullet"/>
        <w:numPr>
          <w:ilvl w:val="0"/>
          <w:numId w:val="0"/>
        </w:numPr>
        <w:rPr>
          <w:rFonts w:ascii="Calibri" w:hAnsi="Calibri"/>
        </w:rPr>
      </w:pPr>
      <w:r w:rsidRPr="00CB7273">
        <w:t xml:space="preserve">The consultation </w:t>
      </w:r>
      <w:r>
        <w:t>closed</w:t>
      </w:r>
      <w:r w:rsidRPr="00CB7273">
        <w:t xml:space="preserve"> on 16 December 2021. </w:t>
      </w:r>
      <w:r>
        <w:t>We</w:t>
      </w:r>
      <w:r w:rsidRPr="00CB7273">
        <w:t xml:space="preserve"> received 14 submissions during the process from consumer and industry representatives and other government organisations. Key themes from the submissions include:</w:t>
      </w:r>
    </w:p>
    <w:p w14:paraId="3AF35CF4" w14:textId="77777777" w:rsidR="007D5EE0" w:rsidRPr="00CB7273" w:rsidRDefault="007D5EE0" w:rsidP="007D5EE0">
      <w:pPr>
        <w:pStyle w:val="ListBullet"/>
      </w:pPr>
      <w:r w:rsidRPr="00CB7273">
        <w:t>Implementation timeframe – industry members argue that the commencement date proposed in the draft determination obligations will be difficult to meet while other stakeholders would like to see more immediate measures</w:t>
      </w:r>
      <w:r>
        <w:t>.</w:t>
      </w:r>
    </w:p>
    <w:p w14:paraId="2541DC53" w14:textId="77777777" w:rsidR="007D5EE0" w:rsidRPr="00CB7273" w:rsidRDefault="007D5EE0" w:rsidP="007D5EE0">
      <w:pPr>
        <w:pStyle w:val="ListBullet"/>
      </w:pPr>
      <w:r w:rsidRPr="00CB7273">
        <w:t>Definition of high-risk transactions – different CSPs have varying views on how the definition may impact in the draft determination and what limits it may place on customer transactions. Industry argues that the determination is overly prescriptive. Industry also argues that many of the transactions that will be captured are not high-risk (for example, they argue that there is no evidence that scammers are targeting business transactions) and that such an approach will have a material burden on carriers (and customers) noting that multiple systems and processes that will need to be updated. Industry instead suggests that CSPs should retain some discretion around what constitutes a high-risk interaction.</w:t>
      </w:r>
    </w:p>
    <w:p w14:paraId="6AAE3444" w14:textId="77777777" w:rsidR="007D5EE0" w:rsidRPr="00CB7273" w:rsidRDefault="007D5EE0" w:rsidP="007D5EE0">
      <w:pPr>
        <w:pStyle w:val="ListBullet"/>
      </w:pPr>
      <w:r w:rsidRPr="00CB7273">
        <w:t xml:space="preserve">Definition of ‘vulnerable customers’ – both consumer groups and telcos say that the definition is too narrow and not consistent with the outcome </w:t>
      </w:r>
      <w:r>
        <w:t xml:space="preserve">we are </w:t>
      </w:r>
      <w:r w:rsidRPr="00CB7273">
        <w:t>trying to achieve. Further, there is the view that the carve-out (section 11) provides a handbook for scammers on how to exploit the carve-out.</w:t>
      </w:r>
    </w:p>
    <w:p w14:paraId="381805EC" w14:textId="77777777" w:rsidR="007D5EE0" w:rsidRPr="00CB7273" w:rsidRDefault="007D5EE0" w:rsidP="007D5EE0">
      <w:pPr>
        <w:pStyle w:val="ListBulletLast"/>
        <w:numPr>
          <w:ilvl w:val="0"/>
          <w:numId w:val="4"/>
        </w:numPr>
      </w:pPr>
      <w:r w:rsidRPr="00CB7273">
        <w:t>Customer verification requirements – industry argues that the customer verification requirements (drawn from the PPV) are not suitable for all transactions captured by the determination and, in any case, are too prescriptive, and CSPs should maintain discretion on how to achieve the required outcomes, using existing systems and processes where feasible.</w:t>
      </w:r>
    </w:p>
    <w:p w14:paraId="0CA7F3D2" w14:textId="77777777" w:rsidR="007D5EE0" w:rsidRPr="00CB7273" w:rsidRDefault="007D5EE0" w:rsidP="007D5EE0">
      <w:pPr>
        <w:pStyle w:val="ListBullet"/>
        <w:numPr>
          <w:ilvl w:val="0"/>
          <w:numId w:val="0"/>
        </w:numPr>
      </w:pPr>
      <w:r w:rsidRPr="00CB7273">
        <w:t>The matters raised via the consultation process have benefited from further follow-up engagement and testing with key stakeholders to inform future decisions about the preferred implementation approach to the recommended option.</w:t>
      </w:r>
    </w:p>
    <w:p w14:paraId="224184E6" w14:textId="77777777" w:rsidR="007D5EE0" w:rsidRPr="00CB7273" w:rsidRDefault="007D5EE0" w:rsidP="007D5EE0">
      <w:pPr>
        <w:pStyle w:val="ListBulletLast"/>
        <w:ind w:left="295" w:hanging="295"/>
      </w:pPr>
    </w:p>
    <w:p w14:paraId="46943B94" w14:textId="77777777" w:rsidR="007D5EE0" w:rsidRPr="00BF41CE" w:rsidRDefault="007D5EE0" w:rsidP="007D5EE0">
      <w:pPr>
        <w:pStyle w:val="Heading1"/>
      </w:pPr>
      <w:bookmarkStart w:id="138" w:name="_Toc32833710"/>
      <w:bookmarkStart w:id="139" w:name="_Toc32833755"/>
      <w:bookmarkStart w:id="140" w:name="_Toc32833828"/>
      <w:bookmarkStart w:id="141" w:name="_Toc33176393"/>
      <w:bookmarkStart w:id="142" w:name="_Toc55546929"/>
      <w:bookmarkStart w:id="143" w:name="_Toc83629965"/>
      <w:bookmarkStart w:id="144" w:name="_Toc98323766"/>
      <w:r w:rsidRPr="00BF41CE">
        <w:t>What is the best option from those considered?</w:t>
      </w:r>
      <w:bookmarkEnd w:id="138"/>
      <w:bookmarkEnd w:id="139"/>
      <w:bookmarkEnd w:id="140"/>
      <w:bookmarkEnd w:id="141"/>
      <w:bookmarkEnd w:id="142"/>
      <w:bookmarkEnd w:id="143"/>
      <w:bookmarkEnd w:id="144"/>
    </w:p>
    <w:p w14:paraId="3FBE764E" w14:textId="77777777" w:rsidR="007D5EE0" w:rsidRDefault="007D5EE0" w:rsidP="007D5EE0">
      <w:pPr>
        <w:pStyle w:val="Paragraph"/>
      </w:pPr>
      <w:r w:rsidRPr="00AA0E13">
        <w:t xml:space="preserve">Scammers are technologically adept, increasingly sophisticated and show no signs of stopping. </w:t>
      </w:r>
      <w:r>
        <w:t xml:space="preserve">Australians are at risk from the impact of considerable harms. </w:t>
      </w:r>
      <w:r w:rsidRPr="00AA0E13">
        <w:t>This emphasises the need for government to encourage practical technological solutions that increase the effectiveness of preventing and disrupting scam call activity on Australian telecommunication</w:t>
      </w:r>
      <w:r>
        <w:t>s</w:t>
      </w:r>
      <w:r w:rsidRPr="00AA0E13">
        <w:t xml:space="preserve"> networks.</w:t>
      </w:r>
    </w:p>
    <w:p w14:paraId="08CD6A80" w14:textId="77777777" w:rsidR="007D5EE0" w:rsidRPr="007572DB" w:rsidRDefault="007D5EE0" w:rsidP="007D5EE0">
      <w:pPr>
        <w:pStyle w:val="Paragraph"/>
      </w:pPr>
      <w:r w:rsidRPr="007572DB">
        <w:t xml:space="preserve">Consultation </w:t>
      </w:r>
      <w:r>
        <w:t xml:space="preserve">and engagement to date clearly indicates that enforceable obligations are supported </w:t>
      </w:r>
      <w:r w:rsidRPr="007572DB">
        <w:t xml:space="preserve">by </w:t>
      </w:r>
      <w:r>
        <w:t>CSPs</w:t>
      </w:r>
      <w:r w:rsidRPr="007572DB">
        <w:t>, individuals, government, and community organisations</w:t>
      </w:r>
      <w:r>
        <w:t>, because they best address the serious nature of the harms involved.</w:t>
      </w:r>
    </w:p>
    <w:p w14:paraId="4B7B7403" w14:textId="77777777" w:rsidR="007D5EE0" w:rsidRDefault="007D5EE0" w:rsidP="007D5EE0">
      <w:pPr>
        <w:pStyle w:val="Paragraph"/>
      </w:pPr>
      <w:r>
        <w:t>The Australian community</w:t>
      </w:r>
      <w:r w:rsidRPr="00C15659">
        <w:t xml:space="preserve"> can expect to benefit </w:t>
      </w:r>
      <w:r>
        <w:t xml:space="preserve">greatly </w:t>
      </w:r>
      <w:r w:rsidRPr="00C15659">
        <w:t xml:space="preserve">from </w:t>
      </w:r>
      <w:r>
        <w:t>government introducing enforceable obligations that</w:t>
      </w:r>
      <w:r w:rsidRPr="00C15659">
        <w:t xml:space="preserve"> mandate </w:t>
      </w:r>
      <w:r>
        <w:t>action to address fraudulent customer transactions and provide increased consumer safeguards.</w:t>
      </w:r>
      <w:r w:rsidRPr="00BF4F9D">
        <w:t xml:space="preserve"> </w:t>
      </w:r>
      <w:r>
        <w:t>It has the highest net benefit of the options considered.</w:t>
      </w:r>
    </w:p>
    <w:p w14:paraId="5A1E63D1" w14:textId="77777777" w:rsidR="007D5EE0" w:rsidRDefault="007D5EE0" w:rsidP="007D5EE0">
      <w:pPr>
        <w:pStyle w:val="Paragraph"/>
      </w:pPr>
      <w:r w:rsidRPr="00DC66ED">
        <w:t xml:space="preserve">Enforceable obligations have the potential to provide significant positive impacts by reducing the financial and emotional harms that an individual may face from </w:t>
      </w:r>
      <w:r>
        <w:t>fraudulent activity.</w:t>
      </w:r>
      <w:r w:rsidRPr="00E06AD9">
        <w:t xml:space="preserve"> </w:t>
      </w:r>
      <w:r w:rsidRPr="005974E3">
        <w:t>Enforceable obligations</w:t>
      </w:r>
      <w:r>
        <w:t xml:space="preserve"> will</w:t>
      </w:r>
      <w:r w:rsidRPr="005974E3">
        <w:t xml:space="preserve"> also offer better identity protection, consistent with</w:t>
      </w:r>
      <w:r w:rsidRPr="002A6182">
        <w:t xml:space="preserve"> the </w:t>
      </w:r>
      <w:r w:rsidRPr="00467CE1">
        <w:t>government’s guidance on robust identity verification</w:t>
      </w:r>
      <w:r>
        <w:t>.</w:t>
      </w:r>
      <w:r>
        <w:rPr>
          <w:rStyle w:val="FootnoteReference"/>
        </w:rPr>
        <w:footnoteReference w:id="87"/>
      </w:r>
    </w:p>
    <w:p w14:paraId="5AE822C3" w14:textId="77777777" w:rsidR="007D5EE0" w:rsidRDefault="007D5EE0" w:rsidP="007D5EE0">
      <w:pPr>
        <w:pStyle w:val="Paragraph"/>
      </w:pPr>
      <w:r w:rsidRPr="003E2E2F">
        <w:t xml:space="preserve">These protections do not impose undue financial and administrative burdens on CSPs but significantly improve </w:t>
      </w:r>
      <w:r>
        <w:t xml:space="preserve">consumer </w:t>
      </w:r>
      <w:r w:rsidRPr="003E2E2F">
        <w:t>protections for the Australian community</w:t>
      </w:r>
      <w:r>
        <w:t xml:space="preserve"> and confidence in industry’s networks and services as key conduits to participation in the modern economy and, for many, social life</w:t>
      </w:r>
      <w:r w:rsidRPr="003E2E2F">
        <w:t>.</w:t>
      </w:r>
      <w:r>
        <w:t xml:space="preserve"> Considering the telecommunications industry has already absorbed costs to implement processes and systems to meet their obligations under the PPV Standard, aligning new enforceable obligations to </w:t>
      </w:r>
      <w:r w:rsidRPr="00AA0E13">
        <w:t>p</w:t>
      </w:r>
      <w:r>
        <w:t>rotect high-risk customer transactions will cause less financial cost and administrative burden than it may have otherwise.</w:t>
      </w:r>
    </w:p>
    <w:p w14:paraId="168A8AE1" w14:textId="77777777" w:rsidR="007D5EE0" w:rsidRDefault="007D5EE0" w:rsidP="007D5EE0">
      <w:pPr>
        <w:pStyle w:val="Paragraph"/>
      </w:pPr>
      <w:r w:rsidRPr="005974E3">
        <w:t xml:space="preserve">In developing the enforceable obligations, </w:t>
      </w:r>
      <w:r>
        <w:t>we will</w:t>
      </w:r>
      <w:r w:rsidRPr="005974E3">
        <w:t xml:space="preserve"> consider the existing customer authentication processes that most providers have already implemented or are in the process of implementing</w:t>
      </w:r>
      <w:r>
        <w:t xml:space="preserve"> as per the current industry guidance note and draft code</w:t>
      </w:r>
      <w:r w:rsidRPr="005974E3">
        <w:t>.</w:t>
      </w:r>
      <w:r>
        <w:t xml:space="preserve"> The measures outlined in the draft code demonstrate industry’s general support of enforceable obligations to mitigate the significant impacts associated with this issue.</w:t>
      </w:r>
    </w:p>
    <w:p w14:paraId="5BFE8CC3" w14:textId="77777777" w:rsidR="007D5EE0" w:rsidRPr="00E331B8" w:rsidRDefault="007D5EE0" w:rsidP="007D5EE0">
      <w:pPr>
        <w:pStyle w:val="Heading3"/>
      </w:pPr>
      <w:bookmarkStart w:id="145" w:name="_Toc98323767"/>
      <w:r w:rsidRPr="00E331B8">
        <w:t>Status quo (non-regulatory option)</w:t>
      </w:r>
      <w:bookmarkEnd w:id="145"/>
    </w:p>
    <w:p w14:paraId="4F6B096D" w14:textId="77777777" w:rsidR="007D5EE0" w:rsidRPr="00FD305F" w:rsidRDefault="007D5EE0" w:rsidP="007D5EE0">
      <w:pPr>
        <w:pStyle w:val="Paragraph"/>
      </w:pPr>
      <w:r w:rsidRPr="002A6182">
        <w:t>The status quo pos</w:t>
      </w:r>
      <w:r>
        <w:t>es</w:t>
      </w:r>
      <w:r w:rsidRPr="002A6182">
        <w:t xml:space="preserve"> an unacceptable level of harm</w:t>
      </w:r>
      <w:r>
        <w:t xml:space="preserve"> to Australians. The community will continue to experience increasing levels of identity theft and financial losses </w:t>
      </w:r>
      <w:proofErr w:type="gramStart"/>
      <w:r>
        <w:t>as a result of</w:t>
      </w:r>
      <w:proofErr w:type="gramEnd"/>
      <w:r>
        <w:t xml:space="preserve"> unauthorised high-risk customer transactions, because </w:t>
      </w:r>
      <w:r w:rsidRPr="00AB211F">
        <w:t xml:space="preserve">no </w:t>
      </w:r>
      <w:r>
        <w:t xml:space="preserve">consistent nor </w:t>
      </w:r>
      <w:r w:rsidRPr="00C9453D">
        <w:t>coordinated, industry-wide technological or network strategies have been deployed</w:t>
      </w:r>
      <w:r w:rsidRPr="00FD305F">
        <w:t xml:space="preserve">. </w:t>
      </w:r>
      <w:r>
        <w:t xml:space="preserve">The impact of harms </w:t>
      </w:r>
      <w:r w:rsidRPr="002A6182">
        <w:t>including from ongoing psychological distress and the potential for repeated instances of identity theft</w:t>
      </w:r>
      <w:r>
        <w:t xml:space="preserve"> and fraud remains</w:t>
      </w:r>
      <w:r w:rsidRPr="002A6182">
        <w:t>.</w:t>
      </w:r>
    </w:p>
    <w:p w14:paraId="58558CB6" w14:textId="77777777" w:rsidR="007D5EE0" w:rsidRDefault="007D5EE0" w:rsidP="007D5EE0">
      <w:pPr>
        <w:pStyle w:val="Heading3"/>
      </w:pPr>
      <w:bookmarkStart w:id="146" w:name="_Toc98323768"/>
      <w:r w:rsidRPr="00E331B8">
        <w:t>Consumer education campaign</w:t>
      </w:r>
      <w:bookmarkEnd w:id="146"/>
      <w:r w:rsidRPr="00E331B8">
        <w:t xml:space="preserve"> </w:t>
      </w:r>
    </w:p>
    <w:p w14:paraId="65041475" w14:textId="77777777" w:rsidR="007D5EE0" w:rsidRDefault="007D5EE0" w:rsidP="007D5EE0">
      <w:pPr>
        <w:pStyle w:val="Paragraph"/>
      </w:pPr>
      <w:r w:rsidRPr="00DB0E57">
        <w:t xml:space="preserve">The education campaign may provide </w:t>
      </w:r>
      <w:r>
        <w:t xml:space="preserve">some </w:t>
      </w:r>
      <w:r w:rsidRPr="00DB0E57">
        <w:t xml:space="preserve">benefits to </w:t>
      </w:r>
      <w:r>
        <w:t>the community</w:t>
      </w:r>
      <w:r w:rsidRPr="00DB0E57">
        <w:t xml:space="preserve"> </w:t>
      </w:r>
      <w:r>
        <w:t xml:space="preserve">to support a </w:t>
      </w:r>
      <w:r w:rsidRPr="00DB0E57">
        <w:t>reduc</w:t>
      </w:r>
      <w:r>
        <w:t>tion in</w:t>
      </w:r>
      <w:r w:rsidRPr="00DB0E57">
        <w:t xml:space="preserve"> financial losses</w:t>
      </w:r>
      <w:r>
        <w:t>,</w:t>
      </w:r>
      <w:r w:rsidRPr="00DB0E57">
        <w:t xml:space="preserve"> and ongoing psychological distress – from providing information t</w:t>
      </w:r>
      <w:r>
        <w:t>hat</w:t>
      </w:r>
      <w:r w:rsidRPr="00DB0E57">
        <w:t xml:space="preserve"> </w:t>
      </w:r>
      <w:r>
        <w:t>encourages Australians to be more aware of protecting their digital identity to</w:t>
      </w:r>
      <w:r w:rsidRPr="00DB0E57">
        <w:t xml:space="preserve"> </w:t>
      </w:r>
      <w:r>
        <w:t>CSPs</w:t>
      </w:r>
      <w:r w:rsidRPr="00DB0E57">
        <w:t xml:space="preserve"> more effectively </w:t>
      </w:r>
      <w:r>
        <w:t xml:space="preserve">protecting </w:t>
      </w:r>
      <w:r w:rsidRPr="00DB0E57">
        <w:t>customers</w:t>
      </w:r>
      <w:r>
        <w:t>’ accounts</w:t>
      </w:r>
      <w:r w:rsidRPr="00DB0E57">
        <w:t>.</w:t>
      </w:r>
    </w:p>
    <w:p w14:paraId="6891AD62" w14:textId="77777777" w:rsidR="007D5EE0" w:rsidRDefault="007D5EE0" w:rsidP="007D5EE0">
      <w:pPr>
        <w:pStyle w:val="Paragraph"/>
        <w:rPr>
          <w:highlight w:val="yellow"/>
        </w:rPr>
      </w:pPr>
      <w:r w:rsidRPr="00DB0E57">
        <w:t xml:space="preserve">However, it does not match the benefits of placing enforceable obligations on providers to ensure consistent practices are in place to reduce the </w:t>
      </w:r>
      <w:r>
        <w:t xml:space="preserve">significant </w:t>
      </w:r>
      <w:r w:rsidRPr="00DB0E57">
        <w:t xml:space="preserve">impact of identity theft </w:t>
      </w:r>
      <w:r w:rsidRPr="004D6D67">
        <w:t xml:space="preserve">and fraud because of unauthorised high-risk customer </w:t>
      </w:r>
      <w:r>
        <w:t>transactions</w:t>
      </w:r>
      <w:r w:rsidRPr="004D6D67">
        <w:t>. Additionally, it is noted that the enforceable obligations approach will mandate a level of consumer awareness-raising that also supports enhanced identity verification processes and consistent, industry-wide practices.</w:t>
      </w:r>
    </w:p>
    <w:p w14:paraId="37B5837C" w14:textId="77777777" w:rsidR="007D5EE0" w:rsidRPr="00BF41CE" w:rsidRDefault="007D5EE0" w:rsidP="007D5EE0">
      <w:pPr>
        <w:pStyle w:val="Heading1"/>
      </w:pPr>
      <w:bookmarkStart w:id="147" w:name="_Toc32833711"/>
      <w:bookmarkStart w:id="148" w:name="_Toc32833756"/>
      <w:bookmarkStart w:id="149" w:name="_Toc32833829"/>
      <w:bookmarkStart w:id="150" w:name="_Toc33176394"/>
      <w:bookmarkStart w:id="151" w:name="_Toc55546930"/>
      <w:bookmarkStart w:id="152" w:name="_Toc83629966"/>
      <w:bookmarkStart w:id="153" w:name="_Toc98323769"/>
      <w:r w:rsidRPr="00BF41CE">
        <w:t>How will you implement your chosen option?</w:t>
      </w:r>
      <w:bookmarkEnd w:id="147"/>
      <w:bookmarkEnd w:id="148"/>
      <w:bookmarkEnd w:id="149"/>
      <w:bookmarkEnd w:id="150"/>
      <w:bookmarkEnd w:id="151"/>
      <w:bookmarkEnd w:id="152"/>
      <w:bookmarkEnd w:id="153"/>
    </w:p>
    <w:p w14:paraId="498201B1" w14:textId="77777777" w:rsidR="007D5EE0" w:rsidRDefault="007D5EE0" w:rsidP="007D5EE0">
      <w:pPr>
        <w:pStyle w:val="Heading2"/>
      </w:pPr>
      <w:bookmarkStart w:id="154" w:name="_Toc32833712"/>
      <w:bookmarkStart w:id="155" w:name="_Toc32833757"/>
      <w:bookmarkStart w:id="156" w:name="_Toc32833830"/>
      <w:bookmarkStart w:id="157" w:name="_Toc33176395"/>
      <w:bookmarkStart w:id="158" w:name="_Toc55546931"/>
      <w:bookmarkStart w:id="159" w:name="_Toc83629967"/>
      <w:bookmarkStart w:id="160" w:name="_Toc98323770"/>
      <w:r w:rsidRPr="00BF41CE">
        <w:t>Implementation</w:t>
      </w:r>
      <w:bookmarkEnd w:id="154"/>
      <w:bookmarkEnd w:id="155"/>
      <w:bookmarkEnd w:id="156"/>
      <w:bookmarkEnd w:id="157"/>
      <w:bookmarkEnd w:id="158"/>
      <w:bookmarkEnd w:id="159"/>
      <w:bookmarkEnd w:id="160"/>
      <w:r w:rsidRPr="00BF41CE">
        <w:t xml:space="preserve"> </w:t>
      </w:r>
    </w:p>
    <w:p w14:paraId="1B87AE62" w14:textId="77777777" w:rsidR="007D5EE0" w:rsidRDefault="007D5EE0" w:rsidP="007D5EE0">
      <w:pPr>
        <w:pStyle w:val="Paragraph"/>
        <w:rPr>
          <w:szCs w:val="20"/>
        </w:rPr>
      </w:pPr>
      <w:r>
        <w:t xml:space="preserve">We </w:t>
      </w:r>
      <w:r w:rsidRPr="00D309DE">
        <w:t>may develop a service provider determination under subsection 99(1) of the</w:t>
      </w:r>
      <w:r>
        <w:t xml:space="preserve"> Telecommunications</w:t>
      </w:r>
      <w:r w:rsidRPr="00D309DE">
        <w:t xml:space="preserve"> Act</w:t>
      </w:r>
      <w:r>
        <w:t xml:space="preserve"> to </w:t>
      </w:r>
      <w:r>
        <w:rPr>
          <w:szCs w:val="20"/>
        </w:rPr>
        <w:t xml:space="preserve">implement enforceable obligations </w:t>
      </w:r>
      <w:r w:rsidRPr="006C48CB">
        <w:rPr>
          <w:szCs w:val="20"/>
        </w:rPr>
        <w:t xml:space="preserve">on the basis that (as required by Regulation 10 of the Telecommunications Regulations 2021) it would relate to the interest that customers of service providers have in relation to the supply of </w:t>
      </w:r>
      <w:r>
        <w:rPr>
          <w:szCs w:val="20"/>
        </w:rPr>
        <w:t>specified carriage services</w:t>
      </w:r>
      <w:r w:rsidRPr="006C48CB">
        <w:rPr>
          <w:szCs w:val="20"/>
        </w:rPr>
        <w:t>.</w:t>
      </w:r>
    </w:p>
    <w:p w14:paraId="3F39993A" w14:textId="77777777" w:rsidR="007D5EE0" w:rsidRDefault="007D5EE0" w:rsidP="007D5EE0">
      <w:pPr>
        <w:pStyle w:val="Paragraphbeforelist"/>
      </w:pPr>
      <w:r>
        <w:t>The determination would also provide us with a w</w:t>
      </w:r>
      <w:r w:rsidRPr="00E4635C">
        <w:t xml:space="preserve">ide range of </w:t>
      </w:r>
      <w:r>
        <w:t xml:space="preserve">immediately available </w:t>
      </w:r>
      <w:r w:rsidRPr="00E4635C">
        <w:t xml:space="preserve">enforcement options </w:t>
      </w:r>
      <w:r>
        <w:t>such as:</w:t>
      </w:r>
    </w:p>
    <w:p w14:paraId="1FB825AE" w14:textId="77777777" w:rsidR="007D5EE0" w:rsidRPr="006C48CB" w:rsidRDefault="007D5EE0" w:rsidP="007D5EE0">
      <w:pPr>
        <w:pStyle w:val="ListBullet"/>
      </w:pPr>
      <w:r w:rsidRPr="006C48CB">
        <w:t>formal warning</w:t>
      </w:r>
    </w:p>
    <w:p w14:paraId="768A555B" w14:textId="77777777" w:rsidR="007D5EE0" w:rsidRPr="006C48CB" w:rsidRDefault="007D5EE0" w:rsidP="007D5EE0">
      <w:pPr>
        <w:pStyle w:val="ListBullet"/>
      </w:pPr>
      <w:r w:rsidRPr="006C48CB">
        <w:t>enforceable undertaking</w:t>
      </w:r>
    </w:p>
    <w:p w14:paraId="33F97966" w14:textId="77777777" w:rsidR="007D5EE0" w:rsidRPr="006C48CB" w:rsidRDefault="007D5EE0" w:rsidP="007D5EE0">
      <w:pPr>
        <w:pStyle w:val="ListBullet"/>
      </w:pPr>
      <w:r w:rsidRPr="006C48CB">
        <w:t>remedial directions</w:t>
      </w:r>
    </w:p>
    <w:p w14:paraId="04B302EB" w14:textId="77777777" w:rsidR="007D5EE0" w:rsidRPr="006C48CB" w:rsidRDefault="007D5EE0" w:rsidP="007D5EE0">
      <w:pPr>
        <w:pStyle w:val="ListBullet"/>
      </w:pPr>
      <w:r w:rsidRPr="006C48CB">
        <w:t>infringement notice (</w:t>
      </w:r>
      <w:r>
        <w:t>f</w:t>
      </w:r>
      <w:r w:rsidRPr="006C48CB">
        <w:t>or infringement notices to be available the provisions must be listed in the Telecommunications (Listed Infringement Notice Provisions) Declaration 2011)</w:t>
      </w:r>
    </w:p>
    <w:p w14:paraId="6283A213" w14:textId="77777777" w:rsidR="007D5EE0" w:rsidRPr="009801DE" w:rsidRDefault="007D5EE0" w:rsidP="007D5EE0">
      <w:pPr>
        <w:pStyle w:val="ListBulletLast"/>
        <w:numPr>
          <w:ilvl w:val="0"/>
          <w:numId w:val="4"/>
        </w:numPr>
      </w:pPr>
      <w:r>
        <w:t xml:space="preserve">commencement of proceedings in the </w:t>
      </w:r>
      <w:r w:rsidRPr="009801DE">
        <w:t>Federal Court</w:t>
      </w:r>
      <w:r>
        <w:t xml:space="preserve"> of Australia</w:t>
      </w:r>
      <w:r w:rsidRPr="009801DE">
        <w:t>.</w:t>
      </w:r>
    </w:p>
    <w:p w14:paraId="6EED8F49" w14:textId="77777777" w:rsidR="007D5EE0" w:rsidRDefault="007D5EE0" w:rsidP="007D5EE0">
      <w:pPr>
        <w:pStyle w:val="Paragraphbeforelist"/>
      </w:pPr>
      <w:r>
        <w:t>We may</w:t>
      </w:r>
      <w:r w:rsidRPr="00D309DE">
        <w:t xml:space="preserve"> </w:t>
      </w:r>
      <w:r>
        <w:t xml:space="preserve">also </w:t>
      </w:r>
      <w:r w:rsidRPr="00D309DE">
        <w:t xml:space="preserve">determine an industry standard </w:t>
      </w:r>
      <w:r>
        <w:t>under Part 6 of the Telecommunications Act in limited circumstances:</w:t>
      </w:r>
    </w:p>
    <w:p w14:paraId="2A9EE24D" w14:textId="77777777" w:rsidR="007D5EE0" w:rsidRDefault="007D5EE0" w:rsidP="007D5EE0">
      <w:pPr>
        <w:pStyle w:val="ListBullet"/>
      </w:pPr>
      <w:r>
        <w:t>where it has requested an industry body</w:t>
      </w:r>
      <w:r>
        <w:rPr>
          <w:rStyle w:val="FootnoteReference"/>
        </w:rPr>
        <w:footnoteReference w:id="88"/>
      </w:r>
      <w:r>
        <w:t xml:space="preserve"> to make an industry code and they have not (section 123)</w:t>
      </w:r>
    </w:p>
    <w:p w14:paraId="2C5C6456" w14:textId="77777777" w:rsidR="007D5EE0" w:rsidRDefault="007D5EE0" w:rsidP="007D5EE0">
      <w:pPr>
        <w:pStyle w:val="ListBullet"/>
      </w:pPr>
      <w:r>
        <w:t>if there is no industry body or association formed (section 124)</w:t>
      </w:r>
    </w:p>
    <w:p w14:paraId="6F821234" w14:textId="77777777" w:rsidR="007D5EE0" w:rsidRPr="004303DD" w:rsidRDefault="007D5EE0" w:rsidP="007D5EE0">
      <w:pPr>
        <w:pStyle w:val="ListBulletLast"/>
        <w:numPr>
          <w:ilvl w:val="0"/>
          <w:numId w:val="4"/>
        </w:numPr>
      </w:pPr>
      <w:r>
        <w:t>or an industry code that has been made is deficient (section 125).</w:t>
      </w:r>
    </w:p>
    <w:p w14:paraId="6C01425C" w14:textId="77777777" w:rsidR="007D5EE0" w:rsidRPr="00F077A8" w:rsidRDefault="007D5EE0" w:rsidP="007D5EE0">
      <w:pPr>
        <w:pStyle w:val="Paragraph"/>
      </w:pPr>
      <w:r>
        <w:t xml:space="preserve">We </w:t>
      </w:r>
      <w:r w:rsidRPr="00F077A8">
        <w:rPr>
          <w:iCs/>
        </w:rPr>
        <w:t xml:space="preserve">must </w:t>
      </w:r>
      <w:r w:rsidRPr="001C6174">
        <w:t>determine an industry standard if directed by the Minister</w:t>
      </w:r>
      <w:r>
        <w:t xml:space="preserve"> i</w:t>
      </w:r>
      <w:r w:rsidRPr="001C6174">
        <w:t>n accordance with section 125AA</w:t>
      </w:r>
      <w:r>
        <w:t xml:space="preserve"> of the Telecommunications Act. Industry standards apply to </w:t>
      </w:r>
      <w:r w:rsidRPr="00F768CB">
        <w:t>participants in a particular section of the telecommunications industry; and</w:t>
      </w:r>
      <w:r>
        <w:t xml:space="preserve"> may </w:t>
      </w:r>
      <w:r w:rsidRPr="00F768CB">
        <w:t>deal with one or more matters relating to the telecommunications activities of those participants.</w:t>
      </w:r>
    </w:p>
    <w:p w14:paraId="075BABCD" w14:textId="77777777" w:rsidR="007D5EE0" w:rsidRPr="00816AD3" w:rsidRDefault="007D5EE0" w:rsidP="007D5EE0">
      <w:pPr>
        <w:pStyle w:val="Paragraph"/>
        <w:rPr>
          <w:szCs w:val="20"/>
        </w:rPr>
      </w:pPr>
      <w:r w:rsidRPr="00816AD3">
        <w:rPr>
          <w:szCs w:val="20"/>
        </w:rPr>
        <w:t>Alternatively, we may register a code submitted by industry under Part 6 of the Telecommunications Act. As noted on page 33, a precursor to code registration is that we must be satisfied that Communications Alliance has consulted as per section 117 of the Telecommunications Act. We must also consult with the OAIC that it is satisfied with the code – particularly if it deals with matters under the Privacy Act.</w:t>
      </w:r>
    </w:p>
    <w:p w14:paraId="62DA8BFF" w14:textId="77777777" w:rsidR="007D5EE0" w:rsidRPr="00816AD3" w:rsidRDefault="007D5EE0" w:rsidP="007D5EE0">
      <w:pPr>
        <w:rPr>
          <w:rFonts w:ascii="Arial" w:hAnsi="Arial" w:cs="Arial"/>
          <w:sz w:val="20"/>
          <w:szCs w:val="20"/>
        </w:rPr>
      </w:pPr>
      <w:r w:rsidRPr="00816AD3">
        <w:rPr>
          <w:rFonts w:ascii="Arial" w:hAnsi="Arial" w:cs="Arial"/>
          <w:sz w:val="20"/>
          <w:szCs w:val="20"/>
        </w:rPr>
        <w:t xml:space="preserve">Our enforcement options in the event of a code breach are formal warning or direction to comply with a code. Once an entity is directed to comply with a code, enforcement actions include pursuing civil penalties through the Federal </w:t>
      </w:r>
      <w:proofErr w:type="gramStart"/>
      <w:r w:rsidRPr="00816AD3">
        <w:rPr>
          <w:rFonts w:ascii="Arial" w:hAnsi="Arial" w:cs="Arial"/>
          <w:sz w:val="20"/>
          <w:szCs w:val="20"/>
        </w:rPr>
        <w:t>Court</w:t>
      </w:r>
      <w:proofErr w:type="gramEnd"/>
      <w:r w:rsidRPr="00816AD3">
        <w:rPr>
          <w:rFonts w:ascii="Arial" w:hAnsi="Arial" w:cs="Arial"/>
          <w:sz w:val="20"/>
          <w:szCs w:val="20"/>
        </w:rPr>
        <w:t xml:space="preserve"> or an infringement notice issued if a direction to comply is then breached (under Part 31 of the Telecommunications Act).</w:t>
      </w:r>
    </w:p>
    <w:p w14:paraId="75399C23" w14:textId="77777777" w:rsidR="007D5EE0" w:rsidRPr="00AC155E" w:rsidRDefault="007D5EE0" w:rsidP="007D5EE0">
      <w:pPr>
        <w:pStyle w:val="Heading3"/>
      </w:pPr>
      <w:bookmarkStart w:id="161" w:name="_Toc98323771"/>
      <w:r w:rsidRPr="00AC155E">
        <w:t>Engagement to support implementation</w:t>
      </w:r>
      <w:bookmarkEnd w:id="161"/>
    </w:p>
    <w:p w14:paraId="3E27D723" w14:textId="77777777" w:rsidR="007D5EE0" w:rsidRPr="005B7072" w:rsidRDefault="007D5EE0" w:rsidP="007D5EE0">
      <w:pPr>
        <w:pStyle w:val="Paragraph"/>
      </w:pPr>
      <w:r>
        <w:t xml:space="preserve">We </w:t>
      </w:r>
      <w:r w:rsidRPr="005B7072">
        <w:t xml:space="preserve">intend to </w:t>
      </w:r>
      <w:r>
        <w:t>engage with</w:t>
      </w:r>
      <w:r w:rsidRPr="005B7072">
        <w:t xml:space="preserve"> </w:t>
      </w:r>
      <w:r>
        <w:t xml:space="preserve">Communications Alliance to </w:t>
      </w:r>
      <w:r w:rsidRPr="00B05CF9">
        <w:t xml:space="preserve">ensure </w:t>
      </w:r>
      <w:r>
        <w:t>CSP</w:t>
      </w:r>
      <w:r w:rsidRPr="00B05CF9">
        <w:t xml:space="preserve">s are aware </w:t>
      </w:r>
      <w:r>
        <w:t xml:space="preserve">and understand the introduction </w:t>
      </w:r>
      <w:r w:rsidRPr="00B05CF9">
        <w:t xml:space="preserve">of </w:t>
      </w:r>
      <w:r>
        <w:t xml:space="preserve">new </w:t>
      </w:r>
      <w:r w:rsidRPr="00B05CF9">
        <w:t>enforceable obligations</w:t>
      </w:r>
      <w:r>
        <w:t xml:space="preserve">. This may include by </w:t>
      </w:r>
      <w:r w:rsidRPr="005B7072">
        <w:t>provid</w:t>
      </w:r>
      <w:r>
        <w:t>ing</w:t>
      </w:r>
      <w:r w:rsidRPr="005B7072">
        <w:t xml:space="preserve"> additional guidance</w:t>
      </w:r>
      <w:r>
        <w:t xml:space="preserve"> leading up to and</w:t>
      </w:r>
      <w:r w:rsidRPr="005B7072">
        <w:t xml:space="preserve"> following </w:t>
      </w:r>
      <w:r>
        <w:t>their introduction</w:t>
      </w:r>
      <w:r w:rsidRPr="005B7072">
        <w:t>.</w:t>
      </w:r>
    </w:p>
    <w:p w14:paraId="19752D43" w14:textId="77777777" w:rsidR="007D5EE0" w:rsidRPr="00BF41CE" w:rsidDel="00343DBF" w:rsidRDefault="007D5EE0" w:rsidP="007D5EE0">
      <w:pPr>
        <w:pStyle w:val="Paragraph"/>
      </w:pPr>
      <w:bookmarkStart w:id="162" w:name="_Toc32833713"/>
      <w:bookmarkStart w:id="163" w:name="_Toc33176396"/>
      <w:bookmarkStart w:id="164" w:name="_Toc55546932"/>
      <w:bookmarkStart w:id="165" w:name="_Toc83629968"/>
      <w:r>
        <w:t xml:space="preserve">Engagement can also occur through a range of forums including the Communications Alliance working committee, STAT, and NAC. Discussion in these forums will be enable us to stay informed of, and potentially address, any implementation concerns that industry may have and </w:t>
      </w:r>
      <w:r w:rsidRPr="002F1374">
        <w:t>encourage ongoing best</w:t>
      </w:r>
      <w:r>
        <w:t xml:space="preserve"> </w:t>
      </w:r>
      <w:r w:rsidRPr="002F1374">
        <w:t>practice</w:t>
      </w:r>
      <w:r>
        <w:t>.</w:t>
      </w:r>
      <w:bookmarkEnd w:id="162"/>
      <w:bookmarkEnd w:id="163"/>
      <w:bookmarkEnd w:id="164"/>
      <w:bookmarkEnd w:id="165"/>
    </w:p>
    <w:p w14:paraId="3F562B1F" w14:textId="77777777" w:rsidR="007D5EE0" w:rsidRPr="00C9453D" w:rsidRDefault="007D5EE0" w:rsidP="007D5EE0">
      <w:pPr>
        <w:pStyle w:val="Paragraph"/>
      </w:pPr>
      <w:r w:rsidRPr="00394612">
        <w:t xml:space="preserve">The direct driver for the new enforceable obligations is not industry, but </w:t>
      </w:r>
      <w:r>
        <w:t xml:space="preserve">scammers. </w:t>
      </w:r>
      <w:r w:rsidRPr="00394612">
        <w:t>This malicious driver creates a need for ongoing flexibility for industry in adoption and delivery of adaptive</w:t>
      </w:r>
      <w:r>
        <w:t xml:space="preserve"> scam disruption</w:t>
      </w:r>
      <w:r w:rsidRPr="00394612">
        <w:t xml:space="preserve"> measures</w:t>
      </w:r>
      <w:r>
        <w:t>. To the extent possible, the e</w:t>
      </w:r>
      <w:r w:rsidRPr="00DB0E57">
        <w:t xml:space="preserve">nforceable obligations will be drafted with in-built flexibility to allow CSPs </w:t>
      </w:r>
      <w:r>
        <w:t xml:space="preserve">a degree of </w:t>
      </w:r>
      <w:r w:rsidRPr="00DB0E57">
        <w:t xml:space="preserve">choice in </w:t>
      </w:r>
      <w:r>
        <w:t xml:space="preserve">how to implement </w:t>
      </w:r>
      <w:r w:rsidRPr="00DB0E57">
        <w:t>the new obligations.</w:t>
      </w:r>
    </w:p>
    <w:p w14:paraId="67C11E8C" w14:textId="77777777" w:rsidR="007D5EE0" w:rsidRDefault="007D5EE0" w:rsidP="007D5EE0">
      <w:pPr>
        <w:pStyle w:val="Bulletlevel1last"/>
      </w:pPr>
      <w:r>
        <w:t>Phone scams are a compliance priority</w:t>
      </w:r>
      <w:r>
        <w:rPr>
          <w:rStyle w:val="FootnoteReference"/>
        </w:rPr>
        <w:footnoteReference w:id="89"/>
      </w:r>
      <w:r>
        <w:t xml:space="preserve"> for us in 2021–22 </w:t>
      </w:r>
      <w:r w:rsidRPr="005B7072">
        <w:t xml:space="preserve">and activities will include targeted compliance against the new </w:t>
      </w:r>
      <w:r>
        <w:t>obligation</w:t>
      </w:r>
      <w:r w:rsidRPr="005B7072">
        <w:t>s and potential investigations.</w:t>
      </w:r>
      <w:r>
        <w:t xml:space="preserve"> This will include monitoring complaints received by the TIO, ACCC, ACSC and the financial sector and risk-based escalation interventions where appropriate.</w:t>
      </w:r>
    </w:p>
    <w:p w14:paraId="76BDDC57" w14:textId="77777777" w:rsidR="007D5EE0" w:rsidRPr="007572DB" w:rsidRDefault="007D5EE0" w:rsidP="007D5EE0">
      <w:pPr>
        <w:pStyle w:val="Paragraph"/>
      </w:pPr>
      <w:r>
        <w:t>We will work with industry so that</w:t>
      </w:r>
      <w:r w:rsidRPr="007572DB">
        <w:t xml:space="preserve"> </w:t>
      </w:r>
      <w:r>
        <w:t>industry is</w:t>
      </w:r>
      <w:r w:rsidRPr="007572DB">
        <w:t xml:space="preserve"> </w:t>
      </w:r>
      <w:r>
        <w:t>aware it must comply</w:t>
      </w:r>
      <w:r w:rsidRPr="007572DB">
        <w:t xml:space="preserve"> </w:t>
      </w:r>
      <w:r>
        <w:t>with new obligations at the time they come into effect. W</w:t>
      </w:r>
      <w:r w:rsidRPr="003861F7">
        <w:t xml:space="preserve">e are aware that </w:t>
      </w:r>
      <w:r>
        <w:t>some</w:t>
      </w:r>
      <w:r w:rsidRPr="003861F7">
        <w:t xml:space="preserve"> </w:t>
      </w:r>
      <w:r>
        <w:t>CSPs</w:t>
      </w:r>
      <w:r w:rsidRPr="003861F7">
        <w:t xml:space="preserve"> have been proactive in implementing multifactor i</w:t>
      </w:r>
      <w:r>
        <w:t>denti</w:t>
      </w:r>
      <w:r w:rsidRPr="003861F7">
        <w:t>ty verification</w:t>
      </w:r>
      <w:r>
        <w:t xml:space="preserve"> processes</w:t>
      </w:r>
      <w:r w:rsidRPr="003861F7">
        <w:t xml:space="preserve"> to address fraud</w:t>
      </w:r>
      <w:r>
        <w:t xml:space="preserve"> from unauthorised high-risk customer transactions</w:t>
      </w:r>
      <w:r w:rsidRPr="003861F7">
        <w:t xml:space="preserve">. We are </w:t>
      </w:r>
      <w:r>
        <w:t xml:space="preserve">also </w:t>
      </w:r>
      <w:r w:rsidRPr="003861F7">
        <w:t xml:space="preserve">aware that </w:t>
      </w:r>
      <w:r>
        <w:t>CSP</w:t>
      </w:r>
      <w:r w:rsidRPr="003861F7">
        <w:t>s are at different stages of implementation, which is also reflected in the level of fraud they are experiencing. Smaller providers</w:t>
      </w:r>
      <w:r>
        <w:t xml:space="preserve"> </w:t>
      </w:r>
      <w:r w:rsidRPr="003861F7">
        <w:t>may have minimal processes in place to meet the proposed new rules.</w:t>
      </w:r>
    </w:p>
    <w:p w14:paraId="6CBADCA1" w14:textId="77777777" w:rsidR="007D5EE0" w:rsidRPr="007572DB" w:rsidRDefault="007D5EE0" w:rsidP="007D5EE0">
      <w:pPr>
        <w:pStyle w:val="Paragraph"/>
      </w:pPr>
      <w:r w:rsidRPr="007572DB">
        <w:t xml:space="preserve">Customer awareness and safeguard information is expected to be straightforward to implement, with </w:t>
      </w:r>
      <w:r>
        <w:t>CSPs</w:t>
      </w:r>
      <w:r w:rsidRPr="007572DB">
        <w:t xml:space="preserve"> stating they already cover much of the information on their website</w:t>
      </w:r>
      <w:r>
        <w:t>s</w:t>
      </w:r>
      <w:r w:rsidRPr="007572DB">
        <w:t xml:space="preserve"> and would make updates to meet the </w:t>
      </w:r>
      <w:r>
        <w:t>new obligations.</w:t>
      </w:r>
    </w:p>
    <w:p w14:paraId="57AF0366" w14:textId="77777777" w:rsidR="007D5EE0" w:rsidRPr="002D0C4C" w:rsidRDefault="007D5EE0" w:rsidP="007D5EE0">
      <w:pPr>
        <w:pStyle w:val="Heading3"/>
      </w:pPr>
      <w:bookmarkStart w:id="166" w:name="_Toc32833714"/>
      <w:bookmarkStart w:id="167" w:name="_Toc33176397"/>
      <w:bookmarkStart w:id="168" w:name="_Toc98323772"/>
      <w:r>
        <w:rPr>
          <w:szCs w:val="20"/>
        </w:rPr>
        <w:t>Education campaign</w:t>
      </w:r>
      <w:bookmarkEnd w:id="166"/>
      <w:bookmarkEnd w:id="167"/>
      <w:bookmarkEnd w:id="168"/>
    </w:p>
    <w:p w14:paraId="70224415" w14:textId="77777777" w:rsidR="007D5EE0" w:rsidRDefault="007D5EE0" w:rsidP="007D5EE0">
      <w:pPr>
        <w:pStyle w:val="Paragraph"/>
      </w:pPr>
      <w:r>
        <w:t>We have</w:t>
      </w:r>
      <w:r w:rsidRPr="007572DB">
        <w:t xml:space="preserve"> a range of regulatory </w:t>
      </w:r>
      <w:r>
        <w:t xml:space="preserve">and non-regulatory </w:t>
      </w:r>
      <w:r w:rsidRPr="007572DB">
        <w:t>tools to encourage compliance</w:t>
      </w:r>
      <w:r>
        <w:t xml:space="preserve">, including resources to support </w:t>
      </w:r>
      <w:r w:rsidRPr="007572DB">
        <w:t xml:space="preserve">education </w:t>
      </w:r>
      <w:r>
        <w:t>and build awareness. We will leverage off our stakeholder networks to engage with industry to reduce the detriment caused to consumers by fraud from unauthorised high-risk customer transactions.</w:t>
      </w:r>
    </w:p>
    <w:p w14:paraId="6D9AC646" w14:textId="77777777" w:rsidR="007D5EE0" w:rsidRDefault="007D5EE0" w:rsidP="007D5EE0">
      <w:pPr>
        <w:pStyle w:val="Paragraph"/>
      </w:pPr>
      <w:r w:rsidRPr="00492686">
        <w:t xml:space="preserve">While an education </w:t>
      </w:r>
      <w:r>
        <w:t>campaign</w:t>
      </w:r>
      <w:r w:rsidRPr="00492686">
        <w:t xml:space="preserve"> did not have the greatest net benefit</w:t>
      </w:r>
      <w:r>
        <w:t xml:space="preserve"> as a standalone option to address this issue</w:t>
      </w:r>
      <w:r w:rsidRPr="00492686">
        <w:t>, a</w:t>
      </w:r>
      <w:r>
        <w:t xml:space="preserve"> modest, targeted </w:t>
      </w:r>
      <w:r w:rsidRPr="00492686">
        <w:t>education program ma</w:t>
      </w:r>
      <w:r>
        <w:t>y</w:t>
      </w:r>
      <w:r w:rsidRPr="00492686">
        <w:t xml:space="preserve"> be used to help customers and industry</w:t>
      </w:r>
      <w:r>
        <w:t xml:space="preserve"> </w:t>
      </w:r>
      <w:r w:rsidRPr="00492686">
        <w:t>transition</w:t>
      </w:r>
      <w:r>
        <w:t>. Such a program will need to be circumspect on any technical detail to avoid scammers using the information to find ways to bypass additional customer identity verification processes.</w:t>
      </w:r>
    </w:p>
    <w:p w14:paraId="65B553F4" w14:textId="77777777" w:rsidR="007D5EE0" w:rsidRDefault="007D5EE0" w:rsidP="007D5EE0">
      <w:pPr>
        <w:pStyle w:val="Paragraph"/>
      </w:pPr>
    </w:p>
    <w:p w14:paraId="7862A076" w14:textId="77777777" w:rsidR="007D5EE0" w:rsidRPr="00BF41CE" w:rsidRDefault="007D5EE0" w:rsidP="007D5EE0">
      <w:pPr>
        <w:pStyle w:val="Heading1"/>
      </w:pPr>
      <w:bookmarkStart w:id="169" w:name="_Toc32833715"/>
      <w:bookmarkStart w:id="170" w:name="_Toc32833758"/>
      <w:bookmarkStart w:id="171" w:name="_Toc32833831"/>
      <w:bookmarkStart w:id="172" w:name="_Toc33176398"/>
      <w:bookmarkStart w:id="173" w:name="_Toc55546933"/>
      <w:bookmarkStart w:id="174" w:name="_Toc83629969"/>
      <w:bookmarkStart w:id="175" w:name="_Toc98323773"/>
      <w:r w:rsidRPr="00BF41CE">
        <w:t>Evaluation</w:t>
      </w:r>
      <w:bookmarkEnd w:id="169"/>
      <w:bookmarkEnd w:id="170"/>
      <w:bookmarkEnd w:id="171"/>
      <w:bookmarkEnd w:id="172"/>
      <w:bookmarkEnd w:id="173"/>
      <w:bookmarkEnd w:id="174"/>
      <w:bookmarkEnd w:id="175"/>
    </w:p>
    <w:p w14:paraId="7AB2D37D" w14:textId="77777777" w:rsidR="007D5EE0" w:rsidRDefault="007D5EE0" w:rsidP="007D5EE0">
      <w:pPr>
        <w:pStyle w:val="Paragraph"/>
      </w:pPr>
      <w:r>
        <w:t xml:space="preserve">The ACMA will monitor the implementation of enforceable obligations and evaluate measures through built-in review points as part of the ACMA’s ongoing regulatory reform, </w:t>
      </w:r>
      <w:proofErr w:type="gramStart"/>
      <w:r>
        <w:t>monitoring</w:t>
      </w:r>
      <w:proofErr w:type="gramEnd"/>
      <w:r>
        <w:t xml:space="preserve"> and </w:t>
      </w:r>
      <w:r w:rsidRPr="007572DB">
        <w:t>compliance activities</w:t>
      </w:r>
      <w:r>
        <w:t>.</w:t>
      </w:r>
    </w:p>
    <w:p w14:paraId="39684FBB" w14:textId="77777777" w:rsidR="007D5EE0" w:rsidRDefault="007D5EE0" w:rsidP="007D5EE0">
      <w:pPr>
        <w:pStyle w:val="Paragraph"/>
      </w:pPr>
      <w:r>
        <w:t>As previously discussed, phone scams are a compliance priority for the ACMA in 2021–22 and, given the harms involved, are likely to be a key focus in forward years.</w:t>
      </w:r>
    </w:p>
    <w:p w14:paraId="71C7935F" w14:textId="77777777" w:rsidR="007D5EE0" w:rsidRDefault="007D5EE0" w:rsidP="007D5EE0">
      <w:pPr>
        <w:pStyle w:val="Paragraph"/>
      </w:pPr>
      <w:r>
        <w:t>T</w:t>
      </w:r>
      <w:r w:rsidRPr="007572DB">
        <w:t xml:space="preserve">he ACMA will have an active compliance work program for </w:t>
      </w:r>
      <w:r>
        <w:t>the new enforceable obligations</w:t>
      </w:r>
      <w:r w:rsidRPr="007572DB">
        <w:t>. This will include monitoring complaints about</w:t>
      </w:r>
      <w:r>
        <w:t xml:space="preserve"> identity theft and</w:t>
      </w:r>
      <w:r w:rsidRPr="007572DB">
        <w:t xml:space="preserve"> </w:t>
      </w:r>
      <w:r>
        <w:t>fraud resulting from unauthorised high-risk customer transactions</w:t>
      </w:r>
      <w:r w:rsidRPr="007572DB">
        <w:t xml:space="preserve"> received by the TIO</w:t>
      </w:r>
      <w:r>
        <w:t>, the financial sector and government agencies</w:t>
      </w:r>
      <w:r w:rsidRPr="007572DB">
        <w:t xml:space="preserve"> and escalation processes where appropriate</w:t>
      </w:r>
      <w:r>
        <w:t>. It will also include reviewing reports received by the ACCC, AFCX and ACSC.</w:t>
      </w:r>
    </w:p>
    <w:p w14:paraId="106D8692" w14:textId="77777777" w:rsidR="007D5EE0" w:rsidRPr="000F4712" w:rsidRDefault="007D5EE0" w:rsidP="007D5EE0">
      <w:pPr>
        <w:pStyle w:val="Paragraph"/>
        <w:rPr>
          <w:szCs w:val="20"/>
        </w:rPr>
      </w:pPr>
      <w:r w:rsidRPr="000F4712">
        <w:rPr>
          <w:szCs w:val="20"/>
        </w:rPr>
        <w:t>Additionally, the STAT will provide a regular forum to monitor and evaluate the effectiveness and success of the measures set out in the enforceable obligations, as will research into the consumer experience conducted by us on a regular basis.</w:t>
      </w:r>
    </w:p>
    <w:p w14:paraId="54D0479C" w14:textId="77777777" w:rsidR="007D5EE0" w:rsidRPr="000F4712" w:rsidRDefault="007D5EE0" w:rsidP="007D5EE0">
      <w:pPr>
        <w:pStyle w:val="Paragraph"/>
        <w:rPr>
          <w:szCs w:val="20"/>
        </w:rPr>
      </w:pPr>
      <w:r w:rsidRPr="000F4712">
        <w:rPr>
          <w:szCs w:val="20"/>
        </w:rPr>
        <w:t>Success will be measured by the ACMA seeing a notable reduction in the reports of unauthorised high-risk customer transactions, research findings and a decrease in the associated harms from incidences of fraud and identity theft from scams perpetrated over telecommunications networks.</w:t>
      </w:r>
    </w:p>
    <w:p w14:paraId="55580AD4" w14:textId="77777777" w:rsidR="007D5EE0" w:rsidRDefault="007D5EE0" w:rsidP="007D5EE0">
      <w:pPr>
        <w:pStyle w:val="Paragraph"/>
      </w:pPr>
      <w:r>
        <w:t>S</w:t>
      </w:r>
      <w:r w:rsidRPr="007572DB">
        <w:t>hould the measures prove ineffective</w:t>
      </w:r>
      <w:r>
        <w:t>, we may consider regulatory reform or advice to government about implementing rules that will be fit-for-purpose to address harms and any regulatory gaps.</w:t>
      </w:r>
    </w:p>
    <w:p w14:paraId="2DA45B15" w14:textId="77777777" w:rsidR="007D5EE0" w:rsidRDefault="007D5EE0" w:rsidP="007D5EE0">
      <w:pPr>
        <w:spacing w:line="259" w:lineRule="auto"/>
        <w:sectPr w:rsidR="007D5EE0" w:rsidSect="00B46A0E">
          <w:headerReference w:type="even" r:id="rId54"/>
          <w:headerReference w:type="default" r:id="rId55"/>
          <w:footerReference w:type="even" r:id="rId56"/>
          <w:footerReference w:type="default" r:id="rId57"/>
          <w:pgSz w:w="11906" w:h="16838" w:code="9"/>
          <w:pgMar w:top="1945" w:right="3101" w:bottom="1134" w:left="1134" w:header="709" w:footer="119" w:gutter="0"/>
          <w:pgNumType w:start="1"/>
          <w:cols w:space="708"/>
          <w:docGrid w:linePitch="360"/>
        </w:sectPr>
      </w:pPr>
    </w:p>
    <w:p w14:paraId="1546F5F8" w14:textId="77777777" w:rsidR="007D5EE0" w:rsidRDefault="007D5EE0" w:rsidP="007D5EE0">
      <w:pPr>
        <w:pStyle w:val="Heading1"/>
      </w:pPr>
      <w:bookmarkStart w:id="176" w:name="_Toc98323774"/>
      <w:r w:rsidRPr="00AE3F26">
        <w:t>Appendix A</w:t>
      </w:r>
      <w:r>
        <w:t>:</w:t>
      </w:r>
      <w:r w:rsidRPr="00AE3F26">
        <w:t xml:space="preserve"> </w:t>
      </w:r>
      <w:r>
        <w:t xml:space="preserve">Table 1 – </w:t>
      </w:r>
      <w:r w:rsidRPr="00AE3F26">
        <w:t>Calculations to inform the regulatory burden measurement</w:t>
      </w:r>
      <w:bookmarkEnd w:id="176"/>
    </w:p>
    <w:tbl>
      <w:tblPr>
        <w:tblStyle w:val="TableGrid"/>
        <w:tblW w:w="14647" w:type="dxa"/>
        <w:tblInd w:w="0" w:type="dxa"/>
        <w:tblLook w:val="04A0" w:firstRow="1" w:lastRow="0" w:firstColumn="1" w:lastColumn="0" w:noHBand="0" w:noVBand="1"/>
      </w:tblPr>
      <w:tblGrid>
        <w:gridCol w:w="2119"/>
        <w:gridCol w:w="1218"/>
        <w:gridCol w:w="894"/>
        <w:gridCol w:w="1106"/>
        <w:gridCol w:w="963"/>
        <w:gridCol w:w="1628"/>
        <w:gridCol w:w="1565"/>
        <w:gridCol w:w="848"/>
        <w:gridCol w:w="870"/>
        <w:gridCol w:w="1179"/>
        <w:gridCol w:w="1005"/>
        <w:gridCol w:w="1349"/>
      </w:tblGrid>
      <w:tr w:rsidR="007D5EE0" w:rsidRPr="006B1BCD" w14:paraId="050109D4" w14:textId="77777777" w:rsidTr="009A305E">
        <w:trPr>
          <w:trHeight w:val="540"/>
        </w:trPr>
        <w:tc>
          <w:tcPr>
            <w:tcW w:w="2119" w:type="dxa"/>
            <w:shd w:val="clear" w:color="auto" w:fill="D9D9D9" w:themeFill="background1" w:themeFillShade="D9"/>
            <w:vAlign w:val="center"/>
            <w:hideMark/>
          </w:tcPr>
          <w:p w14:paraId="5E56ED8E"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Year One</w:t>
            </w:r>
          </w:p>
        </w:tc>
        <w:tc>
          <w:tcPr>
            <w:tcW w:w="1218" w:type="dxa"/>
            <w:shd w:val="clear" w:color="auto" w:fill="D9D9D9" w:themeFill="background1" w:themeFillShade="D9"/>
            <w:vAlign w:val="center"/>
            <w:hideMark/>
          </w:tcPr>
          <w:p w14:paraId="47E43ED8"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System build</w:t>
            </w:r>
          </w:p>
        </w:tc>
        <w:tc>
          <w:tcPr>
            <w:tcW w:w="894" w:type="dxa"/>
            <w:shd w:val="clear" w:color="auto" w:fill="D9D9D9" w:themeFill="background1" w:themeFillShade="D9"/>
            <w:noWrap/>
            <w:vAlign w:val="center"/>
            <w:hideMark/>
          </w:tcPr>
          <w:p w14:paraId="1A4BD1A4"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Time (hours)</w:t>
            </w:r>
          </w:p>
        </w:tc>
        <w:tc>
          <w:tcPr>
            <w:tcW w:w="1106" w:type="dxa"/>
            <w:shd w:val="clear" w:color="auto" w:fill="D9D9D9" w:themeFill="background1" w:themeFillShade="D9"/>
            <w:noWrap/>
            <w:vAlign w:val="center"/>
            <w:hideMark/>
          </w:tcPr>
          <w:p w14:paraId="69B64D01"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Businesses</w:t>
            </w:r>
          </w:p>
        </w:tc>
        <w:tc>
          <w:tcPr>
            <w:tcW w:w="963" w:type="dxa"/>
            <w:shd w:val="clear" w:color="auto" w:fill="D9D9D9" w:themeFill="background1" w:themeFillShade="D9"/>
            <w:vAlign w:val="center"/>
            <w:hideMark/>
          </w:tcPr>
          <w:p w14:paraId="11B503B2"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Rate/hour ($)</w:t>
            </w:r>
          </w:p>
        </w:tc>
        <w:tc>
          <w:tcPr>
            <w:tcW w:w="1628" w:type="dxa"/>
            <w:shd w:val="clear" w:color="auto" w:fill="D9D9D9" w:themeFill="background1" w:themeFillShade="D9"/>
            <w:noWrap/>
            <w:vAlign w:val="center"/>
            <w:hideMark/>
          </w:tcPr>
          <w:p w14:paraId="685B7F74"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Totals ($)</w:t>
            </w:r>
          </w:p>
        </w:tc>
        <w:tc>
          <w:tcPr>
            <w:tcW w:w="1565" w:type="dxa"/>
            <w:shd w:val="clear" w:color="auto" w:fill="D9D9D9" w:themeFill="background1" w:themeFillShade="D9"/>
            <w:vAlign w:val="center"/>
            <w:hideMark/>
          </w:tcPr>
          <w:p w14:paraId="19358366"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Year 2</w:t>
            </w:r>
          </w:p>
        </w:tc>
        <w:tc>
          <w:tcPr>
            <w:tcW w:w="751" w:type="dxa"/>
            <w:shd w:val="clear" w:color="auto" w:fill="D9D9D9" w:themeFill="background1" w:themeFillShade="D9"/>
            <w:vAlign w:val="center"/>
            <w:hideMark/>
          </w:tcPr>
          <w:p w14:paraId="34FE9601"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System upgrade</w:t>
            </w:r>
          </w:p>
        </w:tc>
        <w:tc>
          <w:tcPr>
            <w:tcW w:w="870" w:type="dxa"/>
            <w:shd w:val="clear" w:color="auto" w:fill="D9D9D9" w:themeFill="background1" w:themeFillShade="D9"/>
            <w:noWrap/>
            <w:vAlign w:val="center"/>
            <w:hideMark/>
          </w:tcPr>
          <w:p w14:paraId="25CD75D0"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Time (hours)</w:t>
            </w:r>
          </w:p>
        </w:tc>
        <w:tc>
          <w:tcPr>
            <w:tcW w:w="1179" w:type="dxa"/>
            <w:shd w:val="clear" w:color="auto" w:fill="D9D9D9" w:themeFill="background1" w:themeFillShade="D9"/>
            <w:vAlign w:val="center"/>
            <w:hideMark/>
          </w:tcPr>
          <w:p w14:paraId="562D710C"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Businesses</w:t>
            </w:r>
          </w:p>
        </w:tc>
        <w:tc>
          <w:tcPr>
            <w:tcW w:w="1005" w:type="dxa"/>
            <w:shd w:val="clear" w:color="auto" w:fill="D9D9D9" w:themeFill="background1" w:themeFillShade="D9"/>
            <w:noWrap/>
            <w:vAlign w:val="center"/>
            <w:hideMark/>
          </w:tcPr>
          <w:p w14:paraId="2856B3F3"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Rate/hour ($)</w:t>
            </w:r>
          </w:p>
        </w:tc>
        <w:tc>
          <w:tcPr>
            <w:tcW w:w="1349" w:type="dxa"/>
            <w:shd w:val="clear" w:color="auto" w:fill="D9D9D9" w:themeFill="background1" w:themeFillShade="D9"/>
            <w:noWrap/>
            <w:vAlign w:val="center"/>
            <w:hideMark/>
          </w:tcPr>
          <w:p w14:paraId="21423BE8"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Totals ($)</w:t>
            </w:r>
          </w:p>
        </w:tc>
      </w:tr>
      <w:tr w:rsidR="007D5EE0" w:rsidRPr="006B1BCD" w14:paraId="6C30194E" w14:textId="77777777" w:rsidTr="009A305E">
        <w:trPr>
          <w:trHeight w:val="270"/>
        </w:trPr>
        <w:tc>
          <w:tcPr>
            <w:tcW w:w="2119" w:type="dxa"/>
            <w:noWrap/>
            <w:vAlign w:val="center"/>
            <w:hideMark/>
          </w:tcPr>
          <w:p w14:paraId="13E2B5A0"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Large Carriers</w:t>
            </w:r>
          </w:p>
        </w:tc>
        <w:tc>
          <w:tcPr>
            <w:tcW w:w="1218" w:type="dxa"/>
            <w:noWrap/>
            <w:vAlign w:val="center"/>
            <w:hideMark/>
          </w:tcPr>
          <w:p w14:paraId="7B5E8A05" w14:textId="77777777" w:rsidR="007D5EE0" w:rsidRPr="006B1BCD" w:rsidRDefault="007D5EE0" w:rsidP="009A305E">
            <w:pPr>
              <w:spacing w:line="240" w:lineRule="auto"/>
              <w:rPr>
                <w:rFonts w:ascii="Arial" w:hAnsi="Arial" w:cs="Arial"/>
                <w:b/>
                <w:bCs/>
                <w:sz w:val="16"/>
                <w:szCs w:val="16"/>
              </w:rPr>
            </w:pPr>
          </w:p>
        </w:tc>
        <w:tc>
          <w:tcPr>
            <w:tcW w:w="894" w:type="dxa"/>
            <w:noWrap/>
            <w:vAlign w:val="center"/>
            <w:hideMark/>
          </w:tcPr>
          <w:p w14:paraId="74E1EC48"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1A3279C6" w14:textId="77777777" w:rsidR="007D5EE0" w:rsidRPr="006B1BCD" w:rsidRDefault="007D5EE0" w:rsidP="009A305E">
            <w:pPr>
              <w:spacing w:line="240" w:lineRule="auto"/>
              <w:rPr>
                <w:rFonts w:ascii="Arial" w:hAnsi="Arial" w:cs="Arial"/>
                <w:sz w:val="16"/>
                <w:szCs w:val="16"/>
              </w:rPr>
            </w:pPr>
          </w:p>
        </w:tc>
        <w:tc>
          <w:tcPr>
            <w:tcW w:w="963" w:type="dxa"/>
            <w:noWrap/>
            <w:vAlign w:val="center"/>
            <w:hideMark/>
          </w:tcPr>
          <w:p w14:paraId="1D765EE6"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61235959" w14:textId="77777777" w:rsidR="007D5EE0" w:rsidRPr="006B1BCD" w:rsidRDefault="007D5EE0" w:rsidP="009A305E">
            <w:pPr>
              <w:spacing w:line="240" w:lineRule="auto"/>
              <w:rPr>
                <w:rFonts w:ascii="Arial" w:hAnsi="Arial" w:cs="Arial"/>
                <w:sz w:val="16"/>
                <w:szCs w:val="16"/>
              </w:rPr>
            </w:pPr>
          </w:p>
        </w:tc>
        <w:tc>
          <w:tcPr>
            <w:tcW w:w="1565" w:type="dxa"/>
            <w:noWrap/>
            <w:vAlign w:val="center"/>
            <w:hideMark/>
          </w:tcPr>
          <w:p w14:paraId="2427833A"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Large Carriers</w:t>
            </w:r>
          </w:p>
        </w:tc>
        <w:tc>
          <w:tcPr>
            <w:tcW w:w="751" w:type="dxa"/>
            <w:noWrap/>
            <w:vAlign w:val="center"/>
            <w:hideMark/>
          </w:tcPr>
          <w:p w14:paraId="1AE1FE05" w14:textId="77777777" w:rsidR="007D5EE0" w:rsidRPr="006B1BCD" w:rsidRDefault="007D5EE0" w:rsidP="009A305E">
            <w:pPr>
              <w:spacing w:line="240" w:lineRule="auto"/>
              <w:rPr>
                <w:rFonts w:ascii="Arial" w:hAnsi="Arial" w:cs="Arial"/>
                <w:b/>
                <w:bCs/>
                <w:sz w:val="16"/>
                <w:szCs w:val="16"/>
              </w:rPr>
            </w:pPr>
          </w:p>
        </w:tc>
        <w:tc>
          <w:tcPr>
            <w:tcW w:w="870" w:type="dxa"/>
            <w:noWrap/>
            <w:vAlign w:val="center"/>
            <w:hideMark/>
          </w:tcPr>
          <w:p w14:paraId="6ADAD743"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6881102F" w14:textId="77777777" w:rsidR="007D5EE0" w:rsidRPr="006B1BCD" w:rsidRDefault="007D5EE0" w:rsidP="009A305E">
            <w:pPr>
              <w:spacing w:line="240" w:lineRule="auto"/>
              <w:rPr>
                <w:rFonts w:ascii="Arial" w:hAnsi="Arial" w:cs="Arial"/>
                <w:sz w:val="16"/>
                <w:szCs w:val="16"/>
              </w:rPr>
            </w:pPr>
          </w:p>
        </w:tc>
        <w:tc>
          <w:tcPr>
            <w:tcW w:w="1005" w:type="dxa"/>
            <w:vAlign w:val="center"/>
            <w:hideMark/>
          </w:tcPr>
          <w:p w14:paraId="3A56DC2D"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314982EA" w14:textId="77777777" w:rsidR="007D5EE0" w:rsidRPr="006B1BCD" w:rsidRDefault="007D5EE0" w:rsidP="009A305E">
            <w:pPr>
              <w:spacing w:line="240" w:lineRule="auto"/>
              <w:rPr>
                <w:rFonts w:ascii="Arial" w:hAnsi="Arial" w:cs="Arial"/>
                <w:sz w:val="16"/>
                <w:szCs w:val="16"/>
              </w:rPr>
            </w:pPr>
          </w:p>
        </w:tc>
      </w:tr>
      <w:tr w:rsidR="007D5EE0" w:rsidRPr="006B1BCD" w14:paraId="1C41BE42" w14:textId="77777777" w:rsidTr="009A305E">
        <w:trPr>
          <w:trHeight w:val="540"/>
        </w:trPr>
        <w:tc>
          <w:tcPr>
            <w:tcW w:w="2119" w:type="dxa"/>
            <w:vAlign w:val="center"/>
            <w:hideMark/>
          </w:tcPr>
          <w:p w14:paraId="0C47BE6C"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Automate manual systems to enhance processes</w:t>
            </w:r>
          </w:p>
        </w:tc>
        <w:tc>
          <w:tcPr>
            <w:tcW w:w="1218" w:type="dxa"/>
            <w:vAlign w:val="center"/>
            <w:hideMark/>
          </w:tcPr>
          <w:p w14:paraId="3760FD17"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$150,000</w:t>
            </w:r>
          </w:p>
        </w:tc>
        <w:tc>
          <w:tcPr>
            <w:tcW w:w="894" w:type="dxa"/>
            <w:noWrap/>
            <w:vAlign w:val="center"/>
            <w:hideMark/>
          </w:tcPr>
          <w:p w14:paraId="1EDA3C9D"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3554240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3</w:t>
            </w:r>
          </w:p>
        </w:tc>
        <w:tc>
          <w:tcPr>
            <w:tcW w:w="963" w:type="dxa"/>
            <w:vAlign w:val="center"/>
            <w:hideMark/>
          </w:tcPr>
          <w:p w14:paraId="77F72E4E"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60B859A6"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450,000 </w:t>
            </w:r>
          </w:p>
        </w:tc>
        <w:tc>
          <w:tcPr>
            <w:tcW w:w="1565" w:type="dxa"/>
            <w:vAlign w:val="center"/>
            <w:hideMark/>
          </w:tcPr>
          <w:p w14:paraId="1B54242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Monitor processes </w:t>
            </w:r>
          </w:p>
        </w:tc>
        <w:tc>
          <w:tcPr>
            <w:tcW w:w="751" w:type="dxa"/>
            <w:vAlign w:val="center"/>
            <w:hideMark/>
          </w:tcPr>
          <w:p w14:paraId="05FAABE8"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$30,000</w:t>
            </w:r>
          </w:p>
        </w:tc>
        <w:tc>
          <w:tcPr>
            <w:tcW w:w="870" w:type="dxa"/>
            <w:vAlign w:val="center"/>
            <w:hideMark/>
          </w:tcPr>
          <w:p w14:paraId="7CA1934F"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5D9D281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3</w:t>
            </w:r>
          </w:p>
        </w:tc>
        <w:tc>
          <w:tcPr>
            <w:tcW w:w="1005" w:type="dxa"/>
            <w:vAlign w:val="center"/>
            <w:hideMark/>
          </w:tcPr>
          <w:p w14:paraId="71181E39"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454C541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90,000 </w:t>
            </w:r>
          </w:p>
        </w:tc>
      </w:tr>
      <w:tr w:rsidR="007D5EE0" w:rsidRPr="006B1BCD" w14:paraId="030391CC" w14:textId="77777777" w:rsidTr="009A305E">
        <w:trPr>
          <w:trHeight w:val="540"/>
        </w:trPr>
        <w:tc>
          <w:tcPr>
            <w:tcW w:w="2119" w:type="dxa"/>
            <w:vAlign w:val="center"/>
            <w:hideMark/>
          </w:tcPr>
          <w:p w14:paraId="212CB8A7"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1218" w:type="dxa"/>
            <w:vAlign w:val="center"/>
            <w:hideMark/>
          </w:tcPr>
          <w:p w14:paraId="4BB4ADDE" w14:textId="77777777" w:rsidR="007D5EE0" w:rsidRPr="006B1BCD" w:rsidRDefault="007D5EE0" w:rsidP="009A305E">
            <w:pPr>
              <w:spacing w:line="240" w:lineRule="auto"/>
              <w:rPr>
                <w:rFonts w:ascii="Arial" w:hAnsi="Arial" w:cs="Arial"/>
                <w:sz w:val="16"/>
                <w:szCs w:val="16"/>
              </w:rPr>
            </w:pPr>
          </w:p>
        </w:tc>
        <w:tc>
          <w:tcPr>
            <w:tcW w:w="894" w:type="dxa"/>
            <w:noWrap/>
            <w:vAlign w:val="center"/>
            <w:hideMark/>
          </w:tcPr>
          <w:p w14:paraId="6D7EF743"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w:t>
            </w:r>
          </w:p>
        </w:tc>
        <w:tc>
          <w:tcPr>
            <w:tcW w:w="1106" w:type="dxa"/>
            <w:noWrap/>
            <w:vAlign w:val="center"/>
            <w:hideMark/>
          </w:tcPr>
          <w:p w14:paraId="3AE0A878"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3</w:t>
            </w:r>
          </w:p>
        </w:tc>
        <w:tc>
          <w:tcPr>
            <w:tcW w:w="963" w:type="dxa"/>
            <w:vAlign w:val="center"/>
            <w:hideMark/>
          </w:tcPr>
          <w:p w14:paraId="57ABE96C"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628" w:type="dxa"/>
            <w:noWrap/>
            <w:vAlign w:val="center"/>
            <w:hideMark/>
          </w:tcPr>
          <w:p w14:paraId="7926A84D"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3,285 </w:t>
            </w:r>
          </w:p>
        </w:tc>
        <w:tc>
          <w:tcPr>
            <w:tcW w:w="1565" w:type="dxa"/>
            <w:vAlign w:val="center"/>
            <w:hideMark/>
          </w:tcPr>
          <w:p w14:paraId="5B138A88"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 – ongoing</w:t>
            </w:r>
          </w:p>
        </w:tc>
        <w:tc>
          <w:tcPr>
            <w:tcW w:w="751" w:type="dxa"/>
            <w:vAlign w:val="center"/>
            <w:hideMark/>
          </w:tcPr>
          <w:p w14:paraId="17B6674A" w14:textId="77777777" w:rsidR="007D5EE0" w:rsidRPr="006B1BCD" w:rsidRDefault="007D5EE0" w:rsidP="009A305E">
            <w:pPr>
              <w:spacing w:line="240" w:lineRule="auto"/>
              <w:rPr>
                <w:rFonts w:ascii="Arial" w:hAnsi="Arial" w:cs="Arial"/>
                <w:sz w:val="16"/>
                <w:szCs w:val="16"/>
              </w:rPr>
            </w:pPr>
          </w:p>
        </w:tc>
        <w:tc>
          <w:tcPr>
            <w:tcW w:w="870" w:type="dxa"/>
            <w:noWrap/>
            <w:vAlign w:val="center"/>
            <w:hideMark/>
          </w:tcPr>
          <w:p w14:paraId="4BA53A3A"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10</w:t>
            </w:r>
          </w:p>
        </w:tc>
        <w:tc>
          <w:tcPr>
            <w:tcW w:w="1179" w:type="dxa"/>
            <w:noWrap/>
            <w:vAlign w:val="center"/>
            <w:hideMark/>
          </w:tcPr>
          <w:p w14:paraId="1CB7B3B1"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3</w:t>
            </w:r>
          </w:p>
        </w:tc>
        <w:tc>
          <w:tcPr>
            <w:tcW w:w="1005" w:type="dxa"/>
            <w:vAlign w:val="center"/>
            <w:hideMark/>
          </w:tcPr>
          <w:p w14:paraId="4E75410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349" w:type="dxa"/>
            <w:noWrap/>
            <w:vAlign w:val="center"/>
            <w:hideMark/>
          </w:tcPr>
          <w:p w14:paraId="034B8395"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2,190 </w:t>
            </w:r>
          </w:p>
        </w:tc>
      </w:tr>
      <w:tr w:rsidR="007D5EE0" w:rsidRPr="006B1BCD" w14:paraId="494AA39A" w14:textId="77777777" w:rsidTr="009A305E">
        <w:trPr>
          <w:trHeight w:val="270"/>
        </w:trPr>
        <w:tc>
          <w:tcPr>
            <w:tcW w:w="2119" w:type="dxa"/>
            <w:shd w:val="clear" w:color="auto" w:fill="D9D9D9" w:themeFill="background1" w:themeFillShade="D9"/>
            <w:vAlign w:val="center"/>
            <w:hideMark/>
          </w:tcPr>
          <w:p w14:paraId="3AFCE819"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1218" w:type="dxa"/>
            <w:shd w:val="clear" w:color="auto" w:fill="D9D9D9" w:themeFill="background1" w:themeFillShade="D9"/>
            <w:vAlign w:val="center"/>
            <w:hideMark/>
          </w:tcPr>
          <w:p w14:paraId="1360DF45" w14:textId="77777777" w:rsidR="007D5EE0" w:rsidRPr="006B1BCD" w:rsidRDefault="007D5EE0" w:rsidP="009A305E">
            <w:pPr>
              <w:spacing w:line="240" w:lineRule="auto"/>
              <w:rPr>
                <w:rFonts w:ascii="Arial" w:hAnsi="Arial" w:cs="Arial"/>
                <w:b/>
                <w:bCs/>
                <w:sz w:val="16"/>
                <w:szCs w:val="16"/>
              </w:rPr>
            </w:pPr>
          </w:p>
        </w:tc>
        <w:tc>
          <w:tcPr>
            <w:tcW w:w="894" w:type="dxa"/>
            <w:shd w:val="clear" w:color="auto" w:fill="D9D9D9" w:themeFill="background1" w:themeFillShade="D9"/>
            <w:noWrap/>
            <w:vAlign w:val="center"/>
            <w:hideMark/>
          </w:tcPr>
          <w:p w14:paraId="06622440" w14:textId="77777777" w:rsidR="007D5EE0" w:rsidRPr="006B1BCD" w:rsidRDefault="007D5EE0" w:rsidP="009A305E">
            <w:pPr>
              <w:spacing w:line="240" w:lineRule="auto"/>
              <w:rPr>
                <w:rFonts w:ascii="Arial" w:hAnsi="Arial" w:cs="Arial"/>
                <w:sz w:val="16"/>
                <w:szCs w:val="16"/>
              </w:rPr>
            </w:pPr>
          </w:p>
        </w:tc>
        <w:tc>
          <w:tcPr>
            <w:tcW w:w="1106" w:type="dxa"/>
            <w:shd w:val="clear" w:color="auto" w:fill="D9D9D9" w:themeFill="background1" w:themeFillShade="D9"/>
            <w:noWrap/>
            <w:vAlign w:val="center"/>
            <w:hideMark/>
          </w:tcPr>
          <w:p w14:paraId="7E1557FB" w14:textId="77777777" w:rsidR="007D5EE0" w:rsidRPr="006B1BCD" w:rsidRDefault="007D5EE0" w:rsidP="009A305E">
            <w:pPr>
              <w:spacing w:line="240" w:lineRule="auto"/>
              <w:rPr>
                <w:rFonts w:ascii="Arial" w:hAnsi="Arial" w:cs="Arial"/>
                <w:sz w:val="16"/>
                <w:szCs w:val="16"/>
              </w:rPr>
            </w:pPr>
          </w:p>
        </w:tc>
        <w:tc>
          <w:tcPr>
            <w:tcW w:w="963" w:type="dxa"/>
            <w:shd w:val="clear" w:color="auto" w:fill="D9D9D9" w:themeFill="background1" w:themeFillShade="D9"/>
            <w:vAlign w:val="center"/>
            <w:hideMark/>
          </w:tcPr>
          <w:p w14:paraId="13DD22E2" w14:textId="77777777" w:rsidR="007D5EE0" w:rsidRPr="006B1BCD" w:rsidRDefault="007D5EE0" w:rsidP="009A305E">
            <w:pPr>
              <w:spacing w:line="240" w:lineRule="auto"/>
              <w:rPr>
                <w:rFonts w:ascii="Arial" w:hAnsi="Arial" w:cs="Arial"/>
                <w:sz w:val="16"/>
                <w:szCs w:val="16"/>
              </w:rPr>
            </w:pPr>
          </w:p>
        </w:tc>
        <w:tc>
          <w:tcPr>
            <w:tcW w:w="1628" w:type="dxa"/>
            <w:shd w:val="clear" w:color="auto" w:fill="D9D9D9" w:themeFill="background1" w:themeFillShade="D9"/>
            <w:noWrap/>
            <w:vAlign w:val="center"/>
            <w:hideMark/>
          </w:tcPr>
          <w:p w14:paraId="259004C1"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453,285 </w:t>
            </w:r>
          </w:p>
        </w:tc>
        <w:tc>
          <w:tcPr>
            <w:tcW w:w="1565" w:type="dxa"/>
            <w:shd w:val="clear" w:color="auto" w:fill="D9D9D9" w:themeFill="background1" w:themeFillShade="D9"/>
            <w:vAlign w:val="center"/>
            <w:hideMark/>
          </w:tcPr>
          <w:p w14:paraId="211332FC"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751" w:type="dxa"/>
            <w:shd w:val="clear" w:color="auto" w:fill="D9D9D9" w:themeFill="background1" w:themeFillShade="D9"/>
            <w:vAlign w:val="center"/>
            <w:hideMark/>
          </w:tcPr>
          <w:p w14:paraId="7897C356" w14:textId="77777777" w:rsidR="007D5EE0" w:rsidRPr="006B1BCD" w:rsidRDefault="007D5EE0" w:rsidP="009A305E">
            <w:pPr>
              <w:spacing w:line="240" w:lineRule="auto"/>
              <w:rPr>
                <w:rFonts w:ascii="Arial" w:hAnsi="Arial" w:cs="Arial"/>
                <w:b/>
                <w:bCs/>
                <w:sz w:val="16"/>
                <w:szCs w:val="16"/>
              </w:rPr>
            </w:pPr>
          </w:p>
        </w:tc>
        <w:tc>
          <w:tcPr>
            <w:tcW w:w="870" w:type="dxa"/>
            <w:shd w:val="clear" w:color="auto" w:fill="D9D9D9" w:themeFill="background1" w:themeFillShade="D9"/>
            <w:vAlign w:val="center"/>
            <w:hideMark/>
          </w:tcPr>
          <w:p w14:paraId="712DB99E" w14:textId="77777777" w:rsidR="007D5EE0" w:rsidRPr="006B1BCD" w:rsidRDefault="007D5EE0" w:rsidP="009A305E">
            <w:pPr>
              <w:spacing w:line="240" w:lineRule="auto"/>
              <w:rPr>
                <w:rFonts w:ascii="Arial" w:hAnsi="Arial" w:cs="Arial"/>
                <w:sz w:val="16"/>
                <w:szCs w:val="16"/>
              </w:rPr>
            </w:pPr>
          </w:p>
        </w:tc>
        <w:tc>
          <w:tcPr>
            <w:tcW w:w="1179" w:type="dxa"/>
            <w:shd w:val="clear" w:color="auto" w:fill="D9D9D9" w:themeFill="background1" w:themeFillShade="D9"/>
            <w:noWrap/>
            <w:vAlign w:val="center"/>
            <w:hideMark/>
          </w:tcPr>
          <w:p w14:paraId="0236DA83" w14:textId="77777777" w:rsidR="007D5EE0" w:rsidRPr="006B1BCD" w:rsidRDefault="007D5EE0" w:rsidP="009A305E">
            <w:pPr>
              <w:spacing w:line="240" w:lineRule="auto"/>
              <w:rPr>
                <w:rFonts w:ascii="Arial" w:hAnsi="Arial" w:cs="Arial"/>
                <w:sz w:val="16"/>
                <w:szCs w:val="16"/>
              </w:rPr>
            </w:pPr>
          </w:p>
        </w:tc>
        <w:tc>
          <w:tcPr>
            <w:tcW w:w="1005" w:type="dxa"/>
            <w:shd w:val="clear" w:color="auto" w:fill="D9D9D9" w:themeFill="background1" w:themeFillShade="D9"/>
            <w:vAlign w:val="center"/>
            <w:hideMark/>
          </w:tcPr>
          <w:p w14:paraId="0D698DAA" w14:textId="77777777" w:rsidR="007D5EE0" w:rsidRPr="006B1BCD" w:rsidRDefault="007D5EE0" w:rsidP="009A305E">
            <w:pPr>
              <w:spacing w:line="240" w:lineRule="auto"/>
              <w:rPr>
                <w:rFonts w:ascii="Arial" w:hAnsi="Arial" w:cs="Arial"/>
                <w:sz w:val="16"/>
                <w:szCs w:val="16"/>
              </w:rPr>
            </w:pPr>
          </w:p>
        </w:tc>
        <w:tc>
          <w:tcPr>
            <w:tcW w:w="1349" w:type="dxa"/>
            <w:shd w:val="clear" w:color="auto" w:fill="D9D9D9" w:themeFill="background1" w:themeFillShade="D9"/>
            <w:noWrap/>
            <w:vAlign w:val="center"/>
            <w:hideMark/>
          </w:tcPr>
          <w:p w14:paraId="256C5D79"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92,190 </w:t>
            </w:r>
          </w:p>
        </w:tc>
      </w:tr>
      <w:tr w:rsidR="007D5EE0" w:rsidRPr="006B1BCD" w14:paraId="54FE55F7" w14:textId="77777777" w:rsidTr="009A305E">
        <w:trPr>
          <w:trHeight w:val="270"/>
        </w:trPr>
        <w:tc>
          <w:tcPr>
            <w:tcW w:w="2119" w:type="dxa"/>
            <w:vAlign w:val="center"/>
            <w:hideMark/>
          </w:tcPr>
          <w:p w14:paraId="4F733112"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Medium CSPs</w:t>
            </w:r>
          </w:p>
        </w:tc>
        <w:tc>
          <w:tcPr>
            <w:tcW w:w="1218" w:type="dxa"/>
            <w:vAlign w:val="center"/>
            <w:hideMark/>
          </w:tcPr>
          <w:p w14:paraId="112E6F7C" w14:textId="77777777" w:rsidR="007D5EE0" w:rsidRPr="006B1BCD" w:rsidRDefault="007D5EE0" w:rsidP="009A305E">
            <w:pPr>
              <w:spacing w:line="240" w:lineRule="auto"/>
              <w:rPr>
                <w:rFonts w:ascii="Arial" w:hAnsi="Arial" w:cs="Arial"/>
                <w:b/>
                <w:bCs/>
                <w:sz w:val="16"/>
                <w:szCs w:val="16"/>
              </w:rPr>
            </w:pPr>
          </w:p>
        </w:tc>
        <w:tc>
          <w:tcPr>
            <w:tcW w:w="894" w:type="dxa"/>
            <w:noWrap/>
            <w:vAlign w:val="center"/>
            <w:hideMark/>
          </w:tcPr>
          <w:p w14:paraId="3D77A9C2"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32B85CC8" w14:textId="77777777" w:rsidR="007D5EE0" w:rsidRPr="006B1BCD" w:rsidRDefault="007D5EE0" w:rsidP="009A305E">
            <w:pPr>
              <w:spacing w:line="240" w:lineRule="auto"/>
              <w:rPr>
                <w:rFonts w:ascii="Arial" w:hAnsi="Arial" w:cs="Arial"/>
                <w:sz w:val="16"/>
                <w:szCs w:val="16"/>
              </w:rPr>
            </w:pPr>
          </w:p>
        </w:tc>
        <w:tc>
          <w:tcPr>
            <w:tcW w:w="963" w:type="dxa"/>
            <w:vAlign w:val="center"/>
            <w:hideMark/>
          </w:tcPr>
          <w:p w14:paraId="65CC2E4F"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65197BBE" w14:textId="77777777" w:rsidR="007D5EE0" w:rsidRPr="006B1BCD" w:rsidRDefault="007D5EE0" w:rsidP="009A305E">
            <w:pPr>
              <w:spacing w:line="240" w:lineRule="auto"/>
              <w:rPr>
                <w:rFonts w:ascii="Arial" w:hAnsi="Arial" w:cs="Arial"/>
                <w:sz w:val="16"/>
                <w:szCs w:val="16"/>
              </w:rPr>
            </w:pPr>
          </w:p>
        </w:tc>
        <w:tc>
          <w:tcPr>
            <w:tcW w:w="1565" w:type="dxa"/>
            <w:vAlign w:val="center"/>
            <w:hideMark/>
          </w:tcPr>
          <w:p w14:paraId="1DAD0935"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Medium CSPs</w:t>
            </w:r>
          </w:p>
        </w:tc>
        <w:tc>
          <w:tcPr>
            <w:tcW w:w="751" w:type="dxa"/>
            <w:vAlign w:val="center"/>
            <w:hideMark/>
          </w:tcPr>
          <w:p w14:paraId="12470049" w14:textId="77777777" w:rsidR="007D5EE0" w:rsidRPr="006B1BCD" w:rsidRDefault="007D5EE0" w:rsidP="009A305E">
            <w:pPr>
              <w:spacing w:line="240" w:lineRule="auto"/>
              <w:rPr>
                <w:rFonts w:ascii="Arial" w:hAnsi="Arial" w:cs="Arial"/>
                <w:b/>
                <w:bCs/>
                <w:sz w:val="16"/>
                <w:szCs w:val="16"/>
              </w:rPr>
            </w:pPr>
          </w:p>
        </w:tc>
        <w:tc>
          <w:tcPr>
            <w:tcW w:w="870" w:type="dxa"/>
            <w:vAlign w:val="center"/>
            <w:hideMark/>
          </w:tcPr>
          <w:p w14:paraId="48E2B5AE"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3C60A0CA" w14:textId="77777777" w:rsidR="007D5EE0" w:rsidRPr="006B1BCD" w:rsidRDefault="007D5EE0" w:rsidP="009A305E">
            <w:pPr>
              <w:spacing w:line="240" w:lineRule="auto"/>
              <w:rPr>
                <w:rFonts w:ascii="Arial" w:hAnsi="Arial" w:cs="Arial"/>
                <w:sz w:val="16"/>
                <w:szCs w:val="16"/>
              </w:rPr>
            </w:pPr>
          </w:p>
        </w:tc>
        <w:tc>
          <w:tcPr>
            <w:tcW w:w="1005" w:type="dxa"/>
            <w:vAlign w:val="center"/>
            <w:hideMark/>
          </w:tcPr>
          <w:p w14:paraId="62053149"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7C40976E" w14:textId="77777777" w:rsidR="007D5EE0" w:rsidRPr="006B1BCD" w:rsidRDefault="007D5EE0" w:rsidP="009A305E">
            <w:pPr>
              <w:spacing w:line="240" w:lineRule="auto"/>
              <w:rPr>
                <w:rFonts w:ascii="Arial" w:hAnsi="Arial" w:cs="Arial"/>
                <w:sz w:val="16"/>
                <w:szCs w:val="16"/>
              </w:rPr>
            </w:pPr>
          </w:p>
        </w:tc>
      </w:tr>
      <w:tr w:rsidR="007D5EE0" w:rsidRPr="006B1BCD" w14:paraId="53FEE4B5" w14:textId="77777777" w:rsidTr="009A305E">
        <w:trPr>
          <w:trHeight w:val="540"/>
        </w:trPr>
        <w:tc>
          <w:tcPr>
            <w:tcW w:w="2119" w:type="dxa"/>
            <w:vAlign w:val="center"/>
            <w:hideMark/>
          </w:tcPr>
          <w:p w14:paraId="3C34BA13"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Automate manual systems to enhance processes</w:t>
            </w:r>
          </w:p>
        </w:tc>
        <w:tc>
          <w:tcPr>
            <w:tcW w:w="1218" w:type="dxa"/>
            <w:vAlign w:val="center"/>
            <w:hideMark/>
          </w:tcPr>
          <w:p w14:paraId="4DD34078"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$40,000</w:t>
            </w:r>
          </w:p>
        </w:tc>
        <w:tc>
          <w:tcPr>
            <w:tcW w:w="894" w:type="dxa"/>
            <w:noWrap/>
            <w:vAlign w:val="center"/>
            <w:hideMark/>
          </w:tcPr>
          <w:p w14:paraId="3C5D2611"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5C8A384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18</w:t>
            </w:r>
          </w:p>
        </w:tc>
        <w:tc>
          <w:tcPr>
            <w:tcW w:w="963" w:type="dxa"/>
            <w:vAlign w:val="center"/>
            <w:hideMark/>
          </w:tcPr>
          <w:p w14:paraId="3D9E27C1"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7767EBC7"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720,000 </w:t>
            </w:r>
          </w:p>
        </w:tc>
        <w:tc>
          <w:tcPr>
            <w:tcW w:w="1565" w:type="dxa"/>
            <w:vAlign w:val="center"/>
            <w:hideMark/>
          </w:tcPr>
          <w:p w14:paraId="68CD3B3C"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Monitor processes </w:t>
            </w:r>
          </w:p>
        </w:tc>
        <w:tc>
          <w:tcPr>
            <w:tcW w:w="751" w:type="dxa"/>
            <w:vAlign w:val="center"/>
            <w:hideMark/>
          </w:tcPr>
          <w:p w14:paraId="24665613"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$8,000</w:t>
            </w:r>
          </w:p>
        </w:tc>
        <w:tc>
          <w:tcPr>
            <w:tcW w:w="870" w:type="dxa"/>
            <w:vAlign w:val="center"/>
            <w:hideMark/>
          </w:tcPr>
          <w:p w14:paraId="0500D240"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0B8E8F56"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18</w:t>
            </w:r>
          </w:p>
        </w:tc>
        <w:tc>
          <w:tcPr>
            <w:tcW w:w="1005" w:type="dxa"/>
            <w:vAlign w:val="center"/>
            <w:hideMark/>
          </w:tcPr>
          <w:p w14:paraId="771D7E8D"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418CDCC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144,000 </w:t>
            </w:r>
          </w:p>
        </w:tc>
      </w:tr>
      <w:tr w:rsidR="007D5EE0" w:rsidRPr="006B1BCD" w14:paraId="34AD9EB7" w14:textId="77777777" w:rsidTr="009A305E">
        <w:trPr>
          <w:trHeight w:val="270"/>
        </w:trPr>
        <w:tc>
          <w:tcPr>
            <w:tcW w:w="2119" w:type="dxa"/>
            <w:vAlign w:val="center"/>
            <w:hideMark/>
          </w:tcPr>
          <w:p w14:paraId="7498DDD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1218" w:type="dxa"/>
            <w:vAlign w:val="center"/>
            <w:hideMark/>
          </w:tcPr>
          <w:p w14:paraId="2783D5D4" w14:textId="77777777" w:rsidR="007D5EE0" w:rsidRPr="006B1BCD" w:rsidRDefault="007D5EE0" w:rsidP="009A305E">
            <w:pPr>
              <w:spacing w:line="240" w:lineRule="auto"/>
              <w:rPr>
                <w:rFonts w:ascii="Arial" w:hAnsi="Arial" w:cs="Arial"/>
                <w:sz w:val="16"/>
                <w:szCs w:val="16"/>
              </w:rPr>
            </w:pPr>
          </w:p>
        </w:tc>
        <w:tc>
          <w:tcPr>
            <w:tcW w:w="894" w:type="dxa"/>
            <w:noWrap/>
            <w:vAlign w:val="center"/>
            <w:hideMark/>
          </w:tcPr>
          <w:p w14:paraId="07AEF39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w:t>
            </w:r>
          </w:p>
        </w:tc>
        <w:tc>
          <w:tcPr>
            <w:tcW w:w="1106" w:type="dxa"/>
            <w:noWrap/>
            <w:vAlign w:val="center"/>
            <w:hideMark/>
          </w:tcPr>
          <w:p w14:paraId="5DC2DB7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18</w:t>
            </w:r>
          </w:p>
        </w:tc>
        <w:tc>
          <w:tcPr>
            <w:tcW w:w="963" w:type="dxa"/>
            <w:vAlign w:val="center"/>
            <w:hideMark/>
          </w:tcPr>
          <w:p w14:paraId="176948C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628" w:type="dxa"/>
            <w:noWrap/>
            <w:vAlign w:val="center"/>
            <w:hideMark/>
          </w:tcPr>
          <w:p w14:paraId="3D18F1A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19,724 </w:t>
            </w:r>
          </w:p>
        </w:tc>
        <w:tc>
          <w:tcPr>
            <w:tcW w:w="1565" w:type="dxa"/>
            <w:vAlign w:val="center"/>
            <w:hideMark/>
          </w:tcPr>
          <w:p w14:paraId="00FA54FB"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751" w:type="dxa"/>
            <w:vAlign w:val="center"/>
            <w:hideMark/>
          </w:tcPr>
          <w:p w14:paraId="1E9ACA19" w14:textId="77777777" w:rsidR="007D5EE0" w:rsidRPr="006B1BCD" w:rsidRDefault="007D5EE0" w:rsidP="009A305E">
            <w:pPr>
              <w:spacing w:line="240" w:lineRule="auto"/>
              <w:rPr>
                <w:rFonts w:ascii="Arial" w:hAnsi="Arial" w:cs="Arial"/>
                <w:sz w:val="16"/>
                <w:szCs w:val="16"/>
              </w:rPr>
            </w:pPr>
          </w:p>
        </w:tc>
        <w:tc>
          <w:tcPr>
            <w:tcW w:w="870" w:type="dxa"/>
            <w:noWrap/>
            <w:vAlign w:val="center"/>
            <w:hideMark/>
          </w:tcPr>
          <w:p w14:paraId="3347DB4E"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10</w:t>
            </w:r>
          </w:p>
        </w:tc>
        <w:tc>
          <w:tcPr>
            <w:tcW w:w="1179" w:type="dxa"/>
            <w:noWrap/>
            <w:vAlign w:val="center"/>
            <w:hideMark/>
          </w:tcPr>
          <w:p w14:paraId="66B5037B"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18</w:t>
            </w:r>
          </w:p>
        </w:tc>
        <w:tc>
          <w:tcPr>
            <w:tcW w:w="1005" w:type="dxa"/>
            <w:vAlign w:val="center"/>
            <w:hideMark/>
          </w:tcPr>
          <w:p w14:paraId="49537A76"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349" w:type="dxa"/>
            <w:noWrap/>
            <w:vAlign w:val="center"/>
            <w:hideMark/>
          </w:tcPr>
          <w:p w14:paraId="228DCAE6"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13,149 </w:t>
            </w:r>
          </w:p>
        </w:tc>
      </w:tr>
      <w:tr w:rsidR="007D5EE0" w:rsidRPr="006B1BCD" w14:paraId="140BD2B2" w14:textId="77777777" w:rsidTr="009A305E">
        <w:trPr>
          <w:trHeight w:val="270"/>
        </w:trPr>
        <w:tc>
          <w:tcPr>
            <w:tcW w:w="2119" w:type="dxa"/>
            <w:shd w:val="clear" w:color="auto" w:fill="D9D9D9" w:themeFill="background1" w:themeFillShade="D9"/>
            <w:vAlign w:val="center"/>
            <w:hideMark/>
          </w:tcPr>
          <w:p w14:paraId="03AE9F10"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1218" w:type="dxa"/>
            <w:shd w:val="clear" w:color="auto" w:fill="D9D9D9" w:themeFill="background1" w:themeFillShade="D9"/>
            <w:vAlign w:val="center"/>
            <w:hideMark/>
          </w:tcPr>
          <w:p w14:paraId="5D18CE5A" w14:textId="77777777" w:rsidR="007D5EE0" w:rsidRPr="006B1BCD" w:rsidRDefault="007D5EE0" w:rsidP="009A305E">
            <w:pPr>
              <w:spacing w:line="240" w:lineRule="auto"/>
              <w:rPr>
                <w:rFonts w:ascii="Arial" w:hAnsi="Arial" w:cs="Arial"/>
                <w:b/>
                <w:bCs/>
                <w:sz w:val="16"/>
                <w:szCs w:val="16"/>
              </w:rPr>
            </w:pPr>
          </w:p>
        </w:tc>
        <w:tc>
          <w:tcPr>
            <w:tcW w:w="894" w:type="dxa"/>
            <w:shd w:val="clear" w:color="auto" w:fill="D9D9D9" w:themeFill="background1" w:themeFillShade="D9"/>
            <w:noWrap/>
            <w:vAlign w:val="center"/>
            <w:hideMark/>
          </w:tcPr>
          <w:p w14:paraId="1BB12C9D" w14:textId="77777777" w:rsidR="007D5EE0" w:rsidRPr="006B1BCD" w:rsidRDefault="007D5EE0" w:rsidP="009A305E">
            <w:pPr>
              <w:spacing w:line="240" w:lineRule="auto"/>
              <w:rPr>
                <w:rFonts w:ascii="Arial" w:hAnsi="Arial" w:cs="Arial"/>
                <w:sz w:val="16"/>
                <w:szCs w:val="16"/>
              </w:rPr>
            </w:pPr>
          </w:p>
        </w:tc>
        <w:tc>
          <w:tcPr>
            <w:tcW w:w="1106" w:type="dxa"/>
            <w:shd w:val="clear" w:color="auto" w:fill="D9D9D9" w:themeFill="background1" w:themeFillShade="D9"/>
            <w:noWrap/>
            <w:vAlign w:val="center"/>
            <w:hideMark/>
          </w:tcPr>
          <w:p w14:paraId="7709354F" w14:textId="77777777" w:rsidR="007D5EE0" w:rsidRPr="006B1BCD" w:rsidRDefault="007D5EE0" w:rsidP="009A305E">
            <w:pPr>
              <w:spacing w:line="240" w:lineRule="auto"/>
              <w:rPr>
                <w:rFonts w:ascii="Arial" w:hAnsi="Arial" w:cs="Arial"/>
                <w:sz w:val="16"/>
                <w:szCs w:val="16"/>
              </w:rPr>
            </w:pPr>
          </w:p>
        </w:tc>
        <w:tc>
          <w:tcPr>
            <w:tcW w:w="963" w:type="dxa"/>
            <w:shd w:val="clear" w:color="auto" w:fill="D9D9D9" w:themeFill="background1" w:themeFillShade="D9"/>
            <w:vAlign w:val="center"/>
            <w:hideMark/>
          </w:tcPr>
          <w:p w14:paraId="374F1355" w14:textId="77777777" w:rsidR="007D5EE0" w:rsidRPr="006B1BCD" w:rsidRDefault="007D5EE0" w:rsidP="009A305E">
            <w:pPr>
              <w:spacing w:line="240" w:lineRule="auto"/>
              <w:rPr>
                <w:rFonts w:ascii="Arial" w:hAnsi="Arial" w:cs="Arial"/>
                <w:sz w:val="16"/>
                <w:szCs w:val="16"/>
              </w:rPr>
            </w:pPr>
          </w:p>
        </w:tc>
        <w:tc>
          <w:tcPr>
            <w:tcW w:w="1628" w:type="dxa"/>
            <w:shd w:val="clear" w:color="auto" w:fill="D9D9D9" w:themeFill="background1" w:themeFillShade="D9"/>
            <w:noWrap/>
            <w:vAlign w:val="center"/>
            <w:hideMark/>
          </w:tcPr>
          <w:p w14:paraId="6FA572A0"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739,724 </w:t>
            </w:r>
          </w:p>
        </w:tc>
        <w:tc>
          <w:tcPr>
            <w:tcW w:w="1565" w:type="dxa"/>
            <w:shd w:val="clear" w:color="auto" w:fill="D9D9D9" w:themeFill="background1" w:themeFillShade="D9"/>
            <w:vAlign w:val="center"/>
            <w:hideMark/>
          </w:tcPr>
          <w:p w14:paraId="392B60A8"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751" w:type="dxa"/>
            <w:shd w:val="clear" w:color="auto" w:fill="D9D9D9" w:themeFill="background1" w:themeFillShade="D9"/>
            <w:vAlign w:val="center"/>
            <w:hideMark/>
          </w:tcPr>
          <w:p w14:paraId="5027E2AC" w14:textId="77777777" w:rsidR="007D5EE0" w:rsidRPr="006B1BCD" w:rsidRDefault="007D5EE0" w:rsidP="009A305E">
            <w:pPr>
              <w:spacing w:line="240" w:lineRule="auto"/>
              <w:rPr>
                <w:rFonts w:ascii="Arial" w:hAnsi="Arial" w:cs="Arial"/>
                <w:b/>
                <w:bCs/>
                <w:sz w:val="16"/>
                <w:szCs w:val="16"/>
              </w:rPr>
            </w:pPr>
          </w:p>
        </w:tc>
        <w:tc>
          <w:tcPr>
            <w:tcW w:w="870" w:type="dxa"/>
            <w:shd w:val="clear" w:color="auto" w:fill="D9D9D9" w:themeFill="background1" w:themeFillShade="D9"/>
            <w:vAlign w:val="center"/>
            <w:hideMark/>
          </w:tcPr>
          <w:p w14:paraId="252FD1EE" w14:textId="77777777" w:rsidR="007D5EE0" w:rsidRPr="006B1BCD" w:rsidRDefault="007D5EE0" w:rsidP="009A305E">
            <w:pPr>
              <w:spacing w:line="240" w:lineRule="auto"/>
              <w:rPr>
                <w:rFonts w:ascii="Arial" w:hAnsi="Arial" w:cs="Arial"/>
                <w:sz w:val="16"/>
                <w:szCs w:val="16"/>
              </w:rPr>
            </w:pPr>
          </w:p>
        </w:tc>
        <w:tc>
          <w:tcPr>
            <w:tcW w:w="1179" w:type="dxa"/>
            <w:shd w:val="clear" w:color="auto" w:fill="D9D9D9" w:themeFill="background1" w:themeFillShade="D9"/>
            <w:noWrap/>
            <w:vAlign w:val="center"/>
            <w:hideMark/>
          </w:tcPr>
          <w:p w14:paraId="36954B16" w14:textId="77777777" w:rsidR="007D5EE0" w:rsidRPr="006B1BCD" w:rsidRDefault="007D5EE0" w:rsidP="009A305E">
            <w:pPr>
              <w:spacing w:line="240" w:lineRule="auto"/>
              <w:rPr>
                <w:rFonts w:ascii="Arial" w:hAnsi="Arial" w:cs="Arial"/>
                <w:sz w:val="16"/>
                <w:szCs w:val="16"/>
              </w:rPr>
            </w:pPr>
          </w:p>
        </w:tc>
        <w:tc>
          <w:tcPr>
            <w:tcW w:w="1005" w:type="dxa"/>
            <w:shd w:val="clear" w:color="auto" w:fill="D9D9D9" w:themeFill="background1" w:themeFillShade="D9"/>
            <w:vAlign w:val="center"/>
            <w:hideMark/>
          </w:tcPr>
          <w:p w14:paraId="186E6A9A" w14:textId="77777777" w:rsidR="007D5EE0" w:rsidRPr="006B1BCD" w:rsidRDefault="007D5EE0" w:rsidP="009A305E">
            <w:pPr>
              <w:spacing w:line="240" w:lineRule="auto"/>
              <w:rPr>
                <w:rFonts w:ascii="Arial" w:hAnsi="Arial" w:cs="Arial"/>
                <w:sz w:val="16"/>
                <w:szCs w:val="16"/>
              </w:rPr>
            </w:pPr>
          </w:p>
        </w:tc>
        <w:tc>
          <w:tcPr>
            <w:tcW w:w="1349" w:type="dxa"/>
            <w:shd w:val="clear" w:color="auto" w:fill="D9D9D9" w:themeFill="background1" w:themeFillShade="D9"/>
            <w:noWrap/>
            <w:vAlign w:val="center"/>
            <w:hideMark/>
          </w:tcPr>
          <w:p w14:paraId="5EFC6717"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157,149 </w:t>
            </w:r>
          </w:p>
        </w:tc>
      </w:tr>
      <w:tr w:rsidR="007D5EE0" w:rsidRPr="006B1BCD" w14:paraId="26FC6653" w14:textId="77777777" w:rsidTr="009A305E">
        <w:trPr>
          <w:trHeight w:val="270"/>
        </w:trPr>
        <w:tc>
          <w:tcPr>
            <w:tcW w:w="2119" w:type="dxa"/>
            <w:vAlign w:val="center"/>
            <w:hideMark/>
          </w:tcPr>
          <w:p w14:paraId="249EBB60"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Small CSPs</w:t>
            </w:r>
          </w:p>
        </w:tc>
        <w:tc>
          <w:tcPr>
            <w:tcW w:w="1218" w:type="dxa"/>
            <w:vAlign w:val="center"/>
            <w:hideMark/>
          </w:tcPr>
          <w:p w14:paraId="78871B00" w14:textId="77777777" w:rsidR="007D5EE0" w:rsidRPr="006B1BCD" w:rsidRDefault="007D5EE0" w:rsidP="009A305E">
            <w:pPr>
              <w:spacing w:line="240" w:lineRule="auto"/>
              <w:rPr>
                <w:rFonts w:ascii="Arial" w:hAnsi="Arial" w:cs="Arial"/>
                <w:b/>
                <w:bCs/>
                <w:sz w:val="16"/>
                <w:szCs w:val="16"/>
              </w:rPr>
            </w:pPr>
          </w:p>
        </w:tc>
        <w:tc>
          <w:tcPr>
            <w:tcW w:w="894" w:type="dxa"/>
            <w:noWrap/>
            <w:vAlign w:val="center"/>
            <w:hideMark/>
          </w:tcPr>
          <w:p w14:paraId="7223D9FD"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646EBD03" w14:textId="77777777" w:rsidR="007D5EE0" w:rsidRPr="006B1BCD" w:rsidRDefault="007D5EE0" w:rsidP="009A305E">
            <w:pPr>
              <w:spacing w:line="240" w:lineRule="auto"/>
              <w:rPr>
                <w:rFonts w:ascii="Arial" w:hAnsi="Arial" w:cs="Arial"/>
                <w:sz w:val="16"/>
                <w:szCs w:val="16"/>
              </w:rPr>
            </w:pPr>
          </w:p>
        </w:tc>
        <w:tc>
          <w:tcPr>
            <w:tcW w:w="963" w:type="dxa"/>
            <w:vAlign w:val="center"/>
            <w:hideMark/>
          </w:tcPr>
          <w:p w14:paraId="075610E8"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0BD34E94" w14:textId="77777777" w:rsidR="007D5EE0" w:rsidRPr="006B1BCD" w:rsidRDefault="007D5EE0" w:rsidP="009A305E">
            <w:pPr>
              <w:spacing w:line="240" w:lineRule="auto"/>
              <w:rPr>
                <w:rFonts w:ascii="Arial" w:hAnsi="Arial" w:cs="Arial"/>
                <w:sz w:val="16"/>
                <w:szCs w:val="16"/>
              </w:rPr>
            </w:pPr>
          </w:p>
        </w:tc>
        <w:tc>
          <w:tcPr>
            <w:tcW w:w="1565" w:type="dxa"/>
            <w:vAlign w:val="center"/>
            <w:hideMark/>
          </w:tcPr>
          <w:p w14:paraId="447A4361"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Small CSPs</w:t>
            </w:r>
          </w:p>
        </w:tc>
        <w:tc>
          <w:tcPr>
            <w:tcW w:w="751" w:type="dxa"/>
            <w:vAlign w:val="center"/>
            <w:hideMark/>
          </w:tcPr>
          <w:p w14:paraId="2177C23F" w14:textId="77777777" w:rsidR="007D5EE0" w:rsidRPr="006B1BCD" w:rsidRDefault="007D5EE0" w:rsidP="009A305E">
            <w:pPr>
              <w:spacing w:line="240" w:lineRule="auto"/>
              <w:rPr>
                <w:rFonts w:ascii="Arial" w:hAnsi="Arial" w:cs="Arial"/>
                <w:b/>
                <w:bCs/>
                <w:sz w:val="16"/>
                <w:szCs w:val="16"/>
              </w:rPr>
            </w:pPr>
          </w:p>
        </w:tc>
        <w:tc>
          <w:tcPr>
            <w:tcW w:w="870" w:type="dxa"/>
            <w:vAlign w:val="center"/>
            <w:hideMark/>
          </w:tcPr>
          <w:p w14:paraId="0A63B4D8"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2E1D80A9" w14:textId="77777777" w:rsidR="007D5EE0" w:rsidRPr="006B1BCD" w:rsidRDefault="007D5EE0" w:rsidP="009A305E">
            <w:pPr>
              <w:spacing w:line="240" w:lineRule="auto"/>
              <w:rPr>
                <w:rFonts w:ascii="Arial" w:hAnsi="Arial" w:cs="Arial"/>
                <w:sz w:val="16"/>
                <w:szCs w:val="16"/>
              </w:rPr>
            </w:pPr>
          </w:p>
        </w:tc>
        <w:tc>
          <w:tcPr>
            <w:tcW w:w="1005" w:type="dxa"/>
            <w:vAlign w:val="center"/>
            <w:hideMark/>
          </w:tcPr>
          <w:p w14:paraId="3CDDA418"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1DECF840" w14:textId="77777777" w:rsidR="007D5EE0" w:rsidRPr="006B1BCD" w:rsidRDefault="007D5EE0" w:rsidP="009A305E">
            <w:pPr>
              <w:spacing w:line="240" w:lineRule="auto"/>
              <w:rPr>
                <w:rFonts w:ascii="Arial" w:hAnsi="Arial" w:cs="Arial"/>
                <w:sz w:val="16"/>
                <w:szCs w:val="16"/>
              </w:rPr>
            </w:pPr>
          </w:p>
        </w:tc>
      </w:tr>
      <w:tr w:rsidR="007D5EE0" w:rsidRPr="006B1BCD" w14:paraId="105E13EA" w14:textId="77777777" w:rsidTr="009A305E">
        <w:trPr>
          <w:trHeight w:val="540"/>
        </w:trPr>
        <w:tc>
          <w:tcPr>
            <w:tcW w:w="2119" w:type="dxa"/>
            <w:vAlign w:val="center"/>
            <w:hideMark/>
          </w:tcPr>
          <w:p w14:paraId="3BEE450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Automate manual systems to enhance processes</w:t>
            </w:r>
          </w:p>
        </w:tc>
        <w:tc>
          <w:tcPr>
            <w:tcW w:w="1218" w:type="dxa"/>
            <w:vAlign w:val="center"/>
            <w:hideMark/>
          </w:tcPr>
          <w:p w14:paraId="3EDB3DAA"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$5,000</w:t>
            </w:r>
          </w:p>
        </w:tc>
        <w:tc>
          <w:tcPr>
            <w:tcW w:w="894" w:type="dxa"/>
            <w:noWrap/>
            <w:vAlign w:val="center"/>
            <w:hideMark/>
          </w:tcPr>
          <w:p w14:paraId="7BD982F6"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6282204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150</w:t>
            </w:r>
          </w:p>
        </w:tc>
        <w:tc>
          <w:tcPr>
            <w:tcW w:w="963" w:type="dxa"/>
            <w:vAlign w:val="center"/>
            <w:hideMark/>
          </w:tcPr>
          <w:p w14:paraId="351C7EC9"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2138B3B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750,000 </w:t>
            </w:r>
          </w:p>
        </w:tc>
        <w:tc>
          <w:tcPr>
            <w:tcW w:w="1565" w:type="dxa"/>
            <w:vAlign w:val="center"/>
            <w:hideMark/>
          </w:tcPr>
          <w:p w14:paraId="175282DE"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Monitor processes </w:t>
            </w:r>
          </w:p>
        </w:tc>
        <w:tc>
          <w:tcPr>
            <w:tcW w:w="751" w:type="dxa"/>
            <w:vAlign w:val="center"/>
            <w:hideMark/>
          </w:tcPr>
          <w:p w14:paraId="537331E6"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$1,500</w:t>
            </w:r>
          </w:p>
        </w:tc>
        <w:tc>
          <w:tcPr>
            <w:tcW w:w="870" w:type="dxa"/>
            <w:vAlign w:val="center"/>
            <w:hideMark/>
          </w:tcPr>
          <w:p w14:paraId="054E27B0"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22554A54"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150</w:t>
            </w:r>
          </w:p>
        </w:tc>
        <w:tc>
          <w:tcPr>
            <w:tcW w:w="1005" w:type="dxa"/>
            <w:vAlign w:val="center"/>
            <w:hideMark/>
          </w:tcPr>
          <w:p w14:paraId="3D11459E"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5AA894B7"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225,000 </w:t>
            </w:r>
          </w:p>
        </w:tc>
      </w:tr>
      <w:tr w:rsidR="007D5EE0" w:rsidRPr="006B1BCD" w14:paraId="42CE378A" w14:textId="77777777" w:rsidTr="009A305E">
        <w:trPr>
          <w:trHeight w:val="270"/>
        </w:trPr>
        <w:tc>
          <w:tcPr>
            <w:tcW w:w="2119" w:type="dxa"/>
            <w:vAlign w:val="center"/>
            <w:hideMark/>
          </w:tcPr>
          <w:p w14:paraId="042EACE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1218" w:type="dxa"/>
            <w:vAlign w:val="center"/>
            <w:hideMark/>
          </w:tcPr>
          <w:p w14:paraId="0DAC2344" w14:textId="77777777" w:rsidR="007D5EE0" w:rsidRPr="006B1BCD" w:rsidRDefault="007D5EE0" w:rsidP="009A305E">
            <w:pPr>
              <w:spacing w:line="240" w:lineRule="auto"/>
              <w:rPr>
                <w:rFonts w:ascii="Arial" w:hAnsi="Arial" w:cs="Arial"/>
                <w:sz w:val="16"/>
                <w:szCs w:val="16"/>
              </w:rPr>
            </w:pPr>
          </w:p>
        </w:tc>
        <w:tc>
          <w:tcPr>
            <w:tcW w:w="894" w:type="dxa"/>
            <w:noWrap/>
            <w:vAlign w:val="center"/>
            <w:hideMark/>
          </w:tcPr>
          <w:p w14:paraId="1FD19928"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w:t>
            </w:r>
          </w:p>
        </w:tc>
        <w:tc>
          <w:tcPr>
            <w:tcW w:w="1106" w:type="dxa"/>
            <w:noWrap/>
            <w:vAlign w:val="center"/>
            <w:hideMark/>
          </w:tcPr>
          <w:p w14:paraId="46ED68E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150</w:t>
            </w:r>
          </w:p>
        </w:tc>
        <w:tc>
          <w:tcPr>
            <w:tcW w:w="963" w:type="dxa"/>
            <w:vAlign w:val="center"/>
            <w:hideMark/>
          </w:tcPr>
          <w:p w14:paraId="1CDD2EF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628" w:type="dxa"/>
            <w:noWrap/>
            <w:vAlign w:val="center"/>
            <w:hideMark/>
          </w:tcPr>
          <w:p w14:paraId="6C5EBE06"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164,363 </w:t>
            </w:r>
          </w:p>
        </w:tc>
        <w:tc>
          <w:tcPr>
            <w:tcW w:w="1565" w:type="dxa"/>
            <w:vAlign w:val="center"/>
            <w:hideMark/>
          </w:tcPr>
          <w:p w14:paraId="09ACCA4B"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751" w:type="dxa"/>
            <w:vAlign w:val="center"/>
            <w:hideMark/>
          </w:tcPr>
          <w:p w14:paraId="44D9581E" w14:textId="77777777" w:rsidR="007D5EE0" w:rsidRPr="006B1BCD" w:rsidRDefault="007D5EE0" w:rsidP="009A305E">
            <w:pPr>
              <w:spacing w:line="240" w:lineRule="auto"/>
              <w:rPr>
                <w:rFonts w:ascii="Arial" w:hAnsi="Arial" w:cs="Arial"/>
                <w:sz w:val="16"/>
                <w:szCs w:val="16"/>
              </w:rPr>
            </w:pPr>
          </w:p>
        </w:tc>
        <w:tc>
          <w:tcPr>
            <w:tcW w:w="870" w:type="dxa"/>
            <w:noWrap/>
            <w:vAlign w:val="center"/>
            <w:hideMark/>
          </w:tcPr>
          <w:p w14:paraId="61164B91"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10</w:t>
            </w:r>
          </w:p>
        </w:tc>
        <w:tc>
          <w:tcPr>
            <w:tcW w:w="1179" w:type="dxa"/>
            <w:noWrap/>
            <w:vAlign w:val="center"/>
            <w:hideMark/>
          </w:tcPr>
          <w:p w14:paraId="2F5DDD4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150</w:t>
            </w:r>
          </w:p>
        </w:tc>
        <w:tc>
          <w:tcPr>
            <w:tcW w:w="1005" w:type="dxa"/>
            <w:vAlign w:val="center"/>
            <w:hideMark/>
          </w:tcPr>
          <w:p w14:paraId="3EFDEFD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349" w:type="dxa"/>
            <w:noWrap/>
            <w:vAlign w:val="center"/>
            <w:hideMark/>
          </w:tcPr>
          <w:p w14:paraId="2EE5D94D"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109,575 </w:t>
            </w:r>
          </w:p>
        </w:tc>
      </w:tr>
      <w:tr w:rsidR="007D5EE0" w:rsidRPr="006B1BCD" w14:paraId="5514DD48" w14:textId="77777777" w:rsidTr="009A305E">
        <w:trPr>
          <w:trHeight w:val="270"/>
        </w:trPr>
        <w:tc>
          <w:tcPr>
            <w:tcW w:w="2119" w:type="dxa"/>
            <w:shd w:val="clear" w:color="auto" w:fill="D9D9D9" w:themeFill="background1" w:themeFillShade="D9"/>
            <w:vAlign w:val="center"/>
            <w:hideMark/>
          </w:tcPr>
          <w:p w14:paraId="7C35776E"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1218" w:type="dxa"/>
            <w:shd w:val="clear" w:color="auto" w:fill="D9D9D9" w:themeFill="background1" w:themeFillShade="D9"/>
            <w:vAlign w:val="center"/>
            <w:hideMark/>
          </w:tcPr>
          <w:p w14:paraId="2A33B00C" w14:textId="77777777" w:rsidR="007D5EE0" w:rsidRPr="006B1BCD" w:rsidRDefault="007D5EE0" w:rsidP="009A305E">
            <w:pPr>
              <w:spacing w:line="240" w:lineRule="auto"/>
              <w:rPr>
                <w:rFonts w:ascii="Arial" w:hAnsi="Arial" w:cs="Arial"/>
                <w:b/>
                <w:bCs/>
                <w:sz w:val="16"/>
                <w:szCs w:val="16"/>
              </w:rPr>
            </w:pPr>
          </w:p>
        </w:tc>
        <w:tc>
          <w:tcPr>
            <w:tcW w:w="894" w:type="dxa"/>
            <w:shd w:val="clear" w:color="auto" w:fill="D9D9D9" w:themeFill="background1" w:themeFillShade="D9"/>
            <w:noWrap/>
            <w:vAlign w:val="center"/>
            <w:hideMark/>
          </w:tcPr>
          <w:p w14:paraId="1BF58438" w14:textId="77777777" w:rsidR="007D5EE0" w:rsidRPr="006B1BCD" w:rsidRDefault="007D5EE0" w:rsidP="009A305E">
            <w:pPr>
              <w:spacing w:line="240" w:lineRule="auto"/>
              <w:rPr>
                <w:rFonts w:ascii="Arial" w:hAnsi="Arial" w:cs="Arial"/>
                <w:sz w:val="16"/>
                <w:szCs w:val="16"/>
              </w:rPr>
            </w:pPr>
          </w:p>
        </w:tc>
        <w:tc>
          <w:tcPr>
            <w:tcW w:w="1106" w:type="dxa"/>
            <w:shd w:val="clear" w:color="auto" w:fill="D9D9D9" w:themeFill="background1" w:themeFillShade="D9"/>
            <w:noWrap/>
            <w:vAlign w:val="center"/>
            <w:hideMark/>
          </w:tcPr>
          <w:p w14:paraId="34DE133D" w14:textId="77777777" w:rsidR="007D5EE0" w:rsidRPr="006B1BCD" w:rsidRDefault="007D5EE0" w:rsidP="009A305E">
            <w:pPr>
              <w:spacing w:line="240" w:lineRule="auto"/>
              <w:rPr>
                <w:rFonts w:ascii="Arial" w:hAnsi="Arial" w:cs="Arial"/>
                <w:sz w:val="16"/>
                <w:szCs w:val="16"/>
              </w:rPr>
            </w:pPr>
          </w:p>
        </w:tc>
        <w:tc>
          <w:tcPr>
            <w:tcW w:w="963" w:type="dxa"/>
            <w:shd w:val="clear" w:color="auto" w:fill="D9D9D9" w:themeFill="background1" w:themeFillShade="D9"/>
            <w:vAlign w:val="center"/>
            <w:hideMark/>
          </w:tcPr>
          <w:p w14:paraId="4694DC28" w14:textId="77777777" w:rsidR="007D5EE0" w:rsidRPr="006B1BCD" w:rsidRDefault="007D5EE0" w:rsidP="009A305E">
            <w:pPr>
              <w:spacing w:line="240" w:lineRule="auto"/>
              <w:rPr>
                <w:rFonts w:ascii="Arial" w:hAnsi="Arial" w:cs="Arial"/>
                <w:sz w:val="16"/>
                <w:szCs w:val="16"/>
              </w:rPr>
            </w:pPr>
          </w:p>
        </w:tc>
        <w:tc>
          <w:tcPr>
            <w:tcW w:w="1628" w:type="dxa"/>
            <w:shd w:val="clear" w:color="auto" w:fill="D9D9D9" w:themeFill="background1" w:themeFillShade="D9"/>
            <w:noWrap/>
            <w:vAlign w:val="center"/>
            <w:hideMark/>
          </w:tcPr>
          <w:p w14:paraId="57CED1EE"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914,363 </w:t>
            </w:r>
          </w:p>
        </w:tc>
        <w:tc>
          <w:tcPr>
            <w:tcW w:w="1565" w:type="dxa"/>
            <w:shd w:val="clear" w:color="auto" w:fill="D9D9D9" w:themeFill="background1" w:themeFillShade="D9"/>
            <w:vAlign w:val="center"/>
            <w:hideMark/>
          </w:tcPr>
          <w:p w14:paraId="34588AC7"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751" w:type="dxa"/>
            <w:shd w:val="clear" w:color="auto" w:fill="D9D9D9" w:themeFill="background1" w:themeFillShade="D9"/>
            <w:vAlign w:val="center"/>
            <w:hideMark/>
          </w:tcPr>
          <w:p w14:paraId="43D0BCAC" w14:textId="77777777" w:rsidR="007D5EE0" w:rsidRPr="006B1BCD" w:rsidRDefault="007D5EE0" w:rsidP="009A305E">
            <w:pPr>
              <w:spacing w:line="240" w:lineRule="auto"/>
              <w:rPr>
                <w:rFonts w:ascii="Arial" w:hAnsi="Arial" w:cs="Arial"/>
                <w:b/>
                <w:bCs/>
                <w:sz w:val="16"/>
                <w:szCs w:val="16"/>
              </w:rPr>
            </w:pPr>
          </w:p>
        </w:tc>
        <w:tc>
          <w:tcPr>
            <w:tcW w:w="870" w:type="dxa"/>
            <w:shd w:val="clear" w:color="auto" w:fill="D9D9D9" w:themeFill="background1" w:themeFillShade="D9"/>
            <w:vAlign w:val="center"/>
            <w:hideMark/>
          </w:tcPr>
          <w:p w14:paraId="39E2FE28" w14:textId="77777777" w:rsidR="007D5EE0" w:rsidRPr="006B1BCD" w:rsidRDefault="007D5EE0" w:rsidP="009A305E">
            <w:pPr>
              <w:spacing w:line="240" w:lineRule="auto"/>
              <w:rPr>
                <w:rFonts w:ascii="Arial" w:hAnsi="Arial" w:cs="Arial"/>
                <w:sz w:val="16"/>
                <w:szCs w:val="16"/>
              </w:rPr>
            </w:pPr>
          </w:p>
        </w:tc>
        <w:tc>
          <w:tcPr>
            <w:tcW w:w="1179" w:type="dxa"/>
            <w:shd w:val="clear" w:color="auto" w:fill="D9D9D9" w:themeFill="background1" w:themeFillShade="D9"/>
            <w:noWrap/>
            <w:vAlign w:val="center"/>
            <w:hideMark/>
          </w:tcPr>
          <w:p w14:paraId="543D1F0B" w14:textId="77777777" w:rsidR="007D5EE0" w:rsidRPr="006B1BCD" w:rsidRDefault="007D5EE0" w:rsidP="009A305E">
            <w:pPr>
              <w:spacing w:line="240" w:lineRule="auto"/>
              <w:rPr>
                <w:rFonts w:ascii="Arial" w:hAnsi="Arial" w:cs="Arial"/>
                <w:sz w:val="16"/>
                <w:szCs w:val="16"/>
              </w:rPr>
            </w:pPr>
          </w:p>
        </w:tc>
        <w:tc>
          <w:tcPr>
            <w:tcW w:w="1005" w:type="dxa"/>
            <w:shd w:val="clear" w:color="auto" w:fill="D9D9D9" w:themeFill="background1" w:themeFillShade="D9"/>
            <w:vAlign w:val="center"/>
            <w:hideMark/>
          </w:tcPr>
          <w:p w14:paraId="47DCD305" w14:textId="77777777" w:rsidR="007D5EE0" w:rsidRPr="006B1BCD" w:rsidRDefault="007D5EE0" w:rsidP="009A305E">
            <w:pPr>
              <w:spacing w:line="240" w:lineRule="auto"/>
              <w:rPr>
                <w:rFonts w:ascii="Arial" w:hAnsi="Arial" w:cs="Arial"/>
                <w:sz w:val="16"/>
                <w:szCs w:val="16"/>
              </w:rPr>
            </w:pPr>
          </w:p>
        </w:tc>
        <w:tc>
          <w:tcPr>
            <w:tcW w:w="1349" w:type="dxa"/>
            <w:shd w:val="clear" w:color="auto" w:fill="D9D9D9" w:themeFill="background1" w:themeFillShade="D9"/>
            <w:noWrap/>
            <w:vAlign w:val="center"/>
            <w:hideMark/>
          </w:tcPr>
          <w:p w14:paraId="7D98417A"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334,575 </w:t>
            </w:r>
          </w:p>
        </w:tc>
      </w:tr>
      <w:tr w:rsidR="007D5EE0" w:rsidRPr="006B1BCD" w14:paraId="58A5C7CA" w14:textId="77777777" w:rsidTr="009A305E">
        <w:trPr>
          <w:trHeight w:val="270"/>
        </w:trPr>
        <w:tc>
          <w:tcPr>
            <w:tcW w:w="2119" w:type="dxa"/>
            <w:vAlign w:val="center"/>
            <w:hideMark/>
          </w:tcPr>
          <w:p w14:paraId="1C79E5A8"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Very small CSPs</w:t>
            </w:r>
          </w:p>
        </w:tc>
        <w:tc>
          <w:tcPr>
            <w:tcW w:w="1218" w:type="dxa"/>
            <w:vAlign w:val="center"/>
            <w:hideMark/>
          </w:tcPr>
          <w:p w14:paraId="0B6C10FC" w14:textId="77777777" w:rsidR="007D5EE0" w:rsidRPr="006B1BCD" w:rsidRDefault="007D5EE0" w:rsidP="009A305E">
            <w:pPr>
              <w:spacing w:line="240" w:lineRule="auto"/>
              <w:rPr>
                <w:rFonts w:ascii="Arial" w:hAnsi="Arial" w:cs="Arial"/>
                <w:b/>
                <w:bCs/>
                <w:sz w:val="16"/>
                <w:szCs w:val="16"/>
              </w:rPr>
            </w:pPr>
          </w:p>
        </w:tc>
        <w:tc>
          <w:tcPr>
            <w:tcW w:w="894" w:type="dxa"/>
            <w:noWrap/>
            <w:vAlign w:val="center"/>
            <w:hideMark/>
          </w:tcPr>
          <w:p w14:paraId="4BD45ACE"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2CAC60B6" w14:textId="77777777" w:rsidR="007D5EE0" w:rsidRPr="006B1BCD" w:rsidRDefault="007D5EE0" w:rsidP="009A305E">
            <w:pPr>
              <w:spacing w:line="240" w:lineRule="auto"/>
              <w:rPr>
                <w:rFonts w:ascii="Arial" w:hAnsi="Arial" w:cs="Arial"/>
                <w:sz w:val="16"/>
                <w:szCs w:val="16"/>
              </w:rPr>
            </w:pPr>
          </w:p>
        </w:tc>
        <w:tc>
          <w:tcPr>
            <w:tcW w:w="963" w:type="dxa"/>
            <w:vAlign w:val="center"/>
            <w:hideMark/>
          </w:tcPr>
          <w:p w14:paraId="6C06F1B8"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6174043F" w14:textId="77777777" w:rsidR="007D5EE0" w:rsidRPr="006B1BCD" w:rsidRDefault="007D5EE0" w:rsidP="009A305E">
            <w:pPr>
              <w:spacing w:line="240" w:lineRule="auto"/>
              <w:rPr>
                <w:rFonts w:ascii="Arial" w:hAnsi="Arial" w:cs="Arial"/>
                <w:sz w:val="16"/>
                <w:szCs w:val="16"/>
              </w:rPr>
            </w:pPr>
          </w:p>
        </w:tc>
        <w:tc>
          <w:tcPr>
            <w:tcW w:w="1565" w:type="dxa"/>
            <w:vAlign w:val="center"/>
            <w:hideMark/>
          </w:tcPr>
          <w:p w14:paraId="3AD3CE03"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Very small CSPs</w:t>
            </w:r>
          </w:p>
        </w:tc>
        <w:tc>
          <w:tcPr>
            <w:tcW w:w="751" w:type="dxa"/>
            <w:vAlign w:val="center"/>
            <w:hideMark/>
          </w:tcPr>
          <w:p w14:paraId="6A931CDB" w14:textId="77777777" w:rsidR="007D5EE0" w:rsidRPr="006B1BCD" w:rsidRDefault="007D5EE0" w:rsidP="009A305E">
            <w:pPr>
              <w:spacing w:line="240" w:lineRule="auto"/>
              <w:rPr>
                <w:rFonts w:ascii="Arial" w:hAnsi="Arial" w:cs="Arial"/>
                <w:b/>
                <w:bCs/>
                <w:sz w:val="16"/>
                <w:szCs w:val="16"/>
              </w:rPr>
            </w:pPr>
          </w:p>
        </w:tc>
        <w:tc>
          <w:tcPr>
            <w:tcW w:w="870" w:type="dxa"/>
            <w:vAlign w:val="center"/>
            <w:hideMark/>
          </w:tcPr>
          <w:p w14:paraId="28C7009C"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756F2E98" w14:textId="77777777" w:rsidR="007D5EE0" w:rsidRPr="006B1BCD" w:rsidRDefault="007D5EE0" w:rsidP="009A305E">
            <w:pPr>
              <w:spacing w:line="240" w:lineRule="auto"/>
              <w:rPr>
                <w:rFonts w:ascii="Arial" w:hAnsi="Arial" w:cs="Arial"/>
                <w:sz w:val="16"/>
                <w:szCs w:val="16"/>
              </w:rPr>
            </w:pPr>
          </w:p>
        </w:tc>
        <w:tc>
          <w:tcPr>
            <w:tcW w:w="1005" w:type="dxa"/>
            <w:vAlign w:val="center"/>
            <w:hideMark/>
          </w:tcPr>
          <w:p w14:paraId="455B79D3"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615D7030" w14:textId="77777777" w:rsidR="007D5EE0" w:rsidRPr="006B1BCD" w:rsidRDefault="007D5EE0" w:rsidP="009A305E">
            <w:pPr>
              <w:spacing w:line="240" w:lineRule="auto"/>
              <w:rPr>
                <w:rFonts w:ascii="Arial" w:hAnsi="Arial" w:cs="Arial"/>
                <w:sz w:val="16"/>
                <w:szCs w:val="16"/>
              </w:rPr>
            </w:pPr>
          </w:p>
        </w:tc>
      </w:tr>
      <w:tr w:rsidR="007D5EE0" w:rsidRPr="006B1BCD" w14:paraId="3AE87159" w14:textId="77777777" w:rsidTr="009A305E">
        <w:trPr>
          <w:trHeight w:val="540"/>
        </w:trPr>
        <w:tc>
          <w:tcPr>
            <w:tcW w:w="2119" w:type="dxa"/>
            <w:vAlign w:val="center"/>
            <w:hideMark/>
          </w:tcPr>
          <w:p w14:paraId="6AEE6EDD"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Automate manual systems to enhance processes</w:t>
            </w:r>
          </w:p>
        </w:tc>
        <w:tc>
          <w:tcPr>
            <w:tcW w:w="1218" w:type="dxa"/>
            <w:vAlign w:val="center"/>
            <w:hideMark/>
          </w:tcPr>
          <w:p w14:paraId="5820165C"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$2,500</w:t>
            </w:r>
          </w:p>
        </w:tc>
        <w:tc>
          <w:tcPr>
            <w:tcW w:w="894" w:type="dxa"/>
            <w:noWrap/>
            <w:vAlign w:val="center"/>
            <w:hideMark/>
          </w:tcPr>
          <w:p w14:paraId="6206ADD9"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3548434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241</w:t>
            </w:r>
          </w:p>
        </w:tc>
        <w:tc>
          <w:tcPr>
            <w:tcW w:w="963" w:type="dxa"/>
            <w:vAlign w:val="center"/>
            <w:hideMark/>
          </w:tcPr>
          <w:p w14:paraId="304A1F1D"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26985BFA"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602,500 </w:t>
            </w:r>
          </w:p>
        </w:tc>
        <w:tc>
          <w:tcPr>
            <w:tcW w:w="1565" w:type="dxa"/>
            <w:vAlign w:val="center"/>
            <w:hideMark/>
          </w:tcPr>
          <w:p w14:paraId="3E0D4164"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Monitor processes </w:t>
            </w:r>
          </w:p>
        </w:tc>
        <w:tc>
          <w:tcPr>
            <w:tcW w:w="751" w:type="dxa"/>
            <w:vAlign w:val="center"/>
            <w:hideMark/>
          </w:tcPr>
          <w:p w14:paraId="1D925C51"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$1,250</w:t>
            </w:r>
          </w:p>
        </w:tc>
        <w:tc>
          <w:tcPr>
            <w:tcW w:w="870" w:type="dxa"/>
            <w:vAlign w:val="center"/>
            <w:hideMark/>
          </w:tcPr>
          <w:p w14:paraId="12EC51BE"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0F088FFD"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241</w:t>
            </w:r>
          </w:p>
        </w:tc>
        <w:tc>
          <w:tcPr>
            <w:tcW w:w="1005" w:type="dxa"/>
            <w:vAlign w:val="center"/>
            <w:hideMark/>
          </w:tcPr>
          <w:p w14:paraId="56888598"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4E7A0A4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301,250 </w:t>
            </w:r>
          </w:p>
        </w:tc>
      </w:tr>
      <w:tr w:rsidR="007D5EE0" w:rsidRPr="006B1BCD" w14:paraId="16C16890" w14:textId="77777777" w:rsidTr="009A305E">
        <w:trPr>
          <w:trHeight w:val="270"/>
        </w:trPr>
        <w:tc>
          <w:tcPr>
            <w:tcW w:w="2119" w:type="dxa"/>
            <w:vAlign w:val="center"/>
            <w:hideMark/>
          </w:tcPr>
          <w:p w14:paraId="02514857"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1218" w:type="dxa"/>
            <w:vAlign w:val="center"/>
            <w:hideMark/>
          </w:tcPr>
          <w:p w14:paraId="0350DF64" w14:textId="77777777" w:rsidR="007D5EE0" w:rsidRPr="006B1BCD" w:rsidRDefault="007D5EE0" w:rsidP="009A305E">
            <w:pPr>
              <w:spacing w:line="240" w:lineRule="auto"/>
              <w:rPr>
                <w:rFonts w:ascii="Arial" w:hAnsi="Arial" w:cs="Arial"/>
                <w:sz w:val="16"/>
                <w:szCs w:val="16"/>
              </w:rPr>
            </w:pPr>
          </w:p>
        </w:tc>
        <w:tc>
          <w:tcPr>
            <w:tcW w:w="894" w:type="dxa"/>
            <w:noWrap/>
            <w:vAlign w:val="center"/>
            <w:hideMark/>
          </w:tcPr>
          <w:p w14:paraId="5096B222"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15</w:t>
            </w:r>
          </w:p>
        </w:tc>
        <w:tc>
          <w:tcPr>
            <w:tcW w:w="1106" w:type="dxa"/>
            <w:noWrap/>
            <w:vAlign w:val="center"/>
            <w:hideMark/>
          </w:tcPr>
          <w:p w14:paraId="403C92AC"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241</w:t>
            </w:r>
          </w:p>
        </w:tc>
        <w:tc>
          <w:tcPr>
            <w:tcW w:w="963" w:type="dxa"/>
            <w:vAlign w:val="center"/>
            <w:hideMark/>
          </w:tcPr>
          <w:p w14:paraId="6ED397E3"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628" w:type="dxa"/>
            <w:noWrap/>
            <w:vAlign w:val="center"/>
            <w:hideMark/>
          </w:tcPr>
          <w:p w14:paraId="4676E3A3"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264,076 </w:t>
            </w:r>
          </w:p>
        </w:tc>
        <w:tc>
          <w:tcPr>
            <w:tcW w:w="1565" w:type="dxa"/>
            <w:vAlign w:val="center"/>
            <w:hideMark/>
          </w:tcPr>
          <w:p w14:paraId="5A07CDF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Staff training</w:t>
            </w:r>
          </w:p>
        </w:tc>
        <w:tc>
          <w:tcPr>
            <w:tcW w:w="751" w:type="dxa"/>
            <w:vAlign w:val="center"/>
            <w:hideMark/>
          </w:tcPr>
          <w:p w14:paraId="78745556" w14:textId="77777777" w:rsidR="007D5EE0" w:rsidRPr="006B1BCD" w:rsidRDefault="007D5EE0" w:rsidP="009A305E">
            <w:pPr>
              <w:spacing w:line="240" w:lineRule="auto"/>
              <w:rPr>
                <w:rFonts w:ascii="Arial" w:hAnsi="Arial" w:cs="Arial"/>
                <w:sz w:val="16"/>
                <w:szCs w:val="16"/>
              </w:rPr>
            </w:pPr>
          </w:p>
        </w:tc>
        <w:tc>
          <w:tcPr>
            <w:tcW w:w="870" w:type="dxa"/>
            <w:noWrap/>
            <w:vAlign w:val="center"/>
            <w:hideMark/>
          </w:tcPr>
          <w:p w14:paraId="21FACCB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10</w:t>
            </w:r>
          </w:p>
        </w:tc>
        <w:tc>
          <w:tcPr>
            <w:tcW w:w="1179" w:type="dxa"/>
            <w:noWrap/>
            <w:vAlign w:val="center"/>
            <w:hideMark/>
          </w:tcPr>
          <w:p w14:paraId="2D8B4CF0"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241</w:t>
            </w:r>
          </w:p>
        </w:tc>
        <w:tc>
          <w:tcPr>
            <w:tcW w:w="1005" w:type="dxa"/>
            <w:vAlign w:val="center"/>
            <w:hideMark/>
          </w:tcPr>
          <w:p w14:paraId="54135439"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$73</w:t>
            </w:r>
          </w:p>
        </w:tc>
        <w:tc>
          <w:tcPr>
            <w:tcW w:w="1349" w:type="dxa"/>
            <w:noWrap/>
            <w:vAlign w:val="center"/>
            <w:hideMark/>
          </w:tcPr>
          <w:p w14:paraId="04930207" w14:textId="77777777" w:rsidR="007D5EE0" w:rsidRPr="006B1BCD" w:rsidRDefault="007D5EE0" w:rsidP="009A305E">
            <w:pPr>
              <w:spacing w:line="240" w:lineRule="auto"/>
              <w:rPr>
                <w:rFonts w:ascii="Arial" w:hAnsi="Arial" w:cs="Arial"/>
                <w:sz w:val="16"/>
                <w:szCs w:val="16"/>
              </w:rPr>
            </w:pPr>
            <w:r w:rsidRPr="006B1BCD">
              <w:rPr>
                <w:rFonts w:ascii="Arial" w:hAnsi="Arial" w:cs="Arial"/>
                <w:sz w:val="16"/>
                <w:szCs w:val="16"/>
              </w:rPr>
              <w:t xml:space="preserve"> $        176,051 </w:t>
            </w:r>
          </w:p>
        </w:tc>
      </w:tr>
      <w:tr w:rsidR="007D5EE0" w:rsidRPr="006B1BCD" w14:paraId="6A0AA85E" w14:textId="77777777" w:rsidTr="009A305E">
        <w:trPr>
          <w:trHeight w:val="270"/>
        </w:trPr>
        <w:tc>
          <w:tcPr>
            <w:tcW w:w="2119" w:type="dxa"/>
            <w:shd w:val="clear" w:color="auto" w:fill="D9D9D9" w:themeFill="background1" w:themeFillShade="D9"/>
            <w:vAlign w:val="center"/>
            <w:hideMark/>
          </w:tcPr>
          <w:p w14:paraId="14D521A0"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1218" w:type="dxa"/>
            <w:shd w:val="clear" w:color="auto" w:fill="D9D9D9" w:themeFill="background1" w:themeFillShade="D9"/>
            <w:vAlign w:val="center"/>
            <w:hideMark/>
          </w:tcPr>
          <w:p w14:paraId="4F77AB46" w14:textId="77777777" w:rsidR="007D5EE0" w:rsidRPr="006B1BCD" w:rsidRDefault="007D5EE0" w:rsidP="009A305E">
            <w:pPr>
              <w:spacing w:line="240" w:lineRule="auto"/>
              <w:rPr>
                <w:rFonts w:ascii="Arial" w:hAnsi="Arial" w:cs="Arial"/>
                <w:b/>
                <w:bCs/>
                <w:sz w:val="16"/>
                <w:szCs w:val="16"/>
              </w:rPr>
            </w:pPr>
          </w:p>
        </w:tc>
        <w:tc>
          <w:tcPr>
            <w:tcW w:w="894" w:type="dxa"/>
            <w:shd w:val="clear" w:color="auto" w:fill="D9D9D9" w:themeFill="background1" w:themeFillShade="D9"/>
            <w:noWrap/>
            <w:vAlign w:val="center"/>
            <w:hideMark/>
          </w:tcPr>
          <w:p w14:paraId="3CF28674" w14:textId="77777777" w:rsidR="007D5EE0" w:rsidRPr="006B1BCD" w:rsidRDefault="007D5EE0" w:rsidP="009A305E">
            <w:pPr>
              <w:spacing w:line="240" w:lineRule="auto"/>
              <w:rPr>
                <w:rFonts w:ascii="Arial" w:hAnsi="Arial" w:cs="Arial"/>
                <w:sz w:val="16"/>
                <w:szCs w:val="16"/>
              </w:rPr>
            </w:pPr>
          </w:p>
        </w:tc>
        <w:tc>
          <w:tcPr>
            <w:tcW w:w="1106" w:type="dxa"/>
            <w:shd w:val="clear" w:color="auto" w:fill="D9D9D9" w:themeFill="background1" w:themeFillShade="D9"/>
            <w:noWrap/>
            <w:vAlign w:val="center"/>
            <w:hideMark/>
          </w:tcPr>
          <w:p w14:paraId="3F1CEACE" w14:textId="77777777" w:rsidR="007D5EE0" w:rsidRPr="006B1BCD" w:rsidRDefault="007D5EE0" w:rsidP="009A305E">
            <w:pPr>
              <w:spacing w:line="240" w:lineRule="auto"/>
              <w:rPr>
                <w:rFonts w:ascii="Arial" w:hAnsi="Arial" w:cs="Arial"/>
                <w:sz w:val="16"/>
                <w:szCs w:val="16"/>
              </w:rPr>
            </w:pPr>
          </w:p>
        </w:tc>
        <w:tc>
          <w:tcPr>
            <w:tcW w:w="963" w:type="dxa"/>
            <w:shd w:val="clear" w:color="auto" w:fill="D9D9D9" w:themeFill="background1" w:themeFillShade="D9"/>
            <w:vAlign w:val="center"/>
            <w:hideMark/>
          </w:tcPr>
          <w:p w14:paraId="5368B26F" w14:textId="77777777" w:rsidR="007D5EE0" w:rsidRPr="006B1BCD" w:rsidRDefault="007D5EE0" w:rsidP="009A305E">
            <w:pPr>
              <w:spacing w:line="240" w:lineRule="auto"/>
              <w:rPr>
                <w:rFonts w:ascii="Arial" w:hAnsi="Arial" w:cs="Arial"/>
                <w:sz w:val="16"/>
                <w:szCs w:val="16"/>
              </w:rPr>
            </w:pPr>
          </w:p>
        </w:tc>
        <w:tc>
          <w:tcPr>
            <w:tcW w:w="1628" w:type="dxa"/>
            <w:shd w:val="clear" w:color="auto" w:fill="D9D9D9" w:themeFill="background1" w:themeFillShade="D9"/>
            <w:noWrap/>
            <w:vAlign w:val="center"/>
            <w:hideMark/>
          </w:tcPr>
          <w:p w14:paraId="72921EBE"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866,576 </w:t>
            </w:r>
          </w:p>
        </w:tc>
        <w:tc>
          <w:tcPr>
            <w:tcW w:w="1565" w:type="dxa"/>
            <w:shd w:val="clear" w:color="auto" w:fill="D9D9D9" w:themeFill="background1" w:themeFillShade="D9"/>
            <w:vAlign w:val="center"/>
            <w:hideMark/>
          </w:tcPr>
          <w:p w14:paraId="6AB257BB"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Total</w:t>
            </w:r>
          </w:p>
        </w:tc>
        <w:tc>
          <w:tcPr>
            <w:tcW w:w="751" w:type="dxa"/>
            <w:shd w:val="clear" w:color="auto" w:fill="D9D9D9" w:themeFill="background1" w:themeFillShade="D9"/>
            <w:vAlign w:val="center"/>
            <w:hideMark/>
          </w:tcPr>
          <w:p w14:paraId="56DC92C0" w14:textId="77777777" w:rsidR="007D5EE0" w:rsidRPr="006B1BCD" w:rsidRDefault="007D5EE0" w:rsidP="009A305E">
            <w:pPr>
              <w:spacing w:line="240" w:lineRule="auto"/>
              <w:rPr>
                <w:rFonts w:ascii="Arial" w:hAnsi="Arial" w:cs="Arial"/>
                <w:b/>
                <w:bCs/>
                <w:sz w:val="16"/>
                <w:szCs w:val="16"/>
              </w:rPr>
            </w:pPr>
          </w:p>
        </w:tc>
        <w:tc>
          <w:tcPr>
            <w:tcW w:w="870" w:type="dxa"/>
            <w:shd w:val="clear" w:color="auto" w:fill="D9D9D9" w:themeFill="background1" w:themeFillShade="D9"/>
            <w:vAlign w:val="center"/>
            <w:hideMark/>
          </w:tcPr>
          <w:p w14:paraId="66F6A637" w14:textId="77777777" w:rsidR="007D5EE0" w:rsidRPr="006B1BCD" w:rsidRDefault="007D5EE0" w:rsidP="009A305E">
            <w:pPr>
              <w:spacing w:line="240" w:lineRule="auto"/>
              <w:rPr>
                <w:rFonts w:ascii="Arial" w:hAnsi="Arial" w:cs="Arial"/>
                <w:sz w:val="16"/>
                <w:szCs w:val="16"/>
              </w:rPr>
            </w:pPr>
          </w:p>
        </w:tc>
        <w:tc>
          <w:tcPr>
            <w:tcW w:w="1179" w:type="dxa"/>
            <w:shd w:val="clear" w:color="auto" w:fill="D9D9D9" w:themeFill="background1" w:themeFillShade="D9"/>
            <w:noWrap/>
            <w:vAlign w:val="center"/>
            <w:hideMark/>
          </w:tcPr>
          <w:p w14:paraId="1F537D59" w14:textId="77777777" w:rsidR="007D5EE0" w:rsidRPr="006B1BCD" w:rsidRDefault="007D5EE0" w:rsidP="009A305E">
            <w:pPr>
              <w:spacing w:line="240" w:lineRule="auto"/>
              <w:rPr>
                <w:rFonts w:ascii="Arial" w:hAnsi="Arial" w:cs="Arial"/>
                <w:sz w:val="16"/>
                <w:szCs w:val="16"/>
              </w:rPr>
            </w:pPr>
          </w:p>
        </w:tc>
        <w:tc>
          <w:tcPr>
            <w:tcW w:w="1005" w:type="dxa"/>
            <w:shd w:val="clear" w:color="auto" w:fill="D9D9D9" w:themeFill="background1" w:themeFillShade="D9"/>
            <w:vAlign w:val="center"/>
            <w:hideMark/>
          </w:tcPr>
          <w:p w14:paraId="60FC925A" w14:textId="77777777" w:rsidR="007D5EE0" w:rsidRPr="006B1BCD" w:rsidRDefault="007D5EE0" w:rsidP="009A305E">
            <w:pPr>
              <w:spacing w:line="240" w:lineRule="auto"/>
              <w:rPr>
                <w:rFonts w:ascii="Arial" w:hAnsi="Arial" w:cs="Arial"/>
                <w:sz w:val="16"/>
                <w:szCs w:val="16"/>
              </w:rPr>
            </w:pPr>
          </w:p>
        </w:tc>
        <w:tc>
          <w:tcPr>
            <w:tcW w:w="1349" w:type="dxa"/>
            <w:shd w:val="clear" w:color="auto" w:fill="D9D9D9" w:themeFill="background1" w:themeFillShade="D9"/>
            <w:noWrap/>
            <w:vAlign w:val="center"/>
            <w:hideMark/>
          </w:tcPr>
          <w:p w14:paraId="54876A6D"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477,301 </w:t>
            </w:r>
          </w:p>
        </w:tc>
      </w:tr>
      <w:tr w:rsidR="007D5EE0" w:rsidRPr="006B1BCD" w14:paraId="3D561390" w14:textId="77777777" w:rsidTr="009A305E">
        <w:trPr>
          <w:trHeight w:val="270"/>
        </w:trPr>
        <w:tc>
          <w:tcPr>
            <w:tcW w:w="2119" w:type="dxa"/>
            <w:vAlign w:val="center"/>
            <w:hideMark/>
          </w:tcPr>
          <w:p w14:paraId="35EA1702" w14:textId="77777777" w:rsidR="007D5EE0" w:rsidRPr="006B1BCD" w:rsidRDefault="007D5EE0" w:rsidP="009A305E">
            <w:pPr>
              <w:spacing w:line="240" w:lineRule="auto"/>
              <w:rPr>
                <w:rFonts w:ascii="Arial" w:hAnsi="Arial" w:cs="Arial"/>
                <w:sz w:val="16"/>
                <w:szCs w:val="16"/>
              </w:rPr>
            </w:pPr>
          </w:p>
        </w:tc>
        <w:tc>
          <w:tcPr>
            <w:tcW w:w="1218" w:type="dxa"/>
            <w:vAlign w:val="center"/>
            <w:hideMark/>
          </w:tcPr>
          <w:p w14:paraId="7081810A" w14:textId="77777777" w:rsidR="007D5EE0" w:rsidRPr="006B1BCD" w:rsidRDefault="007D5EE0" w:rsidP="009A305E">
            <w:pPr>
              <w:spacing w:line="240" w:lineRule="auto"/>
              <w:rPr>
                <w:rFonts w:ascii="Arial" w:hAnsi="Arial" w:cs="Arial"/>
                <w:sz w:val="16"/>
                <w:szCs w:val="16"/>
              </w:rPr>
            </w:pPr>
          </w:p>
        </w:tc>
        <w:tc>
          <w:tcPr>
            <w:tcW w:w="894" w:type="dxa"/>
            <w:noWrap/>
            <w:vAlign w:val="center"/>
            <w:hideMark/>
          </w:tcPr>
          <w:p w14:paraId="33404A41" w14:textId="77777777" w:rsidR="007D5EE0" w:rsidRPr="006B1BCD" w:rsidRDefault="007D5EE0" w:rsidP="009A305E">
            <w:pPr>
              <w:spacing w:line="240" w:lineRule="auto"/>
              <w:rPr>
                <w:rFonts w:ascii="Arial" w:hAnsi="Arial" w:cs="Arial"/>
                <w:sz w:val="16"/>
                <w:szCs w:val="16"/>
              </w:rPr>
            </w:pPr>
          </w:p>
        </w:tc>
        <w:tc>
          <w:tcPr>
            <w:tcW w:w="1106" w:type="dxa"/>
            <w:noWrap/>
            <w:vAlign w:val="center"/>
            <w:hideMark/>
          </w:tcPr>
          <w:p w14:paraId="446D6F90" w14:textId="77777777" w:rsidR="007D5EE0" w:rsidRPr="006B1BCD" w:rsidRDefault="007D5EE0" w:rsidP="009A305E">
            <w:pPr>
              <w:spacing w:line="240" w:lineRule="auto"/>
              <w:rPr>
                <w:rFonts w:ascii="Arial" w:hAnsi="Arial" w:cs="Arial"/>
                <w:sz w:val="16"/>
                <w:szCs w:val="16"/>
              </w:rPr>
            </w:pPr>
          </w:p>
        </w:tc>
        <w:tc>
          <w:tcPr>
            <w:tcW w:w="963" w:type="dxa"/>
            <w:vAlign w:val="center"/>
            <w:hideMark/>
          </w:tcPr>
          <w:p w14:paraId="355DB9E2"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67B0F362" w14:textId="77777777" w:rsidR="007D5EE0" w:rsidRPr="006B1BCD" w:rsidRDefault="007D5EE0" w:rsidP="009A305E">
            <w:pPr>
              <w:spacing w:line="240" w:lineRule="auto"/>
              <w:rPr>
                <w:rFonts w:ascii="Arial" w:hAnsi="Arial" w:cs="Arial"/>
                <w:sz w:val="16"/>
                <w:szCs w:val="16"/>
              </w:rPr>
            </w:pPr>
          </w:p>
        </w:tc>
        <w:tc>
          <w:tcPr>
            <w:tcW w:w="1565" w:type="dxa"/>
            <w:vAlign w:val="center"/>
            <w:hideMark/>
          </w:tcPr>
          <w:p w14:paraId="0A75E01B" w14:textId="77777777" w:rsidR="007D5EE0" w:rsidRPr="006B1BCD" w:rsidRDefault="007D5EE0" w:rsidP="009A305E">
            <w:pPr>
              <w:spacing w:line="240" w:lineRule="auto"/>
              <w:rPr>
                <w:rFonts w:ascii="Arial" w:hAnsi="Arial" w:cs="Arial"/>
                <w:sz w:val="16"/>
                <w:szCs w:val="16"/>
              </w:rPr>
            </w:pPr>
          </w:p>
        </w:tc>
        <w:tc>
          <w:tcPr>
            <w:tcW w:w="751" w:type="dxa"/>
            <w:vAlign w:val="center"/>
            <w:hideMark/>
          </w:tcPr>
          <w:p w14:paraId="672315B1" w14:textId="77777777" w:rsidR="007D5EE0" w:rsidRPr="006B1BCD" w:rsidRDefault="007D5EE0" w:rsidP="009A305E">
            <w:pPr>
              <w:spacing w:line="240" w:lineRule="auto"/>
              <w:rPr>
                <w:rFonts w:ascii="Arial" w:hAnsi="Arial" w:cs="Arial"/>
                <w:sz w:val="16"/>
                <w:szCs w:val="16"/>
              </w:rPr>
            </w:pPr>
          </w:p>
        </w:tc>
        <w:tc>
          <w:tcPr>
            <w:tcW w:w="870" w:type="dxa"/>
            <w:vAlign w:val="center"/>
            <w:hideMark/>
          </w:tcPr>
          <w:p w14:paraId="480415BF"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5FC3102F" w14:textId="77777777" w:rsidR="007D5EE0" w:rsidRPr="006B1BCD" w:rsidRDefault="007D5EE0" w:rsidP="009A305E">
            <w:pPr>
              <w:spacing w:line="240" w:lineRule="auto"/>
              <w:rPr>
                <w:rFonts w:ascii="Arial" w:hAnsi="Arial" w:cs="Arial"/>
                <w:sz w:val="16"/>
                <w:szCs w:val="16"/>
              </w:rPr>
            </w:pPr>
          </w:p>
        </w:tc>
        <w:tc>
          <w:tcPr>
            <w:tcW w:w="1005" w:type="dxa"/>
            <w:vAlign w:val="center"/>
            <w:hideMark/>
          </w:tcPr>
          <w:p w14:paraId="5950C612"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0ACB8911" w14:textId="77777777" w:rsidR="007D5EE0" w:rsidRPr="006B1BCD" w:rsidRDefault="007D5EE0" w:rsidP="009A305E">
            <w:pPr>
              <w:spacing w:line="240" w:lineRule="auto"/>
              <w:rPr>
                <w:rFonts w:ascii="Arial" w:hAnsi="Arial" w:cs="Arial"/>
                <w:sz w:val="16"/>
                <w:szCs w:val="16"/>
              </w:rPr>
            </w:pPr>
          </w:p>
        </w:tc>
      </w:tr>
      <w:tr w:rsidR="007D5EE0" w:rsidRPr="006B1BCD" w14:paraId="57881CFB" w14:textId="77777777" w:rsidTr="009A305E">
        <w:trPr>
          <w:trHeight w:val="270"/>
        </w:trPr>
        <w:tc>
          <w:tcPr>
            <w:tcW w:w="2119" w:type="dxa"/>
            <w:shd w:val="clear" w:color="auto" w:fill="D9D9D9" w:themeFill="background1" w:themeFillShade="D9"/>
            <w:vAlign w:val="center"/>
            <w:hideMark/>
          </w:tcPr>
          <w:p w14:paraId="2A39529B" w14:textId="77777777" w:rsidR="007D5EE0" w:rsidRPr="006B1BCD" w:rsidRDefault="007D5EE0" w:rsidP="009A305E">
            <w:pPr>
              <w:spacing w:line="240" w:lineRule="auto"/>
              <w:rPr>
                <w:rFonts w:ascii="Arial" w:hAnsi="Arial" w:cs="Arial"/>
                <w:sz w:val="16"/>
                <w:szCs w:val="16"/>
              </w:rPr>
            </w:pPr>
          </w:p>
        </w:tc>
        <w:tc>
          <w:tcPr>
            <w:tcW w:w="1218" w:type="dxa"/>
            <w:shd w:val="clear" w:color="auto" w:fill="D9D9D9" w:themeFill="background1" w:themeFillShade="D9"/>
            <w:vAlign w:val="center"/>
            <w:hideMark/>
          </w:tcPr>
          <w:p w14:paraId="7422CF3C"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Year 1</w:t>
            </w:r>
          </w:p>
        </w:tc>
        <w:tc>
          <w:tcPr>
            <w:tcW w:w="894" w:type="dxa"/>
            <w:shd w:val="clear" w:color="auto" w:fill="D9D9D9" w:themeFill="background1" w:themeFillShade="D9"/>
            <w:noWrap/>
            <w:vAlign w:val="center"/>
            <w:hideMark/>
          </w:tcPr>
          <w:p w14:paraId="76752336" w14:textId="77777777" w:rsidR="007D5EE0" w:rsidRPr="006B1BCD" w:rsidRDefault="007D5EE0" w:rsidP="009A305E">
            <w:pPr>
              <w:spacing w:line="240" w:lineRule="auto"/>
              <w:rPr>
                <w:rFonts w:ascii="Arial" w:hAnsi="Arial" w:cs="Arial"/>
                <w:b/>
                <w:bCs/>
                <w:sz w:val="16"/>
                <w:szCs w:val="16"/>
              </w:rPr>
            </w:pPr>
          </w:p>
        </w:tc>
        <w:tc>
          <w:tcPr>
            <w:tcW w:w="1106" w:type="dxa"/>
            <w:shd w:val="clear" w:color="auto" w:fill="D9D9D9" w:themeFill="background1" w:themeFillShade="D9"/>
            <w:noWrap/>
            <w:vAlign w:val="center"/>
            <w:hideMark/>
          </w:tcPr>
          <w:p w14:paraId="06D4B68C" w14:textId="77777777" w:rsidR="007D5EE0" w:rsidRPr="006B1BCD" w:rsidRDefault="007D5EE0" w:rsidP="009A305E">
            <w:pPr>
              <w:spacing w:line="240" w:lineRule="auto"/>
              <w:rPr>
                <w:rFonts w:ascii="Arial" w:hAnsi="Arial" w:cs="Arial"/>
                <w:sz w:val="16"/>
                <w:szCs w:val="16"/>
              </w:rPr>
            </w:pPr>
          </w:p>
        </w:tc>
        <w:tc>
          <w:tcPr>
            <w:tcW w:w="963" w:type="dxa"/>
            <w:shd w:val="clear" w:color="auto" w:fill="D9D9D9" w:themeFill="background1" w:themeFillShade="D9"/>
            <w:vAlign w:val="center"/>
            <w:hideMark/>
          </w:tcPr>
          <w:p w14:paraId="296BC9F0" w14:textId="77777777" w:rsidR="007D5EE0" w:rsidRPr="006B1BCD" w:rsidRDefault="007D5EE0" w:rsidP="009A305E">
            <w:pPr>
              <w:spacing w:line="240" w:lineRule="auto"/>
              <w:rPr>
                <w:rFonts w:ascii="Arial" w:hAnsi="Arial" w:cs="Arial"/>
                <w:sz w:val="16"/>
                <w:szCs w:val="16"/>
              </w:rPr>
            </w:pPr>
          </w:p>
        </w:tc>
        <w:tc>
          <w:tcPr>
            <w:tcW w:w="1628" w:type="dxa"/>
            <w:shd w:val="clear" w:color="auto" w:fill="D9D9D9" w:themeFill="background1" w:themeFillShade="D9"/>
            <w:noWrap/>
            <w:vAlign w:val="center"/>
            <w:hideMark/>
          </w:tcPr>
          <w:p w14:paraId="272ED50E"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2,973,948 </w:t>
            </w:r>
          </w:p>
        </w:tc>
        <w:tc>
          <w:tcPr>
            <w:tcW w:w="1565" w:type="dxa"/>
            <w:shd w:val="clear" w:color="auto" w:fill="D9D9D9" w:themeFill="background1" w:themeFillShade="D9"/>
            <w:vAlign w:val="center"/>
            <w:hideMark/>
          </w:tcPr>
          <w:p w14:paraId="4AB03DE5"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Year 2 total</w:t>
            </w:r>
          </w:p>
        </w:tc>
        <w:tc>
          <w:tcPr>
            <w:tcW w:w="751" w:type="dxa"/>
            <w:shd w:val="clear" w:color="auto" w:fill="D9D9D9" w:themeFill="background1" w:themeFillShade="D9"/>
            <w:vAlign w:val="center"/>
            <w:hideMark/>
          </w:tcPr>
          <w:p w14:paraId="664362CA" w14:textId="77777777" w:rsidR="007D5EE0" w:rsidRPr="006B1BCD" w:rsidRDefault="007D5EE0" w:rsidP="009A305E">
            <w:pPr>
              <w:spacing w:line="240" w:lineRule="auto"/>
              <w:rPr>
                <w:rFonts w:ascii="Arial" w:hAnsi="Arial" w:cs="Arial"/>
                <w:b/>
                <w:bCs/>
                <w:sz w:val="16"/>
                <w:szCs w:val="16"/>
              </w:rPr>
            </w:pPr>
          </w:p>
        </w:tc>
        <w:tc>
          <w:tcPr>
            <w:tcW w:w="870" w:type="dxa"/>
            <w:shd w:val="clear" w:color="auto" w:fill="D9D9D9" w:themeFill="background1" w:themeFillShade="D9"/>
            <w:vAlign w:val="center"/>
            <w:hideMark/>
          </w:tcPr>
          <w:p w14:paraId="4231CF1A" w14:textId="77777777" w:rsidR="007D5EE0" w:rsidRPr="006B1BCD" w:rsidRDefault="007D5EE0" w:rsidP="009A305E">
            <w:pPr>
              <w:spacing w:line="240" w:lineRule="auto"/>
              <w:rPr>
                <w:rFonts w:ascii="Arial" w:hAnsi="Arial" w:cs="Arial"/>
                <w:sz w:val="16"/>
                <w:szCs w:val="16"/>
              </w:rPr>
            </w:pPr>
          </w:p>
        </w:tc>
        <w:tc>
          <w:tcPr>
            <w:tcW w:w="1179" w:type="dxa"/>
            <w:shd w:val="clear" w:color="auto" w:fill="D9D9D9" w:themeFill="background1" w:themeFillShade="D9"/>
            <w:noWrap/>
            <w:vAlign w:val="center"/>
            <w:hideMark/>
          </w:tcPr>
          <w:p w14:paraId="0BE2EB9F" w14:textId="77777777" w:rsidR="007D5EE0" w:rsidRPr="006B1BCD" w:rsidRDefault="007D5EE0" w:rsidP="009A305E">
            <w:pPr>
              <w:spacing w:line="240" w:lineRule="auto"/>
              <w:rPr>
                <w:rFonts w:ascii="Arial" w:hAnsi="Arial" w:cs="Arial"/>
                <w:sz w:val="16"/>
                <w:szCs w:val="16"/>
              </w:rPr>
            </w:pPr>
          </w:p>
        </w:tc>
        <w:tc>
          <w:tcPr>
            <w:tcW w:w="1005" w:type="dxa"/>
            <w:shd w:val="clear" w:color="auto" w:fill="D9D9D9" w:themeFill="background1" w:themeFillShade="D9"/>
            <w:vAlign w:val="center"/>
            <w:hideMark/>
          </w:tcPr>
          <w:p w14:paraId="1B75D7B4" w14:textId="77777777" w:rsidR="007D5EE0" w:rsidRPr="006B1BCD" w:rsidRDefault="007D5EE0" w:rsidP="009A305E">
            <w:pPr>
              <w:spacing w:line="240" w:lineRule="auto"/>
              <w:rPr>
                <w:rFonts w:ascii="Arial" w:hAnsi="Arial" w:cs="Arial"/>
                <w:sz w:val="16"/>
                <w:szCs w:val="16"/>
              </w:rPr>
            </w:pPr>
          </w:p>
        </w:tc>
        <w:tc>
          <w:tcPr>
            <w:tcW w:w="1349" w:type="dxa"/>
            <w:shd w:val="clear" w:color="auto" w:fill="D9D9D9" w:themeFill="background1" w:themeFillShade="D9"/>
            <w:noWrap/>
            <w:vAlign w:val="center"/>
            <w:hideMark/>
          </w:tcPr>
          <w:p w14:paraId="12E0DCED"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$ 1,061,215 </w:t>
            </w:r>
          </w:p>
        </w:tc>
      </w:tr>
      <w:tr w:rsidR="007D5EE0" w:rsidRPr="006B1BCD" w14:paraId="5EB96C9D" w14:textId="77777777" w:rsidTr="009A305E">
        <w:trPr>
          <w:trHeight w:val="540"/>
        </w:trPr>
        <w:tc>
          <w:tcPr>
            <w:tcW w:w="2119" w:type="dxa"/>
            <w:vAlign w:val="center"/>
            <w:hideMark/>
          </w:tcPr>
          <w:p w14:paraId="1BCC9B75" w14:textId="77777777" w:rsidR="007D5EE0" w:rsidRPr="006B1BCD" w:rsidRDefault="007D5EE0" w:rsidP="009A305E">
            <w:pPr>
              <w:spacing w:line="240" w:lineRule="auto"/>
              <w:rPr>
                <w:rFonts w:ascii="Arial" w:hAnsi="Arial" w:cs="Arial"/>
                <w:b/>
                <w:bCs/>
                <w:sz w:val="16"/>
                <w:szCs w:val="16"/>
              </w:rPr>
            </w:pPr>
          </w:p>
        </w:tc>
        <w:tc>
          <w:tcPr>
            <w:tcW w:w="1218" w:type="dxa"/>
            <w:vAlign w:val="center"/>
            <w:hideMark/>
          </w:tcPr>
          <w:p w14:paraId="13749BEB"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Discounted cost</w:t>
            </w:r>
          </w:p>
        </w:tc>
        <w:tc>
          <w:tcPr>
            <w:tcW w:w="894" w:type="dxa"/>
            <w:noWrap/>
            <w:vAlign w:val="center"/>
            <w:hideMark/>
          </w:tcPr>
          <w:p w14:paraId="7B8E33A0" w14:textId="77777777" w:rsidR="007D5EE0" w:rsidRPr="006B1BCD" w:rsidRDefault="007D5EE0" w:rsidP="009A305E">
            <w:pPr>
              <w:spacing w:line="240" w:lineRule="auto"/>
              <w:rPr>
                <w:rFonts w:ascii="Arial" w:hAnsi="Arial" w:cs="Arial"/>
                <w:b/>
                <w:bCs/>
                <w:sz w:val="16"/>
                <w:szCs w:val="16"/>
              </w:rPr>
            </w:pPr>
          </w:p>
        </w:tc>
        <w:tc>
          <w:tcPr>
            <w:tcW w:w="1106" w:type="dxa"/>
            <w:noWrap/>
            <w:vAlign w:val="center"/>
            <w:hideMark/>
          </w:tcPr>
          <w:p w14:paraId="195F763E" w14:textId="77777777" w:rsidR="007D5EE0" w:rsidRPr="006B1BCD" w:rsidRDefault="007D5EE0" w:rsidP="009A305E">
            <w:pPr>
              <w:spacing w:line="240" w:lineRule="auto"/>
              <w:rPr>
                <w:rFonts w:ascii="Arial" w:hAnsi="Arial" w:cs="Arial"/>
                <w:sz w:val="16"/>
                <w:szCs w:val="16"/>
              </w:rPr>
            </w:pPr>
          </w:p>
        </w:tc>
        <w:tc>
          <w:tcPr>
            <w:tcW w:w="963" w:type="dxa"/>
            <w:vAlign w:val="center"/>
            <w:hideMark/>
          </w:tcPr>
          <w:p w14:paraId="7E47D866" w14:textId="77777777" w:rsidR="007D5EE0" w:rsidRPr="006B1BCD" w:rsidRDefault="007D5EE0" w:rsidP="009A305E">
            <w:pPr>
              <w:spacing w:line="240" w:lineRule="auto"/>
              <w:rPr>
                <w:rFonts w:ascii="Arial" w:hAnsi="Arial" w:cs="Arial"/>
                <w:sz w:val="16"/>
                <w:szCs w:val="16"/>
              </w:rPr>
            </w:pPr>
          </w:p>
        </w:tc>
        <w:tc>
          <w:tcPr>
            <w:tcW w:w="1628" w:type="dxa"/>
            <w:noWrap/>
            <w:vAlign w:val="center"/>
            <w:hideMark/>
          </w:tcPr>
          <w:p w14:paraId="2545C3E2" w14:textId="77777777" w:rsidR="007D5EE0" w:rsidRPr="006B1BCD" w:rsidRDefault="007D5EE0" w:rsidP="009A305E">
            <w:pPr>
              <w:spacing w:line="240" w:lineRule="auto"/>
              <w:rPr>
                <w:rFonts w:ascii="Arial" w:hAnsi="Arial" w:cs="Arial"/>
                <w:b/>
                <w:bCs/>
                <w:sz w:val="16"/>
                <w:szCs w:val="16"/>
              </w:rPr>
            </w:pPr>
            <w:r w:rsidRPr="006B1BCD">
              <w:rPr>
                <w:rFonts w:ascii="Arial" w:hAnsi="Arial" w:cs="Arial"/>
                <w:b/>
                <w:bCs/>
                <w:sz w:val="16"/>
                <w:szCs w:val="16"/>
              </w:rPr>
              <w:t xml:space="preserve"> $          892,184 </w:t>
            </w:r>
          </w:p>
        </w:tc>
        <w:tc>
          <w:tcPr>
            <w:tcW w:w="1565" w:type="dxa"/>
            <w:vAlign w:val="center"/>
            <w:hideMark/>
          </w:tcPr>
          <w:p w14:paraId="00786E47" w14:textId="77777777" w:rsidR="007D5EE0" w:rsidRPr="006B1BCD" w:rsidRDefault="007D5EE0" w:rsidP="009A305E">
            <w:pPr>
              <w:spacing w:line="240" w:lineRule="auto"/>
              <w:rPr>
                <w:rFonts w:ascii="Arial" w:hAnsi="Arial" w:cs="Arial"/>
                <w:sz w:val="16"/>
                <w:szCs w:val="16"/>
              </w:rPr>
            </w:pPr>
          </w:p>
        </w:tc>
        <w:tc>
          <w:tcPr>
            <w:tcW w:w="751" w:type="dxa"/>
            <w:vAlign w:val="center"/>
            <w:hideMark/>
          </w:tcPr>
          <w:p w14:paraId="272B3D9C" w14:textId="77777777" w:rsidR="007D5EE0" w:rsidRPr="006B1BCD" w:rsidRDefault="007D5EE0" w:rsidP="009A305E">
            <w:pPr>
              <w:spacing w:line="240" w:lineRule="auto"/>
              <w:rPr>
                <w:rFonts w:ascii="Arial" w:hAnsi="Arial" w:cs="Arial"/>
                <w:sz w:val="16"/>
                <w:szCs w:val="16"/>
              </w:rPr>
            </w:pPr>
          </w:p>
        </w:tc>
        <w:tc>
          <w:tcPr>
            <w:tcW w:w="870" w:type="dxa"/>
            <w:vAlign w:val="center"/>
            <w:hideMark/>
          </w:tcPr>
          <w:p w14:paraId="40E75CC5" w14:textId="77777777" w:rsidR="007D5EE0" w:rsidRPr="006B1BCD" w:rsidRDefault="007D5EE0" w:rsidP="009A305E">
            <w:pPr>
              <w:spacing w:line="240" w:lineRule="auto"/>
              <w:rPr>
                <w:rFonts w:ascii="Arial" w:hAnsi="Arial" w:cs="Arial"/>
                <w:sz w:val="16"/>
                <w:szCs w:val="16"/>
              </w:rPr>
            </w:pPr>
          </w:p>
        </w:tc>
        <w:tc>
          <w:tcPr>
            <w:tcW w:w="1179" w:type="dxa"/>
            <w:noWrap/>
            <w:vAlign w:val="center"/>
            <w:hideMark/>
          </w:tcPr>
          <w:p w14:paraId="06DEC168" w14:textId="77777777" w:rsidR="007D5EE0" w:rsidRPr="006B1BCD" w:rsidRDefault="007D5EE0" w:rsidP="009A305E">
            <w:pPr>
              <w:spacing w:line="240" w:lineRule="auto"/>
              <w:rPr>
                <w:rFonts w:ascii="Arial" w:hAnsi="Arial" w:cs="Arial"/>
                <w:sz w:val="16"/>
                <w:szCs w:val="16"/>
              </w:rPr>
            </w:pPr>
          </w:p>
        </w:tc>
        <w:tc>
          <w:tcPr>
            <w:tcW w:w="1005" w:type="dxa"/>
            <w:vAlign w:val="center"/>
            <w:hideMark/>
          </w:tcPr>
          <w:p w14:paraId="2AAE67AF" w14:textId="77777777" w:rsidR="007D5EE0" w:rsidRPr="006B1BCD" w:rsidRDefault="007D5EE0" w:rsidP="009A305E">
            <w:pPr>
              <w:spacing w:line="240" w:lineRule="auto"/>
              <w:rPr>
                <w:rFonts w:ascii="Arial" w:hAnsi="Arial" w:cs="Arial"/>
                <w:sz w:val="16"/>
                <w:szCs w:val="16"/>
              </w:rPr>
            </w:pPr>
          </w:p>
        </w:tc>
        <w:tc>
          <w:tcPr>
            <w:tcW w:w="1349" w:type="dxa"/>
            <w:noWrap/>
            <w:vAlign w:val="center"/>
            <w:hideMark/>
          </w:tcPr>
          <w:p w14:paraId="7FCC6130" w14:textId="77777777" w:rsidR="007D5EE0" w:rsidRPr="006B1BCD" w:rsidRDefault="007D5EE0" w:rsidP="009A305E">
            <w:pPr>
              <w:spacing w:line="240" w:lineRule="auto"/>
              <w:rPr>
                <w:rFonts w:ascii="Arial" w:hAnsi="Arial" w:cs="Arial"/>
                <w:sz w:val="16"/>
                <w:szCs w:val="16"/>
              </w:rPr>
            </w:pPr>
          </w:p>
        </w:tc>
      </w:tr>
    </w:tbl>
    <w:p w14:paraId="0A88BEBF" w14:textId="77777777" w:rsidR="007D5EE0" w:rsidRDefault="007D5EE0" w:rsidP="007D5EE0">
      <w:pPr>
        <w:pStyle w:val="Heading4"/>
        <w:rPr>
          <w:i w:val="0"/>
          <w:iCs/>
        </w:rPr>
      </w:pPr>
    </w:p>
    <w:p w14:paraId="3B0A5498" w14:textId="77777777" w:rsidR="007D5EE0" w:rsidRPr="00295DE5" w:rsidRDefault="007D5EE0" w:rsidP="007D5EE0">
      <w:pPr>
        <w:sectPr w:rsidR="007D5EE0" w:rsidRPr="00295DE5" w:rsidSect="00A360AA">
          <w:pgSz w:w="16838" w:h="11906" w:orient="landscape" w:code="9"/>
          <w:pgMar w:top="1134" w:right="1945" w:bottom="567" w:left="1134" w:header="709" w:footer="119" w:gutter="0"/>
          <w:cols w:space="708"/>
          <w:docGrid w:linePitch="360"/>
        </w:sectPr>
      </w:pPr>
    </w:p>
    <w:p w14:paraId="165C0F55" w14:textId="77777777" w:rsidR="007D5EE0" w:rsidRPr="00B46CB9" w:rsidRDefault="007D5EE0" w:rsidP="007D5EE0">
      <w:pPr>
        <w:pStyle w:val="Heading3"/>
      </w:pPr>
      <w:bookmarkStart w:id="177" w:name="_Toc55546935"/>
      <w:bookmarkStart w:id="178" w:name="_Toc98323775"/>
      <w:r w:rsidRPr="00B46CB9">
        <w:t>Relevant facts and assumptions</w:t>
      </w:r>
      <w:bookmarkEnd w:id="177"/>
      <w:bookmarkEnd w:id="178"/>
    </w:p>
    <w:p w14:paraId="64C4E7A0" w14:textId="77777777" w:rsidR="007D5EE0" w:rsidRPr="00095568" w:rsidRDefault="007D5EE0" w:rsidP="007D5EE0">
      <w:pPr>
        <w:pStyle w:val="Paragraphbeforelist"/>
        <w:rPr>
          <w:rFonts w:eastAsia="Calibri"/>
          <w:lang w:eastAsia="en-US"/>
        </w:rPr>
      </w:pPr>
      <w:r w:rsidRPr="00095568">
        <w:rPr>
          <w:rFonts w:eastAsia="Calibri"/>
          <w:lang w:eastAsia="en-US"/>
        </w:rPr>
        <w:t xml:space="preserve">For the purposes of this RIS, </w:t>
      </w:r>
      <w:r>
        <w:rPr>
          <w:rFonts w:eastAsia="Calibri"/>
          <w:lang w:eastAsia="en-US"/>
        </w:rPr>
        <w:t>CSP</w:t>
      </w:r>
      <w:r w:rsidRPr="00095568">
        <w:rPr>
          <w:rFonts w:eastAsia="Calibri"/>
          <w:lang w:eastAsia="en-US"/>
        </w:rPr>
        <w:t xml:space="preserve">s have been characterised as follows (based on the volume of local and mobile </w:t>
      </w:r>
      <w:r>
        <w:rPr>
          <w:rFonts w:eastAsia="Calibri"/>
          <w:lang w:eastAsia="en-US"/>
        </w:rPr>
        <w:t xml:space="preserve">service </w:t>
      </w:r>
      <w:r w:rsidRPr="00095568">
        <w:rPr>
          <w:rFonts w:eastAsia="Calibri"/>
          <w:lang w:eastAsia="en-US"/>
        </w:rPr>
        <w:t>number</w:t>
      </w:r>
      <w:r>
        <w:rPr>
          <w:rFonts w:eastAsia="Calibri"/>
          <w:lang w:eastAsia="en-US"/>
        </w:rPr>
        <w:t>s</w:t>
      </w:r>
      <w:r w:rsidRPr="00095568">
        <w:rPr>
          <w:rFonts w:eastAsia="Calibri"/>
          <w:lang w:eastAsia="en-US"/>
        </w:rPr>
        <w:t xml:space="preserve"> allocated by the ACMA):</w:t>
      </w:r>
    </w:p>
    <w:p w14:paraId="70F6C45B" w14:textId="77777777" w:rsidR="007D5EE0" w:rsidRPr="00CB0460" w:rsidRDefault="007D5EE0" w:rsidP="007D5EE0">
      <w:pPr>
        <w:pStyle w:val="ListBullet"/>
        <w:rPr>
          <w:rFonts w:eastAsiaTheme="minorHAnsi"/>
        </w:rPr>
      </w:pPr>
      <w:r w:rsidRPr="00CB0460">
        <w:rPr>
          <w:rFonts w:eastAsiaTheme="minorHAnsi"/>
        </w:rPr>
        <w:t>412 CSPs provide public number customer data for connected mobile and local services</w:t>
      </w:r>
      <w:r>
        <w:rPr>
          <w:rFonts w:eastAsiaTheme="minorHAnsi"/>
        </w:rPr>
        <w:t>:</w:t>
      </w:r>
    </w:p>
    <w:p w14:paraId="45D7D217" w14:textId="77777777" w:rsidR="007D5EE0" w:rsidRPr="00095568" w:rsidRDefault="007D5EE0" w:rsidP="007D5EE0">
      <w:pPr>
        <w:pStyle w:val="Bulletlevel2"/>
        <w:rPr>
          <w:rFonts w:eastAsia="Calibri"/>
          <w:lang w:eastAsia="en-US"/>
        </w:rPr>
      </w:pPr>
      <w:r>
        <w:rPr>
          <w:rFonts w:eastAsia="Calibri"/>
          <w:lang w:eastAsia="en-US"/>
        </w:rPr>
        <w:t>large carriers (also CSPs)</w:t>
      </w:r>
      <w:r w:rsidRPr="00095568">
        <w:rPr>
          <w:rFonts w:eastAsia="Calibri"/>
          <w:lang w:eastAsia="en-US"/>
        </w:rPr>
        <w:t xml:space="preserve">: </w:t>
      </w:r>
      <w:r w:rsidRPr="00AE4F9F">
        <w:rPr>
          <w:rFonts w:eastAsia="Calibri"/>
          <w:lang w:eastAsia="en-US"/>
        </w:rPr>
        <w:t>3</w:t>
      </w:r>
      <w:r w:rsidRPr="00095568">
        <w:rPr>
          <w:rFonts w:eastAsia="Calibri"/>
          <w:lang w:eastAsia="en-US"/>
        </w:rPr>
        <w:t xml:space="preserve"> (over </w:t>
      </w:r>
      <w:r>
        <w:rPr>
          <w:rFonts w:eastAsia="Calibri"/>
          <w:lang w:eastAsia="en-US"/>
        </w:rPr>
        <w:t>10</w:t>
      </w:r>
      <w:r w:rsidRPr="00095568">
        <w:rPr>
          <w:rFonts w:eastAsia="Calibri"/>
          <w:lang w:eastAsia="en-US"/>
        </w:rPr>
        <w:t xml:space="preserve"> million</w:t>
      </w:r>
      <w:r>
        <w:rPr>
          <w:rFonts w:eastAsia="Calibri"/>
          <w:lang w:eastAsia="en-US"/>
        </w:rPr>
        <w:t xml:space="preserve"> numbers</w:t>
      </w:r>
      <w:r w:rsidRPr="00095568">
        <w:rPr>
          <w:rFonts w:eastAsia="Calibri"/>
          <w:lang w:eastAsia="en-US"/>
        </w:rPr>
        <w:t>)</w:t>
      </w:r>
    </w:p>
    <w:p w14:paraId="03A3A017" w14:textId="77777777" w:rsidR="007D5EE0" w:rsidRPr="00095568" w:rsidRDefault="007D5EE0" w:rsidP="007D5EE0">
      <w:pPr>
        <w:pStyle w:val="Bulletlevel2"/>
        <w:rPr>
          <w:rFonts w:eastAsia="Calibri"/>
          <w:lang w:eastAsia="en-US"/>
        </w:rPr>
      </w:pPr>
      <w:r>
        <w:rPr>
          <w:rFonts w:eastAsia="Calibri"/>
          <w:lang w:eastAsia="en-US"/>
        </w:rPr>
        <w:t>medium CSPs</w:t>
      </w:r>
      <w:r w:rsidRPr="00095568">
        <w:rPr>
          <w:rFonts w:eastAsia="Calibri"/>
          <w:lang w:eastAsia="en-US"/>
        </w:rPr>
        <w:t>:</w:t>
      </w:r>
      <w:r>
        <w:rPr>
          <w:rFonts w:eastAsia="Calibri"/>
          <w:lang w:eastAsia="en-US"/>
        </w:rPr>
        <w:t xml:space="preserve"> 18 </w:t>
      </w:r>
      <w:r w:rsidRPr="00095568">
        <w:rPr>
          <w:rFonts w:eastAsia="Calibri"/>
          <w:lang w:eastAsia="en-US"/>
        </w:rPr>
        <w:t xml:space="preserve">(1 million to </w:t>
      </w:r>
      <w:r>
        <w:rPr>
          <w:rFonts w:eastAsia="Calibri"/>
          <w:lang w:eastAsia="en-US"/>
        </w:rPr>
        <w:t>10</w:t>
      </w:r>
      <w:r w:rsidRPr="00095568">
        <w:rPr>
          <w:rFonts w:eastAsia="Calibri"/>
          <w:lang w:eastAsia="en-US"/>
        </w:rPr>
        <w:t xml:space="preserve"> million</w:t>
      </w:r>
      <w:r>
        <w:rPr>
          <w:rFonts w:eastAsia="Calibri"/>
          <w:lang w:eastAsia="en-US"/>
        </w:rPr>
        <w:t xml:space="preserve"> numbers</w:t>
      </w:r>
      <w:r w:rsidRPr="00095568">
        <w:rPr>
          <w:rFonts w:eastAsia="Calibri"/>
          <w:lang w:eastAsia="en-US"/>
        </w:rPr>
        <w:t>)</w:t>
      </w:r>
    </w:p>
    <w:p w14:paraId="37413CC4" w14:textId="77777777" w:rsidR="007D5EE0" w:rsidRPr="00095568" w:rsidRDefault="007D5EE0" w:rsidP="007D5EE0">
      <w:pPr>
        <w:pStyle w:val="Bulletlevel2"/>
        <w:rPr>
          <w:rFonts w:eastAsia="Calibri"/>
          <w:lang w:eastAsia="en-US"/>
        </w:rPr>
      </w:pPr>
      <w:r>
        <w:rPr>
          <w:rFonts w:eastAsia="Calibri"/>
          <w:lang w:eastAsia="en-US"/>
        </w:rPr>
        <w:t>small CSPs</w:t>
      </w:r>
      <w:r w:rsidRPr="00095568">
        <w:rPr>
          <w:rFonts w:eastAsia="Calibri"/>
          <w:lang w:eastAsia="en-US"/>
        </w:rPr>
        <w:t xml:space="preserve">: </w:t>
      </w:r>
      <w:r>
        <w:rPr>
          <w:rFonts w:eastAsia="Calibri"/>
          <w:lang w:eastAsia="en-US"/>
        </w:rPr>
        <w:t xml:space="preserve">150 </w:t>
      </w:r>
      <w:r w:rsidRPr="00095568">
        <w:rPr>
          <w:rFonts w:eastAsia="Calibri"/>
          <w:lang w:eastAsia="en-US"/>
        </w:rPr>
        <w:t xml:space="preserve">(100,000 to 1 </w:t>
      </w:r>
      <w:r w:rsidRPr="00DF4607">
        <w:rPr>
          <w:rFonts w:eastAsia="Calibri"/>
          <w:lang w:eastAsia="en-US"/>
        </w:rPr>
        <w:t>million</w:t>
      </w:r>
      <w:r>
        <w:rPr>
          <w:rFonts w:eastAsia="Calibri"/>
          <w:lang w:eastAsia="en-US"/>
        </w:rPr>
        <w:t xml:space="preserve"> numbers</w:t>
      </w:r>
      <w:r w:rsidRPr="00095568">
        <w:rPr>
          <w:rFonts w:eastAsia="Calibri"/>
          <w:lang w:eastAsia="en-US"/>
        </w:rPr>
        <w:t>)</w:t>
      </w:r>
    </w:p>
    <w:p w14:paraId="5CC4FDB3" w14:textId="77777777" w:rsidR="007D5EE0" w:rsidRPr="00E63826" w:rsidRDefault="007D5EE0" w:rsidP="007D5EE0">
      <w:pPr>
        <w:pStyle w:val="Bulletlevel2"/>
      </w:pPr>
      <w:r>
        <w:rPr>
          <w:rFonts w:eastAsia="Calibri"/>
        </w:rPr>
        <w:t>v</w:t>
      </w:r>
      <w:r w:rsidRPr="001E5D0B">
        <w:rPr>
          <w:rFonts w:eastAsia="Calibri"/>
        </w:rPr>
        <w:t>ery small:</w:t>
      </w:r>
      <w:r>
        <w:rPr>
          <w:rFonts w:eastAsia="Calibri"/>
        </w:rPr>
        <w:t xml:space="preserve"> 241</w:t>
      </w:r>
      <w:r w:rsidRPr="001E5D0B">
        <w:rPr>
          <w:rFonts w:eastAsia="Calibri"/>
        </w:rPr>
        <w:t xml:space="preserve"> (1</w:t>
      </w:r>
      <w:r>
        <w:rPr>
          <w:rFonts w:eastAsia="Calibri"/>
        </w:rPr>
        <w:t xml:space="preserve"> </w:t>
      </w:r>
      <w:r w:rsidRPr="001E5D0B">
        <w:rPr>
          <w:rFonts w:eastAsia="Calibri"/>
        </w:rPr>
        <w:t>to 10</w:t>
      </w:r>
      <w:r>
        <w:rPr>
          <w:rFonts w:eastAsia="Calibri"/>
        </w:rPr>
        <w:t>0</w:t>
      </w:r>
      <w:r w:rsidRPr="001E5D0B">
        <w:rPr>
          <w:rFonts w:eastAsia="Calibri"/>
        </w:rPr>
        <w:t>,000</w:t>
      </w:r>
      <w:r>
        <w:rPr>
          <w:rFonts w:eastAsia="Calibri"/>
        </w:rPr>
        <w:t xml:space="preserve"> numbers</w:t>
      </w:r>
      <w:r w:rsidRPr="001E5D0B">
        <w:rPr>
          <w:rFonts w:eastAsia="Calibri"/>
        </w:rPr>
        <w:t>).</w:t>
      </w:r>
    </w:p>
    <w:p w14:paraId="0C459558" w14:textId="77777777" w:rsidR="007D5EE0" w:rsidRPr="00CB0460" w:rsidRDefault="007D5EE0" w:rsidP="007D5EE0">
      <w:pPr>
        <w:pStyle w:val="ListBullet"/>
        <w:rPr>
          <w:rFonts w:eastAsiaTheme="minorHAnsi"/>
        </w:rPr>
      </w:pPr>
      <w:bookmarkStart w:id="179" w:name="_Hlk86331925"/>
      <w:r w:rsidRPr="00CB0460">
        <w:rPr>
          <w:rFonts w:eastAsiaTheme="minorHAnsi"/>
        </w:rPr>
        <w:t xml:space="preserve">The 3 large carriers contribute approximately </w:t>
      </w:r>
      <w:r>
        <w:rPr>
          <w:rFonts w:eastAsiaTheme="minorHAnsi"/>
        </w:rPr>
        <w:t>over 90</w:t>
      </w:r>
      <w:r w:rsidRPr="00CB0460">
        <w:rPr>
          <w:rFonts w:eastAsiaTheme="minorHAnsi"/>
        </w:rPr>
        <w:t>% of all services and incur the greatest costs because of the complexity of their systems and the volume of customers</w:t>
      </w:r>
      <w:r>
        <w:rPr>
          <w:rFonts w:eastAsiaTheme="minorHAnsi"/>
        </w:rPr>
        <w:t>.</w:t>
      </w:r>
    </w:p>
    <w:bookmarkEnd w:id="179"/>
    <w:p w14:paraId="647F1839" w14:textId="77777777" w:rsidR="007D5EE0" w:rsidRPr="00CB0460" w:rsidRDefault="007D5EE0" w:rsidP="007D5EE0">
      <w:pPr>
        <w:pStyle w:val="ListBullet"/>
        <w:rPr>
          <w:rFonts w:eastAsiaTheme="minorHAnsi"/>
        </w:rPr>
      </w:pPr>
      <w:proofErr w:type="gramStart"/>
      <w:r w:rsidRPr="00CB0460">
        <w:rPr>
          <w:rFonts w:eastAsiaTheme="minorHAnsi"/>
        </w:rPr>
        <w:t>The majority of</w:t>
      </w:r>
      <w:proofErr w:type="gramEnd"/>
      <w:r w:rsidRPr="00CB0460">
        <w:rPr>
          <w:rFonts w:eastAsiaTheme="minorHAnsi"/>
        </w:rPr>
        <w:t xml:space="preserve"> costs will be incurred in Year 1 as CSPs reflect consistent systems and training processes</w:t>
      </w:r>
      <w:r>
        <w:rPr>
          <w:rFonts w:eastAsiaTheme="minorHAnsi"/>
        </w:rPr>
        <w:t>.</w:t>
      </w:r>
    </w:p>
    <w:p w14:paraId="7AD138F1" w14:textId="77777777" w:rsidR="007D5EE0" w:rsidRPr="00CB0460" w:rsidRDefault="007D5EE0" w:rsidP="007D5EE0">
      <w:pPr>
        <w:pStyle w:val="ListBullet"/>
        <w:rPr>
          <w:rFonts w:eastAsiaTheme="minorHAnsi"/>
        </w:rPr>
      </w:pPr>
      <w:r>
        <w:rPr>
          <w:rFonts w:eastAsiaTheme="minorHAnsi"/>
        </w:rPr>
        <w:t xml:space="preserve">We </w:t>
      </w:r>
      <w:r w:rsidRPr="00CB0460">
        <w:rPr>
          <w:rFonts w:eastAsiaTheme="minorHAnsi"/>
        </w:rPr>
        <w:t>anticipate that 70% of Year 1 systems costs would have been incurred irrespective of enforceable obligations being imposed</w:t>
      </w:r>
      <w:r>
        <w:rPr>
          <w:rFonts w:eastAsiaTheme="minorHAnsi"/>
        </w:rPr>
        <w:t>.</w:t>
      </w:r>
    </w:p>
    <w:p w14:paraId="47826784" w14:textId="77777777" w:rsidR="007D5EE0" w:rsidRPr="00CB0460" w:rsidRDefault="007D5EE0" w:rsidP="007D5EE0">
      <w:pPr>
        <w:pStyle w:val="ListBullet"/>
        <w:rPr>
          <w:rFonts w:eastAsia="Calibri"/>
          <w:lang w:eastAsia="en-US"/>
        </w:rPr>
      </w:pPr>
      <w:r w:rsidRPr="00CB0460">
        <w:rPr>
          <w:rFonts w:eastAsiaTheme="minorHAnsi"/>
        </w:rPr>
        <w:t xml:space="preserve">Costs in Year 2 onwards drop significantly and mainly accrue in responding to new processes. Given the work undertaken in Year 1, it is assumed the processes will improve with staff being more experienced, and that the volume of fraudulent customer </w:t>
      </w:r>
      <w:r>
        <w:rPr>
          <w:rFonts w:eastAsiaTheme="minorHAnsi"/>
        </w:rPr>
        <w:t>transactions</w:t>
      </w:r>
      <w:r w:rsidRPr="00CB0460">
        <w:rPr>
          <w:rFonts w:eastAsiaTheme="minorHAnsi"/>
        </w:rPr>
        <w:t xml:space="preserve"> requiring action decreases.</w:t>
      </w:r>
    </w:p>
    <w:p w14:paraId="70CA176E" w14:textId="77777777" w:rsidR="007D5EE0" w:rsidRDefault="007D5EE0" w:rsidP="007D5EE0">
      <w:pPr>
        <w:spacing w:line="259" w:lineRule="auto"/>
        <w:rPr>
          <w:szCs w:val="20"/>
        </w:rPr>
      </w:pPr>
      <w:r>
        <w:rPr>
          <w:szCs w:val="20"/>
        </w:rPr>
        <w:br w:type="page"/>
      </w:r>
    </w:p>
    <w:p w14:paraId="13F1C70F" w14:textId="77777777" w:rsidR="007D5EE0" w:rsidRDefault="007D5EE0" w:rsidP="007D5EE0">
      <w:pPr>
        <w:pStyle w:val="Heading1"/>
      </w:pPr>
      <w:bookmarkStart w:id="180" w:name="_Toc98323776"/>
      <w:r w:rsidRPr="009C695C">
        <w:t xml:space="preserve">Appendix B: Table 2 – Calculations to inform the </w:t>
      </w:r>
      <w:r>
        <w:t>l</w:t>
      </w:r>
      <w:r w:rsidRPr="009C695C">
        <w:t xml:space="preserve">ikely annual net benefit over 10 </w:t>
      </w:r>
      <w:r>
        <w:t>y</w:t>
      </w:r>
      <w:r w:rsidRPr="009C695C">
        <w:t>ears</w:t>
      </w:r>
      <w:bookmarkEnd w:id="180"/>
    </w:p>
    <w:p w14:paraId="3D6E33BC" w14:textId="77777777" w:rsidR="007D5EE0" w:rsidRPr="00033B22" w:rsidRDefault="007D5EE0" w:rsidP="007D5EE0">
      <w:pPr>
        <w:rPr>
          <w:rFonts w:ascii="Arial" w:hAnsi="Arial" w:cs="Arial"/>
          <w:sz w:val="20"/>
          <w:szCs w:val="20"/>
        </w:rPr>
      </w:pPr>
      <w:r w:rsidRPr="00033B22">
        <w:rPr>
          <w:rFonts w:ascii="Arial" w:hAnsi="Arial" w:cs="Arial"/>
          <w:sz w:val="20"/>
          <w:szCs w:val="20"/>
        </w:rPr>
        <w:t>See below spreadsheet.</w:t>
      </w:r>
    </w:p>
    <w:p w14:paraId="47C3905C" w14:textId="77777777" w:rsidR="007D5EE0" w:rsidRDefault="007D5EE0" w:rsidP="007D5EE0">
      <w:pPr>
        <w:spacing w:after="0" w:line="240" w:lineRule="auto"/>
      </w:pPr>
      <w:r>
        <w:br w:type="page"/>
      </w:r>
    </w:p>
    <w:p w14:paraId="3485E3D4" w14:textId="77777777" w:rsidR="007D5EE0" w:rsidRDefault="007D5EE0" w:rsidP="007D5EE0">
      <w:pPr>
        <w:sectPr w:rsidR="007D5EE0" w:rsidSect="002643D3">
          <w:pgSz w:w="11906" w:h="16838" w:code="9"/>
          <w:pgMar w:top="1945" w:right="3117" w:bottom="1134" w:left="1134" w:header="709" w:footer="119" w:gutter="0"/>
          <w:cols w:space="708"/>
          <w:docGrid w:linePitch="360"/>
        </w:sectPr>
      </w:pPr>
    </w:p>
    <w:p w14:paraId="0F81FDA8" w14:textId="2F8AFA9D" w:rsidR="007D5EE0" w:rsidRDefault="007D5EE0" w:rsidP="007D5EE0">
      <w:r>
        <w:rPr>
          <w:noProof/>
        </w:rPr>
        <w:drawing>
          <wp:inline distT="0" distB="0" distL="0" distR="0" wp14:anchorId="41602823" wp14:editId="20E60C4D">
            <wp:extent cx="8438400" cy="5698800"/>
            <wp:effectExtent l="0" t="190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rot="5400000">
                      <a:off x="0" y="0"/>
                      <a:ext cx="8438400" cy="5698800"/>
                    </a:xfrm>
                    <a:prstGeom prst="rect">
                      <a:avLst/>
                    </a:prstGeom>
                    <a:noFill/>
                    <a:ln>
                      <a:noFill/>
                    </a:ln>
                  </pic:spPr>
                </pic:pic>
              </a:graphicData>
            </a:graphic>
          </wp:inline>
        </w:drawing>
      </w:r>
    </w:p>
    <w:p w14:paraId="2F183A7A" w14:textId="299B6F70" w:rsidR="000C2256" w:rsidRDefault="000C2256" w:rsidP="00BD215B">
      <w:pPr>
        <w:jc w:val="center"/>
        <w:rPr>
          <w:rFonts w:ascii="Times New Roman" w:hAnsi="Times New Roman" w:cs="Times New Roman"/>
          <w:b/>
          <w:sz w:val="28"/>
          <w:szCs w:val="28"/>
        </w:rPr>
      </w:pPr>
    </w:p>
    <w:sectPr w:rsidR="000C2256" w:rsidSect="00BE4E20">
      <w:headerReference w:type="first" r:id="rId59"/>
      <w:footerReference w:type="first" r:id="rId60"/>
      <w:pgSz w:w="11906" w:h="16838"/>
      <w:pgMar w:top="568" w:right="1558" w:bottom="1440" w:left="1134" w:header="709" w:footer="454" w:gutter="0"/>
      <w:pgNumType w:fmt="lowerRoman"/>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uliet Stuart-Smith" w:date="2022-03-29T12:56:00Z" w:initials="JSS">
    <w:p w14:paraId="102BB149" w14:textId="7F73B38D" w:rsidR="00C06F22" w:rsidRDefault="00C06F22">
      <w:pPr>
        <w:pStyle w:val="CommentText"/>
      </w:pPr>
      <w:r>
        <w:rPr>
          <w:rStyle w:val="CommentReference"/>
        </w:rPr>
        <w:annotationRef/>
      </w:r>
      <w:r>
        <w:t>Amended in line with the objectives already outlined. Fraud prevention is really the law enforcement referred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2BB1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808A" w16cex:dateUtc="2022-03-29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2BB149" w16cid:durableId="25ED80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622D" w14:textId="77777777" w:rsidR="003C6BE6" w:rsidRDefault="003C6BE6" w:rsidP="00025ACE">
      <w:pPr>
        <w:spacing w:after="0" w:line="240" w:lineRule="auto"/>
      </w:pPr>
      <w:r>
        <w:separator/>
      </w:r>
    </w:p>
  </w:endnote>
  <w:endnote w:type="continuationSeparator" w:id="0">
    <w:p w14:paraId="27053978" w14:textId="77777777" w:rsidR="003C6BE6" w:rsidRDefault="003C6BE6" w:rsidP="00025ACE">
      <w:pPr>
        <w:spacing w:after="0" w:line="240" w:lineRule="auto"/>
      </w:pPr>
      <w:r>
        <w:continuationSeparator/>
      </w:r>
    </w:p>
  </w:endnote>
  <w:endnote w:type="continuationNotice" w:id="1">
    <w:p w14:paraId="0D2940FE" w14:textId="77777777" w:rsidR="003C6BE6" w:rsidRDefault="003C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RobotoCondensed-Regular">
    <w:altName w:val="Arial"/>
    <w:panose1 w:val="00000000000000000000"/>
    <w:charset w:val="00"/>
    <w:family w:val="roman"/>
    <w:notTrueType/>
    <w:pitch w:val="default"/>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3E5C" w14:textId="77777777" w:rsidR="00421F03" w:rsidRDefault="00421F0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4853" w14:textId="77777777" w:rsidR="007D5EE0" w:rsidRPr="00622A3B" w:rsidRDefault="007D5EE0"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5B0E5452" w14:textId="77777777" w:rsidR="007D5EE0" w:rsidRPr="00A5474E" w:rsidRDefault="007D5EE0" w:rsidP="00A5474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D210" w14:textId="77777777" w:rsidR="007D5EE0" w:rsidRPr="00622A3B" w:rsidRDefault="007D5EE0" w:rsidP="00447037">
    <w:pPr>
      <w:pStyle w:val="Footer"/>
      <w:framePr w:w="1440" w:h="357" w:hRule="exact" w:vSpace="425" w:wrap="around" w:vAnchor="page" w:hAnchor="page" w:x="7335" w:y="16166"/>
      <w:pBdr>
        <w:top w:val="single" w:sz="4" w:space="1" w:color="auto"/>
      </w:pBdr>
      <w:tabs>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2A89A17B" w14:textId="77777777" w:rsidR="007D5EE0" w:rsidRPr="00A5474E" w:rsidRDefault="007D5EE0" w:rsidP="00A5474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994056"/>
      <w:docPartObj>
        <w:docPartGallery w:val="Page Numbers (Bottom of Page)"/>
        <w:docPartUnique/>
      </w:docPartObj>
    </w:sdtPr>
    <w:sdtEndPr>
      <w:rPr>
        <w:iCs/>
        <w:noProof/>
      </w:rPr>
    </w:sdtEndPr>
    <w:sdtContent>
      <w:p w14:paraId="0A18879C" w14:textId="7CEF54A8" w:rsidR="006B4FD3" w:rsidRPr="008D3174" w:rsidRDefault="006B4FD3" w:rsidP="00DC1C5E">
        <w:pPr>
          <w:pStyle w:val="Footer"/>
          <w:pBdr>
            <w:top w:val="single" w:sz="4" w:space="1" w:color="auto"/>
          </w:pBdr>
          <w:jc w:val="center"/>
          <w:rPr>
            <w:rFonts w:ascii="Times" w:hAnsi="Times"/>
            <w:i/>
            <w:iCs/>
          </w:rPr>
        </w:pPr>
        <w:r w:rsidRPr="008D3174">
          <w:rPr>
            <w:rFonts w:ascii="Times" w:hAnsi="Times"/>
            <w:i/>
            <w:iCs/>
          </w:rPr>
          <w:t xml:space="preserve">Explanatory Statement to the </w:t>
        </w:r>
        <w:r w:rsidRPr="008D3174">
          <w:rPr>
            <w:rFonts w:ascii="Times" w:hAnsi="Times" w:cs="Times New Roman"/>
            <w:i/>
            <w:iCs/>
          </w:rPr>
          <w:t xml:space="preserve">Telecommunications (Mobile Number Pre-Porting Additional Identity Verification) Industry </w:t>
        </w:r>
        <w:r w:rsidR="007B0BAC">
          <w:rPr>
            <w:rFonts w:ascii="Times" w:hAnsi="Times" w:cs="Times New Roman"/>
            <w:i/>
            <w:iCs/>
          </w:rPr>
          <w:t>Determination</w:t>
        </w:r>
        <w:r w:rsidRPr="008D3174">
          <w:rPr>
            <w:rFonts w:ascii="Times" w:hAnsi="Times" w:cs="Times New Roman"/>
            <w:i/>
            <w:iCs/>
          </w:rPr>
          <w:t xml:space="preserve"> 2020</w:t>
        </w:r>
      </w:p>
      <w:p w14:paraId="6A173194" w14:textId="77777777" w:rsidR="006B4FD3" w:rsidRPr="00DC1C5E" w:rsidRDefault="006B4FD3" w:rsidP="00DC1C5E">
        <w:pPr>
          <w:pStyle w:val="Footer"/>
          <w:jc w:val="right"/>
          <w:rPr>
            <w:iCs/>
            <w:noProof/>
          </w:rPr>
        </w:pPr>
        <w:r w:rsidRPr="00DC1C5E">
          <w:rPr>
            <w:rFonts w:ascii="Times New Roman" w:hAnsi="Times New Roman" w:cs="Times New Roman"/>
            <w:iCs/>
          </w:rPr>
          <w:fldChar w:fldCharType="begin"/>
        </w:r>
        <w:r w:rsidRPr="00DC1C5E">
          <w:rPr>
            <w:rFonts w:ascii="Times New Roman" w:hAnsi="Times New Roman" w:cs="Times New Roman"/>
            <w:iCs/>
          </w:rPr>
          <w:instrText xml:space="preserve"> PAGE   \* MERGEFORMAT </w:instrText>
        </w:r>
        <w:r w:rsidRPr="00DC1C5E">
          <w:rPr>
            <w:rFonts w:ascii="Times New Roman" w:hAnsi="Times New Roman" w:cs="Times New Roman"/>
            <w:iCs/>
          </w:rPr>
          <w:fldChar w:fldCharType="separate"/>
        </w:r>
        <w:r>
          <w:rPr>
            <w:rFonts w:ascii="Times New Roman" w:hAnsi="Times New Roman" w:cs="Times New Roman"/>
            <w:iCs/>
          </w:rPr>
          <w:t>16</w:t>
        </w:r>
        <w:r w:rsidRPr="00DC1C5E">
          <w:rPr>
            <w:rFonts w:ascii="Times New Roman" w:hAnsi="Times New Roman" w:cs="Times New Roman"/>
            <w:i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rPr>
    </w:sdtEndPr>
    <w:sdtContent>
      <w:p w14:paraId="1E27C0A2" w14:textId="143A383F" w:rsidR="006B4FD3" w:rsidRPr="008D3174" w:rsidRDefault="006B4FD3" w:rsidP="00AD3414">
        <w:pPr>
          <w:pStyle w:val="Footer"/>
          <w:pBdr>
            <w:top w:val="single" w:sz="4" w:space="1" w:color="auto"/>
          </w:pBdr>
          <w:jc w:val="center"/>
          <w:rPr>
            <w:rFonts w:ascii="Times" w:hAnsi="Times"/>
            <w:i/>
            <w:iCs/>
          </w:rPr>
        </w:pPr>
        <w:r w:rsidRPr="008D3174">
          <w:rPr>
            <w:rFonts w:ascii="Times" w:hAnsi="Times"/>
            <w:i/>
            <w:iCs/>
          </w:rPr>
          <w:t xml:space="preserve">Explanatory Statement to the </w:t>
        </w:r>
        <w:r w:rsidRPr="008D3174">
          <w:rPr>
            <w:rFonts w:ascii="Times" w:hAnsi="Times" w:cs="Times New Roman"/>
            <w:i/>
            <w:iCs/>
          </w:rPr>
          <w:t>Telecommunications</w:t>
        </w:r>
        <w:r w:rsidR="00BD215B">
          <w:rPr>
            <w:rFonts w:ascii="Times" w:hAnsi="Times" w:cs="Times New Roman"/>
            <w:i/>
            <w:iCs/>
          </w:rPr>
          <w:t xml:space="preserve"> Service Provider</w:t>
        </w:r>
        <w:r w:rsidRPr="008D3174">
          <w:rPr>
            <w:rFonts w:ascii="Times" w:hAnsi="Times" w:cs="Times New Roman"/>
            <w:i/>
            <w:iCs/>
          </w:rPr>
          <w:t xml:space="preserve"> (</w:t>
        </w:r>
        <w:r w:rsidR="00BD215B">
          <w:rPr>
            <w:rFonts w:ascii="Times" w:hAnsi="Times" w:cs="Times New Roman"/>
            <w:i/>
            <w:iCs/>
          </w:rPr>
          <w:t xml:space="preserve">Customer </w:t>
        </w:r>
        <w:r w:rsidRPr="008D3174">
          <w:rPr>
            <w:rFonts w:ascii="Times" w:hAnsi="Times" w:cs="Times New Roman"/>
            <w:i/>
            <w:iCs/>
          </w:rPr>
          <w:t xml:space="preserve">Identity </w:t>
        </w:r>
        <w:r w:rsidR="007D3A11">
          <w:rPr>
            <w:rFonts w:ascii="Times" w:hAnsi="Times" w:cs="Times New Roman"/>
            <w:i/>
            <w:iCs/>
          </w:rPr>
          <w:t>Authentication</w:t>
        </w:r>
        <w:r w:rsidRPr="008D3174">
          <w:rPr>
            <w:rFonts w:ascii="Times" w:hAnsi="Times" w:cs="Times New Roman"/>
            <w:i/>
            <w:iCs/>
          </w:rPr>
          <w:t xml:space="preserve">) </w:t>
        </w:r>
        <w:r w:rsidR="007B0BAC">
          <w:rPr>
            <w:rFonts w:ascii="Times" w:hAnsi="Times" w:cs="Times New Roman"/>
            <w:i/>
            <w:iCs/>
          </w:rPr>
          <w:t>Determination</w:t>
        </w:r>
        <w:r w:rsidRPr="008D3174">
          <w:rPr>
            <w:rFonts w:ascii="Times" w:hAnsi="Times" w:cs="Times New Roman"/>
            <w:i/>
            <w:iCs/>
          </w:rPr>
          <w:t xml:space="preserve"> </w:t>
        </w:r>
        <w:r w:rsidR="00E92A8F" w:rsidRPr="008D3174">
          <w:rPr>
            <w:rFonts w:ascii="Times" w:hAnsi="Times" w:cs="Times New Roman"/>
            <w:i/>
            <w:iCs/>
          </w:rPr>
          <w:t>202</w:t>
        </w:r>
        <w:r w:rsidR="00E92A8F">
          <w:rPr>
            <w:rFonts w:ascii="Times" w:hAnsi="Times" w:cs="Times New Roman"/>
            <w:i/>
            <w:iCs/>
          </w:rPr>
          <w:t>2</w:t>
        </w:r>
      </w:p>
      <w:p w14:paraId="180626A1" w14:textId="2006C6D2" w:rsidR="006B4FD3" w:rsidRPr="00DC1C5E" w:rsidRDefault="006B4FD3" w:rsidP="00DC1C5E">
        <w:pPr>
          <w:pStyle w:val="Footer"/>
          <w:jc w:val="right"/>
          <w:rPr>
            <w:iCs/>
          </w:rPr>
        </w:pPr>
        <w:r w:rsidRPr="00DC1C5E">
          <w:rPr>
            <w:rFonts w:ascii="Times New Roman" w:hAnsi="Times New Roman" w:cs="Times New Roman"/>
            <w:iCs/>
          </w:rPr>
          <w:fldChar w:fldCharType="begin"/>
        </w:r>
        <w:r w:rsidRPr="00DC1C5E">
          <w:rPr>
            <w:rFonts w:ascii="Times New Roman" w:hAnsi="Times New Roman" w:cs="Times New Roman"/>
            <w:iCs/>
          </w:rPr>
          <w:instrText xml:space="preserve"> PAGE   \* MERGEFORMAT </w:instrText>
        </w:r>
        <w:r w:rsidRPr="00DC1C5E">
          <w:rPr>
            <w:rFonts w:ascii="Times New Roman" w:hAnsi="Times New Roman" w:cs="Times New Roman"/>
            <w:iCs/>
          </w:rPr>
          <w:fldChar w:fldCharType="separate"/>
        </w:r>
        <w:r w:rsidRPr="00DC1C5E">
          <w:rPr>
            <w:rFonts w:ascii="Times New Roman" w:hAnsi="Times New Roman" w:cs="Times New Roman"/>
            <w:iCs/>
            <w:noProof/>
          </w:rPr>
          <w:t>6</w:t>
        </w:r>
        <w:r w:rsidRPr="00DC1C5E">
          <w:rPr>
            <w:rFonts w:ascii="Times New Roman" w:hAnsi="Times New Roman" w:cs="Times New Roman"/>
            <w:i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051628"/>
      <w:docPartObj>
        <w:docPartGallery w:val="Page Numbers (Bottom of Page)"/>
        <w:docPartUnique/>
      </w:docPartObj>
    </w:sdtPr>
    <w:sdtEndPr>
      <w:rPr>
        <w:iCs/>
        <w:noProof/>
      </w:rPr>
    </w:sdtEndPr>
    <w:sdtContent>
      <w:p w14:paraId="3E5FC82B" w14:textId="2FBAEC3D" w:rsidR="006B4FD3" w:rsidRPr="008D3174" w:rsidRDefault="006B4FD3" w:rsidP="00DC1C5E">
        <w:pPr>
          <w:pStyle w:val="Footer"/>
          <w:pBdr>
            <w:top w:val="single" w:sz="4" w:space="1" w:color="auto"/>
          </w:pBdr>
          <w:jc w:val="center"/>
          <w:rPr>
            <w:rFonts w:ascii="Times" w:hAnsi="Times"/>
            <w:i/>
            <w:iCs/>
          </w:rPr>
        </w:pPr>
        <w:r w:rsidRPr="008D3174">
          <w:rPr>
            <w:rFonts w:ascii="Times" w:hAnsi="Times"/>
            <w:i/>
            <w:iCs/>
          </w:rPr>
          <w:t xml:space="preserve">Explanatory Statement to the </w:t>
        </w:r>
        <w:r w:rsidRPr="008D3174">
          <w:rPr>
            <w:rFonts w:ascii="Times" w:hAnsi="Times" w:cs="Times New Roman"/>
            <w:i/>
            <w:iCs/>
          </w:rPr>
          <w:t xml:space="preserve">Telecommunications </w:t>
        </w:r>
        <w:r w:rsidR="00536751">
          <w:rPr>
            <w:rFonts w:ascii="Times" w:hAnsi="Times" w:cs="Times New Roman"/>
            <w:i/>
            <w:iCs/>
          </w:rPr>
          <w:t xml:space="preserve">Service Provider </w:t>
        </w:r>
        <w:r w:rsidRPr="008D3174">
          <w:rPr>
            <w:rFonts w:ascii="Times" w:hAnsi="Times" w:cs="Times New Roman"/>
            <w:i/>
            <w:iCs/>
          </w:rPr>
          <w:t>(</w:t>
        </w:r>
        <w:r w:rsidR="00536751">
          <w:rPr>
            <w:rFonts w:ascii="Times" w:hAnsi="Times" w:cs="Times New Roman"/>
            <w:i/>
            <w:iCs/>
          </w:rPr>
          <w:t>Customer</w:t>
        </w:r>
        <w:r w:rsidRPr="008D3174">
          <w:rPr>
            <w:rFonts w:ascii="Times" w:hAnsi="Times" w:cs="Times New Roman"/>
            <w:i/>
            <w:iCs/>
          </w:rPr>
          <w:t xml:space="preserve"> Identity </w:t>
        </w:r>
        <w:r w:rsidR="00544C7C">
          <w:rPr>
            <w:rFonts w:ascii="Times" w:hAnsi="Times" w:cs="Times New Roman"/>
            <w:i/>
            <w:iCs/>
          </w:rPr>
          <w:t>Authenticatio</w:t>
        </w:r>
        <w:r w:rsidR="00544C7C" w:rsidRPr="008D3174">
          <w:rPr>
            <w:rFonts w:ascii="Times" w:hAnsi="Times" w:cs="Times New Roman"/>
            <w:i/>
            <w:iCs/>
          </w:rPr>
          <w:t>n</w:t>
        </w:r>
        <w:r w:rsidRPr="008D3174">
          <w:rPr>
            <w:rFonts w:ascii="Times" w:hAnsi="Times" w:cs="Times New Roman"/>
            <w:i/>
            <w:iCs/>
          </w:rPr>
          <w:t xml:space="preserve">) </w:t>
        </w:r>
        <w:r w:rsidR="007B0BAC">
          <w:rPr>
            <w:rFonts w:ascii="Times" w:hAnsi="Times" w:cs="Times New Roman"/>
            <w:i/>
            <w:iCs/>
          </w:rPr>
          <w:t>Determination</w:t>
        </w:r>
        <w:r w:rsidRPr="008D3174">
          <w:rPr>
            <w:rFonts w:ascii="Times" w:hAnsi="Times" w:cs="Times New Roman"/>
            <w:i/>
            <w:iCs/>
          </w:rPr>
          <w:t xml:space="preserve"> </w:t>
        </w:r>
        <w:r w:rsidR="006A5C1D" w:rsidRPr="00D871E2">
          <w:rPr>
            <w:rFonts w:ascii="Times" w:hAnsi="Times" w:cs="Times New Roman"/>
            <w:i/>
          </w:rPr>
          <w:t>202</w:t>
        </w:r>
        <w:r w:rsidR="006A5C1D">
          <w:rPr>
            <w:rFonts w:ascii="Times" w:hAnsi="Times" w:cs="Times New Roman"/>
            <w:i/>
            <w:iCs/>
          </w:rPr>
          <w:t>2</w:t>
        </w:r>
      </w:p>
      <w:p w14:paraId="44D6692D" w14:textId="6BFCA21E" w:rsidR="006B4FD3" w:rsidRPr="00DC1C5E" w:rsidRDefault="006B4FD3" w:rsidP="00DC1C5E">
        <w:pPr>
          <w:pStyle w:val="Footer"/>
          <w:jc w:val="right"/>
          <w:rPr>
            <w:iCs/>
            <w:noProof/>
          </w:rPr>
        </w:pPr>
        <w:r w:rsidRPr="00DC1C5E">
          <w:rPr>
            <w:rFonts w:ascii="Times New Roman" w:hAnsi="Times New Roman" w:cs="Times New Roman"/>
            <w:iCs/>
          </w:rPr>
          <w:fldChar w:fldCharType="begin"/>
        </w:r>
        <w:r w:rsidRPr="00DC1C5E">
          <w:rPr>
            <w:rFonts w:ascii="Times New Roman" w:hAnsi="Times New Roman" w:cs="Times New Roman"/>
            <w:iCs/>
          </w:rPr>
          <w:instrText xml:space="preserve"> PAGE   \* MERGEFORMAT </w:instrText>
        </w:r>
        <w:r w:rsidRPr="00DC1C5E">
          <w:rPr>
            <w:rFonts w:ascii="Times New Roman" w:hAnsi="Times New Roman" w:cs="Times New Roman"/>
            <w:iCs/>
          </w:rPr>
          <w:fldChar w:fldCharType="separate"/>
        </w:r>
        <w:r>
          <w:rPr>
            <w:rFonts w:ascii="Times New Roman" w:hAnsi="Times New Roman" w:cs="Times New Roman"/>
            <w:iCs/>
          </w:rPr>
          <w:t>16</w:t>
        </w:r>
        <w:r w:rsidRPr="00DC1C5E">
          <w:rPr>
            <w:rFonts w:ascii="Times New Roman" w:hAnsi="Times New Roman" w:cs="Times New Roman"/>
            <w:iCs/>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D739" w14:textId="77777777" w:rsidR="007D5EE0" w:rsidRDefault="007D5EE0" w:rsidP="005E250B">
    <w:pPr>
      <w:pStyle w:val="Footer"/>
      <w:jc w:val="right"/>
    </w:pPr>
    <w:r w:rsidRPr="005E250B">
      <w:rPr>
        <w:noProof/>
        <w:vertAlign w:val="subscript"/>
      </w:rPr>
      <w:drawing>
        <wp:inline distT="0" distB="0" distL="0" distR="0" wp14:anchorId="2077B895" wp14:editId="2BF0FC61">
          <wp:extent cx="1066800" cy="277368"/>
          <wp:effectExtent l="0" t="0" r="0" b="0"/>
          <wp:docPr id="11" name="Picture 11"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D461" w14:textId="77777777" w:rsidR="007D5EE0" w:rsidRDefault="007D5E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4225" w14:textId="77777777" w:rsidR="007D5EE0" w:rsidRDefault="007D5E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7016" w14:textId="77777777" w:rsidR="007D5EE0" w:rsidRPr="00622A3B" w:rsidRDefault="007D5EE0" w:rsidP="00971914">
    <w:pPr>
      <w:pStyle w:val="Footer"/>
      <w:framePr w:w="1334" w:h="357" w:hRule="exact" w:vSpace="425" w:wrap="around" w:vAnchor="page" w:hAnchor="page" w:x="1156" w:y="16166"/>
      <w:pBdr>
        <w:top w:val="single" w:sz="4" w:space="1" w:color="auto"/>
      </w:pBdr>
      <w:tabs>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18EDC221" w14:textId="77777777" w:rsidR="007D5EE0" w:rsidRPr="00A5474E" w:rsidRDefault="007D5EE0"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E8DE" w14:textId="77777777" w:rsidR="007D5EE0" w:rsidRPr="00622A3B" w:rsidRDefault="007D5EE0" w:rsidP="00971914">
    <w:pPr>
      <w:pStyle w:val="Footer"/>
      <w:framePr w:w="1334" w:h="357" w:hRule="exact" w:vSpace="425" w:wrap="around" w:vAnchor="page" w:hAnchor="page" w:x="7335" w:y="16166"/>
      <w:pBdr>
        <w:top w:val="single" w:sz="4" w:space="1" w:color="auto"/>
      </w:pBdr>
      <w:tabs>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79096B94" w14:textId="77777777" w:rsidR="007D5EE0" w:rsidRPr="00A5474E" w:rsidRDefault="007D5EE0"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6EBD" w14:textId="77777777" w:rsidR="007D5EE0" w:rsidRPr="00622A3B" w:rsidRDefault="007D5EE0" w:rsidP="00DB2B1C">
    <w:pPr>
      <w:pStyle w:val="Footer"/>
      <w:framePr w:w="1332" w:h="357" w:hRule="exact" w:vSpace="425" w:wrap="around" w:vAnchor="page" w:hAnchor="page" w:x="7332" w:y="16166"/>
      <w:pBdr>
        <w:top w:val="single" w:sz="4" w:space="1" w:color="auto"/>
      </w:pBdr>
      <w:tabs>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40BFF1A5" w14:textId="77777777" w:rsidR="007D5EE0" w:rsidRPr="00A5474E" w:rsidRDefault="007D5EE0"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03C6" w14:textId="77777777" w:rsidR="003C6BE6" w:rsidRDefault="003C6BE6" w:rsidP="00025ACE">
      <w:pPr>
        <w:spacing w:after="0" w:line="240" w:lineRule="auto"/>
      </w:pPr>
      <w:r>
        <w:separator/>
      </w:r>
    </w:p>
  </w:footnote>
  <w:footnote w:type="continuationSeparator" w:id="0">
    <w:p w14:paraId="70F35D5C" w14:textId="77777777" w:rsidR="003C6BE6" w:rsidRDefault="003C6BE6" w:rsidP="00025ACE">
      <w:pPr>
        <w:spacing w:after="0" w:line="240" w:lineRule="auto"/>
      </w:pPr>
      <w:r>
        <w:continuationSeparator/>
      </w:r>
    </w:p>
  </w:footnote>
  <w:footnote w:type="continuationNotice" w:id="1">
    <w:p w14:paraId="29A6EA91" w14:textId="77777777" w:rsidR="003C6BE6" w:rsidRDefault="003C6BE6">
      <w:pPr>
        <w:spacing w:after="0" w:line="240" w:lineRule="auto"/>
      </w:pPr>
    </w:p>
  </w:footnote>
  <w:footnote w:id="2">
    <w:p w14:paraId="1AA00302" w14:textId="77777777" w:rsidR="007D5EE0" w:rsidRDefault="007D5EE0" w:rsidP="007D5EE0">
      <w:pPr>
        <w:pStyle w:val="FootnoteText"/>
        <w:spacing w:line="240" w:lineRule="auto"/>
      </w:pPr>
      <w:r>
        <w:rPr>
          <w:rStyle w:val="FootnoteReference"/>
        </w:rPr>
        <w:footnoteRef/>
      </w:r>
      <w:r>
        <w:t xml:space="preserve"> </w:t>
      </w:r>
      <w:r w:rsidRPr="00AC4121">
        <w:rPr>
          <w:rFonts w:cs="Arial"/>
        </w:rPr>
        <w:t>Identity Theft Resource Centre,</w:t>
      </w:r>
      <w:r>
        <w:rPr>
          <w:rFonts w:cs="Arial"/>
        </w:rPr>
        <w:t xml:space="preserve"> 2018,</w:t>
      </w:r>
      <w:r w:rsidRPr="00AC4121">
        <w:rPr>
          <w:rFonts w:cs="Arial"/>
        </w:rPr>
        <w:t xml:space="preserve"> </w:t>
      </w:r>
      <w:hyperlink r:id="rId1" w:history="1">
        <w:r w:rsidRPr="00AC4121">
          <w:rPr>
            <w:rStyle w:val="Hyperlink"/>
            <w:rFonts w:cs="Arial"/>
            <w:i/>
            <w:iCs/>
          </w:rPr>
          <w:t xml:space="preserve">The </w:t>
        </w:r>
        <w:r>
          <w:rPr>
            <w:rStyle w:val="Hyperlink"/>
            <w:rFonts w:cs="Arial"/>
            <w:i/>
            <w:iCs/>
          </w:rPr>
          <w:t>a</w:t>
        </w:r>
        <w:r w:rsidRPr="00AC4121">
          <w:rPr>
            <w:rStyle w:val="Hyperlink"/>
            <w:rFonts w:cs="Arial"/>
            <w:i/>
            <w:iCs/>
          </w:rPr>
          <w:t>ftermath – the non-economic impacts of identity theft</w:t>
        </w:r>
      </w:hyperlink>
      <w:r w:rsidRPr="00AC4121">
        <w:rPr>
          <w:rFonts w:cs="Arial"/>
        </w:rPr>
        <w:t xml:space="preserve">, viewed </w:t>
      </w:r>
      <w:r>
        <w:rPr>
          <w:rFonts w:cs="Arial"/>
        </w:rPr>
        <w:t>12 October 2021.</w:t>
      </w:r>
    </w:p>
  </w:footnote>
  <w:footnote w:id="3">
    <w:p w14:paraId="07A0170E" w14:textId="77777777" w:rsidR="007D5EE0" w:rsidRDefault="007D5EE0" w:rsidP="007D5EE0">
      <w:pPr>
        <w:pStyle w:val="FootnoteText"/>
        <w:spacing w:line="240" w:lineRule="auto"/>
      </w:pPr>
      <w:r>
        <w:rPr>
          <w:rStyle w:val="FootnoteReference"/>
        </w:rPr>
        <w:footnoteRef/>
      </w:r>
      <w:r>
        <w:t xml:space="preserve"> ACMA, ‘</w:t>
      </w:r>
      <w:hyperlink r:id="rId2" w:history="1">
        <w:r w:rsidRPr="00F54A65">
          <w:rPr>
            <w:rStyle w:val="Hyperlink"/>
          </w:rPr>
          <w:t>About carriers and carriage service providers</w:t>
        </w:r>
        <w:r w:rsidRPr="0015487D">
          <w:rPr>
            <w:rStyle w:val="Hyperlink"/>
          </w:rPr>
          <w:t>’</w:t>
        </w:r>
      </w:hyperlink>
      <w:r>
        <w:rPr>
          <w:u w:color="0000FF"/>
        </w:rPr>
        <w:t>, viewed 5 October 2021.</w:t>
      </w:r>
    </w:p>
  </w:footnote>
  <w:footnote w:id="4">
    <w:p w14:paraId="23A137D3" w14:textId="77777777" w:rsidR="007D5EE0" w:rsidRDefault="007D5EE0" w:rsidP="007D5EE0">
      <w:pPr>
        <w:pStyle w:val="FootnoteText"/>
        <w:spacing w:line="240" w:lineRule="auto"/>
      </w:pPr>
      <w:r>
        <w:rPr>
          <w:rStyle w:val="FootnoteReference"/>
        </w:rPr>
        <w:footnoteRef/>
      </w:r>
      <w:r>
        <w:t xml:space="preserve"> ibid</w:t>
      </w:r>
      <w:r w:rsidRPr="00E61AB9">
        <w:t>.</w:t>
      </w:r>
    </w:p>
  </w:footnote>
  <w:footnote w:id="5">
    <w:p w14:paraId="7AE754EB" w14:textId="77777777" w:rsidR="007D5EE0" w:rsidRDefault="007D5EE0" w:rsidP="007D5EE0">
      <w:pPr>
        <w:pStyle w:val="FootnoteText"/>
        <w:spacing w:line="240" w:lineRule="auto"/>
      </w:pPr>
      <w:r>
        <w:rPr>
          <w:rStyle w:val="FootnoteReference"/>
        </w:rPr>
        <w:footnoteRef/>
      </w:r>
      <w:r>
        <w:t xml:space="preserve"> ibid.</w:t>
      </w:r>
    </w:p>
  </w:footnote>
  <w:footnote w:id="6">
    <w:p w14:paraId="17B1AF37" w14:textId="77777777" w:rsidR="007D5EE0" w:rsidRPr="005F4D85" w:rsidRDefault="007D5EE0" w:rsidP="007D5EE0">
      <w:pPr>
        <w:pStyle w:val="FootnoteText"/>
        <w:keepNext/>
        <w:keepLines/>
        <w:spacing w:line="240" w:lineRule="auto"/>
      </w:pPr>
      <w:r>
        <w:rPr>
          <w:rStyle w:val="FootnoteReference"/>
        </w:rPr>
        <w:footnoteRef/>
      </w:r>
      <w:r>
        <w:t xml:space="preserve"> YourMoney.com, 2015</w:t>
      </w:r>
      <w:r w:rsidRPr="005F4D85">
        <w:rPr>
          <w:i/>
          <w:iCs/>
        </w:rPr>
        <w:t xml:space="preserve">, </w:t>
      </w:r>
      <w:hyperlink r:id="rId3" w:history="1">
        <w:r w:rsidRPr="005F4D85">
          <w:rPr>
            <w:rStyle w:val="Hyperlink"/>
            <w:i/>
            <w:iCs/>
          </w:rPr>
          <w:t>A history of fraud through the ages and how to avoid being a victim</w:t>
        </w:r>
      </w:hyperlink>
      <w:r>
        <w:t xml:space="preserve">, viewed </w:t>
      </w:r>
      <w:r>
        <w:br/>
        <w:t>16 December 2021.</w:t>
      </w:r>
    </w:p>
  </w:footnote>
  <w:footnote w:id="7">
    <w:p w14:paraId="169B7D91" w14:textId="77777777" w:rsidR="007D5EE0" w:rsidRDefault="007D5EE0" w:rsidP="007D5EE0">
      <w:pPr>
        <w:pStyle w:val="FootnoteText"/>
        <w:keepNext/>
        <w:keepLines/>
        <w:spacing w:line="240" w:lineRule="auto"/>
      </w:pPr>
      <w:r>
        <w:rPr>
          <w:rStyle w:val="FootnoteReference"/>
        </w:rPr>
        <w:footnoteRef/>
      </w:r>
      <w:r>
        <w:t xml:space="preserve"> ACMA 2021, </w:t>
      </w:r>
      <w:hyperlink r:id="rId4" w:history="1">
        <w:r w:rsidRPr="00D06B15">
          <w:rPr>
            <w:rStyle w:val="Hyperlink"/>
            <w:i/>
            <w:iCs/>
          </w:rPr>
          <w:t>Corporate plan 2021</w:t>
        </w:r>
        <w:r w:rsidRPr="00D06B15">
          <w:rPr>
            <w:rStyle w:val="Hyperlink"/>
            <w:rFonts w:cs="Arial"/>
            <w:i/>
            <w:iCs/>
          </w:rPr>
          <w:t>–</w:t>
        </w:r>
        <w:r w:rsidRPr="00D06B15">
          <w:rPr>
            <w:rStyle w:val="Hyperlink"/>
            <w:i/>
            <w:iCs/>
          </w:rPr>
          <w:t>22</w:t>
        </w:r>
      </w:hyperlink>
      <w:r>
        <w:t>, viewed 8 October 2021.</w:t>
      </w:r>
    </w:p>
  </w:footnote>
  <w:footnote w:id="8">
    <w:p w14:paraId="662CDA12" w14:textId="77777777" w:rsidR="007D5EE0" w:rsidRDefault="007D5EE0" w:rsidP="007D5EE0">
      <w:pPr>
        <w:pStyle w:val="FootnoteText"/>
        <w:spacing w:line="240" w:lineRule="auto"/>
      </w:pPr>
      <w:r>
        <w:rPr>
          <w:rStyle w:val="FootnoteReference"/>
        </w:rPr>
        <w:footnoteRef/>
      </w:r>
      <w:r>
        <w:t xml:space="preserve"> </w:t>
      </w:r>
      <w:r w:rsidRPr="00415096">
        <w:rPr>
          <w:color w:val="000000" w:themeColor="text1"/>
        </w:rPr>
        <w:t xml:space="preserve">Commonwealth Fraud Prevention Centre, </w:t>
      </w:r>
      <w:r w:rsidRPr="001C6327">
        <w:t>(</w:t>
      </w:r>
      <w:hyperlink r:id="rId5" w:history="1">
        <w:r w:rsidRPr="000239A9">
          <w:rPr>
            <w:rStyle w:val="Hyperlink"/>
          </w:rPr>
          <w:t>counterfraud.gov.au</w:t>
        </w:r>
      </w:hyperlink>
      <w:r w:rsidRPr="001C6327">
        <w:t>)</w:t>
      </w:r>
      <w:r w:rsidRPr="001C6327">
        <w:rPr>
          <w:rStyle w:val="Hyperlink"/>
          <w:color w:val="000000" w:themeColor="text1"/>
        </w:rPr>
        <w:t>,</w:t>
      </w:r>
      <w:r w:rsidRPr="00415096">
        <w:rPr>
          <w:color w:val="000000" w:themeColor="text1"/>
        </w:rPr>
        <w:t xml:space="preserve"> viewed 5 October 2021.</w:t>
      </w:r>
    </w:p>
  </w:footnote>
  <w:footnote w:id="9">
    <w:p w14:paraId="61B6DFCB" w14:textId="77777777" w:rsidR="007D5EE0" w:rsidRDefault="007D5EE0" w:rsidP="007D5EE0">
      <w:pPr>
        <w:pStyle w:val="FootnoteText"/>
        <w:spacing w:line="240" w:lineRule="auto"/>
      </w:pPr>
      <w:r>
        <w:rPr>
          <w:rStyle w:val="FootnoteReference"/>
        </w:rPr>
        <w:footnoteRef/>
      </w:r>
      <w:r>
        <w:t xml:space="preserve"> </w:t>
      </w:r>
      <w:hyperlink r:id="rId6" w:history="1">
        <w:r>
          <w:rPr>
            <w:rStyle w:val="Hyperlink"/>
          </w:rPr>
          <w:t>Identity crime and misuse in Australia</w:t>
        </w:r>
      </w:hyperlink>
      <w:r w:rsidRPr="00E244FD">
        <w:rPr>
          <w:u w:color="0000FF"/>
        </w:rPr>
        <w:t xml:space="preserve"> (homeaffairs.</w:t>
      </w:r>
      <w:r w:rsidRPr="000834C7">
        <w:t>gov</w:t>
      </w:r>
      <w:r w:rsidRPr="001C6327">
        <w:t>.au)</w:t>
      </w:r>
      <w:r w:rsidRPr="00B74D0D">
        <w:rPr>
          <w:rStyle w:val="Hyperlink"/>
        </w:rPr>
        <w:t>,</w:t>
      </w:r>
      <w:r>
        <w:t xml:space="preserve"> viewed 10 October 2021.</w:t>
      </w:r>
    </w:p>
  </w:footnote>
  <w:footnote w:id="10">
    <w:p w14:paraId="3FB4673B" w14:textId="77777777" w:rsidR="007D5EE0" w:rsidRDefault="007D5EE0" w:rsidP="007D5EE0">
      <w:pPr>
        <w:pStyle w:val="FootnoteText"/>
        <w:spacing w:line="240" w:lineRule="auto"/>
      </w:pPr>
      <w:r>
        <w:rPr>
          <w:rStyle w:val="FootnoteReference"/>
        </w:rPr>
        <w:footnoteRef/>
      </w:r>
      <w:r>
        <w:t xml:space="preserve"> Attorney-General’s Department, ‘</w:t>
      </w:r>
      <w:hyperlink r:id="rId7" w:history="1">
        <w:r w:rsidRPr="00F85B0F">
          <w:rPr>
            <w:rStyle w:val="Hyperlink"/>
            <w:i/>
            <w:iCs/>
          </w:rPr>
          <w:t>Fraud in Australia</w:t>
        </w:r>
      </w:hyperlink>
      <w:r>
        <w:rPr>
          <w:i/>
          <w:iCs/>
        </w:rPr>
        <w:t xml:space="preserve">’, </w:t>
      </w:r>
      <w:r w:rsidRPr="00F85B0F">
        <w:t xml:space="preserve">viewed </w:t>
      </w:r>
      <w:r>
        <w:t>10 October</w:t>
      </w:r>
      <w:r w:rsidRPr="00F85B0F">
        <w:t xml:space="preserve"> 202</w:t>
      </w:r>
      <w:r>
        <w:t>1.</w:t>
      </w:r>
    </w:p>
  </w:footnote>
  <w:footnote w:id="11">
    <w:p w14:paraId="06E91F46" w14:textId="77777777" w:rsidR="007D5EE0" w:rsidRDefault="007D5EE0" w:rsidP="007D5EE0">
      <w:pPr>
        <w:pStyle w:val="FootnoteText"/>
        <w:spacing w:line="240" w:lineRule="auto"/>
      </w:pPr>
      <w:r>
        <w:rPr>
          <w:rStyle w:val="FootnoteReference"/>
        </w:rPr>
        <w:footnoteRef/>
      </w:r>
      <w:r>
        <w:t xml:space="preserve"> </w:t>
      </w:r>
      <w:r w:rsidRPr="00025676">
        <w:t xml:space="preserve">Australian Institute of Criminology, </w:t>
      </w:r>
      <w:r>
        <w:t xml:space="preserve">2020, </w:t>
      </w:r>
      <w:hyperlink r:id="rId8" w:history="1">
        <w:r w:rsidRPr="00A8262F">
          <w:rPr>
            <w:rStyle w:val="Hyperlink"/>
            <w:i/>
            <w:iCs/>
          </w:rPr>
          <w:t>Identity crime and misuse in Australia</w:t>
        </w:r>
      </w:hyperlink>
      <w:r>
        <w:rPr>
          <w:rStyle w:val="Hyperlink"/>
          <w:i/>
          <w:iCs/>
        </w:rPr>
        <w:t xml:space="preserve"> 2019</w:t>
      </w:r>
      <w:r w:rsidRPr="00025676">
        <w:t xml:space="preserve">, </w:t>
      </w:r>
      <w:r>
        <w:t xml:space="preserve">viewed </w:t>
      </w:r>
      <w:r>
        <w:br/>
        <w:t>11 October 2021.</w:t>
      </w:r>
    </w:p>
  </w:footnote>
  <w:footnote w:id="12">
    <w:p w14:paraId="386175EE" w14:textId="77777777" w:rsidR="007D5EE0" w:rsidRDefault="007D5EE0" w:rsidP="007D5EE0">
      <w:pPr>
        <w:pStyle w:val="FootnoteText"/>
        <w:spacing w:line="240" w:lineRule="auto"/>
      </w:pPr>
      <w:r>
        <w:rPr>
          <w:rStyle w:val="FootnoteReference"/>
        </w:rPr>
        <w:footnoteRef/>
      </w:r>
      <w:r>
        <w:t xml:space="preserve"> ACCC, 2021, </w:t>
      </w:r>
      <w:hyperlink r:id="rId9" w:history="1">
        <w:r>
          <w:rPr>
            <w:rStyle w:val="Hyperlink"/>
            <w:i/>
            <w:iCs/>
          </w:rPr>
          <w:t>Targeting scams</w:t>
        </w:r>
      </w:hyperlink>
      <w:r w:rsidRPr="00B93D2F">
        <w:rPr>
          <w:i/>
          <w:iCs/>
        </w:rPr>
        <w:t xml:space="preserve"> 2020</w:t>
      </w:r>
      <w:r>
        <w:t>, viewed 11 October 2021.</w:t>
      </w:r>
    </w:p>
  </w:footnote>
  <w:footnote w:id="13">
    <w:p w14:paraId="0DF5F977" w14:textId="77777777" w:rsidR="007D5EE0" w:rsidRDefault="007D5EE0" w:rsidP="007D5EE0">
      <w:pPr>
        <w:pStyle w:val="FootnoteText"/>
        <w:spacing w:line="240" w:lineRule="auto"/>
      </w:pPr>
      <w:r>
        <w:rPr>
          <w:rStyle w:val="FootnoteReference"/>
        </w:rPr>
        <w:footnoteRef/>
      </w:r>
      <w:r>
        <w:t xml:space="preserve"> ibid.</w:t>
      </w:r>
    </w:p>
  </w:footnote>
  <w:footnote w:id="14">
    <w:p w14:paraId="30700114" w14:textId="77777777" w:rsidR="007D5EE0" w:rsidRDefault="007D5EE0" w:rsidP="007D5EE0">
      <w:pPr>
        <w:pStyle w:val="FootnoteText"/>
        <w:spacing w:line="240" w:lineRule="auto"/>
      </w:pPr>
      <w:r>
        <w:rPr>
          <w:rStyle w:val="FootnoteReference"/>
        </w:rPr>
        <w:footnoteRef/>
      </w:r>
      <w:r>
        <w:t xml:space="preserve"> </w:t>
      </w:r>
      <w:r w:rsidRPr="008200ED">
        <w:t>IDCARE is Australia and New Zealand’s national identity and cyber support service</w:t>
      </w:r>
      <w:r>
        <w:t xml:space="preserve">. It was </w:t>
      </w:r>
      <w:r w:rsidRPr="008200ED">
        <w:t>formed to address a critical support gap for individuals confronting identity and cyber security concerns</w:t>
      </w:r>
      <w:r>
        <w:t>.</w:t>
      </w:r>
    </w:p>
  </w:footnote>
  <w:footnote w:id="15">
    <w:p w14:paraId="53E6349B" w14:textId="77777777" w:rsidR="007D5EE0" w:rsidRDefault="007D5EE0" w:rsidP="007D5EE0">
      <w:pPr>
        <w:pStyle w:val="FootnoteText"/>
        <w:spacing w:line="240" w:lineRule="auto"/>
      </w:pPr>
      <w:r>
        <w:rPr>
          <w:rStyle w:val="FootnoteReference"/>
        </w:rPr>
        <w:footnoteRef/>
      </w:r>
      <w:r>
        <w:t xml:space="preserve"> </w:t>
      </w:r>
      <w:r w:rsidRPr="00526CBA">
        <w:t xml:space="preserve">ACCC, </w:t>
      </w:r>
      <w:r>
        <w:t xml:space="preserve">2020, </w:t>
      </w:r>
      <w:hyperlink r:id="rId10" w:history="1">
        <w:r>
          <w:rPr>
            <w:rStyle w:val="Hyperlink"/>
            <w:i/>
            <w:iCs/>
          </w:rPr>
          <w:t>Targeting scams 2019: A review of scam activity since 2009</w:t>
        </w:r>
      </w:hyperlink>
      <w:r w:rsidRPr="00304330">
        <w:rPr>
          <w:rStyle w:val="Hyperlink"/>
          <w:i/>
          <w:iCs/>
        </w:rPr>
        <w:t>,</w:t>
      </w:r>
      <w:r w:rsidRPr="00526CBA">
        <w:t xml:space="preserve"> viewed 13 October 202</w:t>
      </w:r>
      <w:r>
        <w:t>1.</w:t>
      </w:r>
    </w:p>
  </w:footnote>
  <w:footnote w:id="16">
    <w:p w14:paraId="417CFE11" w14:textId="77777777" w:rsidR="007D5EE0" w:rsidRDefault="007D5EE0" w:rsidP="007D5EE0">
      <w:pPr>
        <w:pStyle w:val="FootnoteText"/>
        <w:spacing w:line="240" w:lineRule="auto"/>
      </w:pPr>
      <w:r>
        <w:rPr>
          <w:rStyle w:val="FootnoteReference"/>
        </w:rPr>
        <w:footnoteRef/>
      </w:r>
      <w:r>
        <w:t xml:space="preserve"> </w:t>
      </w:r>
      <w:r w:rsidRPr="005853AC">
        <w:t>Australian Institute of Criminology,</w:t>
      </w:r>
      <w:r>
        <w:t xml:space="preserve"> 2019,</w:t>
      </w:r>
      <w:r w:rsidRPr="005853AC">
        <w:t xml:space="preserve"> </w:t>
      </w:r>
      <w:hyperlink r:id="rId11" w:history="1">
        <w:r w:rsidRPr="00304330">
          <w:rPr>
            <w:rStyle w:val="Hyperlink"/>
          </w:rPr>
          <w:t>‘</w:t>
        </w:r>
        <w:r w:rsidRPr="002D7DEB">
          <w:rPr>
            <w:rStyle w:val="Hyperlink"/>
          </w:rPr>
          <w:t>Identity crime and misuse in Australia</w:t>
        </w:r>
        <w:r w:rsidRPr="00304330">
          <w:rPr>
            <w:rStyle w:val="Hyperlink"/>
          </w:rPr>
          <w:t>’</w:t>
        </w:r>
      </w:hyperlink>
      <w:r w:rsidRPr="005853AC">
        <w:t xml:space="preserve">, viewed </w:t>
      </w:r>
      <w:r>
        <w:t>10</w:t>
      </w:r>
      <w:r w:rsidRPr="005853AC">
        <w:t xml:space="preserve"> October 202</w:t>
      </w:r>
      <w:r>
        <w:t>1</w:t>
      </w:r>
      <w:r w:rsidRPr="005853AC">
        <w:t>.</w:t>
      </w:r>
    </w:p>
  </w:footnote>
  <w:footnote w:id="17">
    <w:p w14:paraId="732BB142" w14:textId="77777777" w:rsidR="007D5EE0" w:rsidRDefault="007D5EE0" w:rsidP="007D5EE0">
      <w:pPr>
        <w:pStyle w:val="FootnoteText"/>
        <w:spacing w:line="240" w:lineRule="auto"/>
      </w:pPr>
      <w:r>
        <w:rPr>
          <w:rStyle w:val="FootnoteReference"/>
        </w:rPr>
        <w:footnoteRef/>
      </w:r>
      <w:r>
        <w:t xml:space="preserve"> </w:t>
      </w:r>
      <w:r w:rsidRPr="00AC4121">
        <w:rPr>
          <w:rFonts w:cs="Arial"/>
        </w:rPr>
        <w:t>Identity Theft Resource Centre,</w:t>
      </w:r>
      <w:r>
        <w:rPr>
          <w:rFonts w:cs="Arial"/>
        </w:rPr>
        <w:t xml:space="preserve"> 2018,</w:t>
      </w:r>
      <w:r w:rsidRPr="00AC4121">
        <w:rPr>
          <w:rFonts w:cs="Arial"/>
        </w:rPr>
        <w:t xml:space="preserve"> </w:t>
      </w:r>
      <w:hyperlink r:id="rId12" w:history="1">
        <w:r w:rsidRPr="00AC4121">
          <w:rPr>
            <w:rStyle w:val="Hyperlink"/>
            <w:rFonts w:cs="Arial"/>
            <w:i/>
            <w:iCs/>
          </w:rPr>
          <w:t xml:space="preserve">The </w:t>
        </w:r>
        <w:r>
          <w:rPr>
            <w:rStyle w:val="Hyperlink"/>
            <w:rFonts w:cs="Arial"/>
            <w:i/>
            <w:iCs/>
          </w:rPr>
          <w:t>a</w:t>
        </w:r>
        <w:r w:rsidRPr="00AC4121">
          <w:rPr>
            <w:rStyle w:val="Hyperlink"/>
            <w:rFonts w:cs="Arial"/>
            <w:i/>
            <w:iCs/>
          </w:rPr>
          <w:t>ftermath – the non-economic impacts of identity theft</w:t>
        </w:r>
      </w:hyperlink>
      <w:r w:rsidRPr="00AC4121">
        <w:rPr>
          <w:rFonts w:cs="Arial"/>
        </w:rPr>
        <w:t xml:space="preserve">, viewed </w:t>
      </w:r>
      <w:r>
        <w:rPr>
          <w:rFonts w:cs="Arial"/>
        </w:rPr>
        <w:t>12 October 2021.</w:t>
      </w:r>
    </w:p>
  </w:footnote>
  <w:footnote w:id="18">
    <w:p w14:paraId="6E3C1E12" w14:textId="77777777" w:rsidR="007D5EE0" w:rsidRDefault="007D5EE0" w:rsidP="007D5EE0">
      <w:pPr>
        <w:pStyle w:val="FootnoteText"/>
        <w:spacing w:line="240" w:lineRule="auto"/>
      </w:pPr>
      <w:r>
        <w:rPr>
          <w:rStyle w:val="FootnoteReference"/>
        </w:rPr>
        <w:footnoteRef/>
      </w:r>
      <w:r>
        <w:t xml:space="preserve"> IDCARE unpublished data supplied to Australian Institute of Criminology for </w:t>
      </w:r>
      <w:hyperlink r:id="rId13" w:history="1">
        <w:r w:rsidRPr="00A8262F">
          <w:rPr>
            <w:rStyle w:val="Hyperlink"/>
            <w:i/>
            <w:iCs/>
          </w:rPr>
          <w:t>Identity crime and misuse in Australia</w:t>
        </w:r>
      </w:hyperlink>
      <w:r>
        <w:t>, 2019, viewed 20 October 2021.</w:t>
      </w:r>
    </w:p>
  </w:footnote>
  <w:footnote w:id="19">
    <w:p w14:paraId="135A845D" w14:textId="77777777" w:rsidR="007D5EE0" w:rsidRDefault="007D5EE0" w:rsidP="007D5EE0">
      <w:pPr>
        <w:pStyle w:val="FootnoteText"/>
        <w:spacing w:line="240" w:lineRule="auto"/>
      </w:pPr>
      <w:r>
        <w:rPr>
          <w:rStyle w:val="FootnoteReference"/>
        </w:rPr>
        <w:footnoteRef/>
      </w:r>
      <w:r>
        <w:t xml:space="preserve"> </w:t>
      </w:r>
      <w:r w:rsidRPr="00025676">
        <w:t xml:space="preserve">Australian Institute of Criminology, </w:t>
      </w:r>
      <w:r>
        <w:t xml:space="preserve">2020, </w:t>
      </w:r>
      <w:hyperlink r:id="rId14" w:history="1">
        <w:r w:rsidRPr="00A8262F">
          <w:rPr>
            <w:rStyle w:val="Hyperlink"/>
            <w:i/>
            <w:iCs/>
          </w:rPr>
          <w:t>Identity crime and misuse in Australia</w:t>
        </w:r>
      </w:hyperlink>
      <w:r>
        <w:rPr>
          <w:rStyle w:val="Hyperlink"/>
          <w:i/>
          <w:iCs/>
        </w:rPr>
        <w:t xml:space="preserve"> 2019</w:t>
      </w:r>
      <w:r w:rsidRPr="00025676">
        <w:t xml:space="preserve">, </w:t>
      </w:r>
      <w:r>
        <w:t>viewed 11 October 2021.</w:t>
      </w:r>
    </w:p>
  </w:footnote>
  <w:footnote w:id="20">
    <w:p w14:paraId="1294A5F3" w14:textId="77777777" w:rsidR="007D5EE0" w:rsidRPr="00AC4121" w:rsidRDefault="007D5EE0" w:rsidP="007D5EE0">
      <w:pPr>
        <w:pStyle w:val="FootnoteText"/>
        <w:spacing w:line="240" w:lineRule="auto"/>
        <w:rPr>
          <w:rFonts w:cs="Arial"/>
        </w:rPr>
      </w:pPr>
      <w:r w:rsidRPr="00AC4121">
        <w:rPr>
          <w:rStyle w:val="FootnoteReference"/>
          <w:rFonts w:cs="Arial"/>
        </w:rPr>
        <w:footnoteRef/>
      </w:r>
      <w:r w:rsidRPr="004C0136">
        <w:t xml:space="preserve"> </w:t>
      </w:r>
      <w:r>
        <w:t>I</w:t>
      </w:r>
      <w:r w:rsidRPr="004C0136">
        <w:rPr>
          <w:rFonts w:cs="Arial"/>
        </w:rPr>
        <w:t>DCARE</w:t>
      </w:r>
      <w:r>
        <w:rPr>
          <w:rFonts w:cs="Arial"/>
        </w:rPr>
        <w:t xml:space="preserve"> 2018</w:t>
      </w:r>
      <w:r w:rsidRPr="004C0136">
        <w:rPr>
          <w:rFonts w:cs="Arial"/>
        </w:rPr>
        <w:t>, ‘Unauthorised Mobile Phone Porting Events', IDCARE Insights bulletin</w:t>
      </w:r>
      <w:r>
        <w:rPr>
          <w:rFonts w:cs="Arial"/>
        </w:rPr>
        <w:t>.</w:t>
      </w:r>
    </w:p>
  </w:footnote>
  <w:footnote w:id="21">
    <w:p w14:paraId="6BAF1DA9" w14:textId="77777777" w:rsidR="007D5EE0" w:rsidRDefault="007D5EE0" w:rsidP="007D5EE0">
      <w:pPr>
        <w:pStyle w:val="FootnoteText"/>
        <w:spacing w:line="240" w:lineRule="auto"/>
      </w:pPr>
      <w:r>
        <w:rPr>
          <w:rStyle w:val="FootnoteReference"/>
        </w:rPr>
        <w:footnoteRef/>
      </w:r>
      <w:r>
        <w:t xml:space="preserve">ibid. </w:t>
      </w:r>
    </w:p>
  </w:footnote>
  <w:footnote w:id="22">
    <w:p w14:paraId="3811DA0D" w14:textId="77777777" w:rsidR="007D5EE0" w:rsidRPr="00AC4121" w:rsidRDefault="007D5EE0" w:rsidP="007D5EE0">
      <w:pPr>
        <w:pStyle w:val="FootnoteText"/>
        <w:spacing w:line="240" w:lineRule="auto"/>
        <w:rPr>
          <w:rFonts w:cs="Arial"/>
          <w:highlight w:val="yellow"/>
        </w:rPr>
      </w:pPr>
      <w:r w:rsidRPr="00AC4121">
        <w:rPr>
          <w:rStyle w:val="FootnoteReference"/>
          <w:rFonts w:cs="Arial"/>
        </w:rPr>
        <w:footnoteRef/>
      </w:r>
      <w:r w:rsidRPr="00AC4121">
        <w:rPr>
          <w:rFonts w:cs="Arial"/>
        </w:rPr>
        <w:t xml:space="preserve"> </w:t>
      </w:r>
      <w:r w:rsidRPr="009209C4">
        <w:rPr>
          <w:rFonts w:cs="Arial"/>
        </w:rPr>
        <w:t>Australian Institute of Criminology,</w:t>
      </w:r>
      <w:r>
        <w:rPr>
          <w:rFonts w:cs="Arial"/>
        </w:rPr>
        <w:t xml:space="preserve"> 2019,</w:t>
      </w:r>
      <w:r w:rsidRPr="009209C4">
        <w:rPr>
          <w:rFonts w:cs="Arial"/>
        </w:rPr>
        <w:t xml:space="preserve"> </w:t>
      </w:r>
      <w:r w:rsidRPr="00C14D70">
        <w:rPr>
          <w:rFonts w:cs="Arial"/>
          <w:i/>
          <w:iCs/>
        </w:rPr>
        <w:t>Identity crime and misuse in Australia</w:t>
      </w:r>
      <w:r w:rsidRPr="009209C4">
        <w:rPr>
          <w:rFonts w:cs="Arial"/>
        </w:rPr>
        <w:t xml:space="preserve">, viewed 9 </w:t>
      </w:r>
      <w:r>
        <w:rPr>
          <w:rFonts w:cs="Arial"/>
        </w:rPr>
        <w:t>October</w:t>
      </w:r>
      <w:r w:rsidRPr="009209C4">
        <w:rPr>
          <w:rFonts w:cs="Arial"/>
        </w:rPr>
        <w:t xml:space="preserve"> 202</w:t>
      </w:r>
      <w:r>
        <w:rPr>
          <w:rFonts w:cs="Arial"/>
        </w:rPr>
        <w:t>1.</w:t>
      </w:r>
    </w:p>
  </w:footnote>
  <w:footnote w:id="23">
    <w:p w14:paraId="1FE6EFBA" w14:textId="77777777" w:rsidR="007D5EE0" w:rsidRDefault="007D5EE0" w:rsidP="007D5EE0">
      <w:pPr>
        <w:pStyle w:val="FootnoteText"/>
        <w:spacing w:line="240" w:lineRule="auto"/>
      </w:pPr>
      <w:r>
        <w:rPr>
          <w:rStyle w:val="FootnoteReference"/>
        </w:rPr>
        <w:footnoteRef/>
      </w:r>
      <w:r>
        <w:t xml:space="preserve"> ACCC, 2021, </w:t>
      </w:r>
      <w:hyperlink r:id="rId15" w:history="1">
        <w:r w:rsidRPr="00FF777A">
          <w:rPr>
            <w:rStyle w:val="Hyperlink"/>
            <w:i/>
            <w:iCs/>
          </w:rPr>
          <w:t>Targeting scams 2020</w:t>
        </w:r>
      </w:hyperlink>
      <w:r>
        <w:t>, viewed 20 October 2021.</w:t>
      </w:r>
    </w:p>
  </w:footnote>
  <w:footnote w:id="24">
    <w:p w14:paraId="79878596" w14:textId="77777777" w:rsidR="007D5EE0" w:rsidRDefault="007D5EE0" w:rsidP="007D5EE0">
      <w:pPr>
        <w:pStyle w:val="FootnoteText"/>
        <w:spacing w:line="240" w:lineRule="auto"/>
      </w:pPr>
      <w:r>
        <w:rPr>
          <w:rStyle w:val="FootnoteReference"/>
        </w:rPr>
        <w:footnoteRef/>
      </w:r>
      <w:r>
        <w:t xml:space="preserve"> Government agencies included data received from </w:t>
      </w:r>
      <w:proofErr w:type="spellStart"/>
      <w:r w:rsidRPr="00DF09B9">
        <w:t>ReportCyber</w:t>
      </w:r>
      <w:proofErr w:type="spellEnd"/>
      <w:r w:rsidRPr="00DF09B9">
        <w:t xml:space="preserve">, the Australian Taxation Office, Services Australia, the Australian Securities and Investments </w:t>
      </w:r>
      <w:proofErr w:type="gramStart"/>
      <w:r w:rsidRPr="00DF09B9">
        <w:t>Commission ,</w:t>
      </w:r>
      <w:proofErr w:type="gramEnd"/>
      <w:r w:rsidRPr="00DF09B9">
        <w:t xml:space="preserve"> WA </w:t>
      </w:r>
      <w:proofErr w:type="spellStart"/>
      <w:r w:rsidRPr="00DF09B9">
        <w:t>ScamNet</w:t>
      </w:r>
      <w:proofErr w:type="spellEnd"/>
      <w:r w:rsidRPr="00DF09B9">
        <w:t xml:space="preserve"> and the ACMA</w:t>
      </w:r>
      <w:r>
        <w:t>.</w:t>
      </w:r>
    </w:p>
  </w:footnote>
  <w:footnote w:id="25">
    <w:p w14:paraId="5F1CD595" w14:textId="77777777" w:rsidR="007D5EE0" w:rsidRDefault="007D5EE0" w:rsidP="007D5EE0">
      <w:pPr>
        <w:pStyle w:val="FootnoteText"/>
        <w:spacing w:line="240" w:lineRule="auto"/>
      </w:pPr>
      <w:r>
        <w:rPr>
          <w:rStyle w:val="FootnoteReference"/>
        </w:rPr>
        <w:footnoteRef/>
      </w:r>
      <w:r>
        <w:t xml:space="preserve"> ACCC, 2021, </w:t>
      </w:r>
      <w:hyperlink r:id="rId16" w:history="1">
        <w:r w:rsidRPr="00FF777A">
          <w:rPr>
            <w:rStyle w:val="Hyperlink"/>
            <w:i/>
            <w:iCs/>
          </w:rPr>
          <w:t>Targeting scams 2020</w:t>
        </w:r>
      </w:hyperlink>
      <w:r>
        <w:t>, viewed 20 October 2021.</w:t>
      </w:r>
    </w:p>
  </w:footnote>
  <w:footnote w:id="26">
    <w:p w14:paraId="703AAC56" w14:textId="77777777" w:rsidR="007D5EE0" w:rsidRDefault="007D5EE0" w:rsidP="007D5EE0">
      <w:pPr>
        <w:pStyle w:val="FootnoteText"/>
        <w:spacing w:line="240" w:lineRule="auto"/>
      </w:pPr>
      <w:r>
        <w:rPr>
          <w:rStyle w:val="FootnoteReference"/>
        </w:rPr>
        <w:footnoteRef/>
      </w:r>
      <w:r>
        <w:t xml:space="preserve"> ibid.</w:t>
      </w:r>
    </w:p>
  </w:footnote>
  <w:footnote w:id="27">
    <w:p w14:paraId="15F25F13" w14:textId="77777777" w:rsidR="007D5EE0" w:rsidRDefault="007D5EE0" w:rsidP="007D5EE0">
      <w:pPr>
        <w:pStyle w:val="FootnoteText"/>
        <w:spacing w:line="240" w:lineRule="auto"/>
      </w:pPr>
      <w:r>
        <w:rPr>
          <w:rStyle w:val="FootnoteReference"/>
        </w:rPr>
        <w:footnoteRef/>
      </w:r>
      <w:r>
        <w:t xml:space="preserve"> ACCC </w:t>
      </w:r>
      <w:proofErr w:type="spellStart"/>
      <w:r>
        <w:t>Scamwatch</w:t>
      </w:r>
      <w:proofErr w:type="spellEnd"/>
      <w:r>
        <w:t xml:space="preserve"> media release, 2021, </w:t>
      </w:r>
      <w:hyperlink r:id="rId17" w:history="1">
        <w:r>
          <w:rPr>
            <w:rStyle w:val="Hyperlink"/>
            <w:i/>
            <w:iCs/>
          </w:rPr>
          <w:t xml:space="preserve">Losses reported to </w:t>
        </w:r>
        <w:proofErr w:type="spellStart"/>
        <w:r>
          <w:rPr>
            <w:rStyle w:val="Hyperlink"/>
            <w:i/>
            <w:iCs/>
          </w:rPr>
          <w:t>Scamwatch</w:t>
        </w:r>
        <w:proofErr w:type="spellEnd"/>
        <w:r>
          <w:rPr>
            <w:rStyle w:val="Hyperlink"/>
            <w:i/>
            <w:iCs/>
          </w:rPr>
          <w:t xml:space="preserve"> exceed $211 million, phone scams exploding</w:t>
        </w:r>
      </w:hyperlink>
      <w:r w:rsidRPr="00A34054">
        <w:rPr>
          <w:i/>
          <w:iCs/>
        </w:rPr>
        <w:t>,</w:t>
      </w:r>
      <w:r>
        <w:t xml:space="preserve"> viewed 18 October 2021.</w:t>
      </w:r>
    </w:p>
  </w:footnote>
  <w:footnote w:id="28">
    <w:p w14:paraId="0E360AE3" w14:textId="77777777" w:rsidR="007D5EE0" w:rsidRPr="00AA51EA" w:rsidRDefault="007D5EE0" w:rsidP="007D5EE0">
      <w:pPr>
        <w:pStyle w:val="Paragraph"/>
        <w:spacing w:after="0" w:line="240" w:lineRule="auto"/>
        <w:rPr>
          <w:rFonts w:cs="Times New Roman"/>
          <w:sz w:val="16"/>
          <w:szCs w:val="16"/>
        </w:rPr>
      </w:pPr>
      <w:r w:rsidRPr="00B04E13">
        <w:rPr>
          <w:rStyle w:val="FootnoteReference"/>
          <w:sz w:val="16"/>
          <w:szCs w:val="16"/>
        </w:rPr>
        <w:footnoteRef/>
      </w:r>
      <w:r w:rsidRPr="003A619B">
        <w:rPr>
          <w:rFonts w:cs="Times New Roman"/>
          <w:sz w:val="16"/>
          <w:szCs w:val="16"/>
        </w:rPr>
        <w:t>These losses came from 1</w:t>
      </w:r>
      <w:r>
        <w:rPr>
          <w:rFonts w:cs="Times New Roman"/>
          <w:sz w:val="16"/>
          <w:szCs w:val="16"/>
        </w:rPr>
        <w:t>,</w:t>
      </w:r>
      <w:r w:rsidRPr="003A619B">
        <w:rPr>
          <w:rFonts w:cs="Times New Roman"/>
          <w:sz w:val="16"/>
          <w:szCs w:val="16"/>
        </w:rPr>
        <w:t>012 reports across all methods</w:t>
      </w:r>
      <w:r>
        <w:rPr>
          <w:rFonts w:cs="Times New Roman"/>
          <w:sz w:val="16"/>
          <w:szCs w:val="16"/>
        </w:rPr>
        <w:t xml:space="preserve"> </w:t>
      </w:r>
      <w:r>
        <w:rPr>
          <w:sz w:val="16"/>
          <w:szCs w:val="16"/>
        </w:rPr>
        <w:t>–</w:t>
      </w:r>
      <w:r>
        <w:rPr>
          <w:rFonts w:cs="Times New Roman"/>
          <w:sz w:val="16"/>
          <w:szCs w:val="16"/>
        </w:rPr>
        <w:t xml:space="preserve"> </w:t>
      </w:r>
      <w:r w:rsidRPr="003A619B">
        <w:rPr>
          <w:rFonts w:cs="Times New Roman"/>
          <w:sz w:val="16"/>
          <w:szCs w:val="16"/>
        </w:rPr>
        <w:t>4.0% reports with financial losses</w:t>
      </w:r>
      <w:r>
        <w:rPr>
          <w:rFonts w:cs="Times New Roman"/>
          <w:sz w:val="16"/>
          <w:szCs w:val="16"/>
        </w:rPr>
        <w:t>,</w:t>
      </w:r>
      <w:r w:rsidRPr="003A619B">
        <w:rPr>
          <w:rFonts w:cs="Times New Roman"/>
          <w:sz w:val="16"/>
          <w:szCs w:val="16"/>
        </w:rPr>
        <w:t xml:space="preserve"> </w:t>
      </w:r>
      <w:r>
        <w:rPr>
          <w:rFonts w:cs="Times New Roman"/>
          <w:sz w:val="16"/>
          <w:szCs w:val="16"/>
        </w:rPr>
        <w:t>AC</w:t>
      </w:r>
      <w:r w:rsidRPr="003A619B">
        <w:rPr>
          <w:rFonts w:cs="Times New Roman"/>
          <w:sz w:val="16"/>
          <w:szCs w:val="16"/>
        </w:rPr>
        <w:t xml:space="preserve">CC </w:t>
      </w:r>
      <w:proofErr w:type="spellStart"/>
      <w:r w:rsidRPr="003A619B">
        <w:rPr>
          <w:rFonts w:cs="Times New Roman"/>
          <w:sz w:val="16"/>
          <w:szCs w:val="16"/>
        </w:rPr>
        <w:t>Scamwatch</w:t>
      </w:r>
      <w:proofErr w:type="spellEnd"/>
      <w:r w:rsidRPr="003A619B">
        <w:rPr>
          <w:rFonts w:cs="Times New Roman"/>
          <w:sz w:val="16"/>
          <w:szCs w:val="16"/>
        </w:rPr>
        <w:t xml:space="preserve"> online statistics 1 January to 30 September 2021, viewed 11 October 2021.</w:t>
      </w:r>
    </w:p>
  </w:footnote>
  <w:footnote w:id="29">
    <w:p w14:paraId="4A4C55AB" w14:textId="77777777" w:rsidR="007D5EE0" w:rsidRDefault="007D5EE0" w:rsidP="007D5EE0">
      <w:pPr>
        <w:pStyle w:val="FootnoteText"/>
        <w:spacing w:line="240" w:lineRule="auto"/>
      </w:pPr>
      <w:r>
        <w:rPr>
          <w:rStyle w:val="FootnoteReference"/>
        </w:rPr>
        <w:footnoteRef/>
      </w:r>
      <w:r>
        <w:t xml:space="preserve"> </w:t>
      </w:r>
      <w:bookmarkStart w:id="26" w:name="_Hlk98316342"/>
      <w:r>
        <w:t xml:space="preserve">ACCC </w:t>
      </w:r>
      <w:hyperlink r:id="rId18" w:history="1">
        <w:proofErr w:type="spellStart"/>
        <w:r w:rsidRPr="004419B4">
          <w:rPr>
            <w:rStyle w:val="Hyperlink"/>
          </w:rPr>
          <w:t>Scamwatch</w:t>
        </w:r>
        <w:proofErr w:type="spellEnd"/>
        <w:r w:rsidRPr="004419B4">
          <w:rPr>
            <w:rStyle w:val="Hyperlink"/>
          </w:rPr>
          <w:t xml:space="preserve"> Scam statistics</w:t>
        </w:r>
      </w:hyperlink>
      <w:r>
        <w:t>, viewed 24 October 2021.</w:t>
      </w:r>
      <w:bookmarkEnd w:id="26"/>
    </w:p>
  </w:footnote>
  <w:footnote w:id="30">
    <w:p w14:paraId="6D7F6B97" w14:textId="77777777" w:rsidR="007D5EE0" w:rsidRDefault="007D5EE0" w:rsidP="007D5EE0">
      <w:pPr>
        <w:pStyle w:val="FootnoteText"/>
        <w:spacing w:line="240" w:lineRule="auto"/>
      </w:pPr>
      <w:r>
        <w:rPr>
          <w:rStyle w:val="FootnoteReference"/>
        </w:rPr>
        <w:footnoteRef/>
      </w:r>
      <w:r>
        <w:t xml:space="preserve"> ACCC </w:t>
      </w:r>
      <w:proofErr w:type="spellStart"/>
      <w:r>
        <w:t>Scamwatch</w:t>
      </w:r>
      <w:proofErr w:type="spellEnd"/>
      <w:r>
        <w:t xml:space="preserve"> media release, 2021, </w:t>
      </w:r>
      <w:hyperlink r:id="rId19" w:history="1">
        <w:r>
          <w:rPr>
            <w:rStyle w:val="Hyperlink"/>
            <w:i/>
            <w:iCs/>
          </w:rPr>
          <w:t xml:space="preserve">Losses reported to </w:t>
        </w:r>
        <w:proofErr w:type="spellStart"/>
        <w:r>
          <w:rPr>
            <w:rStyle w:val="Hyperlink"/>
            <w:i/>
            <w:iCs/>
          </w:rPr>
          <w:t>Scamwatch</w:t>
        </w:r>
        <w:proofErr w:type="spellEnd"/>
        <w:r>
          <w:rPr>
            <w:rStyle w:val="Hyperlink"/>
            <w:i/>
            <w:iCs/>
          </w:rPr>
          <w:t xml:space="preserve"> exceed $211 million, phone scams exploding</w:t>
        </w:r>
      </w:hyperlink>
      <w:r w:rsidRPr="00A34054">
        <w:rPr>
          <w:i/>
          <w:iCs/>
        </w:rPr>
        <w:t>,</w:t>
      </w:r>
      <w:r>
        <w:t xml:space="preserve"> viewed 18 October 2021.</w:t>
      </w:r>
    </w:p>
  </w:footnote>
  <w:footnote w:id="31">
    <w:p w14:paraId="4C4F8454" w14:textId="77777777" w:rsidR="007D5EE0" w:rsidRDefault="007D5EE0" w:rsidP="007D5EE0">
      <w:pPr>
        <w:pStyle w:val="FootnoteText"/>
        <w:spacing w:line="240" w:lineRule="auto"/>
      </w:pPr>
      <w:r>
        <w:rPr>
          <w:rStyle w:val="FootnoteReference"/>
        </w:rPr>
        <w:footnoteRef/>
      </w:r>
      <w:r>
        <w:t xml:space="preserve"> ACCC </w:t>
      </w:r>
      <w:hyperlink r:id="rId20" w:history="1">
        <w:proofErr w:type="spellStart"/>
        <w:r w:rsidRPr="004419B4">
          <w:rPr>
            <w:rStyle w:val="Hyperlink"/>
          </w:rPr>
          <w:t>Scamwatch</w:t>
        </w:r>
        <w:proofErr w:type="spellEnd"/>
        <w:r w:rsidRPr="004419B4">
          <w:rPr>
            <w:rStyle w:val="Hyperlink"/>
          </w:rPr>
          <w:t xml:space="preserve"> </w:t>
        </w:r>
        <w:r>
          <w:rPr>
            <w:rStyle w:val="Hyperlink"/>
          </w:rPr>
          <w:t>s</w:t>
        </w:r>
        <w:r w:rsidRPr="004419B4">
          <w:rPr>
            <w:rStyle w:val="Hyperlink"/>
          </w:rPr>
          <w:t>cam statistics</w:t>
        </w:r>
      </w:hyperlink>
      <w:r>
        <w:t xml:space="preserve">, </w:t>
      </w:r>
      <w:r w:rsidRPr="008C1ACC">
        <w:rPr>
          <w:rStyle w:val="Hyperlink"/>
        </w:rPr>
        <w:t>viewed 26 October 2021.</w:t>
      </w:r>
    </w:p>
  </w:footnote>
  <w:footnote w:id="32">
    <w:p w14:paraId="219469C0" w14:textId="77777777" w:rsidR="007D5EE0" w:rsidRDefault="007D5EE0" w:rsidP="007D5EE0">
      <w:pPr>
        <w:pStyle w:val="FootnoteText"/>
        <w:spacing w:line="240" w:lineRule="auto"/>
      </w:pPr>
      <w:r>
        <w:rPr>
          <w:rStyle w:val="FootnoteReference"/>
        </w:rPr>
        <w:footnoteRef/>
      </w:r>
      <w:r>
        <w:t xml:space="preserve"> </w:t>
      </w:r>
      <w:r w:rsidRPr="00197F87">
        <w:t xml:space="preserve">Subscriber </w:t>
      </w:r>
      <w:r>
        <w:t>i</w:t>
      </w:r>
      <w:r w:rsidRPr="00197F87">
        <w:t xml:space="preserve">dentity </w:t>
      </w:r>
      <w:r>
        <w:t>m</w:t>
      </w:r>
      <w:r w:rsidRPr="00197F87">
        <w:t>odule (SIM) swaps can legitimately occur when a consumer has lost their phone or SIM or is transferring the number connected to a mobile service to a new device that requires a different size SIM. This does not involve a change of provider. Unauthorised SIM swap occurs when a customer’s number is transferred to a new SIM in a new device that is in the control of a scammer.</w:t>
      </w:r>
    </w:p>
  </w:footnote>
  <w:footnote w:id="33">
    <w:p w14:paraId="55A9BF6B" w14:textId="77777777" w:rsidR="007D5EE0" w:rsidRDefault="007D5EE0" w:rsidP="007D5EE0">
      <w:pPr>
        <w:pStyle w:val="FootnoteText"/>
        <w:spacing w:line="240" w:lineRule="auto"/>
      </w:pPr>
      <w:r>
        <w:rPr>
          <w:rStyle w:val="FootnoteReference"/>
        </w:rPr>
        <w:footnoteRef/>
      </w:r>
      <w:r>
        <w:t xml:space="preserve"> </w:t>
      </w:r>
      <w:r w:rsidRPr="00426E44">
        <w:t>Phishing is a way that cybercriminals steal confidential information, such as online banking logins, credit card details, business login credentials or passwords/passphrases, by sending fraudulent messages</w:t>
      </w:r>
      <w:r>
        <w:t xml:space="preserve"> </w:t>
      </w:r>
      <w:r w:rsidRPr="00426E44">
        <w:t>(sometimes called ‘lures’).</w:t>
      </w:r>
      <w:r>
        <w:t xml:space="preserve"> </w:t>
      </w:r>
      <w:r w:rsidRPr="00426E44">
        <w:t>These deceptive messages often pretend to be from a large organisation you trust to make the scam more believable. They can be sent via email, SMS, instant messaging, or social media platforms. They often contain a link to a fake website where you are encouraged to enter confidential details.</w:t>
      </w:r>
    </w:p>
  </w:footnote>
  <w:footnote w:id="34">
    <w:p w14:paraId="6C214F73" w14:textId="77777777" w:rsidR="007D5EE0" w:rsidRDefault="007D5EE0" w:rsidP="007D5EE0">
      <w:pPr>
        <w:pStyle w:val="FootnoteText"/>
        <w:spacing w:line="240" w:lineRule="auto"/>
      </w:pPr>
      <w:r>
        <w:rPr>
          <w:rStyle w:val="FootnoteReference"/>
        </w:rPr>
        <w:footnoteRef/>
      </w:r>
      <w:r>
        <w:t xml:space="preserve"> Communications Alliance Ltd (Communications Alliance) is Australia’s</w:t>
      </w:r>
      <w:r w:rsidRPr="00437E7B">
        <w:t xml:space="preserve"> </w:t>
      </w:r>
      <w:r>
        <w:t xml:space="preserve">peak communications </w:t>
      </w:r>
      <w:r w:rsidRPr="00437E7B">
        <w:t>industry</w:t>
      </w:r>
      <w:r>
        <w:t xml:space="preserve"> body</w:t>
      </w:r>
      <w:r w:rsidRPr="00437E7B">
        <w:t>. Membership is drawn from a cross-section of the communications industry, including service providers, vendors, consultants, and suppliers.</w:t>
      </w:r>
    </w:p>
  </w:footnote>
  <w:footnote w:id="35">
    <w:p w14:paraId="54F1D7FA" w14:textId="77777777" w:rsidR="007D5EE0" w:rsidRDefault="007D5EE0" w:rsidP="007D5EE0">
      <w:pPr>
        <w:spacing w:after="0" w:line="240" w:lineRule="auto"/>
      </w:pPr>
      <w:r w:rsidRPr="00C778D3">
        <w:rPr>
          <w:rStyle w:val="FootnoteReference"/>
          <w:sz w:val="16"/>
          <w:szCs w:val="16"/>
        </w:rPr>
        <w:footnoteRef/>
      </w:r>
      <w:r w:rsidRPr="00C778D3">
        <w:rPr>
          <w:sz w:val="16"/>
          <w:szCs w:val="16"/>
        </w:rPr>
        <w:t xml:space="preserve"> </w:t>
      </w:r>
      <w:r w:rsidRPr="00C816C3">
        <w:rPr>
          <w:rFonts w:ascii="Arial" w:hAnsi="Arial" w:cs="Arial"/>
          <w:sz w:val="16"/>
          <w:szCs w:val="16"/>
        </w:rPr>
        <w:t>Mobile number portability allows customers to change telecommunications providers without changing their mobile phone number. It is a fast and effective competition measure for mobile carriage service providers and their customers, Mobile porting fraud occurs where, upon request by a scammer, a customer’s number is ported from their current mobile carriage service provider to another in the control of the scammer, generally enabled by use of false or stolen identification.</w:t>
      </w:r>
    </w:p>
  </w:footnote>
  <w:footnote w:id="36">
    <w:p w14:paraId="5CF76C8F" w14:textId="77777777" w:rsidR="007D5EE0" w:rsidRDefault="007D5EE0" w:rsidP="007D5EE0">
      <w:pPr>
        <w:pStyle w:val="FootnoteText"/>
        <w:spacing w:line="240" w:lineRule="auto"/>
      </w:pPr>
      <w:r>
        <w:rPr>
          <w:rStyle w:val="FootnoteReference"/>
        </w:rPr>
        <w:footnoteRef/>
      </w:r>
      <w:r>
        <w:t xml:space="preserve"> Unpublished confidential data as reported to the ACMA from Australian C/CSPs.</w:t>
      </w:r>
    </w:p>
  </w:footnote>
  <w:footnote w:id="37">
    <w:p w14:paraId="1B0C8284" w14:textId="77777777" w:rsidR="007D5EE0" w:rsidRDefault="007D5EE0" w:rsidP="007D5EE0">
      <w:pPr>
        <w:pStyle w:val="FootnoteText"/>
        <w:spacing w:line="240" w:lineRule="auto"/>
      </w:pPr>
      <w:r>
        <w:rPr>
          <w:rStyle w:val="FootnoteReference"/>
        </w:rPr>
        <w:footnoteRef/>
      </w:r>
      <w:r>
        <w:t xml:space="preserve"> </w:t>
      </w:r>
      <w:r w:rsidRPr="004F1122">
        <w:t>Th</w:t>
      </w:r>
      <w:r>
        <w:t>e</w:t>
      </w:r>
      <w:r w:rsidRPr="004F1122">
        <w:t xml:space="preserve"> ACCC works with state and territory consumer protection agencies and other government agencies to promote awareness in the community about scams. </w:t>
      </w:r>
      <w:proofErr w:type="spellStart"/>
      <w:r w:rsidRPr="004F1122">
        <w:t>Scamwatch</w:t>
      </w:r>
      <w:proofErr w:type="spellEnd"/>
      <w:r w:rsidRPr="004F1122">
        <w:t xml:space="preserve"> is run by the ACCC</w:t>
      </w:r>
      <w:r>
        <w:t xml:space="preserve"> and</w:t>
      </w:r>
      <w:r w:rsidRPr="004F1122">
        <w:t xml:space="preserve"> provides information to consumers and small businesses about how to recognise, avoid and report scams.</w:t>
      </w:r>
    </w:p>
  </w:footnote>
  <w:footnote w:id="38">
    <w:p w14:paraId="49F7D041" w14:textId="77777777" w:rsidR="007D5EE0" w:rsidRDefault="007D5EE0" w:rsidP="007D5EE0">
      <w:pPr>
        <w:pStyle w:val="FootnoteText"/>
        <w:spacing w:line="240" w:lineRule="auto"/>
      </w:pPr>
      <w:r>
        <w:rPr>
          <w:rStyle w:val="FootnoteReference"/>
        </w:rPr>
        <w:footnoteRef/>
      </w:r>
      <w:r>
        <w:t xml:space="preserve"> ACCC, 2021, </w:t>
      </w:r>
      <w:hyperlink r:id="rId21" w:history="1">
        <w:r>
          <w:rPr>
            <w:rStyle w:val="Hyperlink"/>
            <w:i/>
            <w:iCs/>
          </w:rPr>
          <w:t>Targeting scams</w:t>
        </w:r>
      </w:hyperlink>
      <w:r w:rsidRPr="00B93D2F">
        <w:rPr>
          <w:i/>
          <w:iCs/>
        </w:rPr>
        <w:t xml:space="preserve"> 2020</w:t>
      </w:r>
      <w:r>
        <w:t>, viewed 11 October 2021.</w:t>
      </w:r>
    </w:p>
  </w:footnote>
  <w:footnote w:id="39">
    <w:p w14:paraId="42FD2056" w14:textId="77777777" w:rsidR="007D5EE0" w:rsidRDefault="007D5EE0" w:rsidP="007D5EE0">
      <w:pPr>
        <w:pStyle w:val="FootnoteText"/>
        <w:spacing w:line="240" w:lineRule="auto"/>
      </w:pPr>
      <w:r w:rsidRPr="001041FE">
        <w:rPr>
          <w:rStyle w:val="FootnoteReference"/>
        </w:rPr>
        <w:footnoteRef/>
      </w:r>
      <w:r>
        <w:t xml:space="preserve"> </w:t>
      </w:r>
      <w:proofErr w:type="spellStart"/>
      <w:r>
        <w:t>eSim</w:t>
      </w:r>
      <w:proofErr w:type="spellEnd"/>
      <w:r>
        <w:t xml:space="preserve">: </w:t>
      </w:r>
      <w:r w:rsidRPr="00DD2E44">
        <w:t>An embedded-SIM, or embedded universal integrated circuit card, is a form of programmable SIM that is embedded directly into a device</w:t>
      </w:r>
      <w:r>
        <w:t>.</w:t>
      </w:r>
    </w:p>
  </w:footnote>
  <w:footnote w:id="40">
    <w:p w14:paraId="03CE4B1A" w14:textId="77777777" w:rsidR="007D5EE0" w:rsidRPr="001041FE" w:rsidRDefault="007D5EE0" w:rsidP="007D5EE0">
      <w:pPr>
        <w:pStyle w:val="NormalWeb"/>
        <w:spacing w:after="0" w:line="240" w:lineRule="auto"/>
        <w:rPr>
          <w:rFonts w:ascii="Arial" w:hAnsi="Arial"/>
          <w:sz w:val="16"/>
          <w:szCs w:val="16"/>
        </w:rPr>
      </w:pPr>
      <w:r w:rsidRPr="00444902">
        <w:rPr>
          <w:rStyle w:val="FootnoteReference"/>
          <w:sz w:val="16"/>
          <w:szCs w:val="16"/>
        </w:rPr>
        <w:footnoteRef/>
      </w:r>
      <w:r w:rsidRPr="001041FE">
        <w:rPr>
          <w:rFonts w:ascii="Arial" w:hAnsi="Arial"/>
          <w:color w:val="000000" w:themeColor="text1"/>
          <w:sz w:val="16"/>
          <w:szCs w:val="16"/>
        </w:rPr>
        <w:t>ACSC 2021</w:t>
      </w:r>
      <w:r>
        <w:rPr>
          <w:rFonts w:ascii="Arial" w:hAnsi="Arial"/>
          <w:color w:val="000000" w:themeColor="text1"/>
          <w:sz w:val="16"/>
          <w:szCs w:val="16"/>
        </w:rPr>
        <w:t xml:space="preserve">, </w:t>
      </w:r>
      <w:hyperlink r:id="rId22" w:history="1">
        <w:r w:rsidRPr="0061077D">
          <w:rPr>
            <w:rStyle w:val="Hyperlink"/>
            <w:rFonts w:ascii="Arial" w:hAnsi="Arial"/>
            <w:i/>
            <w:iCs/>
            <w:sz w:val="16"/>
            <w:szCs w:val="16"/>
          </w:rPr>
          <w:t>ACSC - Small and medium businesses</w:t>
        </w:r>
      </w:hyperlink>
      <w:r>
        <w:rPr>
          <w:rFonts w:ascii="Arial" w:hAnsi="Arial"/>
          <w:color w:val="000000" w:themeColor="text1"/>
          <w:sz w:val="16"/>
          <w:szCs w:val="16"/>
        </w:rPr>
        <w:t xml:space="preserve">, viewed </w:t>
      </w:r>
      <w:r w:rsidRPr="001041FE">
        <w:rPr>
          <w:rFonts w:ascii="Arial" w:hAnsi="Arial"/>
          <w:sz w:val="16"/>
          <w:szCs w:val="16"/>
        </w:rPr>
        <w:t>22 October 2021.</w:t>
      </w:r>
    </w:p>
  </w:footnote>
  <w:footnote w:id="41">
    <w:p w14:paraId="1C23DF57" w14:textId="77777777" w:rsidR="007D5EE0" w:rsidRDefault="007D5EE0" w:rsidP="007D5EE0">
      <w:pPr>
        <w:pStyle w:val="FootnoteText"/>
        <w:spacing w:line="240" w:lineRule="auto"/>
      </w:pPr>
      <w:r>
        <w:rPr>
          <w:rStyle w:val="FootnoteReference"/>
        </w:rPr>
        <w:footnoteRef/>
      </w:r>
      <w:r>
        <w:t xml:space="preserve"> Unpublished </w:t>
      </w:r>
      <w:r>
        <w:rPr>
          <w:rFonts w:cs="Arial"/>
          <w:color w:val="000000" w:themeColor="text1"/>
          <w:szCs w:val="20"/>
        </w:rPr>
        <w:t>ACMA analysis indicates that b</w:t>
      </w:r>
      <w:r>
        <w:t xml:space="preserve">etween </w:t>
      </w:r>
      <w:r w:rsidRPr="00F833E9">
        <w:rPr>
          <w:rFonts w:cs="Arial"/>
          <w:lang w:val="en"/>
        </w:rPr>
        <w:t xml:space="preserve">January and May </w:t>
      </w:r>
      <w:r>
        <w:rPr>
          <w:rFonts w:cs="Arial"/>
          <w:lang w:val="en"/>
        </w:rPr>
        <w:t xml:space="preserve">2021, more than 80% of mobile number fraud resulted from </w:t>
      </w:r>
      <w:proofErr w:type="spellStart"/>
      <w:r>
        <w:rPr>
          <w:rFonts w:cs="Arial"/>
          <w:lang w:val="en"/>
        </w:rPr>
        <w:t>unauthorised</w:t>
      </w:r>
      <w:proofErr w:type="spellEnd"/>
      <w:r>
        <w:rPr>
          <w:rFonts w:cs="Arial"/>
          <w:lang w:val="en"/>
        </w:rPr>
        <w:t xml:space="preserve"> SIM swap.</w:t>
      </w:r>
    </w:p>
  </w:footnote>
  <w:footnote w:id="42">
    <w:p w14:paraId="273BDD9B" w14:textId="77777777" w:rsidR="007D5EE0" w:rsidRDefault="007D5EE0" w:rsidP="007D5EE0">
      <w:pPr>
        <w:pStyle w:val="FootnoteText"/>
        <w:spacing w:line="240" w:lineRule="auto"/>
      </w:pPr>
      <w:r>
        <w:rPr>
          <w:rStyle w:val="FootnoteReference"/>
        </w:rPr>
        <w:footnoteRef/>
      </w:r>
      <w:r>
        <w:t xml:space="preserve"> ACCC </w:t>
      </w:r>
      <w:proofErr w:type="spellStart"/>
      <w:r>
        <w:t>Scamwatch</w:t>
      </w:r>
      <w:proofErr w:type="spellEnd"/>
      <w:r>
        <w:t xml:space="preserve">, 2021, </w:t>
      </w:r>
      <w:hyperlink r:id="rId23" w:history="1">
        <w:r w:rsidRPr="0095346D">
          <w:rPr>
            <w:rStyle w:val="Hyperlink"/>
            <w:i/>
            <w:iCs/>
          </w:rPr>
          <w:t>Targeting scams 2020</w:t>
        </w:r>
        <w:r w:rsidRPr="0095346D">
          <w:rPr>
            <w:rStyle w:val="Hyperlink"/>
          </w:rPr>
          <w:t>,</w:t>
        </w:r>
      </w:hyperlink>
      <w:r>
        <w:t xml:space="preserve"> viewed 20 October 2021.</w:t>
      </w:r>
    </w:p>
  </w:footnote>
  <w:footnote w:id="43">
    <w:p w14:paraId="3EB14459" w14:textId="77777777" w:rsidR="007D5EE0" w:rsidRPr="00667AFD" w:rsidRDefault="007D5EE0" w:rsidP="007D5EE0">
      <w:pPr>
        <w:spacing w:after="0" w:line="240" w:lineRule="auto"/>
        <w:ind w:left="3"/>
        <w:rPr>
          <w:sz w:val="16"/>
          <w:szCs w:val="16"/>
        </w:rPr>
      </w:pPr>
      <w:r w:rsidRPr="00901DA7">
        <w:rPr>
          <w:rStyle w:val="FootnoteReference"/>
          <w:sz w:val="16"/>
          <w:szCs w:val="16"/>
        </w:rPr>
        <w:footnoteRef/>
      </w:r>
      <w:r>
        <w:t xml:space="preserve"> </w:t>
      </w:r>
      <w:r w:rsidRPr="0029162C">
        <w:rPr>
          <w:rFonts w:ascii="Arial" w:hAnsi="Arial" w:cs="Arial"/>
          <w:sz w:val="16"/>
          <w:szCs w:val="16"/>
        </w:rPr>
        <w:t>ACMA analysed</w:t>
      </w:r>
      <w:r w:rsidRPr="0029162C">
        <w:rPr>
          <w:rFonts w:ascii="Arial" w:hAnsi="Arial" w:cs="Arial"/>
        </w:rPr>
        <w:t xml:space="preserve"> </w:t>
      </w:r>
      <w:r w:rsidRPr="0029162C">
        <w:rPr>
          <w:rFonts w:ascii="Arial" w:hAnsi="Arial" w:cs="Arial"/>
          <w:sz w:val="16"/>
          <w:szCs w:val="16"/>
        </w:rPr>
        <w:t>several datasets from specific entities, agencies and bodies that rely on consumer reports. The dataset may overlap or be captured in different ways (including the period involved) by the bodies that collect it, e.g., some financial entities combining porting fraud and SIM swap fraud into the same category.</w:t>
      </w:r>
    </w:p>
  </w:footnote>
  <w:footnote w:id="44">
    <w:p w14:paraId="3197D749" w14:textId="77777777" w:rsidR="007D5EE0" w:rsidRDefault="007D5EE0" w:rsidP="007D5EE0">
      <w:pPr>
        <w:pStyle w:val="FootnoteText"/>
      </w:pPr>
      <w:r>
        <w:rPr>
          <w:rStyle w:val="FootnoteReference"/>
        </w:rPr>
        <w:footnoteRef/>
      </w:r>
      <w:r>
        <w:t xml:space="preserve"> TCF, 2021, </w:t>
      </w:r>
      <w:hyperlink r:id="rId24" w:history="1">
        <w:r w:rsidRPr="00457732">
          <w:rPr>
            <w:rStyle w:val="Hyperlink"/>
            <w:i/>
            <w:iCs/>
          </w:rPr>
          <w:t>Mobile phone providers introduce new security measures to prevent Number Porting fraud</w:t>
        </w:r>
      </w:hyperlink>
      <w:r w:rsidRPr="00457732">
        <w:rPr>
          <w:i/>
          <w:iCs/>
        </w:rPr>
        <w:t>,</w:t>
      </w:r>
      <w:r>
        <w:t xml:space="preserve"> viewed 5 November 2021.</w:t>
      </w:r>
    </w:p>
  </w:footnote>
  <w:footnote w:id="45">
    <w:p w14:paraId="292AD3E7" w14:textId="77777777" w:rsidR="007D5EE0" w:rsidRDefault="007D5EE0" w:rsidP="007D5EE0">
      <w:pPr>
        <w:pStyle w:val="FootnoteText"/>
        <w:spacing w:line="240" w:lineRule="auto"/>
      </w:pPr>
      <w:r>
        <w:rPr>
          <w:rStyle w:val="FootnoteReference"/>
        </w:rPr>
        <w:footnoteRef/>
      </w:r>
      <w:r>
        <w:t xml:space="preserve"> ibid.</w:t>
      </w:r>
    </w:p>
  </w:footnote>
  <w:footnote w:id="46">
    <w:p w14:paraId="6B100A39" w14:textId="77777777" w:rsidR="007D5EE0" w:rsidRDefault="007D5EE0" w:rsidP="007D5EE0">
      <w:pPr>
        <w:pStyle w:val="FootnoteText"/>
        <w:spacing w:line="240" w:lineRule="auto"/>
      </w:pPr>
      <w:r>
        <w:rPr>
          <w:rStyle w:val="FootnoteReference"/>
        </w:rPr>
        <w:footnoteRef/>
      </w:r>
      <w:r>
        <w:t xml:space="preserve"> ibid.</w:t>
      </w:r>
    </w:p>
  </w:footnote>
  <w:footnote w:id="47">
    <w:p w14:paraId="61652D95" w14:textId="77777777" w:rsidR="007D5EE0" w:rsidRDefault="007D5EE0" w:rsidP="007D5EE0">
      <w:pPr>
        <w:pStyle w:val="FootnoteText"/>
        <w:spacing w:line="240" w:lineRule="auto"/>
      </w:pPr>
      <w:r>
        <w:rPr>
          <w:rStyle w:val="FootnoteReference"/>
        </w:rPr>
        <w:footnoteRef/>
      </w:r>
      <w:r>
        <w:t xml:space="preserve"> </w:t>
      </w:r>
      <w:proofErr w:type="spellStart"/>
      <w:r>
        <w:t>Ofcom</w:t>
      </w:r>
      <w:proofErr w:type="spellEnd"/>
      <w:r>
        <w:t xml:space="preserve">, 2021, </w:t>
      </w:r>
      <w:hyperlink r:id="rId25" w:history="1">
        <w:proofErr w:type="spellStart"/>
        <w:r>
          <w:rPr>
            <w:rStyle w:val="Hyperlink"/>
          </w:rPr>
          <w:t>Ofcom</w:t>
        </w:r>
        <w:proofErr w:type="spellEnd"/>
        <w:r>
          <w:rPr>
            <w:rStyle w:val="Hyperlink"/>
          </w:rPr>
          <w:t xml:space="preserve"> website</w:t>
        </w:r>
      </w:hyperlink>
      <w:r>
        <w:t>, viewed 5 November 2021.</w:t>
      </w:r>
    </w:p>
  </w:footnote>
  <w:footnote w:id="48">
    <w:p w14:paraId="01929728" w14:textId="77777777" w:rsidR="007D5EE0" w:rsidRDefault="007D5EE0" w:rsidP="007D5EE0">
      <w:pPr>
        <w:pStyle w:val="FootnoteText"/>
        <w:spacing w:line="240" w:lineRule="auto"/>
      </w:pPr>
      <w:r>
        <w:rPr>
          <w:rStyle w:val="FootnoteReference"/>
        </w:rPr>
        <w:footnoteRef/>
      </w:r>
      <w:r>
        <w:t xml:space="preserve"> </w:t>
      </w:r>
      <w:r w:rsidRPr="007F7291">
        <w:t xml:space="preserve">The provider replies by text within a minute and sends a switching code, called a ‘PAC’, which will be valid for 30 days. Their reply must also include important information – such as any charges that </w:t>
      </w:r>
      <w:proofErr w:type="gramStart"/>
      <w:r w:rsidRPr="007F7291">
        <w:t>have to</w:t>
      </w:r>
      <w:proofErr w:type="gramEnd"/>
      <w:r w:rsidRPr="007F7291">
        <w:t xml:space="preserve"> be paid if leaving a contract early</w:t>
      </w:r>
      <w:r>
        <w:t>,</w:t>
      </w:r>
      <w:r w:rsidRPr="007F7291">
        <w:t xml:space="preserve"> or any credit balance if a </w:t>
      </w:r>
      <w:r>
        <w:t>pre-paid</w:t>
      </w:r>
      <w:r w:rsidRPr="007F7291">
        <w:t xml:space="preserve"> customer.</w:t>
      </w:r>
      <w:r w:rsidRPr="007F7291">
        <w:rPr>
          <w:rFonts w:ascii="Titillium Web" w:hAnsi="Titillium Web"/>
          <w:color w:val="333333"/>
          <w:sz w:val="20"/>
          <w:szCs w:val="24"/>
        </w:rPr>
        <w:t xml:space="preserve"> </w:t>
      </w:r>
      <w:r>
        <w:t>T</w:t>
      </w:r>
      <w:r w:rsidRPr="007F7291">
        <w:t xml:space="preserve">he PAC </w:t>
      </w:r>
      <w:r>
        <w:t>is provided to the new</w:t>
      </w:r>
      <w:r w:rsidRPr="007F7291">
        <w:t xml:space="preserve"> provider</w:t>
      </w:r>
      <w:r>
        <w:t xml:space="preserve">, </w:t>
      </w:r>
      <w:r>
        <w:rPr>
          <w:rFonts w:cs="Arial"/>
        </w:rPr>
        <w:t xml:space="preserve">who </w:t>
      </w:r>
      <w:r w:rsidRPr="007F7291">
        <w:t xml:space="preserve">must arrange for the switch to be completed within </w:t>
      </w:r>
      <w:r>
        <w:t>one</w:t>
      </w:r>
      <w:r w:rsidRPr="007F7291">
        <w:t xml:space="preserve"> working day.</w:t>
      </w:r>
    </w:p>
  </w:footnote>
  <w:footnote w:id="49">
    <w:p w14:paraId="6FBD8DD4" w14:textId="77777777" w:rsidR="007D5EE0" w:rsidRDefault="007D5EE0" w:rsidP="007D5EE0">
      <w:pPr>
        <w:pStyle w:val="FootnoteText"/>
        <w:spacing w:line="240" w:lineRule="auto"/>
      </w:pPr>
      <w:r>
        <w:rPr>
          <w:rStyle w:val="FootnoteReference"/>
        </w:rPr>
        <w:footnoteRef/>
      </w:r>
      <w:r>
        <w:t xml:space="preserve"> Which?, 2020, </w:t>
      </w:r>
      <w:hyperlink r:id="rId26" w:history="1">
        <w:r w:rsidRPr="001B72DE">
          <w:rPr>
            <w:rStyle w:val="Hyperlink"/>
            <w:i/>
            <w:iCs/>
          </w:rPr>
          <w:t>SIM swap fraud - How criminals hijack your number to get into your bank accounts</w:t>
        </w:r>
      </w:hyperlink>
      <w:r>
        <w:rPr>
          <w:i/>
          <w:iCs/>
        </w:rPr>
        <w:t>,</w:t>
      </w:r>
      <w:r>
        <w:t xml:space="preserve"> viewed 3 November 2021.</w:t>
      </w:r>
    </w:p>
  </w:footnote>
  <w:footnote w:id="50">
    <w:p w14:paraId="55F6F5FA" w14:textId="77777777" w:rsidR="007D5EE0" w:rsidRDefault="007D5EE0" w:rsidP="007D5EE0">
      <w:pPr>
        <w:pStyle w:val="FootnoteText"/>
        <w:spacing w:line="240" w:lineRule="auto"/>
      </w:pPr>
      <w:r>
        <w:rPr>
          <w:rStyle w:val="FootnoteReference"/>
        </w:rPr>
        <w:footnoteRef/>
      </w:r>
      <w:r>
        <w:t xml:space="preserve"> ibid.</w:t>
      </w:r>
    </w:p>
  </w:footnote>
  <w:footnote w:id="51">
    <w:p w14:paraId="7E4755DA" w14:textId="77777777" w:rsidR="007D5EE0" w:rsidRPr="00A0200A" w:rsidRDefault="007D5EE0" w:rsidP="007D5EE0">
      <w:pPr>
        <w:pStyle w:val="FootnoteText"/>
        <w:spacing w:line="240" w:lineRule="auto"/>
      </w:pPr>
      <w:r>
        <w:rPr>
          <w:rStyle w:val="FootnoteReference"/>
        </w:rPr>
        <w:footnoteRef/>
      </w:r>
      <w:r>
        <w:t xml:space="preserve"> </w:t>
      </w:r>
      <w:proofErr w:type="spellStart"/>
      <w:r>
        <w:t>Ofcom</w:t>
      </w:r>
      <w:proofErr w:type="spellEnd"/>
      <w:r>
        <w:t xml:space="preserve">, 2021, </w:t>
      </w:r>
      <w:hyperlink r:id="rId27" w:history="1">
        <w:r w:rsidRPr="00A0200A">
          <w:rPr>
            <w:rStyle w:val="Hyperlink"/>
            <w:i/>
            <w:iCs/>
          </w:rPr>
          <w:t>45 million people targeted by scam calls and texts this summer</w:t>
        </w:r>
      </w:hyperlink>
      <w:r>
        <w:t>, viewed 4 November 2021.</w:t>
      </w:r>
    </w:p>
  </w:footnote>
  <w:footnote w:id="52">
    <w:p w14:paraId="11B58AD4" w14:textId="77777777" w:rsidR="007D5EE0" w:rsidRDefault="007D5EE0" w:rsidP="007D5EE0">
      <w:pPr>
        <w:pStyle w:val="FootnoteText"/>
        <w:spacing w:line="240" w:lineRule="auto"/>
      </w:pPr>
      <w:r>
        <w:rPr>
          <w:rStyle w:val="FootnoteReference"/>
        </w:rPr>
        <w:footnoteRef/>
      </w:r>
      <w:r>
        <w:t xml:space="preserve"> ibid.</w:t>
      </w:r>
    </w:p>
  </w:footnote>
  <w:footnote w:id="53">
    <w:p w14:paraId="7C9B9997" w14:textId="77777777" w:rsidR="007D5EE0" w:rsidRDefault="007D5EE0" w:rsidP="007D5EE0">
      <w:pPr>
        <w:pStyle w:val="FootnoteText"/>
        <w:spacing w:line="240" w:lineRule="auto"/>
      </w:pPr>
      <w:r>
        <w:rPr>
          <w:rStyle w:val="FootnoteReference"/>
        </w:rPr>
        <w:footnoteRef/>
      </w:r>
      <w:r>
        <w:t xml:space="preserve"> ibid.</w:t>
      </w:r>
    </w:p>
  </w:footnote>
  <w:footnote w:id="54">
    <w:p w14:paraId="786026FE" w14:textId="77777777" w:rsidR="007D5EE0" w:rsidRDefault="007D5EE0" w:rsidP="007D5EE0">
      <w:pPr>
        <w:pStyle w:val="FootnoteText"/>
        <w:spacing w:line="240" w:lineRule="auto"/>
      </w:pPr>
      <w:r>
        <w:rPr>
          <w:rStyle w:val="FootnoteReference"/>
        </w:rPr>
        <w:footnoteRef/>
      </w:r>
      <w:r>
        <w:t xml:space="preserve"> FBI, 2019, </w:t>
      </w:r>
      <w:hyperlink r:id="rId28" w:history="1">
        <w:r w:rsidRPr="00FB786F">
          <w:rPr>
            <w:rStyle w:val="Hyperlink"/>
            <w:i/>
            <w:iCs/>
          </w:rPr>
          <w:t>FBI San Francisco Warns the Public of the Dangers of SIM Swapping</w:t>
        </w:r>
      </w:hyperlink>
      <w:r>
        <w:rPr>
          <w:i/>
          <w:iCs/>
        </w:rPr>
        <w:t>,</w:t>
      </w:r>
      <w:r>
        <w:t xml:space="preserve"> viewed </w:t>
      </w:r>
      <w:r>
        <w:br/>
        <w:t>3 November 2021.</w:t>
      </w:r>
    </w:p>
  </w:footnote>
  <w:footnote w:id="55">
    <w:p w14:paraId="1BC4E945" w14:textId="77777777" w:rsidR="007D5EE0" w:rsidRDefault="007D5EE0" w:rsidP="007D5EE0">
      <w:pPr>
        <w:pStyle w:val="FootnoteText"/>
        <w:spacing w:line="240" w:lineRule="auto"/>
      </w:pPr>
      <w:r>
        <w:rPr>
          <w:rStyle w:val="FootnoteReference"/>
        </w:rPr>
        <w:footnoteRef/>
      </w:r>
      <w:r>
        <w:t xml:space="preserve"> FCC, 2021, </w:t>
      </w:r>
      <w:hyperlink r:id="rId29" w:history="1">
        <w:r w:rsidRPr="00611908">
          <w:rPr>
            <w:rStyle w:val="Hyperlink"/>
            <w:i/>
            <w:iCs/>
          </w:rPr>
          <w:t>FCC Proposes Rules to Prevent SIM Swapping and Port-Out Fraud,</w:t>
        </w:r>
      </w:hyperlink>
      <w:r>
        <w:t xml:space="preserve"> viewed </w:t>
      </w:r>
      <w:r>
        <w:br/>
        <w:t>3 November 2021.</w:t>
      </w:r>
    </w:p>
  </w:footnote>
  <w:footnote w:id="56">
    <w:p w14:paraId="6C35AD71" w14:textId="77777777" w:rsidR="007D5EE0" w:rsidRDefault="007D5EE0" w:rsidP="007D5EE0">
      <w:pPr>
        <w:pStyle w:val="FootnoteText"/>
        <w:spacing w:line="240" w:lineRule="auto"/>
      </w:pPr>
      <w:r>
        <w:rPr>
          <w:rStyle w:val="FootnoteReference"/>
        </w:rPr>
        <w:footnoteRef/>
      </w:r>
      <w:r>
        <w:t xml:space="preserve"> ibid</w:t>
      </w:r>
      <w:r w:rsidRPr="00D7218F">
        <w:t>.</w:t>
      </w:r>
    </w:p>
  </w:footnote>
  <w:footnote w:id="57">
    <w:p w14:paraId="624BBCCA" w14:textId="77777777" w:rsidR="007D5EE0" w:rsidRPr="0030718D" w:rsidRDefault="007D5EE0" w:rsidP="007D5EE0">
      <w:pPr>
        <w:pStyle w:val="FootnoteText"/>
        <w:spacing w:line="240" w:lineRule="auto"/>
        <w:rPr>
          <w:rFonts w:cs="Arial"/>
        </w:rPr>
      </w:pPr>
      <w:r w:rsidRPr="00AD5C0A">
        <w:rPr>
          <w:rStyle w:val="FootnoteReference"/>
          <w:rFonts w:cs="Arial"/>
        </w:rPr>
        <w:footnoteRef/>
      </w:r>
      <w:r w:rsidRPr="00AD5C0A">
        <w:rPr>
          <w:rFonts w:cs="Arial"/>
        </w:rPr>
        <w:t xml:space="preserve"> The ACMA Scam Technology Project explored solutions to ad</w:t>
      </w:r>
      <w:r w:rsidRPr="00F43A63">
        <w:rPr>
          <w:rFonts w:cs="Arial"/>
        </w:rPr>
        <w:t xml:space="preserve">dress scam calls on Australian telecommunications networks and looked at what can be done to disrupt scam activity. </w:t>
      </w:r>
      <w:r w:rsidRPr="00F43A63">
        <w:rPr>
          <w:rFonts w:cs="Arial"/>
          <w:i/>
          <w:iCs/>
        </w:rPr>
        <w:t>Combating scams</w:t>
      </w:r>
      <w:r>
        <w:rPr>
          <w:rFonts w:cs="Arial"/>
          <w:i/>
          <w:iCs/>
        </w:rPr>
        <w:t xml:space="preserve">: </w:t>
      </w:r>
      <w:r w:rsidRPr="00F43A63">
        <w:rPr>
          <w:rFonts w:cs="Arial"/>
          <w:i/>
          <w:iCs/>
        </w:rPr>
        <w:t>A discussion paper on technological solutions</w:t>
      </w:r>
      <w:r w:rsidRPr="00F43A63">
        <w:rPr>
          <w:rFonts w:cs="Arial"/>
        </w:rPr>
        <w:t xml:space="preserve"> </w:t>
      </w:r>
      <w:r>
        <w:rPr>
          <w:rFonts w:cs="Arial"/>
        </w:rPr>
        <w:t xml:space="preserve">was released in </w:t>
      </w:r>
      <w:r w:rsidRPr="00F43A63">
        <w:rPr>
          <w:rFonts w:cs="Arial"/>
        </w:rPr>
        <w:t>March 2019.</w:t>
      </w:r>
      <w:r>
        <w:rPr>
          <w:rFonts w:cs="Arial"/>
        </w:rPr>
        <w:t xml:space="preserve"> Following consultation, t</w:t>
      </w:r>
      <w:r w:rsidRPr="00F43A63">
        <w:rPr>
          <w:rFonts w:cs="Arial"/>
        </w:rPr>
        <w:t>he ACMA worked with the ACCC and the ACSC and experts from industry, government and overseas regulators to</w:t>
      </w:r>
      <w:r>
        <w:rPr>
          <w:rFonts w:cs="Arial"/>
        </w:rPr>
        <w:t xml:space="preserve"> </w:t>
      </w:r>
      <w:r w:rsidRPr="00F43A63">
        <w:rPr>
          <w:rFonts w:cs="Arial"/>
        </w:rPr>
        <w:t xml:space="preserve">develop </w:t>
      </w:r>
      <w:r>
        <w:rPr>
          <w:rFonts w:cs="Arial"/>
        </w:rPr>
        <w:t>the</w:t>
      </w:r>
      <w:r w:rsidRPr="00F43A63">
        <w:rPr>
          <w:rFonts w:cs="Arial"/>
        </w:rPr>
        <w:t xml:space="preserve"> </w:t>
      </w:r>
      <w:r>
        <w:rPr>
          <w:rFonts w:cs="Arial"/>
        </w:rPr>
        <w:t>3</w:t>
      </w:r>
      <w:r w:rsidRPr="00F43A63">
        <w:rPr>
          <w:rFonts w:cs="Arial"/>
        </w:rPr>
        <w:t>-point</w:t>
      </w:r>
      <w:r>
        <w:rPr>
          <w:rFonts w:cs="Arial"/>
        </w:rPr>
        <w:t xml:space="preserve"> </w:t>
      </w:r>
      <w:hyperlink r:id="rId30" w:history="1">
        <w:r w:rsidRPr="006C27FB">
          <w:rPr>
            <w:rStyle w:val="Hyperlink"/>
            <w:i/>
            <w:iCs/>
          </w:rPr>
          <w:t>Combating scams action plan</w:t>
        </w:r>
      </w:hyperlink>
      <w:r w:rsidRPr="00576CE9">
        <w:rPr>
          <w:rFonts w:cs="Arial"/>
          <w:i/>
          <w:iCs/>
        </w:rPr>
        <w:t>.</w:t>
      </w:r>
      <w:r w:rsidRPr="0030718D">
        <w:rPr>
          <w:sz w:val="20"/>
          <w:szCs w:val="24"/>
        </w:rPr>
        <w:t xml:space="preserve"> </w:t>
      </w:r>
      <w:r w:rsidRPr="00C34BD6">
        <w:rPr>
          <w:rFonts w:cs="Arial"/>
        </w:rPr>
        <w:t xml:space="preserve">The plan’s </w:t>
      </w:r>
      <w:r>
        <w:rPr>
          <w:rFonts w:cs="Arial"/>
        </w:rPr>
        <w:t>3</w:t>
      </w:r>
      <w:r w:rsidRPr="00C34BD6">
        <w:rPr>
          <w:rFonts w:cs="Arial"/>
        </w:rPr>
        <w:t xml:space="preserve"> key actions have been acquitted.</w:t>
      </w:r>
    </w:p>
  </w:footnote>
  <w:footnote w:id="58">
    <w:p w14:paraId="0E966B3A" w14:textId="77777777" w:rsidR="007D5EE0" w:rsidRDefault="007D5EE0" w:rsidP="007D5EE0">
      <w:pPr>
        <w:pStyle w:val="FootnoteText"/>
        <w:spacing w:line="240" w:lineRule="auto"/>
      </w:pPr>
      <w:r>
        <w:rPr>
          <w:rStyle w:val="FootnoteReference"/>
        </w:rPr>
        <w:footnoteRef/>
      </w:r>
      <w:r>
        <w:t xml:space="preserve"> The S</w:t>
      </w:r>
      <w:r w:rsidRPr="00E530D8">
        <w:t xml:space="preserve">cam </w:t>
      </w:r>
      <w:r>
        <w:t>T</w:t>
      </w:r>
      <w:r w:rsidRPr="00E530D8">
        <w:t>el</w:t>
      </w:r>
      <w:r>
        <w:t>ecommunications</w:t>
      </w:r>
      <w:r w:rsidRPr="00E530D8">
        <w:t xml:space="preserve"> </w:t>
      </w:r>
      <w:r>
        <w:t>A</w:t>
      </w:r>
      <w:r w:rsidRPr="00E530D8">
        <w:t xml:space="preserve">ction </w:t>
      </w:r>
      <w:r>
        <w:t>T</w:t>
      </w:r>
      <w:r w:rsidRPr="00E530D8">
        <w:t xml:space="preserve">askforce (STAT) </w:t>
      </w:r>
      <w:r>
        <w:t xml:space="preserve">was a key action from the </w:t>
      </w:r>
      <w:r w:rsidRPr="00C34BD6">
        <w:rPr>
          <w:i/>
          <w:iCs/>
        </w:rPr>
        <w:t>Combating scams action plan</w:t>
      </w:r>
      <w:r>
        <w:t xml:space="preserve"> and </w:t>
      </w:r>
      <w:r w:rsidRPr="00E530D8">
        <w:t>provides government and industry coordination and oversight of telecommunications scam minimisation strategies.</w:t>
      </w:r>
    </w:p>
  </w:footnote>
  <w:footnote w:id="59">
    <w:p w14:paraId="3B9C3B61" w14:textId="77777777" w:rsidR="007D5EE0" w:rsidRDefault="007D5EE0" w:rsidP="007D5EE0">
      <w:pPr>
        <w:pStyle w:val="FootnoteText"/>
        <w:spacing w:line="240" w:lineRule="auto"/>
      </w:pPr>
      <w:r>
        <w:rPr>
          <w:rStyle w:val="FootnoteReference"/>
        </w:rPr>
        <w:footnoteRef/>
      </w:r>
      <w:r>
        <w:t xml:space="preserve"> </w:t>
      </w:r>
      <w:r>
        <w:rPr>
          <w:rFonts w:cs="Arial"/>
        </w:rPr>
        <w:t xml:space="preserve">Mobile porting fraud is used by malicious third-party actors to ‘hijack’ a person’s mobile phone and gain access to their bank accounts and other applications containing sensitive information or </w:t>
      </w:r>
      <w:proofErr w:type="gramStart"/>
      <w:r>
        <w:rPr>
          <w:rFonts w:cs="Arial"/>
        </w:rPr>
        <w:t>are capable of receiving</w:t>
      </w:r>
      <w:proofErr w:type="gramEnd"/>
      <w:r>
        <w:rPr>
          <w:rFonts w:cs="Arial"/>
        </w:rPr>
        <w:t xml:space="preserve"> personal information, such as unique verification codes.</w:t>
      </w:r>
    </w:p>
  </w:footnote>
  <w:footnote w:id="60">
    <w:p w14:paraId="739ED1A0" w14:textId="77777777" w:rsidR="007D5EE0" w:rsidRDefault="007D5EE0" w:rsidP="007D5EE0">
      <w:pPr>
        <w:pStyle w:val="FootnoteText"/>
        <w:spacing w:line="240" w:lineRule="auto"/>
      </w:pPr>
      <w:r>
        <w:rPr>
          <w:rStyle w:val="FootnoteReference"/>
        </w:rPr>
        <w:footnoteRef/>
      </w:r>
      <w:r>
        <w:t xml:space="preserve"> Unpublished confidential data as reported to the ACMA from major CSPs.</w:t>
      </w:r>
    </w:p>
  </w:footnote>
  <w:footnote w:id="61">
    <w:p w14:paraId="2EDCDBB7" w14:textId="77777777" w:rsidR="007D5EE0" w:rsidRDefault="007D5EE0" w:rsidP="007D5EE0">
      <w:pPr>
        <w:pStyle w:val="FootnoteText"/>
        <w:spacing w:line="240" w:lineRule="auto"/>
      </w:pPr>
      <w:r>
        <w:rPr>
          <w:rStyle w:val="FootnoteReference"/>
        </w:rPr>
        <w:footnoteRef/>
      </w:r>
      <w:r>
        <w:t xml:space="preserve"> Minister Fletcher media release, </w:t>
      </w:r>
      <w:hyperlink r:id="rId31" w:history="1">
        <w:r w:rsidRPr="001E74A4">
          <w:rPr>
            <w:rStyle w:val="Hyperlink"/>
            <w:i/>
            <w:iCs/>
          </w:rPr>
          <w:t>Over 200 million scam calls blocked</w:t>
        </w:r>
      </w:hyperlink>
      <w:r>
        <w:t>, viewed 10 October 2021.</w:t>
      </w:r>
    </w:p>
  </w:footnote>
  <w:footnote w:id="62">
    <w:p w14:paraId="69E5C73B" w14:textId="77777777" w:rsidR="007D5EE0" w:rsidRDefault="007D5EE0" w:rsidP="007D5EE0">
      <w:pPr>
        <w:pStyle w:val="FootnoteText"/>
        <w:spacing w:line="240" w:lineRule="auto"/>
      </w:pPr>
      <w:r>
        <w:rPr>
          <w:rStyle w:val="FootnoteReference"/>
        </w:rPr>
        <w:footnoteRef/>
      </w:r>
      <w:r>
        <w:t xml:space="preserve"> Minister Fletcher media releases, 2020 and 2021, </w:t>
      </w:r>
      <w:hyperlink r:id="rId32" w:history="1">
        <w:r>
          <w:rPr>
            <w:rStyle w:val="Hyperlink"/>
            <w:i/>
            <w:iCs/>
          </w:rPr>
          <w:t>New Standard to fight fraudulent number porting</w:t>
        </w:r>
      </w:hyperlink>
      <w:r>
        <w:t xml:space="preserve">, </w:t>
      </w:r>
      <w:hyperlink r:id="rId33" w:history="1">
        <w:r>
          <w:rPr>
            <w:rStyle w:val="Hyperlink"/>
            <w:i/>
            <w:iCs/>
          </w:rPr>
          <w:t>Stopping ATO phone call scams</w:t>
        </w:r>
      </w:hyperlink>
      <w:r>
        <w:t>,</w:t>
      </w:r>
      <w:r w:rsidRPr="00274B1A">
        <w:t xml:space="preserve"> </w:t>
      </w:r>
      <w:hyperlink r:id="rId34" w:history="1">
        <w:r w:rsidRPr="0047780D">
          <w:rPr>
            <w:rStyle w:val="Hyperlink"/>
            <w:i/>
            <w:iCs/>
          </w:rPr>
          <w:t>Detecting tracing and blocking scam calls</w:t>
        </w:r>
      </w:hyperlink>
      <w:r>
        <w:t xml:space="preserve">, </w:t>
      </w:r>
      <w:hyperlink r:id="rId35" w:history="1">
        <w:r w:rsidRPr="00533A65">
          <w:rPr>
            <w:rStyle w:val="Hyperlink"/>
            <w:i/>
            <w:iCs/>
          </w:rPr>
          <w:t>Protecting Australians from scam texts</w:t>
        </w:r>
      </w:hyperlink>
      <w:r>
        <w:t>, viewed 4 November 2021.</w:t>
      </w:r>
    </w:p>
  </w:footnote>
  <w:footnote w:id="63">
    <w:p w14:paraId="2F1914C7" w14:textId="77777777" w:rsidR="007D5EE0" w:rsidRDefault="007D5EE0" w:rsidP="007D5EE0">
      <w:pPr>
        <w:pStyle w:val="FootnoteText"/>
      </w:pPr>
      <w:r>
        <w:rPr>
          <w:rStyle w:val="FootnoteReference"/>
        </w:rPr>
        <w:footnoteRef/>
      </w:r>
      <w:r>
        <w:t xml:space="preserve"> Communications Alliance, 2021, </w:t>
      </w:r>
      <w:hyperlink r:id="rId36" w:history="1">
        <w:r>
          <w:rPr>
            <w:rStyle w:val="Hyperlink"/>
          </w:rPr>
          <w:t>Industry code C666:2021</w:t>
        </w:r>
      </w:hyperlink>
      <w:r>
        <w:t>, viewed 12 November 2021.</w:t>
      </w:r>
    </w:p>
  </w:footnote>
  <w:footnote w:id="64">
    <w:p w14:paraId="703ED0CF" w14:textId="77777777" w:rsidR="007D5EE0" w:rsidRDefault="007D5EE0" w:rsidP="007D5EE0">
      <w:pPr>
        <w:pStyle w:val="FootnoteText"/>
        <w:spacing w:line="240" w:lineRule="auto"/>
      </w:pPr>
      <w:r>
        <w:rPr>
          <w:rStyle w:val="FootnoteReference"/>
        </w:rPr>
        <w:footnoteRef/>
      </w:r>
      <w:r>
        <w:t xml:space="preserve"> </w:t>
      </w:r>
      <w:r w:rsidRPr="00264508">
        <w:rPr>
          <w:rFonts w:cs="Arial"/>
        </w:rPr>
        <w:t xml:space="preserve">The </w:t>
      </w:r>
      <w:r>
        <w:rPr>
          <w:rFonts w:cs="Arial"/>
        </w:rPr>
        <w:t xml:space="preserve">confidential </w:t>
      </w:r>
      <w:r w:rsidRPr="00264508">
        <w:rPr>
          <w:rFonts w:cs="Arial"/>
        </w:rPr>
        <w:t xml:space="preserve">guidance note </w:t>
      </w:r>
      <w:r>
        <w:rPr>
          <w:rFonts w:cs="Arial"/>
        </w:rPr>
        <w:t xml:space="preserve">was initially developed by Communications Alliance </w:t>
      </w:r>
      <w:r w:rsidRPr="005C4F67">
        <w:rPr>
          <w:rFonts w:cs="Arial"/>
        </w:rPr>
        <w:t xml:space="preserve">in </w:t>
      </w:r>
      <w:r w:rsidRPr="00F65910">
        <w:rPr>
          <w:rFonts w:cs="Arial"/>
        </w:rPr>
        <w:t xml:space="preserve">2019 </w:t>
      </w:r>
      <w:r>
        <w:rPr>
          <w:rFonts w:cs="Arial"/>
        </w:rPr>
        <w:t>and sits</w:t>
      </w:r>
      <w:r w:rsidRPr="00AF4AE1">
        <w:rPr>
          <w:rFonts w:cs="Arial"/>
        </w:rPr>
        <w:t xml:space="preserve"> behind a member paywall</w:t>
      </w:r>
      <w:r>
        <w:rPr>
          <w:rFonts w:cs="Arial"/>
        </w:rPr>
        <w:t xml:space="preserve">. It is </w:t>
      </w:r>
      <w:r w:rsidRPr="00264508">
        <w:rPr>
          <w:rFonts w:cs="Arial"/>
        </w:rPr>
        <w:t>not published</w:t>
      </w:r>
      <w:r>
        <w:rPr>
          <w:rFonts w:cs="Arial"/>
        </w:rPr>
        <w:t xml:space="preserve"> due to concerns about how scammers might use the information.</w:t>
      </w:r>
    </w:p>
  </w:footnote>
  <w:footnote w:id="65">
    <w:p w14:paraId="34DD9015" w14:textId="77777777" w:rsidR="007D5EE0" w:rsidRPr="00033D6E" w:rsidRDefault="007D5EE0" w:rsidP="007D5EE0">
      <w:pPr>
        <w:pStyle w:val="FootnoteText"/>
        <w:spacing w:line="240" w:lineRule="auto"/>
      </w:pPr>
      <w:r>
        <w:rPr>
          <w:rStyle w:val="FootnoteReference"/>
        </w:rPr>
        <w:footnoteRef/>
      </w:r>
      <w:r>
        <w:t xml:space="preserve"> </w:t>
      </w:r>
      <w:r w:rsidRPr="004803D5">
        <w:t xml:space="preserve">This considers that from 2019 to 2020, </w:t>
      </w:r>
      <w:proofErr w:type="spellStart"/>
      <w:r w:rsidRPr="004803D5">
        <w:t>Scamwatch</w:t>
      </w:r>
      <w:proofErr w:type="spellEnd"/>
      <w:r w:rsidRPr="004803D5">
        <w:t xml:space="preserve"> received an increase of 23% in all scam reports on 2019 – with combined losses from phone and text up 19.88%, while losses from identity theft increased by 84%.</w:t>
      </w:r>
      <w:r>
        <w:t xml:space="preserve"> While for the 12-month period to September 2021, </w:t>
      </w:r>
      <w:r w:rsidRPr="004F7DF1">
        <w:t xml:space="preserve">data from </w:t>
      </w:r>
      <w:proofErr w:type="spellStart"/>
      <w:r w:rsidRPr="004F7DF1">
        <w:t>Scamwatch</w:t>
      </w:r>
      <w:proofErr w:type="spellEnd"/>
      <w:r w:rsidRPr="004F7DF1">
        <w:t xml:space="preserve"> indicates that report</w:t>
      </w:r>
      <w:r>
        <w:t>s</w:t>
      </w:r>
      <w:r w:rsidRPr="004F7DF1">
        <w:t xml:space="preserve"> are continuing to rise</w:t>
      </w:r>
      <w:r w:rsidRPr="00033D6E">
        <w:t>. Additionally in the 12 months to September 2021, scam reports vis phone and text increased by 63% and financial losses by 77%.</w:t>
      </w:r>
      <w:r w:rsidRPr="00033D6E">
        <w:rPr>
          <w:rStyle w:val="FootnoteReference"/>
        </w:rPr>
        <w:footnoteRef/>
      </w:r>
    </w:p>
  </w:footnote>
  <w:footnote w:id="66">
    <w:p w14:paraId="32ED4B46" w14:textId="77777777" w:rsidR="007D5EE0" w:rsidRDefault="007D5EE0" w:rsidP="007D5EE0">
      <w:pPr>
        <w:pStyle w:val="FootnoteText"/>
        <w:spacing w:line="240" w:lineRule="auto"/>
      </w:pPr>
      <w:r w:rsidRPr="00033D6E">
        <w:rPr>
          <w:rStyle w:val="FootnoteReference"/>
        </w:rPr>
        <w:footnoteRef/>
      </w:r>
      <w:r w:rsidRPr="00033D6E">
        <w:t xml:space="preserve"> </w:t>
      </w:r>
      <w:r>
        <w:t>See</w:t>
      </w:r>
      <w:r w:rsidRPr="00033D6E">
        <w:t xml:space="preserve"> Appendix B </w:t>
      </w:r>
      <w:r>
        <w:t xml:space="preserve">of this RIS </w:t>
      </w:r>
      <w:r w:rsidRPr="00033D6E">
        <w:t>for calculations.</w:t>
      </w:r>
    </w:p>
  </w:footnote>
  <w:footnote w:id="67">
    <w:p w14:paraId="546D8782" w14:textId="77777777" w:rsidR="007D5EE0" w:rsidRDefault="007D5EE0" w:rsidP="007D5EE0">
      <w:pPr>
        <w:pStyle w:val="FootnoteText"/>
        <w:spacing w:line="240" w:lineRule="auto"/>
      </w:pPr>
      <w:r>
        <w:rPr>
          <w:rStyle w:val="FootnoteReference"/>
        </w:rPr>
        <w:footnoteRef/>
      </w:r>
      <w:r>
        <w:t xml:space="preserve"> </w:t>
      </w:r>
      <w:r w:rsidRPr="003C56D2">
        <w:t>Identity Theft Resource Centre,</w:t>
      </w:r>
      <w:r>
        <w:t xml:space="preserve"> 2018,</w:t>
      </w:r>
      <w:r w:rsidRPr="003C56D2">
        <w:t xml:space="preserve"> </w:t>
      </w:r>
      <w:hyperlink r:id="rId37" w:history="1">
        <w:r w:rsidRPr="008E6015">
          <w:rPr>
            <w:rStyle w:val="Hyperlink"/>
            <w:i/>
            <w:iCs/>
          </w:rPr>
          <w:t>The aftermath – the non-economic impacts of identity theft</w:t>
        </w:r>
      </w:hyperlink>
      <w:r w:rsidRPr="003C56D2">
        <w:t xml:space="preserve">, viewed </w:t>
      </w:r>
      <w:r>
        <w:t>1</w:t>
      </w:r>
      <w:r w:rsidRPr="003C56D2">
        <w:t xml:space="preserve">9 </w:t>
      </w:r>
      <w:r>
        <w:t>October</w:t>
      </w:r>
      <w:r w:rsidRPr="003C56D2">
        <w:t xml:space="preserve"> 202</w:t>
      </w:r>
      <w:r>
        <w:t>1.</w:t>
      </w:r>
    </w:p>
  </w:footnote>
  <w:footnote w:id="68">
    <w:p w14:paraId="08F46038" w14:textId="77777777" w:rsidR="007D5EE0" w:rsidRPr="00AC4121" w:rsidRDefault="007D5EE0" w:rsidP="007D5EE0">
      <w:pPr>
        <w:pStyle w:val="FootnoteText"/>
        <w:spacing w:line="240" w:lineRule="auto"/>
        <w:rPr>
          <w:rFonts w:cs="Arial"/>
        </w:rPr>
      </w:pPr>
      <w:r w:rsidRPr="00AC4121">
        <w:rPr>
          <w:rStyle w:val="FootnoteReference"/>
          <w:rFonts w:cs="Arial"/>
        </w:rPr>
        <w:footnoteRef/>
      </w:r>
      <w:r w:rsidRPr="00AC4121">
        <w:rPr>
          <w:rFonts w:cs="Arial"/>
        </w:rPr>
        <w:t xml:space="preserve"> </w:t>
      </w:r>
      <w:r>
        <w:rPr>
          <w:rFonts w:cs="Arial"/>
        </w:rPr>
        <w:t>ibid.</w:t>
      </w:r>
    </w:p>
  </w:footnote>
  <w:footnote w:id="69">
    <w:p w14:paraId="221BFD97" w14:textId="77777777" w:rsidR="007D5EE0" w:rsidRDefault="007D5EE0" w:rsidP="007D5EE0">
      <w:pPr>
        <w:pStyle w:val="FootnoteText"/>
        <w:spacing w:line="240" w:lineRule="auto"/>
      </w:pPr>
      <w:r w:rsidRPr="00AC4121">
        <w:rPr>
          <w:rStyle w:val="FootnoteReference"/>
          <w:rFonts w:cs="Arial"/>
        </w:rPr>
        <w:footnoteRef/>
      </w:r>
      <w:r w:rsidRPr="00AC4121">
        <w:rPr>
          <w:rFonts w:cs="Arial"/>
        </w:rPr>
        <w:t xml:space="preserve"> Australian Institute of Criminology,</w:t>
      </w:r>
      <w:r>
        <w:rPr>
          <w:rFonts w:cs="Arial"/>
        </w:rPr>
        <w:t xml:space="preserve"> 2019,</w:t>
      </w:r>
      <w:r w:rsidRPr="00AC4121">
        <w:rPr>
          <w:rFonts w:cs="Arial"/>
        </w:rPr>
        <w:t xml:space="preserve"> </w:t>
      </w:r>
      <w:hyperlink r:id="rId38" w:history="1">
        <w:r>
          <w:rPr>
            <w:rStyle w:val="Hyperlink"/>
            <w:rFonts w:cs="Arial"/>
            <w:i/>
            <w:iCs/>
          </w:rPr>
          <w:t>Identity crime and misuse in Australia</w:t>
        </w:r>
      </w:hyperlink>
      <w:r w:rsidRPr="00AC4121">
        <w:rPr>
          <w:rFonts w:cs="Arial"/>
        </w:rPr>
        <w:t xml:space="preserve">, viewed </w:t>
      </w:r>
      <w:r>
        <w:rPr>
          <w:rFonts w:cs="Arial"/>
        </w:rPr>
        <w:t>1</w:t>
      </w:r>
      <w:r w:rsidRPr="00AC4121">
        <w:rPr>
          <w:rFonts w:cs="Arial"/>
        </w:rPr>
        <w:t xml:space="preserve">9 </w:t>
      </w:r>
      <w:r>
        <w:rPr>
          <w:rFonts w:cs="Arial"/>
        </w:rPr>
        <w:t>October</w:t>
      </w:r>
      <w:r w:rsidRPr="00AC4121">
        <w:rPr>
          <w:rFonts w:cs="Arial"/>
        </w:rPr>
        <w:t xml:space="preserve"> 202</w:t>
      </w:r>
      <w:r>
        <w:rPr>
          <w:rFonts w:cs="Arial"/>
        </w:rPr>
        <w:t>1.</w:t>
      </w:r>
    </w:p>
  </w:footnote>
  <w:footnote w:id="70">
    <w:p w14:paraId="26DC5B01" w14:textId="77777777" w:rsidR="007D5EE0" w:rsidRDefault="007D5EE0" w:rsidP="007D5EE0">
      <w:pPr>
        <w:pStyle w:val="FootnoteText"/>
        <w:spacing w:line="240" w:lineRule="auto"/>
      </w:pPr>
      <w:r>
        <w:rPr>
          <w:rStyle w:val="FootnoteReference"/>
        </w:rPr>
        <w:footnoteRef/>
      </w:r>
      <w:r>
        <w:t xml:space="preserve"> C</w:t>
      </w:r>
      <w:r w:rsidRPr="00112B04">
        <w:t xml:space="preserve">alculated at the OBPR leisure labour rate of $32 per hour for private citizens and based on an estimate of </w:t>
      </w:r>
      <w:r>
        <w:t>680</w:t>
      </w:r>
      <w:r w:rsidRPr="00112B04">
        <w:t xml:space="preserve"> reports for </w:t>
      </w:r>
      <w:r>
        <w:t>12</w:t>
      </w:r>
      <w:r w:rsidRPr="00112B04">
        <w:t xml:space="preserve"> months in 2021</w:t>
      </w:r>
      <w:r>
        <w:t>.</w:t>
      </w:r>
    </w:p>
  </w:footnote>
  <w:footnote w:id="71">
    <w:p w14:paraId="6E9C0456" w14:textId="77777777" w:rsidR="007D5EE0" w:rsidRDefault="007D5EE0" w:rsidP="007D5EE0">
      <w:pPr>
        <w:pStyle w:val="FootnoteText"/>
        <w:spacing w:line="240" w:lineRule="auto"/>
      </w:pPr>
      <w:r>
        <w:rPr>
          <w:rStyle w:val="FootnoteReference"/>
        </w:rPr>
        <w:footnoteRef/>
      </w:r>
      <w:r>
        <w:t xml:space="preserve"> </w:t>
      </w:r>
      <w:r w:rsidRPr="00662021">
        <w:t>Compound growth over 10 years discounted at 7% each year (see Appendix B</w:t>
      </w:r>
      <w:r>
        <w:t xml:space="preserve"> of this RIS</w:t>
      </w:r>
      <w:r w:rsidRPr="00662021">
        <w:t>).</w:t>
      </w:r>
    </w:p>
  </w:footnote>
  <w:footnote w:id="72">
    <w:p w14:paraId="725F4250" w14:textId="77777777" w:rsidR="007D5EE0" w:rsidRDefault="007D5EE0" w:rsidP="007D5EE0">
      <w:pPr>
        <w:pStyle w:val="FootnoteText"/>
        <w:spacing w:line="240" w:lineRule="auto"/>
      </w:pPr>
      <w:r>
        <w:rPr>
          <w:rStyle w:val="FootnoteReference"/>
        </w:rPr>
        <w:footnoteRef/>
      </w:r>
      <w:r>
        <w:t xml:space="preserve"> </w:t>
      </w:r>
      <w:bookmarkStart w:id="94" w:name="_Hlk54883661"/>
      <w:r w:rsidRPr="00B04DC4">
        <w:t>ACCC</w:t>
      </w:r>
      <w:r>
        <w:t xml:space="preserve">, 2020, </w:t>
      </w:r>
      <w:hyperlink r:id="rId39" w:history="1">
        <w:r w:rsidRPr="006117D0">
          <w:rPr>
            <w:rStyle w:val="Hyperlink"/>
            <w:i/>
            <w:iCs/>
          </w:rPr>
          <w:t>Targeting scams 2019: A review of scam activity since 2009</w:t>
        </w:r>
      </w:hyperlink>
      <w:r w:rsidRPr="00B04DC4">
        <w:t xml:space="preserve">, viewed </w:t>
      </w:r>
      <w:r>
        <w:t>16</w:t>
      </w:r>
      <w:r w:rsidRPr="00B04DC4">
        <w:t xml:space="preserve"> October 2020.</w:t>
      </w:r>
      <w:bookmarkEnd w:id="94"/>
    </w:p>
  </w:footnote>
  <w:footnote w:id="73">
    <w:p w14:paraId="4B7FE6A1" w14:textId="77777777" w:rsidR="007D5EE0" w:rsidRDefault="007D5EE0" w:rsidP="007D5EE0">
      <w:pPr>
        <w:pStyle w:val="FootnoteText"/>
        <w:spacing w:line="240" w:lineRule="auto"/>
      </w:pPr>
      <w:r>
        <w:rPr>
          <w:rStyle w:val="FootnoteReference"/>
        </w:rPr>
        <w:footnoteRef/>
      </w:r>
      <w:r>
        <w:t xml:space="preserve"> </w:t>
      </w:r>
      <w:r w:rsidRPr="00C06BD8">
        <w:t xml:space="preserve">ACCC, 2020, </w:t>
      </w:r>
      <w:hyperlink r:id="rId40" w:history="1">
        <w:r w:rsidRPr="00C06BD8">
          <w:rPr>
            <w:rStyle w:val="Hyperlink"/>
            <w:i/>
            <w:iCs/>
          </w:rPr>
          <w:t>Targeting scams 2019: A review of scam activity since 2009</w:t>
        </w:r>
      </w:hyperlink>
      <w:r w:rsidRPr="00C06BD8">
        <w:t>, viewed 16 October 2020.</w:t>
      </w:r>
    </w:p>
  </w:footnote>
  <w:footnote w:id="74">
    <w:p w14:paraId="04BF9A2A" w14:textId="77777777" w:rsidR="007D5EE0" w:rsidRPr="00EE439E" w:rsidRDefault="007D5EE0" w:rsidP="007D5EE0">
      <w:pPr>
        <w:pStyle w:val="FootnoteText"/>
        <w:spacing w:line="240" w:lineRule="auto"/>
      </w:pPr>
      <w:r>
        <w:rPr>
          <w:rStyle w:val="FootnoteReference"/>
        </w:rPr>
        <w:footnoteRef/>
      </w:r>
      <w:r>
        <w:t xml:space="preserve"> </w:t>
      </w:r>
      <w:r w:rsidRPr="00EE439E">
        <w:t>See Appendix B</w:t>
      </w:r>
      <w:r>
        <w:t xml:space="preserve"> of this RIS</w:t>
      </w:r>
      <w:r w:rsidRPr="00EE439E">
        <w:t>.</w:t>
      </w:r>
    </w:p>
  </w:footnote>
  <w:footnote w:id="75">
    <w:p w14:paraId="4589F168" w14:textId="77777777" w:rsidR="007D5EE0" w:rsidRDefault="007D5EE0" w:rsidP="007D5EE0">
      <w:pPr>
        <w:pStyle w:val="FootnoteText"/>
        <w:spacing w:line="240" w:lineRule="auto"/>
      </w:pPr>
      <w:r w:rsidRPr="00EE439E">
        <w:rPr>
          <w:rStyle w:val="FootnoteReference"/>
        </w:rPr>
        <w:footnoteRef/>
      </w:r>
      <w:r w:rsidRPr="00EE439E">
        <w:t xml:space="preserve"> Figure based on reduced reports of all high-risk incidents at a rate of $32/hour for 33 hours, averaged and discounted over 10 years.</w:t>
      </w:r>
    </w:p>
  </w:footnote>
  <w:footnote w:id="76">
    <w:p w14:paraId="57FF0CCE" w14:textId="77777777" w:rsidR="007D5EE0" w:rsidRDefault="007D5EE0" w:rsidP="007D5EE0">
      <w:pPr>
        <w:pStyle w:val="FootnoteText"/>
        <w:spacing w:line="240" w:lineRule="auto"/>
      </w:pPr>
      <w:r>
        <w:rPr>
          <w:rStyle w:val="FootnoteReference"/>
        </w:rPr>
        <w:footnoteRef/>
      </w:r>
      <w:r>
        <w:t xml:space="preserve"> Equivalent to 10 to 20% of C/CSP fraud team time.</w:t>
      </w:r>
    </w:p>
  </w:footnote>
  <w:footnote w:id="77">
    <w:p w14:paraId="6E9B157F" w14:textId="77777777" w:rsidR="007D5EE0" w:rsidRDefault="007D5EE0" w:rsidP="007D5EE0">
      <w:pPr>
        <w:pStyle w:val="FootnoteText"/>
        <w:spacing w:line="240" w:lineRule="auto"/>
      </w:pPr>
      <w:r w:rsidRPr="000D1757">
        <w:rPr>
          <w:rStyle w:val="FootnoteReference"/>
        </w:rPr>
        <w:footnoteRef/>
      </w:r>
      <w:r w:rsidRPr="000D1757">
        <w:t xml:space="preserve"> </w:t>
      </w:r>
      <w:r>
        <w:t xml:space="preserve">Department of Home Affairs 2016, </w:t>
      </w:r>
      <w:hyperlink r:id="rId41" w:history="1">
        <w:r>
          <w:rPr>
            <w:rStyle w:val="Hyperlink"/>
          </w:rPr>
          <w:t>National Identity Proofing Guidelines</w:t>
        </w:r>
      </w:hyperlink>
      <w:r>
        <w:rPr>
          <w:i/>
          <w:iCs/>
        </w:rPr>
        <w:t>,</w:t>
      </w:r>
      <w:r>
        <w:t xml:space="preserve"> viewed 11 October 2021.</w:t>
      </w:r>
      <w:r w:rsidRPr="00D759A9">
        <w:t xml:space="preserve"> </w:t>
      </w:r>
      <w:r>
        <w:t xml:space="preserve">The guidelines provide guidance </w:t>
      </w:r>
      <w:r w:rsidRPr="002A6182">
        <w:t>about the preservation and protection of a person’s identity as a ‘key concern and a right of all Australians</w:t>
      </w:r>
      <w:r>
        <w:t>’.</w:t>
      </w:r>
    </w:p>
  </w:footnote>
  <w:footnote w:id="78">
    <w:p w14:paraId="4E94A119" w14:textId="77777777" w:rsidR="007D5EE0" w:rsidRDefault="007D5EE0" w:rsidP="007D5EE0">
      <w:pPr>
        <w:pStyle w:val="FootnoteText"/>
        <w:spacing w:line="240" w:lineRule="auto"/>
      </w:pPr>
      <w:r>
        <w:rPr>
          <w:rStyle w:val="FootnoteReference"/>
        </w:rPr>
        <w:footnoteRef/>
      </w:r>
      <w:r>
        <w:t xml:space="preserve"> Compound growth fraud and time costs over </w:t>
      </w:r>
      <w:r w:rsidRPr="00662021">
        <w:t>10 years discounted at 7% each year (see Appendix B).</w:t>
      </w:r>
    </w:p>
  </w:footnote>
  <w:footnote w:id="79">
    <w:p w14:paraId="36F50E94" w14:textId="77777777" w:rsidR="007D5EE0" w:rsidRDefault="007D5EE0" w:rsidP="007D5EE0">
      <w:pPr>
        <w:pStyle w:val="FootnoteText"/>
        <w:spacing w:line="240" w:lineRule="auto"/>
      </w:pPr>
      <w:r>
        <w:rPr>
          <w:rStyle w:val="FootnoteReference"/>
        </w:rPr>
        <w:footnoteRef/>
      </w:r>
      <w:r>
        <w:t xml:space="preserve"> </w:t>
      </w:r>
      <w:r w:rsidRPr="00CD15B5">
        <w:t xml:space="preserve">Based on a </w:t>
      </w:r>
      <w:r>
        <w:t>7</w:t>
      </w:r>
      <w:r w:rsidRPr="00CD15B5">
        <w:t>0% reduction in $3</w:t>
      </w:r>
      <w:r>
        <w:t>.</w:t>
      </w:r>
      <w:r w:rsidRPr="00CD15B5">
        <w:t>1</w:t>
      </w:r>
      <w:r>
        <w:t xml:space="preserve"> </w:t>
      </w:r>
      <w:r w:rsidRPr="00CD15B5">
        <w:t>m</w:t>
      </w:r>
      <w:r>
        <w:t>illion</w:t>
      </w:r>
      <w:r w:rsidRPr="00CD15B5">
        <w:t xml:space="preserve"> of direct losses to consumers in the status quo</w:t>
      </w:r>
      <w:r>
        <w:t>.</w:t>
      </w:r>
    </w:p>
  </w:footnote>
  <w:footnote w:id="80">
    <w:p w14:paraId="723D1D14" w14:textId="77777777" w:rsidR="007D5EE0" w:rsidRDefault="007D5EE0" w:rsidP="007D5EE0">
      <w:pPr>
        <w:pStyle w:val="FootnoteText"/>
      </w:pPr>
      <w:r>
        <w:rPr>
          <w:rStyle w:val="FootnoteReference"/>
        </w:rPr>
        <w:footnoteRef/>
      </w:r>
      <w:r>
        <w:t xml:space="preserve"> Figure based on reduction reports * 33 hours * $32 discounted over 10 years.</w:t>
      </w:r>
    </w:p>
  </w:footnote>
  <w:footnote w:id="81">
    <w:p w14:paraId="2D9175E3" w14:textId="77777777" w:rsidR="007D5EE0" w:rsidRDefault="007D5EE0" w:rsidP="007D5EE0">
      <w:pPr>
        <w:pStyle w:val="FootnoteText"/>
        <w:spacing w:line="240" w:lineRule="auto"/>
      </w:pPr>
      <w:r>
        <w:rPr>
          <w:rStyle w:val="FootnoteReference"/>
        </w:rPr>
        <w:footnoteRef/>
      </w:r>
      <w:r>
        <w:t xml:space="preserve"> See Appendix A of this RIS for a breakdown of regulatory costs.</w:t>
      </w:r>
    </w:p>
  </w:footnote>
  <w:footnote w:id="82">
    <w:p w14:paraId="4064556A" w14:textId="77777777" w:rsidR="007D5EE0" w:rsidRDefault="007D5EE0" w:rsidP="007D5EE0">
      <w:pPr>
        <w:pStyle w:val="FootnoteText"/>
        <w:spacing w:line="240" w:lineRule="auto"/>
      </w:pPr>
      <w:r>
        <w:rPr>
          <w:rStyle w:val="FootnoteReference"/>
        </w:rPr>
        <w:footnoteRef/>
      </w:r>
      <w:r>
        <w:t xml:space="preserve"> See Appendix A of this RIS for a further breakdown of costs.</w:t>
      </w:r>
    </w:p>
  </w:footnote>
  <w:footnote w:id="83">
    <w:p w14:paraId="642D9614" w14:textId="77777777" w:rsidR="007D5EE0" w:rsidRDefault="007D5EE0" w:rsidP="007D5EE0">
      <w:pPr>
        <w:pStyle w:val="FootnoteText"/>
        <w:spacing w:line="240" w:lineRule="auto"/>
      </w:pPr>
      <w:r>
        <w:rPr>
          <w:rStyle w:val="FootnoteReference"/>
        </w:rPr>
        <w:footnoteRef/>
      </w:r>
      <w:r>
        <w:t xml:space="preserve"> ACCC, </w:t>
      </w:r>
      <w:hyperlink r:id="rId42" w:history="1">
        <w:r>
          <w:rPr>
            <w:rStyle w:val="Hyperlink"/>
          </w:rPr>
          <w:t>Digital platform services inquiry 2020-2025</w:t>
        </w:r>
      </w:hyperlink>
      <w:r>
        <w:t>, viewed 14 October 2021.</w:t>
      </w:r>
    </w:p>
  </w:footnote>
  <w:footnote w:id="84">
    <w:p w14:paraId="43E35D8C" w14:textId="77777777" w:rsidR="007D5EE0" w:rsidRDefault="007D5EE0" w:rsidP="007D5EE0">
      <w:pPr>
        <w:pStyle w:val="FootnoteText"/>
        <w:spacing w:line="240" w:lineRule="auto"/>
      </w:pPr>
      <w:r>
        <w:rPr>
          <w:rStyle w:val="FootnoteReference"/>
        </w:rPr>
        <w:footnoteRef/>
      </w:r>
      <w:r>
        <w:t xml:space="preserve"> ACMA 2020, </w:t>
      </w:r>
      <w:hyperlink r:id="rId43" w:history="1">
        <w:r w:rsidRPr="000A2398">
          <w:rPr>
            <w:rStyle w:val="Hyperlink"/>
          </w:rPr>
          <w:t>RIS Mobile porting fraud</w:t>
        </w:r>
      </w:hyperlink>
      <w:r>
        <w:t xml:space="preserve">, </w:t>
      </w:r>
      <w:hyperlink r:id="rId44" w:history="1">
        <w:r w:rsidRPr="000A2398">
          <w:rPr>
            <w:rStyle w:val="Hyperlink"/>
          </w:rPr>
          <w:t xml:space="preserve">RIS Reducing the </w:t>
        </w:r>
        <w:r>
          <w:rPr>
            <w:rStyle w:val="Hyperlink"/>
          </w:rPr>
          <w:t>I</w:t>
        </w:r>
        <w:r w:rsidRPr="000A2398">
          <w:rPr>
            <w:rStyle w:val="Hyperlink"/>
          </w:rPr>
          <w:t xml:space="preserve">mpact of </w:t>
        </w:r>
        <w:r>
          <w:rPr>
            <w:rStyle w:val="Hyperlink"/>
          </w:rPr>
          <w:t>S</w:t>
        </w:r>
        <w:r w:rsidRPr="000A2398">
          <w:rPr>
            <w:rStyle w:val="Hyperlink"/>
          </w:rPr>
          <w:t xml:space="preserve">cam </w:t>
        </w:r>
        <w:r>
          <w:rPr>
            <w:rStyle w:val="Hyperlink"/>
          </w:rPr>
          <w:t>C</w:t>
        </w:r>
        <w:r w:rsidRPr="000A2398">
          <w:rPr>
            <w:rStyle w:val="Hyperlink"/>
          </w:rPr>
          <w:t>alls</w:t>
        </w:r>
      </w:hyperlink>
      <w:r>
        <w:t xml:space="preserve">, viewed </w:t>
      </w:r>
      <w:r>
        <w:br/>
        <w:t>12 November 2021.</w:t>
      </w:r>
    </w:p>
  </w:footnote>
  <w:footnote w:id="85">
    <w:p w14:paraId="0488AD5D" w14:textId="77777777" w:rsidR="007D5EE0" w:rsidRDefault="007D5EE0" w:rsidP="007D5EE0">
      <w:pPr>
        <w:pStyle w:val="FootnoteText"/>
        <w:spacing w:line="240" w:lineRule="auto"/>
      </w:pPr>
      <w:r>
        <w:rPr>
          <w:rStyle w:val="FootnoteReference"/>
        </w:rPr>
        <w:footnoteRef/>
      </w:r>
      <w:r>
        <w:t xml:space="preserve"> Communications Alliance 2020, </w:t>
      </w:r>
      <w:hyperlink r:id="rId45" w:history="1">
        <w:r>
          <w:rPr>
            <w:rStyle w:val="Hyperlink"/>
          </w:rPr>
          <w:t>(C661:2020) Reducing Scam Calls</w:t>
        </w:r>
      </w:hyperlink>
      <w:r>
        <w:t>, viewed 12 November 2021.</w:t>
      </w:r>
    </w:p>
  </w:footnote>
  <w:footnote w:id="86">
    <w:p w14:paraId="0A6F72AC" w14:textId="58282D14" w:rsidR="007D5EE0" w:rsidRDefault="007D5EE0" w:rsidP="007D5EE0">
      <w:pPr>
        <w:pStyle w:val="FootnoteText"/>
        <w:spacing w:line="240" w:lineRule="auto"/>
      </w:pPr>
      <w:r>
        <w:rPr>
          <w:rStyle w:val="FootnoteReference"/>
        </w:rPr>
        <w:footnoteRef/>
      </w:r>
      <w:r w:rsidR="00FD4A62">
        <w:t xml:space="preserve"> </w:t>
      </w:r>
      <w:r>
        <w:t>Communications Alliance, 202</w:t>
      </w:r>
      <w:r w:rsidRPr="004C2E60">
        <w:t>1,</w:t>
      </w:r>
      <w:r>
        <w:t xml:space="preserve"> </w:t>
      </w:r>
      <w:hyperlink r:id="rId46" w:history="1">
        <w:r w:rsidRPr="00631BA9">
          <w:rPr>
            <w:rStyle w:val="Hyperlink"/>
          </w:rPr>
          <w:t>Public comments</w:t>
        </w:r>
      </w:hyperlink>
      <w:r>
        <w:t>, v</w:t>
      </w:r>
      <w:r w:rsidRPr="002C7745">
        <w:t xml:space="preserve">iewed 5 November 2021. </w:t>
      </w:r>
      <w:r>
        <w:t xml:space="preserve">Communications Alliance received </w:t>
      </w:r>
      <w:r w:rsidRPr="002C7745">
        <w:t xml:space="preserve">4 submissions </w:t>
      </w:r>
      <w:r>
        <w:rPr>
          <w:rFonts w:cs="Arial"/>
        </w:rPr>
        <w:t>–</w:t>
      </w:r>
      <w:r>
        <w:t xml:space="preserve"> </w:t>
      </w:r>
      <w:r w:rsidRPr="002C7745">
        <w:t>from ACCAN, TIO, Twilio (CSP) and RingCentral (a provider of business integrated communications and collaboration solutions over the cloud).</w:t>
      </w:r>
    </w:p>
  </w:footnote>
  <w:footnote w:id="87">
    <w:p w14:paraId="708EF890" w14:textId="77777777" w:rsidR="007D5EE0" w:rsidRPr="00CB0D65" w:rsidRDefault="007D5EE0" w:rsidP="007D5EE0">
      <w:pPr>
        <w:pStyle w:val="FootnoteText"/>
      </w:pPr>
      <w:r w:rsidRPr="00CB0D65">
        <w:rPr>
          <w:rStyle w:val="FootnoteReference"/>
        </w:rPr>
        <w:footnoteRef/>
      </w:r>
      <w:r w:rsidRPr="00CB0D65">
        <w:t xml:space="preserve"> </w:t>
      </w:r>
      <w:r w:rsidRPr="00CB0D65">
        <w:rPr>
          <w:u w:color="0000FF"/>
        </w:rPr>
        <w:t>Department of Home Affairs 2016,</w:t>
      </w:r>
      <w:r>
        <w:rPr>
          <w:u w:color="0000FF"/>
        </w:rPr>
        <w:t xml:space="preserve"> </w:t>
      </w:r>
      <w:hyperlink r:id="rId47" w:anchor="content-index-7" w:history="1">
        <w:r w:rsidRPr="00631BA9">
          <w:rPr>
            <w:rStyle w:val="Hyperlink"/>
          </w:rPr>
          <w:t>National Identity Proofing Guidelines</w:t>
        </w:r>
      </w:hyperlink>
      <w:r>
        <w:rPr>
          <w:u w:color="0000FF"/>
        </w:rPr>
        <w:t>, vi</w:t>
      </w:r>
      <w:r w:rsidRPr="00CB0D65">
        <w:rPr>
          <w:u w:color="0000FF"/>
        </w:rPr>
        <w:t>ewed 11 October 2021.</w:t>
      </w:r>
    </w:p>
  </w:footnote>
  <w:footnote w:id="88">
    <w:p w14:paraId="37E2A27A" w14:textId="77777777" w:rsidR="007D5EE0" w:rsidRDefault="007D5EE0" w:rsidP="007D5EE0">
      <w:pPr>
        <w:pStyle w:val="FootnoteText"/>
        <w:spacing w:line="240" w:lineRule="auto"/>
      </w:pPr>
      <w:r>
        <w:rPr>
          <w:rStyle w:val="FootnoteReference"/>
        </w:rPr>
        <w:footnoteRef/>
      </w:r>
      <w:r>
        <w:t xml:space="preserve"> An industry code is drafted by a representative industry body (such as Communications Alliance) and registered by the ACMA as per section 117 of the Telecommunications Act.</w:t>
      </w:r>
    </w:p>
  </w:footnote>
  <w:footnote w:id="89">
    <w:p w14:paraId="0C7FE708" w14:textId="77777777" w:rsidR="007D5EE0" w:rsidRDefault="007D5EE0" w:rsidP="007D5EE0">
      <w:pPr>
        <w:pStyle w:val="FootnoteText"/>
      </w:pPr>
      <w:r>
        <w:rPr>
          <w:rStyle w:val="FootnoteReference"/>
        </w:rPr>
        <w:footnoteRef/>
      </w:r>
      <w:r>
        <w:t xml:space="preserve"> ACMA, 2021, </w:t>
      </w:r>
      <w:hyperlink r:id="rId48" w:history="1">
        <w:r>
          <w:rPr>
            <w:rStyle w:val="Hyperlink"/>
          </w:rPr>
          <w:t>ACMA Compliance priorities 2021–22</w:t>
        </w:r>
      </w:hyperlink>
      <w:r>
        <w:t>, viewed 11 October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17D1" w14:textId="77777777" w:rsidR="00421F03" w:rsidRDefault="00421F0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89AA" w14:textId="77777777" w:rsidR="007D5EE0" w:rsidRDefault="007D5EE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710C" w14:textId="77777777" w:rsidR="007D5EE0" w:rsidRDefault="007D5EE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E8F5" w14:textId="77777777" w:rsidR="006B4FD3" w:rsidRDefault="006B4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02B84E2C" w:rsidR="006B4FD3" w:rsidRDefault="006B4FD3">
    <w:pPr>
      <w:pStyle w:val="Header"/>
    </w:pPr>
  </w:p>
  <w:p w14:paraId="1FE48E17" w14:textId="77777777" w:rsidR="006B4FD3" w:rsidRPr="00AD3414" w:rsidRDefault="006B4FD3">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5A6C" w14:textId="77777777" w:rsidR="00421F03" w:rsidRDefault="00421F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E70A" w14:textId="347B89DD" w:rsidR="007D5EE0" w:rsidRPr="00A5474E" w:rsidRDefault="007D5EE0" w:rsidP="00A5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CF58" w14:textId="77777777" w:rsidR="007D5EE0" w:rsidRPr="00A5474E" w:rsidRDefault="007D5EE0" w:rsidP="00594E9C">
    <w:pPr>
      <w:pStyle w:val="TOCHeading"/>
    </w:pPr>
    <w:r w:rsidRPr="0029593B">
      <w:t>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0787" w14:textId="77777777" w:rsidR="007D5EE0" w:rsidRDefault="007D5E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D864" w14:textId="77777777" w:rsidR="007D5EE0" w:rsidRDefault="007D5E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7D5EE0" w14:paraId="60C82051" w14:textId="77777777" w:rsidTr="00977AC8">
      <w:trPr>
        <w:trHeight w:hRule="exact" w:val="988"/>
      </w:trPr>
      <w:tc>
        <w:tcPr>
          <w:tcW w:w="7678" w:type="dxa"/>
          <w:shd w:val="clear" w:color="auto" w:fill="auto"/>
        </w:tcPr>
        <w:p w14:paraId="147ED543" w14:textId="77777777" w:rsidR="007D5EE0" w:rsidRDefault="007D5EE0" w:rsidP="00971914">
          <w:pPr>
            <w:pStyle w:val="Header"/>
          </w:pPr>
        </w:p>
      </w:tc>
    </w:tr>
    <w:tr w:rsidR="007D5EE0" w14:paraId="4596CA15" w14:textId="77777777" w:rsidTr="00977AC8">
      <w:tc>
        <w:tcPr>
          <w:tcW w:w="7678" w:type="dxa"/>
          <w:shd w:val="clear" w:color="auto" w:fill="auto"/>
        </w:tcPr>
        <w:p w14:paraId="788C9E03" w14:textId="77777777" w:rsidR="007D5EE0" w:rsidRDefault="007D5EE0" w:rsidP="00971914">
          <w:pPr>
            <w:pStyle w:val="GridTable31"/>
          </w:pPr>
          <w:r>
            <w:t xml:space="preserve">Contents </w:t>
          </w:r>
          <w:r w:rsidRPr="00915B1C">
            <w:rPr>
              <w:b w:val="0"/>
              <w:spacing w:val="0"/>
              <w:sz w:val="28"/>
              <w:szCs w:val="28"/>
            </w:rPr>
            <w:t>(Continued)</w:t>
          </w:r>
        </w:p>
      </w:tc>
    </w:tr>
    <w:tr w:rsidR="007D5EE0" w14:paraId="7BD08FF4" w14:textId="77777777" w:rsidTr="00977AC8">
      <w:trPr>
        <w:trHeight w:val="1220"/>
      </w:trPr>
      <w:tc>
        <w:tcPr>
          <w:tcW w:w="7678" w:type="dxa"/>
          <w:shd w:val="clear" w:color="auto" w:fill="auto"/>
        </w:tcPr>
        <w:p w14:paraId="44D35E2C" w14:textId="77777777" w:rsidR="007D5EE0" w:rsidRDefault="007D5EE0" w:rsidP="00971914"/>
      </w:tc>
    </w:tr>
  </w:tbl>
  <w:p w14:paraId="0B2F78E8" w14:textId="77777777" w:rsidR="007D5EE0" w:rsidRDefault="007D5EE0" w:rsidP="009719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7D5EE0" w14:paraId="04E43B1C" w14:textId="77777777" w:rsidTr="00977AC8">
      <w:trPr>
        <w:trHeight w:hRule="exact" w:val="988"/>
      </w:trPr>
      <w:tc>
        <w:tcPr>
          <w:tcW w:w="7678" w:type="dxa"/>
          <w:shd w:val="clear" w:color="auto" w:fill="auto"/>
        </w:tcPr>
        <w:p w14:paraId="647C054D" w14:textId="77777777" w:rsidR="007D5EE0" w:rsidRDefault="007D5EE0" w:rsidP="00971914">
          <w:pPr>
            <w:pStyle w:val="Header"/>
          </w:pPr>
        </w:p>
      </w:tc>
    </w:tr>
    <w:tr w:rsidR="007D5EE0" w14:paraId="4E4A5300" w14:textId="77777777" w:rsidTr="00977AC8">
      <w:tc>
        <w:tcPr>
          <w:tcW w:w="7678" w:type="dxa"/>
          <w:shd w:val="clear" w:color="auto" w:fill="auto"/>
        </w:tcPr>
        <w:p w14:paraId="42BC565F" w14:textId="77777777" w:rsidR="007D5EE0" w:rsidRDefault="007D5EE0" w:rsidP="00971914">
          <w:pPr>
            <w:pStyle w:val="GridTable31"/>
          </w:pPr>
          <w:r>
            <w:t xml:space="preserve">Contents </w:t>
          </w:r>
          <w:r w:rsidRPr="00915B1C">
            <w:rPr>
              <w:b w:val="0"/>
              <w:spacing w:val="0"/>
              <w:sz w:val="28"/>
              <w:szCs w:val="28"/>
            </w:rPr>
            <w:t>(Continued)</w:t>
          </w:r>
        </w:p>
      </w:tc>
    </w:tr>
    <w:tr w:rsidR="007D5EE0" w14:paraId="1EA9C782" w14:textId="77777777" w:rsidTr="00977AC8">
      <w:trPr>
        <w:trHeight w:val="1220"/>
      </w:trPr>
      <w:tc>
        <w:tcPr>
          <w:tcW w:w="7678" w:type="dxa"/>
          <w:shd w:val="clear" w:color="auto" w:fill="auto"/>
        </w:tcPr>
        <w:p w14:paraId="145F14B3" w14:textId="77777777" w:rsidR="007D5EE0" w:rsidRDefault="007D5EE0" w:rsidP="00971914"/>
      </w:tc>
    </w:tr>
  </w:tbl>
  <w:p w14:paraId="72578DB5" w14:textId="77777777" w:rsidR="007D5EE0" w:rsidRPr="00A5474E" w:rsidRDefault="007D5EE0" w:rsidP="00A54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b w:val="0"/>
        <w:bCs/>
        <w:caps/>
        <w:sz w:val="20"/>
      </w:rPr>
    </w:lvl>
  </w:abstractNum>
  <w:abstractNum w:abstractNumId="3" w15:restartNumberingAfterBreak="0">
    <w:nsid w:val="FFFFFF89"/>
    <w:multiLevelType w:val="singleLevel"/>
    <w:tmpl w:val="EACAE2B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7737A13"/>
    <w:multiLevelType w:val="multilevel"/>
    <w:tmpl w:val="DF4E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F1158"/>
    <w:multiLevelType w:val="hybridMultilevel"/>
    <w:tmpl w:val="1D06DF40"/>
    <w:lvl w:ilvl="0" w:tplc="0C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F61BC"/>
    <w:multiLevelType w:val="hybridMultilevel"/>
    <w:tmpl w:val="43E4D944"/>
    <w:lvl w:ilvl="0" w:tplc="0C090001">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09B7864"/>
    <w:multiLevelType w:val="hybridMultilevel"/>
    <w:tmpl w:val="C2224C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F8691C"/>
    <w:multiLevelType w:val="hybridMultilevel"/>
    <w:tmpl w:val="307214FC"/>
    <w:lvl w:ilvl="0" w:tplc="4E5237F2">
      <w:start w:val="1"/>
      <w:numFmt w:val="bullet"/>
      <w:lvlText w:val=""/>
      <w:lvlJc w:val="left"/>
      <w:pPr>
        <w:ind w:left="360" w:hanging="360"/>
      </w:pPr>
      <w:rPr>
        <w:rFonts w:ascii="Symbol" w:hAnsi="Symbol" w:hint="default"/>
      </w:rPr>
    </w:lvl>
    <w:lvl w:ilvl="1" w:tplc="4E5237F2">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DF6DBA"/>
    <w:multiLevelType w:val="multilevel"/>
    <w:tmpl w:val="6ACA2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182925"/>
    <w:multiLevelType w:val="singleLevel"/>
    <w:tmpl w:val="357ADEBE"/>
    <w:lvl w:ilvl="0">
      <w:start w:val="1"/>
      <w:numFmt w:val="decimal"/>
      <w:pStyle w:val="ParaNum"/>
      <w:lvlText w:val="%1."/>
      <w:lvlJc w:val="left"/>
      <w:pPr>
        <w:tabs>
          <w:tab w:val="num" w:pos="1080"/>
        </w:tabs>
        <w:ind w:left="0" w:firstLine="720"/>
      </w:pPr>
      <w:rPr>
        <w:sz w:val="22"/>
        <w:szCs w:val="22"/>
      </w:rPr>
    </w:lvl>
  </w:abstractNum>
  <w:abstractNum w:abstractNumId="17" w15:restartNumberingAfterBreak="0">
    <w:nsid w:val="61763FA3"/>
    <w:multiLevelType w:val="hybridMultilevel"/>
    <w:tmpl w:val="7F705274"/>
    <w:lvl w:ilvl="0" w:tplc="91AAB8A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EB0ADC"/>
    <w:multiLevelType w:val="hybridMultilevel"/>
    <w:tmpl w:val="72327266"/>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8723A6"/>
    <w:multiLevelType w:val="hybridMultilevel"/>
    <w:tmpl w:val="BEAA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145348"/>
    <w:multiLevelType w:val="hybridMultilevel"/>
    <w:tmpl w:val="5C4AF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3"/>
  </w:num>
  <w:num w:numId="4">
    <w:abstractNumId w:val="3"/>
  </w:num>
  <w:num w:numId="5">
    <w:abstractNumId w:val="8"/>
  </w:num>
  <w:num w:numId="6">
    <w:abstractNumId w:val="14"/>
  </w:num>
  <w:num w:numId="7">
    <w:abstractNumId w:val="4"/>
  </w:num>
  <w:num w:numId="8">
    <w:abstractNumId w:val="18"/>
  </w:num>
  <w:num w:numId="9">
    <w:abstractNumId w:val="12"/>
  </w:num>
  <w:num w:numId="10">
    <w:abstractNumId w:val="2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
  </w:num>
  <w:num w:numId="15">
    <w:abstractNumId w:val="0"/>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5"/>
  </w:num>
  <w:num w:numId="23">
    <w:abstractNumId w:val="17"/>
  </w:num>
  <w:num w:numId="24">
    <w:abstractNumId w:val="9"/>
  </w:num>
  <w:num w:numId="25">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t Stuart-Smith">
    <w15:presenceInfo w15:providerId="AD" w15:userId="S::Juliet.Stuart-Smith@acma.gov.au::bf6f2b7b-7cf7-486c-86a2-5b6d051b6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7C0"/>
    <w:rsid w:val="00000E83"/>
    <w:rsid w:val="00002640"/>
    <w:rsid w:val="0000353A"/>
    <w:rsid w:val="00003720"/>
    <w:rsid w:val="00006332"/>
    <w:rsid w:val="00006A02"/>
    <w:rsid w:val="000076DD"/>
    <w:rsid w:val="00007FDE"/>
    <w:rsid w:val="0001009E"/>
    <w:rsid w:val="000105AF"/>
    <w:rsid w:val="00010A1B"/>
    <w:rsid w:val="0001205A"/>
    <w:rsid w:val="000123E0"/>
    <w:rsid w:val="000124F9"/>
    <w:rsid w:val="00012B74"/>
    <w:rsid w:val="00013079"/>
    <w:rsid w:val="00013BEC"/>
    <w:rsid w:val="00016D98"/>
    <w:rsid w:val="0002039A"/>
    <w:rsid w:val="00020591"/>
    <w:rsid w:val="00020BD4"/>
    <w:rsid w:val="00022026"/>
    <w:rsid w:val="00022357"/>
    <w:rsid w:val="00023211"/>
    <w:rsid w:val="0002402C"/>
    <w:rsid w:val="000251C0"/>
    <w:rsid w:val="00025ACE"/>
    <w:rsid w:val="00025EF3"/>
    <w:rsid w:val="0002757C"/>
    <w:rsid w:val="00027AFE"/>
    <w:rsid w:val="000317E3"/>
    <w:rsid w:val="00033B22"/>
    <w:rsid w:val="00034012"/>
    <w:rsid w:val="00035BCB"/>
    <w:rsid w:val="00035C53"/>
    <w:rsid w:val="000371B9"/>
    <w:rsid w:val="000379CB"/>
    <w:rsid w:val="00037F0E"/>
    <w:rsid w:val="00041B5C"/>
    <w:rsid w:val="00043F0E"/>
    <w:rsid w:val="00044714"/>
    <w:rsid w:val="00044A5F"/>
    <w:rsid w:val="000452FD"/>
    <w:rsid w:val="000456D4"/>
    <w:rsid w:val="00046936"/>
    <w:rsid w:val="0005137A"/>
    <w:rsid w:val="00051A31"/>
    <w:rsid w:val="000539BF"/>
    <w:rsid w:val="00054645"/>
    <w:rsid w:val="0005643F"/>
    <w:rsid w:val="00056453"/>
    <w:rsid w:val="00056503"/>
    <w:rsid w:val="0005788E"/>
    <w:rsid w:val="00062374"/>
    <w:rsid w:val="00063C10"/>
    <w:rsid w:val="00064160"/>
    <w:rsid w:val="00064EFB"/>
    <w:rsid w:val="00070640"/>
    <w:rsid w:val="00070C5D"/>
    <w:rsid w:val="00070D91"/>
    <w:rsid w:val="00071B3D"/>
    <w:rsid w:val="000723D2"/>
    <w:rsid w:val="000725A2"/>
    <w:rsid w:val="000726C7"/>
    <w:rsid w:val="00074A8D"/>
    <w:rsid w:val="00076F19"/>
    <w:rsid w:val="0007754E"/>
    <w:rsid w:val="00080DC7"/>
    <w:rsid w:val="00081430"/>
    <w:rsid w:val="00082354"/>
    <w:rsid w:val="000825C4"/>
    <w:rsid w:val="00082821"/>
    <w:rsid w:val="00082C8B"/>
    <w:rsid w:val="00082E5F"/>
    <w:rsid w:val="00083F79"/>
    <w:rsid w:val="000854FD"/>
    <w:rsid w:val="0008583F"/>
    <w:rsid w:val="000862CC"/>
    <w:rsid w:val="0008678D"/>
    <w:rsid w:val="00086D3D"/>
    <w:rsid w:val="00091D39"/>
    <w:rsid w:val="0009302E"/>
    <w:rsid w:val="000947BA"/>
    <w:rsid w:val="00095AB3"/>
    <w:rsid w:val="000974EF"/>
    <w:rsid w:val="00097D37"/>
    <w:rsid w:val="00097DA6"/>
    <w:rsid w:val="000A0B7A"/>
    <w:rsid w:val="000A3A94"/>
    <w:rsid w:val="000A43D0"/>
    <w:rsid w:val="000B06B4"/>
    <w:rsid w:val="000B0BA7"/>
    <w:rsid w:val="000B1CF8"/>
    <w:rsid w:val="000B2B9D"/>
    <w:rsid w:val="000B32A4"/>
    <w:rsid w:val="000B33B6"/>
    <w:rsid w:val="000B4019"/>
    <w:rsid w:val="000B4B6C"/>
    <w:rsid w:val="000B5956"/>
    <w:rsid w:val="000B7294"/>
    <w:rsid w:val="000C1B01"/>
    <w:rsid w:val="000C2256"/>
    <w:rsid w:val="000C35C0"/>
    <w:rsid w:val="000C39F3"/>
    <w:rsid w:val="000C5399"/>
    <w:rsid w:val="000C5775"/>
    <w:rsid w:val="000C6093"/>
    <w:rsid w:val="000C6384"/>
    <w:rsid w:val="000C6436"/>
    <w:rsid w:val="000C7C16"/>
    <w:rsid w:val="000C7E17"/>
    <w:rsid w:val="000D028A"/>
    <w:rsid w:val="000D11D2"/>
    <w:rsid w:val="000D18BF"/>
    <w:rsid w:val="000D36DC"/>
    <w:rsid w:val="000D40AF"/>
    <w:rsid w:val="000D45DC"/>
    <w:rsid w:val="000D4ECE"/>
    <w:rsid w:val="000D5463"/>
    <w:rsid w:val="000D66A9"/>
    <w:rsid w:val="000E1660"/>
    <w:rsid w:val="000E2F52"/>
    <w:rsid w:val="000E38C9"/>
    <w:rsid w:val="000E3C3B"/>
    <w:rsid w:val="000E603D"/>
    <w:rsid w:val="000E6F4C"/>
    <w:rsid w:val="000E6F58"/>
    <w:rsid w:val="000F0817"/>
    <w:rsid w:val="000F234C"/>
    <w:rsid w:val="000F4288"/>
    <w:rsid w:val="000F4712"/>
    <w:rsid w:val="000F5003"/>
    <w:rsid w:val="000F565D"/>
    <w:rsid w:val="000F6255"/>
    <w:rsid w:val="000F7FB6"/>
    <w:rsid w:val="001015D9"/>
    <w:rsid w:val="00102942"/>
    <w:rsid w:val="00104130"/>
    <w:rsid w:val="00104E3E"/>
    <w:rsid w:val="00105883"/>
    <w:rsid w:val="00107320"/>
    <w:rsid w:val="001078C6"/>
    <w:rsid w:val="001104DC"/>
    <w:rsid w:val="00112987"/>
    <w:rsid w:val="001148FA"/>
    <w:rsid w:val="00115A0E"/>
    <w:rsid w:val="00116D44"/>
    <w:rsid w:val="0011716D"/>
    <w:rsid w:val="00117351"/>
    <w:rsid w:val="0011749D"/>
    <w:rsid w:val="001203B4"/>
    <w:rsid w:val="001203F9"/>
    <w:rsid w:val="00121B9E"/>
    <w:rsid w:val="00122072"/>
    <w:rsid w:val="00122CA2"/>
    <w:rsid w:val="00122D3D"/>
    <w:rsid w:val="001255F0"/>
    <w:rsid w:val="0012578D"/>
    <w:rsid w:val="00125D19"/>
    <w:rsid w:val="001266CA"/>
    <w:rsid w:val="0013057C"/>
    <w:rsid w:val="00130791"/>
    <w:rsid w:val="00130C38"/>
    <w:rsid w:val="00131E33"/>
    <w:rsid w:val="00132755"/>
    <w:rsid w:val="00134705"/>
    <w:rsid w:val="001348C6"/>
    <w:rsid w:val="001369DE"/>
    <w:rsid w:val="00136CEB"/>
    <w:rsid w:val="00137E17"/>
    <w:rsid w:val="00140A4E"/>
    <w:rsid w:val="00140C58"/>
    <w:rsid w:val="001414FB"/>
    <w:rsid w:val="00141895"/>
    <w:rsid w:val="0014346B"/>
    <w:rsid w:val="00143977"/>
    <w:rsid w:val="00145C3D"/>
    <w:rsid w:val="00146A0C"/>
    <w:rsid w:val="00147392"/>
    <w:rsid w:val="001508E2"/>
    <w:rsid w:val="001515F1"/>
    <w:rsid w:val="00152F86"/>
    <w:rsid w:val="00154338"/>
    <w:rsid w:val="0015479B"/>
    <w:rsid w:val="00155413"/>
    <w:rsid w:val="00156406"/>
    <w:rsid w:val="00160174"/>
    <w:rsid w:val="001602B5"/>
    <w:rsid w:val="00161C73"/>
    <w:rsid w:val="00165A79"/>
    <w:rsid w:val="001661EE"/>
    <w:rsid w:val="00166785"/>
    <w:rsid w:val="001667D0"/>
    <w:rsid w:val="00166979"/>
    <w:rsid w:val="00173376"/>
    <w:rsid w:val="00173494"/>
    <w:rsid w:val="00173608"/>
    <w:rsid w:val="00173F13"/>
    <w:rsid w:val="001747DF"/>
    <w:rsid w:val="00174D14"/>
    <w:rsid w:val="00174EC3"/>
    <w:rsid w:val="00175C40"/>
    <w:rsid w:val="00177272"/>
    <w:rsid w:val="00181191"/>
    <w:rsid w:val="00181BF7"/>
    <w:rsid w:val="0018297D"/>
    <w:rsid w:val="0018381B"/>
    <w:rsid w:val="00185624"/>
    <w:rsid w:val="00185BDC"/>
    <w:rsid w:val="001867E0"/>
    <w:rsid w:val="001870AC"/>
    <w:rsid w:val="0018784D"/>
    <w:rsid w:val="00187A4C"/>
    <w:rsid w:val="00191393"/>
    <w:rsid w:val="00194EC8"/>
    <w:rsid w:val="0019622F"/>
    <w:rsid w:val="0019745B"/>
    <w:rsid w:val="001A07A5"/>
    <w:rsid w:val="001A178B"/>
    <w:rsid w:val="001A24D0"/>
    <w:rsid w:val="001A3B58"/>
    <w:rsid w:val="001A4F3B"/>
    <w:rsid w:val="001A6374"/>
    <w:rsid w:val="001A670D"/>
    <w:rsid w:val="001B03E9"/>
    <w:rsid w:val="001B2657"/>
    <w:rsid w:val="001B2741"/>
    <w:rsid w:val="001B2D47"/>
    <w:rsid w:val="001B43CB"/>
    <w:rsid w:val="001B4C7E"/>
    <w:rsid w:val="001B5164"/>
    <w:rsid w:val="001C1139"/>
    <w:rsid w:val="001C2577"/>
    <w:rsid w:val="001C3BC2"/>
    <w:rsid w:val="001C4BF8"/>
    <w:rsid w:val="001C5421"/>
    <w:rsid w:val="001C57B0"/>
    <w:rsid w:val="001C7C6C"/>
    <w:rsid w:val="001D081A"/>
    <w:rsid w:val="001D1772"/>
    <w:rsid w:val="001D22F5"/>
    <w:rsid w:val="001D3D45"/>
    <w:rsid w:val="001D5158"/>
    <w:rsid w:val="001D5BEC"/>
    <w:rsid w:val="001D5C25"/>
    <w:rsid w:val="001D5D9E"/>
    <w:rsid w:val="001D6C2F"/>
    <w:rsid w:val="001D70C6"/>
    <w:rsid w:val="001E05A0"/>
    <w:rsid w:val="001E0E19"/>
    <w:rsid w:val="001E250D"/>
    <w:rsid w:val="001E2601"/>
    <w:rsid w:val="001E2FA7"/>
    <w:rsid w:val="001E3408"/>
    <w:rsid w:val="001E343E"/>
    <w:rsid w:val="001E3877"/>
    <w:rsid w:val="001E3CE9"/>
    <w:rsid w:val="001E4002"/>
    <w:rsid w:val="001E4088"/>
    <w:rsid w:val="001E60AF"/>
    <w:rsid w:val="001E633F"/>
    <w:rsid w:val="001F4902"/>
    <w:rsid w:val="001F4A76"/>
    <w:rsid w:val="001F4C0C"/>
    <w:rsid w:val="001F69BD"/>
    <w:rsid w:val="001F6BDD"/>
    <w:rsid w:val="001F6C48"/>
    <w:rsid w:val="001F6FE9"/>
    <w:rsid w:val="00201A26"/>
    <w:rsid w:val="0020235E"/>
    <w:rsid w:val="00202AAB"/>
    <w:rsid w:val="002042CC"/>
    <w:rsid w:val="00206217"/>
    <w:rsid w:val="00207290"/>
    <w:rsid w:val="0020775E"/>
    <w:rsid w:val="00210265"/>
    <w:rsid w:val="002112E9"/>
    <w:rsid w:val="0021144B"/>
    <w:rsid w:val="00212847"/>
    <w:rsid w:val="00213D35"/>
    <w:rsid w:val="00215E10"/>
    <w:rsid w:val="00215F7E"/>
    <w:rsid w:val="0022008D"/>
    <w:rsid w:val="00220522"/>
    <w:rsid w:val="00220565"/>
    <w:rsid w:val="00222ABA"/>
    <w:rsid w:val="00222F72"/>
    <w:rsid w:val="00223D08"/>
    <w:rsid w:val="00224872"/>
    <w:rsid w:val="00224B3C"/>
    <w:rsid w:val="00227B67"/>
    <w:rsid w:val="00230D1C"/>
    <w:rsid w:val="00230F63"/>
    <w:rsid w:val="0023378E"/>
    <w:rsid w:val="002340AB"/>
    <w:rsid w:val="002346BD"/>
    <w:rsid w:val="002357DF"/>
    <w:rsid w:val="00235DA1"/>
    <w:rsid w:val="00235FD1"/>
    <w:rsid w:val="00236C8D"/>
    <w:rsid w:val="0024033B"/>
    <w:rsid w:val="00240EBA"/>
    <w:rsid w:val="00241D2E"/>
    <w:rsid w:val="00242AC5"/>
    <w:rsid w:val="00243B33"/>
    <w:rsid w:val="00243D51"/>
    <w:rsid w:val="002444FA"/>
    <w:rsid w:val="0024566B"/>
    <w:rsid w:val="00245A8D"/>
    <w:rsid w:val="00245D9E"/>
    <w:rsid w:val="00246BBB"/>
    <w:rsid w:val="00250510"/>
    <w:rsid w:val="00250826"/>
    <w:rsid w:val="002508A4"/>
    <w:rsid w:val="002508F7"/>
    <w:rsid w:val="0025189C"/>
    <w:rsid w:val="002529A6"/>
    <w:rsid w:val="00253C95"/>
    <w:rsid w:val="002553B3"/>
    <w:rsid w:val="00260207"/>
    <w:rsid w:val="002611B9"/>
    <w:rsid w:val="0026205F"/>
    <w:rsid w:val="002622FE"/>
    <w:rsid w:val="00262BE6"/>
    <w:rsid w:val="00262C3B"/>
    <w:rsid w:val="0026345C"/>
    <w:rsid w:val="0026384B"/>
    <w:rsid w:val="002645BD"/>
    <w:rsid w:val="00266B8C"/>
    <w:rsid w:val="0026733D"/>
    <w:rsid w:val="002674E7"/>
    <w:rsid w:val="00270932"/>
    <w:rsid w:val="0027220A"/>
    <w:rsid w:val="002723C2"/>
    <w:rsid w:val="00273478"/>
    <w:rsid w:val="002739B7"/>
    <w:rsid w:val="00273FF6"/>
    <w:rsid w:val="00280C39"/>
    <w:rsid w:val="0028217C"/>
    <w:rsid w:val="00282CDF"/>
    <w:rsid w:val="00283F5C"/>
    <w:rsid w:val="00284AE0"/>
    <w:rsid w:val="00285135"/>
    <w:rsid w:val="00286687"/>
    <w:rsid w:val="00287AC5"/>
    <w:rsid w:val="0029162C"/>
    <w:rsid w:val="0029195D"/>
    <w:rsid w:val="00291B73"/>
    <w:rsid w:val="00291B8C"/>
    <w:rsid w:val="00292739"/>
    <w:rsid w:val="00292A80"/>
    <w:rsid w:val="00295515"/>
    <w:rsid w:val="0029656C"/>
    <w:rsid w:val="002969A1"/>
    <w:rsid w:val="002A04BC"/>
    <w:rsid w:val="002A0C38"/>
    <w:rsid w:val="002A203B"/>
    <w:rsid w:val="002A2596"/>
    <w:rsid w:val="002A5F20"/>
    <w:rsid w:val="002A745C"/>
    <w:rsid w:val="002B0F53"/>
    <w:rsid w:val="002B1124"/>
    <w:rsid w:val="002B2681"/>
    <w:rsid w:val="002B2B1E"/>
    <w:rsid w:val="002B56B4"/>
    <w:rsid w:val="002B5A0B"/>
    <w:rsid w:val="002B5A84"/>
    <w:rsid w:val="002B6659"/>
    <w:rsid w:val="002B6699"/>
    <w:rsid w:val="002B7211"/>
    <w:rsid w:val="002B7249"/>
    <w:rsid w:val="002B73E3"/>
    <w:rsid w:val="002B792C"/>
    <w:rsid w:val="002C0243"/>
    <w:rsid w:val="002C09CC"/>
    <w:rsid w:val="002C1A6F"/>
    <w:rsid w:val="002C2256"/>
    <w:rsid w:val="002C4118"/>
    <w:rsid w:val="002C4FC1"/>
    <w:rsid w:val="002C506B"/>
    <w:rsid w:val="002C5A69"/>
    <w:rsid w:val="002C6CD3"/>
    <w:rsid w:val="002C6FEB"/>
    <w:rsid w:val="002C70D3"/>
    <w:rsid w:val="002D0879"/>
    <w:rsid w:val="002D0B0E"/>
    <w:rsid w:val="002D1439"/>
    <w:rsid w:val="002D4053"/>
    <w:rsid w:val="002D4219"/>
    <w:rsid w:val="002D58E1"/>
    <w:rsid w:val="002D7EC0"/>
    <w:rsid w:val="002D7FE7"/>
    <w:rsid w:val="002E0399"/>
    <w:rsid w:val="002E2B35"/>
    <w:rsid w:val="002E3B2A"/>
    <w:rsid w:val="002E3FF8"/>
    <w:rsid w:val="002E4CE7"/>
    <w:rsid w:val="002E5234"/>
    <w:rsid w:val="002E5476"/>
    <w:rsid w:val="002E54C6"/>
    <w:rsid w:val="002E55D4"/>
    <w:rsid w:val="002E5B68"/>
    <w:rsid w:val="002E7622"/>
    <w:rsid w:val="002E79B0"/>
    <w:rsid w:val="002F0712"/>
    <w:rsid w:val="002F0CB6"/>
    <w:rsid w:val="002F2FF3"/>
    <w:rsid w:val="002F36E0"/>
    <w:rsid w:val="002F4838"/>
    <w:rsid w:val="002F56FB"/>
    <w:rsid w:val="002F662E"/>
    <w:rsid w:val="002F7B0D"/>
    <w:rsid w:val="002F7D63"/>
    <w:rsid w:val="0030116D"/>
    <w:rsid w:val="00302462"/>
    <w:rsid w:val="003033A6"/>
    <w:rsid w:val="00305798"/>
    <w:rsid w:val="00305A5D"/>
    <w:rsid w:val="00306109"/>
    <w:rsid w:val="003066F2"/>
    <w:rsid w:val="00306FD4"/>
    <w:rsid w:val="00307BC6"/>
    <w:rsid w:val="00310D71"/>
    <w:rsid w:val="0031220A"/>
    <w:rsid w:val="00315524"/>
    <w:rsid w:val="00316F95"/>
    <w:rsid w:val="00320585"/>
    <w:rsid w:val="0032092A"/>
    <w:rsid w:val="00321674"/>
    <w:rsid w:val="00322934"/>
    <w:rsid w:val="003233D0"/>
    <w:rsid w:val="00323AF1"/>
    <w:rsid w:val="00323CAE"/>
    <w:rsid w:val="00325851"/>
    <w:rsid w:val="00332A39"/>
    <w:rsid w:val="00332E08"/>
    <w:rsid w:val="00334B1D"/>
    <w:rsid w:val="00334E31"/>
    <w:rsid w:val="003356C1"/>
    <w:rsid w:val="00336860"/>
    <w:rsid w:val="00340FFE"/>
    <w:rsid w:val="003423E8"/>
    <w:rsid w:val="0034271A"/>
    <w:rsid w:val="003434D4"/>
    <w:rsid w:val="00344F6C"/>
    <w:rsid w:val="00345381"/>
    <w:rsid w:val="003469C1"/>
    <w:rsid w:val="00350FDF"/>
    <w:rsid w:val="003516BD"/>
    <w:rsid w:val="00352436"/>
    <w:rsid w:val="00354125"/>
    <w:rsid w:val="00355210"/>
    <w:rsid w:val="0035645B"/>
    <w:rsid w:val="003574D5"/>
    <w:rsid w:val="00361DB2"/>
    <w:rsid w:val="003627B4"/>
    <w:rsid w:val="003636DD"/>
    <w:rsid w:val="003648EA"/>
    <w:rsid w:val="00364907"/>
    <w:rsid w:val="0036612E"/>
    <w:rsid w:val="0036624B"/>
    <w:rsid w:val="00366C86"/>
    <w:rsid w:val="0036752E"/>
    <w:rsid w:val="00370620"/>
    <w:rsid w:val="00370B7E"/>
    <w:rsid w:val="00375FA7"/>
    <w:rsid w:val="00377304"/>
    <w:rsid w:val="00377317"/>
    <w:rsid w:val="003776EA"/>
    <w:rsid w:val="00380028"/>
    <w:rsid w:val="00380203"/>
    <w:rsid w:val="003812B3"/>
    <w:rsid w:val="00383F40"/>
    <w:rsid w:val="003849F7"/>
    <w:rsid w:val="0038522F"/>
    <w:rsid w:val="00385381"/>
    <w:rsid w:val="0038574F"/>
    <w:rsid w:val="0038583C"/>
    <w:rsid w:val="00385EF1"/>
    <w:rsid w:val="003867A4"/>
    <w:rsid w:val="00390987"/>
    <w:rsid w:val="003910F2"/>
    <w:rsid w:val="003915FB"/>
    <w:rsid w:val="003924BA"/>
    <w:rsid w:val="00393841"/>
    <w:rsid w:val="00393EF6"/>
    <w:rsid w:val="00394B97"/>
    <w:rsid w:val="00394DF1"/>
    <w:rsid w:val="00395878"/>
    <w:rsid w:val="003962E0"/>
    <w:rsid w:val="00396549"/>
    <w:rsid w:val="00396A87"/>
    <w:rsid w:val="00397232"/>
    <w:rsid w:val="003A03CE"/>
    <w:rsid w:val="003A1862"/>
    <w:rsid w:val="003A18F8"/>
    <w:rsid w:val="003A340B"/>
    <w:rsid w:val="003A3635"/>
    <w:rsid w:val="003A3690"/>
    <w:rsid w:val="003A4C1A"/>
    <w:rsid w:val="003A4D36"/>
    <w:rsid w:val="003A53EC"/>
    <w:rsid w:val="003A6548"/>
    <w:rsid w:val="003A700D"/>
    <w:rsid w:val="003A7407"/>
    <w:rsid w:val="003A79CC"/>
    <w:rsid w:val="003B0645"/>
    <w:rsid w:val="003B1635"/>
    <w:rsid w:val="003B1D55"/>
    <w:rsid w:val="003B29C0"/>
    <w:rsid w:val="003B2FD6"/>
    <w:rsid w:val="003B3D92"/>
    <w:rsid w:val="003B4886"/>
    <w:rsid w:val="003B4C1E"/>
    <w:rsid w:val="003B5426"/>
    <w:rsid w:val="003B5BD1"/>
    <w:rsid w:val="003B60B9"/>
    <w:rsid w:val="003B79F5"/>
    <w:rsid w:val="003C04CD"/>
    <w:rsid w:val="003C12B3"/>
    <w:rsid w:val="003C17E0"/>
    <w:rsid w:val="003C1FED"/>
    <w:rsid w:val="003C2F82"/>
    <w:rsid w:val="003C356A"/>
    <w:rsid w:val="003C38D6"/>
    <w:rsid w:val="003C44B4"/>
    <w:rsid w:val="003C518C"/>
    <w:rsid w:val="003C6BE6"/>
    <w:rsid w:val="003C7B4E"/>
    <w:rsid w:val="003D0996"/>
    <w:rsid w:val="003D23D0"/>
    <w:rsid w:val="003D3310"/>
    <w:rsid w:val="003D7252"/>
    <w:rsid w:val="003D74BE"/>
    <w:rsid w:val="003D75BE"/>
    <w:rsid w:val="003E0BAC"/>
    <w:rsid w:val="003E0D11"/>
    <w:rsid w:val="003E10B6"/>
    <w:rsid w:val="003E151D"/>
    <w:rsid w:val="003E280F"/>
    <w:rsid w:val="003E3943"/>
    <w:rsid w:val="003E3B04"/>
    <w:rsid w:val="003E404F"/>
    <w:rsid w:val="003E48D7"/>
    <w:rsid w:val="003E4ECE"/>
    <w:rsid w:val="003E5090"/>
    <w:rsid w:val="003E525B"/>
    <w:rsid w:val="003E60D0"/>
    <w:rsid w:val="003F0E4C"/>
    <w:rsid w:val="003F3D06"/>
    <w:rsid w:val="003F509C"/>
    <w:rsid w:val="003F50EF"/>
    <w:rsid w:val="003F79D1"/>
    <w:rsid w:val="0040080F"/>
    <w:rsid w:val="00402611"/>
    <w:rsid w:val="004048E1"/>
    <w:rsid w:val="0040678B"/>
    <w:rsid w:val="0040727E"/>
    <w:rsid w:val="0040782C"/>
    <w:rsid w:val="0041003E"/>
    <w:rsid w:val="004110E1"/>
    <w:rsid w:val="00411443"/>
    <w:rsid w:val="00411C17"/>
    <w:rsid w:val="00412437"/>
    <w:rsid w:val="00412AFB"/>
    <w:rsid w:val="0041409A"/>
    <w:rsid w:val="00415268"/>
    <w:rsid w:val="00415399"/>
    <w:rsid w:val="00415775"/>
    <w:rsid w:val="00415D69"/>
    <w:rsid w:val="00416959"/>
    <w:rsid w:val="0041764B"/>
    <w:rsid w:val="00417793"/>
    <w:rsid w:val="004201AA"/>
    <w:rsid w:val="00421F03"/>
    <w:rsid w:val="00423602"/>
    <w:rsid w:val="00423DEA"/>
    <w:rsid w:val="004240B6"/>
    <w:rsid w:val="00424697"/>
    <w:rsid w:val="00425191"/>
    <w:rsid w:val="00425E14"/>
    <w:rsid w:val="004262F6"/>
    <w:rsid w:val="004269D2"/>
    <w:rsid w:val="00427C84"/>
    <w:rsid w:val="004300CC"/>
    <w:rsid w:val="00430410"/>
    <w:rsid w:val="004308D4"/>
    <w:rsid w:val="0043109D"/>
    <w:rsid w:val="004318B9"/>
    <w:rsid w:val="00431998"/>
    <w:rsid w:val="0043247B"/>
    <w:rsid w:val="00433648"/>
    <w:rsid w:val="00434936"/>
    <w:rsid w:val="00434C37"/>
    <w:rsid w:val="00434C4B"/>
    <w:rsid w:val="00434D65"/>
    <w:rsid w:val="00436104"/>
    <w:rsid w:val="004362E3"/>
    <w:rsid w:val="00436CC6"/>
    <w:rsid w:val="00440B3C"/>
    <w:rsid w:val="004446AD"/>
    <w:rsid w:val="00444B8C"/>
    <w:rsid w:val="00446CB7"/>
    <w:rsid w:val="004479DB"/>
    <w:rsid w:val="00447EBC"/>
    <w:rsid w:val="00450B97"/>
    <w:rsid w:val="00450F48"/>
    <w:rsid w:val="00450F74"/>
    <w:rsid w:val="00451116"/>
    <w:rsid w:val="00452066"/>
    <w:rsid w:val="004534F9"/>
    <w:rsid w:val="0045489F"/>
    <w:rsid w:val="00454A63"/>
    <w:rsid w:val="00456950"/>
    <w:rsid w:val="00457646"/>
    <w:rsid w:val="00457D44"/>
    <w:rsid w:val="004618D0"/>
    <w:rsid w:val="00462F5C"/>
    <w:rsid w:val="00463668"/>
    <w:rsid w:val="00471BF9"/>
    <w:rsid w:val="0047424C"/>
    <w:rsid w:val="004746DE"/>
    <w:rsid w:val="00474889"/>
    <w:rsid w:val="004756CC"/>
    <w:rsid w:val="00475880"/>
    <w:rsid w:val="0047605E"/>
    <w:rsid w:val="00477F34"/>
    <w:rsid w:val="0048047E"/>
    <w:rsid w:val="004826DD"/>
    <w:rsid w:val="004835B1"/>
    <w:rsid w:val="00484913"/>
    <w:rsid w:val="00484F4B"/>
    <w:rsid w:val="004856E2"/>
    <w:rsid w:val="0048586F"/>
    <w:rsid w:val="00485A28"/>
    <w:rsid w:val="00487A28"/>
    <w:rsid w:val="00487C6F"/>
    <w:rsid w:val="00490849"/>
    <w:rsid w:val="00490B2D"/>
    <w:rsid w:val="00491237"/>
    <w:rsid w:val="0049699B"/>
    <w:rsid w:val="004971D6"/>
    <w:rsid w:val="004A0C8D"/>
    <w:rsid w:val="004A1064"/>
    <w:rsid w:val="004A538A"/>
    <w:rsid w:val="004A56B3"/>
    <w:rsid w:val="004A57F2"/>
    <w:rsid w:val="004A5C9F"/>
    <w:rsid w:val="004A651F"/>
    <w:rsid w:val="004A6E22"/>
    <w:rsid w:val="004A7631"/>
    <w:rsid w:val="004B6A4C"/>
    <w:rsid w:val="004B6F0D"/>
    <w:rsid w:val="004B6F8C"/>
    <w:rsid w:val="004B7D37"/>
    <w:rsid w:val="004B7D97"/>
    <w:rsid w:val="004B7ED5"/>
    <w:rsid w:val="004C1565"/>
    <w:rsid w:val="004C1DEC"/>
    <w:rsid w:val="004C1FA6"/>
    <w:rsid w:val="004C4888"/>
    <w:rsid w:val="004C4AB1"/>
    <w:rsid w:val="004C55D3"/>
    <w:rsid w:val="004C6722"/>
    <w:rsid w:val="004D1363"/>
    <w:rsid w:val="004D1D1F"/>
    <w:rsid w:val="004D2843"/>
    <w:rsid w:val="004D30DA"/>
    <w:rsid w:val="004D3496"/>
    <w:rsid w:val="004D3D0E"/>
    <w:rsid w:val="004D5013"/>
    <w:rsid w:val="004D7D46"/>
    <w:rsid w:val="004E4B21"/>
    <w:rsid w:val="004E75DD"/>
    <w:rsid w:val="004E790E"/>
    <w:rsid w:val="004E7C33"/>
    <w:rsid w:val="004E7CE6"/>
    <w:rsid w:val="004F2BA4"/>
    <w:rsid w:val="004F33AD"/>
    <w:rsid w:val="004F4D4C"/>
    <w:rsid w:val="004F58F5"/>
    <w:rsid w:val="004F72C7"/>
    <w:rsid w:val="004F7DE7"/>
    <w:rsid w:val="00502592"/>
    <w:rsid w:val="0050389F"/>
    <w:rsid w:val="00503CA4"/>
    <w:rsid w:val="00504586"/>
    <w:rsid w:val="00504CFB"/>
    <w:rsid w:val="00506028"/>
    <w:rsid w:val="00506255"/>
    <w:rsid w:val="00507D4A"/>
    <w:rsid w:val="00511A11"/>
    <w:rsid w:val="00511FEF"/>
    <w:rsid w:val="00513938"/>
    <w:rsid w:val="00513E4F"/>
    <w:rsid w:val="00515966"/>
    <w:rsid w:val="00516175"/>
    <w:rsid w:val="005166C7"/>
    <w:rsid w:val="005173D1"/>
    <w:rsid w:val="00517A99"/>
    <w:rsid w:val="00520F5A"/>
    <w:rsid w:val="005220DE"/>
    <w:rsid w:val="005223CA"/>
    <w:rsid w:val="00523FFE"/>
    <w:rsid w:val="00524A72"/>
    <w:rsid w:val="00525594"/>
    <w:rsid w:val="0052687A"/>
    <w:rsid w:val="00527240"/>
    <w:rsid w:val="005275CE"/>
    <w:rsid w:val="0052784F"/>
    <w:rsid w:val="005279BD"/>
    <w:rsid w:val="005307FD"/>
    <w:rsid w:val="005313C4"/>
    <w:rsid w:val="00532955"/>
    <w:rsid w:val="00533034"/>
    <w:rsid w:val="00533779"/>
    <w:rsid w:val="0053470D"/>
    <w:rsid w:val="00534724"/>
    <w:rsid w:val="00534E25"/>
    <w:rsid w:val="0053571E"/>
    <w:rsid w:val="00536751"/>
    <w:rsid w:val="00536AA7"/>
    <w:rsid w:val="005405F0"/>
    <w:rsid w:val="0054098A"/>
    <w:rsid w:val="00540A1F"/>
    <w:rsid w:val="00542922"/>
    <w:rsid w:val="00544C7C"/>
    <w:rsid w:val="00545035"/>
    <w:rsid w:val="00545B1F"/>
    <w:rsid w:val="00546587"/>
    <w:rsid w:val="00550F3B"/>
    <w:rsid w:val="00553385"/>
    <w:rsid w:val="00553E79"/>
    <w:rsid w:val="0055410E"/>
    <w:rsid w:val="00554A06"/>
    <w:rsid w:val="00554C6E"/>
    <w:rsid w:val="00555E77"/>
    <w:rsid w:val="005631AB"/>
    <w:rsid w:val="00565644"/>
    <w:rsid w:val="00566836"/>
    <w:rsid w:val="00570974"/>
    <w:rsid w:val="00571A16"/>
    <w:rsid w:val="005736C6"/>
    <w:rsid w:val="005738AA"/>
    <w:rsid w:val="00574C56"/>
    <w:rsid w:val="005750BA"/>
    <w:rsid w:val="005777D6"/>
    <w:rsid w:val="00581FB7"/>
    <w:rsid w:val="00582BF4"/>
    <w:rsid w:val="00586A72"/>
    <w:rsid w:val="00586FF0"/>
    <w:rsid w:val="00590305"/>
    <w:rsid w:val="00590F08"/>
    <w:rsid w:val="00591E90"/>
    <w:rsid w:val="005939BB"/>
    <w:rsid w:val="00593BC1"/>
    <w:rsid w:val="00594FBE"/>
    <w:rsid w:val="005958D6"/>
    <w:rsid w:val="00595B2D"/>
    <w:rsid w:val="00595CDE"/>
    <w:rsid w:val="00595F3A"/>
    <w:rsid w:val="005964CF"/>
    <w:rsid w:val="005969E7"/>
    <w:rsid w:val="005974C0"/>
    <w:rsid w:val="005A037B"/>
    <w:rsid w:val="005A0B5D"/>
    <w:rsid w:val="005A1AF5"/>
    <w:rsid w:val="005A1B94"/>
    <w:rsid w:val="005A2762"/>
    <w:rsid w:val="005A2803"/>
    <w:rsid w:val="005A2B11"/>
    <w:rsid w:val="005A2B25"/>
    <w:rsid w:val="005A2FF3"/>
    <w:rsid w:val="005A4438"/>
    <w:rsid w:val="005A45C2"/>
    <w:rsid w:val="005A49CD"/>
    <w:rsid w:val="005A5334"/>
    <w:rsid w:val="005A6315"/>
    <w:rsid w:val="005A751D"/>
    <w:rsid w:val="005B0E7D"/>
    <w:rsid w:val="005B11FC"/>
    <w:rsid w:val="005B2DEF"/>
    <w:rsid w:val="005B317F"/>
    <w:rsid w:val="005B3B07"/>
    <w:rsid w:val="005B41A1"/>
    <w:rsid w:val="005B6919"/>
    <w:rsid w:val="005B6A92"/>
    <w:rsid w:val="005C0167"/>
    <w:rsid w:val="005C0B7A"/>
    <w:rsid w:val="005C18BF"/>
    <w:rsid w:val="005C1DB1"/>
    <w:rsid w:val="005C2402"/>
    <w:rsid w:val="005C3948"/>
    <w:rsid w:val="005C3A46"/>
    <w:rsid w:val="005C3CB0"/>
    <w:rsid w:val="005C3E4B"/>
    <w:rsid w:val="005C3EA8"/>
    <w:rsid w:val="005C443E"/>
    <w:rsid w:val="005C49F7"/>
    <w:rsid w:val="005C548D"/>
    <w:rsid w:val="005C65EB"/>
    <w:rsid w:val="005C7D40"/>
    <w:rsid w:val="005D050E"/>
    <w:rsid w:val="005D08D9"/>
    <w:rsid w:val="005D0C51"/>
    <w:rsid w:val="005D1014"/>
    <w:rsid w:val="005D1FCE"/>
    <w:rsid w:val="005D22D8"/>
    <w:rsid w:val="005D4B23"/>
    <w:rsid w:val="005D5BFF"/>
    <w:rsid w:val="005D608F"/>
    <w:rsid w:val="005D6ABF"/>
    <w:rsid w:val="005E1CDA"/>
    <w:rsid w:val="005E208C"/>
    <w:rsid w:val="005E2DC4"/>
    <w:rsid w:val="005E30AA"/>
    <w:rsid w:val="005E4A0C"/>
    <w:rsid w:val="005E5566"/>
    <w:rsid w:val="005E5981"/>
    <w:rsid w:val="005E6524"/>
    <w:rsid w:val="005E6D39"/>
    <w:rsid w:val="005E7D33"/>
    <w:rsid w:val="005F0096"/>
    <w:rsid w:val="005F1F8D"/>
    <w:rsid w:val="005F3397"/>
    <w:rsid w:val="005F3E50"/>
    <w:rsid w:val="005F53F1"/>
    <w:rsid w:val="005F59AB"/>
    <w:rsid w:val="005F5BE6"/>
    <w:rsid w:val="005F5CBC"/>
    <w:rsid w:val="005F770C"/>
    <w:rsid w:val="006022BB"/>
    <w:rsid w:val="006033C2"/>
    <w:rsid w:val="00603B3F"/>
    <w:rsid w:val="00604499"/>
    <w:rsid w:val="0060463F"/>
    <w:rsid w:val="00604B77"/>
    <w:rsid w:val="00605556"/>
    <w:rsid w:val="0060616E"/>
    <w:rsid w:val="00606432"/>
    <w:rsid w:val="006064E2"/>
    <w:rsid w:val="00611009"/>
    <w:rsid w:val="00613FA3"/>
    <w:rsid w:val="00617028"/>
    <w:rsid w:val="00617EEF"/>
    <w:rsid w:val="006205D1"/>
    <w:rsid w:val="00621B60"/>
    <w:rsid w:val="00621DFC"/>
    <w:rsid w:val="00622617"/>
    <w:rsid w:val="006231B6"/>
    <w:rsid w:val="006245FE"/>
    <w:rsid w:val="00624B04"/>
    <w:rsid w:val="00624CEE"/>
    <w:rsid w:val="00624D35"/>
    <w:rsid w:val="00625135"/>
    <w:rsid w:val="0062673A"/>
    <w:rsid w:val="00626C84"/>
    <w:rsid w:val="00630508"/>
    <w:rsid w:val="006321EA"/>
    <w:rsid w:val="00632776"/>
    <w:rsid w:val="00634C97"/>
    <w:rsid w:val="00635CDB"/>
    <w:rsid w:val="00640564"/>
    <w:rsid w:val="00641906"/>
    <w:rsid w:val="00642002"/>
    <w:rsid w:val="00650202"/>
    <w:rsid w:val="0065022C"/>
    <w:rsid w:val="00651459"/>
    <w:rsid w:val="006516C1"/>
    <w:rsid w:val="0065275B"/>
    <w:rsid w:val="00652995"/>
    <w:rsid w:val="0065351B"/>
    <w:rsid w:val="00653A0E"/>
    <w:rsid w:val="00654905"/>
    <w:rsid w:val="006550CB"/>
    <w:rsid w:val="006556A1"/>
    <w:rsid w:val="006564D7"/>
    <w:rsid w:val="0066002D"/>
    <w:rsid w:val="00661D99"/>
    <w:rsid w:val="00661E25"/>
    <w:rsid w:val="00663614"/>
    <w:rsid w:val="00663AF2"/>
    <w:rsid w:val="00664E06"/>
    <w:rsid w:val="00665C8B"/>
    <w:rsid w:val="00666499"/>
    <w:rsid w:val="00667057"/>
    <w:rsid w:val="00667148"/>
    <w:rsid w:val="00667A6A"/>
    <w:rsid w:val="00670716"/>
    <w:rsid w:val="00671216"/>
    <w:rsid w:val="006718EB"/>
    <w:rsid w:val="00672AEC"/>
    <w:rsid w:val="00673519"/>
    <w:rsid w:val="006741D5"/>
    <w:rsid w:val="00675A5C"/>
    <w:rsid w:val="00681986"/>
    <w:rsid w:val="00681AA0"/>
    <w:rsid w:val="00683120"/>
    <w:rsid w:val="00685952"/>
    <w:rsid w:val="00686F06"/>
    <w:rsid w:val="00687290"/>
    <w:rsid w:val="00687295"/>
    <w:rsid w:val="006903C8"/>
    <w:rsid w:val="00690807"/>
    <w:rsid w:val="006913EC"/>
    <w:rsid w:val="006940DB"/>
    <w:rsid w:val="00694173"/>
    <w:rsid w:val="00695536"/>
    <w:rsid w:val="00695649"/>
    <w:rsid w:val="0069632E"/>
    <w:rsid w:val="00696659"/>
    <w:rsid w:val="00697B98"/>
    <w:rsid w:val="00697BDB"/>
    <w:rsid w:val="00697E9A"/>
    <w:rsid w:val="006A06A5"/>
    <w:rsid w:val="006A0BDF"/>
    <w:rsid w:val="006A42B8"/>
    <w:rsid w:val="006A53BB"/>
    <w:rsid w:val="006A5816"/>
    <w:rsid w:val="006A5C1D"/>
    <w:rsid w:val="006A75BB"/>
    <w:rsid w:val="006B047B"/>
    <w:rsid w:val="006B107F"/>
    <w:rsid w:val="006B1607"/>
    <w:rsid w:val="006B1BCD"/>
    <w:rsid w:val="006B3DBA"/>
    <w:rsid w:val="006B3FDD"/>
    <w:rsid w:val="006B4FD3"/>
    <w:rsid w:val="006B65FE"/>
    <w:rsid w:val="006B6A72"/>
    <w:rsid w:val="006C03A2"/>
    <w:rsid w:val="006C04E5"/>
    <w:rsid w:val="006C0DBB"/>
    <w:rsid w:val="006C16AA"/>
    <w:rsid w:val="006C430A"/>
    <w:rsid w:val="006C513B"/>
    <w:rsid w:val="006C5280"/>
    <w:rsid w:val="006C532C"/>
    <w:rsid w:val="006C53B8"/>
    <w:rsid w:val="006C59D5"/>
    <w:rsid w:val="006C7C88"/>
    <w:rsid w:val="006D0704"/>
    <w:rsid w:val="006D0CC1"/>
    <w:rsid w:val="006D426F"/>
    <w:rsid w:val="006D4E13"/>
    <w:rsid w:val="006D5C14"/>
    <w:rsid w:val="006E13FE"/>
    <w:rsid w:val="006E2002"/>
    <w:rsid w:val="006E208E"/>
    <w:rsid w:val="006E285B"/>
    <w:rsid w:val="006E6357"/>
    <w:rsid w:val="006E6AA7"/>
    <w:rsid w:val="006F0F48"/>
    <w:rsid w:val="006F1FBA"/>
    <w:rsid w:val="006F20B7"/>
    <w:rsid w:val="006F2848"/>
    <w:rsid w:val="006F2EF7"/>
    <w:rsid w:val="006F32BF"/>
    <w:rsid w:val="006F468C"/>
    <w:rsid w:val="006F7C75"/>
    <w:rsid w:val="00700BD9"/>
    <w:rsid w:val="007011C7"/>
    <w:rsid w:val="00702F47"/>
    <w:rsid w:val="007036B6"/>
    <w:rsid w:val="00704B60"/>
    <w:rsid w:val="007061F8"/>
    <w:rsid w:val="00706BB8"/>
    <w:rsid w:val="00706F43"/>
    <w:rsid w:val="007079EE"/>
    <w:rsid w:val="00707DB0"/>
    <w:rsid w:val="0071020C"/>
    <w:rsid w:val="00712230"/>
    <w:rsid w:val="00712E82"/>
    <w:rsid w:val="0071322F"/>
    <w:rsid w:val="00713686"/>
    <w:rsid w:val="00713E5A"/>
    <w:rsid w:val="00715DA2"/>
    <w:rsid w:val="007178DB"/>
    <w:rsid w:val="00720C38"/>
    <w:rsid w:val="007223B0"/>
    <w:rsid w:val="0072474D"/>
    <w:rsid w:val="00726829"/>
    <w:rsid w:val="00730224"/>
    <w:rsid w:val="00732AAD"/>
    <w:rsid w:val="007331EF"/>
    <w:rsid w:val="0073484F"/>
    <w:rsid w:val="00734A65"/>
    <w:rsid w:val="00734E1C"/>
    <w:rsid w:val="0073771A"/>
    <w:rsid w:val="007404FB"/>
    <w:rsid w:val="00740D78"/>
    <w:rsid w:val="00740FA3"/>
    <w:rsid w:val="00741A90"/>
    <w:rsid w:val="007422CE"/>
    <w:rsid w:val="007423D4"/>
    <w:rsid w:val="007424FA"/>
    <w:rsid w:val="00743457"/>
    <w:rsid w:val="00743DAD"/>
    <w:rsid w:val="00743F5E"/>
    <w:rsid w:val="007443D3"/>
    <w:rsid w:val="00744F86"/>
    <w:rsid w:val="00745F8E"/>
    <w:rsid w:val="0074661C"/>
    <w:rsid w:val="00746D21"/>
    <w:rsid w:val="00747847"/>
    <w:rsid w:val="0075002A"/>
    <w:rsid w:val="00750104"/>
    <w:rsid w:val="00750397"/>
    <w:rsid w:val="00751D86"/>
    <w:rsid w:val="00753A0E"/>
    <w:rsid w:val="00754D68"/>
    <w:rsid w:val="007556D1"/>
    <w:rsid w:val="00755B6D"/>
    <w:rsid w:val="00755C6D"/>
    <w:rsid w:val="00755ED0"/>
    <w:rsid w:val="00756C74"/>
    <w:rsid w:val="0076016E"/>
    <w:rsid w:val="0076045F"/>
    <w:rsid w:val="00760E8C"/>
    <w:rsid w:val="00761D9F"/>
    <w:rsid w:val="00762C16"/>
    <w:rsid w:val="007630C3"/>
    <w:rsid w:val="00763CD9"/>
    <w:rsid w:val="00763CF4"/>
    <w:rsid w:val="00765406"/>
    <w:rsid w:val="00765C06"/>
    <w:rsid w:val="00765E3D"/>
    <w:rsid w:val="00765F28"/>
    <w:rsid w:val="00766475"/>
    <w:rsid w:val="007679ED"/>
    <w:rsid w:val="00767B11"/>
    <w:rsid w:val="007732D5"/>
    <w:rsid w:val="0077364D"/>
    <w:rsid w:val="007736EA"/>
    <w:rsid w:val="007744D3"/>
    <w:rsid w:val="0077527F"/>
    <w:rsid w:val="00775B7F"/>
    <w:rsid w:val="0077701F"/>
    <w:rsid w:val="00777FB9"/>
    <w:rsid w:val="0078101E"/>
    <w:rsid w:val="007814D8"/>
    <w:rsid w:val="00781BDA"/>
    <w:rsid w:val="00781F0C"/>
    <w:rsid w:val="00783004"/>
    <w:rsid w:val="0078363F"/>
    <w:rsid w:val="0078388F"/>
    <w:rsid w:val="00785C6F"/>
    <w:rsid w:val="00785E0A"/>
    <w:rsid w:val="007915D4"/>
    <w:rsid w:val="00794570"/>
    <w:rsid w:val="00794C5F"/>
    <w:rsid w:val="00797DF0"/>
    <w:rsid w:val="007A0103"/>
    <w:rsid w:val="007A0341"/>
    <w:rsid w:val="007A13BE"/>
    <w:rsid w:val="007A2277"/>
    <w:rsid w:val="007A31D2"/>
    <w:rsid w:val="007A40F1"/>
    <w:rsid w:val="007A45DE"/>
    <w:rsid w:val="007A5515"/>
    <w:rsid w:val="007B0850"/>
    <w:rsid w:val="007B0858"/>
    <w:rsid w:val="007B0BAC"/>
    <w:rsid w:val="007B10A5"/>
    <w:rsid w:val="007B135D"/>
    <w:rsid w:val="007B2EB7"/>
    <w:rsid w:val="007C571F"/>
    <w:rsid w:val="007C59A0"/>
    <w:rsid w:val="007D00FE"/>
    <w:rsid w:val="007D06DA"/>
    <w:rsid w:val="007D0F2B"/>
    <w:rsid w:val="007D0FDC"/>
    <w:rsid w:val="007D3199"/>
    <w:rsid w:val="007D3858"/>
    <w:rsid w:val="007D3A11"/>
    <w:rsid w:val="007D5EE0"/>
    <w:rsid w:val="007E2312"/>
    <w:rsid w:val="007E4904"/>
    <w:rsid w:val="007E566F"/>
    <w:rsid w:val="007E63CF"/>
    <w:rsid w:val="007E6D71"/>
    <w:rsid w:val="007E6F62"/>
    <w:rsid w:val="007E725D"/>
    <w:rsid w:val="007F186C"/>
    <w:rsid w:val="007F2B60"/>
    <w:rsid w:val="007F40CA"/>
    <w:rsid w:val="007F40FB"/>
    <w:rsid w:val="007F4D3D"/>
    <w:rsid w:val="007F4E5A"/>
    <w:rsid w:val="007F51AE"/>
    <w:rsid w:val="007F51F6"/>
    <w:rsid w:val="007F58BC"/>
    <w:rsid w:val="007F5ED3"/>
    <w:rsid w:val="007F69EA"/>
    <w:rsid w:val="007F6AA5"/>
    <w:rsid w:val="007F6FB3"/>
    <w:rsid w:val="007F7567"/>
    <w:rsid w:val="008005B7"/>
    <w:rsid w:val="008018D0"/>
    <w:rsid w:val="00801A03"/>
    <w:rsid w:val="00801B3B"/>
    <w:rsid w:val="00801DE9"/>
    <w:rsid w:val="00802676"/>
    <w:rsid w:val="008035ED"/>
    <w:rsid w:val="00803A97"/>
    <w:rsid w:val="00803F2E"/>
    <w:rsid w:val="0080498D"/>
    <w:rsid w:val="00805358"/>
    <w:rsid w:val="0080557F"/>
    <w:rsid w:val="00805C5A"/>
    <w:rsid w:val="00806779"/>
    <w:rsid w:val="008070A8"/>
    <w:rsid w:val="008074B9"/>
    <w:rsid w:val="00807AAF"/>
    <w:rsid w:val="00810499"/>
    <w:rsid w:val="0081078D"/>
    <w:rsid w:val="00811495"/>
    <w:rsid w:val="0081166D"/>
    <w:rsid w:val="0081203C"/>
    <w:rsid w:val="00812812"/>
    <w:rsid w:val="00814A71"/>
    <w:rsid w:val="00815103"/>
    <w:rsid w:val="00815B5F"/>
    <w:rsid w:val="00815F4D"/>
    <w:rsid w:val="00816633"/>
    <w:rsid w:val="00816971"/>
    <w:rsid w:val="00816AD3"/>
    <w:rsid w:val="0082020D"/>
    <w:rsid w:val="00820917"/>
    <w:rsid w:val="008209E1"/>
    <w:rsid w:val="00820B44"/>
    <w:rsid w:val="00821F3F"/>
    <w:rsid w:val="0082219D"/>
    <w:rsid w:val="00824D72"/>
    <w:rsid w:val="00826778"/>
    <w:rsid w:val="00830004"/>
    <w:rsid w:val="00831622"/>
    <w:rsid w:val="00832064"/>
    <w:rsid w:val="00832185"/>
    <w:rsid w:val="008334AC"/>
    <w:rsid w:val="008338EA"/>
    <w:rsid w:val="00833935"/>
    <w:rsid w:val="00833C83"/>
    <w:rsid w:val="00834361"/>
    <w:rsid w:val="00835FC6"/>
    <w:rsid w:val="008413AB"/>
    <w:rsid w:val="00841B3B"/>
    <w:rsid w:val="00841FCF"/>
    <w:rsid w:val="00843816"/>
    <w:rsid w:val="008441CF"/>
    <w:rsid w:val="0084470A"/>
    <w:rsid w:val="00845180"/>
    <w:rsid w:val="00846379"/>
    <w:rsid w:val="00846789"/>
    <w:rsid w:val="00850627"/>
    <w:rsid w:val="00850BAD"/>
    <w:rsid w:val="008517CB"/>
    <w:rsid w:val="008538D2"/>
    <w:rsid w:val="00854202"/>
    <w:rsid w:val="008556DA"/>
    <w:rsid w:val="008564D6"/>
    <w:rsid w:val="0085710B"/>
    <w:rsid w:val="00857222"/>
    <w:rsid w:val="00860CC7"/>
    <w:rsid w:val="00862973"/>
    <w:rsid w:val="00864E48"/>
    <w:rsid w:val="00866D0E"/>
    <w:rsid w:val="0086740E"/>
    <w:rsid w:val="00867AEA"/>
    <w:rsid w:val="0087332D"/>
    <w:rsid w:val="008757FF"/>
    <w:rsid w:val="00876FC9"/>
    <w:rsid w:val="0087707C"/>
    <w:rsid w:val="00880E0D"/>
    <w:rsid w:val="00881833"/>
    <w:rsid w:val="00881C07"/>
    <w:rsid w:val="008831A5"/>
    <w:rsid w:val="00884790"/>
    <w:rsid w:val="00884E75"/>
    <w:rsid w:val="008861E3"/>
    <w:rsid w:val="008871C5"/>
    <w:rsid w:val="00887E73"/>
    <w:rsid w:val="00890D78"/>
    <w:rsid w:val="0089153A"/>
    <w:rsid w:val="00892F32"/>
    <w:rsid w:val="00893FEE"/>
    <w:rsid w:val="00894002"/>
    <w:rsid w:val="0089417A"/>
    <w:rsid w:val="00894338"/>
    <w:rsid w:val="00895126"/>
    <w:rsid w:val="008A1FDF"/>
    <w:rsid w:val="008A28D8"/>
    <w:rsid w:val="008A5BC4"/>
    <w:rsid w:val="008A5E7C"/>
    <w:rsid w:val="008A711A"/>
    <w:rsid w:val="008A7296"/>
    <w:rsid w:val="008B10E3"/>
    <w:rsid w:val="008B19B4"/>
    <w:rsid w:val="008B203E"/>
    <w:rsid w:val="008B2A62"/>
    <w:rsid w:val="008B3193"/>
    <w:rsid w:val="008B3F39"/>
    <w:rsid w:val="008B4147"/>
    <w:rsid w:val="008B42F7"/>
    <w:rsid w:val="008B4729"/>
    <w:rsid w:val="008B70A1"/>
    <w:rsid w:val="008B7401"/>
    <w:rsid w:val="008B7F3B"/>
    <w:rsid w:val="008C43FA"/>
    <w:rsid w:val="008C4D1A"/>
    <w:rsid w:val="008C584E"/>
    <w:rsid w:val="008C58AF"/>
    <w:rsid w:val="008C59EE"/>
    <w:rsid w:val="008C7404"/>
    <w:rsid w:val="008C747A"/>
    <w:rsid w:val="008C7720"/>
    <w:rsid w:val="008D06D1"/>
    <w:rsid w:val="008D0DBD"/>
    <w:rsid w:val="008D3174"/>
    <w:rsid w:val="008D3654"/>
    <w:rsid w:val="008D37DC"/>
    <w:rsid w:val="008D4199"/>
    <w:rsid w:val="008D5695"/>
    <w:rsid w:val="008E04D7"/>
    <w:rsid w:val="008E05AA"/>
    <w:rsid w:val="008E07C6"/>
    <w:rsid w:val="008E1D73"/>
    <w:rsid w:val="008E2C9D"/>
    <w:rsid w:val="008E3483"/>
    <w:rsid w:val="008E55A1"/>
    <w:rsid w:val="008E56D0"/>
    <w:rsid w:val="008F0233"/>
    <w:rsid w:val="008F085B"/>
    <w:rsid w:val="008F171E"/>
    <w:rsid w:val="008F2506"/>
    <w:rsid w:val="008F4785"/>
    <w:rsid w:val="008F4C58"/>
    <w:rsid w:val="008F66AB"/>
    <w:rsid w:val="008F6B32"/>
    <w:rsid w:val="008F74F2"/>
    <w:rsid w:val="00900892"/>
    <w:rsid w:val="00900B92"/>
    <w:rsid w:val="00900DC9"/>
    <w:rsid w:val="009015B2"/>
    <w:rsid w:val="00901793"/>
    <w:rsid w:val="0090447F"/>
    <w:rsid w:val="0090572C"/>
    <w:rsid w:val="00907BB9"/>
    <w:rsid w:val="0091080B"/>
    <w:rsid w:val="0091164C"/>
    <w:rsid w:val="0091233A"/>
    <w:rsid w:val="00913B0F"/>
    <w:rsid w:val="00913CE7"/>
    <w:rsid w:val="00914F52"/>
    <w:rsid w:val="00915CE9"/>
    <w:rsid w:val="009167CE"/>
    <w:rsid w:val="0092086E"/>
    <w:rsid w:val="00920AFA"/>
    <w:rsid w:val="00921024"/>
    <w:rsid w:val="0092149A"/>
    <w:rsid w:val="009224A9"/>
    <w:rsid w:val="0092435A"/>
    <w:rsid w:val="00926833"/>
    <w:rsid w:val="00926849"/>
    <w:rsid w:val="00926EEC"/>
    <w:rsid w:val="00930CB9"/>
    <w:rsid w:val="00932015"/>
    <w:rsid w:val="00933447"/>
    <w:rsid w:val="009340A0"/>
    <w:rsid w:val="00934336"/>
    <w:rsid w:val="00935B40"/>
    <w:rsid w:val="009373F9"/>
    <w:rsid w:val="009378A2"/>
    <w:rsid w:val="0094079A"/>
    <w:rsid w:val="009410AF"/>
    <w:rsid w:val="00941809"/>
    <w:rsid w:val="00941D32"/>
    <w:rsid w:val="00944F4B"/>
    <w:rsid w:val="0095078D"/>
    <w:rsid w:val="00950D43"/>
    <w:rsid w:val="0095185B"/>
    <w:rsid w:val="00951994"/>
    <w:rsid w:val="00952319"/>
    <w:rsid w:val="009526D6"/>
    <w:rsid w:val="00954266"/>
    <w:rsid w:val="00955928"/>
    <w:rsid w:val="00955D93"/>
    <w:rsid w:val="00960645"/>
    <w:rsid w:val="00961DE3"/>
    <w:rsid w:val="00962626"/>
    <w:rsid w:val="00963292"/>
    <w:rsid w:val="00963DC0"/>
    <w:rsid w:val="00964D1D"/>
    <w:rsid w:val="00965B21"/>
    <w:rsid w:val="009670B7"/>
    <w:rsid w:val="00970ACB"/>
    <w:rsid w:val="00972252"/>
    <w:rsid w:val="009723D1"/>
    <w:rsid w:val="009732C1"/>
    <w:rsid w:val="009747BB"/>
    <w:rsid w:val="00976627"/>
    <w:rsid w:val="009768DA"/>
    <w:rsid w:val="00977705"/>
    <w:rsid w:val="0097774A"/>
    <w:rsid w:val="0097782A"/>
    <w:rsid w:val="009805EA"/>
    <w:rsid w:val="00981864"/>
    <w:rsid w:val="009826A1"/>
    <w:rsid w:val="009838C0"/>
    <w:rsid w:val="00984312"/>
    <w:rsid w:val="0098753E"/>
    <w:rsid w:val="00990516"/>
    <w:rsid w:val="00991612"/>
    <w:rsid w:val="00991C21"/>
    <w:rsid w:val="0099356B"/>
    <w:rsid w:val="00995067"/>
    <w:rsid w:val="00996247"/>
    <w:rsid w:val="009A0A08"/>
    <w:rsid w:val="009A1600"/>
    <w:rsid w:val="009A2FC4"/>
    <w:rsid w:val="009A377C"/>
    <w:rsid w:val="009A3947"/>
    <w:rsid w:val="009A394E"/>
    <w:rsid w:val="009A45B1"/>
    <w:rsid w:val="009A6803"/>
    <w:rsid w:val="009A6CFC"/>
    <w:rsid w:val="009A7996"/>
    <w:rsid w:val="009B0677"/>
    <w:rsid w:val="009B1192"/>
    <w:rsid w:val="009B26AB"/>
    <w:rsid w:val="009B3155"/>
    <w:rsid w:val="009B4DC3"/>
    <w:rsid w:val="009C078A"/>
    <w:rsid w:val="009C24BA"/>
    <w:rsid w:val="009C3877"/>
    <w:rsid w:val="009C4576"/>
    <w:rsid w:val="009C5141"/>
    <w:rsid w:val="009C6694"/>
    <w:rsid w:val="009C6859"/>
    <w:rsid w:val="009C7331"/>
    <w:rsid w:val="009D217B"/>
    <w:rsid w:val="009D2F04"/>
    <w:rsid w:val="009D34BC"/>
    <w:rsid w:val="009D3BC5"/>
    <w:rsid w:val="009D3BEF"/>
    <w:rsid w:val="009D44DD"/>
    <w:rsid w:val="009D5537"/>
    <w:rsid w:val="009D5783"/>
    <w:rsid w:val="009D5AB5"/>
    <w:rsid w:val="009D5D59"/>
    <w:rsid w:val="009D6217"/>
    <w:rsid w:val="009D67A8"/>
    <w:rsid w:val="009D6A38"/>
    <w:rsid w:val="009D7921"/>
    <w:rsid w:val="009D7AF2"/>
    <w:rsid w:val="009E1543"/>
    <w:rsid w:val="009E1A36"/>
    <w:rsid w:val="009E1FE9"/>
    <w:rsid w:val="009E2880"/>
    <w:rsid w:val="009E3945"/>
    <w:rsid w:val="009E3F76"/>
    <w:rsid w:val="009E4055"/>
    <w:rsid w:val="009E41D2"/>
    <w:rsid w:val="009E4696"/>
    <w:rsid w:val="009E46A1"/>
    <w:rsid w:val="009E70C1"/>
    <w:rsid w:val="009E74E7"/>
    <w:rsid w:val="009E7DAF"/>
    <w:rsid w:val="009F0B49"/>
    <w:rsid w:val="009F210E"/>
    <w:rsid w:val="009F3C2B"/>
    <w:rsid w:val="009F3CCC"/>
    <w:rsid w:val="009F5FBA"/>
    <w:rsid w:val="009F6127"/>
    <w:rsid w:val="009F7219"/>
    <w:rsid w:val="009F7490"/>
    <w:rsid w:val="00A00866"/>
    <w:rsid w:val="00A0180B"/>
    <w:rsid w:val="00A032A8"/>
    <w:rsid w:val="00A04085"/>
    <w:rsid w:val="00A04866"/>
    <w:rsid w:val="00A06100"/>
    <w:rsid w:val="00A06C49"/>
    <w:rsid w:val="00A07A2F"/>
    <w:rsid w:val="00A10733"/>
    <w:rsid w:val="00A10809"/>
    <w:rsid w:val="00A13066"/>
    <w:rsid w:val="00A163B0"/>
    <w:rsid w:val="00A16549"/>
    <w:rsid w:val="00A16CAC"/>
    <w:rsid w:val="00A17072"/>
    <w:rsid w:val="00A202EB"/>
    <w:rsid w:val="00A213A8"/>
    <w:rsid w:val="00A21D86"/>
    <w:rsid w:val="00A21E86"/>
    <w:rsid w:val="00A21F3E"/>
    <w:rsid w:val="00A22473"/>
    <w:rsid w:val="00A22CB8"/>
    <w:rsid w:val="00A22D33"/>
    <w:rsid w:val="00A23125"/>
    <w:rsid w:val="00A23C50"/>
    <w:rsid w:val="00A23C96"/>
    <w:rsid w:val="00A24EA2"/>
    <w:rsid w:val="00A25302"/>
    <w:rsid w:val="00A25C20"/>
    <w:rsid w:val="00A27195"/>
    <w:rsid w:val="00A277A8"/>
    <w:rsid w:val="00A27E72"/>
    <w:rsid w:val="00A30E56"/>
    <w:rsid w:val="00A3132A"/>
    <w:rsid w:val="00A3212C"/>
    <w:rsid w:val="00A325D1"/>
    <w:rsid w:val="00A3265F"/>
    <w:rsid w:val="00A343AF"/>
    <w:rsid w:val="00A345DD"/>
    <w:rsid w:val="00A355E9"/>
    <w:rsid w:val="00A35965"/>
    <w:rsid w:val="00A37CDD"/>
    <w:rsid w:val="00A41B42"/>
    <w:rsid w:val="00A42DF9"/>
    <w:rsid w:val="00A44AB3"/>
    <w:rsid w:val="00A45918"/>
    <w:rsid w:val="00A473A3"/>
    <w:rsid w:val="00A4758A"/>
    <w:rsid w:val="00A50163"/>
    <w:rsid w:val="00A50F33"/>
    <w:rsid w:val="00A53151"/>
    <w:rsid w:val="00A53544"/>
    <w:rsid w:val="00A53B67"/>
    <w:rsid w:val="00A55C07"/>
    <w:rsid w:val="00A55D3B"/>
    <w:rsid w:val="00A568FD"/>
    <w:rsid w:val="00A57B58"/>
    <w:rsid w:val="00A60F98"/>
    <w:rsid w:val="00A61A1A"/>
    <w:rsid w:val="00A627CC"/>
    <w:rsid w:val="00A62E13"/>
    <w:rsid w:val="00A64EC4"/>
    <w:rsid w:val="00A66793"/>
    <w:rsid w:val="00A6717C"/>
    <w:rsid w:val="00A67C68"/>
    <w:rsid w:val="00A7023B"/>
    <w:rsid w:val="00A70FC0"/>
    <w:rsid w:val="00A737AB"/>
    <w:rsid w:val="00A74C55"/>
    <w:rsid w:val="00A750A7"/>
    <w:rsid w:val="00A754E8"/>
    <w:rsid w:val="00A76CBB"/>
    <w:rsid w:val="00A80AE6"/>
    <w:rsid w:val="00A80B62"/>
    <w:rsid w:val="00A80EFE"/>
    <w:rsid w:val="00A834E4"/>
    <w:rsid w:val="00A83A03"/>
    <w:rsid w:val="00A841BD"/>
    <w:rsid w:val="00A855B4"/>
    <w:rsid w:val="00A864D8"/>
    <w:rsid w:val="00A86515"/>
    <w:rsid w:val="00A879E5"/>
    <w:rsid w:val="00A91B8D"/>
    <w:rsid w:val="00A92BA2"/>
    <w:rsid w:val="00A93028"/>
    <w:rsid w:val="00A93932"/>
    <w:rsid w:val="00A93B98"/>
    <w:rsid w:val="00A941F2"/>
    <w:rsid w:val="00A94BD7"/>
    <w:rsid w:val="00A95645"/>
    <w:rsid w:val="00A970B4"/>
    <w:rsid w:val="00AA0405"/>
    <w:rsid w:val="00AA10A3"/>
    <w:rsid w:val="00AA11FA"/>
    <w:rsid w:val="00AA16A4"/>
    <w:rsid w:val="00AA1DEF"/>
    <w:rsid w:val="00AA20D9"/>
    <w:rsid w:val="00AA2D01"/>
    <w:rsid w:val="00AA2EA6"/>
    <w:rsid w:val="00AA345D"/>
    <w:rsid w:val="00AA43BC"/>
    <w:rsid w:val="00AA6088"/>
    <w:rsid w:val="00AA642A"/>
    <w:rsid w:val="00AA6A7B"/>
    <w:rsid w:val="00AA6B22"/>
    <w:rsid w:val="00AA7ADC"/>
    <w:rsid w:val="00AA7CF6"/>
    <w:rsid w:val="00AA7DC6"/>
    <w:rsid w:val="00AB0017"/>
    <w:rsid w:val="00AB0486"/>
    <w:rsid w:val="00AB25B3"/>
    <w:rsid w:val="00AB2F1F"/>
    <w:rsid w:val="00AB32C3"/>
    <w:rsid w:val="00AB5750"/>
    <w:rsid w:val="00AB65E7"/>
    <w:rsid w:val="00AB7208"/>
    <w:rsid w:val="00AB7F0C"/>
    <w:rsid w:val="00AC02BF"/>
    <w:rsid w:val="00AC04D3"/>
    <w:rsid w:val="00AC0977"/>
    <w:rsid w:val="00AC1E12"/>
    <w:rsid w:val="00AC5007"/>
    <w:rsid w:val="00AC51BC"/>
    <w:rsid w:val="00AC6A10"/>
    <w:rsid w:val="00AD06BC"/>
    <w:rsid w:val="00AD1194"/>
    <w:rsid w:val="00AD3414"/>
    <w:rsid w:val="00AD500F"/>
    <w:rsid w:val="00AD579B"/>
    <w:rsid w:val="00AD7970"/>
    <w:rsid w:val="00AD7DDD"/>
    <w:rsid w:val="00AE0467"/>
    <w:rsid w:val="00AE2CB4"/>
    <w:rsid w:val="00AE36C3"/>
    <w:rsid w:val="00AE50A6"/>
    <w:rsid w:val="00AE584C"/>
    <w:rsid w:val="00AE5941"/>
    <w:rsid w:val="00AE6898"/>
    <w:rsid w:val="00AE68E3"/>
    <w:rsid w:val="00AE7D93"/>
    <w:rsid w:val="00AF080D"/>
    <w:rsid w:val="00AF0ADF"/>
    <w:rsid w:val="00AF186A"/>
    <w:rsid w:val="00AF194D"/>
    <w:rsid w:val="00AF3500"/>
    <w:rsid w:val="00AF4BCA"/>
    <w:rsid w:val="00AF50E4"/>
    <w:rsid w:val="00AF5466"/>
    <w:rsid w:val="00AF6545"/>
    <w:rsid w:val="00AF6C0D"/>
    <w:rsid w:val="00AF74BE"/>
    <w:rsid w:val="00AF7FB4"/>
    <w:rsid w:val="00B00726"/>
    <w:rsid w:val="00B00FC3"/>
    <w:rsid w:val="00B02344"/>
    <w:rsid w:val="00B05714"/>
    <w:rsid w:val="00B0648C"/>
    <w:rsid w:val="00B064E7"/>
    <w:rsid w:val="00B0672A"/>
    <w:rsid w:val="00B0672C"/>
    <w:rsid w:val="00B074C1"/>
    <w:rsid w:val="00B07EF4"/>
    <w:rsid w:val="00B1066C"/>
    <w:rsid w:val="00B17B9B"/>
    <w:rsid w:val="00B217E4"/>
    <w:rsid w:val="00B2350B"/>
    <w:rsid w:val="00B25127"/>
    <w:rsid w:val="00B2570E"/>
    <w:rsid w:val="00B27090"/>
    <w:rsid w:val="00B27B11"/>
    <w:rsid w:val="00B3450A"/>
    <w:rsid w:val="00B372A3"/>
    <w:rsid w:val="00B37802"/>
    <w:rsid w:val="00B40B9E"/>
    <w:rsid w:val="00B41121"/>
    <w:rsid w:val="00B41B22"/>
    <w:rsid w:val="00B41E03"/>
    <w:rsid w:val="00B42ADC"/>
    <w:rsid w:val="00B435A6"/>
    <w:rsid w:val="00B44D1A"/>
    <w:rsid w:val="00B4644E"/>
    <w:rsid w:val="00B471AC"/>
    <w:rsid w:val="00B47BE9"/>
    <w:rsid w:val="00B47E14"/>
    <w:rsid w:val="00B501F4"/>
    <w:rsid w:val="00B51135"/>
    <w:rsid w:val="00B51F4B"/>
    <w:rsid w:val="00B52584"/>
    <w:rsid w:val="00B526C1"/>
    <w:rsid w:val="00B526FE"/>
    <w:rsid w:val="00B52B6A"/>
    <w:rsid w:val="00B52F5E"/>
    <w:rsid w:val="00B532D4"/>
    <w:rsid w:val="00B53981"/>
    <w:rsid w:val="00B544D0"/>
    <w:rsid w:val="00B54A36"/>
    <w:rsid w:val="00B5527A"/>
    <w:rsid w:val="00B552E7"/>
    <w:rsid w:val="00B5652C"/>
    <w:rsid w:val="00B56807"/>
    <w:rsid w:val="00B56D25"/>
    <w:rsid w:val="00B574E9"/>
    <w:rsid w:val="00B578FD"/>
    <w:rsid w:val="00B60421"/>
    <w:rsid w:val="00B60A9F"/>
    <w:rsid w:val="00B619F3"/>
    <w:rsid w:val="00B61AA5"/>
    <w:rsid w:val="00B61BFA"/>
    <w:rsid w:val="00B63610"/>
    <w:rsid w:val="00B64503"/>
    <w:rsid w:val="00B64C9D"/>
    <w:rsid w:val="00B64EBD"/>
    <w:rsid w:val="00B65C7C"/>
    <w:rsid w:val="00B65DD1"/>
    <w:rsid w:val="00B665E6"/>
    <w:rsid w:val="00B66B67"/>
    <w:rsid w:val="00B700C0"/>
    <w:rsid w:val="00B7068D"/>
    <w:rsid w:val="00B71370"/>
    <w:rsid w:val="00B727F3"/>
    <w:rsid w:val="00B746C6"/>
    <w:rsid w:val="00B748E5"/>
    <w:rsid w:val="00B76094"/>
    <w:rsid w:val="00B76CBA"/>
    <w:rsid w:val="00B81803"/>
    <w:rsid w:val="00B824F3"/>
    <w:rsid w:val="00B831AE"/>
    <w:rsid w:val="00B843EF"/>
    <w:rsid w:val="00B87082"/>
    <w:rsid w:val="00B87F32"/>
    <w:rsid w:val="00B87F8D"/>
    <w:rsid w:val="00B9083F"/>
    <w:rsid w:val="00B90F17"/>
    <w:rsid w:val="00B94261"/>
    <w:rsid w:val="00B94B30"/>
    <w:rsid w:val="00B94C88"/>
    <w:rsid w:val="00B95365"/>
    <w:rsid w:val="00B96572"/>
    <w:rsid w:val="00B97D63"/>
    <w:rsid w:val="00BA0FFE"/>
    <w:rsid w:val="00BA3D69"/>
    <w:rsid w:val="00BA6190"/>
    <w:rsid w:val="00BA723C"/>
    <w:rsid w:val="00BA7350"/>
    <w:rsid w:val="00BA7D17"/>
    <w:rsid w:val="00BB076E"/>
    <w:rsid w:val="00BB18C2"/>
    <w:rsid w:val="00BB1C49"/>
    <w:rsid w:val="00BB1C5C"/>
    <w:rsid w:val="00BB1CF2"/>
    <w:rsid w:val="00BB285E"/>
    <w:rsid w:val="00BB3CF5"/>
    <w:rsid w:val="00BB69F9"/>
    <w:rsid w:val="00BB6ED0"/>
    <w:rsid w:val="00BB7A25"/>
    <w:rsid w:val="00BB7B00"/>
    <w:rsid w:val="00BC01B0"/>
    <w:rsid w:val="00BC086C"/>
    <w:rsid w:val="00BC0A3C"/>
    <w:rsid w:val="00BC3E59"/>
    <w:rsid w:val="00BC479D"/>
    <w:rsid w:val="00BC5916"/>
    <w:rsid w:val="00BC614A"/>
    <w:rsid w:val="00BC621F"/>
    <w:rsid w:val="00BC71B4"/>
    <w:rsid w:val="00BC7470"/>
    <w:rsid w:val="00BC76E7"/>
    <w:rsid w:val="00BD1379"/>
    <w:rsid w:val="00BD1E96"/>
    <w:rsid w:val="00BD215B"/>
    <w:rsid w:val="00BD2AF7"/>
    <w:rsid w:val="00BD2E41"/>
    <w:rsid w:val="00BD67D9"/>
    <w:rsid w:val="00BD6F09"/>
    <w:rsid w:val="00BE039F"/>
    <w:rsid w:val="00BE0C59"/>
    <w:rsid w:val="00BE1085"/>
    <w:rsid w:val="00BE1B5E"/>
    <w:rsid w:val="00BE3235"/>
    <w:rsid w:val="00BE3B3E"/>
    <w:rsid w:val="00BE4E20"/>
    <w:rsid w:val="00BE5CA6"/>
    <w:rsid w:val="00BF5024"/>
    <w:rsid w:val="00BF52AD"/>
    <w:rsid w:val="00BF6E62"/>
    <w:rsid w:val="00BF75AC"/>
    <w:rsid w:val="00C00525"/>
    <w:rsid w:val="00C00F44"/>
    <w:rsid w:val="00C018CD"/>
    <w:rsid w:val="00C0218D"/>
    <w:rsid w:val="00C032F0"/>
    <w:rsid w:val="00C03503"/>
    <w:rsid w:val="00C04D74"/>
    <w:rsid w:val="00C06F22"/>
    <w:rsid w:val="00C07475"/>
    <w:rsid w:val="00C07F0E"/>
    <w:rsid w:val="00C10E3A"/>
    <w:rsid w:val="00C10F95"/>
    <w:rsid w:val="00C14388"/>
    <w:rsid w:val="00C14DB3"/>
    <w:rsid w:val="00C152C6"/>
    <w:rsid w:val="00C152CC"/>
    <w:rsid w:val="00C15F2A"/>
    <w:rsid w:val="00C168B6"/>
    <w:rsid w:val="00C16F44"/>
    <w:rsid w:val="00C16FE4"/>
    <w:rsid w:val="00C17F55"/>
    <w:rsid w:val="00C20621"/>
    <w:rsid w:val="00C21933"/>
    <w:rsid w:val="00C23864"/>
    <w:rsid w:val="00C25445"/>
    <w:rsid w:val="00C277FC"/>
    <w:rsid w:val="00C301CB"/>
    <w:rsid w:val="00C31BBB"/>
    <w:rsid w:val="00C32C2F"/>
    <w:rsid w:val="00C33D76"/>
    <w:rsid w:val="00C42A6E"/>
    <w:rsid w:val="00C43373"/>
    <w:rsid w:val="00C43F8E"/>
    <w:rsid w:val="00C46711"/>
    <w:rsid w:val="00C46B67"/>
    <w:rsid w:val="00C4732E"/>
    <w:rsid w:val="00C47E40"/>
    <w:rsid w:val="00C5255E"/>
    <w:rsid w:val="00C52681"/>
    <w:rsid w:val="00C52A7F"/>
    <w:rsid w:val="00C53A05"/>
    <w:rsid w:val="00C54484"/>
    <w:rsid w:val="00C562D5"/>
    <w:rsid w:val="00C57E1E"/>
    <w:rsid w:val="00C57E29"/>
    <w:rsid w:val="00C601A6"/>
    <w:rsid w:val="00C611E6"/>
    <w:rsid w:val="00C614B3"/>
    <w:rsid w:val="00C61E0F"/>
    <w:rsid w:val="00C63E8C"/>
    <w:rsid w:val="00C64D68"/>
    <w:rsid w:val="00C6524F"/>
    <w:rsid w:val="00C659A7"/>
    <w:rsid w:val="00C67C24"/>
    <w:rsid w:val="00C703DA"/>
    <w:rsid w:val="00C736E1"/>
    <w:rsid w:val="00C73BAB"/>
    <w:rsid w:val="00C74A63"/>
    <w:rsid w:val="00C74B56"/>
    <w:rsid w:val="00C752F0"/>
    <w:rsid w:val="00C753A5"/>
    <w:rsid w:val="00C75C0C"/>
    <w:rsid w:val="00C7665F"/>
    <w:rsid w:val="00C76FFC"/>
    <w:rsid w:val="00C80120"/>
    <w:rsid w:val="00C816C3"/>
    <w:rsid w:val="00C820E9"/>
    <w:rsid w:val="00C825D0"/>
    <w:rsid w:val="00C8294D"/>
    <w:rsid w:val="00C830C3"/>
    <w:rsid w:val="00C83994"/>
    <w:rsid w:val="00C84C67"/>
    <w:rsid w:val="00C85821"/>
    <w:rsid w:val="00C90278"/>
    <w:rsid w:val="00C903B1"/>
    <w:rsid w:val="00C90A03"/>
    <w:rsid w:val="00C913A2"/>
    <w:rsid w:val="00C9177E"/>
    <w:rsid w:val="00C92500"/>
    <w:rsid w:val="00C9259F"/>
    <w:rsid w:val="00C95A4F"/>
    <w:rsid w:val="00C95FCA"/>
    <w:rsid w:val="00C9677E"/>
    <w:rsid w:val="00C9692A"/>
    <w:rsid w:val="00C96CF7"/>
    <w:rsid w:val="00C96F78"/>
    <w:rsid w:val="00C97215"/>
    <w:rsid w:val="00CA01D2"/>
    <w:rsid w:val="00CA0B1C"/>
    <w:rsid w:val="00CA0E39"/>
    <w:rsid w:val="00CA3398"/>
    <w:rsid w:val="00CA40FA"/>
    <w:rsid w:val="00CA4723"/>
    <w:rsid w:val="00CA529E"/>
    <w:rsid w:val="00CA554E"/>
    <w:rsid w:val="00CA6926"/>
    <w:rsid w:val="00CA6BEA"/>
    <w:rsid w:val="00CA735C"/>
    <w:rsid w:val="00CA767F"/>
    <w:rsid w:val="00CB07FF"/>
    <w:rsid w:val="00CB0923"/>
    <w:rsid w:val="00CB3AD5"/>
    <w:rsid w:val="00CB3D93"/>
    <w:rsid w:val="00CB7A14"/>
    <w:rsid w:val="00CC1365"/>
    <w:rsid w:val="00CC1AF8"/>
    <w:rsid w:val="00CC34AA"/>
    <w:rsid w:val="00CC3D49"/>
    <w:rsid w:val="00CC6AA8"/>
    <w:rsid w:val="00CC7284"/>
    <w:rsid w:val="00CD07EE"/>
    <w:rsid w:val="00CD0D86"/>
    <w:rsid w:val="00CD0E2B"/>
    <w:rsid w:val="00CD42F2"/>
    <w:rsid w:val="00CD6DE6"/>
    <w:rsid w:val="00CD71EB"/>
    <w:rsid w:val="00CD7E11"/>
    <w:rsid w:val="00CE1669"/>
    <w:rsid w:val="00CE1BCB"/>
    <w:rsid w:val="00CE1C56"/>
    <w:rsid w:val="00CE2064"/>
    <w:rsid w:val="00CE25C3"/>
    <w:rsid w:val="00CE3CC8"/>
    <w:rsid w:val="00CE3DD7"/>
    <w:rsid w:val="00CE5861"/>
    <w:rsid w:val="00CE62B8"/>
    <w:rsid w:val="00CE6982"/>
    <w:rsid w:val="00CE6C82"/>
    <w:rsid w:val="00CF021E"/>
    <w:rsid w:val="00CF1FD5"/>
    <w:rsid w:val="00CF3288"/>
    <w:rsid w:val="00CF33C7"/>
    <w:rsid w:val="00CF7515"/>
    <w:rsid w:val="00D004DD"/>
    <w:rsid w:val="00D0184B"/>
    <w:rsid w:val="00D01A77"/>
    <w:rsid w:val="00D03196"/>
    <w:rsid w:val="00D037C1"/>
    <w:rsid w:val="00D04E5C"/>
    <w:rsid w:val="00D051F5"/>
    <w:rsid w:val="00D059D0"/>
    <w:rsid w:val="00D059DA"/>
    <w:rsid w:val="00D07AFC"/>
    <w:rsid w:val="00D113DD"/>
    <w:rsid w:val="00D11C15"/>
    <w:rsid w:val="00D126FD"/>
    <w:rsid w:val="00D12B83"/>
    <w:rsid w:val="00D13D39"/>
    <w:rsid w:val="00D15473"/>
    <w:rsid w:val="00D1565C"/>
    <w:rsid w:val="00D2134F"/>
    <w:rsid w:val="00D21F60"/>
    <w:rsid w:val="00D22312"/>
    <w:rsid w:val="00D22D57"/>
    <w:rsid w:val="00D23BD5"/>
    <w:rsid w:val="00D23ECD"/>
    <w:rsid w:val="00D24B78"/>
    <w:rsid w:val="00D2518B"/>
    <w:rsid w:val="00D25859"/>
    <w:rsid w:val="00D26307"/>
    <w:rsid w:val="00D304E5"/>
    <w:rsid w:val="00D31021"/>
    <w:rsid w:val="00D32DC5"/>
    <w:rsid w:val="00D32E4E"/>
    <w:rsid w:val="00D33EA7"/>
    <w:rsid w:val="00D345CD"/>
    <w:rsid w:val="00D3493D"/>
    <w:rsid w:val="00D35790"/>
    <w:rsid w:val="00D36B41"/>
    <w:rsid w:val="00D36E67"/>
    <w:rsid w:val="00D3771F"/>
    <w:rsid w:val="00D40353"/>
    <w:rsid w:val="00D40AE4"/>
    <w:rsid w:val="00D40B61"/>
    <w:rsid w:val="00D4229E"/>
    <w:rsid w:val="00D42517"/>
    <w:rsid w:val="00D43EEB"/>
    <w:rsid w:val="00D4490F"/>
    <w:rsid w:val="00D450D2"/>
    <w:rsid w:val="00D47178"/>
    <w:rsid w:val="00D47B16"/>
    <w:rsid w:val="00D50EA2"/>
    <w:rsid w:val="00D5364D"/>
    <w:rsid w:val="00D5385A"/>
    <w:rsid w:val="00D54B0C"/>
    <w:rsid w:val="00D5550A"/>
    <w:rsid w:val="00D56792"/>
    <w:rsid w:val="00D56E02"/>
    <w:rsid w:val="00D56FEB"/>
    <w:rsid w:val="00D57075"/>
    <w:rsid w:val="00D57387"/>
    <w:rsid w:val="00D57458"/>
    <w:rsid w:val="00D57C47"/>
    <w:rsid w:val="00D612E1"/>
    <w:rsid w:val="00D63CF1"/>
    <w:rsid w:val="00D65165"/>
    <w:rsid w:val="00D6792D"/>
    <w:rsid w:val="00D67A19"/>
    <w:rsid w:val="00D70F70"/>
    <w:rsid w:val="00D717EC"/>
    <w:rsid w:val="00D71BFE"/>
    <w:rsid w:val="00D74DFC"/>
    <w:rsid w:val="00D75FE0"/>
    <w:rsid w:val="00D76F3E"/>
    <w:rsid w:val="00D77DEA"/>
    <w:rsid w:val="00D80B84"/>
    <w:rsid w:val="00D80E25"/>
    <w:rsid w:val="00D86676"/>
    <w:rsid w:val="00D871E2"/>
    <w:rsid w:val="00D87980"/>
    <w:rsid w:val="00D87AF3"/>
    <w:rsid w:val="00D9122A"/>
    <w:rsid w:val="00D913F8"/>
    <w:rsid w:val="00D93851"/>
    <w:rsid w:val="00D962E5"/>
    <w:rsid w:val="00D96D29"/>
    <w:rsid w:val="00D96D71"/>
    <w:rsid w:val="00D9733F"/>
    <w:rsid w:val="00D97930"/>
    <w:rsid w:val="00DA0739"/>
    <w:rsid w:val="00DA0D39"/>
    <w:rsid w:val="00DA62BA"/>
    <w:rsid w:val="00DA6978"/>
    <w:rsid w:val="00DB0A9E"/>
    <w:rsid w:val="00DB22AA"/>
    <w:rsid w:val="00DB2CAD"/>
    <w:rsid w:val="00DB3E2B"/>
    <w:rsid w:val="00DB4A50"/>
    <w:rsid w:val="00DB5FFF"/>
    <w:rsid w:val="00DB705F"/>
    <w:rsid w:val="00DB7B03"/>
    <w:rsid w:val="00DC02E3"/>
    <w:rsid w:val="00DC0C38"/>
    <w:rsid w:val="00DC1C5B"/>
    <w:rsid w:val="00DC1C5E"/>
    <w:rsid w:val="00DC2FFD"/>
    <w:rsid w:val="00DC3A64"/>
    <w:rsid w:val="00DC3CFA"/>
    <w:rsid w:val="00DC4C0E"/>
    <w:rsid w:val="00DC537B"/>
    <w:rsid w:val="00DC5447"/>
    <w:rsid w:val="00DC6C1F"/>
    <w:rsid w:val="00DD07CD"/>
    <w:rsid w:val="00DD08B2"/>
    <w:rsid w:val="00DD16B1"/>
    <w:rsid w:val="00DD16BE"/>
    <w:rsid w:val="00DD1B19"/>
    <w:rsid w:val="00DD22E9"/>
    <w:rsid w:val="00DD2764"/>
    <w:rsid w:val="00DD2E9A"/>
    <w:rsid w:val="00DD41F4"/>
    <w:rsid w:val="00DD5F60"/>
    <w:rsid w:val="00DD6A3A"/>
    <w:rsid w:val="00DD740B"/>
    <w:rsid w:val="00DD75C8"/>
    <w:rsid w:val="00DD7776"/>
    <w:rsid w:val="00DE1424"/>
    <w:rsid w:val="00DE325C"/>
    <w:rsid w:val="00DE3407"/>
    <w:rsid w:val="00DE3CDE"/>
    <w:rsid w:val="00DE3F2D"/>
    <w:rsid w:val="00DE4376"/>
    <w:rsid w:val="00DE5DEE"/>
    <w:rsid w:val="00DE6FC8"/>
    <w:rsid w:val="00DE70E4"/>
    <w:rsid w:val="00DF09FD"/>
    <w:rsid w:val="00DF1DDE"/>
    <w:rsid w:val="00DF2758"/>
    <w:rsid w:val="00DF368B"/>
    <w:rsid w:val="00DF51AC"/>
    <w:rsid w:val="00DF6C17"/>
    <w:rsid w:val="00E014F7"/>
    <w:rsid w:val="00E0192D"/>
    <w:rsid w:val="00E01A58"/>
    <w:rsid w:val="00E03789"/>
    <w:rsid w:val="00E044E3"/>
    <w:rsid w:val="00E0512B"/>
    <w:rsid w:val="00E05253"/>
    <w:rsid w:val="00E056C0"/>
    <w:rsid w:val="00E06918"/>
    <w:rsid w:val="00E071A7"/>
    <w:rsid w:val="00E102DE"/>
    <w:rsid w:val="00E10F4E"/>
    <w:rsid w:val="00E12722"/>
    <w:rsid w:val="00E1778F"/>
    <w:rsid w:val="00E2001B"/>
    <w:rsid w:val="00E20FDF"/>
    <w:rsid w:val="00E2376E"/>
    <w:rsid w:val="00E238A2"/>
    <w:rsid w:val="00E25433"/>
    <w:rsid w:val="00E30CD3"/>
    <w:rsid w:val="00E310EC"/>
    <w:rsid w:val="00E31C12"/>
    <w:rsid w:val="00E31D42"/>
    <w:rsid w:val="00E33B88"/>
    <w:rsid w:val="00E33C88"/>
    <w:rsid w:val="00E34750"/>
    <w:rsid w:val="00E35596"/>
    <w:rsid w:val="00E3623A"/>
    <w:rsid w:val="00E36755"/>
    <w:rsid w:val="00E37A13"/>
    <w:rsid w:val="00E40707"/>
    <w:rsid w:val="00E41250"/>
    <w:rsid w:val="00E41B8E"/>
    <w:rsid w:val="00E41FAD"/>
    <w:rsid w:val="00E43531"/>
    <w:rsid w:val="00E4380F"/>
    <w:rsid w:val="00E4481E"/>
    <w:rsid w:val="00E45628"/>
    <w:rsid w:val="00E465BD"/>
    <w:rsid w:val="00E46E76"/>
    <w:rsid w:val="00E472A9"/>
    <w:rsid w:val="00E47440"/>
    <w:rsid w:val="00E475B8"/>
    <w:rsid w:val="00E478FF"/>
    <w:rsid w:val="00E50D8C"/>
    <w:rsid w:val="00E5114C"/>
    <w:rsid w:val="00E511EB"/>
    <w:rsid w:val="00E5159B"/>
    <w:rsid w:val="00E52007"/>
    <w:rsid w:val="00E52BAC"/>
    <w:rsid w:val="00E54B4F"/>
    <w:rsid w:val="00E56F9C"/>
    <w:rsid w:val="00E60AF3"/>
    <w:rsid w:val="00E63967"/>
    <w:rsid w:val="00E64497"/>
    <w:rsid w:val="00E65130"/>
    <w:rsid w:val="00E6561F"/>
    <w:rsid w:val="00E6608A"/>
    <w:rsid w:val="00E667B1"/>
    <w:rsid w:val="00E675E4"/>
    <w:rsid w:val="00E7195E"/>
    <w:rsid w:val="00E71B94"/>
    <w:rsid w:val="00E722C2"/>
    <w:rsid w:val="00E75FBE"/>
    <w:rsid w:val="00E76837"/>
    <w:rsid w:val="00E77D81"/>
    <w:rsid w:val="00E80A2A"/>
    <w:rsid w:val="00E80CC0"/>
    <w:rsid w:val="00E81B9A"/>
    <w:rsid w:val="00E82862"/>
    <w:rsid w:val="00E833DA"/>
    <w:rsid w:val="00E84015"/>
    <w:rsid w:val="00E8420B"/>
    <w:rsid w:val="00E84E0D"/>
    <w:rsid w:val="00E850AC"/>
    <w:rsid w:val="00E85EAF"/>
    <w:rsid w:val="00E866A4"/>
    <w:rsid w:val="00E91205"/>
    <w:rsid w:val="00E92A8F"/>
    <w:rsid w:val="00E92BBD"/>
    <w:rsid w:val="00E92DD2"/>
    <w:rsid w:val="00E9576B"/>
    <w:rsid w:val="00E96E8C"/>
    <w:rsid w:val="00EA092C"/>
    <w:rsid w:val="00EA0AB1"/>
    <w:rsid w:val="00EA1386"/>
    <w:rsid w:val="00EA2154"/>
    <w:rsid w:val="00EA21AF"/>
    <w:rsid w:val="00EA29C4"/>
    <w:rsid w:val="00EA34D0"/>
    <w:rsid w:val="00EA50CF"/>
    <w:rsid w:val="00EA53A3"/>
    <w:rsid w:val="00EA676F"/>
    <w:rsid w:val="00EA7767"/>
    <w:rsid w:val="00EA7E8C"/>
    <w:rsid w:val="00EB03FE"/>
    <w:rsid w:val="00EB0C79"/>
    <w:rsid w:val="00EB0C95"/>
    <w:rsid w:val="00EB0F17"/>
    <w:rsid w:val="00EB1D7A"/>
    <w:rsid w:val="00EB2B6D"/>
    <w:rsid w:val="00EB3FEF"/>
    <w:rsid w:val="00EB41BA"/>
    <w:rsid w:val="00EB4FBD"/>
    <w:rsid w:val="00EB5E71"/>
    <w:rsid w:val="00EB6769"/>
    <w:rsid w:val="00EC1DE4"/>
    <w:rsid w:val="00EC44FA"/>
    <w:rsid w:val="00EC5477"/>
    <w:rsid w:val="00EC54C3"/>
    <w:rsid w:val="00EC5852"/>
    <w:rsid w:val="00EC5D0F"/>
    <w:rsid w:val="00EC5E6E"/>
    <w:rsid w:val="00EC737A"/>
    <w:rsid w:val="00EC76A0"/>
    <w:rsid w:val="00EC7A45"/>
    <w:rsid w:val="00ED1216"/>
    <w:rsid w:val="00ED12A0"/>
    <w:rsid w:val="00ED2E90"/>
    <w:rsid w:val="00ED5010"/>
    <w:rsid w:val="00ED618B"/>
    <w:rsid w:val="00ED6A96"/>
    <w:rsid w:val="00EE1916"/>
    <w:rsid w:val="00EE20B0"/>
    <w:rsid w:val="00EE3E0E"/>
    <w:rsid w:val="00EE40B2"/>
    <w:rsid w:val="00EE489B"/>
    <w:rsid w:val="00EE4BF1"/>
    <w:rsid w:val="00EE5E7F"/>
    <w:rsid w:val="00EE6F7E"/>
    <w:rsid w:val="00EE798D"/>
    <w:rsid w:val="00EE7B1E"/>
    <w:rsid w:val="00EF1A27"/>
    <w:rsid w:val="00EF29A1"/>
    <w:rsid w:val="00EF37B8"/>
    <w:rsid w:val="00EF3B4F"/>
    <w:rsid w:val="00EF4A49"/>
    <w:rsid w:val="00EF5D73"/>
    <w:rsid w:val="00EF5F70"/>
    <w:rsid w:val="00EF6CEC"/>
    <w:rsid w:val="00EF7E8A"/>
    <w:rsid w:val="00F00B98"/>
    <w:rsid w:val="00F012E0"/>
    <w:rsid w:val="00F024BD"/>
    <w:rsid w:val="00F026F1"/>
    <w:rsid w:val="00F02983"/>
    <w:rsid w:val="00F02A82"/>
    <w:rsid w:val="00F02A8B"/>
    <w:rsid w:val="00F04807"/>
    <w:rsid w:val="00F0499E"/>
    <w:rsid w:val="00F049F6"/>
    <w:rsid w:val="00F04D93"/>
    <w:rsid w:val="00F05A55"/>
    <w:rsid w:val="00F1041F"/>
    <w:rsid w:val="00F11A54"/>
    <w:rsid w:val="00F131C8"/>
    <w:rsid w:val="00F13548"/>
    <w:rsid w:val="00F13F00"/>
    <w:rsid w:val="00F166BD"/>
    <w:rsid w:val="00F23127"/>
    <w:rsid w:val="00F2315D"/>
    <w:rsid w:val="00F23C07"/>
    <w:rsid w:val="00F24904"/>
    <w:rsid w:val="00F261F5"/>
    <w:rsid w:val="00F26EAF"/>
    <w:rsid w:val="00F32F3C"/>
    <w:rsid w:val="00F332B9"/>
    <w:rsid w:val="00F33BD8"/>
    <w:rsid w:val="00F347AC"/>
    <w:rsid w:val="00F3551F"/>
    <w:rsid w:val="00F35696"/>
    <w:rsid w:val="00F35DB1"/>
    <w:rsid w:val="00F40281"/>
    <w:rsid w:val="00F406BB"/>
    <w:rsid w:val="00F41DD4"/>
    <w:rsid w:val="00F41E18"/>
    <w:rsid w:val="00F41EBB"/>
    <w:rsid w:val="00F4414D"/>
    <w:rsid w:val="00F44441"/>
    <w:rsid w:val="00F44CD6"/>
    <w:rsid w:val="00F44D5D"/>
    <w:rsid w:val="00F4720D"/>
    <w:rsid w:val="00F4760E"/>
    <w:rsid w:val="00F4777C"/>
    <w:rsid w:val="00F50443"/>
    <w:rsid w:val="00F5081A"/>
    <w:rsid w:val="00F50ED3"/>
    <w:rsid w:val="00F52864"/>
    <w:rsid w:val="00F52B72"/>
    <w:rsid w:val="00F52FAB"/>
    <w:rsid w:val="00F54969"/>
    <w:rsid w:val="00F55F28"/>
    <w:rsid w:val="00F56B3D"/>
    <w:rsid w:val="00F611EF"/>
    <w:rsid w:val="00F62CEC"/>
    <w:rsid w:val="00F6303A"/>
    <w:rsid w:val="00F64C06"/>
    <w:rsid w:val="00F655DF"/>
    <w:rsid w:val="00F66C71"/>
    <w:rsid w:val="00F675AA"/>
    <w:rsid w:val="00F701E4"/>
    <w:rsid w:val="00F7060E"/>
    <w:rsid w:val="00F71EB6"/>
    <w:rsid w:val="00F728FD"/>
    <w:rsid w:val="00F72E1B"/>
    <w:rsid w:val="00F735FF"/>
    <w:rsid w:val="00F74BD8"/>
    <w:rsid w:val="00F74CCE"/>
    <w:rsid w:val="00F76815"/>
    <w:rsid w:val="00F809AF"/>
    <w:rsid w:val="00F823D9"/>
    <w:rsid w:val="00F83731"/>
    <w:rsid w:val="00F838DE"/>
    <w:rsid w:val="00F85DC2"/>
    <w:rsid w:val="00F865DC"/>
    <w:rsid w:val="00F87373"/>
    <w:rsid w:val="00F87C2B"/>
    <w:rsid w:val="00F90637"/>
    <w:rsid w:val="00F91569"/>
    <w:rsid w:val="00F91B32"/>
    <w:rsid w:val="00F91DD5"/>
    <w:rsid w:val="00F96254"/>
    <w:rsid w:val="00F97654"/>
    <w:rsid w:val="00FA04D7"/>
    <w:rsid w:val="00FA16E6"/>
    <w:rsid w:val="00FA1731"/>
    <w:rsid w:val="00FA1CCA"/>
    <w:rsid w:val="00FA1CE2"/>
    <w:rsid w:val="00FA223A"/>
    <w:rsid w:val="00FA226E"/>
    <w:rsid w:val="00FA24CE"/>
    <w:rsid w:val="00FA28C8"/>
    <w:rsid w:val="00FA2E33"/>
    <w:rsid w:val="00FA36B5"/>
    <w:rsid w:val="00FA42C9"/>
    <w:rsid w:val="00FA500A"/>
    <w:rsid w:val="00FA78A5"/>
    <w:rsid w:val="00FA7925"/>
    <w:rsid w:val="00FB09B0"/>
    <w:rsid w:val="00FB2196"/>
    <w:rsid w:val="00FB3042"/>
    <w:rsid w:val="00FB312E"/>
    <w:rsid w:val="00FB420C"/>
    <w:rsid w:val="00FB4437"/>
    <w:rsid w:val="00FB5613"/>
    <w:rsid w:val="00FB7BC5"/>
    <w:rsid w:val="00FB7ECF"/>
    <w:rsid w:val="00FC0BF3"/>
    <w:rsid w:val="00FC0C92"/>
    <w:rsid w:val="00FC1130"/>
    <w:rsid w:val="00FC19B5"/>
    <w:rsid w:val="00FC1F0E"/>
    <w:rsid w:val="00FC26FE"/>
    <w:rsid w:val="00FC2D4D"/>
    <w:rsid w:val="00FC3227"/>
    <w:rsid w:val="00FC3419"/>
    <w:rsid w:val="00FC38F2"/>
    <w:rsid w:val="00FC3A49"/>
    <w:rsid w:val="00FC4D6C"/>
    <w:rsid w:val="00FC6436"/>
    <w:rsid w:val="00FC67DA"/>
    <w:rsid w:val="00FD0306"/>
    <w:rsid w:val="00FD0D7D"/>
    <w:rsid w:val="00FD235D"/>
    <w:rsid w:val="00FD3554"/>
    <w:rsid w:val="00FD4A62"/>
    <w:rsid w:val="00FD5DDE"/>
    <w:rsid w:val="00FD6682"/>
    <w:rsid w:val="00FD6A58"/>
    <w:rsid w:val="00FD734C"/>
    <w:rsid w:val="00FE1273"/>
    <w:rsid w:val="00FE4CA6"/>
    <w:rsid w:val="00FE4D34"/>
    <w:rsid w:val="00FE5F0D"/>
    <w:rsid w:val="00FE652E"/>
    <w:rsid w:val="00FE658A"/>
    <w:rsid w:val="00FE67AF"/>
    <w:rsid w:val="00FE7F0B"/>
    <w:rsid w:val="00FF02E2"/>
    <w:rsid w:val="00FF0566"/>
    <w:rsid w:val="00FF168B"/>
    <w:rsid w:val="00FF1DEF"/>
    <w:rsid w:val="00FF1F56"/>
    <w:rsid w:val="00FF3BF3"/>
    <w:rsid w:val="00FF54B5"/>
    <w:rsid w:val="00FF57B0"/>
    <w:rsid w:val="00FF5AC3"/>
    <w:rsid w:val="00FF5D1B"/>
    <w:rsid w:val="00FF674D"/>
    <w:rsid w:val="00FF67F7"/>
    <w:rsid w:val="00FF70CC"/>
    <w:rsid w:val="00FF7439"/>
    <w:rsid w:val="00FF7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B2C3D6BF-BFBD-4E8C-BAD5-DF0AED1D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2"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0"/>
    <w:lsdException w:name="Grid Table 3" w:uiPriority="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8D"/>
    <w:pPr>
      <w:spacing w:line="256" w:lineRule="auto"/>
    </w:pPr>
  </w:style>
  <w:style w:type="paragraph" w:styleId="Heading1">
    <w:name w:val="heading 1"/>
    <w:basedOn w:val="Normal"/>
    <w:next w:val="Normal"/>
    <w:link w:val="Heading1Char"/>
    <w:qFormat/>
    <w:rsid w:val="00450B97"/>
    <w:pPr>
      <w:keepNext/>
      <w:pageBreakBefore/>
      <w:widowControl w:val="0"/>
      <w:spacing w:after="360" w:line="550" w:lineRule="exact"/>
      <w:outlineLvl w:val="0"/>
    </w:pPr>
    <w:rPr>
      <w:rFonts w:ascii="Arial" w:eastAsia="Times New Roman" w:hAnsi="Arial" w:cs="Arial"/>
      <w:bCs/>
      <w:color w:val="323232"/>
      <w:kern w:val="32"/>
      <w:sz w:val="53"/>
      <w:szCs w:val="32"/>
      <w:lang w:eastAsia="en-AU"/>
    </w:rPr>
  </w:style>
  <w:style w:type="paragraph" w:styleId="Heading2">
    <w:name w:val="heading 2"/>
    <w:basedOn w:val="Normal"/>
    <w:next w:val="Paragraph"/>
    <w:link w:val="Heading2Char"/>
    <w:uiPriority w:val="1"/>
    <w:unhideWhenUsed/>
    <w:qFormat/>
    <w:rsid w:val="00450B97"/>
    <w:pPr>
      <w:keepNext/>
      <w:spacing w:before="320" w:after="60" w:line="240" w:lineRule="atLeast"/>
      <w:outlineLvl w:val="1"/>
    </w:pPr>
    <w:rPr>
      <w:rFonts w:ascii="Arial" w:eastAsia="Times New Roman" w:hAnsi="Arial" w:cs="Arial"/>
      <w:b/>
      <w:bCs/>
      <w:iCs/>
      <w:sz w:val="28"/>
      <w:szCs w:val="28"/>
      <w:lang w:eastAsia="en-AU"/>
    </w:rPr>
  </w:style>
  <w:style w:type="paragraph" w:styleId="Heading3">
    <w:name w:val="heading 3"/>
    <w:basedOn w:val="Normal"/>
    <w:next w:val="Normal"/>
    <w:link w:val="Heading3Char"/>
    <w:uiPriority w:val="2"/>
    <w:unhideWhenUsed/>
    <w:qFormat/>
    <w:rsid w:val="00450B97"/>
    <w:pPr>
      <w:keepNext/>
      <w:spacing w:before="60" w:after="60" w:line="240" w:lineRule="atLeast"/>
      <w:outlineLvl w:val="2"/>
    </w:pPr>
    <w:rPr>
      <w:rFonts w:ascii="Arial" w:eastAsia="Times New Roman" w:hAnsi="Arial" w:cs="Arial"/>
      <w:b/>
      <w:bCs/>
      <w:sz w:val="20"/>
      <w:szCs w:val="26"/>
      <w:lang w:eastAsia="en-AU"/>
    </w:rPr>
  </w:style>
  <w:style w:type="paragraph" w:styleId="Heading4">
    <w:name w:val="heading 4"/>
    <w:basedOn w:val="BodySubHeader"/>
    <w:next w:val="Normal"/>
    <w:link w:val="Heading4Char"/>
    <w:uiPriority w:val="2"/>
    <w:unhideWhenUsed/>
    <w:qFormat/>
    <w:rsid w:val="00450B97"/>
    <w:pPr>
      <w:outlineLvl w:val="3"/>
    </w:pPr>
    <w:rPr>
      <w:rFonts w:cs="Arial"/>
    </w:rPr>
  </w:style>
  <w:style w:type="paragraph" w:styleId="Heading5">
    <w:name w:val="heading 5"/>
    <w:basedOn w:val="Normal"/>
    <w:next w:val="Normal"/>
    <w:link w:val="Heading5Char"/>
    <w:semiHidden/>
    <w:unhideWhenUsed/>
    <w:qFormat/>
    <w:rsid w:val="00450B97"/>
    <w:pPr>
      <w:numPr>
        <w:ilvl w:val="4"/>
        <w:numId w:val="11"/>
      </w:numPr>
      <w:spacing w:before="240" w:after="60" w:line="240" w:lineRule="atLeast"/>
      <w:outlineLvl w:val="4"/>
    </w:pPr>
    <w:rPr>
      <w:rFonts w:ascii="Arial" w:eastAsia="Times New Roman" w:hAnsi="Arial" w:cs="Times New Roman"/>
      <w:b/>
      <w:bCs/>
      <w:i/>
      <w:iCs/>
      <w:sz w:val="26"/>
      <w:szCs w:val="26"/>
      <w:lang w:eastAsia="en-AU"/>
    </w:rPr>
  </w:style>
  <w:style w:type="paragraph" w:styleId="Heading6">
    <w:name w:val="heading 6"/>
    <w:basedOn w:val="Normal"/>
    <w:next w:val="Normal"/>
    <w:link w:val="Heading6Char"/>
    <w:semiHidden/>
    <w:unhideWhenUsed/>
    <w:qFormat/>
    <w:rsid w:val="00450B97"/>
    <w:pPr>
      <w:numPr>
        <w:ilvl w:val="5"/>
        <w:numId w:val="11"/>
      </w:numPr>
      <w:spacing w:before="240" w:after="60" w:line="240" w:lineRule="atLeast"/>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semiHidden/>
    <w:unhideWhenUsed/>
    <w:qFormat/>
    <w:rsid w:val="00450B97"/>
    <w:pPr>
      <w:numPr>
        <w:ilvl w:val="6"/>
        <w:numId w:val="11"/>
      </w:numPr>
      <w:spacing w:before="240" w:after="60" w:line="240" w:lineRule="atLeast"/>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semiHidden/>
    <w:unhideWhenUsed/>
    <w:qFormat/>
    <w:rsid w:val="00450B97"/>
    <w:pPr>
      <w:numPr>
        <w:ilvl w:val="7"/>
        <w:numId w:val="11"/>
      </w:numPr>
      <w:spacing w:before="240" w:after="60" w:line="240" w:lineRule="atLeast"/>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semiHidden/>
    <w:unhideWhenUsed/>
    <w:qFormat/>
    <w:rsid w:val="00450B97"/>
    <w:pPr>
      <w:numPr>
        <w:ilvl w:val="8"/>
        <w:numId w:val="11"/>
      </w:numPr>
      <w:spacing w:before="240" w:after="60" w:line="240" w:lineRule="atLeast"/>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semiHidden/>
    <w:unhideWhenUsed/>
    <w:rsid w:val="000B4B6C"/>
    <w:rPr>
      <w:b/>
      <w:bCs/>
    </w:rPr>
  </w:style>
  <w:style w:type="character" w:customStyle="1" w:styleId="CommentSubjectChar">
    <w:name w:val="Comment Subject Char"/>
    <w:basedOn w:val="CommentTextChar"/>
    <w:link w:val="CommentSubject"/>
    <w:semiHidden/>
    <w:rsid w:val="000B4B6C"/>
    <w:rPr>
      <w:b/>
      <w:bCs/>
      <w:sz w:val="20"/>
      <w:szCs w:val="20"/>
    </w:rPr>
  </w:style>
  <w:style w:type="paragraph" w:styleId="BalloonText">
    <w:name w:val="Balloon Text"/>
    <w:basedOn w:val="Normal"/>
    <w:link w:val="BalloonTextChar"/>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B4B6C"/>
    <w:rPr>
      <w:rFonts w:ascii="Segoe UI" w:hAnsi="Segoe UI" w:cs="Segoe UI"/>
      <w:sz w:val="18"/>
      <w:szCs w:val="18"/>
    </w:rPr>
  </w:style>
  <w:style w:type="paragraph" w:styleId="Header">
    <w:name w:val="header"/>
    <w:basedOn w:val="Normal"/>
    <w:link w:val="HeaderChar"/>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rsid w:val="00025ACE"/>
  </w:style>
  <w:style w:type="paragraph" w:styleId="Footer">
    <w:name w:val="footer"/>
    <w:basedOn w:val="Normal"/>
    <w:link w:val="FooterChar"/>
    <w:unhideWhenUsed/>
    <w:qFormat/>
    <w:rsid w:val="00025ACE"/>
    <w:pPr>
      <w:tabs>
        <w:tab w:val="center" w:pos="4513"/>
        <w:tab w:val="right" w:pos="9026"/>
      </w:tabs>
      <w:spacing w:after="0" w:line="240" w:lineRule="auto"/>
    </w:pPr>
  </w:style>
  <w:style w:type="character" w:customStyle="1" w:styleId="FooterChar">
    <w:name w:val="Footer Char"/>
    <w:basedOn w:val="DefaultParagraphFont"/>
    <w:link w:val="Footer"/>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CV text"/>
    <w:basedOn w:val="Normal"/>
    <w:link w:val="ListParagraphChar"/>
    <w:uiPriority w:val="34"/>
    <w:qFormat/>
    <w:rsid w:val="00185BDC"/>
    <w:pPr>
      <w:ind w:left="720"/>
      <w:contextualSpacing/>
    </w:pPr>
  </w:style>
  <w:style w:type="character" w:styleId="Hyperlink">
    <w:name w:val="Hyperlink"/>
    <w:basedOn w:val="DefaultParagraphFont"/>
    <w:uiPriority w:val="99"/>
    <w:unhideWhenUsed/>
    <w:qFormat/>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C571F"/>
    <w:pPr>
      <w:widowControl w:val="0"/>
      <w:autoSpaceDE w:val="0"/>
      <w:autoSpaceDN w:val="0"/>
      <w:spacing w:after="0" w:line="240" w:lineRule="auto"/>
    </w:pPr>
    <w:rPr>
      <w:rFonts w:ascii="Times New Roman" w:eastAsia="Times New Roman" w:hAnsi="Times New Roman" w:cs="Times New Roman"/>
      <w:sz w:val="24"/>
      <w:szCs w:val="24"/>
      <w:lang w:eastAsia="en-AU" w:bidi="en-AU"/>
    </w:rPr>
  </w:style>
  <w:style w:type="character" w:customStyle="1" w:styleId="BodyTextChar">
    <w:name w:val="Body Text Char"/>
    <w:basedOn w:val="DefaultParagraphFont"/>
    <w:link w:val="BodyText"/>
    <w:uiPriority w:val="1"/>
    <w:rsid w:val="007C571F"/>
    <w:rPr>
      <w:rFonts w:ascii="Times New Roman" w:eastAsia="Times New Roman" w:hAnsi="Times New Roman" w:cs="Times New Roman"/>
      <w:sz w:val="24"/>
      <w:szCs w:val="24"/>
      <w:lang w:eastAsia="en-AU" w:bidi="en-AU"/>
    </w:rPr>
  </w:style>
  <w:style w:type="paragraph" w:styleId="ListBullet">
    <w:name w:val="List Bullet"/>
    <w:basedOn w:val="Normal"/>
    <w:qFormat/>
    <w:rsid w:val="0040080F"/>
    <w:pPr>
      <w:numPr>
        <w:numId w:val="4"/>
      </w:numPr>
      <w:spacing w:after="80" w:line="240" w:lineRule="atLeast"/>
    </w:pPr>
    <w:rPr>
      <w:rFonts w:ascii="Arial" w:eastAsia="Times New Roman" w:hAnsi="Arial" w:cs="Times New Roman"/>
      <w:sz w:val="20"/>
      <w:szCs w:val="24"/>
      <w:lang w:eastAsia="en-AU"/>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A,FR,Ref"/>
    <w:basedOn w:val="DefaultParagraphFont"/>
    <w:qFormat/>
    <w:rsid w:val="00E33C88"/>
    <w:rPr>
      <w:rFonts w:ascii="Arial" w:hAnsi="Arial"/>
      <w:vertAlign w:val="superscript"/>
    </w:rPr>
  </w:style>
  <w:style w:type="paragraph" w:styleId="FootnoteText">
    <w:name w:val="footnote text"/>
    <w:aliases w:val="Footnote text,ACMA Footnote Text,ALTS FOOTNOTE Char,Footnote Text Char Char,Footnote Text Char Char2 Char Char Char,Footnote Text Char1 Char Char Char,Footnote Text Char2 Char Char,fn Char"/>
    <w:basedOn w:val="Normal"/>
    <w:link w:val="FootnoteTextChar"/>
    <w:uiPriority w:val="23"/>
    <w:qFormat/>
    <w:rsid w:val="00E33C88"/>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ACMA Footnote Text Char,ALTS FOOTNOTE Char Char,Footnote Text Char Char Char,Footnote Text Char Char2 Char Char Char Char,Footnote Text Char1 Char Char Char Char,Footnote Text Char2 Char Char Char,fn Char Char"/>
    <w:basedOn w:val="DefaultParagraphFont"/>
    <w:link w:val="FootnoteText"/>
    <w:rsid w:val="00E33C88"/>
    <w:rPr>
      <w:rFonts w:ascii="Arial" w:eastAsia="Times New Roman" w:hAnsi="Arial" w:cs="Times New Roman"/>
      <w:sz w:val="16"/>
      <w:szCs w:val="16"/>
      <w:lang w:eastAsia="en-AU"/>
    </w:rPr>
  </w:style>
  <w:style w:type="paragraph" w:customStyle="1" w:styleId="Paragraph">
    <w:name w:val="Paragraph"/>
    <w:basedOn w:val="Normal"/>
    <w:qFormat/>
    <w:rsid w:val="00E33C88"/>
    <w:pPr>
      <w:spacing w:after="240" w:line="240" w:lineRule="atLeast"/>
    </w:pPr>
    <w:rPr>
      <w:rFonts w:ascii="Arial" w:eastAsia="Times New Roman" w:hAnsi="Arial" w:cs="Arial"/>
      <w:sz w:val="20"/>
      <w:szCs w:val="24"/>
      <w:lang w:eastAsia="en-AU"/>
    </w:rPr>
  </w:style>
  <w:style w:type="character" w:styleId="UnresolvedMention">
    <w:name w:val="Unresolved Mention"/>
    <w:basedOn w:val="DefaultParagraphFont"/>
    <w:uiPriority w:val="99"/>
    <w:semiHidden/>
    <w:unhideWhenUsed/>
    <w:rsid w:val="009E4055"/>
    <w:rPr>
      <w:color w:val="605E5C"/>
      <w:shd w:val="clear" w:color="auto" w:fill="E1DFDD"/>
    </w:rPr>
  </w:style>
  <w:style w:type="paragraph" w:customStyle="1" w:styleId="body">
    <w:name w:val="body"/>
    <w:basedOn w:val="Normal"/>
    <w:uiPriority w:val="99"/>
    <w:rsid w:val="002C6CD3"/>
    <w:pPr>
      <w:widowControl w:val="0"/>
      <w:suppressAutoHyphens/>
      <w:autoSpaceDE w:val="0"/>
      <w:autoSpaceDN w:val="0"/>
      <w:adjustRightInd w:val="0"/>
      <w:spacing w:after="113" w:line="230" w:lineRule="atLeast"/>
      <w:textAlignment w:val="center"/>
    </w:pPr>
    <w:rPr>
      <w:rFonts w:ascii="TimesNewRomanPSMT" w:eastAsia="Times New Roman" w:hAnsi="TimesNewRomanPSMT" w:cs="TimesNewRomanPSMT"/>
      <w:color w:val="000000"/>
      <w:sz w:val="19"/>
      <w:szCs w:val="19"/>
      <w:lang w:val="en-GB"/>
    </w:rPr>
  </w:style>
  <w:style w:type="paragraph" w:customStyle="1" w:styleId="subsection">
    <w:name w:val="subsection"/>
    <w:aliases w:val="ss,Subsection"/>
    <w:basedOn w:val="Normal"/>
    <w:link w:val="subsectionChar"/>
    <w:rsid w:val="009D217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9D217B"/>
    <w:rPr>
      <w:rFonts w:ascii="Times New Roman" w:eastAsia="Times New Roman" w:hAnsi="Times New Roman" w:cs="Times New Roman"/>
      <w:szCs w:val="20"/>
      <w:lang w:eastAsia="en-AU"/>
    </w:rPr>
  </w:style>
  <w:style w:type="paragraph" w:customStyle="1" w:styleId="ActHead5">
    <w:name w:val="ActHead 5"/>
    <w:aliases w:val="s"/>
    <w:basedOn w:val="Normal"/>
    <w:next w:val="subsection"/>
    <w:qFormat/>
    <w:rsid w:val="009D217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9D217B"/>
  </w:style>
  <w:style w:type="paragraph" w:customStyle="1" w:styleId="Definition">
    <w:name w:val="Definition"/>
    <w:aliases w:val="dd,ddd,Definition2"/>
    <w:basedOn w:val="Normal"/>
    <w:qFormat/>
    <w:rsid w:val="0040782C"/>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40782C"/>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40782C"/>
    <w:rPr>
      <w:rFonts w:ascii="Times New Roman" w:eastAsia="Times New Roman" w:hAnsi="Times New Roman" w:cs="Times New Roman"/>
      <w:sz w:val="18"/>
      <w:szCs w:val="20"/>
      <w:lang w:eastAsia="en-AU"/>
    </w:rPr>
  </w:style>
  <w:style w:type="paragraph" w:customStyle="1" w:styleId="BodyNum">
    <w:name w:val="BodyNum"/>
    <w:aliases w:val="b1"/>
    <w:basedOn w:val="Normal"/>
    <w:rsid w:val="007B10A5"/>
    <w:pPr>
      <w:numPr>
        <w:numId w:val="5"/>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7B10A5"/>
    <w:pPr>
      <w:numPr>
        <w:ilvl w:val="1"/>
        <w:numId w:val="5"/>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7B10A5"/>
    <w:pPr>
      <w:numPr>
        <w:ilvl w:val="2"/>
        <w:numId w:val="5"/>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7B10A5"/>
    <w:pPr>
      <w:numPr>
        <w:ilvl w:val="3"/>
        <w:numId w:val="5"/>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7B10A5"/>
    <w:pPr>
      <w:numPr>
        <w:numId w:val="5"/>
      </w:numPr>
    </w:pPr>
  </w:style>
  <w:style w:type="paragraph" w:styleId="NormalWeb">
    <w:name w:val="Normal (Web)"/>
    <w:basedOn w:val="Normal"/>
    <w:uiPriority w:val="99"/>
    <w:unhideWhenUsed/>
    <w:rsid w:val="00452066"/>
    <w:rPr>
      <w:rFonts w:ascii="Times New Roman" w:hAnsi="Times New Roman" w:cs="Times New Roman"/>
      <w:sz w:val="24"/>
      <w:szCs w:val="24"/>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FF57B0"/>
  </w:style>
  <w:style w:type="paragraph" w:styleId="PlainText">
    <w:name w:val="Plain Text"/>
    <w:basedOn w:val="Normal"/>
    <w:link w:val="PlainTextChar"/>
    <w:uiPriority w:val="99"/>
    <w:unhideWhenUsed/>
    <w:rsid w:val="00AA642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A642A"/>
    <w:rPr>
      <w:rFonts w:ascii="Calibri" w:hAnsi="Calibri"/>
      <w:szCs w:val="21"/>
    </w:rPr>
  </w:style>
  <w:style w:type="paragraph" w:styleId="Revision">
    <w:name w:val="Revision"/>
    <w:hidden/>
    <w:semiHidden/>
    <w:rsid w:val="00EA50CF"/>
    <w:pPr>
      <w:spacing w:after="0" w:line="240" w:lineRule="auto"/>
    </w:pPr>
  </w:style>
  <w:style w:type="paragraph" w:customStyle="1" w:styleId="tabletext0">
    <w:name w:val="tabletext0"/>
    <w:basedOn w:val="Normal"/>
    <w:rsid w:val="003B54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A627C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R1">
    <w:name w:val="R1"/>
    <w:aliases w:val="1. or 1.(1)"/>
    <w:basedOn w:val="Normal"/>
    <w:next w:val="Normal"/>
    <w:link w:val="R1Char"/>
    <w:rsid w:val="00A627CC"/>
    <w:pPr>
      <w:tabs>
        <w:tab w:val="right" w:pos="794"/>
      </w:tabs>
      <w:spacing w:before="120" w:after="0" w:line="260" w:lineRule="exact"/>
      <w:ind w:left="964" w:hanging="964"/>
      <w:jc w:val="both"/>
    </w:pPr>
    <w:rPr>
      <w:rFonts w:ascii="Times New Roman" w:eastAsia="Times New Roman" w:hAnsi="Times New Roman" w:cs="Times New Roman"/>
      <w:noProof/>
      <w:sz w:val="24"/>
      <w:szCs w:val="24"/>
    </w:rPr>
  </w:style>
  <w:style w:type="character" w:customStyle="1" w:styleId="R1Char">
    <w:name w:val="R1 Char"/>
    <w:aliases w:val="1. or 1.(1) Char"/>
    <w:basedOn w:val="DefaultParagraphFont"/>
    <w:link w:val="R1"/>
    <w:rsid w:val="00A627CC"/>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rsid w:val="00450B97"/>
    <w:rPr>
      <w:rFonts w:ascii="Arial" w:eastAsia="Times New Roman" w:hAnsi="Arial" w:cs="Arial"/>
      <w:bCs/>
      <w:color w:val="323232"/>
      <w:kern w:val="32"/>
      <w:sz w:val="53"/>
      <w:szCs w:val="32"/>
      <w:lang w:eastAsia="en-AU"/>
    </w:rPr>
  </w:style>
  <w:style w:type="character" w:customStyle="1" w:styleId="Heading2Char">
    <w:name w:val="Heading 2 Char"/>
    <w:basedOn w:val="DefaultParagraphFont"/>
    <w:link w:val="Heading2"/>
    <w:uiPriority w:val="1"/>
    <w:rsid w:val="00450B97"/>
    <w:rPr>
      <w:rFonts w:ascii="Arial" w:eastAsia="Times New Roman" w:hAnsi="Arial" w:cs="Arial"/>
      <w:b/>
      <w:bCs/>
      <w:iCs/>
      <w:sz w:val="28"/>
      <w:szCs w:val="28"/>
      <w:lang w:eastAsia="en-AU"/>
    </w:rPr>
  </w:style>
  <w:style w:type="character" w:customStyle="1" w:styleId="Heading3Char">
    <w:name w:val="Heading 3 Char"/>
    <w:basedOn w:val="DefaultParagraphFont"/>
    <w:link w:val="Heading3"/>
    <w:uiPriority w:val="2"/>
    <w:rsid w:val="00450B97"/>
    <w:rPr>
      <w:rFonts w:ascii="Arial" w:eastAsia="Times New Roman" w:hAnsi="Arial" w:cs="Arial"/>
      <w:b/>
      <w:bCs/>
      <w:sz w:val="20"/>
      <w:szCs w:val="26"/>
      <w:lang w:eastAsia="en-AU"/>
    </w:rPr>
  </w:style>
  <w:style w:type="character" w:customStyle="1" w:styleId="Heading4Char">
    <w:name w:val="Heading 4 Char"/>
    <w:basedOn w:val="DefaultParagraphFont"/>
    <w:link w:val="Heading4"/>
    <w:uiPriority w:val="2"/>
    <w:rsid w:val="00450B97"/>
    <w:rPr>
      <w:rFonts w:ascii="Arial" w:eastAsia="Times New Roman" w:hAnsi="Arial" w:cs="Arial"/>
      <w:b/>
      <w:i/>
      <w:sz w:val="20"/>
      <w:szCs w:val="24"/>
      <w:lang w:eastAsia="en-AU"/>
    </w:rPr>
  </w:style>
  <w:style w:type="character" w:customStyle="1" w:styleId="Heading5Char">
    <w:name w:val="Heading 5 Char"/>
    <w:basedOn w:val="DefaultParagraphFont"/>
    <w:link w:val="Heading5"/>
    <w:semiHidden/>
    <w:rsid w:val="00450B97"/>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450B97"/>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450B97"/>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450B97"/>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450B97"/>
    <w:rPr>
      <w:rFonts w:ascii="Arial" w:eastAsia="Times New Roman" w:hAnsi="Arial" w:cs="Arial"/>
      <w:lang w:eastAsia="en-AU"/>
    </w:rPr>
  </w:style>
  <w:style w:type="character" w:styleId="FollowedHyperlink">
    <w:name w:val="FollowedHyperlink"/>
    <w:basedOn w:val="DefaultParagraphFont"/>
    <w:semiHidden/>
    <w:unhideWhenUsed/>
    <w:rsid w:val="00450B97"/>
    <w:rPr>
      <w:color w:val="954F72" w:themeColor="followedHyperlink"/>
      <w:u w:val="single"/>
    </w:rPr>
  </w:style>
  <w:style w:type="paragraph" w:customStyle="1" w:styleId="msonormal0">
    <w:name w:val="msonormal"/>
    <w:basedOn w:val="Normal"/>
    <w:rsid w:val="00450B97"/>
    <w:pPr>
      <w:spacing w:after="240" w:line="240" w:lineRule="atLeast"/>
    </w:pPr>
    <w:rPr>
      <w:rFonts w:ascii="Times New Roman" w:eastAsia="Times New Roman" w:hAnsi="Times New Roman" w:cs="Times New Roman"/>
      <w:sz w:val="24"/>
      <w:szCs w:val="24"/>
      <w:lang w:eastAsia="en-AU"/>
    </w:rPr>
  </w:style>
  <w:style w:type="paragraph" w:styleId="TOC1">
    <w:name w:val="toc 1"/>
    <w:basedOn w:val="Normal"/>
    <w:next w:val="Normal"/>
    <w:autoRedefine/>
    <w:uiPriority w:val="39"/>
    <w:unhideWhenUsed/>
    <w:qFormat/>
    <w:rsid w:val="00122CA2"/>
    <w:pPr>
      <w:keepNext/>
      <w:keepLines/>
      <w:tabs>
        <w:tab w:val="right" w:pos="7660"/>
      </w:tabs>
      <w:spacing w:before="280" w:after="80" w:line="320" w:lineRule="exact"/>
      <w:ind w:right="851"/>
    </w:pPr>
    <w:rPr>
      <w:rFonts w:ascii="Arial" w:eastAsia="Times New Roman" w:hAnsi="Arial" w:cs="Arial"/>
      <w:b/>
      <w:bCs/>
      <w:noProof/>
      <w:spacing w:val="-14"/>
      <w:sz w:val="28"/>
      <w:szCs w:val="24"/>
      <w:lang w:eastAsia="en-AU"/>
    </w:rPr>
  </w:style>
  <w:style w:type="paragraph" w:styleId="TOC2">
    <w:name w:val="toc 2"/>
    <w:basedOn w:val="Normal"/>
    <w:next w:val="Normal"/>
    <w:autoRedefine/>
    <w:uiPriority w:val="39"/>
    <w:unhideWhenUsed/>
    <w:qFormat/>
    <w:rsid w:val="00450B97"/>
    <w:pPr>
      <w:tabs>
        <w:tab w:val="right" w:pos="7660"/>
      </w:tabs>
      <w:spacing w:after="80" w:line="300" w:lineRule="exact"/>
      <w:ind w:left="885" w:hanging="885"/>
    </w:pPr>
    <w:rPr>
      <w:rFonts w:ascii="Arial" w:eastAsia="Times New Roman" w:hAnsi="Arial" w:cs="Times New Roman"/>
      <w:noProof/>
      <w:spacing w:val="-14"/>
      <w:sz w:val="26"/>
      <w:szCs w:val="26"/>
      <w:lang w:eastAsia="en-AU"/>
    </w:rPr>
  </w:style>
  <w:style w:type="paragraph" w:styleId="TOC3">
    <w:name w:val="toc 3"/>
    <w:basedOn w:val="Normal"/>
    <w:next w:val="Normal"/>
    <w:autoRedefine/>
    <w:uiPriority w:val="39"/>
    <w:unhideWhenUsed/>
    <w:qFormat/>
    <w:rsid w:val="00450B97"/>
    <w:pPr>
      <w:tabs>
        <w:tab w:val="right" w:pos="7661"/>
      </w:tabs>
      <w:spacing w:after="80" w:line="240" w:lineRule="auto"/>
    </w:pPr>
    <w:rPr>
      <w:rFonts w:ascii="Arial" w:eastAsia="Times New Roman" w:hAnsi="Arial" w:cs="Times New Roman"/>
      <w:noProof/>
      <w:lang w:eastAsia="en-AU"/>
    </w:rPr>
  </w:style>
  <w:style w:type="character" w:customStyle="1" w:styleId="FootnoteTextChar1">
    <w:name w:val="Footnote Text Char1"/>
    <w:aliases w:val="Footnote text Char1,ACMA Footnote Text Char1"/>
    <w:basedOn w:val="DefaultParagraphFont"/>
    <w:semiHidden/>
    <w:rsid w:val="00450B97"/>
    <w:rPr>
      <w:rFonts w:ascii="Arial" w:eastAsia="Times New Roman" w:hAnsi="Arial" w:cs="Times New Roman"/>
      <w:sz w:val="20"/>
      <w:szCs w:val="20"/>
      <w:lang w:eastAsia="en-AU"/>
    </w:rPr>
  </w:style>
  <w:style w:type="paragraph" w:styleId="Caption">
    <w:name w:val="caption"/>
    <w:aliases w:val="Caption table"/>
    <w:basedOn w:val="Normal"/>
    <w:next w:val="Normal"/>
    <w:semiHidden/>
    <w:unhideWhenUsed/>
    <w:qFormat/>
    <w:rsid w:val="00450B97"/>
    <w:pPr>
      <w:numPr>
        <w:numId w:val="12"/>
      </w:numPr>
      <w:spacing w:after="0" w:line="240" w:lineRule="atLeast"/>
    </w:pPr>
    <w:rPr>
      <w:rFonts w:ascii="Arial" w:eastAsia="Times New Roman" w:hAnsi="Arial" w:cs="Times New Roman"/>
      <w:b/>
      <w:bCs/>
      <w:color w:val="323232"/>
      <w:sz w:val="20"/>
      <w:szCs w:val="20"/>
      <w:lang w:eastAsia="en-AU"/>
    </w:rPr>
  </w:style>
  <w:style w:type="paragraph" w:styleId="TableofFigures">
    <w:name w:val="table of figures"/>
    <w:basedOn w:val="Normal"/>
    <w:next w:val="Normal"/>
    <w:semiHidden/>
    <w:unhideWhenUsed/>
    <w:rsid w:val="00450B97"/>
    <w:pPr>
      <w:tabs>
        <w:tab w:val="right" w:pos="7615"/>
      </w:tabs>
      <w:spacing w:after="240" w:line="320" w:lineRule="exact"/>
    </w:pPr>
    <w:rPr>
      <w:rFonts w:ascii="Arial" w:eastAsia="Times New Roman" w:hAnsi="Arial" w:cs="Times New Roman"/>
      <w:noProof/>
      <w:color w:val="808285"/>
      <w:sz w:val="28"/>
      <w:szCs w:val="24"/>
      <w:lang w:eastAsia="en-AU"/>
    </w:rPr>
  </w:style>
  <w:style w:type="paragraph" w:styleId="ListNumber">
    <w:name w:val="List Number"/>
    <w:basedOn w:val="Normal"/>
    <w:semiHidden/>
    <w:unhideWhenUsed/>
    <w:qFormat/>
    <w:rsid w:val="00450B97"/>
    <w:pPr>
      <w:numPr>
        <w:numId w:val="13"/>
      </w:numPr>
      <w:spacing w:after="80" w:line="240" w:lineRule="atLeast"/>
    </w:pPr>
    <w:rPr>
      <w:rFonts w:ascii="Arial" w:eastAsia="Times New Roman" w:hAnsi="Arial" w:cs="Times New Roman"/>
      <w:sz w:val="20"/>
      <w:szCs w:val="24"/>
      <w:lang w:eastAsia="en-AU"/>
    </w:rPr>
  </w:style>
  <w:style w:type="paragraph" w:styleId="ListBullet2">
    <w:name w:val="List Bullet 2"/>
    <w:basedOn w:val="Normal"/>
    <w:semiHidden/>
    <w:unhideWhenUsed/>
    <w:qFormat/>
    <w:rsid w:val="00450B97"/>
    <w:pPr>
      <w:numPr>
        <w:numId w:val="14"/>
      </w:numPr>
      <w:spacing w:after="80" w:line="240" w:lineRule="atLeast"/>
    </w:pPr>
    <w:rPr>
      <w:rFonts w:ascii="Arial" w:eastAsia="Times New Roman" w:hAnsi="Arial" w:cs="Times New Roman"/>
      <w:sz w:val="20"/>
      <w:szCs w:val="24"/>
      <w:lang w:eastAsia="en-AU"/>
    </w:rPr>
  </w:style>
  <w:style w:type="paragraph" w:styleId="ListNumber2">
    <w:name w:val="List Number 2"/>
    <w:basedOn w:val="Normal"/>
    <w:semiHidden/>
    <w:unhideWhenUsed/>
    <w:qFormat/>
    <w:rsid w:val="00450B97"/>
    <w:pPr>
      <w:numPr>
        <w:numId w:val="15"/>
      </w:numPr>
      <w:spacing w:after="80" w:line="240" w:lineRule="atLeast"/>
      <w:ind w:left="828" w:hanging="357"/>
    </w:pPr>
    <w:rPr>
      <w:rFonts w:ascii="Arial" w:eastAsia="Times New Roman" w:hAnsi="Arial" w:cs="Times New Roman"/>
      <w:sz w:val="20"/>
      <w:szCs w:val="24"/>
      <w:lang w:eastAsia="en-AU"/>
    </w:rPr>
  </w:style>
  <w:style w:type="paragraph" w:styleId="ListContinue5">
    <w:name w:val="List Continue 5"/>
    <w:basedOn w:val="Normal"/>
    <w:semiHidden/>
    <w:unhideWhenUsed/>
    <w:rsid w:val="00450B97"/>
    <w:pPr>
      <w:spacing w:after="120" w:line="240" w:lineRule="atLeast"/>
      <w:ind w:left="1415"/>
      <w:contextualSpacing/>
    </w:pPr>
    <w:rPr>
      <w:rFonts w:ascii="Arial" w:eastAsia="Times New Roman" w:hAnsi="Arial" w:cs="Times New Roman"/>
      <w:sz w:val="20"/>
      <w:szCs w:val="24"/>
      <w:lang w:eastAsia="en-AU"/>
    </w:rPr>
  </w:style>
  <w:style w:type="paragraph" w:styleId="TOCHeading">
    <w:name w:val="TOC Heading"/>
    <w:basedOn w:val="Normal"/>
    <w:semiHidden/>
    <w:unhideWhenUsed/>
    <w:qFormat/>
    <w:rsid w:val="00450B97"/>
    <w:pPr>
      <w:spacing w:before="1200" w:after="240" w:line="240" w:lineRule="auto"/>
    </w:pPr>
    <w:rPr>
      <w:rFonts w:ascii="Arial" w:eastAsia="Times New Roman" w:hAnsi="Arial" w:cs="Times New Roman"/>
      <w:b/>
      <w:color w:val="323232"/>
      <w:spacing w:val="-28"/>
      <w:sz w:val="53"/>
      <w:szCs w:val="24"/>
      <w:lang w:eastAsia="en-AU"/>
    </w:rPr>
  </w:style>
  <w:style w:type="paragraph" w:customStyle="1" w:styleId="Reporttitle">
    <w:name w:val="Report title"/>
    <w:basedOn w:val="Normal"/>
    <w:uiPriority w:val="19"/>
    <w:qFormat/>
    <w:rsid w:val="00450B97"/>
    <w:pPr>
      <w:spacing w:after="0" w:line="560" w:lineRule="exact"/>
    </w:pPr>
    <w:rPr>
      <w:rFonts w:ascii="Arial" w:eastAsia="Times New Roman" w:hAnsi="Arial" w:cs="Times New Roman"/>
      <w:b/>
      <w:spacing w:val="-28"/>
      <w:sz w:val="53"/>
      <w:szCs w:val="24"/>
      <w:lang w:eastAsia="en-AU"/>
    </w:rPr>
  </w:style>
  <w:style w:type="paragraph" w:customStyle="1" w:styleId="Reportsubtitle">
    <w:name w:val="Report subtitle"/>
    <w:basedOn w:val="Normal"/>
    <w:uiPriority w:val="20"/>
    <w:qFormat/>
    <w:rsid w:val="00450B97"/>
    <w:pPr>
      <w:spacing w:after="200" w:line="560" w:lineRule="exact"/>
    </w:pPr>
    <w:rPr>
      <w:rFonts w:ascii="Arial" w:eastAsia="Times New Roman" w:hAnsi="Arial" w:cs="Times New Roman"/>
      <w:color w:val="323232"/>
      <w:spacing w:val="-28"/>
      <w:sz w:val="53"/>
      <w:szCs w:val="24"/>
      <w:lang w:eastAsia="en-AU"/>
    </w:rPr>
  </w:style>
  <w:style w:type="paragraph" w:customStyle="1" w:styleId="Reportdate">
    <w:name w:val="Report date"/>
    <w:basedOn w:val="Reportsubtitle"/>
    <w:uiPriority w:val="21"/>
    <w:qFormat/>
    <w:rsid w:val="00450B97"/>
    <w:pPr>
      <w:spacing w:after="1200" w:line="240" w:lineRule="auto"/>
    </w:pPr>
    <w:rPr>
      <w:caps/>
      <w:spacing w:val="-10"/>
      <w:sz w:val="20"/>
    </w:rPr>
  </w:style>
  <w:style w:type="paragraph" w:customStyle="1" w:styleId="Tableheaderrow">
    <w:name w:val="Table header row"/>
    <w:basedOn w:val="Normal"/>
    <w:uiPriority w:val="14"/>
    <w:qFormat/>
    <w:rsid w:val="00450B97"/>
    <w:pPr>
      <w:spacing w:after="0" w:line="240" w:lineRule="atLeast"/>
    </w:pPr>
    <w:rPr>
      <w:rFonts w:ascii="Arial" w:eastAsia="Times New Roman" w:hAnsi="Arial" w:cs="Times New Roman"/>
      <w:b/>
      <w:sz w:val="20"/>
      <w:szCs w:val="24"/>
      <w:lang w:eastAsia="en-AU"/>
    </w:rPr>
  </w:style>
  <w:style w:type="paragraph" w:customStyle="1" w:styleId="PageNumber">
    <w:name w:val="PageNumber"/>
    <w:basedOn w:val="Normal"/>
    <w:semiHidden/>
    <w:rsid w:val="00450B97"/>
    <w:pPr>
      <w:spacing w:after="240" w:line="240" w:lineRule="auto"/>
    </w:pPr>
    <w:rPr>
      <w:rFonts w:ascii="Arial" w:eastAsia="Times New Roman" w:hAnsi="Arial" w:cs="Times New Roman"/>
      <w:sz w:val="16"/>
      <w:szCs w:val="24"/>
      <w:lang w:eastAsia="en-AU"/>
    </w:rPr>
  </w:style>
  <w:style w:type="paragraph" w:customStyle="1" w:styleId="Copyright">
    <w:name w:val="Copyright"/>
    <w:basedOn w:val="Normal"/>
    <w:semiHidden/>
    <w:rsid w:val="00450B97"/>
    <w:pPr>
      <w:spacing w:after="240" w:line="160" w:lineRule="exact"/>
    </w:pPr>
    <w:rPr>
      <w:rFonts w:ascii="Arial" w:eastAsia="Times New Roman" w:hAnsi="Arial" w:cs="Times New Roman"/>
      <w:color w:val="4D4D4F"/>
      <w:sz w:val="13"/>
      <w:szCs w:val="24"/>
      <w:lang w:eastAsia="en-AU"/>
    </w:rPr>
  </w:style>
  <w:style w:type="paragraph" w:customStyle="1" w:styleId="BodySubHeader">
    <w:name w:val="BodySubHeader"/>
    <w:basedOn w:val="Normal"/>
    <w:next w:val="Normal"/>
    <w:semiHidden/>
    <w:rsid w:val="00450B97"/>
    <w:pPr>
      <w:spacing w:before="240" w:after="0" w:line="240" w:lineRule="atLeast"/>
    </w:pPr>
    <w:rPr>
      <w:rFonts w:ascii="Arial" w:eastAsia="Times New Roman" w:hAnsi="Arial" w:cs="Times New Roman"/>
      <w:b/>
      <w:i/>
      <w:sz w:val="20"/>
      <w:szCs w:val="24"/>
      <w:lang w:eastAsia="en-AU"/>
    </w:rPr>
  </w:style>
  <w:style w:type="paragraph" w:customStyle="1" w:styleId="URLEmail">
    <w:name w:val="URL/Email"/>
    <w:basedOn w:val="Normal"/>
    <w:semiHidden/>
    <w:rsid w:val="00450B97"/>
    <w:pPr>
      <w:spacing w:after="240" w:line="240" w:lineRule="atLeast"/>
    </w:pPr>
    <w:rPr>
      <w:rFonts w:ascii="Arial" w:eastAsia="Times New Roman" w:hAnsi="Arial" w:cs="Times New Roman"/>
      <w:color w:val="4D4D4F"/>
      <w:spacing w:val="4"/>
      <w:sz w:val="20"/>
      <w:szCs w:val="24"/>
      <w:lang w:eastAsia="en-AU"/>
    </w:rPr>
  </w:style>
  <w:style w:type="paragraph" w:customStyle="1" w:styleId="Execsummaryheading">
    <w:name w:val="Exec summary heading"/>
    <w:basedOn w:val="Normal"/>
    <w:uiPriority w:val="22"/>
    <w:qFormat/>
    <w:rsid w:val="00450B97"/>
    <w:pPr>
      <w:pageBreakBefore/>
      <w:spacing w:after="1440" w:line="550" w:lineRule="exact"/>
    </w:pPr>
    <w:rPr>
      <w:rFonts w:ascii="Arial" w:eastAsia="Times New Roman" w:hAnsi="Arial" w:cs="Times New Roman"/>
      <w:b/>
      <w:color w:val="323232"/>
      <w:spacing w:val="-18"/>
      <w:sz w:val="53"/>
      <w:szCs w:val="24"/>
      <w:lang w:eastAsia="en-AU"/>
    </w:rPr>
  </w:style>
  <w:style w:type="paragraph" w:customStyle="1" w:styleId="Paragraphbeforelist">
    <w:name w:val="Paragraph before list"/>
    <w:basedOn w:val="Paragraph"/>
    <w:uiPriority w:val="4"/>
    <w:qFormat/>
    <w:rsid w:val="00450B97"/>
    <w:pPr>
      <w:spacing w:after="80"/>
    </w:pPr>
  </w:style>
  <w:style w:type="paragraph" w:customStyle="1" w:styleId="TableBody">
    <w:name w:val="Table Body"/>
    <w:basedOn w:val="Normal"/>
    <w:uiPriority w:val="15"/>
    <w:qFormat/>
    <w:rsid w:val="00450B97"/>
    <w:pPr>
      <w:spacing w:after="0" w:line="240" w:lineRule="auto"/>
    </w:pPr>
    <w:rPr>
      <w:rFonts w:ascii="Arial" w:eastAsia="Times New Roman" w:hAnsi="Arial" w:cs="Times New Roman"/>
      <w:sz w:val="20"/>
      <w:szCs w:val="24"/>
      <w:lang w:eastAsia="en-AU"/>
    </w:rPr>
  </w:style>
  <w:style w:type="paragraph" w:customStyle="1" w:styleId="ACMAInstructions">
    <w:name w:val="ACMA_Instructions"/>
    <w:basedOn w:val="Normal"/>
    <w:semiHidden/>
    <w:qFormat/>
    <w:rsid w:val="00450B97"/>
    <w:pPr>
      <w:spacing w:after="200" w:line="240" w:lineRule="atLeast"/>
    </w:pPr>
    <w:rPr>
      <w:rFonts w:ascii="Arial" w:eastAsia="Times New Roman" w:hAnsi="Arial" w:cs="Arial"/>
      <w:b/>
      <w:vanish/>
      <w:sz w:val="24"/>
      <w:szCs w:val="24"/>
      <w:lang w:eastAsia="en-AU"/>
    </w:rPr>
  </w:style>
  <w:style w:type="paragraph" w:customStyle="1" w:styleId="CorporateAddresses">
    <w:name w:val="Corporate Addresses"/>
    <w:basedOn w:val="Normal"/>
    <w:semiHidden/>
    <w:rsid w:val="00450B97"/>
    <w:pPr>
      <w:spacing w:after="240" w:line="140" w:lineRule="exact"/>
    </w:pPr>
    <w:rPr>
      <w:rFonts w:ascii="Arial" w:eastAsia="Times New Roman" w:hAnsi="Arial" w:cs="Times New Roman"/>
      <w:color w:val="4D4D4F"/>
      <w:sz w:val="13"/>
      <w:szCs w:val="24"/>
      <w:lang w:eastAsia="en-AU"/>
    </w:rPr>
  </w:style>
  <w:style w:type="paragraph" w:customStyle="1" w:styleId="Bulletlevel1">
    <w:name w:val="Bullet level 1"/>
    <w:basedOn w:val="ListBullet"/>
    <w:uiPriority w:val="5"/>
    <w:qFormat/>
    <w:rsid w:val="00450B97"/>
    <w:pPr>
      <w:numPr>
        <w:numId w:val="1"/>
      </w:numPr>
      <w:ind w:left="0" w:firstLine="0"/>
    </w:pPr>
    <w:rPr>
      <w:rFonts w:cs="Arial"/>
    </w:rPr>
  </w:style>
  <w:style w:type="paragraph" w:customStyle="1" w:styleId="ACMACorporateAddresses">
    <w:name w:val="ACMA_CorporateAddresses"/>
    <w:basedOn w:val="ACMACorporateAddressHeader"/>
    <w:semiHidden/>
    <w:qFormat/>
    <w:rsid w:val="00450B97"/>
    <w:pPr>
      <w:spacing w:before="0" w:after="120"/>
    </w:pPr>
    <w:rPr>
      <w:b w:val="0"/>
    </w:rPr>
  </w:style>
  <w:style w:type="paragraph" w:customStyle="1" w:styleId="ACMACorporateAddressHeader">
    <w:name w:val="ACMA_CorporateAddressHeader"/>
    <w:basedOn w:val="Normal"/>
    <w:next w:val="ACMACorporateAddresses"/>
    <w:semiHidden/>
    <w:qFormat/>
    <w:rsid w:val="00450B97"/>
    <w:pPr>
      <w:tabs>
        <w:tab w:val="left" w:pos="142"/>
      </w:tabs>
      <w:spacing w:before="240" w:after="0" w:line="140" w:lineRule="exact"/>
    </w:pPr>
    <w:rPr>
      <w:rFonts w:ascii="Arial" w:eastAsia="Times New Roman" w:hAnsi="Arial" w:cs="Times New Roman"/>
      <w:b/>
      <w:sz w:val="13"/>
      <w:szCs w:val="24"/>
      <w:lang w:eastAsia="en-AU"/>
    </w:rPr>
  </w:style>
  <w:style w:type="paragraph" w:customStyle="1" w:styleId="ACMACopyrightHeader">
    <w:name w:val="ACMA_CopyrightHeader"/>
    <w:basedOn w:val="ACMACorporateAddressHeader"/>
    <w:semiHidden/>
    <w:qFormat/>
    <w:rsid w:val="00450B97"/>
    <w:pPr>
      <w:spacing w:before="3000"/>
    </w:pPr>
  </w:style>
  <w:style w:type="paragraph" w:customStyle="1" w:styleId="ACMACClogo">
    <w:name w:val="ACMA_CClogo"/>
    <w:semiHidden/>
    <w:qFormat/>
    <w:rsid w:val="00450B97"/>
    <w:pPr>
      <w:spacing w:before="160" w:after="120" w:line="240" w:lineRule="auto"/>
    </w:pPr>
    <w:rPr>
      <w:rFonts w:ascii="Arial" w:eastAsia="Times New Roman" w:hAnsi="Arial" w:cs="Times New Roman"/>
      <w:b/>
      <w:sz w:val="13"/>
      <w:szCs w:val="24"/>
      <w:lang w:eastAsia="en-AU"/>
    </w:rPr>
  </w:style>
  <w:style w:type="paragraph" w:customStyle="1" w:styleId="ListBulletLast">
    <w:name w:val="List Bullet Last"/>
    <w:basedOn w:val="ListBullet"/>
    <w:qFormat/>
    <w:rsid w:val="00450B97"/>
    <w:pPr>
      <w:numPr>
        <w:numId w:val="0"/>
      </w:numPr>
      <w:spacing w:after="240"/>
    </w:pPr>
    <w:rPr>
      <w:rFonts w:cs="Arial"/>
    </w:rPr>
  </w:style>
  <w:style w:type="paragraph" w:customStyle="1" w:styleId="ListNumberLast">
    <w:name w:val="List Number Last"/>
    <w:basedOn w:val="ListNumber"/>
    <w:semiHidden/>
    <w:qFormat/>
    <w:rsid w:val="00450B97"/>
    <w:pPr>
      <w:spacing w:after="240"/>
      <w:ind w:left="357" w:hanging="357"/>
    </w:pPr>
    <w:rPr>
      <w:rFonts w:cs="Arial"/>
    </w:rPr>
  </w:style>
  <w:style w:type="paragraph" w:customStyle="1" w:styleId="ACMATableHeader">
    <w:name w:val="ACMA_TableHeader"/>
    <w:semiHidden/>
    <w:qFormat/>
    <w:rsid w:val="00450B97"/>
    <w:pPr>
      <w:numPr>
        <w:numId w:val="16"/>
      </w:numPr>
      <w:spacing w:line="240" w:lineRule="auto"/>
    </w:pPr>
    <w:rPr>
      <w:rFonts w:ascii="Arial" w:eastAsia="Times New Roman" w:hAnsi="Arial" w:cs="Times New Roman"/>
      <w:b/>
      <w:bCs/>
      <w:color w:val="323232"/>
      <w:sz w:val="20"/>
      <w:szCs w:val="20"/>
      <w:lang w:eastAsia="en-AU"/>
    </w:rPr>
  </w:style>
  <w:style w:type="paragraph" w:customStyle="1" w:styleId="ACMANotes">
    <w:name w:val="ACMA_Notes"/>
    <w:semiHidden/>
    <w:qFormat/>
    <w:rsid w:val="00450B97"/>
    <w:pPr>
      <w:spacing w:before="80" w:after="0" w:line="240" w:lineRule="auto"/>
    </w:pPr>
    <w:rPr>
      <w:rFonts w:ascii="Arial" w:eastAsia="Times New Roman" w:hAnsi="Arial" w:cs="Arial"/>
      <w:i/>
      <w:sz w:val="16"/>
      <w:szCs w:val="24"/>
      <w:lang w:eastAsia="en-AU"/>
    </w:rPr>
  </w:style>
  <w:style w:type="paragraph" w:customStyle="1" w:styleId="Numberlistlevel1">
    <w:name w:val="Number list level 1"/>
    <w:basedOn w:val="ListNumber"/>
    <w:uiPriority w:val="9"/>
    <w:qFormat/>
    <w:rsid w:val="00450B97"/>
  </w:style>
  <w:style w:type="paragraph" w:customStyle="1" w:styleId="ListNumber2Last">
    <w:name w:val="List Number 2 Last"/>
    <w:basedOn w:val="ListNumber2"/>
    <w:semiHidden/>
    <w:qFormat/>
    <w:rsid w:val="00450B97"/>
    <w:pPr>
      <w:spacing w:after="240"/>
      <w:ind w:left="907"/>
    </w:pPr>
    <w:rPr>
      <w:rFonts w:cs="Arial"/>
    </w:rPr>
  </w:style>
  <w:style w:type="paragraph" w:customStyle="1" w:styleId="Spaceaftertable">
    <w:name w:val="Space after table"/>
    <w:basedOn w:val="Normal"/>
    <w:uiPriority w:val="99"/>
    <w:qFormat/>
    <w:rsid w:val="00450B97"/>
    <w:pPr>
      <w:spacing w:after="240" w:line="240" w:lineRule="atLeast"/>
    </w:pPr>
    <w:rPr>
      <w:rFonts w:ascii="Arial" w:eastAsia="Times New Roman" w:hAnsi="Arial" w:cs="Arial"/>
      <w:sz w:val="20"/>
      <w:szCs w:val="24"/>
      <w:lang w:eastAsia="en-AU"/>
    </w:rPr>
  </w:style>
  <w:style w:type="paragraph" w:customStyle="1" w:styleId="FooterLeft">
    <w:name w:val="Footer Left"/>
    <w:basedOn w:val="Footer"/>
    <w:semiHidden/>
    <w:qFormat/>
    <w:rsid w:val="00450B97"/>
    <w:pPr>
      <w:framePr w:w="1440" w:h="357" w:vSpace="425" w:wrap="around" w:vAnchor="page" w:hAnchor="page" w:x="935" w:y="15871"/>
      <w:pBdr>
        <w:top w:val="single" w:sz="4" w:space="1" w:color="auto"/>
      </w:pBdr>
      <w:tabs>
        <w:tab w:val="clear" w:pos="4513"/>
        <w:tab w:val="clear" w:pos="9026"/>
        <w:tab w:val="right" w:pos="113"/>
      </w:tabs>
      <w:spacing w:after="240"/>
    </w:pPr>
    <w:rPr>
      <w:rFonts w:ascii="Arial" w:eastAsia="Times New Roman" w:hAnsi="Arial" w:cs="Arial"/>
      <w:color w:val="323232"/>
      <w:sz w:val="16"/>
      <w:szCs w:val="24"/>
      <w:lang w:eastAsia="en-AU"/>
    </w:rPr>
  </w:style>
  <w:style w:type="paragraph" w:customStyle="1" w:styleId="ACMAFigureHeader">
    <w:name w:val="ACMA_FigureHeader"/>
    <w:semiHidden/>
    <w:qFormat/>
    <w:rsid w:val="00450B97"/>
    <w:pPr>
      <w:numPr>
        <w:numId w:val="17"/>
      </w:numPr>
      <w:spacing w:line="240" w:lineRule="auto"/>
    </w:pPr>
    <w:rPr>
      <w:rFonts w:ascii="Arial" w:eastAsia="Times New Roman" w:hAnsi="Arial" w:cs="Times New Roman"/>
      <w:b/>
      <w:bCs/>
      <w:color w:val="323232"/>
      <w:sz w:val="20"/>
      <w:szCs w:val="20"/>
      <w:lang w:eastAsia="en-AU"/>
    </w:rPr>
  </w:style>
  <w:style w:type="paragraph" w:customStyle="1" w:styleId="Captionfigure">
    <w:name w:val="Caption figure"/>
    <w:basedOn w:val="Caption"/>
    <w:semiHidden/>
    <w:qFormat/>
    <w:rsid w:val="00450B97"/>
    <w:pPr>
      <w:keepNext/>
      <w:numPr>
        <w:numId w:val="18"/>
      </w:numPr>
    </w:pPr>
    <w:rPr>
      <w:rFonts w:cs="Arial"/>
    </w:rPr>
  </w:style>
  <w:style w:type="paragraph" w:customStyle="1" w:styleId="GridTable31">
    <w:name w:val="Grid Table 31"/>
    <w:basedOn w:val="Normal"/>
    <w:semiHidden/>
    <w:qFormat/>
    <w:rsid w:val="00450B97"/>
    <w:pPr>
      <w:spacing w:after="0" w:line="240" w:lineRule="auto"/>
    </w:pPr>
    <w:rPr>
      <w:rFonts w:ascii="Arial" w:eastAsia="Times New Roman" w:hAnsi="Arial" w:cs="Times New Roman"/>
      <w:b/>
      <w:color w:val="4D4D4F"/>
      <w:spacing w:val="-28"/>
      <w:sz w:val="53"/>
      <w:szCs w:val="24"/>
      <w:lang w:eastAsia="en-AU"/>
    </w:rPr>
  </w:style>
  <w:style w:type="paragraph" w:customStyle="1" w:styleId="Bulletlevel2">
    <w:name w:val="Bullet level 2"/>
    <w:basedOn w:val="ListBullet2"/>
    <w:uiPriority w:val="7"/>
    <w:qFormat/>
    <w:rsid w:val="00450B97"/>
    <w:rPr>
      <w:rFonts w:cs="Arial"/>
    </w:rPr>
  </w:style>
  <w:style w:type="paragraph" w:customStyle="1" w:styleId="Bulletlevel1last">
    <w:name w:val="Bullet level 1 last"/>
    <w:basedOn w:val="ListBulletLast"/>
    <w:uiPriority w:val="6"/>
    <w:qFormat/>
    <w:rsid w:val="00450B97"/>
  </w:style>
  <w:style w:type="paragraph" w:customStyle="1" w:styleId="Numberlistlevel2">
    <w:name w:val="Number list level 2"/>
    <w:basedOn w:val="ListNumber2"/>
    <w:uiPriority w:val="11"/>
    <w:qFormat/>
    <w:rsid w:val="00450B97"/>
  </w:style>
  <w:style w:type="paragraph" w:customStyle="1" w:styleId="Numberlistlast">
    <w:name w:val="Number list last"/>
    <w:basedOn w:val="ListNumberLast"/>
    <w:uiPriority w:val="10"/>
    <w:qFormat/>
    <w:rsid w:val="00450B97"/>
    <w:pPr>
      <w:ind w:left="360" w:hanging="360"/>
    </w:pPr>
  </w:style>
  <w:style w:type="paragraph" w:customStyle="1" w:styleId="Numberlistlevel2last">
    <w:name w:val="Number list level 2 last"/>
    <w:basedOn w:val="Numberlistlevel2"/>
    <w:uiPriority w:val="12"/>
    <w:qFormat/>
    <w:rsid w:val="00450B97"/>
    <w:pPr>
      <w:spacing w:after="240"/>
    </w:pPr>
  </w:style>
  <w:style w:type="paragraph" w:customStyle="1" w:styleId="Bulletlevel2last">
    <w:name w:val="Bullet level 2 last"/>
    <w:basedOn w:val="Bulletlevel2"/>
    <w:uiPriority w:val="8"/>
    <w:qFormat/>
    <w:rsid w:val="00450B97"/>
    <w:pPr>
      <w:spacing w:after="240"/>
    </w:pPr>
  </w:style>
  <w:style w:type="paragraph" w:customStyle="1" w:styleId="Tableheading">
    <w:name w:val="Table heading"/>
    <w:basedOn w:val="ACMATableHeader"/>
    <w:uiPriority w:val="13"/>
    <w:qFormat/>
    <w:rsid w:val="00450B97"/>
    <w:pPr>
      <w:keepNext/>
      <w:spacing w:line="240" w:lineRule="atLeast"/>
    </w:pPr>
  </w:style>
  <w:style w:type="paragraph" w:customStyle="1" w:styleId="Tableorfigurenote">
    <w:name w:val="Table or figure note"/>
    <w:basedOn w:val="ACMANotes"/>
    <w:uiPriority w:val="17"/>
    <w:qFormat/>
    <w:rsid w:val="00450B97"/>
    <w:pPr>
      <w:spacing w:after="240"/>
    </w:pPr>
  </w:style>
  <w:style w:type="paragraph" w:customStyle="1" w:styleId="Figureheading">
    <w:name w:val="Figure heading"/>
    <w:basedOn w:val="ACMAFigureHeader"/>
    <w:uiPriority w:val="16"/>
    <w:qFormat/>
    <w:rsid w:val="00450B97"/>
    <w:pPr>
      <w:keepNext/>
      <w:spacing w:line="240" w:lineRule="atLeast"/>
    </w:pPr>
  </w:style>
  <w:style w:type="paragraph" w:customStyle="1" w:styleId="Tableorfigurenotemultiple">
    <w:name w:val="Table or figure note multiple"/>
    <w:basedOn w:val="Tableorfigurenote"/>
    <w:uiPriority w:val="18"/>
    <w:qFormat/>
    <w:rsid w:val="00450B97"/>
    <w:pPr>
      <w:spacing w:after="80"/>
    </w:pPr>
  </w:style>
  <w:style w:type="paragraph" w:customStyle="1" w:styleId="ACMAletteredlist">
    <w:name w:val="ACMA lettered list"/>
    <w:rsid w:val="00450B97"/>
    <w:pPr>
      <w:numPr>
        <w:numId w:val="19"/>
      </w:numPr>
      <w:spacing w:before="20" w:after="2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450B97"/>
    <w:rPr>
      <w:color w:val="808080"/>
    </w:rPr>
  </w:style>
  <w:style w:type="table" w:styleId="TableGrid">
    <w:name w:val="Table Grid"/>
    <w:basedOn w:val="TableNormal"/>
    <w:uiPriority w:val="39"/>
    <w:rsid w:val="00450B97"/>
    <w:pPr>
      <w:spacing w:after="0" w:line="240" w:lineRule="atLeast"/>
    </w:pPr>
    <w:rPr>
      <w:rFonts w:ascii="Times New Roman" w:eastAsia="Times New Roman" w:hAnsi="Times New Roman" w:cs="Times New Roman"/>
      <w:sz w:val="24"/>
      <w:szCs w:val="24"/>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MAtablestyle">
    <w:name w:val="ACMA table style"/>
    <w:basedOn w:val="TableNormal"/>
    <w:uiPriority w:val="99"/>
    <w:rsid w:val="00450B97"/>
    <w:pPr>
      <w:spacing w:after="0" w:line="240" w:lineRule="auto"/>
    </w:pPr>
    <w:rPr>
      <w:rFonts w:ascii="Arial" w:eastAsia="Times New Roman" w:hAnsi="Arial" w:cs="Times New Roman"/>
      <w:sz w:val="20"/>
      <w:szCs w:val="24"/>
      <w:lang w:eastAsia="en-AU"/>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cs="Arial" w:hint="default"/>
        <w:b w:val="0"/>
        <w:color w:val="FFFFFF" w:themeColor="background1"/>
        <w:sz w:val="20"/>
        <w:szCs w:val="20"/>
      </w:rPr>
      <w:tbl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cs="Arial" w:hint="default"/>
        <w:sz w:val="20"/>
        <w:szCs w:val="20"/>
      </w:rPr>
      <w:tblPr/>
      <w:tcPr>
        <w:shd w:val="clear" w:color="auto" w:fill="F2F2F2" w:themeFill="background1" w:themeFillShade="F2"/>
      </w:tcPr>
    </w:tblStylePr>
    <w:tblStylePr w:type="band2Horz">
      <w:rPr>
        <w:rFonts w:ascii="Arial" w:hAnsi="Arial" w:cs="Arial" w:hint="default"/>
        <w:sz w:val="20"/>
        <w:szCs w:val="20"/>
      </w:rPr>
    </w:tblStylePr>
  </w:style>
  <w:style w:type="paragraph" w:customStyle="1" w:styleId="zr1">
    <w:name w:val="zr1"/>
    <w:basedOn w:val="Normal"/>
    <w:rsid w:val="000814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0">
    <w:name w:val="paragraph"/>
    <w:aliases w:val="a"/>
    <w:basedOn w:val="Normal"/>
    <w:link w:val="paragraphChar"/>
    <w:rsid w:val="00EB3FEF"/>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0"/>
    <w:rsid w:val="00EB3FEF"/>
    <w:rPr>
      <w:rFonts w:ascii="Times New Roman" w:eastAsia="Times New Roman" w:hAnsi="Times New Roman" w:cs="Times New Roman"/>
      <w:szCs w:val="20"/>
      <w:lang w:eastAsia="en-AU"/>
    </w:rPr>
  </w:style>
  <w:style w:type="paragraph" w:customStyle="1" w:styleId="definition0">
    <w:name w:val="definition"/>
    <w:basedOn w:val="Normal"/>
    <w:rsid w:val="0056683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0">
    <w:name w:val="paragraphsub"/>
    <w:basedOn w:val="Normal"/>
    <w:rsid w:val="00AE7D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ageNumber0">
    <w:name w:val="page number"/>
    <w:basedOn w:val="DefaultParagraphFont"/>
    <w:semiHidden/>
    <w:rsid w:val="007D5EE0"/>
  </w:style>
  <w:style w:type="character" w:styleId="Emphasis">
    <w:name w:val="Emphasis"/>
    <w:basedOn w:val="DefaultParagraphFont"/>
    <w:uiPriority w:val="20"/>
    <w:qFormat/>
    <w:rsid w:val="007D5EE0"/>
    <w:rPr>
      <w:i/>
      <w:iCs/>
    </w:rPr>
  </w:style>
  <w:style w:type="paragraph" w:customStyle="1" w:styleId="Protectivemarking">
    <w:name w:val="Protective marking"/>
    <w:basedOn w:val="Normal"/>
    <w:uiPriority w:val="99"/>
    <w:qFormat/>
    <w:rsid w:val="007D5EE0"/>
    <w:pPr>
      <w:tabs>
        <w:tab w:val="left" w:pos="720"/>
      </w:tabs>
      <w:spacing w:after="0" w:line="240" w:lineRule="auto"/>
      <w:jc w:val="center"/>
    </w:pPr>
    <w:rPr>
      <w:rFonts w:ascii="Arial" w:eastAsia="Times New Roman" w:hAnsi="Arial" w:cs="Arial"/>
      <w:b/>
      <w:bCs/>
      <w:color w:val="FF0000"/>
      <w:sz w:val="32"/>
      <w:szCs w:val="24"/>
    </w:rPr>
  </w:style>
  <w:style w:type="character" w:customStyle="1" w:styleId="UnresolvedMention1">
    <w:name w:val="Unresolved Mention1"/>
    <w:basedOn w:val="DefaultParagraphFont"/>
    <w:uiPriority w:val="99"/>
    <w:semiHidden/>
    <w:unhideWhenUsed/>
    <w:rsid w:val="007D5EE0"/>
    <w:rPr>
      <w:color w:val="605E5C"/>
      <w:shd w:val="clear" w:color="auto" w:fill="E1DFDD"/>
    </w:rPr>
  </w:style>
  <w:style w:type="paragraph" w:styleId="NoSpacing">
    <w:name w:val="No Spacing"/>
    <w:uiPriority w:val="1"/>
    <w:qFormat/>
    <w:rsid w:val="007D5EE0"/>
    <w:pPr>
      <w:spacing w:after="0" w:line="240" w:lineRule="auto"/>
    </w:pPr>
  </w:style>
  <w:style w:type="paragraph" w:customStyle="1" w:styleId="ACMALinecover">
    <w:name w:val="ACMA_Line cover"/>
    <w:basedOn w:val="Normal"/>
    <w:qFormat/>
    <w:rsid w:val="007D5EE0"/>
    <w:pPr>
      <w:pBdr>
        <w:bottom w:val="single" w:sz="4" w:space="1" w:color="auto"/>
      </w:pBdr>
      <w:spacing w:after="600" w:line="240" w:lineRule="atLeast"/>
    </w:pPr>
    <w:rPr>
      <w:rFonts w:ascii="Arial" w:eastAsia="Times New Roman" w:hAnsi="Arial" w:cs="Arial"/>
      <w:sz w:val="20"/>
      <w:szCs w:val="24"/>
      <w:lang w:eastAsia="en-AU"/>
    </w:rPr>
  </w:style>
  <w:style w:type="character" w:styleId="Strong">
    <w:name w:val="Strong"/>
    <w:basedOn w:val="DefaultParagraphFont"/>
    <w:uiPriority w:val="22"/>
    <w:qFormat/>
    <w:rsid w:val="007D5EE0"/>
    <w:rPr>
      <w:b/>
      <w:bCs/>
    </w:rPr>
  </w:style>
  <w:style w:type="table" w:styleId="PlainTable1">
    <w:name w:val="Plain Table 1"/>
    <w:basedOn w:val="TableNormal"/>
    <w:uiPriority w:val="41"/>
    <w:rsid w:val="007D5EE0"/>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7D5EE0"/>
    <w:pPr>
      <w:spacing w:after="0" w:line="240" w:lineRule="atLeast"/>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NumberedList">
    <w:name w:val="ACMA Numbered List"/>
    <w:rsid w:val="007D5EE0"/>
    <w:pPr>
      <w:numPr>
        <w:numId w:val="24"/>
      </w:numPr>
      <w:spacing w:before="20" w:after="20" w:line="240" w:lineRule="auto"/>
    </w:pPr>
    <w:rPr>
      <w:rFonts w:ascii="Times New Roman" w:eastAsia="Times New Roman" w:hAnsi="Times New Roman" w:cs="Times New Roman"/>
      <w:sz w:val="24"/>
      <w:szCs w:val="20"/>
    </w:rPr>
  </w:style>
  <w:style w:type="paragraph" w:customStyle="1" w:styleId="ParaNum">
    <w:name w:val="ParaNum"/>
    <w:basedOn w:val="Normal"/>
    <w:link w:val="ParaNumChar"/>
    <w:rsid w:val="007D5EE0"/>
    <w:pPr>
      <w:widowControl w:val="0"/>
      <w:numPr>
        <w:numId w:val="25"/>
      </w:numPr>
      <w:spacing w:after="120" w:line="240" w:lineRule="auto"/>
    </w:pPr>
    <w:rPr>
      <w:rFonts w:ascii="Times New Roman" w:eastAsia="Times New Roman" w:hAnsi="Times New Roman" w:cs="Times New Roman"/>
      <w:snapToGrid w:val="0"/>
      <w:kern w:val="28"/>
      <w:szCs w:val="20"/>
      <w:lang w:val="en-US"/>
    </w:rPr>
  </w:style>
  <w:style w:type="character" w:customStyle="1" w:styleId="ParaNumChar">
    <w:name w:val="ParaNum Char"/>
    <w:link w:val="ParaNum"/>
    <w:rsid w:val="007D5EE0"/>
    <w:rPr>
      <w:rFonts w:ascii="Times New Roman" w:eastAsia="Times New Roman" w:hAnsi="Times New Roman" w:cs="Times New Roman"/>
      <w:snapToGrid w:val="0"/>
      <w:kern w:val="28"/>
      <w:szCs w:val="20"/>
      <w:lang w:val="en-US"/>
    </w:rPr>
  </w:style>
  <w:style w:type="character" w:customStyle="1" w:styleId="js-total-amount-lost">
    <w:name w:val="js-total-amount-lost"/>
    <w:basedOn w:val="DefaultParagraphFont"/>
    <w:rsid w:val="007D5EE0"/>
  </w:style>
  <w:style w:type="character" w:customStyle="1" w:styleId="js-number-of-scams-reported">
    <w:name w:val="js-number-of-scams-reported"/>
    <w:basedOn w:val="DefaultParagraphFont"/>
    <w:rsid w:val="007D5EE0"/>
  </w:style>
  <w:style w:type="character" w:customStyle="1" w:styleId="js-number-of-reports-with-losses">
    <w:name w:val="js-number-of-reports-with-losses"/>
    <w:basedOn w:val="DefaultParagraphFont"/>
    <w:rsid w:val="007D5EE0"/>
  </w:style>
  <w:style w:type="paragraph" w:customStyle="1" w:styleId="UnnumberedClause">
    <w:name w:val="Unnumbered Clause"/>
    <w:basedOn w:val="Normal"/>
    <w:link w:val="UnnumberedClauseChar"/>
    <w:rsid w:val="007D5EE0"/>
    <w:pPr>
      <w:spacing w:after="200" w:line="240" w:lineRule="auto"/>
      <w:ind w:left="1418"/>
    </w:pPr>
    <w:rPr>
      <w:rFonts w:ascii="Century Gothic" w:eastAsia="Times New Roman" w:hAnsi="Century Gothic" w:cs="Times New Roman"/>
      <w:sz w:val="20"/>
      <w:szCs w:val="20"/>
    </w:rPr>
  </w:style>
  <w:style w:type="character" w:customStyle="1" w:styleId="UnnumberedClauseChar">
    <w:name w:val="Unnumbered Clause Char"/>
    <w:link w:val="UnnumberedClause"/>
    <w:rsid w:val="007D5EE0"/>
    <w:rPr>
      <w:rFonts w:ascii="Century Gothic" w:eastAsia="Times New Roman" w:hAnsi="Century Gothic" w:cs="Times New Roman"/>
      <w:sz w:val="20"/>
      <w:szCs w:val="20"/>
    </w:rPr>
  </w:style>
  <w:style w:type="paragraph" w:customStyle="1" w:styleId="1hzxw">
    <w:name w:val="_1hzxw"/>
    <w:basedOn w:val="Normal"/>
    <w:rsid w:val="007D5EE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2">
    <w:name w:val="Grid Table 2"/>
    <w:basedOn w:val="TableNormal"/>
    <w:rsid w:val="007D5EE0"/>
    <w:pPr>
      <w:spacing w:after="0" w:line="240" w:lineRule="auto"/>
    </w:pPr>
    <w:rPr>
      <w:rFonts w:ascii="Times New Roman" w:eastAsia="Times New Roman" w:hAnsi="Times New Roman" w:cs="Times New Roman"/>
      <w:sz w:val="24"/>
      <w:szCs w:val="24"/>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rsid w:val="007D5EE0"/>
    <w:pPr>
      <w:spacing w:after="0" w:line="240" w:lineRule="auto"/>
    </w:pPr>
    <w:rPr>
      <w:rFonts w:ascii="Times New Roman" w:eastAsia="Times New Roman" w:hAnsi="Times New Roman" w:cs="Times New Roman"/>
      <w:sz w:val="24"/>
      <w:szCs w:val="24"/>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EndnoteText">
    <w:name w:val="endnote text"/>
    <w:basedOn w:val="Normal"/>
    <w:link w:val="EndnoteTextChar"/>
    <w:semiHidden/>
    <w:unhideWhenUsed/>
    <w:rsid w:val="007D5EE0"/>
    <w:pPr>
      <w:spacing w:after="0" w:line="240" w:lineRule="auto"/>
    </w:pPr>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semiHidden/>
    <w:rsid w:val="007D5EE0"/>
    <w:rPr>
      <w:rFonts w:ascii="Arial" w:eastAsia="Times New Roman" w:hAnsi="Arial" w:cs="Times New Roman"/>
      <w:sz w:val="20"/>
      <w:szCs w:val="20"/>
      <w:lang w:eastAsia="en-AU"/>
    </w:rPr>
  </w:style>
  <w:style w:type="character" w:styleId="EndnoteReference">
    <w:name w:val="endnote reference"/>
    <w:basedOn w:val="DefaultParagraphFont"/>
    <w:semiHidden/>
    <w:unhideWhenUsed/>
    <w:rsid w:val="007D5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850">
      <w:bodyDiv w:val="1"/>
      <w:marLeft w:val="0"/>
      <w:marRight w:val="0"/>
      <w:marTop w:val="0"/>
      <w:marBottom w:val="0"/>
      <w:divBdr>
        <w:top w:val="none" w:sz="0" w:space="0" w:color="auto"/>
        <w:left w:val="none" w:sz="0" w:space="0" w:color="auto"/>
        <w:bottom w:val="none" w:sz="0" w:space="0" w:color="auto"/>
        <w:right w:val="none" w:sz="0" w:space="0" w:color="auto"/>
      </w:divBdr>
    </w:div>
    <w:div w:id="25914862">
      <w:bodyDiv w:val="1"/>
      <w:marLeft w:val="0"/>
      <w:marRight w:val="0"/>
      <w:marTop w:val="0"/>
      <w:marBottom w:val="0"/>
      <w:divBdr>
        <w:top w:val="none" w:sz="0" w:space="0" w:color="auto"/>
        <w:left w:val="none" w:sz="0" w:space="0" w:color="auto"/>
        <w:bottom w:val="none" w:sz="0" w:space="0" w:color="auto"/>
        <w:right w:val="none" w:sz="0" w:space="0" w:color="auto"/>
      </w:divBdr>
    </w:div>
    <w:div w:id="80413996">
      <w:bodyDiv w:val="1"/>
      <w:marLeft w:val="0"/>
      <w:marRight w:val="0"/>
      <w:marTop w:val="0"/>
      <w:marBottom w:val="0"/>
      <w:divBdr>
        <w:top w:val="none" w:sz="0" w:space="0" w:color="auto"/>
        <w:left w:val="none" w:sz="0" w:space="0" w:color="auto"/>
        <w:bottom w:val="none" w:sz="0" w:space="0" w:color="auto"/>
        <w:right w:val="none" w:sz="0" w:space="0" w:color="auto"/>
      </w:divBdr>
    </w:div>
    <w:div w:id="551233132">
      <w:bodyDiv w:val="1"/>
      <w:marLeft w:val="0"/>
      <w:marRight w:val="0"/>
      <w:marTop w:val="0"/>
      <w:marBottom w:val="0"/>
      <w:divBdr>
        <w:top w:val="none" w:sz="0" w:space="0" w:color="auto"/>
        <w:left w:val="none" w:sz="0" w:space="0" w:color="auto"/>
        <w:bottom w:val="none" w:sz="0" w:space="0" w:color="auto"/>
        <w:right w:val="none" w:sz="0" w:space="0" w:color="auto"/>
      </w:divBdr>
    </w:div>
    <w:div w:id="667561041">
      <w:bodyDiv w:val="1"/>
      <w:marLeft w:val="0"/>
      <w:marRight w:val="0"/>
      <w:marTop w:val="0"/>
      <w:marBottom w:val="0"/>
      <w:divBdr>
        <w:top w:val="none" w:sz="0" w:space="0" w:color="auto"/>
        <w:left w:val="none" w:sz="0" w:space="0" w:color="auto"/>
        <w:bottom w:val="none" w:sz="0" w:space="0" w:color="auto"/>
        <w:right w:val="none" w:sz="0" w:space="0" w:color="auto"/>
      </w:divBdr>
    </w:div>
    <w:div w:id="868640856">
      <w:bodyDiv w:val="1"/>
      <w:marLeft w:val="0"/>
      <w:marRight w:val="0"/>
      <w:marTop w:val="0"/>
      <w:marBottom w:val="0"/>
      <w:divBdr>
        <w:top w:val="none" w:sz="0" w:space="0" w:color="auto"/>
        <w:left w:val="none" w:sz="0" w:space="0" w:color="auto"/>
        <w:bottom w:val="none" w:sz="0" w:space="0" w:color="auto"/>
        <w:right w:val="none" w:sz="0" w:space="0" w:color="auto"/>
      </w:divBdr>
    </w:div>
    <w:div w:id="895970854">
      <w:bodyDiv w:val="1"/>
      <w:marLeft w:val="0"/>
      <w:marRight w:val="0"/>
      <w:marTop w:val="0"/>
      <w:marBottom w:val="0"/>
      <w:divBdr>
        <w:top w:val="none" w:sz="0" w:space="0" w:color="auto"/>
        <w:left w:val="none" w:sz="0" w:space="0" w:color="auto"/>
        <w:bottom w:val="none" w:sz="0" w:space="0" w:color="auto"/>
        <w:right w:val="none" w:sz="0" w:space="0" w:color="auto"/>
      </w:divBdr>
      <w:divsChild>
        <w:div w:id="445318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8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184130468">
      <w:bodyDiv w:val="1"/>
      <w:marLeft w:val="0"/>
      <w:marRight w:val="0"/>
      <w:marTop w:val="0"/>
      <w:marBottom w:val="0"/>
      <w:divBdr>
        <w:top w:val="none" w:sz="0" w:space="0" w:color="auto"/>
        <w:left w:val="none" w:sz="0" w:space="0" w:color="auto"/>
        <w:bottom w:val="none" w:sz="0" w:space="0" w:color="auto"/>
        <w:right w:val="none" w:sz="0" w:space="0" w:color="auto"/>
      </w:divBdr>
    </w:div>
    <w:div w:id="1211914568">
      <w:bodyDiv w:val="1"/>
      <w:marLeft w:val="0"/>
      <w:marRight w:val="0"/>
      <w:marTop w:val="0"/>
      <w:marBottom w:val="0"/>
      <w:divBdr>
        <w:top w:val="none" w:sz="0" w:space="0" w:color="auto"/>
        <w:left w:val="none" w:sz="0" w:space="0" w:color="auto"/>
        <w:bottom w:val="none" w:sz="0" w:space="0" w:color="auto"/>
        <w:right w:val="none" w:sz="0" w:space="0" w:color="auto"/>
      </w:divBdr>
    </w:div>
    <w:div w:id="1224485520">
      <w:bodyDiv w:val="1"/>
      <w:marLeft w:val="0"/>
      <w:marRight w:val="0"/>
      <w:marTop w:val="0"/>
      <w:marBottom w:val="0"/>
      <w:divBdr>
        <w:top w:val="none" w:sz="0" w:space="0" w:color="auto"/>
        <w:left w:val="none" w:sz="0" w:space="0" w:color="auto"/>
        <w:bottom w:val="none" w:sz="0" w:space="0" w:color="auto"/>
        <w:right w:val="none" w:sz="0" w:space="0" w:color="auto"/>
      </w:divBdr>
    </w:div>
    <w:div w:id="1293944072">
      <w:bodyDiv w:val="1"/>
      <w:marLeft w:val="0"/>
      <w:marRight w:val="0"/>
      <w:marTop w:val="0"/>
      <w:marBottom w:val="0"/>
      <w:divBdr>
        <w:top w:val="none" w:sz="0" w:space="0" w:color="auto"/>
        <w:left w:val="none" w:sz="0" w:space="0" w:color="auto"/>
        <w:bottom w:val="none" w:sz="0" w:space="0" w:color="auto"/>
        <w:right w:val="none" w:sz="0" w:space="0" w:color="auto"/>
      </w:divBdr>
    </w:div>
    <w:div w:id="1352294934">
      <w:bodyDiv w:val="1"/>
      <w:marLeft w:val="0"/>
      <w:marRight w:val="0"/>
      <w:marTop w:val="0"/>
      <w:marBottom w:val="0"/>
      <w:divBdr>
        <w:top w:val="none" w:sz="0" w:space="0" w:color="auto"/>
        <w:left w:val="none" w:sz="0" w:space="0" w:color="auto"/>
        <w:bottom w:val="none" w:sz="0" w:space="0" w:color="auto"/>
        <w:right w:val="none" w:sz="0" w:space="0" w:color="auto"/>
      </w:divBdr>
    </w:div>
    <w:div w:id="1472863561">
      <w:bodyDiv w:val="1"/>
      <w:marLeft w:val="0"/>
      <w:marRight w:val="0"/>
      <w:marTop w:val="0"/>
      <w:marBottom w:val="0"/>
      <w:divBdr>
        <w:top w:val="none" w:sz="0" w:space="0" w:color="auto"/>
        <w:left w:val="none" w:sz="0" w:space="0" w:color="auto"/>
        <w:bottom w:val="none" w:sz="0" w:space="0" w:color="auto"/>
        <w:right w:val="none" w:sz="0" w:space="0" w:color="auto"/>
      </w:divBdr>
    </w:div>
    <w:div w:id="1501775464">
      <w:bodyDiv w:val="1"/>
      <w:marLeft w:val="0"/>
      <w:marRight w:val="0"/>
      <w:marTop w:val="0"/>
      <w:marBottom w:val="0"/>
      <w:divBdr>
        <w:top w:val="none" w:sz="0" w:space="0" w:color="auto"/>
        <w:left w:val="none" w:sz="0" w:space="0" w:color="auto"/>
        <w:bottom w:val="none" w:sz="0" w:space="0" w:color="auto"/>
        <w:right w:val="none" w:sz="0" w:space="0" w:color="auto"/>
      </w:divBdr>
    </w:div>
    <w:div w:id="1572620733">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25383982">
      <w:bodyDiv w:val="1"/>
      <w:marLeft w:val="0"/>
      <w:marRight w:val="0"/>
      <w:marTop w:val="0"/>
      <w:marBottom w:val="0"/>
      <w:divBdr>
        <w:top w:val="none" w:sz="0" w:space="0" w:color="auto"/>
        <w:left w:val="none" w:sz="0" w:space="0" w:color="auto"/>
        <w:bottom w:val="none" w:sz="0" w:space="0" w:color="auto"/>
        <w:right w:val="none" w:sz="0" w:space="0" w:color="auto"/>
      </w:divBdr>
    </w:div>
    <w:div w:id="1993171180">
      <w:bodyDiv w:val="1"/>
      <w:marLeft w:val="0"/>
      <w:marRight w:val="0"/>
      <w:marTop w:val="0"/>
      <w:marBottom w:val="0"/>
      <w:divBdr>
        <w:top w:val="none" w:sz="0" w:space="0" w:color="auto"/>
        <w:left w:val="none" w:sz="0" w:space="0" w:color="auto"/>
        <w:bottom w:val="none" w:sz="0" w:space="0" w:color="auto"/>
        <w:right w:val="none" w:sz="0" w:space="0" w:color="auto"/>
      </w:divBdr>
    </w:div>
    <w:div w:id="21168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s://creativecommons.org/licenses/by/4.0/" TargetMode="External"/><Relationship Id="rId39" Type="http://schemas.openxmlformats.org/officeDocument/2006/relationships/image" Target="media/image3.png"/><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image" Target="media/image5.png"/><Relationship Id="rId47" Type="http://schemas.openxmlformats.org/officeDocument/2006/relationships/hyperlink" Target="https://www.commsalliance.com.au/Documents/Publications-by-Topic/MNP" TargetMode="External"/><Relationship Id="rId50" Type="http://schemas.openxmlformats.org/officeDocument/2006/relationships/hyperlink" Target="https://www.acma.gov.au/publications/2019-11/report/combating-scams-summary-report" TargetMode="External"/><Relationship Id="rId55" Type="http://schemas.openxmlformats.org/officeDocument/2006/relationships/header" Target="header1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41" Type="http://schemas.openxmlformats.org/officeDocument/2006/relationships/hyperlink" Target="https://www.scamwatch.gov.au" TargetMode="External"/><Relationship Id="rId54" Type="http://schemas.openxmlformats.org/officeDocument/2006/relationships/header" Target="header10.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i.creativecommons.org/l/by/3.0/88x31.png" TargetMode="External"/><Relationship Id="rId32" Type="http://schemas.openxmlformats.org/officeDocument/2006/relationships/header" Target="header8.xml"/><Relationship Id="rId37" Type="http://schemas.openxmlformats.org/officeDocument/2006/relationships/hyperlink" Target="https://www.legislation.gov.au/Details/C2019C00273" TargetMode="External"/><Relationship Id="rId40" Type="http://schemas.openxmlformats.org/officeDocument/2006/relationships/image" Target="media/image4.svg"/><Relationship Id="rId45" Type="http://schemas.openxmlformats.org/officeDocument/2006/relationships/hyperlink" Target="https://www.legislation.gov.au/Details/F2017L00399" TargetMode="External"/><Relationship Id="rId53" Type="http://schemas.openxmlformats.org/officeDocument/2006/relationships/hyperlink" Target="https://www.commsalliance.com.au/__data/assets/pdf_file/0015/72150/C661_2020.pdf" TargetMode="External"/><Relationship Id="rId58"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footer" Target="footer9.xml"/><Relationship Id="rId49" Type="http://schemas.openxmlformats.org/officeDocument/2006/relationships/hyperlink" Target="https://www.legislation.gov.au/Details/F2020L00179" TargetMode="External"/><Relationship Id="rId57" Type="http://schemas.openxmlformats.org/officeDocument/2006/relationships/footer" Target="footer1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6.xml"/><Relationship Id="rId44" Type="http://schemas.openxmlformats.org/officeDocument/2006/relationships/chart" Target="charts/chart1.xml"/><Relationship Id="rId52" Type="http://schemas.openxmlformats.org/officeDocument/2006/relationships/hyperlink" Target="https://www.homeaffairs.gov.au/about-us/our-portfolios/cyber-security/strategy" TargetMode="External"/><Relationship Id="rId60"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 Id="rId27" Type="http://schemas.openxmlformats.org/officeDocument/2006/relationships/hyperlink" Target="mailto:info@acma.gov.au" TargetMode="Externa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hyperlink" Target="https://www.aic.gov.au/sites/default/files/2020-08/sr29_identity_crime_and_misuse_in_australia_2019.pdf" TargetMode="External"/><Relationship Id="rId48" Type="http://schemas.openxmlformats.org/officeDocument/2006/relationships/hyperlink" Target="https://www.commsalliance.com.au/Documents/all/guidelines/G651" TargetMode="External"/><Relationship Id="rId56"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hyperlink" Target="https://www.homeaffairs.gov.au/about-us/our-portfolios/criminal-justice/cybercrime-identity-security/identity-security"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2.png"/><Relationship Id="rId33" Type="http://schemas.openxmlformats.org/officeDocument/2006/relationships/header" Target="header9.xml"/><Relationship Id="rId38" Type="http://schemas.openxmlformats.org/officeDocument/2006/relationships/hyperlink" Target="https://beta.idmatch.gov.au/Documents/Identity%20Crime%20in%20Australia%20infographic%20Australian%20Institute%20of%20Criminology.pdf" TargetMode="External"/><Relationship Id="rId46" Type="http://schemas.openxmlformats.org/officeDocument/2006/relationships/hyperlink" Target="https://www.commsalliance.com.au/Documents/all/codes/c628" TargetMode="External"/><Relationship Id="rId59" Type="http://schemas.openxmlformats.org/officeDocument/2006/relationships/header" Target="header12.xm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ic.gov.au/sites/default/files/2020-08/sr29_identity_crime_and_misuse_in_australia_2019.pdf" TargetMode="External"/><Relationship Id="rId13" Type="http://schemas.openxmlformats.org/officeDocument/2006/relationships/hyperlink" Target="https://www.aic.gov.au/publications/sr/sr27" TargetMode="External"/><Relationship Id="rId18" Type="http://schemas.openxmlformats.org/officeDocument/2006/relationships/hyperlink" Target="https://www.scamwatch.gov.au/scam-statistics" TargetMode="External"/><Relationship Id="rId26" Type="http://schemas.openxmlformats.org/officeDocument/2006/relationships/hyperlink" Target="https://www.which.co.uk/news/2020/04/sim-swap-fraud-how-criminals-hijack-your-number-to-get-into-your-bank-accounts/" TargetMode="External"/><Relationship Id="rId39" Type="http://schemas.openxmlformats.org/officeDocument/2006/relationships/hyperlink" Target="https://www.accc.gov.au/sites/www.accc.gov.au/files/1657GRH_Targeting%20scams%20Media%20infographic_D01.png" TargetMode="External"/><Relationship Id="rId3" Type="http://schemas.openxmlformats.org/officeDocument/2006/relationships/hyperlink" Target="https://www.yourmoney.com/credit-cards-loans/a-history-of-fraud-through-the-ages-and-how-to-avoid-being-a-victim/" TargetMode="External"/><Relationship Id="rId21" Type="http://schemas.openxmlformats.org/officeDocument/2006/relationships/hyperlink" Target="https://www.accc.gov.au/system/files/Targeting%20scams%20-%20report%20of%20the%20ACCC%20on%20scams%20activity%202020%20v2.pdf" TargetMode="External"/><Relationship Id="rId34" Type="http://schemas.openxmlformats.org/officeDocument/2006/relationships/hyperlink" Target="https://www.paulfletcher.com.au/media-releases/detecting-tracing-and-blocking-scam-calls%20%20" TargetMode="External"/><Relationship Id="rId42" Type="http://schemas.openxmlformats.org/officeDocument/2006/relationships/hyperlink" Target="https://www.accc.gov.au/focus-areas/inquiries-ongoing/digital-platform-services-inquiry-2020-2025" TargetMode="External"/><Relationship Id="rId47" Type="http://schemas.openxmlformats.org/officeDocument/2006/relationships/hyperlink" Target="https://www.homeaffairs.gov.au/about-us/our-portfolios/criminal-justice/cybercrime-identity-security/identity-security" TargetMode="External"/><Relationship Id="rId7" Type="http://schemas.openxmlformats.org/officeDocument/2006/relationships/hyperlink" Target="https://www.ag.gov.au/Integrity/counter-fraud/fraud-australia/Pages/default.aspx" TargetMode="External"/><Relationship Id="rId12" Type="http://schemas.openxmlformats.org/officeDocument/2006/relationships/hyperlink" Target="https://www.idtheftcenter.org/wp-content/uploads/2018/09/ITRC_Aftermath-2018_Web_FINAL.pdf" TargetMode="External"/><Relationship Id="rId17" Type="http://schemas.openxmlformats.org/officeDocument/2006/relationships/hyperlink" Target="https://www.scamwatch.gov.au/news-alerts/losses-reported-to-scamwatch-exceed-211-million-phone-scams-exploding" TargetMode="External"/><Relationship Id="rId25" Type="http://schemas.openxmlformats.org/officeDocument/2006/relationships/hyperlink" Target="https://www.ofcom.org.uk/home" TargetMode="External"/><Relationship Id="rId33" Type="http://schemas.openxmlformats.org/officeDocument/2006/relationships/hyperlink" Target="https://www.paulfletcher.com.au/media-releases/joint-media-release-stopping-ato-phone-call-scams" TargetMode="External"/><Relationship Id="rId38" Type="http://schemas.openxmlformats.org/officeDocument/2006/relationships/hyperlink" Target="https://aic.gov.au/publications/sr/sr10" TargetMode="External"/><Relationship Id="rId46" Type="http://schemas.openxmlformats.org/officeDocument/2006/relationships/hyperlink" Target="https://www.commsalliance.com.au/Documents/public-comment" TargetMode="External"/><Relationship Id="rId2" Type="http://schemas.openxmlformats.org/officeDocument/2006/relationships/hyperlink" Target="https://www.acma.gov.au/about-carriers-and-carriage-service-providers" TargetMode="External"/><Relationship Id="rId16" Type="http://schemas.openxmlformats.org/officeDocument/2006/relationships/hyperlink" Target="https://www.accc.gov.au/publications/targeting-scams-report-on-scam-activity/targeting-scams-report-of-the-accc-on-scam-activity-2020" TargetMode="External"/><Relationship Id="rId20" Type="http://schemas.openxmlformats.org/officeDocument/2006/relationships/hyperlink" Target="https://www.scamwatch.gov.au/scam-statistics" TargetMode="External"/><Relationship Id="rId29" Type="http://schemas.openxmlformats.org/officeDocument/2006/relationships/hyperlink" Target="https://www.fcc.gov/document/fcc-proposes-rules-prevent-sim-swapping-and-port-out-fraud" TargetMode="External"/><Relationship Id="rId41" Type="http://schemas.openxmlformats.org/officeDocument/2006/relationships/hyperlink" Target="https://www.homeaffairs.gov.au/criminal-justice/files/national-identity-proofing-guidelines.pdf" TargetMode="External"/><Relationship Id="rId1" Type="http://schemas.openxmlformats.org/officeDocument/2006/relationships/hyperlink" Target="https://www.idtheftcenter.org/wp-content/uploads/2018/09/ITRC_Aftermath-2018_Web_FINAL.pdf" TargetMode="External"/><Relationship Id="rId6" Type="http://schemas.openxmlformats.org/officeDocument/2006/relationships/hyperlink" Target="https://www.homeaffairs.gov.au/about-us/our-portfolios/criminal-justice/cybercrime-identity-security/identity-crime" TargetMode="External"/><Relationship Id="rId11" Type="http://schemas.openxmlformats.org/officeDocument/2006/relationships/hyperlink" Target="https://www.aic.gov.au/publications/sr/sr27" TargetMode="External"/><Relationship Id="rId24" Type="http://schemas.openxmlformats.org/officeDocument/2006/relationships/hyperlink" Target="https://www.tcf.org.nz/consumers/news/2021-06-02-mobile-phone-providers-introduce-new-security-measures-to-prevent-number-porting-fraud/" TargetMode="External"/><Relationship Id="rId32" Type="http://schemas.openxmlformats.org/officeDocument/2006/relationships/hyperlink" Target="https://www.paulfletcher.com.au/media-releases/media-release-new-standard-to-fight-fraudulent-number-porting" TargetMode="External"/><Relationship Id="rId37" Type="http://schemas.openxmlformats.org/officeDocument/2006/relationships/hyperlink" Target="https://www.idtheftcenter.org/wp-content/uploads/2018/09/ITRC_Aftermath-2018_Web_FINAL.pdf" TargetMode="External"/><Relationship Id="rId40" Type="http://schemas.openxmlformats.org/officeDocument/2006/relationships/hyperlink" Target="https://www.accc.gov.au/sites/www.accc.gov.au/files/1657GRH_Targeting%20scams%20Media%20infographic_D01.png" TargetMode="External"/><Relationship Id="rId45" Type="http://schemas.openxmlformats.org/officeDocument/2006/relationships/hyperlink" Target="https://www.commsalliance.com.au/__data/assets/pdf_file/0015/72150/C661_2020.pdf" TargetMode="External"/><Relationship Id="rId5" Type="http://schemas.openxmlformats.org/officeDocument/2006/relationships/hyperlink" Target="https://www.counterfraud.gov.au/" TargetMode="External"/><Relationship Id="rId15" Type="http://schemas.openxmlformats.org/officeDocument/2006/relationships/hyperlink" Target="https://www.accc.gov.au/publications/targeting-scams-report-on-scam-activity/targeting-scams-report-of-the-accc-on-scam-activity-2020" TargetMode="External"/><Relationship Id="rId23" Type="http://schemas.openxmlformats.org/officeDocument/2006/relationships/hyperlink" Target="https://www.accc.gov.au/publications/targeting-scams-report-on-scam-activity/targeting-scams-report-of-the-accc-on-scam-activity-2020" TargetMode="External"/><Relationship Id="rId28" Type="http://schemas.openxmlformats.org/officeDocument/2006/relationships/hyperlink" Target="https://www.fbi.gov/contact-us/field-offices/sanfrancisco/news/press-releases/fbi-san-francisco-warns-the-public-of-the-dangers-of-sim-swapping" TargetMode="External"/><Relationship Id="rId36" Type="http://schemas.openxmlformats.org/officeDocument/2006/relationships/hyperlink" Target="https://commsalliance.com.au/__data/assets/pdf_file/0006/78054/Cust-Authentication_2021_Public-Comment.pdf" TargetMode="External"/><Relationship Id="rId10" Type="http://schemas.openxmlformats.org/officeDocument/2006/relationships/hyperlink" Target="https://www.accc.gov.au/sites/www.accc.gov.au/files/1657GRH_Targeting%20scams%20Media%20infographic_D01.png" TargetMode="External"/><Relationship Id="rId19" Type="http://schemas.openxmlformats.org/officeDocument/2006/relationships/hyperlink" Target="https://www.scamwatch.gov.au/news-alerts/losses-reported-to-scamwatch-exceed-211-million-phone-scams-exploding" TargetMode="External"/><Relationship Id="rId31" Type="http://schemas.openxmlformats.org/officeDocument/2006/relationships/hyperlink" Target="https://minister.infrastructure.gov.au/fletcher/media-release/over-200-million-scam-calls-blocked" TargetMode="External"/><Relationship Id="rId44" Type="http://schemas.openxmlformats.org/officeDocument/2006/relationships/hyperlink" Target="https://obpr.pmc.gov.au/published-impact-analyses-and-reports/reducing-impact-scam-calls" TargetMode="External"/><Relationship Id="rId4" Type="http://schemas.openxmlformats.org/officeDocument/2006/relationships/hyperlink" Target="https://www.acma.gov.au/publications/2021-08/plan/acmas-corporate-plan-2021-22" TargetMode="External"/><Relationship Id="rId9" Type="http://schemas.openxmlformats.org/officeDocument/2006/relationships/hyperlink" Target="https://www.accc.gov.au/system/files/Targeting%20scams%20-%20report%20of%20the%20ACCC%20on%20scams%20activity%202020%20v2.pdf" TargetMode="External"/><Relationship Id="rId14" Type="http://schemas.openxmlformats.org/officeDocument/2006/relationships/hyperlink" Target="https://www.aic.gov.au/sites/default/files/2020-08/sr29_identity_crime_and_misuse_in_australia_2019.pdf" TargetMode="External"/><Relationship Id="rId22" Type="http://schemas.openxmlformats.org/officeDocument/2006/relationships/hyperlink" Target="https://www.cyber.gov.au/acsc/view-all-content/small-and-medium-businesses" TargetMode="External"/><Relationship Id="rId27" Type="http://schemas.openxmlformats.org/officeDocument/2006/relationships/hyperlink" Target="https://www.ofcom.org.uk/news-centre/2021/45-million-people-targeted-by-scams?utm_medium=email&amp;utm_campaign=45%20million%20people%20targeted%20by%20scam%20calls%20and%20texts%20this%20summer&amp;utm_content=45%20million%20people%20targeted%20by%20scam%20calls%20and%20texts%20this%20summer+CID_a925315312418f496b6736041801dec4&amp;utm_source=updates&amp;utm_term=news%20release" TargetMode="External"/><Relationship Id="rId30" Type="http://schemas.openxmlformats.org/officeDocument/2006/relationships/hyperlink" Target="https://www.acma.gov.au/publications/2019-11/report/combating-scams-summary-report" TargetMode="External"/><Relationship Id="rId35" Type="http://schemas.openxmlformats.org/officeDocument/2006/relationships/hyperlink" Target="https://www.paulfletcher.com.au/media-releases/protecting-australians-from-scam-texts" TargetMode="External"/><Relationship Id="rId43" Type="http://schemas.openxmlformats.org/officeDocument/2006/relationships/hyperlink" Target="https://obpr.pmc.gov.au/published-impact-analyses-and-reports/mobile-porting-fraud" TargetMode="External"/><Relationship Id="rId48" Type="http://schemas.openxmlformats.org/officeDocument/2006/relationships/hyperlink" Target="https://www.acma.gov.au/compliance-prioriti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AU" sz="1400">
                <a:solidFill>
                  <a:schemeClr val="accent1"/>
                </a:solidFill>
                <a:latin typeface="Arial" panose="020B0604020202020204" pitchFamily="34" charset="0"/>
                <a:cs typeface="Arial" panose="020B0604020202020204" pitchFamily="34" charset="0"/>
              </a:rPr>
              <a:t>REPORTS TO SCAMWATCH 2011 to 2020</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9.1463400864489119E-2"/>
          <c:y val="0.24292176243926958"/>
          <c:w val="0.95127353266888148"/>
          <c:h val="0.66370078740157479"/>
        </c:manualLayout>
      </c:layout>
      <c:lineChart>
        <c:grouping val="standard"/>
        <c:varyColors val="0"/>
        <c:ser>
          <c:idx val="0"/>
          <c:order val="0"/>
          <c:tx>
            <c:strRef>
              <c:f>Sheet1!$B$1</c:f>
              <c:strCache>
                <c:ptCount val="1"/>
                <c:pt idx="0">
                  <c:v>Series 1</c:v>
                </c:pt>
              </c:strCache>
            </c:strRef>
          </c:tx>
          <c:spPr>
            <a:ln w="22225" cap="rnd">
              <a:solidFill>
                <a:schemeClr val="accent1"/>
              </a:solidFill>
              <a:round/>
            </a:ln>
            <a:effectLst/>
          </c:spPr>
          <c:marker>
            <c:symbol val="none"/>
          </c:marker>
          <c:dLbls>
            <c:numFmt formatCode="#,##0" sourceLinked="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ellipse">
                    <a:avLst/>
                  </a:prstGeom>
                  <a:noFill/>
                  <a:ln>
                    <a:noFill/>
                  </a:ln>
                </c15:spPr>
                <c15:showLeaderLines val="1"/>
                <c15:leaderLines>
                  <c:spPr>
                    <a:ln w="9525" cap="flat" cmpd="sng" algn="ctr">
                      <a:solidFill>
                        <a:schemeClr val="dk1">
                          <a:lumMod val="35000"/>
                          <a:lumOff val="65000"/>
                        </a:schemeClr>
                      </a:solidFill>
                      <a:round/>
                    </a:ln>
                    <a:effectLst/>
                  </c:spPr>
                </c15:leaderLines>
              </c:ext>
            </c:extLst>
          </c:dLbls>
          <c:cat>
            <c:numRef>
              <c:f>Sheet1!$A$2:$A$11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Sheet1!$B$2:$B$11</c:f>
              <c:numCache>
                <c:formatCode>General</c:formatCode>
                <c:ptCount val="10"/>
                <c:pt idx="0">
                  <c:v>83150</c:v>
                </c:pt>
                <c:pt idx="1">
                  <c:v>83803</c:v>
                </c:pt>
                <c:pt idx="2">
                  <c:v>91927</c:v>
                </c:pt>
                <c:pt idx="3">
                  <c:v>92637</c:v>
                </c:pt>
                <c:pt idx="4">
                  <c:v>105201</c:v>
                </c:pt>
                <c:pt idx="5">
                  <c:v>155035</c:v>
                </c:pt>
                <c:pt idx="6">
                  <c:v>161528</c:v>
                </c:pt>
                <c:pt idx="7">
                  <c:v>177516</c:v>
                </c:pt>
                <c:pt idx="8">
                  <c:v>167797</c:v>
                </c:pt>
                <c:pt idx="9">
                  <c:v>216086</c:v>
                </c:pt>
              </c:numCache>
            </c:numRef>
          </c:val>
          <c:smooth val="0"/>
          <c:extLst>
            <c:ext xmlns:c16="http://schemas.microsoft.com/office/drawing/2014/chart" uri="{C3380CC4-5D6E-409C-BE32-E72D297353CC}">
              <c16:uniqueId val="{00000000-AF3B-41BC-845E-47E425EC166F}"/>
            </c:ext>
          </c:extLst>
        </c:ser>
        <c:dLbls>
          <c:dLblPos val="ctr"/>
          <c:showLegendKey val="0"/>
          <c:showVal val="1"/>
          <c:showCatName val="0"/>
          <c:showSerName val="0"/>
          <c:showPercent val="0"/>
          <c:showBubbleSize val="0"/>
        </c:dLbls>
        <c:smooth val="0"/>
        <c:axId val="771029240"/>
        <c:axId val="771029568"/>
      </c:lineChart>
      <c:catAx>
        <c:axId val="77102924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1"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71029568"/>
        <c:crosses val="autoZero"/>
        <c:auto val="1"/>
        <c:lblAlgn val="ctr"/>
        <c:lblOffset val="100"/>
        <c:noMultiLvlLbl val="0"/>
      </c:catAx>
      <c:valAx>
        <c:axId val="77102956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77102924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D94DF052B634DBCB3561D01A02189" ma:contentTypeVersion="13" ma:contentTypeDescription="Create a new document." ma:contentTypeScope="" ma:versionID="3db717cb90f06db20baf9c715c87d16f">
  <xsd:schema xmlns:xsd="http://www.w3.org/2001/XMLSchema" xmlns:xs="http://www.w3.org/2001/XMLSchema" xmlns:p="http://schemas.microsoft.com/office/2006/metadata/properties" xmlns:ns3="93def0f0-d759-4886-97cd-eba284a16023" xmlns:ns4="debc38d2-f54f-4fea-a8cf-15a15bd7bdb9" targetNamespace="http://schemas.microsoft.com/office/2006/metadata/properties" ma:root="true" ma:fieldsID="83c8485627019b4b1a592e1481e6a1a6" ns3:_="" ns4:_="">
    <xsd:import namespace="93def0f0-d759-4886-97cd-eba284a16023"/>
    <xsd:import namespace="debc38d2-f54f-4fea-a8cf-15a15bd7bd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ef0f0-d759-4886-97cd-eba284a16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38d2-f54f-4fea-a8cf-15a15bd7bd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F13A4-5639-4B2B-A684-AC7E4B512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ef0f0-d759-4886-97cd-eba284a16023"/>
    <ds:schemaRef ds:uri="debc38d2-f54f-4fea-a8cf-15a15bd7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63898-ADD0-421D-B831-319738AA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62</Pages>
  <Words>22981</Words>
  <Characters>130996</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Derek Wiseman</cp:lastModifiedBy>
  <cp:revision>12</cp:revision>
  <cp:lastPrinted>2022-03-30T22:46:00Z</cp:lastPrinted>
  <dcterms:created xsi:type="dcterms:W3CDTF">2022-03-31T02:37:00Z</dcterms:created>
  <dcterms:modified xsi:type="dcterms:W3CDTF">2022-04-05T04:38:00Z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0x0101003E5D94DF052B634DBCB3561D01A02189</vt:lpwstr>
  </property>
  <property fmtid="{D5CDD505-2E9C-101B-9397-08002B2CF9AE}" pid="3" name="_dlc_DocIdItemGuid">
    <vt:lpwstr>353352b1-800e-427e-9858-382c1fdff4db</vt:lpwstr>
  </property>
</Properties>
</file>