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7BB64" w14:textId="77777777" w:rsidR="00B11BA1" w:rsidRPr="00FD0C93" w:rsidRDefault="00B11BA1" w:rsidP="00CD463E">
      <w:pPr>
        <w:keepNext/>
        <w:ind w:left="284"/>
        <w:jc w:val="center"/>
        <w:outlineLvl w:val="0"/>
        <w:rPr>
          <w:b/>
          <w:u w:val="single"/>
          <w:lang w:eastAsia="en-AU"/>
        </w:rPr>
      </w:pPr>
      <w:r w:rsidRPr="00FD0C93">
        <w:rPr>
          <w:b/>
          <w:u w:val="single"/>
          <w:lang w:eastAsia="en-AU"/>
        </w:rPr>
        <w:t>EXPLANATORY STATEMENT</w:t>
      </w:r>
    </w:p>
    <w:p w14:paraId="179C8BA0" w14:textId="77777777" w:rsidR="00B11BA1" w:rsidRPr="00FD0C93" w:rsidRDefault="00B11BA1" w:rsidP="00CD463E">
      <w:pPr>
        <w:rPr>
          <w:lang w:eastAsia="en-AU"/>
        </w:rPr>
      </w:pPr>
    </w:p>
    <w:p w14:paraId="6BA5379D" w14:textId="77777777" w:rsidR="00B11BA1" w:rsidRPr="00FD0C93" w:rsidRDefault="00B11BA1" w:rsidP="00CD463E">
      <w:pPr>
        <w:widowControl w:val="0"/>
        <w:tabs>
          <w:tab w:val="left" w:pos="993"/>
          <w:tab w:val="left" w:pos="1418"/>
        </w:tabs>
        <w:jc w:val="center"/>
        <w:rPr>
          <w:i/>
          <w:lang w:eastAsia="en-AU"/>
        </w:rPr>
      </w:pPr>
      <w:r w:rsidRPr="00FD0C93">
        <w:rPr>
          <w:i/>
          <w:lang w:eastAsia="en-AU"/>
        </w:rPr>
        <w:t>Health Insurance Act 1973</w:t>
      </w:r>
    </w:p>
    <w:p w14:paraId="3C536E9B" w14:textId="77777777" w:rsidR="00B11BA1" w:rsidRPr="00FD0C93" w:rsidRDefault="00B11BA1" w:rsidP="00CD463E">
      <w:pPr>
        <w:rPr>
          <w:i/>
        </w:rPr>
      </w:pPr>
    </w:p>
    <w:p w14:paraId="0A1496D1" w14:textId="77777777" w:rsidR="00060544" w:rsidRPr="00FD0C93" w:rsidRDefault="00060544" w:rsidP="00060544">
      <w:pPr>
        <w:jc w:val="center"/>
        <w:rPr>
          <w:bCs/>
          <w:i/>
          <w:iCs/>
        </w:rPr>
      </w:pPr>
      <w:r w:rsidRPr="00FD0C93">
        <w:rPr>
          <w:bCs/>
          <w:i/>
          <w:iCs/>
        </w:rPr>
        <w:t>Health Insurance (General Medical Services Table) Amendment (Pain Management Services) Regulations 2022</w:t>
      </w:r>
    </w:p>
    <w:p w14:paraId="2EA02C1E" w14:textId="77777777" w:rsidR="00326A42" w:rsidRPr="00FD0C93" w:rsidRDefault="00326A42" w:rsidP="00326A42">
      <w:pPr>
        <w:jc w:val="center"/>
        <w:rPr>
          <w:i/>
        </w:rPr>
      </w:pPr>
    </w:p>
    <w:p w14:paraId="03BADDFC" w14:textId="77777777" w:rsidR="002B6ADF" w:rsidRPr="00FD0C93" w:rsidRDefault="002B6ADF" w:rsidP="002B6ADF">
      <w:pPr>
        <w:ind w:right="-483"/>
        <w:rPr>
          <w:lang w:eastAsia="en-AU"/>
        </w:rPr>
      </w:pPr>
      <w:r w:rsidRPr="00FD0C93">
        <w:rPr>
          <w:lang w:eastAsia="en-AU"/>
        </w:rPr>
        <w:t xml:space="preserve">Subsection 133(1) of the </w:t>
      </w:r>
      <w:r w:rsidRPr="00FD0C93">
        <w:rPr>
          <w:i/>
          <w:lang w:eastAsia="en-AU"/>
        </w:rPr>
        <w:t>Health Insurance Act 1973</w:t>
      </w:r>
      <w:r w:rsidRPr="00FD0C93">
        <w:rPr>
          <w:lang w:eastAsia="en-AU"/>
        </w:rPr>
        <w:t xml:space="preserve"> (Act) provides that the Governor</w:t>
      </w:r>
      <w:r w:rsidRPr="00FD0C93">
        <w:rPr>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32E2B2C3" w14:textId="77777777" w:rsidR="002B6ADF" w:rsidRPr="00FD0C93" w:rsidRDefault="002B6ADF" w:rsidP="002B6ADF">
      <w:pPr>
        <w:ind w:right="-483"/>
        <w:rPr>
          <w:color w:val="C0504D" w:themeColor="accent2"/>
          <w:spacing w:val="5"/>
          <w:lang w:eastAsia="en-AU"/>
        </w:rPr>
      </w:pPr>
    </w:p>
    <w:p w14:paraId="3DF0AEBE" w14:textId="77777777" w:rsidR="002B6ADF" w:rsidRPr="00FD0C93" w:rsidRDefault="002B6ADF" w:rsidP="002B6ADF">
      <w:pPr>
        <w:ind w:right="-483"/>
        <w:rPr>
          <w:lang w:eastAsia="en-AU"/>
        </w:rPr>
      </w:pPr>
      <w:r w:rsidRPr="00FD0C93">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556C88F0" w14:textId="77777777" w:rsidR="002B6ADF" w:rsidRPr="00FD0C93" w:rsidRDefault="002B6ADF" w:rsidP="002B6ADF">
      <w:pPr>
        <w:rPr>
          <w:lang w:eastAsia="en-AU"/>
        </w:rPr>
      </w:pPr>
    </w:p>
    <w:p w14:paraId="3FCE37D4" w14:textId="77777777" w:rsidR="002B6ADF" w:rsidRPr="00FD0C93" w:rsidRDefault="002B6ADF" w:rsidP="002B6ADF">
      <w:pPr>
        <w:rPr>
          <w:iCs/>
          <w:lang w:eastAsia="en-AU"/>
        </w:rPr>
      </w:pPr>
      <w:r w:rsidRPr="00FD0C93">
        <w:rPr>
          <w:lang w:eastAsia="en-AU"/>
        </w:rPr>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(GMST). The most recent version of the regulations is the </w:t>
      </w:r>
      <w:r w:rsidRPr="00FD0C93">
        <w:rPr>
          <w:i/>
          <w:lang w:eastAsia="en-AU"/>
        </w:rPr>
        <w:t>Health Insurance (General Medical Services Table) Regulations 2021</w:t>
      </w:r>
      <w:r w:rsidRPr="00FD0C93">
        <w:rPr>
          <w:i/>
          <w:iCs/>
          <w:lang w:eastAsia="en-AU"/>
        </w:rPr>
        <w:t>.</w:t>
      </w:r>
      <w:r w:rsidRPr="00FD0C93">
        <w:rPr>
          <w:iCs/>
          <w:lang w:eastAsia="en-AU"/>
        </w:rPr>
        <w:t xml:space="preserve"> </w:t>
      </w:r>
    </w:p>
    <w:p w14:paraId="5AA4A2AE" w14:textId="77777777" w:rsidR="00B11BA1" w:rsidRPr="00FD0C93" w:rsidRDefault="00B11BA1" w:rsidP="00CD463E">
      <w:pPr>
        <w:rPr>
          <w:lang w:eastAsia="en-AU"/>
        </w:rPr>
      </w:pPr>
    </w:p>
    <w:p w14:paraId="05C631EA" w14:textId="77777777" w:rsidR="00B11BA1" w:rsidRPr="00FD0C93" w:rsidRDefault="00B11BA1" w:rsidP="00CD463E">
      <w:pPr>
        <w:rPr>
          <w:b/>
        </w:rPr>
      </w:pPr>
      <w:r w:rsidRPr="00FD0C93">
        <w:rPr>
          <w:b/>
        </w:rPr>
        <w:t>Purpose</w:t>
      </w:r>
    </w:p>
    <w:p w14:paraId="6F97569D" w14:textId="5DDE5A85" w:rsidR="00D31F9F" w:rsidRPr="00FD0C93" w:rsidRDefault="00326A42" w:rsidP="00D31F9F">
      <w:pPr>
        <w:rPr>
          <w:b/>
          <w:i/>
        </w:rPr>
      </w:pPr>
      <w:bookmarkStart w:id="0" w:name="_Hlk97302847"/>
      <w:r w:rsidRPr="00FD0C93">
        <w:t xml:space="preserve">The </w:t>
      </w:r>
      <w:r w:rsidR="00060544" w:rsidRPr="00FD0C93">
        <w:rPr>
          <w:bCs/>
          <w:i/>
        </w:rPr>
        <w:t>Health Insurance (General Medical Services Table) Amendment (Pain Management Services) Regulations 2022</w:t>
      </w:r>
      <w:r w:rsidRPr="00FD0C93">
        <w:rPr>
          <w:i/>
        </w:rPr>
        <w:t xml:space="preserve"> </w:t>
      </w:r>
      <w:r w:rsidRPr="00FD0C93">
        <w:rPr>
          <w:iCs/>
        </w:rPr>
        <w:t xml:space="preserve">(the </w:t>
      </w:r>
      <w:r w:rsidRPr="00FD0C93">
        <w:t>Regulations</w:t>
      </w:r>
      <w:r w:rsidRPr="00FD0C93">
        <w:rPr>
          <w:iCs/>
        </w:rPr>
        <w:t xml:space="preserve">) amend </w:t>
      </w:r>
      <w:r w:rsidR="00D31F9F" w:rsidRPr="00FD0C93">
        <w:rPr>
          <w:iCs/>
        </w:rPr>
        <w:t xml:space="preserve">six pain management items listed in </w:t>
      </w:r>
      <w:r w:rsidRPr="00FD0C93">
        <w:rPr>
          <w:iCs/>
        </w:rPr>
        <w:t xml:space="preserve">the </w:t>
      </w:r>
      <w:r w:rsidR="002B6ADF" w:rsidRPr="00FD0C93">
        <w:rPr>
          <w:iCs/>
        </w:rPr>
        <w:t xml:space="preserve">GMST to clarify the claiming arrangements for </w:t>
      </w:r>
      <w:r w:rsidR="00D31F9F" w:rsidRPr="00FD0C93">
        <w:rPr>
          <w:iCs/>
        </w:rPr>
        <w:t>these services. This amendment clarifies the policy position of these items and more accurately reflects recommendation</w:t>
      </w:r>
      <w:r w:rsidR="00D745C8" w:rsidRPr="00FD0C93">
        <w:rPr>
          <w:iCs/>
        </w:rPr>
        <w:t>s</w:t>
      </w:r>
      <w:r w:rsidR="00CB3317" w:rsidRPr="00FD0C93">
        <w:rPr>
          <w:iCs/>
        </w:rPr>
        <w:t xml:space="preserve"> made by</w:t>
      </w:r>
      <w:r w:rsidR="00D31F9F" w:rsidRPr="00FD0C93">
        <w:rPr>
          <w:iCs/>
        </w:rPr>
        <w:t xml:space="preserve"> the MBS Review Taskforce (the Taskforce) regarding </w:t>
      </w:r>
      <w:r w:rsidR="00CB3317" w:rsidRPr="00FD0C93">
        <w:rPr>
          <w:iCs/>
        </w:rPr>
        <w:t xml:space="preserve">these </w:t>
      </w:r>
      <w:r w:rsidR="00D31F9F" w:rsidRPr="00FD0C93">
        <w:rPr>
          <w:iCs/>
        </w:rPr>
        <w:t>pain management services.</w:t>
      </w:r>
    </w:p>
    <w:p w14:paraId="7F06D5CB" w14:textId="1FA25824" w:rsidR="00326A42" w:rsidRPr="00FD0C93" w:rsidRDefault="00326A42" w:rsidP="00326A42">
      <w:pPr>
        <w:rPr>
          <w:b/>
          <w:iCs/>
        </w:rPr>
      </w:pPr>
    </w:p>
    <w:p w14:paraId="633843FC" w14:textId="77777777" w:rsidR="00FE62A3" w:rsidRPr="00FD0C93" w:rsidRDefault="00D31F9F" w:rsidP="00326A42">
      <w:pPr>
        <w:rPr>
          <w:bCs/>
        </w:rPr>
      </w:pPr>
      <w:r w:rsidRPr="00FD0C93">
        <w:rPr>
          <w:bCs/>
          <w:iCs/>
        </w:rPr>
        <w:t xml:space="preserve">Pain management items 39110, 39111, 39116, 39117, 39118 and 39119 </w:t>
      </w:r>
      <w:r w:rsidR="00FE62A3" w:rsidRPr="00FD0C93">
        <w:rPr>
          <w:bCs/>
          <w:iCs/>
        </w:rPr>
        <w:t xml:space="preserve">for percutaneous zygapophyseal joint denervation </w:t>
      </w:r>
      <w:r w:rsidRPr="00FD0C93">
        <w:rPr>
          <w:bCs/>
          <w:iCs/>
        </w:rPr>
        <w:t xml:space="preserve">were </w:t>
      </w:r>
      <w:r w:rsidR="00404B35" w:rsidRPr="00FD0C93">
        <w:rPr>
          <w:bCs/>
        </w:rPr>
        <w:t xml:space="preserve">announced by Government </w:t>
      </w:r>
      <w:r w:rsidR="00404B35" w:rsidRPr="00FD0C93">
        <w:rPr>
          <w:color w:val="000000"/>
          <w:shd w:val="clear" w:color="auto" w:fill="FFFFFF"/>
        </w:rPr>
        <w:t>in the 2021-22 Budget under the </w:t>
      </w:r>
      <w:bookmarkStart w:id="1" w:name="_Hlk80609508"/>
      <w:r w:rsidR="00404B35" w:rsidRPr="00FD0C93">
        <w:rPr>
          <w:i/>
          <w:iCs/>
          <w:color w:val="000000"/>
          <w:shd w:val="clear" w:color="auto" w:fill="FFFFFF"/>
        </w:rPr>
        <w:t>Guaranteeing Medicare — changes to the Medicare Benefits Schedule</w:t>
      </w:r>
      <w:r w:rsidR="00404B35" w:rsidRPr="00FD0C93">
        <w:rPr>
          <w:color w:val="000000"/>
          <w:shd w:val="clear" w:color="auto" w:fill="FFFFFF"/>
        </w:rPr>
        <w:t> measure</w:t>
      </w:r>
      <w:bookmarkEnd w:id="1"/>
      <w:r w:rsidR="00404B35" w:rsidRPr="00FD0C93">
        <w:rPr>
          <w:color w:val="000000"/>
          <w:shd w:val="clear" w:color="auto" w:fill="FFFFFF"/>
        </w:rPr>
        <w:t xml:space="preserve"> and</w:t>
      </w:r>
      <w:r w:rsidR="00404B35" w:rsidRPr="00FD0C93">
        <w:rPr>
          <w:bCs/>
          <w:iCs/>
        </w:rPr>
        <w:t xml:space="preserve"> </w:t>
      </w:r>
      <w:r w:rsidR="00B5391E" w:rsidRPr="00FD0C93">
        <w:rPr>
          <w:bCs/>
          <w:iCs/>
        </w:rPr>
        <w:t>implemented</w:t>
      </w:r>
      <w:r w:rsidRPr="00FD0C93">
        <w:rPr>
          <w:bCs/>
          <w:iCs/>
        </w:rPr>
        <w:t xml:space="preserve"> through the </w:t>
      </w:r>
      <w:r w:rsidRPr="00FD0C93">
        <w:rPr>
          <w:bCs/>
          <w:i/>
          <w:iCs/>
        </w:rPr>
        <w:t>Health Insurance Legislation Amendment (2021 Measures No. 4) Regulations 2021</w:t>
      </w:r>
      <w:r w:rsidRPr="00FD0C93">
        <w:rPr>
          <w:bCs/>
        </w:rPr>
        <w:t xml:space="preserve"> </w:t>
      </w:r>
      <w:r w:rsidR="00404B35" w:rsidRPr="00FD0C93">
        <w:rPr>
          <w:bCs/>
        </w:rPr>
        <w:t>(the 1 March 2022 Regulations)</w:t>
      </w:r>
      <w:r w:rsidRPr="00FD0C93">
        <w:rPr>
          <w:color w:val="000000"/>
          <w:shd w:val="clear" w:color="auto" w:fill="FFFFFF"/>
        </w:rPr>
        <w:t>.</w:t>
      </w:r>
      <w:r w:rsidRPr="00FD0C93">
        <w:rPr>
          <w:bCs/>
        </w:rPr>
        <w:t xml:space="preserve"> </w:t>
      </w:r>
    </w:p>
    <w:p w14:paraId="6DB54888" w14:textId="77777777" w:rsidR="00FE62A3" w:rsidRPr="00FD0C93" w:rsidRDefault="00FE62A3" w:rsidP="00326A42">
      <w:pPr>
        <w:rPr>
          <w:bCs/>
        </w:rPr>
      </w:pPr>
    </w:p>
    <w:p w14:paraId="642B9912" w14:textId="54B19B4F" w:rsidR="00D31F9F" w:rsidRPr="00FD0C93" w:rsidRDefault="00FE62A3" w:rsidP="00326A42">
      <w:pPr>
        <w:rPr>
          <w:bCs/>
        </w:rPr>
      </w:pPr>
      <w:r w:rsidRPr="00FD0C93">
        <w:rPr>
          <w:bCs/>
        </w:rPr>
        <w:t xml:space="preserve">These items are differentiated by the left and right sides of the body and different spinal regions, as recommended by the Taskforce. </w:t>
      </w:r>
      <w:r w:rsidR="00E03695" w:rsidRPr="00FD0C93">
        <w:rPr>
          <w:bCs/>
        </w:rPr>
        <w:t>Each of the six</w:t>
      </w:r>
      <w:r w:rsidR="00D31F9F" w:rsidRPr="00FD0C93">
        <w:rPr>
          <w:bCs/>
        </w:rPr>
        <w:t xml:space="preserve"> items </w:t>
      </w:r>
      <w:r w:rsidR="005C7760" w:rsidRPr="00FD0C93">
        <w:rPr>
          <w:bCs/>
        </w:rPr>
        <w:t xml:space="preserve">was </w:t>
      </w:r>
      <w:r w:rsidR="00D31F9F" w:rsidRPr="00FD0C93">
        <w:rPr>
          <w:bCs/>
        </w:rPr>
        <w:t xml:space="preserve">implemented with a restriction of three services in any given 12 month period. </w:t>
      </w:r>
    </w:p>
    <w:p w14:paraId="1FF9687C" w14:textId="77777777" w:rsidR="003274D8" w:rsidRPr="00FD0C93" w:rsidRDefault="003274D8" w:rsidP="00326A42">
      <w:pPr>
        <w:rPr>
          <w:bCs/>
        </w:rPr>
      </w:pPr>
    </w:p>
    <w:p w14:paraId="41598E1F" w14:textId="09AB19F6" w:rsidR="00D31F9F" w:rsidRPr="00FD0C93" w:rsidRDefault="00B5391E" w:rsidP="00326A42">
      <w:pPr>
        <w:rPr>
          <w:bCs/>
        </w:rPr>
      </w:pPr>
      <w:r w:rsidRPr="00FD0C93">
        <w:rPr>
          <w:bCs/>
        </w:rPr>
        <w:t>T</w:t>
      </w:r>
      <w:r w:rsidR="00D31F9F" w:rsidRPr="00FD0C93">
        <w:rPr>
          <w:bCs/>
        </w:rPr>
        <w:t xml:space="preserve">he Department </w:t>
      </w:r>
      <w:r w:rsidRPr="00FD0C93">
        <w:rPr>
          <w:bCs/>
        </w:rPr>
        <w:t xml:space="preserve">has subsequently </w:t>
      </w:r>
      <w:r w:rsidR="00D31F9F" w:rsidRPr="00FD0C93">
        <w:rPr>
          <w:bCs/>
        </w:rPr>
        <w:t xml:space="preserve">received feedback </w:t>
      </w:r>
      <w:r w:rsidR="004D5496" w:rsidRPr="00FD0C93">
        <w:rPr>
          <w:bCs/>
        </w:rPr>
        <w:t>from the Faculty of Pain Medicine within the Australian and New Zealand College of Anaesthetists</w:t>
      </w:r>
      <w:r w:rsidR="005C7760" w:rsidRPr="00FD0C93">
        <w:rPr>
          <w:bCs/>
        </w:rPr>
        <w:t xml:space="preserve">, </w:t>
      </w:r>
      <w:r w:rsidR="004D5496" w:rsidRPr="00FD0C93">
        <w:rPr>
          <w:bCs/>
        </w:rPr>
        <w:t>pain management specialists</w:t>
      </w:r>
      <w:r w:rsidR="00F36675" w:rsidRPr="00FD0C93">
        <w:rPr>
          <w:bCs/>
        </w:rPr>
        <w:t xml:space="preserve"> and other stakeholders</w:t>
      </w:r>
      <w:r w:rsidR="004D5496" w:rsidRPr="00FD0C93">
        <w:rPr>
          <w:bCs/>
        </w:rPr>
        <w:t xml:space="preserve"> that </w:t>
      </w:r>
      <w:r w:rsidR="00AA578A" w:rsidRPr="00FD0C93">
        <w:rPr>
          <w:bCs/>
        </w:rPr>
        <w:t xml:space="preserve">the </w:t>
      </w:r>
      <w:r w:rsidR="0087609B" w:rsidRPr="00FD0C93">
        <w:rPr>
          <w:bCs/>
        </w:rPr>
        <w:t xml:space="preserve">frequency </w:t>
      </w:r>
      <w:r w:rsidR="00D31F9F" w:rsidRPr="00FD0C93">
        <w:rPr>
          <w:bCs/>
        </w:rPr>
        <w:t xml:space="preserve">claiming restriction </w:t>
      </w:r>
      <w:r w:rsidR="003274D8" w:rsidRPr="00FD0C93">
        <w:rPr>
          <w:bCs/>
        </w:rPr>
        <w:t xml:space="preserve">introduced </w:t>
      </w:r>
      <w:r w:rsidR="00CB3317" w:rsidRPr="00FD0C93">
        <w:rPr>
          <w:bCs/>
        </w:rPr>
        <w:t>in the 1 March 2022 Regulations</w:t>
      </w:r>
      <w:r w:rsidR="003274D8" w:rsidRPr="00FD0C93">
        <w:rPr>
          <w:bCs/>
        </w:rPr>
        <w:t xml:space="preserve"> does not </w:t>
      </w:r>
      <w:r w:rsidR="00CB3317" w:rsidRPr="00FD0C93">
        <w:rPr>
          <w:bCs/>
        </w:rPr>
        <w:t xml:space="preserve">fully </w:t>
      </w:r>
      <w:r w:rsidR="003274D8" w:rsidRPr="00FD0C93">
        <w:rPr>
          <w:bCs/>
        </w:rPr>
        <w:t xml:space="preserve">align with the intent of the Taskforce’s recommendation, and would have the practical </w:t>
      </w:r>
      <w:r w:rsidR="006879B0" w:rsidRPr="00FD0C93">
        <w:rPr>
          <w:bCs/>
        </w:rPr>
        <w:t>e</w:t>
      </w:r>
      <w:r w:rsidR="003274D8" w:rsidRPr="00FD0C93">
        <w:rPr>
          <w:bCs/>
        </w:rPr>
        <w:t xml:space="preserve">ffect of </w:t>
      </w:r>
      <w:r w:rsidR="00FE62A3" w:rsidRPr="00FD0C93">
        <w:rPr>
          <w:bCs/>
        </w:rPr>
        <w:t>prevent</w:t>
      </w:r>
      <w:r w:rsidR="003274D8" w:rsidRPr="00FD0C93">
        <w:rPr>
          <w:bCs/>
        </w:rPr>
        <w:t>ing</w:t>
      </w:r>
      <w:r w:rsidR="00FE62A3" w:rsidRPr="00FD0C93">
        <w:rPr>
          <w:bCs/>
        </w:rPr>
        <w:t xml:space="preserve"> </w:t>
      </w:r>
      <w:r w:rsidR="003274D8" w:rsidRPr="00FD0C93">
        <w:rPr>
          <w:bCs/>
        </w:rPr>
        <w:t xml:space="preserve">some patients from receiving </w:t>
      </w:r>
      <w:r w:rsidR="00085075" w:rsidRPr="00FD0C93">
        <w:rPr>
          <w:bCs/>
        </w:rPr>
        <w:t xml:space="preserve">clinically appropriate </w:t>
      </w:r>
      <w:r w:rsidR="003274D8" w:rsidRPr="00FD0C93">
        <w:rPr>
          <w:bCs/>
        </w:rPr>
        <w:t>pain treatment</w:t>
      </w:r>
      <w:r w:rsidR="006879B0" w:rsidRPr="00FD0C93">
        <w:rPr>
          <w:bCs/>
        </w:rPr>
        <w:t>, contrary to current clinical practice.</w:t>
      </w:r>
      <w:r w:rsidR="003274D8" w:rsidRPr="00FD0C93">
        <w:rPr>
          <w:bCs/>
        </w:rPr>
        <w:t xml:space="preserve"> </w:t>
      </w:r>
      <w:r w:rsidR="00404B35" w:rsidRPr="00FD0C93">
        <w:rPr>
          <w:bCs/>
        </w:rPr>
        <w:t xml:space="preserve"> </w:t>
      </w:r>
    </w:p>
    <w:p w14:paraId="49F08138" w14:textId="2A9A25C0" w:rsidR="00404B35" w:rsidRPr="00FD0C93" w:rsidRDefault="00404B35" w:rsidP="00326A42">
      <w:pPr>
        <w:rPr>
          <w:bCs/>
        </w:rPr>
      </w:pPr>
    </w:p>
    <w:p w14:paraId="4444B99E" w14:textId="501ADC14" w:rsidR="00326A42" w:rsidRPr="00FD0C93" w:rsidRDefault="00BA25C3" w:rsidP="00E71E9D">
      <w:r w:rsidRPr="00FD0C93">
        <w:rPr>
          <w:bCs/>
        </w:rPr>
        <w:lastRenderedPageBreak/>
        <w:t>T</w:t>
      </w:r>
      <w:r w:rsidR="00404B35" w:rsidRPr="00FD0C93">
        <w:rPr>
          <w:bCs/>
        </w:rPr>
        <w:t>he Regulations amend the claiming frequency</w:t>
      </w:r>
      <w:r w:rsidR="00F36675" w:rsidRPr="00FD0C93">
        <w:rPr>
          <w:bCs/>
        </w:rPr>
        <w:t xml:space="preserve"> restrictions that current</w:t>
      </w:r>
      <w:r w:rsidR="0087609B" w:rsidRPr="00FD0C93">
        <w:rPr>
          <w:bCs/>
        </w:rPr>
        <w:t>ly</w:t>
      </w:r>
      <w:r w:rsidR="00F36675" w:rsidRPr="00FD0C93">
        <w:rPr>
          <w:bCs/>
        </w:rPr>
        <w:t xml:space="preserve"> apply to</w:t>
      </w:r>
      <w:r w:rsidR="00404B35" w:rsidRPr="00FD0C93">
        <w:rPr>
          <w:bCs/>
        </w:rPr>
        <w:t xml:space="preserve"> items </w:t>
      </w:r>
      <w:r w:rsidR="00404B35" w:rsidRPr="00FD0C93">
        <w:rPr>
          <w:bCs/>
          <w:iCs/>
        </w:rPr>
        <w:t>39110, 39111, 39116, 39117, 39118 and 39119 to a</w:t>
      </w:r>
      <w:r w:rsidR="00A60A21" w:rsidRPr="00FD0C93">
        <w:rPr>
          <w:bCs/>
          <w:iCs/>
        </w:rPr>
        <w:t xml:space="preserve">llow for the claiming of </w:t>
      </w:r>
      <w:r w:rsidR="00F36675" w:rsidRPr="00FD0C93">
        <w:rPr>
          <w:bCs/>
          <w:iCs/>
        </w:rPr>
        <w:t>one or more o</w:t>
      </w:r>
      <w:r w:rsidR="00A60A21" w:rsidRPr="00FD0C93">
        <w:rPr>
          <w:bCs/>
          <w:iCs/>
        </w:rPr>
        <w:t xml:space="preserve">f </w:t>
      </w:r>
      <w:r w:rsidR="00E03695" w:rsidRPr="00FD0C93">
        <w:rPr>
          <w:bCs/>
          <w:iCs/>
        </w:rPr>
        <w:t xml:space="preserve">these </w:t>
      </w:r>
      <w:r w:rsidR="00A60A21" w:rsidRPr="00FD0C93">
        <w:rPr>
          <w:bCs/>
          <w:iCs/>
        </w:rPr>
        <w:t>items during a single attendance, also known by the clinical community as an ‘episode of care’</w:t>
      </w:r>
      <w:r w:rsidR="004D5496" w:rsidRPr="00FD0C93">
        <w:rPr>
          <w:bCs/>
          <w:iCs/>
        </w:rPr>
        <w:t>, where clinically relevant</w:t>
      </w:r>
      <w:r w:rsidR="00E03695" w:rsidRPr="00FD0C93">
        <w:rPr>
          <w:bCs/>
          <w:iCs/>
        </w:rPr>
        <w:t>.</w:t>
      </w:r>
      <w:r w:rsidR="008F27F9" w:rsidRPr="00FD0C93">
        <w:rPr>
          <w:bCs/>
          <w:iCs/>
        </w:rPr>
        <w:t xml:space="preserve"> T</w:t>
      </w:r>
      <w:r w:rsidR="00E03695" w:rsidRPr="00FD0C93">
        <w:rPr>
          <w:bCs/>
          <w:iCs/>
        </w:rPr>
        <w:t xml:space="preserve">he </w:t>
      </w:r>
      <w:r w:rsidR="00F36675" w:rsidRPr="00FD0C93">
        <w:rPr>
          <w:bCs/>
          <w:iCs/>
        </w:rPr>
        <w:t xml:space="preserve">new </w:t>
      </w:r>
      <w:r w:rsidR="00E03695" w:rsidRPr="00FD0C93">
        <w:rPr>
          <w:bCs/>
          <w:iCs/>
        </w:rPr>
        <w:t xml:space="preserve">claiming frequency restriction will </w:t>
      </w:r>
      <w:r w:rsidR="00E44605" w:rsidRPr="00FD0C93">
        <w:rPr>
          <w:bCs/>
          <w:iCs/>
        </w:rPr>
        <w:t xml:space="preserve">allow for </w:t>
      </w:r>
      <w:r w:rsidR="00F36675" w:rsidRPr="00FD0C93">
        <w:rPr>
          <w:bCs/>
          <w:iCs/>
        </w:rPr>
        <w:t xml:space="preserve">a maximum of </w:t>
      </w:r>
      <w:r w:rsidR="00A60A21" w:rsidRPr="00FD0C93">
        <w:rPr>
          <w:bCs/>
          <w:iCs/>
        </w:rPr>
        <w:t xml:space="preserve">three attendances </w:t>
      </w:r>
      <w:r w:rsidR="00E03695" w:rsidRPr="00FD0C93">
        <w:rPr>
          <w:bCs/>
          <w:iCs/>
        </w:rPr>
        <w:t xml:space="preserve">(or episodes) </w:t>
      </w:r>
      <w:r w:rsidR="00A60A21" w:rsidRPr="00FD0C93">
        <w:rPr>
          <w:bCs/>
          <w:iCs/>
        </w:rPr>
        <w:t>in a 12</w:t>
      </w:r>
      <w:r w:rsidR="00F124BD" w:rsidRPr="00FD0C93">
        <w:rPr>
          <w:bCs/>
          <w:iCs/>
        </w:rPr>
        <w:t xml:space="preserve"> </w:t>
      </w:r>
      <w:r w:rsidR="00A60A21" w:rsidRPr="00FD0C93">
        <w:rPr>
          <w:bCs/>
          <w:iCs/>
        </w:rPr>
        <w:t>month period.</w:t>
      </w:r>
    </w:p>
    <w:bookmarkEnd w:id="0"/>
    <w:p w14:paraId="2353EF84" w14:textId="77777777" w:rsidR="00F96441" w:rsidRPr="00FD0C93" w:rsidRDefault="00F96441" w:rsidP="00CD463E">
      <w:pPr>
        <w:rPr>
          <w:b/>
        </w:rPr>
      </w:pPr>
    </w:p>
    <w:p w14:paraId="4A29AFD9" w14:textId="68306307" w:rsidR="00B11BA1" w:rsidRPr="00FD0C93" w:rsidRDefault="00B11BA1" w:rsidP="00CD463E">
      <w:pPr>
        <w:rPr>
          <w:b/>
        </w:rPr>
      </w:pPr>
      <w:r w:rsidRPr="00FD0C93">
        <w:rPr>
          <w:b/>
        </w:rPr>
        <w:t>Consultation</w:t>
      </w:r>
    </w:p>
    <w:p w14:paraId="1E3EDBCD" w14:textId="5BB6BCF5" w:rsidR="00D7251E" w:rsidRPr="00FD0C93" w:rsidRDefault="00D7251E" w:rsidP="00D7251E">
      <w:pPr>
        <w:spacing w:after="60" w:line="280" w:lineRule="exact"/>
      </w:pPr>
      <w:bookmarkStart w:id="2" w:name="_Hlk97302864"/>
      <w:r w:rsidRPr="00FD0C93">
        <w:t xml:space="preserve">The Pain Management Clinical Committee was established in June 2018 and its report was endorsed by the Taskforce in December 2019. Consultation on implementation of the recommendations occurred through the Pain Management Implementation Liaison Group (ILG) which met in June 2020, as well as further consultation with ILG members and peak bodies in 2021. </w:t>
      </w:r>
    </w:p>
    <w:p w14:paraId="0C7BF679" w14:textId="77777777" w:rsidR="00D7251E" w:rsidRPr="00FD0C93" w:rsidRDefault="00D7251E" w:rsidP="005C7760">
      <w:pPr>
        <w:spacing w:after="60" w:line="280" w:lineRule="exact"/>
      </w:pPr>
    </w:p>
    <w:p w14:paraId="6C831924" w14:textId="3179BA17" w:rsidR="00D7251E" w:rsidRPr="00FD0C93" w:rsidRDefault="00D7251E" w:rsidP="00D7251E">
      <w:pPr>
        <w:spacing w:after="60" w:line="280" w:lineRule="exact"/>
      </w:pPr>
      <w:r w:rsidRPr="00FD0C93">
        <w:t xml:space="preserve">Groups consulted </w:t>
      </w:r>
      <w:r w:rsidR="005C7760" w:rsidRPr="00FD0C93">
        <w:t xml:space="preserve">as part of the </w:t>
      </w:r>
      <w:r w:rsidR="00F124BD" w:rsidRPr="00FD0C93">
        <w:t>implementation of the changes to the pain manage</w:t>
      </w:r>
      <w:r w:rsidR="006D6707" w:rsidRPr="00FD0C93">
        <w:t xml:space="preserve">ment </w:t>
      </w:r>
      <w:r w:rsidR="00F124BD" w:rsidRPr="00FD0C93">
        <w:t>items</w:t>
      </w:r>
      <w:r w:rsidR="002C591B" w:rsidRPr="00FD0C93">
        <w:t xml:space="preserve"> </w:t>
      </w:r>
      <w:r w:rsidR="00CB3317" w:rsidRPr="00FD0C93">
        <w:t xml:space="preserve">introduced on </w:t>
      </w:r>
      <w:r w:rsidR="002C591B" w:rsidRPr="00FD0C93">
        <w:t>1 March 2022</w:t>
      </w:r>
      <w:r w:rsidR="00F124BD" w:rsidRPr="00FD0C93">
        <w:t xml:space="preserve"> </w:t>
      </w:r>
      <w:r w:rsidRPr="00FD0C93">
        <w:t>include</w:t>
      </w:r>
      <w:r w:rsidR="005C7760" w:rsidRPr="00FD0C93">
        <w:t>d</w:t>
      </w:r>
      <w:r w:rsidRPr="00FD0C93">
        <w:t xml:space="preserve"> the Australian Pain Society, Royal Australasian College of Physicians, Neuro-modulation Society of Australia and New Zealand, Australian Society of Anaesthetists, Australian and New Zealand College of Anaesthetists, Australian Medical Association, Palliative Care Australia, Royal Australian College of General Practitioners, Private Healthcare Australia, Australian Private Hospital Association, and consumer representatives.</w:t>
      </w:r>
      <w:r w:rsidR="00CB3317" w:rsidRPr="00FD0C93">
        <w:t xml:space="preserve"> </w:t>
      </w:r>
    </w:p>
    <w:p w14:paraId="55E8B6B9" w14:textId="77777777" w:rsidR="00D7251E" w:rsidRPr="00FD0C93" w:rsidRDefault="00D7251E" w:rsidP="005C7760">
      <w:pPr>
        <w:spacing w:after="60" w:line="280" w:lineRule="exact"/>
      </w:pPr>
    </w:p>
    <w:p w14:paraId="3368FB29" w14:textId="531D8C8E" w:rsidR="00EF2412" w:rsidRPr="00FD0C93" w:rsidRDefault="00E44605" w:rsidP="00CD463E">
      <w:r w:rsidRPr="00FD0C93">
        <w:t xml:space="preserve">Stakeholders, including </w:t>
      </w:r>
      <w:r w:rsidR="005C7760" w:rsidRPr="00FD0C93">
        <w:t xml:space="preserve">the Faculty of Pain Medicine within the Australian and New Zealand College of Anaesthetists and </w:t>
      </w:r>
      <w:r w:rsidRPr="00FD0C93">
        <w:t xml:space="preserve">members of the </w:t>
      </w:r>
      <w:r w:rsidR="00D7251E" w:rsidRPr="00FD0C93">
        <w:t>ILG</w:t>
      </w:r>
      <w:r w:rsidR="005C7760" w:rsidRPr="00FD0C93">
        <w:t xml:space="preserve">, </w:t>
      </w:r>
      <w:r w:rsidR="00D7251E" w:rsidRPr="00FD0C93">
        <w:t xml:space="preserve">have </w:t>
      </w:r>
      <w:r w:rsidR="006D6707" w:rsidRPr="00FD0C93">
        <w:t xml:space="preserve">also </w:t>
      </w:r>
      <w:r w:rsidR="00770079" w:rsidRPr="00FD0C93">
        <w:t>been consulted on the</w:t>
      </w:r>
      <w:r w:rsidR="005E3E75" w:rsidRPr="00FD0C93">
        <w:t xml:space="preserve"> </w:t>
      </w:r>
      <w:r w:rsidR="006D6707" w:rsidRPr="00FD0C93">
        <w:t xml:space="preserve">current </w:t>
      </w:r>
      <w:r w:rsidR="005E3E75" w:rsidRPr="00FD0C93">
        <w:t>amendment</w:t>
      </w:r>
      <w:r w:rsidR="005C7760" w:rsidRPr="00FD0C93">
        <w:t xml:space="preserve"> </w:t>
      </w:r>
      <w:r w:rsidR="005E3E75" w:rsidRPr="00FD0C93">
        <w:t xml:space="preserve">to the </w:t>
      </w:r>
      <w:r w:rsidR="006D6707" w:rsidRPr="00FD0C93">
        <w:t xml:space="preserve">six </w:t>
      </w:r>
      <w:r w:rsidR="00770079" w:rsidRPr="00FD0C93">
        <w:t>items</w:t>
      </w:r>
      <w:r w:rsidR="002F7E7D" w:rsidRPr="00FD0C93">
        <w:t>. This consultation occurred in February and March 2022</w:t>
      </w:r>
      <w:r w:rsidR="00770079" w:rsidRPr="00FD0C93">
        <w:t xml:space="preserve">. </w:t>
      </w:r>
    </w:p>
    <w:bookmarkEnd w:id="2"/>
    <w:p w14:paraId="60213D62" w14:textId="77777777" w:rsidR="00E44605" w:rsidRPr="00FD0C93" w:rsidRDefault="00E44605" w:rsidP="00CD463E">
      <w:pPr>
        <w:rPr>
          <w:lang w:eastAsia="en-AU"/>
        </w:rPr>
      </w:pPr>
    </w:p>
    <w:p w14:paraId="04A8D003" w14:textId="1250736E" w:rsidR="00B11BA1" w:rsidRPr="00FD0C93" w:rsidRDefault="00B11BA1" w:rsidP="00CD463E">
      <w:pPr>
        <w:rPr>
          <w:lang w:eastAsia="en-AU"/>
        </w:rPr>
      </w:pPr>
      <w:r w:rsidRPr="00FD0C93">
        <w:rPr>
          <w:lang w:eastAsia="en-AU"/>
        </w:rPr>
        <w:t>Details of the Regulations</w:t>
      </w:r>
      <w:r w:rsidRPr="00FD0C93">
        <w:rPr>
          <w:i/>
          <w:lang w:eastAsia="en-AU"/>
        </w:rPr>
        <w:t xml:space="preserve"> </w:t>
      </w:r>
      <w:r w:rsidRPr="00FD0C93">
        <w:rPr>
          <w:lang w:eastAsia="en-AU"/>
        </w:rPr>
        <w:t xml:space="preserve">are set out in the </w:t>
      </w:r>
      <w:r w:rsidRPr="00FD0C93">
        <w:rPr>
          <w:u w:val="single"/>
          <w:lang w:eastAsia="en-AU"/>
        </w:rPr>
        <w:t>Attachment</w:t>
      </w:r>
      <w:r w:rsidRPr="00FD0C93">
        <w:rPr>
          <w:lang w:eastAsia="en-AU"/>
        </w:rPr>
        <w:t>.</w:t>
      </w:r>
    </w:p>
    <w:p w14:paraId="5B40A3FB" w14:textId="77777777" w:rsidR="00B11BA1" w:rsidRPr="00FD0C93" w:rsidRDefault="00B11BA1" w:rsidP="00CD463E">
      <w:pPr>
        <w:rPr>
          <w:lang w:eastAsia="en-AU"/>
        </w:rPr>
      </w:pPr>
    </w:p>
    <w:p w14:paraId="59DFCA6B" w14:textId="77777777" w:rsidR="00B11BA1" w:rsidRPr="00FD0C93" w:rsidRDefault="00B11BA1" w:rsidP="00CD463E">
      <w:pPr>
        <w:ind w:right="-341"/>
        <w:rPr>
          <w:lang w:eastAsia="en-AU"/>
        </w:rPr>
      </w:pPr>
      <w:r w:rsidRPr="00FD0C93">
        <w:rPr>
          <w:lang w:eastAsia="en-AU"/>
        </w:rPr>
        <w:t xml:space="preserve">The Regulations are a legislative instrument for the purposes of the </w:t>
      </w:r>
      <w:r w:rsidRPr="00FD0C93">
        <w:rPr>
          <w:i/>
          <w:iCs/>
          <w:lang w:eastAsia="en-AU"/>
        </w:rPr>
        <w:t>Legislation Act 2003</w:t>
      </w:r>
      <w:r w:rsidRPr="00FD0C93">
        <w:rPr>
          <w:lang w:eastAsia="en-AU"/>
        </w:rPr>
        <w:t>.</w:t>
      </w:r>
    </w:p>
    <w:p w14:paraId="5684B0D1" w14:textId="77777777" w:rsidR="006B105B" w:rsidRPr="00FD0C93" w:rsidRDefault="006B105B" w:rsidP="000B0B63">
      <w:pPr>
        <w:rPr>
          <w:lang w:eastAsia="en-AU"/>
        </w:rPr>
      </w:pPr>
    </w:p>
    <w:p w14:paraId="2D6959D2" w14:textId="782FDB66" w:rsidR="000B0B63" w:rsidRPr="00FD0C93" w:rsidRDefault="00AB16E6" w:rsidP="000B0B63">
      <w:pPr>
        <w:rPr>
          <w:lang w:eastAsia="en-AU"/>
        </w:rPr>
      </w:pPr>
      <w:r w:rsidRPr="00FD0C93">
        <w:rPr>
          <w:lang w:eastAsia="en-AU"/>
        </w:rPr>
        <w:t xml:space="preserve">The Regulations will </w:t>
      </w:r>
      <w:r w:rsidR="000B0B63" w:rsidRPr="00FD0C93">
        <w:rPr>
          <w:lang w:eastAsia="en-AU"/>
        </w:rPr>
        <w:t xml:space="preserve">commence </w:t>
      </w:r>
      <w:r w:rsidR="00CB6ECC" w:rsidRPr="00FD0C93">
        <w:rPr>
          <w:lang w:eastAsia="en-AU"/>
        </w:rPr>
        <w:t xml:space="preserve">the later of </w:t>
      </w:r>
      <w:r w:rsidR="00E44605" w:rsidRPr="00FD0C93">
        <w:rPr>
          <w:lang w:eastAsia="en-AU"/>
        </w:rPr>
        <w:t>11 April</w:t>
      </w:r>
      <w:r w:rsidR="000B0B63" w:rsidRPr="00FD0C93">
        <w:rPr>
          <w:lang w:eastAsia="en-AU"/>
        </w:rPr>
        <w:t xml:space="preserve"> 202</w:t>
      </w:r>
      <w:r w:rsidR="00711008" w:rsidRPr="00FD0C93">
        <w:rPr>
          <w:lang w:eastAsia="en-AU"/>
        </w:rPr>
        <w:t>2</w:t>
      </w:r>
      <w:r w:rsidR="00CB6ECC" w:rsidRPr="00FD0C93">
        <w:rPr>
          <w:lang w:eastAsia="en-AU"/>
        </w:rPr>
        <w:t xml:space="preserve"> or </w:t>
      </w:r>
      <w:r w:rsidR="00E30932" w:rsidRPr="00FD0C93">
        <w:rPr>
          <w:lang w:eastAsia="en-AU"/>
        </w:rPr>
        <w:t>the day</w:t>
      </w:r>
      <w:r w:rsidR="00CB6ECC" w:rsidRPr="00FD0C93">
        <w:rPr>
          <w:lang w:eastAsia="en-AU"/>
        </w:rPr>
        <w:t xml:space="preserve"> after registration</w:t>
      </w:r>
      <w:r w:rsidR="000B0B63" w:rsidRPr="00FD0C93">
        <w:rPr>
          <w:lang w:eastAsia="en-AU"/>
        </w:rPr>
        <w:t xml:space="preserve">. </w:t>
      </w:r>
    </w:p>
    <w:p w14:paraId="32F9E635" w14:textId="77777777" w:rsidR="00216587" w:rsidRPr="00FD0C93" w:rsidRDefault="00216587" w:rsidP="00CD463E">
      <w:pPr>
        <w:rPr>
          <w:lang w:eastAsia="en-AU"/>
        </w:rPr>
      </w:pPr>
    </w:p>
    <w:p w14:paraId="3CCAF9FC" w14:textId="77777777" w:rsidR="00216587" w:rsidRPr="00FD0C93" w:rsidRDefault="00216587" w:rsidP="00CD463E">
      <w:pPr>
        <w:rPr>
          <w:lang w:eastAsia="en-AU"/>
        </w:rPr>
      </w:pPr>
    </w:p>
    <w:p w14:paraId="706D0E90" w14:textId="77777777" w:rsidR="00B11BA1" w:rsidRPr="00FD0C93" w:rsidRDefault="00B11BA1" w:rsidP="00CD463E">
      <w:pPr>
        <w:tabs>
          <w:tab w:val="left" w:pos="4395"/>
          <w:tab w:val="left" w:pos="5670"/>
        </w:tabs>
        <w:ind w:left="284"/>
        <w:jc w:val="center"/>
        <w:rPr>
          <w:lang w:eastAsia="en-AU"/>
        </w:rPr>
      </w:pPr>
      <w:r w:rsidRPr="00FD0C93">
        <w:rPr>
          <w:lang w:eastAsia="en-AU"/>
        </w:rPr>
        <w:tab/>
      </w:r>
      <w:r w:rsidRPr="00FD0C93">
        <w:rPr>
          <w:u w:val="single"/>
          <w:lang w:eastAsia="en-AU"/>
        </w:rPr>
        <w:t>Authority</w:t>
      </w:r>
      <w:r w:rsidRPr="00FD0C93">
        <w:rPr>
          <w:lang w:eastAsia="en-AU"/>
        </w:rPr>
        <w:t xml:space="preserve">:  Subsection 133(1) of the </w:t>
      </w:r>
    </w:p>
    <w:p w14:paraId="22D4A473" w14:textId="77777777" w:rsidR="00B11BA1" w:rsidRPr="00FD0C93" w:rsidRDefault="00B11BA1" w:rsidP="00CD463E">
      <w:pPr>
        <w:tabs>
          <w:tab w:val="left" w:pos="4536"/>
        </w:tabs>
        <w:ind w:left="284"/>
        <w:jc w:val="center"/>
        <w:rPr>
          <w:lang w:eastAsia="en-AU"/>
        </w:rPr>
      </w:pPr>
      <w:r w:rsidRPr="00FD0C93">
        <w:rPr>
          <w:i/>
          <w:lang w:eastAsia="en-AU"/>
        </w:rPr>
        <w:t xml:space="preserve">                                                                                         Health Insurance Act 1973</w:t>
      </w:r>
      <w:r w:rsidRPr="00FD0C93">
        <w:rPr>
          <w:lang w:eastAsia="en-AU"/>
        </w:rPr>
        <w:t xml:space="preserve">  </w:t>
      </w:r>
    </w:p>
    <w:p w14:paraId="52B58640" w14:textId="77777777" w:rsidR="00B11BA1" w:rsidRPr="00FD0C93" w:rsidRDefault="00B11BA1" w:rsidP="00CD463E">
      <w:pPr>
        <w:rPr>
          <w:b/>
          <w:lang w:eastAsia="en-AU"/>
        </w:rPr>
      </w:pPr>
      <w:r w:rsidRPr="00FD0C93">
        <w:rPr>
          <w:b/>
          <w:lang w:eastAsia="en-AU"/>
        </w:rPr>
        <w:br w:type="page"/>
      </w:r>
      <w:r w:rsidRPr="00FD0C93">
        <w:rPr>
          <w:b/>
          <w:lang w:eastAsia="en-AU"/>
        </w:rPr>
        <w:lastRenderedPageBreak/>
        <w:t>ATTACHMENT</w:t>
      </w:r>
    </w:p>
    <w:p w14:paraId="18EC211D" w14:textId="77777777" w:rsidR="00B11BA1" w:rsidRPr="00FD0C93" w:rsidRDefault="00B11BA1" w:rsidP="00CD463E">
      <w:pPr>
        <w:ind w:left="284"/>
        <w:jc w:val="center"/>
        <w:rPr>
          <w:lang w:eastAsia="en-AU"/>
        </w:rPr>
      </w:pPr>
    </w:p>
    <w:p w14:paraId="10017A0B" w14:textId="3A1EC81B" w:rsidR="00FD2A08" w:rsidRPr="00FD0C93" w:rsidRDefault="00B11BA1" w:rsidP="00FD2A08">
      <w:pPr>
        <w:rPr>
          <w:b/>
          <w:i/>
          <w:iCs/>
        </w:rPr>
      </w:pPr>
      <w:r w:rsidRPr="00FD0C93">
        <w:rPr>
          <w:b/>
          <w:lang w:eastAsia="en-AU"/>
        </w:rPr>
        <w:t xml:space="preserve">Details of the </w:t>
      </w:r>
      <w:r w:rsidR="00060544" w:rsidRPr="00FD0C93">
        <w:rPr>
          <w:b/>
          <w:i/>
          <w:iCs/>
        </w:rPr>
        <w:t>Health Insurance (General Medical Services Table) Amendment (Pain Management Services) Regulations 2022</w:t>
      </w:r>
    </w:p>
    <w:p w14:paraId="00C31BFC" w14:textId="77777777" w:rsidR="00B11BA1" w:rsidRPr="00FD0C93" w:rsidRDefault="00B11BA1" w:rsidP="00CD463E">
      <w:pPr>
        <w:rPr>
          <w:b/>
          <w:i/>
          <w:lang w:eastAsia="en-AU"/>
        </w:rPr>
      </w:pPr>
    </w:p>
    <w:p w14:paraId="58154486" w14:textId="77777777" w:rsidR="00B11BA1" w:rsidRPr="00FD0C93" w:rsidRDefault="00B11BA1" w:rsidP="00CD463E">
      <w:pPr>
        <w:keepNext/>
        <w:tabs>
          <w:tab w:val="left" w:pos="284"/>
        </w:tabs>
        <w:outlineLvl w:val="0"/>
        <w:rPr>
          <w:u w:val="single"/>
          <w:lang w:eastAsia="en-AU"/>
        </w:rPr>
      </w:pPr>
      <w:r w:rsidRPr="00FD0C93">
        <w:rPr>
          <w:u w:val="single"/>
          <w:lang w:eastAsia="en-AU"/>
        </w:rPr>
        <w:t>Section 1 – Name</w:t>
      </w:r>
    </w:p>
    <w:p w14:paraId="42F2A870" w14:textId="77777777" w:rsidR="00B11BA1" w:rsidRPr="00FD0C93" w:rsidRDefault="00B11BA1" w:rsidP="00CD463E">
      <w:pPr>
        <w:keepNext/>
        <w:outlineLvl w:val="0"/>
        <w:rPr>
          <w:lang w:eastAsia="en-AU"/>
        </w:rPr>
      </w:pPr>
    </w:p>
    <w:p w14:paraId="7234BB3C" w14:textId="4384B8D8" w:rsidR="00B11BA1" w:rsidRPr="00FD0C93" w:rsidRDefault="00B11BA1" w:rsidP="00CD463E">
      <w:pPr>
        <w:keepNext/>
        <w:outlineLvl w:val="0"/>
        <w:rPr>
          <w:b/>
          <w:i/>
          <w:iCs/>
        </w:rPr>
      </w:pPr>
      <w:r w:rsidRPr="00FD0C93">
        <w:rPr>
          <w:lang w:eastAsia="en-AU"/>
        </w:rPr>
        <w:t>This section provides for the Regulations to be referred to as the</w:t>
      </w:r>
      <w:r w:rsidRPr="00FD0C93">
        <w:rPr>
          <w:i/>
          <w:lang w:eastAsia="en-AU"/>
        </w:rPr>
        <w:t xml:space="preserve"> </w:t>
      </w:r>
      <w:r w:rsidR="00060544" w:rsidRPr="00FD0C93">
        <w:rPr>
          <w:bCs/>
          <w:i/>
          <w:iCs/>
        </w:rPr>
        <w:t>Health Insurance (General Medical Services Table) Amendment (Pain Management Services) Regulations 2022</w:t>
      </w:r>
      <w:r w:rsidR="00E70FE8" w:rsidRPr="00FD0C93">
        <w:rPr>
          <w:i/>
        </w:rPr>
        <w:t>.</w:t>
      </w:r>
    </w:p>
    <w:p w14:paraId="6BFFD1DF" w14:textId="77777777" w:rsidR="00B11BA1" w:rsidRPr="00FD0C93" w:rsidRDefault="00B11BA1" w:rsidP="00CD463E">
      <w:pPr>
        <w:rPr>
          <w:lang w:eastAsia="en-AU"/>
        </w:rPr>
      </w:pPr>
    </w:p>
    <w:p w14:paraId="50235990" w14:textId="77777777" w:rsidR="00B11BA1" w:rsidRPr="00FD0C93" w:rsidRDefault="00B11BA1" w:rsidP="00CD463E">
      <w:pPr>
        <w:rPr>
          <w:u w:val="single"/>
          <w:lang w:eastAsia="en-AU"/>
        </w:rPr>
      </w:pPr>
      <w:r w:rsidRPr="00FD0C93">
        <w:rPr>
          <w:u w:val="single"/>
          <w:lang w:eastAsia="en-AU"/>
        </w:rPr>
        <w:t xml:space="preserve">Section 2 – Commencement </w:t>
      </w:r>
    </w:p>
    <w:p w14:paraId="772FC565" w14:textId="77777777" w:rsidR="00B11BA1" w:rsidRPr="00FD0C93" w:rsidRDefault="00B11BA1" w:rsidP="00CD463E">
      <w:pPr>
        <w:rPr>
          <w:lang w:eastAsia="en-AU"/>
        </w:rPr>
      </w:pPr>
    </w:p>
    <w:p w14:paraId="2DB9E76B" w14:textId="414E4394" w:rsidR="000C7CAF" w:rsidRPr="00FD0C93" w:rsidRDefault="00ED7FC9" w:rsidP="00CD463E">
      <w:pPr>
        <w:rPr>
          <w:lang w:eastAsia="en-AU"/>
        </w:rPr>
      </w:pPr>
      <w:r w:rsidRPr="00FD0C93">
        <w:rPr>
          <w:lang w:eastAsia="en-AU"/>
        </w:rPr>
        <w:t xml:space="preserve">This section provides </w:t>
      </w:r>
      <w:r w:rsidR="00AB16E6" w:rsidRPr="00FD0C93">
        <w:rPr>
          <w:lang w:eastAsia="en-AU"/>
        </w:rPr>
        <w:t xml:space="preserve">for </w:t>
      </w:r>
      <w:r w:rsidR="003D005B" w:rsidRPr="00FD0C93">
        <w:rPr>
          <w:lang w:eastAsia="en-AU"/>
        </w:rPr>
        <w:t xml:space="preserve">the </w:t>
      </w:r>
      <w:r w:rsidRPr="00FD0C93">
        <w:rPr>
          <w:lang w:eastAsia="en-AU"/>
        </w:rPr>
        <w:t xml:space="preserve">Regulations </w:t>
      </w:r>
      <w:r w:rsidR="00911889" w:rsidRPr="00FD0C93">
        <w:rPr>
          <w:lang w:eastAsia="en-AU"/>
        </w:rPr>
        <w:t>to</w:t>
      </w:r>
      <w:r w:rsidR="000C7CAF" w:rsidRPr="00FD0C93">
        <w:rPr>
          <w:lang w:eastAsia="en-AU"/>
        </w:rPr>
        <w:t xml:space="preserve"> commence</w:t>
      </w:r>
      <w:r w:rsidR="00CB6ECC" w:rsidRPr="00FD0C93">
        <w:rPr>
          <w:lang w:eastAsia="en-AU"/>
        </w:rPr>
        <w:t xml:space="preserve"> the later</w:t>
      </w:r>
      <w:r w:rsidR="000C7CAF" w:rsidRPr="00FD0C93">
        <w:rPr>
          <w:lang w:eastAsia="en-AU"/>
        </w:rPr>
        <w:t xml:space="preserve"> o</w:t>
      </w:r>
      <w:r w:rsidR="00CB6ECC" w:rsidRPr="00FD0C93">
        <w:rPr>
          <w:lang w:eastAsia="en-AU"/>
        </w:rPr>
        <w:t>f</w:t>
      </w:r>
      <w:r w:rsidR="000C7CAF" w:rsidRPr="00FD0C93">
        <w:rPr>
          <w:lang w:eastAsia="en-AU"/>
        </w:rPr>
        <w:t xml:space="preserve"> </w:t>
      </w:r>
      <w:r w:rsidR="00E44605" w:rsidRPr="00FD0C93">
        <w:rPr>
          <w:lang w:eastAsia="en-AU"/>
        </w:rPr>
        <w:t>11 April</w:t>
      </w:r>
      <w:r w:rsidR="000C7CAF" w:rsidRPr="00FD0C93">
        <w:rPr>
          <w:lang w:eastAsia="en-AU"/>
        </w:rPr>
        <w:t xml:space="preserve"> 2022</w:t>
      </w:r>
      <w:r w:rsidR="00CB6ECC" w:rsidRPr="00FD0C93">
        <w:rPr>
          <w:lang w:eastAsia="en-AU"/>
        </w:rPr>
        <w:t xml:space="preserve"> or </w:t>
      </w:r>
      <w:r w:rsidR="00E30932" w:rsidRPr="00FD0C93">
        <w:rPr>
          <w:lang w:eastAsia="en-AU"/>
        </w:rPr>
        <w:t>the day</w:t>
      </w:r>
      <w:r w:rsidR="00CB6ECC" w:rsidRPr="00FD0C93">
        <w:rPr>
          <w:lang w:eastAsia="en-AU"/>
        </w:rPr>
        <w:t xml:space="preserve"> after registration</w:t>
      </w:r>
      <w:r w:rsidR="00F15083" w:rsidRPr="00FD0C93">
        <w:rPr>
          <w:lang w:eastAsia="en-AU"/>
        </w:rPr>
        <w:t>.</w:t>
      </w:r>
    </w:p>
    <w:p w14:paraId="186B71CB" w14:textId="77777777" w:rsidR="00ED7FC9" w:rsidRPr="00FD0C93" w:rsidRDefault="00ED7FC9" w:rsidP="00CD463E">
      <w:pPr>
        <w:rPr>
          <w:lang w:eastAsia="en-AU"/>
        </w:rPr>
      </w:pPr>
    </w:p>
    <w:p w14:paraId="0AA8E986" w14:textId="77777777" w:rsidR="00B11BA1" w:rsidRPr="00FD0C93" w:rsidRDefault="00B11BA1" w:rsidP="00CD463E">
      <w:pPr>
        <w:rPr>
          <w:u w:val="single"/>
          <w:lang w:eastAsia="en-AU"/>
        </w:rPr>
      </w:pPr>
      <w:r w:rsidRPr="00FD0C93">
        <w:rPr>
          <w:u w:val="single"/>
          <w:lang w:eastAsia="en-AU"/>
        </w:rPr>
        <w:t xml:space="preserve">Section 3 – Authority  </w:t>
      </w:r>
    </w:p>
    <w:p w14:paraId="0D136F8E" w14:textId="77777777" w:rsidR="00B11BA1" w:rsidRPr="00FD0C93" w:rsidRDefault="00B11BA1" w:rsidP="00CD463E">
      <w:pPr>
        <w:rPr>
          <w:lang w:eastAsia="en-AU"/>
        </w:rPr>
      </w:pPr>
    </w:p>
    <w:p w14:paraId="3DAB6511" w14:textId="77777777" w:rsidR="00B11BA1" w:rsidRPr="00FD0C93" w:rsidRDefault="00B11BA1" w:rsidP="00CD463E">
      <w:pPr>
        <w:ind w:right="-483"/>
        <w:rPr>
          <w:lang w:eastAsia="en-AU"/>
        </w:rPr>
      </w:pPr>
      <w:r w:rsidRPr="00FD0C93">
        <w:rPr>
          <w:lang w:eastAsia="en-AU"/>
        </w:rPr>
        <w:t xml:space="preserve">This section provides that the Regulations are made under the </w:t>
      </w:r>
      <w:r w:rsidRPr="00FD0C93">
        <w:rPr>
          <w:i/>
          <w:lang w:eastAsia="en-AU"/>
        </w:rPr>
        <w:t>Health Insurance Act 1973</w:t>
      </w:r>
      <w:r w:rsidRPr="00FD0C93">
        <w:rPr>
          <w:lang w:eastAsia="en-AU"/>
        </w:rPr>
        <w:t>.</w:t>
      </w:r>
    </w:p>
    <w:p w14:paraId="735105C7" w14:textId="77777777" w:rsidR="00B11BA1" w:rsidRPr="00FD0C93" w:rsidRDefault="00B11BA1" w:rsidP="00CD463E">
      <w:pPr>
        <w:tabs>
          <w:tab w:val="num" w:pos="1080"/>
        </w:tabs>
        <w:rPr>
          <w:lang w:eastAsia="en-AU"/>
        </w:rPr>
      </w:pPr>
    </w:p>
    <w:p w14:paraId="0657A3E0" w14:textId="77777777" w:rsidR="00B11BA1" w:rsidRPr="00FD0C93" w:rsidRDefault="00B11BA1" w:rsidP="00CD463E">
      <w:pPr>
        <w:tabs>
          <w:tab w:val="num" w:pos="1080"/>
        </w:tabs>
        <w:rPr>
          <w:u w:val="single"/>
          <w:lang w:eastAsia="en-AU"/>
        </w:rPr>
      </w:pPr>
      <w:r w:rsidRPr="00FD0C93">
        <w:rPr>
          <w:u w:val="single"/>
          <w:lang w:eastAsia="en-AU"/>
        </w:rPr>
        <w:t>Section 4 – Schedules</w:t>
      </w:r>
    </w:p>
    <w:p w14:paraId="6B367029" w14:textId="77777777" w:rsidR="00B11BA1" w:rsidRPr="00FD0C93" w:rsidRDefault="00B11BA1" w:rsidP="00CD463E">
      <w:pPr>
        <w:tabs>
          <w:tab w:val="num" w:pos="1080"/>
        </w:tabs>
        <w:rPr>
          <w:lang w:eastAsia="en-AU"/>
        </w:rPr>
      </w:pPr>
    </w:p>
    <w:p w14:paraId="2279C00B" w14:textId="77777777" w:rsidR="00B11BA1" w:rsidRPr="00FD0C93" w:rsidRDefault="00B11BA1" w:rsidP="00CD463E">
      <w:pPr>
        <w:tabs>
          <w:tab w:val="num" w:pos="1080"/>
        </w:tabs>
        <w:rPr>
          <w:lang w:eastAsia="en-AU"/>
        </w:rPr>
      </w:pPr>
      <w:r w:rsidRPr="00FD0C93">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FD0C93" w:rsidRDefault="00B11BA1" w:rsidP="00CD463E">
      <w:pPr>
        <w:tabs>
          <w:tab w:val="num" w:pos="1080"/>
        </w:tabs>
        <w:rPr>
          <w:lang w:eastAsia="en-AU"/>
        </w:rPr>
      </w:pPr>
    </w:p>
    <w:p w14:paraId="4932D6F8" w14:textId="53691556" w:rsidR="00B11BA1" w:rsidRPr="00FD0C93" w:rsidRDefault="00B11BA1" w:rsidP="00CD463E">
      <w:pPr>
        <w:rPr>
          <w:u w:val="single"/>
        </w:rPr>
      </w:pPr>
      <w:r w:rsidRPr="00FD0C93">
        <w:rPr>
          <w:u w:val="single"/>
        </w:rPr>
        <w:t xml:space="preserve">Schedule 1 – </w:t>
      </w:r>
      <w:r w:rsidR="001F550F" w:rsidRPr="00FD0C93">
        <w:rPr>
          <w:u w:val="single"/>
        </w:rPr>
        <w:t>Amendments</w:t>
      </w:r>
    </w:p>
    <w:p w14:paraId="0164588A" w14:textId="77777777" w:rsidR="00326A42" w:rsidRPr="00FD0C93" w:rsidRDefault="00326A42" w:rsidP="00CD463E"/>
    <w:p w14:paraId="0506A675" w14:textId="4E61220F" w:rsidR="00326A42" w:rsidRPr="00FD0C93" w:rsidRDefault="00326A42" w:rsidP="00326A42">
      <w:pPr>
        <w:ind w:right="91"/>
      </w:pPr>
      <w:r w:rsidRPr="00FD0C93">
        <w:rPr>
          <w:b/>
        </w:rPr>
        <w:t>Amendment item</w:t>
      </w:r>
      <w:r w:rsidR="002C591B" w:rsidRPr="00FD0C93">
        <w:rPr>
          <w:b/>
        </w:rPr>
        <w:t>s</w:t>
      </w:r>
      <w:r w:rsidRPr="00FD0C93">
        <w:rPr>
          <w:b/>
        </w:rPr>
        <w:t xml:space="preserve"> [1]</w:t>
      </w:r>
      <w:r w:rsidR="002C591B" w:rsidRPr="00FD0C93">
        <w:rPr>
          <w:b/>
        </w:rPr>
        <w:t xml:space="preserve"> to [6]</w:t>
      </w:r>
      <w:r w:rsidRPr="00FD0C93">
        <w:rPr>
          <w:b/>
        </w:rPr>
        <w:t xml:space="preserve"> – </w:t>
      </w:r>
      <w:r w:rsidR="000240FC" w:rsidRPr="00FD0C93">
        <w:rPr>
          <w:b/>
        </w:rPr>
        <w:t>Schedule 1</w:t>
      </w:r>
      <w:r w:rsidRPr="00FD0C93">
        <w:rPr>
          <w:b/>
        </w:rPr>
        <w:t xml:space="preserve"> </w:t>
      </w:r>
      <w:bookmarkStart w:id="3" w:name="_Hlk97111582"/>
      <w:r w:rsidRPr="00FD0C93">
        <w:rPr>
          <w:b/>
        </w:rPr>
        <w:t>(</w:t>
      </w:r>
      <w:r w:rsidR="00212673" w:rsidRPr="00FD0C93">
        <w:rPr>
          <w:b/>
        </w:rPr>
        <w:t>items 39110, 39111, 39116, 39117, 39118 and 39119</w:t>
      </w:r>
      <w:bookmarkEnd w:id="3"/>
      <w:r w:rsidR="00212673" w:rsidRPr="00FD0C93">
        <w:rPr>
          <w:b/>
        </w:rPr>
        <w:t>, column 2</w:t>
      </w:r>
      <w:r w:rsidRPr="00FD0C93">
        <w:rPr>
          <w:b/>
        </w:rPr>
        <w:t>)</w:t>
      </w:r>
    </w:p>
    <w:p w14:paraId="6B2C7958" w14:textId="77777777" w:rsidR="00326A42" w:rsidRPr="00FD0C93" w:rsidRDefault="00326A42" w:rsidP="00326A42"/>
    <w:p w14:paraId="460A435B" w14:textId="21D5A360" w:rsidR="00212673" w:rsidRPr="00FD0C93" w:rsidRDefault="00212673" w:rsidP="00326A42">
      <w:r w:rsidRPr="00FD0C93">
        <w:rPr>
          <w:b/>
          <w:bCs/>
        </w:rPr>
        <w:t>Amendment item</w:t>
      </w:r>
      <w:r w:rsidR="00E30932" w:rsidRPr="00FD0C93">
        <w:rPr>
          <w:b/>
          <w:bCs/>
        </w:rPr>
        <w:t>s</w:t>
      </w:r>
      <w:r w:rsidRPr="00FD0C93">
        <w:rPr>
          <w:b/>
          <w:bCs/>
        </w:rPr>
        <w:t xml:space="preserve"> [1]</w:t>
      </w:r>
      <w:r w:rsidR="00E30932" w:rsidRPr="00FD0C93">
        <w:rPr>
          <w:b/>
          <w:bCs/>
        </w:rPr>
        <w:t xml:space="preserve"> to [6]</w:t>
      </w:r>
      <w:r w:rsidRPr="00FD0C93">
        <w:rPr>
          <w:b/>
          <w:bCs/>
        </w:rPr>
        <w:t xml:space="preserve"> </w:t>
      </w:r>
      <w:r w:rsidRPr="00FD0C93">
        <w:t xml:space="preserve">amend the </w:t>
      </w:r>
      <w:r w:rsidR="00601401" w:rsidRPr="00FD0C93">
        <w:t xml:space="preserve">frequency </w:t>
      </w:r>
      <w:r w:rsidRPr="00FD0C93">
        <w:t xml:space="preserve">claiming </w:t>
      </w:r>
      <w:r w:rsidR="00601401" w:rsidRPr="00FD0C93">
        <w:t xml:space="preserve">restriction that currently applies to </w:t>
      </w:r>
      <w:r w:rsidRPr="00FD0C93">
        <w:t>six pain management items (</w:t>
      </w:r>
      <w:r w:rsidRPr="00FD0C93">
        <w:rPr>
          <w:bCs/>
        </w:rPr>
        <w:t>items 39110, 39111, 39116, 39117, 39118 and 39119)</w:t>
      </w:r>
      <w:r w:rsidR="001C0016" w:rsidRPr="00FD0C93">
        <w:rPr>
          <w:bCs/>
        </w:rPr>
        <w:t>.</w:t>
      </w:r>
      <w:r w:rsidRPr="00FD0C93">
        <w:rPr>
          <w:bCs/>
        </w:rPr>
        <w:t xml:space="preserve"> Under this change, </w:t>
      </w:r>
      <w:r w:rsidR="00601401" w:rsidRPr="00FD0C93">
        <w:t>any of these items</w:t>
      </w:r>
      <w:r w:rsidRPr="00FD0C93">
        <w:t xml:space="preserve"> may be claimed </w:t>
      </w:r>
      <w:r w:rsidR="00F124BD" w:rsidRPr="00FD0C93">
        <w:t xml:space="preserve">one or more times </w:t>
      </w:r>
      <w:r w:rsidRPr="00FD0C93">
        <w:t>during a single attendance (</w:t>
      </w:r>
      <w:r w:rsidR="00F124BD" w:rsidRPr="00FD0C93">
        <w:t>also known</w:t>
      </w:r>
      <w:r w:rsidRPr="00FD0C93">
        <w:t xml:space="preserve"> </w:t>
      </w:r>
      <w:r w:rsidR="00F124BD" w:rsidRPr="00FD0C93">
        <w:t xml:space="preserve">an </w:t>
      </w:r>
      <w:r w:rsidRPr="00FD0C93">
        <w:t xml:space="preserve">“episode of care” in the clinical community), </w:t>
      </w:r>
      <w:r w:rsidR="00F124BD" w:rsidRPr="00FD0C93">
        <w:t xml:space="preserve">where clinically relevant – to a </w:t>
      </w:r>
      <w:r w:rsidR="005E3E75" w:rsidRPr="00FD0C93">
        <w:t xml:space="preserve">maximum of </w:t>
      </w:r>
      <w:r w:rsidRPr="00FD0C93">
        <w:t xml:space="preserve">three attendances </w:t>
      </w:r>
      <w:r w:rsidR="00770079" w:rsidRPr="00FD0C93">
        <w:t xml:space="preserve">(or episodes) </w:t>
      </w:r>
      <w:r w:rsidRPr="00FD0C93">
        <w:t xml:space="preserve">over a 12 month period. </w:t>
      </w:r>
    </w:p>
    <w:p w14:paraId="78508D2F" w14:textId="454542B4" w:rsidR="00212673" w:rsidRPr="00FD0C93" w:rsidRDefault="00212673" w:rsidP="00326A42"/>
    <w:p w14:paraId="0D1CCC55" w14:textId="5BC6302D" w:rsidR="00212673" w:rsidRPr="00FD0C93" w:rsidRDefault="00212673" w:rsidP="00326A42"/>
    <w:p w14:paraId="6DF8D00A" w14:textId="77777777" w:rsidR="00212673" w:rsidRPr="00FD0C93" w:rsidRDefault="00212673" w:rsidP="00326A42"/>
    <w:p w14:paraId="4AEE102F" w14:textId="73E6558A" w:rsidR="00FA5B89" w:rsidRPr="00FD0C93" w:rsidRDefault="00FA5B89">
      <w:pPr>
        <w:rPr>
          <w:bCs/>
          <w:lang w:eastAsia="en-AU"/>
        </w:rPr>
      </w:pPr>
      <w:r w:rsidRPr="00FD0C93">
        <w:rPr>
          <w:bCs/>
          <w:lang w:eastAsia="en-AU"/>
        </w:rPr>
        <w:br w:type="page"/>
      </w:r>
    </w:p>
    <w:p w14:paraId="7BB889CA" w14:textId="6249F94E" w:rsidR="00B11BA1" w:rsidRPr="00FD0C93" w:rsidRDefault="00B11BA1" w:rsidP="00CD463E">
      <w:pPr>
        <w:spacing w:before="120" w:after="120"/>
        <w:jc w:val="center"/>
        <w:rPr>
          <w:b/>
          <w:lang w:eastAsia="en-AU"/>
        </w:rPr>
      </w:pPr>
      <w:r w:rsidRPr="00FD0C93">
        <w:rPr>
          <w:b/>
          <w:lang w:eastAsia="en-AU"/>
        </w:rPr>
        <w:lastRenderedPageBreak/>
        <w:t>Statement of Compatibility with Human Rights</w:t>
      </w:r>
    </w:p>
    <w:p w14:paraId="718B00FE" w14:textId="77777777" w:rsidR="00B11BA1" w:rsidRPr="00FD0C93" w:rsidRDefault="00B11BA1" w:rsidP="00CD463E">
      <w:pPr>
        <w:spacing w:before="120" w:after="120"/>
        <w:jc w:val="center"/>
        <w:rPr>
          <w:lang w:eastAsia="en-AU"/>
        </w:rPr>
      </w:pPr>
      <w:r w:rsidRPr="00FD0C93">
        <w:rPr>
          <w:i/>
          <w:lang w:eastAsia="en-AU"/>
        </w:rPr>
        <w:t>Prepared in accordance with Part 3 of the Human Rights (Parliamentary Scrutiny) Act 2011</w:t>
      </w:r>
    </w:p>
    <w:p w14:paraId="1ED4113F" w14:textId="500E2D30" w:rsidR="00FA5B89" w:rsidRPr="00FD0C93" w:rsidRDefault="00E44605" w:rsidP="00CD463E">
      <w:pPr>
        <w:tabs>
          <w:tab w:val="left" w:pos="1418"/>
        </w:tabs>
        <w:ind w:left="851"/>
        <w:jc w:val="center"/>
        <w:rPr>
          <w:b/>
          <w:bCs/>
          <w:i/>
          <w:iCs/>
        </w:rPr>
      </w:pPr>
      <w:r w:rsidRPr="00FD0C93">
        <w:rPr>
          <w:b/>
          <w:bCs/>
          <w:i/>
          <w:iCs/>
        </w:rPr>
        <w:t>Health Insurance (General Medical Services Table) Amendment (Pain Management Services) Regulations 2022</w:t>
      </w:r>
    </w:p>
    <w:p w14:paraId="63401073" w14:textId="77777777" w:rsidR="00043DBE" w:rsidRPr="00FD0C93" w:rsidRDefault="00043DBE" w:rsidP="00CD463E">
      <w:pPr>
        <w:tabs>
          <w:tab w:val="left" w:pos="1418"/>
        </w:tabs>
        <w:ind w:left="851"/>
        <w:jc w:val="center"/>
        <w:rPr>
          <w:b/>
          <w:i/>
          <w:lang w:eastAsia="en-AU"/>
        </w:rPr>
      </w:pPr>
    </w:p>
    <w:p w14:paraId="37ECD06A" w14:textId="77777777" w:rsidR="00B11BA1" w:rsidRPr="00FD0C93" w:rsidRDefault="00B11BA1" w:rsidP="00474498">
      <w:pPr>
        <w:jc w:val="center"/>
        <w:rPr>
          <w:lang w:eastAsia="en-AU"/>
        </w:rPr>
      </w:pPr>
      <w:r w:rsidRPr="00FD0C93">
        <w:rPr>
          <w:lang w:eastAsia="en-AU"/>
        </w:rPr>
        <w:t xml:space="preserve">This Regulation is compatible with the human rights and freedoms recognised or declared in the international instruments listed in section 3 of the </w:t>
      </w:r>
      <w:r w:rsidRPr="00FD0C93">
        <w:rPr>
          <w:i/>
          <w:lang w:eastAsia="en-AU"/>
        </w:rPr>
        <w:t>Human Rights (Parliamentary Scrutiny) Act 2011</w:t>
      </w:r>
      <w:r w:rsidRPr="00FD0C93">
        <w:rPr>
          <w:lang w:eastAsia="en-AU"/>
        </w:rPr>
        <w:t>.</w:t>
      </w:r>
    </w:p>
    <w:p w14:paraId="130437E5" w14:textId="77777777" w:rsidR="00B11BA1" w:rsidRPr="00FD0C93" w:rsidRDefault="00B11BA1" w:rsidP="00CD463E">
      <w:pPr>
        <w:spacing w:before="120" w:after="120"/>
        <w:ind w:right="-483"/>
        <w:rPr>
          <w:b/>
          <w:lang w:eastAsia="en-AU"/>
        </w:rPr>
      </w:pPr>
      <w:r w:rsidRPr="00FD0C93">
        <w:rPr>
          <w:b/>
          <w:lang w:eastAsia="en-AU"/>
        </w:rPr>
        <w:t>Overview of the Disallowable Legislative Instrument</w:t>
      </w:r>
    </w:p>
    <w:p w14:paraId="40A3B1B1" w14:textId="77777777" w:rsidR="0030257E" w:rsidRPr="00FD0C93" w:rsidRDefault="0030257E" w:rsidP="0030257E">
      <w:pPr>
        <w:rPr>
          <w:b/>
          <w:i/>
        </w:rPr>
      </w:pPr>
      <w:r w:rsidRPr="00FD0C93">
        <w:t xml:space="preserve">The </w:t>
      </w:r>
      <w:r w:rsidRPr="00FD0C93">
        <w:rPr>
          <w:bCs/>
          <w:i/>
        </w:rPr>
        <w:t>Health Insurance (General Medical Services Table) Amendment (Pain Management Services) Regulations 2022</w:t>
      </w:r>
      <w:r w:rsidRPr="00FD0C93">
        <w:rPr>
          <w:i/>
        </w:rPr>
        <w:t xml:space="preserve"> </w:t>
      </w:r>
      <w:r w:rsidRPr="00FD0C93">
        <w:rPr>
          <w:iCs/>
        </w:rPr>
        <w:t xml:space="preserve">(the </w:t>
      </w:r>
      <w:r w:rsidRPr="00FD0C93">
        <w:t>Regulations</w:t>
      </w:r>
      <w:r w:rsidRPr="00FD0C93">
        <w:rPr>
          <w:iCs/>
        </w:rPr>
        <w:t>) amend six pain management items listed in the GMST to clarify the claiming arrangements for these services. This amendment clarifies the policy position of these items and more accurately reflects recommendation made by the MBS Review Taskforce (the Taskforce) regarding these pain management services.</w:t>
      </w:r>
    </w:p>
    <w:p w14:paraId="62E4B7C7" w14:textId="77777777" w:rsidR="0030257E" w:rsidRPr="00FD0C93" w:rsidRDefault="0030257E" w:rsidP="0030257E">
      <w:pPr>
        <w:rPr>
          <w:b/>
          <w:iCs/>
        </w:rPr>
      </w:pPr>
    </w:p>
    <w:p w14:paraId="7B6B3D62" w14:textId="77777777" w:rsidR="0030257E" w:rsidRPr="00FD0C93" w:rsidRDefault="0030257E" w:rsidP="0030257E">
      <w:pPr>
        <w:rPr>
          <w:bCs/>
        </w:rPr>
      </w:pPr>
      <w:r w:rsidRPr="00FD0C93">
        <w:rPr>
          <w:bCs/>
          <w:iCs/>
        </w:rPr>
        <w:t xml:space="preserve">Pain management items 39110, 39111, 39116, 39117, 39118 and 39119 for percutaneous zygapophyseal joint denervation were </w:t>
      </w:r>
      <w:r w:rsidRPr="00FD0C93">
        <w:rPr>
          <w:bCs/>
        </w:rPr>
        <w:t xml:space="preserve">announced by Government </w:t>
      </w:r>
      <w:r w:rsidRPr="00FD0C93">
        <w:rPr>
          <w:color w:val="000000"/>
          <w:shd w:val="clear" w:color="auto" w:fill="FFFFFF"/>
        </w:rPr>
        <w:t>in the 2021-22 Budget under the </w:t>
      </w:r>
      <w:r w:rsidRPr="00FD0C93">
        <w:rPr>
          <w:i/>
          <w:iCs/>
          <w:color w:val="000000"/>
          <w:shd w:val="clear" w:color="auto" w:fill="FFFFFF"/>
        </w:rPr>
        <w:t>Guaranteeing Medicare — changes to the Medicare Benefits Schedule</w:t>
      </w:r>
      <w:r w:rsidRPr="00FD0C93">
        <w:rPr>
          <w:color w:val="000000"/>
          <w:shd w:val="clear" w:color="auto" w:fill="FFFFFF"/>
        </w:rPr>
        <w:t> measure and</w:t>
      </w:r>
      <w:r w:rsidRPr="00FD0C93">
        <w:rPr>
          <w:bCs/>
          <w:iCs/>
        </w:rPr>
        <w:t xml:space="preserve"> implemented through the </w:t>
      </w:r>
      <w:r w:rsidRPr="00FD0C93">
        <w:rPr>
          <w:bCs/>
          <w:i/>
          <w:iCs/>
        </w:rPr>
        <w:t>Health Insurance Legislation Amendment (2021 Measures No. 4) Regulations 2021</w:t>
      </w:r>
      <w:r w:rsidRPr="00FD0C93">
        <w:rPr>
          <w:bCs/>
        </w:rPr>
        <w:t xml:space="preserve"> (the 1 March 2022 Regulations)</w:t>
      </w:r>
      <w:r w:rsidRPr="00FD0C93">
        <w:rPr>
          <w:color w:val="000000"/>
          <w:shd w:val="clear" w:color="auto" w:fill="FFFFFF"/>
        </w:rPr>
        <w:t>.</w:t>
      </w:r>
      <w:r w:rsidRPr="00FD0C93">
        <w:rPr>
          <w:bCs/>
        </w:rPr>
        <w:t xml:space="preserve"> </w:t>
      </w:r>
    </w:p>
    <w:p w14:paraId="5C1ECE9D" w14:textId="77777777" w:rsidR="0030257E" w:rsidRPr="00FD0C93" w:rsidRDefault="0030257E" w:rsidP="0030257E">
      <w:pPr>
        <w:rPr>
          <w:bCs/>
        </w:rPr>
      </w:pPr>
    </w:p>
    <w:p w14:paraId="24E93A2C" w14:textId="77777777" w:rsidR="0030257E" w:rsidRPr="00FD0C93" w:rsidRDefault="0030257E" w:rsidP="0030257E">
      <w:pPr>
        <w:rPr>
          <w:bCs/>
        </w:rPr>
      </w:pPr>
      <w:r w:rsidRPr="00FD0C93">
        <w:rPr>
          <w:bCs/>
        </w:rPr>
        <w:t xml:space="preserve">These items are differentiated by the left and right sides of the body and different spinal regions, as recommended by the Taskforce. Each of the six items was implemented with a restriction of three services in any given 12 month period. </w:t>
      </w:r>
    </w:p>
    <w:p w14:paraId="22697B5C" w14:textId="77777777" w:rsidR="0030257E" w:rsidRPr="00FD0C93" w:rsidRDefault="0030257E" w:rsidP="0030257E">
      <w:pPr>
        <w:rPr>
          <w:bCs/>
        </w:rPr>
      </w:pPr>
    </w:p>
    <w:p w14:paraId="43AE35F0" w14:textId="77777777" w:rsidR="0030257E" w:rsidRPr="00FD0C93" w:rsidRDefault="0030257E" w:rsidP="0030257E">
      <w:pPr>
        <w:rPr>
          <w:bCs/>
        </w:rPr>
      </w:pPr>
      <w:r w:rsidRPr="00FD0C93">
        <w:rPr>
          <w:bCs/>
        </w:rPr>
        <w:t xml:space="preserve">The Department has subsequently received feedback from the Faculty of Pain Medicine within the Australian and New Zealand College of Anaesthetists, pain management specialists and other stakeholders that the frequency claiming restriction introduced in the 1 March 2022 Regulations does not fully align with the intent of the Taskforce’s recommendation, and would have the practical effect of preventing some patients from receiving clinically appropriate pain treatment, contrary to current clinical practice.  </w:t>
      </w:r>
    </w:p>
    <w:p w14:paraId="0D5816E6" w14:textId="77777777" w:rsidR="0030257E" w:rsidRPr="00FD0C93" w:rsidRDefault="0030257E" w:rsidP="0030257E">
      <w:pPr>
        <w:rPr>
          <w:bCs/>
        </w:rPr>
      </w:pPr>
    </w:p>
    <w:p w14:paraId="07733FD0" w14:textId="77777777" w:rsidR="0030257E" w:rsidRPr="00FD0C93" w:rsidRDefault="0030257E" w:rsidP="0030257E">
      <w:r w:rsidRPr="00FD0C93">
        <w:rPr>
          <w:bCs/>
        </w:rPr>
        <w:t xml:space="preserve">The Regulations amend the claiming frequency restrictions that currently apply to items </w:t>
      </w:r>
      <w:r w:rsidRPr="00FD0C93">
        <w:rPr>
          <w:bCs/>
          <w:iCs/>
        </w:rPr>
        <w:t>39110, 39111, 39116, 39117, 39118 and 39119 to allow for the claiming of one or more of these items during a single attendance, also known by the clinical community as an ‘episode of care’, where clinically relevant. The new claiming frequency restriction will allow for a maximum of three attendances (or episodes) in a 12 month period.</w:t>
      </w:r>
    </w:p>
    <w:p w14:paraId="2839A62B" w14:textId="77777777" w:rsidR="00FD0C93" w:rsidRPr="00FD0C93" w:rsidRDefault="00FD0C93">
      <w:pPr>
        <w:rPr>
          <w:b/>
          <w:lang w:eastAsia="en-AU"/>
        </w:rPr>
      </w:pPr>
      <w:r w:rsidRPr="00FD0C93">
        <w:rPr>
          <w:b/>
          <w:lang w:eastAsia="en-AU"/>
        </w:rPr>
        <w:br w:type="page"/>
      </w:r>
    </w:p>
    <w:p w14:paraId="7705A45E" w14:textId="4733C5D7" w:rsidR="00B11BA1" w:rsidRPr="00FD0C93" w:rsidRDefault="00B11BA1" w:rsidP="00CD463E">
      <w:pPr>
        <w:spacing w:before="120" w:after="120"/>
        <w:rPr>
          <w:b/>
          <w:lang w:eastAsia="en-AU"/>
        </w:rPr>
      </w:pPr>
      <w:r w:rsidRPr="00FD0C93">
        <w:rPr>
          <w:b/>
          <w:lang w:eastAsia="en-AU"/>
        </w:rPr>
        <w:lastRenderedPageBreak/>
        <w:t>Human rights implications</w:t>
      </w:r>
    </w:p>
    <w:p w14:paraId="2E7F94EC" w14:textId="77777777" w:rsidR="00B11BA1" w:rsidRPr="00FD0C93" w:rsidRDefault="00B11BA1" w:rsidP="00CD463E">
      <w:pPr>
        <w:spacing w:before="120" w:after="120"/>
        <w:rPr>
          <w:lang w:eastAsia="en-AU"/>
        </w:rPr>
      </w:pPr>
      <w:r w:rsidRPr="00FD0C93">
        <w:rPr>
          <w:lang w:eastAsia="en-AU"/>
        </w:rPr>
        <w:t xml:space="preserve">The Regulations engage Articles 9 and 12 of the International Covenant on Economic Social and Cultural Rights (ICESCR), specifically the rights to health and social security. </w:t>
      </w:r>
    </w:p>
    <w:p w14:paraId="6F80F56D" w14:textId="6B63C243" w:rsidR="00B11BA1" w:rsidRPr="00FD0C93" w:rsidRDefault="00B11BA1" w:rsidP="00CD463E">
      <w:pPr>
        <w:spacing w:before="120" w:after="120"/>
        <w:rPr>
          <w:i/>
          <w:lang w:eastAsia="en-AU"/>
        </w:rPr>
      </w:pPr>
      <w:r w:rsidRPr="00FD0C93">
        <w:rPr>
          <w:i/>
          <w:lang w:eastAsia="en-AU"/>
        </w:rPr>
        <w:t>The Right to Health</w:t>
      </w:r>
    </w:p>
    <w:p w14:paraId="415452AE" w14:textId="77777777" w:rsidR="00B11BA1" w:rsidRPr="00FD0C93" w:rsidRDefault="00B11BA1" w:rsidP="00CD463E">
      <w:pPr>
        <w:spacing w:before="120" w:after="120"/>
        <w:rPr>
          <w:lang w:eastAsia="en-AU"/>
        </w:rPr>
      </w:pPr>
      <w:r w:rsidRPr="00FD0C93">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25A073C" w14:textId="3DA63596" w:rsidR="00F04604" w:rsidRPr="00FD0C93" w:rsidRDefault="00B11BA1" w:rsidP="00AC0078">
      <w:pPr>
        <w:spacing w:before="120" w:after="120"/>
        <w:rPr>
          <w:i/>
          <w:lang w:eastAsia="en-AU"/>
        </w:rPr>
      </w:pPr>
      <w:r w:rsidRPr="00FD0C93">
        <w:rPr>
          <w:lang w:eastAsia="en-AU"/>
        </w:rPr>
        <w:t xml:space="preserve">The Committee reports that the </w:t>
      </w:r>
      <w:r w:rsidRPr="00FD0C93">
        <w:rPr>
          <w:i/>
          <w:lang w:eastAsia="en-AU"/>
        </w:rPr>
        <w:t>‘highest attainable standard of health’</w:t>
      </w:r>
      <w:r w:rsidRPr="00FD0C93">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7F44CD7" w14:textId="04FB9399" w:rsidR="00B11BA1" w:rsidRPr="00FD0C93" w:rsidRDefault="00B11BA1" w:rsidP="00CD463E">
      <w:pPr>
        <w:spacing w:before="120" w:after="120"/>
        <w:rPr>
          <w:i/>
          <w:lang w:eastAsia="en-AU"/>
        </w:rPr>
      </w:pPr>
      <w:r w:rsidRPr="00FD0C93">
        <w:rPr>
          <w:i/>
          <w:lang w:eastAsia="en-AU"/>
        </w:rPr>
        <w:t xml:space="preserve">The Right to Social Security </w:t>
      </w:r>
    </w:p>
    <w:p w14:paraId="7234DA73" w14:textId="77777777" w:rsidR="00B11BA1" w:rsidRPr="00FD0C93" w:rsidRDefault="00B11BA1" w:rsidP="00CD463E">
      <w:pPr>
        <w:spacing w:before="120" w:after="120"/>
        <w:rPr>
          <w:lang w:eastAsia="en-AU"/>
        </w:rPr>
      </w:pPr>
      <w:r w:rsidRPr="00FD0C93">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0AD61D7" w14:textId="49746192" w:rsidR="00B11BA1" w:rsidRPr="00FD0C93" w:rsidRDefault="00B11BA1" w:rsidP="00CD463E">
      <w:pPr>
        <w:spacing w:before="120" w:after="120"/>
        <w:rPr>
          <w:lang w:eastAsia="en-AU"/>
        </w:rPr>
      </w:pPr>
      <w:r w:rsidRPr="00FD0C93">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FD0C93" w:rsidRDefault="00FA4B55" w:rsidP="00FA4B55">
      <w:pPr>
        <w:shd w:val="clear" w:color="auto" w:fill="FFFFFF"/>
        <w:spacing w:before="120" w:after="120"/>
        <w:rPr>
          <w:color w:val="000000"/>
          <w:lang w:eastAsia="en-AU"/>
        </w:rPr>
      </w:pPr>
      <w:r w:rsidRPr="00FD0C93">
        <w:rPr>
          <w:i/>
          <w:iCs/>
          <w:color w:val="000000"/>
        </w:rPr>
        <w:t>The right of equality and non-discrimination</w:t>
      </w:r>
    </w:p>
    <w:p w14:paraId="6E906239" w14:textId="77777777" w:rsidR="00FA4B55" w:rsidRPr="00FD0C93" w:rsidRDefault="00FA4B55" w:rsidP="00FA4B55">
      <w:pPr>
        <w:shd w:val="clear" w:color="auto" w:fill="FFFFFF"/>
        <w:spacing w:before="120" w:after="120"/>
        <w:rPr>
          <w:color w:val="000000"/>
        </w:rPr>
      </w:pPr>
      <w:r w:rsidRPr="00FD0C93">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FD0C93" w:rsidRDefault="00B11BA1" w:rsidP="00CD463E">
      <w:pPr>
        <w:spacing w:before="120" w:after="120"/>
        <w:rPr>
          <w:lang w:eastAsia="en-AU"/>
        </w:rPr>
      </w:pPr>
      <w:r w:rsidRPr="00FD0C93">
        <w:rPr>
          <w:u w:val="single"/>
          <w:lang w:eastAsia="en-AU"/>
        </w:rPr>
        <w:t xml:space="preserve">Analysis </w:t>
      </w:r>
    </w:p>
    <w:p w14:paraId="4CC8AC69" w14:textId="0B8A6FDE" w:rsidR="00C62CF3" w:rsidRPr="00FD0C93" w:rsidRDefault="00B05970" w:rsidP="00153419">
      <w:pPr>
        <w:spacing w:before="120" w:after="120" w:line="276" w:lineRule="auto"/>
        <w:rPr>
          <w:color w:val="FF0000"/>
          <w:lang w:eastAsia="en-AU"/>
        </w:rPr>
      </w:pPr>
      <w:r w:rsidRPr="00FD0C93">
        <w:rPr>
          <w:lang w:eastAsia="en-AU"/>
        </w:rPr>
        <w:t xml:space="preserve">The Regulations </w:t>
      </w:r>
      <w:r w:rsidR="0008533B" w:rsidRPr="00FD0C93">
        <w:rPr>
          <w:lang w:eastAsia="en-AU"/>
        </w:rPr>
        <w:t xml:space="preserve">maintain rights to health and social security </w:t>
      </w:r>
      <w:r w:rsidR="00601401" w:rsidRPr="00FD0C93">
        <w:rPr>
          <w:lang w:eastAsia="en-AU"/>
        </w:rPr>
        <w:t xml:space="preserve">by ensuring appropriate access to clinically required services, consistent with the recommendation made by </w:t>
      </w:r>
      <w:r w:rsidR="00E44605" w:rsidRPr="00FD0C93">
        <w:rPr>
          <w:bCs/>
          <w:iCs/>
        </w:rPr>
        <w:t>MBS Review Taskforce</w:t>
      </w:r>
      <w:r w:rsidR="00601401" w:rsidRPr="00FD0C93">
        <w:rPr>
          <w:bCs/>
          <w:iCs/>
        </w:rPr>
        <w:t xml:space="preserve"> in its Report on Pain Management Services, 2019</w:t>
      </w:r>
      <w:r w:rsidR="00E44605" w:rsidRPr="00FD0C93">
        <w:rPr>
          <w:bCs/>
          <w:iCs/>
        </w:rPr>
        <w:t>.</w:t>
      </w:r>
      <w:r w:rsidR="00FD4611" w:rsidRPr="00FD0C93">
        <w:rPr>
          <w:lang w:eastAsia="en-AU"/>
        </w:rPr>
        <w:t xml:space="preserve"> </w:t>
      </w:r>
    </w:p>
    <w:p w14:paraId="495C026A" w14:textId="26672D4C" w:rsidR="00B11BA1" w:rsidRPr="00FD0C93" w:rsidRDefault="00B11BA1" w:rsidP="00CD463E">
      <w:pPr>
        <w:spacing w:before="120" w:after="120" w:line="276" w:lineRule="auto"/>
        <w:rPr>
          <w:rFonts w:eastAsia="Calibri"/>
          <w:b/>
        </w:rPr>
      </w:pPr>
      <w:r w:rsidRPr="00FD0C93">
        <w:rPr>
          <w:rFonts w:eastAsia="Calibri"/>
          <w:b/>
        </w:rPr>
        <w:lastRenderedPageBreak/>
        <w:t xml:space="preserve">Conclusion </w:t>
      </w:r>
    </w:p>
    <w:p w14:paraId="69D585EE" w14:textId="46A88A06" w:rsidR="00B11BA1" w:rsidRPr="00FD0C93" w:rsidRDefault="00B11BA1" w:rsidP="00CD463E">
      <w:pPr>
        <w:spacing w:before="120" w:after="120"/>
        <w:rPr>
          <w:lang w:eastAsia="en-AU"/>
        </w:rPr>
      </w:pPr>
      <w:r w:rsidRPr="00FD0C93">
        <w:rPr>
          <w:lang w:eastAsia="en-AU"/>
        </w:rPr>
        <w:t>This instrument is compatible with human rights because it maintains existing arrangements and the protection of human rights.</w:t>
      </w:r>
    </w:p>
    <w:p w14:paraId="4AC3F02E" w14:textId="77777777" w:rsidR="00FD0C93" w:rsidRPr="00FD0C93" w:rsidRDefault="00FD0C93" w:rsidP="00CD463E">
      <w:pPr>
        <w:spacing w:before="120" w:after="120"/>
        <w:rPr>
          <w:lang w:eastAsia="en-AU"/>
        </w:rPr>
      </w:pPr>
    </w:p>
    <w:p w14:paraId="296B3703" w14:textId="77777777" w:rsidR="00B11BA1" w:rsidRPr="00FD0C93" w:rsidRDefault="00B11BA1" w:rsidP="00CD463E">
      <w:pPr>
        <w:spacing w:before="120" w:after="120" w:line="276" w:lineRule="auto"/>
        <w:jc w:val="center"/>
        <w:rPr>
          <w:rFonts w:eastAsia="Calibri"/>
          <w:b/>
          <w:bCs/>
        </w:rPr>
      </w:pPr>
      <w:r w:rsidRPr="00FD0C93">
        <w:rPr>
          <w:rFonts w:eastAsia="Calibri"/>
          <w:b/>
          <w:bCs/>
        </w:rPr>
        <w:t>Greg Hunt</w:t>
      </w:r>
    </w:p>
    <w:p w14:paraId="112A3D84" w14:textId="77777777" w:rsidR="00B11BA1" w:rsidRPr="00B23EA8" w:rsidRDefault="00B11BA1" w:rsidP="00CD463E">
      <w:pPr>
        <w:spacing w:before="120" w:after="120" w:line="276" w:lineRule="auto"/>
        <w:jc w:val="center"/>
        <w:rPr>
          <w:rFonts w:eastAsia="Calibri"/>
        </w:rPr>
      </w:pPr>
      <w:r w:rsidRPr="00FD0C93">
        <w:rPr>
          <w:rFonts w:eastAsia="Calibri"/>
          <w:b/>
          <w:bCs/>
        </w:rPr>
        <w:t>Minister for Health and Aged Care</w:t>
      </w:r>
    </w:p>
    <w:sectPr w:rsidR="00B11BA1" w:rsidRPr="00B23EA8" w:rsidSect="00905A7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66A2B" w14:textId="77777777" w:rsidR="005168E8" w:rsidRDefault="005168E8" w:rsidP="001868CC">
      <w:r>
        <w:separator/>
      </w:r>
    </w:p>
  </w:endnote>
  <w:endnote w:type="continuationSeparator" w:id="0">
    <w:p w14:paraId="7A0F9A2F" w14:textId="77777777" w:rsidR="005168E8" w:rsidRDefault="005168E8"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531CF" w14:textId="77777777" w:rsidR="005168E8" w:rsidRDefault="005168E8" w:rsidP="001868CC">
      <w:r>
        <w:separator/>
      </w:r>
    </w:p>
  </w:footnote>
  <w:footnote w:type="continuationSeparator" w:id="0">
    <w:p w14:paraId="73C1BDDC" w14:textId="77777777" w:rsidR="005168E8" w:rsidRDefault="005168E8"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146137"/>
      <w:docPartObj>
        <w:docPartGallery w:val="Page Numbers (Top of Page)"/>
        <w:docPartUnique/>
      </w:docPartObj>
    </w:sdtPr>
    <w:sdtEndPr>
      <w:rPr>
        <w:noProof/>
      </w:rPr>
    </w:sdtEndPr>
    <w:sdtContent>
      <w:p w14:paraId="69F1645A" w14:textId="3F1DA067" w:rsidR="00235670" w:rsidRDefault="0023567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CA3CE6C" w14:textId="77777777" w:rsidR="00235670" w:rsidRDefault="00235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4AC7"/>
    <w:multiLevelType w:val="hybridMultilevel"/>
    <w:tmpl w:val="A34C1D2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CF84847C">
      <w:start w:val="1"/>
      <w:numFmt w:val="lowerLetter"/>
      <w:lvlText w:val="(%3)"/>
      <w:lvlJc w:val="left"/>
      <w:pPr>
        <w:ind w:left="36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E3D8C"/>
    <w:multiLevelType w:val="hybridMultilevel"/>
    <w:tmpl w:val="EB48AE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D4250D9"/>
    <w:multiLevelType w:val="hybridMultilevel"/>
    <w:tmpl w:val="DBFC1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A5A8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4907B83"/>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8245103"/>
    <w:multiLevelType w:val="hybridMultilevel"/>
    <w:tmpl w:val="3C9E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C6D07"/>
    <w:multiLevelType w:val="hybridMultilevel"/>
    <w:tmpl w:val="F310680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42124E"/>
    <w:multiLevelType w:val="hybridMultilevel"/>
    <w:tmpl w:val="C0F043BE"/>
    <w:lvl w:ilvl="0" w:tplc="321E21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70796"/>
    <w:multiLevelType w:val="hybridMultilevel"/>
    <w:tmpl w:val="65C6D9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1A7CC0"/>
    <w:multiLevelType w:val="hybridMultilevel"/>
    <w:tmpl w:val="8E2213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6869B2"/>
    <w:multiLevelType w:val="hybridMultilevel"/>
    <w:tmpl w:val="0970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961CD"/>
    <w:multiLevelType w:val="hybridMultilevel"/>
    <w:tmpl w:val="A822A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A5D19"/>
    <w:multiLevelType w:val="hybridMultilevel"/>
    <w:tmpl w:val="A5320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865D4"/>
    <w:multiLevelType w:val="hybridMultilevel"/>
    <w:tmpl w:val="80C0C5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4D0CD2"/>
    <w:multiLevelType w:val="hybridMultilevel"/>
    <w:tmpl w:val="C024A736"/>
    <w:lvl w:ilvl="0" w:tplc="37C03E76">
      <w:start w:val="1"/>
      <w:numFmt w:val="bullet"/>
      <w:lvlText w:val=""/>
      <w:lvlJc w:val="left"/>
      <w:pPr>
        <w:ind w:left="720" w:hanging="360"/>
      </w:pPr>
      <w:rPr>
        <w:rFonts w:ascii="Symbol" w:hAnsi="Symbol"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715258"/>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35311B"/>
    <w:multiLevelType w:val="hybridMultilevel"/>
    <w:tmpl w:val="4290FDB2"/>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E3C3D83"/>
    <w:multiLevelType w:val="hybridMultilevel"/>
    <w:tmpl w:val="287ED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90457"/>
    <w:multiLevelType w:val="hybridMultilevel"/>
    <w:tmpl w:val="807A5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D2DA1"/>
    <w:multiLevelType w:val="hybridMultilevel"/>
    <w:tmpl w:val="60028388"/>
    <w:lvl w:ilvl="0" w:tplc="0C090017">
      <w:start w:val="1"/>
      <w:numFmt w:val="lowerLetter"/>
      <w:lvlText w:val="%1)"/>
      <w:lvlJc w:val="left"/>
      <w:pPr>
        <w:ind w:left="720" w:hanging="360"/>
      </w:pPr>
    </w:lvl>
    <w:lvl w:ilvl="1" w:tplc="9F62F03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278CC"/>
    <w:multiLevelType w:val="hybridMultilevel"/>
    <w:tmpl w:val="E986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71D50"/>
    <w:multiLevelType w:val="hybridMultilevel"/>
    <w:tmpl w:val="6F5C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19364A"/>
    <w:multiLevelType w:val="hybridMultilevel"/>
    <w:tmpl w:val="EE0E2F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8675A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69153A5"/>
    <w:multiLevelType w:val="hybridMultilevel"/>
    <w:tmpl w:val="677C6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7FB7F6F"/>
    <w:multiLevelType w:val="hybridMultilevel"/>
    <w:tmpl w:val="5784C5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16C3FD6"/>
    <w:multiLevelType w:val="hybridMultilevel"/>
    <w:tmpl w:val="F90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77321"/>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99A7A17"/>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E41FDB"/>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9E65AC4"/>
    <w:multiLevelType w:val="hybridMultilevel"/>
    <w:tmpl w:val="CAF0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81C81"/>
    <w:multiLevelType w:val="hybridMultilevel"/>
    <w:tmpl w:val="85D0DC04"/>
    <w:lvl w:ilvl="0" w:tplc="9F62F0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42380"/>
    <w:multiLevelType w:val="hybridMultilevel"/>
    <w:tmpl w:val="60AE56D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78843D4D"/>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9B15904"/>
    <w:multiLevelType w:val="hybridMultilevel"/>
    <w:tmpl w:val="906C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666BB5"/>
    <w:multiLevelType w:val="hybridMultilevel"/>
    <w:tmpl w:val="8674A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28"/>
  </w:num>
  <w:num w:numId="4">
    <w:abstractNumId w:val="22"/>
  </w:num>
  <w:num w:numId="5">
    <w:abstractNumId w:val="15"/>
  </w:num>
  <w:num w:numId="6">
    <w:abstractNumId w:val="19"/>
  </w:num>
  <w:num w:numId="7">
    <w:abstractNumId w:val="6"/>
  </w:num>
  <w:num w:numId="8">
    <w:abstractNumId w:val="0"/>
  </w:num>
  <w:num w:numId="9">
    <w:abstractNumId w:val="29"/>
  </w:num>
  <w:num w:numId="10">
    <w:abstractNumId w:val="13"/>
  </w:num>
  <w:num w:numId="11">
    <w:abstractNumId w:val="33"/>
  </w:num>
  <w:num w:numId="12">
    <w:abstractNumId w:val="4"/>
  </w:num>
  <w:num w:numId="13">
    <w:abstractNumId w:val="3"/>
  </w:num>
  <w:num w:numId="14">
    <w:abstractNumId w:val="23"/>
  </w:num>
  <w:num w:numId="15">
    <w:abstractNumId w:val="27"/>
  </w:num>
  <w:num w:numId="16">
    <w:abstractNumId w:val="8"/>
  </w:num>
  <w:num w:numId="17">
    <w:abstractNumId w:val="34"/>
  </w:num>
  <w:num w:numId="18">
    <w:abstractNumId w:val="31"/>
  </w:num>
  <w:num w:numId="19">
    <w:abstractNumId w:val="20"/>
  </w:num>
  <w:num w:numId="20">
    <w:abstractNumId w:val="32"/>
  </w:num>
  <w:num w:numId="21">
    <w:abstractNumId w:val="10"/>
  </w:num>
  <w:num w:numId="22">
    <w:abstractNumId w:val="35"/>
  </w:num>
  <w:num w:numId="23">
    <w:abstractNumId w:val="7"/>
  </w:num>
  <w:num w:numId="24">
    <w:abstractNumId w:val="17"/>
  </w:num>
  <w:num w:numId="25">
    <w:abstractNumId w:val="25"/>
  </w:num>
  <w:num w:numId="26">
    <w:abstractNumId w:val="9"/>
  </w:num>
  <w:num w:numId="27">
    <w:abstractNumId w:val="16"/>
  </w:num>
  <w:num w:numId="28">
    <w:abstractNumId w:val="5"/>
  </w:num>
  <w:num w:numId="29">
    <w:abstractNumId w:val="2"/>
  </w:num>
  <w:num w:numId="30">
    <w:abstractNumId w:val="21"/>
  </w:num>
  <w:num w:numId="31">
    <w:abstractNumId w:val="11"/>
  </w:num>
  <w:num w:numId="32">
    <w:abstractNumId w:val="14"/>
  </w:num>
  <w:num w:numId="33">
    <w:abstractNumId w:val="12"/>
  </w:num>
  <w:num w:numId="34">
    <w:abstractNumId w:val="18"/>
  </w:num>
  <w:num w:numId="35">
    <w:abstractNumId w:val="1"/>
  </w:num>
  <w:num w:numId="3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CC"/>
    <w:rsid w:val="000023E5"/>
    <w:rsid w:val="00002B2B"/>
    <w:rsid w:val="00002F8F"/>
    <w:rsid w:val="00003743"/>
    <w:rsid w:val="00003747"/>
    <w:rsid w:val="000041DA"/>
    <w:rsid w:val="00005236"/>
    <w:rsid w:val="000071A4"/>
    <w:rsid w:val="000103F6"/>
    <w:rsid w:val="00010A52"/>
    <w:rsid w:val="00010C7B"/>
    <w:rsid w:val="0001226F"/>
    <w:rsid w:val="0001368B"/>
    <w:rsid w:val="000147B1"/>
    <w:rsid w:val="00014CF6"/>
    <w:rsid w:val="00017F8C"/>
    <w:rsid w:val="00020491"/>
    <w:rsid w:val="00020B86"/>
    <w:rsid w:val="00020F96"/>
    <w:rsid w:val="000220EA"/>
    <w:rsid w:val="00022590"/>
    <w:rsid w:val="000240FC"/>
    <w:rsid w:val="00025400"/>
    <w:rsid w:val="00030D05"/>
    <w:rsid w:val="00031095"/>
    <w:rsid w:val="00036958"/>
    <w:rsid w:val="00036A0F"/>
    <w:rsid w:val="00040086"/>
    <w:rsid w:val="00040321"/>
    <w:rsid w:val="000407A4"/>
    <w:rsid w:val="0004211F"/>
    <w:rsid w:val="00043DBE"/>
    <w:rsid w:val="00045F92"/>
    <w:rsid w:val="000467D7"/>
    <w:rsid w:val="00046C1E"/>
    <w:rsid w:val="000507A2"/>
    <w:rsid w:val="00050B68"/>
    <w:rsid w:val="00051076"/>
    <w:rsid w:val="000522A4"/>
    <w:rsid w:val="0005240A"/>
    <w:rsid w:val="000541C7"/>
    <w:rsid w:val="00057511"/>
    <w:rsid w:val="00057CC4"/>
    <w:rsid w:val="00057EAC"/>
    <w:rsid w:val="0006048B"/>
    <w:rsid w:val="00060544"/>
    <w:rsid w:val="00061169"/>
    <w:rsid w:val="000642E3"/>
    <w:rsid w:val="000666F7"/>
    <w:rsid w:val="00066E72"/>
    <w:rsid w:val="00066FE1"/>
    <w:rsid w:val="00067456"/>
    <w:rsid w:val="000706E7"/>
    <w:rsid w:val="00071611"/>
    <w:rsid w:val="00074F8F"/>
    <w:rsid w:val="000752AA"/>
    <w:rsid w:val="00075D47"/>
    <w:rsid w:val="00081450"/>
    <w:rsid w:val="00081838"/>
    <w:rsid w:val="00083D1E"/>
    <w:rsid w:val="00085075"/>
    <w:rsid w:val="0008533B"/>
    <w:rsid w:val="00085E5B"/>
    <w:rsid w:val="00086712"/>
    <w:rsid w:val="000903DD"/>
    <w:rsid w:val="000911D8"/>
    <w:rsid w:val="00091302"/>
    <w:rsid w:val="000913D8"/>
    <w:rsid w:val="000925C1"/>
    <w:rsid w:val="00092CAB"/>
    <w:rsid w:val="000942F3"/>
    <w:rsid w:val="00096E5E"/>
    <w:rsid w:val="000A299F"/>
    <w:rsid w:val="000A2C3D"/>
    <w:rsid w:val="000A3529"/>
    <w:rsid w:val="000A4297"/>
    <w:rsid w:val="000A54E7"/>
    <w:rsid w:val="000A59A8"/>
    <w:rsid w:val="000A767D"/>
    <w:rsid w:val="000B03D0"/>
    <w:rsid w:val="000B0B63"/>
    <w:rsid w:val="000B0DBC"/>
    <w:rsid w:val="000B3166"/>
    <w:rsid w:val="000B3C00"/>
    <w:rsid w:val="000B40AE"/>
    <w:rsid w:val="000B42FE"/>
    <w:rsid w:val="000B4510"/>
    <w:rsid w:val="000B594D"/>
    <w:rsid w:val="000B738C"/>
    <w:rsid w:val="000C5A1C"/>
    <w:rsid w:val="000C5B4F"/>
    <w:rsid w:val="000C6ECA"/>
    <w:rsid w:val="000C702D"/>
    <w:rsid w:val="000C7CAF"/>
    <w:rsid w:val="000D1701"/>
    <w:rsid w:val="000D18A9"/>
    <w:rsid w:val="000D50ED"/>
    <w:rsid w:val="000D6D4C"/>
    <w:rsid w:val="000E053C"/>
    <w:rsid w:val="000E224C"/>
    <w:rsid w:val="000E26C0"/>
    <w:rsid w:val="000E6238"/>
    <w:rsid w:val="000E67C5"/>
    <w:rsid w:val="000F06AB"/>
    <w:rsid w:val="000F09E3"/>
    <w:rsid w:val="000F12AD"/>
    <w:rsid w:val="000F20F4"/>
    <w:rsid w:val="000F3984"/>
    <w:rsid w:val="000F7441"/>
    <w:rsid w:val="000F78E2"/>
    <w:rsid w:val="001002A1"/>
    <w:rsid w:val="00101B3D"/>
    <w:rsid w:val="00101CD5"/>
    <w:rsid w:val="00103CDF"/>
    <w:rsid w:val="00106093"/>
    <w:rsid w:val="00111839"/>
    <w:rsid w:val="00111E7D"/>
    <w:rsid w:val="00117858"/>
    <w:rsid w:val="00121E4E"/>
    <w:rsid w:val="00123197"/>
    <w:rsid w:val="00123AFC"/>
    <w:rsid w:val="00124C82"/>
    <w:rsid w:val="00124DA2"/>
    <w:rsid w:val="00124EEB"/>
    <w:rsid w:val="00125047"/>
    <w:rsid w:val="00125104"/>
    <w:rsid w:val="00126FF1"/>
    <w:rsid w:val="00130749"/>
    <w:rsid w:val="00130898"/>
    <w:rsid w:val="00130912"/>
    <w:rsid w:val="0013281C"/>
    <w:rsid w:val="00132B52"/>
    <w:rsid w:val="001334B8"/>
    <w:rsid w:val="00134B9C"/>
    <w:rsid w:val="00136EF2"/>
    <w:rsid w:val="001375CA"/>
    <w:rsid w:val="00137B9F"/>
    <w:rsid w:val="00140401"/>
    <w:rsid w:val="0014110F"/>
    <w:rsid w:val="001438A6"/>
    <w:rsid w:val="00143A76"/>
    <w:rsid w:val="00144688"/>
    <w:rsid w:val="00147180"/>
    <w:rsid w:val="00147A39"/>
    <w:rsid w:val="0015318D"/>
    <w:rsid w:val="00153419"/>
    <w:rsid w:val="001537A1"/>
    <w:rsid w:val="0015488F"/>
    <w:rsid w:val="0015574B"/>
    <w:rsid w:val="001561B8"/>
    <w:rsid w:val="001565D2"/>
    <w:rsid w:val="0016045E"/>
    <w:rsid w:val="00162C97"/>
    <w:rsid w:val="00163DE4"/>
    <w:rsid w:val="00163E84"/>
    <w:rsid w:val="001645EE"/>
    <w:rsid w:val="001651F7"/>
    <w:rsid w:val="00166E21"/>
    <w:rsid w:val="00170E68"/>
    <w:rsid w:val="001712E9"/>
    <w:rsid w:val="001720C6"/>
    <w:rsid w:val="00172918"/>
    <w:rsid w:val="00173B1E"/>
    <w:rsid w:val="00173D09"/>
    <w:rsid w:val="0017656A"/>
    <w:rsid w:val="00180743"/>
    <w:rsid w:val="00180C94"/>
    <w:rsid w:val="00180D6F"/>
    <w:rsid w:val="00181E3B"/>
    <w:rsid w:val="00182147"/>
    <w:rsid w:val="001825D2"/>
    <w:rsid w:val="00182699"/>
    <w:rsid w:val="00183AC7"/>
    <w:rsid w:val="00183C14"/>
    <w:rsid w:val="0018414F"/>
    <w:rsid w:val="00184898"/>
    <w:rsid w:val="00184DB0"/>
    <w:rsid w:val="00184F74"/>
    <w:rsid w:val="00185A70"/>
    <w:rsid w:val="001862EF"/>
    <w:rsid w:val="001868CC"/>
    <w:rsid w:val="00187E14"/>
    <w:rsid w:val="00191D39"/>
    <w:rsid w:val="001920E8"/>
    <w:rsid w:val="00192429"/>
    <w:rsid w:val="001952DF"/>
    <w:rsid w:val="00195A20"/>
    <w:rsid w:val="001A2AD4"/>
    <w:rsid w:val="001A762F"/>
    <w:rsid w:val="001B3443"/>
    <w:rsid w:val="001B44E8"/>
    <w:rsid w:val="001B46E2"/>
    <w:rsid w:val="001B59B8"/>
    <w:rsid w:val="001B5D32"/>
    <w:rsid w:val="001C0016"/>
    <w:rsid w:val="001C1DBB"/>
    <w:rsid w:val="001C2F6A"/>
    <w:rsid w:val="001C555C"/>
    <w:rsid w:val="001C6250"/>
    <w:rsid w:val="001C6406"/>
    <w:rsid w:val="001C701B"/>
    <w:rsid w:val="001C7F38"/>
    <w:rsid w:val="001D2774"/>
    <w:rsid w:val="001D2947"/>
    <w:rsid w:val="001D54DC"/>
    <w:rsid w:val="001D5752"/>
    <w:rsid w:val="001D5BBF"/>
    <w:rsid w:val="001D632E"/>
    <w:rsid w:val="001D6902"/>
    <w:rsid w:val="001D71B4"/>
    <w:rsid w:val="001D722B"/>
    <w:rsid w:val="001D7E33"/>
    <w:rsid w:val="001E1F8A"/>
    <w:rsid w:val="001E3F12"/>
    <w:rsid w:val="001E433F"/>
    <w:rsid w:val="001E460D"/>
    <w:rsid w:val="001E47D5"/>
    <w:rsid w:val="001E59D8"/>
    <w:rsid w:val="001E5D09"/>
    <w:rsid w:val="001E5F1B"/>
    <w:rsid w:val="001E6791"/>
    <w:rsid w:val="001E7660"/>
    <w:rsid w:val="001F2B86"/>
    <w:rsid w:val="001F44A8"/>
    <w:rsid w:val="001F498D"/>
    <w:rsid w:val="001F4B5E"/>
    <w:rsid w:val="001F4F1C"/>
    <w:rsid w:val="001F550F"/>
    <w:rsid w:val="001F57E0"/>
    <w:rsid w:val="00200E47"/>
    <w:rsid w:val="0020256D"/>
    <w:rsid w:val="00202D16"/>
    <w:rsid w:val="00202DEF"/>
    <w:rsid w:val="00202F53"/>
    <w:rsid w:val="00205701"/>
    <w:rsid w:val="00210AA0"/>
    <w:rsid w:val="00211144"/>
    <w:rsid w:val="00212673"/>
    <w:rsid w:val="00213004"/>
    <w:rsid w:val="002140D6"/>
    <w:rsid w:val="002143D4"/>
    <w:rsid w:val="00214A48"/>
    <w:rsid w:val="00216587"/>
    <w:rsid w:val="0021737A"/>
    <w:rsid w:val="0022104C"/>
    <w:rsid w:val="00221F65"/>
    <w:rsid w:val="00222F55"/>
    <w:rsid w:val="002242D2"/>
    <w:rsid w:val="00225372"/>
    <w:rsid w:val="002272A2"/>
    <w:rsid w:val="00230DC0"/>
    <w:rsid w:val="00231EC3"/>
    <w:rsid w:val="00232B0E"/>
    <w:rsid w:val="00235670"/>
    <w:rsid w:val="0023603A"/>
    <w:rsid w:val="00236D9C"/>
    <w:rsid w:val="00237605"/>
    <w:rsid w:val="00240217"/>
    <w:rsid w:val="00240360"/>
    <w:rsid w:val="00246273"/>
    <w:rsid w:val="00246CE1"/>
    <w:rsid w:val="00246F96"/>
    <w:rsid w:val="0024751C"/>
    <w:rsid w:val="00247AB2"/>
    <w:rsid w:val="00247F9B"/>
    <w:rsid w:val="00251D1F"/>
    <w:rsid w:val="00252108"/>
    <w:rsid w:val="00254121"/>
    <w:rsid w:val="002547AB"/>
    <w:rsid w:val="0025593C"/>
    <w:rsid w:val="00255B81"/>
    <w:rsid w:val="00256B90"/>
    <w:rsid w:val="00260130"/>
    <w:rsid w:val="00260F07"/>
    <w:rsid w:val="00261C7B"/>
    <w:rsid w:val="002626E6"/>
    <w:rsid w:val="0026315C"/>
    <w:rsid w:val="00263B0E"/>
    <w:rsid w:val="002656A7"/>
    <w:rsid w:val="00266475"/>
    <w:rsid w:val="00272356"/>
    <w:rsid w:val="00272777"/>
    <w:rsid w:val="00272CC1"/>
    <w:rsid w:val="00274F62"/>
    <w:rsid w:val="002755FB"/>
    <w:rsid w:val="00275873"/>
    <w:rsid w:val="00276A05"/>
    <w:rsid w:val="00276B84"/>
    <w:rsid w:val="002809AC"/>
    <w:rsid w:val="00280B01"/>
    <w:rsid w:val="00280C0A"/>
    <w:rsid w:val="00281B6E"/>
    <w:rsid w:val="00282559"/>
    <w:rsid w:val="002826C0"/>
    <w:rsid w:val="00283580"/>
    <w:rsid w:val="002869CD"/>
    <w:rsid w:val="002874F9"/>
    <w:rsid w:val="002877F6"/>
    <w:rsid w:val="00291202"/>
    <w:rsid w:val="00291311"/>
    <w:rsid w:val="00291569"/>
    <w:rsid w:val="0029166B"/>
    <w:rsid w:val="00293B05"/>
    <w:rsid w:val="0029487C"/>
    <w:rsid w:val="0029516F"/>
    <w:rsid w:val="002967EC"/>
    <w:rsid w:val="00296821"/>
    <w:rsid w:val="00297DBC"/>
    <w:rsid w:val="002A11DD"/>
    <w:rsid w:val="002A1254"/>
    <w:rsid w:val="002A132D"/>
    <w:rsid w:val="002A278C"/>
    <w:rsid w:val="002A57AB"/>
    <w:rsid w:val="002A78B0"/>
    <w:rsid w:val="002B008B"/>
    <w:rsid w:val="002B1B91"/>
    <w:rsid w:val="002B2281"/>
    <w:rsid w:val="002B29CD"/>
    <w:rsid w:val="002B638B"/>
    <w:rsid w:val="002B6557"/>
    <w:rsid w:val="002B6ADF"/>
    <w:rsid w:val="002C0474"/>
    <w:rsid w:val="002C45D1"/>
    <w:rsid w:val="002C4FDD"/>
    <w:rsid w:val="002C591B"/>
    <w:rsid w:val="002C6704"/>
    <w:rsid w:val="002C71E3"/>
    <w:rsid w:val="002C7308"/>
    <w:rsid w:val="002D0C61"/>
    <w:rsid w:val="002D148D"/>
    <w:rsid w:val="002D169F"/>
    <w:rsid w:val="002D2549"/>
    <w:rsid w:val="002D3B01"/>
    <w:rsid w:val="002D4C03"/>
    <w:rsid w:val="002D55EC"/>
    <w:rsid w:val="002D60B3"/>
    <w:rsid w:val="002D61E1"/>
    <w:rsid w:val="002D7493"/>
    <w:rsid w:val="002D7BB2"/>
    <w:rsid w:val="002E3D62"/>
    <w:rsid w:val="002E4188"/>
    <w:rsid w:val="002E4866"/>
    <w:rsid w:val="002E6F03"/>
    <w:rsid w:val="002E7D46"/>
    <w:rsid w:val="002F1599"/>
    <w:rsid w:val="002F1BD8"/>
    <w:rsid w:val="002F1E80"/>
    <w:rsid w:val="002F1F3E"/>
    <w:rsid w:val="002F3572"/>
    <w:rsid w:val="002F396B"/>
    <w:rsid w:val="002F3AE3"/>
    <w:rsid w:val="002F6797"/>
    <w:rsid w:val="002F6D78"/>
    <w:rsid w:val="002F7272"/>
    <w:rsid w:val="002F7815"/>
    <w:rsid w:val="002F798C"/>
    <w:rsid w:val="002F7E7D"/>
    <w:rsid w:val="0030257E"/>
    <w:rsid w:val="00302909"/>
    <w:rsid w:val="00303C1E"/>
    <w:rsid w:val="00306DE5"/>
    <w:rsid w:val="0030786C"/>
    <w:rsid w:val="00307BA8"/>
    <w:rsid w:val="003131F0"/>
    <w:rsid w:val="00314CAA"/>
    <w:rsid w:val="00316634"/>
    <w:rsid w:val="0032127A"/>
    <w:rsid w:val="0032164F"/>
    <w:rsid w:val="0032507C"/>
    <w:rsid w:val="003252AB"/>
    <w:rsid w:val="00325386"/>
    <w:rsid w:val="00325737"/>
    <w:rsid w:val="00326A42"/>
    <w:rsid w:val="003274D8"/>
    <w:rsid w:val="00330D43"/>
    <w:rsid w:val="003314BE"/>
    <w:rsid w:val="00334920"/>
    <w:rsid w:val="003351BA"/>
    <w:rsid w:val="00335A6E"/>
    <w:rsid w:val="00336BD7"/>
    <w:rsid w:val="00337186"/>
    <w:rsid w:val="00340BB3"/>
    <w:rsid w:val="00341EBE"/>
    <w:rsid w:val="00342648"/>
    <w:rsid w:val="00343325"/>
    <w:rsid w:val="00343CFB"/>
    <w:rsid w:val="003443E4"/>
    <w:rsid w:val="003447DA"/>
    <w:rsid w:val="00346158"/>
    <w:rsid w:val="00346CAA"/>
    <w:rsid w:val="00347A38"/>
    <w:rsid w:val="003500BE"/>
    <w:rsid w:val="0035058D"/>
    <w:rsid w:val="0035169A"/>
    <w:rsid w:val="0035193E"/>
    <w:rsid w:val="00352967"/>
    <w:rsid w:val="00353D9A"/>
    <w:rsid w:val="0035704F"/>
    <w:rsid w:val="00357866"/>
    <w:rsid w:val="0036032E"/>
    <w:rsid w:val="003608E3"/>
    <w:rsid w:val="0036249E"/>
    <w:rsid w:val="0036297D"/>
    <w:rsid w:val="003629F2"/>
    <w:rsid w:val="003639C7"/>
    <w:rsid w:val="00365ABA"/>
    <w:rsid w:val="00370BAC"/>
    <w:rsid w:val="0037157D"/>
    <w:rsid w:val="003716D5"/>
    <w:rsid w:val="00373F1B"/>
    <w:rsid w:val="003800C9"/>
    <w:rsid w:val="003816EC"/>
    <w:rsid w:val="003826ED"/>
    <w:rsid w:val="00383C8B"/>
    <w:rsid w:val="00383CD5"/>
    <w:rsid w:val="003841B8"/>
    <w:rsid w:val="00384B4A"/>
    <w:rsid w:val="00384CCC"/>
    <w:rsid w:val="00385E67"/>
    <w:rsid w:val="00387596"/>
    <w:rsid w:val="003907AA"/>
    <w:rsid w:val="00390B60"/>
    <w:rsid w:val="00392252"/>
    <w:rsid w:val="003922D3"/>
    <w:rsid w:val="0039231D"/>
    <w:rsid w:val="0039281B"/>
    <w:rsid w:val="003935F9"/>
    <w:rsid w:val="00394201"/>
    <w:rsid w:val="00397124"/>
    <w:rsid w:val="00397A08"/>
    <w:rsid w:val="003A1561"/>
    <w:rsid w:val="003A15B9"/>
    <w:rsid w:val="003A1852"/>
    <w:rsid w:val="003A5125"/>
    <w:rsid w:val="003A6290"/>
    <w:rsid w:val="003A73EB"/>
    <w:rsid w:val="003B15B4"/>
    <w:rsid w:val="003B1A20"/>
    <w:rsid w:val="003B2DD9"/>
    <w:rsid w:val="003B52F9"/>
    <w:rsid w:val="003B7A68"/>
    <w:rsid w:val="003C0508"/>
    <w:rsid w:val="003C22DF"/>
    <w:rsid w:val="003C4C82"/>
    <w:rsid w:val="003C50B2"/>
    <w:rsid w:val="003C5AD2"/>
    <w:rsid w:val="003C5CFD"/>
    <w:rsid w:val="003C5DF6"/>
    <w:rsid w:val="003C6BF9"/>
    <w:rsid w:val="003C6BFD"/>
    <w:rsid w:val="003C6F82"/>
    <w:rsid w:val="003C72DD"/>
    <w:rsid w:val="003C72EB"/>
    <w:rsid w:val="003D005B"/>
    <w:rsid w:val="003D17F9"/>
    <w:rsid w:val="003D20A1"/>
    <w:rsid w:val="003D30A3"/>
    <w:rsid w:val="003D3AA9"/>
    <w:rsid w:val="003D4B7F"/>
    <w:rsid w:val="003D4E6C"/>
    <w:rsid w:val="003D69AF"/>
    <w:rsid w:val="003D7B36"/>
    <w:rsid w:val="003E03EF"/>
    <w:rsid w:val="003E0C7E"/>
    <w:rsid w:val="003E139B"/>
    <w:rsid w:val="003E1DAB"/>
    <w:rsid w:val="003E3772"/>
    <w:rsid w:val="003E48C3"/>
    <w:rsid w:val="003E5986"/>
    <w:rsid w:val="003F089A"/>
    <w:rsid w:val="003F1DFB"/>
    <w:rsid w:val="003F267D"/>
    <w:rsid w:val="003F2DAA"/>
    <w:rsid w:val="003F3C5C"/>
    <w:rsid w:val="003F48F5"/>
    <w:rsid w:val="003F4AAB"/>
    <w:rsid w:val="003F5387"/>
    <w:rsid w:val="003F618B"/>
    <w:rsid w:val="003F6A20"/>
    <w:rsid w:val="00404B35"/>
    <w:rsid w:val="00406E1C"/>
    <w:rsid w:val="0041185C"/>
    <w:rsid w:val="0041360A"/>
    <w:rsid w:val="004143D0"/>
    <w:rsid w:val="00414806"/>
    <w:rsid w:val="0041526C"/>
    <w:rsid w:val="00415BD4"/>
    <w:rsid w:val="00420432"/>
    <w:rsid w:val="0042076E"/>
    <w:rsid w:val="00420F4D"/>
    <w:rsid w:val="00421901"/>
    <w:rsid w:val="00421E9C"/>
    <w:rsid w:val="00422439"/>
    <w:rsid w:val="004233BE"/>
    <w:rsid w:val="0042580C"/>
    <w:rsid w:val="00433D3B"/>
    <w:rsid w:val="00440130"/>
    <w:rsid w:val="00440E8C"/>
    <w:rsid w:val="00441AF0"/>
    <w:rsid w:val="00443606"/>
    <w:rsid w:val="00444274"/>
    <w:rsid w:val="0044449F"/>
    <w:rsid w:val="004457CA"/>
    <w:rsid w:val="00446B39"/>
    <w:rsid w:val="0044730E"/>
    <w:rsid w:val="004478C3"/>
    <w:rsid w:val="004502CA"/>
    <w:rsid w:val="00452D34"/>
    <w:rsid w:val="00453378"/>
    <w:rsid w:val="004544EC"/>
    <w:rsid w:val="00454C52"/>
    <w:rsid w:val="00455FD7"/>
    <w:rsid w:val="004565B2"/>
    <w:rsid w:val="00456B6C"/>
    <w:rsid w:val="00462CA1"/>
    <w:rsid w:val="00466210"/>
    <w:rsid w:val="0046665C"/>
    <w:rsid w:val="00466BEB"/>
    <w:rsid w:val="0046739C"/>
    <w:rsid w:val="00467CA1"/>
    <w:rsid w:val="00471BC0"/>
    <w:rsid w:val="004731FB"/>
    <w:rsid w:val="00474498"/>
    <w:rsid w:val="00475D29"/>
    <w:rsid w:val="00477318"/>
    <w:rsid w:val="004806CE"/>
    <w:rsid w:val="00480F3D"/>
    <w:rsid w:val="00483729"/>
    <w:rsid w:val="00484DBC"/>
    <w:rsid w:val="00485B43"/>
    <w:rsid w:val="00485D04"/>
    <w:rsid w:val="0048602E"/>
    <w:rsid w:val="004867E2"/>
    <w:rsid w:val="0048700A"/>
    <w:rsid w:val="00487CC3"/>
    <w:rsid w:val="0049100C"/>
    <w:rsid w:val="004940A0"/>
    <w:rsid w:val="00494C04"/>
    <w:rsid w:val="00495373"/>
    <w:rsid w:val="004957C1"/>
    <w:rsid w:val="00497E47"/>
    <w:rsid w:val="004A2A9D"/>
    <w:rsid w:val="004A2B32"/>
    <w:rsid w:val="004A2B38"/>
    <w:rsid w:val="004A3E7E"/>
    <w:rsid w:val="004A3F39"/>
    <w:rsid w:val="004A424A"/>
    <w:rsid w:val="004A46BF"/>
    <w:rsid w:val="004A5D26"/>
    <w:rsid w:val="004A5FC0"/>
    <w:rsid w:val="004A7CBF"/>
    <w:rsid w:val="004B0DD5"/>
    <w:rsid w:val="004B1615"/>
    <w:rsid w:val="004B1CE9"/>
    <w:rsid w:val="004B1CF3"/>
    <w:rsid w:val="004B2484"/>
    <w:rsid w:val="004B462B"/>
    <w:rsid w:val="004C0256"/>
    <w:rsid w:val="004C136E"/>
    <w:rsid w:val="004C31DE"/>
    <w:rsid w:val="004C380F"/>
    <w:rsid w:val="004C42D2"/>
    <w:rsid w:val="004C510F"/>
    <w:rsid w:val="004C5A0F"/>
    <w:rsid w:val="004C5D82"/>
    <w:rsid w:val="004C71D6"/>
    <w:rsid w:val="004C73C7"/>
    <w:rsid w:val="004D0B12"/>
    <w:rsid w:val="004D1889"/>
    <w:rsid w:val="004D1B38"/>
    <w:rsid w:val="004D2281"/>
    <w:rsid w:val="004D5496"/>
    <w:rsid w:val="004D63D6"/>
    <w:rsid w:val="004D69BA"/>
    <w:rsid w:val="004D6BB5"/>
    <w:rsid w:val="004E032C"/>
    <w:rsid w:val="004E0455"/>
    <w:rsid w:val="004E0906"/>
    <w:rsid w:val="004E1589"/>
    <w:rsid w:val="004E2D38"/>
    <w:rsid w:val="004E2F93"/>
    <w:rsid w:val="004E4167"/>
    <w:rsid w:val="004E4527"/>
    <w:rsid w:val="004E48A8"/>
    <w:rsid w:val="004E576F"/>
    <w:rsid w:val="004E67DE"/>
    <w:rsid w:val="004E6836"/>
    <w:rsid w:val="004F0109"/>
    <w:rsid w:val="004F1B76"/>
    <w:rsid w:val="004F2260"/>
    <w:rsid w:val="004F3A19"/>
    <w:rsid w:val="004F4DAE"/>
    <w:rsid w:val="004F73C6"/>
    <w:rsid w:val="004F75ED"/>
    <w:rsid w:val="005005D8"/>
    <w:rsid w:val="00501F37"/>
    <w:rsid w:val="005020F4"/>
    <w:rsid w:val="00502CB6"/>
    <w:rsid w:val="00506E9E"/>
    <w:rsid w:val="00507AE3"/>
    <w:rsid w:val="005115D2"/>
    <w:rsid w:val="00512EF1"/>
    <w:rsid w:val="00514153"/>
    <w:rsid w:val="005152AE"/>
    <w:rsid w:val="0051566B"/>
    <w:rsid w:val="00516828"/>
    <w:rsid w:val="005168E8"/>
    <w:rsid w:val="00516939"/>
    <w:rsid w:val="005176F2"/>
    <w:rsid w:val="00517B43"/>
    <w:rsid w:val="00520251"/>
    <w:rsid w:val="00520984"/>
    <w:rsid w:val="0052128F"/>
    <w:rsid w:val="005212F1"/>
    <w:rsid w:val="005226EE"/>
    <w:rsid w:val="00523BE0"/>
    <w:rsid w:val="005245D3"/>
    <w:rsid w:val="00525E6E"/>
    <w:rsid w:val="00526F65"/>
    <w:rsid w:val="00527DA9"/>
    <w:rsid w:val="00530CFC"/>
    <w:rsid w:val="00533DC1"/>
    <w:rsid w:val="005357D3"/>
    <w:rsid w:val="00536D0C"/>
    <w:rsid w:val="00540D70"/>
    <w:rsid w:val="005410F9"/>
    <w:rsid w:val="00546523"/>
    <w:rsid w:val="005471AC"/>
    <w:rsid w:val="0055129E"/>
    <w:rsid w:val="0055153B"/>
    <w:rsid w:val="0055174B"/>
    <w:rsid w:val="00551761"/>
    <w:rsid w:val="00551BF7"/>
    <w:rsid w:val="0055208C"/>
    <w:rsid w:val="005531B5"/>
    <w:rsid w:val="00554B7C"/>
    <w:rsid w:val="00557179"/>
    <w:rsid w:val="005576EB"/>
    <w:rsid w:val="00560BB0"/>
    <w:rsid w:val="00561091"/>
    <w:rsid w:val="00561BA3"/>
    <w:rsid w:val="005628D3"/>
    <w:rsid w:val="00563550"/>
    <w:rsid w:val="0056481E"/>
    <w:rsid w:val="005653E3"/>
    <w:rsid w:val="0057050F"/>
    <w:rsid w:val="005708F3"/>
    <w:rsid w:val="005715BD"/>
    <w:rsid w:val="005726E7"/>
    <w:rsid w:val="00572BE7"/>
    <w:rsid w:val="00573339"/>
    <w:rsid w:val="00574A7E"/>
    <w:rsid w:val="00575ECB"/>
    <w:rsid w:val="00580F12"/>
    <w:rsid w:val="00581BF6"/>
    <w:rsid w:val="0058521C"/>
    <w:rsid w:val="00586A01"/>
    <w:rsid w:val="00587187"/>
    <w:rsid w:val="005879F1"/>
    <w:rsid w:val="0059038C"/>
    <w:rsid w:val="00590858"/>
    <w:rsid w:val="005910FE"/>
    <w:rsid w:val="00593054"/>
    <w:rsid w:val="00593187"/>
    <w:rsid w:val="005931BB"/>
    <w:rsid w:val="0059453B"/>
    <w:rsid w:val="00594DD4"/>
    <w:rsid w:val="00595CDE"/>
    <w:rsid w:val="0059628E"/>
    <w:rsid w:val="005966D3"/>
    <w:rsid w:val="005A059A"/>
    <w:rsid w:val="005A16D4"/>
    <w:rsid w:val="005A1EBE"/>
    <w:rsid w:val="005A294B"/>
    <w:rsid w:val="005A2ACF"/>
    <w:rsid w:val="005A33E7"/>
    <w:rsid w:val="005A46C3"/>
    <w:rsid w:val="005A6868"/>
    <w:rsid w:val="005A703F"/>
    <w:rsid w:val="005B07CF"/>
    <w:rsid w:val="005B1067"/>
    <w:rsid w:val="005B24A2"/>
    <w:rsid w:val="005B2B72"/>
    <w:rsid w:val="005B356D"/>
    <w:rsid w:val="005B3DF5"/>
    <w:rsid w:val="005B46E7"/>
    <w:rsid w:val="005B4ABD"/>
    <w:rsid w:val="005B57FA"/>
    <w:rsid w:val="005B5B95"/>
    <w:rsid w:val="005B5D01"/>
    <w:rsid w:val="005B6338"/>
    <w:rsid w:val="005C057D"/>
    <w:rsid w:val="005C0DEB"/>
    <w:rsid w:val="005C3167"/>
    <w:rsid w:val="005C4008"/>
    <w:rsid w:val="005C4D7F"/>
    <w:rsid w:val="005C5517"/>
    <w:rsid w:val="005C65CD"/>
    <w:rsid w:val="005C695F"/>
    <w:rsid w:val="005C6E99"/>
    <w:rsid w:val="005C746A"/>
    <w:rsid w:val="005C7760"/>
    <w:rsid w:val="005D2C4A"/>
    <w:rsid w:val="005D5507"/>
    <w:rsid w:val="005D5BAD"/>
    <w:rsid w:val="005D698C"/>
    <w:rsid w:val="005D6F1A"/>
    <w:rsid w:val="005D7DE9"/>
    <w:rsid w:val="005D7EAB"/>
    <w:rsid w:val="005E28BA"/>
    <w:rsid w:val="005E29A7"/>
    <w:rsid w:val="005E3E75"/>
    <w:rsid w:val="005E4A38"/>
    <w:rsid w:val="005E6038"/>
    <w:rsid w:val="005E72D3"/>
    <w:rsid w:val="005E7FAB"/>
    <w:rsid w:val="005F0624"/>
    <w:rsid w:val="005F1CF4"/>
    <w:rsid w:val="005F277C"/>
    <w:rsid w:val="005F28FA"/>
    <w:rsid w:val="005F4579"/>
    <w:rsid w:val="005F51B2"/>
    <w:rsid w:val="005F575E"/>
    <w:rsid w:val="005F6999"/>
    <w:rsid w:val="005F6D9A"/>
    <w:rsid w:val="005F759A"/>
    <w:rsid w:val="00600E3F"/>
    <w:rsid w:val="00601401"/>
    <w:rsid w:val="00602227"/>
    <w:rsid w:val="00604EED"/>
    <w:rsid w:val="006108C6"/>
    <w:rsid w:val="0061153F"/>
    <w:rsid w:val="00612404"/>
    <w:rsid w:val="00612654"/>
    <w:rsid w:val="006126C5"/>
    <w:rsid w:val="00614E6A"/>
    <w:rsid w:val="00615DB8"/>
    <w:rsid w:val="00621752"/>
    <w:rsid w:val="006218FF"/>
    <w:rsid w:val="0062373C"/>
    <w:rsid w:val="00625871"/>
    <w:rsid w:val="006274B0"/>
    <w:rsid w:val="0063372E"/>
    <w:rsid w:val="00633E6F"/>
    <w:rsid w:val="00633F6A"/>
    <w:rsid w:val="006344D1"/>
    <w:rsid w:val="006349A3"/>
    <w:rsid w:val="00634FE5"/>
    <w:rsid w:val="006352A4"/>
    <w:rsid w:val="00635633"/>
    <w:rsid w:val="00635A9B"/>
    <w:rsid w:val="006360BE"/>
    <w:rsid w:val="006408EF"/>
    <w:rsid w:val="00641C7B"/>
    <w:rsid w:val="00642EA7"/>
    <w:rsid w:val="00643242"/>
    <w:rsid w:val="00643AF2"/>
    <w:rsid w:val="00644159"/>
    <w:rsid w:val="00647015"/>
    <w:rsid w:val="00647A8E"/>
    <w:rsid w:val="00650B05"/>
    <w:rsid w:val="00650B0E"/>
    <w:rsid w:val="0065160E"/>
    <w:rsid w:val="00651E9F"/>
    <w:rsid w:val="00657AA0"/>
    <w:rsid w:val="006614E5"/>
    <w:rsid w:val="00661564"/>
    <w:rsid w:val="00663189"/>
    <w:rsid w:val="00664DAB"/>
    <w:rsid w:val="00665006"/>
    <w:rsid w:val="00672A46"/>
    <w:rsid w:val="00673373"/>
    <w:rsid w:val="0067352F"/>
    <w:rsid w:val="00674695"/>
    <w:rsid w:val="00674D64"/>
    <w:rsid w:val="006760AB"/>
    <w:rsid w:val="00676EE6"/>
    <w:rsid w:val="00677FAC"/>
    <w:rsid w:val="0068006C"/>
    <w:rsid w:val="006819B4"/>
    <w:rsid w:val="00682863"/>
    <w:rsid w:val="006834C1"/>
    <w:rsid w:val="006856AD"/>
    <w:rsid w:val="00685F63"/>
    <w:rsid w:val="0068649E"/>
    <w:rsid w:val="00687225"/>
    <w:rsid w:val="006879B0"/>
    <w:rsid w:val="00690245"/>
    <w:rsid w:val="00690726"/>
    <w:rsid w:val="0069161F"/>
    <w:rsid w:val="006920A9"/>
    <w:rsid w:val="00692473"/>
    <w:rsid w:val="00693323"/>
    <w:rsid w:val="00693F27"/>
    <w:rsid w:val="00694358"/>
    <w:rsid w:val="006947BE"/>
    <w:rsid w:val="00695C57"/>
    <w:rsid w:val="00695FEC"/>
    <w:rsid w:val="0069618F"/>
    <w:rsid w:val="0069790D"/>
    <w:rsid w:val="006A08F6"/>
    <w:rsid w:val="006A108F"/>
    <w:rsid w:val="006A1D40"/>
    <w:rsid w:val="006A420D"/>
    <w:rsid w:val="006A5E34"/>
    <w:rsid w:val="006A621E"/>
    <w:rsid w:val="006A6551"/>
    <w:rsid w:val="006A7B94"/>
    <w:rsid w:val="006B105B"/>
    <w:rsid w:val="006B1413"/>
    <w:rsid w:val="006B15D0"/>
    <w:rsid w:val="006B210B"/>
    <w:rsid w:val="006B27AF"/>
    <w:rsid w:val="006B61E2"/>
    <w:rsid w:val="006B63B2"/>
    <w:rsid w:val="006B6E8E"/>
    <w:rsid w:val="006C0731"/>
    <w:rsid w:val="006C1959"/>
    <w:rsid w:val="006C1C5A"/>
    <w:rsid w:val="006C21AF"/>
    <w:rsid w:val="006C2BD6"/>
    <w:rsid w:val="006C48A5"/>
    <w:rsid w:val="006C55D1"/>
    <w:rsid w:val="006C6664"/>
    <w:rsid w:val="006D0946"/>
    <w:rsid w:val="006D1754"/>
    <w:rsid w:val="006D1E1E"/>
    <w:rsid w:val="006D2A16"/>
    <w:rsid w:val="006D3A24"/>
    <w:rsid w:val="006D6707"/>
    <w:rsid w:val="006D69E6"/>
    <w:rsid w:val="006E2994"/>
    <w:rsid w:val="006E2D02"/>
    <w:rsid w:val="006E32A0"/>
    <w:rsid w:val="006E36A2"/>
    <w:rsid w:val="006E40D2"/>
    <w:rsid w:val="006E609A"/>
    <w:rsid w:val="006E7C96"/>
    <w:rsid w:val="006F071C"/>
    <w:rsid w:val="006F2A28"/>
    <w:rsid w:val="006F309C"/>
    <w:rsid w:val="006F4C8A"/>
    <w:rsid w:val="006F501B"/>
    <w:rsid w:val="006F5B2D"/>
    <w:rsid w:val="006F74EE"/>
    <w:rsid w:val="00700E47"/>
    <w:rsid w:val="0070266C"/>
    <w:rsid w:val="00703BC6"/>
    <w:rsid w:val="00706C9E"/>
    <w:rsid w:val="00706FFC"/>
    <w:rsid w:val="00711008"/>
    <w:rsid w:val="00712B91"/>
    <w:rsid w:val="0071645F"/>
    <w:rsid w:val="00717D09"/>
    <w:rsid w:val="00723B1F"/>
    <w:rsid w:val="007240AB"/>
    <w:rsid w:val="0072636A"/>
    <w:rsid w:val="0072671C"/>
    <w:rsid w:val="0072768F"/>
    <w:rsid w:val="007279DD"/>
    <w:rsid w:val="00730EA1"/>
    <w:rsid w:val="007343ED"/>
    <w:rsid w:val="0073468A"/>
    <w:rsid w:val="00736146"/>
    <w:rsid w:val="0073724C"/>
    <w:rsid w:val="00740D63"/>
    <w:rsid w:val="00743B44"/>
    <w:rsid w:val="00745171"/>
    <w:rsid w:val="00746CB8"/>
    <w:rsid w:val="0075048E"/>
    <w:rsid w:val="00752FAD"/>
    <w:rsid w:val="00754375"/>
    <w:rsid w:val="00754B89"/>
    <w:rsid w:val="00755223"/>
    <w:rsid w:val="00756485"/>
    <w:rsid w:val="00760DBB"/>
    <w:rsid w:val="0076130F"/>
    <w:rsid w:val="00761D1E"/>
    <w:rsid w:val="0076646F"/>
    <w:rsid w:val="00766770"/>
    <w:rsid w:val="00767188"/>
    <w:rsid w:val="00770079"/>
    <w:rsid w:val="007702D1"/>
    <w:rsid w:val="00770825"/>
    <w:rsid w:val="00771039"/>
    <w:rsid w:val="0077642F"/>
    <w:rsid w:val="007772D8"/>
    <w:rsid w:val="00777DB5"/>
    <w:rsid w:val="007810D5"/>
    <w:rsid w:val="0078448F"/>
    <w:rsid w:val="00784C56"/>
    <w:rsid w:val="00784F6F"/>
    <w:rsid w:val="007851CE"/>
    <w:rsid w:val="00786656"/>
    <w:rsid w:val="00786DD4"/>
    <w:rsid w:val="00786EE3"/>
    <w:rsid w:val="007876C1"/>
    <w:rsid w:val="00787D49"/>
    <w:rsid w:val="00795591"/>
    <w:rsid w:val="00795B7E"/>
    <w:rsid w:val="007A1058"/>
    <w:rsid w:val="007A21FE"/>
    <w:rsid w:val="007A5360"/>
    <w:rsid w:val="007A55C0"/>
    <w:rsid w:val="007A748D"/>
    <w:rsid w:val="007A754B"/>
    <w:rsid w:val="007A7EBD"/>
    <w:rsid w:val="007B0A3A"/>
    <w:rsid w:val="007B0F5A"/>
    <w:rsid w:val="007B1714"/>
    <w:rsid w:val="007B28FF"/>
    <w:rsid w:val="007B49DC"/>
    <w:rsid w:val="007B4ADC"/>
    <w:rsid w:val="007B57B8"/>
    <w:rsid w:val="007B76E1"/>
    <w:rsid w:val="007C05CE"/>
    <w:rsid w:val="007C06A3"/>
    <w:rsid w:val="007C090F"/>
    <w:rsid w:val="007C0CB5"/>
    <w:rsid w:val="007C2054"/>
    <w:rsid w:val="007C2112"/>
    <w:rsid w:val="007C3D7F"/>
    <w:rsid w:val="007C5EBB"/>
    <w:rsid w:val="007D145E"/>
    <w:rsid w:val="007D178F"/>
    <w:rsid w:val="007D1C11"/>
    <w:rsid w:val="007D2C4B"/>
    <w:rsid w:val="007D41FD"/>
    <w:rsid w:val="007D44FF"/>
    <w:rsid w:val="007D454E"/>
    <w:rsid w:val="007D5A06"/>
    <w:rsid w:val="007D5EC7"/>
    <w:rsid w:val="007D6A17"/>
    <w:rsid w:val="007E1A73"/>
    <w:rsid w:val="007E246D"/>
    <w:rsid w:val="007E3511"/>
    <w:rsid w:val="007E6AC1"/>
    <w:rsid w:val="007F0165"/>
    <w:rsid w:val="007F0CDC"/>
    <w:rsid w:val="007F1248"/>
    <w:rsid w:val="007F2422"/>
    <w:rsid w:val="007F2BDA"/>
    <w:rsid w:val="007F37C0"/>
    <w:rsid w:val="007F4261"/>
    <w:rsid w:val="007F45BE"/>
    <w:rsid w:val="007F4B9C"/>
    <w:rsid w:val="007F5F68"/>
    <w:rsid w:val="007F66A0"/>
    <w:rsid w:val="007F6C26"/>
    <w:rsid w:val="007F701A"/>
    <w:rsid w:val="00800AF1"/>
    <w:rsid w:val="00802910"/>
    <w:rsid w:val="0080297E"/>
    <w:rsid w:val="00802AF2"/>
    <w:rsid w:val="00804054"/>
    <w:rsid w:val="008044D6"/>
    <w:rsid w:val="008047B9"/>
    <w:rsid w:val="00804DC4"/>
    <w:rsid w:val="00810671"/>
    <w:rsid w:val="00811E67"/>
    <w:rsid w:val="00813DD1"/>
    <w:rsid w:val="00815AFD"/>
    <w:rsid w:val="00815C5D"/>
    <w:rsid w:val="00817EA3"/>
    <w:rsid w:val="00820EF3"/>
    <w:rsid w:val="0082262A"/>
    <w:rsid w:val="00823706"/>
    <w:rsid w:val="00825C03"/>
    <w:rsid w:val="008264EB"/>
    <w:rsid w:val="00826BA3"/>
    <w:rsid w:val="008271C9"/>
    <w:rsid w:val="00830923"/>
    <w:rsid w:val="008317AD"/>
    <w:rsid w:val="00831BC9"/>
    <w:rsid w:val="00834AF6"/>
    <w:rsid w:val="00835C90"/>
    <w:rsid w:val="00836E24"/>
    <w:rsid w:val="00836EC8"/>
    <w:rsid w:val="008410FE"/>
    <w:rsid w:val="0084140D"/>
    <w:rsid w:val="00841BAD"/>
    <w:rsid w:val="00841F6D"/>
    <w:rsid w:val="00842D4F"/>
    <w:rsid w:val="00842E99"/>
    <w:rsid w:val="008447FD"/>
    <w:rsid w:val="008457D9"/>
    <w:rsid w:val="00845B39"/>
    <w:rsid w:val="0084631B"/>
    <w:rsid w:val="00846A03"/>
    <w:rsid w:val="008472E2"/>
    <w:rsid w:val="00847ED2"/>
    <w:rsid w:val="00851472"/>
    <w:rsid w:val="008516EA"/>
    <w:rsid w:val="00853EF3"/>
    <w:rsid w:val="0085564B"/>
    <w:rsid w:val="0085599F"/>
    <w:rsid w:val="00857285"/>
    <w:rsid w:val="00857F7F"/>
    <w:rsid w:val="00861BD0"/>
    <w:rsid w:val="00863A8F"/>
    <w:rsid w:val="00863CC0"/>
    <w:rsid w:val="008652E8"/>
    <w:rsid w:val="00865525"/>
    <w:rsid w:val="008659A2"/>
    <w:rsid w:val="00865DBF"/>
    <w:rsid w:val="00866FD7"/>
    <w:rsid w:val="00870156"/>
    <w:rsid w:val="008707B4"/>
    <w:rsid w:val="00872A07"/>
    <w:rsid w:val="00874AB1"/>
    <w:rsid w:val="00874BE7"/>
    <w:rsid w:val="00874F66"/>
    <w:rsid w:val="00874F86"/>
    <w:rsid w:val="00875270"/>
    <w:rsid w:val="008756EE"/>
    <w:rsid w:val="0087609B"/>
    <w:rsid w:val="008767F1"/>
    <w:rsid w:val="00876CBE"/>
    <w:rsid w:val="00880F43"/>
    <w:rsid w:val="008816FF"/>
    <w:rsid w:val="008844A8"/>
    <w:rsid w:val="00884712"/>
    <w:rsid w:val="008851C4"/>
    <w:rsid w:val="00890E97"/>
    <w:rsid w:val="008911A8"/>
    <w:rsid w:val="00891A53"/>
    <w:rsid w:val="008931BA"/>
    <w:rsid w:val="00893BE0"/>
    <w:rsid w:val="0089762A"/>
    <w:rsid w:val="00897FDD"/>
    <w:rsid w:val="008A1788"/>
    <w:rsid w:val="008A1DFD"/>
    <w:rsid w:val="008A2F23"/>
    <w:rsid w:val="008A38B4"/>
    <w:rsid w:val="008A5815"/>
    <w:rsid w:val="008A5EC9"/>
    <w:rsid w:val="008A7471"/>
    <w:rsid w:val="008A779F"/>
    <w:rsid w:val="008B0BD8"/>
    <w:rsid w:val="008B25A6"/>
    <w:rsid w:val="008B2CF4"/>
    <w:rsid w:val="008B407E"/>
    <w:rsid w:val="008B547C"/>
    <w:rsid w:val="008B5679"/>
    <w:rsid w:val="008B5BE1"/>
    <w:rsid w:val="008C2315"/>
    <w:rsid w:val="008C2978"/>
    <w:rsid w:val="008C2E34"/>
    <w:rsid w:val="008C31A1"/>
    <w:rsid w:val="008C387F"/>
    <w:rsid w:val="008C567B"/>
    <w:rsid w:val="008C5935"/>
    <w:rsid w:val="008D1316"/>
    <w:rsid w:val="008D133B"/>
    <w:rsid w:val="008D3AAA"/>
    <w:rsid w:val="008D3E03"/>
    <w:rsid w:val="008D460C"/>
    <w:rsid w:val="008D7A56"/>
    <w:rsid w:val="008E16FC"/>
    <w:rsid w:val="008E5177"/>
    <w:rsid w:val="008E5211"/>
    <w:rsid w:val="008F27F9"/>
    <w:rsid w:val="008F328B"/>
    <w:rsid w:val="008F5CC0"/>
    <w:rsid w:val="008F64A5"/>
    <w:rsid w:val="008F6DD8"/>
    <w:rsid w:val="00900E58"/>
    <w:rsid w:val="00901786"/>
    <w:rsid w:val="0090470F"/>
    <w:rsid w:val="00905A7B"/>
    <w:rsid w:val="0090786D"/>
    <w:rsid w:val="00907F5E"/>
    <w:rsid w:val="009115A3"/>
    <w:rsid w:val="00911889"/>
    <w:rsid w:val="0091203E"/>
    <w:rsid w:val="00914235"/>
    <w:rsid w:val="009144AF"/>
    <w:rsid w:val="00916EF1"/>
    <w:rsid w:val="00917D71"/>
    <w:rsid w:val="00920355"/>
    <w:rsid w:val="00921520"/>
    <w:rsid w:val="0092603B"/>
    <w:rsid w:val="00926D87"/>
    <w:rsid w:val="009278B3"/>
    <w:rsid w:val="009307FF"/>
    <w:rsid w:val="009321C7"/>
    <w:rsid w:val="00936C80"/>
    <w:rsid w:val="009374D2"/>
    <w:rsid w:val="00940227"/>
    <w:rsid w:val="009402FD"/>
    <w:rsid w:val="009438A7"/>
    <w:rsid w:val="00945104"/>
    <w:rsid w:val="0094536F"/>
    <w:rsid w:val="009461A1"/>
    <w:rsid w:val="00946513"/>
    <w:rsid w:val="009502AD"/>
    <w:rsid w:val="009519E6"/>
    <w:rsid w:val="00952719"/>
    <w:rsid w:val="00955E08"/>
    <w:rsid w:val="00956368"/>
    <w:rsid w:val="009575A7"/>
    <w:rsid w:val="00960A2F"/>
    <w:rsid w:val="00961182"/>
    <w:rsid w:val="00963153"/>
    <w:rsid w:val="009633C5"/>
    <w:rsid w:val="0096467A"/>
    <w:rsid w:val="00965533"/>
    <w:rsid w:val="00967D78"/>
    <w:rsid w:val="00970A8F"/>
    <w:rsid w:val="00970D85"/>
    <w:rsid w:val="00971C32"/>
    <w:rsid w:val="00971DBD"/>
    <w:rsid w:val="009721E8"/>
    <w:rsid w:val="0097287D"/>
    <w:rsid w:val="00972F94"/>
    <w:rsid w:val="00973256"/>
    <w:rsid w:val="0097629C"/>
    <w:rsid w:val="00976823"/>
    <w:rsid w:val="009810FC"/>
    <w:rsid w:val="00982B6B"/>
    <w:rsid w:val="009838AB"/>
    <w:rsid w:val="0098398E"/>
    <w:rsid w:val="00983BAE"/>
    <w:rsid w:val="00983F7C"/>
    <w:rsid w:val="009841BE"/>
    <w:rsid w:val="00984885"/>
    <w:rsid w:val="00986ED4"/>
    <w:rsid w:val="00991475"/>
    <w:rsid w:val="00991757"/>
    <w:rsid w:val="00991928"/>
    <w:rsid w:val="00991E58"/>
    <w:rsid w:val="0099468B"/>
    <w:rsid w:val="00994ABF"/>
    <w:rsid w:val="0099668D"/>
    <w:rsid w:val="009A00C9"/>
    <w:rsid w:val="009A0801"/>
    <w:rsid w:val="009A1313"/>
    <w:rsid w:val="009A1D77"/>
    <w:rsid w:val="009A4740"/>
    <w:rsid w:val="009A5BDB"/>
    <w:rsid w:val="009A7488"/>
    <w:rsid w:val="009A7A58"/>
    <w:rsid w:val="009A7B6D"/>
    <w:rsid w:val="009B1CD9"/>
    <w:rsid w:val="009B290D"/>
    <w:rsid w:val="009B2E02"/>
    <w:rsid w:val="009B3273"/>
    <w:rsid w:val="009B5770"/>
    <w:rsid w:val="009B5812"/>
    <w:rsid w:val="009B5E90"/>
    <w:rsid w:val="009B60A7"/>
    <w:rsid w:val="009C0731"/>
    <w:rsid w:val="009C3CFE"/>
    <w:rsid w:val="009C438E"/>
    <w:rsid w:val="009C4708"/>
    <w:rsid w:val="009C59C5"/>
    <w:rsid w:val="009C6496"/>
    <w:rsid w:val="009C72B0"/>
    <w:rsid w:val="009D20BE"/>
    <w:rsid w:val="009D21C9"/>
    <w:rsid w:val="009D2A80"/>
    <w:rsid w:val="009D7502"/>
    <w:rsid w:val="009E002E"/>
    <w:rsid w:val="009E1A2F"/>
    <w:rsid w:val="009E453B"/>
    <w:rsid w:val="009E5DBD"/>
    <w:rsid w:val="009E77F5"/>
    <w:rsid w:val="009F13DB"/>
    <w:rsid w:val="009F2114"/>
    <w:rsid w:val="009F2115"/>
    <w:rsid w:val="009F448C"/>
    <w:rsid w:val="009F5E57"/>
    <w:rsid w:val="009F67EC"/>
    <w:rsid w:val="009F6B16"/>
    <w:rsid w:val="009F7307"/>
    <w:rsid w:val="009F789C"/>
    <w:rsid w:val="009F7F7D"/>
    <w:rsid w:val="009F7F9F"/>
    <w:rsid w:val="00A00471"/>
    <w:rsid w:val="00A00908"/>
    <w:rsid w:val="00A01FCE"/>
    <w:rsid w:val="00A02074"/>
    <w:rsid w:val="00A03A06"/>
    <w:rsid w:val="00A0436E"/>
    <w:rsid w:val="00A051A7"/>
    <w:rsid w:val="00A05868"/>
    <w:rsid w:val="00A0586F"/>
    <w:rsid w:val="00A06677"/>
    <w:rsid w:val="00A079BA"/>
    <w:rsid w:val="00A07E7F"/>
    <w:rsid w:val="00A10009"/>
    <w:rsid w:val="00A10078"/>
    <w:rsid w:val="00A10667"/>
    <w:rsid w:val="00A10D05"/>
    <w:rsid w:val="00A11304"/>
    <w:rsid w:val="00A11608"/>
    <w:rsid w:val="00A122AD"/>
    <w:rsid w:val="00A12C47"/>
    <w:rsid w:val="00A12C9A"/>
    <w:rsid w:val="00A1493E"/>
    <w:rsid w:val="00A153BD"/>
    <w:rsid w:val="00A16502"/>
    <w:rsid w:val="00A17C71"/>
    <w:rsid w:val="00A200B0"/>
    <w:rsid w:val="00A20C4B"/>
    <w:rsid w:val="00A22F45"/>
    <w:rsid w:val="00A23700"/>
    <w:rsid w:val="00A25292"/>
    <w:rsid w:val="00A2631A"/>
    <w:rsid w:val="00A266D1"/>
    <w:rsid w:val="00A26718"/>
    <w:rsid w:val="00A267D4"/>
    <w:rsid w:val="00A26821"/>
    <w:rsid w:val="00A312A3"/>
    <w:rsid w:val="00A37C0B"/>
    <w:rsid w:val="00A4512D"/>
    <w:rsid w:val="00A46CAD"/>
    <w:rsid w:val="00A47BC3"/>
    <w:rsid w:val="00A508D8"/>
    <w:rsid w:val="00A512D5"/>
    <w:rsid w:val="00A517A9"/>
    <w:rsid w:val="00A51BB1"/>
    <w:rsid w:val="00A51EE2"/>
    <w:rsid w:val="00A53AF1"/>
    <w:rsid w:val="00A53B43"/>
    <w:rsid w:val="00A5495B"/>
    <w:rsid w:val="00A54F85"/>
    <w:rsid w:val="00A55758"/>
    <w:rsid w:val="00A56B64"/>
    <w:rsid w:val="00A56F27"/>
    <w:rsid w:val="00A57041"/>
    <w:rsid w:val="00A57C81"/>
    <w:rsid w:val="00A60A21"/>
    <w:rsid w:val="00A623BF"/>
    <w:rsid w:val="00A62584"/>
    <w:rsid w:val="00A62F0B"/>
    <w:rsid w:val="00A63179"/>
    <w:rsid w:val="00A6406E"/>
    <w:rsid w:val="00A6496F"/>
    <w:rsid w:val="00A65146"/>
    <w:rsid w:val="00A70585"/>
    <w:rsid w:val="00A705AF"/>
    <w:rsid w:val="00A71224"/>
    <w:rsid w:val="00A7164A"/>
    <w:rsid w:val="00A73513"/>
    <w:rsid w:val="00A74540"/>
    <w:rsid w:val="00A761F5"/>
    <w:rsid w:val="00A762B3"/>
    <w:rsid w:val="00A77625"/>
    <w:rsid w:val="00A80340"/>
    <w:rsid w:val="00A8084F"/>
    <w:rsid w:val="00A80A18"/>
    <w:rsid w:val="00A822A8"/>
    <w:rsid w:val="00A825FB"/>
    <w:rsid w:val="00A834F0"/>
    <w:rsid w:val="00A84C3C"/>
    <w:rsid w:val="00A84F37"/>
    <w:rsid w:val="00A86643"/>
    <w:rsid w:val="00A9155E"/>
    <w:rsid w:val="00A91600"/>
    <w:rsid w:val="00A927E3"/>
    <w:rsid w:val="00A94281"/>
    <w:rsid w:val="00A9495E"/>
    <w:rsid w:val="00A94B5D"/>
    <w:rsid w:val="00AA1331"/>
    <w:rsid w:val="00AA334D"/>
    <w:rsid w:val="00AA3441"/>
    <w:rsid w:val="00AA3663"/>
    <w:rsid w:val="00AA509F"/>
    <w:rsid w:val="00AA578A"/>
    <w:rsid w:val="00AA595F"/>
    <w:rsid w:val="00AB16E6"/>
    <w:rsid w:val="00AB1BAF"/>
    <w:rsid w:val="00AB3041"/>
    <w:rsid w:val="00AB373D"/>
    <w:rsid w:val="00AB3EB2"/>
    <w:rsid w:val="00AB4AE1"/>
    <w:rsid w:val="00AB5E8F"/>
    <w:rsid w:val="00AB6C29"/>
    <w:rsid w:val="00AB7052"/>
    <w:rsid w:val="00AB78E9"/>
    <w:rsid w:val="00AC0078"/>
    <w:rsid w:val="00AC00F1"/>
    <w:rsid w:val="00AC1326"/>
    <w:rsid w:val="00AC1BDC"/>
    <w:rsid w:val="00AC46FA"/>
    <w:rsid w:val="00AC62D7"/>
    <w:rsid w:val="00AC662F"/>
    <w:rsid w:val="00AC6F17"/>
    <w:rsid w:val="00AD066E"/>
    <w:rsid w:val="00AD0C6B"/>
    <w:rsid w:val="00AD219E"/>
    <w:rsid w:val="00AD2598"/>
    <w:rsid w:val="00AD48F4"/>
    <w:rsid w:val="00AD6AFC"/>
    <w:rsid w:val="00AD6B60"/>
    <w:rsid w:val="00AD6C3D"/>
    <w:rsid w:val="00AD6EC4"/>
    <w:rsid w:val="00AE0347"/>
    <w:rsid w:val="00AE03C7"/>
    <w:rsid w:val="00AE1DE1"/>
    <w:rsid w:val="00AE1E7A"/>
    <w:rsid w:val="00AE20F5"/>
    <w:rsid w:val="00AE2ADF"/>
    <w:rsid w:val="00AE38F9"/>
    <w:rsid w:val="00AE68EE"/>
    <w:rsid w:val="00AE7AFA"/>
    <w:rsid w:val="00AF01FD"/>
    <w:rsid w:val="00AF09E7"/>
    <w:rsid w:val="00AF206E"/>
    <w:rsid w:val="00AF2E2B"/>
    <w:rsid w:val="00AF4188"/>
    <w:rsid w:val="00AF5078"/>
    <w:rsid w:val="00AF5157"/>
    <w:rsid w:val="00AF5376"/>
    <w:rsid w:val="00AF60B3"/>
    <w:rsid w:val="00AF6998"/>
    <w:rsid w:val="00AF7B6A"/>
    <w:rsid w:val="00B008F1"/>
    <w:rsid w:val="00B009BC"/>
    <w:rsid w:val="00B01ECA"/>
    <w:rsid w:val="00B03F94"/>
    <w:rsid w:val="00B04B68"/>
    <w:rsid w:val="00B05970"/>
    <w:rsid w:val="00B05D0A"/>
    <w:rsid w:val="00B06777"/>
    <w:rsid w:val="00B06E7D"/>
    <w:rsid w:val="00B11691"/>
    <w:rsid w:val="00B11BA1"/>
    <w:rsid w:val="00B12FFB"/>
    <w:rsid w:val="00B138B0"/>
    <w:rsid w:val="00B141FC"/>
    <w:rsid w:val="00B14508"/>
    <w:rsid w:val="00B1601E"/>
    <w:rsid w:val="00B165D1"/>
    <w:rsid w:val="00B16B99"/>
    <w:rsid w:val="00B16ED7"/>
    <w:rsid w:val="00B1766A"/>
    <w:rsid w:val="00B20AA5"/>
    <w:rsid w:val="00B23912"/>
    <w:rsid w:val="00B23EA8"/>
    <w:rsid w:val="00B25E32"/>
    <w:rsid w:val="00B265C9"/>
    <w:rsid w:val="00B2780C"/>
    <w:rsid w:val="00B27C69"/>
    <w:rsid w:val="00B27CD4"/>
    <w:rsid w:val="00B3027B"/>
    <w:rsid w:val="00B316CB"/>
    <w:rsid w:val="00B3199E"/>
    <w:rsid w:val="00B31FD5"/>
    <w:rsid w:val="00B3409F"/>
    <w:rsid w:val="00B34492"/>
    <w:rsid w:val="00B356D1"/>
    <w:rsid w:val="00B36889"/>
    <w:rsid w:val="00B3691B"/>
    <w:rsid w:val="00B403C8"/>
    <w:rsid w:val="00B404B4"/>
    <w:rsid w:val="00B405EC"/>
    <w:rsid w:val="00B40772"/>
    <w:rsid w:val="00B41A6B"/>
    <w:rsid w:val="00B42851"/>
    <w:rsid w:val="00B43691"/>
    <w:rsid w:val="00B43BF4"/>
    <w:rsid w:val="00B47431"/>
    <w:rsid w:val="00B51D50"/>
    <w:rsid w:val="00B534EF"/>
    <w:rsid w:val="00B536FF"/>
    <w:rsid w:val="00B5391E"/>
    <w:rsid w:val="00B54018"/>
    <w:rsid w:val="00B54FCC"/>
    <w:rsid w:val="00B558BE"/>
    <w:rsid w:val="00B56FE0"/>
    <w:rsid w:val="00B57F69"/>
    <w:rsid w:val="00B612DD"/>
    <w:rsid w:val="00B62C91"/>
    <w:rsid w:val="00B6300A"/>
    <w:rsid w:val="00B64C16"/>
    <w:rsid w:val="00B660F3"/>
    <w:rsid w:val="00B7181B"/>
    <w:rsid w:val="00B7291C"/>
    <w:rsid w:val="00B729F0"/>
    <w:rsid w:val="00B72C53"/>
    <w:rsid w:val="00B7328A"/>
    <w:rsid w:val="00B73B01"/>
    <w:rsid w:val="00B750EB"/>
    <w:rsid w:val="00B759E2"/>
    <w:rsid w:val="00B75A57"/>
    <w:rsid w:val="00B75F13"/>
    <w:rsid w:val="00B76187"/>
    <w:rsid w:val="00B77936"/>
    <w:rsid w:val="00B77B8D"/>
    <w:rsid w:val="00B82812"/>
    <w:rsid w:val="00B82B63"/>
    <w:rsid w:val="00B83020"/>
    <w:rsid w:val="00B842F0"/>
    <w:rsid w:val="00B84305"/>
    <w:rsid w:val="00B853F9"/>
    <w:rsid w:val="00B8542C"/>
    <w:rsid w:val="00B864B2"/>
    <w:rsid w:val="00B86685"/>
    <w:rsid w:val="00B87AC5"/>
    <w:rsid w:val="00B93015"/>
    <w:rsid w:val="00B955FA"/>
    <w:rsid w:val="00B973CA"/>
    <w:rsid w:val="00B97683"/>
    <w:rsid w:val="00BA0090"/>
    <w:rsid w:val="00BA0463"/>
    <w:rsid w:val="00BA0C7E"/>
    <w:rsid w:val="00BA25C3"/>
    <w:rsid w:val="00BA4039"/>
    <w:rsid w:val="00BA538D"/>
    <w:rsid w:val="00BA7A85"/>
    <w:rsid w:val="00BB110F"/>
    <w:rsid w:val="00BB3594"/>
    <w:rsid w:val="00BB4FD2"/>
    <w:rsid w:val="00BB6A11"/>
    <w:rsid w:val="00BC0D03"/>
    <w:rsid w:val="00BC131B"/>
    <w:rsid w:val="00BC2C75"/>
    <w:rsid w:val="00BC379A"/>
    <w:rsid w:val="00BC3C58"/>
    <w:rsid w:val="00BC601E"/>
    <w:rsid w:val="00BC6881"/>
    <w:rsid w:val="00BC79A1"/>
    <w:rsid w:val="00BD0EBC"/>
    <w:rsid w:val="00BD4343"/>
    <w:rsid w:val="00BD4BF6"/>
    <w:rsid w:val="00BD50DE"/>
    <w:rsid w:val="00BD5589"/>
    <w:rsid w:val="00BD6132"/>
    <w:rsid w:val="00BE147D"/>
    <w:rsid w:val="00BE2020"/>
    <w:rsid w:val="00BE22B7"/>
    <w:rsid w:val="00BE5C22"/>
    <w:rsid w:val="00BE64A7"/>
    <w:rsid w:val="00BE7219"/>
    <w:rsid w:val="00BF2405"/>
    <w:rsid w:val="00BF26A4"/>
    <w:rsid w:val="00BF2962"/>
    <w:rsid w:val="00BF2E9A"/>
    <w:rsid w:val="00BF32E9"/>
    <w:rsid w:val="00BF43F8"/>
    <w:rsid w:val="00BF468D"/>
    <w:rsid w:val="00BF5FAA"/>
    <w:rsid w:val="00C00D4B"/>
    <w:rsid w:val="00C01C46"/>
    <w:rsid w:val="00C029D5"/>
    <w:rsid w:val="00C02BE4"/>
    <w:rsid w:val="00C03CF5"/>
    <w:rsid w:val="00C03CFC"/>
    <w:rsid w:val="00C04817"/>
    <w:rsid w:val="00C070E0"/>
    <w:rsid w:val="00C11546"/>
    <w:rsid w:val="00C1417D"/>
    <w:rsid w:val="00C158E8"/>
    <w:rsid w:val="00C16AC7"/>
    <w:rsid w:val="00C20D60"/>
    <w:rsid w:val="00C20F99"/>
    <w:rsid w:val="00C220F2"/>
    <w:rsid w:val="00C22E47"/>
    <w:rsid w:val="00C2505B"/>
    <w:rsid w:val="00C33E35"/>
    <w:rsid w:val="00C343FD"/>
    <w:rsid w:val="00C357AE"/>
    <w:rsid w:val="00C370B6"/>
    <w:rsid w:val="00C40C7D"/>
    <w:rsid w:val="00C41D74"/>
    <w:rsid w:val="00C430BE"/>
    <w:rsid w:val="00C43C03"/>
    <w:rsid w:val="00C44C70"/>
    <w:rsid w:val="00C45071"/>
    <w:rsid w:val="00C45232"/>
    <w:rsid w:val="00C501D6"/>
    <w:rsid w:val="00C508FB"/>
    <w:rsid w:val="00C51161"/>
    <w:rsid w:val="00C525DF"/>
    <w:rsid w:val="00C5411A"/>
    <w:rsid w:val="00C549A4"/>
    <w:rsid w:val="00C55615"/>
    <w:rsid w:val="00C56729"/>
    <w:rsid w:val="00C56D38"/>
    <w:rsid w:val="00C600C7"/>
    <w:rsid w:val="00C6037E"/>
    <w:rsid w:val="00C61153"/>
    <w:rsid w:val="00C61195"/>
    <w:rsid w:val="00C622A7"/>
    <w:rsid w:val="00C62CF3"/>
    <w:rsid w:val="00C66287"/>
    <w:rsid w:val="00C66474"/>
    <w:rsid w:val="00C67486"/>
    <w:rsid w:val="00C674B5"/>
    <w:rsid w:val="00C67603"/>
    <w:rsid w:val="00C67918"/>
    <w:rsid w:val="00C67D9D"/>
    <w:rsid w:val="00C7025B"/>
    <w:rsid w:val="00C7123B"/>
    <w:rsid w:val="00C72B56"/>
    <w:rsid w:val="00C8016E"/>
    <w:rsid w:val="00C80309"/>
    <w:rsid w:val="00C8106B"/>
    <w:rsid w:val="00C8108F"/>
    <w:rsid w:val="00C81E3B"/>
    <w:rsid w:val="00C8283A"/>
    <w:rsid w:val="00C84E73"/>
    <w:rsid w:val="00C85244"/>
    <w:rsid w:val="00C86ADC"/>
    <w:rsid w:val="00C86F4F"/>
    <w:rsid w:val="00C87242"/>
    <w:rsid w:val="00C8764B"/>
    <w:rsid w:val="00C90EE5"/>
    <w:rsid w:val="00C92300"/>
    <w:rsid w:val="00C92E5B"/>
    <w:rsid w:val="00C9307E"/>
    <w:rsid w:val="00C93D08"/>
    <w:rsid w:val="00C94A43"/>
    <w:rsid w:val="00C964AE"/>
    <w:rsid w:val="00CA2096"/>
    <w:rsid w:val="00CA22FC"/>
    <w:rsid w:val="00CA46AE"/>
    <w:rsid w:val="00CA69F3"/>
    <w:rsid w:val="00CA7EBE"/>
    <w:rsid w:val="00CB1040"/>
    <w:rsid w:val="00CB15D1"/>
    <w:rsid w:val="00CB2651"/>
    <w:rsid w:val="00CB283F"/>
    <w:rsid w:val="00CB3317"/>
    <w:rsid w:val="00CB54CF"/>
    <w:rsid w:val="00CB5B1A"/>
    <w:rsid w:val="00CB6ECC"/>
    <w:rsid w:val="00CB7B24"/>
    <w:rsid w:val="00CB7D9A"/>
    <w:rsid w:val="00CC093F"/>
    <w:rsid w:val="00CC1175"/>
    <w:rsid w:val="00CC1D33"/>
    <w:rsid w:val="00CC31EF"/>
    <w:rsid w:val="00CC5168"/>
    <w:rsid w:val="00CC613E"/>
    <w:rsid w:val="00CC61FA"/>
    <w:rsid w:val="00CC632A"/>
    <w:rsid w:val="00CC633C"/>
    <w:rsid w:val="00CC6D42"/>
    <w:rsid w:val="00CC7BA0"/>
    <w:rsid w:val="00CD22A8"/>
    <w:rsid w:val="00CD2CFB"/>
    <w:rsid w:val="00CD463E"/>
    <w:rsid w:val="00CD4FF2"/>
    <w:rsid w:val="00CD5836"/>
    <w:rsid w:val="00CD5CB8"/>
    <w:rsid w:val="00CD6875"/>
    <w:rsid w:val="00CD746D"/>
    <w:rsid w:val="00CD7759"/>
    <w:rsid w:val="00CE13F4"/>
    <w:rsid w:val="00CE2ABC"/>
    <w:rsid w:val="00CE4ADB"/>
    <w:rsid w:val="00CE4CDC"/>
    <w:rsid w:val="00CE5CB4"/>
    <w:rsid w:val="00CE6BAB"/>
    <w:rsid w:val="00CF016E"/>
    <w:rsid w:val="00CF0959"/>
    <w:rsid w:val="00CF1590"/>
    <w:rsid w:val="00CF1937"/>
    <w:rsid w:val="00CF260C"/>
    <w:rsid w:val="00CF2BA0"/>
    <w:rsid w:val="00CF3256"/>
    <w:rsid w:val="00CF5490"/>
    <w:rsid w:val="00CF56A2"/>
    <w:rsid w:val="00CF703B"/>
    <w:rsid w:val="00D016D4"/>
    <w:rsid w:val="00D029FE"/>
    <w:rsid w:val="00D02E54"/>
    <w:rsid w:val="00D036CC"/>
    <w:rsid w:val="00D03F22"/>
    <w:rsid w:val="00D0534F"/>
    <w:rsid w:val="00D07B5B"/>
    <w:rsid w:val="00D11D3F"/>
    <w:rsid w:val="00D12158"/>
    <w:rsid w:val="00D12CE9"/>
    <w:rsid w:val="00D15419"/>
    <w:rsid w:val="00D15982"/>
    <w:rsid w:val="00D16285"/>
    <w:rsid w:val="00D16A6B"/>
    <w:rsid w:val="00D177AD"/>
    <w:rsid w:val="00D17DF6"/>
    <w:rsid w:val="00D2390D"/>
    <w:rsid w:val="00D24057"/>
    <w:rsid w:val="00D2694C"/>
    <w:rsid w:val="00D26A01"/>
    <w:rsid w:val="00D309F6"/>
    <w:rsid w:val="00D31F9F"/>
    <w:rsid w:val="00D32C45"/>
    <w:rsid w:val="00D3400B"/>
    <w:rsid w:val="00D344B8"/>
    <w:rsid w:val="00D34DF2"/>
    <w:rsid w:val="00D35910"/>
    <w:rsid w:val="00D35AE5"/>
    <w:rsid w:val="00D40BE9"/>
    <w:rsid w:val="00D428B3"/>
    <w:rsid w:val="00D42BB9"/>
    <w:rsid w:val="00D42EC5"/>
    <w:rsid w:val="00D436B9"/>
    <w:rsid w:val="00D44BFB"/>
    <w:rsid w:val="00D4679D"/>
    <w:rsid w:val="00D47222"/>
    <w:rsid w:val="00D4749F"/>
    <w:rsid w:val="00D47A51"/>
    <w:rsid w:val="00D50334"/>
    <w:rsid w:val="00D51220"/>
    <w:rsid w:val="00D5160A"/>
    <w:rsid w:val="00D525AC"/>
    <w:rsid w:val="00D54837"/>
    <w:rsid w:val="00D570FD"/>
    <w:rsid w:val="00D60357"/>
    <w:rsid w:val="00D625E4"/>
    <w:rsid w:val="00D6406F"/>
    <w:rsid w:val="00D65339"/>
    <w:rsid w:val="00D660BD"/>
    <w:rsid w:val="00D671E9"/>
    <w:rsid w:val="00D672C9"/>
    <w:rsid w:val="00D70391"/>
    <w:rsid w:val="00D70BB2"/>
    <w:rsid w:val="00D70CDA"/>
    <w:rsid w:val="00D71967"/>
    <w:rsid w:val="00D72149"/>
    <w:rsid w:val="00D7251E"/>
    <w:rsid w:val="00D7255E"/>
    <w:rsid w:val="00D73A32"/>
    <w:rsid w:val="00D74035"/>
    <w:rsid w:val="00D745C8"/>
    <w:rsid w:val="00D74805"/>
    <w:rsid w:val="00D7552E"/>
    <w:rsid w:val="00D75F23"/>
    <w:rsid w:val="00D77011"/>
    <w:rsid w:val="00D77EEC"/>
    <w:rsid w:val="00D80D1A"/>
    <w:rsid w:val="00D8379A"/>
    <w:rsid w:val="00D84996"/>
    <w:rsid w:val="00D851AF"/>
    <w:rsid w:val="00D85871"/>
    <w:rsid w:val="00D868BC"/>
    <w:rsid w:val="00D86DBD"/>
    <w:rsid w:val="00D90FB8"/>
    <w:rsid w:val="00D910E1"/>
    <w:rsid w:val="00D91151"/>
    <w:rsid w:val="00D92A84"/>
    <w:rsid w:val="00D954CB"/>
    <w:rsid w:val="00D95F65"/>
    <w:rsid w:val="00D971A0"/>
    <w:rsid w:val="00D973A2"/>
    <w:rsid w:val="00D975C2"/>
    <w:rsid w:val="00D97AEF"/>
    <w:rsid w:val="00D97F15"/>
    <w:rsid w:val="00DA10E8"/>
    <w:rsid w:val="00DA1619"/>
    <w:rsid w:val="00DA2B9A"/>
    <w:rsid w:val="00DA2CF2"/>
    <w:rsid w:val="00DA386A"/>
    <w:rsid w:val="00DA495A"/>
    <w:rsid w:val="00DA56E3"/>
    <w:rsid w:val="00DA6D15"/>
    <w:rsid w:val="00DB2C60"/>
    <w:rsid w:val="00DB3535"/>
    <w:rsid w:val="00DB35ED"/>
    <w:rsid w:val="00DB3C92"/>
    <w:rsid w:val="00DB647A"/>
    <w:rsid w:val="00DB67A4"/>
    <w:rsid w:val="00DB67F3"/>
    <w:rsid w:val="00DB7EF1"/>
    <w:rsid w:val="00DC1D09"/>
    <w:rsid w:val="00DC1FF4"/>
    <w:rsid w:val="00DC2149"/>
    <w:rsid w:val="00DC3565"/>
    <w:rsid w:val="00DC4EB3"/>
    <w:rsid w:val="00DC6C1C"/>
    <w:rsid w:val="00DD12AB"/>
    <w:rsid w:val="00DD31EA"/>
    <w:rsid w:val="00DD36E6"/>
    <w:rsid w:val="00DD4614"/>
    <w:rsid w:val="00DD547D"/>
    <w:rsid w:val="00DD5928"/>
    <w:rsid w:val="00DD5FB3"/>
    <w:rsid w:val="00DD66CE"/>
    <w:rsid w:val="00DE0723"/>
    <w:rsid w:val="00DE2B89"/>
    <w:rsid w:val="00DE4511"/>
    <w:rsid w:val="00DE6F66"/>
    <w:rsid w:val="00DF097F"/>
    <w:rsid w:val="00DF0F89"/>
    <w:rsid w:val="00DF1DC3"/>
    <w:rsid w:val="00DF2A18"/>
    <w:rsid w:val="00DF34A3"/>
    <w:rsid w:val="00DF41E1"/>
    <w:rsid w:val="00DF440C"/>
    <w:rsid w:val="00DF4E6E"/>
    <w:rsid w:val="00DF5DBB"/>
    <w:rsid w:val="00E00A80"/>
    <w:rsid w:val="00E00AFB"/>
    <w:rsid w:val="00E017AA"/>
    <w:rsid w:val="00E02EA7"/>
    <w:rsid w:val="00E03695"/>
    <w:rsid w:val="00E038E5"/>
    <w:rsid w:val="00E07A7A"/>
    <w:rsid w:val="00E10A98"/>
    <w:rsid w:val="00E10AB5"/>
    <w:rsid w:val="00E13E90"/>
    <w:rsid w:val="00E1579E"/>
    <w:rsid w:val="00E16B0C"/>
    <w:rsid w:val="00E171D4"/>
    <w:rsid w:val="00E174B2"/>
    <w:rsid w:val="00E17FA1"/>
    <w:rsid w:val="00E206C0"/>
    <w:rsid w:val="00E21789"/>
    <w:rsid w:val="00E22D1B"/>
    <w:rsid w:val="00E2318D"/>
    <w:rsid w:val="00E238A7"/>
    <w:rsid w:val="00E258FE"/>
    <w:rsid w:val="00E2659F"/>
    <w:rsid w:val="00E26ACB"/>
    <w:rsid w:val="00E3014D"/>
    <w:rsid w:val="00E3030C"/>
    <w:rsid w:val="00E307C9"/>
    <w:rsid w:val="00E30932"/>
    <w:rsid w:val="00E313CB"/>
    <w:rsid w:val="00E31C57"/>
    <w:rsid w:val="00E31E68"/>
    <w:rsid w:val="00E32C9E"/>
    <w:rsid w:val="00E36923"/>
    <w:rsid w:val="00E36D06"/>
    <w:rsid w:val="00E3712F"/>
    <w:rsid w:val="00E40003"/>
    <w:rsid w:val="00E41D76"/>
    <w:rsid w:val="00E44350"/>
    <w:rsid w:val="00E44605"/>
    <w:rsid w:val="00E46341"/>
    <w:rsid w:val="00E46584"/>
    <w:rsid w:val="00E46AF6"/>
    <w:rsid w:val="00E47306"/>
    <w:rsid w:val="00E51899"/>
    <w:rsid w:val="00E52EBD"/>
    <w:rsid w:val="00E57522"/>
    <w:rsid w:val="00E57902"/>
    <w:rsid w:val="00E6106C"/>
    <w:rsid w:val="00E61711"/>
    <w:rsid w:val="00E627CC"/>
    <w:rsid w:val="00E65E70"/>
    <w:rsid w:val="00E6705D"/>
    <w:rsid w:val="00E709F6"/>
    <w:rsid w:val="00E70FE8"/>
    <w:rsid w:val="00E71167"/>
    <w:rsid w:val="00E7193F"/>
    <w:rsid w:val="00E71B8E"/>
    <w:rsid w:val="00E71E9D"/>
    <w:rsid w:val="00E729BB"/>
    <w:rsid w:val="00E72AA1"/>
    <w:rsid w:val="00E734DC"/>
    <w:rsid w:val="00E7372F"/>
    <w:rsid w:val="00E73D16"/>
    <w:rsid w:val="00E74002"/>
    <w:rsid w:val="00E761ED"/>
    <w:rsid w:val="00E7662E"/>
    <w:rsid w:val="00E77F41"/>
    <w:rsid w:val="00E82533"/>
    <w:rsid w:val="00E86A47"/>
    <w:rsid w:val="00E90314"/>
    <w:rsid w:val="00E905A0"/>
    <w:rsid w:val="00E91494"/>
    <w:rsid w:val="00E918B5"/>
    <w:rsid w:val="00E938F9"/>
    <w:rsid w:val="00E9511D"/>
    <w:rsid w:val="00E96258"/>
    <w:rsid w:val="00E96408"/>
    <w:rsid w:val="00E96E93"/>
    <w:rsid w:val="00E9791D"/>
    <w:rsid w:val="00E97B14"/>
    <w:rsid w:val="00EA0F79"/>
    <w:rsid w:val="00EA1A7F"/>
    <w:rsid w:val="00EA315E"/>
    <w:rsid w:val="00EA369D"/>
    <w:rsid w:val="00EA7290"/>
    <w:rsid w:val="00EA77B8"/>
    <w:rsid w:val="00EB0869"/>
    <w:rsid w:val="00EB0BB9"/>
    <w:rsid w:val="00EB1D32"/>
    <w:rsid w:val="00EB248A"/>
    <w:rsid w:val="00EB6007"/>
    <w:rsid w:val="00EB6AAA"/>
    <w:rsid w:val="00EB6F2E"/>
    <w:rsid w:val="00EB7186"/>
    <w:rsid w:val="00EB7276"/>
    <w:rsid w:val="00EB778F"/>
    <w:rsid w:val="00EB78FD"/>
    <w:rsid w:val="00EC1161"/>
    <w:rsid w:val="00EC2465"/>
    <w:rsid w:val="00EC34ED"/>
    <w:rsid w:val="00EC3553"/>
    <w:rsid w:val="00EC3A9B"/>
    <w:rsid w:val="00EC55F6"/>
    <w:rsid w:val="00EC62B1"/>
    <w:rsid w:val="00EC75A1"/>
    <w:rsid w:val="00ED1C0F"/>
    <w:rsid w:val="00ED44E4"/>
    <w:rsid w:val="00ED664E"/>
    <w:rsid w:val="00ED78D3"/>
    <w:rsid w:val="00ED7C86"/>
    <w:rsid w:val="00ED7FC9"/>
    <w:rsid w:val="00EE11D6"/>
    <w:rsid w:val="00EE1FB4"/>
    <w:rsid w:val="00EE3F41"/>
    <w:rsid w:val="00EE4302"/>
    <w:rsid w:val="00EE4CD9"/>
    <w:rsid w:val="00EE6868"/>
    <w:rsid w:val="00EF0416"/>
    <w:rsid w:val="00EF149F"/>
    <w:rsid w:val="00EF1E34"/>
    <w:rsid w:val="00EF2412"/>
    <w:rsid w:val="00EF2A37"/>
    <w:rsid w:val="00EF4F47"/>
    <w:rsid w:val="00EF568E"/>
    <w:rsid w:val="00EF5931"/>
    <w:rsid w:val="00EF724D"/>
    <w:rsid w:val="00F00221"/>
    <w:rsid w:val="00F017BE"/>
    <w:rsid w:val="00F02272"/>
    <w:rsid w:val="00F02930"/>
    <w:rsid w:val="00F037C1"/>
    <w:rsid w:val="00F04189"/>
    <w:rsid w:val="00F04294"/>
    <w:rsid w:val="00F04604"/>
    <w:rsid w:val="00F06EAD"/>
    <w:rsid w:val="00F11455"/>
    <w:rsid w:val="00F124BD"/>
    <w:rsid w:val="00F1259A"/>
    <w:rsid w:val="00F1368E"/>
    <w:rsid w:val="00F139C3"/>
    <w:rsid w:val="00F13DF4"/>
    <w:rsid w:val="00F14814"/>
    <w:rsid w:val="00F14A35"/>
    <w:rsid w:val="00F15083"/>
    <w:rsid w:val="00F15EA3"/>
    <w:rsid w:val="00F1723C"/>
    <w:rsid w:val="00F2121B"/>
    <w:rsid w:val="00F21777"/>
    <w:rsid w:val="00F21D83"/>
    <w:rsid w:val="00F22486"/>
    <w:rsid w:val="00F2274D"/>
    <w:rsid w:val="00F2451F"/>
    <w:rsid w:val="00F2472A"/>
    <w:rsid w:val="00F24A1C"/>
    <w:rsid w:val="00F252A8"/>
    <w:rsid w:val="00F3041B"/>
    <w:rsid w:val="00F31E24"/>
    <w:rsid w:val="00F32349"/>
    <w:rsid w:val="00F3447A"/>
    <w:rsid w:val="00F34AFB"/>
    <w:rsid w:val="00F36675"/>
    <w:rsid w:val="00F36E89"/>
    <w:rsid w:val="00F37432"/>
    <w:rsid w:val="00F42DD6"/>
    <w:rsid w:val="00F44A9F"/>
    <w:rsid w:val="00F500DF"/>
    <w:rsid w:val="00F52355"/>
    <w:rsid w:val="00F52BA7"/>
    <w:rsid w:val="00F53DD2"/>
    <w:rsid w:val="00F54386"/>
    <w:rsid w:val="00F55266"/>
    <w:rsid w:val="00F55476"/>
    <w:rsid w:val="00F61F5B"/>
    <w:rsid w:val="00F63B3E"/>
    <w:rsid w:val="00F66727"/>
    <w:rsid w:val="00F667FE"/>
    <w:rsid w:val="00F66D54"/>
    <w:rsid w:val="00F70BE9"/>
    <w:rsid w:val="00F70E41"/>
    <w:rsid w:val="00F71E89"/>
    <w:rsid w:val="00F72037"/>
    <w:rsid w:val="00F72893"/>
    <w:rsid w:val="00F73F40"/>
    <w:rsid w:val="00F74380"/>
    <w:rsid w:val="00F761B3"/>
    <w:rsid w:val="00F76997"/>
    <w:rsid w:val="00F76D2E"/>
    <w:rsid w:val="00F8163F"/>
    <w:rsid w:val="00F8217E"/>
    <w:rsid w:val="00F82465"/>
    <w:rsid w:val="00F82D95"/>
    <w:rsid w:val="00F83EE4"/>
    <w:rsid w:val="00F84E44"/>
    <w:rsid w:val="00F851CF"/>
    <w:rsid w:val="00F86810"/>
    <w:rsid w:val="00F86C1F"/>
    <w:rsid w:val="00F8748B"/>
    <w:rsid w:val="00F91DF0"/>
    <w:rsid w:val="00F96441"/>
    <w:rsid w:val="00F96584"/>
    <w:rsid w:val="00F96D95"/>
    <w:rsid w:val="00FA07B5"/>
    <w:rsid w:val="00FA261A"/>
    <w:rsid w:val="00FA3AA9"/>
    <w:rsid w:val="00FA4384"/>
    <w:rsid w:val="00FA4B55"/>
    <w:rsid w:val="00FA576B"/>
    <w:rsid w:val="00FA5B89"/>
    <w:rsid w:val="00FB052D"/>
    <w:rsid w:val="00FB1077"/>
    <w:rsid w:val="00FB112F"/>
    <w:rsid w:val="00FB4476"/>
    <w:rsid w:val="00FB4577"/>
    <w:rsid w:val="00FB5B60"/>
    <w:rsid w:val="00FC0ADA"/>
    <w:rsid w:val="00FC1498"/>
    <w:rsid w:val="00FC28E5"/>
    <w:rsid w:val="00FC2B14"/>
    <w:rsid w:val="00FC2D22"/>
    <w:rsid w:val="00FC3210"/>
    <w:rsid w:val="00FC4D0C"/>
    <w:rsid w:val="00FC5304"/>
    <w:rsid w:val="00FC6985"/>
    <w:rsid w:val="00FD0C93"/>
    <w:rsid w:val="00FD2143"/>
    <w:rsid w:val="00FD2A08"/>
    <w:rsid w:val="00FD32E2"/>
    <w:rsid w:val="00FD4611"/>
    <w:rsid w:val="00FD4AEE"/>
    <w:rsid w:val="00FD5550"/>
    <w:rsid w:val="00FD6835"/>
    <w:rsid w:val="00FD6FBD"/>
    <w:rsid w:val="00FD776C"/>
    <w:rsid w:val="00FE3DD4"/>
    <w:rsid w:val="00FE456B"/>
    <w:rsid w:val="00FE542A"/>
    <w:rsid w:val="00FE62A3"/>
    <w:rsid w:val="00FE6DD6"/>
    <w:rsid w:val="00FF26E8"/>
    <w:rsid w:val="00FF274F"/>
    <w:rsid w:val="00FF31B3"/>
    <w:rsid w:val="00FF3ACD"/>
    <w:rsid w:val="00FF6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412"/>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link w:val="ListParagraph"/>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 w:type="character" w:styleId="UnresolvedMention">
    <w:name w:val="Unresolved Mention"/>
    <w:basedOn w:val="DefaultParagraphFont"/>
    <w:uiPriority w:val="99"/>
    <w:semiHidden/>
    <w:unhideWhenUsed/>
    <w:rsid w:val="00ED1C0F"/>
    <w:rPr>
      <w:color w:val="605E5C"/>
      <w:shd w:val="clear" w:color="auto" w:fill="E1DFDD"/>
    </w:rPr>
  </w:style>
  <w:style w:type="paragraph" w:customStyle="1" w:styleId="paragraphsub">
    <w:name w:val="paragraph(sub)"/>
    <w:aliases w:val="aa"/>
    <w:basedOn w:val="Normal"/>
    <w:rsid w:val="00083D1E"/>
    <w:pPr>
      <w:tabs>
        <w:tab w:val="right" w:pos="1985"/>
      </w:tabs>
      <w:spacing w:before="40"/>
      <w:ind w:left="2098" w:hanging="2098"/>
    </w:pPr>
    <w:rPr>
      <w:sz w:val="22"/>
      <w:szCs w:val="20"/>
      <w:lang w:eastAsia="en-AU"/>
    </w:rPr>
  </w:style>
  <w:style w:type="paragraph" w:customStyle="1" w:styleId="definition">
    <w:name w:val="definition"/>
    <w:basedOn w:val="Normal"/>
    <w:rsid w:val="002F7272"/>
    <w:pPr>
      <w:spacing w:before="100" w:beforeAutospacing="1" w:after="100" w:afterAutospacing="1"/>
    </w:pPr>
    <w:rPr>
      <w:lang w:eastAsia="en-AU"/>
    </w:rPr>
  </w:style>
  <w:style w:type="paragraph" w:customStyle="1" w:styleId="paragraphsub0">
    <w:name w:val="paragraphsub"/>
    <w:basedOn w:val="Normal"/>
    <w:rsid w:val="002F7272"/>
    <w:pPr>
      <w:spacing w:before="100" w:beforeAutospacing="1" w:after="100" w:afterAutospacing="1"/>
    </w:pPr>
    <w:rPr>
      <w:lang w:eastAsia="en-AU"/>
    </w:rPr>
  </w:style>
  <w:style w:type="character" w:customStyle="1" w:styleId="CABNETParagraphChar">
    <w:name w:val="CABNET Paragraph. Char"/>
    <w:basedOn w:val="DefaultParagraphFont"/>
    <w:link w:val="CABNETParagraph"/>
    <w:uiPriority w:val="98"/>
    <w:locked/>
    <w:rsid w:val="000467D7"/>
    <w:rPr>
      <w:rFonts w:ascii="Arial" w:hAnsi="Arial" w:cs="Arial"/>
    </w:rPr>
  </w:style>
  <w:style w:type="paragraph" w:customStyle="1" w:styleId="CABNETParagraph">
    <w:name w:val="CABNET Paragraph."/>
    <w:basedOn w:val="Normal"/>
    <w:link w:val="CABNETParagraphChar"/>
    <w:uiPriority w:val="98"/>
    <w:rsid w:val="000467D7"/>
    <w:pPr>
      <w:spacing w:before="120" w:after="120"/>
    </w:pPr>
    <w:rPr>
      <w:rFonts w:ascii="Arial" w:hAnsi="Arial" w:cs="Arial"/>
      <w:sz w:val="20"/>
      <w:szCs w:val="20"/>
      <w:lang w:eastAsia="en-AU"/>
    </w:rPr>
  </w:style>
  <w:style w:type="paragraph" w:styleId="FootnoteText">
    <w:name w:val="footnote text"/>
    <w:basedOn w:val="Normal"/>
    <w:link w:val="FootnoteTextChar"/>
    <w:uiPriority w:val="99"/>
    <w:semiHidden/>
    <w:unhideWhenUsed/>
    <w:rsid w:val="00384C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84CC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84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5507">
      <w:bodyDiv w:val="1"/>
      <w:marLeft w:val="0"/>
      <w:marRight w:val="0"/>
      <w:marTop w:val="0"/>
      <w:marBottom w:val="0"/>
      <w:divBdr>
        <w:top w:val="none" w:sz="0" w:space="0" w:color="auto"/>
        <w:left w:val="none" w:sz="0" w:space="0" w:color="auto"/>
        <w:bottom w:val="none" w:sz="0" w:space="0" w:color="auto"/>
        <w:right w:val="none" w:sz="0" w:space="0" w:color="auto"/>
      </w:divBdr>
    </w:div>
    <w:div w:id="154107867">
      <w:bodyDiv w:val="1"/>
      <w:marLeft w:val="0"/>
      <w:marRight w:val="0"/>
      <w:marTop w:val="0"/>
      <w:marBottom w:val="0"/>
      <w:divBdr>
        <w:top w:val="none" w:sz="0" w:space="0" w:color="auto"/>
        <w:left w:val="none" w:sz="0" w:space="0" w:color="auto"/>
        <w:bottom w:val="none" w:sz="0" w:space="0" w:color="auto"/>
        <w:right w:val="none" w:sz="0" w:space="0" w:color="auto"/>
      </w:divBdr>
    </w:div>
    <w:div w:id="392429633">
      <w:bodyDiv w:val="1"/>
      <w:marLeft w:val="0"/>
      <w:marRight w:val="0"/>
      <w:marTop w:val="0"/>
      <w:marBottom w:val="0"/>
      <w:divBdr>
        <w:top w:val="none" w:sz="0" w:space="0" w:color="auto"/>
        <w:left w:val="none" w:sz="0" w:space="0" w:color="auto"/>
        <w:bottom w:val="none" w:sz="0" w:space="0" w:color="auto"/>
        <w:right w:val="none" w:sz="0" w:space="0" w:color="auto"/>
      </w:divBdr>
    </w:div>
    <w:div w:id="512038262">
      <w:bodyDiv w:val="1"/>
      <w:marLeft w:val="0"/>
      <w:marRight w:val="0"/>
      <w:marTop w:val="0"/>
      <w:marBottom w:val="0"/>
      <w:divBdr>
        <w:top w:val="none" w:sz="0" w:space="0" w:color="auto"/>
        <w:left w:val="none" w:sz="0" w:space="0" w:color="auto"/>
        <w:bottom w:val="none" w:sz="0" w:space="0" w:color="auto"/>
        <w:right w:val="none" w:sz="0" w:space="0" w:color="auto"/>
      </w:divBdr>
    </w:div>
    <w:div w:id="871457465">
      <w:bodyDiv w:val="1"/>
      <w:marLeft w:val="0"/>
      <w:marRight w:val="0"/>
      <w:marTop w:val="0"/>
      <w:marBottom w:val="0"/>
      <w:divBdr>
        <w:top w:val="none" w:sz="0" w:space="0" w:color="auto"/>
        <w:left w:val="none" w:sz="0" w:space="0" w:color="auto"/>
        <w:bottom w:val="none" w:sz="0" w:space="0" w:color="auto"/>
        <w:right w:val="none" w:sz="0" w:space="0" w:color="auto"/>
      </w:divBdr>
    </w:div>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1070465360">
      <w:bodyDiv w:val="1"/>
      <w:marLeft w:val="0"/>
      <w:marRight w:val="0"/>
      <w:marTop w:val="0"/>
      <w:marBottom w:val="0"/>
      <w:divBdr>
        <w:top w:val="none" w:sz="0" w:space="0" w:color="auto"/>
        <w:left w:val="none" w:sz="0" w:space="0" w:color="auto"/>
        <w:bottom w:val="none" w:sz="0" w:space="0" w:color="auto"/>
        <w:right w:val="none" w:sz="0" w:space="0" w:color="auto"/>
      </w:divBdr>
    </w:div>
    <w:div w:id="1114519310">
      <w:bodyDiv w:val="1"/>
      <w:marLeft w:val="0"/>
      <w:marRight w:val="0"/>
      <w:marTop w:val="0"/>
      <w:marBottom w:val="0"/>
      <w:divBdr>
        <w:top w:val="none" w:sz="0" w:space="0" w:color="auto"/>
        <w:left w:val="none" w:sz="0" w:space="0" w:color="auto"/>
        <w:bottom w:val="none" w:sz="0" w:space="0" w:color="auto"/>
        <w:right w:val="none" w:sz="0" w:space="0" w:color="auto"/>
      </w:divBdr>
    </w:div>
    <w:div w:id="1125779604">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547977">
      <w:bodyDiv w:val="1"/>
      <w:marLeft w:val="0"/>
      <w:marRight w:val="0"/>
      <w:marTop w:val="0"/>
      <w:marBottom w:val="0"/>
      <w:divBdr>
        <w:top w:val="none" w:sz="0" w:space="0" w:color="auto"/>
        <w:left w:val="none" w:sz="0" w:space="0" w:color="auto"/>
        <w:bottom w:val="none" w:sz="0" w:space="0" w:color="auto"/>
        <w:right w:val="none" w:sz="0" w:space="0" w:color="auto"/>
      </w:divBdr>
    </w:div>
    <w:div w:id="1389302505">
      <w:bodyDiv w:val="1"/>
      <w:marLeft w:val="0"/>
      <w:marRight w:val="0"/>
      <w:marTop w:val="0"/>
      <w:marBottom w:val="0"/>
      <w:divBdr>
        <w:top w:val="none" w:sz="0" w:space="0" w:color="auto"/>
        <w:left w:val="none" w:sz="0" w:space="0" w:color="auto"/>
        <w:bottom w:val="none" w:sz="0" w:space="0" w:color="auto"/>
        <w:right w:val="none" w:sz="0" w:space="0" w:color="auto"/>
      </w:divBdr>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432579260">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794301">
      <w:bodyDiv w:val="1"/>
      <w:marLeft w:val="0"/>
      <w:marRight w:val="0"/>
      <w:marTop w:val="0"/>
      <w:marBottom w:val="0"/>
      <w:divBdr>
        <w:top w:val="none" w:sz="0" w:space="0" w:color="auto"/>
        <w:left w:val="none" w:sz="0" w:space="0" w:color="auto"/>
        <w:bottom w:val="none" w:sz="0" w:space="0" w:color="auto"/>
        <w:right w:val="none" w:sz="0" w:space="0" w:color="auto"/>
      </w:divBdr>
    </w:div>
    <w:div w:id="1744521218">
      <w:bodyDiv w:val="1"/>
      <w:marLeft w:val="0"/>
      <w:marRight w:val="0"/>
      <w:marTop w:val="0"/>
      <w:marBottom w:val="0"/>
      <w:divBdr>
        <w:top w:val="none" w:sz="0" w:space="0" w:color="auto"/>
        <w:left w:val="none" w:sz="0" w:space="0" w:color="auto"/>
        <w:bottom w:val="none" w:sz="0" w:space="0" w:color="auto"/>
        <w:right w:val="none" w:sz="0" w:space="0" w:color="auto"/>
      </w:divBdr>
    </w:div>
    <w:div w:id="1770394252">
      <w:bodyDiv w:val="1"/>
      <w:marLeft w:val="0"/>
      <w:marRight w:val="0"/>
      <w:marTop w:val="0"/>
      <w:marBottom w:val="0"/>
      <w:divBdr>
        <w:top w:val="none" w:sz="0" w:space="0" w:color="auto"/>
        <w:left w:val="none" w:sz="0" w:space="0" w:color="auto"/>
        <w:bottom w:val="none" w:sz="0" w:space="0" w:color="auto"/>
        <w:right w:val="none" w:sz="0" w:space="0" w:color="auto"/>
      </w:divBdr>
    </w:div>
    <w:div w:id="1970357815">
      <w:bodyDiv w:val="1"/>
      <w:marLeft w:val="0"/>
      <w:marRight w:val="0"/>
      <w:marTop w:val="0"/>
      <w:marBottom w:val="0"/>
      <w:divBdr>
        <w:top w:val="none" w:sz="0" w:space="0" w:color="auto"/>
        <w:left w:val="none" w:sz="0" w:space="0" w:color="auto"/>
        <w:bottom w:val="none" w:sz="0" w:space="0" w:color="auto"/>
        <w:right w:val="none" w:sz="0" w:space="0" w:color="auto"/>
      </w:divBdr>
    </w:div>
    <w:div w:id="1993942821">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 w:id="21142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B790812-C0BD-46C9-97DA-C36621ECDC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AE0EB8771FABE4BB83C48BD3FD18756" ma:contentTypeVersion="" ma:contentTypeDescription="PDMS Document Site Content Type" ma:contentTypeScope="" ma:versionID="eb35f7ed0d3482e270c816fd4e752801">
  <xsd:schema xmlns:xsd="http://www.w3.org/2001/XMLSchema" xmlns:xs="http://www.w3.org/2001/XMLSchema" xmlns:p="http://schemas.microsoft.com/office/2006/metadata/properties" xmlns:ns2="CB790812-C0BD-46C9-97DA-C36621ECDCB1" targetNamespace="http://schemas.microsoft.com/office/2006/metadata/properties" ma:root="true" ma:fieldsID="b830b65f72ad04ae44d2d66b78c3af96" ns2:_="">
    <xsd:import namespace="CB790812-C0BD-46C9-97DA-C36621ECDCB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90812-C0BD-46C9-97DA-C36621ECDCB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0191C-5A00-456A-BB43-0BDD6BEC3DD7}">
  <ds:schemaRefs>
    <ds:schemaRef ds:uri="http://schemas.openxmlformats.org/officeDocument/2006/bibliography"/>
  </ds:schemaRefs>
</ds:datastoreItem>
</file>

<file path=customXml/itemProps2.xml><?xml version="1.0" encoding="utf-8"?>
<ds:datastoreItem xmlns:ds="http://schemas.openxmlformats.org/officeDocument/2006/customXml" ds:itemID="{E7AC2288-759D-41C4-8CBE-0C5150C7A261}">
  <ds:schemaRefs>
    <ds:schemaRef ds:uri="http://schemas.microsoft.com/office/2006/metadata/properties"/>
    <ds:schemaRef ds:uri="http://schemas.microsoft.com/office/infopath/2007/PartnerControls"/>
    <ds:schemaRef ds:uri="CB790812-C0BD-46C9-97DA-C36621ECDCB1"/>
  </ds:schemaRefs>
</ds:datastoreItem>
</file>

<file path=customXml/itemProps3.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4.xml><?xml version="1.0" encoding="utf-8"?>
<ds:datastoreItem xmlns:ds="http://schemas.openxmlformats.org/officeDocument/2006/customXml" ds:itemID="{3DC0EEE6-D37B-49A2-BA2B-46925637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90812-C0BD-46C9-97DA-C36621EC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1787</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PANTIC, Sandra</cp:lastModifiedBy>
  <cp:revision>12</cp:revision>
  <cp:lastPrinted>2022-03-04T01:46:00Z</cp:lastPrinted>
  <dcterms:created xsi:type="dcterms:W3CDTF">2022-03-04T01:45:00Z</dcterms:created>
  <dcterms:modified xsi:type="dcterms:W3CDTF">2022-04-01T05:38:00Z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0x010100266966F133664895A6EE3632470D45F5005AE0EB8771FABE4BB83C48BD3FD18756</vt:lpwstr>
  </property>
</Properties>
</file>