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CB9F" w14:textId="77777777"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14:paraId="0D5F92D1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8D7160">
        <w:t xml:space="preserve">Minister for </w:t>
      </w:r>
      <w:r w:rsidR="008D7160" w:rsidRPr="003B262D">
        <w:t>Immigration, Citizenship, Migrant Services and Multicultural Affairs</w:t>
      </w:r>
    </w:p>
    <w:p w14:paraId="26901FAA" w14:textId="77777777" w:rsidR="0057002B" w:rsidRPr="008B24C8" w:rsidRDefault="008D7160" w:rsidP="00BB0CF2">
      <w:pPr>
        <w:pStyle w:val="ESTitleEnablingLegislation"/>
      </w:pPr>
      <w:r>
        <w:t>Migration Regulations 1994</w:t>
      </w:r>
    </w:p>
    <w:p w14:paraId="021B7808" w14:textId="77777777" w:rsidR="0057002B" w:rsidRPr="008B24C8" w:rsidRDefault="008D7160" w:rsidP="00BB0CF2">
      <w:pPr>
        <w:pStyle w:val="ESTitleInstrumentName"/>
      </w:pPr>
      <w:bookmarkStart w:id="1" w:name="Title"/>
      <w:r>
        <w:t>Migration (Age exemption for subclass 186 (Employer Nomination Scheme) visa) Amendment Instrument (LIN 22/047) 2022</w:t>
      </w:r>
      <w:bookmarkEnd w:id="1"/>
    </w:p>
    <w:p w14:paraId="72D87204" w14:textId="77777777" w:rsidR="0057002B" w:rsidRPr="008B24C8" w:rsidRDefault="0057002B" w:rsidP="002D167E">
      <w:pPr>
        <w:pStyle w:val="ESPara"/>
      </w:pPr>
      <w:r w:rsidRPr="008B24C8">
        <w:t>The inst</w:t>
      </w:r>
      <w:r w:rsidR="008D7160">
        <w:t>rument, Departmental reference LIN 22/047</w:t>
      </w:r>
      <w:r w:rsidRPr="008B24C8">
        <w:t xml:space="preserve">, is made under </w:t>
      </w:r>
      <w:r w:rsidR="008D7160">
        <w:t xml:space="preserve">paragraph 186.221(b) </w:t>
      </w:r>
      <w:r w:rsidR="008D7160" w:rsidRPr="009464C5">
        <w:t xml:space="preserve">of </w:t>
      </w:r>
      <w:r w:rsidR="008D7160">
        <w:t xml:space="preserve">Schedule 2 to </w:t>
      </w:r>
      <w:r w:rsidR="008D7160" w:rsidRPr="009464C5">
        <w:t xml:space="preserve">the </w:t>
      </w:r>
      <w:r w:rsidR="008D7160">
        <w:rPr>
          <w:i/>
        </w:rPr>
        <w:t>Migration Regulations 1994</w:t>
      </w:r>
      <w:r w:rsidR="008D7160" w:rsidRPr="008B24C8">
        <w:t xml:space="preserve"> </w:t>
      </w:r>
      <w:r w:rsidRPr="008B24C8">
        <w:t xml:space="preserve">(the </w:t>
      </w:r>
      <w:r w:rsidR="008D7160">
        <w:t>Regulations)</w:t>
      </w:r>
      <w:r w:rsidRPr="008B24C8">
        <w:t xml:space="preserve">.  </w:t>
      </w:r>
    </w:p>
    <w:p w14:paraId="749AFC9D" w14:textId="77777777" w:rsidR="00EA12C9" w:rsidRPr="008B24C8" w:rsidRDefault="00EA12C9" w:rsidP="002D167E">
      <w:pPr>
        <w:pStyle w:val="ESPara"/>
      </w:pPr>
      <w:r w:rsidRPr="008B24C8">
        <w:t xml:space="preserve">The instrument </w:t>
      </w:r>
      <w:r w:rsidR="008D7160">
        <w:t xml:space="preserve">amends </w:t>
      </w:r>
      <w:r w:rsidR="008D7160" w:rsidRPr="003B262D">
        <w:rPr>
          <w:rStyle w:val="LDItal"/>
        </w:rPr>
        <w:t>Migration (LIN 19/216: Exemptions from Skill, Age and English Language Requirements for Subclass 186, 187 and 494 Visas) Instrument 2019</w:t>
      </w:r>
      <w:r w:rsidR="00BD598E" w:rsidRPr="008B24C8">
        <w:t xml:space="preserve"> </w:t>
      </w:r>
      <w:r w:rsidR="00B75478">
        <w:t>(</w:t>
      </w:r>
      <w:r w:rsidR="00100DFC">
        <w:t xml:space="preserve">LIN </w:t>
      </w:r>
      <w:r w:rsidR="008D7160">
        <w:t>19/216</w:t>
      </w:r>
      <w:r w:rsidR="00B75478">
        <w:t xml:space="preserve">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 xml:space="preserve">.  </w:t>
      </w:r>
    </w:p>
    <w:p w14:paraId="78D9F8DC" w14:textId="77777777" w:rsidR="00BD598E" w:rsidRPr="008B24C8" w:rsidRDefault="00AA4557" w:rsidP="002D167E">
      <w:pPr>
        <w:pStyle w:val="ESPara"/>
      </w:pPr>
      <w:r>
        <w:t xml:space="preserve">The instrument commences </w:t>
      </w:r>
      <w:r w:rsidR="008D7160">
        <w:t>1 July 2022</w:t>
      </w:r>
      <w:r>
        <w:t>, and 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 Act 2003</w:t>
      </w:r>
      <w:r w:rsidR="00100DFC">
        <w:t xml:space="preserve"> (the Legislation Act)</w:t>
      </w:r>
      <w:r w:rsidR="00BD598E" w:rsidRPr="008B24C8">
        <w:t xml:space="preserve">.  </w:t>
      </w:r>
    </w:p>
    <w:p w14:paraId="5D2D0A6E" w14:textId="77777777" w:rsidR="00EA12C9" w:rsidRPr="00BB0CF2" w:rsidRDefault="00BD598E" w:rsidP="00100DFC">
      <w:pPr>
        <w:pStyle w:val="ESHeading"/>
        <w:rPr>
          <w:color w:val="FF0000"/>
        </w:rPr>
      </w:pPr>
      <w:r w:rsidRPr="008B24C8">
        <w:t>Purpose</w:t>
      </w:r>
      <w:r w:rsidR="00BB0CF2">
        <w:t xml:space="preserve"> </w:t>
      </w:r>
    </w:p>
    <w:p w14:paraId="23F5F734" w14:textId="77777777" w:rsidR="003230CD" w:rsidRDefault="00015433" w:rsidP="003230CD">
      <w:pPr>
        <w:pStyle w:val="ESPara"/>
      </w:pPr>
      <w:r>
        <w:t xml:space="preserve">Certain temporary skilled visa holders may be eligible to become a permanent resident in Australia by applying for a Subclass 186 (Employer Nomination Scheme) visa (subclass 186 visa) or a Subclass 187 (Regional Sponsored Migration Scheme) visa (subclass 187 visa).  </w:t>
      </w:r>
      <w:r w:rsidR="003230CD">
        <w:t>In response to the strong labour demand and the declining number of temporary visa holders in 2021 due to the COVID</w:t>
      </w:r>
      <w:r w:rsidR="003230CD">
        <w:noBreakHyphen/>
        <w:t xml:space="preserve">19 pandemic, the Australian Government announced </w:t>
      </w:r>
      <w:r w:rsidR="005566A4">
        <w:t xml:space="preserve">on 25 November 2021 </w:t>
      </w:r>
      <w:r w:rsidR="003230CD">
        <w:t>that measures will be introduced to improve access to permanent residence for</w:t>
      </w:r>
      <w:r w:rsidR="00C84186">
        <w:t xml:space="preserve"> certain temporary skilled visa holders.  These include</w:t>
      </w:r>
      <w:r w:rsidR="003230CD">
        <w:t xml:space="preserve"> </w:t>
      </w:r>
      <w:r w:rsidR="00175871">
        <w:t>some</w:t>
      </w:r>
      <w:r w:rsidR="00C84186">
        <w:t xml:space="preserve"> ‘legacy’</w:t>
      </w:r>
      <w:r w:rsidR="003230CD">
        <w:t xml:space="preserve"> Subclass 457 (Temporary Work (Skilled</w:t>
      </w:r>
      <w:r w:rsidR="004A404A">
        <w:t>)) visa</w:t>
      </w:r>
      <w:r w:rsidR="003230CD">
        <w:t xml:space="preserve"> (subclass 457 visa)</w:t>
      </w:r>
      <w:r w:rsidR="004A404A">
        <w:t xml:space="preserve"> holders</w:t>
      </w:r>
      <w:r w:rsidR="005566A4">
        <w:t xml:space="preserve">, who are </w:t>
      </w:r>
      <w:r w:rsidR="00175871">
        <w:t xml:space="preserve">ineligible </w:t>
      </w:r>
      <w:r w:rsidR="005566A4">
        <w:t xml:space="preserve">to meet </w:t>
      </w:r>
      <w:r w:rsidR="00175871">
        <w:t>the</w:t>
      </w:r>
      <w:r w:rsidR="005566A4">
        <w:t xml:space="preserve"> age requirement </w:t>
      </w:r>
      <w:r w:rsidR="00100240">
        <w:t>under</w:t>
      </w:r>
      <w:r w:rsidR="005566A4">
        <w:t xml:space="preserve"> the subclass 186 visa in the Temporary Residence Transition stream (TRT stream)</w:t>
      </w:r>
      <w:r w:rsidR="00C84186">
        <w:t xml:space="preserve">.  </w:t>
      </w:r>
      <w:r>
        <w:t xml:space="preserve">The instrument </w:t>
      </w:r>
      <w:r w:rsidR="005566A4">
        <w:t xml:space="preserve">forms part of these </w:t>
      </w:r>
      <w:r>
        <w:t>measure</w:t>
      </w:r>
      <w:r w:rsidR="005566A4">
        <w:t>s to be implemented</w:t>
      </w:r>
      <w:r>
        <w:t xml:space="preserve"> </w:t>
      </w:r>
      <w:r w:rsidR="00100240">
        <w:t>on 1 July 2022</w:t>
      </w:r>
      <w:r>
        <w:t xml:space="preserve">.  </w:t>
      </w:r>
    </w:p>
    <w:p w14:paraId="2E19462E" w14:textId="77777777" w:rsidR="00C8245F" w:rsidRDefault="00C8245F" w:rsidP="00C8245F">
      <w:pPr>
        <w:pStyle w:val="ESPara"/>
      </w:pPr>
      <w:r>
        <w:t>Subclause 186.221 of Schedule 2 to the Regulations is one of the primary criterion that must be met by an applicant for a subclass 186 visa in the TRT stream.  Paragraph 186.221(a) of Schedule 2 to the Regulations provides for an age requirement, where an applicant must be under 45 years of age at the time of application.  Paragraph 186.221(b) of Schedule 2 to the Regulations allows an exemption from the age requiremen</w:t>
      </w:r>
      <w:r w:rsidR="00586AA9">
        <w:t xml:space="preserve">t, if the applicant is a person who is in a class of persons </w:t>
      </w:r>
      <w:r w:rsidR="00100240">
        <w:t>the Minister specifies</w:t>
      </w:r>
      <w:r w:rsidR="00586AA9">
        <w:t xml:space="preserve"> in a </w:t>
      </w:r>
      <w:proofErr w:type="gramStart"/>
      <w:r w:rsidR="00586AA9">
        <w:t>legislative</w:t>
      </w:r>
      <w:proofErr w:type="gramEnd"/>
      <w:r w:rsidR="00586AA9">
        <w:t xml:space="preserve"> instrument.  </w:t>
      </w:r>
    </w:p>
    <w:p w14:paraId="1AA626B5" w14:textId="3E115132" w:rsidR="0093261D" w:rsidRDefault="00586AA9" w:rsidP="00586AA9">
      <w:pPr>
        <w:pStyle w:val="ESPara"/>
      </w:pPr>
      <w:r>
        <w:t>As the Government announced on 18 April 2017 that the subclass 457 visa would close to new applications on 18 March 2018</w:t>
      </w:r>
      <w:r w:rsidR="00E1408A">
        <w:t xml:space="preserve"> and be replaced</w:t>
      </w:r>
      <w:r w:rsidR="00C65E83">
        <w:t xml:space="preserve"> by the </w:t>
      </w:r>
      <w:r w:rsidR="00E92959">
        <w:t>Subclass 482 (Temporary Skill Shortage) visas (subclass 482 visa)</w:t>
      </w:r>
      <w:r>
        <w:t xml:space="preserve">, transitional arrangements were put in place at the time for existing subclass 457 visa holders and applicants to continue to access permanent residence through a subclass 186 visa or subclass 187 visa.  </w:t>
      </w:r>
      <w:r w:rsidR="0093261D">
        <w:t xml:space="preserve">The cohort of </w:t>
      </w:r>
      <w:r>
        <w:t>‘transitional 457 worker</w:t>
      </w:r>
      <w:r w:rsidR="00C33CFD">
        <w:t>s</w:t>
      </w:r>
      <w:r>
        <w:t xml:space="preserve"> under 50’, specified </w:t>
      </w:r>
      <w:r w:rsidR="0093261D">
        <w:t xml:space="preserve">as a class of persons </w:t>
      </w:r>
      <w:r>
        <w:t>in LIN 19/216, formed part of these transitional a</w:t>
      </w:r>
      <w:r w:rsidR="00CB661A">
        <w:t>rrangements.  However, subclass </w:t>
      </w:r>
      <w:r>
        <w:t xml:space="preserve">457 visa holders who </w:t>
      </w:r>
      <w:r w:rsidR="00CB661A">
        <w:t xml:space="preserve">were </w:t>
      </w:r>
      <w:r w:rsidR="00C33CFD">
        <w:t>50 years old or older</w:t>
      </w:r>
      <w:r w:rsidR="00CB661A">
        <w:t xml:space="preserve"> at time of application for their </w:t>
      </w:r>
      <w:r w:rsidR="00C33CFD">
        <w:t>subclass 186 visa or subclass 187 visa</w:t>
      </w:r>
      <w:r w:rsidR="00CB661A">
        <w:t xml:space="preserve">, or </w:t>
      </w:r>
      <w:r w:rsidR="0007421B">
        <w:lastRenderedPageBreak/>
        <w:t>applied for</w:t>
      </w:r>
      <w:r>
        <w:t xml:space="preserve"> their subclass</w:t>
      </w:r>
      <w:r w:rsidR="00151F6D">
        <w:t> </w:t>
      </w:r>
      <w:r>
        <w:t xml:space="preserve">457 visa </w:t>
      </w:r>
      <w:r w:rsidR="00EB6106">
        <w:t xml:space="preserve">on or </w:t>
      </w:r>
      <w:r>
        <w:t>after 18 April</w:t>
      </w:r>
      <w:r w:rsidR="00EB6106">
        <w:t> </w:t>
      </w:r>
      <w:r>
        <w:t xml:space="preserve">2017 </w:t>
      </w:r>
      <w:r w:rsidR="00100240">
        <w:t>(</w:t>
      </w:r>
      <w:r w:rsidR="00B44374">
        <w:t>legacy</w:t>
      </w:r>
      <w:r w:rsidR="00100240">
        <w:t xml:space="preserve"> 457 </w:t>
      </w:r>
      <w:r w:rsidR="00175871">
        <w:t>workers</w:t>
      </w:r>
      <w:r w:rsidR="00CB661A">
        <w:t xml:space="preserve">), </w:t>
      </w:r>
      <w:r>
        <w:t xml:space="preserve">were not able to access those transitional arrangements.  </w:t>
      </w:r>
    </w:p>
    <w:p w14:paraId="7327B8FB" w14:textId="5AB3547E" w:rsidR="00586AA9" w:rsidRDefault="00586AA9" w:rsidP="00586AA9">
      <w:pPr>
        <w:pStyle w:val="ESPara"/>
      </w:pPr>
      <w:r>
        <w:t xml:space="preserve">The </w:t>
      </w:r>
      <w:r w:rsidR="0093261D">
        <w:t xml:space="preserve">purpose of the instrument is to amend LIN 19/216 to specify </w:t>
      </w:r>
      <w:r w:rsidR="00175871">
        <w:t xml:space="preserve">certain </w:t>
      </w:r>
      <w:r w:rsidR="00B44374">
        <w:t>legacy</w:t>
      </w:r>
      <w:r w:rsidR="0093261D">
        <w:t xml:space="preserve"> 457 </w:t>
      </w:r>
      <w:r w:rsidR="00175871">
        <w:t>workers</w:t>
      </w:r>
      <w:r w:rsidR="0093261D">
        <w:t xml:space="preserve"> as a</w:t>
      </w:r>
      <w:r w:rsidR="00100240">
        <w:t>n additional</w:t>
      </w:r>
      <w:r w:rsidR="0093261D">
        <w:t xml:space="preserve"> class of persons for paragraph 186.221(b) of Schedule 2 to the Regulations.  This will exempt them from the age requirement for the subclass 186 visa in the TRT stream.  </w:t>
      </w:r>
      <w:r w:rsidR="00100240">
        <w:t xml:space="preserve">More subclass 457 visa holders will be eligible for permanent residence in Australia from 1 July 2022.  </w:t>
      </w:r>
      <w:r w:rsidR="00175871">
        <w:t xml:space="preserve">Further detail on this class of persons is below.  </w:t>
      </w:r>
    </w:p>
    <w:p w14:paraId="55F05D1C" w14:textId="77777777" w:rsidR="008B24C8" w:rsidRDefault="008B24C8" w:rsidP="00100DFC">
      <w:pPr>
        <w:pStyle w:val="ESHeading"/>
      </w:pPr>
      <w:r w:rsidRPr="008B24C8">
        <w:t>Consultation</w:t>
      </w:r>
    </w:p>
    <w:p w14:paraId="0130D29E" w14:textId="77777777" w:rsidR="008D7160" w:rsidRDefault="008D7160" w:rsidP="008D7160">
      <w:pPr>
        <w:pStyle w:val="ESPara"/>
        <w:rPr>
          <w:rFonts w:ascii="Helvetica Neue" w:hAnsi="Helvetica Neue"/>
          <w:color w:val="000000"/>
        </w:rPr>
      </w:pPr>
      <w:r w:rsidRPr="00903F73">
        <w:rPr>
          <w:rFonts w:ascii="Helvetica Neue" w:hAnsi="Helvetica Neue"/>
          <w:color w:val="000000"/>
        </w:rPr>
        <w:t>Consultation was undertaken with industry leaders</w:t>
      </w:r>
      <w:r>
        <w:rPr>
          <w:rFonts w:ascii="Helvetica Neue" w:hAnsi="Helvetica Neue"/>
          <w:color w:val="000000"/>
        </w:rPr>
        <w:t>, such as Australian Chamber of Commerce and Industry and Australian Industry Group,</w:t>
      </w:r>
      <w:r w:rsidRPr="00903F73">
        <w:rPr>
          <w:rFonts w:ascii="Helvetica Neue" w:hAnsi="Helvetica Neue"/>
          <w:color w:val="000000"/>
        </w:rPr>
        <w:t xml:space="preserve"> and the Ministerial Advisor</w:t>
      </w:r>
      <w:r>
        <w:rPr>
          <w:rFonts w:ascii="Helvetica Neue" w:hAnsi="Helvetica Neue"/>
          <w:color w:val="000000"/>
        </w:rPr>
        <w:t>y Council on Skilled Migration</w:t>
      </w:r>
      <w:r w:rsidRPr="00903F73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who supported the</w:t>
      </w:r>
      <w:r w:rsidRPr="00903F73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 xml:space="preserve">proposed measures to improving skilled visa </w:t>
      </w:r>
      <w:proofErr w:type="gramStart"/>
      <w:r>
        <w:rPr>
          <w:rFonts w:ascii="Helvetica Neue" w:hAnsi="Helvetica Neue"/>
          <w:color w:val="000000"/>
        </w:rPr>
        <w:t>holders</w:t>
      </w:r>
      <w:proofErr w:type="gramEnd"/>
      <w:r>
        <w:rPr>
          <w:rFonts w:ascii="Helvetica Neue" w:hAnsi="Helvetica Neue"/>
          <w:color w:val="000000"/>
        </w:rPr>
        <w:t xml:space="preserve"> access to permanent residency pathways</w:t>
      </w:r>
      <w:r w:rsidRPr="00903F73">
        <w:rPr>
          <w:rFonts w:ascii="Helvetica Neue" w:hAnsi="Helvetica Neue"/>
          <w:color w:val="000000"/>
        </w:rPr>
        <w:t xml:space="preserve">. </w:t>
      </w:r>
      <w:r>
        <w:rPr>
          <w:rFonts w:ascii="Helvetica Neue" w:hAnsi="Helvetica Neue"/>
          <w:color w:val="000000"/>
        </w:rPr>
        <w:t xml:space="preserve"> The measure implements the recommendation b</w:t>
      </w:r>
      <w:r w:rsidRPr="00903F73">
        <w:rPr>
          <w:rFonts w:ascii="Helvetica Neue" w:hAnsi="Helvetica Neue"/>
          <w:color w:val="000000"/>
        </w:rPr>
        <w:t>y the Joint Standing Committee on Migration through their inquiry into Australia’s skilled migration system.</w:t>
      </w:r>
      <w:r>
        <w:rPr>
          <w:rFonts w:ascii="Helvetica Neue" w:hAnsi="Helvetica Neue"/>
          <w:color w:val="000000"/>
        </w:rPr>
        <w:t xml:space="preserve">  T</w:t>
      </w:r>
      <w:r w:rsidRPr="00903F73">
        <w:rPr>
          <w:rFonts w:ascii="Helvetica Neue" w:hAnsi="Helvetica Neue"/>
          <w:color w:val="000000"/>
        </w:rPr>
        <w:t>he Prime Minister</w:t>
      </w:r>
      <w:r>
        <w:rPr>
          <w:rFonts w:ascii="Helvetica Neue" w:hAnsi="Helvetica Neue"/>
          <w:color w:val="000000"/>
        </w:rPr>
        <w:t>,</w:t>
      </w:r>
      <w:r w:rsidRPr="00903F73">
        <w:rPr>
          <w:rFonts w:ascii="Helvetica Neue" w:hAnsi="Helvetica Neue"/>
          <w:color w:val="000000"/>
        </w:rPr>
        <w:t xml:space="preserve"> through an exchange of letters, has provided authority for this measure.</w:t>
      </w:r>
      <w:r w:rsidR="00CF6C02">
        <w:rPr>
          <w:rFonts w:ascii="Helvetica Neue" w:hAnsi="Helvetica Neue"/>
          <w:color w:val="000000"/>
        </w:rPr>
        <w:t xml:space="preserve">  </w:t>
      </w:r>
    </w:p>
    <w:p w14:paraId="490CA9E6" w14:textId="77777777" w:rsidR="008B24C8" w:rsidRPr="008B24C8" w:rsidRDefault="008D7160" w:rsidP="002D167E">
      <w:pPr>
        <w:pStyle w:val="ESPara"/>
      </w:pPr>
      <w:r w:rsidRPr="008B24C8">
        <w:t>The Office of Best Practice Regulation (OBPR) was also consulted and considered that the instrument dealt with m</w:t>
      </w:r>
      <w:r>
        <w:t>atters of a minor</w:t>
      </w:r>
      <w:r w:rsidRPr="008B24C8">
        <w:t xml:space="preserve"> nature and no regulatory impact statement was required.  </w:t>
      </w:r>
      <w:r>
        <w:t xml:space="preserve">The OBPR reference number is 21-01223.  </w:t>
      </w:r>
    </w:p>
    <w:p w14:paraId="05DEC6BC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4E7AC1A2" w14:textId="77777777"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 </w:t>
      </w:r>
    </w:p>
    <w:p w14:paraId="56634B8D" w14:textId="77777777" w:rsidR="00AA4557" w:rsidRDefault="00AA4557" w:rsidP="002D167E">
      <w:pPr>
        <w:pStyle w:val="ESPara"/>
      </w:pPr>
      <w:r>
        <w:t xml:space="preserve">Section 2 provides for the commencement of the instrument on </w:t>
      </w:r>
      <w:r w:rsidR="008D7160">
        <w:t>1 July 2022</w:t>
      </w:r>
      <w:r>
        <w:t>.</w:t>
      </w:r>
      <w:r w:rsidR="008D7160">
        <w:t xml:space="preserve">  </w:t>
      </w:r>
    </w:p>
    <w:p w14:paraId="3A56490C" w14:textId="77777777" w:rsidR="00AA4F77" w:rsidRDefault="00AA4F77" w:rsidP="00AA4F77">
      <w:pPr>
        <w:pStyle w:val="ESPara"/>
      </w:pPr>
      <w:r>
        <w:t xml:space="preserve">Section 3 </w:t>
      </w:r>
      <w:r w:rsidR="00CF6C02">
        <w:t>provides that Schedule 1 to the instrument amends LIN 19/216</w:t>
      </w:r>
      <w:r>
        <w:t>.</w:t>
      </w:r>
      <w:r w:rsidR="00CF6C02">
        <w:t xml:space="preserve"> </w:t>
      </w:r>
      <w:r>
        <w:t xml:space="preserve"> </w:t>
      </w:r>
    </w:p>
    <w:p w14:paraId="1B3D2F9F" w14:textId="23FD2FC4" w:rsidR="00CF6C02" w:rsidRDefault="00CF6C02" w:rsidP="00892B75">
      <w:pPr>
        <w:pStyle w:val="ESPara"/>
      </w:pPr>
      <w:r>
        <w:t xml:space="preserve">Item 1 of Schedule 1 to the instrument inserts the new definition of </w:t>
      </w:r>
      <w:r w:rsidR="00175871">
        <w:t>‘</w:t>
      </w:r>
      <w:r w:rsidR="00770CF9">
        <w:t>legacy</w:t>
      </w:r>
      <w:r>
        <w:t xml:space="preserve"> 457 worker</w:t>
      </w:r>
      <w:r w:rsidR="00175871">
        <w:t>’</w:t>
      </w:r>
      <w:r>
        <w:t xml:space="preserve">.  </w:t>
      </w:r>
      <w:r w:rsidR="00770CF9">
        <w:t>Legacy</w:t>
      </w:r>
      <w:r w:rsidR="00892B75">
        <w:t xml:space="preserve"> 457 worker means a person who, </w:t>
      </w:r>
      <w:r w:rsidR="00EB6106">
        <w:t>for</w:t>
      </w:r>
      <w:r w:rsidR="00892B75">
        <w:t xml:space="preserve"> a subclass 186 visa</w:t>
      </w:r>
      <w:r w:rsidR="00C33CFD">
        <w:t xml:space="preserve"> application</w:t>
      </w:r>
      <w:r w:rsidR="00892B75">
        <w:t>:</w:t>
      </w:r>
    </w:p>
    <w:p w14:paraId="1558AD92" w14:textId="6268E124" w:rsidR="00892B75" w:rsidRDefault="00C65E83" w:rsidP="00892B75">
      <w:pPr>
        <w:pStyle w:val="ESSubparaList"/>
      </w:pPr>
      <w:r>
        <w:t>held</w:t>
      </w:r>
      <w:r w:rsidR="00EB6106">
        <w:t xml:space="preserve"> </w:t>
      </w:r>
      <w:r w:rsidR="00892B75">
        <w:t xml:space="preserve">a subclass 457 visa </w:t>
      </w:r>
      <w:r w:rsidR="00EB6106">
        <w:t xml:space="preserve">on or </w:t>
      </w:r>
      <w:r w:rsidR="00892B75">
        <w:t>after 18 April 2017;</w:t>
      </w:r>
      <w:r w:rsidR="00C33CFD">
        <w:t xml:space="preserve"> and</w:t>
      </w:r>
    </w:p>
    <w:p w14:paraId="06078678" w14:textId="55E8FF9E" w:rsidR="00892B75" w:rsidRDefault="00C33CFD" w:rsidP="00892B75">
      <w:pPr>
        <w:pStyle w:val="ESSubparaList"/>
      </w:pPr>
      <w:proofErr w:type="gramStart"/>
      <w:r>
        <w:t>was</w:t>
      </w:r>
      <w:proofErr w:type="gramEnd"/>
      <w:r w:rsidR="00892B75">
        <w:t xml:space="preserve"> in Australia for at least 12 months between 1 Febr</w:t>
      </w:r>
      <w:r w:rsidR="00F32063">
        <w:t xml:space="preserve">uary 2020 and 14 December 2021.  </w:t>
      </w:r>
    </w:p>
    <w:p w14:paraId="4897BB1B" w14:textId="5F6F8CDE" w:rsidR="00892B75" w:rsidRDefault="00E1408A" w:rsidP="00892B75">
      <w:pPr>
        <w:pStyle w:val="ESSubparaHeader"/>
      </w:pPr>
      <w:r>
        <w:t xml:space="preserve">The cohort of persons intended to be captured here are the subclass 457 </w:t>
      </w:r>
      <w:r w:rsidR="00770CF9">
        <w:t>visa holders</w:t>
      </w:r>
      <w:r>
        <w:t xml:space="preserve"> who were not able to take advantage of the </w:t>
      </w:r>
      <w:r w:rsidR="00C65E83">
        <w:t xml:space="preserve">2018 </w:t>
      </w:r>
      <w:r>
        <w:t>transitional arrangem</w:t>
      </w:r>
      <w:r w:rsidR="00EB6106">
        <w:t xml:space="preserve">ents, </w:t>
      </w:r>
      <w:r w:rsidR="00CB0FE5">
        <w:t>including those who subsequently applied</w:t>
      </w:r>
      <w:r w:rsidR="00EB6106">
        <w:t xml:space="preserve"> </w:t>
      </w:r>
      <w:r w:rsidR="00CB0FE5">
        <w:t xml:space="preserve">for </w:t>
      </w:r>
      <w:r w:rsidR="00C65E83">
        <w:t xml:space="preserve">and </w:t>
      </w:r>
      <w:r w:rsidR="00E92959">
        <w:t xml:space="preserve">were granted </w:t>
      </w:r>
      <w:r w:rsidR="00C65E83">
        <w:t>a subclass 482 visa</w:t>
      </w:r>
      <w:r>
        <w:t xml:space="preserve">.  </w:t>
      </w:r>
      <w:r w:rsidR="00C65E83">
        <w:t>No age limit is specified for this class of person</w:t>
      </w:r>
      <w:r w:rsidR="00C33CFD">
        <w:t>, unlike the cohort of transitional 457 workers under 50</w:t>
      </w:r>
      <w:r w:rsidR="00C65E83">
        <w:t xml:space="preserve">.  </w:t>
      </w:r>
    </w:p>
    <w:p w14:paraId="7B2CF956" w14:textId="3BDCEEE4" w:rsidR="00CF6C02" w:rsidRDefault="00CF6C02" w:rsidP="00365DA9">
      <w:pPr>
        <w:pStyle w:val="ESPara"/>
      </w:pPr>
      <w:r>
        <w:t>Item 2 of Schedule 1 inserts new paragraph 6(1</w:t>
      </w:r>
      <w:proofErr w:type="gramStart"/>
      <w:r>
        <w:t>)(</w:t>
      </w:r>
      <w:proofErr w:type="gramEnd"/>
      <w:r w:rsidR="00C33CFD">
        <w:t>aa</w:t>
      </w:r>
      <w:r>
        <w:t xml:space="preserve">).  This specifies </w:t>
      </w:r>
      <w:r w:rsidR="00D510FF">
        <w:t>‘</w:t>
      </w:r>
      <w:r w:rsidR="00770CF9">
        <w:t>legacy</w:t>
      </w:r>
      <w:r>
        <w:t xml:space="preserve"> 457 worker</w:t>
      </w:r>
      <w:r w:rsidR="00D510FF">
        <w:t>’</w:t>
      </w:r>
      <w:r>
        <w:t xml:space="preserve"> as a class of person</w:t>
      </w:r>
      <w:r w:rsidR="00892B75">
        <w:t>s</w:t>
      </w:r>
      <w:r>
        <w:t xml:space="preserve"> for paragraph 186.221(b) of Schedule 2 to the Regulations.  </w:t>
      </w:r>
      <w:r w:rsidR="00590B17">
        <w:t xml:space="preserve">Therefore, a person who is </w:t>
      </w:r>
      <w:r w:rsidR="00770CF9">
        <w:t>legacy</w:t>
      </w:r>
      <w:r w:rsidR="00590B17">
        <w:t xml:space="preserve"> 457 worker </w:t>
      </w:r>
      <w:r w:rsidR="0026037B">
        <w:t xml:space="preserve">is exempt from </w:t>
      </w:r>
      <w:r w:rsidR="002A0814">
        <w:t xml:space="preserve">the age requirement in paragraph 186.221(a) of Schedule 2 to the Regulations.  This means </w:t>
      </w:r>
      <w:r w:rsidR="00892B75">
        <w:t>this cohort is not required to be less than 45 years old at ti</w:t>
      </w:r>
      <w:r w:rsidR="00590B17">
        <w:t>me of application</w:t>
      </w:r>
      <w:r w:rsidR="009D3394">
        <w:t xml:space="preserve"> for a</w:t>
      </w:r>
      <w:r w:rsidR="00590B17">
        <w:t xml:space="preserve"> subclass 186 visa</w:t>
      </w:r>
      <w:r w:rsidR="009D3394">
        <w:t xml:space="preserve"> in the TRT stream</w:t>
      </w:r>
      <w:r w:rsidR="00590B17">
        <w:t xml:space="preserve">.  </w:t>
      </w:r>
    </w:p>
    <w:p w14:paraId="0766500E" w14:textId="77777777" w:rsidR="00AA4557" w:rsidRPr="00AA4557" w:rsidRDefault="00AA4557" w:rsidP="00100DFC">
      <w:pPr>
        <w:pStyle w:val="ESHeading"/>
      </w:pPr>
      <w:r>
        <w:lastRenderedPageBreak/>
        <w:t xml:space="preserve">Parliamentary scrutiny etc.  </w:t>
      </w:r>
    </w:p>
    <w:p w14:paraId="7B19EDA4" w14:textId="77777777" w:rsidR="00E03DCC" w:rsidRDefault="00E03DCC" w:rsidP="00CF6C02">
      <w:pPr>
        <w:pStyle w:val="ESPara"/>
      </w:pPr>
      <w:r>
        <w:t xml:space="preserve">The instrument is exempt from disallowance under section 42 of the Legislation Act.  </w:t>
      </w:r>
      <w:r w:rsidR="00CF6C02" w:rsidRPr="00490436">
        <w:t xml:space="preserve">This is because </w:t>
      </w:r>
      <w:r w:rsidR="00CF6C02" w:rsidRPr="00E32100">
        <w:t xml:space="preserve">instruments created under </w:t>
      </w:r>
      <w:r w:rsidR="00CF6C02">
        <w:t>Schedule 2 to</w:t>
      </w:r>
      <w:r w:rsidR="00CF6C02" w:rsidRPr="00E32100">
        <w:t xml:space="preserve"> the Regulations are exempt under paragraph b of item 20 in the table of </w:t>
      </w:r>
      <w:r w:rsidR="00CF6C02" w:rsidRPr="00490436">
        <w:t xml:space="preserve">section 10 of the </w:t>
      </w:r>
      <w:r w:rsidR="00CF6C02" w:rsidRPr="00490436">
        <w:rPr>
          <w:i/>
        </w:rPr>
        <w:t>Legislation (Exemptions and Other Matters) Regulation 2015</w:t>
      </w:r>
      <w:r w:rsidR="00CF6C02" w:rsidRPr="00365037">
        <w:t xml:space="preserve">.  </w:t>
      </w:r>
    </w:p>
    <w:p w14:paraId="2CBEB480" w14:textId="77777777" w:rsidR="00B75478" w:rsidRDefault="00CF6C02" w:rsidP="002D167E">
      <w:pPr>
        <w:pStyle w:val="ESPara"/>
      </w:pPr>
      <w:r w:rsidRPr="00B75478">
        <w:t xml:space="preserve">The </w:t>
      </w:r>
      <w:r>
        <w:t xml:space="preserve">instrument was made by the Minister of </w:t>
      </w:r>
      <w:r w:rsidRPr="00D66848">
        <w:t>Immigration,</w:t>
      </w:r>
      <w:r>
        <w:t xml:space="preserve"> </w:t>
      </w:r>
      <w:r w:rsidRPr="00D66848">
        <w:t>Citizenship, Migrant Services and Multicultural Affairs</w:t>
      </w:r>
      <w:r>
        <w:t xml:space="preserve">, in accordance with paragraph 186.221(b) </w:t>
      </w:r>
      <w:r w:rsidRPr="009464C5">
        <w:t xml:space="preserve">of </w:t>
      </w:r>
      <w:r>
        <w:t xml:space="preserve">Schedule 2 to </w:t>
      </w:r>
      <w:r w:rsidRPr="009464C5">
        <w:t>the</w:t>
      </w:r>
      <w:r>
        <w:t xml:space="preserve"> Regulations.  </w:t>
      </w:r>
    </w:p>
    <w:p w14:paraId="2B1F5929" w14:textId="77777777" w:rsidR="00915032" w:rsidRPr="008D7160" w:rsidRDefault="00915032" w:rsidP="008D7160">
      <w:pPr>
        <w:rPr>
          <w:rFonts w:ascii="Times New Roman" w:hAnsi="Times New Roman" w:cs="Times New Roman"/>
        </w:rPr>
      </w:pPr>
    </w:p>
    <w:sectPr w:rsidR="00915032" w:rsidRPr="008D7160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60"/>
    <w:rsid w:val="00015433"/>
    <w:rsid w:val="00031875"/>
    <w:rsid w:val="0007421B"/>
    <w:rsid w:val="000A1808"/>
    <w:rsid w:val="000D014F"/>
    <w:rsid w:val="00100240"/>
    <w:rsid w:val="00100DFC"/>
    <w:rsid w:val="00151F6D"/>
    <w:rsid w:val="00175871"/>
    <w:rsid w:val="0019164E"/>
    <w:rsid w:val="002402E0"/>
    <w:rsid w:val="0026037B"/>
    <w:rsid w:val="002A0814"/>
    <w:rsid w:val="002D167E"/>
    <w:rsid w:val="003230CD"/>
    <w:rsid w:val="003267FF"/>
    <w:rsid w:val="00457D4A"/>
    <w:rsid w:val="00464080"/>
    <w:rsid w:val="004A404A"/>
    <w:rsid w:val="004F5CE4"/>
    <w:rsid w:val="005566A4"/>
    <w:rsid w:val="00560B24"/>
    <w:rsid w:val="0057002B"/>
    <w:rsid w:val="00586AA9"/>
    <w:rsid w:val="00590B17"/>
    <w:rsid w:val="005A3733"/>
    <w:rsid w:val="00604E06"/>
    <w:rsid w:val="00725303"/>
    <w:rsid w:val="00770CF9"/>
    <w:rsid w:val="007E4691"/>
    <w:rsid w:val="00850538"/>
    <w:rsid w:val="0088407D"/>
    <w:rsid w:val="00892B75"/>
    <w:rsid w:val="008B24C8"/>
    <w:rsid w:val="008D7160"/>
    <w:rsid w:val="00915032"/>
    <w:rsid w:val="0093261D"/>
    <w:rsid w:val="00961F08"/>
    <w:rsid w:val="009D3394"/>
    <w:rsid w:val="00AA4557"/>
    <w:rsid w:val="00AA4F77"/>
    <w:rsid w:val="00AB6D6E"/>
    <w:rsid w:val="00B301DF"/>
    <w:rsid w:val="00B44374"/>
    <w:rsid w:val="00B445D9"/>
    <w:rsid w:val="00B64423"/>
    <w:rsid w:val="00B65A06"/>
    <w:rsid w:val="00B75478"/>
    <w:rsid w:val="00BB0CF2"/>
    <w:rsid w:val="00BD598E"/>
    <w:rsid w:val="00BE3E7F"/>
    <w:rsid w:val="00C33CFD"/>
    <w:rsid w:val="00C65E83"/>
    <w:rsid w:val="00C81A5E"/>
    <w:rsid w:val="00C8245F"/>
    <w:rsid w:val="00C84186"/>
    <w:rsid w:val="00C930F2"/>
    <w:rsid w:val="00C95F53"/>
    <w:rsid w:val="00CA6020"/>
    <w:rsid w:val="00CB0FE5"/>
    <w:rsid w:val="00CB661A"/>
    <w:rsid w:val="00CE2EA5"/>
    <w:rsid w:val="00CF6C02"/>
    <w:rsid w:val="00D40E1E"/>
    <w:rsid w:val="00D41BE7"/>
    <w:rsid w:val="00D510FF"/>
    <w:rsid w:val="00E03DCC"/>
    <w:rsid w:val="00E1408A"/>
    <w:rsid w:val="00E45FE2"/>
    <w:rsid w:val="00E601D7"/>
    <w:rsid w:val="00E92959"/>
    <w:rsid w:val="00EA12C9"/>
    <w:rsid w:val="00EB6106"/>
    <w:rsid w:val="00F32063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D499"/>
  <w15:chartTrackingRefBased/>
  <w15:docId w15:val="{11830A88-53D0-4866-B715-A143AE2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customStyle="1" w:styleId="LDItal">
    <w:name w:val="LDItal"/>
    <w:basedOn w:val="DefaultParagraphFont"/>
    <w:uiPriority w:val="1"/>
    <w:rsid w:val="008D7160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95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Yo-ru LEE</dc:creator>
  <cp:keywords/>
  <dc:description/>
  <cp:lastModifiedBy>Yo-ru LEE</cp:lastModifiedBy>
  <cp:revision>2</cp:revision>
  <dcterms:created xsi:type="dcterms:W3CDTF">2022-04-01T03:24:00Z</dcterms:created>
  <dcterms:modified xsi:type="dcterms:W3CDTF">2022-04-01T03:24:00Z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edData">
    <vt:lpwstr>ProtectedData</vt:lpwstr>
  </property>
</Properties>
</file>