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788A1" w14:textId="77777777" w:rsidR="00F109D4" w:rsidRPr="00731FEA" w:rsidRDefault="00F109D4" w:rsidP="00647BB7">
      <w:pPr>
        <w:pStyle w:val="Heading1"/>
        <w:spacing w:after="360"/>
        <w:rPr>
          <w:rFonts w:ascii="Times New Roman" w:hAnsi="Times New Roman"/>
          <w:sz w:val="24"/>
          <w:szCs w:val="24"/>
        </w:rPr>
      </w:pPr>
      <w:bookmarkStart w:id="0" w:name="_Hlk96007598"/>
      <w:r w:rsidRPr="00731FEA">
        <w:rPr>
          <w:rFonts w:ascii="Times New Roman" w:hAnsi="Times New Roman"/>
          <w:sz w:val="24"/>
          <w:szCs w:val="24"/>
        </w:rPr>
        <w:t>EXPLANATORY STATEMENT</w:t>
      </w:r>
    </w:p>
    <w:p w14:paraId="1F01725D" w14:textId="5CFBB2F1"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B97676140E194CAB80911A408EA3C827"/>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C34C80">
            <w:rPr>
              <w:sz w:val="24"/>
              <w:szCs w:val="24"/>
            </w:rPr>
            <w:t>Assistant Treasurer, Minister for Housing and Minister for Homelessness, Social and Community Housing</w:t>
          </w:r>
        </w:sdtContent>
      </w:sdt>
    </w:p>
    <w:p w14:paraId="158D2684" w14:textId="31270162" w:rsidR="00F109D4" w:rsidRDefault="00C34C80" w:rsidP="003C7907">
      <w:pPr>
        <w:spacing w:before="240" w:after="240"/>
        <w:jc w:val="center"/>
        <w:rPr>
          <w:i/>
        </w:rPr>
      </w:pPr>
      <w:r>
        <w:rPr>
          <w:i/>
        </w:rPr>
        <w:t>Terrorism and Cyclone Insurance Act 2003</w:t>
      </w:r>
    </w:p>
    <w:p w14:paraId="3B12A19F" w14:textId="77777777" w:rsidR="003E02C1" w:rsidRDefault="003E02C1" w:rsidP="003E02C1">
      <w:pPr>
        <w:spacing w:before="240" w:after="240"/>
        <w:jc w:val="center"/>
        <w:rPr>
          <w:i/>
        </w:rPr>
      </w:pPr>
      <w:r>
        <w:rPr>
          <w:i/>
        </w:rPr>
        <w:t>Insurance Act 1973</w:t>
      </w:r>
    </w:p>
    <w:p w14:paraId="406CDECC" w14:textId="7FBA9F58" w:rsidR="003E02C1" w:rsidRDefault="003E02C1" w:rsidP="003E02C1">
      <w:pPr>
        <w:spacing w:before="240" w:after="240"/>
        <w:jc w:val="center"/>
        <w:rPr>
          <w:i/>
        </w:rPr>
      </w:pPr>
      <w:r>
        <w:rPr>
          <w:i/>
        </w:rPr>
        <w:t>Legislation Act 2003</w:t>
      </w:r>
    </w:p>
    <w:p w14:paraId="630B496D" w14:textId="44941FDE" w:rsidR="00F109D4" w:rsidRPr="00503E44" w:rsidRDefault="00C34C80" w:rsidP="00AA1689">
      <w:pPr>
        <w:tabs>
          <w:tab w:val="left" w:pos="1418"/>
        </w:tabs>
        <w:spacing w:before="0" w:after="240"/>
        <w:jc w:val="center"/>
        <w:rPr>
          <w:i/>
        </w:rPr>
      </w:pPr>
      <w:r>
        <w:rPr>
          <w:i/>
        </w:rPr>
        <w:t>Terrorism Insurance Amendment (Cyclone and Related Flood Damage Reinsurance Pool) Regulations 2022</w:t>
      </w:r>
    </w:p>
    <w:p w14:paraId="62C495D4" w14:textId="5631D16E" w:rsidR="00C34C80" w:rsidRDefault="00C34C80" w:rsidP="00C34C80">
      <w:pPr>
        <w:spacing w:before="240"/>
      </w:pPr>
      <w:r>
        <w:t xml:space="preserve">The </w:t>
      </w:r>
      <w:r w:rsidRPr="003F7BF2">
        <w:rPr>
          <w:i/>
          <w:iCs/>
        </w:rPr>
        <w:t>Terrorism</w:t>
      </w:r>
      <w:r w:rsidRPr="009F6465">
        <w:rPr>
          <w:i/>
          <w:iCs/>
        </w:rPr>
        <w:t xml:space="preserve"> </w:t>
      </w:r>
      <w:r w:rsidRPr="003F7BF2">
        <w:rPr>
          <w:i/>
          <w:iCs/>
        </w:rPr>
        <w:t xml:space="preserve">Insurance Act </w:t>
      </w:r>
      <w:r w:rsidRPr="009F6465">
        <w:rPr>
          <w:i/>
          <w:iCs/>
        </w:rPr>
        <w:t>20</w:t>
      </w:r>
      <w:r>
        <w:rPr>
          <w:i/>
          <w:iCs/>
        </w:rPr>
        <w:t xml:space="preserve">03 </w:t>
      </w:r>
      <w:r>
        <w:t>(</w:t>
      </w:r>
      <w:r w:rsidR="00917C6A">
        <w:t>now</w:t>
      </w:r>
      <w:r>
        <w:t xml:space="preserve"> the </w:t>
      </w:r>
      <w:r w:rsidRPr="00E70401">
        <w:rPr>
          <w:i/>
          <w:iCs/>
        </w:rPr>
        <w:t>Terrorism and Cyclone Insurance Act</w:t>
      </w:r>
      <w:r w:rsidR="00B44F0C">
        <w:rPr>
          <w:i/>
          <w:iCs/>
        </w:rPr>
        <w:t> </w:t>
      </w:r>
      <w:r w:rsidRPr="00E70401">
        <w:rPr>
          <w:i/>
          <w:iCs/>
        </w:rPr>
        <w:t>2003</w:t>
      </w:r>
      <w:r w:rsidR="00C77AD0">
        <w:t>)</w:t>
      </w:r>
      <w:r>
        <w:t xml:space="preserve"> (the Act) was established following the terrorist attacks of 11 September</w:t>
      </w:r>
      <w:r w:rsidR="00B42A01">
        <w:t> </w:t>
      </w:r>
      <w:r>
        <w:t>2001 and the withdrawal of terrorism</w:t>
      </w:r>
      <w:r w:rsidR="00063822">
        <w:t xml:space="preserve"> insurance</w:t>
      </w:r>
      <w:r>
        <w:t xml:space="preserve"> cover by insurance and reinsurance companies. The Act</w:t>
      </w:r>
      <w:r w:rsidRPr="008F62C0">
        <w:t xml:space="preserve"> </w:t>
      </w:r>
      <w:r>
        <w:t>established the Australian Reinsurance Pool Corporation (</w:t>
      </w:r>
      <w:r w:rsidRPr="00BD051E">
        <w:t>ARPC</w:t>
      </w:r>
      <w:r>
        <w:t xml:space="preserve">) to provide reinsurance cover to insurers for eligible terrorism losses and to perform any other function prescribed in the </w:t>
      </w:r>
      <w:r>
        <w:rPr>
          <w:i/>
          <w:iCs/>
        </w:rPr>
        <w:t xml:space="preserve">Terrorism Insurance Regulations 2003 </w:t>
      </w:r>
      <w:r>
        <w:t xml:space="preserve">(renamed </w:t>
      </w:r>
      <w:r w:rsidRPr="00BD051E">
        <w:t xml:space="preserve">the </w:t>
      </w:r>
      <w:r w:rsidRPr="00E70401">
        <w:rPr>
          <w:i/>
          <w:iCs/>
        </w:rPr>
        <w:t>Terrorism and Cyclone Insurance Regulations 2003</w:t>
      </w:r>
      <w:r w:rsidR="00C77AD0">
        <w:t>)</w:t>
      </w:r>
      <w:r w:rsidRPr="00E70401">
        <w:rPr>
          <w:i/>
          <w:iCs/>
        </w:rPr>
        <w:t xml:space="preserve"> </w:t>
      </w:r>
      <w:r>
        <w:t xml:space="preserve">(The TI </w:t>
      </w:r>
      <w:r w:rsidRPr="00BD051E">
        <w:t>Regulations</w:t>
      </w:r>
      <w:r>
        <w:t>).</w:t>
      </w:r>
    </w:p>
    <w:p w14:paraId="2AB4E313" w14:textId="29E5FB3C" w:rsidR="00C34C80" w:rsidRPr="00333BD1" w:rsidRDefault="00C34C80" w:rsidP="00C34C80">
      <w:pPr>
        <w:spacing w:before="240"/>
      </w:pPr>
      <w:r>
        <w:t>The ARPC administers the terrorism reinsurance scheme, which involves providing primary insurers with reinsurance for commercial property and associated business interruption losses arising from a declared terrorist incident.</w:t>
      </w:r>
    </w:p>
    <w:p w14:paraId="78780972" w14:textId="27D2455A" w:rsidR="00C34C80" w:rsidRDefault="00C34C80" w:rsidP="00C34C80">
      <w:pPr>
        <w:spacing w:before="240"/>
      </w:pPr>
      <w:r w:rsidRPr="00503E44">
        <w:t xml:space="preserve">Section </w:t>
      </w:r>
      <w:r>
        <w:t xml:space="preserve">43 </w:t>
      </w:r>
      <w:r w:rsidRPr="00503E44">
        <w:t xml:space="preserve">of the </w:t>
      </w:r>
      <w:r>
        <w:t>Act</w:t>
      </w:r>
      <w:r w:rsidR="005C6327">
        <w:t xml:space="preserve">, section 132 of the </w:t>
      </w:r>
      <w:r w:rsidR="005C6327" w:rsidRPr="00433D88">
        <w:rPr>
          <w:i/>
          <w:iCs/>
        </w:rPr>
        <w:t>Insurance Act 1973</w:t>
      </w:r>
      <w:r w:rsidR="00433D88">
        <w:rPr>
          <w:i/>
          <w:iCs/>
        </w:rPr>
        <w:t xml:space="preserve"> </w:t>
      </w:r>
      <w:r w:rsidR="00433D88">
        <w:t>(Insurance Act)</w:t>
      </w:r>
      <w:r w:rsidR="00C72C66">
        <w:t>,</w:t>
      </w:r>
      <w:r w:rsidR="00786C29">
        <w:t xml:space="preserve"> and</w:t>
      </w:r>
      <w:r w:rsidR="005C6327">
        <w:t xml:space="preserve"> section 62 of the </w:t>
      </w:r>
      <w:r w:rsidR="005C6327" w:rsidRPr="00433D88">
        <w:rPr>
          <w:i/>
          <w:iCs/>
        </w:rPr>
        <w:t>Legislation Act 2003</w:t>
      </w:r>
      <w:r w:rsidRPr="00503E44">
        <w:t xml:space="preserve"> </w:t>
      </w:r>
      <w:r w:rsidR="00433D88">
        <w:t xml:space="preserve">(Legislation Act) </w:t>
      </w:r>
      <w:r w:rsidRPr="00503E44">
        <w:t xml:space="preserve">provide that the Governor-General may make regulations prescribing matters required or permitted by </w:t>
      </w:r>
      <w:r w:rsidR="00136D9C">
        <w:t>those</w:t>
      </w:r>
      <w:r w:rsidR="00136D9C" w:rsidRPr="00503E44">
        <w:t xml:space="preserve"> </w:t>
      </w:r>
      <w:r w:rsidRPr="00503E44">
        <w:t>Act</w:t>
      </w:r>
      <w:r w:rsidR="00136D9C">
        <w:t>s</w:t>
      </w:r>
      <w:r w:rsidRPr="00503E44">
        <w:t xml:space="preserve"> to be prescribed, or necessary or convenient to be prescribed</w:t>
      </w:r>
      <w:r w:rsidR="00C72C66">
        <w:t>,</w:t>
      </w:r>
      <w:r w:rsidRPr="00503E44">
        <w:t xml:space="preserve"> for carrying out or giving effect to </w:t>
      </w:r>
      <w:r w:rsidR="00136D9C">
        <w:t>those</w:t>
      </w:r>
      <w:r w:rsidRPr="00503E44">
        <w:t xml:space="preserve"> Act</w:t>
      </w:r>
      <w:r w:rsidR="00136D9C">
        <w:t>s</w:t>
      </w:r>
      <w:r w:rsidRPr="00503E44">
        <w:t>.</w:t>
      </w:r>
    </w:p>
    <w:p w14:paraId="20EC160E" w14:textId="4307A2F1" w:rsidR="00C34C80" w:rsidRDefault="00C34C80" w:rsidP="00C34C80">
      <w:pPr>
        <w:spacing w:before="240"/>
      </w:pPr>
      <w:r>
        <w:t xml:space="preserve">On 4 May </w:t>
      </w:r>
      <w:r w:rsidDel="003E5E7E">
        <w:t>2021</w:t>
      </w:r>
      <w:r>
        <w:t xml:space="preserve">, the Government announced its intention to establish a reinsurance pool to cover cyclone and </w:t>
      </w:r>
      <w:r w:rsidR="00C05008">
        <w:t>cyclone-</w:t>
      </w:r>
      <w:r>
        <w:t>related flood damage</w:t>
      </w:r>
      <w:r w:rsidR="00F04F0E">
        <w:t xml:space="preserve"> (the cyclone reinsurance scheme)</w:t>
      </w:r>
      <w:r>
        <w:t xml:space="preserve"> to commence from 1 July 2022. The cyclone reinsurance scheme seeks to improve insurance access and affordability for households and small businesses in cyclone-prone areas by reinsuring the risk of property damage caused by cyclones and cyclone</w:t>
      </w:r>
      <w:r>
        <w:noBreakHyphen/>
        <w:t>related flood damage.</w:t>
      </w:r>
      <w:r w:rsidR="00C55884" w:rsidRPr="00C55884">
        <w:t xml:space="preserve"> </w:t>
      </w:r>
    </w:p>
    <w:p w14:paraId="608D7F17" w14:textId="77777777" w:rsidR="00F37087" w:rsidRDefault="00C34C80" w:rsidP="00BB563E">
      <w:pPr>
        <w:spacing w:before="240"/>
      </w:pPr>
      <w:r>
        <w:t xml:space="preserve">On 15 October 2021, the </w:t>
      </w:r>
      <w:r w:rsidRPr="000715CF">
        <w:rPr>
          <w:i/>
          <w:iCs/>
        </w:rPr>
        <w:t>Terrorism Insurance Amendment (Cyclone</w:t>
      </w:r>
      <w:r>
        <w:rPr>
          <w:i/>
          <w:iCs/>
        </w:rPr>
        <w:t>s</w:t>
      </w:r>
      <w:r w:rsidRPr="000715CF">
        <w:rPr>
          <w:i/>
          <w:iCs/>
        </w:rPr>
        <w:t xml:space="preserve"> and Related Flood Damage Reinsurance Pool) Regulations 202</w:t>
      </w:r>
      <w:r>
        <w:rPr>
          <w:i/>
          <w:iCs/>
        </w:rPr>
        <w:t>1</w:t>
      </w:r>
      <w:r w:rsidR="00174C5E">
        <w:rPr>
          <w:i/>
          <w:iCs/>
        </w:rPr>
        <w:t xml:space="preserve"> </w:t>
      </w:r>
      <w:r>
        <w:t>amended the TI Regulations to confer on the ARPC the new function of preparing to operate the cyclone reinsurance scheme.</w:t>
      </w:r>
      <w:r w:rsidR="00F37087" w:rsidRPr="00F37087">
        <w:t xml:space="preserve"> </w:t>
      </w:r>
    </w:p>
    <w:p w14:paraId="207E9814" w14:textId="6827F922" w:rsidR="00290017" w:rsidRPr="000715CF" w:rsidRDefault="00F37087" w:rsidP="00BB563E">
      <w:pPr>
        <w:spacing w:before="240"/>
      </w:pPr>
      <w:r>
        <w:t>On 7 February 2022, t</w:t>
      </w:r>
      <w:r w:rsidRPr="00455CFB">
        <w:t>he Government</w:t>
      </w:r>
      <w:r>
        <w:t xml:space="preserve"> announced it had</w:t>
      </w:r>
      <w:r w:rsidRPr="00455CFB">
        <w:t xml:space="preserve"> finalised the design of the </w:t>
      </w:r>
      <w:r>
        <w:t>cyclone reinsurance scheme</w:t>
      </w:r>
      <w:r w:rsidRPr="00455CFB">
        <w:t>, following consultation on the draft legislation.</w:t>
      </w:r>
    </w:p>
    <w:p w14:paraId="534454CA" w14:textId="0A1AD8D9" w:rsidR="00C34C80" w:rsidRDefault="00C34C80" w:rsidP="00C34C80">
      <w:pPr>
        <w:spacing w:before="240"/>
      </w:pPr>
      <w:r>
        <w:t xml:space="preserve">The purpose of the </w:t>
      </w:r>
      <w:r w:rsidRPr="00F964A5">
        <w:rPr>
          <w:i/>
          <w:iCs/>
        </w:rPr>
        <w:t>Terrorism Insurance Amendment (Cyclone and Related Flood Damage Reinsurance Pool) Regulations 2022</w:t>
      </w:r>
      <w:r w:rsidRPr="00F964A5">
        <w:t xml:space="preserve"> </w:t>
      </w:r>
      <w:r>
        <w:t>(</w:t>
      </w:r>
      <w:r w:rsidRPr="00253C35">
        <w:t>the</w:t>
      </w:r>
      <w:r w:rsidRPr="000F454B">
        <w:t xml:space="preserve"> </w:t>
      </w:r>
      <w:r w:rsidRPr="00253C35">
        <w:t>Regulations</w:t>
      </w:r>
      <w:r>
        <w:t xml:space="preserve">) is to amend the </w:t>
      </w:r>
      <w:r>
        <w:lastRenderedPageBreak/>
        <w:t>TI</w:t>
      </w:r>
      <w:r w:rsidR="007E5899">
        <w:t> </w:t>
      </w:r>
      <w:r>
        <w:t xml:space="preserve">Regulations to </w:t>
      </w:r>
      <w:r w:rsidR="00F16FA9">
        <w:t xml:space="preserve">accommodate the new cyclone reinsurance scheme established by </w:t>
      </w:r>
      <w:r>
        <w:t xml:space="preserve">Schedule </w:t>
      </w:r>
      <w:r w:rsidR="00327F0D">
        <w:t xml:space="preserve">1 </w:t>
      </w:r>
      <w:r>
        <w:t xml:space="preserve">to the </w:t>
      </w:r>
      <w:r w:rsidRPr="009C256E">
        <w:rPr>
          <w:i/>
        </w:rPr>
        <w:t>Treasury Laws Amendment (</w:t>
      </w:r>
      <w:r w:rsidR="00327F0D" w:rsidRPr="009C256E">
        <w:rPr>
          <w:i/>
        </w:rPr>
        <w:t>Cyclone and Flood Damage Reinsurance Pool</w:t>
      </w:r>
      <w:r w:rsidRPr="009C256E">
        <w:rPr>
          <w:i/>
        </w:rPr>
        <w:t xml:space="preserve">) </w:t>
      </w:r>
      <w:r w:rsidR="009D736C" w:rsidRPr="009C256E">
        <w:rPr>
          <w:i/>
        </w:rPr>
        <w:t xml:space="preserve">Act </w:t>
      </w:r>
      <w:r w:rsidR="00327F0D" w:rsidRPr="009C256E">
        <w:rPr>
          <w:i/>
        </w:rPr>
        <w:t>2022</w:t>
      </w:r>
      <w:r w:rsidR="00E113E2">
        <w:rPr>
          <w:i/>
        </w:rPr>
        <w:t xml:space="preserve"> </w:t>
      </w:r>
      <w:r w:rsidR="00E113E2" w:rsidRPr="00E113E2">
        <w:rPr>
          <w:iCs/>
        </w:rPr>
        <w:t>(Cyclone and Flood Damage Reinsurance Pool Act)</w:t>
      </w:r>
      <w:r w:rsidR="00F16FA9" w:rsidRPr="00E113E2">
        <w:rPr>
          <w:iCs/>
        </w:rPr>
        <w:t>.</w:t>
      </w:r>
    </w:p>
    <w:p w14:paraId="7AF3AB97" w14:textId="03DE6C14" w:rsidR="00C34C80" w:rsidRDefault="00C90B6C" w:rsidP="00433D88">
      <w:pPr>
        <w:spacing w:before="240"/>
      </w:pPr>
      <w:r>
        <w:t xml:space="preserve">The </w:t>
      </w:r>
      <w:r w:rsidR="00765302">
        <w:t>Regulations</w:t>
      </w:r>
      <w:r w:rsidR="007E59B4">
        <w:t xml:space="preserve"> </w:t>
      </w:r>
      <w:r>
        <w:t xml:space="preserve">prescribe the definition of key terms for the cyclone reinsurance scheme, such as the definition of </w:t>
      </w:r>
      <w:r w:rsidR="006535D4">
        <w:t>‘</w:t>
      </w:r>
      <w:r>
        <w:t>cyclone</w:t>
      </w:r>
      <w:r w:rsidR="006535D4">
        <w:t>’</w:t>
      </w:r>
      <w:r>
        <w:t xml:space="preserve">, the duration for the end of the claims period for a cyclone event, </w:t>
      </w:r>
      <w:r w:rsidR="006535D4">
        <w:t>‘</w:t>
      </w:r>
      <w:r>
        <w:t>home building</w:t>
      </w:r>
      <w:r w:rsidR="006535D4">
        <w:t>’</w:t>
      </w:r>
      <w:r>
        <w:t xml:space="preserve">, and </w:t>
      </w:r>
      <w:r w:rsidR="006535D4">
        <w:t>‘</w:t>
      </w:r>
      <w:r>
        <w:t>contents.</w:t>
      </w:r>
      <w:r w:rsidR="006535D4">
        <w:t>’</w:t>
      </w:r>
      <w:r>
        <w:t xml:space="preserve"> The Regulations set the threshold amount for determining if an insurer has minimum exposure to policies with eligible cyclone risks, which determines whether an insurer is required to participate in the cyclone reinsurance scheme. The Regulations also set the threshold amount for the maximum sum insured test that applies when determining if certain policies are eligible for coverage under the cyclone reinsurance scheme.</w:t>
      </w:r>
    </w:p>
    <w:p w14:paraId="710AB6B0" w14:textId="316F4666" w:rsidR="00C34C80" w:rsidRDefault="00C34C80" w:rsidP="00C34C80">
      <w:pPr>
        <w:spacing w:before="240"/>
      </w:pPr>
      <w:r w:rsidRPr="00B242B5">
        <w:t>The Act</w:t>
      </w:r>
      <w:r w:rsidR="006C1EC7">
        <w:t xml:space="preserve">, </w:t>
      </w:r>
      <w:r w:rsidR="006C1EC7" w:rsidRPr="00433D88">
        <w:t>Insurance Act</w:t>
      </w:r>
      <w:r w:rsidR="006C1EC7" w:rsidRPr="00C90B6C">
        <w:t xml:space="preserve"> and </w:t>
      </w:r>
      <w:r w:rsidR="006C1EC7" w:rsidRPr="00433D88">
        <w:t>Legislation Act</w:t>
      </w:r>
      <w:r w:rsidRPr="00B242B5">
        <w:t xml:space="preserve"> do not specify any conditions that need to be met before the power to make the Regulations is exercised.</w:t>
      </w:r>
    </w:p>
    <w:p w14:paraId="3F1925F8" w14:textId="693ACDD1" w:rsidR="006349D8" w:rsidRDefault="0059682E" w:rsidP="00C7511F">
      <w:pPr>
        <w:spacing w:before="240"/>
      </w:pPr>
      <w:r>
        <w:t xml:space="preserve">Public consultation on </w:t>
      </w:r>
      <w:r w:rsidR="00E75BD0">
        <w:t xml:space="preserve">an </w:t>
      </w:r>
      <w:r>
        <w:t xml:space="preserve">exposure draft instrument and explanatory materials was </w:t>
      </w:r>
      <w:r w:rsidR="00BE71BC">
        <w:t xml:space="preserve">held </w:t>
      </w:r>
      <w:r>
        <w:t xml:space="preserve">between 3 </w:t>
      </w:r>
      <w:r w:rsidR="00064F1D">
        <w:t>December 202</w:t>
      </w:r>
      <w:r w:rsidR="00F41903">
        <w:t>1</w:t>
      </w:r>
      <w:r w:rsidR="00064F1D">
        <w:t xml:space="preserve"> </w:t>
      </w:r>
      <w:r>
        <w:t xml:space="preserve">and 17 December 2021. </w:t>
      </w:r>
      <w:r w:rsidR="00D03DD0">
        <w:t>S</w:t>
      </w:r>
      <w:r>
        <w:t>ubmissions were received in response to the consultation from stakeholders</w:t>
      </w:r>
      <w:r w:rsidR="001D7FA7">
        <w:t>,</w:t>
      </w:r>
      <w:r>
        <w:t xml:space="preserve"> including consumer and community advocacy groups, industry, government bodies and academic experts.</w:t>
      </w:r>
      <w:r w:rsidR="00AD2F36" w:rsidRPr="00AD2F36">
        <w:t xml:space="preserve"> </w:t>
      </w:r>
    </w:p>
    <w:p w14:paraId="430F8170" w14:textId="27C91341" w:rsidR="00C34C80" w:rsidRDefault="00C34C80" w:rsidP="00C34C80">
      <w:pPr>
        <w:spacing w:before="240"/>
      </w:pPr>
      <w:r>
        <w:t xml:space="preserve">Details of the Regulations are set out in </w:t>
      </w:r>
      <w:r w:rsidRPr="00317816">
        <w:rPr>
          <w:u w:val="single"/>
        </w:rPr>
        <w:t>Attachment</w:t>
      </w:r>
      <w:r>
        <w:rPr>
          <w:u w:val="single"/>
        </w:rPr>
        <w:t xml:space="preserve"> A</w:t>
      </w:r>
      <w:r>
        <w:t>.</w:t>
      </w:r>
    </w:p>
    <w:p w14:paraId="44E57722" w14:textId="72F9E3B5" w:rsidR="00C34C80" w:rsidRDefault="00C34C80" w:rsidP="00C34C80">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w:t>
      </w:r>
      <w:r w:rsidR="00AD76E3">
        <w:rPr>
          <w:i/>
        </w:rPr>
        <w:t> </w:t>
      </w:r>
      <w:r w:rsidRPr="00D3322F">
        <w:rPr>
          <w:i/>
        </w:rPr>
        <w:t>Act</w:t>
      </w:r>
      <w:r w:rsidR="00AD76E3">
        <w:rPr>
          <w:i/>
        </w:rPr>
        <w:t> </w:t>
      </w:r>
      <w:r w:rsidRPr="00D3322F">
        <w:rPr>
          <w:i/>
        </w:rPr>
        <w:t>2003</w:t>
      </w:r>
      <w:r w:rsidRPr="00D3322F">
        <w:t>.</w:t>
      </w:r>
    </w:p>
    <w:p w14:paraId="79439269" w14:textId="77777777" w:rsidR="001C7516" w:rsidRDefault="00C34C80" w:rsidP="00647BB7">
      <w:pPr>
        <w:spacing w:before="240"/>
      </w:pPr>
      <w:r w:rsidRPr="00503E44">
        <w:t>The Regulations commence</w:t>
      </w:r>
      <w:r>
        <w:t xml:space="preserve"> the day after they are registered</w:t>
      </w:r>
      <w:r w:rsidR="001C7516">
        <w:t>.</w:t>
      </w:r>
    </w:p>
    <w:p w14:paraId="2EF23542" w14:textId="7CFE8D7D" w:rsidR="009143A0" w:rsidRDefault="00E04024" w:rsidP="00647BB7">
      <w:pPr>
        <w:spacing w:before="240"/>
      </w:pPr>
      <w:r>
        <w:t xml:space="preserve">A Regulation Impact Statement was prepared for the </w:t>
      </w:r>
      <w:r w:rsidR="001C0385">
        <w:t>cyclone reinsurance scheme</w:t>
      </w:r>
      <w:r>
        <w:t xml:space="preserve"> and is available in Chapter 3 of the </w:t>
      </w:r>
      <w:r w:rsidR="00C05FAD">
        <w:t xml:space="preserve">Explanatory Memorandum </w:t>
      </w:r>
      <w:r w:rsidR="00CB109C">
        <w:t>for</w:t>
      </w:r>
      <w:r>
        <w:t xml:space="preserve"> the </w:t>
      </w:r>
      <w:r w:rsidR="00E113E2">
        <w:t xml:space="preserve">Cyclone and Flood </w:t>
      </w:r>
      <w:r w:rsidR="00F740F0">
        <w:t xml:space="preserve">Damage </w:t>
      </w:r>
      <w:r w:rsidR="00E113E2">
        <w:t xml:space="preserve">Reinsurance Pool </w:t>
      </w:r>
      <w:r w:rsidR="00C52D4F">
        <w:t>Act</w:t>
      </w:r>
      <w:r>
        <w:t>.</w:t>
      </w:r>
    </w:p>
    <w:p w14:paraId="1CF1E185" w14:textId="28251616" w:rsidR="00EB2AEF" w:rsidRPr="00013390" w:rsidRDefault="00EB2AEF" w:rsidP="00647BB7">
      <w:pPr>
        <w:spacing w:before="240"/>
      </w:pPr>
      <w:r>
        <w:t xml:space="preserve">A </w:t>
      </w:r>
      <w:r w:rsidR="0056455F">
        <w:t>S</w:t>
      </w:r>
      <w:r>
        <w:t xml:space="preserve">tatement of Compatibility with Human Rights is at </w:t>
      </w:r>
      <w:r w:rsidRPr="000B39A1">
        <w:rPr>
          <w:u w:val="single"/>
        </w:rPr>
        <w:t xml:space="preserve">Attachment </w:t>
      </w:r>
      <w:r w:rsidR="00FB0129">
        <w:rPr>
          <w:u w:val="single"/>
        </w:rPr>
        <w:t>B</w:t>
      </w:r>
      <w:r w:rsidR="00FB0129">
        <w:t>.</w:t>
      </w:r>
    </w:p>
    <w:p w14:paraId="06657C2B" w14:textId="511CEAB0" w:rsidR="00EA4DD8" w:rsidRDefault="00EA4DD8" w:rsidP="00EA4DD8">
      <w:pPr>
        <w:pageBreakBefore/>
        <w:spacing w:before="240"/>
        <w:jc w:val="right"/>
        <w:rPr>
          <w:b/>
          <w:u w:val="single"/>
        </w:rPr>
      </w:pPr>
      <w:r w:rsidRPr="007B335E">
        <w:rPr>
          <w:b/>
          <w:u w:val="single"/>
        </w:rPr>
        <w:lastRenderedPageBreak/>
        <w:t xml:space="preserve">ATTACHMENT </w:t>
      </w:r>
      <w:r w:rsidR="00BB0F74">
        <w:rPr>
          <w:b/>
          <w:u w:val="single"/>
        </w:rPr>
        <w:t>A</w:t>
      </w:r>
    </w:p>
    <w:p w14:paraId="7E5930B8" w14:textId="67F45B03" w:rsidR="00EA4DD8" w:rsidRDefault="00EA4DD8" w:rsidP="00EA4DD8">
      <w:pPr>
        <w:spacing w:before="240"/>
        <w:ind w:right="91"/>
        <w:rPr>
          <w:b/>
          <w:bCs/>
          <w:szCs w:val="24"/>
          <w:u w:val="single"/>
        </w:rPr>
      </w:pPr>
      <w:r>
        <w:rPr>
          <w:b/>
          <w:bCs/>
          <w:u w:val="single"/>
        </w:rPr>
        <w:t xml:space="preserve">Details of the </w:t>
      </w:r>
      <w:r w:rsidR="00C34C80">
        <w:rPr>
          <w:b/>
          <w:i/>
          <w:u w:val="single"/>
        </w:rPr>
        <w:t>Terrorism Insurance Amendment (Cyclone and Related Flood Damage Reinsurance Pool) Regulations 2022</w:t>
      </w:r>
    </w:p>
    <w:p w14:paraId="4B3E0DAC" w14:textId="4D86F060" w:rsidR="00C34C80" w:rsidRDefault="00C34C80" w:rsidP="00C34C80">
      <w:pPr>
        <w:spacing w:before="240"/>
        <w:rPr>
          <w:rFonts w:ascii="Calibri" w:hAnsi="Calibri"/>
          <w:sz w:val="22"/>
          <w:szCs w:val="22"/>
          <w:u w:val="single"/>
          <w:lang w:eastAsia="en-US"/>
        </w:rPr>
      </w:pPr>
      <w:r>
        <w:rPr>
          <w:u w:val="single"/>
        </w:rPr>
        <w:t>Section 1 – Name of Regulations</w:t>
      </w:r>
    </w:p>
    <w:p w14:paraId="269F5C06" w14:textId="0955ED56" w:rsidR="00C34C80" w:rsidRDefault="00C34C80" w:rsidP="00C34C80">
      <w:pPr>
        <w:spacing w:before="240"/>
      </w:pPr>
      <w:r>
        <w:t xml:space="preserve">This section provides that the name of the Regulations is the </w:t>
      </w:r>
      <w:r>
        <w:rPr>
          <w:i/>
        </w:rPr>
        <w:t>Terrorism Insurance Amendment (Cyclone and Related Flood Damage Reinsurance Pool) Regulations</w:t>
      </w:r>
      <w:r w:rsidR="00657EA0">
        <w:rPr>
          <w:i/>
        </w:rPr>
        <w:t> </w:t>
      </w:r>
      <w:r>
        <w:rPr>
          <w:i/>
        </w:rPr>
        <w:t xml:space="preserve">2022 </w:t>
      </w:r>
      <w:r>
        <w:t>(the Regulations).</w:t>
      </w:r>
    </w:p>
    <w:p w14:paraId="4A9A122B" w14:textId="77777777" w:rsidR="00C34C80" w:rsidRDefault="00C34C80" w:rsidP="00C34C80">
      <w:pPr>
        <w:spacing w:before="240"/>
        <w:ind w:right="91"/>
        <w:rPr>
          <w:u w:val="single"/>
        </w:rPr>
      </w:pPr>
      <w:r>
        <w:rPr>
          <w:u w:val="single"/>
        </w:rPr>
        <w:t>Section 2 – Commencement</w:t>
      </w:r>
    </w:p>
    <w:p w14:paraId="13B7DA1C" w14:textId="6186F3D9" w:rsidR="00C34C80" w:rsidRDefault="00C34C80" w:rsidP="00C34C80">
      <w:pPr>
        <w:spacing w:before="240"/>
        <w:ind w:right="91"/>
      </w:pPr>
      <w:r>
        <w:t xml:space="preserve">This section provides that the Regulations commence the </w:t>
      </w:r>
      <w:r w:rsidRPr="00665881">
        <w:t>day after the</w:t>
      </w:r>
      <w:r w:rsidR="00901577">
        <w:t>y</w:t>
      </w:r>
      <w:r w:rsidRPr="00665881">
        <w:t xml:space="preserve"> </w:t>
      </w:r>
      <w:r w:rsidR="00901577">
        <w:t>are</w:t>
      </w:r>
      <w:r w:rsidRPr="00665881">
        <w:t xml:space="preserve"> registered </w:t>
      </w:r>
      <w:r>
        <w:t>on the Federal Register of Legislation</w:t>
      </w:r>
      <w:r w:rsidR="00E530EB">
        <w:t>.</w:t>
      </w:r>
    </w:p>
    <w:p w14:paraId="0F371986" w14:textId="77777777" w:rsidR="00C34C80" w:rsidRDefault="00C34C80" w:rsidP="00C34C80">
      <w:pPr>
        <w:spacing w:before="240"/>
        <w:ind w:right="91"/>
        <w:rPr>
          <w:u w:val="single"/>
        </w:rPr>
      </w:pPr>
      <w:r>
        <w:rPr>
          <w:u w:val="single"/>
        </w:rPr>
        <w:t>Section 3 – Authority</w:t>
      </w:r>
    </w:p>
    <w:p w14:paraId="4FDAE9BE" w14:textId="2CF77B3A" w:rsidR="00C34C80" w:rsidRDefault="00C34C80" w:rsidP="00C34C80">
      <w:pPr>
        <w:spacing w:before="240"/>
        <w:ind w:right="91"/>
      </w:pPr>
      <w:r>
        <w:t xml:space="preserve">The Regulations are made under the </w:t>
      </w:r>
      <w:r w:rsidR="004E68C9" w:rsidRPr="00E70401">
        <w:rPr>
          <w:i/>
          <w:iCs/>
        </w:rPr>
        <w:t>Terrorism and Cyclone Insurance Act 2003</w:t>
      </w:r>
      <w:r w:rsidR="004E68C9">
        <w:t xml:space="preserve"> (the </w:t>
      </w:r>
      <w:r>
        <w:t>Act</w:t>
      </w:r>
      <w:r w:rsidR="004E68C9">
        <w:t>)</w:t>
      </w:r>
      <w:r w:rsidR="00A66006">
        <w:t xml:space="preserve">, the </w:t>
      </w:r>
      <w:r w:rsidR="00A66006">
        <w:rPr>
          <w:i/>
          <w:iCs/>
        </w:rPr>
        <w:t xml:space="preserve">Insurance Act 1973 </w:t>
      </w:r>
      <w:r w:rsidR="00A66006">
        <w:t xml:space="preserve">and the </w:t>
      </w:r>
      <w:r w:rsidR="00A66006">
        <w:rPr>
          <w:i/>
          <w:iCs/>
        </w:rPr>
        <w:t>Legislation Act 2003</w:t>
      </w:r>
      <w:r w:rsidR="009B68BC">
        <w:rPr>
          <w:i/>
          <w:iCs/>
        </w:rPr>
        <w:t xml:space="preserve"> </w:t>
      </w:r>
      <w:r w:rsidR="009B68BC">
        <w:t>(Legislation Act)</w:t>
      </w:r>
      <w:r>
        <w:t>.</w:t>
      </w:r>
    </w:p>
    <w:p w14:paraId="1C46037B" w14:textId="77777777" w:rsidR="00C34C80" w:rsidRDefault="00C34C80" w:rsidP="00C34C80">
      <w:pPr>
        <w:spacing w:before="240"/>
        <w:ind w:right="91"/>
        <w:rPr>
          <w:u w:val="single"/>
        </w:rPr>
      </w:pPr>
      <w:r>
        <w:rPr>
          <w:u w:val="single"/>
        </w:rPr>
        <w:t>Section 4 – Schedule</w:t>
      </w:r>
    </w:p>
    <w:p w14:paraId="450036E9" w14:textId="2D7D4451" w:rsidR="00C34C80" w:rsidRDefault="00C34C80" w:rsidP="00C34C80">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34476F72" w14:textId="77777777" w:rsidR="00C34C80" w:rsidRPr="00AF6551" w:rsidRDefault="00C34C80" w:rsidP="00C34C80">
      <w:pPr>
        <w:spacing w:after="0"/>
        <w:ind w:right="91"/>
        <w:rPr>
          <w:b/>
          <w:bCs/>
        </w:rPr>
      </w:pPr>
      <w:r w:rsidRPr="00AF6551">
        <w:rPr>
          <w:b/>
          <w:bCs/>
        </w:rPr>
        <w:t>Schedule 1 – Amendments</w:t>
      </w:r>
    </w:p>
    <w:p w14:paraId="3C60650A" w14:textId="77777777" w:rsidR="00AF6551" w:rsidRDefault="00AF6551" w:rsidP="00AF6551">
      <w:pPr>
        <w:spacing w:before="0" w:after="0"/>
        <w:rPr>
          <w:u w:val="single"/>
        </w:rPr>
      </w:pPr>
    </w:p>
    <w:p w14:paraId="1B6D64F6" w14:textId="4CC07B06" w:rsidR="00C451EE" w:rsidRPr="00C451EE" w:rsidRDefault="00C451EE" w:rsidP="00AF6551">
      <w:pPr>
        <w:spacing w:before="0" w:after="0"/>
        <w:rPr>
          <w:b/>
          <w:bCs/>
          <w:i/>
          <w:iCs/>
          <w:u w:val="single"/>
        </w:rPr>
      </w:pPr>
      <w:r w:rsidRPr="00C451EE">
        <w:rPr>
          <w:b/>
          <w:bCs/>
          <w:i/>
          <w:iCs/>
          <w:u w:val="single"/>
        </w:rPr>
        <w:t>Insurance Regulations 2002</w:t>
      </w:r>
    </w:p>
    <w:p w14:paraId="4214A3CF" w14:textId="77777777" w:rsidR="00C451EE" w:rsidRDefault="00C451EE" w:rsidP="00AF6551">
      <w:pPr>
        <w:spacing w:before="0" w:after="0"/>
        <w:rPr>
          <w:u w:val="single"/>
        </w:rPr>
      </w:pPr>
    </w:p>
    <w:p w14:paraId="435A13A6" w14:textId="12FC7618" w:rsidR="00410ED9" w:rsidRPr="00AF6551" w:rsidRDefault="00C34C80" w:rsidP="00AF6551">
      <w:pPr>
        <w:spacing w:before="0" w:after="0"/>
        <w:rPr>
          <w:u w:val="single"/>
        </w:rPr>
      </w:pPr>
      <w:r w:rsidRPr="00AF6551">
        <w:rPr>
          <w:u w:val="single"/>
        </w:rPr>
        <w:t>Item 1</w:t>
      </w:r>
    </w:p>
    <w:p w14:paraId="40D31979" w14:textId="77777777" w:rsidR="00B26176" w:rsidRDefault="00B26176" w:rsidP="00C34C80">
      <w:pPr>
        <w:spacing w:before="0" w:after="0"/>
      </w:pPr>
    </w:p>
    <w:p w14:paraId="57493B19" w14:textId="061D56BF" w:rsidR="00C34C80" w:rsidRDefault="00C34C80" w:rsidP="00C34C80">
      <w:pPr>
        <w:spacing w:before="0" w:after="0"/>
      </w:pPr>
      <w:r>
        <w:t xml:space="preserve">Item </w:t>
      </w:r>
      <w:r w:rsidRPr="007C475A">
        <w:t>1</w:t>
      </w:r>
      <w:r>
        <w:t xml:space="preserve"> </w:t>
      </w:r>
      <w:r w:rsidR="00537F6C">
        <w:t>amends</w:t>
      </w:r>
      <w:r w:rsidDel="00051AA5">
        <w:t xml:space="preserve"> </w:t>
      </w:r>
      <w:r w:rsidR="00051AA5">
        <w:t xml:space="preserve">paragraph </w:t>
      </w:r>
      <w:r>
        <w:t>4C</w:t>
      </w:r>
      <w:r w:rsidR="00051AA5">
        <w:t>(2)(d)</w:t>
      </w:r>
      <w:r>
        <w:t xml:space="preserve"> of the </w:t>
      </w:r>
      <w:r>
        <w:rPr>
          <w:i/>
          <w:iCs/>
        </w:rPr>
        <w:t xml:space="preserve">Insurance Regulations 2002 </w:t>
      </w:r>
      <w:r>
        <w:t>to update the name of the Act</w:t>
      </w:r>
      <w:r w:rsidR="00F600B5" w:rsidRPr="00F600B5">
        <w:t xml:space="preserve"> </w:t>
      </w:r>
      <w:r w:rsidR="00F600B5">
        <w:t>from the ‘</w:t>
      </w:r>
      <w:r w:rsidR="00F600B5">
        <w:rPr>
          <w:i/>
        </w:rPr>
        <w:t>Terrorism Insurance Act 2003</w:t>
      </w:r>
      <w:r w:rsidR="00F600B5" w:rsidRPr="000E15D3">
        <w:rPr>
          <w:iCs/>
        </w:rPr>
        <w:t>’</w:t>
      </w:r>
      <w:r w:rsidR="00F600B5">
        <w:rPr>
          <w:i/>
        </w:rPr>
        <w:t xml:space="preserve"> </w:t>
      </w:r>
      <w:r w:rsidR="00F600B5">
        <w:t>to the ‘</w:t>
      </w:r>
      <w:r w:rsidR="00F600B5">
        <w:rPr>
          <w:i/>
        </w:rPr>
        <w:t>Terrorism and Cyclone Insurance Act 2003</w:t>
      </w:r>
      <w:r w:rsidR="00F600B5" w:rsidRPr="000E15D3">
        <w:rPr>
          <w:iCs/>
        </w:rPr>
        <w:t>’</w:t>
      </w:r>
      <w:r w:rsidR="00D100EE">
        <w:t>. This amendment</w:t>
      </w:r>
      <w:r>
        <w:t xml:space="preserve"> ensure</w:t>
      </w:r>
      <w:r w:rsidR="00D100EE">
        <w:t>s</w:t>
      </w:r>
      <w:r>
        <w:t xml:space="preserve"> that a loss or liability arising from a terrorist act within the meaning of the Act continues to be considered a contract of insurance for an atypical risk.</w:t>
      </w:r>
    </w:p>
    <w:p w14:paraId="3EFDEC99" w14:textId="2E6A6DC5" w:rsidR="00021657" w:rsidRDefault="00021657" w:rsidP="00C34C80">
      <w:pPr>
        <w:spacing w:before="0" w:after="0"/>
      </w:pPr>
    </w:p>
    <w:p w14:paraId="1692EE46" w14:textId="0F3C8174" w:rsidR="00021657" w:rsidRPr="00EB4DF4" w:rsidRDefault="00021657" w:rsidP="00021657">
      <w:pPr>
        <w:spacing w:before="0" w:after="0"/>
        <w:rPr>
          <w:b/>
          <w:i/>
          <w:u w:val="single"/>
        </w:rPr>
      </w:pPr>
      <w:r w:rsidRPr="00EB4DF4">
        <w:rPr>
          <w:b/>
          <w:i/>
          <w:u w:val="single"/>
        </w:rPr>
        <w:t>Legislation (Exemptions and Other Matters) Regulation 2015</w:t>
      </w:r>
    </w:p>
    <w:p w14:paraId="482A00A9" w14:textId="761D449F" w:rsidR="00021657" w:rsidRDefault="00021657" w:rsidP="00C34C80">
      <w:pPr>
        <w:spacing w:before="0" w:after="0"/>
        <w:rPr>
          <w:u w:val="single"/>
        </w:rPr>
      </w:pPr>
    </w:p>
    <w:p w14:paraId="039CDA46" w14:textId="30A677A1" w:rsidR="00782347" w:rsidRPr="00044114" w:rsidRDefault="00782347" w:rsidP="00782347">
      <w:pPr>
        <w:spacing w:before="0" w:after="0"/>
        <w:rPr>
          <w:u w:val="single"/>
        </w:rPr>
      </w:pPr>
      <w:r w:rsidRPr="00044114">
        <w:rPr>
          <w:u w:val="single"/>
        </w:rPr>
        <w:t xml:space="preserve">Item </w:t>
      </w:r>
      <w:r>
        <w:rPr>
          <w:u w:val="single"/>
        </w:rPr>
        <w:t>2</w:t>
      </w:r>
    </w:p>
    <w:p w14:paraId="336E636E" w14:textId="77777777" w:rsidR="00782347" w:rsidRPr="00044114" w:rsidRDefault="00782347" w:rsidP="00782347">
      <w:pPr>
        <w:spacing w:before="0" w:after="0"/>
        <w:rPr>
          <w:u w:val="single"/>
        </w:rPr>
      </w:pPr>
    </w:p>
    <w:p w14:paraId="2CE94F0D" w14:textId="77777777" w:rsidR="00782347" w:rsidRPr="00044114" w:rsidRDefault="00782347" w:rsidP="00782347">
      <w:pPr>
        <w:spacing w:before="0" w:after="0"/>
        <w:rPr>
          <w:b/>
          <w:bCs/>
        </w:rPr>
      </w:pPr>
      <w:r>
        <w:rPr>
          <w:b/>
          <w:bCs/>
        </w:rPr>
        <w:t xml:space="preserve">Disallowance </w:t>
      </w:r>
    </w:p>
    <w:p w14:paraId="0D8A6245" w14:textId="77777777" w:rsidR="00782347" w:rsidRDefault="00782347" w:rsidP="00782347">
      <w:pPr>
        <w:spacing w:before="0" w:after="0"/>
      </w:pPr>
    </w:p>
    <w:p w14:paraId="10E89B8E" w14:textId="54E606B5" w:rsidR="00782347" w:rsidRPr="00044114" w:rsidRDefault="00782347" w:rsidP="00782347">
      <w:pPr>
        <w:spacing w:before="0" w:after="0"/>
      </w:pPr>
      <w:r w:rsidRPr="00044114">
        <w:t xml:space="preserve">Item </w:t>
      </w:r>
      <w:r>
        <w:t>2</w:t>
      </w:r>
      <w:r w:rsidRPr="00044114">
        <w:t xml:space="preserve"> repeals and replaces item 31 of the table in section 10 of the </w:t>
      </w:r>
      <w:r w:rsidRPr="00044114">
        <w:rPr>
          <w:i/>
          <w:iCs/>
        </w:rPr>
        <w:t>Legislation</w:t>
      </w:r>
      <w:r>
        <w:rPr>
          <w:i/>
          <w:iCs/>
        </w:rPr>
        <w:t> </w:t>
      </w:r>
      <w:r w:rsidRPr="00044114">
        <w:rPr>
          <w:i/>
          <w:iCs/>
        </w:rPr>
        <w:t xml:space="preserve">(Exemptions and Other Matters) Regulation 2015 </w:t>
      </w:r>
      <w:r w:rsidR="0059469D">
        <w:t xml:space="preserve">(Legislation Regulation) </w:t>
      </w:r>
      <w:r w:rsidRPr="00044114">
        <w:t xml:space="preserve">to update the name of the Act </w:t>
      </w:r>
      <w:r w:rsidR="00F600B5">
        <w:t>from the ‘</w:t>
      </w:r>
      <w:r w:rsidR="00F600B5">
        <w:rPr>
          <w:i/>
          <w:iCs/>
        </w:rPr>
        <w:t>Terrorism Insurance Act 2003</w:t>
      </w:r>
      <w:r w:rsidR="00F600B5" w:rsidRPr="00B54CE4">
        <w:t>’</w:t>
      </w:r>
      <w:r w:rsidR="00F600B5">
        <w:rPr>
          <w:i/>
          <w:iCs/>
        </w:rPr>
        <w:t xml:space="preserve"> </w:t>
      </w:r>
      <w:r w:rsidR="00F600B5">
        <w:t>to the ‘</w:t>
      </w:r>
      <w:r w:rsidR="00F600B5">
        <w:rPr>
          <w:i/>
          <w:iCs/>
        </w:rPr>
        <w:t>Terrorism and Cyclone Insurance Act 2003</w:t>
      </w:r>
      <w:r w:rsidR="00F600B5">
        <w:t>’</w:t>
      </w:r>
      <w:r w:rsidR="00F600B5" w:rsidRPr="00044114">
        <w:t xml:space="preserve"> </w:t>
      </w:r>
      <w:r w:rsidRPr="00044114">
        <w:t xml:space="preserve">and </w:t>
      </w:r>
      <w:r>
        <w:t xml:space="preserve">to </w:t>
      </w:r>
      <w:r w:rsidRPr="00044114">
        <w:t>ensure</w:t>
      </w:r>
      <w:r>
        <w:t xml:space="preserve"> </w:t>
      </w:r>
      <w:r w:rsidRPr="00044114">
        <w:t xml:space="preserve">that a </w:t>
      </w:r>
      <w:r>
        <w:t>terrorist incident declaratio</w:t>
      </w:r>
      <w:r w:rsidR="00F62C63">
        <w:t>n</w:t>
      </w:r>
      <w:r w:rsidRPr="00044114">
        <w:t xml:space="preserve"> </w:t>
      </w:r>
      <w:r w:rsidR="001B216A">
        <w:t xml:space="preserve">under section 6 of the Act </w:t>
      </w:r>
      <w:r w:rsidRPr="00044114">
        <w:t xml:space="preserve">continues to be exempt from </w:t>
      </w:r>
      <w:r>
        <w:t>disallowance</w:t>
      </w:r>
      <w:r w:rsidRPr="00044114">
        <w:t>.</w:t>
      </w:r>
    </w:p>
    <w:p w14:paraId="46A449B0" w14:textId="77777777" w:rsidR="00782347" w:rsidRDefault="00782347" w:rsidP="00782347">
      <w:pPr>
        <w:spacing w:before="0" w:after="0"/>
      </w:pPr>
    </w:p>
    <w:p w14:paraId="27ABBA22" w14:textId="17A86572" w:rsidR="00782347" w:rsidRPr="00932687" w:rsidRDefault="00782347" w:rsidP="00782347">
      <w:pPr>
        <w:spacing w:before="0" w:after="0"/>
      </w:pPr>
      <w:r>
        <w:lastRenderedPageBreak/>
        <w:t xml:space="preserve">Section 6 of the Act provides that if a terrorist attack occurs, the Minister can invoke the operation of the terrorism reinsurance scheme by declaring a terrorist incident. Insurers </w:t>
      </w:r>
      <w:r w:rsidR="0000483B">
        <w:t xml:space="preserve">that </w:t>
      </w:r>
      <w:r>
        <w:t xml:space="preserve">have voluntarily reinsured their terrorist incident risks with the </w:t>
      </w:r>
      <w:r w:rsidR="00851859">
        <w:t>Australian Reinsurance Pool Corporation (</w:t>
      </w:r>
      <w:r>
        <w:t>ARPC</w:t>
      </w:r>
      <w:r w:rsidR="00851859">
        <w:t>)</w:t>
      </w:r>
      <w:r>
        <w:t xml:space="preserve"> would face significant business uncertainty if </w:t>
      </w:r>
      <w:r w:rsidR="001B216A">
        <w:t xml:space="preserve">terrorist incident declarations </w:t>
      </w:r>
      <w:r>
        <w:t>were subject to disallowance, as they could not be certain whether they would be able to access the terrorism reinsurance scheme to pay claims arising from a terrorist incident. Moreover, if a declaration were capable of disallowance, th</w:t>
      </w:r>
      <w:r w:rsidR="00424CE0">
        <w:t>is would undermine the</w:t>
      </w:r>
      <w:r>
        <w:t xml:space="preserve"> purpose of subsection 6(5)</w:t>
      </w:r>
      <w:r w:rsidR="00861483">
        <w:t xml:space="preserve"> of the Act</w:t>
      </w:r>
      <w:r>
        <w:t>, which provides that a declaration cannot be revoked.</w:t>
      </w:r>
    </w:p>
    <w:p w14:paraId="429F274E" w14:textId="6EB3AE81" w:rsidR="00AC3864" w:rsidRDefault="00AC3864" w:rsidP="00782347">
      <w:pPr>
        <w:spacing w:before="0" w:after="0"/>
      </w:pPr>
    </w:p>
    <w:p w14:paraId="7E3A7C87" w14:textId="6C6F9F30" w:rsidR="00AC3864" w:rsidRPr="00AC3864" w:rsidRDefault="00AC3864" w:rsidP="00782347">
      <w:pPr>
        <w:spacing w:before="0" w:after="0"/>
      </w:pPr>
      <w:r>
        <w:t xml:space="preserve">The </w:t>
      </w:r>
      <w:r w:rsidR="00517CDA">
        <w:t>R</w:t>
      </w:r>
      <w:r>
        <w:t xml:space="preserve">egulations </w:t>
      </w:r>
      <w:r w:rsidR="00CD0B11">
        <w:t xml:space="preserve">themselves </w:t>
      </w:r>
      <w:r>
        <w:t>are still subject to disallowance under s</w:t>
      </w:r>
      <w:r w:rsidR="0079116D">
        <w:t>ection</w:t>
      </w:r>
      <w:r>
        <w:t xml:space="preserve"> 42 of the </w:t>
      </w:r>
      <w:r w:rsidRPr="00B2340D">
        <w:t>Legislation Act</w:t>
      </w:r>
      <w:r>
        <w:t>.</w:t>
      </w:r>
    </w:p>
    <w:p w14:paraId="021071FD" w14:textId="77777777" w:rsidR="00782347" w:rsidRDefault="00782347" w:rsidP="00782347">
      <w:pPr>
        <w:spacing w:before="0" w:after="0"/>
        <w:rPr>
          <w:u w:val="single"/>
        </w:rPr>
      </w:pPr>
    </w:p>
    <w:p w14:paraId="4BF19CE6" w14:textId="77777777" w:rsidR="00782347" w:rsidRPr="00044114" w:rsidRDefault="00782347" w:rsidP="00782347">
      <w:pPr>
        <w:spacing w:before="0" w:after="0"/>
        <w:rPr>
          <w:u w:val="single"/>
        </w:rPr>
      </w:pPr>
      <w:r w:rsidRPr="00044114">
        <w:rPr>
          <w:u w:val="single"/>
        </w:rPr>
        <w:t xml:space="preserve">Item </w:t>
      </w:r>
      <w:r>
        <w:rPr>
          <w:u w:val="single"/>
        </w:rPr>
        <w:t>3</w:t>
      </w:r>
    </w:p>
    <w:p w14:paraId="0F1D00EC" w14:textId="77777777" w:rsidR="00782347" w:rsidRPr="00044114" w:rsidRDefault="00782347" w:rsidP="00782347">
      <w:pPr>
        <w:spacing w:before="0" w:after="0"/>
        <w:rPr>
          <w:u w:val="single"/>
        </w:rPr>
      </w:pPr>
    </w:p>
    <w:p w14:paraId="66B90E49" w14:textId="4B8C36E4" w:rsidR="00782347" w:rsidRPr="00044114" w:rsidRDefault="00782347" w:rsidP="00782347">
      <w:pPr>
        <w:spacing w:before="0" w:after="0"/>
        <w:rPr>
          <w:b/>
          <w:bCs/>
        </w:rPr>
      </w:pPr>
      <w:r>
        <w:rPr>
          <w:b/>
          <w:bCs/>
        </w:rPr>
        <w:t>Sunsetting</w:t>
      </w:r>
    </w:p>
    <w:p w14:paraId="6465FB55" w14:textId="77777777" w:rsidR="00782347" w:rsidRDefault="00782347" w:rsidP="00782347">
      <w:pPr>
        <w:spacing w:before="0" w:after="0"/>
      </w:pPr>
    </w:p>
    <w:p w14:paraId="3767CC8A" w14:textId="1713DC5A" w:rsidR="00782347" w:rsidRDefault="00782347" w:rsidP="00782347">
      <w:pPr>
        <w:spacing w:before="0" w:after="0"/>
      </w:pPr>
      <w:r w:rsidRPr="00044114">
        <w:t xml:space="preserve">Item </w:t>
      </w:r>
      <w:r>
        <w:t>3</w:t>
      </w:r>
      <w:r w:rsidRPr="00044114">
        <w:t xml:space="preserve"> repeals and replaces item 63 of the table in section 12 of the </w:t>
      </w:r>
      <w:r w:rsidRPr="005377F1">
        <w:t>Legislation Regulation</w:t>
      </w:r>
      <w:r w:rsidRPr="00044114">
        <w:rPr>
          <w:i/>
          <w:iCs/>
        </w:rPr>
        <w:t xml:space="preserve"> </w:t>
      </w:r>
      <w:r w:rsidRPr="00044114">
        <w:t xml:space="preserve">to </w:t>
      </w:r>
      <w:r>
        <w:t>update the name of the Act</w:t>
      </w:r>
      <w:r w:rsidR="004329C6" w:rsidRPr="004329C6">
        <w:t xml:space="preserve"> </w:t>
      </w:r>
      <w:r w:rsidR="004329C6">
        <w:t>from the ‘</w:t>
      </w:r>
      <w:r w:rsidR="004329C6" w:rsidRPr="00A044D8">
        <w:rPr>
          <w:i/>
          <w:iCs/>
        </w:rPr>
        <w:t>Terrorism Insurance Act 2003</w:t>
      </w:r>
      <w:r w:rsidR="004329C6" w:rsidRPr="006377DB">
        <w:t>’</w:t>
      </w:r>
      <w:r w:rsidR="004329C6">
        <w:t xml:space="preserve"> to the ‘</w:t>
      </w:r>
      <w:r w:rsidR="004329C6" w:rsidRPr="00A044D8">
        <w:rPr>
          <w:i/>
          <w:iCs/>
        </w:rPr>
        <w:t>Terrorism and Cyclone Insurance Act 2003</w:t>
      </w:r>
      <w:r w:rsidR="004329C6">
        <w:t>’</w:t>
      </w:r>
      <w:r>
        <w:t xml:space="preserve">, and to </w:t>
      </w:r>
      <w:r w:rsidRPr="00044114">
        <w:t xml:space="preserve">ensure that </w:t>
      </w:r>
      <w:r>
        <w:t>terrorist incident declaration</w:t>
      </w:r>
      <w:r w:rsidR="00E21370">
        <w:t xml:space="preserve">s </w:t>
      </w:r>
      <w:r w:rsidRPr="00044114">
        <w:t>and regulations made under the Act continue to be exempt from</w:t>
      </w:r>
      <w:r>
        <w:t xml:space="preserve"> sunsetting</w:t>
      </w:r>
      <w:r w:rsidRPr="00044114">
        <w:t>.</w:t>
      </w:r>
      <w:r>
        <w:t xml:space="preserve"> </w:t>
      </w:r>
    </w:p>
    <w:p w14:paraId="241E89C0" w14:textId="77777777" w:rsidR="00782347" w:rsidRDefault="00782347" w:rsidP="00782347">
      <w:pPr>
        <w:spacing w:before="0" w:after="0"/>
      </w:pPr>
    </w:p>
    <w:p w14:paraId="42974665" w14:textId="73D414B5" w:rsidR="00782347" w:rsidRDefault="00782347" w:rsidP="00782347">
      <w:pPr>
        <w:spacing w:before="0" w:after="0"/>
      </w:pPr>
      <w:r>
        <w:t xml:space="preserve">A </w:t>
      </w:r>
      <w:r w:rsidR="005D4F77">
        <w:t>terrorist incident declaration</w:t>
      </w:r>
      <w:r w:rsidR="00217E14">
        <w:t xml:space="preserve"> under section 6 of the Act</w:t>
      </w:r>
      <w:r w:rsidR="005D4F77" w:rsidRPr="00044114">
        <w:t xml:space="preserve"> </w:t>
      </w:r>
      <w:r>
        <w:t xml:space="preserve">continues to be exempt from sunsetting on the basis that </w:t>
      </w:r>
      <w:r w:rsidR="004329C6">
        <w:t xml:space="preserve">sunsetting </w:t>
      </w:r>
      <w:r>
        <w:t>would give rise to significant business uncertainty for insurers who have voluntarily reinsured their terrorist incident risks with the ARPC. Moreover, if a declaration were capable of disallowance, this would undermine the purpose behind the rule in subsection 6(5), which provides that a declaration cannot be revoked.</w:t>
      </w:r>
    </w:p>
    <w:p w14:paraId="40745AA5" w14:textId="77777777" w:rsidR="00782347" w:rsidRDefault="00782347" w:rsidP="00782347">
      <w:pPr>
        <w:spacing w:before="0" w:after="0"/>
      </w:pPr>
    </w:p>
    <w:p w14:paraId="4AC6507F" w14:textId="36175EE6" w:rsidR="00782347" w:rsidRDefault="005B5163" w:rsidP="00782347">
      <w:pPr>
        <w:spacing w:before="0" w:after="0"/>
      </w:pPr>
      <w:r>
        <w:rPr>
          <w:szCs w:val="24"/>
        </w:rPr>
        <w:t>T</w:t>
      </w:r>
      <w:r w:rsidR="00782347">
        <w:rPr>
          <w:szCs w:val="24"/>
        </w:rPr>
        <w:t xml:space="preserve">he </w:t>
      </w:r>
      <w:r w:rsidR="00782347">
        <w:rPr>
          <w:i/>
          <w:iCs/>
          <w:szCs w:val="24"/>
        </w:rPr>
        <w:t>Treasury Laws Amendment (Cyclone and Flood Damage Reinsurance Pool) Act</w:t>
      </w:r>
      <w:r w:rsidR="00B42A01">
        <w:rPr>
          <w:i/>
          <w:iCs/>
          <w:szCs w:val="24"/>
        </w:rPr>
        <w:t> </w:t>
      </w:r>
      <w:r w:rsidR="00782347">
        <w:rPr>
          <w:i/>
          <w:iCs/>
          <w:szCs w:val="24"/>
        </w:rPr>
        <w:t xml:space="preserve">2022 </w:t>
      </w:r>
      <w:r>
        <w:rPr>
          <w:szCs w:val="24"/>
        </w:rPr>
        <w:t xml:space="preserve">insert </w:t>
      </w:r>
      <w:r w:rsidR="00782347">
        <w:rPr>
          <w:szCs w:val="24"/>
        </w:rPr>
        <w:t xml:space="preserve">regulation-making powers for the cyclone reinsurance scheme. </w:t>
      </w:r>
      <w:r>
        <w:rPr>
          <w:szCs w:val="24"/>
        </w:rPr>
        <w:t xml:space="preserve">The amendment </w:t>
      </w:r>
      <w:r w:rsidR="009C0AD4">
        <w:rPr>
          <w:szCs w:val="24"/>
        </w:rPr>
        <w:t>in item 3</w:t>
      </w:r>
      <w:r w:rsidR="0050045F">
        <w:rPr>
          <w:szCs w:val="24"/>
        </w:rPr>
        <w:t xml:space="preserve"> </w:t>
      </w:r>
      <w:r w:rsidR="006E68F5">
        <w:rPr>
          <w:szCs w:val="24"/>
        </w:rPr>
        <w:t>extends</w:t>
      </w:r>
      <w:r>
        <w:rPr>
          <w:szCs w:val="24"/>
        </w:rPr>
        <w:t xml:space="preserve"> </w:t>
      </w:r>
      <w:r w:rsidR="006F35F6">
        <w:rPr>
          <w:szCs w:val="24"/>
        </w:rPr>
        <w:t>the</w:t>
      </w:r>
      <w:r w:rsidR="00782347">
        <w:rPr>
          <w:szCs w:val="24"/>
        </w:rPr>
        <w:t xml:space="preserve"> sunsetting exemption </w:t>
      </w:r>
      <w:r w:rsidR="006F35F6">
        <w:t>in</w:t>
      </w:r>
      <w:r w:rsidR="003F71D6">
        <w:t xml:space="preserve"> section 12</w:t>
      </w:r>
      <w:r w:rsidR="003C25DE">
        <w:t>,</w:t>
      </w:r>
      <w:r w:rsidR="003F71D6">
        <w:t xml:space="preserve"> item 63 of the Legislation Regulation</w:t>
      </w:r>
      <w:r w:rsidR="003F71D6">
        <w:rPr>
          <w:szCs w:val="24"/>
        </w:rPr>
        <w:t xml:space="preserve"> </w:t>
      </w:r>
      <w:r w:rsidR="006F35F6">
        <w:rPr>
          <w:szCs w:val="24"/>
        </w:rPr>
        <w:t xml:space="preserve">to </w:t>
      </w:r>
      <w:r w:rsidR="006E5A39">
        <w:rPr>
          <w:szCs w:val="24"/>
        </w:rPr>
        <w:t xml:space="preserve">Regulations </w:t>
      </w:r>
      <w:r w:rsidR="00782347">
        <w:rPr>
          <w:szCs w:val="24"/>
        </w:rPr>
        <w:t xml:space="preserve">made for the purposes of </w:t>
      </w:r>
      <w:r w:rsidR="00180D84">
        <w:rPr>
          <w:szCs w:val="24"/>
        </w:rPr>
        <w:t xml:space="preserve">the cyclone reinsurance </w:t>
      </w:r>
      <w:r w:rsidR="00782347">
        <w:rPr>
          <w:szCs w:val="24"/>
        </w:rPr>
        <w:t>scheme</w:t>
      </w:r>
      <w:r w:rsidR="00321150">
        <w:rPr>
          <w:szCs w:val="24"/>
        </w:rPr>
        <w:t>,</w:t>
      </w:r>
      <w:r w:rsidR="00782347">
        <w:rPr>
          <w:szCs w:val="24"/>
        </w:rPr>
        <w:t xml:space="preserve"> ensur</w:t>
      </w:r>
      <w:r w:rsidR="00321150">
        <w:rPr>
          <w:szCs w:val="24"/>
        </w:rPr>
        <w:t>ing</w:t>
      </w:r>
      <w:r w:rsidR="00782347">
        <w:rPr>
          <w:szCs w:val="24"/>
        </w:rPr>
        <w:t xml:space="preserve"> certainty for insurers who are required to take out cyclone reinsurance with the ARPC. </w:t>
      </w:r>
    </w:p>
    <w:p w14:paraId="350AE8D6" w14:textId="77777777" w:rsidR="00782347" w:rsidRDefault="00782347" w:rsidP="00782347">
      <w:pPr>
        <w:spacing w:before="0" w:after="0"/>
      </w:pPr>
    </w:p>
    <w:p w14:paraId="0BFB3754" w14:textId="1E53D826" w:rsidR="00E642B8" w:rsidRDefault="00782347" w:rsidP="00C34C80">
      <w:pPr>
        <w:spacing w:before="0" w:after="0"/>
      </w:pPr>
      <w:r>
        <w:t>It is</w:t>
      </w:r>
      <w:r w:rsidDel="00BF4ED6">
        <w:t xml:space="preserve"> </w:t>
      </w:r>
      <w:r>
        <w:t xml:space="preserve">appropriate for all Regulations made under the Act to be exempt from sunsetting as they will be subject to a more stringent statutory review process than is set out in the </w:t>
      </w:r>
      <w:r w:rsidR="00520A3B">
        <w:rPr>
          <w:iCs/>
        </w:rPr>
        <w:t>Legislation Act</w:t>
      </w:r>
      <w:r>
        <w:rPr>
          <w:i/>
        </w:rPr>
        <w:t xml:space="preserve">. </w:t>
      </w:r>
      <w:r>
        <w:t>The</w:t>
      </w:r>
      <w:r w:rsidRPr="00640CCD">
        <w:t xml:space="preserve"> Regulations will be reviewed alongside the Act as they </w:t>
      </w:r>
      <w:r>
        <w:t>set out key details to support the operation of the cyclone reinsurance scheme</w:t>
      </w:r>
      <w:r w:rsidRPr="00640CCD">
        <w:t>.</w:t>
      </w:r>
      <w:r w:rsidRPr="00E41F8D">
        <w:t xml:space="preserve"> </w:t>
      </w:r>
      <w:r w:rsidR="001B5B9E">
        <w:t xml:space="preserve">A review of the </w:t>
      </w:r>
      <w:r w:rsidR="00B843AF">
        <w:t>cyclone reinsurance</w:t>
      </w:r>
      <w:r w:rsidR="001B5B9E">
        <w:t xml:space="preserve"> scheme will be conducted initially three years after the commencement of the scheme and then, once aligned with the terrorism reinsurance scheme, every five years thereafter. </w:t>
      </w:r>
      <w:r w:rsidRPr="006121BA">
        <w:t xml:space="preserve">Regular reviews will </w:t>
      </w:r>
      <w:r>
        <w:t xml:space="preserve">involve </w:t>
      </w:r>
      <w:r w:rsidRPr="006121BA">
        <w:t>evaluat</w:t>
      </w:r>
      <w:r>
        <w:t>ing</w:t>
      </w:r>
      <w:r w:rsidRPr="006121BA">
        <w:t xml:space="preserve"> the performance of the</w:t>
      </w:r>
      <w:r>
        <w:t xml:space="preserve"> cyclone reinsurance</w:t>
      </w:r>
      <w:r w:rsidRPr="006121BA">
        <w:t xml:space="preserve"> scheme </w:t>
      </w:r>
      <w:r>
        <w:t xml:space="preserve">to ensure it operates as intended and </w:t>
      </w:r>
      <w:r w:rsidRPr="006121BA">
        <w:t>remains</w:t>
      </w:r>
      <w:r>
        <w:t xml:space="preserve"> </w:t>
      </w:r>
      <w:r w:rsidRPr="006121BA">
        <w:t>fit</w:t>
      </w:r>
      <w:r>
        <w:t>-</w:t>
      </w:r>
      <w:r w:rsidRPr="006121BA">
        <w:t>for</w:t>
      </w:r>
      <w:r>
        <w:t>-</w:t>
      </w:r>
      <w:r w:rsidRPr="006121BA">
        <w:t>purpose.</w:t>
      </w:r>
      <w:r>
        <w:t xml:space="preserve"> Stakeholder feedback will be sought in years that require a review of the two schemes.</w:t>
      </w:r>
    </w:p>
    <w:p w14:paraId="3E2AE1A7" w14:textId="77777777" w:rsidR="00A203D3" w:rsidRDefault="00A203D3">
      <w:pPr>
        <w:spacing w:before="0" w:after="0"/>
        <w:rPr>
          <w:b/>
          <w:iCs/>
          <w:u w:val="single"/>
        </w:rPr>
      </w:pPr>
      <w:r>
        <w:rPr>
          <w:b/>
          <w:iCs/>
          <w:u w:val="single"/>
        </w:rPr>
        <w:br w:type="page"/>
      </w:r>
    </w:p>
    <w:p w14:paraId="65875D84" w14:textId="24F09FB0" w:rsidR="000D0ABB" w:rsidRPr="003926C2" w:rsidRDefault="000D0ABB" w:rsidP="00C34C80">
      <w:pPr>
        <w:spacing w:before="0" w:after="0"/>
        <w:rPr>
          <w:b/>
          <w:i/>
          <w:u w:val="single"/>
        </w:rPr>
      </w:pPr>
      <w:r w:rsidRPr="003926C2">
        <w:rPr>
          <w:b/>
          <w:i/>
          <w:u w:val="single"/>
        </w:rPr>
        <w:lastRenderedPageBreak/>
        <w:t>Terrorism Insurance Regulations 2003</w:t>
      </w:r>
    </w:p>
    <w:p w14:paraId="58BA1575" w14:textId="77777777" w:rsidR="000D0ABB" w:rsidRDefault="000D0ABB" w:rsidP="00C34C80">
      <w:pPr>
        <w:spacing w:before="0" w:after="0"/>
        <w:rPr>
          <w:u w:val="single"/>
        </w:rPr>
      </w:pPr>
    </w:p>
    <w:p w14:paraId="547C634E" w14:textId="4667FF15" w:rsidR="00C34C80" w:rsidRDefault="00C34C80" w:rsidP="00C34C80">
      <w:pPr>
        <w:spacing w:before="0" w:after="0"/>
        <w:rPr>
          <w:u w:val="single"/>
        </w:rPr>
      </w:pPr>
      <w:r>
        <w:rPr>
          <w:u w:val="single"/>
        </w:rPr>
        <w:t xml:space="preserve">Items </w:t>
      </w:r>
      <w:r w:rsidR="005A7C46">
        <w:rPr>
          <w:u w:val="single"/>
        </w:rPr>
        <w:t xml:space="preserve">4 </w:t>
      </w:r>
      <w:r>
        <w:rPr>
          <w:u w:val="single"/>
        </w:rPr>
        <w:t xml:space="preserve">to </w:t>
      </w:r>
      <w:r w:rsidR="005A7C46">
        <w:rPr>
          <w:u w:val="single"/>
        </w:rPr>
        <w:t xml:space="preserve">9 </w:t>
      </w:r>
    </w:p>
    <w:p w14:paraId="22FD61B3" w14:textId="1288B1F4" w:rsidR="00C34C80" w:rsidRDefault="00C34C80" w:rsidP="00C34C80">
      <w:pPr>
        <w:spacing w:before="0" w:after="0"/>
        <w:rPr>
          <w:u w:val="single"/>
        </w:rPr>
      </w:pPr>
      <w:r>
        <w:rPr>
          <w:b/>
          <w:bCs/>
        </w:rPr>
        <w:t xml:space="preserve">Name of Act and Regulations </w:t>
      </w:r>
    </w:p>
    <w:p w14:paraId="6D99C393" w14:textId="77777777" w:rsidR="00C34C80" w:rsidRDefault="00C34C80" w:rsidP="00C34C80">
      <w:pPr>
        <w:spacing w:before="0" w:after="0"/>
        <w:rPr>
          <w:u w:val="single"/>
        </w:rPr>
      </w:pPr>
    </w:p>
    <w:p w14:paraId="3EF0DD68" w14:textId="6B27BD26" w:rsidR="00C34C80" w:rsidRDefault="00C34C80" w:rsidP="00C34C80">
      <w:pPr>
        <w:spacing w:before="0" w:after="0"/>
        <w:rPr>
          <w:i/>
          <w:iCs/>
        </w:rPr>
      </w:pPr>
      <w:r>
        <w:t xml:space="preserve">Item </w:t>
      </w:r>
      <w:r w:rsidR="005A7C46">
        <w:t xml:space="preserve">4 </w:t>
      </w:r>
      <w:r>
        <w:t xml:space="preserve">repeals and replaces regulation 1 to rename the </w:t>
      </w:r>
      <w:r>
        <w:rPr>
          <w:i/>
          <w:iCs/>
        </w:rPr>
        <w:t xml:space="preserve">Terrorism Insurance Regulations 2003 </w:t>
      </w:r>
      <w:r>
        <w:t xml:space="preserve">as the </w:t>
      </w:r>
      <w:r>
        <w:rPr>
          <w:i/>
          <w:iCs/>
        </w:rPr>
        <w:t xml:space="preserve">Terrorism and Cyclone Insurance Regulations 2003 </w:t>
      </w:r>
      <w:r>
        <w:t xml:space="preserve">(the TI Regulations), consistent with </w:t>
      </w:r>
      <w:r w:rsidR="005B3B13">
        <w:t>their</w:t>
      </w:r>
      <w:r>
        <w:t xml:space="preserve"> </w:t>
      </w:r>
      <w:r w:rsidR="000A4702">
        <w:t xml:space="preserve">expanded </w:t>
      </w:r>
      <w:r>
        <w:t>application to cyclone insurance</w:t>
      </w:r>
      <w:r>
        <w:rPr>
          <w:i/>
          <w:iCs/>
        </w:rPr>
        <w:t xml:space="preserve">. </w:t>
      </w:r>
    </w:p>
    <w:p w14:paraId="396AB420" w14:textId="77777777" w:rsidR="00C34C80" w:rsidRDefault="00C34C80" w:rsidP="00C34C80">
      <w:pPr>
        <w:spacing w:before="0" w:after="0"/>
        <w:rPr>
          <w:i/>
          <w:iCs/>
        </w:rPr>
      </w:pPr>
    </w:p>
    <w:p w14:paraId="4D8D0531" w14:textId="006E6152" w:rsidR="00C34C80" w:rsidRDefault="00C34C80" w:rsidP="00C34C80">
      <w:pPr>
        <w:spacing w:before="0" w:after="0"/>
        <w:rPr>
          <w:i/>
          <w:iCs/>
        </w:rPr>
      </w:pPr>
      <w:r>
        <w:t xml:space="preserve">Item </w:t>
      </w:r>
      <w:r w:rsidR="003D139D">
        <w:t xml:space="preserve">5 </w:t>
      </w:r>
      <w:r>
        <w:t xml:space="preserve">updates the short title of the Act to the </w:t>
      </w:r>
      <w:r>
        <w:rPr>
          <w:i/>
          <w:iCs/>
        </w:rPr>
        <w:t>Terrorism and Cyclone Insurance Act</w:t>
      </w:r>
      <w:r w:rsidR="00E01CC9">
        <w:rPr>
          <w:i/>
          <w:iCs/>
        </w:rPr>
        <w:t> </w:t>
      </w:r>
      <w:r>
        <w:rPr>
          <w:i/>
          <w:iCs/>
        </w:rPr>
        <w:t>2003.</w:t>
      </w:r>
    </w:p>
    <w:p w14:paraId="360D1346" w14:textId="77777777" w:rsidR="00C34C80" w:rsidRDefault="00C34C80" w:rsidP="00C34C80">
      <w:pPr>
        <w:spacing w:before="0" w:after="0"/>
        <w:rPr>
          <w:i/>
          <w:iCs/>
        </w:rPr>
      </w:pPr>
    </w:p>
    <w:p w14:paraId="2EA9428A" w14:textId="77777777" w:rsidR="00C34C80" w:rsidRPr="00577363" w:rsidRDefault="00C34C80" w:rsidP="00C34C80">
      <w:pPr>
        <w:spacing w:before="0" w:after="0"/>
        <w:rPr>
          <w:b/>
          <w:bCs/>
        </w:rPr>
      </w:pPr>
      <w:r>
        <w:rPr>
          <w:b/>
          <w:bCs/>
        </w:rPr>
        <w:t>Definitions</w:t>
      </w:r>
    </w:p>
    <w:p w14:paraId="2E6A875E" w14:textId="77777777" w:rsidR="00C34C80" w:rsidRDefault="00C34C80" w:rsidP="00C34C80">
      <w:pPr>
        <w:spacing w:before="0" w:after="0"/>
      </w:pPr>
    </w:p>
    <w:p w14:paraId="47D7F5D1" w14:textId="7175EDAC" w:rsidR="00C34C80" w:rsidRDefault="00C34C80" w:rsidP="00C34C80">
      <w:pPr>
        <w:spacing w:before="0" w:after="0"/>
        <w:rPr>
          <w:i/>
          <w:iCs/>
        </w:rPr>
      </w:pPr>
      <w:r>
        <w:t xml:space="preserve">Item </w:t>
      </w:r>
      <w:r w:rsidR="003D139D">
        <w:t xml:space="preserve">6 </w:t>
      </w:r>
      <w:r>
        <w:t xml:space="preserve">updates the definition of </w:t>
      </w:r>
      <w:r w:rsidR="00825931">
        <w:t>‘</w:t>
      </w:r>
      <w:r w:rsidRPr="007663FE">
        <w:t>business</w:t>
      </w:r>
      <w:r w:rsidR="00825931">
        <w:t>’</w:t>
      </w:r>
      <w:r>
        <w:t xml:space="preserve"> </w:t>
      </w:r>
      <w:r w:rsidR="00D01506">
        <w:t xml:space="preserve">in regulation 3 </w:t>
      </w:r>
      <w:r>
        <w:t xml:space="preserve">to refer to the </w:t>
      </w:r>
      <w:r>
        <w:rPr>
          <w:i/>
          <w:iCs/>
        </w:rPr>
        <w:t>Competition and Consumer Act 2010</w:t>
      </w:r>
      <w:r w:rsidR="0065255D">
        <w:t xml:space="preserve">, which has replaced the </w:t>
      </w:r>
      <w:r w:rsidR="0065255D" w:rsidRPr="0065255D">
        <w:rPr>
          <w:i/>
          <w:iCs/>
        </w:rPr>
        <w:t>Trade Practices Act 1974</w:t>
      </w:r>
      <w:r>
        <w:rPr>
          <w:i/>
          <w:iCs/>
        </w:rPr>
        <w:t xml:space="preserve">. </w:t>
      </w:r>
    </w:p>
    <w:p w14:paraId="45E5D198" w14:textId="1CA686B8" w:rsidR="00B15252" w:rsidRDefault="00B15252" w:rsidP="00C34C80">
      <w:pPr>
        <w:spacing w:before="0" w:after="0"/>
        <w:rPr>
          <w:i/>
          <w:iCs/>
        </w:rPr>
      </w:pPr>
    </w:p>
    <w:p w14:paraId="3B8AF3CC" w14:textId="637C96C0" w:rsidR="00B15252" w:rsidRDefault="00B15252" w:rsidP="00C34C80">
      <w:pPr>
        <w:spacing w:before="0" w:after="0"/>
      </w:pPr>
      <w:r>
        <w:t xml:space="preserve">Item </w:t>
      </w:r>
      <w:r w:rsidR="003D139D">
        <w:t xml:space="preserve">7 </w:t>
      </w:r>
      <w:r>
        <w:t xml:space="preserve">provides that the definition </w:t>
      </w:r>
      <w:r w:rsidR="00136769">
        <w:t xml:space="preserve">of a </w:t>
      </w:r>
      <w:r w:rsidR="00B1413F">
        <w:t>‘</w:t>
      </w:r>
      <w:r w:rsidRPr="007663FE">
        <w:t>body corporate</w:t>
      </w:r>
      <w:r w:rsidR="00B1413F">
        <w:t>’</w:t>
      </w:r>
      <w:r>
        <w:rPr>
          <w:b/>
          <w:bCs/>
          <w:i/>
          <w:iCs/>
        </w:rPr>
        <w:t xml:space="preserve"> </w:t>
      </w:r>
      <w:r>
        <w:t xml:space="preserve">(in relation to a strata or community title development) is given by new </w:t>
      </w:r>
      <w:r w:rsidR="007C5FB5">
        <w:t>sub</w:t>
      </w:r>
      <w:r>
        <w:t>regulation 4</w:t>
      </w:r>
      <w:proofErr w:type="gramStart"/>
      <w:r>
        <w:t>A</w:t>
      </w:r>
      <w:r w:rsidR="007C5FB5">
        <w:t>(</w:t>
      </w:r>
      <w:proofErr w:type="gramEnd"/>
      <w:r w:rsidR="00D10805">
        <w:t>5</w:t>
      </w:r>
      <w:r w:rsidR="007C5FB5">
        <w:t>)</w:t>
      </w:r>
      <w:r>
        <w:t xml:space="preserve">. </w:t>
      </w:r>
    </w:p>
    <w:p w14:paraId="5ECE03A3" w14:textId="564335A9" w:rsidR="00775494" w:rsidRDefault="00775494" w:rsidP="00C34C80">
      <w:pPr>
        <w:spacing w:before="0" w:after="0"/>
      </w:pPr>
    </w:p>
    <w:p w14:paraId="6B6E6A69" w14:textId="3DB03066" w:rsidR="00775494" w:rsidRPr="00B96F63" w:rsidRDefault="00775494" w:rsidP="00C34C80">
      <w:pPr>
        <w:spacing w:before="0" w:after="0"/>
      </w:pPr>
      <w:r>
        <w:t xml:space="preserve">Item </w:t>
      </w:r>
      <w:r w:rsidR="003D139D">
        <w:t xml:space="preserve">8 </w:t>
      </w:r>
      <w:r>
        <w:t xml:space="preserve">repeals the existing definition of </w:t>
      </w:r>
      <w:r w:rsidR="00B1413F">
        <w:t>‘</w:t>
      </w:r>
      <w:r w:rsidRPr="007663FE">
        <w:t>contents</w:t>
      </w:r>
      <w:r w:rsidR="00B1413F">
        <w:t>’</w:t>
      </w:r>
      <w:r w:rsidR="00012FEE">
        <w:rPr>
          <w:b/>
          <w:bCs/>
          <w:i/>
          <w:iCs/>
        </w:rPr>
        <w:t xml:space="preserve"> </w:t>
      </w:r>
      <w:r w:rsidR="00012FEE" w:rsidRPr="00012FEE">
        <w:t>in regulation 3</w:t>
      </w:r>
      <w:r w:rsidRPr="00012FEE">
        <w:rPr>
          <w:i/>
          <w:iCs/>
        </w:rPr>
        <w:t>.</w:t>
      </w:r>
      <w:r w:rsidR="00B96F63">
        <w:rPr>
          <w:b/>
          <w:bCs/>
          <w:i/>
          <w:iCs/>
        </w:rPr>
        <w:t xml:space="preserve"> </w:t>
      </w:r>
      <w:r w:rsidR="00B96F63">
        <w:t xml:space="preserve">A </w:t>
      </w:r>
      <w:r w:rsidR="00227E6A">
        <w:t>replicated</w:t>
      </w:r>
      <w:r w:rsidR="00FC6423">
        <w:t xml:space="preserve"> </w:t>
      </w:r>
      <w:r w:rsidR="00B96F63">
        <w:t xml:space="preserve">definition </w:t>
      </w:r>
      <w:r w:rsidR="00D22D90">
        <w:t xml:space="preserve">of </w:t>
      </w:r>
      <w:r w:rsidR="008B2B33">
        <w:t>‘</w:t>
      </w:r>
      <w:r w:rsidR="00B96F63">
        <w:t>contents</w:t>
      </w:r>
      <w:r w:rsidR="008B2B33">
        <w:t>’</w:t>
      </w:r>
      <w:r w:rsidR="00B96F63">
        <w:t xml:space="preserve"> </w:t>
      </w:r>
      <w:r w:rsidR="00121B73">
        <w:t>is</w:t>
      </w:r>
      <w:r w:rsidR="0076136F">
        <w:t xml:space="preserve"> given</w:t>
      </w:r>
      <w:r w:rsidR="00121B73">
        <w:t xml:space="preserve"> at </w:t>
      </w:r>
      <w:r w:rsidR="00716C36">
        <w:t>new sub</w:t>
      </w:r>
      <w:r w:rsidR="00B96F63">
        <w:t>regulation 5</w:t>
      </w:r>
      <w:r w:rsidR="00C7433E">
        <w:t>(2)</w:t>
      </w:r>
      <w:r w:rsidR="00D22D90">
        <w:t xml:space="preserve"> for the purposes of </w:t>
      </w:r>
      <w:r w:rsidR="00414AC4">
        <w:t xml:space="preserve">determining ineligible insurance contracts for the terrorism reinsurance scheme under </w:t>
      </w:r>
      <w:r w:rsidR="00D22D90">
        <w:t>Schedule 1 of the TI Regulations</w:t>
      </w:r>
      <w:r w:rsidR="00B96F63">
        <w:t>.</w:t>
      </w:r>
      <w:r w:rsidR="00D22D90">
        <w:t xml:space="preserve"> A</w:t>
      </w:r>
      <w:r w:rsidR="00227E6A">
        <w:t xml:space="preserve"> new</w:t>
      </w:r>
      <w:r w:rsidR="00D22D90">
        <w:t xml:space="preserve"> definition of </w:t>
      </w:r>
      <w:r w:rsidR="00A74DBD">
        <w:t>‘</w:t>
      </w:r>
      <w:r w:rsidR="00D22D90">
        <w:t>contents</w:t>
      </w:r>
      <w:r w:rsidR="00A74DBD">
        <w:t>’</w:t>
      </w:r>
      <w:r w:rsidR="00D22D90">
        <w:t xml:space="preserve"> for the cyclone reinsurance scheme is given at </w:t>
      </w:r>
      <w:r w:rsidR="00574192">
        <w:t xml:space="preserve">new </w:t>
      </w:r>
      <w:r w:rsidR="00D22D90">
        <w:t xml:space="preserve">regulation 5B. </w:t>
      </w:r>
    </w:p>
    <w:p w14:paraId="42FE3681" w14:textId="77777777" w:rsidR="00C34C80" w:rsidRDefault="00C34C80" w:rsidP="00C34C80">
      <w:pPr>
        <w:spacing w:before="0" w:after="0"/>
      </w:pPr>
    </w:p>
    <w:p w14:paraId="2D7DDC10" w14:textId="2B3D7B11" w:rsidR="00C34C80" w:rsidRPr="00A84005" w:rsidRDefault="00C34C80" w:rsidP="00C34C80">
      <w:pPr>
        <w:spacing w:before="0" w:after="0"/>
      </w:pPr>
      <w:r>
        <w:t xml:space="preserve">Item </w:t>
      </w:r>
      <w:r w:rsidR="003D139D">
        <w:t xml:space="preserve">9 </w:t>
      </w:r>
      <w:r>
        <w:t xml:space="preserve">provides that the definitions of </w:t>
      </w:r>
      <w:r w:rsidR="00B1413F">
        <w:t>‘</w:t>
      </w:r>
      <w:r w:rsidRPr="007663FE">
        <w:t>cyclone</w:t>
      </w:r>
      <w:r w:rsidR="00B1413F">
        <w:t>’</w:t>
      </w:r>
      <w:r w:rsidRPr="00B1413F">
        <w:t xml:space="preserve">, </w:t>
      </w:r>
      <w:r w:rsidR="00B1413F">
        <w:t>‘</w:t>
      </w:r>
      <w:r w:rsidRPr="007663FE">
        <w:t>end</w:t>
      </w:r>
      <w:r w:rsidR="00B1413F">
        <w:t>’</w:t>
      </w:r>
      <w:r w:rsidRPr="007663FE">
        <w:t xml:space="preserve"> </w:t>
      </w:r>
      <w:r w:rsidRPr="00B1413F">
        <w:t>(of</w:t>
      </w:r>
      <w:r w:rsidRPr="007663FE">
        <w:t xml:space="preserve"> </w:t>
      </w:r>
      <w:r w:rsidRPr="00B1413F">
        <w:t>a</w:t>
      </w:r>
      <w:r w:rsidRPr="007663FE">
        <w:t xml:space="preserve"> </w:t>
      </w:r>
      <w:r w:rsidRPr="00B1413F">
        <w:t>cyclone)</w:t>
      </w:r>
      <w:r w:rsidR="00B15252" w:rsidRPr="00B1413F">
        <w:t xml:space="preserve">, </w:t>
      </w:r>
      <w:r w:rsidR="00B1413F">
        <w:t>‘</w:t>
      </w:r>
      <w:proofErr w:type="spellStart"/>
      <w:r w:rsidRPr="007663FE">
        <w:t>reintensify</w:t>
      </w:r>
      <w:proofErr w:type="spellEnd"/>
      <w:r w:rsidR="00B1413F">
        <w:t>’</w:t>
      </w:r>
      <w:r w:rsidRPr="007663FE">
        <w:t xml:space="preserve"> </w:t>
      </w:r>
      <w:r w:rsidRPr="00B1413F">
        <w:t>(in relation to a cyclone)</w:t>
      </w:r>
      <w:r w:rsidR="00B15252" w:rsidRPr="00B1413F">
        <w:t xml:space="preserve">, </w:t>
      </w:r>
      <w:r w:rsidR="00B1413F">
        <w:t>'</w:t>
      </w:r>
      <w:r w:rsidR="00B15252" w:rsidRPr="007663FE">
        <w:t>strata or community title development</w:t>
      </w:r>
      <w:r w:rsidR="00B1413F">
        <w:t>’</w:t>
      </w:r>
      <w:r w:rsidR="00B15252" w:rsidRPr="007663FE">
        <w:t xml:space="preserve"> </w:t>
      </w:r>
      <w:r w:rsidR="00B15252" w:rsidRPr="00B1413F">
        <w:t xml:space="preserve">and </w:t>
      </w:r>
      <w:r w:rsidR="00B1413F">
        <w:t>‘</w:t>
      </w:r>
      <w:r w:rsidR="00B15252" w:rsidRPr="007663FE">
        <w:t>unit</w:t>
      </w:r>
      <w:r w:rsidR="00B1413F">
        <w:t>’</w:t>
      </w:r>
      <w:r w:rsidR="00B15252">
        <w:rPr>
          <w:b/>
          <w:i/>
        </w:rPr>
        <w:t xml:space="preserve"> </w:t>
      </w:r>
      <w:r w:rsidR="00B15252">
        <w:rPr>
          <w:bCs/>
          <w:iCs/>
        </w:rPr>
        <w:t>(in relation to a strata or community title development)</w:t>
      </w:r>
      <w:r>
        <w:rPr>
          <w:bCs/>
          <w:iCs/>
        </w:rPr>
        <w:t xml:space="preserve"> </w:t>
      </w:r>
      <w:r>
        <w:t>are given by new regulation</w:t>
      </w:r>
      <w:r w:rsidR="00B15252">
        <w:t>s</w:t>
      </w:r>
      <w:r>
        <w:t xml:space="preserve"> 3A</w:t>
      </w:r>
      <w:r w:rsidR="00B15252">
        <w:t xml:space="preserve"> and 4A.</w:t>
      </w:r>
    </w:p>
    <w:p w14:paraId="50702C8D" w14:textId="77777777" w:rsidR="00C34C80" w:rsidRDefault="00C34C80" w:rsidP="00C34C80">
      <w:pPr>
        <w:spacing w:before="0" w:after="0"/>
      </w:pPr>
    </w:p>
    <w:p w14:paraId="7A69F5C9" w14:textId="28C19337" w:rsidR="00C34C80" w:rsidRDefault="00C34C80" w:rsidP="00C34C80">
      <w:pPr>
        <w:spacing w:before="0" w:after="0"/>
        <w:rPr>
          <w:u w:val="single"/>
        </w:rPr>
      </w:pPr>
      <w:r>
        <w:rPr>
          <w:u w:val="single"/>
        </w:rPr>
        <w:t xml:space="preserve">Item </w:t>
      </w:r>
      <w:r w:rsidR="003D139D">
        <w:rPr>
          <w:u w:val="single"/>
        </w:rPr>
        <w:t>10</w:t>
      </w:r>
    </w:p>
    <w:p w14:paraId="00B15060" w14:textId="765BAE81" w:rsidR="00C34C80" w:rsidRPr="00597FD0" w:rsidRDefault="00D33643" w:rsidP="00C34C80">
      <w:pPr>
        <w:spacing w:before="0" w:after="0"/>
        <w:rPr>
          <w:b/>
          <w:bCs/>
        </w:rPr>
      </w:pPr>
      <w:r>
        <w:rPr>
          <w:b/>
          <w:bCs/>
        </w:rPr>
        <w:br/>
      </w:r>
      <w:r w:rsidR="00C34C80">
        <w:rPr>
          <w:b/>
          <w:bCs/>
        </w:rPr>
        <w:t xml:space="preserve">Cyclone definitions </w:t>
      </w:r>
    </w:p>
    <w:p w14:paraId="2D651B56" w14:textId="77777777" w:rsidR="00C34C80" w:rsidRDefault="00C34C80" w:rsidP="00C34C80">
      <w:pPr>
        <w:spacing w:before="0" w:after="0"/>
      </w:pPr>
    </w:p>
    <w:p w14:paraId="480967A5" w14:textId="77777777" w:rsidR="00177C19" w:rsidRDefault="00C34C80" w:rsidP="00177C19">
      <w:pPr>
        <w:spacing w:before="0" w:after="0"/>
      </w:pPr>
      <w:r>
        <w:t xml:space="preserve">Item </w:t>
      </w:r>
      <w:r w:rsidR="003D139D">
        <w:t xml:space="preserve">10 </w:t>
      </w:r>
      <w:r>
        <w:t xml:space="preserve">inserts </w:t>
      </w:r>
      <w:r w:rsidR="005F06FD">
        <w:t xml:space="preserve">new regulation 3A, which provides </w:t>
      </w:r>
      <w:r>
        <w:t>the definition</w:t>
      </w:r>
      <w:r w:rsidR="003E0875">
        <w:t>s</w:t>
      </w:r>
      <w:r>
        <w:t xml:space="preserve"> of </w:t>
      </w:r>
      <w:r w:rsidR="00AB2063">
        <w:t>‘</w:t>
      </w:r>
      <w:r w:rsidRPr="00995256">
        <w:t>cyclone</w:t>
      </w:r>
      <w:r w:rsidR="00AB2063">
        <w:t>’</w:t>
      </w:r>
      <w:r w:rsidR="003E0875">
        <w:t xml:space="preserve">, </w:t>
      </w:r>
      <w:r w:rsidR="00AB2063">
        <w:t>‘</w:t>
      </w:r>
      <w:r w:rsidR="003E0875">
        <w:t>end</w:t>
      </w:r>
      <w:r w:rsidR="00AB2063">
        <w:t>’</w:t>
      </w:r>
      <w:r w:rsidR="003E0875">
        <w:t xml:space="preserve"> and </w:t>
      </w:r>
      <w:r w:rsidR="00AB2063">
        <w:t>‘</w:t>
      </w:r>
      <w:proofErr w:type="spellStart"/>
      <w:r w:rsidR="003E0875">
        <w:t>reintensify</w:t>
      </w:r>
      <w:proofErr w:type="spellEnd"/>
      <w:r w:rsidR="00AB2063">
        <w:t>’</w:t>
      </w:r>
      <w:r w:rsidRPr="00995256">
        <w:t xml:space="preserve"> </w:t>
      </w:r>
      <w:r>
        <w:t xml:space="preserve">for the purposes of section 3 of the Act. </w:t>
      </w:r>
    </w:p>
    <w:p w14:paraId="680F8DCC" w14:textId="77777777" w:rsidR="00177C19" w:rsidRDefault="00177C19" w:rsidP="00177C19">
      <w:pPr>
        <w:spacing w:before="0" w:after="0"/>
      </w:pPr>
    </w:p>
    <w:p w14:paraId="79ED8318" w14:textId="7BB74469" w:rsidR="00177C19" w:rsidRPr="00177C19" w:rsidRDefault="00177C19" w:rsidP="00177C19">
      <w:pPr>
        <w:spacing w:before="0" w:after="0"/>
      </w:pPr>
      <w:r>
        <w:t>Any subsequent amendments to the definitions of ‘cyclone’, ‘end’ and ‘</w:t>
      </w:r>
      <w:proofErr w:type="spellStart"/>
      <w:r>
        <w:t>reintensify</w:t>
      </w:r>
      <w:proofErr w:type="spellEnd"/>
      <w:r>
        <w:t xml:space="preserve">’ will seek to minimise </w:t>
      </w:r>
      <w:r w:rsidR="00BC2B64">
        <w:t xml:space="preserve">disruption to the operation of the </w:t>
      </w:r>
      <w:r w:rsidR="00B0707B">
        <w:t>cyclone reinsurance scheme</w:t>
      </w:r>
      <w:r w:rsidR="00BC2B64">
        <w:t xml:space="preserve"> and to industry</w:t>
      </w:r>
      <w:r w:rsidR="00DA449A">
        <w:t>.</w:t>
      </w:r>
      <w:r w:rsidR="00BC2B64">
        <w:t xml:space="preserve"> </w:t>
      </w:r>
      <w:r w:rsidR="000B320C">
        <w:t>Appropriate</w:t>
      </w:r>
      <w:r>
        <w:t xml:space="preserve"> consultation will be undertaken on any proposed amendments to the definitions in accordance with section 17 of the </w:t>
      </w:r>
      <w:r w:rsidRPr="004805F3">
        <w:t>Legislation Act</w:t>
      </w:r>
      <w:r>
        <w:t>.</w:t>
      </w:r>
    </w:p>
    <w:p w14:paraId="08FB091C" w14:textId="219925EE" w:rsidR="002F575F" w:rsidRDefault="002F575F" w:rsidP="00C34C80">
      <w:pPr>
        <w:spacing w:before="0" w:after="0"/>
      </w:pPr>
    </w:p>
    <w:p w14:paraId="0B50DC21" w14:textId="740752CD" w:rsidR="002F575F" w:rsidRDefault="002F575F" w:rsidP="00C34C80">
      <w:pPr>
        <w:spacing w:before="0" w:after="0"/>
        <w:rPr>
          <w:i/>
        </w:rPr>
      </w:pPr>
      <w:r w:rsidRPr="00AD538C">
        <w:rPr>
          <w:i/>
        </w:rPr>
        <w:t>Cyclone</w:t>
      </w:r>
    </w:p>
    <w:p w14:paraId="580084C6" w14:textId="77777777" w:rsidR="00697681" w:rsidRPr="00AD538C" w:rsidRDefault="00697681" w:rsidP="00C34C80">
      <w:pPr>
        <w:spacing w:before="0" w:after="0"/>
        <w:rPr>
          <w:i/>
        </w:rPr>
      </w:pPr>
    </w:p>
    <w:p w14:paraId="4CA33EA9" w14:textId="2F43967D" w:rsidR="00474775" w:rsidRDefault="00474775" w:rsidP="00474775">
      <w:pPr>
        <w:spacing w:before="0" w:after="0"/>
      </w:pPr>
      <w:r>
        <w:t xml:space="preserve">A </w:t>
      </w:r>
      <w:r w:rsidR="00136769">
        <w:t>‘</w:t>
      </w:r>
      <w:r w:rsidRPr="00294DA6">
        <w:rPr>
          <w:bCs/>
          <w:iCs/>
        </w:rPr>
        <w:t>cyclone</w:t>
      </w:r>
      <w:r w:rsidR="00136769">
        <w:rPr>
          <w:bCs/>
          <w:iCs/>
        </w:rPr>
        <w:t>’</w:t>
      </w:r>
      <w:r>
        <w:t xml:space="preserve"> is a non-frontal low-pressure system of synoptic scale that:</w:t>
      </w:r>
    </w:p>
    <w:p w14:paraId="65B02F49" w14:textId="730C2C36" w:rsidR="00474775" w:rsidRDefault="00474775" w:rsidP="00AB6213">
      <w:pPr>
        <w:pStyle w:val="Bullet"/>
        <w:spacing w:before="120"/>
      </w:pPr>
      <w:r>
        <w:t xml:space="preserve">has </w:t>
      </w:r>
      <w:r w:rsidRPr="007808DC">
        <w:t>develop</w:t>
      </w:r>
      <w:r>
        <w:t>ed</w:t>
      </w:r>
      <w:r w:rsidRPr="007808DC">
        <w:t xml:space="preserve"> over warm waters</w:t>
      </w:r>
      <w:r>
        <w:t>;</w:t>
      </w:r>
      <w:r w:rsidRPr="007808DC">
        <w:t xml:space="preserve"> </w:t>
      </w:r>
      <w:r>
        <w:t xml:space="preserve">and </w:t>
      </w:r>
    </w:p>
    <w:p w14:paraId="3312F2DD" w14:textId="7982821B" w:rsidR="00474775" w:rsidRDefault="00474775" w:rsidP="00AB6213">
      <w:pPr>
        <w:pStyle w:val="Bullet"/>
        <w:spacing w:before="120"/>
      </w:pPr>
      <w:r>
        <w:t>has</w:t>
      </w:r>
      <w:r w:rsidRPr="007808DC">
        <w:t xml:space="preserve"> organised convection</w:t>
      </w:r>
      <w:r>
        <w:t>;</w:t>
      </w:r>
      <w:r w:rsidRPr="007808DC">
        <w:t xml:space="preserve"> and </w:t>
      </w:r>
    </w:p>
    <w:p w14:paraId="78FBDEF9" w14:textId="05EDE129" w:rsidR="00474775" w:rsidRDefault="00474775" w:rsidP="00294C72">
      <w:pPr>
        <w:pStyle w:val="Bullet"/>
        <w:spacing w:before="120" w:after="0"/>
      </w:pPr>
      <w:r>
        <w:lastRenderedPageBreak/>
        <w:t xml:space="preserve">has </w:t>
      </w:r>
      <w:r w:rsidRPr="007808DC">
        <w:t>a maximum mean wind speed of 34 knots or greater</w:t>
      </w:r>
      <w:r>
        <w:t xml:space="preserve"> that</w:t>
      </w:r>
      <w:r w:rsidRPr="007808DC">
        <w:t xml:space="preserve"> extend</w:t>
      </w:r>
      <w:r>
        <w:t>s</w:t>
      </w:r>
      <w:r w:rsidRPr="007808DC">
        <w:t xml:space="preserve"> more than half</w:t>
      </w:r>
      <w:r>
        <w:noBreakHyphen/>
      </w:r>
      <w:r w:rsidRPr="007808DC">
        <w:t>way around near the centre</w:t>
      </w:r>
      <w:r>
        <w:t xml:space="preserve"> of the system </w:t>
      </w:r>
      <w:r w:rsidRPr="007808DC">
        <w:t>and</w:t>
      </w:r>
      <w:r>
        <w:t xml:space="preserve"> has persisted </w:t>
      </w:r>
      <w:r w:rsidRPr="007808DC">
        <w:t xml:space="preserve">for at least </w:t>
      </w:r>
      <w:r>
        <w:t>6</w:t>
      </w:r>
      <w:r w:rsidRPr="007808DC">
        <w:t xml:space="preserve"> hours</w:t>
      </w:r>
      <w:r>
        <w:t>.</w:t>
      </w:r>
    </w:p>
    <w:p w14:paraId="0FCD2353" w14:textId="77777777" w:rsidR="00136769" w:rsidRDefault="00136769" w:rsidP="00943E0A">
      <w:pPr>
        <w:shd w:val="clear" w:color="auto" w:fill="FFFFFF"/>
        <w:spacing w:before="0" w:after="0"/>
      </w:pPr>
    </w:p>
    <w:p w14:paraId="773CAF6B" w14:textId="5C5BEC00" w:rsidR="00F42819" w:rsidRDefault="00474775" w:rsidP="00943E0A">
      <w:pPr>
        <w:shd w:val="clear" w:color="auto" w:fill="FFFFFF"/>
        <w:spacing w:before="0" w:after="0"/>
      </w:pPr>
      <w:r>
        <w:t xml:space="preserve">This definition of cyclone is derived from the </w:t>
      </w:r>
      <w:r w:rsidR="003555D3">
        <w:t>Bureau of Meteorology</w:t>
      </w:r>
      <w:r w:rsidR="00D2507F">
        <w:t>’s</w:t>
      </w:r>
      <w:r w:rsidR="003555D3">
        <w:t xml:space="preserve"> (</w:t>
      </w:r>
      <w:r>
        <w:t>BoM</w:t>
      </w:r>
      <w:r w:rsidR="003555D3">
        <w:t>)</w:t>
      </w:r>
      <w:r>
        <w:t xml:space="preserve"> </w:t>
      </w:r>
      <w:r w:rsidR="00D2507F">
        <w:t>existing definition</w:t>
      </w:r>
      <w:r>
        <w:t xml:space="preserve"> and is based on the current </w:t>
      </w:r>
      <w:r w:rsidRPr="000210E9">
        <w:t>scientific assessment</w:t>
      </w:r>
      <w:r>
        <w:t xml:space="preserve"> of what constitutes a cyclone. </w:t>
      </w:r>
      <w:r w:rsidR="00A458B8">
        <w:t>Th</w:t>
      </w:r>
      <w:r w:rsidR="004A2038">
        <w:t>e</w:t>
      </w:r>
      <w:r w:rsidR="00A458B8">
        <w:t xml:space="preserve"> definition describes tropical cyclones, which are referred to in the Act and the Regulations as cyclones. ‘</w:t>
      </w:r>
      <w:r w:rsidR="00A458B8" w:rsidRPr="00F26651">
        <w:t>Tropical cyclones</w:t>
      </w:r>
      <w:r w:rsidR="00A458B8">
        <w:t>’</w:t>
      </w:r>
      <w:r w:rsidR="00A458B8" w:rsidRPr="00F26651">
        <w:t xml:space="preserve"> </w:t>
      </w:r>
      <w:r w:rsidR="00A458B8">
        <w:t>refer to</w:t>
      </w:r>
      <w:r w:rsidR="00A458B8" w:rsidRPr="00F26651">
        <w:t xml:space="preserve"> intense low</w:t>
      </w:r>
      <w:r w:rsidR="00B42A01">
        <w:noBreakHyphen/>
      </w:r>
      <w:r w:rsidR="00A458B8" w:rsidRPr="00F26651">
        <w:t>pressure systems which form over warm ocean waters at low latitudes.</w:t>
      </w:r>
    </w:p>
    <w:p w14:paraId="469ACDA9" w14:textId="07B3A2E8" w:rsidR="00474775" w:rsidRDefault="00474775" w:rsidP="00474775">
      <w:pPr>
        <w:spacing w:before="0" w:after="0"/>
      </w:pPr>
    </w:p>
    <w:p w14:paraId="1AD68F62" w14:textId="5F447CD9" w:rsidR="00C34C80" w:rsidRDefault="00871635" w:rsidP="00C34C80">
      <w:pPr>
        <w:spacing w:before="0" w:after="0"/>
      </w:pPr>
      <w:r>
        <w:t>Under the Act, i</w:t>
      </w:r>
      <w:r w:rsidR="00C34C80">
        <w:t xml:space="preserve">f the BoM observes a weather event that fits the description of a cyclone, </w:t>
      </w:r>
      <w:r w:rsidR="00980ED5">
        <w:t xml:space="preserve">the </w:t>
      </w:r>
      <w:r w:rsidR="00C34C80">
        <w:t>BoM will inform the ARPC</w:t>
      </w:r>
      <w:r w:rsidR="00B25D80">
        <w:t xml:space="preserve"> within 24 hours of making this observation</w:t>
      </w:r>
      <w:r w:rsidR="00C34C80">
        <w:t xml:space="preserve">. </w:t>
      </w:r>
      <w:r w:rsidR="00003C44">
        <w:t>Subsequently, w</w:t>
      </w:r>
      <w:r w:rsidR="00C34C80">
        <w:t xml:space="preserve">ithin 24 hours of being notified by </w:t>
      </w:r>
      <w:r w:rsidR="00CA7292">
        <w:t xml:space="preserve">the </w:t>
      </w:r>
      <w:r w:rsidR="00C34C80">
        <w:t>BoM, the ARPC will declare the beginning of a cyclone event</w:t>
      </w:r>
      <w:r w:rsidR="00B6490A">
        <w:t>,</w:t>
      </w:r>
      <w:r w:rsidR="00C34C80">
        <w:t xml:space="preserve"> effective from the time at which the </w:t>
      </w:r>
      <w:r w:rsidR="00763F4F">
        <w:t xml:space="preserve">BoM observed the </w:t>
      </w:r>
      <w:r w:rsidR="00C34C80">
        <w:t xml:space="preserve">cyclone. </w:t>
      </w:r>
      <w:r w:rsidR="00192338">
        <w:t>The cyclone reinsurance scheme will cover a</w:t>
      </w:r>
      <w:r w:rsidR="00C34C80">
        <w:t xml:space="preserve">ny eligible hazard damage arising from a cyclone that satisfies the definition of </w:t>
      </w:r>
      <w:r w:rsidR="00240DBE">
        <w:t>‘</w:t>
      </w:r>
      <w:r w:rsidR="00C34C80">
        <w:t>eligible cyclone loss</w:t>
      </w:r>
      <w:r w:rsidR="00240DBE">
        <w:t>’</w:t>
      </w:r>
      <w:r w:rsidR="00C34C80">
        <w:t xml:space="preserve"> </w:t>
      </w:r>
      <w:r w:rsidR="00FE70A2">
        <w:t>(</w:t>
      </w:r>
      <w:r w:rsidR="00240DBE">
        <w:t>see</w:t>
      </w:r>
      <w:r w:rsidR="00C34C80">
        <w:t xml:space="preserve"> section 8C of the Act</w:t>
      </w:r>
      <w:r w:rsidR="00240DBE">
        <w:t>)</w:t>
      </w:r>
      <w:r w:rsidR="00C34C80">
        <w:t xml:space="preserve"> from the start of the </w:t>
      </w:r>
      <w:r w:rsidR="009F2A3B">
        <w:t xml:space="preserve">cyclone event, which </w:t>
      </w:r>
      <w:r w:rsidR="004132DE">
        <w:t>marks</w:t>
      </w:r>
      <w:r w:rsidR="009F2A3B">
        <w:t xml:space="preserve"> the beginning of the </w:t>
      </w:r>
      <w:r w:rsidR="00C34C80">
        <w:t>claims period.</w:t>
      </w:r>
    </w:p>
    <w:p w14:paraId="1B73A727" w14:textId="77777777" w:rsidR="00C34C80" w:rsidRDefault="00C34C80" w:rsidP="00C34C80">
      <w:pPr>
        <w:spacing w:before="0" w:after="0"/>
      </w:pPr>
    </w:p>
    <w:p w14:paraId="7CE1C043" w14:textId="26F274FA" w:rsidR="00AB78EE" w:rsidRDefault="002F575F" w:rsidP="00AB78EE">
      <w:pPr>
        <w:spacing w:before="0" w:after="0"/>
        <w:rPr>
          <w:i/>
        </w:rPr>
      </w:pPr>
      <w:r w:rsidRPr="00AD538C">
        <w:rPr>
          <w:i/>
        </w:rPr>
        <w:t>E</w:t>
      </w:r>
      <w:r w:rsidR="00C34C80" w:rsidRPr="00AD538C">
        <w:rPr>
          <w:i/>
        </w:rPr>
        <w:t xml:space="preserve">nd </w:t>
      </w:r>
      <w:r w:rsidR="00751B0E" w:rsidRPr="00AD538C">
        <w:rPr>
          <w:i/>
        </w:rPr>
        <w:t>(</w:t>
      </w:r>
      <w:r w:rsidR="00C34C80" w:rsidRPr="00AD538C">
        <w:rPr>
          <w:i/>
        </w:rPr>
        <w:t>of a cyclone</w:t>
      </w:r>
      <w:r w:rsidR="00751B0E" w:rsidRPr="00AD538C">
        <w:rPr>
          <w:i/>
        </w:rPr>
        <w:t>)</w:t>
      </w:r>
    </w:p>
    <w:p w14:paraId="3E7E5484" w14:textId="77777777" w:rsidR="00697681" w:rsidRDefault="00697681" w:rsidP="00AB78EE">
      <w:pPr>
        <w:spacing w:before="0" w:after="0"/>
      </w:pPr>
    </w:p>
    <w:p w14:paraId="082B4401" w14:textId="3C52A676" w:rsidR="00DC2115" w:rsidRDefault="000276F9" w:rsidP="00C92DB8">
      <w:pPr>
        <w:spacing w:before="0"/>
      </w:pPr>
      <w:r>
        <w:t xml:space="preserve">A cyclone </w:t>
      </w:r>
      <w:r w:rsidR="00136769">
        <w:t>‘</w:t>
      </w:r>
      <w:r w:rsidRPr="00294DA6">
        <w:rPr>
          <w:bCs/>
          <w:iCs/>
        </w:rPr>
        <w:t>ends</w:t>
      </w:r>
      <w:r w:rsidR="00136769">
        <w:rPr>
          <w:bCs/>
          <w:iCs/>
        </w:rPr>
        <w:t>’</w:t>
      </w:r>
      <w:r>
        <w:t xml:space="preserve"> at the earliest time </w:t>
      </w:r>
      <w:r w:rsidR="00711951">
        <w:t xml:space="preserve">(the </w:t>
      </w:r>
      <w:r w:rsidR="00136769">
        <w:t>‘</w:t>
      </w:r>
      <w:r w:rsidR="00711951" w:rsidRPr="00294DA6">
        <w:t>downgrade time</w:t>
      </w:r>
      <w:r w:rsidR="00136769">
        <w:t>’</w:t>
      </w:r>
      <w:r w:rsidR="00711951">
        <w:t>)</w:t>
      </w:r>
      <w:r w:rsidR="00196CB3">
        <w:t xml:space="preserve"> </w:t>
      </w:r>
      <w:r w:rsidR="00DC2115">
        <w:t>when the following conditions are satisfied:</w:t>
      </w:r>
    </w:p>
    <w:p w14:paraId="7DA19A11" w14:textId="46E4A81F" w:rsidR="00DC2115" w:rsidRDefault="00DC2115" w:rsidP="00C92DB8">
      <w:pPr>
        <w:pStyle w:val="Bullet"/>
        <w:spacing w:before="120"/>
      </w:pPr>
      <w:r>
        <w:t xml:space="preserve">the </w:t>
      </w:r>
      <w:r w:rsidR="00CF7EE4">
        <w:t>low-pressure</w:t>
      </w:r>
      <w:r>
        <w:t xml:space="preserve"> system concerned</w:t>
      </w:r>
      <w:r w:rsidR="00F63E6F">
        <w:t xml:space="preserve"> no longer has</w:t>
      </w:r>
      <w:r>
        <w:t>:</w:t>
      </w:r>
    </w:p>
    <w:p w14:paraId="30803A63" w14:textId="4DB707B9" w:rsidR="00DB51FE" w:rsidRDefault="00DB51FE" w:rsidP="00C92DB8">
      <w:pPr>
        <w:pStyle w:val="Dash"/>
        <w:spacing w:before="120"/>
      </w:pPr>
      <w:r>
        <w:t xml:space="preserve">organised convection; </w:t>
      </w:r>
      <w:r w:rsidR="00F63E6F">
        <w:t>or</w:t>
      </w:r>
      <w:r>
        <w:t xml:space="preserve"> </w:t>
      </w:r>
    </w:p>
    <w:p w14:paraId="424CBCA2" w14:textId="77777777" w:rsidR="00DB51FE" w:rsidRDefault="00DB51FE" w:rsidP="00C92DB8">
      <w:pPr>
        <w:pStyle w:val="Dash"/>
        <w:spacing w:before="120"/>
      </w:pPr>
      <w:r>
        <w:t xml:space="preserve">a maximum </w:t>
      </w:r>
      <w:r w:rsidRPr="007808DC">
        <w:t>wind speed of 34 knots or greater</w:t>
      </w:r>
      <w:r>
        <w:t xml:space="preserve"> that</w:t>
      </w:r>
      <w:r w:rsidRPr="007808DC">
        <w:t xml:space="preserve"> extend</w:t>
      </w:r>
      <w:r>
        <w:t>s</w:t>
      </w:r>
      <w:r w:rsidRPr="007808DC">
        <w:t xml:space="preserve"> more than half</w:t>
      </w:r>
      <w:r>
        <w:noBreakHyphen/>
      </w:r>
      <w:r w:rsidRPr="007808DC">
        <w:t>way around near the centre</w:t>
      </w:r>
      <w:r>
        <w:t xml:space="preserve"> of the system </w:t>
      </w:r>
      <w:r w:rsidRPr="007808DC">
        <w:t>and</w:t>
      </w:r>
      <w:r>
        <w:t xml:space="preserve"> has persisted </w:t>
      </w:r>
      <w:r w:rsidRPr="007808DC">
        <w:t>for</w:t>
      </w:r>
      <w:r>
        <w:t xml:space="preserve"> at </w:t>
      </w:r>
      <w:r w:rsidRPr="007808DC">
        <w:t xml:space="preserve">least </w:t>
      </w:r>
      <w:r>
        <w:t>6</w:t>
      </w:r>
      <w:r w:rsidRPr="007808DC">
        <w:t xml:space="preserve"> hours</w:t>
      </w:r>
      <w:r>
        <w:t xml:space="preserve"> </w:t>
      </w:r>
    </w:p>
    <w:p w14:paraId="10283F47" w14:textId="3A812273" w:rsidR="00DC2115" w:rsidRDefault="00DC2115" w:rsidP="00C92DB8">
      <w:pPr>
        <w:pStyle w:val="Dash"/>
        <w:numPr>
          <w:ilvl w:val="0"/>
          <w:numId w:val="0"/>
        </w:numPr>
        <w:spacing w:before="120"/>
        <w:ind w:left="567"/>
      </w:pPr>
      <w:r>
        <w:t xml:space="preserve">and has been designated by the </w:t>
      </w:r>
      <w:r w:rsidR="00CF7EE4">
        <w:t xml:space="preserve">BoM </w:t>
      </w:r>
      <w:r>
        <w:t>as an ex</w:t>
      </w:r>
      <w:r w:rsidR="00670B7D">
        <w:t>-</w:t>
      </w:r>
      <w:r>
        <w:t>tropical cyclone or post</w:t>
      </w:r>
      <w:r w:rsidR="00670B7D">
        <w:t>-</w:t>
      </w:r>
      <w:r>
        <w:t xml:space="preserve">tropical </w:t>
      </w:r>
      <w:proofErr w:type="gramStart"/>
      <w:r>
        <w:t>cyclone;</w:t>
      </w:r>
      <w:proofErr w:type="gramEnd"/>
    </w:p>
    <w:p w14:paraId="54E972CD" w14:textId="071374B7" w:rsidR="0052072D" w:rsidRDefault="003847B3" w:rsidP="00C92DB8">
      <w:pPr>
        <w:pStyle w:val="Bullet"/>
        <w:spacing w:before="120"/>
      </w:pPr>
      <w:r w:rsidRPr="003847B3">
        <w:t xml:space="preserve">in the opinion of the </w:t>
      </w:r>
      <w:r w:rsidR="00CF7EE4">
        <w:t>BoM</w:t>
      </w:r>
      <w:r w:rsidRPr="003847B3">
        <w:t xml:space="preserve">, the likelihood that the system will intensify to such an extent as to again </w:t>
      </w:r>
      <w:r w:rsidR="0052072D">
        <w:t>have:</w:t>
      </w:r>
    </w:p>
    <w:p w14:paraId="05D8B966" w14:textId="77777777" w:rsidR="0052072D" w:rsidRDefault="0052072D" w:rsidP="00C92DB8">
      <w:pPr>
        <w:pStyle w:val="Dash"/>
        <w:spacing w:before="120"/>
      </w:pPr>
      <w:r>
        <w:t xml:space="preserve">organised convection; and </w:t>
      </w:r>
    </w:p>
    <w:p w14:paraId="072681E1" w14:textId="77777777" w:rsidR="0052072D" w:rsidRDefault="0052072D" w:rsidP="00C92DB8">
      <w:pPr>
        <w:pStyle w:val="Dash"/>
        <w:spacing w:before="120"/>
      </w:pPr>
      <w:r>
        <w:t xml:space="preserve">a maximum </w:t>
      </w:r>
      <w:r w:rsidRPr="007808DC">
        <w:t>wind speed of 34 knots or greater</w:t>
      </w:r>
      <w:r>
        <w:t xml:space="preserve"> that</w:t>
      </w:r>
      <w:r w:rsidRPr="007808DC">
        <w:t xml:space="preserve"> extend</w:t>
      </w:r>
      <w:r>
        <w:t>s</w:t>
      </w:r>
      <w:r w:rsidRPr="007808DC">
        <w:t xml:space="preserve"> more than half</w:t>
      </w:r>
      <w:r>
        <w:noBreakHyphen/>
      </w:r>
      <w:r w:rsidRPr="007808DC">
        <w:t>way around near</w:t>
      </w:r>
      <w:r w:rsidR="003847B3" w:rsidRPr="003847B3">
        <w:t xml:space="preserve"> the </w:t>
      </w:r>
      <w:r w:rsidRPr="007808DC">
        <w:t>centre</w:t>
      </w:r>
      <w:r>
        <w:t xml:space="preserve"> of the system </w:t>
      </w:r>
      <w:r w:rsidRPr="007808DC">
        <w:t>and</w:t>
      </w:r>
      <w:r>
        <w:t xml:space="preserve"> has persisted </w:t>
      </w:r>
      <w:r w:rsidRPr="007808DC">
        <w:t>for</w:t>
      </w:r>
      <w:r>
        <w:t xml:space="preserve"> at </w:t>
      </w:r>
      <w:r w:rsidRPr="007808DC">
        <w:t xml:space="preserve">least </w:t>
      </w:r>
      <w:r>
        <w:t>6</w:t>
      </w:r>
      <w:r w:rsidRPr="007808DC">
        <w:t xml:space="preserve"> hours</w:t>
      </w:r>
      <w:r>
        <w:t xml:space="preserve"> </w:t>
      </w:r>
    </w:p>
    <w:p w14:paraId="1226E183" w14:textId="6B514D28" w:rsidR="00DC2115" w:rsidRDefault="003847B3" w:rsidP="00C92DB8">
      <w:pPr>
        <w:pStyle w:val="Bullet"/>
        <w:numPr>
          <w:ilvl w:val="0"/>
          <w:numId w:val="0"/>
        </w:numPr>
        <w:spacing w:before="120"/>
        <w:ind w:left="567"/>
      </w:pPr>
      <w:r w:rsidRPr="003847B3">
        <w:t>at some time within 48 hours after the downgrade time is less than the likelihood that it will not</w:t>
      </w:r>
      <w:r>
        <w:t>.</w:t>
      </w:r>
    </w:p>
    <w:p w14:paraId="6FDB7949" w14:textId="43A4B1B7" w:rsidR="00607419" w:rsidRDefault="007F24E3" w:rsidP="00450425">
      <w:pPr>
        <w:spacing w:after="0"/>
      </w:pPr>
      <w:r>
        <w:br/>
      </w:r>
      <w:r w:rsidR="00607419">
        <w:t xml:space="preserve">This definition is based on the current </w:t>
      </w:r>
      <w:r w:rsidR="00607419" w:rsidRPr="000210E9">
        <w:t>scientific assessment</w:t>
      </w:r>
      <w:r w:rsidR="00607419">
        <w:t xml:space="preserve"> of what constitutes the end of a cyclone. </w:t>
      </w:r>
    </w:p>
    <w:p w14:paraId="22D13F94" w14:textId="77777777" w:rsidR="000276F9" w:rsidRDefault="000276F9" w:rsidP="00901A45">
      <w:pPr>
        <w:spacing w:before="0" w:after="0"/>
      </w:pPr>
    </w:p>
    <w:p w14:paraId="1A5AAC07" w14:textId="77777777" w:rsidR="00136769" w:rsidRDefault="007E02FF" w:rsidP="00BC19FC">
      <w:pPr>
        <w:spacing w:before="0" w:after="0"/>
      </w:pPr>
      <w:r>
        <w:t xml:space="preserve">Under the Act, if </w:t>
      </w:r>
      <w:r w:rsidR="00C34C80">
        <w:t xml:space="preserve">the BoM observes </w:t>
      </w:r>
      <w:r w:rsidR="00607419">
        <w:t>that a declared cyclone now</w:t>
      </w:r>
      <w:r w:rsidR="00CC60DB">
        <w:t xml:space="preserve"> satisfies </w:t>
      </w:r>
      <w:r w:rsidR="00607419">
        <w:t xml:space="preserve">the above </w:t>
      </w:r>
      <w:r w:rsidR="00CC60DB">
        <w:t>conditions</w:t>
      </w:r>
      <w:r w:rsidR="00C34C80">
        <w:t xml:space="preserve">, </w:t>
      </w:r>
      <w:r w:rsidR="00CC60DB">
        <w:t xml:space="preserve">the </w:t>
      </w:r>
      <w:r w:rsidR="00C34C80">
        <w:t>BoM will inform the ARPC</w:t>
      </w:r>
      <w:r w:rsidR="003F7279">
        <w:t xml:space="preserve"> </w:t>
      </w:r>
      <w:r w:rsidR="00151FAD">
        <w:t xml:space="preserve">within 24 hours </w:t>
      </w:r>
      <w:r w:rsidR="00137200">
        <w:t>of making this observation</w:t>
      </w:r>
      <w:r w:rsidR="00C34C80">
        <w:t xml:space="preserve">. </w:t>
      </w:r>
      <w:r w:rsidR="00A26E2A">
        <w:t>Subsequently, w</w:t>
      </w:r>
      <w:r w:rsidR="00C34C80">
        <w:t xml:space="preserve">ithin 24 hours of being notified by </w:t>
      </w:r>
      <w:r w:rsidR="00D4164E">
        <w:t xml:space="preserve">the </w:t>
      </w:r>
      <w:r w:rsidR="00C34C80">
        <w:t>BoM, the ARPC will declare the end of a cyclone event</w:t>
      </w:r>
      <w:r w:rsidR="00AB458E">
        <w:t xml:space="preserve">, which </w:t>
      </w:r>
      <w:r w:rsidR="00C34C80">
        <w:t xml:space="preserve">will last for a fixed additional period </w:t>
      </w:r>
      <w:r w:rsidR="009B3680">
        <w:t xml:space="preserve">of </w:t>
      </w:r>
      <w:r w:rsidR="009B3680">
        <w:lastRenderedPageBreak/>
        <w:t xml:space="preserve">48 hours </w:t>
      </w:r>
      <w:r w:rsidR="00AB458E">
        <w:t>(</w:t>
      </w:r>
      <w:r w:rsidR="009B3680">
        <w:t xml:space="preserve">as </w:t>
      </w:r>
      <w:r w:rsidR="00E93134">
        <w:t>provided for in new regulation 5D</w:t>
      </w:r>
      <w:r w:rsidR="00AB458E">
        <w:t>)</w:t>
      </w:r>
      <w:r w:rsidR="00E93134">
        <w:t xml:space="preserve"> </w:t>
      </w:r>
      <w:r w:rsidR="00C34C80">
        <w:t xml:space="preserve">after the time at which the </w:t>
      </w:r>
      <w:r w:rsidR="00AB458E">
        <w:t xml:space="preserve">BoM </w:t>
      </w:r>
      <w:r w:rsidR="00A83CC2">
        <w:t xml:space="preserve">observed </w:t>
      </w:r>
      <w:r w:rsidR="00AB458E">
        <w:t xml:space="preserve">the </w:t>
      </w:r>
      <w:r w:rsidR="00C34C80">
        <w:t>end of a cyclone.</w:t>
      </w:r>
      <w:r w:rsidR="00945E5F">
        <w:br/>
      </w:r>
    </w:p>
    <w:p w14:paraId="11A939EF" w14:textId="482A5062" w:rsidR="00BC19FC" w:rsidRDefault="00BC19FC" w:rsidP="00BC19FC">
      <w:pPr>
        <w:spacing w:before="0" w:after="0"/>
      </w:pPr>
      <w:r>
        <w:t>The cyclone reinsurance scheme will cover any eligible hazard damage arising from a cyclone that satisfies the definition of ‘eligible cyclone loss</w:t>
      </w:r>
      <w:r w:rsidDel="00FE70A2">
        <w:t xml:space="preserve">’ </w:t>
      </w:r>
      <w:r>
        <w:t>(see section 8C of the Act)</w:t>
      </w:r>
      <w:r w:rsidR="00C34C80">
        <w:t xml:space="preserve"> until the end of the </w:t>
      </w:r>
      <w:r w:rsidR="00D51517">
        <w:t xml:space="preserve">cyclone event, which </w:t>
      </w:r>
      <w:r w:rsidR="00945E5F">
        <w:t>m</w:t>
      </w:r>
      <w:r w:rsidR="00CB24DC">
        <w:t>arks</w:t>
      </w:r>
      <w:r w:rsidR="00D51517">
        <w:t xml:space="preserve"> the end </w:t>
      </w:r>
      <w:r w:rsidR="00C34C80">
        <w:t xml:space="preserve">of the claims period. </w:t>
      </w:r>
      <w:r w:rsidR="00C27630">
        <w:br/>
      </w:r>
    </w:p>
    <w:p w14:paraId="6349E4A2" w14:textId="0F7D208D" w:rsidR="002F575F" w:rsidRDefault="002F575F" w:rsidP="00C34C80">
      <w:pPr>
        <w:spacing w:before="0" w:after="0"/>
        <w:rPr>
          <w:i/>
        </w:rPr>
      </w:pPr>
      <w:proofErr w:type="spellStart"/>
      <w:r w:rsidRPr="00AD538C">
        <w:rPr>
          <w:i/>
        </w:rPr>
        <w:t>R</w:t>
      </w:r>
      <w:r w:rsidR="00C34C80" w:rsidRPr="00AD538C">
        <w:rPr>
          <w:i/>
        </w:rPr>
        <w:t>eintensify</w:t>
      </w:r>
      <w:proofErr w:type="spellEnd"/>
      <w:r w:rsidR="00751B0E" w:rsidRPr="00AD538C">
        <w:rPr>
          <w:i/>
        </w:rPr>
        <w:t xml:space="preserve"> (in relation to a cyclone)</w:t>
      </w:r>
    </w:p>
    <w:p w14:paraId="4E567778" w14:textId="77777777" w:rsidR="00697681" w:rsidRDefault="00697681" w:rsidP="00C34C80">
      <w:pPr>
        <w:spacing w:before="0" w:after="0"/>
      </w:pPr>
    </w:p>
    <w:p w14:paraId="54FED5A0" w14:textId="69896784" w:rsidR="00B15252" w:rsidRDefault="00C34C80" w:rsidP="00C34C80">
      <w:pPr>
        <w:spacing w:before="0" w:after="0"/>
      </w:pPr>
      <w:r>
        <w:t xml:space="preserve">After a cyclone is downgraded, it is taken to </w:t>
      </w:r>
      <w:r w:rsidR="00697681">
        <w:t>‘</w:t>
      </w:r>
      <w:proofErr w:type="spellStart"/>
      <w:r w:rsidRPr="00294DA6">
        <w:rPr>
          <w:bCs/>
          <w:iCs/>
        </w:rPr>
        <w:t>reintensify</w:t>
      </w:r>
      <w:proofErr w:type="spellEnd"/>
      <w:r w:rsidR="00697681">
        <w:rPr>
          <w:bCs/>
          <w:iCs/>
        </w:rPr>
        <w:t>’</w:t>
      </w:r>
      <w:r>
        <w:t xml:space="preserve"> </w:t>
      </w:r>
      <w:r w:rsidR="00F156A5">
        <w:t xml:space="preserve">(and becomes a cyclone </w:t>
      </w:r>
      <w:r w:rsidR="009C626D">
        <w:t xml:space="preserve">once </w:t>
      </w:r>
      <w:r w:rsidR="006D0EDC">
        <w:t>again</w:t>
      </w:r>
      <w:r w:rsidR="00F156A5">
        <w:t xml:space="preserve">) </w:t>
      </w:r>
      <w:r>
        <w:t>if it again meets the condition</w:t>
      </w:r>
      <w:r w:rsidR="00184EDE">
        <w:t>s</w:t>
      </w:r>
      <w:r w:rsidR="003A6CC5">
        <w:t xml:space="preserve"> involving convection and wind speed</w:t>
      </w:r>
      <w:r>
        <w:t xml:space="preserve"> in paragraph</w:t>
      </w:r>
      <w:r w:rsidR="00467D2A">
        <w:t>s</w:t>
      </w:r>
      <w:r>
        <w:t xml:space="preserve"> (2)(b) </w:t>
      </w:r>
      <w:r w:rsidR="00184EDE">
        <w:t xml:space="preserve">and (c) </w:t>
      </w:r>
      <w:r>
        <w:t xml:space="preserve">of </w:t>
      </w:r>
      <w:r w:rsidR="0091370F">
        <w:t xml:space="preserve">the definition of a cyclone. </w:t>
      </w:r>
      <w:r>
        <w:t xml:space="preserve">In this case, </w:t>
      </w:r>
      <w:r w:rsidR="00E94E88">
        <w:t xml:space="preserve">the </w:t>
      </w:r>
      <w:r>
        <w:t xml:space="preserve">ARPC would declare </w:t>
      </w:r>
      <w:r w:rsidR="00480D79" w:rsidRPr="00480D79">
        <w:t xml:space="preserve">the beginning of </w:t>
      </w:r>
      <w:r>
        <w:t>a new cyclone event</w:t>
      </w:r>
      <w:r w:rsidR="00E94E88" w:rsidRPr="00E94E88">
        <w:t xml:space="preserve"> </w:t>
      </w:r>
      <w:r w:rsidR="00E94E88">
        <w:t xml:space="preserve">on the advice of </w:t>
      </w:r>
      <w:r w:rsidR="00DA1C57">
        <w:t xml:space="preserve">the </w:t>
      </w:r>
      <w:r w:rsidR="00E94E88">
        <w:t>BoM</w:t>
      </w:r>
      <w:r>
        <w:t>.</w:t>
      </w:r>
    </w:p>
    <w:p w14:paraId="5B00F594" w14:textId="4EDA0874" w:rsidR="00F156A5" w:rsidRDefault="00F156A5" w:rsidP="00C34C80">
      <w:pPr>
        <w:spacing w:before="0" w:after="0"/>
      </w:pPr>
    </w:p>
    <w:p w14:paraId="1D83343E" w14:textId="688E83A0" w:rsidR="00F156A5" w:rsidRDefault="00F156A5" w:rsidP="00C34C80">
      <w:pPr>
        <w:spacing w:before="0" w:after="0"/>
      </w:pPr>
      <w:r>
        <w:t xml:space="preserve">A </w:t>
      </w:r>
      <w:proofErr w:type="spellStart"/>
      <w:r w:rsidR="009C626D">
        <w:t>reintensified</w:t>
      </w:r>
      <w:proofErr w:type="spellEnd"/>
      <w:r w:rsidR="009C626D">
        <w:t xml:space="preserve"> cyclone</w:t>
      </w:r>
      <w:r>
        <w:t xml:space="preserve"> ends at the </w:t>
      </w:r>
      <w:r w:rsidR="00821943">
        <w:t>downgrade</w:t>
      </w:r>
      <w:r w:rsidR="004A2E7C">
        <w:t xml:space="preserve"> </w:t>
      </w:r>
      <w:r>
        <w:t xml:space="preserve">time </w:t>
      </w:r>
      <w:r w:rsidR="00930613">
        <w:t xml:space="preserve">after it last </w:t>
      </w:r>
      <w:proofErr w:type="spellStart"/>
      <w:r w:rsidR="00930613">
        <w:t>reintensified</w:t>
      </w:r>
      <w:proofErr w:type="spellEnd"/>
      <w:r w:rsidR="00930613">
        <w:t xml:space="preserve"> </w:t>
      </w:r>
      <w:r>
        <w:t xml:space="preserve">when it </w:t>
      </w:r>
      <w:r w:rsidR="009C626D">
        <w:t xml:space="preserve">again </w:t>
      </w:r>
      <w:r>
        <w:t xml:space="preserve">satisfies the conditions </w:t>
      </w:r>
      <w:r w:rsidR="004702F0">
        <w:t xml:space="preserve">involving </w:t>
      </w:r>
      <w:r w:rsidR="007B0565">
        <w:t xml:space="preserve">convection, wind speed and likelihood of </w:t>
      </w:r>
      <w:proofErr w:type="spellStart"/>
      <w:r w:rsidR="007B0565">
        <w:t>reintensification</w:t>
      </w:r>
      <w:proofErr w:type="spellEnd"/>
      <w:r w:rsidR="007B0565">
        <w:t xml:space="preserve"> </w:t>
      </w:r>
      <w:r w:rsidR="009C626D">
        <w:t xml:space="preserve">in paragraphs (3)(a) and (b) of </w:t>
      </w:r>
      <w:r w:rsidR="004702F0">
        <w:t>the definition of end (of a cyclone)</w:t>
      </w:r>
      <w:r w:rsidR="009C626D">
        <w:t xml:space="preserve">. In this </w:t>
      </w:r>
      <w:r w:rsidR="00085725">
        <w:t>instance</w:t>
      </w:r>
      <w:r w:rsidR="009C626D">
        <w:t>, the</w:t>
      </w:r>
      <w:r w:rsidR="00085725">
        <w:t xml:space="preserve"> BoM would notify the</w:t>
      </w:r>
      <w:r w:rsidR="009C626D">
        <w:t xml:space="preserve"> ARPC</w:t>
      </w:r>
      <w:r w:rsidR="00085725">
        <w:t xml:space="preserve"> that the cyclone has ended, to enable the ARPC to</w:t>
      </w:r>
      <w:r w:rsidR="009C626D">
        <w:t xml:space="preserve"> declare the end of the new cyclone event. </w:t>
      </w:r>
    </w:p>
    <w:p w14:paraId="55E0634D" w14:textId="1C4E520C" w:rsidR="00B15252" w:rsidRDefault="00B15252" w:rsidP="00C34C80">
      <w:pPr>
        <w:spacing w:before="0" w:after="0"/>
        <w:rPr>
          <w:b/>
          <w:bCs/>
        </w:rPr>
      </w:pPr>
    </w:p>
    <w:p w14:paraId="56CB1307" w14:textId="7009F696" w:rsidR="00A42B50" w:rsidRDefault="00B15252" w:rsidP="00C34C80">
      <w:pPr>
        <w:spacing w:before="0" w:after="0"/>
        <w:rPr>
          <w:u w:val="single"/>
        </w:rPr>
      </w:pPr>
      <w:r w:rsidRPr="00B2646F">
        <w:rPr>
          <w:u w:val="single"/>
        </w:rPr>
        <w:t>Item</w:t>
      </w:r>
      <w:r w:rsidR="00FC7A4B">
        <w:rPr>
          <w:u w:val="single"/>
        </w:rPr>
        <w:t>s</w:t>
      </w:r>
      <w:r w:rsidRPr="00B2646F">
        <w:rPr>
          <w:u w:val="single"/>
        </w:rPr>
        <w:t xml:space="preserve"> </w:t>
      </w:r>
      <w:r w:rsidR="003D139D">
        <w:rPr>
          <w:u w:val="single"/>
        </w:rPr>
        <w:t>11</w:t>
      </w:r>
      <w:r w:rsidR="003D139D" w:rsidRPr="00B2646F">
        <w:rPr>
          <w:u w:val="single"/>
        </w:rPr>
        <w:t xml:space="preserve"> </w:t>
      </w:r>
      <w:r w:rsidR="00FC7A4B">
        <w:rPr>
          <w:u w:val="single"/>
        </w:rPr>
        <w:t>to</w:t>
      </w:r>
      <w:r>
        <w:rPr>
          <w:u w:val="single"/>
        </w:rPr>
        <w:t xml:space="preserve"> </w:t>
      </w:r>
      <w:r w:rsidR="003D139D">
        <w:rPr>
          <w:u w:val="single"/>
        </w:rPr>
        <w:t>13</w:t>
      </w:r>
    </w:p>
    <w:p w14:paraId="0DEBC3C6" w14:textId="77777777" w:rsidR="00353250" w:rsidRDefault="00353250" w:rsidP="00C34C80">
      <w:pPr>
        <w:spacing w:before="0" w:after="0"/>
        <w:rPr>
          <w:i/>
        </w:rPr>
      </w:pPr>
    </w:p>
    <w:p w14:paraId="752FA54C" w14:textId="33978A7C" w:rsidR="00353250" w:rsidRPr="00697681" w:rsidRDefault="00353250" w:rsidP="00353250">
      <w:pPr>
        <w:spacing w:before="0" w:after="0"/>
        <w:rPr>
          <w:b/>
          <w:bCs/>
        </w:rPr>
      </w:pPr>
      <w:r w:rsidRPr="00697681">
        <w:rPr>
          <w:b/>
          <w:bCs/>
        </w:rPr>
        <w:t>Definitions for strata or community title development and related terms</w:t>
      </w:r>
    </w:p>
    <w:p w14:paraId="42FE2661" w14:textId="77777777" w:rsidR="00353250" w:rsidRDefault="00353250" w:rsidP="00C34C80">
      <w:pPr>
        <w:spacing w:before="0" w:after="0"/>
        <w:rPr>
          <w:i/>
        </w:rPr>
      </w:pPr>
    </w:p>
    <w:p w14:paraId="2C98A25F" w14:textId="3436462F" w:rsidR="00697681" w:rsidRPr="00AD538C" w:rsidRDefault="001F2DB7" w:rsidP="00C34C80">
      <w:pPr>
        <w:spacing w:before="0" w:after="0"/>
        <w:rPr>
          <w:i/>
        </w:rPr>
      </w:pPr>
      <w:r w:rsidRPr="00AD538C">
        <w:rPr>
          <w:i/>
        </w:rPr>
        <w:t xml:space="preserve">Strata </w:t>
      </w:r>
      <w:r w:rsidR="000C6BB4" w:rsidRPr="00AD538C">
        <w:rPr>
          <w:i/>
        </w:rPr>
        <w:t>or</w:t>
      </w:r>
      <w:r w:rsidRPr="00AD538C">
        <w:rPr>
          <w:i/>
        </w:rPr>
        <w:t xml:space="preserve"> community title development</w:t>
      </w:r>
    </w:p>
    <w:p w14:paraId="618CC7E9" w14:textId="7F4286E4" w:rsidR="00102D44" w:rsidRDefault="007538C6" w:rsidP="00102D44">
      <w:pPr>
        <w:spacing w:before="0" w:after="0"/>
      </w:pPr>
      <w:r>
        <w:t xml:space="preserve">Item </w:t>
      </w:r>
      <w:r w:rsidR="003D139D">
        <w:t xml:space="preserve">11 </w:t>
      </w:r>
      <w:r w:rsidR="001F2DB7">
        <w:t xml:space="preserve">inserts new regulation 4A, </w:t>
      </w:r>
      <w:r w:rsidR="00F820AA">
        <w:t xml:space="preserve">which sets out the types of arrangements covered under </w:t>
      </w:r>
      <w:r w:rsidR="00697681">
        <w:t>‘</w:t>
      </w:r>
      <w:r w:rsidR="00F820AA" w:rsidRPr="00294DA6">
        <w:rPr>
          <w:bCs/>
          <w:iCs/>
        </w:rPr>
        <w:t xml:space="preserve">strata </w:t>
      </w:r>
      <w:r w:rsidR="00690639" w:rsidRPr="00294DA6">
        <w:rPr>
          <w:bCs/>
          <w:iCs/>
        </w:rPr>
        <w:t>or</w:t>
      </w:r>
      <w:r w:rsidR="00F820AA" w:rsidRPr="00294DA6">
        <w:rPr>
          <w:bCs/>
          <w:iCs/>
        </w:rPr>
        <w:t xml:space="preserve"> community title development</w:t>
      </w:r>
      <w:r w:rsidR="00697681">
        <w:rPr>
          <w:bCs/>
          <w:iCs/>
        </w:rPr>
        <w:t>’</w:t>
      </w:r>
      <w:r w:rsidR="001F2DB7">
        <w:rPr>
          <w:b/>
          <w:bCs/>
          <w:i/>
          <w:iCs/>
        </w:rPr>
        <w:t xml:space="preserve"> </w:t>
      </w:r>
      <w:r w:rsidR="001F2DB7">
        <w:t xml:space="preserve">for the purposes of </w:t>
      </w:r>
      <w:r w:rsidR="007209A8">
        <w:t>section 3</w:t>
      </w:r>
      <w:r w:rsidR="001F2DB7">
        <w:t xml:space="preserve"> of the Act</w:t>
      </w:r>
      <w:r w:rsidR="00102D44">
        <w:t>.</w:t>
      </w:r>
      <w:r w:rsidR="00986B59">
        <w:t xml:space="preserve"> </w:t>
      </w:r>
    </w:p>
    <w:p w14:paraId="136389F2" w14:textId="77777777" w:rsidR="00102D44" w:rsidRDefault="00102D44" w:rsidP="00102D44">
      <w:pPr>
        <w:spacing w:before="0" w:after="0"/>
      </w:pPr>
    </w:p>
    <w:p w14:paraId="3E428EA8" w14:textId="23DD1C3A" w:rsidR="006C043E" w:rsidRDefault="00102D44" w:rsidP="00102D44">
      <w:pPr>
        <w:spacing w:before="0" w:after="0"/>
      </w:pPr>
      <w:r>
        <w:t>Subregulation 4</w:t>
      </w:r>
      <w:proofErr w:type="gramStart"/>
      <w:r>
        <w:t>A(</w:t>
      </w:r>
      <w:proofErr w:type="gramEnd"/>
      <w:r>
        <w:t xml:space="preserve">2) covers </w:t>
      </w:r>
      <w:r w:rsidR="00334B0A">
        <w:t xml:space="preserve">arrangements (commonly referred to as ‘strata title’) </w:t>
      </w:r>
      <w:r w:rsidR="00FE7032">
        <w:t xml:space="preserve">that exist </w:t>
      </w:r>
      <w:r w:rsidR="00334B0A">
        <w:t xml:space="preserve">under </w:t>
      </w:r>
      <w:r w:rsidR="00FE7032">
        <w:t xml:space="preserve">a State or Territory law, </w:t>
      </w:r>
      <w:r w:rsidR="00334B0A">
        <w:t>which</w:t>
      </w:r>
      <w:r w:rsidR="00FE7032">
        <w:t xml:space="preserve"> incorporate the following features</w:t>
      </w:r>
      <w:r w:rsidR="006C043E">
        <w:t>:</w:t>
      </w:r>
    </w:p>
    <w:p w14:paraId="1C3D0295" w14:textId="77777777" w:rsidR="006C043E" w:rsidRDefault="00334B0A" w:rsidP="003006A2">
      <w:pPr>
        <w:pStyle w:val="Bullet"/>
      </w:pPr>
      <w:r>
        <w:t>the</w:t>
      </w:r>
      <w:r w:rsidR="007D0AA8">
        <w:t xml:space="preserve"> </w:t>
      </w:r>
      <w:r w:rsidR="00850207">
        <w:t>title to land</w:t>
      </w:r>
      <w:r w:rsidR="006C043E">
        <w:t xml:space="preserve"> (</w:t>
      </w:r>
      <w:r w:rsidR="00A27C98">
        <w:t>leasehold or freehold</w:t>
      </w:r>
      <w:r w:rsidR="006C043E">
        <w:t>)</w:t>
      </w:r>
      <w:r w:rsidR="00850207">
        <w:t xml:space="preserve"> is subdivided into different portions of land each with their own separate legal title</w:t>
      </w:r>
      <w:r w:rsidR="00F05BD1">
        <w:t>, or where particular units of a single building are attached to separate legal titles (or a combination of the two)</w:t>
      </w:r>
      <w:r w:rsidR="00CC4C45">
        <w:t>;</w:t>
      </w:r>
      <w:r w:rsidR="00A27C98">
        <w:t xml:space="preserve"> and </w:t>
      </w:r>
    </w:p>
    <w:p w14:paraId="54FAB37B" w14:textId="493F8C02" w:rsidR="00644D00" w:rsidRDefault="00A27C98" w:rsidP="00CF7EE4">
      <w:pPr>
        <w:pStyle w:val="Bullet"/>
        <w:spacing w:after="0"/>
      </w:pPr>
      <w:r>
        <w:t xml:space="preserve">the common </w:t>
      </w:r>
      <w:r w:rsidR="00DC47A0">
        <w:t>areas are</w:t>
      </w:r>
      <w:r>
        <w:t xml:space="preserve"> owned or managed by a body corpora</w:t>
      </w:r>
      <w:r w:rsidR="00644D00">
        <w:t>te</w:t>
      </w:r>
      <w:r w:rsidR="00FA45BF">
        <w:t xml:space="preserve"> (such as an </w:t>
      </w:r>
      <w:proofErr w:type="gramStart"/>
      <w:r w:rsidR="00FA45BF">
        <w:t>owners</w:t>
      </w:r>
      <w:proofErr w:type="gramEnd"/>
      <w:r w:rsidR="00FA45BF">
        <w:t xml:space="preserve"> corporation)</w:t>
      </w:r>
      <w:r w:rsidR="006A09E5">
        <w:t>.</w:t>
      </w:r>
    </w:p>
    <w:p w14:paraId="7ED45967" w14:textId="64E942EB" w:rsidR="002759FD" w:rsidRDefault="003006A2" w:rsidP="003D47DD">
      <w:pPr>
        <w:spacing w:before="0" w:after="0"/>
      </w:pPr>
      <w:bookmarkStart w:id="1" w:name="_Hlk96594401"/>
      <w:r>
        <w:br/>
      </w:r>
      <w:r w:rsidR="00BD06D2" w:rsidRPr="00F0467E">
        <w:t xml:space="preserve">State </w:t>
      </w:r>
      <w:r w:rsidR="00E67186">
        <w:t xml:space="preserve">and </w:t>
      </w:r>
      <w:r w:rsidR="00BD06D2" w:rsidRPr="00F0467E">
        <w:t>Territory laws have various names for these arrangements, such as ‘strata title’, ‘community title’, ‘unit title’, ‘cluster title’ or some other term that reflects the features above.</w:t>
      </w:r>
    </w:p>
    <w:p w14:paraId="5EBE9373" w14:textId="77777777" w:rsidR="003D47DD" w:rsidRDefault="003D47DD" w:rsidP="003D47DD">
      <w:pPr>
        <w:spacing w:before="0" w:after="0"/>
      </w:pPr>
    </w:p>
    <w:p w14:paraId="261137A7" w14:textId="347CF84F" w:rsidR="00A571C4" w:rsidRPr="00127DBD" w:rsidRDefault="002759FD" w:rsidP="002759FD">
      <w:pPr>
        <w:spacing w:before="0" w:after="0"/>
      </w:pPr>
      <w:r>
        <w:t>Subregulation 4</w:t>
      </w:r>
      <w:proofErr w:type="gramStart"/>
      <w:r>
        <w:t>A(</w:t>
      </w:r>
      <w:proofErr w:type="gramEnd"/>
      <w:r w:rsidR="00032579">
        <w:t>3</w:t>
      </w:r>
      <w:r>
        <w:t xml:space="preserve">) covers </w:t>
      </w:r>
      <w:r w:rsidR="00ED5470">
        <w:t>arrangements (commonly referred to as ‘</w:t>
      </w:r>
      <w:r w:rsidR="000D5A73">
        <w:t>company title</w:t>
      </w:r>
      <w:r w:rsidR="00ED5470">
        <w:t>’)</w:t>
      </w:r>
      <w:r w:rsidR="000D5A73">
        <w:t xml:space="preserve"> </w:t>
      </w:r>
      <w:r w:rsidR="002C6B42">
        <w:t>involving an</w:t>
      </w:r>
      <w:r w:rsidR="000D5A73">
        <w:t xml:space="preserve"> </w:t>
      </w:r>
      <w:r w:rsidR="00A27C98">
        <w:t>interest in land</w:t>
      </w:r>
      <w:r w:rsidR="000D5A73">
        <w:t xml:space="preserve">, whether leasehold or freehold, owned by a body corporate </w:t>
      </w:r>
      <w:r w:rsidR="0019056C">
        <w:t xml:space="preserve">and </w:t>
      </w:r>
      <w:r w:rsidR="00D3618B">
        <w:t xml:space="preserve">for </w:t>
      </w:r>
      <w:r w:rsidR="0019056C">
        <w:t>which</w:t>
      </w:r>
      <w:r w:rsidR="000D5A73">
        <w:t xml:space="preserve"> a holder of shares in the body has or may be granted a right to occupy or use some or all of the land</w:t>
      </w:r>
      <w:r w:rsidR="002C6B42">
        <w:t>.</w:t>
      </w:r>
      <w:r w:rsidR="00C45E62">
        <w:t xml:space="preserve"> The body corporate is typically a company registered under the </w:t>
      </w:r>
      <w:r w:rsidR="00C45E62" w:rsidRPr="00C45E62">
        <w:rPr>
          <w:i/>
          <w:iCs/>
        </w:rPr>
        <w:t>Corporations Act 2001</w:t>
      </w:r>
      <w:r w:rsidR="00C45E62">
        <w:t>.</w:t>
      </w:r>
    </w:p>
    <w:bookmarkEnd w:id="1"/>
    <w:p w14:paraId="28B88127" w14:textId="77777777" w:rsidR="003D47DD" w:rsidRDefault="003D47DD" w:rsidP="003D47DD">
      <w:pPr>
        <w:spacing w:before="0" w:after="0"/>
      </w:pPr>
    </w:p>
    <w:p w14:paraId="04290623" w14:textId="32BD5D9F" w:rsidR="00735941" w:rsidRPr="00127DBD" w:rsidRDefault="003D47DD" w:rsidP="00FD7165">
      <w:pPr>
        <w:spacing w:before="0" w:after="0"/>
      </w:pPr>
      <w:r>
        <w:t>Subregulation 4</w:t>
      </w:r>
      <w:proofErr w:type="gramStart"/>
      <w:r>
        <w:t>A(</w:t>
      </w:r>
      <w:proofErr w:type="gramEnd"/>
      <w:r w:rsidR="00032579">
        <w:t>4</w:t>
      </w:r>
      <w:r>
        <w:t>) covers</w:t>
      </w:r>
      <w:r w:rsidR="00E06A72" w:rsidRPr="00127DBD">
        <w:t xml:space="preserve"> </w:t>
      </w:r>
      <w:r w:rsidR="00557D26">
        <w:t>collective property arrangements that are structured by trust. Under these arrangements:</w:t>
      </w:r>
    </w:p>
    <w:p w14:paraId="4BE2D624" w14:textId="77777777" w:rsidR="008673D4" w:rsidRDefault="00CA493D" w:rsidP="00E67186">
      <w:pPr>
        <w:pStyle w:val="Bullet"/>
      </w:pPr>
      <w:r>
        <w:lastRenderedPageBreak/>
        <w:t>an interest in land, whether freehold or leasehold, is held on trust</w:t>
      </w:r>
      <w:r w:rsidR="00DE73F7">
        <w:t xml:space="preserve"> </w:t>
      </w:r>
      <w:r w:rsidR="008673D4">
        <w:t xml:space="preserve">and </w:t>
      </w:r>
      <w:r w:rsidR="00DE73F7">
        <w:t xml:space="preserve">the trustee </w:t>
      </w:r>
      <w:r w:rsidR="005E610C">
        <w:t>is</w:t>
      </w:r>
      <w:r w:rsidR="00DE73F7">
        <w:t xml:space="preserve"> a body </w:t>
      </w:r>
      <w:proofErr w:type="gramStart"/>
      <w:r w:rsidR="00DE73F7">
        <w:t>corporate</w:t>
      </w:r>
      <w:r w:rsidR="008673D4">
        <w:t>;</w:t>
      </w:r>
      <w:proofErr w:type="gramEnd"/>
    </w:p>
    <w:p w14:paraId="68FD6363" w14:textId="3BCC70A6" w:rsidR="00CA493D" w:rsidRDefault="008673D4" w:rsidP="00E67186">
      <w:pPr>
        <w:pStyle w:val="Bullet"/>
      </w:pPr>
      <w:r>
        <w:t>under the terms of the trust,</w:t>
      </w:r>
      <w:r w:rsidR="00CA493D">
        <w:t xml:space="preserve"> the holder of an interest in the trust has or may be granted a right to occupy or use part of the land</w:t>
      </w:r>
      <w:r w:rsidR="00DE73F7">
        <w:t>; and</w:t>
      </w:r>
    </w:p>
    <w:p w14:paraId="572BE293" w14:textId="5200A36E" w:rsidR="00D97CBC" w:rsidRDefault="00D97CBC" w:rsidP="00E67186">
      <w:pPr>
        <w:pStyle w:val="Bullet"/>
      </w:pPr>
      <w:r>
        <w:t xml:space="preserve">there are at least 2 </w:t>
      </w:r>
      <w:r w:rsidR="00451E20">
        <w:t xml:space="preserve">distinct parts of the land </w:t>
      </w:r>
      <w:r w:rsidR="00553605">
        <w:t>under</w:t>
      </w:r>
      <w:r w:rsidR="00A24B00">
        <w:t xml:space="preserve"> the </w:t>
      </w:r>
      <w:r w:rsidR="00553605">
        <w:t>terms of that trust</w:t>
      </w:r>
      <w:r w:rsidR="00F95CDD">
        <w:t>.</w:t>
      </w:r>
    </w:p>
    <w:p w14:paraId="0F51D4AE" w14:textId="078D3636" w:rsidR="00237996" w:rsidRDefault="00CC6A4C" w:rsidP="00237996">
      <w:pPr>
        <w:spacing w:before="0" w:after="0"/>
        <w:rPr>
          <w:i/>
        </w:rPr>
      </w:pPr>
      <w:r>
        <w:rPr>
          <w:i/>
        </w:rPr>
        <w:br/>
      </w:r>
      <w:r w:rsidR="00237996" w:rsidRPr="0016436C">
        <w:rPr>
          <w:i/>
        </w:rPr>
        <w:t>Body corporate</w:t>
      </w:r>
    </w:p>
    <w:p w14:paraId="4F657502" w14:textId="77777777" w:rsidR="00697681" w:rsidRPr="0016436C" w:rsidRDefault="00697681" w:rsidP="00237996">
      <w:pPr>
        <w:spacing w:before="0" w:after="0"/>
        <w:rPr>
          <w:i/>
        </w:rPr>
      </w:pPr>
    </w:p>
    <w:p w14:paraId="5158E390" w14:textId="5ACCD975" w:rsidR="00237996" w:rsidRDefault="00237996" w:rsidP="00237996">
      <w:pPr>
        <w:spacing w:before="0" w:after="0"/>
      </w:pPr>
      <w:r>
        <w:t xml:space="preserve">Item 11 defines </w:t>
      </w:r>
      <w:r w:rsidR="00697681">
        <w:t>‘</w:t>
      </w:r>
      <w:r w:rsidRPr="00294DA6">
        <w:rPr>
          <w:bCs/>
          <w:iCs/>
        </w:rPr>
        <w:t>body corporate</w:t>
      </w:r>
      <w:r w:rsidR="00697681">
        <w:rPr>
          <w:bCs/>
          <w:iCs/>
        </w:rPr>
        <w:t>’</w:t>
      </w:r>
      <w:r>
        <w:t xml:space="preserve"> as the entity referred to in </w:t>
      </w:r>
      <w:r w:rsidR="00697681">
        <w:t>subregulation 4</w:t>
      </w:r>
      <w:proofErr w:type="gramStart"/>
      <w:r w:rsidR="00697681">
        <w:t>A(</w:t>
      </w:r>
      <w:proofErr w:type="gramEnd"/>
      <w:r w:rsidR="00697681">
        <w:t xml:space="preserve">2), (3) or (4) of </w:t>
      </w:r>
      <w:r>
        <w:t>the definition of strata or community title development</w:t>
      </w:r>
      <w:r w:rsidR="00697681">
        <w:t xml:space="preserve"> (as the case requires)</w:t>
      </w:r>
      <w:r>
        <w:t xml:space="preserve">. </w:t>
      </w:r>
    </w:p>
    <w:p w14:paraId="3DE4D87C" w14:textId="77777777" w:rsidR="00237996" w:rsidRPr="00237996" w:rsidRDefault="00237996" w:rsidP="00A571C4">
      <w:pPr>
        <w:pStyle w:val="Bullet"/>
        <w:numPr>
          <w:ilvl w:val="0"/>
          <w:numId w:val="0"/>
        </w:numPr>
        <w:spacing w:before="0" w:after="0"/>
        <w:ind w:left="567" w:hanging="567"/>
        <w:rPr>
          <w:iCs/>
        </w:rPr>
      </w:pPr>
    </w:p>
    <w:p w14:paraId="6A8B10D4" w14:textId="6C1FE832" w:rsidR="001F2DB7" w:rsidRDefault="001F2DB7" w:rsidP="00A571C4">
      <w:pPr>
        <w:pStyle w:val="Bullet"/>
        <w:numPr>
          <w:ilvl w:val="0"/>
          <w:numId w:val="0"/>
        </w:numPr>
        <w:spacing w:before="0" w:after="0"/>
        <w:ind w:left="567" w:hanging="567"/>
        <w:rPr>
          <w:i/>
        </w:rPr>
      </w:pPr>
      <w:r w:rsidRPr="00A571C4">
        <w:rPr>
          <w:i/>
        </w:rPr>
        <w:t xml:space="preserve">Unit </w:t>
      </w:r>
    </w:p>
    <w:p w14:paraId="1F1BC625" w14:textId="77777777" w:rsidR="00697681" w:rsidRPr="00A571C4" w:rsidRDefault="00697681" w:rsidP="00A571C4">
      <w:pPr>
        <w:pStyle w:val="Bullet"/>
        <w:numPr>
          <w:ilvl w:val="0"/>
          <w:numId w:val="0"/>
        </w:numPr>
        <w:spacing w:before="0" w:after="0"/>
        <w:ind w:left="567" w:hanging="567"/>
        <w:rPr>
          <w:i/>
        </w:rPr>
      </w:pPr>
    </w:p>
    <w:p w14:paraId="19C92786" w14:textId="64FD7F89" w:rsidR="001F2DB7" w:rsidRPr="001F2DB7" w:rsidRDefault="00F820AA" w:rsidP="00C34C80">
      <w:pPr>
        <w:spacing w:before="0" w:after="0"/>
      </w:pPr>
      <w:r>
        <w:t xml:space="preserve">Item </w:t>
      </w:r>
      <w:r w:rsidR="00736604">
        <w:t xml:space="preserve">11 </w:t>
      </w:r>
      <w:r>
        <w:t xml:space="preserve">defines </w:t>
      </w:r>
      <w:r w:rsidR="00697681">
        <w:t>‘</w:t>
      </w:r>
      <w:r w:rsidRPr="00294DA6">
        <w:rPr>
          <w:bCs/>
          <w:iCs/>
        </w:rPr>
        <w:t>unit</w:t>
      </w:r>
      <w:r w:rsidR="00697681">
        <w:rPr>
          <w:bCs/>
          <w:iCs/>
        </w:rPr>
        <w:t>’</w:t>
      </w:r>
      <w:r>
        <w:t xml:space="preserve"> in relation to strata </w:t>
      </w:r>
      <w:r w:rsidR="00C25EB5">
        <w:t>or</w:t>
      </w:r>
      <w:r>
        <w:t xml:space="preserve"> community title developments</w:t>
      </w:r>
      <w:r w:rsidR="0019056C">
        <w:t xml:space="preserve">, which </w:t>
      </w:r>
      <w:r w:rsidR="00AD0CBA">
        <w:t>may be in the form of subdivided portions of land or parts of a building</w:t>
      </w:r>
      <w:r w:rsidR="00611EE5">
        <w:t xml:space="preserve">, or </w:t>
      </w:r>
      <w:r w:rsidR="00611EE5" w:rsidRPr="00611EE5">
        <w:t>land that may be occupied or used by a holder of shares in the body corporate</w:t>
      </w:r>
      <w:r w:rsidR="00F13387">
        <w:t xml:space="preserve"> or </w:t>
      </w:r>
      <w:r w:rsidR="0041036E">
        <w:t>a particular</w:t>
      </w:r>
      <w:r w:rsidR="00F13387">
        <w:t xml:space="preserve"> interest in the </w:t>
      </w:r>
      <w:r w:rsidR="0041036E">
        <w:t>trust (as</w:t>
      </w:r>
      <w:r w:rsidR="00F13387">
        <w:t xml:space="preserve"> relevant</w:t>
      </w:r>
      <w:r w:rsidR="0041036E">
        <w:t>)</w:t>
      </w:r>
      <w:r w:rsidR="00F06DD6">
        <w:t>.</w:t>
      </w:r>
    </w:p>
    <w:p w14:paraId="202D82E8" w14:textId="0D03C923" w:rsidR="00B427FF" w:rsidRDefault="00B427FF" w:rsidP="00C34C80">
      <w:pPr>
        <w:spacing w:before="0" w:after="0"/>
      </w:pPr>
    </w:p>
    <w:p w14:paraId="310FE6FF" w14:textId="4858AC6F" w:rsidR="00D90490" w:rsidRDefault="00D90490" w:rsidP="00C34C80">
      <w:pPr>
        <w:spacing w:before="0" w:after="0"/>
        <w:rPr>
          <w:i/>
        </w:rPr>
      </w:pPr>
      <w:r w:rsidRPr="0016436C">
        <w:rPr>
          <w:i/>
        </w:rPr>
        <w:t>Contents</w:t>
      </w:r>
    </w:p>
    <w:p w14:paraId="0CDBED01" w14:textId="77777777" w:rsidR="00697681" w:rsidRPr="0016436C" w:rsidRDefault="00697681" w:rsidP="00C34C80">
      <w:pPr>
        <w:spacing w:before="0" w:after="0"/>
        <w:rPr>
          <w:i/>
        </w:rPr>
      </w:pPr>
    </w:p>
    <w:p w14:paraId="061DCF0E" w14:textId="6C42C2AC" w:rsidR="00816150" w:rsidRDefault="00D90490" w:rsidP="00D90490">
      <w:pPr>
        <w:spacing w:before="0" w:after="0"/>
      </w:pPr>
      <w:r>
        <w:t xml:space="preserve">Items </w:t>
      </w:r>
      <w:r w:rsidR="00736604">
        <w:t xml:space="preserve">12 </w:t>
      </w:r>
      <w:r>
        <w:t xml:space="preserve">and </w:t>
      </w:r>
      <w:r w:rsidR="00736604">
        <w:t xml:space="preserve">13 </w:t>
      </w:r>
      <w:r w:rsidR="00C60EBD">
        <w:t xml:space="preserve">create new subregulations </w:t>
      </w:r>
      <w:r w:rsidR="0016579B">
        <w:t>5(1) and (2)</w:t>
      </w:r>
      <w:r w:rsidR="00C60EBD">
        <w:t xml:space="preserve"> to </w:t>
      </w:r>
      <w:r>
        <w:t xml:space="preserve">define </w:t>
      </w:r>
      <w:r w:rsidR="00697681">
        <w:t>‘</w:t>
      </w:r>
      <w:r w:rsidRPr="00294DA6">
        <w:rPr>
          <w:bCs/>
          <w:iCs/>
        </w:rPr>
        <w:t>contents</w:t>
      </w:r>
      <w:r w:rsidR="00697681">
        <w:rPr>
          <w:bCs/>
          <w:iCs/>
        </w:rPr>
        <w:t>’</w:t>
      </w:r>
      <w:r>
        <w:t xml:space="preserve"> for the purposes of Schedule 1 </w:t>
      </w:r>
      <w:r w:rsidR="00082D8B">
        <w:t>to</w:t>
      </w:r>
      <w:r>
        <w:t xml:space="preserve"> the TI Regulations. Schedule 1 </w:t>
      </w:r>
      <w:r w:rsidR="008D2C33">
        <w:t xml:space="preserve">of the TI Regulations </w:t>
      </w:r>
      <w:r>
        <w:t xml:space="preserve">sets out contracts </w:t>
      </w:r>
      <w:r w:rsidR="00816150">
        <w:t>that</w:t>
      </w:r>
      <w:r>
        <w:t xml:space="preserve"> are not eligible insurance contracts for the purposes of the terrorism reinsurance scheme</w:t>
      </w:r>
      <w:r w:rsidR="00082D8B">
        <w:t xml:space="preserve"> (see subsection 7(2) of the Act)</w:t>
      </w:r>
      <w:r>
        <w:t xml:space="preserve">. </w:t>
      </w:r>
      <w:r w:rsidR="00420D95">
        <w:t xml:space="preserve">The definition of </w:t>
      </w:r>
      <w:r w:rsidR="00C24027">
        <w:t>‘</w:t>
      </w:r>
      <w:r w:rsidR="00420D95">
        <w:t>contents</w:t>
      </w:r>
      <w:r w:rsidR="00C24027">
        <w:t>’</w:t>
      </w:r>
      <w:r w:rsidR="00420D95">
        <w:t xml:space="preserve"> for the terrorism </w:t>
      </w:r>
      <w:r w:rsidR="00E83F79">
        <w:t>re</w:t>
      </w:r>
      <w:r w:rsidR="00420D95">
        <w:t xml:space="preserve">insurance scheme has not been altered from </w:t>
      </w:r>
      <w:r w:rsidR="00A23934">
        <w:t>its</w:t>
      </w:r>
      <w:r w:rsidR="00420D95">
        <w:t xml:space="preserve"> previous definition at regulation 3</w:t>
      </w:r>
      <w:r w:rsidR="00144C4E">
        <w:t>.</w:t>
      </w:r>
      <w:r w:rsidR="00127E9C">
        <w:t xml:space="preserve"> </w:t>
      </w:r>
      <w:r w:rsidR="00144C4E">
        <w:t>I</w:t>
      </w:r>
      <w:r w:rsidR="00127E9C">
        <w:t>nstead</w:t>
      </w:r>
      <w:r w:rsidR="00A23934">
        <w:t xml:space="preserve">, </w:t>
      </w:r>
      <w:r w:rsidR="00127E9C">
        <w:t xml:space="preserve">it has been moved to </w:t>
      </w:r>
      <w:r w:rsidR="00A23934">
        <w:t xml:space="preserve">a different section of the TI Regulations. </w:t>
      </w:r>
    </w:p>
    <w:p w14:paraId="5F6A26FD" w14:textId="77777777" w:rsidR="00816150" w:rsidRDefault="00816150" w:rsidP="00D90490">
      <w:pPr>
        <w:spacing w:before="0" w:after="0"/>
      </w:pPr>
    </w:p>
    <w:p w14:paraId="49ADCF61" w14:textId="4E9D994F" w:rsidR="00D90490" w:rsidRDefault="00D90490" w:rsidP="00D90490">
      <w:pPr>
        <w:spacing w:before="0" w:after="0"/>
      </w:pPr>
      <w:r>
        <w:t xml:space="preserve">The definition of </w:t>
      </w:r>
      <w:r w:rsidR="00C60EBD">
        <w:t>‘</w:t>
      </w:r>
      <w:r>
        <w:t>contents</w:t>
      </w:r>
      <w:r w:rsidR="00C60EBD">
        <w:t>’</w:t>
      </w:r>
      <w:r>
        <w:t xml:space="preserve"> in </w:t>
      </w:r>
      <w:r w:rsidR="00527FBB">
        <w:t xml:space="preserve">new subregulation 5(2) </w:t>
      </w:r>
      <w:r>
        <w:t xml:space="preserve">is distinct to the definition of </w:t>
      </w:r>
      <w:r w:rsidR="00816150">
        <w:t>‘</w:t>
      </w:r>
      <w:r>
        <w:t>contents</w:t>
      </w:r>
      <w:r w:rsidR="00816150">
        <w:t>’</w:t>
      </w:r>
      <w:r>
        <w:t xml:space="preserve"> prescribed in </w:t>
      </w:r>
      <w:r w:rsidR="0014703A">
        <w:t xml:space="preserve">new </w:t>
      </w:r>
      <w:r>
        <w:t>regulation 5B</w:t>
      </w:r>
      <w:r w:rsidR="00360D3B">
        <w:t>,</w:t>
      </w:r>
      <w:r>
        <w:t xml:space="preserve"> which </w:t>
      </w:r>
      <w:r w:rsidR="00513CEC">
        <w:t>applies</w:t>
      </w:r>
      <w:r w:rsidR="00885AA4">
        <w:t xml:space="preserve"> </w:t>
      </w:r>
      <w:r w:rsidR="00360D3B">
        <w:t xml:space="preserve">to contents </w:t>
      </w:r>
      <w:r>
        <w:t>in relation to the cyclone reinsurance scheme.</w:t>
      </w:r>
    </w:p>
    <w:p w14:paraId="25E7D39C" w14:textId="77777777" w:rsidR="00D90490" w:rsidRDefault="00D90490" w:rsidP="00C34C80">
      <w:pPr>
        <w:spacing w:before="0" w:after="0"/>
      </w:pPr>
    </w:p>
    <w:p w14:paraId="2EE0AA03" w14:textId="04690697" w:rsidR="00C34C80" w:rsidRDefault="00C34C80" w:rsidP="00C34C80">
      <w:pPr>
        <w:spacing w:before="0" w:after="0"/>
        <w:rPr>
          <w:u w:val="single"/>
        </w:rPr>
      </w:pPr>
      <w:r>
        <w:rPr>
          <w:u w:val="single"/>
        </w:rPr>
        <w:t xml:space="preserve">Item </w:t>
      </w:r>
      <w:r w:rsidR="001574B2">
        <w:rPr>
          <w:u w:val="single"/>
        </w:rPr>
        <w:t>14</w:t>
      </w:r>
    </w:p>
    <w:p w14:paraId="7BE70855" w14:textId="77777777" w:rsidR="00C34C80" w:rsidRDefault="00C34C80" w:rsidP="00C34C80">
      <w:pPr>
        <w:spacing w:before="0" w:after="0"/>
        <w:rPr>
          <w:u w:val="single"/>
        </w:rPr>
      </w:pPr>
    </w:p>
    <w:p w14:paraId="69379D83" w14:textId="77777777" w:rsidR="00C34C80" w:rsidRPr="00886607" w:rsidRDefault="00C34C80" w:rsidP="00C34C80">
      <w:pPr>
        <w:spacing w:before="0" w:after="0"/>
        <w:rPr>
          <w:b/>
          <w:bCs/>
        </w:rPr>
      </w:pPr>
      <w:r>
        <w:rPr>
          <w:b/>
          <w:bCs/>
        </w:rPr>
        <w:t>Threshold for mandatory participation</w:t>
      </w:r>
    </w:p>
    <w:p w14:paraId="15A29584" w14:textId="77777777" w:rsidR="00C34C80" w:rsidRDefault="00C34C80" w:rsidP="00C34C80">
      <w:pPr>
        <w:spacing w:before="0" w:after="0"/>
      </w:pPr>
    </w:p>
    <w:p w14:paraId="194EA426" w14:textId="2378CDD3" w:rsidR="00C34C80" w:rsidRDefault="00C34C80" w:rsidP="00C34C80">
      <w:pPr>
        <w:spacing w:before="0" w:after="0"/>
      </w:pPr>
      <w:r>
        <w:t xml:space="preserve">Item </w:t>
      </w:r>
      <w:r w:rsidR="000F5E4F">
        <w:t xml:space="preserve">14 </w:t>
      </w:r>
      <w:r w:rsidR="00355CEC">
        <w:t xml:space="preserve">inserts new </w:t>
      </w:r>
      <w:r w:rsidR="003B2D28">
        <w:t>sub</w:t>
      </w:r>
      <w:r w:rsidR="00355CEC">
        <w:t>regulation 5</w:t>
      </w:r>
      <w:proofErr w:type="gramStart"/>
      <w:r w:rsidR="00355CEC">
        <w:t>A</w:t>
      </w:r>
      <w:r w:rsidR="003B2D28">
        <w:t>(</w:t>
      </w:r>
      <w:proofErr w:type="gramEnd"/>
      <w:r w:rsidR="003B2D28">
        <w:t>1)</w:t>
      </w:r>
      <w:r w:rsidR="00355CEC">
        <w:t>, which</w:t>
      </w:r>
      <w:r>
        <w:t xml:space="preserve"> prescribes $10 million as the threshold for gross written premiums payable for the previous financial year</w:t>
      </w:r>
      <w:r w:rsidR="001312FF">
        <w:t xml:space="preserve"> ending before </w:t>
      </w:r>
      <w:r w:rsidR="008C4CBE">
        <w:t>the</w:t>
      </w:r>
      <w:r w:rsidR="001312FF">
        <w:t xml:space="preserve"> current calendar year</w:t>
      </w:r>
      <w:r>
        <w:t xml:space="preserve"> (for policies with eligible cyclone risks) for the purposes of determining mandatory participation under </w:t>
      </w:r>
      <w:r w:rsidR="00AE6457">
        <w:t>sub</w:t>
      </w:r>
      <w:r>
        <w:t>section 8A</w:t>
      </w:r>
      <w:r w:rsidR="00AE6457">
        <w:t>(5)</w:t>
      </w:r>
      <w:r>
        <w:t xml:space="preserve"> of the Act. Subject to the application provisions, if a</w:t>
      </w:r>
      <w:r w:rsidR="00431D7D">
        <w:t xml:space="preserve"> general</w:t>
      </w:r>
      <w:r>
        <w:t xml:space="preserve"> insurer exceeds </w:t>
      </w:r>
      <w:r w:rsidR="00A66528">
        <w:t>the $10 milli</w:t>
      </w:r>
      <w:r w:rsidR="00C43B0D">
        <w:t>on</w:t>
      </w:r>
      <w:r w:rsidR="00A66528">
        <w:t xml:space="preserve"> </w:t>
      </w:r>
      <w:r>
        <w:t xml:space="preserve">threshold, </w:t>
      </w:r>
      <w:r w:rsidR="00817F03">
        <w:t xml:space="preserve">the </w:t>
      </w:r>
      <w:r w:rsidR="002F33B4">
        <w:t xml:space="preserve">general </w:t>
      </w:r>
      <w:r w:rsidR="00817F03">
        <w:t>insurer is</w:t>
      </w:r>
      <w:r>
        <w:t xml:space="preserve"> required to participate in the cyclone reinsurance scheme for the </w:t>
      </w:r>
      <w:r w:rsidR="001312FF">
        <w:t xml:space="preserve">current </w:t>
      </w:r>
      <w:r>
        <w:t xml:space="preserve">calendar year and therefore must reinsure all eligible cyclone </w:t>
      </w:r>
      <w:r w:rsidR="00A8160E">
        <w:t xml:space="preserve">risks </w:t>
      </w:r>
      <w:r>
        <w:t>with the ARPC. If a</w:t>
      </w:r>
      <w:r w:rsidR="00A40E6D">
        <w:t xml:space="preserve"> general</w:t>
      </w:r>
      <w:r>
        <w:t xml:space="preserve"> insurer is below this threshold, </w:t>
      </w:r>
      <w:r w:rsidR="00577D15">
        <w:t>the insurer</w:t>
      </w:r>
      <w:r w:rsidR="00817F03">
        <w:t xml:space="preserve"> is not required to participate but may choose to do so</w:t>
      </w:r>
      <w:r>
        <w:t xml:space="preserve">. </w:t>
      </w:r>
    </w:p>
    <w:p w14:paraId="2D33CE49" w14:textId="377D992B" w:rsidR="00FD4423" w:rsidRDefault="00FD4423" w:rsidP="00C34C80">
      <w:pPr>
        <w:spacing w:before="0" w:after="0"/>
      </w:pPr>
    </w:p>
    <w:p w14:paraId="0DD34405" w14:textId="4D959DD8" w:rsidR="00FC1ED3" w:rsidRPr="003C78B1" w:rsidRDefault="003B2D28" w:rsidP="00FC1ED3">
      <w:pPr>
        <w:spacing w:before="0" w:after="0"/>
        <w:rPr>
          <w:iCs/>
        </w:rPr>
      </w:pPr>
      <w:r w:rsidRPr="005E48CE">
        <w:t xml:space="preserve">Item </w:t>
      </w:r>
      <w:r w:rsidR="000F5E4F" w:rsidRPr="005E48CE">
        <w:t xml:space="preserve">14 </w:t>
      </w:r>
      <w:r w:rsidRPr="005E48CE">
        <w:t>inserts new subregulation 5</w:t>
      </w:r>
      <w:proofErr w:type="gramStart"/>
      <w:r w:rsidRPr="005E48CE">
        <w:t>A(</w:t>
      </w:r>
      <w:proofErr w:type="gramEnd"/>
      <w:r w:rsidRPr="005E48CE">
        <w:t xml:space="preserve">2), which prescribes the reporting standard for the purposes of subsection 8A(6) of the Act. The prescribed reporting standard is the one set out in Schedule 1 to the </w:t>
      </w:r>
      <w:r w:rsidRPr="005E48CE">
        <w:rPr>
          <w:i/>
        </w:rPr>
        <w:t xml:space="preserve">Financial Sector (Collection of Data) (reporting </w:t>
      </w:r>
      <w:r w:rsidRPr="005E48CE">
        <w:rPr>
          <w:i/>
        </w:rPr>
        <w:lastRenderedPageBreak/>
        <w:t xml:space="preserve">standard) </w:t>
      </w:r>
      <w:r w:rsidR="009B73F8" w:rsidRPr="005E48CE">
        <w:rPr>
          <w:i/>
        </w:rPr>
        <w:t xml:space="preserve">Determination </w:t>
      </w:r>
      <w:r w:rsidRPr="005E48CE">
        <w:rPr>
          <w:i/>
        </w:rPr>
        <w:t>No. 18 of 2013</w:t>
      </w:r>
      <w:r w:rsidR="00496840" w:rsidRPr="005E48CE">
        <w:rPr>
          <w:i/>
        </w:rPr>
        <w:t xml:space="preserve"> </w:t>
      </w:r>
      <w:r w:rsidR="00496840" w:rsidRPr="005E48CE">
        <w:rPr>
          <w:iCs/>
        </w:rPr>
        <w:t>as in force on</w:t>
      </w:r>
      <w:r w:rsidR="00D9688E" w:rsidRPr="005E48CE">
        <w:rPr>
          <w:iCs/>
        </w:rPr>
        <w:t xml:space="preserve"> 12 February 2013</w:t>
      </w:r>
      <w:r w:rsidR="004C52A5" w:rsidRPr="005E48CE">
        <w:rPr>
          <w:i/>
        </w:rPr>
        <w:t>.</w:t>
      </w:r>
      <w:r w:rsidR="003C78B1" w:rsidRPr="005E48CE">
        <w:t xml:space="preserve"> </w:t>
      </w:r>
      <w:r w:rsidR="00FC1ED3" w:rsidRPr="005E48CE">
        <w:rPr>
          <w:iCs/>
        </w:rPr>
        <w:t xml:space="preserve">This </w:t>
      </w:r>
      <w:r w:rsidR="00025866">
        <w:rPr>
          <w:iCs/>
        </w:rPr>
        <w:t>legislative instrument</w:t>
      </w:r>
      <w:r w:rsidR="00981369">
        <w:rPr>
          <w:iCs/>
        </w:rPr>
        <w:t xml:space="preserve">, </w:t>
      </w:r>
      <w:r w:rsidR="00DE33C5">
        <w:rPr>
          <w:iCs/>
        </w:rPr>
        <w:t xml:space="preserve">made under the </w:t>
      </w:r>
      <w:r w:rsidR="00DE33C5">
        <w:rPr>
          <w:i/>
        </w:rPr>
        <w:t>Financial Sector (Collection of Data) Act</w:t>
      </w:r>
      <w:r w:rsidR="00B42A01">
        <w:rPr>
          <w:i/>
        </w:rPr>
        <w:t> </w:t>
      </w:r>
      <w:r w:rsidR="00DE33C5">
        <w:rPr>
          <w:i/>
        </w:rPr>
        <w:t>2001</w:t>
      </w:r>
      <w:r w:rsidR="00981369">
        <w:rPr>
          <w:i/>
        </w:rPr>
        <w:t xml:space="preserve">, </w:t>
      </w:r>
      <w:r w:rsidR="00FC1ED3" w:rsidRPr="005E48CE">
        <w:rPr>
          <w:iCs/>
        </w:rPr>
        <w:t xml:space="preserve">sets out requirements for the provision of information to the Australian Prudential Regulation Authority (APRA) relating to a general insurer's premium revenue and reinsurance expenses. The determination </w:t>
      </w:r>
      <w:r w:rsidR="00863FD3" w:rsidRPr="005E48CE">
        <w:rPr>
          <w:iCs/>
        </w:rPr>
        <w:t xml:space="preserve">has applied to </w:t>
      </w:r>
      <w:r w:rsidR="00863FD3" w:rsidRPr="00190976">
        <w:rPr>
          <w:iCs/>
        </w:rPr>
        <w:t xml:space="preserve">all </w:t>
      </w:r>
      <w:r w:rsidR="00863FD3" w:rsidRPr="00025866">
        <w:rPr>
          <w:iCs/>
        </w:rPr>
        <w:t>general insurers since 1 January 2013</w:t>
      </w:r>
      <w:r w:rsidR="00863FD3">
        <w:rPr>
          <w:iCs/>
        </w:rPr>
        <w:t xml:space="preserve"> and </w:t>
      </w:r>
      <w:r w:rsidR="00FC1ED3" w:rsidRPr="005E48CE">
        <w:rPr>
          <w:iCs/>
        </w:rPr>
        <w:t>is publicly available on the Federal Register of Legislation</w:t>
      </w:r>
      <w:r w:rsidR="00FC1ED3" w:rsidRPr="003E7A08">
        <w:rPr>
          <w:iCs/>
        </w:rPr>
        <w:t xml:space="preserve">. The reference </w:t>
      </w:r>
      <w:r w:rsidR="00B96217" w:rsidRPr="003E7A08">
        <w:rPr>
          <w:iCs/>
        </w:rPr>
        <w:t xml:space="preserve">to </w:t>
      </w:r>
      <w:r w:rsidR="00FC1ED3" w:rsidRPr="003E7A08">
        <w:rPr>
          <w:iCs/>
        </w:rPr>
        <w:t>the current APRA reporting standard</w:t>
      </w:r>
      <w:r w:rsidR="00825AB7" w:rsidRPr="00C919BE">
        <w:rPr>
          <w:iCs/>
        </w:rPr>
        <w:t>,</w:t>
      </w:r>
      <w:r w:rsidR="00FC1ED3" w:rsidRPr="00C919BE">
        <w:rPr>
          <w:iCs/>
        </w:rPr>
        <w:t xml:space="preserve"> </w:t>
      </w:r>
      <w:r w:rsidR="00FC1ED3" w:rsidRPr="00DE33C5">
        <w:rPr>
          <w:iCs/>
        </w:rPr>
        <w:t>permitted under section 14 of the Legislation Act</w:t>
      </w:r>
      <w:r w:rsidR="00825AB7" w:rsidRPr="00DE33C5">
        <w:rPr>
          <w:iCs/>
        </w:rPr>
        <w:t>,</w:t>
      </w:r>
      <w:r w:rsidR="00FC1ED3" w:rsidRPr="00DE33C5">
        <w:rPr>
          <w:i/>
        </w:rPr>
        <w:t xml:space="preserve"> </w:t>
      </w:r>
      <w:r w:rsidR="00B96217" w:rsidRPr="00DE33C5">
        <w:rPr>
          <w:iCs/>
        </w:rPr>
        <w:t>is</w:t>
      </w:r>
      <w:r w:rsidR="00FC1ED3" w:rsidRPr="00DE33C5">
        <w:rPr>
          <w:iCs/>
        </w:rPr>
        <w:t xml:space="preserve"> essential to precisely describe the threshold for </w:t>
      </w:r>
      <w:r w:rsidR="00FC1ED3" w:rsidRPr="00981369">
        <w:rPr>
          <w:iCs/>
        </w:rPr>
        <w:t xml:space="preserve">total gross written premiums and </w:t>
      </w:r>
      <w:r w:rsidR="008E2A62" w:rsidRPr="00FB4E37">
        <w:rPr>
          <w:iCs/>
        </w:rPr>
        <w:t xml:space="preserve">to </w:t>
      </w:r>
      <w:r w:rsidR="00FC1ED3" w:rsidRPr="00FB4E37">
        <w:rPr>
          <w:iCs/>
        </w:rPr>
        <w:t xml:space="preserve">align </w:t>
      </w:r>
      <w:r w:rsidR="00FC1ED3" w:rsidRPr="005E48CE">
        <w:rPr>
          <w:iCs/>
        </w:rPr>
        <w:t>with existing industry standards.</w:t>
      </w:r>
      <w:r w:rsidR="00FC1ED3" w:rsidRPr="003C78B1">
        <w:rPr>
          <w:iCs/>
        </w:rPr>
        <w:t xml:space="preserve"> </w:t>
      </w:r>
    </w:p>
    <w:p w14:paraId="7EC732FB" w14:textId="77777777" w:rsidR="00E4360C" w:rsidRDefault="00E4360C" w:rsidP="00C34C80">
      <w:pPr>
        <w:spacing w:before="0" w:after="0"/>
        <w:rPr>
          <w:b/>
          <w:bCs/>
        </w:rPr>
      </w:pPr>
    </w:p>
    <w:p w14:paraId="6869C782" w14:textId="3AFC5EA2" w:rsidR="00FD4423" w:rsidRDefault="00FD4423" w:rsidP="00C34C80">
      <w:pPr>
        <w:spacing w:before="0" w:after="0"/>
        <w:rPr>
          <w:b/>
          <w:bCs/>
        </w:rPr>
      </w:pPr>
      <w:r w:rsidRPr="00FA69F3">
        <w:rPr>
          <w:b/>
          <w:bCs/>
        </w:rPr>
        <w:t>Pool insurance contract</w:t>
      </w:r>
      <w:r>
        <w:rPr>
          <w:b/>
          <w:bCs/>
          <w:i/>
          <w:iCs/>
        </w:rPr>
        <w:t xml:space="preserve"> </w:t>
      </w:r>
      <w:r>
        <w:rPr>
          <w:b/>
          <w:bCs/>
        </w:rPr>
        <w:t xml:space="preserve">definitions </w:t>
      </w:r>
    </w:p>
    <w:p w14:paraId="61EAFEFA" w14:textId="0F449743" w:rsidR="00FD4423" w:rsidRDefault="00FD4423" w:rsidP="00C34C80">
      <w:pPr>
        <w:spacing w:before="0" w:after="0"/>
        <w:rPr>
          <w:b/>
          <w:bCs/>
        </w:rPr>
      </w:pPr>
    </w:p>
    <w:p w14:paraId="556BA208" w14:textId="0EC44905" w:rsidR="00FD4423" w:rsidRPr="0016436C" w:rsidRDefault="005A28BA" w:rsidP="00C34C80">
      <w:pPr>
        <w:spacing w:before="0" w:after="0"/>
        <w:rPr>
          <w:i/>
        </w:rPr>
      </w:pPr>
      <w:r w:rsidRPr="0016436C">
        <w:rPr>
          <w:i/>
        </w:rPr>
        <w:t>H</w:t>
      </w:r>
      <w:r w:rsidR="00FD4423" w:rsidRPr="0016436C">
        <w:rPr>
          <w:i/>
        </w:rPr>
        <w:t>ome building</w:t>
      </w:r>
      <w:r w:rsidR="007C60C4">
        <w:rPr>
          <w:i/>
        </w:rPr>
        <w:t xml:space="preserve">, </w:t>
      </w:r>
      <w:r w:rsidR="00FD4423" w:rsidRPr="0016436C">
        <w:rPr>
          <w:i/>
        </w:rPr>
        <w:t>building</w:t>
      </w:r>
      <w:r w:rsidRPr="0016436C">
        <w:rPr>
          <w:i/>
        </w:rPr>
        <w:t xml:space="preserve"> and contents</w:t>
      </w:r>
    </w:p>
    <w:p w14:paraId="1208DB28" w14:textId="7C3FE1D5" w:rsidR="00D679A1" w:rsidRDefault="001B0771" w:rsidP="00D679A1">
      <w:pPr>
        <w:spacing w:after="0"/>
      </w:pPr>
      <w:r>
        <w:t xml:space="preserve">Item </w:t>
      </w:r>
      <w:r w:rsidR="000F5E4F">
        <w:t xml:space="preserve">14 </w:t>
      </w:r>
      <w:r w:rsidR="00BF7D2E">
        <w:t xml:space="preserve">also </w:t>
      </w:r>
      <w:r w:rsidR="00CD151D">
        <w:t>inserts new regulation 5B which creates definitions to assist in determining whether a particular contract of insurance is a pool insurance contract</w:t>
      </w:r>
      <w:r w:rsidR="00C07542">
        <w:t xml:space="preserve"> </w:t>
      </w:r>
      <w:r w:rsidR="00903B7F">
        <w:t>for the purposes</w:t>
      </w:r>
      <w:r w:rsidR="00C07542">
        <w:t xml:space="preserve"> of </w:t>
      </w:r>
      <w:r w:rsidR="00E55B09">
        <w:t>sub</w:t>
      </w:r>
      <w:r w:rsidR="00C07542">
        <w:t>section 8</w:t>
      </w:r>
      <w:proofErr w:type="gramStart"/>
      <w:r w:rsidR="00C07542">
        <w:t>B</w:t>
      </w:r>
      <w:r w:rsidR="00E55B09">
        <w:t>(</w:t>
      </w:r>
      <w:proofErr w:type="gramEnd"/>
      <w:r w:rsidR="00E55B09">
        <w:t>1)</w:t>
      </w:r>
      <w:r w:rsidR="00C07542">
        <w:t xml:space="preserve"> of the Act</w:t>
      </w:r>
      <w:r w:rsidR="00CD151D">
        <w:t>.</w:t>
      </w:r>
      <w:r>
        <w:t xml:space="preserve"> </w:t>
      </w:r>
      <w:r w:rsidR="00D679A1">
        <w:t>A pool insurance contract is a contract of insurance that is eligible for reinsurance under the cyclone reinsurance scheme, where the contract provides cover:</w:t>
      </w:r>
    </w:p>
    <w:p w14:paraId="78CC5AB4" w14:textId="77777777" w:rsidR="00D679A1" w:rsidRDefault="00D679A1" w:rsidP="00D679A1">
      <w:pPr>
        <w:pStyle w:val="Bullet"/>
      </w:pPr>
      <w:r>
        <w:t xml:space="preserve">for loss of or damage to eligible </w:t>
      </w:r>
      <w:proofErr w:type="gramStart"/>
      <w:r>
        <w:t>property;</w:t>
      </w:r>
      <w:proofErr w:type="gramEnd"/>
      <w:r>
        <w:t xml:space="preserve"> </w:t>
      </w:r>
    </w:p>
    <w:p w14:paraId="52C0AF0A" w14:textId="77777777" w:rsidR="00D679A1" w:rsidRDefault="00D679A1" w:rsidP="00D679A1">
      <w:pPr>
        <w:pStyle w:val="Bullet"/>
      </w:pPr>
      <w:r>
        <w:t xml:space="preserve">for associated business interruption and consequential loss; or </w:t>
      </w:r>
    </w:p>
    <w:p w14:paraId="2D9245C7" w14:textId="39C798EC" w:rsidR="001F2B7A" w:rsidRDefault="00D679A1" w:rsidP="0046594C">
      <w:pPr>
        <w:pStyle w:val="Bullet"/>
      </w:pPr>
      <w:r>
        <w:t xml:space="preserve">in respect of a home building, contents, or building as defined in regulation 5B. </w:t>
      </w:r>
    </w:p>
    <w:p w14:paraId="0D42C5C7" w14:textId="77777777" w:rsidR="001F2B7A" w:rsidRDefault="001F2B7A" w:rsidP="00C34C80">
      <w:pPr>
        <w:spacing w:before="0" w:after="0"/>
      </w:pPr>
    </w:p>
    <w:p w14:paraId="6D5C062C" w14:textId="13EE404F" w:rsidR="001B0771" w:rsidRDefault="000A6F8F" w:rsidP="00C34C80">
      <w:pPr>
        <w:spacing w:before="0" w:after="0"/>
      </w:pPr>
      <w:r>
        <w:t>R</w:t>
      </w:r>
      <w:r w:rsidR="0087787E">
        <w:t xml:space="preserve">egulation </w:t>
      </w:r>
      <w:r w:rsidR="00CD151D">
        <w:t xml:space="preserve">5B </w:t>
      </w:r>
      <w:r w:rsidR="000724CB">
        <w:t xml:space="preserve">sets out </w:t>
      </w:r>
      <w:r w:rsidR="00274925">
        <w:t>definitions for</w:t>
      </w:r>
      <w:r w:rsidR="001B0771">
        <w:t xml:space="preserve"> </w:t>
      </w:r>
      <w:r w:rsidR="00BF7D2E">
        <w:t>‘</w:t>
      </w:r>
      <w:r w:rsidR="001B0771" w:rsidRPr="0072104A">
        <w:t>home building</w:t>
      </w:r>
      <w:r w:rsidR="00BF7D2E">
        <w:t>’</w:t>
      </w:r>
      <w:r w:rsidR="001B0771" w:rsidRPr="0072104A">
        <w:t xml:space="preserve">, </w:t>
      </w:r>
      <w:r w:rsidR="00BF7D2E">
        <w:t>‘</w:t>
      </w:r>
      <w:r w:rsidR="001B0771" w:rsidRPr="0072104A">
        <w:t>building</w:t>
      </w:r>
      <w:r w:rsidR="00BF7D2E">
        <w:t>’</w:t>
      </w:r>
      <w:r w:rsidR="001B0771" w:rsidRPr="0072104A">
        <w:t xml:space="preserve"> </w:t>
      </w:r>
      <w:r w:rsidR="001B0771" w:rsidRPr="00BF7D2E">
        <w:t xml:space="preserve">and </w:t>
      </w:r>
      <w:r w:rsidR="00BF7D2E">
        <w:t>‘</w:t>
      </w:r>
      <w:r w:rsidR="001B0771" w:rsidRPr="0072104A">
        <w:t>contents</w:t>
      </w:r>
      <w:r w:rsidR="00BF7D2E">
        <w:t>’</w:t>
      </w:r>
      <w:r w:rsidR="001B0771">
        <w:rPr>
          <w:b/>
          <w:bCs/>
          <w:i/>
          <w:iCs/>
        </w:rPr>
        <w:t xml:space="preserve"> </w:t>
      </w:r>
      <w:r w:rsidR="001B0771">
        <w:t xml:space="preserve">for </w:t>
      </w:r>
      <w:r w:rsidR="001910E1">
        <w:t>each paragraph of</w:t>
      </w:r>
      <w:r w:rsidR="001B0771">
        <w:t xml:space="preserve"> </w:t>
      </w:r>
      <w:r w:rsidR="006C24BA">
        <w:t>sub</w:t>
      </w:r>
      <w:r w:rsidR="00C24EAC">
        <w:t>section</w:t>
      </w:r>
      <w:r w:rsidR="001B0771">
        <w:t xml:space="preserve"> 8</w:t>
      </w:r>
      <w:proofErr w:type="gramStart"/>
      <w:r w:rsidR="001B0771">
        <w:t>B(</w:t>
      </w:r>
      <w:proofErr w:type="gramEnd"/>
      <w:r w:rsidR="001B0771">
        <w:t>3</w:t>
      </w:r>
      <w:r w:rsidR="006C24BA">
        <w:t>)</w:t>
      </w:r>
      <w:r w:rsidR="001B0771">
        <w:t xml:space="preserve"> of the Act</w:t>
      </w:r>
      <w:r w:rsidR="00BA100D">
        <w:t>:</w:t>
      </w:r>
      <w:r w:rsidR="007D07EF">
        <w:t xml:space="preserve"> </w:t>
      </w:r>
    </w:p>
    <w:p w14:paraId="40CE0135" w14:textId="1F9AD250" w:rsidR="004705D1" w:rsidRDefault="0089274E" w:rsidP="00BA100D">
      <w:pPr>
        <w:pStyle w:val="Bullet"/>
      </w:pPr>
      <w:r>
        <w:t xml:space="preserve">For the purposes of </w:t>
      </w:r>
      <w:r w:rsidR="00DD12F0">
        <w:t>p</w:t>
      </w:r>
      <w:r w:rsidR="00C24EAC">
        <w:t>aragraph 8B(3)(a) of the Act</w:t>
      </w:r>
      <w:r>
        <w:t>,</w:t>
      </w:r>
      <w:r w:rsidR="00C24EAC">
        <w:t xml:space="preserve"> </w:t>
      </w:r>
      <w:r w:rsidR="00A818C9">
        <w:t xml:space="preserve">the definition of </w:t>
      </w:r>
      <w:r w:rsidR="00BF7D2E" w:rsidRPr="00BF7D2E">
        <w:t>‘</w:t>
      </w:r>
      <w:r w:rsidR="00C24EAC" w:rsidRPr="0072104A">
        <w:t>h</w:t>
      </w:r>
      <w:r w:rsidR="00EE6250" w:rsidRPr="0072104A">
        <w:t>ome building</w:t>
      </w:r>
      <w:r w:rsidR="00BF7D2E" w:rsidRPr="0072104A">
        <w:t>’</w:t>
      </w:r>
      <w:r w:rsidR="00EE6250">
        <w:t xml:space="preserve"> </w:t>
      </w:r>
      <w:r>
        <w:t xml:space="preserve">under </w:t>
      </w:r>
      <w:proofErr w:type="spellStart"/>
      <w:r>
        <w:t>subregulations</w:t>
      </w:r>
      <w:proofErr w:type="spellEnd"/>
      <w:r>
        <w:t xml:space="preserve"> 5</w:t>
      </w:r>
      <w:proofErr w:type="gramStart"/>
      <w:r>
        <w:t>B(</w:t>
      </w:r>
      <w:proofErr w:type="gramEnd"/>
      <w:r>
        <w:t xml:space="preserve">1)-(3) </w:t>
      </w:r>
      <w:r w:rsidR="00A818C9">
        <w:t>covers</w:t>
      </w:r>
      <w:r w:rsidR="00D74569">
        <w:t>:</w:t>
      </w:r>
    </w:p>
    <w:p w14:paraId="1CFE1072" w14:textId="5037A96E" w:rsidR="004705D1" w:rsidRDefault="00EE6250" w:rsidP="004705D1">
      <w:pPr>
        <w:pStyle w:val="Dash"/>
      </w:pPr>
      <w:r>
        <w:t xml:space="preserve">residential </w:t>
      </w:r>
      <w:r w:rsidR="00F42891">
        <w:t>buildings</w:t>
      </w:r>
      <w:r>
        <w:t xml:space="preserve"> </w:t>
      </w:r>
      <w:r w:rsidR="00F42891">
        <w:t>(for example,</w:t>
      </w:r>
      <w:r>
        <w:t xml:space="preserve"> houses, duplexes and townhouses</w:t>
      </w:r>
      <w:r w:rsidR="00600D0C">
        <w:t>, including internal renovations if covered by the contract of insurance for the home building</w:t>
      </w:r>
      <w:r w:rsidR="00F42891">
        <w:t xml:space="preserve">) and any </w:t>
      </w:r>
      <w:r w:rsidR="00B56DB3">
        <w:t xml:space="preserve">related </w:t>
      </w:r>
      <w:r w:rsidR="00F42891">
        <w:t>out-building, fixture or structural improvements used for domestic purpose</w:t>
      </w:r>
      <w:r w:rsidR="00B56DB3">
        <w:t>s</w:t>
      </w:r>
      <w:r w:rsidR="004705D1">
        <w:t xml:space="preserve"> (for example, a </w:t>
      </w:r>
      <w:r w:rsidR="00474856">
        <w:t xml:space="preserve">garage, </w:t>
      </w:r>
      <w:r w:rsidR="004705D1">
        <w:t>deck</w:t>
      </w:r>
      <w:r w:rsidR="000C0B1B">
        <w:t xml:space="preserve"> or pergola</w:t>
      </w:r>
      <w:proofErr w:type="gramStart"/>
      <w:r w:rsidR="004705D1">
        <w:t>);</w:t>
      </w:r>
      <w:proofErr w:type="gramEnd"/>
    </w:p>
    <w:p w14:paraId="4A1D2981" w14:textId="06FD0EDF" w:rsidR="00BF4DC9" w:rsidRDefault="00EE6250" w:rsidP="004705D1">
      <w:pPr>
        <w:pStyle w:val="Dash"/>
      </w:pPr>
      <w:r>
        <w:t>moveable home</w:t>
      </w:r>
      <w:r w:rsidR="00C24A12">
        <w:t>s</w:t>
      </w:r>
      <w:r>
        <w:t xml:space="preserve"> that </w:t>
      </w:r>
      <w:r w:rsidR="00C24A12">
        <w:t>are</w:t>
      </w:r>
      <w:r>
        <w:t xml:space="preserve"> fixed to a site and used principally and primarily as a place of residence, such as caravan</w:t>
      </w:r>
      <w:r w:rsidR="00C24A12">
        <w:t>s</w:t>
      </w:r>
      <w:r w:rsidR="00AB6ABF">
        <w:t>,</w:t>
      </w:r>
      <w:r w:rsidR="005F0755">
        <w:t xml:space="preserve"> </w:t>
      </w:r>
      <w:r w:rsidR="00793939">
        <w:t xml:space="preserve">in </w:t>
      </w:r>
      <w:r w:rsidR="005F0755">
        <w:t xml:space="preserve">which the insured </w:t>
      </w:r>
      <w:r w:rsidR="00793939">
        <w:t xml:space="preserve">or another person </w:t>
      </w:r>
      <w:r w:rsidR="005F0755">
        <w:t>lives</w:t>
      </w:r>
      <w:r w:rsidR="00BF4DC9">
        <w:t>;</w:t>
      </w:r>
      <w:r w:rsidR="001D599A">
        <w:t xml:space="preserve"> and</w:t>
      </w:r>
    </w:p>
    <w:p w14:paraId="2608AD29" w14:textId="65CF0A6A" w:rsidR="004705D1" w:rsidRDefault="00BF4DC9" w:rsidP="004705D1">
      <w:pPr>
        <w:pStyle w:val="Dash"/>
      </w:pPr>
      <w:r w:rsidRPr="00BF4DC9">
        <w:t xml:space="preserve">any fixed wall coverings, fixed ceiling covers, fixed floor coverings (other than carpets), certain services (whether underground or not), and fences or gates </w:t>
      </w:r>
      <w:r w:rsidR="00A83184">
        <w:t>wholly or partly on the</w:t>
      </w:r>
      <w:r w:rsidRPr="00BF4DC9">
        <w:t xml:space="preserve"> site</w:t>
      </w:r>
      <w:r w:rsidR="00D74569">
        <w:t>.</w:t>
      </w:r>
      <w:r w:rsidRPr="00BF4DC9">
        <w:t xml:space="preserve"> </w:t>
      </w:r>
    </w:p>
    <w:p w14:paraId="0C071F4C" w14:textId="23AA17BA" w:rsidR="00E117CB" w:rsidRDefault="00A818C9" w:rsidP="003B077F">
      <w:pPr>
        <w:pStyle w:val="Dash"/>
        <w:numPr>
          <w:ilvl w:val="0"/>
          <w:numId w:val="0"/>
        </w:numPr>
        <w:ind w:left="567"/>
      </w:pPr>
      <w:r>
        <w:t>H</w:t>
      </w:r>
      <w:r w:rsidR="002E28FB">
        <w:t>otels, motels, boarding houses, aged care facilities, building</w:t>
      </w:r>
      <w:r w:rsidR="00F42891">
        <w:t>s</w:t>
      </w:r>
      <w:r w:rsidR="002E28FB">
        <w:t xml:space="preserve"> that are being constructed, temporary buildings and structures</w:t>
      </w:r>
      <w:r w:rsidR="00823C97">
        <w:t>,</w:t>
      </w:r>
      <w:r w:rsidR="002E28FB">
        <w:t xml:space="preserve"> and demountable or moveable structures </w:t>
      </w:r>
      <w:r w:rsidR="003B077F">
        <w:t>(</w:t>
      </w:r>
      <w:r w:rsidR="00BE1B71">
        <w:t>apart from</w:t>
      </w:r>
      <w:r w:rsidR="002F57B4">
        <w:t xml:space="preserve"> caravans and</w:t>
      </w:r>
      <w:r w:rsidR="003B077F">
        <w:t xml:space="preserve"> moveable homes</w:t>
      </w:r>
      <w:r w:rsidR="002F57B4">
        <w:t xml:space="preserve"> fixed to a site</w:t>
      </w:r>
      <w:r w:rsidR="003B077F">
        <w:t xml:space="preserve">) </w:t>
      </w:r>
      <w:r>
        <w:t xml:space="preserve">are excluded </w:t>
      </w:r>
      <w:r w:rsidR="002E28FB">
        <w:t>from the definition</w:t>
      </w:r>
      <w:r w:rsidR="00B00D0E">
        <w:t xml:space="preserve">. </w:t>
      </w:r>
    </w:p>
    <w:p w14:paraId="7CF53B44" w14:textId="5F8B8861" w:rsidR="000D6D37" w:rsidRDefault="0024152B" w:rsidP="00DF5931">
      <w:pPr>
        <w:pStyle w:val="Bullet"/>
      </w:pPr>
      <w:r>
        <w:lastRenderedPageBreak/>
        <w:t xml:space="preserve">For the purposes of </w:t>
      </w:r>
      <w:r w:rsidR="0017473F">
        <w:t>p</w:t>
      </w:r>
      <w:r w:rsidR="00BA100D">
        <w:t xml:space="preserve">aragraph </w:t>
      </w:r>
      <w:r w:rsidR="00DF5931">
        <w:t>8B(3)(b) of the Act</w:t>
      </w:r>
      <w:r>
        <w:t>,</w:t>
      </w:r>
      <w:r w:rsidR="00DF5931">
        <w:t xml:space="preserve"> </w:t>
      </w:r>
      <w:r>
        <w:t>the definition of ‘</w:t>
      </w:r>
      <w:r w:rsidR="00DF5931" w:rsidRPr="0072104A">
        <w:t>contents</w:t>
      </w:r>
      <w:r>
        <w:t>’</w:t>
      </w:r>
      <w:r w:rsidR="00DF5931">
        <w:t xml:space="preserve"> </w:t>
      </w:r>
      <w:r w:rsidR="001E651E">
        <w:t>u</w:t>
      </w:r>
      <w:r>
        <w:t xml:space="preserve">nder </w:t>
      </w:r>
      <w:proofErr w:type="spellStart"/>
      <w:r>
        <w:t>subregulations</w:t>
      </w:r>
      <w:proofErr w:type="spellEnd"/>
      <w:r>
        <w:t xml:space="preserve"> 5</w:t>
      </w:r>
      <w:proofErr w:type="gramStart"/>
      <w:r>
        <w:t>B(</w:t>
      </w:r>
      <w:proofErr w:type="gramEnd"/>
      <w:r>
        <w:t>4)-(5)</w:t>
      </w:r>
      <w:r w:rsidR="00DF5931">
        <w:t xml:space="preserve"> include</w:t>
      </w:r>
      <w:r w:rsidR="001E651E">
        <w:t>s</w:t>
      </w:r>
      <w:r w:rsidR="000D6D37">
        <w:t>:</w:t>
      </w:r>
    </w:p>
    <w:p w14:paraId="53F30EDE" w14:textId="153F9C12" w:rsidR="000D6D37" w:rsidRDefault="00DF5931" w:rsidP="000D6D37">
      <w:pPr>
        <w:pStyle w:val="Dash"/>
      </w:pPr>
      <w:r>
        <w:t xml:space="preserve">contents of all types of </w:t>
      </w:r>
      <w:r w:rsidR="00181050">
        <w:t>home building</w:t>
      </w:r>
      <w:r>
        <w:t xml:space="preserve"> properties </w:t>
      </w:r>
      <w:r w:rsidR="00D86FB9">
        <w:t>(see above)</w:t>
      </w:r>
      <w:r w:rsidR="003B3F5C">
        <w:t xml:space="preserve"> located in the home building or elsewhere on </w:t>
      </w:r>
      <w:r w:rsidR="00A3488D">
        <w:t>the home building</w:t>
      </w:r>
      <w:r w:rsidR="003B3F5C">
        <w:t xml:space="preserve"> site specified by the insurance </w:t>
      </w:r>
      <w:proofErr w:type="gramStart"/>
      <w:r w:rsidR="003B3F5C">
        <w:t>contrac</w:t>
      </w:r>
      <w:r w:rsidR="00A3488D">
        <w:t>t</w:t>
      </w:r>
      <w:r w:rsidR="000D6D37">
        <w:t>;</w:t>
      </w:r>
      <w:proofErr w:type="gramEnd"/>
      <w:r w:rsidR="000D6D37">
        <w:t xml:space="preserve"> and</w:t>
      </w:r>
      <w:r>
        <w:t>.</w:t>
      </w:r>
      <w:r w:rsidR="00D01359">
        <w:t xml:space="preserve"> </w:t>
      </w:r>
    </w:p>
    <w:p w14:paraId="071AED8A" w14:textId="73F3452D" w:rsidR="00D26E1C" w:rsidRDefault="00D01359" w:rsidP="000D6D37">
      <w:pPr>
        <w:pStyle w:val="Dash"/>
      </w:pPr>
      <w:r>
        <w:t>items that are usually so located and are still insured under the contract even when not so located</w:t>
      </w:r>
      <w:r w:rsidR="00BA6696">
        <w:t xml:space="preserve"> (for example, a laptop or bi</w:t>
      </w:r>
      <w:r w:rsidR="009A0AC1">
        <w:t>cycle</w:t>
      </w:r>
      <w:r w:rsidR="00BA6696">
        <w:t xml:space="preserve"> that is taken offsite</w:t>
      </w:r>
      <w:r w:rsidR="009A0AC1">
        <w:t>,</w:t>
      </w:r>
      <w:r w:rsidR="00BA6696">
        <w:t xml:space="preserve"> </w:t>
      </w:r>
      <w:r w:rsidR="00542432">
        <w:t>if covered by the contract of insurance</w:t>
      </w:r>
      <w:r w:rsidR="00BA6696">
        <w:t>)</w:t>
      </w:r>
      <w:r>
        <w:t>.</w:t>
      </w:r>
      <w:r w:rsidR="00B70B07">
        <w:t xml:space="preserve"> </w:t>
      </w:r>
    </w:p>
    <w:p w14:paraId="65443455" w14:textId="6E832EDB" w:rsidR="00DF5931" w:rsidRDefault="00DF5931" w:rsidP="00473AFD">
      <w:pPr>
        <w:pStyle w:val="Bullet"/>
        <w:numPr>
          <w:ilvl w:val="0"/>
          <w:numId w:val="0"/>
        </w:numPr>
        <w:ind w:left="567"/>
      </w:pPr>
      <w:r>
        <w:t xml:space="preserve">Hotels, motels, boarding </w:t>
      </w:r>
      <w:proofErr w:type="gramStart"/>
      <w:r>
        <w:t>houses</w:t>
      </w:r>
      <w:proofErr w:type="gramEnd"/>
      <w:r>
        <w:t xml:space="preserve"> and aged care facilities are excluded from home building contents cover</w:t>
      </w:r>
      <w:r w:rsidR="006D4425">
        <w:t>,</w:t>
      </w:r>
      <w:r>
        <w:t xml:space="preserve"> except in circumstances where the relevant building is used by the insured principally and primarily as a place of residence.</w:t>
      </w:r>
    </w:p>
    <w:p w14:paraId="1426532C" w14:textId="1B9E549E" w:rsidR="00FE1747" w:rsidRDefault="0024152B" w:rsidP="00DF5931">
      <w:pPr>
        <w:pStyle w:val="Bullet"/>
      </w:pPr>
      <w:r>
        <w:t xml:space="preserve">For the purposes of </w:t>
      </w:r>
      <w:r w:rsidR="00E04EE3">
        <w:t>p</w:t>
      </w:r>
      <w:r w:rsidR="00DF5931">
        <w:t xml:space="preserve">aragraph 8B(3)(c) </w:t>
      </w:r>
      <w:r w:rsidR="001F2B7A">
        <w:t>of the Act</w:t>
      </w:r>
      <w:r>
        <w:t>,</w:t>
      </w:r>
      <w:r w:rsidR="00DF5931">
        <w:t xml:space="preserve"> </w:t>
      </w:r>
      <w:r w:rsidR="007609A1">
        <w:t>t</w:t>
      </w:r>
      <w:r w:rsidR="00DF5931">
        <w:t xml:space="preserve">he definition of </w:t>
      </w:r>
      <w:r>
        <w:t>‘</w:t>
      </w:r>
      <w:r w:rsidR="00DF5931" w:rsidRPr="0072104A">
        <w:t>building</w:t>
      </w:r>
      <w:r>
        <w:t>’</w:t>
      </w:r>
      <w:r w:rsidR="00DF5931">
        <w:t xml:space="preserve"> </w:t>
      </w:r>
      <w:r>
        <w:t xml:space="preserve">under </w:t>
      </w:r>
      <w:proofErr w:type="spellStart"/>
      <w:r>
        <w:t>subregulations</w:t>
      </w:r>
      <w:proofErr w:type="spellEnd"/>
      <w:r>
        <w:t xml:space="preserve"> 5</w:t>
      </w:r>
      <w:proofErr w:type="gramStart"/>
      <w:r>
        <w:t>B(</w:t>
      </w:r>
      <w:proofErr w:type="gramEnd"/>
      <w:r>
        <w:t xml:space="preserve">6)-(7) </w:t>
      </w:r>
      <w:r w:rsidR="00B82B87">
        <w:t>includes</w:t>
      </w:r>
      <w:r w:rsidR="00FE1747">
        <w:t>:</w:t>
      </w:r>
    </w:p>
    <w:p w14:paraId="1FF42712" w14:textId="20E7EB0A" w:rsidR="00FE1747" w:rsidRDefault="00FE1747" w:rsidP="00FE1747">
      <w:pPr>
        <w:pStyle w:val="Dash"/>
      </w:pPr>
      <w:r>
        <w:t xml:space="preserve">any building </w:t>
      </w:r>
      <w:r w:rsidR="00B82B87">
        <w:t>or part of a building which is located on a specified site</w:t>
      </w:r>
      <w:r w:rsidR="007D3F1B">
        <w:t>; and</w:t>
      </w:r>
    </w:p>
    <w:p w14:paraId="71AF63F2" w14:textId="6E5F23A6" w:rsidR="00FE1747" w:rsidRDefault="004333E0" w:rsidP="00FE1747">
      <w:pPr>
        <w:pStyle w:val="Dash"/>
      </w:pPr>
      <w:r>
        <w:t>structures</w:t>
      </w:r>
      <w:r w:rsidR="006235B2">
        <w:t xml:space="preserve"> such as out-</w:t>
      </w:r>
      <w:r w:rsidR="00DF5931">
        <w:t>buildings</w:t>
      </w:r>
      <w:r w:rsidR="006235B2">
        <w:t xml:space="preserve">, fixtures, fixed </w:t>
      </w:r>
      <w:proofErr w:type="gramStart"/>
      <w:r w:rsidR="006235B2">
        <w:t>wall</w:t>
      </w:r>
      <w:proofErr w:type="gramEnd"/>
      <w:r w:rsidR="006235B2">
        <w:t xml:space="preserve"> </w:t>
      </w:r>
      <w:r w:rsidR="00A827B8">
        <w:t>and floor</w:t>
      </w:r>
      <w:r w:rsidR="006235B2">
        <w:t xml:space="preserve"> coverings </w:t>
      </w:r>
      <w:r w:rsidR="00A827B8">
        <w:t>(other than carpet</w:t>
      </w:r>
      <w:r w:rsidR="00BF5F93">
        <w:t>s</w:t>
      </w:r>
      <w:r w:rsidR="00A827B8">
        <w:t>)</w:t>
      </w:r>
      <w:r w:rsidR="004C1050">
        <w:t xml:space="preserve">, </w:t>
      </w:r>
      <w:r w:rsidR="004C1050" w:rsidRPr="00BF4DC9">
        <w:t>certain services (whether underground or not),</w:t>
      </w:r>
      <w:r w:rsidR="00A827B8">
        <w:t xml:space="preserve"> </w:t>
      </w:r>
      <w:r w:rsidR="006235B2">
        <w:t>and fences or gates</w:t>
      </w:r>
      <w:r w:rsidR="00DA5B49">
        <w:t xml:space="preserve"> wholly or partly on the site</w:t>
      </w:r>
      <w:r w:rsidR="007D3F1B">
        <w:t>.</w:t>
      </w:r>
    </w:p>
    <w:p w14:paraId="53413209" w14:textId="7D9C8A6E" w:rsidR="00FE1747" w:rsidRDefault="006235B2" w:rsidP="00FE1747">
      <w:pPr>
        <w:pStyle w:val="Dash"/>
        <w:numPr>
          <w:ilvl w:val="0"/>
          <w:numId w:val="0"/>
        </w:numPr>
        <w:ind w:left="567"/>
      </w:pPr>
      <w:r>
        <w:t>B</w:t>
      </w:r>
      <w:r w:rsidR="00DF5931">
        <w:t>uildings under construction, temporary buildings</w:t>
      </w:r>
      <w:r w:rsidR="008525BD">
        <w:t>, and</w:t>
      </w:r>
      <w:r w:rsidR="00DF5931">
        <w:t xml:space="preserve"> demountable or moveable structures</w:t>
      </w:r>
      <w:r w:rsidR="00B82B87">
        <w:t xml:space="preserve"> </w:t>
      </w:r>
      <w:r>
        <w:t>are excluded from the definition.</w:t>
      </w:r>
    </w:p>
    <w:p w14:paraId="53CF2AB5" w14:textId="456FDCE9" w:rsidR="00DF5931" w:rsidRDefault="00DF5931" w:rsidP="00473AFD">
      <w:pPr>
        <w:pStyle w:val="Dash"/>
        <w:numPr>
          <w:ilvl w:val="0"/>
          <w:numId w:val="0"/>
        </w:numPr>
        <w:ind w:left="567"/>
      </w:pPr>
      <w:r>
        <w:t>Contents</w:t>
      </w:r>
      <w:r w:rsidR="002D3DA8">
        <w:t xml:space="preserve"> of a building</w:t>
      </w:r>
      <w:r>
        <w:t xml:space="preserve"> </w:t>
      </w:r>
      <w:r w:rsidR="00FE3A3F">
        <w:t>includes</w:t>
      </w:r>
      <w:r>
        <w:t xml:space="preserve"> all types of </w:t>
      </w:r>
      <w:r w:rsidR="000D33E0">
        <w:t xml:space="preserve">items of </w:t>
      </w:r>
      <w:r>
        <w:t>propert</w:t>
      </w:r>
      <w:r w:rsidR="00C80537">
        <w:t>y</w:t>
      </w:r>
      <w:r w:rsidR="00FE6AEF">
        <w:t xml:space="preserve"> owned by the insured and</w:t>
      </w:r>
      <w:r w:rsidR="00C80537">
        <w:t xml:space="preserve"> </w:t>
      </w:r>
      <w:r w:rsidR="00FE6AEF">
        <w:t xml:space="preserve">located either </w:t>
      </w:r>
      <w:r w:rsidR="00C80537">
        <w:t>in the building</w:t>
      </w:r>
      <w:r w:rsidR="00FE6AEF">
        <w:t xml:space="preserve"> or elsewhere on a site specified in the insurance contract and on which the building is located</w:t>
      </w:r>
      <w:r w:rsidR="00FE1747">
        <w:t>.</w:t>
      </w:r>
    </w:p>
    <w:p w14:paraId="199CCBC3" w14:textId="36C0696F" w:rsidR="00700D46" w:rsidRDefault="0024152B" w:rsidP="009B5514">
      <w:pPr>
        <w:pStyle w:val="Bullet"/>
        <w:spacing w:before="0" w:after="0"/>
      </w:pPr>
      <w:r>
        <w:t xml:space="preserve">For the purposes of </w:t>
      </w:r>
      <w:r w:rsidR="00F46E6D">
        <w:t>p</w:t>
      </w:r>
      <w:r w:rsidR="00DF5931">
        <w:t xml:space="preserve">aragraph 8B(3)(d) </w:t>
      </w:r>
      <w:r w:rsidR="001F2B7A">
        <w:t>of the Act</w:t>
      </w:r>
      <w:r>
        <w:t>,</w:t>
      </w:r>
      <w:r w:rsidR="003C060E">
        <w:t xml:space="preserve"> </w:t>
      </w:r>
      <w:r w:rsidR="004333E0">
        <w:t xml:space="preserve">the definition of </w:t>
      </w:r>
      <w:r>
        <w:t>‘</w:t>
      </w:r>
      <w:r w:rsidR="004333E0" w:rsidRPr="0024152B">
        <w:t>building</w:t>
      </w:r>
      <w:r>
        <w:t>’</w:t>
      </w:r>
      <w:r w:rsidR="004333E0">
        <w:t xml:space="preserve"> </w:t>
      </w:r>
      <w:r>
        <w:t xml:space="preserve">under </w:t>
      </w:r>
      <w:proofErr w:type="spellStart"/>
      <w:r>
        <w:t>subregulations</w:t>
      </w:r>
      <w:proofErr w:type="spellEnd"/>
      <w:r>
        <w:t xml:space="preserve"> 5</w:t>
      </w:r>
      <w:proofErr w:type="gramStart"/>
      <w:r>
        <w:t>B(</w:t>
      </w:r>
      <w:proofErr w:type="gramEnd"/>
      <w:r>
        <w:t xml:space="preserve">8)-(9) </w:t>
      </w:r>
      <w:r w:rsidR="00D743FF">
        <w:t>includes</w:t>
      </w:r>
      <w:r w:rsidR="00700D46">
        <w:t>:</w:t>
      </w:r>
    </w:p>
    <w:p w14:paraId="39812DAD" w14:textId="2DC80E23" w:rsidR="00700D46" w:rsidRDefault="004333E0" w:rsidP="00700D46">
      <w:pPr>
        <w:pStyle w:val="Dash"/>
      </w:pPr>
      <w:r>
        <w:t>any building or part of a building</w:t>
      </w:r>
      <w:r w:rsidR="000373C1">
        <w:t>,</w:t>
      </w:r>
      <w:r>
        <w:t xml:space="preserve"> whether or not occupied by the insurer</w:t>
      </w:r>
      <w:r w:rsidR="000373C1">
        <w:t>,</w:t>
      </w:r>
      <w:r>
        <w:t xml:space="preserve"> which is located on a specified site</w:t>
      </w:r>
      <w:r w:rsidR="00D615A1">
        <w:t xml:space="preserve"> (this could include hotels, motels, boarding houses or aged care facilities, for example</w:t>
      </w:r>
      <w:proofErr w:type="gramStart"/>
      <w:r w:rsidR="00D615A1">
        <w:t>)</w:t>
      </w:r>
      <w:r w:rsidR="00700D46">
        <w:t>;</w:t>
      </w:r>
      <w:proofErr w:type="gramEnd"/>
    </w:p>
    <w:p w14:paraId="6ED314ED" w14:textId="1A3E7A59" w:rsidR="00665866" w:rsidRDefault="00665866" w:rsidP="00665866">
      <w:pPr>
        <w:pStyle w:val="Dash"/>
      </w:pPr>
      <w:r>
        <w:t xml:space="preserve">caravans or moveable homes that are fixed to a </w:t>
      </w:r>
      <w:proofErr w:type="gramStart"/>
      <w:r>
        <w:t>site;</w:t>
      </w:r>
      <w:proofErr w:type="gramEnd"/>
    </w:p>
    <w:p w14:paraId="334F0CE3" w14:textId="2DAB4223" w:rsidR="00A41138" w:rsidRDefault="004333E0" w:rsidP="00700D46">
      <w:pPr>
        <w:pStyle w:val="Dash"/>
      </w:pPr>
      <w:r>
        <w:t xml:space="preserve">structures such as out-buildings, fixtures, fixed </w:t>
      </w:r>
      <w:proofErr w:type="gramStart"/>
      <w:r>
        <w:t>wall</w:t>
      </w:r>
      <w:proofErr w:type="gramEnd"/>
      <w:r>
        <w:t xml:space="preserve"> </w:t>
      </w:r>
      <w:r w:rsidR="006003DC">
        <w:t xml:space="preserve">and floor </w:t>
      </w:r>
      <w:r>
        <w:t>coverings</w:t>
      </w:r>
      <w:r w:rsidR="006003DC">
        <w:t xml:space="preserve"> (other than carpets)</w:t>
      </w:r>
      <w:r w:rsidR="00A41138">
        <w:t>;</w:t>
      </w:r>
      <w:r>
        <w:t xml:space="preserve"> and </w:t>
      </w:r>
    </w:p>
    <w:p w14:paraId="5265E7AD" w14:textId="399FBCBE" w:rsidR="00700D46" w:rsidRDefault="004333E0" w:rsidP="00700D46">
      <w:pPr>
        <w:pStyle w:val="Dash"/>
      </w:pPr>
      <w:r>
        <w:t>fences or gates</w:t>
      </w:r>
      <w:r w:rsidR="00A41138">
        <w:t xml:space="preserve"> wholly or partly on the site</w:t>
      </w:r>
      <w:r>
        <w:t>.</w:t>
      </w:r>
    </w:p>
    <w:p w14:paraId="717B1470" w14:textId="60AD0F57" w:rsidR="00FE1747" w:rsidRDefault="004333E0" w:rsidP="00700D46">
      <w:pPr>
        <w:pStyle w:val="Dash"/>
        <w:numPr>
          <w:ilvl w:val="0"/>
          <w:numId w:val="0"/>
        </w:numPr>
        <w:ind w:left="567"/>
      </w:pPr>
      <w:r>
        <w:t>Buildings under construction, temporary buildings</w:t>
      </w:r>
      <w:r w:rsidR="00A25FAB">
        <w:t>, and</w:t>
      </w:r>
      <w:r>
        <w:t xml:space="preserve"> demountable or moveable structures</w:t>
      </w:r>
      <w:r w:rsidR="007D042D">
        <w:t xml:space="preserve"> (</w:t>
      </w:r>
      <w:r w:rsidR="00BE1B71">
        <w:t>apart from</w:t>
      </w:r>
      <w:r w:rsidR="007D042D">
        <w:t xml:space="preserve"> caravans and moveable homes fixed to a site)</w:t>
      </w:r>
      <w:r>
        <w:t xml:space="preserve"> are excluded from the definition.</w:t>
      </w:r>
    </w:p>
    <w:p w14:paraId="40953CFC" w14:textId="2D67596B" w:rsidR="00C32C07" w:rsidRDefault="00C32C07" w:rsidP="00546BBF">
      <w:pPr>
        <w:pStyle w:val="Dash"/>
        <w:numPr>
          <w:ilvl w:val="0"/>
          <w:numId w:val="0"/>
        </w:numPr>
        <w:spacing w:after="0"/>
        <w:ind w:left="567"/>
      </w:pPr>
      <w:r>
        <w:t>Contents of a building includes all types of items of property owned by the insured and located either in the building or elsewhere on a site specified in the insurance contract and on which the building is located.</w:t>
      </w:r>
    </w:p>
    <w:p w14:paraId="4AD2B607" w14:textId="5A83AA73" w:rsidR="00045869" w:rsidRPr="0016436C" w:rsidRDefault="00331822" w:rsidP="00C34C80">
      <w:pPr>
        <w:spacing w:before="0" w:after="0"/>
        <w:rPr>
          <w:i/>
        </w:rPr>
      </w:pPr>
      <w:r w:rsidRPr="0016436C">
        <w:rPr>
          <w:i/>
        </w:rPr>
        <w:lastRenderedPageBreak/>
        <w:t>G</w:t>
      </w:r>
      <w:r w:rsidR="001B0771" w:rsidRPr="0016436C">
        <w:rPr>
          <w:i/>
        </w:rPr>
        <w:t>overnment entity</w:t>
      </w:r>
    </w:p>
    <w:p w14:paraId="1F99B065" w14:textId="65D626A6" w:rsidR="00D212B4" w:rsidRPr="00593D07" w:rsidRDefault="00CF18A2" w:rsidP="00D212B4">
      <w:pPr>
        <w:spacing w:before="0" w:after="0"/>
      </w:pPr>
      <w:r>
        <w:br/>
      </w:r>
      <w:r w:rsidR="001B0771">
        <w:t xml:space="preserve">Item </w:t>
      </w:r>
      <w:r w:rsidR="000F5E4F">
        <w:t xml:space="preserve">14 </w:t>
      </w:r>
      <w:r w:rsidR="00367789">
        <w:t>inserts new subregulation 5</w:t>
      </w:r>
      <w:proofErr w:type="gramStart"/>
      <w:r w:rsidR="00367789">
        <w:t>B(</w:t>
      </w:r>
      <w:proofErr w:type="gramEnd"/>
      <w:r w:rsidR="00367789">
        <w:t xml:space="preserve">11), which </w:t>
      </w:r>
      <w:r w:rsidR="001B0771">
        <w:t xml:space="preserve">defines </w:t>
      </w:r>
      <w:r w:rsidR="00E36668">
        <w:t>‘</w:t>
      </w:r>
      <w:r w:rsidR="001B0771" w:rsidRPr="0072104A">
        <w:rPr>
          <w:bCs/>
          <w:iCs/>
        </w:rPr>
        <w:t>government entity</w:t>
      </w:r>
      <w:r w:rsidR="00E36668">
        <w:rPr>
          <w:bCs/>
          <w:iCs/>
        </w:rPr>
        <w:t>’</w:t>
      </w:r>
      <w:r w:rsidR="001B0771" w:rsidRPr="00D212B4">
        <w:t xml:space="preserve"> </w:t>
      </w:r>
      <w:r w:rsidR="001B0771">
        <w:t xml:space="preserve">for the purposes of section </w:t>
      </w:r>
      <w:r w:rsidR="001B0771" w:rsidRPr="008874C7">
        <w:t>8B(</w:t>
      </w:r>
      <w:r w:rsidR="00E73320" w:rsidRPr="008874C7">
        <w:t>5</w:t>
      </w:r>
      <w:r w:rsidR="001B0771" w:rsidRPr="008874C7">
        <w:t xml:space="preserve">) </w:t>
      </w:r>
      <w:r w:rsidR="001B0771">
        <w:t xml:space="preserve">of the Act. </w:t>
      </w:r>
      <w:r w:rsidR="00D212B4">
        <w:t xml:space="preserve">Where the insured is a government entity and the building is owned and managed by a government entity, the relevant insurance contract will be ineligible for </w:t>
      </w:r>
      <w:r w:rsidR="00827420">
        <w:t xml:space="preserve">cyclone </w:t>
      </w:r>
      <w:r w:rsidR="00D212B4">
        <w:t xml:space="preserve">reinsurance </w:t>
      </w:r>
      <w:r w:rsidR="006855B8">
        <w:t>scheme</w:t>
      </w:r>
      <w:r w:rsidR="00D212B4">
        <w:t xml:space="preserve"> coverage. </w:t>
      </w:r>
      <w:r w:rsidR="004674BE">
        <w:t>‘</w:t>
      </w:r>
      <w:r w:rsidR="00611B89">
        <w:t>Government entity</w:t>
      </w:r>
      <w:r w:rsidR="004674BE">
        <w:t>’</w:t>
      </w:r>
      <w:r w:rsidR="00611B89">
        <w:t xml:space="preserve"> includes </w:t>
      </w:r>
      <w:r w:rsidR="00514595">
        <w:t xml:space="preserve">the Commonwealth, </w:t>
      </w:r>
      <w:r w:rsidR="002D0799">
        <w:t>Commonwealth Government departments and agencies, Commonwealth</w:t>
      </w:r>
      <w:r w:rsidR="00670A62">
        <w:t xml:space="preserve"> entities,</w:t>
      </w:r>
      <w:r w:rsidR="002D0799">
        <w:t xml:space="preserve"> </w:t>
      </w:r>
      <w:r w:rsidR="005A7962">
        <w:t>Corporations Act companies</w:t>
      </w:r>
      <w:r w:rsidR="00252316">
        <w:t xml:space="preserve"> </w:t>
      </w:r>
      <w:r w:rsidR="002F0839">
        <w:t>controlled by</w:t>
      </w:r>
      <w:r w:rsidR="00252316">
        <w:t xml:space="preserve"> the</w:t>
      </w:r>
      <w:r w:rsidR="00A2268D">
        <w:t xml:space="preserve"> C</w:t>
      </w:r>
      <w:r w:rsidR="00252316">
        <w:t>ommonwealth</w:t>
      </w:r>
      <w:r w:rsidR="005A7962">
        <w:t xml:space="preserve">, </w:t>
      </w:r>
      <w:r w:rsidR="00D212B4">
        <w:t>State and Territory governments</w:t>
      </w:r>
      <w:r w:rsidR="004674BE">
        <w:t xml:space="preserve"> and government </w:t>
      </w:r>
      <w:r w:rsidR="007F2103">
        <w:t>d</w:t>
      </w:r>
      <w:r w:rsidR="004674BE">
        <w:t>epartments</w:t>
      </w:r>
      <w:r w:rsidR="00D212B4">
        <w:t>, and local govern</w:t>
      </w:r>
      <w:r w:rsidR="00B4249B">
        <w:t>ing</w:t>
      </w:r>
      <w:r w:rsidR="00D212B4">
        <w:t xml:space="preserve"> bodies. </w:t>
      </w:r>
    </w:p>
    <w:p w14:paraId="66BFFFA9" w14:textId="6EBFEDC1" w:rsidR="00670A62" w:rsidRDefault="00670A62" w:rsidP="00D212B4">
      <w:pPr>
        <w:spacing w:before="0" w:after="0"/>
      </w:pPr>
    </w:p>
    <w:p w14:paraId="78712FFA" w14:textId="3624D2A1" w:rsidR="00C34C80" w:rsidRDefault="00C34C80" w:rsidP="00C34C80">
      <w:pPr>
        <w:spacing w:before="0" w:after="0"/>
        <w:rPr>
          <w:b/>
          <w:bCs/>
        </w:rPr>
      </w:pPr>
      <w:r>
        <w:rPr>
          <w:b/>
          <w:bCs/>
        </w:rPr>
        <w:t xml:space="preserve">Maximum sum insured for non-residential policies </w:t>
      </w:r>
    </w:p>
    <w:p w14:paraId="5D9E3823" w14:textId="77777777" w:rsidR="002C5DFF" w:rsidRDefault="002C5DFF" w:rsidP="00C34C80">
      <w:pPr>
        <w:spacing w:before="0" w:after="0"/>
      </w:pPr>
    </w:p>
    <w:p w14:paraId="29E8ED96" w14:textId="6190F29B" w:rsidR="00C34C80" w:rsidRDefault="00C34C80" w:rsidP="00C34C80">
      <w:pPr>
        <w:spacing w:before="0" w:after="0"/>
      </w:pPr>
      <w:r>
        <w:t xml:space="preserve">Item </w:t>
      </w:r>
      <w:r w:rsidR="002C38A7">
        <w:t xml:space="preserve">14 </w:t>
      </w:r>
      <w:r w:rsidR="003C5DCB">
        <w:t>inserts new subregulation 5</w:t>
      </w:r>
      <w:proofErr w:type="gramStart"/>
      <w:r w:rsidR="003C5DCB">
        <w:t>B(</w:t>
      </w:r>
      <w:proofErr w:type="gramEnd"/>
      <w:r w:rsidR="003C5DCB">
        <w:t>10), which</w:t>
      </w:r>
      <w:r>
        <w:t xml:space="preserve"> prescribes $5 million per policy as the maximum sum insured threshold for non-residential policies for the purposes of </w:t>
      </w:r>
      <w:r w:rsidR="00475D78">
        <w:t xml:space="preserve">paragraph </w:t>
      </w:r>
      <w:r>
        <w:t xml:space="preserve">8B(3)(d) of the Act. This threshold is inclusive of the total of the property sum insured, contents sum </w:t>
      </w:r>
      <w:r w:rsidR="00660076">
        <w:t>insured,</w:t>
      </w:r>
      <w:r>
        <w:t xml:space="preserve"> and business interruption sum insured. The threshold applies to buildings, contents or both that are not used principally and primarily as a place of residence. </w:t>
      </w:r>
      <w:r w:rsidR="00E849B1">
        <w:t>The definition of ‘sum insured’ will be included in the ARPC reinsurance contracts.</w:t>
      </w:r>
    </w:p>
    <w:p w14:paraId="67EF5A13" w14:textId="77777777" w:rsidR="00C34C80" w:rsidRDefault="00C34C80" w:rsidP="00C34C80">
      <w:pPr>
        <w:spacing w:before="0" w:after="0"/>
      </w:pPr>
    </w:p>
    <w:p w14:paraId="3B43D7B6" w14:textId="2616176C" w:rsidR="00C34C80" w:rsidRDefault="00C34C80" w:rsidP="00C34C80">
      <w:pPr>
        <w:spacing w:before="0" w:after="0"/>
      </w:pPr>
      <w:r>
        <w:t>If an insurer has</w:t>
      </w:r>
      <w:r w:rsidRPr="00EF5D24">
        <w:t xml:space="preserve"> a </w:t>
      </w:r>
      <w:r>
        <w:t xml:space="preserve">combined non-residential building, contents or business interruption insurance </w:t>
      </w:r>
      <w:r w:rsidRPr="00EF5D24">
        <w:t xml:space="preserve">policy </w:t>
      </w:r>
      <w:r>
        <w:t>sum insured</w:t>
      </w:r>
      <w:r w:rsidRPr="00EF5D24">
        <w:t xml:space="preserve"> </w:t>
      </w:r>
      <w:r>
        <w:t xml:space="preserve">of </w:t>
      </w:r>
      <w:r w:rsidRPr="00EF5D24">
        <w:t xml:space="preserve">more </w:t>
      </w:r>
      <w:r>
        <w:t xml:space="preserve">than $5 million, </w:t>
      </w:r>
      <w:r w:rsidRPr="00EF5D24">
        <w:t xml:space="preserve">then the risk under that policy cannot be reinsured by the insurer with the ARPC under </w:t>
      </w:r>
      <w:r>
        <w:t xml:space="preserve">the cyclone reinsurance scheme. </w:t>
      </w:r>
    </w:p>
    <w:p w14:paraId="34B74226" w14:textId="77777777" w:rsidR="00C34C80" w:rsidRDefault="00C34C80" w:rsidP="00C34C80">
      <w:pPr>
        <w:spacing w:before="0" w:after="0"/>
        <w:rPr>
          <w:b/>
          <w:bCs/>
        </w:rPr>
      </w:pPr>
    </w:p>
    <w:p w14:paraId="75718E42" w14:textId="77777777" w:rsidR="00C34C80" w:rsidRPr="00886607" w:rsidRDefault="00C34C80" w:rsidP="00C34C80">
      <w:pPr>
        <w:spacing w:before="0" w:after="0"/>
        <w:rPr>
          <w:b/>
          <w:bCs/>
        </w:rPr>
      </w:pPr>
      <w:r>
        <w:rPr>
          <w:b/>
          <w:bCs/>
        </w:rPr>
        <w:t>Hazard coverage definitions</w:t>
      </w:r>
    </w:p>
    <w:p w14:paraId="206B6DBE" w14:textId="77777777" w:rsidR="00C34C80" w:rsidRPr="00912327" w:rsidRDefault="00C34C80" w:rsidP="00C34C80">
      <w:pPr>
        <w:spacing w:before="0" w:after="0"/>
        <w:rPr>
          <w:u w:val="single"/>
        </w:rPr>
      </w:pPr>
    </w:p>
    <w:p w14:paraId="545DDDED" w14:textId="1AA96296" w:rsidR="00C34C80" w:rsidRDefault="00C34C80" w:rsidP="00C34C80">
      <w:pPr>
        <w:spacing w:before="0" w:after="0"/>
      </w:pPr>
      <w:r>
        <w:t xml:space="preserve">Item </w:t>
      </w:r>
      <w:r w:rsidR="000F5E4F">
        <w:t xml:space="preserve">14 </w:t>
      </w:r>
      <w:r w:rsidR="00D629F4">
        <w:t xml:space="preserve">inserts new regulation 5C, which </w:t>
      </w:r>
      <w:r>
        <w:t xml:space="preserve">defines </w:t>
      </w:r>
      <w:r w:rsidR="00E36668">
        <w:t>‘</w:t>
      </w:r>
      <w:r w:rsidRPr="0072104A">
        <w:t>storm surge</w:t>
      </w:r>
      <w:r w:rsidR="00E36668">
        <w:t>’</w:t>
      </w:r>
      <w:r>
        <w:rPr>
          <w:b/>
          <w:bCs/>
          <w:i/>
          <w:iCs/>
        </w:rPr>
        <w:t xml:space="preserve"> </w:t>
      </w:r>
      <w:r>
        <w:t xml:space="preserve">for the purposes of </w:t>
      </w:r>
      <w:r w:rsidR="00FD0439">
        <w:t>paragraph</w:t>
      </w:r>
      <w:r>
        <w:t xml:space="preserve"> 8C</w:t>
      </w:r>
      <w:r w:rsidR="006B0B7C">
        <w:t>(2)</w:t>
      </w:r>
      <w:r>
        <w:t xml:space="preserve">(b)(ii) of the Act and is derived from </w:t>
      </w:r>
      <w:r w:rsidR="007C163D">
        <w:t xml:space="preserve">the BoM’s </w:t>
      </w:r>
      <w:r>
        <w:t xml:space="preserve">existing definition. </w:t>
      </w:r>
      <w:r w:rsidR="0068704B">
        <w:t>A loss</w:t>
      </w:r>
      <w:r>
        <w:t xml:space="preserve"> that arise</w:t>
      </w:r>
      <w:r w:rsidR="0068704B">
        <w:t>s</w:t>
      </w:r>
      <w:r>
        <w:t xml:space="preserve"> from </w:t>
      </w:r>
      <w:r w:rsidR="00C8042F">
        <w:t xml:space="preserve">a </w:t>
      </w:r>
      <w:r>
        <w:t xml:space="preserve">storm surge caused by a cyclone (for the duration of the claims period) will be an eligible cyclone loss and therefore covered by the scheme. </w:t>
      </w:r>
    </w:p>
    <w:p w14:paraId="3017A703" w14:textId="77777777" w:rsidR="00C34C80" w:rsidRDefault="00C34C80" w:rsidP="00C34C80">
      <w:pPr>
        <w:spacing w:before="0" w:after="0"/>
      </w:pPr>
    </w:p>
    <w:p w14:paraId="166EF6BC" w14:textId="724883EC" w:rsidR="00C34C80" w:rsidRDefault="00C34C80" w:rsidP="00C34C80">
      <w:pPr>
        <w:spacing w:before="0" w:after="0"/>
      </w:pPr>
      <w:r>
        <w:t xml:space="preserve">Item </w:t>
      </w:r>
      <w:r w:rsidR="004578F3">
        <w:t xml:space="preserve">14 </w:t>
      </w:r>
      <w:r>
        <w:t xml:space="preserve">defines </w:t>
      </w:r>
      <w:r w:rsidR="00E36668">
        <w:t>‘</w:t>
      </w:r>
      <w:r w:rsidRPr="0072104A">
        <w:t>flood</w:t>
      </w:r>
      <w:r w:rsidR="00E36668">
        <w:t>’</w:t>
      </w:r>
      <w:r>
        <w:rPr>
          <w:b/>
          <w:bCs/>
          <w:i/>
          <w:iCs/>
        </w:rPr>
        <w:t xml:space="preserve"> </w:t>
      </w:r>
      <w:r>
        <w:t xml:space="preserve">for the purposes of </w:t>
      </w:r>
      <w:r w:rsidR="00FD0439">
        <w:t>paragraph</w:t>
      </w:r>
      <w:r>
        <w:t xml:space="preserve"> 8C</w:t>
      </w:r>
      <w:r w:rsidR="006B0B7C">
        <w:t>(2)</w:t>
      </w:r>
      <w:r>
        <w:t xml:space="preserve">(b)(iii) of the Act as a flood defined by subsection 34(1) of the </w:t>
      </w:r>
      <w:r>
        <w:rPr>
          <w:i/>
          <w:iCs/>
        </w:rPr>
        <w:t>Insurance Contract Regulations 2017.</w:t>
      </w:r>
      <w:r w:rsidR="00D936C5">
        <w:t xml:space="preserve"> </w:t>
      </w:r>
      <w:r w:rsidR="00291E0C">
        <w:t>A l</w:t>
      </w:r>
      <w:r>
        <w:t>oss that arise</w:t>
      </w:r>
      <w:r w:rsidR="00291E0C">
        <w:t>s</w:t>
      </w:r>
      <w:r>
        <w:t xml:space="preserve"> from flooding caused by a cyclone (for the duration of the claims period) will be an eligible cyclone loss and therefore covered by the scheme. </w:t>
      </w:r>
    </w:p>
    <w:p w14:paraId="39FC3934" w14:textId="77777777" w:rsidR="00C34C80" w:rsidRDefault="00C34C80" w:rsidP="00C34C80">
      <w:pPr>
        <w:spacing w:before="0" w:after="0"/>
      </w:pPr>
    </w:p>
    <w:p w14:paraId="1C2B4E7E" w14:textId="77777777" w:rsidR="00C34C80" w:rsidRPr="00886607" w:rsidRDefault="00C34C80" w:rsidP="00C34C80">
      <w:pPr>
        <w:spacing w:before="0" w:after="0"/>
        <w:rPr>
          <w:b/>
          <w:bCs/>
        </w:rPr>
      </w:pPr>
      <w:r>
        <w:rPr>
          <w:b/>
          <w:bCs/>
        </w:rPr>
        <w:t>End of claims period in second declaration</w:t>
      </w:r>
    </w:p>
    <w:p w14:paraId="446F0001" w14:textId="77777777" w:rsidR="00C34C80" w:rsidRDefault="00C34C80" w:rsidP="00C34C80">
      <w:pPr>
        <w:spacing w:before="0" w:after="0"/>
      </w:pPr>
    </w:p>
    <w:p w14:paraId="71600419" w14:textId="77D293DD" w:rsidR="00C34C80" w:rsidRDefault="00C34C80" w:rsidP="00C34C80">
      <w:pPr>
        <w:spacing w:before="0" w:after="0"/>
      </w:pPr>
      <w:r>
        <w:t xml:space="preserve">Item </w:t>
      </w:r>
      <w:r w:rsidR="000F5E4F">
        <w:t>14</w:t>
      </w:r>
      <w:r>
        <w:t xml:space="preserve"> </w:t>
      </w:r>
      <w:r w:rsidR="00D85780">
        <w:t xml:space="preserve">inserts new regulation 5D, which </w:t>
      </w:r>
      <w:r w:rsidR="005129D9">
        <w:t>provides</w:t>
      </w:r>
      <w:r>
        <w:t xml:space="preserve"> that, for the purposes of </w:t>
      </w:r>
      <w:r w:rsidR="009531C8">
        <w:br/>
      </w:r>
      <w:r w:rsidR="002B04A4">
        <w:t>sub</w:t>
      </w:r>
      <w:r>
        <w:t>section 8</w:t>
      </w:r>
      <w:proofErr w:type="gramStart"/>
      <w:r>
        <w:t>F(</w:t>
      </w:r>
      <w:proofErr w:type="gramEnd"/>
      <w:r>
        <w:t>3)</w:t>
      </w:r>
      <w:r w:rsidR="00AD6D92">
        <w:t xml:space="preserve"> of the Act</w:t>
      </w:r>
      <w:r>
        <w:t xml:space="preserve">, the </w:t>
      </w:r>
      <w:r w:rsidR="00B71F88">
        <w:t xml:space="preserve">period </w:t>
      </w:r>
      <w:r>
        <w:t xml:space="preserve">of time between the end of a cyclone and the time at which the claims period ceases is 48 hours. </w:t>
      </w:r>
      <w:bookmarkStart w:id="2" w:name="_Hlk94270404"/>
      <w:r w:rsidR="001F18DB">
        <w:t xml:space="preserve">The end of the cyclone event (including the day and time when the claims period for that cyclone event </w:t>
      </w:r>
      <w:r w:rsidR="00242664">
        <w:t>ends</w:t>
      </w:r>
      <w:r w:rsidR="001F18DB">
        <w:t xml:space="preserve">) </w:t>
      </w:r>
      <w:bookmarkEnd w:id="2"/>
      <w:r>
        <w:t xml:space="preserve">will be specified in the declaration made by the ARPC under </w:t>
      </w:r>
      <w:r w:rsidR="002B04A4">
        <w:t>sub</w:t>
      </w:r>
      <w:r>
        <w:t xml:space="preserve">section </w:t>
      </w:r>
      <w:r w:rsidR="00330AB7">
        <w:t>8</w:t>
      </w:r>
      <w:proofErr w:type="gramStart"/>
      <w:r w:rsidR="00330AB7">
        <w:t>F</w:t>
      </w:r>
      <w:r>
        <w:t>(</w:t>
      </w:r>
      <w:proofErr w:type="gramEnd"/>
      <w:r>
        <w:t>2)</w:t>
      </w:r>
      <w:r w:rsidR="002B04A4">
        <w:t xml:space="preserve"> of the Act</w:t>
      </w:r>
      <w:r>
        <w:t xml:space="preserve">. </w:t>
      </w:r>
    </w:p>
    <w:p w14:paraId="0B8A15D7" w14:textId="77777777" w:rsidR="00C34C80" w:rsidRDefault="00C34C80" w:rsidP="00C34C80">
      <w:pPr>
        <w:spacing w:before="0" w:after="0"/>
      </w:pPr>
    </w:p>
    <w:p w14:paraId="4B749C2A" w14:textId="4E324925" w:rsidR="00C34C80" w:rsidRPr="00886607" w:rsidRDefault="00575F4A" w:rsidP="00C34C80">
      <w:pPr>
        <w:spacing w:before="0" w:after="0"/>
        <w:rPr>
          <w:b/>
          <w:bCs/>
        </w:rPr>
      </w:pPr>
      <w:r>
        <w:rPr>
          <w:b/>
          <w:bCs/>
        </w:rPr>
        <w:t xml:space="preserve">Content of </w:t>
      </w:r>
      <w:r w:rsidR="000341C8">
        <w:rPr>
          <w:b/>
          <w:bCs/>
        </w:rPr>
        <w:t xml:space="preserve">the </w:t>
      </w:r>
      <w:r>
        <w:rPr>
          <w:b/>
          <w:bCs/>
        </w:rPr>
        <w:t>Financial Outlook Report</w:t>
      </w:r>
    </w:p>
    <w:p w14:paraId="5397E6E6" w14:textId="77777777" w:rsidR="00C34C80" w:rsidRDefault="00C34C80" w:rsidP="00C34C80">
      <w:pPr>
        <w:spacing w:before="0" w:after="0"/>
      </w:pPr>
    </w:p>
    <w:p w14:paraId="0581F820" w14:textId="21A9034E" w:rsidR="00C34C80" w:rsidRPr="008A5E79" w:rsidRDefault="00C34C80" w:rsidP="00C34C80">
      <w:pPr>
        <w:spacing w:before="0" w:after="0"/>
      </w:pPr>
      <w:r>
        <w:t xml:space="preserve">Item </w:t>
      </w:r>
      <w:r w:rsidR="000F5E4F">
        <w:t>14 also</w:t>
      </w:r>
      <w:r w:rsidR="00A10CDC">
        <w:t xml:space="preserve"> inserts new regulation 5E</w:t>
      </w:r>
      <w:r w:rsidR="004578F3">
        <w:t>,</w:t>
      </w:r>
      <w:r w:rsidR="00A10CDC">
        <w:t xml:space="preserve"> which</w:t>
      </w:r>
      <w:r w:rsidR="000F5E4F">
        <w:t xml:space="preserve"> </w:t>
      </w:r>
      <w:r>
        <w:t xml:space="preserve">provides that, for the purposes of the Financial Outlook Report </w:t>
      </w:r>
      <w:r w:rsidR="00E36668">
        <w:t xml:space="preserve">under </w:t>
      </w:r>
      <w:r w:rsidR="002B04A4">
        <w:t>sub</w:t>
      </w:r>
      <w:r>
        <w:t>section 40</w:t>
      </w:r>
      <w:proofErr w:type="gramStart"/>
      <w:r>
        <w:t>A(</w:t>
      </w:r>
      <w:proofErr w:type="gramEnd"/>
      <w:r>
        <w:t xml:space="preserve">1) of the Act, the ARPC must report </w:t>
      </w:r>
      <w:r>
        <w:lastRenderedPageBreak/>
        <w:t xml:space="preserve">on the matters prescribed. The ARPC is required to provide yearly reports on the operation of the cyclone </w:t>
      </w:r>
      <w:r w:rsidR="00947003">
        <w:t xml:space="preserve">reinsurance </w:t>
      </w:r>
      <w:r>
        <w:t xml:space="preserve">scheme to ensure it operates in a transparent and publicly accountable manner. </w:t>
      </w:r>
    </w:p>
    <w:p w14:paraId="76021B60" w14:textId="77777777" w:rsidR="00E36668" w:rsidRDefault="00E36668" w:rsidP="00C34C80">
      <w:pPr>
        <w:spacing w:before="0" w:after="0"/>
        <w:rPr>
          <w:u w:val="single"/>
        </w:rPr>
      </w:pPr>
    </w:p>
    <w:p w14:paraId="56DA0418" w14:textId="3C3C7285" w:rsidR="00C34C80" w:rsidRPr="005847A4" w:rsidRDefault="00C34C80" w:rsidP="00C34C80">
      <w:pPr>
        <w:spacing w:before="0" w:after="0"/>
        <w:rPr>
          <w:u w:val="single"/>
        </w:rPr>
      </w:pPr>
      <w:r w:rsidRPr="005847A4">
        <w:rPr>
          <w:u w:val="single"/>
        </w:rPr>
        <w:t xml:space="preserve">Item </w:t>
      </w:r>
      <w:r w:rsidR="00C124EF">
        <w:rPr>
          <w:u w:val="single"/>
        </w:rPr>
        <w:t>15</w:t>
      </w:r>
    </w:p>
    <w:p w14:paraId="04DBE37D" w14:textId="77777777" w:rsidR="00C34C80" w:rsidRDefault="00C34C80" w:rsidP="00C34C80">
      <w:pPr>
        <w:spacing w:before="0" w:after="0"/>
      </w:pPr>
    </w:p>
    <w:p w14:paraId="02B2F2ED" w14:textId="3EA91E8A" w:rsidR="00C34C80" w:rsidRPr="009A24FA" w:rsidRDefault="00C34C80" w:rsidP="00C34C80">
      <w:pPr>
        <w:spacing w:before="0" w:after="0"/>
        <w:rPr>
          <w:b/>
          <w:bCs/>
        </w:rPr>
      </w:pPr>
      <w:r>
        <w:rPr>
          <w:b/>
          <w:bCs/>
        </w:rPr>
        <w:t>ARPC</w:t>
      </w:r>
      <w:r w:rsidR="005D3C32">
        <w:rPr>
          <w:b/>
          <w:bCs/>
        </w:rPr>
        <w:t xml:space="preserve"> functions</w:t>
      </w:r>
    </w:p>
    <w:p w14:paraId="261E30A3" w14:textId="77777777" w:rsidR="00C34C80" w:rsidRDefault="00C34C80" w:rsidP="00C34C80">
      <w:pPr>
        <w:spacing w:before="0" w:after="0"/>
      </w:pPr>
    </w:p>
    <w:p w14:paraId="6F3C9C14" w14:textId="21747FCC" w:rsidR="00C34C80" w:rsidRDefault="00C34C80" w:rsidP="00C34C80">
      <w:pPr>
        <w:spacing w:before="0" w:after="0"/>
      </w:pPr>
      <w:r>
        <w:t xml:space="preserve">Item </w:t>
      </w:r>
      <w:r w:rsidR="00C124EF">
        <w:t xml:space="preserve">15 </w:t>
      </w:r>
      <w:r>
        <w:t>repeals regulation 6</w:t>
      </w:r>
      <w:r w:rsidR="00E02339">
        <w:t>, which</w:t>
      </w:r>
      <w:r>
        <w:t xml:space="preserve"> </w:t>
      </w:r>
      <w:r w:rsidR="00E02339">
        <w:t>prescribes additional ARPC functions</w:t>
      </w:r>
      <w:r w:rsidR="00176CD7">
        <w:t xml:space="preserve"> that</w:t>
      </w:r>
      <w:r>
        <w:t xml:space="preserve"> are no longer necessary nor required. </w:t>
      </w:r>
      <w:r w:rsidR="00DA74AA">
        <w:t xml:space="preserve">The National Insurance Affordability Initiative is no longer </w:t>
      </w:r>
      <w:r w:rsidR="0017368D">
        <w:t>operational, making subregulation 6(1) redundant</w:t>
      </w:r>
      <w:r w:rsidR="00DA74AA">
        <w:t xml:space="preserve">. Further, </w:t>
      </w:r>
      <w:r w:rsidR="0017368D">
        <w:t xml:space="preserve">as </w:t>
      </w:r>
      <w:r>
        <w:t xml:space="preserve">the Act </w:t>
      </w:r>
      <w:r w:rsidRPr="00105FF8">
        <w:t xml:space="preserve">establishes </w:t>
      </w:r>
      <w:r w:rsidR="0017368D">
        <w:t>ARPC’s</w:t>
      </w:r>
      <w:r w:rsidR="0017368D" w:rsidRPr="00105FF8">
        <w:t xml:space="preserve"> </w:t>
      </w:r>
      <w:r w:rsidRPr="00105FF8">
        <w:t xml:space="preserve">new function </w:t>
      </w:r>
      <w:r w:rsidR="0017368D">
        <w:t xml:space="preserve">of </w:t>
      </w:r>
      <w:r w:rsidR="006F79BF">
        <w:t>administering</w:t>
      </w:r>
      <w:r w:rsidRPr="00105FF8">
        <w:t xml:space="preserve"> the </w:t>
      </w:r>
      <w:r w:rsidR="00345796">
        <w:t xml:space="preserve">cyclone reinsurance </w:t>
      </w:r>
      <w:r w:rsidRPr="00105FF8">
        <w:t>scheme</w:t>
      </w:r>
      <w:r>
        <w:t xml:space="preserve">, </w:t>
      </w:r>
      <w:r w:rsidR="00DA74AA">
        <w:t>sub</w:t>
      </w:r>
      <w:r>
        <w:t xml:space="preserve">regulation </w:t>
      </w:r>
      <w:r w:rsidR="00345796">
        <w:t>6</w:t>
      </w:r>
      <w:r w:rsidR="00DA74AA">
        <w:t>(2)</w:t>
      </w:r>
      <w:r>
        <w:t xml:space="preserve"> </w:t>
      </w:r>
      <w:r w:rsidR="0017368D">
        <w:t>is not necessary</w:t>
      </w:r>
      <w:r>
        <w:t xml:space="preserve">. </w:t>
      </w:r>
    </w:p>
    <w:p w14:paraId="033CAB52" w14:textId="77777777" w:rsidR="00C34C80" w:rsidRDefault="00C34C80" w:rsidP="00C34C80">
      <w:pPr>
        <w:spacing w:before="0" w:after="0"/>
        <w:rPr>
          <w:u w:val="single"/>
        </w:rPr>
      </w:pPr>
    </w:p>
    <w:p w14:paraId="5A3DB2D9" w14:textId="27F4B455" w:rsidR="007A55A7" w:rsidRDefault="007A55A7" w:rsidP="00013390">
      <w:pPr>
        <w:pageBreakBefore/>
        <w:spacing w:before="240"/>
        <w:jc w:val="right"/>
        <w:rPr>
          <w:b/>
          <w:u w:val="single"/>
        </w:rPr>
      </w:pPr>
      <w:r w:rsidRPr="007B335E">
        <w:rPr>
          <w:b/>
          <w:u w:val="single"/>
        </w:rPr>
        <w:lastRenderedPageBreak/>
        <w:t xml:space="preserve">ATTACHMENT </w:t>
      </w:r>
      <w:r w:rsidR="00BB0F74">
        <w:rPr>
          <w:b/>
          <w:u w:val="single"/>
        </w:rPr>
        <w:t>B</w:t>
      </w:r>
    </w:p>
    <w:p w14:paraId="0C0308C0" w14:textId="77777777" w:rsidR="00E4438C" w:rsidRPr="00462095" w:rsidRDefault="00E4438C" w:rsidP="003E1CE3">
      <w:pPr>
        <w:pStyle w:val="Heading3"/>
      </w:pPr>
      <w:r w:rsidRPr="00462095">
        <w:t>Statement of Compatibility with Human Rights</w:t>
      </w:r>
    </w:p>
    <w:p w14:paraId="6B736006"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3F5A60B1" w14:textId="77777777" w:rsidR="00037B08" w:rsidRPr="00037B08" w:rsidRDefault="00037B08" w:rsidP="00037B08">
      <w:pPr>
        <w:tabs>
          <w:tab w:val="left" w:pos="1418"/>
        </w:tabs>
        <w:spacing w:before="0" w:after="240"/>
        <w:jc w:val="center"/>
        <w:rPr>
          <w:b/>
          <w:bCs/>
          <w:iCs/>
        </w:rPr>
      </w:pPr>
      <w:r w:rsidRPr="00037B08">
        <w:rPr>
          <w:b/>
          <w:bCs/>
          <w:iCs/>
        </w:rPr>
        <w:t>Terrorism Insurance Amendment (Cyclone and Related Flood Damage Reinsurance Pool) Regulations 2022</w:t>
      </w:r>
    </w:p>
    <w:p w14:paraId="2A131750" w14:textId="44715CC8" w:rsidR="00E4438C" w:rsidRPr="00647BB7" w:rsidRDefault="00E4438C" w:rsidP="00647BB7">
      <w:pPr>
        <w:spacing w:before="240"/>
      </w:pPr>
      <w:r w:rsidRPr="00647BB7">
        <w:t>Th</w:t>
      </w:r>
      <w:r w:rsidR="00D10AE9">
        <w:t>e Regulations are</w:t>
      </w:r>
      <w:r w:rsidRPr="00647BB7">
        <w:t xml:space="preserve"> compatible with the human rights and freedoms recognised or declared in the international instruments listed in section 3 of the </w:t>
      </w:r>
      <w:r w:rsidRPr="00647BB7">
        <w:rPr>
          <w:i/>
        </w:rPr>
        <w:t>Human Rights (Parliamentary Scrutiny) Act 2011</w:t>
      </w:r>
      <w:r w:rsidRPr="00647BB7">
        <w:t>.</w:t>
      </w:r>
    </w:p>
    <w:p w14:paraId="39722E3B" w14:textId="1156508A" w:rsidR="00E4438C" w:rsidRPr="00647BB7" w:rsidRDefault="00E4438C" w:rsidP="003E1CE3">
      <w:pPr>
        <w:pStyle w:val="Heading3"/>
      </w:pPr>
      <w:r w:rsidRPr="00647BB7">
        <w:t>Overview of the Legislative Instrument</w:t>
      </w:r>
    </w:p>
    <w:p w14:paraId="5FADBC25" w14:textId="77777777" w:rsidR="00D71ED4" w:rsidRDefault="00D71ED4" w:rsidP="00D71ED4">
      <w:pPr>
        <w:spacing w:before="240"/>
      </w:pPr>
      <w:r>
        <w:t xml:space="preserve">On 4 May </w:t>
      </w:r>
      <w:r w:rsidDel="003E5E7E">
        <w:t>2021</w:t>
      </w:r>
      <w:r>
        <w:t>, the Government announced its intention to establish a reinsurance pool to cover cyclone and cyclone-related flood damage (the cyclone reinsurance scheme) to commence from 1 July 2022. The cyclone reinsurance scheme seeks to improve insurance access and affordability for households and small businesses in cyclone-prone areas by reinsuring the risk of property damage caused by cyclones and cyclone</w:t>
      </w:r>
      <w:r>
        <w:noBreakHyphen/>
        <w:t>related flood damage.</w:t>
      </w:r>
      <w:r w:rsidRPr="00C55884">
        <w:t xml:space="preserve"> </w:t>
      </w:r>
    </w:p>
    <w:p w14:paraId="000E5AAD" w14:textId="1E37143E" w:rsidR="00D71ED4" w:rsidRPr="000A5D4B" w:rsidRDefault="00D71ED4" w:rsidP="00D71ED4">
      <w:pPr>
        <w:spacing w:before="240"/>
      </w:pPr>
      <w:r w:rsidRPr="000A5D4B">
        <w:t xml:space="preserve">The </w:t>
      </w:r>
      <w:r w:rsidRPr="000A5D4B">
        <w:rPr>
          <w:i/>
          <w:iCs/>
        </w:rPr>
        <w:t>Terrorism Insurance Amendment (Cyclone and Related Flood Damage Reinsurance Pool) Regulations 2022</w:t>
      </w:r>
      <w:r w:rsidRPr="000A5D4B">
        <w:t xml:space="preserve"> (the Regulations) amend the </w:t>
      </w:r>
      <w:r w:rsidR="00700B76" w:rsidRPr="000A5D4B">
        <w:rPr>
          <w:i/>
          <w:iCs/>
        </w:rPr>
        <w:t>Terrorism Insurance Regulations 2003</w:t>
      </w:r>
      <w:r w:rsidRPr="000A5D4B">
        <w:t xml:space="preserve"> </w:t>
      </w:r>
      <w:r w:rsidR="00D220FF" w:rsidRPr="000A5D4B">
        <w:t xml:space="preserve">(TI Regulations) </w:t>
      </w:r>
      <w:r w:rsidRPr="000A5D4B">
        <w:t xml:space="preserve">to accommodate the new cyclone reinsurance scheme established by the </w:t>
      </w:r>
      <w:r w:rsidRPr="000A5D4B">
        <w:rPr>
          <w:i/>
        </w:rPr>
        <w:t>Treasury Laws Amendment (Cyclone and Flood Damage Reinsurance Pool) Act 2022</w:t>
      </w:r>
      <w:r w:rsidRPr="000A5D4B">
        <w:t>.</w:t>
      </w:r>
    </w:p>
    <w:p w14:paraId="20DA9A09" w14:textId="7D9DEA62" w:rsidR="00D86F0C" w:rsidRDefault="00D86F0C" w:rsidP="00D86F0C">
      <w:pPr>
        <w:spacing w:before="240"/>
      </w:pPr>
      <w:r>
        <w:t xml:space="preserve">The Regulations prescribe the definition of key terms for the cyclone reinsurance scheme, such as the definition of </w:t>
      </w:r>
      <w:r w:rsidR="00007F0D">
        <w:t>‘</w:t>
      </w:r>
      <w:r>
        <w:t>cyclone</w:t>
      </w:r>
      <w:r w:rsidR="00007F0D">
        <w:t>’</w:t>
      </w:r>
      <w:r>
        <w:t xml:space="preserve">, the duration for the end of the claims period for a cyclone event, </w:t>
      </w:r>
      <w:r w:rsidR="00007F0D">
        <w:t>‘</w:t>
      </w:r>
      <w:r>
        <w:t>home building</w:t>
      </w:r>
      <w:r w:rsidR="00007F0D">
        <w:t>’</w:t>
      </w:r>
      <w:r>
        <w:t xml:space="preserve">, and </w:t>
      </w:r>
      <w:r w:rsidR="00007F0D">
        <w:t>‘</w:t>
      </w:r>
      <w:r>
        <w:t>contents.</w:t>
      </w:r>
      <w:r w:rsidR="00007F0D">
        <w:t>’</w:t>
      </w:r>
      <w:r>
        <w:t xml:space="preserve"> The Regulations set the threshold amount for determining if an insurer has minimum exposure to policies with eligible cyclone risks, which determines whether an insurer is required to participate in the cyclone reinsurance scheme. The Regulations also set the threshold amount for the maximum sum insured test that applies when determining if certain policies are eligible for coverage under the cyclone reinsurance scheme.</w:t>
      </w:r>
    </w:p>
    <w:p w14:paraId="72B66490" w14:textId="1565A7CD" w:rsidR="0098451F" w:rsidRDefault="00F12E73" w:rsidP="00F12E73">
      <w:pPr>
        <w:pStyle w:val="Bullet"/>
        <w:numPr>
          <w:ilvl w:val="0"/>
          <w:numId w:val="0"/>
        </w:numPr>
      </w:pPr>
      <w:r>
        <w:t xml:space="preserve">The </w:t>
      </w:r>
      <w:r w:rsidRPr="00F12E73">
        <w:rPr>
          <w:i/>
          <w:iCs/>
        </w:rPr>
        <w:t>Terrorism and Cyclone Insurance Act 2003</w:t>
      </w:r>
      <w:r w:rsidR="0098451F">
        <w:t xml:space="preserve">, </w:t>
      </w:r>
      <w:r w:rsidR="0098451F">
        <w:rPr>
          <w:i/>
          <w:iCs/>
        </w:rPr>
        <w:t>Insurance Act 1973</w:t>
      </w:r>
      <w:r w:rsidR="0098451F">
        <w:t xml:space="preserve"> and </w:t>
      </w:r>
      <w:r w:rsidR="0098451F">
        <w:rPr>
          <w:i/>
          <w:iCs/>
        </w:rPr>
        <w:t>Legislation Act 2003</w:t>
      </w:r>
      <w:r w:rsidR="0098451F" w:rsidRPr="00B242B5">
        <w:t xml:space="preserve"> do not specify any conditions that need to be met before the power to make the Regulations is exercised. </w:t>
      </w:r>
    </w:p>
    <w:p w14:paraId="6234019A" w14:textId="77777777" w:rsidR="00E4438C" w:rsidRPr="00647BB7" w:rsidRDefault="00E4438C" w:rsidP="003E1CE3">
      <w:pPr>
        <w:pStyle w:val="Heading3"/>
      </w:pPr>
      <w:r w:rsidRPr="00647BB7">
        <w:t>Human rights implications</w:t>
      </w:r>
    </w:p>
    <w:p w14:paraId="002E532E" w14:textId="4B10AE19" w:rsidR="00E4438C" w:rsidRPr="00647BB7" w:rsidRDefault="00E4438C" w:rsidP="00647BB7">
      <w:pPr>
        <w:spacing w:before="240"/>
      </w:pPr>
      <w:r w:rsidRPr="00647BB7">
        <w:t>Th</w:t>
      </w:r>
      <w:r w:rsidR="000B39D7">
        <w:t>e</w:t>
      </w:r>
      <w:r w:rsidR="000F5972">
        <w:t xml:space="preserve"> Regulations </w:t>
      </w:r>
      <w:r w:rsidRPr="00647BB7">
        <w:t xml:space="preserve">do not engage any of the applicable </w:t>
      </w:r>
      <w:r w:rsidR="002C1651">
        <w:t xml:space="preserve">human </w:t>
      </w:r>
      <w:r w:rsidRPr="00647BB7">
        <w:t>rights or freedoms</w:t>
      </w:r>
      <w:r w:rsidR="000F5972">
        <w:t xml:space="preserve"> as the amendments </w:t>
      </w:r>
      <w:r w:rsidR="001611C4">
        <w:t xml:space="preserve">are to further </w:t>
      </w:r>
      <w:r w:rsidR="003638D7">
        <w:t>amend</w:t>
      </w:r>
      <w:r w:rsidR="001611C4">
        <w:t xml:space="preserve"> the framework for the ARPC to operate the scheme, and </w:t>
      </w:r>
      <w:r w:rsidR="000F5972">
        <w:t xml:space="preserve">only apply to insurance companies, not individuals. </w:t>
      </w:r>
    </w:p>
    <w:p w14:paraId="0C39C436" w14:textId="77777777" w:rsidR="00E4438C" w:rsidRPr="00647BB7" w:rsidRDefault="00E4438C" w:rsidP="003E1CE3">
      <w:pPr>
        <w:pStyle w:val="Heading3"/>
      </w:pPr>
      <w:r w:rsidRPr="00647BB7">
        <w:t>Conclusion</w:t>
      </w:r>
    </w:p>
    <w:p w14:paraId="1F28FD73" w14:textId="6E5DCE34" w:rsidR="00482B81" w:rsidRDefault="000F5972" w:rsidP="00647BB7">
      <w:pPr>
        <w:spacing w:before="240"/>
      </w:pPr>
      <w:r>
        <w:t>The Regulations are</w:t>
      </w:r>
      <w:r w:rsidR="00E4438C" w:rsidRPr="00647BB7">
        <w:t xml:space="preserve"> compatible with human rights as it does not raise any human rights issues.</w:t>
      </w:r>
    </w:p>
    <w:bookmarkEnd w:id="0"/>
    <w:sectPr w:rsidR="00482B81"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E52F0" w14:textId="77777777" w:rsidR="00C34C80" w:rsidRDefault="00C34C80" w:rsidP="00954679">
      <w:pPr>
        <w:spacing w:before="0" w:after="0"/>
      </w:pPr>
      <w:r>
        <w:separator/>
      </w:r>
    </w:p>
  </w:endnote>
  <w:endnote w:type="continuationSeparator" w:id="0">
    <w:p w14:paraId="1F241286" w14:textId="77777777" w:rsidR="00C34C80" w:rsidRDefault="00C34C80" w:rsidP="00954679">
      <w:pPr>
        <w:spacing w:before="0" w:after="0"/>
      </w:pPr>
      <w:r>
        <w:continuationSeparator/>
      </w:r>
    </w:p>
  </w:endnote>
  <w:endnote w:type="continuationNotice" w:id="1">
    <w:p w14:paraId="59021AC7" w14:textId="77777777" w:rsidR="00B00758" w:rsidRDefault="00B007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4C83BBC"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ED74" w14:textId="77777777" w:rsidR="00C34C80" w:rsidRDefault="00C34C80" w:rsidP="00954679">
      <w:pPr>
        <w:spacing w:before="0" w:after="0"/>
      </w:pPr>
      <w:r>
        <w:separator/>
      </w:r>
    </w:p>
  </w:footnote>
  <w:footnote w:type="continuationSeparator" w:id="0">
    <w:p w14:paraId="72B3513A" w14:textId="77777777" w:rsidR="00C34C80" w:rsidRDefault="00C34C80" w:rsidP="00954679">
      <w:pPr>
        <w:spacing w:before="0" w:after="0"/>
      </w:pPr>
      <w:r>
        <w:continuationSeparator/>
      </w:r>
    </w:p>
  </w:footnote>
  <w:footnote w:type="continuationNotice" w:id="1">
    <w:p w14:paraId="0B2C714D" w14:textId="77777777" w:rsidR="00B00758" w:rsidRDefault="00B0075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DF5"/>
    <w:multiLevelType w:val="hybridMultilevel"/>
    <w:tmpl w:val="04EC22F0"/>
    <w:lvl w:ilvl="0" w:tplc="B406DC4C">
      <w:start w:val="43"/>
      <w:numFmt w:val="bullet"/>
      <w:lvlText w:val="-"/>
      <w:lvlJc w:val="left"/>
      <w:pPr>
        <w:ind w:left="410" w:hanging="360"/>
      </w:pPr>
      <w:rPr>
        <w:rFonts w:ascii="Times New Roman" w:eastAsia="Times New Roman" w:hAnsi="Times New Roman" w:cs="Times New Roman"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 w15:restartNumberingAfterBreak="0">
    <w:nsid w:val="084B5315"/>
    <w:multiLevelType w:val="hybridMultilevel"/>
    <w:tmpl w:val="3D682AA4"/>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2" w15:restartNumberingAfterBreak="0">
    <w:nsid w:val="094129A2"/>
    <w:multiLevelType w:val="multilevel"/>
    <w:tmpl w:val="C81E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1126A6"/>
    <w:multiLevelType w:val="hybridMultilevel"/>
    <w:tmpl w:val="D4C646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9170CA0"/>
    <w:multiLevelType w:val="multilevel"/>
    <w:tmpl w:val="EF9273AA"/>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BFE5CBA"/>
    <w:multiLevelType w:val="hybridMultilevel"/>
    <w:tmpl w:val="53961202"/>
    <w:lvl w:ilvl="0" w:tplc="A1723374">
      <w:start w:val="4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8" w15:restartNumberingAfterBreak="0">
    <w:nsid w:val="5EB3400F"/>
    <w:multiLevelType w:val="hybridMultilevel"/>
    <w:tmpl w:val="51DE1EEC"/>
    <w:lvl w:ilvl="0" w:tplc="9FBEA96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171545"/>
    <w:multiLevelType w:val="hybridMultilevel"/>
    <w:tmpl w:val="90942676"/>
    <w:lvl w:ilvl="0" w:tplc="5C769494">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7902D59"/>
    <w:multiLevelType w:val="hybridMultilevel"/>
    <w:tmpl w:val="E5CC83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4"/>
  </w:num>
  <w:num w:numId="5">
    <w:abstractNumId w:val="5"/>
  </w:num>
  <w:num w:numId="6">
    <w:abstractNumId w:val="6"/>
  </w:num>
  <w:num w:numId="7">
    <w:abstractNumId w:val="0"/>
  </w:num>
  <w:num w:numId="8">
    <w:abstractNumId w:val="1"/>
  </w:num>
  <w:num w:numId="9">
    <w:abstractNumId w:val="11"/>
  </w:num>
  <w:num w:numId="10">
    <w:abstractNumId w:val="9"/>
  </w:num>
  <w:num w:numId="11">
    <w:abstractNumId w:val="2"/>
  </w:num>
  <w:num w:numId="12">
    <w:abstractNumId w:val="10"/>
  </w:num>
  <w:num w:numId="13">
    <w:abstractNumId w:val="10"/>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80"/>
    <w:rsid w:val="00002F2F"/>
    <w:rsid w:val="00003C44"/>
    <w:rsid w:val="00004062"/>
    <w:rsid w:val="000046F4"/>
    <w:rsid w:val="0000483B"/>
    <w:rsid w:val="000057A0"/>
    <w:rsid w:val="00006F68"/>
    <w:rsid w:val="000079D2"/>
    <w:rsid w:val="00007F0D"/>
    <w:rsid w:val="00010A4B"/>
    <w:rsid w:val="0001178B"/>
    <w:rsid w:val="000123CC"/>
    <w:rsid w:val="000124E5"/>
    <w:rsid w:val="00012FEE"/>
    <w:rsid w:val="00013390"/>
    <w:rsid w:val="000137DB"/>
    <w:rsid w:val="00014735"/>
    <w:rsid w:val="00014C87"/>
    <w:rsid w:val="00015238"/>
    <w:rsid w:val="00015F41"/>
    <w:rsid w:val="00016041"/>
    <w:rsid w:val="000160CF"/>
    <w:rsid w:val="00016CAA"/>
    <w:rsid w:val="00016EA2"/>
    <w:rsid w:val="00017953"/>
    <w:rsid w:val="000200E9"/>
    <w:rsid w:val="000210E9"/>
    <w:rsid w:val="00021657"/>
    <w:rsid w:val="00021B62"/>
    <w:rsid w:val="00021D9A"/>
    <w:rsid w:val="00023B77"/>
    <w:rsid w:val="000247F1"/>
    <w:rsid w:val="00024D03"/>
    <w:rsid w:val="00025055"/>
    <w:rsid w:val="00025541"/>
    <w:rsid w:val="000255E4"/>
    <w:rsid w:val="00025866"/>
    <w:rsid w:val="00025C80"/>
    <w:rsid w:val="00025E95"/>
    <w:rsid w:val="00026D4F"/>
    <w:rsid w:val="000276F9"/>
    <w:rsid w:val="0002792B"/>
    <w:rsid w:val="000279DA"/>
    <w:rsid w:val="000300D7"/>
    <w:rsid w:val="0003061F"/>
    <w:rsid w:val="00031699"/>
    <w:rsid w:val="00032549"/>
    <w:rsid w:val="00032579"/>
    <w:rsid w:val="000341C8"/>
    <w:rsid w:val="000350B2"/>
    <w:rsid w:val="000357ED"/>
    <w:rsid w:val="000358EB"/>
    <w:rsid w:val="000368DE"/>
    <w:rsid w:val="00036FF9"/>
    <w:rsid w:val="000373C1"/>
    <w:rsid w:val="00037B08"/>
    <w:rsid w:val="00037BCD"/>
    <w:rsid w:val="000411B9"/>
    <w:rsid w:val="000413FC"/>
    <w:rsid w:val="00041971"/>
    <w:rsid w:val="00041F32"/>
    <w:rsid w:val="00042119"/>
    <w:rsid w:val="00042932"/>
    <w:rsid w:val="00042EA9"/>
    <w:rsid w:val="00043420"/>
    <w:rsid w:val="00043769"/>
    <w:rsid w:val="00043D87"/>
    <w:rsid w:val="000442D1"/>
    <w:rsid w:val="0004431B"/>
    <w:rsid w:val="000448CC"/>
    <w:rsid w:val="0004523B"/>
    <w:rsid w:val="0004580E"/>
    <w:rsid w:val="00045869"/>
    <w:rsid w:val="0004694A"/>
    <w:rsid w:val="00047716"/>
    <w:rsid w:val="00047CE3"/>
    <w:rsid w:val="00051AA5"/>
    <w:rsid w:val="00054992"/>
    <w:rsid w:val="000550DC"/>
    <w:rsid w:val="00055332"/>
    <w:rsid w:val="00056A1E"/>
    <w:rsid w:val="00057CAD"/>
    <w:rsid w:val="00057FBD"/>
    <w:rsid w:val="00060738"/>
    <w:rsid w:val="00060F84"/>
    <w:rsid w:val="00061085"/>
    <w:rsid w:val="00061341"/>
    <w:rsid w:val="000615B9"/>
    <w:rsid w:val="00061978"/>
    <w:rsid w:val="00062857"/>
    <w:rsid w:val="0006358F"/>
    <w:rsid w:val="00063748"/>
    <w:rsid w:val="00063822"/>
    <w:rsid w:val="0006491B"/>
    <w:rsid w:val="00064F1D"/>
    <w:rsid w:val="00065648"/>
    <w:rsid w:val="00065D19"/>
    <w:rsid w:val="00065DE1"/>
    <w:rsid w:val="00065E87"/>
    <w:rsid w:val="00065F71"/>
    <w:rsid w:val="00065F9F"/>
    <w:rsid w:val="0006667C"/>
    <w:rsid w:val="000675C3"/>
    <w:rsid w:val="00067B26"/>
    <w:rsid w:val="000709BA"/>
    <w:rsid w:val="000714C6"/>
    <w:rsid w:val="00072138"/>
    <w:rsid w:val="000724CB"/>
    <w:rsid w:val="00072806"/>
    <w:rsid w:val="00072D30"/>
    <w:rsid w:val="000731CE"/>
    <w:rsid w:val="000733C3"/>
    <w:rsid w:val="000746B8"/>
    <w:rsid w:val="0007522E"/>
    <w:rsid w:val="00076178"/>
    <w:rsid w:val="000766EE"/>
    <w:rsid w:val="00076A72"/>
    <w:rsid w:val="00076EA4"/>
    <w:rsid w:val="0008061A"/>
    <w:rsid w:val="00080997"/>
    <w:rsid w:val="00080B23"/>
    <w:rsid w:val="0008193C"/>
    <w:rsid w:val="0008257E"/>
    <w:rsid w:val="00082D8B"/>
    <w:rsid w:val="00083405"/>
    <w:rsid w:val="00084426"/>
    <w:rsid w:val="0008491E"/>
    <w:rsid w:val="00084CAD"/>
    <w:rsid w:val="000855D3"/>
    <w:rsid w:val="00085725"/>
    <w:rsid w:val="00086154"/>
    <w:rsid w:val="00086740"/>
    <w:rsid w:val="000877B6"/>
    <w:rsid w:val="00087D96"/>
    <w:rsid w:val="00090124"/>
    <w:rsid w:val="00090911"/>
    <w:rsid w:val="00091237"/>
    <w:rsid w:val="0009134A"/>
    <w:rsid w:val="0009199E"/>
    <w:rsid w:val="000926E9"/>
    <w:rsid w:val="00092C7B"/>
    <w:rsid w:val="00093064"/>
    <w:rsid w:val="00095211"/>
    <w:rsid w:val="0009566E"/>
    <w:rsid w:val="000958F2"/>
    <w:rsid w:val="00096EC4"/>
    <w:rsid w:val="000972D3"/>
    <w:rsid w:val="00097456"/>
    <w:rsid w:val="0009770E"/>
    <w:rsid w:val="00097ABB"/>
    <w:rsid w:val="00097E2B"/>
    <w:rsid w:val="000A0550"/>
    <w:rsid w:val="000A1B5D"/>
    <w:rsid w:val="000A240A"/>
    <w:rsid w:val="000A3C2A"/>
    <w:rsid w:val="000A4702"/>
    <w:rsid w:val="000A5365"/>
    <w:rsid w:val="000A5D4B"/>
    <w:rsid w:val="000A6F8F"/>
    <w:rsid w:val="000A7321"/>
    <w:rsid w:val="000A7C4F"/>
    <w:rsid w:val="000B1D05"/>
    <w:rsid w:val="000B1F57"/>
    <w:rsid w:val="000B2306"/>
    <w:rsid w:val="000B320C"/>
    <w:rsid w:val="000B394A"/>
    <w:rsid w:val="000B39A1"/>
    <w:rsid w:val="000B39D7"/>
    <w:rsid w:val="000B4F20"/>
    <w:rsid w:val="000B5059"/>
    <w:rsid w:val="000B56A1"/>
    <w:rsid w:val="000B599C"/>
    <w:rsid w:val="000B6E07"/>
    <w:rsid w:val="000B707A"/>
    <w:rsid w:val="000B7EE3"/>
    <w:rsid w:val="000C0B1B"/>
    <w:rsid w:val="000C10DF"/>
    <w:rsid w:val="000C1E5A"/>
    <w:rsid w:val="000C331C"/>
    <w:rsid w:val="000C3D1B"/>
    <w:rsid w:val="000C46E9"/>
    <w:rsid w:val="000C54A9"/>
    <w:rsid w:val="000C6935"/>
    <w:rsid w:val="000C6BB4"/>
    <w:rsid w:val="000C76DE"/>
    <w:rsid w:val="000C7C22"/>
    <w:rsid w:val="000C7E94"/>
    <w:rsid w:val="000C7EA1"/>
    <w:rsid w:val="000D0430"/>
    <w:rsid w:val="000D0692"/>
    <w:rsid w:val="000D0ABB"/>
    <w:rsid w:val="000D1CCC"/>
    <w:rsid w:val="000D2DE6"/>
    <w:rsid w:val="000D32EA"/>
    <w:rsid w:val="000D33E0"/>
    <w:rsid w:val="000D3526"/>
    <w:rsid w:val="000D3964"/>
    <w:rsid w:val="000D5A73"/>
    <w:rsid w:val="000D6D37"/>
    <w:rsid w:val="000D6F4A"/>
    <w:rsid w:val="000D7780"/>
    <w:rsid w:val="000D796A"/>
    <w:rsid w:val="000D7B7B"/>
    <w:rsid w:val="000D7EB1"/>
    <w:rsid w:val="000E0413"/>
    <w:rsid w:val="000E15D3"/>
    <w:rsid w:val="000E234F"/>
    <w:rsid w:val="000E28FA"/>
    <w:rsid w:val="000E32E3"/>
    <w:rsid w:val="000E48EB"/>
    <w:rsid w:val="000E7330"/>
    <w:rsid w:val="000E7473"/>
    <w:rsid w:val="000F0B61"/>
    <w:rsid w:val="000F0CCA"/>
    <w:rsid w:val="000F1306"/>
    <w:rsid w:val="000F187E"/>
    <w:rsid w:val="000F26AF"/>
    <w:rsid w:val="000F280A"/>
    <w:rsid w:val="000F36B9"/>
    <w:rsid w:val="000F5972"/>
    <w:rsid w:val="000F5E4F"/>
    <w:rsid w:val="000F6619"/>
    <w:rsid w:val="000F72BF"/>
    <w:rsid w:val="00100B24"/>
    <w:rsid w:val="00100C93"/>
    <w:rsid w:val="0010184F"/>
    <w:rsid w:val="001019A2"/>
    <w:rsid w:val="00101BB9"/>
    <w:rsid w:val="00102D44"/>
    <w:rsid w:val="00102DE7"/>
    <w:rsid w:val="00102DEF"/>
    <w:rsid w:val="001035B1"/>
    <w:rsid w:val="00105B75"/>
    <w:rsid w:val="001060F8"/>
    <w:rsid w:val="00106F98"/>
    <w:rsid w:val="00107DB2"/>
    <w:rsid w:val="0011011C"/>
    <w:rsid w:val="0011067B"/>
    <w:rsid w:val="001106AF"/>
    <w:rsid w:val="00110DDE"/>
    <w:rsid w:val="001115B0"/>
    <w:rsid w:val="0011280E"/>
    <w:rsid w:val="00112BAE"/>
    <w:rsid w:val="0011311B"/>
    <w:rsid w:val="00113137"/>
    <w:rsid w:val="0011337E"/>
    <w:rsid w:val="00113B45"/>
    <w:rsid w:val="00113B9D"/>
    <w:rsid w:val="00113F11"/>
    <w:rsid w:val="0011431A"/>
    <w:rsid w:val="00114DCE"/>
    <w:rsid w:val="0011595C"/>
    <w:rsid w:val="00115A57"/>
    <w:rsid w:val="00115C87"/>
    <w:rsid w:val="0011625B"/>
    <w:rsid w:val="00116973"/>
    <w:rsid w:val="001175C8"/>
    <w:rsid w:val="00120055"/>
    <w:rsid w:val="00120654"/>
    <w:rsid w:val="00120D05"/>
    <w:rsid w:val="00121B73"/>
    <w:rsid w:val="00121DE5"/>
    <w:rsid w:val="0012283E"/>
    <w:rsid w:val="001246D0"/>
    <w:rsid w:val="001263A7"/>
    <w:rsid w:val="00126B6E"/>
    <w:rsid w:val="00126F4B"/>
    <w:rsid w:val="0012748C"/>
    <w:rsid w:val="001274DE"/>
    <w:rsid w:val="0012779A"/>
    <w:rsid w:val="00127DBD"/>
    <w:rsid w:val="00127E9C"/>
    <w:rsid w:val="00130B09"/>
    <w:rsid w:val="00130F05"/>
    <w:rsid w:val="001312FF"/>
    <w:rsid w:val="00131869"/>
    <w:rsid w:val="001319F3"/>
    <w:rsid w:val="001330C1"/>
    <w:rsid w:val="001334B0"/>
    <w:rsid w:val="001339F0"/>
    <w:rsid w:val="001347EB"/>
    <w:rsid w:val="0013561F"/>
    <w:rsid w:val="001363FD"/>
    <w:rsid w:val="00136769"/>
    <w:rsid w:val="00136D9C"/>
    <w:rsid w:val="001370DC"/>
    <w:rsid w:val="00137200"/>
    <w:rsid w:val="00137491"/>
    <w:rsid w:val="00137778"/>
    <w:rsid w:val="0014087F"/>
    <w:rsid w:val="0014155C"/>
    <w:rsid w:val="00141819"/>
    <w:rsid w:val="00141CB6"/>
    <w:rsid w:val="00142A9B"/>
    <w:rsid w:val="001439EE"/>
    <w:rsid w:val="00143BFF"/>
    <w:rsid w:val="00143E45"/>
    <w:rsid w:val="00144839"/>
    <w:rsid w:val="00144C4E"/>
    <w:rsid w:val="001452CD"/>
    <w:rsid w:val="00145A91"/>
    <w:rsid w:val="00146F7C"/>
    <w:rsid w:val="0014703A"/>
    <w:rsid w:val="001475FC"/>
    <w:rsid w:val="00147D1B"/>
    <w:rsid w:val="001501A0"/>
    <w:rsid w:val="00150B0F"/>
    <w:rsid w:val="001518CF"/>
    <w:rsid w:val="00151FAD"/>
    <w:rsid w:val="0015370E"/>
    <w:rsid w:val="00153813"/>
    <w:rsid w:val="00153F02"/>
    <w:rsid w:val="00155762"/>
    <w:rsid w:val="001566FC"/>
    <w:rsid w:val="00156ED3"/>
    <w:rsid w:val="001574B2"/>
    <w:rsid w:val="0016043C"/>
    <w:rsid w:val="001609AF"/>
    <w:rsid w:val="001611C4"/>
    <w:rsid w:val="00161391"/>
    <w:rsid w:val="001629AA"/>
    <w:rsid w:val="00162ECB"/>
    <w:rsid w:val="00163DCD"/>
    <w:rsid w:val="0016436C"/>
    <w:rsid w:val="00164622"/>
    <w:rsid w:val="0016579B"/>
    <w:rsid w:val="00165E45"/>
    <w:rsid w:val="00171527"/>
    <w:rsid w:val="00172F98"/>
    <w:rsid w:val="0017368D"/>
    <w:rsid w:val="001738CC"/>
    <w:rsid w:val="00173F55"/>
    <w:rsid w:val="0017473F"/>
    <w:rsid w:val="001748C2"/>
    <w:rsid w:val="00174B9A"/>
    <w:rsid w:val="00174C5E"/>
    <w:rsid w:val="00175352"/>
    <w:rsid w:val="001754DB"/>
    <w:rsid w:val="00175A11"/>
    <w:rsid w:val="00175DD5"/>
    <w:rsid w:val="00176B30"/>
    <w:rsid w:val="00176CD7"/>
    <w:rsid w:val="00176E0F"/>
    <w:rsid w:val="00177C19"/>
    <w:rsid w:val="001801E5"/>
    <w:rsid w:val="001809FE"/>
    <w:rsid w:val="00180D84"/>
    <w:rsid w:val="00180F00"/>
    <w:rsid w:val="00181050"/>
    <w:rsid w:val="0018224E"/>
    <w:rsid w:val="0018356A"/>
    <w:rsid w:val="00184360"/>
    <w:rsid w:val="00184EDE"/>
    <w:rsid w:val="00186459"/>
    <w:rsid w:val="001864E6"/>
    <w:rsid w:val="00187714"/>
    <w:rsid w:val="0019056C"/>
    <w:rsid w:val="00190976"/>
    <w:rsid w:val="001910E1"/>
    <w:rsid w:val="00191D08"/>
    <w:rsid w:val="00191DB2"/>
    <w:rsid w:val="00192338"/>
    <w:rsid w:val="00192997"/>
    <w:rsid w:val="0019307D"/>
    <w:rsid w:val="00193DCD"/>
    <w:rsid w:val="001946A7"/>
    <w:rsid w:val="00194F46"/>
    <w:rsid w:val="0019527D"/>
    <w:rsid w:val="00195D2B"/>
    <w:rsid w:val="0019621F"/>
    <w:rsid w:val="001969A0"/>
    <w:rsid w:val="00196CB3"/>
    <w:rsid w:val="00197D08"/>
    <w:rsid w:val="001A11A0"/>
    <w:rsid w:val="001A1392"/>
    <w:rsid w:val="001A1B27"/>
    <w:rsid w:val="001A4437"/>
    <w:rsid w:val="001A4796"/>
    <w:rsid w:val="001A57A8"/>
    <w:rsid w:val="001A5DB3"/>
    <w:rsid w:val="001A64D9"/>
    <w:rsid w:val="001A698D"/>
    <w:rsid w:val="001A6ADE"/>
    <w:rsid w:val="001A7514"/>
    <w:rsid w:val="001A7AF4"/>
    <w:rsid w:val="001B0771"/>
    <w:rsid w:val="001B0D48"/>
    <w:rsid w:val="001B216A"/>
    <w:rsid w:val="001B2687"/>
    <w:rsid w:val="001B3EA1"/>
    <w:rsid w:val="001B48EE"/>
    <w:rsid w:val="001B5078"/>
    <w:rsid w:val="001B5B9E"/>
    <w:rsid w:val="001B7535"/>
    <w:rsid w:val="001C0115"/>
    <w:rsid w:val="001C0385"/>
    <w:rsid w:val="001C1124"/>
    <w:rsid w:val="001C2B2E"/>
    <w:rsid w:val="001C336E"/>
    <w:rsid w:val="001C33DA"/>
    <w:rsid w:val="001C35C4"/>
    <w:rsid w:val="001C3FEF"/>
    <w:rsid w:val="001C44CD"/>
    <w:rsid w:val="001C4816"/>
    <w:rsid w:val="001C49A2"/>
    <w:rsid w:val="001C60AD"/>
    <w:rsid w:val="001C61F2"/>
    <w:rsid w:val="001C6319"/>
    <w:rsid w:val="001C7516"/>
    <w:rsid w:val="001C7D22"/>
    <w:rsid w:val="001D098D"/>
    <w:rsid w:val="001D1242"/>
    <w:rsid w:val="001D1C72"/>
    <w:rsid w:val="001D1D5C"/>
    <w:rsid w:val="001D25BB"/>
    <w:rsid w:val="001D4034"/>
    <w:rsid w:val="001D4B3F"/>
    <w:rsid w:val="001D4BDA"/>
    <w:rsid w:val="001D4EE0"/>
    <w:rsid w:val="001D599A"/>
    <w:rsid w:val="001D7FA7"/>
    <w:rsid w:val="001E0BC3"/>
    <w:rsid w:val="001E1B8B"/>
    <w:rsid w:val="001E20BB"/>
    <w:rsid w:val="001E47F9"/>
    <w:rsid w:val="001E4AFA"/>
    <w:rsid w:val="001E4BDC"/>
    <w:rsid w:val="001E5AC7"/>
    <w:rsid w:val="001E651E"/>
    <w:rsid w:val="001E6A74"/>
    <w:rsid w:val="001F0E20"/>
    <w:rsid w:val="001F184C"/>
    <w:rsid w:val="001F18DB"/>
    <w:rsid w:val="001F20AF"/>
    <w:rsid w:val="001F21B3"/>
    <w:rsid w:val="001F2B7A"/>
    <w:rsid w:val="001F2DB7"/>
    <w:rsid w:val="001F2F01"/>
    <w:rsid w:val="001F40C3"/>
    <w:rsid w:val="001F41D0"/>
    <w:rsid w:val="001F46E6"/>
    <w:rsid w:val="001F4ECA"/>
    <w:rsid w:val="001F5BF5"/>
    <w:rsid w:val="001F5DB7"/>
    <w:rsid w:val="001F6984"/>
    <w:rsid w:val="002005DB"/>
    <w:rsid w:val="00202315"/>
    <w:rsid w:val="00202D84"/>
    <w:rsid w:val="002045F7"/>
    <w:rsid w:val="00204862"/>
    <w:rsid w:val="00206AD2"/>
    <w:rsid w:val="00207814"/>
    <w:rsid w:val="00207D16"/>
    <w:rsid w:val="00210B18"/>
    <w:rsid w:val="0021153A"/>
    <w:rsid w:val="00211657"/>
    <w:rsid w:val="00212CAA"/>
    <w:rsid w:val="0021361B"/>
    <w:rsid w:val="00214418"/>
    <w:rsid w:val="00215519"/>
    <w:rsid w:val="00217464"/>
    <w:rsid w:val="00217E14"/>
    <w:rsid w:val="00220031"/>
    <w:rsid w:val="0022077A"/>
    <w:rsid w:val="00220F16"/>
    <w:rsid w:val="002213DC"/>
    <w:rsid w:val="002223A4"/>
    <w:rsid w:val="00222C1A"/>
    <w:rsid w:val="00222D04"/>
    <w:rsid w:val="002233EE"/>
    <w:rsid w:val="002239D7"/>
    <w:rsid w:val="00224EA8"/>
    <w:rsid w:val="002251CD"/>
    <w:rsid w:val="0022547E"/>
    <w:rsid w:val="0022591F"/>
    <w:rsid w:val="0022612A"/>
    <w:rsid w:val="002266F8"/>
    <w:rsid w:val="00227B36"/>
    <w:rsid w:val="00227E6A"/>
    <w:rsid w:val="00230A90"/>
    <w:rsid w:val="002319E7"/>
    <w:rsid w:val="00232AF9"/>
    <w:rsid w:val="00232C4A"/>
    <w:rsid w:val="002334D2"/>
    <w:rsid w:val="00233E8A"/>
    <w:rsid w:val="002356EF"/>
    <w:rsid w:val="0023671D"/>
    <w:rsid w:val="00236C62"/>
    <w:rsid w:val="00237996"/>
    <w:rsid w:val="002379AE"/>
    <w:rsid w:val="00240DBE"/>
    <w:rsid w:val="0024152B"/>
    <w:rsid w:val="00242664"/>
    <w:rsid w:val="00242C45"/>
    <w:rsid w:val="00243035"/>
    <w:rsid w:val="002440E7"/>
    <w:rsid w:val="00244505"/>
    <w:rsid w:val="00244D3B"/>
    <w:rsid w:val="002452FD"/>
    <w:rsid w:val="0024552B"/>
    <w:rsid w:val="00246120"/>
    <w:rsid w:val="002467CA"/>
    <w:rsid w:val="00246C9E"/>
    <w:rsid w:val="00247840"/>
    <w:rsid w:val="00250C6E"/>
    <w:rsid w:val="00250CC3"/>
    <w:rsid w:val="00252316"/>
    <w:rsid w:val="00253B47"/>
    <w:rsid w:val="00253C18"/>
    <w:rsid w:val="00253D42"/>
    <w:rsid w:val="002543E3"/>
    <w:rsid w:val="0025498D"/>
    <w:rsid w:val="00254C5B"/>
    <w:rsid w:val="00254D22"/>
    <w:rsid w:val="0025560D"/>
    <w:rsid w:val="00255B34"/>
    <w:rsid w:val="0026089A"/>
    <w:rsid w:val="002612C4"/>
    <w:rsid w:val="00262B71"/>
    <w:rsid w:val="00262C2E"/>
    <w:rsid w:val="002639ED"/>
    <w:rsid w:val="00263EBC"/>
    <w:rsid w:val="00263ED1"/>
    <w:rsid w:val="002640E9"/>
    <w:rsid w:val="002663CC"/>
    <w:rsid w:val="0026675F"/>
    <w:rsid w:val="00271496"/>
    <w:rsid w:val="00271793"/>
    <w:rsid w:val="00271E91"/>
    <w:rsid w:val="00273445"/>
    <w:rsid w:val="00273BC3"/>
    <w:rsid w:val="0027403A"/>
    <w:rsid w:val="0027474B"/>
    <w:rsid w:val="0027480E"/>
    <w:rsid w:val="00274925"/>
    <w:rsid w:val="002750DD"/>
    <w:rsid w:val="00275839"/>
    <w:rsid w:val="002759FD"/>
    <w:rsid w:val="00275A2A"/>
    <w:rsid w:val="002769C9"/>
    <w:rsid w:val="00276C33"/>
    <w:rsid w:val="00277457"/>
    <w:rsid w:val="00281C5F"/>
    <w:rsid w:val="00282269"/>
    <w:rsid w:val="00283CE9"/>
    <w:rsid w:val="0028417D"/>
    <w:rsid w:val="00284878"/>
    <w:rsid w:val="00285154"/>
    <w:rsid w:val="00285DA9"/>
    <w:rsid w:val="00286CE7"/>
    <w:rsid w:val="00286F61"/>
    <w:rsid w:val="00287830"/>
    <w:rsid w:val="00290017"/>
    <w:rsid w:val="00291AC2"/>
    <w:rsid w:val="00291E0C"/>
    <w:rsid w:val="00293B92"/>
    <w:rsid w:val="00294C72"/>
    <w:rsid w:val="00294DA6"/>
    <w:rsid w:val="002953F0"/>
    <w:rsid w:val="00295B81"/>
    <w:rsid w:val="00295CBD"/>
    <w:rsid w:val="0029630E"/>
    <w:rsid w:val="002A05CC"/>
    <w:rsid w:val="002A0C4F"/>
    <w:rsid w:val="002A1155"/>
    <w:rsid w:val="002A1AF0"/>
    <w:rsid w:val="002A1FCD"/>
    <w:rsid w:val="002A2858"/>
    <w:rsid w:val="002A29F6"/>
    <w:rsid w:val="002A2E3C"/>
    <w:rsid w:val="002A371E"/>
    <w:rsid w:val="002A3766"/>
    <w:rsid w:val="002A49D2"/>
    <w:rsid w:val="002A4B8E"/>
    <w:rsid w:val="002A4D19"/>
    <w:rsid w:val="002A65B5"/>
    <w:rsid w:val="002A7E1F"/>
    <w:rsid w:val="002B04A4"/>
    <w:rsid w:val="002B09E6"/>
    <w:rsid w:val="002B0F52"/>
    <w:rsid w:val="002B292C"/>
    <w:rsid w:val="002B32C6"/>
    <w:rsid w:val="002B3FF4"/>
    <w:rsid w:val="002B4354"/>
    <w:rsid w:val="002B48BF"/>
    <w:rsid w:val="002B4E85"/>
    <w:rsid w:val="002B5403"/>
    <w:rsid w:val="002B57B4"/>
    <w:rsid w:val="002B5E82"/>
    <w:rsid w:val="002B6064"/>
    <w:rsid w:val="002B6967"/>
    <w:rsid w:val="002B6C88"/>
    <w:rsid w:val="002B7767"/>
    <w:rsid w:val="002B7C72"/>
    <w:rsid w:val="002C066B"/>
    <w:rsid w:val="002C0877"/>
    <w:rsid w:val="002C0CD6"/>
    <w:rsid w:val="002C1651"/>
    <w:rsid w:val="002C1A3A"/>
    <w:rsid w:val="002C1AD8"/>
    <w:rsid w:val="002C226C"/>
    <w:rsid w:val="002C2392"/>
    <w:rsid w:val="002C2A19"/>
    <w:rsid w:val="002C2AED"/>
    <w:rsid w:val="002C38A7"/>
    <w:rsid w:val="002C3CC4"/>
    <w:rsid w:val="002C48A5"/>
    <w:rsid w:val="002C57D7"/>
    <w:rsid w:val="002C59C6"/>
    <w:rsid w:val="002C5C3C"/>
    <w:rsid w:val="002C5DFF"/>
    <w:rsid w:val="002C65C4"/>
    <w:rsid w:val="002C672A"/>
    <w:rsid w:val="002C6B42"/>
    <w:rsid w:val="002C7764"/>
    <w:rsid w:val="002D069E"/>
    <w:rsid w:val="002D0799"/>
    <w:rsid w:val="002D09E2"/>
    <w:rsid w:val="002D0E87"/>
    <w:rsid w:val="002D1093"/>
    <w:rsid w:val="002D12F6"/>
    <w:rsid w:val="002D1547"/>
    <w:rsid w:val="002D23D2"/>
    <w:rsid w:val="002D3DA8"/>
    <w:rsid w:val="002D5EE5"/>
    <w:rsid w:val="002D6233"/>
    <w:rsid w:val="002D62C5"/>
    <w:rsid w:val="002D6EC3"/>
    <w:rsid w:val="002E0434"/>
    <w:rsid w:val="002E0640"/>
    <w:rsid w:val="002E0743"/>
    <w:rsid w:val="002E0FC5"/>
    <w:rsid w:val="002E1238"/>
    <w:rsid w:val="002E152A"/>
    <w:rsid w:val="002E1F50"/>
    <w:rsid w:val="002E22C7"/>
    <w:rsid w:val="002E28FB"/>
    <w:rsid w:val="002E2FDA"/>
    <w:rsid w:val="002E3B0B"/>
    <w:rsid w:val="002E474A"/>
    <w:rsid w:val="002E553F"/>
    <w:rsid w:val="002E5824"/>
    <w:rsid w:val="002E7883"/>
    <w:rsid w:val="002F0839"/>
    <w:rsid w:val="002F0A25"/>
    <w:rsid w:val="002F0F36"/>
    <w:rsid w:val="002F163A"/>
    <w:rsid w:val="002F1C2E"/>
    <w:rsid w:val="002F1EC3"/>
    <w:rsid w:val="002F26FF"/>
    <w:rsid w:val="002F2986"/>
    <w:rsid w:val="002F2C51"/>
    <w:rsid w:val="002F2C55"/>
    <w:rsid w:val="002F312D"/>
    <w:rsid w:val="002F3172"/>
    <w:rsid w:val="002F33A3"/>
    <w:rsid w:val="002F33B4"/>
    <w:rsid w:val="002F5743"/>
    <w:rsid w:val="002F575F"/>
    <w:rsid w:val="002F57B4"/>
    <w:rsid w:val="002F7E13"/>
    <w:rsid w:val="003006A2"/>
    <w:rsid w:val="00300C49"/>
    <w:rsid w:val="00300F31"/>
    <w:rsid w:val="0030100B"/>
    <w:rsid w:val="0030130B"/>
    <w:rsid w:val="00302313"/>
    <w:rsid w:val="00302BD0"/>
    <w:rsid w:val="0030317C"/>
    <w:rsid w:val="00303BAB"/>
    <w:rsid w:val="003041FA"/>
    <w:rsid w:val="00304424"/>
    <w:rsid w:val="00304DB9"/>
    <w:rsid w:val="003052EB"/>
    <w:rsid w:val="00310310"/>
    <w:rsid w:val="00310E57"/>
    <w:rsid w:val="00311652"/>
    <w:rsid w:val="0031184C"/>
    <w:rsid w:val="00312448"/>
    <w:rsid w:val="003125CF"/>
    <w:rsid w:val="0031293A"/>
    <w:rsid w:val="003129C8"/>
    <w:rsid w:val="003129F9"/>
    <w:rsid w:val="00312E61"/>
    <w:rsid w:val="00313583"/>
    <w:rsid w:val="00313B90"/>
    <w:rsid w:val="00315076"/>
    <w:rsid w:val="00315BD5"/>
    <w:rsid w:val="0031603E"/>
    <w:rsid w:val="00316A7C"/>
    <w:rsid w:val="003203FE"/>
    <w:rsid w:val="00320A61"/>
    <w:rsid w:val="00320EB9"/>
    <w:rsid w:val="00321150"/>
    <w:rsid w:val="0032263B"/>
    <w:rsid w:val="00323330"/>
    <w:rsid w:val="00323B49"/>
    <w:rsid w:val="00324113"/>
    <w:rsid w:val="00325B68"/>
    <w:rsid w:val="00325E6C"/>
    <w:rsid w:val="00326754"/>
    <w:rsid w:val="00327358"/>
    <w:rsid w:val="00327F0D"/>
    <w:rsid w:val="003303ED"/>
    <w:rsid w:val="00330659"/>
    <w:rsid w:val="00330AB7"/>
    <w:rsid w:val="00331220"/>
    <w:rsid w:val="0033139F"/>
    <w:rsid w:val="00331822"/>
    <w:rsid w:val="0033220F"/>
    <w:rsid w:val="003328DB"/>
    <w:rsid w:val="00332A7F"/>
    <w:rsid w:val="00333E9B"/>
    <w:rsid w:val="003342CD"/>
    <w:rsid w:val="00334B0A"/>
    <w:rsid w:val="00334ED4"/>
    <w:rsid w:val="00335042"/>
    <w:rsid w:val="00335291"/>
    <w:rsid w:val="00335B74"/>
    <w:rsid w:val="00335EEE"/>
    <w:rsid w:val="0033644F"/>
    <w:rsid w:val="00336F67"/>
    <w:rsid w:val="00336F6A"/>
    <w:rsid w:val="00337BB6"/>
    <w:rsid w:val="00337D38"/>
    <w:rsid w:val="00340B85"/>
    <w:rsid w:val="00340EF3"/>
    <w:rsid w:val="00340FCD"/>
    <w:rsid w:val="0034174A"/>
    <w:rsid w:val="00341BCC"/>
    <w:rsid w:val="00344DF5"/>
    <w:rsid w:val="00345796"/>
    <w:rsid w:val="00345F8A"/>
    <w:rsid w:val="0034733D"/>
    <w:rsid w:val="00347F84"/>
    <w:rsid w:val="00350944"/>
    <w:rsid w:val="00351C8C"/>
    <w:rsid w:val="003525C5"/>
    <w:rsid w:val="00352F95"/>
    <w:rsid w:val="00353250"/>
    <w:rsid w:val="00354765"/>
    <w:rsid w:val="003555D3"/>
    <w:rsid w:val="00355CEC"/>
    <w:rsid w:val="00355FE5"/>
    <w:rsid w:val="003561F2"/>
    <w:rsid w:val="00356C7E"/>
    <w:rsid w:val="00357D17"/>
    <w:rsid w:val="00360805"/>
    <w:rsid w:val="00360D3B"/>
    <w:rsid w:val="003612BB"/>
    <w:rsid w:val="0036192C"/>
    <w:rsid w:val="003628F7"/>
    <w:rsid w:val="00362B70"/>
    <w:rsid w:val="00363012"/>
    <w:rsid w:val="003638D7"/>
    <w:rsid w:val="00364E7D"/>
    <w:rsid w:val="0036518A"/>
    <w:rsid w:val="003665B7"/>
    <w:rsid w:val="00366C15"/>
    <w:rsid w:val="00366C69"/>
    <w:rsid w:val="00367531"/>
    <w:rsid w:val="00367789"/>
    <w:rsid w:val="003678EA"/>
    <w:rsid w:val="0037016D"/>
    <w:rsid w:val="003706F7"/>
    <w:rsid w:val="0037090B"/>
    <w:rsid w:val="00371E2B"/>
    <w:rsid w:val="00372FE7"/>
    <w:rsid w:val="0037388D"/>
    <w:rsid w:val="00374673"/>
    <w:rsid w:val="00374A56"/>
    <w:rsid w:val="0037500D"/>
    <w:rsid w:val="003753A9"/>
    <w:rsid w:val="00375778"/>
    <w:rsid w:val="003767C2"/>
    <w:rsid w:val="00377351"/>
    <w:rsid w:val="0037778F"/>
    <w:rsid w:val="003779AA"/>
    <w:rsid w:val="00380111"/>
    <w:rsid w:val="00380306"/>
    <w:rsid w:val="00381A1A"/>
    <w:rsid w:val="003823D0"/>
    <w:rsid w:val="003839F4"/>
    <w:rsid w:val="003847B3"/>
    <w:rsid w:val="00384856"/>
    <w:rsid w:val="00384DEE"/>
    <w:rsid w:val="00385B68"/>
    <w:rsid w:val="00385C59"/>
    <w:rsid w:val="00385EEB"/>
    <w:rsid w:val="0039091F"/>
    <w:rsid w:val="00390DD2"/>
    <w:rsid w:val="003913C7"/>
    <w:rsid w:val="00392076"/>
    <w:rsid w:val="003926C2"/>
    <w:rsid w:val="00392BBA"/>
    <w:rsid w:val="00392DEE"/>
    <w:rsid w:val="00393FD0"/>
    <w:rsid w:val="0039418C"/>
    <w:rsid w:val="00394914"/>
    <w:rsid w:val="00394EFF"/>
    <w:rsid w:val="00394F8D"/>
    <w:rsid w:val="00395136"/>
    <w:rsid w:val="003954FD"/>
    <w:rsid w:val="003965FD"/>
    <w:rsid w:val="00396FF9"/>
    <w:rsid w:val="00397C8A"/>
    <w:rsid w:val="003A1395"/>
    <w:rsid w:val="003A1737"/>
    <w:rsid w:val="003A1A80"/>
    <w:rsid w:val="003A2507"/>
    <w:rsid w:val="003A29BE"/>
    <w:rsid w:val="003A323D"/>
    <w:rsid w:val="003A3696"/>
    <w:rsid w:val="003A415C"/>
    <w:rsid w:val="003A4CBF"/>
    <w:rsid w:val="003A6CC5"/>
    <w:rsid w:val="003A727C"/>
    <w:rsid w:val="003A770B"/>
    <w:rsid w:val="003A77FF"/>
    <w:rsid w:val="003A792F"/>
    <w:rsid w:val="003A7E59"/>
    <w:rsid w:val="003B077F"/>
    <w:rsid w:val="003B10F3"/>
    <w:rsid w:val="003B2802"/>
    <w:rsid w:val="003B2D28"/>
    <w:rsid w:val="003B3274"/>
    <w:rsid w:val="003B3F5C"/>
    <w:rsid w:val="003B4231"/>
    <w:rsid w:val="003B4738"/>
    <w:rsid w:val="003B6DA2"/>
    <w:rsid w:val="003B71CA"/>
    <w:rsid w:val="003B763F"/>
    <w:rsid w:val="003B7894"/>
    <w:rsid w:val="003C0499"/>
    <w:rsid w:val="003C060E"/>
    <w:rsid w:val="003C09F0"/>
    <w:rsid w:val="003C25DE"/>
    <w:rsid w:val="003C283D"/>
    <w:rsid w:val="003C34C5"/>
    <w:rsid w:val="003C3566"/>
    <w:rsid w:val="003C506D"/>
    <w:rsid w:val="003C5B39"/>
    <w:rsid w:val="003C5DCB"/>
    <w:rsid w:val="003C5F2C"/>
    <w:rsid w:val="003C69EE"/>
    <w:rsid w:val="003C7366"/>
    <w:rsid w:val="003C7507"/>
    <w:rsid w:val="003C78B1"/>
    <w:rsid w:val="003C7907"/>
    <w:rsid w:val="003C7CA2"/>
    <w:rsid w:val="003D0056"/>
    <w:rsid w:val="003D139D"/>
    <w:rsid w:val="003D1B41"/>
    <w:rsid w:val="003D1BB8"/>
    <w:rsid w:val="003D1DBE"/>
    <w:rsid w:val="003D27AA"/>
    <w:rsid w:val="003D3592"/>
    <w:rsid w:val="003D47DD"/>
    <w:rsid w:val="003D4C99"/>
    <w:rsid w:val="003D5570"/>
    <w:rsid w:val="003D5A29"/>
    <w:rsid w:val="003D60D7"/>
    <w:rsid w:val="003D6826"/>
    <w:rsid w:val="003D74F1"/>
    <w:rsid w:val="003D7810"/>
    <w:rsid w:val="003E02C1"/>
    <w:rsid w:val="003E0875"/>
    <w:rsid w:val="003E097C"/>
    <w:rsid w:val="003E1359"/>
    <w:rsid w:val="003E1CE3"/>
    <w:rsid w:val="003E2393"/>
    <w:rsid w:val="003E24FC"/>
    <w:rsid w:val="003E2F4B"/>
    <w:rsid w:val="003E3D29"/>
    <w:rsid w:val="003E3FEE"/>
    <w:rsid w:val="003E531D"/>
    <w:rsid w:val="003E5886"/>
    <w:rsid w:val="003E5EF7"/>
    <w:rsid w:val="003E67E5"/>
    <w:rsid w:val="003E7A08"/>
    <w:rsid w:val="003F0DAB"/>
    <w:rsid w:val="003F1597"/>
    <w:rsid w:val="003F19A0"/>
    <w:rsid w:val="003F279B"/>
    <w:rsid w:val="003F2AFE"/>
    <w:rsid w:val="003F33D1"/>
    <w:rsid w:val="003F3427"/>
    <w:rsid w:val="003F39A8"/>
    <w:rsid w:val="003F4603"/>
    <w:rsid w:val="003F6BCA"/>
    <w:rsid w:val="003F707C"/>
    <w:rsid w:val="003F71D6"/>
    <w:rsid w:val="003F7279"/>
    <w:rsid w:val="003F762F"/>
    <w:rsid w:val="003F7C86"/>
    <w:rsid w:val="00401E51"/>
    <w:rsid w:val="00402F85"/>
    <w:rsid w:val="00403157"/>
    <w:rsid w:val="00404B35"/>
    <w:rsid w:val="004054BB"/>
    <w:rsid w:val="0041036E"/>
    <w:rsid w:val="004105F2"/>
    <w:rsid w:val="00410ED9"/>
    <w:rsid w:val="0041227B"/>
    <w:rsid w:val="0041235E"/>
    <w:rsid w:val="004128A0"/>
    <w:rsid w:val="00412D9B"/>
    <w:rsid w:val="004132DE"/>
    <w:rsid w:val="00413AFC"/>
    <w:rsid w:val="0041461C"/>
    <w:rsid w:val="00414686"/>
    <w:rsid w:val="004148C7"/>
    <w:rsid w:val="00414AC4"/>
    <w:rsid w:val="00414B91"/>
    <w:rsid w:val="004152BF"/>
    <w:rsid w:val="0041699D"/>
    <w:rsid w:val="00420D95"/>
    <w:rsid w:val="004211B9"/>
    <w:rsid w:val="00421DA2"/>
    <w:rsid w:val="004225EF"/>
    <w:rsid w:val="00422FD5"/>
    <w:rsid w:val="0042382C"/>
    <w:rsid w:val="00423D71"/>
    <w:rsid w:val="00424A86"/>
    <w:rsid w:val="00424BEA"/>
    <w:rsid w:val="00424CE0"/>
    <w:rsid w:val="0042529C"/>
    <w:rsid w:val="00425C15"/>
    <w:rsid w:val="004308BA"/>
    <w:rsid w:val="00430AA6"/>
    <w:rsid w:val="004317BC"/>
    <w:rsid w:val="00431D7D"/>
    <w:rsid w:val="004329C6"/>
    <w:rsid w:val="00432CA7"/>
    <w:rsid w:val="00432D96"/>
    <w:rsid w:val="004330C0"/>
    <w:rsid w:val="004333E0"/>
    <w:rsid w:val="004334A0"/>
    <w:rsid w:val="00433883"/>
    <w:rsid w:val="00433D88"/>
    <w:rsid w:val="00434089"/>
    <w:rsid w:val="00434C68"/>
    <w:rsid w:val="00435D07"/>
    <w:rsid w:val="00436014"/>
    <w:rsid w:val="004366F7"/>
    <w:rsid w:val="00436B1A"/>
    <w:rsid w:val="00436BEF"/>
    <w:rsid w:val="00437569"/>
    <w:rsid w:val="00442B12"/>
    <w:rsid w:val="00442C80"/>
    <w:rsid w:val="00442F22"/>
    <w:rsid w:val="0044335D"/>
    <w:rsid w:val="004438E8"/>
    <w:rsid w:val="004448BD"/>
    <w:rsid w:val="004453FD"/>
    <w:rsid w:val="00445D8C"/>
    <w:rsid w:val="00445DF2"/>
    <w:rsid w:val="0044696D"/>
    <w:rsid w:val="0044746A"/>
    <w:rsid w:val="00450425"/>
    <w:rsid w:val="0045044E"/>
    <w:rsid w:val="00450889"/>
    <w:rsid w:val="004509E3"/>
    <w:rsid w:val="00451069"/>
    <w:rsid w:val="00451DB9"/>
    <w:rsid w:val="00451E20"/>
    <w:rsid w:val="00451EEF"/>
    <w:rsid w:val="0045204C"/>
    <w:rsid w:val="004536AC"/>
    <w:rsid w:val="00453E4B"/>
    <w:rsid w:val="004541B9"/>
    <w:rsid w:val="004546C3"/>
    <w:rsid w:val="00455440"/>
    <w:rsid w:val="0045560D"/>
    <w:rsid w:val="00456DFC"/>
    <w:rsid w:val="00457256"/>
    <w:rsid w:val="004576FE"/>
    <w:rsid w:val="004578F3"/>
    <w:rsid w:val="00460792"/>
    <w:rsid w:val="00461043"/>
    <w:rsid w:val="00462095"/>
    <w:rsid w:val="004624D3"/>
    <w:rsid w:val="00462C82"/>
    <w:rsid w:val="00462DFB"/>
    <w:rsid w:val="00463769"/>
    <w:rsid w:val="00463878"/>
    <w:rsid w:val="00463CB1"/>
    <w:rsid w:val="004643DB"/>
    <w:rsid w:val="004644BA"/>
    <w:rsid w:val="00464964"/>
    <w:rsid w:val="00464CD3"/>
    <w:rsid w:val="00465429"/>
    <w:rsid w:val="00465887"/>
    <w:rsid w:val="0046594C"/>
    <w:rsid w:val="004668D2"/>
    <w:rsid w:val="004674BE"/>
    <w:rsid w:val="00467D2A"/>
    <w:rsid w:val="004700B0"/>
    <w:rsid w:val="00470134"/>
    <w:rsid w:val="004702F0"/>
    <w:rsid w:val="004705D1"/>
    <w:rsid w:val="00470612"/>
    <w:rsid w:val="00470AFC"/>
    <w:rsid w:val="00470F5F"/>
    <w:rsid w:val="00471AA8"/>
    <w:rsid w:val="00472C94"/>
    <w:rsid w:val="0047342E"/>
    <w:rsid w:val="00473AFD"/>
    <w:rsid w:val="00473E7A"/>
    <w:rsid w:val="00473EBC"/>
    <w:rsid w:val="0047468E"/>
    <w:rsid w:val="00474775"/>
    <w:rsid w:val="00474856"/>
    <w:rsid w:val="00474A7A"/>
    <w:rsid w:val="004750D3"/>
    <w:rsid w:val="004752F7"/>
    <w:rsid w:val="00475D78"/>
    <w:rsid w:val="00475F75"/>
    <w:rsid w:val="0047632B"/>
    <w:rsid w:val="004766D5"/>
    <w:rsid w:val="00477467"/>
    <w:rsid w:val="00477EA7"/>
    <w:rsid w:val="004805F3"/>
    <w:rsid w:val="00480D79"/>
    <w:rsid w:val="00482AC1"/>
    <w:rsid w:val="00482B81"/>
    <w:rsid w:val="00482D4C"/>
    <w:rsid w:val="00483F19"/>
    <w:rsid w:val="004847BD"/>
    <w:rsid w:val="0048499B"/>
    <w:rsid w:val="00484B17"/>
    <w:rsid w:val="00485385"/>
    <w:rsid w:val="0048593F"/>
    <w:rsid w:val="00485A42"/>
    <w:rsid w:val="004864A1"/>
    <w:rsid w:val="00490944"/>
    <w:rsid w:val="00491A1A"/>
    <w:rsid w:val="00491B9E"/>
    <w:rsid w:val="00493673"/>
    <w:rsid w:val="00493CA2"/>
    <w:rsid w:val="0049579F"/>
    <w:rsid w:val="00495EA1"/>
    <w:rsid w:val="00496840"/>
    <w:rsid w:val="00496B63"/>
    <w:rsid w:val="004A0212"/>
    <w:rsid w:val="004A0CFE"/>
    <w:rsid w:val="004A2038"/>
    <w:rsid w:val="004A29A3"/>
    <w:rsid w:val="004A2B55"/>
    <w:rsid w:val="004A2E7C"/>
    <w:rsid w:val="004A301C"/>
    <w:rsid w:val="004A35E2"/>
    <w:rsid w:val="004A4C94"/>
    <w:rsid w:val="004B0164"/>
    <w:rsid w:val="004B3AFE"/>
    <w:rsid w:val="004B3C0F"/>
    <w:rsid w:val="004B411A"/>
    <w:rsid w:val="004B553D"/>
    <w:rsid w:val="004B6DC5"/>
    <w:rsid w:val="004B70D7"/>
    <w:rsid w:val="004B7743"/>
    <w:rsid w:val="004B7F2C"/>
    <w:rsid w:val="004C0504"/>
    <w:rsid w:val="004C05E4"/>
    <w:rsid w:val="004C0E0A"/>
    <w:rsid w:val="004C1050"/>
    <w:rsid w:val="004C2A83"/>
    <w:rsid w:val="004C2C1D"/>
    <w:rsid w:val="004C4262"/>
    <w:rsid w:val="004C52A5"/>
    <w:rsid w:val="004C64E4"/>
    <w:rsid w:val="004C69B8"/>
    <w:rsid w:val="004C6C4A"/>
    <w:rsid w:val="004D00B8"/>
    <w:rsid w:val="004D0B46"/>
    <w:rsid w:val="004D122E"/>
    <w:rsid w:val="004D1EAB"/>
    <w:rsid w:val="004D2ECB"/>
    <w:rsid w:val="004D2ECF"/>
    <w:rsid w:val="004D2F1F"/>
    <w:rsid w:val="004D32D9"/>
    <w:rsid w:val="004D444F"/>
    <w:rsid w:val="004D4565"/>
    <w:rsid w:val="004D4789"/>
    <w:rsid w:val="004D4913"/>
    <w:rsid w:val="004D4BBF"/>
    <w:rsid w:val="004D4C9E"/>
    <w:rsid w:val="004D50FC"/>
    <w:rsid w:val="004D6BB9"/>
    <w:rsid w:val="004D7979"/>
    <w:rsid w:val="004D7BCF"/>
    <w:rsid w:val="004E1132"/>
    <w:rsid w:val="004E13CC"/>
    <w:rsid w:val="004E1A1D"/>
    <w:rsid w:val="004E1B18"/>
    <w:rsid w:val="004E232B"/>
    <w:rsid w:val="004E386B"/>
    <w:rsid w:val="004E38C4"/>
    <w:rsid w:val="004E39E1"/>
    <w:rsid w:val="004E430B"/>
    <w:rsid w:val="004E4789"/>
    <w:rsid w:val="004E5DF6"/>
    <w:rsid w:val="004E5E31"/>
    <w:rsid w:val="004E6405"/>
    <w:rsid w:val="004E68C9"/>
    <w:rsid w:val="004E6EBE"/>
    <w:rsid w:val="004F0DE7"/>
    <w:rsid w:val="004F1808"/>
    <w:rsid w:val="004F19C6"/>
    <w:rsid w:val="004F56D0"/>
    <w:rsid w:val="004F571D"/>
    <w:rsid w:val="004F60DB"/>
    <w:rsid w:val="004F652B"/>
    <w:rsid w:val="004F6760"/>
    <w:rsid w:val="004F6E18"/>
    <w:rsid w:val="004F72A8"/>
    <w:rsid w:val="004F76B2"/>
    <w:rsid w:val="004F7903"/>
    <w:rsid w:val="005003AF"/>
    <w:rsid w:val="0050045F"/>
    <w:rsid w:val="0050100F"/>
    <w:rsid w:val="0050197D"/>
    <w:rsid w:val="00501BF6"/>
    <w:rsid w:val="00502771"/>
    <w:rsid w:val="00502A29"/>
    <w:rsid w:val="00502F5F"/>
    <w:rsid w:val="00503412"/>
    <w:rsid w:val="00503A85"/>
    <w:rsid w:val="00503E44"/>
    <w:rsid w:val="00507B65"/>
    <w:rsid w:val="00510C70"/>
    <w:rsid w:val="005129D9"/>
    <w:rsid w:val="00513552"/>
    <w:rsid w:val="00513CEC"/>
    <w:rsid w:val="00514251"/>
    <w:rsid w:val="00514595"/>
    <w:rsid w:val="00514986"/>
    <w:rsid w:val="00514CBF"/>
    <w:rsid w:val="00515127"/>
    <w:rsid w:val="00515283"/>
    <w:rsid w:val="00516979"/>
    <w:rsid w:val="00517840"/>
    <w:rsid w:val="00517CDA"/>
    <w:rsid w:val="0052072D"/>
    <w:rsid w:val="00520A3B"/>
    <w:rsid w:val="005216C5"/>
    <w:rsid w:val="00521BB0"/>
    <w:rsid w:val="00521D6E"/>
    <w:rsid w:val="00522640"/>
    <w:rsid w:val="00522F17"/>
    <w:rsid w:val="00524313"/>
    <w:rsid w:val="005268BA"/>
    <w:rsid w:val="00526C75"/>
    <w:rsid w:val="00527279"/>
    <w:rsid w:val="00527FBB"/>
    <w:rsid w:val="005301ED"/>
    <w:rsid w:val="00530484"/>
    <w:rsid w:val="00530CF6"/>
    <w:rsid w:val="00531C8A"/>
    <w:rsid w:val="00532CF7"/>
    <w:rsid w:val="00533613"/>
    <w:rsid w:val="00533926"/>
    <w:rsid w:val="005341A6"/>
    <w:rsid w:val="00534852"/>
    <w:rsid w:val="005351FA"/>
    <w:rsid w:val="00535FE2"/>
    <w:rsid w:val="00536A07"/>
    <w:rsid w:val="005377F1"/>
    <w:rsid w:val="00537938"/>
    <w:rsid w:val="00537B0E"/>
    <w:rsid w:val="00537C77"/>
    <w:rsid w:val="00537F6C"/>
    <w:rsid w:val="00542432"/>
    <w:rsid w:val="00542B51"/>
    <w:rsid w:val="0054369E"/>
    <w:rsid w:val="00544D19"/>
    <w:rsid w:val="005450E0"/>
    <w:rsid w:val="00545711"/>
    <w:rsid w:val="0054628A"/>
    <w:rsid w:val="00546A7C"/>
    <w:rsid w:val="00546BBF"/>
    <w:rsid w:val="00551F70"/>
    <w:rsid w:val="005534B8"/>
    <w:rsid w:val="00553605"/>
    <w:rsid w:val="00554497"/>
    <w:rsid w:val="00554B57"/>
    <w:rsid w:val="0055568D"/>
    <w:rsid w:val="00555693"/>
    <w:rsid w:val="00555E27"/>
    <w:rsid w:val="00555FBB"/>
    <w:rsid w:val="0055675D"/>
    <w:rsid w:val="00556913"/>
    <w:rsid w:val="00557179"/>
    <w:rsid w:val="00557867"/>
    <w:rsid w:val="00557D26"/>
    <w:rsid w:val="00560CB9"/>
    <w:rsid w:val="005625CA"/>
    <w:rsid w:val="00564444"/>
    <w:rsid w:val="0056455F"/>
    <w:rsid w:val="00564D09"/>
    <w:rsid w:val="005661CB"/>
    <w:rsid w:val="00566285"/>
    <w:rsid w:val="00566E8F"/>
    <w:rsid w:val="00567662"/>
    <w:rsid w:val="0057035C"/>
    <w:rsid w:val="00570BCB"/>
    <w:rsid w:val="0057178A"/>
    <w:rsid w:val="00571F82"/>
    <w:rsid w:val="0057238B"/>
    <w:rsid w:val="00573179"/>
    <w:rsid w:val="005732BD"/>
    <w:rsid w:val="00573946"/>
    <w:rsid w:val="00574192"/>
    <w:rsid w:val="0057422E"/>
    <w:rsid w:val="005758D7"/>
    <w:rsid w:val="00575F4A"/>
    <w:rsid w:val="0057635D"/>
    <w:rsid w:val="00576796"/>
    <w:rsid w:val="00577D15"/>
    <w:rsid w:val="0058044A"/>
    <w:rsid w:val="005813BE"/>
    <w:rsid w:val="00582ACB"/>
    <w:rsid w:val="005833BE"/>
    <w:rsid w:val="00583677"/>
    <w:rsid w:val="00584168"/>
    <w:rsid w:val="00584F9F"/>
    <w:rsid w:val="00584FAF"/>
    <w:rsid w:val="0058519A"/>
    <w:rsid w:val="00585A88"/>
    <w:rsid w:val="005863B6"/>
    <w:rsid w:val="0058666F"/>
    <w:rsid w:val="00586E4D"/>
    <w:rsid w:val="00586F1C"/>
    <w:rsid w:val="00590F75"/>
    <w:rsid w:val="00591424"/>
    <w:rsid w:val="00592149"/>
    <w:rsid w:val="005925A4"/>
    <w:rsid w:val="00592DDF"/>
    <w:rsid w:val="00593954"/>
    <w:rsid w:val="0059469D"/>
    <w:rsid w:val="0059556E"/>
    <w:rsid w:val="0059682E"/>
    <w:rsid w:val="00597570"/>
    <w:rsid w:val="005978FE"/>
    <w:rsid w:val="005A01DD"/>
    <w:rsid w:val="005A1924"/>
    <w:rsid w:val="005A22F8"/>
    <w:rsid w:val="005A2315"/>
    <w:rsid w:val="005A28BA"/>
    <w:rsid w:val="005A2BB6"/>
    <w:rsid w:val="005A2DBE"/>
    <w:rsid w:val="005A31CD"/>
    <w:rsid w:val="005A3964"/>
    <w:rsid w:val="005A465E"/>
    <w:rsid w:val="005A54F0"/>
    <w:rsid w:val="005A7643"/>
    <w:rsid w:val="005A7962"/>
    <w:rsid w:val="005A7C46"/>
    <w:rsid w:val="005B00C4"/>
    <w:rsid w:val="005B0C73"/>
    <w:rsid w:val="005B2E08"/>
    <w:rsid w:val="005B32BA"/>
    <w:rsid w:val="005B3B13"/>
    <w:rsid w:val="005B444F"/>
    <w:rsid w:val="005B4854"/>
    <w:rsid w:val="005B4BD3"/>
    <w:rsid w:val="005B5163"/>
    <w:rsid w:val="005B61C6"/>
    <w:rsid w:val="005B75A4"/>
    <w:rsid w:val="005B785D"/>
    <w:rsid w:val="005B7A7B"/>
    <w:rsid w:val="005B7B24"/>
    <w:rsid w:val="005B7E95"/>
    <w:rsid w:val="005C06F2"/>
    <w:rsid w:val="005C2507"/>
    <w:rsid w:val="005C39CA"/>
    <w:rsid w:val="005C3C0B"/>
    <w:rsid w:val="005C3CA4"/>
    <w:rsid w:val="005C47B1"/>
    <w:rsid w:val="005C5D3E"/>
    <w:rsid w:val="005C6327"/>
    <w:rsid w:val="005C7920"/>
    <w:rsid w:val="005D05A4"/>
    <w:rsid w:val="005D1C33"/>
    <w:rsid w:val="005D1F49"/>
    <w:rsid w:val="005D1FA9"/>
    <w:rsid w:val="005D37B0"/>
    <w:rsid w:val="005D3C32"/>
    <w:rsid w:val="005D4F77"/>
    <w:rsid w:val="005D62AF"/>
    <w:rsid w:val="005D6DF1"/>
    <w:rsid w:val="005D7431"/>
    <w:rsid w:val="005D7D5A"/>
    <w:rsid w:val="005E0889"/>
    <w:rsid w:val="005E098C"/>
    <w:rsid w:val="005E1A41"/>
    <w:rsid w:val="005E40F2"/>
    <w:rsid w:val="005E4466"/>
    <w:rsid w:val="005E48CE"/>
    <w:rsid w:val="005E4BAC"/>
    <w:rsid w:val="005E4F63"/>
    <w:rsid w:val="005E5B26"/>
    <w:rsid w:val="005E610C"/>
    <w:rsid w:val="005E7F76"/>
    <w:rsid w:val="005F005D"/>
    <w:rsid w:val="005F06FD"/>
    <w:rsid w:val="005F0755"/>
    <w:rsid w:val="005F1022"/>
    <w:rsid w:val="005F17E4"/>
    <w:rsid w:val="005F3E8F"/>
    <w:rsid w:val="005F56CD"/>
    <w:rsid w:val="005F5A77"/>
    <w:rsid w:val="005F5B28"/>
    <w:rsid w:val="005F5EA3"/>
    <w:rsid w:val="005F62A3"/>
    <w:rsid w:val="005F66F0"/>
    <w:rsid w:val="005F6F3C"/>
    <w:rsid w:val="006003DC"/>
    <w:rsid w:val="00600D0C"/>
    <w:rsid w:val="0060130D"/>
    <w:rsid w:val="0060183C"/>
    <w:rsid w:val="00601843"/>
    <w:rsid w:val="006021ED"/>
    <w:rsid w:val="00603CF9"/>
    <w:rsid w:val="00605781"/>
    <w:rsid w:val="00605D55"/>
    <w:rsid w:val="0060610E"/>
    <w:rsid w:val="00607010"/>
    <w:rsid w:val="00607419"/>
    <w:rsid w:val="006100D6"/>
    <w:rsid w:val="0061083A"/>
    <w:rsid w:val="006108FC"/>
    <w:rsid w:val="00610C41"/>
    <w:rsid w:val="00610D82"/>
    <w:rsid w:val="00610F0E"/>
    <w:rsid w:val="006111D9"/>
    <w:rsid w:val="0061126A"/>
    <w:rsid w:val="006113B8"/>
    <w:rsid w:val="00611775"/>
    <w:rsid w:val="00611B89"/>
    <w:rsid w:val="00611EE5"/>
    <w:rsid w:val="00612301"/>
    <w:rsid w:val="006128E2"/>
    <w:rsid w:val="00612D69"/>
    <w:rsid w:val="00613BA2"/>
    <w:rsid w:val="0061620D"/>
    <w:rsid w:val="00616FFD"/>
    <w:rsid w:val="006200AA"/>
    <w:rsid w:val="00620717"/>
    <w:rsid w:val="0062181A"/>
    <w:rsid w:val="006218F8"/>
    <w:rsid w:val="00621E26"/>
    <w:rsid w:val="0062243E"/>
    <w:rsid w:val="00622B10"/>
    <w:rsid w:val="00622FF8"/>
    <w:rsid w:val="006233E4"/>
    <w:rsid w:val="006234B8"/>
    <w:rsid w:val="006235B2"/>
    <w:rsid w:val="00623A37"/>
    <w:rsid w:val="006250CC"/>
    <w:rsid w:val="0062541A"/>
    <w:rsid w:val="006263C7"/>
    <w:rsid w:val="00627343"/>
    <w:rsid w:val="00630BE9"/>
    <w:rsid w:val="00631F60"/>
    <w:rsid w:val="006325A3"/>
    <w:rsid w:val="00632D81"/>
    <w:rsid w:val="006335F7"/>
    <w:rsid w:val="006349D8"/>
    <w:rsid w:val="00634B4F"/>
    <w:rsid w:val="006353D1"/>
    <w:rsid w:val="00637678"/>
    <w:rsid w:val="00637E04"/>
    <w:rsid w:val="00640CCD"/>
    <w:rsid w:val="0064107D"/>
    <w:rsid w:val="0064129F"/>
    <w:rsid w:val="00641FF6"/>
    <w:rsid w:val="006434E7"/>
    <w:rsid w:val="006440BC"/>
    <w:rsid w:val="00644CBB"/>
    <w:rsid w:val="00644D00"/>
    <w:rsid w:val="0064560E"/>
    <w:rsid w:val="006458C3"/>
    <w:rsid w:val="00646197"/>
    <w:rsid w:val="0064732E"/>
    <w:rsid w:val="0064750D"/>
    <w:rsid w:val="00647BB7"/>
    <w:rsid w:val="00650FEB"/>
    <w:rsid w:val="0065194F"/>
    <w:rsid w:val="00651F94"/>
    <w:rsid w:val="0065255D"/>
    <w:rsid w:val="00652AB6"/>
    <w:rsid w:val="00653415"/>
    <w:rsid w:val="006535D4"/>
    <w:rsid w:val="0065377E"/>
    <w:rsid w:val="00653C91"/>
    <w:rsid w:val="00654B0F"/>
    <w:rsid w:val="00656096"/>
    <w:rsid w:val="006567CF"/>
    <w:rsid w:val="00657EA0"/>
    <w:rsid w:val="00660076"/>
    <w:rsid w:val="00660BF4"/>
    <w:rsid w:val="00660C43"/>
    <w:rsid w:val="006614C0"/>
    <w:rsid w:val="006619C5"/>
    <w:rsid w:val="00661EF0"/>
    <w:rsid w:val="00661F3A"/>
    <w:rsid w:val="006629D2"/>
    <w:rsid w:val="006634D4"/>
    <w:rsid w:val="006640EA"/>
    <w:rsid w:val="00665866"/>
    <w:rsid w:val="00666038"/>
    <w:rsid w:val="006662E8"/>
    <w:rsid w:val="006662E9"/>
    <w:rsid w:val="00666F9A"/>
    <w:rsid w:val="00667133"/>
    <w:rsid w:val="00670A62"/>
    <w:rsid w:val="00670A88"/>
    <w:rsid w:val="00670B7D"/>
    <w:rsid w:val="00670DC7"/>
    <w:rsid w:val="006710A0"/>
    <w:rsid w:val="00671BEE"/>
    <w:rsid w:val="00672A46"/>
    <w:rsid w:val="0067348C"/>
    <w:rsid w:val="0067381F"/>
    <w:rsid w:val="00673A25"/>
    <w:rsid w:val="00674962"/>
    <w:rsid w:val="00674A79"/>
    <w:rsid w:val="00674B43"/>
    <w:rsid w:val="0067556E"/>
    <w:rsid w:val="00676824"/>
    <w:rsid w:val="00680297"/>
    <w:rsid w:val="006828D0"/>
    <w:rsid w:val="006842F7"/>
    <w:rsid w:val="00684493"/>
    <w:rsid w:val="00684A15"/>
    <w:rsid w:val="0068529B"/>
    <w:rsid w:val="006855B8"/>
    <w:rsid w:val="00686386"/>
    <w:rsid w:val="0068652C"/>
    <w:rsid w:val="00686620"/>
    <w:rsid w:val="00686670"/>
    <w:rsid w:val="0068704B"/>
    <w:rsid w:val="006873CE"/>
    <w:rsid w:val="00687990"/>
    <w:rsid w:val="006902A7"/>
    <w:rsid w:val="00690639"/>
    <w:rsid w:val="00692672"/>
    <w:rsid w:val="006927A4"/>
    <w:rsid w:val="00693124"/>
    <w:rsid w:val="00693527"/>
    <w:rsid w:val="00693B20"/>
    <w:rsid w:val="006941FE"/>
    <w:rsid w:val="006955CE"/>
    <w:rsid w:val="00697681"/>
    <w:rsid w:val="006A03E8"/>
    <w:rsid w:val="006A06F1"/>
    <w:rsid w:val="006A0786"/>
    <w:rsid w:val="006A09E5"/>
    <w:rsid w:val="006A0E77"/>
    <w:rsid w:val="006A1051"/>
    <w:rsid w:val="006A1986"/>
    <w:rsid w:val="006A2489"/>
    <w:rsid w:val="006A2EF1"/>
    <w:rsid w:val="006A30D7"/>
    <w:rsid w:val="006A3C22"/>
    <w:rsid w:val="006A3E43"/>
    <w:rsid w:val="006A4F0F"/>
    <w:rsid w:val="006A6175"/>
    <w:rsid w:val="006A62F6"/>
    <w:rsid w:val="006A665B"/>
    <w:rsid w:val="006A763C"/>
    <w:rsid w:val="006A7AFD"/>
    <w:rsid w:val="006A7ECA"/>
    <w:rsid w:val="006A7EDA"/>
    <w:rsid w:val="006B0B7C"/>
    <w:rsid w:val="006B0DF0"/>
    <w:rsid w:val="006B102C"/>
    <w:rsid w:val="006B114F"/>
    <w:rsid w:val="006B1255"/>
    <w:rsid w:val="006B1AC8"/>
    <w:rsid w:val="006B26EB"/>
    <w:rsid w:val="006B3F8E"/>
    <w:rsid w:val="006B4036"/>
    <w:rsid w:val="006B5D74"/>
    <w:rsid w:val="006B69B9"/>
    <w:rsid w:val="006B70B3"/>
    <w:rsid w:val="006B70EF"/>
    <w:rsid w:val="006B74FA"/>
    <w:rsid w:val="006B76A5"/>
    <w:rsid w:val="006C043E"/>
    <w:rsid w:val="006C1440"/>
    <w:rsid w:val="006C1EC7"/>
    <w:rsid w:val="006C24BA"/>
    <w:rsid w:val="006C2729"/>
    <w:rsid w:val="006C2C09"/>
    <w:rsid w:val="006C2D6C"/>
    <w:rsid w:val="006C33E6"/>
    <w:rsid w:val="006C4A84"/>
    <w:rsid w:val="006C5EC8"/>
    <w:rsid w:val="006C610D"/>
    <w:rsid w:val="006C6A1B"/>
    <w:rsid w:val="006C708A"/>
    <w:rsid w:val="006C71B9"/>
    <w:rsid w:val="006C7F24"/>
    <w:rsid w:val="006D0305"/>
    <w:rsid w:val="006D0617"/>
    <w:rsid w:val="006D0714"/>
    <w:rsid w:val="006D0852"/>
    <w:rsid w:val="006D0B1B"/>
    <w:rsid w:val="006D0EDC"/>
    <w:rsid w:val="006D2164"/>
    <w:rsid w:val="006D4425"/>
    <w:rsid w:val="006D4FEE"/>
    <w:rsid w:val="006D5FE1"/>
    <w:rsid w:val="006D69AD"/>
    <w:rsid w:val="006D6E39"/>
    <w:rsid w:val="006D6F63"/>
    <w:rsid w:val="006D7D00"/>
    <w:rsid w:val="006D7EE9"/>
    <w:rsid w:val="006E07E3"/>
    <w:rsid w:val="006E324F"/>
    <w:rsid w:val="006E34FE"/>
    <w:rsid w:val="006E3A0A"/>
    <w:rsid w:val="006E3B3E"/>
    <w:rsid w:val="006E4D43"/>
    <w:rsid w:val="006E568D"/>
    <w:rsid w:val="006E5870"/>
    <w:rsid w:val="006E5935"/>
    <w:rsid w:val="006E5A39"/>
    <w:rsid w:val="006E661E"/>
    <w:rsid w:val="006E68F5"/>
    <w:rsid w:val="006E6B70"/>
    <w:rsid w:val="006E76BE"/>
    <w:rsid w:val="006F1C55"/>
    <w:rsid w:val="006F275B"/>
    <w:rsid w:val="006F33BD"/>
    <w:rsid w:val="006F35F6"/>
    <w:rsid w:val="006F3B5B"/>
    <w:rsid w:val="006F49E3"/>
    <w:rsid w:val="006F527D"/>
    <w:rsid w:val="006F5561"/>
    <w:rsid w:val="006F6321"/>
    <w:rsid w:val="006F63D1"/>
    <w:rsid w:val="006F7241"/>
    <w:rsid w:val="006F7728"/>
    <w:rsid w:val="006F79BF"/>
    <w:rsid w:val="0070000A"/>
    <w:rsid w:val="00700B76"/>
    <w:rsid w:val="00700CD9"/>
    <w:rsid w:val="00700D46"/>
    <w:rsid w:val="00700DBA"/>
    <w:rsid w:val="007014D5"/>
    <w:rsid w:val="00702273"/>
    <w:rsid w:val="00704802"/>
    <w:rsid w:val="00705792"/>
    <w:rsid w:val="00705B37"/>
    <w:rsid w:val="007064EF"/>
    <w:rsid w:val="00706CF0"/>
    <w:rsid w:val="00706F61"/>
    <w:rsid w:val="00707756"/>
    <w:rsid w:val="0071072C"/>
    <w:rsid w:val="007109FD"/>
    <w:rsid w:val="00710AF2"/>
    <w:rsid w:val="00710CD2"/>
    <w:rsid w:val="00710E94"/>
    <w:rsid w:val="00711424"/>
    <w:rsid w:val="007116BE"/>
    <w:rsid w:val="00711951"/>
    <w:rsid w:val="007119B1"/>
    <w:rsid w:val="007159B0"/>
    <w:rsid w:val="00716C36"/>
    <w:rsid w:val="0071776E"/>
    <w:rsid w:val="007209A8"/>
    <w:rsid w:val="00720D4B"/>
    <w:rsid w:val="00720F1A"/>
    <w:rsid w:val="0072104A"/>
    <w:rsid w:val="00721917"/>
    <w:rsid w:val="00722905"/>
    <w:rsid w:val="00722AD8"/>
    <w:rsid w:val="00723A8B"/>
    <w:rsid w:val="00723FBF"/>
    <w:rsid w:val="007242D2"/>
    <w:rsid w:val="00724861"/>
    <w:rsid w:val="007257FE"/>
    <w:rsid w:val="007262E8"/>
    <w:rsid w:val="0072658C"/>
    <w:rsid w:val="0072743D"/>
    <w:rsid w:val="007274DB"/>
    <w:rsid w:val="00727A3A"/>
    <w:rsid w:val="00727D8A"/>
    <w:rsid w:val="00730C3A"/>
    <w:rsid w:val="00731FEA"/>
    <w:rsid w:val="00732070"/>
    <w:rsid w:val="007347E5"/>
    <w:rsid w:val="00734D06"/>
    <w:rsid w:val="00735941"/>
    <w:rsid w:val="00736604"/>
    <w:rsid w:val="00736B23"/>
    <w:rsid w:val="00736CCB"/>
    <w:rsid w:val="00736F61"/>
    <w:rsid w:val="007414E7"/>
    <w:rsid w:val="0074211E"/>
    <w:rsid w:val="00742253"/>
    <w:rsid w:val="00742631"/>
    <w:rsid w:val="00742E61"/>
    <w:rsid w:val="00743023"/>
    <w:rsid w:val="00743B7B"/>
    <w:rsid w:val="00743D1F"/>
    <w:rsid w:val="0074429A"/>
    <w:rsid w:val="00745036"/>
    <w:rsid w:val="007471A8"/>
    <w:rsid w:val="00747278"/>
    <w:rsid w:val="007472C9"/>
    <w:rsid w:val="00750B52"/>
    <w:rsid w:val="0075111D"/>
    <w:rsid w:val="00751B0E"/>
    <w:rsid w:val="0075313B"/>
    <w:rsid w:val="007538C6"/>
    <w:rsid w:val="00753C97"/>
    <w:rsid w:val="00754421"/>
    <w:rsid w:val="007567FB"/>
    <w:rsid w:val="00756E62"/>
    <w:rsid w:val="0076093E"/>
    <w:rsid w:val="007609A1"/>
    <w:rsid w:val="00760C1D"/>
    <w:rsid w:val="00761134"/>
    <w:rsid w:val="0076136F"/>
    <w:rsid w:val="00761DF7"/>
    <w:rsid w:val="0076286E"/>
    <w:rsid w:val="007631C0"/>
    <w:rsid w:val="0076326C"/>
    <w:rsid w:val="00763A0B"/>
    <w:rsid w:val="00763F4F"/>
    <w:rsid w:val="00764471"/>
    <w:rsid w:val="00765302"/>
    <w:rsid w:val="00765550"/>
    <w:rsid w:val="0076574A"/>
    <w:rsid w:val="007662C7"/>
    <w:rsid w:val="007663FE"/>
    <w:rsid w:val="00771460"/>
    <w:rsid w:val="00771CC2"/>
    <w:rsid w:val="00771D34"/>
    <w:rsid w:val="007727AB"/>
    <w:rsid w:val="00773AFB"/>
    <w:rsid w:val="007745C5"/>
    <w:rsid w:val="00774748"/>
    <w:rsid w:val="007750FA"/>
    <w:rsid w:val="0077547F"/>
    <w:rsid w:val="00775494"/>
    <w:rsid w:val="007760EA"/>
    <w:rsid w:val="00776282"/>
    <w:rsid w:val="00776306"/>
    <w:rsid w:val="00776A53"/>
    <w:rsid w:val="00776C00"/>
    <w:rsid w:val="00777135"/>
    <w:rsid w:val="00777A6F"/>
    <w:rsid w:val="00777EC9"/>
    <w:rsid w:val="00780F67"/>
    <w:rsid w:val="00782347"/>
    <w:rsid w:val="00782C96"/>
    <w:rsid w:val="007830A8"/>
    <w:rsid w:val="0078382F"/>
    <w:rsid w:val="00783A05"/>
    <w:rsid w:val="00783FED"/>
    <w:rsid w:val="00784763"/>
    <w:rsid w:val="00786520"/>
    <w:rsid w:val="00786C29"/>
    <w:rsid w:val="00790331"/>
    <w:rsid w:val="0079084A"/>
    <w:rsid w:val="0079116D"/>
    <w:rsid w:val="007931E1"/>
    <w:rsid w:val="007936C2"/>
    <w:rsid w:val="00793939"/>
    <w:rsid w:val="007939D3"/>
    <w:rsid w:val="00793B4E"/>
    <w:rsid w:val="00793D48"/>
    <w:rsid w:val="00795171"/>
    <w:rsid w:val="0079700F"/>
    <w:rsid w:val="007A0046"/>
    <w:rsid w:val="007A089E"/>
    <w:rsid w:val="007A10A3"/>
    <w:rsid w:val="007A1BB5"/>
    <w:rsid w:val="007A1F1B"/>
    <w:rsid w:val="007A2727"/>
    <w:rsid w:val="007A55A7"/>
    <w:rsid w:val="007A5929"/>
    <w:rsid w:val="007A5C12"/>
    <w:rsid w:val="007A672E"/>
    <w:rsid w:val="007A6AD4"/>
    <w:rsid w:val="007B0565"/>
    <w:rsid w:val="007B192F"/>
    <w:rsid w:val="007B1F10"/>
    <w:rsid w:val="007B335E"/>
    <w:rsid w:val="007B58B7"/>
    <w:rsid w:val="007B5EF4"/>
    <w:rsid w:val="007B6199"/>
    <w:rsid w:val="007B66FA"/>
    <w:rsid w:val="007B6B13"/>
    <w:rsid w:val="007B6C90"/>
    <w:rsid w:val="007B6F87"/>
    <w:rsid w:val="007B7BE8"/>
    <w:rsid w:val="007C0CED"/>
    <w:rsid w:val="007C13D9"/>
    <w:rsid w:val="007C144C"/>
    <w:rsid w:val="007C163D"/>
    <w:rsid w:val="007C1ADA"/>
    <w:rsid w:val="007C23C0"/>
    <w:rsid w:val="007C2AA7"/>
    <w:rsid w:val="007C3396"/>
    <w:rsid w:val="007C42FC"/>
    <w:rsid w:val="007C4355"/>
    <w:rsid w:val="007C475A"/>
    <w:rsid w:val="007C4853"/>
    <w:rsid w:val="007C5080"/>
    <w:rsid w:val="007C56AD"/>
    <w:rsid w:val="007C5954"/>
    <w:rsid w:val="007C5FB5"/>
    <w:rsid w:val="007C60C4"/>
    <w:rsid w:val="007C624F"/>
    <w:rsid w:val="007C6331"/>
    <w:rsid w:val="007C6A9B"/>
    <w:rsid w:val="007C6CC7"/>
    <w:rsid w:val="007C71A8"/>
    <w:rsid w:val="007C7C6F"/>
    <w:rsid w:val="007D042D"/>
    <w:rsid w:val="007D07EF"/>
    <w:rsid w:val="007D0AA8"/>
    <w:rsid w:val="007D1096"/>
    <w:rsid w:val="007D2F13"/>
    <w:rsid w:val="007D31C1"/>
    <w:rsid w:val="007D3F1B"/>
    <w:rsid w:val="007D496A"/>
    <w:rsid w:val="007D6587"/>
    <w:rsid w:val="007D6E9F"/>
    <w:rsid w:val="007D7989"/>
    <w:rsid w:val="007D7D95"/>
    <w:rsid w:val="007D7F3C"/>
    <w:rsid w:val="007E012D"/>
    <w:rsid w:val="007E018D"/>
    <w:rsid w:val="007E02FF"/>
    <w:rsid w:val="007E0A87"/>
    <w:rsid w:val="007E0C2B"/>
    <w:rsid w:val="007E11EE"/>
    <w:rsid w:val="007E1731"/>
    <w:rsid w:val="007E1B81"/>
    <w:rsid w:val="007E3790"/>
    <w:rsid w:val="007E3DBF"/>
    <w:rsid w:val="007E3F26"/>
    <w:rsid w:val="007E419E"/>
    <w:rsid w:val="007E4749"/>
    <w:rsid w:val="007E4CD5"/>
    <w:rsid w:val="007E5899"/>
    <w:rsid w:val="007E59B4"/>
    <w:rsid w:val="007E6F9C"/>
    <w:rsid w:val="007E7590"/>
    <w:rsid w:val="007E7D05"/>
    <w:rsid w:val="007F01EE"/>
    <w:rsid w:val="007F0873"/>
    <w:rsid w:val="007F17AA"/>
    <w:rsid w:val="007F1B71"/>
    <w:rsid w:val="007F2103"/>
    <w:rsid w:val="007F24E3"/>
    <w:rsid w:val="007F266B"/>
    <w:rsid w:val="007F2814"/>
    <w:rsid w:val="007F3B5D"/>
    <w:rsid w:val="007F3CDF"/>
    <w:rsid w:val="007F4ADC"/>
    <w:rsid w:val="007F4E0A"/>
    <w:rsid w:val="007F5BFB"/>
    <w:rsid w:val="007F66C9"/>
    <w:rsid w:val="007F7A6E"/>
    <w:rsid w:val="008008E8"/>
    <w:rsid w:val="0080092B"/>
    <w:rsid w:val="008028C7"/>
    <w:rsid w:val="00802BF5"/>
    <w:rsid w:val="00803A7C"/>
    <w:rsid w:val="00803AB1"/>
    <w:rsid w:val="00803B7E"/>
    <w:rsid w:val="008058C9"/>
    <w:rsid w:val="00806431"/>
    <w:rsid w:val="0080668E"/>
    <w:rsid w:val="0080714C"/>
    <w:rsid w:val="00807293"/>
    <w:rsid w:val="0080773A"/>
    <w:rsid w:val="00807E7D"/>
    <w:rsid w:val="008100C1"/>
    <w:rsid w:val="00811697"/>
    <w:rsid w:val="00811B1F"/>
    <w:rsid w:val="0081259B"/>
    <w:rsid w:val="00812D84"/>
    <w:rsid w:val="00814718"/>
    <w:rsid w:val="008148C1"/>
    <w:rsid w:val="00815675"/>
    <w:rsid w:val="00816150"/>
    <w:rsid w:val="00816A47"/>
    <w:rsid w:val="00816CB4"/>
    <w:rsid w:val="00816F07"/>
    <w:rsid w:val="00817F03"/>
    <w:rsid w:val="00821943"/>
    <w:rsid w:val="0082204E"/>
    <w:rsid w:val="00822561"/>
    <w:rsid w:val="008232F3"/>
    <w:rsid w:val="00823C97"/>
    <w:rsid w:val="00824B88"/>
    <w:rsid w:val="00824D34"/>
    <w:rsid w:val="00824E85"/>
    <w:rsid w:val="0082574F"/>
    <w:rsid w:val="00825931"/>
    <w:rsid w:val="00825AB7"/>
    <w:rsid w:val="00827420"/>
    <w:rsid w:val="00830CAE"/>
    <w:rsid w:val="00831675"/>
    <w:rsid w:val="00833186"/>
    <w:rsid w:val="00835BD8"/>
    <w:rsid w:val="00836010"/>
    <w:rsid w:val="0084053E"/>
    <w:rsid w:val="00840668"/>
    <w:rsid w:val="008409F2"/>
    <w:rsid w:val="00840D40"/>
    <w:rsid w:val="008417FA"/>
    <w:rsid w:val="008419FB"/>
    <w:rsid w:val="00841B09"/>
    <w:rsid w:val="00841F69"/>
    <w:rsid w:val="00843106"/>
    <w:rsid w:val="008436DC"/>
    <w:rsid w:val="00843F9D"/>
    <w:rsid w:val="00844DA7"/>
    <w:rsid w:val="00845350"/>
    <w:rsid w:val="008458DC"/>
    <w:rsid w:val="00845E61"/>
    <w:rsid w:val="0084630F"/>
    <w:rsid w:val="00846C4C"/>
    <w:rsid w:val="00846F0E"/>
    <w:rsid w:val="00847E61"/>
    <w:rsid w:val="00850207"/>
    <w:rsid w:val="00850AE9"/>
    <w:rsid w:val="00851859"/>
    <w:rsid w:val="00851A91"/>
    <w:rsid w:val="00851F6C"/>
    <w:rsid w:val="008525BD"/>
    <w:rsid w:val="00853BE3"/>
    <w:rsid w:val="00853EE6"/>
    <w:rsid w:val="00854C3A"/>
    <w:rsid w:val="00854CCB"/>
    <w:rsid w:val="00855274"/>
    <w:rsid w:val="00855F8E"/>
    <w:rsid w:val="008575ED"/>
    <w:rsid w:val="008577E0"/>
    <w:rsid w:val="00861483"/>
    <w:rsid w:val="00861942"/>
    <w:rsid w:val="0086224F"/>
    <w:rsid w:val="00862E1F"/>
    <w:rsid w:val="0086372A"/>
    <w:rsid w:val="00863DE9"/>
    <w:rsid w:val="00863FD3"/>
    <w:rsid w:val="00866DAF"/>
    <w:rsid w:val="008673D4"/>
    <w:rsid w:val="00867D2F"/>
    <w:rsid w:val="00870389"/>
    <w:rsid w:val="00870613"/>
    <w:rsid w:val="00871117"/>
    <w:rsid w:val="008714FF"/>
    <w:rsid w:val="00871635"/>
    <w:rsid w:val="0087174D"/>
    <w:rsid w:val="00871E68"/>
    <w:rsid w:val="008734DC"/>
    <w:rsid w:val="00873803"/>
    <w:rsid w:val="00873B17"/>
    <w:rsid w:val="00873DA5"/>
    <w:rsid w:val="008743C3"/>
    <w:rsid w:val="00874947"/>
    <w:rsid w:val="008762D1"/>
    <w:rsid w:val="00876AE6"/>
    <w:rsid w:val="0087787E"/>
    <w:rsid w:val="00880DF1"/>
    <w:rsid w:val="008817DF"/>
    <w:rsid w:val="0088184F"/>
    <w:rsid w:val="00883017"/>
    <w:rsid w:val="0088467C"/>
    <w:rsid w:val="00884A2A"/>
    <w:rsid w:val="00884F51"/>
    <w:rsid w:val="00885AA4"/>
    <w:rsid w:val="008867C4"/>
    <w:rsid w:val="008871C4"/>
    <w:rsid w:val="008874C7"/>
    <w:rsid w:val="0088759F"/>
    <w:rsid w:val="00890C55"/>
    <w:rsid w:val="0089181E"/>
    <w:rsid w:val="0089199C"/>
    <w:rsid w:val="00891A04"/>
    <w:rsid w:val="00891CFA"/>
    <w:rsid w:val="00891DCE"/>
    <w:rsid w:val="00892672"/>
    <w:rsid w:val="0089274E"/>
    <w:rsid w:val="00892CF8"/>
    <w:rsid w:val="008936CB"/>
    <w:rsid w:val="00894579"/>
    <w:rsid w:val="00895468"/>
    <w:rsid w:val="00895606"/>
    <w:rsid w:val="008970E8"/>
    <w:rsid w:val="00897328"/>
    <w:rsid w:val="00897AD3"/>
    <w:rsid w:val="00897F19"/>
    <w:rsid w:val="008A05CF"/>
    <w:rsid w:val="008A0747"/>
    <w:rsid w:val="008A07A7"/>
    <w:rsid w:val="008A0FA2"/>
    <w:rsid w:val="008A1657"/>
    <w:rsid w:val="008A3482"/>
    <w:rsid w:val="008A4905"/>
    <w:rsid w:val="008A54DA"/>
    <w:rsid w:val="008A5B67"/>
    <w:rsid w:val="008A62D9"/>
    <w:rsid w:val="008A682B"/>
    <w:rsid w:val="008A6D02"/>
    <w:rsid w:val="008B0861"/>
    <w:rsid w:val="008B0868"/>
    <w:rsid w:val="008B195A"/>
    <w:rsid w:val="008B2B33"/>
    <w:rsid w:val="008B4325"/>
    <w:rsid w:val="008B43E5"/>
    <w:rsid w:val="008B6022"/>
    <w:rsid w:val="008B6188"/>
    <w:rsid w:val="008B796B"/>
    <w:rsid w:val="008C0361"/>
    <w:rsid w:val="008C0B99"/>
    <w:rsid w:val="008C26D8"/>
    <w:rsid w:val="008C397B"/>
    <w:rsid w:val="008C3ADF"/>
    <w:rsid w:val="008C4CBE"/>
    <w:rsid w:val="008C571A"/>
    <w:rsid w:val="008C5E36"/>
    <w:rsid w:val="008C6001"/>
    <w:rsid w:val="008C6B0C"/>
    <w:rsid w:val="008C6D16"/>
    <w:rsid w:val="008C70E6"/>
    <w:rsid w:val="008C79E7"/>
    <w:rsid w:val="008D0EB8"/>
    <w:rsid w:val="008D16F7"/>
    <w:rsid w:val="008D274F"/>
    <w:rsid w:val="008D27A8"/>
    <w:rsid w:val="008D2C33"/>
    <w:rsid w:val="008D2E33"/>
    <w:rsid w:val="008D3357"/>
    <w:rsid w:val="008D376F"/>
    <w:rsid w:val="008D4887"/>
    <w:rsid w:val="008D66DF"/>
    <w:rsid w:val="008D6EC3"/>
    <w:rsid w:val="008D75C9"/>
    <w:rsid w:val="008E0134"/>
    <w:rsid w:val="008E02D6"/>
    <w:rsid w:val="008E1427"/>
    <w:rsid w:val="008E151E"/>
    <w:rsid w:val="008E1D9F"/>
    <w:rsid w:val="008E2376"/>
    <w:rsid w:val="008E2A62"/>
    <w:rsid w:val="008E3070"/>
    <w:rsid w:val="008E3707"/>
    <w:rsid w:val="008E3EA8"/>
    <w:rsid w:val="008E43D3"/>
    <w:rsid w:val="008E4DA6"/>
    <w:rsid w:val="008E4E49"/>
    <w:rsid w:val="008E4FD0"/>
    <w:rsid w:val="008E639F"/>
    <w:rsid w:val="008E63FD"/>
    <w:rsid w:val="008E679D"/>
    <w:rsid w:val="008E6BCB"/>
    <w:rsid w:val="008E6D56"/>
    <w:rsid w:val="008E745C"/>
    <w:rsid w:val="008E7AB9"/>
    <w:rsid w:val="008F0940"/>
    <w:rsid w:val="008F1A55"/>
    <w:rsid w:val="008F295A"/>
    <w:rsid w:val="008F2D90"/>
    <w:rsid w:val="008F3F45"/>
    <w:rsid w:val="008F4CCB"/>
    <w:rsid w:val="008F610F"/>
    <w:rsid w:val="008F7F98"/>
    <w:rsid w:val="00901577"/>
    <w:rsid w:val="0090177C"/>
    <w:rsid w:val="00901A45"/>
    <w:rsid w:val="00901E37"/>
    <w:rsid w:val="00902095"/>
    <w:rsid w:val="00903B7F"/>
    <w:rsid w:val="009043BA"/>
    <w:rsid w:val="0090469C"/>
    <w:rsid w:val="00904819"/>
    <w:rsid w:val="00904E16"/>
    <w:rsid w:val="009050EB"/>
    <w:rsid w:val="00906084"/>
    <w:rsid w:val="00906476"/>
    <w:rsid w:val="0090707A"/>
    <w:rsid w:val="00907FE6"/>
    <w:rsid w:val="009103A4"/>
    <w:rsid w:val="009110F2"/>
    <w:rsid w:val="00911A6A"/>
    <w:rsid w:val="00912A55"/>
    <w:rsid w:val="00912FAC"/>
    <w:rsid w:val="009134B4"/>
    <w:rsid w:val="009136DC"/>
    <w:rsid w:val="0091370F"/>
    <w:rsid w:val="009143A0"/>
    <w:rsid w:val="00914B65"/>
    <w:rsid w:val="00915A15"/>
    <w:rsid w:val="00916071"/>
    <w:rsid w:val="0091645C"/>
    <w:rsid w:val="0091732C"/>
    <w:rsid w:val="00917C6A"/>
    <w:rsid w:val="00920255"/>
    <w:rsid w:val="00920B67"/>
    <w:rsid w:val="00921FF3"/>
    <w:rsid w:val="00922F03"/>
    <w:rsid w:val="009232D8"/>
    <w:rsid w:val="00923312"/>
    <w:rsid w:val="00924E2F"/>
    <w:rsid w:val="009251A6"/>
    <w:rsid w:val="00926328"/>
    <w:rsid w:val="00927315"/>
    <w:rsid w:val="00927ABE"/>
    <w:rsid w:val="00930613"/>
    <w:rsid w:val="0093096B"/>
    <w:rsid w:val="009313FC"/>
    <w:rsid w:val="0093181B"/>
    <w:rsid w:val="00932687"/>
    <w:rsid w:val="00932BB7"/>
    <w:rsid w:val="00933887"/>
    <w:rsid w:val="00933DE3"/>
    <w:rsid w:val="0093423A"/>
    <w:rsid w:val="009345A1"/>
    <w:rsid w:val="00934CDA"/>
    <w:rsid w:val="00936902"/>
    <w:rsid w:val="00936CE0"/>
    <w:rsid w:val="009373C9"/>
    <w:rsid w:val="0093742A"/>
    <w:rsid w:val="009374E0"/>
    <w:rsid w:val="009374EF"/>
    <w:rsid w:val="00940E46"/>
    <w:rsid w:val="009414BE"/>
    <w:rsid w:val="00941B6C"/>
    <w:rsid w:val="00941BF5"/>
    <w:rsid w:val="009424F2"/>
    <w:rsid w:val="0094251B"/>
    <w:rsid w:val="0094265E"/>
    <w:rsid w:val="00942951"/>
    <w:rsid w:val="00942A2C"/>
    <w:rsid w:val="00943CBF"/>
    <w:rsid w:val="00943E0A"/>
    <w:rsid w:val="0094475A"/>
    <w:rsid w:val="00945E5F"/>
    <w:rsid w:val="00947003"/>
    <w:rsid w:val="00947122"/>
    <w:rsid w:val="00947D06"/>
    <w:rsid w:val="009508FC"/>
    <w:rsid w:val="00950B28"/>
    <w:rsid w:val="00950D98"/>
    <w:rsid w:val="0095143F"/>
    <w:rsid w:val="00952599"/>
    <w:rsid w:val="009531C8"/>
    <w:rsid w:val="00953728"/>
    <w:rsid w:val="00954679"/>
    <w:rsid w:val="00954CFD"/>
    <w:rsid w:val="0095501C"/>
    <w:rsid w:val="009554A5"/>
    <w:rsid w:val="0095564E"/>
    <w:rsid w:val="009564E1"/>
    <w:rsid w:val="0095791A"/>
    <w:rsid w:val="00957BC5"/>
    <w:rsid w:val="0096022F"/>
    <w:rsid w:val="0096043B"/>
    <w:rsid w:val="00960619"/>
    <w:rsid w:val="0096121A"/>
    <w:rsid w:val="009619E0"/>
    <w:rsid w:val="00961F79"/>
    <w:rsid w:val="0096245D"/>
    <w:rsid w:val="00963767"/>
    <w:rsid w:val="00963F5B"/>
    <w:rsid w:val="00964541"/>
    <w:rsid w:val="009648F7"/>
    <w:rsid w:val="00965862"/>
    <w:rsid w:val="0096609B"/>
    <w:rsid w:val="009679CC"/>
    <w:rsid w:val="00970291"/>
    <w:rsid w:val="00970397"/>
    <w:rsid w:val="00971993"/>
    <w:rsid w:val="00971B4F"/>
    <w:rsid w:val="009725BF"/>
    <w:rsid w:val="009736B1"/>
    <w:rsid w:val="00973B95"/>
    <w:rsid w:val="00974D36"/>
    <w:rsid w:val="009754CE"/>
    <w:rsid w:val="00975677"/>
    <w:rsid w:val="009767FD"/>
    <w:rsid w:val="00977C55"/>
    <w:rsid w:val="00977DB8"/>
    <w:rsid w:val="00980995"/>
    <w:rsid w:val="00980ED5"/>
    <w:rsid w:val="00981253"/>
    <w:rsid w:val="00981369"/>
    <w:rsid w:val="009822DA"/>
    <w:rsid w:val="009833FB"/>
    <w:rsid w:val="00983CE0"/>
    <w:rsid w:val="0098451F"/>
    <w:rsid w:val="00984C87"/>
    <w:rsid w:val="00985FC6"/>
    <w:rsid w:val="0098629C"/>
    <w:rsid w:val="009865EA"/>
    <w:rsid w:val="0098663C"/>
    <w:rsid w:val="00986830"/>
    <w:rsid w:val="00986B59"/>
    <w:rsid w:val="009906BF"/>
    <w:rsid w:val="00990F82"/>
    <w:rsid w:val="0099144F"/>
    <w:rsid w:val="00991EF7"/>
    <w:rsid w:val="009920A1"/>
    <w:rsid w:val="00992529"/>
    <w:rsid w:val="009931BC"/>
    <w:rsid w:val="00993FBE"/>
    <w:rsid w:val="009944DC"/>
    <w:rsid w:val="00995256"/>
    <w:rsid w:val="00997BD9"/>
    <w:rsid w:val="00997E84"/>
    <w:rsid w:val="009A0AC1"/>
    <w:rsid w:val="009A232A"/>
    <w:rsid w:val="009A2725"/>
    <w:rsid w:val="009A3A48"/>
    <w:rsid w:val="009A3DE6"/>
    <w:rsid w:val="009A4023"/>
    <w:rsid w:val="009A5FB1"/>
    <w:rsid w:val="009A715D"/>
    <w:rsid w:val="009A766F"/>
    <w:rsid w:val="009A7917"/>
    <w:rsid w:val="009A7976"/>
    <w:rsid w:val="009B0DE9"/>
    <w:rsid w:val="009B11AA"/>
    <w:rsid w:val="009B1EDA"/>
    <w:rsid w:val="009B1EFF"/>
    <w:rsid w:val="009B23E3"/>
    <w:rsid w:val="009B29D2"/>
    <w:rsid w:val="009B3100"/>
    <w:rsid w:val="009B3680"/>
    <w:rsid w:val="009B3D8B"/>
    <w:rsid w:val="009B40C3"/>
    <w:rsid w:val="009B68BC"/>
    <w:rsid w:val="009B6A20"/>
    <w:rsid w:val="009B6B7A"/>
    <w:rsid w:val="009B73F8"/>
    <w:rsid w:val="009B754B"/>
    <w:rsid w:val="009C023E"/>
    <w:rsid w:val="009C0AD4"/>
    <w:rsid w:val="009C1D56"/>
    <w:rsid w:val="009C256E"/>
    <w:rsid w:val="009C4811"/>
    <w:rsid w:val="009C4F54"/>
    <w:rsid w:val="009C5C21"/>
    <w:rsid w:val="009C5D57"/>
    <w:rsid w:val="009C626D"/>
    <w:rsid w:val="009C6A1E"/>
    <w:rsid w:val="009C7364"/>
    <w:rsid w:val="009C73BC"/>
    <w:rsid w:val="009C7BEE"/>
    <w:rsid w:val="009D00CE"/>
    <w:rsid w:val="009D066B"/>
    <w:rsid w:val="009D0841"/>
    <w:rsid w:val="009D085A"/>
    <w:rsid w:val="009D22D3"/>
    <w:rsid w:val="009D3975"/>
    <w:rsid w:val="009D3DAB"/>
    <w:rsid w:val="009D5080"/>
    <w:rsid w:val="009D5C47"/>
    <w:rsid w:val="009D5CFF"/>
    <w:rsid w:val="009D62CA"/>
    <w:rsid w:val="009D66FE"/>
    <w:rsid w:val="009D736C"/>
    <w:rsid w:val="009E1400"/>
    <w:rsid w:val="009E1CB2"/>
    <w:rsid w:val="009E1E67"/>
    <w:rsid w:val="009E2722"/>
    <w:rsid w:val="009E2B8A"/>
    <w:rsid w:val="009E2F86"/>
    <w:rsid w:val="009E3F14"/>
    <w:rsid w:val="009E3F83"/>
    <w:rsid w:val="009E4AD7"/>
    <w:rsid w:val="009E54C2"/>
    <w:rsid w:val="009E6015"/>
    <w:rsid w:val="009E6ABC"/>
    <w:rsid w:val="009E7173"/>
    <w:rsid w:val="009E7D11"/>
    <w:rsid w:val="009F0AC5"/>
    <w:rsid w:val="009F0BE6"/>
    <w:rsid w:val="009F26BF"/>
    <w:rsid w:val="009F2A3B"/>
    <w:rsid w:val="009F4998"/>
    <w:rsid w:val="009F500A"/>
    <w:rsid w:val="009F6B37"/>
    <w:rsid w:val="009F6BE7"/>
    <w:rsid w:val="009F76ED"/>
    <w:rsid w:val="009F7B97"/>
    <w:rsid w:val="009F7C7F"/>
    <w:rsid w:val="00A02701"/>
    <w:rsid w:val="00A02917"/>
    <w:rsid w:val="00A03573"/>
    <w:rsid w:val="00A037CD"/>
    <w:rsid w:val="00A039C8"/>
    <w:rsid w:val="00A056AF"/>
    <w:rsid w:val="00A05B13"/>
    <w:rsid w:val="00A06340"/>
    <w:rsid w:val="00A06364"/>
    <w:rsid w:val="00A06AEA"/>
    <w:rsid w:val="00A06F3F"/>
    <w:rsid w:val="00A07330"/>
    <w:rsid w:val="00A07B61"/>
    <w:rsid w:val="00A10379"/>
    <w:rsid w:val="00A10CDC"/>
    <w:rsid w:val="00A11AA5"/>
    <w:rsid w:val="00A12209"/>
    <w:rsid w:val="00A12343"/>
    <w:rsid w:val="00A12350"/>
    <w:rsid w:val="00A12BAC"/>
    <w:rsid w:val="00A12BE7"/>
    <w:rsid w:val="00A13A8E"/>
    <w:rsid w:val="00A145BD"/>
    <w:rsid w:val="00A153A7"/>
    <w:rsid w:val="00A16A41"/>
    <w:rsid w:val="00A203D3"/>
    <w:rsid w:val="00A215E6"/>
    <w:rsid w:val="00A21EF5"/>
    <w:rsid w:val="00A21F55"/>
    <w:rsid w:val="00A2268D"/>
    <w:rsid w:val="00A22D59"/>
    <w:rsid w:val="00A23237"/>
    <w:rsid w:val="00A23934"/>
    <w:rsid w:val="00A240F0"/>
    <w:rsid w:val="00A24407"/>
    <w:rsid w:val="00A246A0"/>
    <w:rsid w:val="00A24B00"/>
    <w:rsid w:val="00A24D9B"/>
    <w:rsid w:val="00A24E01"/>
    <w:rsid w:val="00A24ED9"/>
    <w:rsid w:val="00A25189"/>
    <w:rsid w:val="00A25FAB"/>
    <w:rsid w:val="00A2653B"/>
    <w:rsid w:val="00A26B5D"/>
    <w:rsid w:val="00A26E2A"/>
    <w:rsid w:val="00A27C98"/>
    <w:rsid w:val="00A27D58"/>
    <w:rsid w:val="00A304DC"/>
    <w:rsid w:val="00A31016"/>
    <w:rsid w:val="00A31093"/>
    <w:rsid w:val="00A3124F"/>
    <w:rsid w:val="00A319E8"/>
    <w:rsid w:val="00A33267"/>
    <w:rsid w:val="00A3488D"/>
    <w:rsid w:val="00A350CB"/>
    <w:rsid w:val="00A3527D"/>
    <w:rsid w:val="00A352D2"/>
    <w:rsid w:val="00A35659"/>
    <w:rsid w:val="00A36987"/>
    <w:rsid w:val="00A36B5B"/>
    <w:rsid w:val="00A36DF3"/>
    <w:rsid w:val="00A36F14"/>
    <w:rsid w:val="00A371B0"/>
    <w:rsid w:val="00A37383"/>
    <w:rsid w:val="00A3789F"/>
    <w:rsid w:val="00A37C2D"/>
    <w:rsid w:val="00A37D7B"/>
    <w:rsid w:val="00A408A3"/>
    <w:rsid w:val="00A40E6D"/>
    <w:rsid w:val="00A41138"/>
    <w:rsid w:val="00A41CD6"/>
    <w:rsid w:val="00A42B50"/>
    <w:rsid w:val="00A457CA"/>
    <w:rsid w:val="00A458B8"/>
    <w:rsid w:val="00A45FF2"/>
    <w:rsid w:val="00A46020"/>
    <w:rsid w:val="00A5086C"/>
    <w:rsid w:val="00A51DBA"/>
    <w:rsid w:val="00A524B8"/>
    <w:rsid w:val="00A52A86"/>
    <w:rsid w:val="00A52B01"/>
    <w:rsid w:val="00A53005"/>
    <w:rsid w:val="00A532A4"/>
    <w:rsid w:val="00A532DD"/>
    <w:rsid w:val="00A53CC8"/>
    <w:rsid w:val="00A54A01"/>
    <w:rsid w:val="00A54ACA"/>
    <w:rsid w:val="00A561CD"/>
    <w:rsid w:val="00A5620D"/>
    <w:rsid w:val="00A567C7"/>
    <w:rsid w:val="00A56CBC"/>
    <w:rsid w:val="00A571C4"/>
    <w:rsid w:val="00A577D1"/>
    <w:rsid w:val="00A60062"/>
    <w:rsid w:val="00A61FAD"/>
    <w:rsid w:val="00A63CAC"/>
    <w:rsid w:val="00A640C8"/>
    <w:rsid w:val="00A64DB6"/>
    <w:rsid w:val="00A6530D"/>
    <w:rsid w:val="00A659FE"/>
    <w:rsid w:val="00A66006"/>
    <w:rsid w:val="00A66528"/>
    <w:rsid w:val="00A6661A"/>
    <w:rsid w:val="00A671E6"/>
    <w:rsid w:val="00A7095E"/>
    <w:rsid w:val="00A70B17"/>
    <w:rsid w:val="00A71433"/>
    <w:rsid w:val="00A71A4C"/>
    <w:rsid w:val="00A72577"/>
    <w:rsid w:val="00A725A9"/>
    <w:rsid w:val="00A73711"/>
    <w:rsid w:val="00A74DBD"/>
    <w:rsid w:val="00A7510C"/>
    <w:rsid w:val="00A75F61"/>
    <w:rsid w:val="00A76335"/>
    <w:rsid w:val="00A76921"/>
    <w:rsid w:val="00A7722B"/>
    <w:rsid w:val="00A77E9D"/>
    <w:rsid w:val="00A80BCF"/>
    <w:rsid w:val="00A8160E"/>
    <w:rsid w:val="00A818C9"/>
    <w:rsid w:val="00A827B8"/>
    <w:rsid w:val="00A83184"/>
    <w:rsid w:val="00A83185"/>
    <w:rsid w:val="00A8369C"/>
    <w:rsid w:val="00A83C6B"/>
    <w:rsid w:val="00A83CC2"/>
    <w:rsid w:val="00A858EC"/>
    <w:rsid w:val="00A85B21"/>
    <w:rsid w:val="00A87964"/>
    <w:rsid w:val="00A9012F"/>
    <w:rsid w:val="00A90428"/>
    <w:rsid w:val="00A90946"/>
    <w:rsid w:val="00A90F8B"/>
    <w:rsid w:val="00A91498"/>
    <w:rsid w:val="00A9364E"/>
    <w:rsid w:val="00A94187"/>
    <w:rsid w:val="00A941AE"/>
    <w:rsid w:val="00A946A6"/>
    <w:rsid w:val="00A95DCC"/>
    <w:rsid w:val="00A96430"/>
    <w:rsid w:val="00AA0120"/>
    <w:rsid w:val="00AA0269"/>
    <w:rsid w:val="00AA115B"/>
    <w:rsid w:val="00AA1689"/>
    <w:rsid w:val="00AA2306"/>
    <w:rsid w:val="00AA2994"/>
    <w:rsid w:val="00AA3118"/>
    <w:rsid w:val="00AA39D5"/>
    <w:rsid w:val="00AA3DF7"/>
    <w:rsid w:val="00AA47FA"/>
    <w:rsid w:val="00AA5770"/>
    <w:rsid w:val="00AA6D9B"/>
    <w:rsid w:val="00AA78AF"/>
    <w:rsid w:val="00AA7BC8"/>
    <w:rsid w:val="00AB14F6"/>
    <w:rsid w:val="00AB2063"/>
    <w:rsid w:val="00AB20FA"/>
    <w:rsid w:val="00AB256C"/>
    <w:rsid w:val="00AB3282"/>
    <w:rsid w:val="00AB458E"/>
    <w:rsid w:val="00AB4A72"/>
    <w:rsid w:val="00AB5176"/>
    <w:rsid w:val="00AB579B"/>
    <w:rsid w:val="00AB6213"/>
    <w:rsid w:val="00AB6ABF"/>
    <w:rsid w:val="00AB741D"/>
    <w:rsid w:val="00AB78EE"/>
    <w:rsid w:val="00AC048D"/>
    <w:rsid w:val="00AC0FB5"/>
    <w:rsid w:val="00AC12A3"/>
    <w:rsid w:val="00AC17BD"/>
    <w:rsid w:val="00AC1D15"/>
    <w:rsid w:val="00AC3864"/>
    <w:rsid w:val="00AC3F94"/>
    <w:rsid w:val="00AC45E2"/>
    <w:rsid w:val="00AC4CD4"/>
    <w:rsid w:val="00AC62E6"/>
    <w:rsid w:val="00AC6F2A"/>
    <w:rsid w:val="00AC70C1"/>
    <w:rsid w:val="00AC745E"/>
    <w:rsid w:val="00AD0CBA"/>
    <w:rsid w:val="00AD1746"/>
    <w:rsid w:val="00AD2A6C"/>
    <w:rsid w:val="00AD2F36"/>
    <w:rsid w:val="00AD50A6"/>
    <w:rsid w:val="00AD538C"/>
    <w:rsid w:val="00AD575D"/>
    <w:rsid w:val="00AD64B0"/>
    <w:rsid w:val="00AD6D92"/>
    <w:rsid w:val="00AD76E3"/>
    <w:rsid w:val="00AD7D3C"/>
    <w:rsid w:val="00AE3201"/>
    <w:rsid w:val="00AE3DBA"/>
    <w:rsid w:val="00AE40EB"/>
    <w:rsid w:val="00AE5A2B"/>
    <w:rsid w:val="00AE6457"/>
    <w:rsid w:val="00AE6ACB"/>
    <w:rsid w:val="00AE7445"/>
    <w:rsid w:val="00AE7727"/>
    <w:rsid w:val="00AE77F2"/>
    <w:rsid w:val="00AE7A39"/>
    <w:rsid w:val="00AF13C6"/>
    <w:rsid w:val="00AF1514"/>
    <w:rsid w:val="00AF160D"/>
    <w:rsid w:val="00AF1833"/>
    <w:rsid w:val="00AF1885"/>
    <w:rsid w:val="00AF2094"/>
    <w:rsid w:val="00AF23D9"/>
    <w:rsid w:val="00AF3E5A"/>
    <w:rsid w:val="00AF4959"/>
    <w:rsid w:val="00AF4E6F"/>
    <w:rsid w:val="00AF63A5"/>
    <w:rsid w:val="00AF6551"/>
    <w:rsid w:val="00AF6750"/>
    <w:rsid w:val="00AF7A1A"/>
    <w:rsid w:val="00AF7ADC"/>
    <w:rsid w:val="00B00758"/>
    <w:rsid w:val="00B0085B"/>
    <w:rsid w:val="00B00D0E"/>
    <w:rsid w:val="00B01338"/>
    <w:rsid w:val="00B032DD"/>
    <w:rsid w:val="00B04689"/>
    <w:rsid w:val="00B04F3C"/>
    <w:rsid w:val="00B05362"/>
    <w:rsid w:val="00B05513"/>
    <w:rsid w:val="00B05BFD"/>
    <w:rsid w:val="00B05F86"/>
    <w:rsid w:val="00B0679F"/>
    <w:rsid w:val="00B0707B"/>
    <w:rsid w:val="00B07B0C"/>
    <w:rsid w:val="00B10B83"/>
    <w:rsid w:val="00B1106E"/>
    <w:rsid w:val="00B117BC"/>
    <w:rsid w:val="00B119D5"/>
    <w:rsid w:val="00B1237B"/>
    <w:rsid w:val="00B129EA"/>
    <w:rsid w:val="00B13485"/>
    <w:rsid w:val="00B135B0"/>
    <w:rsid w:val="00B1413F"/>
    <w:rsid w:val="00B14D2B"/>
    <w:rsid w:val="00B15252"/>
    <w:rsid w:val="00B17209"/>
    <w:rsid w:val="00B17A9E"/>
    <w:rsid w:val="00B20771"/>
    <w:rsid w:val="00B21A2D"/>
    <w:rsid w:val="00B21B46"/>
    <w:rsid w:val="00B21E81"/>
    <w:rsid w:val="00B22313"/>
    <w:rsid w:val="00B22B3C"/>
    <w:rsid w:val="00B2340D"/>
    <w:rsid w:val="00B236D2"/>
    <w:rsid w:val="00B23B4F"/>
    <w:rsid w:val="00B25179"/>
    <w:rsid w:val="00B25563"/>
    <w:rsid w:val="00B25D80"/>
    <w:rsid w:val="00B260E8"/>
    <w:rsid w:val="00B26176"/>
    <w:rsid w:val="00B2646F"/>
    <w:rsid w:val="00B26989"/>
    <w:rsid w:val="00B26B8E"/>
    <w:rsid w:val="00B26D48"/>
    <w:rsid w:val="00B27798"/>
    <w:rsid w:val="00B305F3"/>
    <w:rsid w:val="00B3074B"/>
    <w:rsid w:val="00B30B3A"/>
    <w:rsid w:val="00B3187A"/>
    <w:rsid w:val="00B32BB9"/>
    <w:rsid w:val="00B32D07"/>
    <w:rsid w:val="00B331AF"/>
    <w:rsid w:val="00B35676"/>
    <w:rsid w:val="00B35A44"/>
    <w:rsid w:val="00B36134"/>
    <w:rsid w:val="00B40F73"/>
    <w:rsid w:val="00B41373"/>
    <w:rsid w:val="00B42143"/>
    <w:rsid w:val="00B42365"/>
    <w:rsid w:val="00B4249B"/>
    <w:rsid w:val="00B427FF"/>
    <w:rsid w:val="00B42926"/>
    <w:rsid w:val="00B42A01"/>
    <w:rsid w:val="00B42B86"/>
    <w:rsid w:val="00B42D99"/>
    <w:rsid w:val="00B42EE1"/>
    <w:rsid w:val="00B42FBE"/>
    <w:rsid w:val="00B437B3"/>
    <w:rsid w:val="00B447B5"/>
    <w:rsid w:val="00B44E37"/>
    <w:rsid w:val="00B44F0C"/>
    <w:rsid w:val="00B4646C"/>
    <w:rsid w:val="00B469CD"/>
    <w:rsid w:val="00B46A1E"/>
    <w:rsid w:val="00B47E4A"/>
    <w:rsid w:val="00B50974"/>
    <w:rsid w:val="00B50CB8"/>
    <w:rsid w:val="00B51894"/>
    <w:rsid w:val="00B5295F"/>
    <w:rsid w:val="00B541EC"/>
    <w:rsid w:val="00B569DC"/>
    <w:rsid w:val="00B56DB3"/>
    <w:rsid w:val="00B56DCD"/>
    <w:rsid w:val="00B56FC6"/>
    <w:rsid w:val="00B571A9"/>
    <w:rsid w:val="00B571AB"/>
    <w:rsid w:val="00B57E77"/>
    <w:rsid w:val="00B619E8"/>
    <w:rsid w:val="00B62872"/>
    <w:rsid w:val="00B6316B"/>
    <w:rsid w:val="00B632FA"/>
    <w:rsid w:val="00B63ECB"/>
    <w:rsid w:val="00B647CA"/>
    <w:rsid w:val="00B6490A"/>
    <w:rsid w:val="00B64A0E"/>
    <w:rsid w:val="00B65631"/>
    <w:rsid w:val="00B701D0"/>
    <w:rsid w:val="00B70B07"/>
    <w:rsid w:val="00B71DD9"/>
    <w:rsid w:val="00B71F88"/>
    <w:rsid w:val="00B7225D"/>
    <w:rsid w:val="00B723FD"/>
    <w:rsid w:val="00B72A37"/>
    <w:rsid w:val="00B731A7"/>
    <w:rsid w:val="00B76607"/>
    <w:rsid w:val="00B76C8F"/>
    <w:rsid w:val="00B76D21"/>
    <w:rsid w:val="00B80A9C"/>
    <w:rsid w:val="00B811B6"/>
    <w:rsid w:val="00B814DD"/>
    <w:rsid w:val="00B81806"/>
    <w:rsid w:val="00B818D6"/>
    <w:rsid w:val="00B81C0C"/>
    <w:rsid w:val="00B81CC0"/>
    <w:rsid w:val="00B8231D"/>
    <w:rsid w:val="00B8293D"/>
    <w:rsid w:val="00B82B87"/>
    <w:rsid w:val="00B82CAA"/>
    <w:rsid w:val="00B83233"/>
    <w:rsid w:val="00B83763"/>
    <w:rsid w:val="00B83B24"/>
    <w:rsid w:val="00B843AF"/>
    <w:rsid w:val="00B84CC0"/>
    <w:rsid w:val="00B84D2A"/>
    <w:rsid w:val="00B866C1"/>
    <w:rsid w:val="00B86C15"/>
    <w:rsid w:val="00B87548"/>
    <w:rsid w:val="00B875BD"/>
    <w:rsid w:val="00B879EF"/>
    <w:rsid w:val="00B90351"/>
    <w:rsid w:val="00B9138C"/>
    <w:rsid w:val="00B9160A"/>
    <w:rsid w:val="00B91C92"/>
    <w:rsid w:val="00B92478"/>
    <w:rsid w:val="00B93263"/>
    <w:rsid w:val="00B9373A"/>
    <w:rsid w:val="00B9530C"/>
    <w:rsid w:val="00B95986"/>
    <w:rsid w:val="00B95FB2"/>
    <w:rsid w:val="00B96217"/>
    <w:rsid w:val="00B9660C"/>
    <w:rsid w:val="00B968B0"/>
    <w:rsid w:val="00B96F63"/>
    <w:rsid w:val="00B972F5"/>
    <w:rsid w:val="00BA0164"/>
    <w:rsid w:val="00BA0A27"/>
    <w:rsid w:val="00BA0D74"/>
    <w:rsid w:val="00BA0FA3"/>
    <w:rsid w:val="00BA100D"/>
    <w:rsid w:val="00BA255F"/>
    <w:rsid w:val="00BA2716"/>
    <w:rsid w:val="00BA2F50"/>
    <w:rsid w:val="00BA31C6"/>
    <w:rsid w:val="00BA3C67"/>
    <w:rsid w:val="00BA3D4D"/>
    <w:rsid w:val="00BA43BC"/>
    <w:rsid w:val="00BA5BE3"/>
    <w:rsid w:val="00BA5D43"/>
    <w:rsid w:val="00BA6188"/>
    <w:rsid w:val="00BA6696"/>
    <w:rsid w:val="00BA7389"/>
    <w:rsid w:val="00BA74D6"/>
    <w:rsid w:val="00BA7B34"/>
    <w:rsid w:val="00BB0512"/>
    <w:rsid w:val="00BB06B3"/>
    <w:rsid w:val="00BB0B3F"/>
    <w:rsid w:val="00BB0F74"/>
    <w:rsid w:val="00BB1B70"/>
    <w:rsid w:val="00BB21B6"/>
    <w:rsid w:val="00BB21D5"/>
    <w:rsid w:val="00BB2680"/>
    <w:rsid w:val="00BB2EFA"/>
    <w:rsid w:val="00BB36C2"/>
    <w:rsid w:val="00BB3B55"/>
    <w:rsid w:val="00BB3F88"/>
    <w:rsid w:val="00BB4D53"/>
    <w:rsid w:val="00BB4EFE"/>
    <w:rsid w:val="00BB563E"/>
    <w:rsid w:val="00BB6D74"/>
    <w:rsid w:val="00BB7BAE"/>
    <w:rsid w:val="00BB7D5A"/>
    <w:rsid w:val="00BC0946"/>
    <w:rsid w:val="00BC1203"/>
    <w:rsid w:val="00BC19FC"/>
    <w:rsid w:val="00BC1CE2"/>
    <w:rsid w:val="00BC1EA4"/>
    <w:rsid w:val="00BC1F8E"/>
    <w:rsid w:val="00BC2066"/>
    <w:rsid w:val="00BC20B4"/>
    <w:rsid w:val="00BC2269"/>
    <w:rsid w:val="00BC2B64"/>
    <w:rsid w:val="00BC4823"/>
    <w:rsid w:val="00BC4F77"/>
    <w:rsid w:val="00BC5954"/>
    <w:rsid w:val="00BC5B8B"/>
    <w:rsid w:val="00BC6111"/>
    <w:rsid w:val="00BC6903"/>
    <w:rsid w:val="00BC7D39"/>
    <w:rsid w:val="00BD01A8"/>
    <w:rsid w:val="00BD06D2"/>
    <w:rsid w:val="00BD1D93"/>
    <w:rsid w:val="00BD20FB"/>
    <w:rsid w:val="00BD25CF"/>
    <w:rsid w:val="00BD3906"/>
    <w:rsid w:val="00BD3AC8"/>
    <w:rsid w:val="00BD4259"/>
    <w:rsid w:val="00BD4F9C"/>
    <w:rsid w:val="00BD50C2"/>
    <w:rsid w:val="00BD5A5E"/>
    <w:rsid w:val="00BD61A2"/>
    <w:rsid w:val="00BE0650"/>
    <w:rsid w:val="00BE19FB"/>
    <w:rsid w:val="00BE1B54"/>
    <w:rsid w:val="00BE1B71"/>
    <w:rsid w:val="00BE32B7"/>
    <w:rsid w:val="00BE3639"/>
    <w:rsid w:val="00BE399F"/>
    <w:rsid w:val="00BE42CA"/>
    <w:rsid w:val="00BE46BE"/>
    <w:rsid w:val="00BE484D"/>
    <w:rsid w:val="00BE4A2B"/>
    <w:rsid w:val="00BE4E17"/>
    <w:rsid w:val="00BE55A1"/>
    <w:rsid w:val="00BE57FA"/>
    <w:rsid w:val="00BE62C3"/>
    <w:rsid w:val="00BE62E0"/>
    <w:rsid w:val="00BE6B51"/>
    <w:rsid w:val="00BE71B4"/>
    <w:rsid w:val="00BE71BC"/>
    <w:rsid w:val="00BE77C8"/>
    <w:rsid w:val="00BE7967"/>
    <w:rsid w:val="00BF03E6"/>
    <w:rsid w:val="00BF18B9"/>
    <w:rsid w:val="00BF19E5"/>
    <w:rsid w:val="00BF2D71"/>
    <w:rsid w:val="00BF46E4"/>
    <w:rsid w:val="00BF4DC9"/>
    <w:rsid w:val="00BF505B"/>
    <w:rsid w:val="00BF51A5"/>
    <w:rsid w:val="00BF575B"/>
    <w:rsid w:val="00BF5F93"/>
    <w:rsid w:val="00BF7D2E"/>
    <w:rsid w:val="00C007A2"/>
    <w:rsid w:val="00C0167E"/>
    <w:rsid w:val="00C01A07"/>
    <w:rsid w:val="00C01F02"/>
    <w:rsid w:val="00C02A6B"/>
    <w:rsid w:val="00C02D22"/>
    <w:rsid w:val="00C03280"/>
    <w:rsid w:val="00C03356"/>
    <w:rsid w:val="00C04810"/>
    <w:rsid w:val="00C05008"/>
    <w:rsid w:val="00C05FAD"/>
    <w:rsid w:val="00C063A9"/>
    <w:rsid w:val="00C07542"/>
    <w:rsid w:val="00C0790D"/>
    <w:rsid w:val="00C07F5C"/>
    <w:rsid w:val="00C1098B"/>
    <w:rsid w:val="00C10ABD"/>
    <w:rsid w:val="00C1203E"/>
    <w:rsid w:val="00C124EF"/>
    <w:rsid w:val="00C126DA"/>
    <w:rsid w:val="00C127E1"/>
    <w:rsid w:val="00C12D9C"/>
    <w:rsid w:val="00C13437"/>
    <w:rsid w:val="00C141CD"/>
    <w:rsid w:val="00C14949"/>
    <w:rsid w:val="00C14BE5"/>
    <w:rsid w:val="00C15451"/>
    <w:rsid w:val="00C158F1"/>
    <w:rsid w:val="00C15A3A"/>
    <w:rsid w:val="00C15CFD"/>
    <w:rsid w:val="00C15E69"/>
    <w:rsid w:val="00C16D24"/>
    <w:rsid w:val="00C17278"/>
    <w:rsid w:val="00C20486"/>
    <w:rsid w:val="00C204BF"/>
    <w:rsid w:val="00C2097A"/>
    <w:rsid w:val="00C222DE"/>
    <w:rsid w:val="00C22B36"/>
    <w:rsid w:val="00C23BDC"/>
    <w:rsid w:val="00C24027"/>
    <w:rsid w:val="00C242D0"/>
    <w:rsid w:val="00C24A12"/>
    <w:rsid w:val="00C24EAC"/>
    <w:rsid w:val="00C25EB5"/>
    <w:rsid w:val="00C260D9"/>
    <w:rsid w:val="00C2750D"/>
    <w:rsid w:val="00C27630"/>
    <w:rsid w:val="00C2763B"/>
    <w:rsid w:val="00C30C43"/>
    <w:rsid w:val="00C32C07"/>
    <w:rsid w:val="00C32FC3"/>
    <w:rsid w:val="00C337B4"/>
    <w:rsid w:val="00C34C80"/>
    <w:rsid w:val="00C34D95"/>
    <w:rsid w:val="00C37E05"/>
    <w:rsid w:val="00C407B4"/>
    <w:rsid w:val="00C41288"/>
    <w:rsid w:val="00C414C0"/>
    <w:rsid w:val="00C41DE5"/>
    <w:rsid w:val="00C423F1"/>
    <w:rsid w:val="00C42415"/>
    <w:rsid w:val="00C43AAF"/>
    <w:rsid w:val="00C43B0D"/>
    <w:rsid w:val="00C44175"/>
    <w:rsid w:val="00C44BEF"/>
    <w:rsid w:val="00C451EE"/>
    <w:rsid w:val="00C452E7"/>
    <w:rsid w:val="00C456AF"/>
    <w:rsid w:val="00C45B4F"/>
    <w:rsid w:val="00C45E62"/>
    <w:rsid w:val="00C478BE"/>
    <w:rsid w:val="00C47E70"/>
    <w:rsid w:val="00C50591"/>
    <w:rsid w:val="00C50638"/>
    <w:rsid w:val="00C50C99"/>
    <w:rsid w:val="00C515E2"/>
    <w:rsid w:val="00C527C8"/>
    <w:rsid w:val="00C52D4F"/>
    <w:rsid w:val="00C55884"/>
    <w:rsid w:val="00C55D29"/>
    <w:rsid w:val="00C5681F"/>
    <w:rsid w:val="00C568D4"/>
    <w:rsid w:val="00C56BEE"/>
    <w:rsid w:val="00C5704E"/>
    <w:rsid w:val="00C60EBD"/>
    <w:rsid w:val="00C611BD"/>
    <w:rsid w:val="00C61756"/>
    <w:rsid w:val="00C61EE9"/>
    <w:rsid w:val="00C61FCB"/>
    <w:rsid w:val="00C624FB"/>
    <w:rsid w:val="00C6292A"/>
    <w:rsid w:val="00C63090"/>
    <w:rsid w:val="00C634A0"/>
    <w:rsid w:val="00C63F34"/>
    <w:rsid w:val="00C657EE"/>
    <w:rsid w:val="00C66220"/>
    <w:rsid w:val="00C6640D"/>
    <w:rsid w:val="00C66AAC"/>
    <w:rsid w:val="00C67109"/>
    <w:rsid w:val="00C67DDB"/>
    <w:rsid w:val="00C70142"/>
    <w:rsid w:val="00C704CA"/>
    <w:rsid w:val="00C717FE"/>
    <w:rsid w:val="00C7195D"/>
    <w:rsid w:val="00C71C82"/>
    <w:rsid w:val="00C71FC5"/>
    <w:rsid w:val="00C72867"/>
    <w:rsid w:val="00C72C66"/>
    <w:rsid w:val="00C72E37"/>
    <w:rsid w:val="00C7433E"/>
    <w:rsid w:val="00C7511F"/>
    <w:rsid w:val="00C75876"/>
    <w:rsid w:val="00C77AD0"/>
    <w:rsid w:val="00C77AD4"/>
    <w:rsid w:val="00C77E73"/>
    <w:rsid w:val="00C8042F"/>
    <w:rsid w:val="00C80537"/>
    <w:rsid w:val="00C81246"/>
    <w:rsid w:val="00C816E6"/>
    <w:rsid w:val="00C81949"/>
    <w:rsid w:val="00C82890"/>
    <w:rsid w:val="00C83F7B"/>
    <w:rsid w:val="00C84402"/>
    <w:rsid w:val="00C8538B"/>
    <w:rsid w:val="00C8729A"/>
    <w:rsid w:val="00C872A6"/>
    <w:rsid w:val="00C8751A"/>
    <w:rsid w:val="00C87F8F"/>
    <w:rsid w:val="00C90669"/>
    <w:rsid w:val="00C90B6C"/>
    <w:rsid w:val="00C919BE"/>
    <w:rsid w:val="00C91CF1"/>
    <w:rsid w:val="00C92DB8"/>
    <w:rsid w:val="00C93B03"/>
    <w:rsid w:val="00C94EE0"/>
    <w:rsid w:val="00C96812"/>
    <w:rsid w:val="00C97CB2"/>
    <w:rsid w:val="00CA09ED"/>
    <w:rsid w:val="00CA0BE9"/>
    <w:rsid w:val="00CA0D24"/>
    <w:rsid w:val="00CA138D"/>
    <w:rsid w:val="00CA13DF"/>
    <w:rsid w:val="00CA1526"/>
    <w:rsid w:val="00CA153A"/>
    <w:rsid w:val="00CA3A4B"/>
    <w:rsid w:val="00CA404F"/>
    <w:rsid w:val="00CA493D"/>
    <w:rsid w:val="00CA4EF4"/>
    <w:rsid w:val="00CA50CB"/>
    <w:rsid w:val="00CA5329"/>
    <w:rsid w:val="00CA7253"/>
    <w:rsid w:val="00CA7292"/>
    <w:rsid w:val="00CA767A"/>
    <w:rsid w:val="00CB0EA3"/>
    <w:rsid w:val="00CB109C"/>
    <w:rsid w:val="00CB24DC"/>
    <w:rsid w:val="00CB2AAF"/>
    <w:rsid w:val="00CB3B07"/>
    <w:rsid w:val="00CB44CD"/>
    <w:rsid w:val="00CB5F54"/>
    <w:rsid w:val="00CB62DF"/>
    <w:rsid w:val="00CB73FE"/>
    <w:rsid w:val="00CB780D"/>
    <w:rsid w:val="00CB79D3"/>
    <w:rsid w:val="00CB7D4A"/>
    <w:rsid w:val="00CB7FC8"/>
    <w:rsid w:val="00CC0157"/>
    <w:rsid w:val="00CC09A6"/>
    <w:rsid w:val="00CC09F3"/>
    <w:rsid w:val="00CC1FB9"/>
    <w:rsid w:val="00CC2AB5"/>
    <w:rsid w:val="00CC31BE"/>
    <w:rsid w:val="00CC4C45"/>
    <w:rsid w:val="00CC60DB"/>
    <w:rsid w:val="00CC6A4C"/>
    <w:rsid w:val="00CC7641"/>
    <w:rsid w:val="00CC7E3F"/>
    <w:rsid w:val="00CD0B11"/>
    <w:rsid w:val="00CD0EBD"/>
    <w:rsid w:val="00CD11B8"/>
    <w:rsid w:val="00CD1437"/>
    <w:rsid w:val="00CD151D"/>
    <w:rsid w:val="00CD15DB"/>
    <w:rsid w:val="00CD1B2A"/>
    <w:rsid w:val="00CD2879"/>
    <w:rsid w:val="00CD2991"/>
    <w:rsid w:val="00CD46F6"/>
    <w:rsid w:val="00CD4BDD"/>
    <w:rsid w:val="00CD4F48"/>
    <w:rsid w:val="00CD5CB1"/>
    <w:rsid w:val="00CD5EB7"/>
    <w:rsid w:val="00CD61FA"/>
    <w:rsid w:val="00CD6479"/>
    <w:rsid w:val="00CD6EC5"/>
    <w:rsid w:val="00CD6FE9"/>
    <w:rsid w:val="00CE0D49"/>
    <w:rsid w:val="00CE20C9"/>
    <w:rsid w:val="00CE44D7"/>
    <w:rsid w:val="00CE45E2"/>
    <w:rsid w:val="00CE4644"/>
    <w:rsid w:val="00CE51A9"/>
    <w:rsid w:val="00CE67A6"/>
    <w:rsid w:val="00CE6980"/>
    <w:rsid w:val="00CE6984"/>
    <w:rsid w:val="00CE6C8E"/>
    <w:rsid w:val="00CE7465"/>
    <w:rsid w:val="00CF1714"/>
    <w:rsid w:val="00CF18A2"/>
    <w:rsid w:val="00CF2137"/>
    <w:rsid w:val="00CF3F17"/>
    <w:rsid w:val="00CF45E9"/>
    <w:rsid w:val="00CF4C8B"/>
    <w:rsid w:val="00CF5A24"/>
    <w:rsid w:val="00CF5A4A"/>
    <w:rsid w:val="00CF7380"/>
    <w:rsid w:val="00CF7EE4"/>
    <w:rsid w:val="00CF7F21"/>
    <w:rsid w:val="00D01359"/>
    <w:rsid w:val="00D01506"/>
    <w:rsid w:val="00D0195A"/>
    <w:rsid w:val="00D01DBB"/>
    <w:rsid w:val="00D020BF"/>
    <w:rsid w:val="00D03053"/>
    <w:rsid w:val="00D035CE"/>
    <w:rsid w:val="00D03D12"/>
    <w:rsid w:val="00D03DD0"/>
    <w:rsid w:val="00D03EB3"/>
    <w:rsid w:val="00D05430"/>
    <w:rsid w:val="00D077E6"/>
    <w:rsid w:val="00D07ED6"/>
    <w:rsid w:val="00D100EE"/>
    <w:rsid w:val="00D10805"/>
    <w:rsid w:val="00D10AE9"/>
    <w:rsid w:val="00D10F09"/>
    <w:rsid w:val="00D11492"/>
    <w:rsid w:val="00D13794"/>
    <w:rsid w:val="00D1399F"/>
    <w:rsid w:val="00D1449E"/>
    <w:rsid w:val="00D1700E"/>
    <w:rsid w:val="00D170C3"/>
    <w:rsid w:val="00D20BAF"/>
    <w:rsid w:val="00D20FC9"/>
    <w:rsid w:val="00D212B4"/>
    <w:rsid w:val="00D21E89"/>
    <w:rsid w:val="00D220D5"/>
    <w:rsid w:val="00D220FF"/>
    <w:rsid w:val="00D22ADE"/>
    <w:rsid w:val="00D22D90"/>
    <w:rsid w:val="00D24052"/>
    <w:rsid w:val="00D242BD"/>
    <w:rsid w:val="00D24386"/>
    <w:rsid w:val="00D24492"/>
    <w:rsid w:val="00D2507F"/>
    <w:rsid w:val="00D2559F"/>
    <w:rsid w:val="00D257C9"/>
    <w:rsid w:val="00D26E1C"/>
    <w:rsid w:val="00D26E43"/>
    <w:rsid w:val="00D27872"/>
    <w:rsid w:val="00D27DEF"/>
    <w:rsid w:val="00D30FF2"/>
    <w:rsid w:val="00D31575"/>
    <w:rsid w:val="00D31681"/>
    <w:rsid w:val="00D31FDE"/>
    <w:rsid w:val="00D3219C"/>
    <w:rsid w:val="00D32F26"/>
    <w:rsid w:val="00D331CF"/>
    <w:rsid w:val="00D33246"/>
    <w:rsid w:val="00D33643"/>
    <w:rsid w:val="00D34007"/>
    <w:rsid w:val="00D343EE"/>
    <w:rsid w:val="00D34626"/>
    <w:rsid w:val="00D34B85"/>
    <w:rsid w:val="00D34FB4"/>
    <w:rsid w:val="00D3618B"/>
    <w:rsid w:val="00D4001E"/>
    <w:rsid w:val="00D40441"/>
    <w:rsid w:val="00D40A16"/>
    <w:rsid w:val="00D414E4"/>
    <w:rsid w:val="00D4164E"/>
    <w:rsid w:val="00D41C76"/>
    <w:rsid w:val="00D420C3"/>
    <w:rsid w:val="00D4257A"/>
    <w:rsid w:val="00D42BD7"/>
    <w:rsid w:val="00D43324"/>
    <w:rsid w:val="00D43F74"/>
    <w:rsid w:val="00D440CE"/>
    <w:rsid w:val="00D447B8"/>
    <w:rsid w:val="00D447FB"/>
    <w:rsid w:val="00D450CD"/>
    <w:rsid w:val="00D46448"/>
    <w:rsid w:val="00D478EE"/>
    <w:rsid w:val="00D50373"/>
    <w:rsid w:val="00D504A4"/>
    <w:rsid w:val="00D513AF"/>
    <w:rsid w:val="00D51517"/>
    <w:rsid w:val="00D52FFD"/>
    <w:rsid w:val="00D545E7"/>
    <w:rsid w:val="00D54CBB"/>
    <w:rsid w:val="00D563AC"/>
    <w:rsid w:val="00D57F12"/>
    <w:rsid w:val="00D615A1"/>
    <w:rsid w:val="00D62665"/>
    <w:rsid w:val="00D628E0"/>
    <w:rsid w:val="00D629F4"/>
    <w:rsid w:val="00D62B93"/>
    <w:rsid w:val="00D62E54"/>
    <w:rsid w:val="00D63378"/>
    <w:rsid w:val="00D647DF"/>
    <w:rsid w:val="00D64B58"/>
    <w:rsid w:val="00D64C50"/>
    <w:rsid w:val="00D64F29"/>
    <w:rsid w:val="00D64FB9"/>
    <w:rsid w:val="00D656AC"/>
    <w:rsid w:val="00D66146"/>
    <w:rsid w:val="00D662BF"/>
    <w:rsid w:val="00D6789B"/>
    <w:rsid w:val="00D679A1"/>
    <w:rsid w:val="00D67CCE"/>
    <w:rsid w:val="00D704ED"/>
    <w:rsid w:val="00D71ED4"/>
    <w:rsid w:val="00D734C2"/>
    <w:rsid w:val="00D73733"/>
    <w:rsid w:val="00D73D32"/>
    <w:rsid w:val="00D73F44"/>
    <w:rsid w:val="00D73FEF"/>
    <w:rsid w:val="00D743FF"/>
    <w:rsid w:val="00D74569"/>
    <w:rsid w:val="00D75501"/>
    <w:rsid w:val="00D7555B"/>
    <w:rsid w:val="00D75E0C"/>
    <w:rsid w:val="00D767D2"/>
    <w:rsid w:val="00D771D3"/>
    <w:rsid w:val="00D81748"/>
    <w:rsid w:val="00D8202F"/>
    <w:rsid w:val="00D82E47"/>
    <w:rsid w:val="00D84E53"/>
    <w:rsid w:val="00D85094"/>
    <w:rsid w:val="00D85780"/>
    <w:rsid w:val="00D85ABC"/>
    <w:rsid w:val="00D862A7"/>
    <w:rsid w:val="00D864D9"/>
    <w:rsid w:val="00D86F0C"/>
    <w:rsid w:val="00D86FB9"/>
    <w:rsid w:val="00D87C54"/>
    <w:rsid w:val="00D9032F"/>
    <w:rsid w:val="00D90490"/>
    <w:rsid w:val="00D908F3"/>
    <w:rsid w:val="00D92FD6"/>
    <w:rsid w:val="00D936C5"/>
    <w:rsid w:val="00D94C5C"/>
    <w:rsid w:val="00D94E70"/>
    <w:rsid w:val="00D95C2B"/>
    <w:rsid w:val="00D9634C"/>
    <w:rsid w:val="00D9688E"/>
    <w:rsid w:val="00D979B0"/>
    <w:rsid w:val="00D97CBC"/>
    <w:rsid w:val="00D97D26"/>
    <w:rsid w:val="00DA08FF"/>
    <w:rsid w:val="00DA1C57"/>
    <w:rsid w:val="00DA2304"/>
    <w:rsid w:val="00DA2D3F"/>
    <w:rsid w:val="00DA449A"/>
    <w:rsid w:val="00DA44E0"/>
    <w:rsid w:val="00DA55CD"/>
    <w:rsid w:val="00DA5804"/>
    <w:rsid w:val="00DA5B49"/>
    <w:rsid w:val="00DA74AA"/>
    <w:rsid w:val="00DA79C4"/>
    <w:rsid w:val="00DB02A9"/>
    <w:rsid w:val="00DB0EE5"/>
    <w:rsid w:val="00DB1F2A"/>
    <w:rsid w:val="00DB2EC5"/>
    <w:rsid w:val="00DB43AF"/>
    <w:rsid w:val="00DB51FE"/>
    <w:rsid w:val="00DB614B"/>
    <w:rsid w:val="00DB62E9"/>
    <w:rsid w:val="00DC02C9"/>
    <w:rsid w:val="00DC070D"/>
    <w:rsid w:val="00DC0A0A"/>
    <w:rsid w:val="00DC0CDE"/>
    <w:rsid w:val="00DC0F79"/>
    <w:rsid w:val="00DC17EC"/>
    <w:rsid w:val="00DC1810"/>
    <w:rsid w:val="00DC18C9"/>
    <w:rsid w:val="00DC2115"/>
    <w:rsid w:val="00DC2781"/>
    <w:rsid w:val="00DC2CA1"/>
    <w:rsid w:val="00DC2E44"/>
    <w:rsid w:val="00DC3682"/>
    <w:rsid w:val="00DC44A3"/>
    <w:rsid w:val="00DC47A0"/>
    <w:rsid w:val="00DC4D72"/>
    <w:rsid w:val="00DC5670"/>
    <w:rsid w:val="00DC5839"/>
    <w:rsid w:val="00DC66A1"/>
    <w:rsid w:val="00DC6701"/>
    <w:rsid w:val="00DD064F"/>
    <w:rsid w:val="00DD0AA0"/>
    <w:rsid w:val="00DD12F0"/>
    <w:rsid w:val="00DD1C03"/>
    <w:rsid w:val="00DD1C07"/>
    <w:rsid w:val="00DD21C1"/>
    <w:rsid w:val="00DD3DFF"/>
    <w:rsid w:val="00DD40A3"/>
    <w:rsid w:val="00DD4D98"/>
    <w:rsid w:val="00DD607F"/>
    <w:rsid w:val="00DD6F1B"/>
    <w:rsid w:val="00DD7AB5"/>
    <w:rsid w:val="00DE098D"/>
    <w:rsid w:val="00DE20BF"/>
    <w:rsid w:val="00DE2818"/>
    <w:rsid w:val="00DE33C5"/>
    <w:rsid w:val="00DE43C5"/>
    <w:rsid w:val="00DE4544"/>
    <w:rsid w:val="00DE6D08"/>
    <w:rsid w:val="00DE6EF8"/>
    <w:rsid w:val="00DE7089"/>
    <w:rsid w:val="00DE73F7"/>
    <w:rsid w:val="00DE76F9"/>
    <w:rsid w:val="00DE790E"/>
    <w:rsid w:val="00DE7A3F"/>
    <w:rsid w:val="00DE7F9D"/>
    <w:rsid w:val="00DF2208"/>
    <w:rsid w:val="00DF29C4"/>
    <w:rsid w:val="00DF2CFD"/>
    <w:rsid w:val="00DF2D8E"/>
    <w:rsid w:val="00DF4281"/>
    <w:rsid w:val="00DF538C"/>
    <w:rsid w:val="00DF5931"/>
    <w:rsid w:val="00DF6AEF"/>
    <w:rsid w:val="00E017D7"/>
    <w:rsid w:val="00E01CC9"/>
    <w:rsid w:val="00E02339"/>
    <w:rsid w:val="00E029E9"/>
    <w:rsid w:val="00E03414"/>
    <w:rsid w:val="00E0361C"/>
    <w:rsid w:val="00E03B4B"/>
    <w:rsid w:val="00E03ED2"/>
    <w:rsid w:val="00E04024"/>
    <w:rsid w:val="00E04CCB"/>
    <w:rsid w:val="00E04EA7"/>
    <w:rsid w:val="00E04EE3"/>
    <w:rsid w:val="00E0624D"/>
    <w:rsid w:val="00E06A72"/>
    <w:rsid w:val="00E07216"/>
    <w:rsid w:val="00E07895"/>
    <w:rsid w:val="00E07D78"/>
    <w:rsid w:val="00E1034B"/>
    <w:rsid w:val="00E1098E"/>
    <w:rsid w:val="00E113E2"/>
    <w:rsid w:val="00E117CB"/>
    <w:rsid w:val="00E11B88"/>
    <w:rsid w:val="00E129A6"/>
    <w:rsid w:val="00E129FE"/>
    <w:rsid w:val="00E13C29"/>
    <w:rsid w:val="00E13F01"/>
    <w:rsid w:val="00E14FA3"/>
    <w:rsid w:val="00E15C38"/>
    <w:rsid w:val="00E1635E"/>
    <w:rsid w:val="00E1752C"/>
    <w:rsid w:val="00E177B7"/>
    <w:rsid w:val="00E202CA"/>
    <w:rsid w:val="00E211AD"/>
    <w:rsid w:val="00E21370"/>
    <w:rsid w:val="00E21C06"/>
    <w:rsid w:val="00E21C58"/>
    <w:rsid w:val="00E21EB2"/>
    <w:rsid w:val="00E23890"/>
    <w:rsid w:val="00E2466D"/>
    <w:rsid w:val="00E25663"/>
    <w:rsid w:val="00E26A94"/>
    <w:rsid w:val="00E26F8A"/>
    <w:rsid w:val="00E27054"/>
    <w:rsid w:val="00E2746F"/>
    <w:rsid w:val="00E27CC8"/>
    <w:rsid w:val="00E27DC6"/>
    <w:rsid w:val="00E27EBB"/>
    <w:rsid w:val="00E30653"/>
    <w:rsid w:val="00E30FB5"/>
    <w:rsid w:val="00E3182D"/>
    <w:rsid w:val="00E31880"/>
    <w:rsid w:val="00E31B86"/>
    <w:rsid w:val="00E33D3A"/>
    <w:rsid w:val="00E34BD1"/>
    <w:rsid w:val="00E36668"/>
    <w:rsid w:val="00E36B7A"/>
    <w:rsid w:val="00E3724F"/>
    <w:rsid w:val="00E402AD"/>
    <w:rsid w:val="00E41587"/>
    <w:rsid w:val="00E418A1"/>
    <w:rsid w:val="00E41AA6"/>
    <w:rsid w:val="00E42157"/>
    <w:rsid w:val="00E42202"/>
    <w:rsid w:val="00E42886"/>
    <w:rsid w:val="00E43164"/>
    <w:rsid w:val="00E4360C"/>
    <w:rsid w:val="00E4393D"/>
    <w:rsid w:val="00E43DEC"/>
    <w:rsid w:val="00E4438C"/>
    <w:rsid w:val="00E44A44"/>
    <w:rsid w:val="00E45608"/>
    <w:rsid w:val="00E457F3"/>
    <w:rsid w:val="00E4625D"/>
    <w:rsid w:val="00E530EB"/>
    <w:rsid w:val="00E533C9"/>
    <w:rsid w:val="00E53A09"/>
    <w:rsid w:val="00E54705"/>
    <w:rsid w:val="00E54DB0"/>
    <w:rsid w:val="00E54EC0"/>
    <w:rsid w:val="00E54EFA"/>
    <w:rsid w:val="00E55B09"/>
    <w:rsid w:val="00E56D1A"/>
    <w:rsid w:val="00E5748E"/>
    <w:rsid w:val="00E57DA3"/>
    <w:rsid w:val="00E63C6C"/>
    <w:rsid w:val="00E63FA0"/>
    <w:rsid w:val="00E642B8"/>
    <w:rsid w:val="00E6460A"/>
    <w:rsid w:val="00E64A95"/>
    <w:rsid w:val="00E66062"/>
    <w:rsid w:val="00E66565"/>
    <w:rsid w:val="00E66B7C"/>
    <w:rsid w:val="00E67186"/>
    <w:rsid w:val="00E71330"/>
    <w:rsid w:val="00E71DB8"/>
    <w:rsid w:val="00E72234"/>
    <w:rsid w:val="00E724AB"/>
    <w:rsid w:val="00E7252B"/>
    <w:rsid w:val="00E727B7"/>
    <w:rsid w:val="00E72A5C"/>
    <w:rsid w:val="00E72D1C"/>
    <w:rsid w:val="00E73320"/>
    <w:rsid w:val="00E73B6B"/>
    <w:rsid w:val="00E73E1B"/>
    <w:rsid w:val="00E741B3"/>
    <w:rsid w:val="00E743C8"/>
    <w:rsid w:val="00E748F7"/>
    <w:rsid w:val="00E74EE1"/>
    <w:rsid w:val="00E75AA6"/>
    <w:rsid w:val="00E75BD0"/>
    <w:rsid w:val="00E760A3"/>
    <w:rsid w:val="00E76DE4"/>
    <w:rsid w:val="00E772FE"/>
    <w:rsid w:val="00E77557"/>
    <w:rsid w:val="00E80F42"/>
    <w:rsid w:val="00E81131"/>
    <w:rsid w:val="00E81ADD"/>
    <w:rsid w:val="00E81AED"/>
    <w:rsid w:val="00E83145"/>
    <w:rsid w:val="00E83843"/>
    <w:rsid w:val="00E83F79"/>
    <w:rsid w:val="00E842E2"/>
    <w:rsid w:val="00E849B1"/>
    <w:rsid w:val="00E84EA3"/>
    <w:rsid w:val="00E85572"/>
    <w:rsid w:val="00E85AF7"/>
    <w:rsid w:val="00E85E5E"/>
    <w:rsid w:val="00E860AE"/>
    <w:rsid w:val="00E86C1C"/>
    <w:rsid w:val="00E86F6D"/>
    <w:rsid w:val="00E87C43"/>
    <w:rsid w:val="00E90C9E"/>
    <w:rsid w:val="00E91FF0"/>
    <w:rsid w:val="00E93134"/>
    <w:rsid w:val="00E936AB"/>
    <w:rsid w:val="00E938A0"/>
    <w:rsid w:val="00E9396F"/>
    <w:rsid w:val="00E93EA9"/>
    <w:rsid w:val="00E93FD9"/>
    <w:rsid w:val="00E94451"/>
    <w:rsid w:val="00E94E88"/>
    <w:rsid w:val="00E95FF3"/>
    <w:rsid w:val="00E960EF"/>
    <w:rsid w:val="00E96E36"/>
    <w:rsid w:val="00E97B9B"/>
    <w:rsid w:val="00EA03A3"/>
    <w:rsid w:val="00EA043D"/>
    <w:rsid w:val="00EA4380"/>
    <w:rsid w:val="00EA4724"/>
    <w:rsid w:val="00EA4DD8"/>
    <w:rsid w:val="00EA572B"/>
    <w:rsid w:val="00EA5FDF"/>
    <w:rsid w:val="00EA62ED"/>
    <w:rsid w:val="00EA7D0E"/>
    <w:rsid w:val="00EB0178"/>
    <w:rsid w:val="00EB1C65"/>
    <w:rsid w:val="00EB2AEF"/>
    <w:rsid w:val="00EB3417"/>
    <w:rsid w:val="00EB4494"/>
    <w:rsid w:val="00EB4C00"/>
    <w:rsid w:val="00EB4CD9"/>
    <w:rsid w:val="00EB4DF4"/>
    <w:rsid w:val="00EB6337"/>
    <w:rsid w:val="00EB6EDC"/>
    <w:rsid w:val="00EB78EA"/>
    <w:rsid w:val="00EB7D8F"/>
    <w:rsid w:val="00EB7E71"/>
    <w:rsid w:val="00EC127F"/>
    <w:rsid w:val="00EC2986"/>
    <w:rsid w:val="00EC29A2"/>
    <w:rsid w:val="00EC3530"/>
    <w:rsid w:val="00EC39E1"/>
    <w:rsid w:val="00EC74BD"/>
    <w:rsid w:val="00EC760B"/>
    <w:rsid w:val="00ED15E3"/>
    <w:rsid w:val="00ED2410"/>
    <w:rsid w:val="00ED2DF6"/>
    <w:rsid w:val="00ED5470"/>
    <w:rsid w:val="00ED58FC"/>
    <w:rsid w:val="00ED6CE2"/>
    <w:rsid w:val="00ED7566"/>
    <w:rsid w:val="00ED7891"/>
    <w:rsid w:val="00ED7CAD"/>
    <w:rsid w:val="00ED7F86"/>
    <w:rsid w:val="00EE19F1"/>
    <w:rsid w:val="00EE2146"/>
    <w:rsid w:val="00EE2E4A"/>
    <w:rsid w:val="00EE2FF3"/>
    <w:rsid w:val="00EE4AA5"/>
    <w:rsid w:val="00EE4AED"/>
    <w:rsid w:val="00EE59CC"/>
    <w:rsid w:val="00EE6250"/>
    <w:rsid w:val="00EE6A09"/>
    <w:rsid w:val="00EF01BA"/>
    <w:rsid w:val="00EF0393"/>
    <w:rsid w:val="00EF12E9"/>
    <w:rsid w:val="00EF2618"/>
    <w:rsid w:val="00EF3552"/>
    <w:rsid w:val="00EF35F2"/>
    <w:rsid w:val="00EF3FF1"/>
    <w:rsid w:val="00EF47CB"/>
    <w:rsid w:val="00EF4B7A"/>
    <w:rsid w:val="00EF52E8"/>
    <w:rsid w:val="00EF6340"/>
    <w:rsid w:val="00EF6778"/>
    <w:rsid w:val="00EF68CD"/>
    <w:rsid w:val="00EF76D3"/>
    <w:rsid w:val="00F00CE9"/>
    <w:rsid w:val="00F01AD0"/>
    <w:rsid w:val="00F01AFB"/>
    <w:rsid w:val="00F02739"/>
    <w:rsid w:val="00F02F79"/>
    <w:rsid w:val="00F02FEC"/>
    <w:rsid w:val="00F0347C"/>
    <w:rsid w:val="00F04062"/>
    <w:rsid w:val="00F0467E"/>
    <w:rsid w:val="00F046A0"/>
    <w:rsid w:val="00F049AA"/>
    <w:rsid w:val="00F04F0E"/>
    <w:rsid w:val="00F05BD1"/>
    <w:rsid w:val="00F05E9C"/>
    <w:rsid w:val="00F063DB"/>
    <w:rsid w:val="00F06DD6"/>
    <w:rsid w:val="00F06E93"/>
    <w:rsid w:val="00F072E8"/>
    <w:rsid w:val="00F07682"/>
    <w:rsid w:val="00F078F1"/>
    <w:rsid w:val="00F109D4"/>
    <w:rsid w:val="00F11CA8"/>
    <w:rsid w:val="00F12A53"/>
    <w:rsid w:val="00F12E73"/>
    <w:rsid w:val="00F13387"/>
    <w:rsid w:val="00F13A8D"/>
    <w:rsid w:val="00F1400A"/>
    <w:rsid w:val="00F141B7"/>
    <w:rsid w:val="00F14C2D"/>
    <w:rsid w:val="00F156A5"/>
    <w:rsid w:val="00F15EE9"/>
    <w:rsid w:val="00F161F6"/>
    <w:rsid w:val="00F16FA9"/>
    <w:rsid w:val="00F212F4"/>
    <w:rsid w:val="00F212F7"/>
    <w:rsid w:val="00F22593"/>
    <w:rsid w:val="00F234E3"/>
    <w:rsid w:val="00F23D64"/>
    <w:rsid w:val="00F24243"/>
    <w:rsid w:val="00F24606"/>
    <w:rsid w:val="00F24E8F"/>
    <w:rsid w:val="00F250FD"/>
    <w:rsid w:val="00F2524F"/>
    <w:rsid w:val="00F253C9"/>
    <w:rsid w:val="00F25D69"/>
    <w:rsid w:val="00F26651"/>
    <w:rsid w:val="00F302FC"/>
    <w:rsid w:val="00F30A6E"/>
    <w:rsid w:val="00F30A94"/>
    <w:rsid w:val="00F31968"/>
    <w:rsid w:val="00F31A59"/>
    <w:rsid w:val="00F31B24"/>
    <w:rsid w:val="00F31F13"/>
    <w:rsid w:val="00F31FC2"/>
    <w:rsid w:val="00F321CC"/>
    <w:rsid w:val="00F32B69"/>
    <w:rsid w:val="00F33194"/>
    <w:rsid w:val="00F3365B"/>
    <w:rsid w:val="00F33933"/>
    <w:rsid w:val="00F362B0"/>
    <w:rsid w:val="00F369F9"/>
    <w:rsid w:val="00F36BF2"/>
    <w:rsid w:val="00F36DF9"/>
    <w:rsid w:val="00F36FB7"/>
    <w:rsid w:val="00F37087"/>
    <w:rsid w:val="00F373B3"/>
    <w:rsid w:val="00F37567"/>
    <w:rsid w:val="00F40D66"/>
    <w:rsid w:val="00F41903"/>
    <w:rsid w:val="00F41A33"/>
    <w:rsid w:val="00F41BCE"/>
    <w:rsid w:val="00F41F1B"/>
    <w:rsid w:val="00F42099"/>
    <w:rsid w:val="00F420D5"/>
    <w:rsid w:val="00F42790"/>
    <w:rsid w:val="00F42819"/>
    <w:rsid w:val="00F42891"/>
    <w:rsid w:val="00F428D7"/>
    <w:rsid w:val="00F431D4"/>
    <w:rsid w:val="00F43445"/>
    <w:rsid w:val="00F45851"/>
    <w:rsid w:val="00F45A6F"/>
    <w:rsid w:val="00F46734"/>
    <w:rsid w:val="00F46A11"/>
    <w:rsid w:val="00F46A48"/>
    <w:rsid w:val="00F46E6D"/>
    <w:rsid w:val="00F4732A"/>
    <w:rsid w:val="00F47585"/>
    <w:rsid w:val="00F477BE"/>
    <w:rsid w:val="00F506A1"/>
    <w:rsid w:val="00F541CC"/>
    <w:rsid w:val="00F544DB"/>
    <w:rsid w:val="00F54604"/>
    <w:rsid w:val="00F56626"/>
    <w:rsid w:val="00F60096"/>
    <w:rsid w:val="00F600B5"/>
    <w:rsid w:val="00F613E1"/>
    <w:rsid w:val="00F617B3"/>
    <w:rsid w:val="00F62C63"/>
    <w:rsid w:val="00F63B9C"/>
    <w:rsid w:val="00F63E6F"/>
    <w:rsid w:val="00F65585"/>
    <w:rsid w:val="00F6611E"/>
    <w:rsid w:val="00F6797F"/>
    <w:rsid w:val="00F70020"/>
    <w:rsid w:val="00F705B7"/>
    <w:rsid w:val="00F70E53"/>
    <w:rsid w:val="00F710F9"/>
    <w:rsid w:val="00F71402"/>
    <w:rsid w:val="00F71990"/>
    <w:rsid w:val="00F722E8"/>
    <w:rsid w:val="00F7266E"/>
    <w:rsid w:val="00F72B6B"/>
    <w:rsid w:val="00F73EDE"/>
    <w:rsid w:val="00F740F0"/>
    <w:rsid w:val="00F752F1"/>
    <w:rsid w:val="00F75E5A"/>
    <w:rsid w:val="00F76B1D"/>
    <w:rsid w:val="00F820AA"/>
    <w:rsid w:val="00F828A4"/>
    <w:rsid w:val="00F82BF1"/>
    <w:rsid w:val="00F83911"/>
    <w:rsid w:val="00F83A56"/>
    <w:rsid w:val="00F846A7"/>
    <w:rsid w:val="00F84741"/>
    <w:rsid w:val="00F85A3D"/>
    <w:rsid w:val="00F85D59"/>
    <w:rsid w:val="00F85E6F"/>
    <w:rsid w:val="00F87D2B"/>
    <w:rsid w:val="00F90A86"/>
    <w:rsid w:val="00F92B26"/>
    <w:rsid w:val="00F930F1"/>
    <w:rsid w:val="00F933A0"/>
    <w:rsid w:val="00F93CAA"/>
    <w:rsid w:val="00F93D45"/>
    <w:rsid w:val="00F951D0"/>
    <w:rsid w:val="00F95CDD"/>
    <w:rsid w:val="00F9671D"/>
    <w:rsid w:val="00F96DEA"/>
    <w:rsid w:val="00F97A0E"/>
    <w:rsid w:val="00F97ECD"/>
    <w:rsid w:val="00FA1394"/>
    <w:rsid w:val="00FA153E"/>
    <w:rsid w:val="00FA270D"/>
    <w:rsid w:val="00FA2A0E"/>
    <w:rsid w:val="00FA2D73"/>
    <w:rsid w:val="00FA45BF"/>
    <w:rsid w:val="00FA5477"/>
    <w:rsid w:val="00FA6470"/>
    <w:rsid w:val="00FA6559"/>
    <w:rsid w:val="00FA69F3"/>
    <w:rsid w:val="00FA7B1D"/>
    <w:rsid w:val="00FB0129"/>
    <w:rsid w:val="00FB1368"/>
    <w:rsid w:val="00FB161E"/>
    <w:rsid w:val="00FB1891"/>
    <w:rsid w:val="00FB21DA"/>
    <w:rsid w:val="00FB36BA"/>
    <w:rsid w:val="00FB44EA"/>
    <w:rsid w:val="00FB4E37"/>
    <w:rsid w:val="00FB6BB6"/>
    <w:rsid w:val="00FB723A"/>
    <w:rsid w:val="00FC0CC2"/>
    <w:rsid w:val="00FC1ED3"/>
    <w:rsid w:val="00FC43E9"/>
    <w:rsid w:val="00FC4CA5"/>
    <w:rsid w:val="00FC5180"/>
    <w:rsid w:val="00FC5453"/>
    <w:rsid w:val="00FC59C8"/>
    <w:rsid w:val="00FC5BA6"/>
    <w:rsid w:val="00FC5D88"/>
    <w:rsid w:val="00FC6109"/>
    <w:rsid w:val="00FC6423"/>
    <w:rsid w:val="00FC6D93"/>
    <w:rsid w:val="00FC739E"/>
    <w:rsid w:val="00FC7A4B"/>
    <w:rsid w:val="00FC7E20"/>
    <w:rsid w:val="00FD0439"/>
    <w:rsid w:val="00FD04FE"/>
    <w:rsid w:val="00FD0C5B"/>
    <w:rsid w:val="00FD179E"/>
    <w:rsid w:val="00FD2404"/>
    <w:rsid w:val="00FD31FB"/>
    <w:rsid w:val="00FD4254"/>
    <w:rsid w:val="00FD4423"/>
    <w:rsid w:val="00FD46EE"/>
    <w:rsid w:val="00FD5025"/>
    <w:rsid w:val="00FD7165"/>
    <w:rsid w:val="00FD7283"/>
    <w:rsid w:val="00FD7347"/>
    <w:rsid w:val="00FD7A01"/>
    <w:rsid w:val="00FE04E4"/>
    <w:rsid w:val="00FE0F7D"/>
    <w:rsid w:val="00FE0FAD"/>
    <w:rsid w:val="00FE1747"/>
    <w:rsid w:val="00FE2924"/>
    <w:rsid w:val="00FE370A"/>
    <w:rsid w:val="00FE37F4"/>
    <w:rsid w:val="00FE3A3F"/>
    <w:rsid w:val="00FE4CEA"/>
    <w:rsid w:val="00FE5016"/>
    <w:rsid w:val="00FE6AEF"/>
    <w:rsid w:val="00FE7032"/>
    <w:rsid w:val="00FE70A2"/>
    <w:rsid w:val="00FE73F9"/>
    <w:rsid w:val="00FE779A"/>
    <w:rsid w:val="00FF087F"/>
    <w:rsid w:val="00FF0ACF"/>
    <w:rsid w:val="00FF0E09"/>
    <w:rsid w:val="00FF1057"/>
    <w:rsid w:val="00FF2896"/>
    <w:rsid w:val="00FF2ECA"/>
    <w:rsid w:val="00FF2F84"/>
    <w:rsid w:val="00FF30D0"/>
    <w:rsid w:val="00FF3E25"/>
    <w:rsid w:val="00FF430E"/>
    <w:rsid w:val="00FF4BF4"/>
    <w:rsid w:val="00FF585B"/>
    <w:rsid w:val="00FF585C"/>
    <w:rsid w:val="00FF5AB6"/>
    <w:rsid w:val="00FF6193"/>
    <w:rsid w:val="00FF7393"/>
    <w:rsid w:val="00FF75B5"/>
    <w:rsid w:val="00FF7C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72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C34C80"/>
    <w:pPr>
      <w:ind w:left="720"/>
      <w:contextualSpacing/>
    </w:pPr>
  </w:style>
  <w:style w:type="paragraph" w:customStyle="1" w:styleId="TableHeading">
    <w:name w:val="Table Heading"/>
    <w:basedOn w:val="Heading4"/>
    <w:next w:val="Normal"/>
    <w:uiPriority w:val="1"/>
    <w:qFormat/>
    <w:rsid w:val="00D212B4"/>
    <w:pPr>
      <w:numPr>
        <w:ilvl w:val="4"/>
        <w:numId w:val="5"/>
      </w:numPr>
      <w:tabs>
        <w:tab w:val="clear" w:pos="1987"/>
      </w:tabs>
      <w:spacing w:before="240" w:after="200"/>
    </w:pPr>
    <w:rPr>
      <w:rFonts w:ascii="Helvetica" w:hAnsi="Helvetica" w:cs="Helvetica"/>
      <w:i/>
      <w:iCs/>
      <w:kern w:val="0"/>
      <w:sz w:val="22"/>
      <w:szCs w:val="22"/>
      <w:lang w:eastAsia="en-US"/>
    </w:rPr>
  </w:style>
  <w:style w:type="paragraph" w:customStyle="1" w:styleId="Chapterheading">
    <w:name w:val="Chapter heading"/>
    <w:basedOn w:val="Heading1"/>
    <w:next w:val="Normal"/>
    <w:rsid w:val="0096022F"/>
    <w:pPr>
      <w:keepLines/>
      <w:numPr>
        <w:numId w:val="5"/>
      </w:numPr>
      <w:pBdr>
        <w:bottom w:val="single" w:sz="4" w:space="8" w:color="auto"/>
      </w:pBdr>
      <w:spacing w:before="0" w:after="480"/>
      <w:jc w:val="left"/>
    </w:pPr>
    <w:rPr>
      <w:rFonts w:ascii="Helvitica" w:eastAsiaTheme="majorEastAsia" w:hAnsi="Helvitica" w:cstheme="majorBidi"/>
      <w:i/>
      <w:kern w:val="0"/>
      <w:sz w:val="40"/>
      <w:szCs w:val="32"/>
      <w:u w:val="none"/>
      <w:lang w:eastAsia="en-US"/>
    </w:rPr>
  </w:style>
  <w:style w:type="numbering" w:customStyle="1" w:styleId="Chapternumbering">
    <w:name w:val="Chapter numbering"/>
    <w:uiPriority w:val="99"/>
    <w:rsid w:val="00D212B4"/>
    <w:pPr>
      <w:numPr>
        <w:numId w:val="5"/>
      </w:numPr>
    </w:pPr>
  </w:style>
  <w:style w:type="paragraph" w:customStyle="1" w:styleId="DiagramHeading">
    <w:name w:val="Diagram Heading"/>
    <w:basedOn w:val="TableHeading"/>
    <w:next w:val="Normal"/>
    <w:uiPriority w:val="1"/>
    <w:rsid w:val="0096022F"/>
    <w:pPr>
      <w:numPr>
        <w:ilvl w:val="2"/>
      </w:numPr>
    </w:pPr>
  </w:style>
  <w:style w:type="paragraph" w:customStyle="1" w:styleId="ExampleHeading">
    <w:name w:val="Example Heading"/>
    <w:basedOn w:val="TableHeading"/>
    <w:next w:val="Normal"/>
    <w:rsid w:val="0096022F"/>
    <w:pPr>
      <w:numPr>
        <w:ilvl w:val="3"/>
      </w:numPr>
    </w:pPr>
  </w:style>
  <w:style w:type="paragraph" w:customStyle="1" w:styleId="Normalparatextwithnumbers">
    <w:name w:val="Normal para text (with numbers)"/>
    <w:basedOn w:val="Normal"/>
    <w:qFormat/>
    <w:rsid w:val="00D212B4"/>
    <w:pPr>
      <w:numPr>
        <w:ilvl w:val="1"/>
        <w:numId w:val="5"/>
      </w:numPr>
    </w:pPr>
    <w:rPr>
      <w:rFonts w:eastAsiaTheme="minorHAnsi" w:cstheme="minorBidi"/>
      <w:sz w:val="22"/>
      <w:szCs w:val="22"/>
      <w:lang w:eastAsia="en-US"/>
    </w:rPr>
  </w:style>
  <w:style w:type="paragraph" w:customStyle="1" w:styleId="subsection">
    <w:name w:val="subsection"/>
    <w:basedOn w:val="Normal"/>
    <w:rsid w:val="004B7F2C"/>
    <w:pPr>
      <w:spacing w:before="100" w:beforeAutospacing="1" w:after="100" w:afterAutospacing="1"/>
    </w:pPr>
    <w:rPr>
      <w:szCs w:val="24"/>
    </w:rPr>
  </w:style>
  <w:style w:type="paragraph" w:customStyle="1" w:styleId="paragraph">
    <w:name w:val="paragraph"/>
    <w:aliases w:val="a"/>
    <w:basedOn w:val="Normal"/>
    <w:link w:val="paragraphChar"/>
    <w:rsid w:val="004B7F2C"/>
    <w:pPr>
      <w:spacing w:before="100" w:beforeAutospacing="1" w:after="100" w:afterAutospacing="1"/>
    </w:pPr>
    <w:rPr>
      <w:szCs w:val="24"/>
    </w:rPr>
  </w:style>
  <w:style w:type="paragraph" w:styleId="NormalWeb">
    <w:name w:val="Normal (Web)"/>
    <w:basedOn w:val="Normal"/>
    <w:uiPriority w:val="99"/>
    <w:unhideWhenUsed/>
    <w:rsid w:val="00453E4B"/>
    <w:pPr>
      <w:spacing w:before="100" w:beforeAutospacing="1" w:after="100" w:afterAutospacing="1"/>
    </w:pPr>
    <w:rPr>
      <w:szCs w:val="24"/>
    </w:rPr>
  </w:style>
  <w:style w:type="character" w:customStyle="1" w:styleId="paragraphChar">
    <w:name w:val="paragraph Char"/>
    <w:aliases w:val="a Char"/>
    <w:link w:val="paragraph"/>
    <w:rsid w:val="00A3527D"/>
    <w:rPr>
      <w:sz w:val="24"/>
      <w:szCs w:val="24"/>
    </w:rPr>
  </w:style>
  <w:style w:type="paragraph" w:styleId="FootnoteText">
    <w:name w:val="footnote text"/>
    <w:basedOn w:val="Normal"/>
    <w:link w:val="FootnoteTextChar"/>
    <w:uiPriority w:val="99"/>
    <w:semiHidden/>
    <w:unhideWhenUsed/>
    <w:rsid w:val="00144839"/>
    <w:pPr>
      <w:spacing w:before="0" w:after="0"/>
    </w:pPr>
    <w:rPr>
      <w:sz w:val="20"/>
    </w:rPr>
  </w:style>
  <w:style w:type="character" w:customStyle="1" w:styleId="FootnoteTextChar">
    <w:name w:val="Footnote Text Char"/>
    <w:basedOn w:val="DefaultParagraphFont"/>
    <w:link w:val="FootnoteText"/>
    <w:uiPriority w:val="99"/>
    <w:semiHidden/>
    <w:rsid w:val="00144839"/>
  </w:style>
  <w:style w:type="character" w:styleId="FootnoteReference">
    <w:name w:val="footnote reference"/>
    <w:basedOn w:val="DefaultParagraphFont"/>
    <w:uiPriority w:val="99"/>
    <w:semiHidden/>
    <w:unhideWhenUsed/>
    <w:rsid w:val="00144839"/>
    <w:rPr>
      <w:vertAlign w:val="superscript"/>
    </w:rPr>
  </w:style>
  <w:style w:type="paragraph" w:styleId="Revision">
    <w:name w:val="Revision"/>
    <w:hidden/>
    <w:uiPriority w:val="99"/>
    <w:semiHidden/>
    <w:rsid w:val="00484B17"/>
    <w:rPr>
      <w:sz w:val="24"/>
    </w:rPr>
  </w:style>
  <w:style w:type="character" w:styleId="UnresolvedMention">
    <w:name w:val="Unresolved Mention"/>
    <w:basedOn w:val="DefaultParagraphFont"/>
    <w:uiPriority w:val="99"/>
    <w:semiHidden/>
    <w:unhideWhenUsed/>
    <w:rsid w:val="00E77557"/>
    <w:rPr>
      <w:color w:val="605E5C"/>
      <w:shd w:val="clear" w:color="auto" w:fill="E1DFDD"/>
    </w:rPr>
  </w:style>
  <w:style w:type="paragraph" w:customStyle="1" w:styleId="acthead5">
    <w:name w:val="acthead5"/>
    <w:basedOn w:val="Normal"/>
    <w:rsid w:val="00C91CF1"/>
    <w:pPr>
      <w:spacing w:before="100" w:beforeAutospacing="1" w:after="100" w:afterAutospacing="1"/>
    </w:pPr>
    <w:rPr>
      <w:szCs w:val="24"/>
    </w:rPr>
  </w:style>
  <w:style w:type="character" w:customStyle="1" w:styleId="charsectno">
    <w:name w:val="charsectno"/>
    <w:basedOn w:val="DefaultParagraphFont"/>
    <w:rsid w:val="00C91CF1"/>
  </w:style>
  <w:style w:type="paragraph" w:customStyle="1" w:styleId="notetext">
    <w:name w:val="note(text)"/>
    <w:aliases w:val="n"/>
    <w:basedOn w:val="Normal"/>
    <w:link w:val="notetextChar"/>
    <w:rsid w:val="00671BEE"/>
    <w:pPr>
      <w:spacing w:before="122" w:after="0"/>
      <w:ind w:left="1985" w:hanging="851"/>
    </w:pPr>
    <w:rPr>
      <w:sz w:val="18"/>
    </w:rPr>
  </w:style>
  <w:style w:type="character" w:customStyle="1" w:styleId="notetextChar">
    <w:name w:val="note(text) Char"/>
    <w:aliases w:val="n Char"/>
    <w:basedOn w:val="DefaultParagraphFont"/>
    <w:link w:val="notetext"/>
    <w:rsid w:val="00671BE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4209">
      <w:bodyDiv w:val="1"/>
      <w:marLeft w:val="0"/>
      <w:marRight w:val="0"/>
      <w:marTop w:val="0"/>
      <w:marBottom w:val="0"/>
      <w:divBdr>
        <w:top w:val="none" w:sz="0" w:space="0" w:color="auto"/>
        <w:left w:val="none" w:sz="0" w:space="0" w:color="auto"/>
        <w:bottom w:val="none" w:sz="0" w:space="0" w:color="auto"/>
        <w:right w:val="none" w:sz="0" w:space="0" w:color="auto"/>
      </w:divBdr>
    </w:div>
    <w:div w:id="49040726">
      <w:bodyDiv w:val="1"/>
      <w:marLeft w:val="0"/>
      <w:marRight w:val="0"/>
      <w:marTop w:val="0"/>
      <w:marBottom w:val="0"/>
      <w:divBdr>
        <w:top w:val="none" w:sz="0" w:space="0" w:color="auto"/>
        <w:left w:val="none" w:sz="0" w:space="0" w:color="auto"/>
        <w:bottom w:val="none" w:sz="0" w:space="0" w:color="auto"/>
        <w:right w:val="none" w:sz="0" w:space="0" w:color="auto"/>
      </w:divBdr>
    </w:div>
    <w:div w:id="163515802">
      <w:bodyDiv w:val="1"/>
      <w:marLeft w:val="0"/>
      <w:marRight w:val="0"/>
      <w:marTop w:val="0"/>
      <w:marBottom w:val="0"/>
      <w:divBdr>
        <w:top w:val="none" w:sz="0" w:space="0" w:color="auto"/>
        <w:left w:val="none" w:sz="0" w:space="0" w:color="auto"/>
        <w:bottom w:val="none" w:sz="0" w:space="0" w:color="auto"/>
        <w:right w:val="none" w:sz="0" w:space="0" w:color="auto"/>
      </w:divBdr>
    </w:div>
    <w:div w:id="164786306">
      <w:bodyDiv w:val="1"/>
      <w:marLeft w:val="0"/>
      <w:marRight w:val="0"/>
      <w:marTop w:val="0"/>
      <w:marBottom w:val="0"/>
      <w:divBdr>
        <w:top w:val="none" w:sz="0" w:space="0" w:color="auto"/>
        <w:left w:val="none" w:sz="0" w:space="0" w:color="auto"/>
        <w:bottom w:val="none" w:sz="0" w:space="0" w:color="auto"/>
        <w:right w:val="none" w:sz="0" w:space="0" w:color="auto"/>
      </w:divBdr>
    </w:div>
    <w:div w:id="201524494">
      <w:bodyDiv w:val="1"/>
      <w:marLeft w:val="0"/>
      <w:marRight w:val="0"/>
      <w:marTop w:val="0"/>
      <w:marBottom w:val="0"/>
      <w:divBdr>
        <w:top w:val="none" w:sz="0" w:space="0" w:color="auto"/>
        <w:left w:val="none" w:sz="0" w:space="0" w:color="auto"/>
        <w:bottom w:val="none" w:sz="0" w:space="0" w:color="auto"/>
        <w:right w:val="none" w:sz="0" w:space="0" w:color="auto"/>
      </w:divBdr>
    </w:div>
    <w:div w:id="223293613">
      <w:bodyDiv w:val="1"/>
      <w:marLeft w:val="0"/>
      <w:marRight w:val="0"/>
      <w:marTop w:val="0"/>
      <w:marBottom w:val="0"/>
      <w:divBdr>
        <w:top w:val="none" w:sz="0" w:space="0" w:color="auto"/>
        <w:left w:val="none" w:sz="0" w:space="0" w:color="auto"/>
        <w:bottom w:val="none" w:sz="0" w:space="0" w:color="auto"/>
        <w:right w:val="none" w:sz="0" w:space="0" w:color="auto"/>
      </w:divBdr>
    </w:div>
    <w:div w:id="255942907">
      <w:bodyDiv w:val="1"/>
      <w:marLeft w:val="0"/>
      <w:marRight w:val="0"/>
      <w:marTop w:val="0"/>
      <w:marBottom w:val="0"/>
      <w:divBdr>
        <w:top w:val="none" w:sz="0" w:space="0" w:color="auto"/>
        <w:left w:val="none" w:sz="0" w:space="0" w:color="auto"/>
        <w:bottom w:val="none" w:sz="0" w:space="0" w:color="auto"/>
        <w:right w:val="none" w:sz="0" w:space="0" w:color="auto"/>
      </w:divBdr>
    </w:div>
    <w:div w:id="510412604">
      <w:bodyDiv w:val="1"/>
      <w:marLeft w:val="0"/>
      <w:marRight w:val="0"/>
      <w:marTop w:val="0"/>
      <w:marBottom w:val="0"/>
      <w:divBdr>
        <w:top w:val="none" w:sz="0" w:space="0" w:color="auto"/>
        <w:left w:val="none" w:sz="0" w:space="0" w:color="auto"/>
        <w:bottom w:val="none" w:sz="0" w:space="0" w:color="auto"/>
        <w:right w:val="none" w:sz="0" w:space="0" w:color="auto"/>
      </w:divBdr>
    </w:div>
    <w:div w:id="515467444">
      <w:bodyDiv w:val="1"/>
      <w:marLeft w:val="0"/>
      <w:marRight w:val="0"/>
      <w:marTop w:val="0"/>
      <w:marBottom w:val="0"/>
      <w:divBdr>
        <w:top w:val="none" w:sz="0" w:space="0" w:color="auto"/>
        <w:left w:val="none" w:sz="0" w:space="0" w:color="auto"/>
        <w:bottom w:val="none" w:sz="0" w:space="0" w:color="auto"/>
        <w:right w:val="none" w:sz="0" w:space="0" w:color="auto"/>
      </w:divBdr>
    </w:div>
    <w:div w:id="517013990">
      <w:bodyDiv w:val="1"/>
      <w:marLeft w:val="0"/>
      <w:marRight w:val="0"/>
      <w:marTop w:val="0"/>
      <w:marBottom w:val="0"/>
      <w:divBdr>
        <w:top w:val="none" w:sz="0" w:space="0" w:color="auto"/>
        <w:left w:val="none" w:sz="0" w:space="0" w:color="auto"/>
        <w:bottom w:val="none" w:sz="0" w:space="0" w:color="auto"/>
        <w:right w:val="none" w:sz="0" w:space="0" w:color="auto"/>
      </w:divBdr>
    </w:div>
    <w:div w:id="607081027">
      <w:bodyDiv w:val="1"/>
      <w:marLeft w:val="0"/>
      <w:marRight w:val="0"/>
      <w:marTop w:val="0"/>
      <w:marBottom w:val="0"/>
      <w:divBdr>
        <w:top w:val="none" w:sz="0" w:space="0" w:color="auto"/>
        <w:left w:val="none" w:sz="0" w:space="0" w:color="auto"/>
        <w:bottom w:val="none" w:sz="0" w:space="0" w:color="auto"/>
        <w:right w:val="none" w:sz="0" w:space="0" w:color="auto"/>
      </w:divBdr>
    </w:div>
    <w:div w:id="804660771">
      <w:bodyDiv w:val="1"/>
      <w:marLeft w:val="0"/>
      <w:marRight w:val="0"/>
      <w:marTop w:val="0"/>
      <w:marBottom w:val="0"/>
      <w:divBdr>
        <w:top w:val="none" w:sz="0" w:space="0" w:color="auto"/>
        <w:left w:val="none" w:sz="0" w:space="0" w:color="auto"/>
        <w:bottom w:val="none" w:sz="0" w:space="0" w:color="auto"/>
        <w:right w:val="none" w:sz="0" w:space="0" w:color="auto"/>
      </w:divBdr>
    </w:div>
    <w:div w:id="842747295">
      <w:bodyDiv w:val="1"/>
      <w:marLeft w:val="0"/>
      <w:marRight w:val="0"/>
      <w:marTop w:val="0"/>
      <w:marBottom w:val="0"/>
      <w:divBdr>
        <w:top w:val="none" w:sz="0" w:space="0" w:color="auto"/>
        <w:left w:val="none" w:sz="0" w:space="0" w:color="auto"/>
        <w:bottom w:val="none" w:sz="0" w:space="0" w:color="auto"/>
        <w:right w:val="none" w:sz="0" w:space="0" w:color="auto"/>
      </w:divBdr>
    </w:div>
    <w:div w:id="941641629">
      <w:bodyDiv w:val="1"/>
      <w:marLeft w:val="0"/>
      <w:marRight w:val="0"/>
      <w:marTop w:val="0"/>
      <w:marBottom w:val="0"/>
      <w:divBdr>
        <w:top w:val="none" w:sz="0" w:space="0" w:color="auto"/>
        <w:left w:val="none" w:sz="0" w:space="0" w:color="auto"/>
        <w:bottom w:val="none" w:sz="0" w:space="0" w:color="auto"/>
        <w:right w:val="none" w:sz="0" w:space="0" w:color="auto"/>
      </w:divBdr>
    </w:div>
    <w:div w:id="1104769274">
      <w:bodyDiv w:val="1"/>
      <w:marLeft w:val="0"/>
      <w:marRight w:val="0"/>
      <w:marTop w:val="0"/>
      <w:marBottom w:val="0"/>
      <w:divBdr>
        <w:top w:val="none" w:sz="0" w:space="0" w:color="auto"/>
        <w:left w:val="none" w:sz="0" w:space="0" w:color="auto"/>
        <w:bottom w:val="none" w:sz="0" w:space="0" w:color="auto"/>
        <w:right w:val="none" w:sz="0" w:space="0" w:color="auto"/>
      </w:divBdr>
    </w:div>
    <w:div w:id="1142161521">
      <w:bodyDiv w:val="1"/>
      <w:marLeft w:val="0"/>
      <w:marRight w:val="0"/>
      <w:marTop w:val="0"/>
      <w:marBottom w:val="0"/>
      <w:divBdr>
        <w:top w:val="none" w:sz="0" w:space="0" w:color="auto"/>
        <w:left w:val="none" w:sz="0" w:space="0" w:color="auto"/>
        <w:bottom w:val="none" w:sz="0" w:space="0" w:color="auto"/>
        <w:right w:val="none" w:sz="0" w:space="0" w:color="auto"/>
      </w:divBdr>
    </w:div>
    <w:div w:id="1182546707">
      <w:bodyDiv w:val="1"/>
      <w:marLeft w:val="0"/>
      <w:marRight w:val="0"/>
      <w:marTop w:val="0"/>
      <w:marBottom w:val="0"/>
      <w:divBdr>
        <w:top w:val="none" w:sz="0" w:space="0" w:color="auto"/>
        <w:left w:val="none" w:sz="0" w:space="0" w:color="auto"/>
        <w:bottom w:val="none" w:sz="0" w:space="0" w:color="auto"/>
        <w:right w:val="none" w:sz="0" w:space="0" w:color="auto"/>
      </w:divBdr>
    </w:div>
    <w:div w:id="1184979259">
      <w:bodyDiv w:val="1"/>
      <w:marLeft w:val="0"/>
      <w:marRight w:val="0"/>
      <w:marTop w:val="0"/>
      <w:marBottom w:val="0"/>
      <w:divBdr>
        <w:top w:val="none" w:sz="0" w:space="0" w:color="auto"/>
        <w:left w:val="none" w:sz="0" w:space="0" w:color="auto"/>
        <w:bottom w:val="none" w:sz="0" w:space="0" w:color="auto"/>
        <w:right w:val="none" w:sz="0" w:space="0" w:color="auto"/>
      </w:divBdr>
    </w:div>
    <w:div w:id="1341807976">
      <w:bodyDiv w:val="1"/>
      <w:marLeft w:val="0"/>
      <w:marRight w:val="0"/>
      <w:marTop w:val="0"/>
      <w:marBottom w:val="0"/>
      <w:divBdr>
        <w:top w:val="none" w:sz="0" w:space="0" w:color="auto"/>
        <w:left w:val="none" w:sz="0" w:space="0" w:color="auto"/>
        <w:bottom w:val="none" w:sz="0" w:space="0" w:color="auto"/>
        <w:right w:val="none" w:sz="0" w:space="0" w:color="auto"/>
      </w:divBdr>
    </w:div>
    <w:div w:id="1635208889">
      <w:bodyDiv w:val="1"/>
      <w:marLeft w:val="0"/>
      <w:marRight w:val="0"/>
      <w:marTop w:val="0"/>
      <w:marBottom w:val="0"/>
      <w:divBdr>
        <w:top w:val="none" w:sz="0" w:space="0" w:color="auto"/>
        <w:left w:val="none" w:sz="0" w:space="0" w:color="auto"/>
        <w:bottom w:val="none" w:sz="0" w:space="0" w:color="auto"/>
        <w:right w:val="none" w:sz="0" w:space="0" w:color="auto"/>
      </w:divBdr>
    </w:div>
    <w:div w:id="1668704730">
      <w:bodyDiv w:val="1"/>
      <w:marLeft w:val="0"/>
      <w:marRight w:val="0"/>
      <w:marTop w:val="0"/>
      <w:marBottom w:val="0"/>
      <w:divBdr>
        <w:top w:val="none" w:sz="0" w:space="0" w:color="auto"/>
        <w:left w:val="none" w:sz="0" w:space="0" w:color="auto"/>
        <w:bottom w:val="none" w:sz="0" w:space="0" w:color="auto"/>
        <w:right w:val="none" w:sz="0" w:space="0" w:color="auto"/>
      </w:divBdr>
    </w:div>
    <w:div w:id="184570561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04871048">
      <w:bodyDiv w:val="1"/>
      <w:marLeft w:val="0"/>
      <w:marRight w:val="0"/>
      <w:marTop w:val="0"/>
      <w:marBottom w:val="0"/>
      <w:divBdr>
        <w:top w:val="none" w:sz="0" w:space="0" w:color="auto"/>
        <w:left w:val="none" w:sz="0" w:space="0" w:color="auto"/>
        <w:bottom w:val="none" w:sz="0" w:space="0" w:color="auto"/>
        <w:right w:val="none" w:sz="0" w:space="0" w:color="auto"/>
      </w:divBdr>
    </w:div>
    <w:div w:id="2062287571">
      <w:bodyDiv w:val="1"/>
      <w:marLeft w:val="0"/>
      <w:marRight w:val="0"/>
      <w:marTop w:val="0"/>
      <w:marBottom w:val="0"/>
      <w:divBdr>
        <w:top w:val="none" w:sz="0" w:space="0" w:color="auto"/>
        <w:left w:val="none" w:sz="0" w:space="0" w:color="auto"/>
        <w:bottom w:val="none" w:sz="0" w:space="0" w:color="auto"/>
        <w:right w:val="none" w:sz="0" w:space="0" w:color="auto"/>
      </w:divBdr>
    </w:div>
    <w:div w:id="213806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7676140E194CAB80911A408EA3C827"/>
        <w:category>
          <w:name w:val="General"/>
          <w:gallery w:val="placeholder"/>
        </w:category>
        <w:types>
          <w:type w:val="bbPlcHdr"/>
        </w:types>
        <w:behaviors>
          <w:behavior w:val="content"/>
        </w:behaviors>
        <w:guid w:val="{4465BD76-72DE-4E1B-A7EC-B973E55FF472}"/>
      </w:docPartPr>
      <w:docPartBody>
        <w:p w:rsidR="000806C8" w:rsidRDefault="000806C8">
          <w:pPr>
            <w:pStyle w:val="B97676140E194CAB80911A408EA3C827"/>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C8"/>
    <w:rsid w:val="000806C8"/>
    <w:rsid w:val="003004BD"/>
    <w:rsid w:val="003F069E"/>
    <w:rsid w:val="00444EAA"/>
    <w:rsid w:val="004518E0"/>
    <w:rsid w:val="004E5D81"/>
    <w:rsid w:val="0051143D"/>
    <w:rsid w:val="00643D43"/>
    <w:rsid w:val="00765B84"/>
    <w:rsid w:val="007661A7"/>
    <w:rsid w:val="00810B95"/>
    <w:rsid w:val="0091269F"/>
    <w:rsid w:val="00943164"/>
    <w:rsid w:val="00991A24"/>
    <w:rsid w:val="00A16E5B"/>
    <w:rsid w:val="00A820A7"/>
    <w:rsid w:val="00AB2C65"/>
    <w:rsid w:val="00B11AD7"/>
    <w:rsid w:val="00B87E3B"/>
    <w:rsid w:val="00C0143E"/>
    <w:rsid w:val="00C05BCD"/>
    <w:rsid w:val="00C334A3"/>
    <w:rsid w:val="00C64A1A"/>
    <w:rsid w:val="00DF3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97676140E194CAB80911A408EA3C827">
    <w:name w:val="B97676140E194CAB80911A408EA3C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4398</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2022-03-28T23:10:00Z</dcterms:created>
  <dcterms:modified xsi:type="dcterms:W3CDTF">2022-03-28T23:10:00Z</dcterms:modified>
</cp:coreProperties>
</file>