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BBC45" w14:textId="77777777" w:rsidR="00FC54D1" w:rsidRPr="005A2203" w:rsidRDefault="00FC54D1" w:rsidP="00482EB9">
      <w:pPr>
        <w:autoSpaceDE w:val="0"/>
        <w:autoSpaceDN w:val="0"/>
        <w:adjustRightInd w:val="0"/>
        <w:spacing w:before="240" w:after="240" w:line="276" w:lineRule="auto"/>
        <w:jc w:val="center"/>
        <w:rPr>
          <w:b/>
          <w:sz w:val="22"/>
          <w:szCs w:val="22"/>
          <w:u w:val="single"/>
          <w:lang w:val="en-US"/>
        </w:rPr>
      </w:pPr>
      <w:r w:rsidRPr="005A2203">
        <w:rPr>
          <w:b/>
          <w:sz w:val="22"/>
          <w:szCs w:val="22"/>
          <w:u w:val="single"/>
          <w:lang w:val="en-US"/>
        </w:rPr>
        <w:t>EXPLANATORY STATEMENT</w:t>
      </w:r>
    </w:p>
    <w:p w14:paraId="7B727A34" w14:textId="77777777" w:rsidR="00FC54D1" w:rsidRPr="005A2203" w:rsidRDefault="00FC54D1" w:rsidP="00482EB9">
      <w:pPr>
        <w:autoSpaceDE w:val="0"/>
        <w:autoSpaceDN w:val="0"/>
        <w:adjustRightInd w:val="0"/>
        <w:spacing w:before="240" w:after="240" w:line="276" w:lineRule="auto"/>
        <w:jc w:val="center"/>
        <w:rPr>
          <w:sz w:val="22"/>
          <w:szCs w:val="22"/>
          <w:lang w:val="en-US"/>
        </w:rPr>
      </w:pPr>
      <w:r w:rsidRPr="005A2203">
        <w:rPr>
          <w:sz w:val="22"/>
          <w:szCs w:val="22"/>
          <w:lang w:val="en-US"/>
        </w:rPr>
        <w:t>Issued by the authority of the Protected Zone Joint Authority</w:t>
      </w:r>
    </w:p>
    <w:p w14:paraId="71C7269B" w14:textId="77777777" w:rsidR="00FC54D1" w:rsidRPr="005A2203" w:rsidRDefault="00FC54D1" w:rsidP="00482EB9">
      <w:pPr>
        <w:spacing w:before="240" w:after="240" w:line="276" w:lineRule="auto"/>
        <w:jc w:val="center"/>
        <w:rPr>
          <w:i/>
          <w:sz w:val="22"/>
          <w:szCs w:val="22"/>
          <w:lang w:val="en-US"/>
        </w:rPr>
      </w:pPr>
      <w:r w:rsidRPr="00F84CAB">
        <w:rPr>
          <w:i/>
          <w:sz w:val="22"/>
          <w:szCs w:val="22"/>
          <w:lang w:val="en-US"/>
        </w:rPr>
        <w:t>Torres Strait Fisheries</w:t>
      </w:r>
      <w:r w:rsidRPr="005A2203">
        <w:rPr>
          <w:i/>
          <w:sz w:val="22"/>
          <w:szCs w:val="22"/>
          <w:lang w:val="en-US"/>
        </w:rPr>
        <w:t xml:space="preserve"> Act 1984</w:t>
      </w:r>
    </w:p>
    <w:p w14:paraId="0021031F" w14:textId="3B78AE47" w:rsidR="00FC54D1" w:rsidRPr="005A2203" w:rsidRDefault="00FC54D1" w:rsidP="00462294">
      <w:pPr>
        <w:tabs>
          <w:tab w:val="left" w:pos="650"/>
          <w:tab w:val="center" w:pos="4513"/>
        </w:tabs>
        <w:spacing w:before="240" w:after="480" w:line="276" w:lineRule="auto"/>
        <w:jc w:val="center"/>
        <w:rPr>
          <w:b/>
          <w:i/>
          <w:sz w:val="22"/>
          <w:szCs w:val="22"/>
          <w:lang w:val="en-US"/>
        </w:rPr>
      </w:pPr>
      <w:bookmarkStart w:id="0" w:name="OLE_LINK5"/>
      <w:r w:rsidRPr="000B4061">
        <w:rPr>
          <w:b/>
          <w:i/>
          <w:sz w:val="22"/>
          <w:szCs w:val="22"/>
          <w:lang w:val="en-US"/>
        </w:rPr>
        <w:t xml:space="preserve">Torres Strait </w:t>
      </w:r>
      <w:r w:rsidR="00222250" w:rsidRPr="000B4061">
        <w:rPr>
          <w:b/>
          <w:i/>
          <w:sz w:val="22"/>
          <w:szCs w:val="22"/>
          <w:lang w:val="en-US"/>
        </w:rPr>
        <w:t xml:space="preserve">Fisheries </w:t>
      </w:r>
      <w:r w:rsidR="00716BC2">
        <w:rPr>
          <w:b/>
          <w:i/>
          <w:sz w:val="22"/>
          <w:szCs w:val="22"/>
          <w:lang w:val="en-US"/>
        </w:rPr>
        <w:t xml:space="preserve">Amendment </w:t>
      </w:r>
      <w:r w:rsidR="00222250" w:rsidRPr="000B4061">
        <w:rPr>
          <w:b/>
          <w:i/>
          <w:sz w:val="22"/>
          <w:szCs w:val="22"/>
          <w:lang w:val="en-US"/>
        </w:rPr>
        <w:t>(</w:t>
      </w:r>
      <w:r w:rsidR="00716BC2">
        <w:rPr>
          <w:b/>
          <w:i/>
          <w:sz w:val="22"/>
          <w:szCs w:val="22"/>
          <w:lang w:val="en-US"/>
        </w:rPr>
        <w:t xml:space="preserve">Finfish) </w:t>
      </w:r>
      <w:r w:rsidR="0076053B" w:rsidRPr="000B4061">
        <w:rPr>
          <w:b/>
          <w:i/>
          <w:sz w:val="22"/>
          <w:szCs w:val="22"/>
          <w:lang w:val="en-US"/>
        </w:rPr>
        <w:t xml:space="preserve">Management </w:t>
      </w:r>
      <w:r w:rsidR="00716BC2">
        <w:rPr>
          <w:b/>
          <w:i/>
          <w:sz w:val="22"/>
          <w:szCs w:val="22"/>
          <w:lang w:val="en-US"/>
        </w:rPr>
        <w:t xml:space="preserve">Instrument </w:t>
      </w:r>
      <w:r w:rsidR="00DD7FF5" w:rsidRPr="000B4061">
        <w:rPr>
          <w:b/>
          <w:i/>
          <w:sz w:val="22"/>
          <w:szCs w:val="22"/>
          <w:lang w:val="en-US"/>
        </w:rPr>
        <w:t>202</w:t>
      </w:r>
      <w:r w:rsidR="00DD7FF5">
        <w:rPr>
          <w:b/>
          <w:i/>
          <w:sz w:val="22"/>
          <w:szCs w:val="22"/>
          <w:lang w:val="en-US"/>
        </w:rPr>
        <w:t>2</w:t>
      </w:r>
    </w:p>
    <w:bookmarkEnd w:id="0"/>
    <w:p w14:paraId="15506572" w14:textId="5CA43313" w:rsidR="00BE24E7" w:rsidRPr="00606868" w:rsidRDefault="00BE24E7" w:rsidP="00C42659">
      <w:pPr>
        <w:spacing w:before="240" w:after="240" w:line="276" w:lineRule="auto"/>
        <w:jc w:val="both"/>
        <w:rPr>
          <w:b/>
          <w:bCs/>
          <w:sz w:val="22"/>
          <w:szCs w:val="22"/>
          <w:lang w:val="en-US"/>
        </w:rPr>
      </w:pPr>
      <w:r w:rsidRPr="00606868">
        <w:rPr>
          <w:b/>
          <w:bCs/>
          <w:sz w:val="22"/>
          <w:szCs w:val="22"/>
          <w:lang w:val="en-US"/>
        </w:rPr>
        <w:t>Purpose</w:t>
      </w:r>
    </w:p>
    <w:p w14:paraId="7B1E1DA8" w14:textId="188FECB1" w:rsidR="00C42659" w:rsidRDefault="00D85429" w:rsidP="00C42659">
      <w:pPr>
        <w:spacing w:before="240" w:after="240" w:line="276" w:lineRule="auto"/>
        <w:jc w:val="both"/>
        <w:rPr>
          <w:sz w:val="22"/>
          <w:szCs w:val="22"/>
          <w:lang w:val="en-US"/>
        </w:rPr>
      </w:pPr>
      <w:r w:rsidRPr="00512983">
        <w:rPr>
          <w:sz w:val="22"/>
          <w:szCs w:val="22"/>
          <w:lang w:val="en-US"/>
        </w:rPr>
        <w:t xml:space="preserve">The </w:t>
      </w:r>
      <w:r w:rsidR="00512983">
        <w:rPr>
          <w:sz w:val="22"/>
          <w:szCs w:val="22"/>
          <w:lang w:val="en-US"/>
        </w:rPr>
        <w:t>p</w:t>
      </w:r>
      <w:r w:rsidRPr="00512983">
        <w:rPr>
          <w:sz w:val="22"/>
          <w:szCs w:val="22"/>
          <w:lang w:val="en-US"/>
        </w:rPr>
        <w:t xml:space="preserve">urpose of the </w:t>
      </w:r>
      <w:r w:rsidRPr="00512983">
        <w:rPr>
          <w:i/>
          <w:sz w:val="22"/>
          <w:szCs w:val="22"/>
          <w:lang w:val="en-US"/>
        </w:rPr>
        <w:t>Torres Strait Fisheries</w:t>
      </w:r>
      <w:r w:rsidR="00716BC2">
        <w:rPr>
          <w:i/>
          <w:sz w:val="22"/>
          <w:szCs w:val="22"/>
          <w:lang w:val="en-US"/>
        </w:rPr>
        <w:t xml:space="preserve"> Amendment</w:t>
      </w:r>
      <w:r w:rsidRPr="00512983">
        <w:rPr>
          <w:i/>
          <w:sz w:val="22"/>
          <w:szCs w:val="22"/>
          <w:lang w:val="en-US"/>
        </w:rPr>
        <w:t xml:space="preserve"> (</w:t>
      </w:r>
      <w:r w:rsidR="00B71149">
        <w:rPr>
          <w:i/>
          <w:sz w:val="22"/>
          <w:szCs w:val="22"/>
          <w:lang w:val="en-US"/>
        </w:rPr>
        <w:t>Finfish</w:t>
      </w:r>
      <w:r w:rsidRPr="00512983">
        <w:rPr>
          <w:i/>
          <w:sz w:val="22"/>
          <w:szCs w:val="22"/>
          <w:lang w:val="en-US"/>
        </w:rPr>
        <w:t xml:space="preserve">) Management </w:t>
      </w:r>
      <w:r w:rsidR="00B71149">
        <w:rPr>
          <w:i/>
          <w:sz w:val="22"/>
          <w:szCs w:val="22"/>
          <w:lang w:val="en-US"/>
        </w:rPr>
        <w:t xml:space="preserve">Instrument </w:t>
      </w:r>
      <w:r w:rsidR="00DD7FF5">
        <w:rPr>
          <w:i/>
          <w:sz w:val="22"/>
          <w:szCs w:val="22"/>
          <w:lang w:val="en-US"/>
        </w:rPr>
        <w:t>2022</w:t>
      </w:r>
      <w:r w:rsidR="00DD7FF5" w:rsidRPr="00512983">
        <w:rPr>
          <w:sz w:val="22"/>
          <w:szCs w:val="22"/>
          <w:lang w:val="en-US"/>
        </w:rPr>
        <w:t xml:space="preserve"> </w:t>
      </w:r>
      <w:r w:rsidRPr="00512983">
        <w:rPr>
          <w:sz w:val="22"/>
          <w:szCs w:val="22"/>
          <w:lang w:val="en-US"/>
        </w:rPr>
        <w:t xml:space="preserve">(the </w:t>
      </w:r>
      <w:r w:rsidR="003C38FF">
        <w:rPr>
          <w:sz w:val="22"/>
          <w:szCs w:val="22"/>
          <w:lang w:val="en-US"/>
        </w:rPr>
        <w:t>Amendment</w:t>
      </w:r>
      <w:r w:rsidR="00B71149">
        <w:rPr>
          <w:sz w:val="22"/>
          <w:szCs w:val="22"/>
          <w:lang w:val="en-US"/>
        </w:rPr>
        <w:t xml:space="preserve"> Instrument</w:t>
      </w:r>
      <w:r w:rsidRPr="00512983">
        <w:rPr>
          <w:sz w:val="22"/>
          <w:szCs w:val="22"/>
          <w:lang w:val="en-US"/>
        </w:rPr>
        <w:t xml:space="preserve">) </w:t>
      </w:r>
      <w:r w:rsidR="00904248" w:rsidRPr="00512983">
        <w:rPr>
          <w:sz w:val="22"/>
          <w:szCs w:val="22"/>
          <w:lang w:val="en-US"/>
        </w:rPr>
        <w:t xml:space="preserve">is to </w:t>
      </w:r>
      <w:r w:rsidR="003C38FF">
        <w:rPr>
          <w:sz w:val="22"/>
          <w:szCs w:val="22"/>
          <w:lang w:val="en-US"/>
        </w:rPr>
        <w:t xml:space="preserve">amend the </w:t>
      </w:r>
      <w:r w:rsidR="003C38FF" w:rsidRPr="00512983">
        <w:rPr>
          <w:i/>
          <w:sz w:val="22"/>
          <w:szCs w:val="22"/>
          <w:lang w:val="en-US"/>
        </w:rPr>
        <w:t>Torres Strait Fisheries (</w:t>
      </w:r>
      <w:r w:rsidR="00B71149">
        <w:rPr>
          <w:i/>
          <w:sz w:val="22"/>
          <w:szCs w:val="22"/>
          <w:lang w:val="en-US"/>
        </w:rPr>
        <w:t>Finfish</w:t>
      </w:r>
      <w:r w:rsidR="003C38FF" w:rsidRPr="00512983">
        <w:rPr>
          <w:i/>
          <w:sz w:val="22"/>
          <w:szCs w:val="22"/>
          <w:lang w:val="en-US"/>
        </w:rPr>
        <w:t xml:space="preserve">) Management </w:t>
      </w:r>
      <w:r w:rsidR="00B71149">
        <w:rPr>
          <w:i/>
          <w:sz w:val="22"/>
          <w:szCs w:val="22"/>
          <w:lang w:val="en-US"/>
        </w:rPr>
        <w:t xml:space="preserve">Instrument </w:t>
      </w:r>
      <w:r w:rsidR="00507D3C">
        <w:rPr>
          <w:i/>
          <w:sz w:val="22"/>
          <w:szCs w:val="22"/>
          <w:lang w:val="en-US"/>
        </w:rPr>
        <w:t>20</w:t>
      </w:r>
      <w:r w:rsidR="00B71149">
        <w:rPr>
          <w:i/>
          <w:sz w:val="22"/>
          <w:szCs w:val="22"/>
          <w:lang w:val="en-US"/>
        </w:rPr>
        <w:t>20</w:t>
      </w:r>
      <w:r w:rsidR="003C38FF">
        <w:rPr>
          <w:i/>
          <w:sz w:val="22"/>
          <w:szCs w:val="22"/>
          <w:lang w:val="en-US"/>
        </w:rPr>
        <w:t xml:space="preserve"> </w:t>
      </w:r>
      <w:r w:rsidR="003C38FF" w:rsidRPr="005072F0">
        <w:rPr>
          <w:sz w:val="22"/>
          <w:szCs w:val="22"/>
          <w:lang w:val="en-US"/>
        </w:rPr>
        <w:t xml:space="preserve">(the Management </w:t>
      </w:r>
      <w:r w:rsidR="00740B36">
        <w:rPr>
          <w:sz w:val="22"/>
          <w:szCs w:val="22"/>
          <w:lang w:val="en-US"/>
        </w:rPr>
        <w:t>Instrument</w:t>
      </w:r>
      <w:r w:rsidR="003C38FF" w:rsidRPr="005072F0">
        <w:rPr>
          <w:sz w:val="22"/>
          <w:szCs w:val="22"/>
          <w:lang w:val="en-US"/>
        </w:rPr>
        <w:t>)</w:t>
      </w:r>
      <w:r w:rsidR="00507D3C" w:rsidRPr="005072F0">
        <w:rPr>
          <w:sz w:val="22"/>
          <w:szCs w:val="22"/>
          <w:lang w:val="en-US"/>
        </w:rPr>
        <w:t xml:space="preserve"> to</w:t>
      </w:r>
      <w:r w:rsidR="00507D3C">
        <w:rPr>
          <w:sz w:val="22"/>
          <w:szCs w:val="22"/>
          <w:lang w:val="en-US"/>
        </w:rPr>
        <w:t xml:space="preserve"> </w:t>
      </w:r>
      <w:r w:rsidR="00D378E0">
        <w:rPr>
          <w:sz w:val="22"/>
          <w:szCs w:val="22"/>
          <w:lang w:val="en-US"/>
        </w:rPr>
        <w:t xml:space="preserve">update the definition for a </w:t>
      </w:r>
      <w:r w:rsidR="00D378E0" w:rsidRPr="00325D43">
        <w:rPr>
          <w:i/>
          <w:iCs/>
          <w:sz w:val="22"/>
          <w:szCs w:val="22"/>
          <w:lang w:val="en-US"/>
        </w:rPr>
        <w:t>licensed person</w:t>
      </w:r>
      <w:r w:rsidR="00E20214">
        <w:rPr>
          <w:sz w:val="22"/>
          <w:szCs w:val="22"/>
          <w:lang w:val="en-US"/>
        </w:rPr>
        <w:t xml:space="preserve"> to </w:t>
      </w:r>
      <w:r w:rsidR="00705E4F">
        <w:rPr>
          <w:sz w:val="22"/>
          <w:szCs w:val="22"/>
          <w:lang w:val="en-US"/>
        </w:rPr>
        <w:t xml:space="preserve">include </w:t>
      </w:r>
      <w:r w:rsidR="00C42659" w:rsidRPr="00AA2F46">
        <w:rPr>
          <w:sz w:val="22"/>
          <w:szCs w:val="22"/>
          <w:lang w:val="en-US"/>
        </w:rPr>
        <w:t xml:space="preserve">a </w:t>
      </w:r>
      <w:r w:rsidR="00C42659">
        <w:rPr>
          <w:sz w:val="22"/>
          <w:szCs w:val="22"/>
          <w:lang w:val="en-US"/>
        </w:rPr>
        <w:t xml:space="preserve">person who has been granted a licence under subsection 19(4A) of the Act </w:t>
      </w:r>
      <w:r w:rsidR="00F15B6B">
        <w:rPr>
          <w:sz w:val="22"/>
          <w:szCs w:val="22"/>
          <w:lang w:val="en-US"/>
        </w:rPr>
        <w:t>(</w:t>
      </w:r>
      <w:r w:rsidR="00B01D59">
        <w:rPr>
          <w:sz w:val="22"/>
          <w:szCs w:val="22"/>
          <w:lang w:val="en-US"/>
        </w:rPr>
        <w:t>which</w:t>
      </w:r>
      <w:r w:rsidR="00C42659">
        <w:rPr>
          <w:sz w:val="22"/>
          <w:szCs w:val="22"/>
          <w:lang w:val="en-US"/>
        </w:rPr>
        <w:t xml:space="preserve"> </w:t>
      </w:r>
      <w:proofErr w:type="spellStart"/>
      <w:r w:rsidR="00C42659">
        <w:rPr>
          <w:sz w:val="22"/>
          <w:szCs w:val="22"/>
          <w:lang w:val="en-US"/>
        </w:rPr>
        <w:t>authori</w:t>
      </w:r>
      <w:r w:rsidR="00F750B9">
        <w:rPr>
          <w:sz w:val="22"/>
          <w:szCs w:val="22"/>
          <w:lang w:val="en-US"/>
        </w:rPr>
        <w:t>s</w:t>
      </w:r>
      <w:r w:rsidR="00C42659">
        <w:rPr>
          <w:sz w:val="22"/>
          <w:szCs w:val="22"/>
          <w:lang w:val="en-US"/>
        </w:rPr>
        <w:t>es</w:t>
      </w:r>
      <w:proofErr w:type="spellEnd"/>
      <w:r w:rsidR="00C42659">
        <w:rPr>
          <w:sz w:val="22"/>
          <w:szCs w:val="22"/>
          <w:lang w:val="en-US"/>
        </w:rPr>
        <w:t xml:space="preserve"> </w:t>
      </w:r>
      <w:r w:rsidR="00C42659" w:rsidRPr="00AA2F46">
        <w:rPr>
          <w:sz w:val="22"/>
          <w:szCs w:val="22"/>
          <w:lang w:val="en-US"/>
        </w:rPr>
        <w:t>the taking of fish in the course of commercial fishing without the use of a boat in areas of Australian jurisdiction</w:t>
      </w:r>
      <w:r w:rsidR="00F15B6B">
        <w:rPr>
          <w:sz w:val="22"/>
          <w:szCs w:val="22"/>
          <w:lang w:val="en-US"/>
        </w:rPr>
        <w:t>,</w:t>
      </w:r>
      <w:r w:rsidR="00C42659" w:rsidRPr="00AA2F46">
        <w:rPr>
          <w:sz w:val="22"/>
          <w:szCs w:val="22"/>
          <w:lang w:val="en-US"/>
        </w:rPr>
        <w:t xml:space="preserve"> and for carrying, or for processing and carrying</w:t>
      </w:r>
      <w:r w:rsidR="00F15B6B">
        <w:rPr>
          <w:sz w:val="22"/>
          <w:szCs w:val="22"/>
          <w:lang w:val="en-US"/>
        </w:rPr>
        <w:t xml:space="preserve"> that fish</w:t>
      </w:r>
      <w:r w:rsidR="00C42659" w:rsidRPr="00AA2F46">
        <w:rPr>
          <w:sz w:val="22"/>
          <w:szCs w:val="22"/>
          <w:lang w:val="en-US"/>
        </w:rPr>
        <w:t xml:space="preserve"> in areas of Australian jurisdiction</w:t>
      </w:r>
      <w:r w:rsidR="00F15B6B">
        <w:rPr>
          <w:sz w:val="22"/>
          <w:szCs w:val="22"/>
          <w:lang w:val="en-US"/>
        </w:rPr>
        <w:t>);</w:t>
      </w:r>
      <w:r w:rsidR="00C60FD4">
        <w:rPr>
          <w:sz w:val="22"/>
          <w:szCs w:val="22"/>
          <w:lang w:val="en-US"/>
        </w:rPr>
        <w:t xml:space="preserve"> and to amend the </w:t>
      </w:r>
      <w:r w:rsidR="002C2B64" w:rsidRPr="002C2B64">
        <w:rPr>
          <w:i/>
          <w:sz w:val="22"/>
          <w:szCs w:val="22"/>
          <w:lang w:val="en-US"/>
        </w:rPr>
        <w:t>permanent closure</w:t>
      </w:r>
      <w:r w:rsidR="00C60FD4">
        <w:rPr>
          <w:sz w:val="22"/>
          <w:szCs w:val="22"/>
          <w:lang w:val="en-US"/>
        </w:rPr>
        <w:t xml:space="preserve"> </w:t>
      </w:r>
      <w:r w:rsidR="002C2B64">
        <w:rPr>
          <w:sz w:val="22"/>
          <w:szCs w:val="22"/>
          <w:lang w:val="en-US"/>
        </w:rPr>
        <w:t>area as defined in Schedule 1 of the Amendment Instrument.</w:t>
      </w:r>
    </w:p>
    <w:p w14:paraId="762BA1E5" w14:textId="77777777" w:rsidR="00C60FD4" w:rsidRDefault="00C60FD4" w:rsidP="00C60FD4">
      <w:pPr>
        <w:spacing w:before="240" w:after="240" w:line="276" w:lineRule="auto"/>
        <w:jc w:val="both"/>
        <w:rPr>
          <w:sz w:val="22"/>
          <w:szCs w:val="22"/>
          <w:lang w:val="en-US"/>
        </w:rPr>
      </w:pPr>
      <w:r w:rsidRPr="003B6DC3">
        <w:rPr>
          <w:b/>
          <w:snapToGrid w:val="0"/>
          <w:kern w:val="20"/>
          <w:sz w:val="22"/>
          <w:szCs w:val="22"/>
        </w:rPr>
        <w:t>The Fishery</w:t>
      </w:r>
      <w:r>
        <w:rPr>
          <w:sz w:val="22"/>
          <w:szCs w:val="22"/>
          <w:lang w:val="en-US"/>
        </w:rPr>
        <w:t xml:space="preserve"> </w:t>
      </w:r>
    </w:p>
    <w:p w14:paraId="02EED704" w14:textId="35B5BC84" w:rsidR="00C60FD4" w:rsidRPr="0040186E" w:rsidRDefault="00C60FD4" w:rsidP="0040186E">
      <w:pPr>
        <w:pStyle w:val="AFMANormal"/>
        <w:widowControl w:val="0"/>
        <w:spacing w:after="240" w:line="276" w:lineRule="auto"/>
        <w:rPr>
          <w:sz w:val="22"/>
          <w:szCs w:val="22"/>
        </w:rPr>
      </w:pPr>
      <w:r w:rsidRPr="0040186E">
        <w:rPr>
          <w:sz w:val="22"/>
          <w:szCs w:val="22"/>
        </w:rPr>
        <w:t xml:space="preserve">The Torres Strait </w:t>
      </w:r>
      <w:r w:rsidR="1084D83F" w:rsidRPr="4CEAB7F8">
        <w:rPr>
          <w:sz w:val="22"/>
          <w:szCs w:val="22"/>
        </w:rPr>
        <w:t>F</w:t>
      </w:r>
      <w:r w:rsidRPr="4CEAB7F8">
        <w:rPr>
          <w:sz w:val="22"/>
          <w:szCs w:val="22"/>
        </w:rPr>
        <w:t>infish</w:t>
      </w:r>
      <w:r w:rsidRPr="0040186E">
        <w:rPr>
          <w:sz w:val="22"/>
          <w:szCs w:val="22"/>
        </w:rPr>
        <w:t xml:space="preserve"> fishery, also known as the Torres Strait reef line fishery, is a multi-species fishery targeting a range of reef fish. The fishery focuses primarily on the high value coral trout species (</w:t>
      </w:r>
      <w:proofErr w:type="spellStart"/>
      <w:r w:rsidRPr="0040186E">
        <w:rPr>
          <w:i/>
          <w:iCs/>
          <w:sz w:val="22"/>
          <w:szCs w:val="22"/>
        </w:rPr>
        <w:t>Plectropomus</w:t>
      </w:r>
      <w:proofErr w:type="spellEnd"/>
      <w:r w:rsidR="0040186E">
        <w:rPr>
          <w:i/>
          <w:iCs/>
          <w:sz w:val="22"/>
          <w:szCs w:val="22"/>
        </w:rPr>
        <w:t xml:space="preserve"> </w:t>
      </w:r>
      <w:r w:rsidRPr="0040186E">
        <w:rPr>
          <w:i/>
          <w:iCs/>
          <w:sz w:val="22"/>
          <w:szCs w:val="22"/>
        </w:rPr>
        <w:t>spp</w:t>
      </w:r>
      <w:r w:rsidRPr="0040186E">
        <w:rPr>
          <w:sz w:val="22"/>
          <w:szCs w:val="22"/>
        </w:rPr>
        <w:t xml:space="preserve">. </w:t>
      </w:r>
      <w:r w:rsidR="0040186E">
        <w:rPr>
          <w:sz w:val="22"/>
          <w:szCs w:val="22"/>
        </w:rPr>
        <w:t>a</w:t>
      </w:r>
      <w:r w:rsidRPr="0040186E">
        <w:rPr>
          <w:sz w:val="22"/>
          <w:szCs w:val="22"/>
        </w:rPr>
        <w:t>nd</w:t>
      </w:r>
      <w:r w:rsidR="0040186E">
        <w:rPr>
          <w:sz w:val="22"/>
          <w:szCs w:val="22"/>
        </w:rPr>
        <w:t xml:space="preserve"> </w:t>
      </w:r>
      <w:r w:rsidRPr="0040186E">
        <w:rPr>
          <w:i/>
          <w:iCs/>
          <w:sz w:val="22"/>
          <w:szCs w:val="22"/>
        </w:rPr>
        <w:t>Variola</w:t>
      </w:r>
      <w:r w:rsidR="0040186E">
        <w:rPr>
          <w:i/>
          <w:iCs/>
          <w:sz w:val="22"/>
          <w:szCs w:val="22"/>
        </w:rPr>
        <w:t xml:space="preserve"> </w:t>
      </w:r>
      <w:r w:rsidRPr="0040186E">
        <w:rPr>
          <w:i/>
          <w:iCs/>
          <w:sz w:val="22"/>
          <w:szCs w:val="22"/>
        </w:rPr>
        <w:t>spp</w:t>
      </w:r>
      <w:r w:rsidRPr="0040186E">
        <w:rPr>
          <w:sz w:val="22"/>
          <w:szCs w:val="22"/>
        </w:rPr>
        <w:t>.), barramundi cod (</w:t>
      </w:r>
      <w:proofErr w:type="spellStart"/>
      <w:r w:rsidRPr="0040186E">
        <w:rPr>
          <w:i/>
          <w:iCs/>
          <w:sz w:val="22"/>
          <w:szCs w:val="22"/>
        </w:rPr>
        <w:t>Cromileptes</w:t>
      </w:r>
      <w:proofErr w:type="spellEnd"/>
      <w:r w:rsidRPr="0040186E">
        <w:rPr>
          <w:i/>
          <w:iCs/>
          <w:sz w:val="22"/>
          <w:szCs w:val="22"/>
        </w:rPr>
        <w:t xml:space="preserve"> </w:t>
      </w:r>
      <w:proofErr w:type="spellStart"/>
      <w:r w:rsidRPr="0040186E">
        <w:rPr>
          <w:i/>
          <w:iCs/>
          <w:sz w:val="22"/>
          <w:szCs w:val="22"/>
        </w:rPr>
        <w:t>altivelis</w:t>
      </w:r>
      <w:proofErr w:type="spellEnd"/>
      <w:r w:rsidRPr="0040186E">
        <w:rPr>
          <w:sz w:val="22"/>
          <w:szCs w:val="22"/>
        </w:rPr>
        <w:t>), mixed reef fish (</w:t>
      </w:r>
      <w:r w:rsidRPr="0040186E">
        <w:rPr>
          <w:i/>
          <w:iCs/>
          <w:sz w:val="22"/>
          <w:szCs w:val="22"/>
        </w:rPr>
        <w:t>Lutjanus spp</w:t>
      </w:r>
      <w:r w:rsidRPr="0040186E">
        <w:rPr>
          <w:sz w:val="22"/>
          <w:szCs w:val="22"/>
        </w:rPr>
        <w:t>. an</w:t>
      </w:r>
      <w:r w:rsidR="0040186E">
        <w:rPr>
          <w:sz w:val="22"/>
          <w:szCs w:val="22"/>
        </w:rPr>
        <w:t xml:space="preserve">d </w:t>
      </w:r>
      <w:proofErr w:type="spellStart"/>
      <w:r w:rsidRPr="0040186E">
        <w:rPr>
          <w:i/>
          <w:iCs/>
          <w:sz w:val="22"/>
          <w:szCs w:val="22"/>
        </w:rPr>
        <w:t>Lethrinus</w:t>
      </w:r>
      <w:proofErr w:type="spellEnd"/>
      <w:r w:rsidRPr="0040186E">
        <w:rPr>
          <w:i/>
          <w:iCs/>
          <w:sz w:val="22"/>
          <w:szCs w:val="22"/>
        </w:rPr>
        <w:t> spp</w:t>
      </w:r>
      <w:r w:rsidRPr="0040186E">
        <w:rPr>
          <w:sz w:val="22"/>
          <w:szCs w:val="22"/>
        </w:rPr>
        <w:t>.), and numerous species of rock cod (</w:t>
      </w:r>
      <w:proofErr w:type="spellStart"/>
      <w:r w:rsidRPr="0040186E">
        <w:rPr>
          <w:i/>
          <w:iCs/>
          <w:sz w:val="22"/>
          <w:szCs w:val="22"/>
        </w:rPr>
        <w:t>Epinephelus</w:t>
      </w:r>
      <w:proofErr w:type="spellEnd"/>
      <w:r w:rsidRPr="0040186E">
        <w:rPr>
          <w:i/>
          <w:iCs/>
          <w:sz w:val="22"/>
          <w:szCs w:val="22"/>
        </w:rPr>
        <w:t> spp</w:t>
      </w:r>
      <w:r w:rsidRPr="0040186E">
        <w:rPr>
          <w:sz w:val="22"/>
          <w:szCs w:val="22"/>
        </w:rPr>
        <w:t>.). </w:t>
      </w:r>
    </w:p>
    <w:p w14:paraId="2CD273A2" w14:textId="4FBAD7B0" w:rsidR="00C60FD4" w:rsidRPr="0040186E" w:rsidRDefault="00C60FD4" w:rsidP="0040186E">
      <w:pPr>
        <w:spacing w:before="240" w:after="240" w:line="276" w:lineRule="auto"/>
        <w:jc w:val="both"/>
        <w:rPr>
          <w:sz w:val="22"/>
          <w:szCs w:val="22"/>
          <w:lang w:val="en-US"/>
        </w:rPr>
      </w:pPr>
      <w:r w:rsidRPr="0040186E">
        <w:rPr>
          <w:sz w:val="22"/>
          <w:szCs w:val="22"/>
          <w:lang w:val="en-US"/>
        </w:rPr>
        <w:t>Finfish are generally taken by handlines rigged with a single hook and sinker. Fishing generally occurs from either a primary or tender boat.</w:t>
      </w:r>
    </w:p>
    <w:p w14:paraId="093B791B" w14:textId="436E5896" w:rsidR="00F60FAF" w:rsidRPr="00F60FAF" w:rsidRDefault="00BE24E7" w:rsidP="00C42659">
      <w:pPr>
        <w:spacing w:before="240" w:after="240" w:line="276" w:lineRule="auto"/>
        <w:jc w:val="both"/>
        <w:rPr>
          <w:color w:val="000000"/>
          <w:sz w:val="22"/>
          <w:szCs w:val="22"/>
          <w:shd w:val="clear" w:color="auto" w:fill="FFFFFF"/>
        </w:rPr>
      </w:pPr>
      <w:r>
        <w:rPr>
          <w:rStyle w:val="normaltextrun"/>
          <w:b/>
          <w:bCs/>
          <w:color w:val="000000"/>
          <w:sz w:val="22"/>
          <w:szCs w:val="22"/>
          <w:shd w:val="clear" w:color="auto" w:fill="FFFFFF"/>
        </w:rPr>
        <w:t>Legislative Authority</w:t>
      </w:r>
      <w:r>
        <w:rPr>
          <w:rStyle w:val="eop"/>
          <w:color w:val="000000"/>
          <w:sz w:val="22"/>
          <w:szCs w:val="22"/>
          <w:shd w:val="clear" w:color="auto" w:fill="FFFFFF"/>
        </w:rPr>
        <w:t> </w:t>
      </w:r>
    </w:p>
    <w:p w14:paraId="40D0EAAC" w14:textId="6F671EFA" w:rsidR="00B25193" w:rsidRPr="00B25193" w:rsidRDefault="00B25193" w:rsidP="00C42659">
      <w:pPr>
        <w:spacing w:before="240" w:after="240" w:line="276" w:lineRule="auto"/>
        <w:jc w:val="both"/>
        <w:rPr>
          <w:color w:val="000000"/>
          <w:lang w:eastAsia="en-AU"/>
        </w:rPr>
      </w:pPr>
      <w:r w:rsidRPr="4CEAB7F8">
        <w:rPr>
          <w:color w:val="000000" w:themeColor="text1"/>
          <w:sz w:val="22"/>
          <w:szCs w:val="22"/>
          <w:lang w:eastAsia="en-AU"/>
        </w:rPr>
        <w:t>Subsection 16(1) of the </w:t>
      </w:r>
      <w:r w:rsidRPr="4CEAB7F8">
        <w:rPr>
          <w:i/>
          <w:color w:val="000000" w:themeColor="text1"/>
          <w:sz w:val="22"/>
          <w:szCs w:val="22"/>
          <w:lang w:eastAsia="en-AU"/>
        </w:rPr>
        <w:t>Torres Strait Fisheries Act 1984 </w:t>
      </w:r>
      <w:r w:rsidRPr="4CEAB7F8">
        <w:rPr>
          <w:color w:val="000000" w:themeColor="text1"/>
          <w:sz w:val="22"/>
          <w:szCs w:val="22"/>
          <w:lang w:eastAsia="en-AU"/>
        </w:rPr>
        <w:t>(the Act) provides for the Minister to regulate fishing through a legislative instrument.  Subsection 35(1) of the Act provides for the Protected Zone Joint Authority (</w:t>
      </w:r>
      <w:r w:rsidR="077403CF" w:rsidRPr="5DA7B41E">
        <w:rPr>
          <w:color w:val="000000" w:themeColor="text1"/>
          <w:sz w:val="22"/>
          <w:szCs w:val="22"/>
          <w:lang w:eastAsia="en-AU"/>
        </w:rPr>
        <w:t xml:space="preserve">the </w:t>
      </w:r>
      <w:r w:rsidRPr="4CEAB7F8">
        <w:rPr>
          <w:color w:val="000000" w:themeColor="text1"/>
          <w:sz w:val="22"/>
          <w:szCs w:val="22"/>
          <w:lang w:eastAsia="en-AU"/>
        </w:rPr>
        <w:t>PZJA) to exercise the powers of the Minister under subsection 16(1) of the Act in respect of a ‘Protected Zone Joint Authority fishery’.</w:t>
      </w:r>
    </w:p>
    <w:p w14:paraId="29C7AAB8" w14:textId="1D6BDD92" w:rsidR="00B25193" w:rsidRPr="0040186E" w:rsidRDefault="00B25193" w:rsidP="0040186E">
      <w:pPr>
        <w:spacing w:before="240" w:after="240" w:line="276" w:lineRule="auto"/>
        <w:jc w:val="both"/>
        <w:rPr>
          <w:color w:val="000000"/>
          <w:sz w:val="22"/>
          <w:szCs w:val="22"/>
          <w:lang w:eastAsia="en-AU"/>
        </w:rPr>
      </w:pPr>
      <w:r w:rsidRPr="00B25193">
        <w:rPr>
          <w:color w:val="000000"/>
          <w:sz w:val="22"/>
          <w:szCs w:val="22"/>
          <w:lang w:eastAsia="en-AU"/>
        </w:rPr>
        <w:t>Subsection 28(1) of the Act provides that a ‘Protected Zone Joint Authority fishery’ is a fishery in respect of which an arrangement under Part V of the Act is in place.  The </w:t>
      </w:r>
      <w:r w:rsidRPr="0040186E">
        <w:rPr>
          <w:color w:val="000000"/>
          <w:sz w:val="22"/>
          <w:szCs w:val="22"/>
          <w:lang w:eastAsia="en-AU"/>
        </w:rPr>
        <w:t xml:space="preserve">Arrangement between the Commonwealth and the State of Queensland under section 31 of the </w:t>
      </w:r>
      <w:r w:rsidR="0040186E">
        <w:rPr>
          <w:color w:val="000000"/>
          <w:sz w:val="22"/>
          <w:szCs w:val="22"/>
          <w:lang w:eastAsia="en-AU"/>
        </w:rPr>
        <w:t>Act</w:t>
      </w:r>
      <w:r w:rsidRPr="0040186E">
        <w:rPr>
          <w:i/>
          <w:iCs/>
          <w:color w:val="000000"/>
          <w:sz w:val="22"/>
          <w:szCs w:val="22"/>
          <w:lang w:eastAsia="en-AU"/>
        </w:rPr>
        <w:t xml:space="preserve"> </w:t>
      </w:r>
      <w:r w:rsidRPr="00B25193">
        <w:rPr>
          <w:color w:val="000000"/>
          <w:sz w:val="22"/>
          <w:szCs w:val="22"/>
          <w:lang w:eastAsia="en-AU"/>
        </w:rPr>
        <w:t>(the PZJA Arrangement</w:t>
      </w:r>
      <w:r w:rsidR="00EC49D1" w:rsidRPr="0040186E">
        <w:rPr>
          <w:vertAlign w:val="superscript"/>
        </w:rPr>
        <w:footnoteReference w:id="2"/>
      </w:r>
      <w:r w:rsidRPr="0040186E">
        <w:rPr>
          <w:color w:val="000000"/>
          <w:sz w:val="22"/>
          <w:szCs w:val="22"/>
          <w:vertAlign w:val="superscript"/>
          <w:lang w:eastAsia="en-AU"/>
        </w:rPr>
        <w:t>)</w:t>
      </w:r>
      <w:r w:rsidRPr="00B25193">
        <w:rPr>
          <w:color w:val="000000"/>
          <w:sz w:val="22"/>
          <w:szCs w:val="22"/>
          <w:lang w:eastAsia="en-AU"/>
        </w:rPr>
        <w:t xml:space="preserve">, made under Part V of the Act, provides that the PZJA is to have management of commercial fishing of any kind, other than certain exceptions, in the areas described in subsection 4(2) of the PZJA Arrangement.  The finfish fishery, which is defined in section 4 of the </w:t>
      </w:r>
      <w:r w:rsidR="0040186E">
        <w:rPr>
          <w:color w:val="000000"/>
          <w:sz w:val="22"/>
          <w:szCs w:val="22"/>
          <w:lang w:eastAsia="en-AU"/>
        </w:rPr>
        <w:t xml:space="preserve">Management </w:t>
      </w:r>
      <w:r w:rsidRPr="00B25193">
        <w:rPr>
          <w:color w:val="000000"/>
          <w:sz w:val="22"/>
          <w:szCs w:val="22"/>
          <w:lang w:eastAsia="en-AU"/>
        </w:rPr>
        <w:t>Instrument by reference to the ‘area of the finfish fishery’ described in item 4 of the table in Schedule 2 to the </w:t>
      </w:r>
      <w:r w:rsidRPr="00096653">
        <w:rPr>
          <w:i/>
          <w:iCs/>
          <w:color w:val="000000"/>
          <w:sz w:val="22"/>
          <w:szCs w:val="22"/>
          <w:lang w:eastAsia="en-AU"/>
        </w:rPr>
        <w:t xml:space="preserve">Torres </w:t>
      </w:r>
      <w:r w:rsidRPr="00096653">
        <w:rPr>
          <w:i/>
          <w:iCs/>
          <w:color w:val="000000"/>
          <w:sz w:val="22"/>
          <w:szCs w:val="22"/>
          <w:lang w:eastAsia="en-AU"/>
        </w:rPr>
        <w:lastRenderedPageBreak/>
        <w:t>Strait Fisheries Regulations 1985</w:t>
      </w:r>
      <w:r w:rsidRPr="0040186E">
        <w:rPr>
          <w:color w:val="000000"/>
          <w:sz w:val="22"/>
          <w:szCs w:val="22"/>
          <w:lang w:eastAsia="en-AU"/>
        </w:rPr>
        <w:t> </w:t>
      </w:r>
      <w:r w:rsidRPr="00B25193">
        <w:rPr>
          <w:color w:val="000000"/>
          <w:sz w:val="22"/>
          <w:szCs w:val="22"/>
          <w:lang w:eastAsia="en-AU"/>
        </w:rPr>
        <w:t>(the Regulations), is within the area described in subsection 4(2) of the PZJA Arrangement.  It follows that commercial fishing for finfish in the area of the fishery is a ‘Protected Zone Joint Authority fishery’ for the purpose of subsection 28(1) of the Act and that the PZJA can exercise the power of the Minister under subsection 16(1) of the Act in relation to the finfish fishery. </w:t>
      </w:r>
    </w:p>
    <w:p w14:paraId="00259ACD" w14:textId="2748C449" w:rsidR="00B25193" w:rsidRPr="0040186E" w:rsidRDefault="00B25193" w:rsidP="0040186E">
      <w:pPr>
        <w:pStyle w:val="AFMANormal"/>
        <w:widowControl w:val="0"/>
        <w:spacing w:after="240" w:line="276" w:lineRule="auto"/>
        <w:rPr>
          <w:sz w:val="22"/>
          <w:szCs w:val="22"/>
        </w:rPr>
      </w:pPr>
      <w:r w:rsidRPr="0040186E">
        <w:rPr>
          <w:sz w:val="22"/>
          <w:szCs w:val="22"/>
        </w:rPr>
        <w:t xml:space="preserve">The PZJA is established under section 30 of the Act and consists of the </w:t>
      </w:r>
      <w:r w:rsidR="009B6958" w:rsidRPr="4CEAB7F8">
        <w:rPr>
          <w:sz w:val="22"/>
          <w:szCs w:val="22"/>
        </w:rPr>
        <w:t>Commonwealth</w:t>
      </w:r>
      <w:r w:rsidR="009B6958" w:rsidRPr="0040186E">
        <w:rPr>
          <w:sz w:val="22"/>
          <w:szCs w:val="22"/>
        </w:rPr>
        <w:t xml:space="preserve"> </w:t>
      </w:r>
      <w:r w:rsidRPr="0040186E">
        <w:rPr>
          <w:sz w:val="22"/>
          <w:szCs w:val="22"/>
        </w:rPr>
        <w:t>Minister administering the Act, the Queensland Minister administering the laws of Queensland relating to marine fishing in the Protected Zone and the Chairperson of the Torres Strait Regional Authority (TSRA), which is the Commonwealth agency established under the </w:t>
      </w:r>
      <w:r w:rsidRPr="0040186E">
        <w:rPr>
          <w:i/>
          <w:iCs/>
          <w:sz w:val="22"/>
          <w:szCs w:val="22"/>
        </w:rPr>
        <w:t>Aboriginal and Torres Strait Islander Act 2005</w:t>
      </w:r>
      <w:r w:rsidRPr="0040186E">
        <w:rPr>
          <w:sz w:val="22"/>
          <w:szCs w:val="22"/>
        </w:rPr>
        <w:t> that represents the interests of Torres Strait Islanders. </w:t>
      </w:r>
    </w:p>
    <w:p w14:paraId="2991CCEE" w14:textId="442D3C30" w:rsidR="00FC54D1" w:rsidRPr="000D6CDD" w:rsidRDefault="00FC54D1" w:rsidP="00482EB9">
      <w:pPr>
        <w:pStyle w:val="AFMANormal"/>
        <w:spacing w:after="240" w:line="276" w:lineRule="auto"/>
        <w:rPr>
          <w:b/>
          <w:sz w:val="22"/>
          <w:szCs w:val="22"/>
        </w:rPr>
      </w:pPr>
      <w:r w:rsidRPr="000D6CDD">
        <w:rPr>
          <w:b/>
          <w:sz w:val="22"/>
          <w:szCs w:val="22"/>
        </w:rPr>
        <w:t xml:space="preserve">Details of the </w:t>
      </w:r>
      <w:r w:rsidR="001B231C">
        <w:rPr>
          <w:b/>
          <w:sz w:val="22"/>
          <w:szCs w:val="22"/>
        </w:rPr>
        <w:t>Amendment Instrument</w:t>
      </w:r>
    </w:p>
    <w:p w14:paraId="596F8600" w14:textId="32FADF48" w:rsidR="007967AB" w:rsidRDefault="007D00A8" w:rsidP="00482EB9">
      <w:pPr>
        <w:pStyle w:val="AFMANormal"/>
        <w:widowControl w:val="0"/>
        <w:spacing w:after="240" w:line="276" w:lineRule="auto"/>
        <w:rPr>
          <w:sz w:val="22"/>
          <w:szCs w:val="22"/>
        </w:rPr>
      </w:pPr>
      <w:r>
        <w:rPr>
          <w:sz w:val="22"/>
          <w:szCs w:val="22"/>
        </w:rPr>
        <w:t xml:space="preserve">The </w:t>
      </w:r>
      <w:r w:rsidR="00526427">
        <w:rPr>
          <w:sz w:val="22"/>
          <w:szCs w:val="22"/>
        </w:rPr>
        <w:t>Amendment Instrument will</w:t>
      </w:r>
      <w:r w:rsidR="00AC4801">
        <w:rPr>
          <w:sz w:val="22"/>
          <w:szCs w:val="22"/>
        </w:rPr>
        <w:t>:</w:t>
      </w:r>
    </w:p>
    <w:p w14:paraId="7370FE63" w14:textId="644CD148" w:rsidR="00AA2F46" w:rsidRDefault="00B925E8" w:rsidP="00AA2F46">
      <w:pPr>
        <w:pStyle w:val="ListParagraph"/>
        <w:numPr>
          <w:ilvl w:val="0"/>
          <w:numId w:val="2"/>
        </w:numPr>
        <w:spacing w:before="240" w:after="240" w:line="276" w:lineRule="auto"/>
        <w:jc w:val="both"/>
        <w:rPr>
          <w:sz w:val="22"/>
          <w:szCs w:val="22"/>
          <w:lang w:val="en-US"/>
        </w:rPr>
      </w:pPr>
      <w:r>
        <w:rPr>
          <w:sz w:val="22"/>
          <w:szCs w:val="22"/>
        </w:rPr>
        <w:t xml:space="preserve">Item 1: </w:t>
      </w:r>
      <w:r w:rsidR="00C62E8C" w:rsidRPr="00AA2F46">
        <w:rPr>
          <w:sz w:val="22"/>
          <w:szCs w:val="22"/>
        </w:rPr>
        <w:t>Amend the</w:t>
      </w:r>
      <w:r w:rsidR="00441CE8" w:rsidRPr="00AA2F46">
        <w:rPr>
          <w:sz w:val="22"/>
          <w:szCs w:val="22"/>
        </w:rPr>
        <w:t xml:space="preserve"> definition of a</w:t>
      </w:r>
      <w:r w:rsidR="00CE1AFE" w:rsidRPr="00AA2F46">
        <w:rPr>
          <w:sz w:val="22"/>
          <w:szCs w:val="22"/>
        </w:rPr>
        <w:t xml:space="preserve"> </w:t>
      </w:r>
      <w:r w:rsidR="00CE1AFE" w:rsidRPr="00AA2F46">
        <w:rPr>
          <w:i/>
          <w:iCs/>
          <w:sz w:val="22"/>
          <w:szCs w:val="22"/>
        </w:rPr>
        <w:t>finfish licensed person</w:t>
      </w:r>
      <w:r w:rsidR="00CE1AFE" w:rsidRPr="00AA2F46">
        <w:rPr>
          <w:sz w:val="22"/>
          <w:szCs w:val="22"/>
        </w:rPr>
        <w:t xml:space="preserve"> in section 4 of the Management Instrument </w:t>
      </w:r>
      <w:r w:rsidR="00BC619E" w:rsidRPr="00AA2F46">
        <w:rPr>
          <w:sz w:val="22"/>
          <w:szCs w:val="22"/>
        </w:rPr>
        <w:t>to include</w:t>
      </w:r>
      <w:r w:rsidR="00C62E8C" w:rsidRPr="00AA2F46">
        <w:rPr>
          <w:sz w:val="22"/>
          <w:szCs w:val="22"/>
        </w:rPr>
        <w:t xml:space="preserve"> </w:t>
      </w:r>
      <w:r w:rsidR="00AA2F46" w:rsidRPr="00AA2F46">
        <w:rPr>
          <w:sz w:val="22"/>
          <w:szCs w:val="22"/>
          <w:lang w:val="en-US"/>
        </w:rPr>
        <w:t xml:space="preserve">a </w:t>
      </w:r>
      <w:r w:rsidR="00346AA1">
        <w:rPr>
          <w:sz w:val="22"/>
          <w:szCs w:val="22"/>
          <w:lang w:val="en-US"/>
        </w:rPr>
        <w:t xml:space="preserve">person who has been granted a licence under subsection 19(4A) of the Act that </w:t>
      </w:r>
      <w:proofErr w:type="spellStart"/>
      <w:r w:rsidR="00346AA1">
        <w:rPr>
          <w:sz w:val="22"/>
          <w:szCs w:val="22"/>
          <w:lang w:val="en-US"/>
        </w:rPr>
        <w:t>authori</w:t>
      </w:r>
      <w:r w:rsidR="000C143D">
        <w:rPr>
          <w:sz w:val="22"/>
          <w:szCs w:val="22"/>
          <w:lang w:val="en-US"/>
        </w:rPr>
        <w:t>s</w:t>
      </w:r>
      <w:r w:rsidR="00346AA1">
        <w:rPr>
          <w:sz w:val="22"/>
          <w:szCs w:val="22"/>
          <w:lang w:val="en-US"/>
        </w:rPr>
        <w:t>es</w:t>
      </w:r>
      <w:proofErr w:type="spellEnd"/>
      <w:r w:rsidR="00346AA1">
        <w:rPr>
          <w:sz w:val="22"/>
          <w:szCs w:val="22"/>
          <w:lang w:val="en-US"/>
        </w:rPr>
        <w:t xml:space="preserve"> </w:t>
      </w:r>
      <w:r w:rsidR="00AA2F46" w:rsidRPr="00AA2F46">
        <w:rPr>
          <w:sz w:val="22"/>
          <w:szCs w:val="22"/>
          <w:lang w:val="en-US"/>
        </w:rPr>
        <w:t>the taking of fish in the course of commercial fishing without the use of a boat in areas of Australian jurisdiction and for carrying, or for processing and carrying, in areas of Australian jurisdiction</w:t>
      </w:r>
      <w:r w:rsidR="00346AA1">
        <w:rPr>
          <w:sz w:val="22"/>
          <w:szCs w:val="22"/>
          <w:lang w:val="en-US"/>
        </w:rPr>
        <w:t>.</w:t>
      </w:r>
    </w:p>
    <w:p w14:paraId="2AA6BFA9" w14:textId="2919310F" w:rsidR="00F60FAF" w:rsidRPr="00C25FD9" w:rsidRDefault="00B925E8" w:rsidP="00B716A9">
      <w:pPr>
        <w:pStyle w:val="Item"/>
        <w:numPr>
          <w:ilvl w:val="0"/>
          <w:numId w:val="2"/>
        </w:numPr>
        <w:spacing w:before="240" w:after="240" w:line="276" w:lineRule="auto"/>
        <w:ind w:left="714" w:hanging="357"/>
      </w:pPr>
      <w:r>
        <w:rPr>
          <w:szCs w:val="22"/>
          <w:lang w:val="en-US"/>
        </w:rPr>
        <w:t xml:space="preserve">Item 2: </w:t>
      </w:r>
      <w:r w:rsidR="00F60FAF">
        <w:rPr>
          <w:szCs w:val="22"/>
          <w:lang w:val="en-US"/>
        </w:rPr>
        <w:t xml:space="preserve">Amend the </w:t>
      </w:r>
      <w:r w:rsidR="00F60FAF" w:rsidRPr="00F60FAF">
        <w:rPr>
          <w:i/>
          <w:szCs w:val="22"/>
          <w:lang w:val="en-US"/>
        </w:rPr>
        <w:t>permanent closure</w:t>
      </w:r>
      <w:r w:rsidR="00C25FD9">
        <w:rPr>
          <w:i/>
          <w:szCs w:val="22"/>
          <w:lang w:val="en-US"/>
        </w:rPr>
        <w:t>s</w:t>
      </w:r>
      <w:r w:rsidR="00F60FAF">
        <w:rPr>
          <w:szCs w:val="22"/>
          <w:lang w:val="en-US"/>
        </w:rPr>
        <w:t xml:space="preserve"> area as defined in section 15 of the Management </w:t>
      </w:r>
      <w:r w:rsidR="00F427E8">
        <w:rPr>
          <w:szCs w:val="22"/>
          <w:lang w:val="en-US"/>
        </w:rPr>
        <w:t>Instrument, pursuant</w:t>
      </w:r>
      <w:r w:rsidR="00C25FD9">
        <w:t xml:space="preserve"> to paragraph 16(1)(a) of the Act, to prohibit the taking of finfish by line fishing methods in that </w:t>
      </w:r>
      <w:r w:rsidR="00C25FD9" w:rsidRPr="00F5228B">
        <w:t>area</w:t>
      </w:r>
      <w:r w:rsidR="00C25FD9">
        <w:t xml:space="preserve"> of the finfish fishery commencing </w:t>
      </w:r>
      <w:r w:rsidR="00C25FD9" w:rsidRPr="00343064">
        <w:t xml:space="preserve">south of Latitude 09°34’ 31” S </w:t>
      </w:r>
      <w:r w:rsidR="00C25FD9" w:rsidRPr="000524C5">
        <w:t>and</w:t>
      </w:r>
      <w:r w:rsidR="00C25FD9">
        <w:t xml:space="preserve"> </w:t>
      </w:r>
      <w:r w:rsidR="00C25FD9" w:rsidRPr="00F5228B">
        <w:t>west of Longitude 142°31'49"</w:t>
      </w:r>
      <w:r w:rsidR="00C25FD9">
        <w:t xml:space="preserve"> E. </w:t>
      </w:r>
    </w:p>
    <w:p w14:paraId="0F6C8C8A" w14:textId="4F88CC4C" w:rsidR="00C42659" w:rsidRPr="00AA2F46" w:rsidRDefault="00C42659" w:rsidP="00AA2F46">
      <w:pPr>
        <w:pStyle w:val="ListParagraph"/>
        <w:numPr>
          <w:ilvl w:val="0"/>
          <w:numId w:val="2"/>
        </w:numPr>
        <w:spacing w:before="240" w:after="240" w:line="276" w:lineRule="auto"/>
        <w:jc w:val="both"/>
        <w:rPr>
          <w:sz w:val="22"/>
          <w:szCs w:val="22"/>
          <w:lang w:val="en-US"/>
        </w:rPr>
      </w:pPr>
      <w:r>
        <w:rPr>
          <w:sz w:val="22"/>
          <w:szCs w:val="22"/>
          <w:lang w:val="en-US"/>
        </w:rPr>
        <w:t xml:space="preserve">Retain all other </w:t>
      </w:r>
      <w:r w:rsidRPr="5DA7B41E">
        <w:rPr>
          <w:sz w:val="22"/>
          <w:szCs w:val="22"/>
          <w:lang w:val="en-US"/>
        </w:rPr>
        <w:t>regulation</w:t>
      </w:r>
      <w:r w:rsidR="194550F3" w:rsidRPr="5DA7B41E">
        <w:rPr>
          <w:sz w:val="22"/>
          <w:szCs w:val="22"/>
          <w:lang w:val="en-US"/>
        </w:rPr>
        <w:t>s</w:t>
      </w:r>
      <w:r>
        <w:rPr>
          <w:sz w:val="22"/>
          <w:szCs w:val="22"/>
          <w:lang w:val="en-US"/>
        </w:rPr>
        <w:t xml:space="preserve"> relating to the finfish fishery.</w:t>
      </w:r>
    </w:p>
    <w:p w14:paraId="006C8DF0" w14:textId="7DEC97BF" w:rsidR="00A41EF1" w:rsidRPr="00A41EF1" w:rsidRDefault="00A41EF1" w:rsidP="00A41EF1">
      <w:pPr>
        <w:pStyle w:val="AFMANormal"/>
        <w:spacing w:after="240" w:line="276" w:lineRule="auto"/>
        <w:rPr>
          <w:b/>
          <w:sz w:val="22"/>
          <w:szCs w:val="22"/>
        </w:rPr>
      </w:pPr>
      <w:r w:rsidRPr="00A41EF1">
        <w:rPr>
          <w:b/>
          <w:sz w:val="22"/>
          <w:szCs w:val="22"/>
        </w:rPr>
        <w:t>Reason for the Amendment</w:t>
      </w:r>
      <w:r w:rsidR="00187F0E">
        <w:rPr>
          <w:b/>
          <w:sz w:val="22"/>
          <w:szCs w:val="22"/>
        </w:rPr>
        <w:t>s</w:t>
      </w:r>
      <w:r w:rsidRPr="00A41EF1">
        <w:rPr>
          <w:b/>
          <w:sz w:val="22"/>
          <w:szCs w:val="22"/>
        </w:rPr>
        <w:t xml:space="preserve"> </w:t>
      </w:r>
      <w:r w:rsidR="00745289">
        <w:rPr>
          <w:b/>
          <w:sz w:val="22"/>
          <w:szCs w:val="22"/>
        </w:rPr>
        <w:t xml:space="preserve"> </w:t>
      </w:r>
    </w:p>
    <w:p w14:paraId="283BFC8C" w14:textId="126CC7AA" w:rsidR="00E31275" w:rsidRDefault="00F66361" w:rsidP="00290193">
      <w:pPr>
        <w:pStyle w:val="AFMANormal"/>
        <w:widowControl w:val="0"/>
        <w:spacing w:after="240" w:line="276" w:lineRule="auto"/>
        <w:rPr>
          <w:sz w:val="22"/>
          <w:szCs w:val="22"/>
        </w:rPr>
      </w:pPr>
      <w:r w:rsidRPr="00E64A6F">
        <w:rPr>
          <w:sz w:val="22"/>
          <w:szCs w:val="22"/>
        </w:rPr>
        <w:t xml:space="preserve">There </w:t>
      </w:r>
      <w:r w:rsidR="0014159C">
        <w:rPr>
          <w:sz w:val="22"/>
          <w:szCs w:val="22"/>
        </w:rPr>
        <w:t>is</w:t>
      </w:r>
      <w:r w:rsidRPr="00E64A6F">
        <w:rPr>
          <w:sz w:val="22"/>
          <w:szCs w:val="22"/>
        </w:rPr>
        <w:t xml:space="preserve"> interest from traditional inhabitant stakeholders to be able to hold a commercial fishing licence in the event they fish </w:t>
      </w:r>
      <w:r w:rsidR="002B388A">
        <w:rPr>
          <w:sz w:val="22"/>
          <w:szCs w:val="22"/>
        </w:rPr>
        <w:t xml:space="preserve">without the use of a </w:t>
      </w:r>
      <w:r w:rsidRPr="00E64A6F">
        <w:rPr>
          <w:sz w:val="22"/>
          <w:szCs w:val="22"/>
        </w:rPr>
        <w:t xml:space="preserve">boat. </w:t>
      </w:r>
      <w:r w:rsidR="00864EED">
        <w:rPr>
          <w:sz w:val="22"/>
          <w:szCs w:val="22"/>
        </w:rPr>
        <w:t xml:space="preserve">It is anticipated </w:t>
      </w:r>
      <w:r w:rsidR="00B37C9D">
        <w:rPr>
          <w:sz w:val="22"/>
          <w:szCs w:val="22"/>
        </w:rPr>
        <w:t>that a new Community Fishing Declaration</w:t>
      </w:r>
      <w:r w:rsidR="00956A6D">
        <w:rPr>
          <w:sz w:val="22"/>
          <w:szCs w:val="22"/>
        </w:rPr>
        <w:t xml:space="preserve">, made under section 17 of the Act, </w:t>
      </w:r>
      <w:r w:rsidR="00B37C9D">
        <w:rPr>
          <w:sz w:val="22"/>
          <w:szCs w:val="22"/>
        </w:rPr>
        <w:t xml:space="preserve">will be remade at the same time, or shortly after this Amendment Instrument is made. The new Community Fishing Declaration will repeal and remake the existing </w:t>
      </w:r>
      <w:r w:rsidR="00F65D1D" w:rsidRPr="00F65D1D">
        <w:rPr>
          <w:i/>
          <w:sz w:val="22"/>
          <w:szCs w:val="22"/>
        </w:rPr>
        <w:t>Torres Strait</w:t>
      </w:r>
      <w:r w:rsidR="00F65D1D">
        <w:rPr>
          <w:sz w:val="22"/>
          <w:szCs w:val="22"/>
        </w:rPr>
        <w:t xml:space="preserve"> </w:t>
      </w:r>
      <w:r w:rsidR="00B37C9D" w:rsidRPr="00956A6D">
        <w:rPr>
          <w:i/>
          <w:iCs/>
          <w:sz w:val="22"/>
          <w:szCs w:val="22"/>
        </w:rPr>
        <w:t>Community Fishing Notice No. 1</w:t>
      </w:r>
      <w:r w:rsidRPr="5DA7B41E">
        <w:rPr>
          <w:rStyle w:val="FootnoteReference"/>
          <w:sz w:val="22"/>
          <w:szCs w:val="22"/>
        </w:rPr>
        <w:footnoteReference w:id="3"/>
      </w:r>
      <w:r w:rsidR="00B37C9D">
        <w:rPr>
          <w:sz w:val="22"/>
          <w:szCs w:val="22"/>
        </w:rPr>
        <w:t xml:space="preserve"> </w:t>
      </w:r>
      <w:r w:rsidR="00A93B5B">
        <w:rPr>
          <w:sz w:val="22"/>
          <w:szCs w:val="22"/>
        </w:rPr>
        <w:t>and pursuant to section 17 of the Act,</w:t>
      </w:r>
      <w:r w:rsidR="00295882">
        <w:rPr>
          <w:sz w:val="22"/>
          <w:szCs w:val="22"/>
        </w:rPr>
        <w:t xml:space="preserve"> will</w:t>
      </w:r>
      <w:r w:rsidR="00A93B5B">
        <w:rPr>
          <w:sz w:val="22"/>
          <w:szCs w:val="22"/>
        </w:rPr>
        <w:t xml:space="preserve"> </w:t>
      </w:r>
      <w:r w:rsidR="004D5FB5">
        <w:rPr>
          <w:sz w:val="22"/>
          <w:szCs w:val="22"/>
        </w:rPr>
        <w:t xml:space="preserve">declare that a licence </w:t>
      </w:r>
      <w:r w:rsidR="00AA5763">
        <w:rPr>
          <w:sz w:val="22"/>
          <w:szCs w:val="22"/>
        </w:rPr>
        <w:t xml:space="preserve">under subsection 19(4A) of the </w:t>
      </w:r>
      <w:r w:rsidR="004C37C4">
        <w:rPr>
          <w:sz w:val="22"/>
          <w:szCs w:val="22"/>
        </w:rPr>
        <w:t>A</w:t>
      </w:r>
      <w:r w:rsidR="00AA5763">
        <w:rPr>
          <w:sz w:val="22"/>
          <w:szCs w:val="22"/>
        </w:rPr>
        <w:t>ct is required for the purpose of the taking, in the course of community fishing</w:t>
      </w:r>
      <w:r w:rsidR="004C37C4">
        <w:rPr>
          <w:sz w:val="22"/>
          <w:szCs w:val="22"/>
        </w:rPr>
        <w:t xml:space="preserve"> </w:t>
      </w:r>
      <w:r w:rsidR="00AA5763">
        <w:rPr>
          <w:sz w:val="22"/>
          <w:szCs w:val="22"/>
        </w:rPr>
        <w:t>without the use of a boat</w:t>
      </w:r>
      <w:r w:rsidR="004C37C4">
        <w:rPr>
          <w:sz w:val="22"/>
          <w:szCs w:val="22"/>
        </w:rPr>
        <w:t>, of fish</w:t>
      </w:r>
      <w:r w:rsidR="00030477">
        <w:rPr>
          <w:sz w:val="22"/>
          <w:szCs w:val="22"/>
        </w:rPr>
        <w:t>, or fish included in a class of fish specified in the instrument, from any area of Australian jurisdiction or from an area of Australian jurisdiction specified in the instrument.</w:t>
      </w:r>
    </w:p>
    <w:p w14:paraId="21F9A29D" w14:textId="4F5230F8" w:rsidR="004E7D91" w:rsidRDefault="008C4F08" w:rsidP="004634B9">
      <w:pPr>
        <w:pStyle w:val="AFMANormal"/>
        <w:widowControl w:val="0"/>
        <w:spacing w:after="240" w:line="276" w:lineRule="auto"/>
        <w:rPr>
          <w:sz w:val="22"/>
          <w:szCs w:val="22"/>
        </w:rPr>
      </w:pPr>
      <w:r>
        <w:rPr>
          <w:sz w:val="22"/>
          <w:szCs w:val="22"/>
        </w:rPr>
        <w:t xml:space="preserve">Although there are currently no licences granted under subsection 19(4A) of the Act, that authorise the taking, processing or carrying of fish without the use of a boat, the Amendment Instrument will include an amendment to the definition of </w:t>
      </w:r>
      <w:r>
        <w:rPr>
          <w:i/>
          <w:iCs/>
          <w:sz w:val="22"/>
          <w:szCs w:val="22"/>
        </w:rPr>
        <w:t>licen</w:t>
      </w:r>
      <w:r w:rsidR="00541B42">
        <w:rPr>
          <w:i/>
          <w:iCs/>
          <w:sz w:val="22"/>
          <w:szCs w:val="22"/>
        </w:rPr>
        <w:t>s</w:t>
      </w:r>
      <w:r>
        <w:rPr>
          <w:i/>
          <w:iCs/>
          <w:sz w:val="22"/>
          <w:szCs w:val="22"/>
        </w:rPr>
        <w:t>ed person</w:t>
      </w:r>
      <w:r>
        <w:rPr>
          <w:sz w:val="22"/>
          <w:szCs w:val="22"/>
        </w:rPr>
        <w:t xml:space="preserve"> to include persons who have been granted </w:t>
      </w:r>
      <w:r w:rsidR="007D4D9F">
        <w:rPr>
          <w:sz w:val="22"/>
          <w:szCs w:val="22"/>
        </w:rPr>
        <w:t xml:space="preserve">a </w:t>
      </w:r>
      <w:r>
        <w:rPr>
          <w:sz w:val="22"/>
          <w:szCs w:val="22"/>
        </w:rPr>
        <w:t xml:space="preserve">19(4A) licence, which will cover off any future scenarios in which such licences are granted. </w:t>
      </w:r>
      <w:r w:rsidR="00F77E59">
        <w:rPr>
          <w:sz w:val="22"/>
          <w:szCs w:val="22"/>
        </w:rPr>
        <w:t>This</w:t>
      </w:r>
      <w:r w:rsidR="004634B9">
        <w:rPr>
          <w:sz w:val="22"/>
          <w:szCs w:val="22"/>
        </w:rPr>
        <w:t xml:space="preserve"> </w:t>
      </w:r>
      <w:r>
        <w:rPr>
          <w:sz w:val="22"/>
          <w:szCs w:val="22"/>
        </w:rPr>
        <w:t xml:space="preserve">will </w:t>
      </w:r>
      <w:r w:rsidR="004634B9">
        <w:rPr>
          <w:sz w:val="22"/>
          <w:szCs w:val="22"/>
        </w:rPr>
        <w:t xml:space="preserve">provide </w:t>
      </w:r>
      <w:r w:rsidR="006251E8">
        <w:rPr>
          <w:sz w:val="22"/>
          <w:szCs w:val="22"/>
        </w:rPr>
        <w:t>a</w:t>
      </w:r>
      <w:r w:rsidR="004634B9">
        <w:rPr>
          <w:sz w:val="22"/>
          <w:szCs w:val="22"/>
        </w:rPr>
        <w:t xml:space="preserve"> relevant exemption to the prohibitions within the </w:t>
      </w:r>
      <w:r w:rsidR="00F77E59">
        <w:rPr>
          <w:sz w:val="22"/>
          <w:szCs w:val="22"/>
        </w:rPr>
        <w:t xml:space="preserve">Management </w:t>
      </w:r>
      <w:r w:rsidR="004634B9">
        <w:rPr>
          <w:sz w:val="22"/>
          <w:szCs w:val="22"/>
        </w:rPr>
        <w:t>Instrument</w:t>
      </w:r>
      <w:r w:rsidR="00F77E59">
        <w:rPr>
          <w:sz w:val="22"/>
          <w:szCs w:val="22"/>
        </w:rPr>
        <w:t xml:space="preserve"> and</w:t>
      </w:r>
      <w:r w:rsidR="004634B9">
        <w:rPr>
          <w:sz w:val="22"/>
          <w:szCs w:val="22"/>
        </w:rPr>
        <w:t xml:space="preserve"> </w:t>
      </w:r>
      <w:r w:rsidR="004634B9" w:rsidRPr="00E64A6F">
        <w:rPr>
          <w:sz w:val="22"/>
          <w:szCs w:val="22"/>
        </w:rPr>
        <w:t xml:space="preserve">improve accessibility </w:t>
      </w:r>
      <w:r w:rsidR="004634B9" w:rsidRPr="00E64A6F">
        <w:rPr>
          <w:sz w:val="22"/>
          <w:szCs w:val="22"/>
        </w:rPr>
        <w:lastRenderedPageBreak/>
        <w:t xml:space="preserve">of traditional inhabitants wishing to undertake commercial fishing activities in the Protected Zone and adjacent waters who </w:t>
      </w:r>
      <w:r w:rsidR="00F77E59">
        <w:rPr>
          <w:sz w:val="22"/>
          <w:szCs w:val="22"/>
        </w:rPr>
        <w:t>wish to do so without the use of a boat</w:t>
      </w:r>
      <w:r w:rsidR="004634B9" w:rsidRPr="00E64A6F">
        <w:rPr>
          <w:sz w:val="22"/>
          <w:szCs w:val="22"/>
        </w:rPr>
        <w:t xml:space="preserve">. This includes </w:t>
      </w:r>
      <w:r w:rsidR="00687BB4">
        <w:rPr>
          <w:sz w:val="22"/>
          <w:szCs w:val="22"/>
        </w:rPr>
        <w:t xml:space="preserve">traditional inhabitants </w:t>
      </w:r>
      <w:r w:rsidR="004634B9" w:rsidRPr="00E64A6F">
        <w:rPr>
          <w:sz w:val="22"/>
          <w:szCs w:val="22"/>
        </w:rPr>
        <w:t xml:space="preserve">who </w:t>
      </w:r>
      <w:r w:rsidR="006251E8">
        <w:rPr>
          <w:sz w:val="22"/>
          <w:szCs w:val="22"/>
        </w:rPr>
        <w:t xml:space="preserve">may </w:t>
      </w:r>
      <w:r w:rsidR="004634B9" w:rsidRPr="00E64A6F">
        <w:rPr>
          <w:sz w:val="22"/>
          <w:szCs w:val="22"/>
        </w:rPr>
        <w:t xml:space="preserve">walk </w:t>
      </w:r>
      <w:r w:rsidR="006251E8">
        <w:rPr>
          <w:sz w:val="22"/>
          <w:szCs w:val="22"/>
        </w:rPr>
        <w:t xml:space="preserve">along </w:t>
      </w:r>
      <w:r w:rsidR="004634B9" w:rsidRPr="00E64A6F">
        <w:rPr>
          <w:sz w:val="22"/>
          <w:szCs w:val="22"/>
        </w:rPr>
        <w:t xml:space="preserve">reef flats collecting </w:t>
      </w:r>
      <w:r w:rsidR="006251E8">
        <w:rPr>
          <w:sz w:val="22"/>
          <w:szCs w:val="22"/>
        </w:rPr>
        <w:t>fish</w:t>
      </w:r>
      <w:r w:rsidR="004634B9" w:rsidRPr="00E64A6F">
        <w:rPr>
          <w:sz w:val="22"/>
          <w:szCs w:val="22"/>
        </w:rPr>
        <w:t xml:space="preserve">. Broadening access to commercial fishing activities is consistent with the objectives of the Act (in particular, </w:t>
      </w:r>
      <w:r w:rsidR="007D4D9F">
        <w:rPr>
          <w:sz w:val="22"/>
          <w:szCs w:val="22"/>
        </w:rPr>
        <w:t>paragraph</w:t>
      </w:r>
      <w:r w:rsidR="007D4D9F" w:rsidRPr="00E64A6F">
        <w:rPr>
          <w:sz w:val="22"/>
          <w:szCs w:val="22"/>
        </w:rPr>
        <w:t xml:space="preserve"> </w:t>
      </w:r>
      <w:r w:rsidR="004634B9" w:rsidRPr="00E64A6F">
        <w:rPr>
          <w:sz w:val="22"/>
          <w:szCs w:val="22"/>
        </w:rPr>
        <w:t>8(g</w:t>
      </w:r>
      <w:r w:rsidR="004634B9" w:rsidRPr="5DA7B41E">
        <w:rPr>
          <w:sz w:val="22"/>
          <w:szCs w:val="22"/>
        </w:rPr>
        <w:t>)</w:t>
      </w:r>
      <w:r w:rsidR="21BCC395" w:rsidRPr="5DA7B41E">
        <w:rPr>
          <w:sz w:val="22"/>
          <w:szCs w:val="22"/>
        </w:rPr>
        <w:t xml:space="preserve"> of the Act</w:t>
      </w:r>
      <w:r w:rsidR="004634B9" w:rsidRPr="5DA7B41E">
        <w:rPr>
          <w:sz w:val="22"/>
          <w:szCs w:val="22"/>
        </w:rPr>
        <w:t>)</w:t>
      </w:r>
      <w:r w:rsidR="004634B9" w:rsidRPr="00E64A6F">
        <w:rPr>
          <w:sz w:val="22"/>
          <w:szCs w:val="22"/>
        </w:rPr>
        <w:t xml:space="preserve"> in developing and implementing licencing policy, to the desirability of promoting economic development in the Torres Strait area and employment opportunities for traditional inhabitants. </w:t>
      </w:r>
    </w:p>
    <w:p w14:paraId="3C6C3274" w14:textId="7ABBC633" w:rsidR="003C1625" w:rsidRDefault="001C4C53" w:rsidP="003C1625">
      <w:pPr>
        <w:pStyle w:val="AFMANormal"/>
        <w:widowControl w:val="0"/>
        <w:spacing w:after="240" w:line="276" w:lineRule="auto"/>
        <w:rPr>
          <w:sz w:val="22"/>
          <w:szCs w:val="22"/>
        </w:rPr>
      </w:pPr>
      <w:r>
        <w:rPr>
          <w:sz w:val="22"/>
          <w:szCs w:val="22"/>
        </w:rPr>
        <w:t xml:space="preserve">The amendment to the </w:t>
      </w:r>
      <w:r w:rsidRPr="001C4C53">
        <w:rPr>
          <w:i/>
          <w:sz w:val="22"/>
          <w:szCs w:val="22"/>
        </w:rPr>
        <w:t>permanent closure</w:t>
      </w:r>
      <w:r>
        <w:rPr>
          <w:sz w:val="22"/>
          <w:szCs w:val="22"/>
        </w:rPr>
        <w:t xml:space="preserve"> area is a result of stakeholder interest and consultations conducted over a </w:t>
      </w:r>
      <w:r w:rsidR="00FD666F">
        <w:rPr>
          <w:sz w:val="22"/>
          <w:szCs w:val="22"/>
        </w:rPr>
        <w:t xml:space="preserve">ten </w:t>
      </w:r>
      <w:r>
        <w:rPr>
          <w:sz w:val="22"/>
          <w:szCs w:val="22"/>
        </w:rPr>
        <w:t>year period.</w:t>
      </w:r>
      <w:r w:rsidR="00456492">
        <w:rPr>
          <w:sz w:val="22"/>
          <w:szCs w:val="22"/>
        </w:rPr>
        <w:t xml:space="preserve"> </w:t>
      </w:r>
      <w:r w:rsidR="004518AD">
        <w:rPr>
          <w:sz w:val="22"/>
          <w:szCs w:val="22"/>
        </w:rPr>
        <w:t>Wide level support to remove a portion of the</w:t>
      </w:r>
      <w:r w:rsidR="00687BB4">
        <w:rPr>
          <w:sz w:val="22"/>
          <w:szCs w:val="22"/>
        </w:rPr>
        <w:t xml:space="preserve"> </w:t>
      </w:r>
      <w:r w:rsidR="00687BB4" w:rsidRPr="002F1C38">
        <w:rPr>
          <w:i/>
          <w:iCs/>
          <w:sz w:val="22"/>
          <w:szCs w:val="22"/>
        </w:rPr>
        <w:t>permanent closure area</w:t>
      </w:r>
      <w:r w:rsidR="00456492">
        <w:rPr>
          <w:sz w:val="22"/>
          <w:szCs w:val="22"/>
        </w:rPr>
        <w:t xml:space="preserve"> fishery closure area </w:t>
      </w:r>
      <w:r w:rsidR="004518AD">
        <w:rPr>
          <w:sz w:val="22"/>
          <w:szCs w:val="22"/>
        </w:rPr>
        <w:t>(</w:t>
      </w:r>
      <w:r w:rsidR="00456492">
        <w:rPr>
          <w:sz w:val="22"/>
          <w:szCs w:val="22"/>
        </w:rPr>
        <w:t>north</w:t>
      </w:r>
      <w:r w:rsidR="004518AD">
        <w:rPr>
          <w:sz w:val="22"/>
          <w:szCs w:val="22"/>
        </w:rPr>
        <w:t>wards from</w:t>
      </w:r>
      <w:r w:rsidR="00456492">
        <w:rPr>
          <w:sz w:val="22"/>
          <w:szCs w:val="22"/>
        </w:rPr>
        <w:t xml:space="preserve"> of the southernmost point of Turnagain Island</w:t>
      </w:r>
      <w:r w:rsidR="004518AD">
        <w:rPr>
          <w:sz w:val="22"/>
          <w:szCs w:val="22"/>
        </w:rPr>
        <w:t>) was received by the end of 2021.</w:t>
      </w:r>
      <w:r w:rsidR="007D4D9F">
        <w:rPr>
          <w:sz w:val="22"/>
          <w:szCs w:val="22"/>
        </w:rPr>
        <w:t xml:space="preserve"> </w:t>
      </w:r>
      <w:r w:rsidR="003C1625">
        <w:rPr>
          <w:sz w:val="22"/>
          <w:szCs w:val="22"/>
        </w:rPr>
        <w:t xml:space="preserve">It is understood that the existing boundary line for </w:t>
      </w:r>
      <w:r w:rsidR="007D4D9F">
        <w:rPr>
          <w:sz w:val="22"/>
          <w:szCs w:val="22"/>
        </w:rPr>
        <w:t xml:space="preserve">the </w:t>
      </w:r>
      <w:r w:rsidR="003C1625" w:rsidRPr="007D4D9F">
        <w:rPr>
          <w:i/>
          <w:iCs/>
          <w:sz w:val="22"/>
          <w:szCs w:val="22"/>
        </w:rPr>
        <w:t xml:space="preserve">permanent closure </w:t>
      </w:r>
      <w:r w:rsidR="003C1625" w:rsidRPr="007D4D9F">
        <w:rPr>
          <w:sz w:val="22"/>
          <w:szCs w:val="22"/>
        </w:rPr>
        <w:t>area</w:t>
      </w:r>
      <w:r w:rsidR="003C1625">
        <w:rPr>
          <w:sz w:val="22"/>
          <w:szCs w:val="22"/>
        </w:rPr>
        <w:t xml:space="preserve"> west of Longitude 142°31'49" E, was not in place for any direct fishery sustainability justification, rather a historical line between State and Commonwealth jurisdictions.</w:t>
      </w:r>
    </w:p>
    <w:p w14:paraId="63E99846" w14:textId="78E9746A" w:rsidR="003C1625" w:rsidRDefault="003C1625" w:rsidP="004634B9">
      <w:pPr>
        <w:pStyle w:val="AFMANormal"/>
        <w:widowControl w:val="0"/>
        <w:spacing w:after="240" w:line="276" w:lineRule="auto"/>
        <w:rPr>
          <w:sz w:val="22"/>
          <w:szCs w:val="22"/>
        </w:rPr>
      </w:pPr>
      <w:r>
        <w:rPr>
          <w:sz w:val="22"/>
          <w:szCs w:val="22"/>
        </w:rPr>
        <w:t>The Torres Strait Finfish Fishery Resource Assessment Group (FFRAG) and the Torres Strait Finfish Fishery Working Group (FFWG) reviewed the sustainability risks of the recommended opening, and subsequently advised on arrangements to support a responsible opening of the</w:t>
      </w:r>
      <w:r w:rsidR="002F1C38">
        <w:rPr>
          <w:sz w:val="22"/>
          <w:szCs w:val="22"/>
        </w:rPr>
        <w:t xml:space="preserve"> </w:t>
      </w:r>
      <w:r w:rsidR="002F1C38" w:rsidRPr="002F1C38">
        <w:rPr>
          <w:i/>
          <w:iCs/>
          <w:sz w:val="22"/>
          <w:szCs w:val="22"/>
        </w:rPr>
        <w:t>permanent closure area</w:t>
      </w:r>
      <w:r>
        <w:rPr>
          <w:sz w:val="22"/>
          <w:szCs w:val="22"/>
        </w:rPr>
        <w:t>.</w:t>
      </w:r>
    </w:p>
    <w:p w14:paraId="0383476C" w14:textId="48280E24" w:rsidR="00BB001E" w:rsidRDefault="66440D08" w:rsidP="004634B9">
      <w:pPr>
        <w:pStyle w:val="AFMANormal"/>
        <w:widowControl w:val="0"/>
        <w:spacing w:after="240" w:line="276" w:lineRule="auto"/>
        <w:rPr>
          <w:sz w:val="22"/>
          <w:szCs w:val="22"/>
        </w:rPr>
      </w:pPr>
      <w:r w:rsidRPr="5DA7B41E">
        <w:rPr>
          <w:sz w:val="22"/>
          <w:szCs w:val="22"/>
        </w:rPr>
        <w:t>After considering</w:t>
      </w:r>
      <w:r w:rsidR="00456492" w:rsidRPr="5DA7B41E">
        <w:rPr>
          <w:sz w:val="22"/>
          <w:szCs w:val="22"/>
        </w:rPr>
        <w:t xml:space="preserve"> the advice </w:t>
      </w:r>
      <w:r w:rsidR="48925F88" w:rsidRPr="5DA7B41E">
        <w:rPr>
          <w:sz w:val="22"/>
          <w:szCs w:val="22"/>
        </w:rPr>
        <w:t>provided by</w:t>
      </w:r>
      <w:r w:rsidR="00456492">
        <w:rPr>
          <w:sz w:val="22"/>
          <w:szCs w:val="22"/>
        </w:rPr>
        <w:t xml:space="preserve"> the </w:t>
      </w:r>
      <w:r w:rsidR="003C1625">
        <w:rPr>
          <w:sz w:val="22"/>
          <w:szCs w:val="22"/>
        </w:rPr>
        <w:t>FF</w:t>
      </w:r>
      <w:r w:rsidR="00456492">
        <w:rPr>
          <w:sz w:val="22"/>
          <w:szCs w:val="22"/>
        </w:rPr>
        <w:t>RAG,</w:t>
      </w:r>
      <w:r w:rsidR="00456492" w:rsidRPr="00456492">
        <w:rPr>
          <w:sz w:val="22"/>
          <w:szCs w:val="22"/>
        </w:rPr>
        <w:t xml:space="preserve"> </w:t>
      </w:r>
      <w:r w:rsidR="003C1625">
        <w:rPr>
          <w:sz w:val="22"/>
          <w:szCs w:val="22"/>
        </w:rPr>
        <w:t xml:space="preserve">the FFWG </w:t>
      </w:r>
      <w:r w:rsidR="00456492">
        <w:rPr>
          <w:sz w:val="22"/>
          <w:szCs w:val="22"/>
        </w:rPr>
        <w:t>recommended that the area of the</w:t>
      </w:r>
      <w:r w:rsidR="003C1625">
        <w:rPr>
          <w:sz w:val="22"/>
          <w:szCs w:val="22"/>
        </w:rPr>
        <w:t xml:space="preserve"> finfish</w:t>
      </w:r>
      <w:r w:rsidR="00456492">
        <w:rPr>
          <w:sz w:val="22"/>
          <w:szCs w:val="22"/>
        </w:rPr>
        <w:t xml:space="preserve"> fishery north of</w:t>
      </w:r>
      <w:r w:rsidR="003C1625">
        <w:rPr>
          <w:sz w:val="22"/>
          <w:szCs w:val="22"/>
        </w:rPr>
        <w:t xml:space="preserve"> the southernmost point</w:t>
      </w:r>
      <w:r w:rsidR="00456492">
        <w:rPr>
          <w:sz w:val="22"/>
          <w:szCs w:val="22"/>
        </w:rPr>
        <w:t xml:space="preserve"> Turnagain Island be opened for fishing in the </w:t>
      </w:r>
      <w:r w:rsidR="00456492" w:rsidRPr="00456492">
        <w:rPr>
          <w:sz w:val="22"/>
          <w:szCs w:val="22"/>
        </w:rPr>
        <w:t>pursuit</w:t>
      </w:r>
      <w:r w:rsidR="004518AD">
        <w:rPr>
          <w:sz w:val="22"/>
          <w:szCs w:val="22"/>
        </w:rPr>
        <w:t xml:space="preserve"> of </w:t>
      </w:r>
      <w:r w:rsidR="00456492">
        <w:rPr>
          <w:sz w:val="22"/>
          <w:szCs w:val="22"/>
        </w:rPr>
        <w:t>management objective</w:t>
      </w:r>
      <w:r w:rsidR="004518AD">
        <w:rPr>
          <w:sz w:val="22"/>
          <w:szCs w:val="22"/>
        </w:rPr>
        <w:t>s</w:t>
      </w:r>
      <w:r w:rsidR="00456492" w:rsidRPr="00456492">
        <w:rPr>
          <w:sz w:val="22"/>
          <w:szCs w:val="22"/>
        </w:rPr>
        <w:t xml:space="preserve"> under the Act, specifically to the desirability of promoting economic development and employment opportunities for traditional inhabitants. </w:t>
      </w:r>
    </w:p>
    <w:p w14:paraId="1E50A0D4" w14:textId="77777777" w:rsidR="007875A2" w:rsidRDefault="00E16C79" w:rsidP="00482EB9">
      <w:pPr>
        <w:pStyle w:val="AFMANormal"/>
        <w:widowControl w:val="0"/>
        <w:spacing w:after="240" w:line="276" w:lineRule="auto"/>
        <w:rPr>
          <w:sz w:val="22"/>
          <w:szCs w:val="22"/>
        </w:rPr>
      </w:pPr>
      <w:r w:rsidRPr="000D6CDD">
        <w:rPr>
          <w:sz w:val="22"/>
          <w:szCs w:val="22"/>
        </w:rPr>
        <w:t xml:space="preserve">Details of the </w:t>
      </w:r>
      <w:r>
        <w:rPr>
          <w:sz w:val="22"/>
          <w:szCs w:val="22"/>
        </w:rPr>
        <w:t>Amendment</w:t>
      </w:r>
      <w:r w:rsidRPr="000D6CDD">
        <w:rPr>
          <w:sz w:val="22"/>
          <w:szCs w:val="22"/>
        </w:rPr>
        <w:t xml:space="preserve"> </w:t>
      </w:r>
      <w:r>
        <w:rPr>
          <w:sz w:val="22"/>
          <w:szCs w:val="22"/>
        </w:rPr>
        <w:t xml:space="preserve">Instrument </w:t>
      </w:r>
      <w:r w:rsidRPr="000D6CDD">
        <w:rPr>
          <w:sz w:val="22"/>
          <w:szCs w:val="22"/>
        </w:rPr>
        <w:t>are set out</w:t>
      </w:r>
      <w:r>
        <w:rPr>
          <w:sz w:val="22"/>
          <w:szCs w:val="22"/>
        </w:rPr>
        <w:t xml:space="preserve"> in </w:t>
      </w:r>
      <w:r>
        <w:rPr>
          <w:b/>
          <w:sz w:val="22"/>
          <w:szCs w:val="22"/>
          <w:u w:val="single"/>
        </w:rPr>
        <w:t>Attachment A</w:t>
      </w:r>
      <w:r>
        <w:rPr>
          <w:sz w:val="22"/>
          <w:szCs w:val="22"/>
        </w:rPr>
        <w:t xml:space="preserve">.  </w:t>
      </w:r>
    </w:p>
    <w:p w14:paraId="06C57C39" w14:textId="7AC2CD73" w:rsidR="00FC54D1" w:rsidRPr="000D6CDD" w:rsidRDefault="0017782F" w:rsidP="00482EB9">
      <w:pPr>
        <w:pStyle w:val="AFMANormal"/>
        <w:widowControl w:val="0"/>
        <w:spacing w:after="240" w:line="276" w:lineRule="auto"/>
        <w:rPr>
          <w:b/>
          <w:sz w:val="22"/>
          <w:szCs w:val="22"/>
        </w:rPr>
      </w:pPr>
      <w:r>
        <w:rPr>
          <w:rStyle w:val="normaltextrun"/>
          <w:b/>
          <w:bCs/>
          <w:color w:val="000000"/>
          <w:sz w:val="22"/>
          <w:szCs w:val="22"/>
          <w:bdr w:val="none" w:sz="0" w:space="0" w:color="auto" w:frame="1"/>
        </w:rPr>
        <w:t xml:space="preserve">Publication and </w:t>
      </w:r>
      <w:r w:rsidR="00FC54D1" w:rsidRPr="000D6CDD">
        <w:rPr>
          <w:b/>
          <w:sz w:val="22"/>
          <w:szCs w:val="22"/>
        </w:rPr>
        <w:t>Commencement</w:t>
      </w:r>
    </w:p>
    <w:p w14:paraId="7DB51B52" w14:textId="1FA1F50B" w:rsidR="0017782F" w:rsidRPr="00870A09" w:rsidRDefault="0017782F" w:rsidP="00870A09">
      <w:pPr>
        <w:pStyle w:val="AFMANormal"/>
        <w:widowControl w:val="0"/>
        <w:spacing w:after="240" w:line="276" w:lineRule="auto"/>
        <w:rPr>
          <w:sz w:val="22"/>
          <w:szCs w:val="22"/>
        </w:rPr>
      </w:pPr>
      <w:r w:rsidRPr="00870A09">
        <w:rPr>
          <w:sz w:val="22"/>
          <w:szCs w:val="22"/>
        </w:rPr>
        <w:t xml:space="preserve">Subsection 16(9) of the Act provides that the PZJA, by way of section 35, must publish or broadcast the contents of an instrument made under section 16 </w:t>
      </w:r>
      <w:r w:rsidR="007D4D9F">
        <w:rPr>
          <w:sz w:val="22"/>
          <w:szCs w:val="22"/>
        </w:rPr>
        <w:t xml:space="preserve">in </w:t>
      </w:r>
      <w:r w:rsidRPr="00870A09">
        <w:rPr>
          <w:sz w:val="22"/>
          <w:szCs w:val="22"/>
        </w:rPr>
        <w:t>a manner prescribed by sections 3 or 4 of the Regulations. Section 3 of the Regulations states that, for the purpose of subsection 16(9) of the Act, the manner of publication is by publication in such a newspaper as in the opinion of the PZJA is appropriate having regard to the nature of the contents of the notice.  </w:t>
      </w:r>
    </w:p>
    <w:p w14:paraId="27E60536" w14:textId="77777777" w:rsidR="0017782F" w:rsidRPr="00870A09" w:rsidRDefault="0017782F" w:rsidP="00870A09">
      <w:pPr>
        <w:pStyle w:val="AFMANormal"/>
        <w:widowControl w:val="0"/>
        <w:spacing w:after="240" w:line="276" w:lineRule="auto"/>
        <w:rPr>
          <w:sz w:val="22"/>
          <w:szCs w:val="22"/>
        </w:rPr>
      </w:pPr>
      <w:r w:rsidRPr="00870A09">
        <w:rPr>
          <w:sz w:val="22"/>
          <w:szCs w:val="22"/>
        </w:rPr>
        <w:t xml:space="preserve">In making the decision to make the Instrument, the PZJA has considered the nature and the contents of the Instrument and have determined that it would be appropriate for the Instrument to be published in the </w:t>
      </w:r>
      <w:r w:rsidRPr="00870A09">
        <w:rPr>
          <w:i/>
          <w:iCs/>
          <w:sz w:val="22"/>
          <w:szCs w:val="22"/>
        </w:rPr>
        <w:t>Torres News,</w:t>
      </w:r>
      <w:r w:rsidRPr="00870A09">
        <w:rPr>
          <w:sz w:val="22"/>
          <w:szCs w:val="22"/>
        </w:rPr>
        <w:t xml:space="preserve"> which is the local newspaper in circulation across the islands of the Torres Strait and Cape York. The </w:t>
      </w:r>
      <w:r w:rsidRPr="00870A09">
        <w:rPr>
          <w:i/>
          <w:iCs/>
          <w:sz w:val="22"/>
          <w:szCs w:val="22"/>
        </w:rPr>
        <w:t>Torres News</w:t>
      </w:r>
      <w:r w:rsidRPr="00870A09">
        <w:rPr>
          <w:sz w:val="22"/>
          <w:szCs w:val="22"/>
        </w:rPr>
        <w:t xml:space="preserve"> also has some circulation in Cairns where some licence holders are based. The PZJA also authorised staff members of the Australian Fisheries Management Authority (AFMA) to register the Instrument on the Federal Register of Legislation.  </w:t>
      </w:r>
    </w:p>
    <w:p w14:paraId="41666D41" w14:textId="2E945C6C" w:rsidR="0017782F" w:rsidRPr="00870A09" w:rsidRDefault="0017782F" w:rsidP="00870A09">
      <w:pPr>
        <w:pStyle w:val="AFMANormal"/>
        <w:widowControl w:val="0"/>
        <w:spacing w:after="240" w:line="276" w:lineRule="auto"/>
        <w:rPr>
          <w:sz w:val="22"/>
          <w:szCs w:val="22"/>
        </w:rPr>
      </w:pPr>
      <w:r w:rsidRPr="00870A09">
        <w:rPr>
          <w:sz w:val="22"/>
          <w:szCs w:val="22"/>
        </w:rPr>
        <w:t>Subsection 16(4) of the Act provides that a prohibition in an instrument made under section 16(1) comes into force on the day it is published under subsection 16(9), or a later day as specified in the instrument.</w:t>
      </w:r>
    </w:p>
    <w:p w14:paraId="613B3A85" w14:textId="2417A065" w:rsidR="00195652" w:rsidRPr="000D6CDD" w:rsidRDefault="004F1FB9" w:rsidP="00482EB9">
      <w:pPr>
        <w:pStyle w:val="AFMANormal"/>
        <w:widowControl w:val="0"/>
        <w:spacing w:after="240" w:line="276" w:lineRule="auto"/>
        <w:rPr>
          <w:sz w:val="22"/>
          <w:szCs w:val="22"/>
        </w:rPr>
      </w:pPr>
      <w:r>
        <w:rPr>
          <w:sz w:val="22"/>
          <w:szCs w:val="22"/>
        </w:rPr>
        <w:t>It follows that t</w:t>
      </w:r>
      <w:r w:rsidR="00222250">
        <w:rPr>
          <w:sz w:val="22"/>
          <w:szCs w:val="22"/>
        </w:rPr>
        <w:t xml:space="preserve">he </w:t>
      </w:r>
      <w:r w:rsidR="00A459B5">
        <w:rPr>
          <w:sz w:val="22"/>
          <w:szCs w:val="22"/>
        </w:rPr>
        <w:t>Amendment</w:t>
      </w:r>
      <w:r w:rsidR="00222250">
        <w:rPr>
          <w:sz w:val="22"/>
          <w:szCs w:val="22"/>
        </w:rPr>
        <w:t xml:space="preserve"> </w:t>
      </w:r>
      <w:r w:rsidR="00027FF9">
        <w:rPr>
          <w:sz w:val="22"/>
          <w:szCs w:val="22"/>
        </w:rPr>
        <w:t xml:space="preserve">Instrument </w:t>
      </w:r>
      <w:r w:rsidR="00222250">
        <w:rPr>
          <w:sz w:val="22"/>
          <w:szCs w:val="22"/>
        </w:rPr>
        <w:t xml:space="preserve">will </w:t>
      </w:r>
      <w:r w:rsidR="00222250" w:rsidRPr="006B04C7">
        <w:rPr>
          <w:sz w:val="22"/>
          <w:szCs w:val="22"/>
        </w:rPr>
        <w:t xml:space="preserve">commence on </w:t>
      </w:r>
      <w:r w:rsidR="00D50371" w:rsidRPr="006B04C7">
        <w:rPr>
          <w:sz w:val="22"/>
          <w:szCs w:val="22"/>
        </w:rPr>
        <w:t xml:space="preserve">the day </w:t>
      </w:r>
      <w:r w:rsidR="00145A9E">
        <w:rPr>
          <w:sz w:val="22"/>
          <w:szCs w:val="22"/>
        </w:rPr>
        <w:t>specifi</w:t>
      </w:r>
      <w:r w:rsidR="00854B3E">
        <w:rPr>
          <w:sz w:val="22"/>
          <w:szCs w:val="22"/>
        </w:rPr>
        <w:t>ed, being 1 May 2022</w:t>
      </w:r>
      <w:r w:rsidR="00C6598D">
        <w:rPr>
          <w:sz w:val="22"/>
          <w:szCs w:val="22"/>
        </w:rPr>
        <w:t xml:space="preserve"> </w:t>
      </w:r>
      <w:r w:rsidR="00222250">
        <w:rPr>
          <w:sz w:val="22"/>
          <w:szCs w:val="22"/>
        </w:rPr>
        <w:t xml:space="preserve">(see section </w:t>
      </w:r>
      <w:r w:rsidR="004A6845">
        <w:rPr>
          <w:sz w:val="22"/>
          <w:szCs w:val="22"/>
        </w:rPr>
        <w:t>2</w:t>
      </w:r>
      <w:r w:rsidR="00665B51">
        <w:rPr>
          <w:sz w:val="22"/>
          <w:szCs w:val="22"/>
        </w:rPr>
        <w:t xml:space="preserve"> of the </w:t>
      </w:r>
      <w:r w:rsidR="00027FF9">
        <w:rPr>
          <w:sz w:val="22"/>
          <w:szCs w:val="22"/>
        </w:rPr>
        <w:t>Amendment</w:t>
      </w:r>
      <w:r w:rsidR="00A459B5">
        <w:rPr>
          <w:sz w:val="22"/>
          <w:szCs w:val="22"/>
        </w:rPr>
        <w:t xml:space="preserve"> </w:t>
      </w:r>
      <w:r w:rsidR="00027FF9">
        <w:rPr>
          <w:sz w:val="22"/>
          <w:szCs w:val="22"/>
        </w:rPr>
        <w:t>Instrument</w:t>
      </w:r>
      <w:r w:rsidR="00222250">
        <w:rPr>
          <w:sz w:val="22"/>
          <w:szCs w:val="22"/>
        </w:rPr>
        <w:t xml:space="preserve">).  </w:t>
      </w:r>
    </w:p>
    <w:p w14:paraId="3840F9C7" w14:textId="77777777" w:rsidR="00FC54D1" w:rsidRDefault="00FC54D1" w:rsidP="00482EB9">
      <w:pPr>
        <w:autoSpaceDE w:val="0"/>
        <w:autoSpaceDN w:val="0"/>
        <w:adjustRightInd w:val="0"/>
        <w:spacing w:before="240" w:after="240" w:line="276" w:lineRule="auto"/>
        <w:jc w:val="both"/>
        <w:rPr>
          <w:b/>
          <w:bCs/>
          <w:color w:val="000000"/>
          <w:sz w:val="22"/>
          <w:szCs w:val="22"/>
          <w:lang w:val="en-US"/>
        </w:rPr>
      </w:pPr>
      <w:r w:rsidRPr="000D6CDD">
        <w:rPr>
          <w:b/>
          <w:bCs/>
          <w:color w:val="000000"/>
          <w:sz w:val="22"/>
          <w:szCs w:val="22"/>
          <w:lang w:val="en-US"/>
        </w:rPr>
        <w:t>Consultation</w:t>
      </w:r>
    </w:p>
    <w:p w14:paraId="1F3D2DB8" w14:textId="43B35B36" w:rsidR="008822DA" w:rsidRPr="00F951DF" w:rsidRDefault="008822DA" w:rsidP="00F951DF">
      <w:pPr>
        <w:pStyle w:val="AFMANormal"/>
        <w:widowControl w:val="0"/>
        <w:spacing w:after="240" w:line="276" w:lineRule="auto"/>
        <w:rPr>
          <w:sz w:val="22"/>
          <w:szCs w:val="22"/>
        </w:rPr>
      </w:pPr>
      <w:r w:rsidRPr="00F951DF">
        <w:rPr>
          <w:sz w:val="22"/>
          <w:szCs w:val="22"/>
        </w:rPr>
        <w:t xml:space="preserve">The PZJA and AFMA, which is delegated responsibility for the day-to-day management of Torres Strait fisheries under paragraph 38(1)(b) of the Act, are advised through </w:t>
      </w:r>
      <w:r w:rsidR="5A7F4484" w:rsidRPr="5DA7B41E">
        <w:rPr>
          <w:sz w:val="22"/>
          <w:szCs w:val="22"/>
        </w:rPr>
        <w:t xml:space="preserve">several </w:t>
      </w:r>
      <w:r w:rsidRPr="00F951DF">
        <w:rPr>
          <w:sz w:val="22"/>
          <w:szCs w:val="22"/>
        </w:rPr>
        <w:t xml:space="preserve">advisory committees </w:t>
      </w:r>
      <w:r w:rsidRPr="00F951DF">
        <w:rPr>
          <w:sz w:val="22"/>
          <w:szCs w:val="22"/>
        </w:rPr>
        <w:lastRenderedPageBreak/>
        <w:t>established under subsection 40(7) of the Act, that incorporate advice from traditional inhabitants of the Torres Strait.  The PZJA committees generally consist of an independent Chair and representatives from the government (Fisheries Queensland, AFMA and TSRA), scientific experts, economists, traditional inhabitant fishing industry and, where applicable, non</w:t>
      </w:r>
      <w:r w:rsidR="6061A8C6" w:rsidRPr="5DA7B41E">
        <w:rPr>
          <w:sz w:val="22"/>
          <w:szCs w:val="22"/>
        </w:rPr>
        <w:t>-</w:t>
      </w:r>
      <w:r w:rsidRPr="00F951DF">
        <w:rPr>
          <w:sz w:val="22"/>
          <w:szCs w:val="22"/>
        </w:rPr>
        <w:t xml:space="preserve">traditional inhabitant fishing industry.  In addition, the Chairperson of the </w:t>
      </w:r>
      <w:r w:rsidRPr="006A623B">
        <w:rPr>
          <w:i/>
          <w:iCs/>
          <w:sz w:val="22"/>
          <w:szCs w:val="22"/>
        </w:rPr>
        <w:t>Malu Lamar (Torres Strait Islander) Corporation Registered Native Title Bodies Corporate RNTBC</w:t>
      </w:r>
      <w:r w:rsidR="006A623B">
        <w:rPr>
          <w:i/>
          <w:iCs/>
          <w:sz w:val="22"/>
          <w:szCs w:val="22"/>
        </w:rPr>
        <w:t xml:space="preserve"> </w:t>
      </w:r>
      <w:r w:rsidR="006A623B">
        <w:rPr>
          <w:sz w:val="22"/>
          <w:szCs w:val="22"/>
        </w:rPr>
        <w:t>(Malu Lamar)</w:t>
      </w:r>
      <w:r w:rsidR="00154AA9">
        <w:rPr>
          <w:sz w:val="22"/>
          <w:szCs w:val="22"/>
        </w:rPr>
        <w:t>, which is a Regist</w:t>
      </w:r>
      <w:r w:rsidR="00443D21">
        <w:rPr>
          <w:sz w:val="22"/>
          <w:szCs w:val="22"/>
        </w:rPr>
        <w:t xml:space="preserve">ered Native Title Body Corporate (RNTBC) </w:t>
      </w:r>
      <w:r w:rsidRPr="00F951DF">
        <w:rPr>
          <w:sz w:val="22"/>
          <w:szCs w:val="22"/>
        </w:rPr>
        <w:t xml:space="preserve">and representatives from the Papua New Guinea National Fisheries Authority also have standing invitation to attend meetings as an observer.  </w:t>
      </w:r>
    </w:p>
    <w:p w14:paraId="090FBBB9" w14:textId="7B14DA1E" w:rsidR="008822DA" w:rsidRDefault="002F1C38" w:rsidP="008822DA">
      <w:pPr>
        <w:pStyle w:val="subsection"/>
        <w:spacing w:line="276" w:lineRule="auto"/>
        <w:jc w:val="both"/>
        <w:rPr>
          <w:color w:val="000000"/>
          <w:sz w:val="22"/>
          <w:szCs w:val="22"/>
          <w:shd w:val="clear" w:color="auto" w:fill="FFFFFF"/>
        </w:rPr>
      </w:pPr>
      <w:r>
        <w:rPr>
          <w:color w:val="000000"/>
          <w:sz w:val="22"/>
          <w:szCs w:val="22"/>
          <w:shd w:val="clear" w:color="auto" w:fill="FFFFFF"/>
        </w:rPr>
        <w:t xml:space="preserve">On 7 </w:t>
      </w:r>
      <w:r w:rsidRPr="006046D2">
        <w:rPr>
          <w:color w:val="000000"/>
          <w:sz w:val="22"/>
          <w:szCs w:val="22"/>
          <w:shd w:val="clear" w:color="auto" w:fill="FFFFFF"/>
        </w:rPr>
        <w:t>March</w:t>
      </w:r>
      <w:r w:rsidR="008822DA" w:rsidRPr="006046D2">
        <w:rPr>
          <w:color w:val="000000"/>
          <w:sz w:val="22"/>
          <w:szCs w:val="22"/>
          <w:shd w:val="clear" w:color="auto" w:fill="FFFFFF"/>
        </w:rPr>
        <w:t xml:space="preserve"> 202</w:t>
      </w:r>
      <w:r w:rsidR="00F65D1D" w:rsidRPr="006046D2">
        <w:rPr>
          <w:color w:val="000000"/>
          <w:sz w:val="22"/>
          <w:szCs w:val="22"/>
          <w:shd w:val="clear" w:color="auto" w:fill="FFFFFF"/>
        </w:rPr>
        <w:t>2</w:t>
      </w:r>
      <w:r w:rsidR="008822DA" w:rsidRPr="006046D2">
        <w:rPr>
          <w:color w:val="000000"/>
          <w:sz w:val="22"/>
          <w:szCs w:val="22"/>
          <w:shd w:val="clear" w:color="auto" w:fill="FFFFFF"/>
        </w:rPr>
        <w:t xml:space="preserve">, the Finfish </w:t>
      </w:r>
      <w:r w:rsidR="007875A2" w:rsidRPr="006046D2">
        <w:rPr>
          <w:color w:val="000000"/>
          <w:sz w:val="22"/>
          <w:szCs w:val="22"/>
          <w:shd w:val="clear" w:color="auto" w:fill="FFFFFF"/>
        </w:rPr>
        <w:t xml:space="preserve">Fishery </w:t>
      </w:r>
      <w:r w:rsidR="008822DA" w:rsidRPr="006046D2">
        <w:rPr>
          <w:color w:val="000000"/>
          <w:sz w:val="22"/>
          <w:szCs w:val="22"/>
          <w:shd w:val="clear" w:color="auto" w:fill="FFFFFF"/>
        </w:rPr>
        <w:t>Working Group (F</w:t>
      </w:r>
      <w:r w:rsidR="007875A2" w:rsidRPr="006046D2">
        <w:rPr>
          <w:color w:val="000000"/>
          <w:sz w:val="22"/>
          <w:szCs w:val="22"/>
          <w:shd w:val="clear" w:color="auto" w:fill="FFFFFF"/>
        </w:rPr>
        <w:t>F</w:t>
      </w:r>
      <w:r w:rsidR="008822DA" w:rsidRPr="006046D2">
        <w:rPr>
          <w:color w:val="000000"/>
          <w:sz w:val="22"/>
          <w:szCs w:val="22"/>
          <w:shd w:val="clear" w:color="auto" w:fill="FFFFFF"/>
        </w:rPr>
        <w:t>WG)</w:t>
      </w:r>
      <w:r w:rsidR="0059064C" w:rsidRPr="006046D2">
        <w:rPr>
          <w:color w:val="000000"/>
          <w:sz w:val="22"/>
          <w:szCs w:val="22"/>
          <w:shd w:val="clear" w:color="auto" w:fill="FFFFFF"/>
        </w:rPr>
        <w:t>, which is an advisory committee to the PZJA,</w:t>
      </w:r>
      <w:r w:rsidR="008822DA" w:rsidRPr="006046D2">
        <w:rPr>
          <w:color w:val="000000"/>
          <w:sz w:val="22"/>
          <w:szCs w:val="22"/>
          <w:shd w:val="clear" w:color="auto" w:fill="FFFFFF"/>
        </w:rPr>
        <w:t xml:space="preserve"> considered and provided advice on the Amendment Instrument</w:t>
      </w:r>
      <w:r w:rsidR="005D587A">
        <w:rPr>
          <w:color w:val="000000"/>
          <w:sz w:val="22"/>
          <w:szCs w:val="22"/>
          <w:shd w:val="clear" w:color="auto" w:fill="FFFFFF"/>
        </w:rPr>
        <w:t xml:space="preserve"> via a video conference</w:t>
      </w:r>
      <w:r w:rsidR="008822DA" w:rsidRPr="006046D2">
        <w:rPr>
          <w:color w:val="000000"/>
          <w:sz w:val="22"/>
          <w:szCs w:val="22"/>
          <w:shd w:val="clear" w:color="auto" w:fill="FFFFFF"/>
        </w:rPr>
        <w:t>. Having regard to F</w:t>
      </w:r>
      <w:r w:rsidR="00F36BF8">
        <w:rPr>
          <w:color w:val="000000"/>
          <w:sz w:val="22"/>
          <w:szCs w:val="22"/>
          <w:shd w:val="clear" w:color="auto" w:fill="FFFFFF"/>
        </w:rPr>
        <w:t>F</w:t>
      </w:r>
      <w:r w:rsidR="008822DA" w:rsidRPr="006046D2">
        <w:rPr>
          <w:color w:val="000000"/>
          <w:sz w:val="22"/>
          <w:szCs w:val="22"/>
          <w:shd w:val="clear" w:color="auto" w:fill="FFFFFF"/>
        </w:rPr>
        <w:t xml:space="preserve">WG advice, the PZJA agreed to amend the Management Instrument at their meeting on </w:t>
      </w:r>
      <w:r w:rsidR="00F36BF8">
        <w:rPr>
          <w:color w:val="000000"/>
          <w:sz w:val="22"/>
          <w:szCs w:val="22"/>
          <w:shd w:val="clear" w:color="auto" w:fill="FFFFFF"/>
        </w:rPr>
        <w:t>16 </w:t>
      </w:r>
      <w:bookmarkStart w:id="1" w:name="_GoBack"/>
      <w:bookmarkEnd w:id="1"/>
      <w:r w:rsidR="006B04C7" w:rsidRPr="006046D2">
        <w:rPr>
          <w:color w:val="000000"/>
          <w:sz w:val="22"/>
          <w:szCs w:val="22"/>
          <w:shd w:val="clear" w:color="auto" w:fill="FFFFFF"/>
        </w:rPr>
        <w:t>March</w:t>
      </w:r>
      <w:r w:rsidR="008822DA" w:rsidRPr="006046D2">
        <w:rPr>
          <w:color w:val="000000"/>
          <w:sz w:val="22"/>
          <w:szCs w:val="22"/>
          <w:shd w:val="clear" w:color="auto" w:fill="FFFFFF"/>
        </w:rPr>
        <w:t xml:space="preserve"> 202</w:t>
      </w:r>
      <w:r w:rsidR="006B04C7" w:rsidRPr="006046D2">
        <w:rPr>
          <w:color w:val="000000"/>
          <w:sz w:val="22"/>
          <w:szCs w:val="22"/>
          <w:shd w:val="clear" w:color="auto" w:fill="FFFFFF"/>
        </w:rPr>
        <w:t>2</w:t>
      </w:r>
      <w:r w:rsidR="008822DA" w:rsidRPr="006046D2">
        <w:rPr>
          <w:color w:val="000000"/>
          <w:sz w:val="22"/>
          <w:szCs w:val="22"/>
          <w:shd w:val="clear" w:color="auto" w:fill="FFFFFF"/>
        </w:rPr>
        <w:t>.</w:t>
      </w:r>
      <w:r w:rsidR="008822DA">
        <w:rPr>
          <w:color w:val="000000"/>
          <w:sz w:val="22"/>
          <w:szCs w:val="22"/>
          <w:shd w:val="clear" w:color="auto" w:fill="FFFFFF"/>
        </w:rPr>
        <w:t xml:space="preserve"> </w:t>
      </w:r>
    </w:p>
    <w:p w14:paraId="07D260E3" w14:textId="14E7BF1A" w:rsidR="0017782F" w:rsidRPr="00104EE4" w:rsidRDefault="0017782F" w:rsidP="00104EE4">
      <w:pPr>
        <w:pStyle w:val="AFMANormal"/>
        <w:widowControl w:val="0"/>
        <w:spacing w:after="240" w:line="276" w:lineRule="auto"/>
        <w:rPr>
          <w:b/>
          <w:bCs/>
          <w:sz w:val="22"/>
          <w:szCs w:val="22"/>
        </w:rPr>
      </w:pPr>
      <w:r w:rsidRPr="00104EE4">
        <w:rPr>
          <w:b/>
          <w:bCs/>
          <w:sz w:val="22"/>
          <w:szCs w:val="22"/>
        </w:rPr>
        <w:t>Disallowance and sunsetting </w:t>
      </w:r>
    </w:p>
    <w:p w14:paraId="69D1CDCF" w14:textId="46B7265C" w:rsidR="00104EE4" w:rsidRPr="00A009CC" w:rsidRDefault="4F2944AA" w:rsidP="00F427E8">
      <w:pPr>
        <w:widowControl w:val="0"/>
        <w:spacing w:after="240" w:line="276" w:lineRule="auto"/>
        <w:rPr>
          <w:color w:val="000000" w:themeColor="text1"/>
          <w:sz w:val="22"/>
          <w:szCs w:val="22"/>
        </w:rPr>
      </w:pPr>
      <w:r w:rsidRPr="5DA7B41E">
        <w:rPr>
          <w:sz w:val="22"/>
          <w:szCs w:val="22"/>
        </w:rPr>
        <w:t>The Amendment Instrument</w:t>
      </w:r>
      <w:r w:rsidR="0017782F" w:rsidRPr="5DA7B41E">
        <w:rPr>
          <w:sz w:val="22"/>
          <w:szCs w:val="22"/>
        </w:rPr>
        <w:t xml:space="preserve"> is a legislative instrument for the purpose of the </w:t>
      </w:r>
      <w:r w:rsidR="0017782F" w:rsidRPr="5DA7B41E">
        <w:rPr>
          <w:i/>
          <w:iCs/>
          <w:sz w:val="22"/>
          <w:szCs w:val="22"/>
        </w:rPr>
        <w:t>Legislation Act 2003 </w:t>
      </w:r>
      <w:r w:rsidR="0017782F" w:rsidRPr="5DA7B41E">
        <w:rPr>
          <w:sz w:val="22"/>
          <w:szCs w:val="22"/>
        </w:rPr>
        <w:t xml:space="preserve">(the Legislation Act) and </w:t>
      </w:r>
      <w:r w:rsidR="7567E222" w:rsidRPr="5DA7B41E">
        <w:rPr>
          <w:sz w:val="22"/>
          <w:szCs w:val="22"/>
        </w:rPr>
        <w:t>i</w:t>
      </w:r>
      <w:r w:rsidR="7567E222" w:rsidRPr="5DA7B41E">
        <w:rPr>
          <w:color w:val="000000" w:themeColor="text1"/>
          <w:sz w:val="22"/>
          <w:szCs w:val="22"/>
        </w:rPr>
        <w:t>s not subject to disallowance by way of parliamentary scrutiny because of the application of subsection 44(1) of the Legislation Act, as the PZJA is exercising its power to make th</w:t>
      </w:r>
      <w:r w:rsidR="0137AEA7" w:rsidRPr="5DA7B41E">
        <w:rPr>
          <w:color w:val="000000" w:themeColor="text1"/>
          <w:sz w:val="22"/>
          <w:szCs w:val="22"/>
        </w:rPr>
        <w:t>e Amendment Instrument</w:t>
      </w:r>
      <w:r w:rsidR="7567E222" w:rsidRPr="5DA7B41E">
        <w:rPr>
          <w:color w:val="000000" w:themeColor="text1"/>
          <w:sz w:val="22"/>
          <w:szCs w:val="22"/>
        </w:rPr>
        <w:t xml:space="preserve"> as an intergovernmental body involving the Commonwealth and the State of Queensland</w:t>
      </w:r>
      <w:r w:rsidR="00A009CC">
        <w:rPr>
          <w:color w:val="000000" w:themeColor="text1"/>
          <w:sz w:val="22"/>
          <w:szCs w:val="22"/>
        </w:rPr>
        <w:t xml:space="preserve">. </w:t>
      </w:r>
      <w:r w:rsidR="00A009CC">
        <w:rPr>
          <w:sz w:val="22"/>
          <w:szCs w:val="22"/>
        </w:rPr>
        <w:t>T</w:t>
      </w:r>
      <w:r w:rsidR="00A009CC" w:rsidRPr="5DA7B41E">
        <w:rPr>
          <w:sz w:val="22"/>
          <w:szCs w:val="22"/>
        </w:rPr>
        <w:t>he</w:t>
      </w:r>
      <w:r w:rsidR="00B01D59">
        <w:rPr>
          <w:sz w:val="22"/>
          <w:szCs w:val="22"/>
        </w:rPr>
        <w:t xml:space="preserve"> enabling legislation for </w:t>
      </w:r>
      <w:r w:rsidR="00B01D59" w:rsidRPr="5DA7B41E">
        <w:rPr>
          <w:color w:val="000000" w:themeColor="text1"/>
          <w:sz w:val="22"/>
          <w:szCs w:val="22"/>
        </w:rPr>
        <w:t xml:space="preserve">the Amendment Instrument </w:t>
      </w:r>
      <w:r w:rsidR="00A009CC">
        <w:rPr>
          <w:sz w:val="22"/>
          <w:szCs w:val="22"/>
        </w:rPr>
        <w:t xml:space="preserve">facilitates the operation of </w:t>
      </w:r>
      <w:r w:rsidR="00826C7D">
        <w:rPr>
          <w:sz w:val="22"/>
          <w:szCs w:val="22"/>
        </w:rPr>
        <w:t xml:space="preserve">this </w:t>
      </w:r>
      <w:proofErr w:type="spellStart"/>
      <w:r w:rsidR="00826C7D">
        <w:rPr>
          <w:sz w:val="22"/>
          <w:szCs w:val="22"/>
        </w:rPr>
        <w:t>intergovermental</w:t>
      </w:r>
      <w:proofErr w:type="spellEnd"/>
      <w:r w:rsidR="00826C7D">
        <w:rPr>
          <w:sz w:val="22"/>
          <w:szCs w:val="22"/>
        </w:rPr>
        <w:t xml:space="preserve"> body</w:t>
      </w:r>
      <w:r w:rsidR="00A009CC">
        <w:rPr>
          <w:sz w:val="22"/>
          <w:szCs w:val="22"/>
        </w:rPr>
        <w:t xml:space="preserve">, </w:t>
      </w:r>
      <w:r w:rsidR="00B01D59">
        <w:rPr>
          <w:sz w:val="22"/>
          <w:szCs w:val="22"/>
        </w:rPr>
        <w:t xml:space="preserve">who have authorised this instrument to be made for the purposes of </w:t>
      </w:r>
      <w:r w:rsidR="00826C7D">
        <w:rPr>
          <w:sz w:val="22"/>
          <w:szCs w:val="22"/>
        </w:rPr>
        <w:t>PJZA’s management of the finfish fishery</w:t>
      </w:r>
      <w:r w:rsidR="00B01D59">
        <w:rPr>
          <w:sz w:val="22"/>
          <w:szCs w:val="22"/>
        </w:rPr>
        <w:t>.</w:t>
      </w:r>
    </w:p>
    <w:p w14:paraId="31A7A616" w14:textId="02E5587A" w:rsidR="00F25465" w:rsidRPr="00F25465" w:rsidRDefault="0316C300" w:rsidP="00F427E8">
      <w:pPr>
        <w:pStyle w:val="AFMANormal"/>
        <w:widowControl w:val="0"/>
        <w:spacing w:after="240" w:line="276" w:lineRule="auto"/>
        <w:rPr>
          <w:sz w:val="22"/>
          <w:szCs w:val="22"/>
        </w:rPr>
      </w:pPr>
      <w:r w:rsidRPr="00104EE4">
        <w:rPr>
          <w:sz w:val="22"/>
          <w:szCs w:val="22"/>
        </w:rPr>
        <w:t>The Amendment Instrument</w:t>
      </w:r>
      <w:r w:rsidR="76A94C49" w:rsidRPr="00104EE4">
        <w:rPr>
          <w:sz w:val="22"/>
          <w:szCs w:val="22"/>
        </w:rPr>
        <w:t xml:space="preserve"> is also </w:t>
      </w:r>
      <w:r w:rsidR="0017782F" w:rsidRPr="00104EE4">
        <w:rPr>
          <w:sz w:val="22"/>
          <w:szCs w:val="22"/>
        </w:rPr>
        <w:t>not subject to sunsetting by application of subsection 54(1) and paragraph 54(2)(b) of the Legislation Act, read together with item 63AB</w:t>
      </w:r>
      <w:r w:rsidR="0AFB32C7" w:rsidRPr="00104EE4">
        <w:rPr>
          <w:sz w:val="22"/>
          <w:szCs w:val="22"/>
        </w:rPr>
        <w:t>(d)</w:t>
      </w:r>
      <w:r w:rsidR="0017782F" w:rsidRPr="00104EE4">
        <w:rPr>
          <w:sz w:val="22"/>
          <w:szCs w:val="22"/>
        </w:rPr>
        <w:t xml:space="preserve"> of the table in section 12 of </w:t>
      </w:r>
      <w:r w:rsidR="0017782F" w:rsidRPr="5DA7B41E">
        <w:rPr>
          <w:i/>
          <w:iCs/>
          <w:sz w:val="22"/>
          <w:szCs w:val="22"/>
        </w:rPr>
        <w:t>the Legislation</w:t>
      </w:r>
      <w:r w:rsidR="0017782F" w:rsidRPr="00104EE4">
        <w:rPr>
          <w:i/>
          <w:iCs/>
          <w:sz w:val="22"/>
          <w:szCs w:val="22"/>
        </w:rPr>
        <w:t xml:space="preserve"> (Exemptions and Other Matters) Regulation 2015</w:t>
      </w:r>
      <w:r w:rsidR="58723BF7" w:rsidRPr="5DA7B41E">
        <w:rPr>
          <w:i/>
          <w:iCs/>
          <w:sz w:val="22"/>
          <w:szCs w:val="22"/>
        </w:rPr>
        <w:t xml:space="preserve">, </w:t>
      </w:r>
      <w:r w:rsidR="1A386C9D" w:rsidRPr="00104EE4">
        <w:rPr>
          <w:sz w:val="22"/>
          <w:szCs w:val="22"/>
        </w:rPr>
        <w:t xml:space="preserve">which </w:t>
      </w:r>
      <w:r w:rsidR="6D880D1E" w:rsidRPr="00104EE4">
        <w:rPr>
          <w:sz w:val="22"/>
          <w:szCs w:val="22"/>
        </w:rPr>
        <w:t>specif</w:t>
      </w:r>
      <w:r w:rsidR="7ACCD9E8" w:rsidRPr="00104EE4">
        <w:rPr>
          <w:sz w:val="22"/>
          <w:szCs w:val="22"/>
        </w:rPr>
        <w:t>ies</w:t>
      </w:r>
      <w:r w:rsidR="6D880D1E" w:rsidRPr="00104EE4">
        <w:rPr>
          <w:sz w:val="22"/>
          <w:szCs w:val="22"/>
        </w:rPr>
        <w:t xml:space="preserve"> </w:t>
      </w:r>
      <w:r w:rsidR="61120634" w:rsidRPr="00104EE4">
        <w:rPr>
          <w:sz w:val="22"/>
          <w:szCs w:val="22"/>
        </w:rPr>
        <w:t>that p</w:t>
      </w:r>
      <w:r w:rsidR="6A47F394" w:rsidRPr="5DA7B41E">
        <w:rPr>
          <w:sz w:val="22"/>
          <w:szCs w:val="22"/>
        </w:rPr>
        <w:t>articular legislative instruments are not subject to sunsetting</w:t>
      </w:r>
      <w:r w:rsidR="19A931E3" w:rsidRPr="5DA7B41E">
        <w:rPr>
          <w:sz w:val="22"/>
          <w:szCs w:val="22"/>
        </w:rPr>
        <w:t xml:space="preserve">, including </w:t>
      </w:r>
      <w:r w:rsidR="60CFB281" w:rsidRPr="5DA7B41E">
        <w:rPr>
          <w:sz w:val="22"/>
          <w:szCs w:val="22"/>
        </w:rPr>
        <w:t>a</w:t>
      </w:r>
      <w:r w:rsidR="009B6958">
        <w:rPr>
          <w:sz w:val="22"/>
          <w:szCs w:val="22"/>
        </w:rPr>
        <w:t xml:space="preserve"> </w:t>
      </w:r>
      <w:r w:rsidR="03652DE3" w:rsidRPr="5DA7B41E">
        <w:rPr>
          <w:sz w:val="22"/>
          <w:szCs w:val="22"/>
        </w:rPr>
        <w:t xml:space="preserve">legislative instrument made by or on behalf of the </w:t>
      </w:r>
      <w:r w:rsidR="186753B7" w:rsidRPr="5DA7B41E">
        <w:rPr>
          <w:sz w:val="22"/>
          <w:szCs w:val="22"/>
        </w:rPr>
        <w:t>PZJA</w:t>
      </w:r>
      <w:r w:rsidR="03652DE3" w:rsidRPr="5DA7B41E">
        <w:rPr>
          <w:sz w:val="22"/>
          <w:szCs w:val="22"/>
        </w:rPr>
        <w:t xml:space="preserve"> in the exercise of a power under subsection 35(1) of th</w:t>
      </w:r>
      <w:r w:rsidR="6774E9C5" w:rsidRPr="5DA7B41E">
        <w:rPr>
          <w:sz w:val="22"/>
          <w:szCs w:val="22"/>
        </w:rPr>
        <w:t>e</w:t>
      </w:r>
      <w:r w:rsidR="0B7F64E9" w:rsidRPr="5DA7B41E">
        <w:rPr>
          <w:sz w:val="22"/>
          <w:szCs w:val="22"/>
        </w:rPr>
        <w:t xml:space="preserve"> </w:t>
      </w:r>
      <w:r w:rsidR="26E3978A" w:rsidRPr="00F427E8">
        <w:rPr>
          <w:i/>
          <w:iCs/>
          <w:sz w:val="22"/>
          <w:szCs w:val="22"/>
        </w:rPr>
        <w:t>Torres Strait</w:t>
      </w:r>
      <w:r w:rsidR="139AFD04" w:rsidRPr="00F427E8">
        <w:rPr>
          <w:i/>
          <w:iCs/>
          <w:sz w:val="22"/>
          <w:szCs w:val="22"/>
        </w:rPr>
        <w:t xml:space="preserve"> Fisheries </w:t>
      </w:r>
      <w:r w:rsidR="03652DE3" w:rsidRPr="00F427E8">
        <w:rPr>
          <w:i/>
          <w:iCs/>
          <w:sz w:val="22"/>
          <w:szCs w:val="22"/>
        </w:rPr>
        <w:t>Act</w:t>
      </w:r>
      <w:r w:rsidR="7383C45E" w:rsidRPr="00F427E8">
        <w:rPr>
          <w:i/>
          <w:iCs/>
          <w:sz w:val="22"/>
          <w:szCs w:val="22"/>
        </w:rPr>
        <w:t xml:space="preserve"> 1984</w:t>
      </w:r>
      <w:r w:rsidR="7383C45E" w:rsidRPr="5DA7B41E">
        <w:rPr>
          <w:sz w:val="22"/>
          <w:szCs w:val="22"/>
        </w:rPr>
        <w:t>.</w:t>
      </w:r>
    </w:p>
    <w:p w14:paraId="595D968D" w14:textId="43D23E65" w:rsidR="00F25465" w:rsidRPr="00F25465" w:rsidRDefault="00F25465" w:rsidP="00104EE4">
      <w:pPr>
        <w:pStyle w:val="AFMANormal"/>
        <w:widowControl w:val="0"/>
        <w:spacing w:after="240" w:line="276" w:lineRule="auto"/>
        <w:rPr>
          <w:b/>
          <w:color w:val="000000"/>
          <w:sz w:val="22"/>
          <w:szCs w:val="22"/>
          <w:shd w:val="clear" w:color="auto" w:fill="FFFFFF"/>
        </w:rPr>
      </w:pPr>
      <w:r w:rsidRPr="00F25465">
        <w:rPr>
          <w:b/>
          <w:color w:val="000000"/>
          <w:sz w:val="22"/>
          <w:szCs w:val="22"/>
          <w:shd w:val="clear" w:color="auto" w:fill="FFFFFF"/>
        </w:rPr>
        <w:t>Native Title</w:t>
      </w:r>
      <w:r w:rsidR="70F7A33B" w:rsidRPr="5DA7B41E">
        <w:rPr>
          <w:b/>
          <w:bCs/>
          <w:color w:val="000000"/>
          <w:sz w:val="22"/>
          <w:szCs w:val="22"/>
          <w:shd w:val="clear" w:color="auto" w:fill="FFFFFF"/>
        </w:rPr>
        <w:t xml:space="preserve"> </w:t>
      </w:r>
    </w:p>
    <w:p w14:paraId="76659754" w14:textId="03846DE9" w:rsidR="00A459B5" w:rsidRDefault="00F25465" w:rsidP="00262FE5">
      <w:pPr>
        <w:pStyle w:val="AFMANormal"/>
        <w:keepNext/>
        <w:spacing w:after="240" w:line="276" w:lineRule="auto"/>
        <w:rPr>
          <w:lang w:val="en-US"/>
        </w:rPr>
      </w:pPr>
      <w:r>
        <w:rPr>
          <w:color w:val="000000"/>
          <w:sz w:val="22"/>
          <w:szCs w:val="22"/>
          <w:shd w:val="clear" w:color="auto" w:fill="FFFFFF"/>
        </w:rPr>
        <w:t>Th</w:t>
      </w:r>
      <w:r w:rsidR="57F18760">
        <w:rPr>
          <w:color w:val="000000"/>
          <w:sz w:val="22"/>
          <w:szCs w:val="22"/>
          <w:shd w:val="clear" w:color="auto" w:fill="FFFFFF"/>
        </w:rPr>
        <w:t xml:space="preserve">is amendment of the Management </w:t>
      </w:r>
      <w:r w:rsidR="00C0285D">
        <w:rPr>
          <w:color w:val="000000"/>
          <w:sz w:val="22"/>
          <w:szCs w:val="22"/>
          <w:shd w:val="clear" w:color="auto" w:fill="FFFFFF"/>
        </w:rPr>
        <w:t>Instrument</w:t>
      </w:r>
      <w:r w:rsidR="00542528">
        <w:rPr>
          <w:color w:val="000000"/>
          <w:sz w:val="22"/>
          <w:szCs w:val="22"/>
          <w:shd w:val="clear" w:color="auto" w:fill="FFFFFF"/>
        </w:rPr>
        <w:t xml:space="preserve"> by the PZJA</w:t>
      </w:r>
      <w:r>
        <w:rPr>
          <w:color w:val="000000"/>
          <w:sz w:val="22"/>
          <w:szCs w:val="22"/>
          <w:shd w:val="clear" w:color="auto" w:fill="FFFFFF"/>
        </w:rPr>
        <w:t xml:space="preserve"> </w:t>
      </w:r>
      <w:r w:rsidRPr="00533EC7">
        <w:rPr>
          <w:color w:val="000000"/>
          <w:sz w:val="22"/>
          <w:szCs w:val="22"/>
          <w:shd w:val="clear" w:color="auto" w:fill="FFFFFF"/>
        </w:rPr>
        <w:t>is a future act</w:t>
      </w:r>
      <w:r>
        <w:rPr>
          <w:color w:val="000000"/>
          <w:sz w:val="22"/>
          <w:szCs w:val="22"/>
          <w:shd w:val="clear" w:color="auto" w:fill="FFFFFF"/>
        </w:rPr>
        <w:t xml:space="preserve"> for the purposes of the </w:t>
      </w:r>
      <w:r>
        <w:rPr>
          <w:i/>
          <w:iCs/>
          <w:color w:val="000000"/>
          <w:sz w:val="22"/>
          <w:szCs w:val="22"/>
          <w:shd w:val="clear" w:color="auto" w:fill="FFFFFF"/>
        </w:rPr>
        <w:t>Native Title Act 1993</w:t>
      </w:r>
      <w:r>
        <w:rPr>
          <w:iCs/>
          <w:color w:val="000000"/>
          <w:sz w:val="22"/>
          <w:szCs w:val="22"/>
          <w:shd w:val="clear" w:color="auto" w:fill="FFFFFF"/>
        </w:rPr>
        <w:t xml:space="preserve"> (the </w:t>
      </w:r>
      <w:r w:rsidRPr="00976F05">
        <w:rPr>
          <w:iCs/>
          <w:color w:val="000000"/>
          <w:sz w:val="22"/>
          <w:szCs w:val="22"/>
          <w:shd w:val="clear" w:color="auto" w:fill="FFFFFF"/>
        </w:rPr>
        <w:t>Native Title Act</w:t>
      </w:r>
      <w:r>
        <w:rPr>
          <w:iCs/>
          <w:color w:val="000000"/>
          <w:sz w:val="22"/>
          <w:szCs w:val="22"/>
          <w:shd w:val="clear" w:color="auto" w:fill="FFFFFF"/>
        </w:rPr>
        <w:t xml:space="preserve">). </w:t>
      </w:r>
      <w:r>
        <w:rPr>
          <w:color w:val="000000"/>
          <w:sz w:val="22"/>
          <w:szCs w:val="22"/>
          <w:shd w:val="clear" w:color="auto" w:fill="FFFFFF"/>
        </w:rPr>
        <w:t>Section 24HA of the Native Title Act relevantly provides that the making of legislation in relation to the management or regulation of living aquatic resources</w:t>
      </w:r>
      <w:r w:rsidR="00C0285D">
        <w:rPr>
          <w:color w:val="000000"/>
          <w:sz w:val="22"/>
          <w:szCs w:val="22"/>
          <w:shd w:val="clear" w:color="auto" w:fill="FFFFFF"/>
        </w:rPr>
        <w:t xml:space="preserve">, such as </w:t>
      </w:r>
      <w:r w:rsidR="5044B7EF">
        <w:rPr>
          <w:color w:val="000000"/>
          <w:sz w:val="22"/>
          <w:szCs w:val="22"/>
          <w:shd w:val="clear" w:color="auto" w:fill="FFFFFF"/>
        </w:rPr>
        <w:t xml:space="preserve">an </w:t>
      </w:r>
      <w:r w:rsidR="00C0285D">
        <w:rPr>
          <w:color w:val="000000"/>
          <w:sz w:val="22"/>
          <w:szCs w:val="22"/>
          <w:shd w:val="clear" w:color="auto" w:fill="FFFFFF"/>
        </w:rPr>
        <w:t>Amendment Instrument,</w:t>
      </w:r>
      <w:r>
        <w:rPr>
          <w:color w:val="000000"/>
          <w:sz w:val="22"/>
          <w:szCs w:val="22"/>
          <w:shd w:val="clear" w:color="auto" w:fill="FFFFFF"/>
        </w:rPr>
        <w:t xml:space="preserve"> is a valid future act, insofar as </w:t>
      </w:r>
      <w:r w:rsidR="00170831">
        <w:rPr>
          <w:color w:val="000000"/>
          <w:sz w:val="22"/>
          <w:szCs w:val="22"/>
          <w:shd w:val="clear" w:color="auto" w:fill="FFFFFF"/>
        </w:rPr>
        <w:t>it impacts upon native title rights and interests.</w:t>
      </w:r>
    </w:p>
    <w:p w14:paraId="5DC9F578" w14:textId="77777777" w:rsidR="007875A2" w:rsidRDefault="0017782F" w:rsidP="00482EB9">
      <w:pPr>
        <w:spacing w:before="240" w:after="240" w:line="276" w:lineRule="auto"/>
        <w:jc w:val="both"/>
        <w:rPr>
          <w:b/>
          <w:sz w:val="22"/>
          <w:szCs w:val="22"/>
          <w:lang w:val="en-US"/>
        </w:rPr>
      </w:pPr>
      <w:r>
        <w:rPr>
          <w:rStyle w:val="normaltextrun"/>
          <w:b/>
          <w:bCs/>
          <w:color w:val="000000"/>
          <w:sz w:val="22"/>
          <w:szCs w:val="22"/>
          <w:bdr w:val="none" w:sz="0" w:space="0" w:color="auto" w:frame="1"/>
        </w:rPr>
        <w:t>Statement of compatibility with human rights</w:t>
      </w:r>
    </w:p>
    <w:p w14:paraId="1942499E" w14:textId="27DAF3F5" w:rsidR="001972C6" w:rsidRDefault="00222250" w:rsidP="00482EB9">
      <w:pPr>
        <w:spacing w:before="240" w:after="240" w:line="276" w:lineRule="auto"/>
        <w:jc w:val="both"/>
        <w:rPr>
          <w:sz w:val="22"/>
          <w:szCs w:val="22"/>
          <w:lang w:eastAsia="en-AU"/>
        </w:rPr>
      </w:pPr>
      <w:r>
        <w:rPr>
          <w:sz w:val="22"/>
          <w:szCs w:val="22"/>
          <w:lang w:eastAsia="en-AU"/>
        </w:rPr>
        <w:t xml:space="preserve">As the </w:t>
      </w:r>
      <w:r w:rsidR="00AC3C25">
        <w:rPr>
          <w:sz w:val="22"/>
          <w:szCs w:val="22"/>
          <w:lang w:eastAsia="en-AU"/>
        </w:rPr>
        <w:t>Amendment Instrument</w:t>
      </w:r>
      <w:r>
        <w:rPr>
          <w:sz w:val="22"/>
          <w:szCs w:val="22"/>
          <w:lang w:eastAsia="en-AU"/>
        </w:rPr>
        <w:t xml:space="preserve"> is exempt from </w:t>
      </w:r>
      <w:r w:rsidR="008F76A2">
        <w:rPr>
          <w:sz w:val="22"/>
          <w:szCs w:val="22"/>
          <w:lang w:eastAsia="en-AU"/>
        </w:rPr>
        <w:t xml:space="preserve">disallowance </w:t>
      </w:r>
      <w:r w:rsidR="00BC2AC8">
        <w:rPr>
          <w:sz w:val="22"/>
          <w:szCs w:val="22"/>
          <w:lang w:eastAsia="en-AU"/>
        </w:rPr>
        <w:t>through the process of</w:t>
      </w:r>
      <w:r w:rsidR="008F76A2">
        <w:rPr>
          <w:sz w:val="22"/>
          <w:szCs w:val="22"/>
          <w:lang w:eastAsia="en-AU"/>
        </w:rPr>
        <w:t xml:space="preserve"> parliamentary scrutiny, by application of subsection 44(1) of the Legislation Act, a statement of compatibility with human rights does not have to be prepared for the purposes of Part 3 of the </w:t>
      </w:r>
      <w:r w:rsidR="008F76A2">
        <w:rPr>
          <w:i/>
          <w:sz w:val="22"/>
          <w:szCs w:val="22"/>
          <w:lang w:eastAsia="en-AU"/>
        </w:rPr>
        <w:t>Human Rights (Parliamentary Scrutiny) Act 2011</w:t>
      </w:r>
      <w:r w:rsidR="008F76A2">
        <w:rPr>
          <w:sz w:val="22"/>
          <w:szCs w:val="22"/>
          <w:lang w:eastAsia="en-AU"/>
        </w:rPr>
        <w:t xml:space="preserve">.  </w:t>
      </w:r>
    </w:p>
    <w:p w14:paraId="1B528EA0" w14:textId="77777777" w:rsidR="00E16C79" w:rsidRPr="00BB116B" w:rsidRDefault="00E16C79" w:rsidP="00E16C79">
      <w:pPr>
        <w:pStyle w:val="AFMANormal"/>
        <w:widowControl w:val="0"/>
        <w:spacing w:after="240" w:line="276" w:lineRule="auto"/>
        <w:rPr>
          <w:b/>
          <w:sz w:val="22"/>
          <w:szCs w:val="22"/>
        </w:rPr>
      </w:pPr>
      <w:r w:rsidRPr="00BB116B">
        <w:rPr>
          <w:b/>
          <w:sz w:val="22"/>
          <w:szCs w:val="22"/>
        </w:rPr>
        <w:t>Regulation Impact Statement</w:t>
      </w:r>
    </w:p>
    <w:p w14:paraId="7469D663" w14:textId="3C7089F7" w:rsidR="00E16C79" w:rsidRPr="008F76A2" w:rsidRDefault="00E16C79" w:rsidP="001D2E04">
      <w:pPr>
        <w:shd w:val="clear" w:color="auto" w:fill="FFFFFF"/>
        <w:spacing w:after="220" w:line="276" w:lineRule="auto"/>
        <w:rPr>
          <w:sz w:val="22"/>
          <w:szCs w:val="22"/>
          <w:lang w:eastAsia="en-AU"/>
        </w:rPr>
      </w:pPr>
      <w:r w:rsidRPr="00BB116B">
        <w:rPr>
          <w:snapToGrid w:val="0"/>
          <w:kern w:val="20"/>
          <w:sz w:val="22"/>
          <w:szCs w:val="22"/>
        </w:rPr>
        <w:t xml:space="preserve">The Office of Best Practice Regulation (OBPR) advised that a Regulation Impact Statement was </w:t>
      </w:r>
      <w:r>
        <w:rPr>
          <w:snapToGrid w:val="0"/>
          <w:kern w:val="20"/>
          <w:sz w:val="22"/>
          <w:szCs w:val="22"/>
        </w:rPr>
        <w:t>not required for th</w:t>
      </w:r>
      <w:r w:rsidR="00A71A5C">
        <w:rPr>
          <w:snapToGrid w:val="0"/>
          <w:kern w:val="20"/>
          <w:sz w:val="22"/>
          <w:szCs w:val="22"/>
        </w:rPr>
        <w:t>e Amendment Instrument</w:t>
      </w:r>
      <w:r>
        <w:rPr>
          <w:snapToGrid w:val="0"/>
          <w:kern w:val="20"/>
          <w:sz w:val="22"/>
          <w:szCs w:val="22"/>
        </w:rPr>
        <w:t xml:space="preserve"> </w:t>
      </w:r>
      <w:r w:rsidRPr="00BB116B">
        <w:rPr>
          <w:snapToGrid w:val="0"/>
          <w:kern w:val="20"/>
          <w:sz w:val="22"/>
          <w:szCs w:val="22"/>
        </w:rPr>
        <w:t>(</w:t>
      </w:r>
      <w:r>
        <w:rPr>
          <w:snapToGrid w:val="0"/>
          <w:kern w:val="20"/>
          <w:sz w:val="22"/>
          <w:szCs w:val="22"/>
        </w:rPr>
        <w:t xml:space="preserve">OBPR </w:t>
      </w:r>
      <w:r w:rsidRPr="00BB116B">
        <w:rPr>
          <w:snapToGrid w:val="0"/>
          <w:kern w:val="20"/>
          <w:sz w:val="22"/>
          <w:szCs w:val="22"/>
        </w:rPr>
        <w:t xml:space="preserve">ID: </w:t>
      </w:r>
      <w:r>
        <w:rPr>
          <w:snapToGrid w:val="0"/>
          <w:kern w:val="20"/>
          <w:sz w:val="22"/>
          <w:szCs w:val="22"/>
        </w:rPr>
        <w:t>44181</w:t>
      </w:r>
      <w:r w:rsidRPr="00BB116B">
        <w:rPr>
          <w:snapToGrid w:val="0"/>
          <w:kern w:val="20"/>
          <w:sz w:val="22"/>
          <w:szCs w:val="22"/>
        </w:rPr>
        <w:t>). </w:t>
      </w:r>
    </w:p>
    <w:p w14:paraId="7E287676" w14:textId="6A7B0905" w:rsidR="005B06F4" w:rsidRPr="005A2203" w:rsidRDefault="005B06F4" w:rsidP="00972CD6">
      <w:pPr>
        <w:spacing w:after="160" w:line="259" w:lineRule="auto"/>
        <w:jc w:val="center"/>
        <w:rPr>
          <w:b/>
          <w:sz w:val="22"/>
          <w:szCs w:val="22"/>
          <w:u w:val="single"/>
          <w:lang w:val="en-US"/>
        </w:rPr>
      </w:pPr>
      <w:r>
        <w:rPr>
          <w:b/>
          <w:i/>
          <w:snapToGrid w:val="0"/>
          <w:kern w:val="20"/>
          <w:sz w:val="22"/>
          <w:szCs w:val="22"/>
        </w:rPr>
        <w:br w:type="page"/>
      </w:r>
      <w:r w:rsidRPr="005A2203">
        <w:rPr>
          <w:b/>
          <w:sz w:val="22"/>
          <w:szCs w:val="22"/>
          <w:u w:val="single"/>
          <w:lang w:val="en-US"/>
        </w:rPr>
        <w:lastRenderedPageBreak/>
        <w:t>ATTACHMENT A</w:t>
      </w:r>
    </w:p>
    <w:p w14:paraId="7A39FB79" w14:textId="06B63B75" w:rsidR="00671A86" w:rsidRDefault="00F0447C" w:rsidP="00E510F5">
      <w:pPr>
        <w:spacing w:before="240" w:after="240" w:line="276" w:lineRule="auto"/>
        <w:jc w:val="center"/>
        <w:rPr>
          <w:b/>
          <w:i/>
          <w:sz w:val="22"/>
          <w:szCs w:val="22"/>
          <w:lang w:val="en-US"/>
        </w:rPr>
      </w:pPr>
      <w:r>
        <w:rPr>
          <w:b/>
          <w:iCs/>
          <w:sz w:val="22"/>
          <w:szCs w:val="22"/>
          <w:lang w:val="en-US"/>
        </w:rPr>
        <w:t xml:space="preserve">Details of the </w:t>
      </w:r>
      <w:r w:rsidR="00671A86" w:rsidRPr="00671A86">
        <w:rPr>
          <w:b/>
          <w:i/>
          <w:sz w:val="22"/>
          <w:szCs w:val="22"/>
          <w:lang w:val="en-US"/>
        </w:rPr>
        <w:t xml:space="preserve">Torres Strait Fisheries </w:t>
      </w:r>
      <w:r w:rsidR="00AB1CA6">
        <w:rPr>
          <w:b/>
          <w:i/>
          <w:sz w:val="22"/>
          <w:szCs w:val="22"/>
          <w:lang w:val="en-US"/>
        </w:rPr>
        <w:t xml:space="preserve">Amendment </w:t>
      </w:r>
      <w:r w:rsidR="00671A86" w:rsidRPr="00671A86">
        <w:rPr>
          <w:b/>
          <w:i/>
          <w:sz w:val="22"/>
          <w:szCs w:val="22"/>
          <w:lang w:val="en-US"/>
        </w:rPr>
        <w:t>(</w:t>
      </w:r>
      <w:r w:rsidR="00AB1CA6">
        <w:rPr>
          <w:b/>
          <w:i/>
          <w:sz w:val="22"/>
          <w:szCs w:val="22"/>
          <w:lang w:val="en-US"/>
        </w:rPr>
        <w:t>Finfish</w:t>
      </w:r>
      <w:r w:rsidR="00671A86" w:rsidRPr="00671A86">
        <w:rPr>
          <w:b/>
          <w:i/>
          <w:sz w:val="22"/>
          <w:szCs w:val="22"/>
          <w:lang w:val="en-US"/>
        </w:rPr>
        <w:t xml:space="preserve">) Management </w:t>
      </w:r>
      <w:r w:rsidR="00AB1CA6">
        <w:rPr>
          <w:b/>
          <w:i/>
          <w:sz w:val="22"/>
          <w:szCs w:val="22"/>
          <w:lang w:val="en-US"/>
        </w:rPr>
        <w:t xml:space="preserve">Instrument </w:t>
      </w:r>
      <w:r w:rsidR="00671A86" w:rsidRPr="00671A86">
        <w:rPr>
          <w:b/>
          <w:i/>
          <w:sz w:val="22"/>
          <w:szCs w:val="22"/>
          <w:lang w:val="en-US"/>
        </w:rPr>
        <w:t>202</w:t>
      </w:r>
      <w:r w:rsidR="00C70363">
        <w:rPr>
          <w:b/>
          <w:i/>
          <w:sz w:val="22"/>
          <w:szCs w:val="22"/>
          <w:lang w:val="en-US"/>
        </w:rPr>
        <w:t>2</w:t>
      </w:r>
    </w:p>
    <w:p w14:paraId="11E6A837" w14:textId="18139B8C" w:rsidR="00F0447C" w:rsidRPr="00F0447C" w:rsidRDefault="00641C09" w:rsidP="00DF1E1A">
      <w:pPr>
        <w:spacing w:before="240" w:after="240" w:line="276" w:lineRule="auto"/>
        <w:ind w:left="1440" w:hanging="1440"/>
        <w:jc w:val="both"/>
        <w:rPr>
          <w:b/>
          <w:iCs/>
          <w:snapToGrid w:val="0"/>
          <w:kern w:val="20"/>
          <w:sz w:val="22"/>
          <w:szCs w:val="22"/>
        </w:rPr>
      </w:pPr>
      <w:r w:rsidRPr="00F0447C">
        <w:rPr>
          <w:b/>
          <w:iCs/>
          <w:snapToGrid w:val="0"/>
          <w:kern w:val="20"/>
          <w:sz w:val="22"/>
          <w:szCs w:val="22"/>
        </w:rPr>
        <w:t>Section</w:t>
      </w:r>
      <w:r w:rsidR="005B06F4" w:rsidRPr="00F0447C">
        <w:rPr>
          <w:b/>
          <w:iCs/>
          <w:snapToGrid w:val="0"/>
          <w:kern w:val="20"/>
          <w:sz w:val="22"/>
          <w:szCs w:val="22"/>
        </w:rPr>
        <w:t xml:space="preserve"> 1</w:t>
      </w:r>
      <w:r w:rsidR="00F0447C">
        <w:rPr>
          <w:b/>
          <w:iCs/>
          <w:snapToGrid w:val="0"/>
          <w:kern w:val="20"/>
          <w:sz w:val="22"/>
          <w:szCs w:val="22"/>
        </w:rPr>
        <w:t>- Name</w:t>
      </w:r>
    </w:p>
    <w:p w14:paraId="1D5AB9A1" w14:textId="333BDF17" w:rsidR="00D225DC" w:rsidRPr="00B90718" w:rsidRDefault="00D225DC" w:rsidP="00F0447C">
      <w:pPr>
        <w:spacing w:before="240" w:after="240" w:line="276" w:lineRule="auto"/>
        <w:jc w:val="both"/>
        <w:rPr>
          <w:snapToGrid w:val="0"/>
          <w:kern w:val="20"/>
          <w:sz w:val="24"/>
          <w:szCs w:val="24"/>
        </w:rPr>
      </w:pPr>
      <w:r w:rsidRPr="000D6CDD">
        <w:rPr>
          <w:snapToGrid w:val="0"/>
          <w:kern w:val="20"/>
          <w:sz w:val="22"/>
          <w:szCs w:val="22"/>
        </w:rPr>
        <w:t xml:space="preserve">Provides that the name of the </w:t>
      </w:r>
      <w:r w:rsidR="00DF1E1A">
        <w:rPr>
          <w:snapToGrid w:val="0"/>
          <w:kern w:val="20"/>
          <w:sz w:val="22"/>
          <w:szCs w:val="22"/>
        </w:rPr>
        <w:t>Amendment Instrument</w:t>
      </w:r>
      <w:r w:rsidR="00671A86">
        <w:rPr>
          <w:snapToGrid w:val="0"/>
          <w:kern w:val="20"/>
          <w:sz w:val="22"/>
          <w:szCs w:val="22"/>
        </w:rPr>
        <w:t xml:space="preserve"> is </w:t>
      </w:r>
      <w:r w:rsidR="00671A86" w:rsidRPr="00E510F5">
        <w:rPr>
          <w:snapToGrid w:val="0"/>
          <w:kern w:val="20"/>
          <w:sz w:val="22"/>
          <w:szCs w:val="22"/>
        </w:rPr>
        <w:t>the</w:t>
      </w:r>
      <w:r w:rsidR="00671A86" w:rsidRPr="009C2562">
        <w:t xml:space="preserve"> </w:t>
      </w:r>
      <w:bookmarkStart w:id="2" w:name="BKCheck15B_3"/>
      <w:bookmarkEnd w:id="2"/>
      <w:r w:rsidR="00671A86" w:rsidRPr="413A4747">
        <w:rPr>
          <w:i/>
          <w:sz w:val="22"/>
          <w:szCs w:val="22"/>
        </w:rPr>
        <w:t xml:space="preserve">Torres Strait Fisheries </w:t>
      </w:r>
      <w:r w:rsidR="00DF1E1A" w:rsidRPr="413A4747">
        <w:rPr>
          <w:i/>
          <w:sz w:val="22"/>
          <w:szCs w:val="22"/>
        </w:rPr>
        <w:t xml:space="preserve">Amendment </w:t>
      </w:r>
      <w:r w:rsidR="00671A86" w:rsidRPr="413A4747">
        <w:rPr>
          <w:i/>
          <w:sz w:val="22"/>
          <w:szCs w:val="22"/>
        </w:rPr>
        <w:t>(</w:t>
      </w:r>
      <w:r w:rsidR="00DF1E1A" w:rsidRPr="413A4747">
        <w:rPr>
          <w:i/>
          <w:sz w:val="22"/>
          <w:szCs w:val="22"/>
        </w:rPr>
        <w:t>Finfish</w:t>
      </w:r>
      <w:r w:rsidR="00671A86" w:rsidRPr="413A4747">
        <w:rPr>
          <w:i/>
          <w:sz w:val="22"/>
          <w:szCs w:val="22"/>
        </w:rPr>
        <w:t>)</w:t>
      </w:r>
      <w:r w:rsidR="5DB1804D" w:rsidRPr="413A4747">
        <w:rPr>
          <w:i/>
          <w:iCs/>
          <w:sz w:val="22"/>
          <w:szCs w:val="22"/>
        </w:rPr>
        <w:t xml:space="preserve"> </w:t>
      </w:r>
      <w:r w:rsidR="00671A86" w:rsidRPr="413A4747">
        <w:rPr>
          <w:i/>
          <w:sz w:val="22"/>
          <w:szCs w:val="22"/>
        </w:rPr>
        <w:t xml:space="preserve">Management </w:t>
      </w:r>
      <w:r w:rsidR="00DF1E1A" w:rsidRPr="413A4747">
        <w:rPr>
          <w:i/>
          <w:sz w:val="22"/>
          <w:szCs w:val="22"/>
        </w:rPr>
        <w:t xml:space="preserve">Instrument </w:t>
      </w:r>
      <w:r w:rsidR="00671A86" w:rsidRPr="413A4747">
        <w:rPr>
          <w:i/>
          <w:sz w:val="22"/>
          <w:szCs w:val="22"/>
        </w:rPr>
        <w:t>202</w:t>
      </w:r>
      <w:r w:rsidR="00C70363" w:rsidRPr="413A4747">
        <w:rPr>
          <w:i/>
          <w:sz w:val="22"/>
          <w:szCs w:val="22"/>
        </w:rPr>
        <w:t>2</w:t>
      </w:r>
      <w:r w:rsidR="00671A86" w:rsidRPr="413A4747">
        <w:rPr>
          <w:i/>
          <w:sz w:val="22"/>
          <w:szCs w:val="22"/>
        </w:rPr>
        <w:t>.</w:t>
      </w:r>
    </w:p>
    <w:p w14:paraId="771A06A0" w14:textId="3DAE63C1" w:rsidR="00F0447C" w:rsidRPr="00F0447C" w:rsidRDefault="00641C09" w:rsidP="00DF1E1A">
      <w:pPr>
        <w:spacing w:before="240" w:after="240" w:line="276" w:lineRule="auto"/>
        <w:ind w:left="1440" w:hanging="1440"/>
        <w:jc w:val="both"/>
        <w:rPr>
          <w:b/>
          <w:iCs/>
          <w:snapToGrid w:val="0"/>
          <w:kern w:val="20"/>
          <w:sz w:val="22"/>
          <w:szCs w:val="22"/>
        </w:rPr>
      </w:pPr>
      <w:r w:rsidRPr="00F0447C">
        <w:rPr>
          <w:b/>
          <w:iCs/>
          <w:snapToGrid w:val="0"/>
          <w:kern w:val="20"/>
          <w:sz w:val="22"/>
          <w:szCs w:val="22"/>
        </w:rPr>
        <w:t>Section</w:t>
      </w:r>
      <w:r w:rsidR="00D225DC" w:rsidRPr="00F0447C">
        <w:rPr>
          <w:b/>
          <w:iCs/>
          <w:snapToGrid w:val="0"/>
          <w:kern w:val="20"/>
          <w:sz w:val="22"/>
          <w:szCs w:val="22"/>
        </w:rPr>
        <w:t xml:space="preserve"> 2</w:t>
      </w:r>
      <w:r w:rsidR="00F0447C">
        <w:rPr>
          <w:b/>
          <w:iCs/>
          <w:snapToGrid w:val="0"/>
          <w:kern w:val="20"/>
          <w:sz w:val="22"/>
          <w:szCs w:val="22"/>
        </w:rPr>
        <w:t xml:space="preserve"> - Commencement</w:t>
      </w:r>
      <w:r w:rsidR="00D225DC" w:rsidRPr="00F0447C">
        <w:rPr>
          <w:b/>
          <w:iCs/>
          <w:snapToGrid w:val="0"/>
          <w:kern w:val="20"/>
          <w:sz w:val="22"/>
          <w:szCs w:val="22"/>
        </w:rPr>
        <w:tab/>
      </w:r>
    </w:p>
    <w:p w14:paraId="7F3000D1" w14:textId="7391E3C6" w:rsidR="003A465A" w:rsidRPr="00E361F9" w:rsidRDefault="009779E7" w:rsidP="00F0447C">
      <w:pPr>
        <w:spacing w:before="240" w:after="240" w:line="276" w:lineRule="auto"/>
        <w:jc w:val="both"/>
        <w:rPr>
          <w:snapToGrid w:val="0"/>
          <w:kern w:val="20"/>
          <w:sz w:val="22"/>
          <w:szCs w:val="22"/>
        </w:rPr>
      </w:pPr>
      <w:r>
        <w:rPr>
          <w:snapToGrid w:val="0"/>
          <w:kern w:val="20"/>
          <w:sz w:val="22"/>
          <w:szCs w:val="22"/>
        </w:rPr>
        <w:t xml:space="preserve">Provides for the commencement of the Amendment Instrument. As outlined above, subsection 16(4) of the Act provides that any prohibition contained within an instrument made under subsection 16(1) of the Act does not take effect </w:t>
      </w:r>
      <w:r>
        <w:rPr>
          <w:i/>
          <w:iCs/>
          <w:snapToGrid w:val="0"/>
          <w:kern w:val="20"/>
          <w:sz w:val="22"/>
          <w:szCs w:val="22"/>
        </w:rPr>
        <w:t xml:space="preserve">inter </w:t>
      </w:r>
      <w:r w:rsidRPr="006F5494">
        <w:rPr>
          <w:i/>
          <w:iCs/>
          <w:snapToGrid w:val="0"/>
          <w:kern w:val="20"/>
          <w:sz w:val="22"/>
          <w:szCs w:val="22"/>
        </w:rPr>
        <w:t>alia</w:t>
      </w:r>
      <w:r>
        <w:rPr>
          <w:i/>
          <w:iCs/>
          <w:snapToGrid w:val="0"/>
          <w:kern w:val="20"/>
          <w:sz w:val="22"/>
          <w:szCs w:val="22"/>
        </w:rPr>
        <w:t xml:space="preserve"> </w:t>
      </w:r>
      <w:r>
        <w:rPr>
          <w:snapToGrid w:val="0"/>
          <w:kern w:val="20"/>
          <w:sz w:val="22"/>
          <w:szCs w:val="22"/>
        </w:rPr>
        <w:t>until the instrument is published in accordance with subsection 16</w:t>
      </w:r>
      <w:r w:rsidRPr="00F0447C">
        <w:rPr>
          <w:snapToGrid w:val="0"/>
          <w:kern w:val="20"/>
          <w:sz w:val="22"/>
          <w:szCs w:val="22"/>
        </w:rPr>
        <w:t>(9) of the Act and section 3 of the Regulations. The PZJA authorised AFMA to publish the</w:t>
      </w:r>
      <w:r w:rsidR="005D587A">
        <w:rPr>
          <w:snapToGrid w:val="0"/>
          <w:kern w:val="20"/>
          <w:sz w:val="22"/>
          <w:szCs w:val="22"/>
        </w:rPr>
        <w:t xml:space="preserve"> Amendment</w:t>
      </w:r>
      <w:r w:rsidRPr="00F0447C">
        <w:rPr>
          <w:snapToGrid w:val="0"/>
          <w:kern w:val="20"/>
          <w:sz w:val="22"/>
          <w:szCs w:val="22"/>
        </w:rPr>
        <w:t xml:space="preserve"> Instrument in the </w:t>
      </w:r>
      <w:r w:rsidR="004E7D91" w:rsidRPr="00F0447C">
        <w:rPr>
          <w:i/>
          <w:iCs/>
          <w:snapToGrid w:val="0"/>
          <w:kern w:val="20"/>
          <w:sz w:val="22"/>
          <w:szCs w:val="22"/>
        </w:rPr>
        <w:t>Torres News</w:t>
      </w:r>
      <w:r w:rsidRPr="00F0447C">
        <w:rPr>
          <w:i/>
          <w:iCs/>
          <w:snapToGrid w:val="0"/>
          <w:kern w:val="20"/>
          <w:sz w:val="22"/>
          <w:szCs w:val="22"/>
        </w:rPr>
        <w:t xml:space="preserve"> </w:t>
      </w:r>
      <w:r w:rsidRPr="00F0447C">
        <w:rPr>
          <w:snapToGrid w:val="0"/>
          <w:kern w:val="20"/>
          <w:sz w:val="22"/>
          <w:szCs w:val="22"/>
        </w:rPr>
        <w:t>and</w:t>
      </w:r>
      <w:r w:rsidRPr="00F0447C">
        <w:rPr>
          <w:i/>
          <w:iCs/>
          <w:snapToGrid w:val="0"/>
          <w:kern w:val="20"/>
          <w:sz w:val="22"/>
          <w:szCs w:val="22"/>
        </w:rPr>
        <w:t xml:space="preserve"> </w:t>
      </w:r>
      <w:r w:rsidRPr="00F0447C">
        <w:rPr>
          <w:snapToGrid w:val="0"/>
          <w:kern w:val="20"/>
          <w:sz w:val="22"/>
          <w:szCs w:val="22"/>
        </w:rPr>
        <w:t xml:space="preserve">register it on the Federal Register of Legislation. It follows that the commencement of the </w:t>
      </w:r>
      <w:r w:rsidR="00871BBB">
        <w:rPr>
          <w:snapToGrid w:val="0"/>
          <w:kern w:val="20"/>
          <w:sz w:val="22"/>
          <w:szCs w:val="22"/>
        </w:rPr>
        <w:t xml:space="preserve">Amendment </w:t>
      </w:r>
      <w:r w:rsidRPr="00F0447C">
        <w:rPr>
          <w:snapToGrid w:val="0"/>
          <w:kern w:val="20"/>
          <w:sz w:val="22"/>
          <w:szCs w:val="22"/>
        </w:rPr>
        <w:t xml:space="preserve">Instrument is the day specified in section 2, being </w:t>
      </w:r>
      <w:r w:rsidR="00D20D9D">
        <w:rPr>
          <w:snapToGrid w:val="0"/>
          <w:kern w:val="20"/>
          <w:sz w:val="22"/>
          <w:szCs w:val="22"/>
        </w:rPr>
        <w:t>1 May 2022</w:t>
      </w:r>
      <w:r w:rsidRPr="00F0447C">
        <w:rPr>
          <w:snapToGrid w:val="0"/>
          <w:kern w:val="20"/>
          <w:sz w:val="22"/>
          <w:szCs w:val="22"/>
        </w:rPr>
        <w:t>.</w:t>
      </w:r>
    </w:p>
    <w:p w14:paraId="78786D9D" w14:textId="212DEAF6" w:rsidR="00F0447C" w:rsidRPr="00F0447C" w:rsidRDefault="00641C09" w:rsidP="00482EB9">
      <w:pPr>
        <w:spacing w:before="240" w:after="240" w:line="276" w:lineRule="auto"/>
        <w:ind w:left="1440" w:hanging="1440"/>
        <w:jc w:val="both"/>
        <w:rPr>
          <w:b/>
          <w:sz w:val="22"/>
          <w:szCs w:val="22"/>
        </w:rPr>
      </w:pPr>
      <w:r w:rsidRPr="00F0447C">
        <w:rPr>
          <w:b/>
          <w:iCs/>
          <w:snapToGrid w:val="0"/>
          <w:kern w:val="20"/>
          <w:sz w:val="22"/>
          <w:szCs w:val="22"/>
        </w:rPr>
        <w:t>Section</w:t>
      </w:r>
      <w:r w:rsidR="008F76A2" w:rsidRPr="00F0447C">
        <w:rPr>
          <w:b/>
          <w:iCs/>
          <w:snapToGrid w:val="0"/>
          <w:kern w:val="20"/>
          <w:sz w:val="22"/>
          <w:szCs w:val="22"/>
        </w:rPr>
        <w:t xml:space="preserve"> 3</w:t>
      </w:r>
      <w:r w:rsidR="00F0447C">
        <w:rPr>
          <w:b/>
          <w:iCs/>
          <w:snapToGrid w:val="0"/>
          <w:kern w:val="20"/>
          <w:sz w:val="22"/>
          <w:szCs w:val="22"/>
        </w:rPr>
        <w:t xml:space="preserve"> - Authority</w:t>
      </w:r>
      <w:r w:rsidR="008F76A2" w:rsidRPr="00F0447C">
        <w:rPr>
          <w:b/>
          <w:iCs/>
          <w:snapToGrid w:val="0"/>
          <w:kern w:val="20"/>
          <w:sz w:val="22"/>
          <w:szCs w:val="22"/>
        </w:rPr>
        <w:tab/>
      </w:r>
    </w:p>
    <w:p w14:paraId="4648EBF7" w14:textId="0CC87A71" w:rsidR="004E1B18" w:rsidRDefault="004E1B18" w:rsidP="00482EB9">
      <w:pPr>
        <w:spacing w:before="240" w:after="240" w:line="276" w:lineRule="auto"/>
        <w:ind w:left="1440" w:hanging="1440"/>
        <w:jc w:val="both"/>
        <w:rPr>
          <w:snapToGrid w:val="0"/>
          <w:kern w:val="20"/>
          <w:sz w:val="22"/>
          <w:szCs w:val="22"/>
        </w:rPr>
      </w:pPr>
      <w:r>
        <w:rPr>
          <w:snapToGrid w:val="0"/>
          <w:kern w:val="20"/>
          <w:sz w:val="22"/>
          <w:szCs w:val="22"/>
        </w:rPr>
        <w:t xml:space="preserve">Provides that the </w:t>
      </w:r>
      <w:r w:rsidR="00F53633">
        <w:rPr>
          <w:snapToGrid w:val="0"/>
          <w:kern w:val="20"/>
          <w:sz w:val="22"/>
          <w:szCs w:val="22"/>
        </w:rPr>
        <w:t xml:space="preserve">Amendment </w:t>
      </w:r>
      <w:r>
        <w:rPr>
          <w:snapToGrid w:val="0"/>
          <w:kern w:val="20"/>
          <w:sz w:val="22"/>
          <w:szCs w:val="22"/>
        </w:rPr>
        <w:t xml:space="preserve">Instrument is made under section 16 of the Act. </w:t>
      </w:r>
      <w:r w:rsidR="108BAEDA">
        <w:rPr>
          <w:snapToGrid w:val="0"/>
          <w:kern w:val="20"/>
          <w:sz w:val="22"/>
          <w:szCs w:val="22"/>
        </w:rPr>
        <w:t xml:space="preserve"> </w:t>
      </w:r>
    </w:p>
    <w:p w14:paraId="4D414BA5" w14:textId="5E91E70C" w:rsidR="00AA7BDE" w:rsidRPr="00AA7BDE" w:rsidRDefault="00641C09" w:rsidP="413A4747">
      <w:pPr>
        <w:spacing w:before="240" w:after="240" w:line="276" w:lineRule="auto"/>
        <w:jc w:val="both"/>
        <w:rPr>
          <w:b/>
          <w:iCs/>
          <w:snapToGrid w:val="0"/>
          <w:kern w:val="20"/>
          <w:sz w:val="22"/>
          <w:szCs w:val="22"/>
        </w:rPr>
      </w:pPr>
      <w:r w:rsidRPr="00AA7BDE">
        <w:rPr>
          <w:b/>
          <w:iCs/>
          <w:snapToGrid w:val="0"/>
          <w:kern w:val="20"/>
          <w:sz w:val="22"/>
          <w:szCs w:val="22"/>
        </w:rPr>
        <w:t>Section</w:t>
      </w:r>
      <w:r w:rsidR="00382C12" w:rsidRPr="00AA7BDE">
        <w:rPr>
          <w:b/>
          <w:iCs/>
          <w:snapToGrid w:val="0"/>
          <w:kern w:val="20"/>
          <w:sz w:val="22"/>
          <w:szCs w:val="22"/>
        </w:rPr>
        <w:t xml:space="preserve"> 4</w:t>
      </w:r>
      <w:r w:rsidR="00AA7BDE">
        <w:rPr>
          <w:b/>
          <w:iCs/>
          <w:snapToGrid w:val="0"/>
          <w:kern w:val="20"/>
          <w:sz w:val="22"/>
          <w:szCs w:val="22"/>
        </w:rPr>
        <w:t xml:space="preserve"> - Schedules</w:t>
      </w:r>
      <w:r w:rsidR="00382C12" w:rsidRPr="00AA7BDE">
        <w:rPr>
          <w:b/>
          <w:iCs/>
          <w:snapToGrid w:val="0"/>
          <w:kern w:val="20"/>
          <w:sz w:val="22"/>
          <w:szCs w:val="22"/>
        </w:rPr>
        <w:tab/>
      </w:r>
    </w:p>
    <w:p w14:paraId="003C95BC" w14:textId="0FCF5696" w:rsidR="006A17C6" w:rsidRDefault="006A17C6" w:rsidP="00AA7BDE">
      <w:pPr>
        <w:spacing w:before="240" w:after="240" w:line="276" w:lineRule="auto"/>
        <w:jc w:val="both"/>
      </w:pPr>
      <w:r>
        <w:rPr>
          <w:rStyle w:val="normaltextrun"/>
          <w:color w:val="000000"/>
          <w:sz w:val="22"/>
          <w:szCs w:val="22"/>
          <w:shd w:val="clear" w:color="auto" w:fill="FFFFFF"/>
        </w:rPr>
        <w:t xml:space="preserve">This section provides authority for Schedule 1 to the Amendment Instrument, which amends the </w:t>
      </w:r>
      <w:r>
        <w:rPr>
          <w:rStyle w:val="normaltextrun"/>
          <w:i/>
          <w:iCs/>
          <w:color w:val="000000"/>
          <w:sz w:val="22"/>
          <w:szCs w:val="22"/>
          <w:shd w:val="clear" w:color="auto" w:fill="FFFFFF"/>
        </w:rPr>
        <w:t>Torres Strait Fisheries (Finfish) Management Instrument 2020.</w:t>
      </w:r>
      <w:r w:rsidR="3038085B" w:rsidRPr="413A4747">
        <w:rPr>
          <w:rStyle w:val="normaltextrun"/>
          <w:i/>
          <w:iCs/>
          <w:color w:val="000000"/>
          <w:sz w:val="22"/>
          <w:szCs w:val="22"/>
          <w:shd w:val="clear" w:color="auto" w:fill="FFFFFF"/>
        </w:rPr>
        <w:t xml:space="preserve"> </w:t>
      </w:r>
    </w:p>
    <w:p w14:paraId="24A28A9C" w14:textId="3769A8DD" w:rsidR="00CE7E14" w:rsidRDefault="00FD3EF7" w:rsidP="00515FAC">
      <w:pPr>
        <w:spacing w:before="240" w:after="240" w:line="276" w:lineRule="auto"/>
        <w:ind w:left="1440" w:hanging="1440"/>
        <w:jc w:val="both"/>
        <w:rPr>
          <w:snapToGrid w:val="0"/>
          <w:kern w:val="20"/>
          <w:sz w:val="22"/>
          <w:szCs w:val="22"/>
        </w:rPr>
      </w:pPr>
      <w:r w:rsidRPr="002B426C">
        <w:rPr>
          <w:b/>
          <w:iCs/>
          <w:snapToGrid w:val="0"/>
          <w:kern w:val="20"/>
          <w:sz w:val="22"/>
          <w:szCs w:val="22"/>
        </w:rPr>
        <w:t>Schedule 1</w:t>
      </w:r>
      <w:r w:rsidR="002B426C">
        <w:rPr>
          <w:b/>
          <w:iCs/>
          <w:snapToGrid w:val="0"/>
          <w:kern w:val="20"/>
          <w:sz w:val="22"/>
          <w:szCs w:val="22"/>
        </w:rPr>
        <w:t xml:space="preserve"> - </w:t>
      </w:r>
      <w:r w:rsidRPr="002B426C">
        <w:rPr>
          <w:b/>
          <w:iCs/>
          <w:snapToGrid w:val="0"/>
          <w:kern w:val="20"/>
          <w:sz w:val="22"/>
          <w:szCs w:val="22"/>
        </w:rPr>
        <w:t>Amendments</w:t>
      </w:r>
    </w:p>
    <w:p w14:paraId="600FB189" w14:textId="53D45034" w:rsidR="00AE4DE2" w:rsidRDefault="00972CD6" w:rsidP="00C733EE">
      <w:pPr>
        <w:spacing w:before="240" w:after="240" w:line="276" w:lineRule="auto"/>
        <w:ind w:left="709" w:hanging="737"/>
        <w:rPr>
          <w:snapToGrid w:val="0"/>
          <w:kern w:val="20"/>
          <w:sz w:val="22"/>
          <w:szCs w:val="22"/>
        </w:rPr>
      </w:pPr>
      <w:r w:rsidRPr="005345FE">
        <w:rPr>
          <w:snapToGrid w:val="0"/>
          <w:kern w:val="20"/>
          <w:sz w:val="22"/>
          <w:szCs w:val="22"/>
        </w:rPr>
        <w:t>Item 1–</w:t>
      </w:r>
      <w:r w:rsidR="00515FAC">
        <w:rPr>
          <w:snapToGrid w:val="0"/>
          <w:kern w:val="20"/>
          <w:sz w:val="22"/>
          <w:szCs w:val="22"/>
        </w:rPr>
        <w:t xml:space="preserve"> </w:t>
      </w:r>
      <w:r w:rsidRPr="005345FE">
        <w:rPr>
          <w:snapToGrid w:val="0"/>
          <w:kern w:val="20"/>
          <w:sz w:val="22"/>
          <w:szCs w:val="22"/>
        </w:rPr>
        <w:t xml:space="preserve">This item amends </w:t>
      </w:r>
      <w:r w:rsidR="00722A18">
        <w:rPr>
          <w:snapToGrid w:val="0"/>
          <w:kern w:val="20"/>
          <w:sz w:val="22"/>
          <w:szCs w:val="22"/>
        </w:rPr>
        <w:t xml:space="preserve">the definition of </w:t>
      </w:r>
      <w:r w:rsidR="00B31720" w:rsidRPr="005345FE">
        <w:rPr>
          <w:snapToGrid w:val="0"/>
          <w:kern w:val="20"/>
          <w:sz w:val="22"/>
          <w:szCs w:val="22"/>
        </w:rPr>
        <w:t>“</w:t>
      </w:r>
      <w:r w:rsidR="00722A18">
        <w:rPr>
          <w:snapToGrid w:val="0"/>
          <w:kern w:val="20"/>
          <w:sz w:val="22"/>
          <w:szCs w:val="22"/>
        </w:rPr>
        <w:t>licen</w:t>
      </w:r>
      <w:r w:rsidR="00541B42">
        <w:rPr>
          <w:snapToGrid w:val="0"/>
          <w:kern w:val="20"/>
          <w:sz w:val="22"/>
          <w:szCs w:val="22"/>
        </w:rPr>
        <w:t>s</w:t>
      </w:r>
      <w:r w:rsidR="00722A18">
        <w:rPr>
          <w:snapToGrid w:val="0"/>
          <w:kern w:val="20"/>
          <w:sz w:val="22"/>
          <w:szCs w:val="22"/>
        </w:rPr>
        <w:t>ed person</w:t>
      </w:r>
      <w:r w:rsidRPr="005345FE">
        <w:rPr>
          <w:snapToGrid w:val="0"/>
          <w:kern w:val="20"/>
          <w:sz w:val="22"/>
          <w:szCs w:val="22"/>
        </w:rPr>
        <w:t xml:space="preserve">” by </w:t>
      </w:r>
      <w:r w:rsidR="001A32CB">
        <w:rPr>
          <w:snapToGrid w:val="0"/>
          <w:kern w:val="20"/>
          <w:sz w:val="22"/>
          <w:szCs w:val="22"/>
        </w:rPr>
        <w:t>repealing the definition and substituting it with “</w:t>
      </w:r>
      <w:r w:rsidR="00B70DD0" w:rsidRPr="00515FAC">
        <w:rPr>
          <w:snapToGrid w:val="0"/>
          <w:kern w:val="20"/>
          <w:sz w:val="22"/>
          <w:szCs w:val="22"/>
        </w:rPr>
        <w:t>licen</w:t>
      </w:r>
      <w:r w:rsidR="00541B42" w:rsidRPr="00515FAC">
        <w:rPr>
          <w:snapToGrid w:val="0"/>
          <w:kern w:val="20"/>
          <w:sz w:val="22"/>
          <w:szCs w:val="22"/>
        </w:rPr>
        <w:t>s</w:t>
      </w:r>
      <w:r w:rsidR="00B70DD0" w:rsidRPr="00515FAC">
        <w:rPr>
          <w:snapToGrid w:val="0"/>
          <w:kern w:val="20"/>
          <w:sz w:val="22"/>
          <w:szCs w:val="22"/>
        </w:rPr>
        <w:t xml:space="preserve">ed person </w:t>
      </w:r>
      <w:r w:rsidR="00B70DD0">
        <w:rPr>
          <w:snapToGrid w:val="0"/>
          <w:kern w:val="20"/>
          <w:sz w:val="22"/>
          <w:szCs w:val="22"/>
        </w:rPr>
        <w:t>means a person who has been granted a licence under subsection 19(2), 19(</w:t>
      </w:r>
      <w:r w:rsidR="00467F03">
        <w:rPr>
          <w:snapToGrid w:val="0"/>
          <w:kern w:val="20"/>
          <w:sz w:val="22"/>
          <w:szCs w:val="22"/>
        </w:rPr>
        <w:t xml:space="preserve">3) or 19(4A) of the Act, or transferred such a licence under section 25 of the Act, that authorises the taking, processing or carrying of fish”. </w:t>
      </w:r>
      <w:r w:rsidR="00B56828">
        <w:rPr>
          <w:snapToGrid w:val="0"/>
          <w:kern w:val="20"/>
          <w:sz w:val="22"/>
          <w:szCs w:val="22"/>
        </w:rPr>
        <w:t xml:space="preserve">This </w:t>
      </w:r>
      <w:r w:rsidR="00304678">
        <w:rPr>
          <w:snapToGrid w:val="0"/>
          <w:kern w:val="20"/>
          <w:sz w:val="22"/>
          <w:szCs w:val="22"/>
        </w:rPr>
        <w:t xml:space="preserve">in effect, </w:t>
      </w:r>
      <w:r w:rsidR="00EC1A2C">
        <w:rPr>
          <w:snapToGrid w:val="0"/>
          <w:kern w:val="20"/>
          <w:sz w:val="22"/>
          <w:szCs w:val="22"/>
        </w:rPr>
        <w:t>extend</w:t>
      </w:r>
      <w:r w:rsidR="00304678">
        <w:rPr>
          <w:snapToGrid w:val="0"/>
          <w:kern w:val="20"/>
          <w:sz w:val="22"/>
          <w:szCs w:val="22"/>
        </w:rPr>
        <w:t>s</w:t>
      </w:r>
      <w:r w:rsidR="00EC1A2C">
        <w:rPr>
          <w:snapToGrid w:val="0"/>
          <w:kern w:val="20"/>
          <w:sz w:val="22"/>
          <w:szCs w:val="22"/>
        </w:rPr>
        <w:t xml:space="preserve"> the</w:t>
      </w:r>
      <w:r w:rsidR="006223EB">
        <w:rPr>
          <w:snapToGrid w:val="0"/>
          <w:kern w:val="20"/>
          <w:sz w:val="22"/>
          <w:szCs w:val="22"/>
        </w:rPr>
        <w:t xml:space="preserve"> exemption to the prohibitions</w:t>
      </w:r>
      <w:r w:rsidR="004623B9">
        <w:rPr>
          <w:snapToGrid w:val="0"/>
          <w:kern w:val="20"/>
          <w:sz w:val="22"/>
          <w:szCs w:val="22"/>
        </w:rPr>
        <w:t xml:space="preserve"> outlined in </w:t>
      </w:r>
      <w:r w:rsidR="00EC1A2C">
        <w:rPr>
          <w:snapToGrid w:val="0"/>
          <w:kern w:val="20"/>
          <w:sz w:val="22"/>
          <w:szCs w:val="22"/>
        </w:rPr>
        <w:t xml:space="preserve">Section 7 of the Management Instrument to include </w:t>
      </w:r>
      <w:r w:rsidR="00C51AA0">
        <w:rPr>
          <w:snapToGrid w:val="0"/>
          <w:kern w:val="20"/>
          <w:sz w:val="22"/>
          <w:szCs w:val="22"/>
        </w:rPr>
        <w:t xml:space="preserve">a person who has been granted a licence under subsection 19(4A). </w:t>
      </w:r>
    </w:p>
    <w:p w14:paraId="05A1FC7D" w14:textId="073E173D" w:rsidR="00515FAC" w:rsidRDefault="00515FAC" w:rsidP="00C733EE">
      <w:pPr>
        <w:spacing w:before="240" w:after="240" w:line="276" w:lineRule="auto"/>
        <w:ind w:left="709" w:hanging="737"/>
        <w:rPr>
          <w:snapToGrid w:val="0"/>
          <w:kern w:val="20"/>
          <w:sz w:val="22"/>
          <w:szCs w:val="22"/>
        </w:rPr>
      </w:pPr>
      <w:r>
        <w:rPr>
          <w:snapToGrid w:val="0"/>
          <w:kern w:val="20"/>
          <w:sz w:val="22"/>
          <w:szCs w:val="22"/>
        </w:rPr>
        <w:t>Item 2</w:t>
      </w:r>
      <w:r w:rsidRPr="005345FE">
        <w:rPr>
          <w:snapToGrid w:val="0"/>
          <w:kern w:val="20"/>
          <w:sz w:val="22"/>
          <w:szCs w:val="22"/>
        </w:rPr>
        <w:t>–</w:t>
      </w:r>
      <w:r>
        <w:rPr>
          <w:snapToGrid w:val="0"/>
          <w:kern w:val="20"/>
          <w:sz w:val="22"/>
          <w:szCs w:val="22"/>
        </w:rPr>
        <w:t xml:space="preserve"> This item amends </w:t>
      </w:r>
      <w:r w:rsidR="003F3F17">
        <w:rPr>
          <w:snapToGrid w:val="0"/>
          <w:kern w:val="20"/>
          <w:sz w:val="22"/>
          <w:szCs w:val="22"/>
        </w:rPr>
        <w:t xml:space="preserve">the </w:t>
      </w:r>
      <w:r>
        <w:rPr>
          <w:snapToGrid w:val="0"/>
          <w:kern w:val="20"/>
          <w:sz w:val="22"/>
          <w:szCs w:val="22"/>
        </w:rPr>
        <w:t>Prohibition – permanent closures</w:t>
      </w:r>
      <w:r w:rsidR="003F3F17">
        <w:rPr>
          <w:snapToGrid w:val="0"/>
          <w:kern w:val="20"/>
          <w:sz w:val="22"/>
          <w:szCs w:val="22"/>
        </w:rPr>
        <w:t xml:space="preserve"> area</w:t>
      </w:r>
      <w:r>
        <w:rPr>
          <w:snapToGrid w:val="0"/>
          <w:kern w:val="20"/>
          <w:sz w:val="22"/>
          <w:szCs w:val="22"/>
        </w:rPr>
        <w:t xml:space="preserve"> by repealing the section and substituting it with “</w:t>
      </w:r>
      <w:r w:rsidRPr="00515FAC">
        <w:rPr>
          <w:snapToGrid w:val="0"/>
          <w:kern w:val="20"/>
          <w:sz w:val="22"/>
          <w:szCs w:val="22"/>
        </w:rPr>
        <w:t>Pursuant to paragraph 16(1)(a) of the Act, the taking of finfish is prohibited by line fishing methods in that area of the finfish fishery commencing south of Latitude 09°34’ 31” S and west of Longitude 142°31'49" E.</w:t>
      </w:r>
      <w:r w:rsidR="00EB69BE">
        <w:rPr>
          <w:snapToGrid w:val="0"/>
          <w:kern w:val="20"/>
          <w:sz w:val="22"/>
          <w:szCs w:val="22"/>
        </w:rPr>
        <w:t>”</w:t>
      </w:r>
      <w:r w:rsidRPr="00515FAC">
        <w:rPr>
          <w:snapToGrid w:val="0"/>
          <w:kern w:val="20"/>
          <w:sz w:val="22"/>
          <w:szCs w:val="22"/>
        </w:rPr>
        <w:t xml:space="preserve"> </w:t>
      </w:r>
      <w:r w:rsidR="004E4102">
        <w:rPr>
          <w:snapToGrid w:val="0"/>
          <w:kern w:val="20"/>
          <w:sz w:val="22"/>
          <w:szCs w:val="22"/>
        </w:rPr>
        <w:t xml:space="preserve">This in effect, </w:t>
      </w:r>
      <w:r w:rsidR="000C32FE">
        <w:rPr>
          <w:snapToGrid w:val="0"/>
          <w:kern w:val="20"/>
          <w:sz w:val="22"/>
          <w:szCs w:val="22"/>
        </w:rPr>
        <w:t xml:space="preserve">reduces the area of waters that the permanent closure </w:t>
      </w:r>
      <w:r w:rsidR="00CC359E">
        <w:rPr>
          <w:snapToGrid w:val="0"/>
          <w:kern w:val="20"/>
          <w:sz w:val="22"/>
          <w:szCs w:val="22"/>
        </w:rPr>
        <w:t>applies to</w:t>
      </w:r>
      <w:r w:rsidR="00DE7838">
        <w:rPr>
          <w:snapToGrid w:val="0"/>
          <w:kern w:val="20"/>
          <w:sz w:val="22"/>
          <w:szCs w:val="22"/>
        </w:rPr>
        <w:t>.</w:t>
      </w:r>
    </w:p>
    <w:p w14:paraId="4543BA99" w14:textId="08F90B1D" w:rsidR="00AE4DE2" w:rsidRPr="005345FE" w:rsidRDefault="00960BB1" w:rsidP="00711448">
      <w:pPr>
        <w:spacing w:before="240" w:after="240" w:line="276" w:lineRule="auto"/>
        <w:ind w:left="709"/>
        <w:rPr>
          <w:snapToGrid w:val="0"/>
          <w:kern w:val="20"/>
          <w:sz w:val="22"/>
          <w:szCs w:val="22"/>
        </w:rPr>
      </w:pPr>
      <w:r>
        <w:rPr>
          <w:rStyle w:val="normaltextrun"/>
          <w:color w:val="000000"/>
          <w:sz w:val="22"/>
          <w:szCs w:val="22"/>
          <w:shd w:val="clear" w:color="auto" w:fill="FFFFFF"/>
        </w:rPr>
        <w:t>It is noted at this section that the prohibition in section 15 does not apply to traditional inhabitants engaged in traditional fishing. This is because the PZJA, the body making the</w:t>
      </w:r>
      <w:r w:rsidR="00EB69BE">
        <w:rPr>
          <w:rStyle w:val="normaltextrun"/>
          <w:color w:val="000000"/>
          <w:sz w:val="22"/>
          <w:szCs w:val="22"/>
          <w:shd w:val="clear" w:color="auto" w:fill="FFFFFF"/>
        </w:rPr>
        <w:t xml:space="preserve"> Amendment</w:t>
      </w:r>
      <w:r>
        <w:rPr>
          <w:rStyle w:val="normaltextrun"/>
          <w:color w:val="000000"/>
          <w:sz w:val="22"/>
          <w:szCs w:val="22"/>
          <w:shd w:val="clear" w:color="auto" w:fill="FFFFFF"/>
        </w:rPr>
        <w:t xml:space="preserve"> Instrument, does not have jurisdiction to regulate traditional fishing under the PZJA Arrangement.</w:t>
      </w:r>
      <w:r>
        <w:rPr>
          <w:rStyle w:val="eop"/>
          <w:color w:val="000000"/>
          <w:sz w:val="22"/>
          <w:szCs w:val="22"/>
          <w:shd w:val="clear" w:color="auto" w:fill="FFFFFF"/>
        </w:rPr>
        <w:t> </w:t>
      </w:r>
    </w:p>
    <w:sectPr w:rsidR="00AE4DE2" w:rsidRPr="005345FE" w:rsidSect="00797D9E">
      <w:headerReference w:type="default" r:id="rId12"/>
      <w:footerReference w:type="even" r:id="rId13"/>
      <w:footerReference w:type="default" r:id="rId14"/>
      <w:headerReference w:type="first" r:id="rId15"/>
      <w:footerReference w:type="first" r:id="rId16"/>
      <w:pgSz w:w="11907" w:h="16840" w:code="9"/>
      <w:pgMar w:top="1276" w:right="1440" w:bottom="1440" w:left="144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938E7" w14:textId="77777777" w:rsidR="00CA7B77" w:rsidRDefault="00CA7B77" w:rsidP="00FC54D1">
      <w:r>
        <w:separator/>
      </w:r>
    </w:p>
  </w:endnote>
  <w:endnote w:type="continuationSeparator" w:id="0">
    <w:p w14:paraId="3A0561B3" w14:textId="77777777" w:rsidR="00CA7B77" w:rsidRDefault="00CA7B77" w:rsidP="00FC54D1">
      <w:r>
        <w:continuationSeparator/>
      </w:r>
    </w:p>
  </w:endnote>
  <w:endnote w:type="continuationNotice" w:id="1">
    <w:p w14:paraId="3E1BC7AE" w14:textId="77777777" w:rsidR="00CA7B77" w:rsidRDefault="00CA7B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AAF08" w14:textId="77777777" w:rsidR="00096083" w:rsidRDefault="000960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8F9793B" w14:textId="77777777" w:rsidR="00096083" w:rsidRDefault="000960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3610B" w14:textId="580C91DE" w:rsidR="00096083" w:rsidRDefault="000960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75D1B">
      <w:rPr>
        <w:rStyle w:val="PageNumber"/>
        <w:noProof/>
      </w:rPr>
      <w:t>5</w:t>
    </w:r>
    <w:r>
      <w:rPr>
        <w:rStyle w:val="PageNumber"/>
      </w:rPr>
      <w:fldChar w:fldCharType="end"/>
    </w:r>
  </w:p>
  <w:p w14:paraId="670E8A1B" w14:textId="77777777" w:rsidR="00096083" w:rsidRDefault="00096083">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4531BE2E" w14:paraId="666896D2" w14:textId="77777777" w:rsidTr="4531BE2E">
      <w:tc>
        <w:tcPr>
          <w:tcW w:w="3005" w:type="dxa"/>
        </w:tcPr>
        <w:p w14:paraId="4C74FF0F" w14:textId="0927A347" w:rsidR="4531BE2E" w:rsidRDefault="4531BE2E" w:rsidP="4531BE2E">
          <w:pPr>
            <w:pStyle w:val="Header"/>
            <w:ind w:left="-115"/>
          </w:pPr>
        </w:p>
      </w:tc>
      <w:tc>
        <w:tcPr>
          <w:tcW w:w="3005" w:type="dxa"/>
        </w:tcPr>
        <w:p w14:paraId="650052A4" w14:textId="1A7BBC83" w:rsidR="4531BE2E" w:rsidRDefault="4531BE2E" w:rsidP="4531BE2E">
          <w:pPr>
            <w:pStyle w:val="Header"/>
            <w:jc w:val="center"/>
          </w:pPr>
        </w:p>
      </w:tc>
      <w:tc>
        <w:tcPr>
          <w:tcW w:w="3005" w:type="dxa"/>
        </w:tcPr>
        <w:p w14:paraId="4E7FAAE9" w14:textId="39AB94AF" w:rsidR="4531BE2E" w:rsidRDefault="4531BE2E" w:rsidP="4531BE2E">
          <w:pPr>
            <w:pStyle w:val="Header"/>
            <w:ind w:right="-115"/>
            <w:jc w:val="right"/>
          </w:pPr>
        </w:p>
      </w:tc>
    </w:tr>
  </w:tbl>
  <w:p w14:paraId="57511BC4" w14:textId="34257AD9" w:rsidR="003D0690" w:rsidRDefault="003D0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82E17" w14:textId="77777777" w:rsidR="00CA7B77" w:rsidRDefault="00CA7B77" w:rsidP="00FC54D1">
      <w:r>
        <w:separator/>
      </w:r>
    </w:p>
  </w:footnote>
  <w:footnote w:type="continuationSeparator" w:id="0">
    <w:p w14:paraId="025F7290" w14:textId="77777777" w:rsidR="00CA7B77" w:rsidRDefault="00CA7B77" w:rsidP="00FC54D1">
      <w:r>
        <w:continuationSeparator/>
      </w:r>
    </w:p>
  </w:footnote>
  <w:footnote w:type="continuationNotice" w:id="1">
    <w:p w14:paraId="6D43BB13" w14:textId="77777777" w:rsidR="00CA7B77" w:rsidRDefault="00CA7B77"/>
  </w:footnote>
  <w:footnote w:id="2">
    <w:p w14:paraId="7A9A8FD1" w14:textId="1BD510E0" w:rsidR="00EC49D1" w:rsidRDefault="00EC49D1" w:rsidP="00EC49D1">
      <w:pPr>
        <w:pStyle w:val="definition0"/>
        <w:shd w:val="clear" w:color="auto" w:fill="FFFFFF"/>
        <w:spacing w:before="180" w:beforeAutospacing="0" w:after="0" w:afterAutospacing="0"/>
        <w:rPr>
          <w:color w:val="000000"/>
          <w:sz w:val="22"/>
          <w:szCs w:val="22"/>
        </w:rPr>
      </w:pPr>
      <w:r>
        <w:rPr>
          <w:rStyle w:val="FootnoteReference"/>
        </w:rPr>
        <w:footnoteRef/>
      </w:r>
      <w:r>
        <w:t xml:space="preserve"> </w:t>
      </w:r>
      <w:r>
        <w:rPr>
          <w:color w:val="000000"/>
          <w:sz w:val="20"/>
          <w:szCs w:val="20"/>
          <w:shd w:val="clear" w:color="auto" w:fill="FFFFFF"/>
        </w:rPr>
        <w:t>PZJA Arrangement means the document titled “</w:t>
      </w:r>
      <w:r>
        <w:rPr>
          <w:i/>
          <w:iCs/>
          <w:color w:val="000000"/>
          <w:sz w:val="20"/>
          <w:szCs w:val="20"/>
          <w:shd w:val="clear" w:color="auto" w:fill="FFFFFF"/>
        </w:rPr>
        <w:t>Arrangement between the Commonwealth and the State of Queensland under section 31 of the Torres Strait Fisheries Act 1984” </w:t>
      </w:r>
      <w:r>
        <w:rPr>
          <w:color w:val="000000"/>
          <w:sz w:val="20"/>
          <w:szCs w:val="20"/>
          <w:shd w:val="clear" w:color="auto" w:fill="FFFFFF"/>
        </w:rPr>
        <w:t>dated 17 March 1999</w:t>
      </w:r>
      <w:r>
        <w:rPr>
          <w:i/>
          <w:iCs/>
          <w:color w:val="000000"/>
          <w:sz w:val="20"/>
          <w:szCs w:val="20"/>
          <w:shd w:val="clear" w:color="auto" w:fill="FFFFFF"/>
        </w:rPr>
        <w:t> </w:t>
      </w:r>
      <w:r>
        <w:rPr>
          <w:color w:val="000000"/>
          <w:sz w:val="20"/>
          <w:szCs w:val="20"/>
          <w:shd w:val="clear" w:color="auto" w:fill="FFFFFF"/>
        </w:rPr>
        <w:t>and</w:t>
      </w:r>
      <w:r>
        <w:rPr>
          <w:i/>
          <w:iCs/>
          <w:color w:val="000000"/>
          <w:sz w:val="20"/>
          <w:szCs w:val="20"/>
          <w:shd w:val="clear" w:color="auto" w:fill="FFFFFF"/>
        </w:rPr>
        <w:t> </w:t>
      </w:r>
      <w:r>
        <w:rPr>
          <w:color w:val="000000"/>
          <w:sz w:val="20"/>
          <w:szCs w:val="20"/>
          <w:shd w:val="clear" w:color="auto" w:fill="FFFFFF"/>
        </w:rPr>
        <w:t>published on the Federal Register of Legislation, as that document exists at the commencement of this Instrument.</w:t>
      </w:r>
    </w:p>
    <w:p w14:paraId="1E459733" w14:textId="7B9F67FE" w:rsidR="00EC49D1" w:rsidRDefault="00EC49D1" w:rsidP="00EC49D1">
      <w:pPr>
        <w:pStyle w:val="FootnoteText"/>
      </w:pPr>
      <w:r>
        <w:br/>
      </w:r>
      <w:r w:rsidRPr="5DA7B41E">
        <w:rPr>
          <w:color w:val="000000" w:themeColor="text1"/>
          <w:sz w:val="18"/>
          <w:szCs w:val="18"/>
        </w:rPr>
        <w:t xml:space="preserve">Note: The PZJA Arrangement could in 2021 be viewed on the website of the Federal Register of Legislation </w:t>
      </w:r>
      <w:r w:rsidR="5DA7B41E" w:rsidRPr="5DA7B41E">
        <w:rPr>
          <w:color w:val="000000" w:themeColor="text1"/>
          <w:sz w:val="18"/>
          <w:szCs w:val="18"/>
        </w:rPr>
        <w:t xml:space="preserve">at the following link: </w:t>
      </w:r>
      <w:hyperlink r:id="rId1">
        <w:r w:rsidR="5DA7B41E" w:rsidRPr="5DA7B41E">
          <w:rPr>
            <w:rStyle w:val="Hyperlink"/>
            <w:color w:val="000000" w:themeColor="text1"/>
            <w:sz w:val="18"/>
            <w:szCs w:val="18"/>
          </w:rPr>
          <w:t>https://www.legislation.gov.au/Details/F2008B00750</w:t>
        </w:r>
      </w:hyperlink>
      <w:r w:rsidRPr="5DA7B41E">
        <w:rPr>
          <w:color w:val="000000" w:themeColor="text1"/>
          <w:sz w:val="18"/>
          <w:szCs w:val="18"/>
        </w:rPr>
        <w:t>.</w:t>
      </w:r>
    </w:p>
  </w:footnote>
  <w:footnote w:id="3">
    <w:p w14:paraId="6675E6B8" w14:textId="6B86919F" w:rsidR="5DA7B41E" w:rsidRDefault="5DA7B41E" w:rsidP="00F427E8">
      <w:pPr>
        <w:pStyle w:val="FootnoteText"/>
        <w:rPr>
          <w:color w:val="000000" w:themeColor="text1"/>
          <w:sz w:val="18"/>
          <w:szCs w:val="18"/>
        </w:rPr>
      </w:pPr>
      <w:r w:rsidRPr="5DA7B41E">
        <w:rPr>
          <w:rStyle w:val="FootnoteReference"/>
        </w:rPr>
        <w:footnoteRef/>
      </w:r>
      <w:r w:rsidRPr="5DA7B41E">
        <w:t xml:space="preserve"> </w:t>
      </w:r>
      <w:r w:rsidRPr="5DA7B41E">
        <w:rPr>
          <w:color w:val="000000" w:themeColor="text1"/>
          <w:sz w:val="18"/>
          <w:szCs w:val="18"/>
        </w:rPr>
        <w:t xml:space="preserve"> The </w:t>
      </w:r>
      <w:r w:rsidRPr="009B6958">
        <w:rPr>
          <w:i/>
          <w:iCs/>
          <w:color w:val="000000" w:themeColor="text1"/>
          <w:sz w:val="18"/>
          <w:szCs w:val="18"/>
        </w:rPr>
        <w:t>Torres Strait Community Fishing Notice No.1 - Community Fishing in the Torres Strait – Prohibition on Taking Fish Without a Licence</w:t>
      </w:r>
      <w:r w:rsidRPr="5DA7B41E">
        <w:rPr>
          <w:color w:val="000000" w:themeColor="text1"/>
          <w:sz w:val="18"/>
          <w:szCs w:val="18"/>
        </w:rPr>
        <w:t xml:space="preserve"> in February 2022 can be viewed on the website of the Federal Register of Legislation at the following link: https://www.legislation.gov.au/Details/F2008B00622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4531BE2E" w14:paraId="37347657" w14:textId="77777777" w:rsidTr="4531BE2E">
      <w:tc>
        <w:tcPr>
          <w:tcW w:w="3005" w:type="dxa"/>
        </w:tcPr>
        <w:p w14:paraId="52B144E4" w14:textId="13028AED" w:rsidR="4531BE2E" w:rsidRDefault="4531BE2E" w:rsidP="4531BE2E">
          <w:pPr>
            <w:pStyle w:val="Header"/>
            <w:ind w:left="-115"/>
          </w:pPr>
        </w:p>
      </w:tc>
      <w:tc>
        <w:tcPr>
          <w:tcW w:w="3005" w:type="dxa"/>
        </w:tcPr>
        <w:p w14:paraId="3044F578" w14:textId="3E3CFC22" w:rsidR="4531BE2E" w:rsidRDefault="4531BE2E" w:rsidP="4531BE2E">
          <w:pPr>
            <w:pStyle w:val="Header"/>
            <w:jc w:val="center"/>
          </w:pPr>
        </w:p>
      </w:tc>
      <w:tc>
        <w:tcPr>
          <w:tcW w:w="3005" w:type="dxa"/>
        </w:tcPr>
        <w:p w14:paraId="11ADEBB5" w14:textId="75C58B23" w:rsidR="4531BE2E" w:rsidRDefault="4531BE2E" w:rsidP="4531BE2E">
          <w:pPr>
            <w:pStyle w:val="Header"/>
            <w:ind w:right="-115"/>
            <w:jc w:val="right"/>
          </w:pPr>
        </w:p>
      </w:tc>
    </w:tr>
  </w:tbl>
  <w:p w14:paraId="2001FBC4" w14:textId="01F99C2C" w:rsidR="003D0690" w:rsidRDefault="003D06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4531BE2E" w14:paraId="1581FD1B" w14:textId="77777777" w:rsidTr="4531BE2E">
      <w:tc>
        <w:tcPr>
          <w:tcW w:w="3005" w:type="dxa"/>
        </w:tcPr>
        <w:p w14:paraId="6FF269C7" w14:textId="37C6C49B" w:rsidR="4531BE2E" w:rsidRDefault="4531BE2E" w:rsidP="4531BE2E">
          <w:pPr>
            <w:pStyle w:val="Header"/>
            <w:ind w:left="-115"/>
          </w:pPr>
        </w:p>
      </w:tc>
      <w:tc>
        <w:tcPr>
          <w:tcW w:w="3005" w:type="dxa"/>
        </w:tcPr>
        <w:p w14:paraId="6CF9EDDD" w14:textId="12E5B797" w:rsidR="4531BE2E" w:rsidRDefault="4531BE2E" w:rsidP="4531BE2E">
          <w:pPr>
            <w:pStyle w:val="Header"/>
            <w:jc w:val="center"/>
          </w:pPr>
        </w:p>
      </w:tc>
      <w:tc>
        <w:tcPr>
          <w:tcW w:w="3005" w:type="dxa"/>
        </w:tcPr>
        <w:p w14:paraId="48DFBD4D" w14:textId="5F3196D7" w:rsidR="4531BE2E" w:rsidRDefault="4531BE2E" w:rsidP="4531BE2E">
          <w:pPr>
            <w:pStyle w:val="Header"/>
            <w:ind w:right="-115"/>
            <w:jc w:val="right"/>
          </w:pPr>
        </w:p>
      </w:tc>
    </w:tr>
  </w:tbl>
  <w:p w14:paraId="3DFCC1C7" w14:textId="22434D3C" w:rsidR="003D0690" w:rsidRDefault="003D0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50209"/>
    <w:multiLevelType w:val="hybridMultilevel"/>
    <w:tmpl w:val="830AB2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9666F9"/>
    <w:multiLevelType w:val="hybridMultilevel"/>
    <w:tmpl w:val="E1E490E2"/>
    <w:lvl w:ilvl="0" w:tplc="B88A351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F3A501D"/>
    <w:multiLevelType w:val="hybridMultilevel"/>
    <w:tmpl w:val="70B67E4E"/>
    <w:lvl w:ilvl="0" w:tplc="6EE26B7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112014F"/>
    <w:multiLevelType w:val="hybridMultilevel"/>
    <w:tmpl w:val="AC129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2228C4"/>
    <w:multiLevelType w:val="hybridMultilevel"/>
    <w:tmpl w:val="7A905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BE797C"/>
    <w:multiLevelType w:val="hybridMultilevel"/>
    <w:tmpl w:val="AE5C89C0"/>
    <w:lvl w:ilvl="0" w:tplc="FC60864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8AA31A8"/>
    <w:multiLevelType w:val="hybridMultilevel"/>
    <w:tmpl w:val="FED6F29A"/>
    <w:lvl w:ilvl="0" w:tplc="FAB83160">
      <w:start w:val="1"/>
      <w:numFmt w:val="decimal"/>
      <w:lvlText w:val="%1."/>
      <w:lvlJc w:val="left"/>
      <w:pPr>
        <w:ind w:left="643" w:hanging="360"/>
      </w:pPr>
      <w:rPr>
        <w:b w:val="0"/>
      </w:rPr>
    </w:lvl>
    <w:lvl w:ilvl="1" w:tplc="0C090019">
      <w:start w:val="1"/>
      <w:numFmt w:val="lowerLetter"/>
      <w:lvlText w:val="%2."/>
      <w:lvlJc w:val="left"/>
      <w:pPr>
        <w:ind w:left="-345" w:hanging="360"/>
      </w:pPr>
    </w:lvl>
    <w:lvl w:ilvl="2" w:tplc="0C09000F">
      <w:start w:val="1"/>
      <w:numFmt w:val="decimal"/>
      <w:lvlText w:val="%3."/>
      <w:lvlJc w:val="left"/>
      <w:pPr>
        <w:ind w:left="375" w:hanging="180"/>
      </w:pPr>
    </w:lvl>
    <w:lvl w:ilvl="3" w:tplc="0C090017">
      <w:start w:val="1"/>
      <w:numFmt w:val="lowerLetter"/>
      <w:lvlText w:val="%4)"/>
      <w:lvlJc w:val="left"/>
      <w:pPr>
        <w:ind w:left="1095" w:hanging="360"/>
      </w:pPr>
    </w:lvl>
    <w:lvl w:ilvl="4" w:tplc="0C090019">
      <w:start w:val="1"/>
      <w:numFmt w:val="lowerLetter"/>
      <w:lvlText w:val="%5."/>
      <w:lvlJc w:val="left"/>
      <w:pPr>
        <w:ind w:left="1815" w:hanging="360"/>
      </w:pPr>
    </w:lvl>
    <w:lvl w:ilvl="5" w:tplc="0C09001B" w:tentative="1">
      <w:start w:val="1"/>
      <w:numFmt w:val="lowerRoman"/>
      <w:lvlText w:val="%6."/>
      <w:lvlJc w:val="right"/>
      <w:pPr>
        <w:ind w:left="2535" w:hanging="180"/>
      </w:pPr>
    </w:lvl>
    <w:lvl w:ilvl="6" w:tplc="0C09000F" w:tentative="1">
      <w:start w:val="1"/>
      <w:numFmt w:val="decimal"/>
      <w:lvlText w:val="%7."/>
      <w:lvlJc w:val="left"/>
      <w:pPr>
        <w:ind w:left="3255" w:hanging="360"/>
      </w:pPr>
    </w:lvl>
    <w:lvl w:ilvl="7" w:tplc="0C090019" w:tentative="1">
      <w:start w:val="1"/>
      <w:numFmt w:val="lowerLetter"/>
      <w:lvlText w:val="%8."/>
      <w:lvlJc w:val="left"/>
      <w:pPr>
        <w:ind w:left="3975" w:hanging="360"/>
      </w:pPr>
    </w:lvl>
    <w:lvl w:ilvl="8" w:tplc="0C09001B" w:tentative="1">
      <w:start w:val="1"/>
      <w:numFmt w:val="lowerRoman"/>
      <w:lvlText w:val="%9."/>
      <w:lvlJc w:val="right"/>
      <w:pPr>
        <w:ind w:left="4695" w:hanging="180"/>
      </w:pPr>
    </w:lvl>
  </w:abstractNum>
  <w:abstractNum w:abstractNumId="7" w15:restartNumberingAfterBreak="0">
    <w:nsid w:val="32B17BB2"/>
    <w:multiLevelType w:val="hybridMultilevel"/>
    <w:tmpl w:val="42A4128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D482B63"/>
    <w:multiLevelType w:val="hybridMultilevel"/>
    <w:tmpl w:val="6BDC7178"/>
    <w:lvl w:ilvl="0" w:tplc="F52E7448">
      <w:start w:val="1"/>
      <w:numFmt w:val="decimal"/>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A943FF3"/>
    <w:multiLevelType w:val="hybridMultilevel"/>
    <w:tmpl w:val="04744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EFE1BF2"/>
    <w:multiLevelType w:val="hybridMultilevel"/>
    <w:tmpl w:val="6EE24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4"/>
  </w:num>
  <w:num w:numId="6">
    <w:abstractNumId w:val="3"/>
  </w:num>
  <w:num w:numId="7">
    <w:abstractNumId w:val="9"/>
  </w:num>
  <w:num w:numId="8">
    <w:abstractNumId w:val="8"/>
  </w:num>
  <w:num w:numId="9">
    <w:abstractNumId w:val="6"/>
  </w:num>
  <w:num w:numId="10">
    <w:abstractNumId w:val="7"/>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oNotTrackFormatting/>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4D1"/>
    <w:rsid w:val="00001D03"/>
    <w:rsid w:val="000072E4"/>
    <w:rsid w:val="00011B99"/>
    <w:rsid w:val="000129FC"/>
    <w:rsid w:val="000166EF"/>
    <w:rsid w:val="00017A99"/>
    <w:rsid w:val="000260B9"/>
    <w:rsid w:val="00027FF9"/>
    <w:rsid w:val="00030135"/>
    <w:rsid w:val="00030477"/>
    <w:rsid w:val="000358CD"/>
    <w:rsid w:val="0003671A"/>
    <w:rsid w:val="000417BB"/>
    <w:rsid w:val="000452EA"/>
    <w:rsid w:val="000456EA"/>
    <w:rsid w:val="00045DAD"/>
    <w:rsid w:val="0005149B"/>
    <w:rsid w:val="00052323"/>
    <w:rsid w:val="000529B4"/>
    <w:rsid w:val="00053D41"/>
    <w:rsid w:val="000568B4"/>
    <w:rsid w:val="00065EA2"/>
    <w:rsid w:val="00070B68"/>
    <w:rsid w:val="00090059"/>
    <w:rsid w:val="00096083"/>
    <w:rsid w:val="00096653"/>
    <w:rsid w:val="000A6A1D"/>
    <w:rsid w:val="000B4061"/>
    <w:rsid w:val="000C143D"/>
    <w:rsid w:val="000C32FE"/>
    <w:rsid w:val="000C43A2"/>
    <w:rsid w:val="000C5BA6"/>
    <w:rsid w:val="000D21B9"/>
    <w:rsid w:val="000D39DA"/>
    <w:rsid w:val="000D6CDD"/>
    <w:rsid w:val="000E03EA"/>
    <w:rsid w:val="000E18DF"/>
    <w:rsid w:val="000E2541"/>
    <w:rsid w:val="000E6CB0"/>
    <w:rsid w:val="000F321A"/>
    <w:rsid w:val="000F3921"/>
    <w:rsid w:val="000F5BE1"/>
    <w:rsid w:val="001018F4"/>
    <w:rsid w:val="0010343B"/>
    <w:rsid w:val="00104785"/>
    <w:rsid w:val="00104EE4"/>
    <w:rsid w:val="001102DA"/>
    <w:rsid w:val="00122133"/>
    <w:rsid w:val="0012290B"/>
    <w:rsid w:val="00132C19"/>
    <w:rsid w:val="001373DD"/>
    <w:rsid w:val="0014159C"/>
    <w:rsid w:val="001449CC"/>
    <w:rsid w:val="00145A9E"/>
    <w:rsid w:val="00147001"/>
    <w:rsid w:val="001509CD"/>
    <w:rsid w:val="00154AA9"/>
    <w:rsid w:val="0016328E"/>
    <w:rsid w:val="001640D5"/>
    <w:rsid w:val="001662BE"/>
    <w:rsid w:val="00170831"/>
    <w:rsid w:val="0017782F"/>
    <w:rsid w:val="0018074A"/>
    <w:rsid w:val="00187F0E"/>
    <w:rsid w:val="00190332"/>
    <w:rsid w:val="0019173E"/>
    <w:rsid w:val="001953A2"/>
    <w:rsid w:val="00195652"/>
    <w:rsid w:val="001972C6"/>
    <w:rsid w:val="001A32CB"/>
    <w:rsid w:val="001B231C"/>
    <w:rsid w:val="001B2ED1"/>
    <w:rsid w:val="001C22D3"/>
    <w:rsid w:val="001C4C53"/>
    <w:rsid w:val="001D2B79"/>
    <w:rsid w:val="001D2E04"/>
    <w:rsid w:val="001D3EFC"/>
    <w:rsid w:val="001E598E"/>
    <w:rsid w:val="001E6C42"/>
    <w:rsid w:val="001F0BFC"/>
    <w:rsid w:val="001F4B69"/>
    <w:rsid w:val="001F507D"/>
    <w:rsid w:val="00200CDF"/>
    <w:rsid w:val="00201FD3"/>
    <w:rsid w:val="00207FAB"/>
    <w:rsid w:val="00217C04"/>
    <w:rsid w:val="0021C9DE"/>
    <w:rsid w:val="00222250"/>
    <w:rsid w:val="0022446F"/>
    <w:rsid w:val="002248B3"/>
    <w:rsid w:val="00226AD6"/>
    <w:rsid w:val="00233947"/>
    <w:rsid w:val="00237237"/>
    <w:rsid w:val="0023733A"/>
    <w:rsid w:val="00241126"/>
    <w:rsid w:val="00245CA9"/>
    <w:rsid w:val="00246936"/>
    <w:rsid w:val="00252583"/>
    <w:rsid w:val="002573BF"/>
    <w:rsid w:val="00262FE5"/>
    <w:rsid w:val="00263B6F"/>
    <w:rsid w:val="00272770"/>
    <w:rsid w:val="00272EF9"/>
    <w:rsid w:val="00280B1D"/>
    <w:rsid w:val="00290193"/>
    <w:rsid w:val="00292CAF"/>
    <w:rsid w:val="00295882"/>
    <w:rsid w:val="002959BE"/>
    <w:rsid w:val="002A1E52"/>
    <w:rsid w:val="002A285F"/>
    <w:rsid w:val="002B31B8"/>
    <w:rsid w:val="002B388A"/>
    <w:rsid w:val="002B3C4B"/>
    <w:rsid w:val="002B426C"/>
    <w:rsid w:val="002B6752"/>
    <w:rsid w:val="002C2B64"/>
    <w:rsid w:val="002C448F"/>
    <w:rsid w:val="002C57D2"/>
    <w:rsid w:val="002E749D"/>
    <w:rsid w:val="002F1C38"/>
    <w:rsid w:val="002F3D32"/>
    <w:rsid w:val="002F48F9"/>
    <w:rsid w:val="00302A00"/>
    <w:rsid w:val="00304678"/>
    <w:rsid w:val="0031759E"/>
    <w:rsid w:val="00324D29"/>
    <w:rsid w:val="00325D43"/>
    <w:rsid w:val="00333C22"/>
    <w:rsid w:val="00333E06"/>
    <w:rsid w:val="00346AA1"/>
    <w:rsid w:val="00352E65"/>
    <w:rsid w:val="00354933"/>
    <w:rsid w:val="00357485"/>
    <w:rsid w:val="0036104D"/>
    <w:rsid w:val="003616F6"/>
    <w:rsid w:val="00363DDD"/>
    <w:rsid w:val="003679DF"/>
    <w:rsid w:val="00367F84"/>
    <w:rsid w:val="0037755B"/>
    <w:rsid w:val="00382C12"/>
    <w:rsid w:val="00386D10"/>
    <w:rsid w:val="00392409"/>
    <w:rsid w:val="00392DF8"/>
    <w:rsid w:val="00394E3D"/>
    <w:rsid w:val="003967FC"/>
    <w:rsid w:val="003A465A"/>
    <w:rsid w:val="003B35B3"/>
    <w:rsid w:val="003B6DC3"/>
    <w:rsid w:val="003C1625"/>
    <w:rsid w:val="003C38FF"/>
    <w:rsid w:val="003D0690"/>
    <w:rsid w:val="003D116B"/>
    <w:rsid w:val="003D5A64"/>
    <w:rsid w:val="003E5BAF"/>
    <w:rsid w:val="003F0F11"/>
    <w:rsid w:val="003F1B77"/>
    <w:rsid w:val="003F3F17"/>
    <w:rsid w:val="003F49DE"/>
    <w:rsid w:val="00400242"/>
    <w:rsid w:val="0040186E"/>
    <w:rsid w:val="00404208"/>
    <w:rsid w:val="00404C97"/>
    <w:rsid w:val="00404F99"/>
    <w:rsid w:val="00407FD4"/>
    <w:rsid w:val="004104A2"/>
    <w:rsid w:val="004136E1"/>
    <w:rsid w:val="00416A06"/>
    <w:rsid w:val="00425756"/>
    <w:rsid w:val="00433447"/>
    <w:rsid w:val="00435A41"/>
    <w:rsid w:val="004375D8"/>
    <w:rsid w:val="00441CE8"/>
    <w:rsid w:val="00443D21"/>
    <w:rsid w:val="004518AD"/>
    <w:rsid w:val="00456492"/>
    <w:rsid w:val="00462294"/>
    <w:rsid w:val="004623B9"/>
    <w:rsid w:val="004634B9"/>
    <w:rsid w:val="00467F03"/>
    <w:rsid w:val="004753C3"/>
    <w:rsid w:val="00482EB9"/>
    <w:rsid w:val="004845EB"/>
    <w:rsid w:val="00484B6C"/>
    <w:rsid w:val="004864FF"/>
    <w:rsid w:val="004875D9"/>
    <w:rsid w:val="00493AAA"/>
    <w:rsid w:val="004A05B0"/>
    <w:rsid w:val="004A6845"/>
    <w:rsid w:val="004A704B"/>
    <w:rsid w:val="004B2CA9"/>
    <w:rsid w:val="004B327D"/>
    <w:rsid w:val="004B4C95"/>
    <w:rsid w:val="004C37C4"/>
    <w:rsid w:val="004C7C89"/>
    <w:rsid w:val="004D5FB5"/>
    <w:rsid w:val="004E1B18"/>
    <w:rsid w:val="004E4102"/>
    <w:rsid w:val="004E68C8"/>
    <w:rsid w:val="004E6C6E"/>
    <w:rsid w:val="004E7D91"/>
    <w:rsid w:val="004F1FB9"/>
    <w:rsid w:val="004F58F4"/>
    <w:rsid w:val="005021F6"/>
    <w:rsid w:val="005072F0"/>
    <w:rsid w:val="00507D3C"/>
    <w:rsid w:val="005113A6"/>
    <w:rsid w:val="00512983"/>
    <w:rsid w:val="00515385"/>
    <w:rsid w:val="00515FAC"/>
    <w:rsid w:val="005203C8"/>
    <w:rsid w:val="00524812"/>
    <w:rsid w:val="00526427"/>
    <w:rsid w:val="005345FE"/>
    <w:rsid w:val="00537668"/>
    <w:rsid w:val="00537787"/>
    <w:rsid w:val="00541B42"/>
    <w:rsid w:val="00542528"/>
    <w:rsid w:val="00551D92"/>
    <w:rsid w:val="00571D0B"/>
    <w:rsid w:val="0057295B"/>
    <w:rsid w:val="00575439"/>
    <w:rsid w:val="0057775C"/>
    <w:rsid w:val="0059064C"/>
    <w:rsid w:val="00595B53"/>
    <w:rsid w:val="005A2203"/>
    <w:rsid w:val="005A7EB7"/>
    <w:rsid w:val="005B06F4"/>
    <w:rsid w:val="005B5BB5"/>
    <w:rsid w:val="005B6EDE"/>
    <w:rsid w:val="005C0B72"/>
    <w:rsid w:val="005C2EC2"/>
    <w:rsid w:val="005D122F"/>
    <w:rsid w:val="005D2AD8"/>
    <w:rsid w:val="005D55B1"/>
    <w:rsid w:val="005D587A"/>
    <w:rsid w:val="005D745B"/>
    <w:rsid w:val="005E0E7F"/>
    <w:rsid w:val="005E3CCA"/>
    <w:rsid w:val="005F5816"/>
    <w:rsid w:val="006008AD"/>
    <w:rsid w:val="006046D2"/>
    <w:rsid w:val="00606868"/>
    <w:rsid w:val="00621EAD"/>
    <w:rsid w:val="006223EB"/>
    <w:rsid w:val="006251E8"/>
    <w:rsid w:val="00632331"/>
    <w:rsid w:val="00634C41"/>
    <w:rsid w:val="006351EC"/>
    <w:rsid w:val="006362FA"/>
    <w:rsid w:val="00641C09"/>
    <w:rsid w:val="006432A4"/>
    <w:rsid w:val="0065364E"/>
    <w:rsid w:val="00665B51"/>
    <w:rsid w:val="006676F3"/>
    <w:rsid w:val="006709CE"/>
    <w:rsid w:val="00671A86"/>
    <w:rsid w:val="0068686A"/>
    <w:rsid w:val="00687BB4"/>
    <w:rsid w:val="006950B2"/>
    <w:rsid w:val="006A17C6"/>
    <w:rsid w:val="006A34C0"/>
    <w:rsid w:val="006A623B"/>
    <w:rsid w:val="006A7790"/>
    <w:rsid w:val="006B04C7"/>
    <w:rsid w:val="006B34F2"/>
    <w:rsid w:val="006B57C7"/>
    <w:rsid w:val="006B722E"/>
    <w:rsid w:val="006B7F93"/>
    <w:rsid w:val="006D2475"/>
    <w:rsid w:val="006D7821"/>
    <w:rsid w:val="0070501E"/>
    <w:rsid w:val="00705E4F"/>
    <w:rsid w:val="00706A41"/>
    <w:rsid w:val="00710A28"/>
    <w:rsid w:val="00711448"/>
    <w:rsid w:val="00714340"/>
    <w:rsid w:val="00716BC2"/>
    <w:rsid w:val="007213C6"/>
    <w:rsid w:val="00721B54"/>
    <w:rsid w:val="00722358"/>
    <w:rsid w:val="00722A18"/>
    <w:rsid w:val="0073637E"/>
    <w:rsid w:val="00737556"/>
    <w:rsid w:val="00740B36"/>
    <w:rsid w:val="00741867"/>
    <w:rsid w:val="00745289"/>
    <w:rsid w:val="007471B0"/>
    <w:rsid w:val="007473F7"/>
    <w:rsid w:val="0075189C"/>
    <w:rsid w:val="0075486A"/>
    <w:rsid w:val="0076053B"/>
    <w:rsid w:val="0076251F"/>
    <w:rsid w:val="00775D1B"/>
    <w:rsid w:val="00780D9A"/>
    <w:rsid w:val="00783BC3"/>
    <w:rsid w:val="007875A2"/>
    <w:rsid w:val="00787E55"/>
    <w:rsid w:val="00791201"/>
    <w:rsid w:val="007922A0"/>
    <w:rsid w:val="007967AB"/>
    <w:rsid w:val="00797D9E"/>
    <w:rsid w:val="007A6025"/>
    <w:rsid w:val="007B3BD1"/>
    <w:rsid w:val="007B6F69"/>
    <w:rsid w:val="007B7E71"/>
    <w:rsid w:val="007C545B"/>
    <w:rsid w:val="007D00A8"/>
    <w:rsid w:val="007D4D9F"/>
    <w:rsid w:val="007F6952"/>
    <w:rsid w:val="007F6FD3"/>
    <w:rsid w:val="007F745B"/>
    <w:rsid w:val="007F7C56"/>
    <w:rsid w:val="00803B21"/>
    <w:rsid w:val="0080735B"/>
    <w:rsid w:val="00811BCE"/>
    <w:rsid w:val="008125BA"/>
    <w:rsid w:val="00813B5C"/>
    <w:rsid w:val="00816961"/>
    <w:rsid w:val="00816C4B"/>
    <w:rsid w:val="008176D3"/>
    <w:rsid w:val="00824341"/>
    <w:rsid w:val="00826C7D"/>
    <w:rsid w:val="00830FEA"/>
    <w:rsid w:val="00833E9F"/>
    <w:rsid w:val="008411A8"/>
    <w:rsid w:val="00841C8C"/>
    <w:rsid w:val="008522E3"/>
    <w:rsid w:val="00854B3E"/>
    <w:rsid w:val="0086087D"/>
    <w:rsid w:val="00864EED"/>
    <w:rsid w:val="00870A09"/>
    <w:rsid w:val="00871BBB"/>
    <w:rsid w:val="0087280D"/>
    <w:rsid w:val="008734DB"/>
    <w:rsid w:val="00876A8F"/>
    <w:rsid w:val="00881877"/>
    <w:rsid w:val="008822DA"/>
    <w:rsid w:val="00882F63"/>
    <w:rsid w:val="008847DA"/>
    <w:rsid w:val="008852DD"/>
    <w:rsid w:val="00886F35"/>
    <w:rsid w:val="00887695"/>
    <w:rsid w:val="00887CB2"/>
    <w:rsid w:val="0089066A"/>
    <w:rsid w:val="00894701"/>
    <w:rsid w:val="0089752F"/>
    <w:rsid w:val="008A1ECB"/>
    <w:rsid w:val="008B2E97"/>
    <w:rsid w:val="008B3898"/>
    <w:rsid w:val="008C1667"/>
    <w:rsid w:val="008C17C4"/>
    <w:rsid w:val="008C3467"/>
    <w:rsid w:val="008C4F08"/>
    <w:rsid w:val="008C7D64"/>
    <w:rsid w:val="008D49C6"/>
    <w:rsid w:val="008D59C5"/>
    <w:rsid w:val="008E11BD"/>
    <w:rsid w:val="008E3E9E"/>
    <w:rsid w:val="008E757F"/>
    <w:rsid w:val="008F3CAE"/>
    <w:rsid w:val="008F51B8"/>
    <w:rsid w:val="008F76A2"/>
    <w:rsid w:val="009041F7"/>
    <w:rsid w:val="00904248"/>
    <w:rsid w:val="0091219C"/>
    <w:rsid w:val="00915481"/>
    <w:rsid w:val="0092130C"/>
    <w:rsid w:val="009249F7"/>
    <w:rsid w:val="0092560C"/>
    <w:rsid w:val="00925D06"/>
    <w:rsid w:val="00936E4A"/>
    <w:rsid w:val="00943EB6"/>
    <w:rsid w:val="00945D65"/>
    <w:rsid w:val="00947A26"/>
    <w:rsid w:val="00950426"/>
    <w:rsid w:val="00951575"/>
    <w:rsid w:val="00954212"/>
    <w:rsid w:val="00956A6D"/>
    <w:rsid w:val="00960BB1"/>
    <w:rsid w:val="00971B1A"/>
    <w:rsid w:val="00972A13"/>
    <w:rsid w:val="00972CD6"/>
    <w:rsid w:val="00974C9C"/>
    <w:rsid w:val="009770F2"/>
    <w:rsid w:val="009779E7"/>
    <w:rsid w:val="009812E4"/>
    <w:rsid w:val="00987999"/>
    <w:rsid w:val="0099375F"/>
    <w:rsid w:val="0099596F"/>
    <w:rsid w:val="009A23C8"/>
    <w:rsid w:val="009A799A"/>
    <w:rsid w:val="009B6958"/>
    <w:rsid w:val="009E124F"/>
    <w:rsid w:val="009E20B5"/>
    <w:rsid w:val="009F1EED"/>
    <w:rsid w:val="009F4EC4"/>
    <w:rsid w:val="009F66C5"/>
    <w:rsid w:val="009F6BC3"/>
    <w:rsid w:val="009F7EDC"/>
    <w:rsid w:val="00A009CC"/>
    <w:rsid w:val="00A04CD8"/>
    <w:rsid w:val="00A07AE2"/>
    <w:rsid w:val="00A12993"/>
    <w:rsid w:val="00A12FC5"/>
    <w:rsid w:val="00A151E0"/>
    <w:rsid w:val="00A162AC"/>
    <w:rsid w:val="00A1643E"/>
    <w:rsid w:val="00A208A4"/>
    <w:rsid w:val="00A33238"/>
    <w:rsid w:val="00A36392"/>
    <w:rsid w:val="00A41EF1"/>
    <w:rsid w:val="00A459B5"/>
    <w:rsid w:val="00A461E8"/>
    <w:rsid w:val="00A513A3"/>
    <w:rsid w:val="00A6748E"/>
    <w:rsid w:val="00A678B3"/>
    <w:rsid w:val="00A71A5C"/>
    <w:rsid w:val="00A84989"/>
    <w:rsid w:val="00A84D4D"/>
    <w:rsid w:val="00A93B5B"/>
    <w:rsid w:val="00AA2F46"/>
    <w:rsid w:val="00AA5763"/>
    <w:rsid w:val="00AA7BDE"/>
    <w:rsid w:val="00AB1CA6"/>
    <w:rsid w:val="00AB5FFA"/>
    <w:rsid w:val="00AC1297"/>
    <w:rsid w:val="00AC3C25"/>
    <w:rsid w:val="00AC4801"/>
    <w:rsid w:val="00AC5071"/>
    <w:rsid w:val="00AC572D"/>
    <w:rsid w:val="00AC7A29"/>
    <w:rsid w:val="00AD72E2"/>
    <w:rsid w:val="00AE3BD5"/>
    <w:rsid w:val="00AE4DE2"/>
    <w:rsid w:val="00AE6DA1"/>
    <w:rsid w:val="00AF6EBC"/>
    <w:rsid w:val="00B01D59"/>
    <w:rsid w:val="00B02B33"/>
    <w:rsid w:val="00B146A7"/>
    <w:rsid w:val="00B20520"/>
    <w:rsid w:val="00B21224"/>
    <w:rsid w:val="00B25193"/>
    <w:rsid w:val="00B25F06"/>
    <w:rsid w:val="00B31720"/>
    <w:rsid w:val="00B3261E"/>
    <w:rsid w:val="00B329E8"/>
    <w:rsid w:val="00B35382"/>
    <w:rsid w:val="00B37C9D"/>
    <w:rsid w:val="00B41C3E"/>
    <w:rsid w:val="00B43734"/>
    <w:rsid w:val="00B46630"/>
    <w:rsid w:val="00B4720D"/>
    <w:rsid w:val="00B47B93"/>
    <w:rsid w:val="00B551E9"/>
    <w:rsid w:val="00B56828"/>
    <w:rsid w:val="00B66CD2"/>
    <w:rsid w:val="00B70DD0"/>
    <w:rsid w:val="00B71149"/>
    <w:rsid w:val="00B716A9"/>
    <w:rsid w:val="00B7513A"/>
    <w:rsid w:val="00B75E56"/>
    <w:rsid w:val="00B7769A"/>
    <w:rsid w:val="00B90659"/>
    <w:rsid w:val="00B90718"/>
    <w:rsid w:val="00B91389"/>
    <w:rsid w:val="00B91596"/>
    <w:rsid w:val="00B925E8"/>
    <w:rsid w:val="00B9422D"/>
    <w:rsid w:val="00B9461D"/>
    <w:rsid w:val="00BA0C41"/>
    <w:rsid w:val="00BA21C3"/>
    <w:rsid w:val="00BA25E5"/>
    <w:rsid w:val="00BA6703"/>
    <w:rsid w:val="00BB001E"/>
    <w:rsid w:val="00BB116B"/>
    <w:rsid w:val="00BB6800"/>
    <w:rsid w:val="00BC25C5"/>
    <w:rsid w:val="00BC2AC8"/>
    <w:rsid w:val="00BC619E"/>
    <w:rsid w:val="00BD001F"/>
    <w:rsid w:val="00BD5985"/>
    <w:rsid w:val="00BE24E7"/>
    <w:rsid w:val="00BE449C"/>
    <w:rsid w:val="00BF3EF1"/>
    <w:rsid w:val="00BF7280"/>
    <w:rsid w:val="00C01748"/>
    <w:rsid w:val="00C0285D"/>
    <w:rsid w:val="00C0356F"/>
    <w:rsid w:val="00C07FCC"/>
    <w:rsid w:val="00C1617E"/>
    <w:rsid w:val="00C162D7"/>
    <w:rsid w:val="00C17B53"/>
    <w:rsid w:val="00C207D5"/>
    <w:rsid w:val="00C23FA1"/>
    <w:rsid w:val="00C25DC2"/>
    <w:rsid w:val="00C25FD9"/>
    <w:rsid w:val="00C36CE8"/>
    <w:rsid w:val="00C42659"/>
    <w:rsid w:val="00C44B4C"/>
    <w:rsid w:val="00C46BCC"/>
    <w:rsid w:val="00C50324"/>
    <w:rsid w:val="00C51AA0"/>
    <w:rsid w:val="00C57D52"/>
    <w:rsid w:val="00C60FD4"/>
    <w:rsid w:val="00C62E8C"/>
    <w:rsid w:val="00C6598D"/>
    <w:rsid w:val="00C70099"/>
    <w:rsid w:val="00C70363"/>
    <w:rsid w:val="00C733EE"/>
    <w:rsid w:val="00C76206"/>
    <w:rsid w:val="00C81C4A"/>
    <w:rsid w:val="00C81F33"/>
    <w:rsid w:val="00C92492"/>
    <w:rsid w:val="00CA0DD0"/>
    <w:rsid w:val="00CA2EF6"/>
    <w:rsid w:val="00CA7B77"/>
    <w:rsid w:val="00CB0529"/>
    <w:rsid w:val="00CB113F"/>
    <w:rsid w:val="00CC091B"/>
    <w:rsid w:val="00CC1122"/>
    <w:rsid w:val="00CC359E"/>
    <w:rsid w:val="00CD2570"/>
    <w:rsid w:val="00CD4459"/>
    <w:rsid w:val="00CD68A8"/>
    <w:rsid w:val="00CE1AFE"/>
    <w:rsid w:val="00CE3251"/>
    <w:rsid w:val="00CE7E14"/>
    <w:rsid w:val="00CF103E"/>
    <w:rsid w:val="00CF6A60"/>
    <w:rsid w:val="00D0603B"/>
    <w:rsid w:val="00D16D08"/>
    <w:rsid w:val="00D20C80"/>
    <w:rsid w:val="00D20D9D"/>
    <w:rsid w:val="00D225DC"/>
    <w:rsid w:val="00D309B9"/>
    <w:rsid w:val="00D3145C"/>
    <w:rsid w:val="00D32C02"/>
    <w:rsid w:val="00D3728B"/>
    <w:rsid w:val="00D378E0"/>
    <w:rsid w:val="00D40DDA"/>
    <w:rsid w:val="00D47C23"/>
    <w:rsid w:val="00D50371"/>
    <w:rsid w:val="00D76921"/>
    <w:rsid w:val="00D76A90"/>
    <w:rsid w:val="00D774BC"/>
    <w:rsid w:val="00D8224B"/>
    <w:rsid w:val="00D85429"/>
    <w:rsid w:val="00D91D3D"/>
    <w:rsid w:val="00D92E75"/>
    <w:rsid w:val="00DB2BF7"/>
    <w:rsid w:val="00DB729B"/>
    <w:rsid w:val="00DC691D"/>
    <w:rsid w:val="00DD0D35"/>
    <w:rsid w:val="00DD30F3"/>
    <w:rsid w:val="00DD5B2F"/>
    <w:rsid w:val="00DD7152"/>
    <w:rsid w:val="00DD7FF5"/>
    <w:rsid w:val="00DE7838"/>
    <w:rsid w:val="00DE79E7"/>
    <w:rsid w:val="00DF1E1A"/>
    <w:rsid w:val="00DF623A"/>
    <w:rsid w:val="00E10F8D"/>
    <w:rsid w:val="00E114D7"/>
    <w:rsid w:val="00E12D6B"/>
    <w:rsid w:val="00E13979"/>
    <w:rsid w:val="00E16C79"/>
    <w:rsid w:val="00E17ED0"/>
    <w:rsid w:val="00E20214"/>
    <w:rsid w:val="00E24CD6"/>
    <w:rsid w:val="00E257E0"/>
    <w:rsid w:val="00E26B0D"/>
    <w:rsid w:val="00E277A4"/>
    <w:rsid w:val="00E30B53"/>
    <w:rsid w:val="00E30D71"/>
    <w:rsid w:val="00E31275"/>
    <w:rsid w:val="00E3556C"/>
    <w:rsid w:val="00E361F9"/>
    <w:rsid w:val="00E44768"/>
    <w:rsid w:val="00E510F5"/>
    <w:rsid w:val="00E53A23"/>
    <w:rsid w:val="00E55EDB"/>
    <w:rsid w:val="00E64A6F"/>
    <w:rsid w:val="00E75D7C"/>
    <w:rsid w:val="00E8064E"/>
    <w:rsid w:val="00E83CE2"/>
    <w:rsid w:val="00E85387"/>
    <w:rsid w:val="00E8609A"/>
    <w:rsid w:val="00E91423"/>
    <w:rsid w:val="00E95B76"/>
    <w:rsid w:val="00EA075A"/>
    <w:rsid w:val="00EA2112"/>
    <w:rsid w:val="00EA2610"/>
    <w:rsid w:val="00EB2C99"/>
    <w:rsid w:val="00EB5FDA"/>
    <w:rsid w:val="00EB69BE"/>
    <w:rsid w:val="00EB74DA"/>
    <w:rsid w:val="00EC1A2C"/>
    <w:rsid w:val="00EC347B"/>
    <w:rsid w:val="00EC43D5"/>
    <w:rsid w:val="00EC49D1"/>
    <w:rsid w:val="00ED098F"/>
    <w:rsid w:val="00ED6BFB"/>
    <w:rsid w:val="00EE1CD3"/>
    <w:rsid w:val="00EE1EB7"/>
    <w:rsid w:val="00EE3994"/>
    <w:rsid w:val="00EF0076"/>
    <w:rsid w:val="00EF4E8D"/>
    <w:rsid w:val="00EF5B76"/>
    <w:rsid w:val="00F0447C"/>
    <w:rsid w:val="00F15B6B"/>
    <w:rsid w:val="00F25465"/>
    <w:rsid w:val="00F33A15"/>
    <w:rsid w:val="00F36BF8"/>
    <w:rsid w:val="00F4041B"/>
    <w:rsid w:val="00F404FA"/>
    <w:rsid w:val="00F427E8"/>
    <w:rsid w:val="00F521CA"/>
    <w:rsid w:val="00F526B8"/>
    <w:rsid w:val="00F53633"/>
    <w:rsid w:val="00F545D4"/>
    <w:rsid w:val="00F54E96"/>
    <w:rsid w:val="00F5752D"/>
    <w:rsid w:val="00F60FAF"/>
    <w:rsid w:val="00F63EF8"/>
    <w:rsid w:val="00F65D1D"/>
    <w:rsid w:val="00F66361"/>
    <w:rsid w:val="00F74D35"/>
    <w:rsid w:val="00F750B9"/>
    <w:rsid w:val="00F77E59"/>
    <w:rsid w:val="00F81629"/>
    <w:rsid w:val="00F84CAB"/>
    <w:rsid w:val="00F85B6D"/>
    <w:rsid w:val="00F951DF"/>
    <w:rsid w:val="00F957BF"/>
    <w:rsid w:val="00FA01C3"/>
    <w:rsid w:val="00FC1ED1"/>
    <w:rsid w:val="00FC54D1"/>
    <w:rsid w:val="00FD3EF7"/>
    <w:rsid w:val="00FD666F"/>
    <w:rsid w:val="00FF03FA"/>
    <w:rsid w:val="00FF2F66"/>
    <w:rsid w:val="00FF7C98"/>
    <w:rsid w:val="0137AEA7"/>
    <w:rsid w:val="0316C300"/>
    <w:rsid w:val="03596AA0"/>
    <w:rsid w:val="03652DE3"/>
    <w:rsid w:val="077403CF"/>
    <w:rsid w:val="09D108E9"/>
    <w:rsid w:val="09EBF6B3"/>
    <w:rsid w:val="0AFB32C7"/>
    <w:rsid w:val="0B7F64E9"/>
    <w:rsid w:val="0EBF67D6"/>
    <w:rsid w:val="0F1FB231"/>
    <w:rsid w:val="1084D83F"/>
    <w:rsid w:val="108BAEDA"/>
    <w:rsid w:val="139AFD04"/>
    <w:rsid w:val="14C5D064"/>
    <w:rsid w:val="186753B7"/>
    <w:rsid w:val="194550F3"/>
    <w:rsid w:val="194E2475"/>
    <w:rsid w:val="19A931E3"/>
    <w:rsid w:val="1A386C9D"/>
    <w:rsid w:val="1CA98FEB"/>
    <w:rsid w:val="21BCC395"/>
    <w:rsid w:val="26CD9D41"/>
    <w:rsid w:val="26E3978A"/>
    <w:rsid w:val="28DE8941"/>
    <w:rsid w:val="29AE150E"/>
    <w:rsid w:val="2DA630F0"/>
    <w:rsid w:val="2E14F99A"/>
    <w:rsid w:val="2EB61BA9"/>
    <w:rsid w:val="3038085B"/>
    <w:rsid w:val="311A574E"/>
    <w:rsid w:val="327BEA6A"/>
    <w:rsid w:val="367CAD82"/>
    <w:rsid w:val="3780B9C5"/>
    <w:rsid w:val="3AD47741"/>
    <w:rsid w:val="413A4747"/>
    <w:rsid w:val="4319398B"/>
    <w:rsid w:val="43A8C4B8"/>
    <w:rsid w:val="4483B64C"/>
    <w:rsid w:val="4531BE2E"/>
    <w:rsid w:val="456F1C7A"/>
    <w:rsid w:val="460C97AC"/>
    <w:rsid w:val="461F86AD"/>
    <w:rsid w:val="4690E3A6"/>
    <w:rsid w:val="484019ED"/>
    <w:rsid w:val="48925F88"/>
    <w:rsid w:val="4CEAB7F8"/>
    <w:rsid w:val="4D8BDB3F"/>
    <w:rsid w:val="4F2944AA"/>
    <w:rsid w:val="5044B7EF"/>
    <w:rsid w:val="562F7B82"/>
    <w:rsid w:val="563D97FD"/>
    <w:rsid w:val="57AE3049"/>
    <w:rsid w:val="57F18760"/>
    <w:rsid w:val="58723BF7"/>
    <w:rsid w:val="5A7F4484"/>
    <w:rsid w:val="5B2BF6EA"/>
    <w:rsid w:val="5CACD981"/>
    <w:rsid w:val="5DA7B41E"/>
    <w:rsid w:val="5DB1804D"/>
    <w:rsid w:val="5F968F17"/>
    <w:rsid w:val="6061A8C6"/>
    <w:rsid w:val="60826484"/>
    <w:rsid w:val="60CFB281"/>
    <w:rsid w:val="61120634"/>
    <w:rsid w:val="64DA2E43"/>
    <w:rsid w:val="66440D08"/>
    <w:rsid w:val="6675FEA4"/>
    <w:rsid w:val="6774E9C5"/>
    <w:rsid w:val="6A47F394"/>
    <w:rsid w:val="6C35DDA7"/>
    <w:rsid w:val="6D880D1E"/>
    <w:rsid w:val="70F7A33B"/>
    <w:rsid w:val="72A25CA4"/>
    <w:rsid w:val="7383C45E"/>
    <w:rsid w:val="73D81696"/>
    <w:rsid w:val="7557D020"/>
    <w:rsid w:val="7567E222"/>
    <w:rsid w:val="76A94C49"/>
    <w:rsid w:val="77447A27"/>
    <w:rsid w:val="77A62548"/>
    <w:rsid w:val="7ACCD9E8"/>
    <w:rsid w:val="7C1212C3"/>
    <w:rsid w:val="7CEA291B"/>
    <w:rsid w:val="7E791F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AFF3093"/>
  <w15:chartTrackingRefBased/>
  <w15:docId w15:val="{0C496C3D-30D7-4FB0-B951-6219EC4A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4D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C54D1"/>
    <w:pPr>
      <w:tabs>
        <w:tab w:val="center" w:pos="4153"/>
        <w:tab w:val="right" w:pos="8306"/>
      </w:tabs>
    </w:pPr>
  </w:style>
  <w:style w:type="character" w:customStyle="1" w:styleId="FooterChar">
    <w:name w:val="Footer Char"/>
    <w:basedOn w:val="DefaultParagraphFont"/>
    <w:link w:val="Footer"/>
    <w:rsid w:val="00FC54D1"/>
    <w:rPr>
      <w:rFonts w:ascii="Times New Roman" w:eastAsia="Times New Roman" w:hAnsi="Times New Roman" w:cs="Times New Roman"/>
      <w:sz w:val="20"/>
      <w:szCs w:val="20"/>
    </w:rPr>
  </w:style>
  <w:style w:type="character" w:styleId="PageNumber">
    <w:name w:val="page number"/>
    <w:basedOn w:val="DefaultParagraphFont"/>
    <w:rsid w:val="00FC54D1"/>
  </w:style>
  <w:style w:type="paragraph" w:customStyle="1" w:styleId="AFMANormal">
    <w:name w:val="AFMA Normal"/>
    <w:rsid w:val="00FC54D1"/>
    <w:pPr>
      <w:spacing w:before="240" w:after="0" w:line="240" w:lineRule="auto"/>
      <w:jc w:val="both"/>
    </w:pPr>
    <w:rPr>
      <w:rFonts w:ascii="Times New Roman" w:eastAsia="Times New Roman" w:hAnsi="Times New Roman" w:cs="Times New Roman"/>
      <w:snapToGrid w:val="0"/>
      <w:kern w:val="20"/>
      <w:sz w:val="24"/>
      <w:szCs w:val="20"/>
    </w:rPr>
  </w:style>
  <w:style w:type="character" w:styleId="CommentReference">
    <w:name w:val="annotation reference"/>
    <w:basedOn w:val="DefaultParagraphFont"/>
    <w:uiPriority w:val="99"/>
    <w:semiHidden/>
    <w:unhideWhenUsed/>
    <w:rsid w:val="0023733A"/>
    <w:rPr>
      <w:sz w:val="16"/>
      <w:szCs w:val="16"/>
    </w:rPr>
  </w:style>
  <w:style w:type="paragraph" w:styleId="CommentText">
    <w:name w:val="annotation text"/>
    <w:basedOn w:val="Normal"/>
    <w:link w:val="CommentTextChar"/>
    <w:uiPriority w:val="99"/>
    <w:semiHidden/>
    <w:unhideWhenUsed/>
    <w:rsid w:val="0023733A"/>
  </w:style>
  <w:style w:type="character" w:customStyle="1" w:styleId="CommentTextChar">
    <w:name w:val="Comment Text Char"/>
    <w:basedOn w:val="DefaultParagraphFont"/>
    <w:link w:val="CommentText"/>
    <w:uiPriority w:val="99"/>
    <w:semiHidden/>
    <w:rsid w:val="002373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733A"/>
    <w:rPr>
      <w:b/>
      <w:bCs/>
    </w:rPr>
  </w:style>
  <w:style w:type="character" w:customStyle="1" w:styleId="CommentSubjectChar">
    <w:name w:val="Comment Subject Char"/>
    <w:basedOn w:val="CommentTextChar"/>
    <w:link w:val="CommentSubject"/>
    <w:uiPriority w:val="99"/>
    <w:semiHidden/>
    <w:rsid w:val="0023733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373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33A"/>
    <w:rPr>
      <w:rFonts w:ascii="Segoe UI" w:eastAsia="Times New Roman" w:hAnsi="Segoe UI" w:cs="Segoe UI"/>
      <w:sz w:val="18"/>
      <w:szCs w:val="18"/>
    </w:rPr>
  </w:style>
  <w:style w:type="paragraph" w:styleId="ListParagraph">
    <w:name w:val="List Paragraph"/>
    <w:basedOn w:val="Normal"/>
    <w:link w:val="ListParagraphChar"/>
    <w:uiPriority w:val="34"/>
    <w:qFormat/>
    <w:rsid w:val="00222250"/>
    <w:pPr>
      <w:ind w:left="720"/>
      <w:contextualSpacing/>
    </w:pPr>
  </w:style>
  <w:style w:type="paragraph" w:styleId="FootnoteText">
    <w:name w:val="footnote text"/>
    <w:basedOn w:val="Normal"/>
    <w:link w:val="FootnoteTextChar"/>
    <w:uiPriority w:val="99"/>
    <w:semiHidden/>
    <w:unhideWhenUsed/>
    <w:rsid w:val="002A285F"/>
  </w:style>
  <w:style w:type="character" w:customStyle="1" w:styleId="FootnoteTextChar">
    <w:name w:val="Footnote Text Char"/>
    <w:basedOn w:val="DefaultParagraphFont"/>
    <w:link w:val="FootnoteText"/>
    <w:uiPriority w:val="99"/>
    <w:semiHidden/>
    <w:rsid w:val="002A285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A285F"/>
    <w:rPr>
      <w:vertAlign w:val="superscript"/>
    </w:rPr>
  </w:style>
  <w:style w:type="character" w:styleId="Hyperlink">
    <w:name w:val="Hyperlink"/>
    <w:basedOn w:val="DefaultParagraphFont"/>
    <w:uiPriority w:val="99"/>
    <w:unhideWhenUsed/>
    <w:rsid w:val="00BA0C41"/>
    <w:rPr>
      <w:color w:val="0563C1" w:themeColor="hyperlink"/>
      <w:u w:val="single"/>
    </w:rPr>
  </w:style>
  <w:style w:type="character" w:styleId="Emphasis">
    <w:name w:val="Emphasis"/>
    <w:basedOn w:val="DefaultParagraphFont"/>
    <w:uiPriority w:val="20"/>
    <w:qFormat/>
    <w:rsid w:val="000568B4"/>
    <w:rPr>
      <w:b/>
      <w:bCs/>
      <w:i w:val="0"/>
      <w:iCs w:val="0"/>
    </w:rPr>
  </w:style>
  <w:style w:type="character" w:customStyle="1" w:styleId="st1">
    <w:name w:val="st1"/>
    <w:basedOn w:val="DefaultParagraphFont"/>
    <w:rsid w:val="000568B4"/>
  </w:style>
  <w:style w:type="paragraph" w:styleId="Revision">
    <w:name w:val="Revision"/>
    <w:hidden/>
    <w:uiPriority w:val="99"/>
    <w:semiHidden/>
    <w:rsid w:val="00EB2C99"/>
    <w:pPr>
      <w:spacing w:after="0" w:line="240" w:lineRule="auto"/>
    </w:pPr>
    <w:rPr>
      <w:rFonts w:ascii="Times New Roman" w:eastAsia="Times New Roman" w:hAnsi="Times New Roman" w:cs="Times New Roman"/>
      <w:sz w:val="20"/>
      <w:szCs w:val="20"/>
    </w:rPr>
  </w:style>
  <w:style w:type="paragraph" w:customStyle="1" w:styleId="Item">
    <w:name w:val="Item"/>
    <w:aliases w:val="i"/>
    <w:basedOn w:val="Normal"/>
    <w:next w:val="ItemHead"/>
    <w:rsid w:val="00671A86"/>
    <w:pPr>
      <w:keepLines/>
      <w:spacing w:before="80"/>
      <w:ind w:left="709"/>
    </w:pPr>
    <w:rPr>
      <w:sz w:val="22"/>
      <w:lang w:eastAsia="en-AU"/>
    </w:rPr>
  </w:style>
  <w:style w:type="paragraph" w:customStyle="1" w:styleId="ItemHead">
    <w:name w:val="ItemHead"/>
    <w:aliases w:val="ih"/>
    <w:basedOn w:val="Normal"/>
    <w:next w:val="Item"/>
    <w:rsid w:val="00671A86"/>
    <w:pPr>
      <w:keepNext/>
      <w:keepLines/>
      <w:spacing w:before="220"/>
      <w:ind w:left="709" w:hanging="709"/>
    </w:pPr>
    <w:rPr>
      <w:rFonts w:ascii="Arial" w:hAnsi="Arial"/>
      <w:b/>
      <w:kern w:val="28"/>
      <w:sz w:val="24"/>
      <w:lang w:eastAsia="en-AU"/>
    </w:rPr>
  </w:style>
  <w:style w:type="paragraph" w:customStyle="1" w:styleId="Default">
    <w:name w:val="Default"/>
    <w:rsid w:val="009E20B5"/>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ListParagraphChar">
    <w:name w:val="List Paragraph Char"/>
    <w:link w:val="ListParagraph"/>
    <w:uiPriority w:val="34"/>
    <w:rsid w:val="00241126"/>
    <w:rPr>
      <w:rFonts w:ascii="Times New Roman" w:eastAsia="Times New Roman" w:hAnsi="Times New Roman" w:cs="Times New Roman"/>
      <w:sz w:val="20"/>
      <w:szCs w:val="20"/>
    </w:rPr>
  </w:style>
  <w:style w:type="paragraph" w:customStyle="1" w:styleId="notetext">
    <w:name w:val="notetext"/>
    <w:basedOn w:val="Normal"/>
    <w:rsid w:val="00E510F5"/>
    <w:pPr>
      <w:spacing w:before="100" w:beforeAutospacing="1" w:after="100" w:afterAutospacing="1"/>
    </w:pPr>
    <w:rPr>
      <w:rFonts w:eastAsiaTheme="minorHAnsi"/>
      <w:sz w:val="24"/>
      <w:szCs w:val="24"/>
      <w:lang w:eastAsia="en-AU"/>
    </w:rPr>
  </w:style>
  <w:style w:type="paragraph" w:customStyle="1" w:styleId="Definition">
    <w:name w:val="Definition"/>
    <w:aliases w:val="dd"/>
    <w:basedOn w:val="Normal"/>
    <w:rsid w:val="00E510F5"/>
    <w:pPr>
      <w:spacing w:before="180"/>
      <w:ind w:left="1134"/>
    </w:pPr>
    <w:rPr>
      <w:rFonts w:eastAsiaTheme="minorHAnsi"/>
      <w:sz w:val="22"/>
      <w:szCs w:val="22"/>
      <w:lang w:eastAsia="en-AU"/>
    </w:rPr>
  </w:style>
  <w:style w:type="paragraph" w:customStyle="1" w:styleId="subsection">
    <w:name w:val="subsection"/>
    <w:aliases w:val="ss,Subsection"/>
    <w:basedOn w:val="Normal"/>
    <w:link w:val="subsectionChar"/>
    <w:rsid w:val="008822DA"/>
    <w:pPr>
      <w:spacing w:before="100" w:beforeAutospacing="1" w:after="100" w:afterAutospacing="1"/>
    </w:pPr>
    <w:rPr>
      <w:sz w:val="24"/>
      <w:szCs w:val="24"/>
      <w:lang w:eastAsia="en-AU"/>
    </w:rPr>
  </w:style>
  <w:style w:type="character" w:customStyle="1" w:styleId="subsectionChar">
    <w:name w:val="subsection Char"/>
    <w:aliases w:val="ss Char"/>
    <w:basedOn w:val="DefaultParagraphFont"/>
    <w:link w:val="subsection"/>
    <w:locked/>
    <w:rsid w:val="008822DA"/>
    <w:rPr>
      <w:rFonts w:ascii="Times New Roman" w:eastAsia="Times New Roman" w:hAnsi="Times New Roman" w:cs="Times New Roman"/>
      <w:sz w:val="24"/>
      <w:szCs w:val="24"/>
      <w:lang w:eastAsia="en-AU"/>
    </w:rPr>
  </w:style>
  <w:style w:type="paragraph" w:customStyle="1" w:styleId="paragraph">
    <w:name w:val="paragraph"/>
    <w:aliases w:val="a"/>
    <w:basedOn w:val="Normal"/>
    <w:rsid w:val="00EC49D1"/>
    <w:pPr>
      <w:spacing w:before="100" w:beforeAutospacing="1" w:after="100" w:afterAutospacing="1"/>
    </w:pPr>
    <w:rPr>
      <w:sz w:val="24"/>
      <w:szCs w:val="24"/>
      <w:lang w:eastAsia="en-AU"/>
    </w:rPr>
  </w:style>
  <w:style w:type="paragraph" w:customStyle="1" w:styleId="definition0">
    <w:name w:val="definition"/>
    <w:basedOn w:val="Normal"/>
    <w:rsid w:val="00EC49D1"/>
    <w:pPr>
      <w:spacing w:before="100" w:beforeAutospacing="1" w:after="100" w:afterAutospacing="1"/>
    </w:pPr>
    <w:rPr>
      <w:sz w:val="24"/>
      <w:szCs w:val="24"/>
      <w:lang w:eastAsia="en-AU"/>
    </w:rPr>
  </w:style>
  <w:style w:type="paragraph" w:styleId="Header">
    <w:name w:val="header"/>
    <w:basedOn w:val="Normal"/>
    <w:link w:val="HeaderChar"/>
    <w:uiPriority w:val="99"/>
    <w:unhideWhenUsed/>
    <w:rsid w:val="00BE449C"/>
    <w:pPr>
      <w:tabs>
        <w:tab w:val="center" w:pos="4513"/>
        <w:tab w:val="right" w:pos="9026"/>
      </w:tabs>
    </w:pPr>
  </w:style>
  <w:style w:type="character" w:customStyle="1" w:styleId="HeaderChar">
    <w:name w:val="Header Char"/>
    <w:basedOn w:val="DefaultParagraphFont"/>
    <w:link w:val="Header"/>
    <w:uiPriority w:val="99"/>
    <w:rsid w:val="00BE449C"/>
    <w:rPr>
      <w:rFonts w:ascii="Times New Roman" w:eastAsia="Times New Roman" w:hAnsi="Times New Roman" w:cs="Times New Roman"/>
      <w:sz w:val="20"/>
      <w:szCs w:val="20"/>
    </w:rPr>
  </w:style>
  <w:style w:type="character" w:customStyle="1" w:styleId="normaltextrun">
    <w:name w:val="normaltextrun"/>
    <w:basedOn w:val="DefaultParagraphFont"/>
    <w:rsid w:val="008A1ECB"/>
  </w:style>
  <w:style w:type="character" w:customStyle="1" w:styleId="eop">
    <w:name w:val="eop"/>
    <w:basedOn w:val="DefaultParagraphFont"/>
    <w:rsid w:val="008A1ECB"/>
  </w:style>
  <w:style w:type="table" w:styleId="TableGrid">
    <w:name w:val="Table Grid"/>
    <w:basedOn w:val="TableNormal"/>
    <w:uiPriority w:val="59"/>
    <w:rsid w:val="003D06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7922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73881">
      <w:bodyDiv w:val="1"/>
      <w:marLeft w:val="0"/>
      <w:marRight w:val="0"/>
      <w:marTop w:val="0"/>
      <w:marBottom w:val="0"/>
      <w:divBdr>
        <w:top w:val="none" w:sz="0" w:space="0" w:color="auto"/>
        <w:left w:val="none" w:sz="0" w:space="0" w:color="auto"/>
        <w:bottom w:val="none" w:sz="0" w:space="0" w:color="auto"/>
        <w:right w:val="none" w:sz="0" w:space="0" w:color="auto"/>
      </w:divBdr>
      <w:divsChild>
        <w:div w:id="1932809496">
          <w:marLeft w:val="0"/>
          <w:marRight w:val="0"/>
          <w:marTop w:val="0"/>
          <w:marBottom w:val="0"/>
          <w:divBdr>
            <w:top w:val="none" w:sz="0" w:space="0" w:color="auto"/>
            <w:left w:val="none" w:sz="0" w:space="0" w:color="auto"/>
            <w:bottom w:val="none" w:sz="0" w:space="0" w:color="auto"/>
            <w:right w:val="none" w:sz="0" w:space="0" w:color="auto"/>
          </w:divBdr>
          <w:divsChild>
            <w:div w:id="1785466624">
              <w:marLeft w:val="0"/>
              <w:marRight w:val="0"/>
              <w:marTop w:val="0"/>
              <w:marBottom w:val="0"/>
              <w:divBdr>
                <w:top w:val="none" w:sz="0" w:space="0" w:color="auto"/>
                <w:left w:val="none" w:sz="0" w:space="0" w:color="auto"/>
                <w:bottom w:val="none" w:sz="0" w:space="0" w:color="auto"/>
                <w:right w:val="none" w:sz="0" w:space="0" w:color="auto"/>
              </w:divBdr>
              <w:divsChild>
                <w:div w:id="669674663">
                  <w:marLeft w:val="0"/>
                  <w:marRight w:val="0"/>
                  <w:marTop w:val="0"/>
                  <w:marBottom w:val="0"/>
                  <w:divBdr>
                    <w:top w:val="none" w:sz="0" w:space="0" w:color="auto"/>
                    <w:left w:val="none" w:sz="0" w:space="0" w:color="auto"/>
                    <w:bottom w:val="none" w:sz="0" w:space="0" w:color="auto"/>
                    <w:right w:val="none" w:sz="0" w:space="0" w:color="auto"/>
                  </w:divBdr>
                  <w:divsChild>
                    <w:div w:id="778834256">
                      <w:marLeft w:val="0"/>
                      <w:marRight w:val="0"/>
                      <w:marTop w:val="0"/>
                      <w:marBottom w:val="0"/>
                      <w:divBdr>
                        <w:top w:val="none" w:sz="0" w:space="0" w:color="auto"/>
                        <w:left w:val="none" w:sz="0" w:space="0" w:color="auto"/>
                        <w:bottom w:val="none" w:sz="0" w:space="0" w:color="auto"/>
                        <w:right w:val="none" w:sz="0" w:space="0" w:color="auto"/>
                      </w:divBdr>
                      <w:divsChild>
                        <w:div w:id="1683773414">
                          <w:marLeft w:val="0"/>
                          <w:marRight w:val="0"/>
                          <w:marTop w:val="0"/>
                          <w:marBottom w:val="0"/>
                          <w:divBdr>
                            <w:top w:val="none" w:sz="0" w:space="0" w:color="auto"/>
                            <w:left w:val="none" w:sz="0" w:space="0" w:color="auto"/>
                            <w:bottom w:val="none" w:sz="0" w:space="0" w:color="auto"/>
                            <w:right w:val="none" w:sz="0" w:space="0" w:color="auto"/>
                          </w:divBdr>
                          <w:divsChild>
                            <w:div w:id="318576381">
                              <w:marLeft w:val="0"/>
                              <w:marRight w:val="0"/>
                              <w:marTop w:val="0"/>
                              <w:marBottom w:val="0"/>
                              <w:divBdr>
                                <w:top w:val="none" w:sz="0" w:space="0" w:color="auto"/>
                                <w:left w:val="none" w:sz="0" w:space="0" w:color="auto"/>
                                <w:bottom w:val="none" w:sz="0" w:space="0" w:color="auto"/>
                                <w:right w:val="none" w:sz="0" w:space="0" w:color="auto"/>
                              </w:divBdr>
                              <w:divsChild>
                                <w:div w:id="1237860864">
                                  <w:marLeft w:val="0"/>
                                  <w:marRight w:val="0"/>
                                  <w:marTop w:val="0"/>
                                  <w:marBottom w:val="0"/>
                                  <w:divBdr>
                                    <w:top w:val="none" w:sz="0" w:space="0" w:color="auto"/>
                                    <w:left w:val="none" w:sz="0" w:space="0" w:color="auto"/>
                                    <w:bottom w:val="none" w:sz="0" w:space="0" w:color="auto"/>
                                    <w:right w:val="none" w:sz="0" w:space="0" w:color="auto"/>
                                  </w:divBdr>
                                  <w:divsChild>
                                    <w:div w:id="590312448">
                                      <w:marLeft w:val="0"/>
                                      <w:marRight w:val="0"/>
                                      <w:marTop w:val="0"/>
                                      <w:marBottom w:val="0"/>
                                      <w:divBdr>
                                        <w:top w:val="none" w:sz="0" w:space="0" w:color="auto"/>
                                        <w:left w:val="none" w:sz="0" w:space="0" w:color="auto"/>
                                        <w:bottom w:val="none" w:sz="0" w:space="0" w:color="auto"/>
                                        <w:right w:val="none" w:sz="0" w:space="0" w:color="auto"/>
                                      </w:divBdr>
                                      <w:divsChild>
                                        <w:div w:id="1875921843">
                                          <w:marLeft w:val="0"/>
                                          <w:marRight w:val="0"/>
                                          <w:marTop w:val="0"/>
                                          <w:marBottom w:val="0"/>
                                          <w:divBdr>
                                            <w:top w:val="none" w:sz="0" w:space="0" w:color="auto"/>
                                            <w:left w:val="none" w:sz="0" w:space="0" w:color="auto"/>
                                            <w:bottom w:val="none" w:sz="0" w:space="0" w:color="auto"/>
                                            <w:right w:val="none" w:sz="0" w:space="0" w:color="auto"/>
                                          </w:divBdr>
                                          <w:divsChild>
                                            <w:div w:id="713387993">
                                              <w:marLeft w:val="0"/>
                                              <w:marRight w:val="0"/>
                                              <w:marTop w:val="0"/>
                                              <w:marBottom w:val="0"/>
                                              <w:divBdr>
                                                <w:top w:val="none" w:sz="0" w:space="0" w:color="auto"/>
                                                <w:left w:val="none" w:sz="0" w:space="0" w:color="auto"/>
                                                <w:bottom w:val="none" w:sz="0" w:space="0" w:color="auto"/>
                                                <w:right w:val="none" w:sz="0" w:space="0" w:color="auto"/>
                                              </w:divBdr>
                                              <w:divsChild>
                                                <w:div w:id="1137451712">
                                                  <w:marLeft w:val="0"/>
                                                  <w:marRight w:val="0"/>
                                                  <w:marTop w:val="0"/>
                                                  <w:marBottom w:val="0"/>
                                                  <w:divBdr>
                                                    <w:top w:val="none" w:sz="0" w:space="0" w:color="auto"/>
                                                    <w:left w:val="none" w:sz="0" w:space="0" w:color="auto"/>
                                                    <w:bottom w:val="none" w:sz="0" w:space="0" w:color="auto"/>
                                                    <w:right w:val="none" w:sz="0" w:space="0" w:color="auto"/>
                                                  </w:divBdr>
                                                  <w:divsChild>
                                                    <w:div w:id="776097823">
                                                      <w:marLeft w:val="0"/>
                                                      <w:marRight w:val="0"/>
                                                      <w:marTop w:val="0"/>
                                                      <w:marBottom w:val="0"/>
                                                      <w:divBdr>
                                                        <w:top w:val="none" w:sz="0" w:space="0" w:color="auto"/>
                                                        <w:left w:val="none" w:sz="0" w:space="0" w:color="auto"/>
                                                        <w:bottom w:val="none" w:sz="0" w:space="0" w:color="auto"/>
                                                        <w:right w:val="none" w:sz="0" w:space="0" w:color="auto"/>
                                                      </w:divBdr>
                                                      <w:divsChild>
                                                        <w:div w:id="2545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678805">
      <w:bodyDiv w:val="1"/>
      <w:marLeft w:val="0"/>
      <w:marRight w:val="0"/>
      <w:marTop w:val="0"/>
      <w:marBottom w:val="0"/>
      <w:divBdr>
        <w:top w:val="none" w:sz="0" w:space="0" w:color="auto"/>
        <w:left w:val="none" w:sz="0" w:space="0" w:color="auto"/>
        <w:bottom w:val="none" w:sz="0" w:space="0" w:color="auto"/>
        <w:right w:val="none" w:sz="0" w:space="0" w:color="auto"/>
      </w:divBdr>
      <w:divsChild>
        <w:div w:id="995111718">
          <w:marLeft w:val="0"/>
          <w:marRight w:val="0"/>
          <w:marTop w:val="0"/>
          <w:marBottom w:val="0"/>
          <w:divBdr>
            <w:top w:val="none" w:sz="0" w:space="0" w:color="auto"/>
            <w:left w:val="none" w:sz="0" w:space="0" w:color="auto"/>
            <w:bottom w:val="none" w:sz="0" w:space="0" w:color="auto"/>
            <w:right w:val="none" w:sz="0" w:space="0" w:color="auto"/>
          </w:divBdr>
        </w:div>
        <w:div w:id="1321957286">
          <w:marLeft w:val="0"/>
          <w:marRight w:val="0"/>
          <w:marTop w:val="0"/>
          <w:marBottom w:val="0"/>
          <w:divBdr>
            <w:top w:val="none" w:sz="0" w:space="0" w:color="auto"/>
            <w:left w:val="none" w:sz="0" w:space="0" w:color="auto"/>
            <w:bottom w:val="none" w:sz="0" w:space="0" w:color="auto"/>
            <w:right w:val="none" w:sz="0" w:space="0" w:color="auto"/>
          </w:divBdr>
        </w:div>
        <w:div w:id="1547523338">
          <w:marLeft w:val="0"/>
          <w:marRight w:val="0"/>
          <w:marTop w:val="0"/>
          <w:marBottom w:val="0"/>
          <w:divBdr>
            <w:top w:val="none" w:sz="0" w:space="0" w:color="auto"/>
            <w:left w:val="none" w:sz="0" w:space="0" w:color="auto"/>
            <w:bottom w:val="none" w:sz="0" w:space="0" w:color="auto"/>
            <w:right w:val="none" w:sz="0" w:space="0" w:color="auto"/>
          </w:divBdr>
        </w:div>
      </w:divsChild>
    </w:div>
    <w:div w:id="172380167">
      <w:bodyDiv w:val="1"/>
      <w:marLeft w:val="0"/>
      <w:marRight w:val="0"/>
      <w:marTop w:val="0"/>
      <w:marBottom w:val="0"/>
      <w:divBdr>
        <w:top w:val="none" w:sz="0" w:space="0" w:color="auto"/>
        <w:left w:val="none" w:sz="0" w:space="0" w:color="auto"/>
        <w:bottom w:val="none" w:sz="0" w:space="0" w:color="auto"/>
        <w:right w:val="none" w:sz="0" w:space="0" w:color="auto"/>
      </w:divBdr>
    </w:div>
    <w:div w:id="413935503">
      <w:bodyDiv w:val="1"/>
      <w:marLeft w:val="0"/>
      <w:marRight w:val="0"/>
      <w:marTop w:val="0"/>
      <w:marBottom w:val="0"/>
      <w:divBdr>
        <w:top w:val="none" w:sz="0" w:space="0" w:color="auto"/>
        <w:left w:val="none" w:sz="0" w:space="0" w:color="auto"/>
        <w:bottom w:val="none" w:sz="0" w:space="0" w:color="auto"/>
        <w:right w:val="none" w:sz="0" w:space="0" w:color="auto"/>
      </w:divBdr>
    </w:div>
    <w:div w:id="1142691598">
      <w:bodyDiv w:val="1"/>
      <w:marLeft w:val="0"/>
      <w:marRight w:val="0"/>
      <w:marTop w:val="0"/>
      <w:marBottom w:val="0"/>
      <w:divBdr>
        <w:top w:val="none" w:sz="0" w:space="0" w:color="auto"/>
        <w:left w:val="none" w:sz="0" w:space="0" w:color="auto"/>
        <w:bottom w:val="none" w:sz="0" w:space="0" w:color="auto"/>
        <w:right w:val="none" w:sz="0" w:space="0" w:color="auto"/>
      </w:divBdr>
    </w:div>
    <w:div w:id="1477183209">
      <w:bodyDiv w:val="1"/>
      <w:marLeft w:val="0"/>
      <w:marRight w:val="0"/>
      <w:marTop w:val="0"/>
      <w:marBottom w:val="0"/>
      <w:divBdr>
        <w:top w:val="none" w:sz="0" w:space="0" w:color="auto"/>
        <w:left w:val="none" w:sz="0" w:space="0" w:color="auto"/>
        <w:bottom w:val="none" w:sz="0" w:space="0" w:color="auto"/>
        <w:right w:val="none" w:sz="0" w:space="0" w:color="auto"/>
      </w:divBdr>
    </w:div>
    <w:div w:id="1722166778">
      <w:bodyDiv w:val="1"/>
      <w:marLeft w:val="0"/>
      <w:marRight w:val="0"/>
      <w:marTop w:val="0"/>
      <w:marBottom w:val="0"/>
      <w:divBdr>
        <w:top w:val="none" w:sz="0" w:space="0" w:color="auto"/>
        <w:left w:val="none" w:sz="0" w:space="0" w:color="auto"/>
        <w:bottom w:val="none" w:sz="0" w:space="0" w:color="auto"/>
        <w:right w:val="none" w:sz="0" w:space="0" w:color="auto"/>
      </w:divBdr>
      <w:divsChild>
        <w:div w:id="429660499">
          <w:marLeft w:val="0"/>
          <w:marRight w:val="0"/>
          <w:marTop w:val="0"/>
          <w:marBottom w:val="0"/>
          <w:divBdr>
            <w:top w:val="none" w:sz="0" w:space="0" w:color="auto"/>
            <w:left w:val="none" w:sz="0" w:space="0" w:color="auto"/>
            <w:bottom w:val="none" w:sz="0" w:space="0" w:color="auto"/>
            <w:right w:val="none" w:sz="0" w:space="0" w:color="auto"/>
          </w:divBdr>
        </w:div>
        <w:div w:id="438646022">
          <w:marLeft w:val="0"/>
          <w:marRight w:val="0"/>
          <w:marTop w:val="0"/>
          <w:marBottom w:val="0"/>
          <w:divBdr>
            <w:top w:val="none" w:sz="0" w:space="0" w:color="auto"/>
            <w:left w:val="none" w:sz="0" w:space="0" w:color="auto"/>
            <w:bottom w:val="none" w:sz="0" w:space="0" w:color="auto"/>
            <w:right w:val="none" w:sz="0" w:space="0" w:color="auto"/>
          </w:divBdr>
        </w:div>
        <w:div w:id="771976816">
          <w:marLeft w:val="0"/>
          <w:marRight w:val="0"/>
          <w:marTop w:val="0"/>
          <w:marBottom w:val="0"/>
          <w:divBdr>
            <w:top w:val="none" w:sz="0" w:space="0" w:color="auto"/>
            <w:left w:val="none" w:sz="0" w:space="0" w:color="auto"/>
            <w:bottom w:val="none" w:sz="0" w:space="0" w:color="auto"/>
            <w:right w:val="none" w:sz="0" w:space="0" w:color="auto"/>
          </w:divBdr>
        </w:div>
        <w:div w:id="784345752">
          <w:marLeft w:val="0"/>
          <w:marRight w:val="0"/>
          <w:marTop w:val="0"/>
          <w:marBottom w:val="0"/>
          <w:divBdr>
            <w:top w:val="none" w:sz="0" w:space="0" w:color="auto"/>
            <w:left w:val="none" w:sz="0" w:space="0" w:color="auto"/>
            <w:bottom w:val="none" w:sz="0" w:space="0" w:color="auto"/>
            <w:right w:val="none" w:sz="0" w:space="0" w:color="auto"/>
          </w:divBdr>
        </w:div>
      </w:divsChild>
    </w:div>
    <w:div w:id="1816485788">
      <w:bodyDiv w:val="1"/>
      <w:marLeft w:val="0"/>
      <w:marRight w:val="0"/>
      <w:marTop w:val="0"/>
      <w:marBottom w:val="0"/>
      <w:divBdr>
        <w:top w:val="none" w:sz="0" w:space="0" w:color="auto"/>
        <w:left w:val="none" w:sz="0" w:space="0" w:color="auto"/>
        <w:bottom w:val="none" w:sz="0" w:space="0" w:color="auto"/>
        <w:right w:val="none" w:sz="0" w:space="0" w:color="auto"/>
      </w:divBdr>
    </w:div>
    <w:div w:id="203734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au/Details/F2008B00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MBDataSource xmlns="a862938e-ae39-425b-9d70-cda3eaaca30c" xsi:nil="true"/>
    <FinancialYear xmlns="a862938e-ae39-425b-9d70-cda3eaaca30c" xsi:nil="true"/>
    <Year xmlns="a862938e-ae39-425b-9d70-cda3eaaca30c" xsi:nil="true"/>
    <_dlc_DocIdUrl xmlns="a862938e-ae39-425b-9d70-cda3eaaca30c">
      <Url>https://afmagovau.sharepoint.com/sites/NOR-PROD/_layouts/15/DocIdRedir.aspx?ID=AFMANOR-928984018-36745</Url>
      <Description>AFMANOR-928984018-36745</Description>
    </_dlc_DocIdUrl>
    <State xmlns="a862938e-ae39-425b-9d70-cda3eaaca30c" xsi:nil="true"/>
    <Month xmlns="a862938e-ae39-425b-9d70-cda3eaaca30c" xsi:nil="true"/>
    <Sector xmlns="a862938e-ae39-425b-9d70-cda3eaaca30c" xsi:nil="true"/>
    <_dlc_DocIdPersistId xmlns="a862938e-ae39-425b-9d70-cda3eaaca30c" xsi:nil="true"/>
    <Entity xmlns="a862938e-ae39-425b-9d70-cda3eaaca30c" xsi:nil="true"/>
    <ConcessionType xmlns="a862938e-ae39-425b-9d70-cda3eaaca30c" xsi:nil="true"/>
    <SpeciesGroup xmlns="a862938e-ae39-425b-9d70-cda3eaaca30c" xsi:nil="true"/>
    <MeetingNo xmlns="a862938e-ae39-425b-9d70-cda3eaaca30c" xsi:nil="true"/>
    <DocumentType xmlns="a862938e-ae39-425b-9d70-cda3eaaca30c" xsi:nil="true"/>
    <MACRAG xmlns="a862938e-ae39-425b-9d70-cda3eaaca30c" xsi:nil="true"/>
    <DocumentStatus xmlns="a862938e-ae39-425b-9d70-cda3eaaca30c">Final-For signature</DocumentStatus>
    <Quarter xmlns="a862938e-ae39-425b-9d70-cda3eaaca30c" xsi:nil="true"/>
    <GearType xmlns="a862938e-ae39-425b-9d70-cda3eaaca30c" xsi:nil="true"/>
    <_dlc_DocId xmlns="a862938e-ae39-425b-9d70-cda3eaaca30c">AFMANOR-928984018-36745</_dlc_Doc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6811EC2930E84588E5FE36575C6CED" ma:contentTypeVersion="30" ma:contentTypeDescription="Create a new document." ma:contentTypeScope="" ma:versionID="96db0346485eb4f4694163eab6e07b95">
  <xsd:schema xmlns:xsd="http://www.w3.org/2001/XMLSchema" xmlns:xs="http://www.w3.org/2001/XMLSchema" xmlns:p="http://schemas.microsoft.com/office/2006/metadata/properties" xmlns:ns2="a862938e-ae39-425b-9d70-cda3eaaca30c" xmlns:ns3="ad89e3a7-bc44-4ae9-b26a-b14eb6ab234a" targetNamespace="http://schemas.microsoft.com/office/2006/metadata/properties" ma:root="true" ma:fieldsID="ba5c6ff94fa330a01dc8670d5356d0d6" ns2:_="" ns3:_="">
    <xsd:import namespace="a862938e-ae39-425b-9d70-cda3eaaca30c"/>
    <xsd:import namespace="ad89e3a7-bc44-4ae9-b26a-b14eb6ab234a"/>
    <xsd:element name="properties">
      <xsd:complexType>
        <xsd:sequence>
          <xsd:element name="documentManagement">
            <xsd:complexType>
              <xsd:all>
                <xsd:element ref="ns2:_dlc_DocIdUrl" minOccurs="0"/>
                <xsd:element ref="ns2:ConcessionType" minOccurs="0"/>
                <xsd:element ref="ns2:FMBDataSource" minOccurs="0"/>
                <xsd:element ref="ns2:DocumentType" minOccurs="0"/>
                <xsd:element ref="ns2:Entity" minOccurs="0"/>
                <xsd:element ref="ns2:FinancialYear" minOccurs="0"/>
                <xsd:element ref="ns2:MACRAG" minOccurs="0"/>
                <xsd:element ref="ns2:MeetingNo" minOccurs="0"/>
                <xsd:element ref="ns2:Month" minOccurs="0"/>
                <xsd:element ref="ns2:Quarter" minOccurs="0"/>
                <xsd:element ref="ns2:Year" minOccurs="0"/>
                <xsd:element ref="ns2:DocumentStatus" minOccurs="0"/>
                <xsd:element ref="ns2:GearType" minOccurs="0"/>
                <xsd:element ref="ns2:_dlc_DocId" minOccurs="0"/>
                <xsd:element ref="ns2:_dlc_DocIdPersistId" minOccurs="0"/>
                <xsd:element ref="ns2:Sector" minOccurs="0"/>
                <xsd:element ref="ns2:SpeciesGroup" minOccurs="0"/>
                <xsd:element ref="ns2:State"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2938e-ae39-425b-9d70-cda3eaaca30c"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ncessionType" ma:index="3" nillable="true" ma:displayName="Concession Type" ma:format="Dropdown" ma:internalName="ConcessionType" ma:readOnly="false">
      <xsd:simpleType>
        <xsd:restriction base="dms:Choice">
          <xsd:enumeration value="Boat SFR"/>
          <xsd:enumeration value="Gear SFR"/>
          <xsd:enumeration value="Quota SFR"/>
          <xsd:enumeration value="Scientific Permit"/>
          <xsd:enumeration value="Foreign Fishing License"/>
          <xsd:enumeration value="Permit"/>
          <xsd:enumeration value="Torres Strait license"/>
        </xsd:restriction>
      </xsd:simpleType>
    </xsd:element>
    <xsd:element name="FMBDataSource" ma:index="4" nillable="true" ma:displayName="Data Source" ma:format="Dropdown" ma:internalName="FMBDataSource" ma:readOnly="false">
      <xsd:simpleType>
        <xsd:restriction base="dms:Choice">
          <xsd:enumeration value="Logbook-catch and effort"/>
          <xsd:enumeration value="Logbook-wildlife"/>
          <xsd:enumeration value="CDR"/>
          <xsd:enumeration value="Observer-catch and effort"/>
          <xsd:enumeration value="Observer-wildlife"/>
          <xsd:enumeration value="EM"/>
          <xsd:enumeration value="Licensing"/>
          <xsd:enumeration value="ABARES"/>
          <xsd:enumeration value="CSIRO"/>
        </xsd:restriction>
      </xsd:simpleType>
    </xsd:element>
    <xsd:element name="DocumentType" ma:index="5" nillable="true" ma:displayName="Document Type" ma:format="Dropdown" ma:internalName="DocumentType" ma:readOnly="false">
      <xsd:simpleType>
        <xsd:restriction base="dms:Choice">
          <xsd:enumeration value="Action Items"/>
          <xsd:enumeration value="Agenda Item"/>
          <xsd:enumeration value="Brief"/>
          <xsd:enumeration value="Consession Conditions"/>
          <xsd:enumeration value="Copy"/>
          <xsd:enumeration value="Correspondence"/>
          <xsd:enumeration value="Invoice"/>
          <xsd:enumeration value="Itinerary"/>
          <xsd:enumeration value="Legislation"/>
          <xsd:enumeration value="Letter"/>
          <xsd:enumeration value="Meeting Minutes"/>
          <xsd:enumeration value="Ministerial Brief"/>
          <xsd:enumeration value="Minute"/>
          <xsd:enumeration value="Paper"/>
          <xsd:enumeration value="Plan"/>
          <xsd:enumeration value="Presentation"/>
          <xsd:enumeration value="Report"/>
          <xsd:enumeration value="Template"/>
        </xsd:restriction>
      </xsd:simpleType>
    </xsd:element>
    <xsd:element name="Entity" ma:index="6" nillable="true" ma:displayName="Entity" ma:format="Dropdown" ma:internalName="Entity" ma:readOnly="false">
      <xsd:simpleType>
        <xsd:restriction base="dms:Choice">
          <xsd:enumeration value="AFMA"/>
          <xsd:enumeration value="CSIRO"/>
          <xsd:enumeration value="ABARES"/>
          <xsd:enumeration value="AAD"/>
          <xsd:enumeration value="DAWR"/>
          <xsd:enumeration value="AAP"/>
          <xsd:enumeration value="DoEE"/>
        </xsd:restriction>
      </xsd:simpleType>
    </xsd:element>
    <xsd:element name="FinancialYear" ma:index="7" nillable="true" ma:displayName="Financial Year" ma:format="Dropdown" ma:internalName="FinancialYear" ma:readOnly="false">
      <xsd:simpleType>
        <xsd:union memberTypes="dms:Text">
          <xsd:simpleType>
            <xsd:restriction base="dms:Choice">
              <xsd:enumeration value="2015-2016"/>
              <xsd:enumeration value="2016-2017"/>
              <xsd:enumeration value="2017-2018"/>
              <xsd:enumeration value="2018-2019"/>
              <xsd:enumeration value="2019-2020"/>
              <xsd:enumeration value="2020-2021"/>
              <xsd:enumeration value="2021-2022"/>
              <xsd:enumeration value="2022-2023"/>
              <xsd:enumeration value="2023-2025"/>
              <xsd:enumeration value="2025-2027"/>
            </xsd:restriction>
          </xsd:simpleType>
        </xsd:union>
      </xsd:simpleType>
    </xsd:element>
    <xsd:element name="MACRAG" ma:index="8" nillable="true" ma:displayName="MAC RAG" ma:format="Dropdown" ma:internalName="MACRAG" ma:readOnly="false">
      <xsd:simpleType>
        <xsd:restriction base="dms:Choice">
          <xsd:enumeration value="NORMAC"/>
          <xsd:enumeration value="NPRAG"/>
          <xsd:enumeration value="SEMAC"/>
          <xsd:enumeration value="Scallop MAC"/>
          <xsd:enumeration value="SESSFRAG"/>
          <xsd:enumeration value="SERAG"/>
          <xsd:enumeration value="SharkRAG"/>
          <xsd:enumeration value="SPF Scientific Panel"/>
          <xsd:enumeration value="Scallop RAG"/>
          <xsd:enumeration value="GABMAC"/>
          <xsd:enumeration value="GABRAG"/>
          <xsd:enumeration value="SquidRAG"/>
          <xsd:enumeration value="SPF Stakeholder Forum"/>
          <xsd:enumeration value="TTRAG"/>
          <xsd:enumeration value="TTMAC"/>
          <xsd:enumeration value="SARAG"/>
          <xsd:enumeration value="SouthMAC"/>
          <xsd:enumeration value="SBTMAC"/>
        </xsd:restriction>
      </xsd:simpleType>
    </xsd:element>
    <xsd:element name="MeetingNo" ma:index="9" nillable="true" ma:displayName="Meeting No" ma:internalName="MeetingNo" ma:readOnly="false">
      <xsd:simpleType>
        <xsd:restriction base="dms:Text">
          <xsd:maxLength value="255"/>
        </xsd:restriction>
      </xsd:simpleType>
    </xsd:element>
    <xsd:element name="Month" ma:index="10" nillable="true" ma:displayName="Month" ma:format="Dropdown" ma:internalName="Month" ma:readOnly="false">
      <xsd:simpleType>
        <xsd:restriction base="dms:Choice">
          <xsd:enumeration value="1.Jan"/>
          <xsd:enumeration value="2.Feb"/>
          <xsd:enumeration value="3.Mar"/>
          <xsd:enumeration value="4.Apr"/>
          <xsd:enumeration value="5.May"/>
          <xsd:enumeration value="6.Jun"/>
          <xsd:enumeration value="7.Jul"/>
          <xsd:enumeration value="8.Aug"/>
          <xsd:enumeration value="9.Sep"/>
          <xsd:enumeration value="10.Oct"/>
          <xsd:enumeration value="11.Nov"/>
          <xsd:enumeration value="12.Dec"/>
        </xsd:restriction>
      </xsd:simpleType>
    </xsd:element>
    <xsd:element name="Quarter" ma:index="11" nillable="true" ma:displayName="Quarter" ma:format="Dropdown" ma:internalName="Quarter" ma:readOnly="false">
      <xsd:simpleType>
        <xsd:restriction base="dms:Choice">
          <xsd:enumeration value="1.March"/>
          <xsd:enumeration value="2.June"/>
          <xsd:enumeration value="3.September"/>
          <xsd:enumeration value="4.December"/>
        </xsd:restriction>
      </xsd:simpleType>
    </xsd:element>
    <xsd:element name="Year" ma:index="12" nillable="true" ma:displayName="Year" ma:format="Dropdown" ma:internalName="Year" ma:readOnly="false">
      <xsd:simpleType>
        <xsd:restriction base="dms:Choice">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DocumentStatus" ma:index="13" nillable="true" ma:displayName="Document Status" ma:format="Dropdown" ma:internalName="DocumentStatus" ma:readOnly="false">
      <xsd:simpleType>
        <xsd:restriction base="dms:Choice">
          <xsd:enumeration value="Draft"/>
          <xsd:enumeration value="Draft-Revised"/>
          <xsd:enumeration value="Final"/>
          <xsd:enumeration value="Final-Cleared"/>
          <xsd:enumeration value="Final-For signature"/>
          <xsd:enumeration value="Approved"/>
          <xsd:enumeration value="For Clearance"/>
        </xsd:restriction>
      </xsd:simpleType>
    </xsd:element>
    <xsd:element name="GearType" ma:index="16" nillable="true" ma:displayName="Gear Type" ma:format="Dropdown" ma:hidden="true" ma:internalName="GearType" ma:readOnly="false">
      <xsd:simpleType>
        <xsd:restriction base="dms:Choice">
          <xsd:enumeration value="Midwater Trawl"/>
          <xsd:enumeration value="Minor Line"/>
          <xsd:enumeration value="Purse Seine"/>
          <xsd:enumeration value="Demersal Longline"/>
          <xsd:enumeration value="Pelagic Longline"/>
          <xsd:enumeration value="Otter Trawl"/>
          <xsd:enumeration value="Danish Seine"/>
          <xsd:enumeration value="Gillnet"/>
          <xsd:enumeration value="Hook"/>
          <xsd:enumeration value="Pair Trawl"/>
          <xsd:enumeration value="Trap"/>
          <xsd:enumeration value="Pot"/>
          <xsd:enumeration value="Scallop Dredge"/>
          <xsd:enumeration value="Squid Jig"/>
          <xsd:enumeration value="Line"/>
          <xsd:enumeration value="Trawl"/>
          <xsd:enumeration value="Hand Collection"/>
        </xsd:restriction>
      </xsd:simpleType>
    </xsd:element>
    <xsd:element name="_dlc_DocId" ma:index="17" nillable="true" ma:displayName="Document ID Value" ma:description="The value of the document ID assigned to this item." ma:hidden="true" ma:internalName="_dlc_DocId" ma:readOnly="false">
      <xsd:simpleType>
        <xsd:restriction base="dms:Text"/>
      </xsd:simpleType>
    </xsd:element>
    <xsd:element name="_dlc_DocIdPersistId" ma:index="19" nillable="true" ma:displayName="Persist ID" ma:description="Keep ID on add." ma:hidden="true" ma:internalName="_dlc_DocIdPersistId" ma:readOnly="false">
      <xsd:simpleType>
        <xsd:restriction base="dms:Boolean"/>
      </xsd:simpleType>
    </xsd:element>
    <xsd:element name="Sector" ma:index="21" nillable="true" ma:displayName="Sector" ma:format="Dropdown" ma:hidden="true" ma:internalName="Sector" ma:readOnly="false">
      <xsd:simpleType>
        <xsd:restriction base="dms:Choice">
          <xsd:enumeration value="GHAT"/>
          <xsd:enumeration value="SET"/>
          <xsd:enumeration value="GABT"/>
          <xsd:enumeration value="VIT"/>
          <xsd:enumeration value="Aquarium"/>
          <xsd:enumeration value="Sea cucumber"/>
          <xsd:enumeration value="Lobster/Trochus"/>
          <xsd:enumeration value="WDWT"/>
          <xsd:enumeration value="NWS"/>
          <xsd:enumeration value="JADGLF"/>
          <xsd:enumeration value="JADTRF"/>
          <xsd:enumeration value="JAGMF"/>
          <xsd:enumeration value="JANDPFF"/>
          <xsd:enumeration value="JANSF"/>
          <xsd:enumeration value="NAFC"/>
          <xsd:enumeration value="NTFJASF"/>
        </xsd:restriction>
      </xsd:simpleType>
    </xsd:element>
    <xsd:element name="SpeciesGroup" ma:index="22" nillable="true" ma:displayName="Species Group" ma:format="Dropdown" ma:hidden="true" ma:internalName="SpeciesGroup" ma:readOnly="false">
      <xsd:simpleType>
        <xsd:restriction base="dms:Choice">
          <xsd:enumeration value="Sharks"/>
          <xsd:enumeration value="Seabirds"/>
          <xsd:enumeration value="Turtles"/>
          <xsd:enumeration value="Dolphins"/>
          <xsd:enumeration value="Seals and Sealions"/>
          <xsd:enumeration value="Whales"/>
          <xsd:enumeration value="Albatrosses"/>
          <xsd:enumeration value="Other"/>
        </xsd:restriction>
      </xsd:simpleType>
    </xsd:element>
    <xsd:element name="State" ma:index="23" nillable="true" ma:displayName="State" ma:format="Dropdown" ma:hidden="true" ma:internalName="State" ma:readOnly="false">
      <xsd:simpleType>
        <xsd:restriction base="dms:Choice">
          <xsd:enumeration value="ACT"/>
          <xsd:enumeration value="NSW"/>
          <xsd:enumeration value="VIC"/>
          <xsd:enumeration value="QLD"/>
          <xsd:enumeration value="NT"/>
          <xsd:enumeration value="SA"/>
          <xsd:enumeration value="WA"/>
          <xsd:enumeration value="TAS"/>
        </xsd:restriction>
      </xsd:simpleType>
    </xsd:element>
    <xsd:element name="SharedWithUsers" ma:index="3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9e3a7-bc44-4ae9-b26a-b14eb6ab234a"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hidden="true" ma:internalName="MediaServiceKeyPoints"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9FF64-33AF-49A7-9E8F-1A36A5A7AB23}">
  <ds:schemaRefs>
    <ds:schemaRef ds:uri="http://schemas.microsoft.com/sharepoint/v3/contenttype/forms"/>
  </ds:schemaRefs>
</ds:datastoreItem>
</file>

<file path=customXml/itemProps2.xml><?xml version="1.0" encoding="utf-8"?>
<ds:datastoreItem xmlns:ds="http://schemas.openxmlformats.org/officeDocument/2006/customXml" ds:itemID="{36CCA989-AF3F-4D9E-A9A7-1D80CC5EF010}">
  <ds:schemaRefs>
    <ds:schemaRef ds:uri="http://schemas.openxmlformats.org/package/2006/metadata/core-properties"/>
    <ds:schemaRef ds:uri="http://schemas.microsoft.com/office/2006/documentManagement/types"/>
    <ds:schemaRef ds:uri="a862938e-ae39-425b-9d70-cda3eaaca30c"/>
    <ds:schemaRef ds:uri="http://purl.org/dc/elements/1.1/"/>
    <ds:schemaRef ds:uri="http://schemas.microsoft.com/office/2006/metadata/properties"/>
    <ds:schemaRef ds:uri="ad89e3a7-bc44-4ae9-b26a-b14eb6ab234a"/>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775DBA6-7D1B-44C4-ABBF-7FBD8E557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2938e-ae39-425b-9d70-cda3eaaca30c"/>
    <ds:schemaRef ds:uri="ad89e3a7-bc44-4ae9-b26a-b14eb6ab2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A95B60-5AA7-4227-8F44-8AEC4EC1758F}">
  <ds:schemaRefs>
    <ds:schemaRef ds:uri="http://schemas.microsoft.com/sharepoint/events"/>
  </ds:schemaRefs>
</ds:datastoreItem>
</file>

<file path=customXml/itemProps5.xml><?xml version="1.0" encoding="utf-8"?>
<ds:datastoreItem xmlns:ds="http://schemas.openxmlformats.org/officeDocument/2006/customXml" ds:itemID="{0523315B-F574-4E8F-AAA2-9E64AC52E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2205</Words>
  <Characters>12571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Explanatory Statement TRL Management Plan</vt:lpstr>
    </vt:vector>
  </TitlesOfParts>
  <Company/>
  <LinksUpToDate>false</LinksUpToDate>
  <CharactersWithSpaces>14747</CharactersWithSpaces>
  <SharedDoc>false</SharedDoc>
  <HLinks>
    <vt:vector size="6" baseType="variant">
      <vt:variant>
        <vt:i4>7995427</vt:i4>
      </vt:variant>
      <vt:variant>
        <vt:i4>0</vt:i4>
      </vt:variant>
      <vt:variant>
        <vt:i4>0</vt:i4>
      </vt:variant>
      <vt:variant>
        <vt:i4>5</vt:i4>
      </vt:variant>
      <vt:variant>
        <vt:lpwstr>https://www.legislation.gov.au/Details/F2008B00750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TRL Management Plan</dc:title>
  <dc:subject/>
  <dc:creator>MCKILLOP, Kylie</dc:creator>
  <cp:keywords/>
  <dc:description/>
  <cp:lastModifiedBy>MACDONALD, Brodie</cp:lastModifiedBy>
  <cp:revision>5</cp:revision>
  <cp:lastPrinted>2022-03-10T02:53:00Z</cp:lastPrinted>
  <dcterms:created xsi:type="dcterms:W3CDTF">2022-03-10T02:48:00Z</dcterms:created>
  <dcterms:modified xsi:type="dcterms:W3CDTF">2022-03-10T02:54:00Z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8681856c-94c0-4046-9019-2a0ba54655f2</vt:lpwstr>
  </property>
  <property fmtid="{D5CDD505-2E9C-101B-9397-08002B2CF9AE}" pid="3" name="ContentTypeId">
    <vt:lpwstr>0x010100C66811EC2930E84588E5FE36575C6CED</vt:lpwstr>
  </property>
  <property fmtid="{D5CDD505-2E9C-101B-9397-08002B2CF9AE}" pid="4" name="_dlc_DocIdItemGuid">
    <vt:lpwstr>bfd3ebb5-694b-4b5d-bad9-779e4ecefff7</vt:lpwstr>
  </property>
  <property fmtid="{D5CDD505-2E9C-101B-9397-08002B2CF9AE}" pid="5" name="SEC">
    <vt:lpwstr>OFFICIAL</vt:lpwstr>
  </property>
  <property fmtid="{D5CDD505-2E9C-101B-9397-08002B2CF9AE}" pid="6" name="ApplyMark">
    <vt:lpwstr>false</vt:lpwstr>
  </property>
</Properties>
</file>