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8EFC" w14:textId="77777777" w:rsidR="003F1C73" w:rsidRPr="00745022" w:rsidRDefault="003F1C73" w:rsidP="003F1C73">
      <w:pPr>
        <w:pStyle w:val="Heading1"/>
        <w:spacing w:after="360"/>
        <w:rPr>
          <w:rFonts w:ascii="Times New Roman" w:hAnsi="Times New Roman"/>
          <w:sz w:val="24"/>
          <w:szCs w:val="24"/>
        </w:rPr>
      </w:pPr>
      <w:r w:rsidRPr="00745022">
        <w:rPr>
          <w:rFonts w:ascii="Times New Roman" w:hAnsi="Times New Roman"/>
          <w:sz w:val="24"/>
          <w:szCs w:val="24"/>
        </w:rPr>
        <w:t>EXPLANATORY STATEMENT</w:t>
      </w:r>
    </w:p>
    <w:p w14:paraId="0AE150AB" w14:textId="10ABC643" w:rsidR="002B311A" w:rsidRPr="00745022" w:rsidRDefault="002B311A" w:rsidP="008B2613">
      <w:pPr>
        <w:keepNext/>
        <w:spacing w:before="240" w:after="60"/>
        <w:jc w:val="center"/>
        <w:outlineLvl w:val="1"/>
        <w:rPr>
          <w:b/>
          <w:szCs w:val="24"/>
          <w:u w:val="single"/>
        </w:rPr>
      </w:pPr>
      <w:r w:rsidRPr="00745022">
        <w:rPr>
          <w:b/>
          <w:szCs w:val="24"/>
          <w:u w:val="single"/>
        </w:rPr>
        <w:t xml:space="preserve">Issued by authority of the </w:t>
      </w:r>
      <w:sdt>
        <w:sdtPr>
          <w:rPr>
            <w:b/>
            <w:szCs w:val="24"/>
            <w:u w:val="single"/>
          </w:rPr>
          <w:id w:val="435951383"/>
          <w:placeholder>
            <w:docPart w:val="A419D01F70AC4B9793C499743AE18E14"/>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F20D9" w:rsidRPr="00745022">
            <w:rPr>
              <w:b/>
              <w:szCs w:val="24"/>
              <w:u w:val="single"/>
            </w:rPr>
            <w:t>Assistant Treasurer, Minister for Housing and Minister for Homelessness, Social and Community Housing</w:t>
          </w:r>
        </w:sdtContent>
      </w:sdt>
    </w:p>
    <w:p w14:paraId="6A82AE10" w14:textId="1EDFCDA7" w:rsidR="003F1C73" w:rsidRPr="00745022" w:rsidRDefault="003F1C73" w:rsidP="003F1C73">
      <w:pPr>
        <w:spacing w:before="240" w:after="240"/>
        <w:jc w:val="center"/>
        <w:rPr>
          <w:i/>
        </w:rPr>
      </w:pPr>
      <w:r w:rsidRPr="00745022">
        <w:rPr>
          <w:i/>
        </w:rPr>
        <w:t>Competition and Consumer Act</w:t>
      </w:r>
      <w:r w:rsidR="00A16B7A" w:rsidRPr="00745022">
        <w:rPr>
          <w:i/>
        </w:rPr>
        <w:t xml:space="preserve"> 2010</w:t>
      </w:r>
    </w:p>
    <w:p w14:paraId="325C792D" w14:textId="552E79DA" w:rsidR="003F1C73" w:rsidRPr="00745022" w:rsidRDefault="003F1C73" w:rsidP="003F1C73">
      <w:pPr>
        <w:tabs>
          <w:tab w:val="left" w:pos="1418"/>
        </w:tabs>
        <w:spacing w:before="0" w:after="240"/>
        <w:jc w:val="center"/>
        <w:rPr>
          <w:i/>
        </w:rPr>
      </w:pPr>
      <w:r w:rsidRPr="00745022">
        <w:rPr>
          <w:i/>
        </w:rPr>
        <w:t>Competition and Consumer (Australian Consumer Law—</w:t>
      </w:r>
      <w:r w:rsidR="001F2535" w:rsidRPr="00745022">
        <w:rPr>
          <w:i/>
        </w:rPr>
        <w:t xml:space="preserve">Electronic </w:t>
      </w:r>
      <w:r w:rsidRPr="00745022">
        <w:rPr>
          <w:i/>
        </w:rPr>
        <w:t xml:space="preserve">Ticket Resale Service) Information Standard </w:t>
      </w:r>
      <w:r w:rsidR="005F5382" w:rsidRPr="00745022">
        <w:rPr>
          <w:i/>
        </w:rPr>
        <w:t>2022</w:t>
      </w:r>
    </w:p>
    <w:p w14:paraId="20A17344" w14:textId="638D4113" w:rsidR="003F1C73" w:rsidRPr="00745022" w:rsidRDefault="003F1C73" w:rsidP="003F1C73">
      <w:pPr>
        <w:spacing w:before="240"/>
      </w:pPr>
      <w:r w:rsidRPr="00745022">
        <w:t>Section 134 of</w:t>
      </w:r>
      <w:r w:rsidR="00712B2F" w:rsidRPr="00745022">
        <w:t xml:space="preserve"> the</w:t>
      </w:r>
      <w:r w:rsidRPr="00745022">
        <w:t xml:space="preserve"> </w:t>
      </w:r>
      <w:r w:rsidR="00974B8A" w:rsidRPr="00745022">
        <w:t>Australian Consumer Law, which is contained in S</w:t>
      </w:r>
      <w:r w:rsidRPr="00745022">
        <w:t xml:space="preserve">chedule 2 to the </w:t>
      </w:r>
      <w:r w:rsidRPr="00745022">
        <w:rPr>
          <w:i/>
        </w:rPr>
        <w:t>Competition and Consumer Act</w:t>
      </w:r>
      <w:r w:rsidR="00A16B7A" w:rsidRPr="00745022">
        <w:rPr>
          <w:i/>
        </w:rPr>
        <w:t xml:space="preserve"> 2010</w:t>
      </w:r>
      <w:r w:rsidRPr="00745022">
        <w:t xml:space="preserve"> (the Act)</w:t>
      </w:r>
      <w:r w:rsidR="00974B8A" w:rsidRPr="00745022">
        <w:t>,</w:t>
      </w:r>
      <w:r w:rsidRPr="00745022">
        <w:t xml:space="preserve"> provides that the </w:t>
      </w:r>
      <w:proofErr w:type="gramStart"/>
      <w:r w:rsidRPr="00745022">
        <w:t>Commonwealth Minister</w:t>
      </w:r>
      <w:proofErr w:type="gramEnd"/>
      <w:r w:rsidRPr="00745022">
        <w:t xml:space="preserve"> may, by written notice published on the internet, make an information standard for goods or services of a particular kind.</w:t>
      </w:r>
    </w:p>
    <w:p w14:paraId="6CCFA8DB" w14:textId="730576F6" w:rsidR="003F1C73" w:rsidRPr="00745022" w:rsidRDefault="003F1C73" w:rsidP="003F1C73">
      <w:pPr>
        <w:spacing w:before="240"/>
      </w:pPr>
      <w:r w:rsidRPr="00745022">
        <w:t xml:space="preserve">The purpose of the </w:t>
      </w:r>
      <w:r w:rsidRPr="00745022">
        <w:rPr>
          <w:i/>
        </w:rPr>
        <w:t>Competition and Consumer (Australian Consumer Law—</w:t>
      </w:r>
      <w:r w:rsidR="00214AF0" w:rsidRPr="00745022">
        <w:rPr>
          <w:i/>
        </w:rPr>
        <w:t xml:space="preserve">Electronic </w:t>
      </w:r>
      <w:r w:rsidRPr="00745022">
        <w:rPr>
          <w:i/>
        </w:rPr>
        <w:t>Ticket Resale Service) Information Standard 20</w:t>
      </w:r>
      <w:r w:rsidR="005C0FC5" w:rsidRPr="00745022">
        <w:rPr>
          <w:i/>
        </w:rPr>
        <w:t>22</w:t>
      </w:r>
      <w:r w:rsidRPr="00745022">
        <w:rPr>
          <w:i/>
        </w:rPr>
        <w:t xml:space="preserve"> </w:t>
      </w:r>
      <w:r w:rsidRPr="00745022">
        <w:t xml:space="preserve">(the Information Standard) is to set out </w:t>
      </w:r>
      <w:r w:rsidR="000E06C3" w:rsidRPr="00745022">
        <w:t xml:space="preserve">information </w:t>
      </w:r>
      <w:r w:rsidR="00974B8A" w:rsidRPr="00745022">
        <w:t>disclosure requirements</w:t>
      </w:r>
      <w:r w:rsidRPr="00745022">
        <w:t xml:space="preserve"> for </w:t>
      </w:r>
      <w:r w:rsidR="00EA3631" w:rsidRPr="00745022">
        <w:t xml:space="preserve">electronic </w:t>
      </w:r>
      <w:r w:rsidRPr="00745022">
        <w:t>ticket resale services.</w:t>
      </w:r>
    </w:p>
    <w:p w14:paraId="758DB964" w14:textId="03EDD980" w:rsidR="003F1C73" w:rsidRPr="00745022" w:rsidRDefault="003F1C73" w:rsidP="003F1C73">
      <w:pPr>
        <w:spacing w:before="240"/>
      </w:pPr>
      <w:r w:rsidRPr="00745022">
        <w:t xml:space="preserve">The market for event tickets in Australia consists of a primary market, where tickets are sold by </w:t>
      </w:r>
      <w:r w:rsidR="00905D06" w:rsidRPr="00745022">
        <w:t xml:space="preserve">primary </w:t>
      </w:r>
      <w:r w:rsidR="00175E30" w:rsidRPr="00745022">
        <w:t xml:space="preserve">ticket </w:t>
      </w:r>
      <w:r w:rsidR="00905D06" w:rsidRPr="00745022">
        <w:t xml:space="preserve">providers </w:t>
      </w:r>
      <w:r w:rsidR="00E04FE3" w:rsidRPr="00745022">
        <w:t xml:space="preserve">authorised to </w:t>
      </w:r>
      <w:r w:rsidR="00E16318" w:rsidRPr="00745022">
        <w:t>provide the first supply</w:t>
      </w:r>
      <w:r w:rsidR="003A4675" w:rsidRPr="00745022">
        <w:t xml:space="preserve"> of tickets</w:t>
      </w:r>
      <w:r w:rsidR="00E16318" w:rsidRPr="00745022">
        <w:t xml:space="preserve"> </w:t>
      </w:r>
      <w:r w:rsidR="00905D06" w:rsidRPr="00745022">
        <w:t xml:space="preserve">(such as a ticketing </w:t>
      </w:r>
      <w:r w:rsidR="00B90E8E" w:rsidRPr="00745022">
        <w:t>company or event venue)</w:t>
      </w:r>
      <w:r w:rsidR="00905D06" w:rsidRPr="00745022">
        <w:t>,</w:t>
      </w:r>
      <w:r w:rsidRPr="00745022">
        <w:t xml:space="preserve"> and a secondary market</w:t>
      </w:r>
      <w:r w:rsidR="007D3B57" w:rsidRPr="00745022">
        <w:t>,</w:t>
      </w:r>
      <w:r w:rsidRPr="00745022">
        <w:t xml:space="preserve"> where tickets are resold after being first purchased through </w:t>
      </w:r>
      <w:r w:rsidR="00B90E8E" w:rsidRPr="00745022">
        <w:t xml:space="preserve">a primary </w:t>
      </w:r>
      <w:r w:rsidR="00175E30" w:rsidRPr="00745022">
        <w:t xml:space="preserve">ticket </w:t>
      </w:r>
      <w:r w:rsidR="00B90E8E" w:rsidRPr="00745022">
        <w:t>provider</w:t>
      </w:r>
      <w:r w:rsidRPr="00745022">
        <w:t>. The secondary market in tickets is often referred to as ticket res</w:t>
      </w:r>
      <w:r w:rsidR="00905D06" w:rsidRPr="00745022">
        <w:t>ale</w:t>
      </w:r>
      <w:r w:rsidRPr="00745022">
        <w:t>. Ticket res</w:t>
      </w:r>
      <w:r w:rsidR="00905D06" w:rsidRPr="00745022">
        <w:t xml:space="preserve">ale </w:t>
      </w:r>
      <w:r w:rsidRPr="00745022">
        <w:t>provides consumers with an opportunity to recover the full or part</w:t>
      </w:r>
      <w:r w:rsidR="00E31011" w:rsidRPr="00745022">
        <w:t>ial</w:t>
      </w:r>
      <w:r w:rsidRPr="00745022">
        <w:t xml:space="preserve"> cost of tickets that they can no longer use and allows other consumers to access </w:t>
      </w:r>
      <w:r w:rsidR="00E31011" w:rsidRPr="00745022">
        <w:t xml:space="preserve">tickets to sold out </w:t>
      </w:r>
      <w:r w:rsidRPr="00745022">
        <w:t>events they may not have otherwise been able to attend.</w:t>
      </w:r>
    </w:p>
    <w:p w14:paraId="2463D1F9" w14:textId="6B3F3080" w:rsidR="00A1299A" w:rsidRPr="00745022" w:rsidRDefault="00A1299A" w:rsidP="003F1C73">
      <w:pPr>
        <w:spacing w:before="240"/>
      </w:pPr>
      <w:r w:rsidRPr="00745022">
        <w:t xml:space="preserve">The secondary market for event tickets is substantially facilitated through electronic platforms such as websites and </w:t>
      </w:r>
      <w:r w:rsidR="00F81C3F" w:rsidRPr="00745022">
        <w:t>mobile</w:t>
      </w:r>
      <w:r w:rsidR="0018582B" w:rsidRPr="00745022">
        <w:t xml:space="preserve"> phone</w:t>
      </w:r>
      <w:r w:rsidR="00F81C3F" w:rsidRPr="00745022">
        <w:t xml:space="preserve"> </w:t>
      </w:r>
      <w:r w:rsidRPr="00745022">
        <w:t>app</w:t>
      </w:r>
      <w:r w:rsidR="00F81C3F" w:rsidRPr="00745022">
        <w:t>lication</w:t>
      </w:r>
      <w:r w:rsidRPr="00745022">
        <w:t>s</w:t>
      </w:r>
      <w:r w:rsidR="00F81C3F" w:rsidRPr="00745022">
        <w:t xml:space="preserve"> (mobile app)</w:t>
      </w:r>
      <w:r w:rsidRPr="00745022">
        <w:t>.</w:t>
      </w:r>
    </w:p>
    <w:p w14:paraId="13314F82" w14:textId="56BDC237" w:rsidR="0092716D" w:rsidRPr="00745022" w:rsidRDefault="00905D06" w:rsidP="00A343FF">
      <w:pPr>
        <w:spacing w:before="240"/>
      </w:pPr>
      <w:r w:rsidRPr="00745022">
        <w:t xml:space="preserve">Some </w:t>
      </w:r>
      <w:r w:rsidR="003064EF" w:rsidRPr="00745022">
        <w:t>consumers using</w:t>
      </w:r>
      <w:r w:rsidR="00A343FF" w:rsidRPr="00745022">
        <w:t xml:space="preserve"> electronic ticket resale services may be unaware that they are buying a ticket </w:t>
      </w:r>
      <w:r w:rsidR="000E06C3" w:rsidRPr="00745022">
        <w:t xml:space="preserve">in </w:t>
      </w:r>
      <w:r w:rsidR="00FC25DB" w:rsidRPr="00745022">
        <w:t xml:space="preserve">the secondary </w:t>
      </w:r>
      <w:proofErr w:type="gramStart"/>
      <w:r w:rsidR="00FC25DB" w:rsidRPr="00745022">
        <w:t>market</w:t>
      </w:r>
      <w:r w:rsidR="0092716D" w:rsidRPr="00745022">
        <w:t>, and</w:t>
      </w:r>
      <w:proofErr w:type="gramEnd"/>
      <w:r w:rsidR="0092716D" w:rsidRPr="00745022">
        <w:t xml:space="preserve"> may not have timely or easy access to information about the price they could have paid, had they purchased the ticket through </w:t>
      </w:r>
      <w:r w:rsidR="00D56846" w:rsidRPr="00745022">
        <w:t>a</w:t>
      </w:r>
      <w:r w:rsidR="0092716D" w:rsidRPr="00745022">
        <w:t xml:space="preserve"> primary </w:t>
      </w:r>
      <w:r w:rsidR="00175E30" w:rsidRPr="00745022">
        <w:t xml:space="preserve">ticket </w:t>
      </w:r>
      <w:r w:rsidR="0092716D" w:rsidRPr="00745022">
        <w:t>provider</w:t>
      </w:r>
      <w:r w:rsidR="00A343FF" w:rsidRPr="00745022">
        <w:t xml:space="preserve">. </w:t>
      </w:r>
      <w:r w:rsidRPr="00745022">
        <w:t>A c</w:t>
      </w:r>
      <w:r w:rsidR="00A343FF" w:rsidRPr="00745022">
        <w:t xml:space="preserve">onsumer may use </w:t>
      </w:r>
      <w:r w:rsidRPr="00745022">
        <w:t xml:space="preserve">an </w:t>
      </w:r>
      <w:r w:rsidR="00A343FF" w:rsidRPr="00745022">
        <w:t xml:space="preserve">electronic ticket resale service after clicking on a listing </w:t>
      </w:r>
      <w:r w:rsidRPr="00745022">
        <w:t xml:space="preserve">in </w:t>
      </w:r>
      <w:r w:rsidR="00A343FF" w:rsidRPr="00745022">
        <w:t xml:space="preserve">their search results after searching for tickets to an event. Without adequate disclosure from the electronic ticket resale service, this process can result in consumers having the perception that a ticket </w:t>
      </w:r>
      <w:r w:rsidR="00FC25DB" w:rsidRPr="00745022">
        <w:t xml:space="preserve">resale </w:t>
      </w:r>
      <w:r w:rsidR="00A343FF" w:rsidRPr="00745022">
        <w:t xml:space="preserve">website or mobile app is </w:t>
      </w:r>
      <w:r w:rsidR="00CB3C05" w:rsidRPr="00745022">
        <w:t xml:space="preserve">the primary </w:t>
      </w:r>
      <w:r w:rsidR="00175E30" w:rsidRPr="00745022">
        <w:t xml:space="preserve">ticket </w:t>
      </w:r>
      <w:r w:rsidR="00CB3C05" w:rsidRPr="00745022">
        <w:t>provider.</w:t>
      </w:r>
      <w:r w:rsidR="00A343FF" w:rsidRPr="00745022">
        <w:t xml:space="preserve"> This perception can lead to </w:t>
      </w:r>
      <w:r w:rsidR="00B90E8E" w:rsidRPr="00745022">
        <w:t xml:space="preserve">some </w:t>
      </w:r>
      <w:r w:rsidR="00A343FF" w:rsidRPr="00745022">
        <w:t xml:space="preserve">consumers purchasing tickets from a reseller at a higher price than they would have otherwise paid </w:t>
      </w:r>
      <w:r w:rsidR="00FA4B54" w:rsidRPr="00745022">
        <w:t>had they</w:t>
      </w:r>
      <w:r w:rsidR="00A343FF" w:rsidRPr="00745022">
        <w:t xml:space="preserve"> </w:t>
      </w:r>
      <w:r w:rsidR="00FC25DB" w:rsidRPr="00745022">
        <w:t xml:space="preserve">purchased </w:t>
      </w:r>
      <w:r w:rsidR="00A343FF" w:rsidRPr="00745022">
        <w:t>similar tickets</w:t>
      </w:r>
      <w:r w:rsidR="00FA4B54" w:rsidRPr="00745022">
        <w:t xml:space="preserve"> through</w:t>
      </w:r>
      <w:r w:rsidR="00A343FF" w:rsidRPr="00745022">
        <w:t xml:space="preserve"> </w:t>
      </w:r>
      <w:r w:rsidR="00CB3C05" w:rsidRPr="00745022">
        <w:t>the primary ticket</w:t>
      </w:r>
      <w:r w:rsidR="00175E30" w:rsidRPr="00745022">
        <w:t xml:space="preserve"> provider</w:t>
      </w:r>
      <w:r w:rsidR="00A343FF" w:rsidRPr="00745022">
        <w:t>.</w:t>
      </w:r>
    </w:p>
    <w:p w14:paraId="33DFE0F1" w14:textId="48D09318" w:rsidR="00FB2A26" w:rsidRPr="00745022" w:rsidRDefault="003F1C73" w:rsidP="00A343FF">
      <w:pPr>
        <w:spacing w:before="240"/>
      </w:pPr>
      <w:r w:rsidRPr="00745022">
        <w:t>On 31 August 2017,</w:t>
      </w:r>
      <w:r w:rsidR="004B6699" w:rsidRPr="00745022">
        <w:t xml:space="preserve"> </w:t>
      </w:r>
      <w:r w:rsidR="00ED443D" w:rsidRPr="00745022">
        <w:t>Commonwealth</w:t>
      </w:r>
      <w:r w:rsidR="008001C9" w:rsidRPr="00745022">
        <w:t>,</w:t>
      </w:r>
      <w:r w:rsidR="00ED443D" w:rsidRPr="00745022">
        <w:t xml:space="preserve"> State and Territory</w:t>
      </w:r>
      <w:r w:rsidRPr="00745022">
        <w:t xml:space="preserve"> </w:t>
      </w:r>
      <w:r w:rsidR="00FE1694" w:rsidRPr="00745022">
        <w:t xml:space="preserve">Consumer Affairs </w:t>
      </w:r>
      <w:r w:rsidRPr="00745022">
        <w:t>Ministers</w:t>
      </w:r>
      <w:r w:rsidR="00C200C1" w:rsidRPr="00745022">
        <w:t xml:space="preserve">, </w:t>
      </w:r>
      <w:r w:rsidR="00360AEC" w:rsidRPr="00745022">
        <w:t>through the former Legislative and Governance Forum on Consumer Affairs</w:t>
      </w:r>
      <w:r w:rsidR="00994917" w:rsidRPr="00745022">
        <w:t xml:space="preserve"> (CAF)</w:t>
      </w:r>
      <w:r w:rsidR="00360AEC" w:rsidRPr="00745022">
        <w:t xml:space="preserve">, </w:t>
      </w:r>
      <w:r w:rsidR="00ED2452" w:rsidRPr="00745022">
        <w:t>noted that</w:t>
      </w:r>
      <w:r w:rsidRPr="00745022">
        <w:t xml:space="preserve"> the Commonwealth Department of the Treasury </w:t>
      </w:r>
      <w:r w:rsidR="00ED2452" w:rsidRPr="00745022">
        <w:t xml:space="preserve">would </w:t>
      </w:r>
      <w:r w:rsidRPr="00745022">
        <w:t>undertak</w:t>
      </w:r>
      <w:r w:rsidR="00ED2452" w:rsidRPr="00745022">
        <w:t>e</w:t>
      </w:r>
      <w:r w:rsidRPr="00745022">
        <w:t xml:space="preserve"> a regulatory impact assessment </w:t>
      </w:r>
      <w:r w:rsidR="00ED443D" w:rsidRPr="00745022">
        <w:t xml:space="preserve">on options </w:t>
      </w:r>
      <w:r w:rsidRPr="00745022">
        <w:t xml:space="preserve">to address issues in the secondary market </w:t>
      </w:r>
      <w:r w:rsidR="009B0B32" w:rsidRPr="00745022">
        <w:t>for event tickets</w:t>
      </w:r>
      <w:r w:rsidRPr="00745022">
        <w:t>.</w:t>
      </w:r>
    </w:p>
    <w:p w14:paraId="40800299" w14:textId="43CB514E" w:rsidR="003F1C73" w:rsidRPr="00745022" w:rsidRDefault="003F1C73" w:rsidP="003F1C73">
      <w:pPr>
        <w:spacing w:before="240"/>
      </w:pPr>
      <w:r w:rsidRPr="00745022">
        <w:lastRenderedPageBreak/>
        <w:t xml:space="preserve">Public consultation on </w:t>
      </w:r>
      <w:r w:rsidR="009B0B32" w:rsidRPr="00745022">
        <w:t xml:space="preserve">a </w:t>
      </w:r>
      <w:r w:rsidR="00DC5FE7" w:rsidRPr="00745022">
        <w:t xml:space="preserve">Consultation </w:t>
      </w:r>
      <w:r w:rsidR="009B0B32" w:rsidRPr="00745022">
        <w:t>Regulation Impact Statement</w:t>
      </w:r>
      <w:r w:rsidRPr="00745022">
        <w:t xml:space="preserve"> took place</w:t>
      </w:r>
      <w:r w:rsidR="00ED443D" w:rsidRPr="00745022">
        <w:t xml:space="preserve"> in November and December 2017.</w:t>
      </w:r>
      <w:r w:rsidR="00FB2A26" w:rsidRPr="00745022">
        <w:t xml:space="preserve"> </w:t>
      </w:r>
      <w:r w:rsidRPr="00745022">
        <w:t xml:space="preserve">During the consultation process, 16 submissions were received from </w:t>
      </w:r>
      <w:r w:rsidR="0076144D" w:rsidRPr="00745022">
        <w:t>stakeholder</w:t>
      </w:r>
      <w:r w:rsidR="00FB2A26" w:rsidRPr="00745022">
        <w:t>s</w:t>
      </w:r>
      <w:r w:rsidR="0076144D" w:rsidRPr="00745022">
        <w:t xml:space="preserve">, and </w:t>
      </w:r>
      <w:r w:rsidRPr="00745022">
        <w:t>377</w:t>
      </w:r>
      <w:r w:rsidR="000B29CD" w:rsidRPr="00745022">
        <w:t> </w:t>
      </w:r>
      <w:r w:rsidRPr="00745022">
        <w:t>consumer comments were recorded via the Treasury website.</w:t>
      </w:r>
    </w:p>
    <w:p w14:paraId="09F073B6" w14:textId="6DE11BAC" w:rsidR="003F1C73" w:rsidRPr="00745022" w:rsidRDefault="003F1C73" w:rsidP="003F1C73">
      <w:pPr>
        <w:spacing w:before="240"/>
      </w:pPr>
      <w:r w:rsidRPr="00745022">
        <w:t>On 26 October 2018,</w:t>
      </w:r>
      <w:r w:rsidR="003723D7" w:rsidRPr="00745022">
        <w:t xml:space="preserve"> </w:t>
      </w:r>
      <w:r w:rsidR="00994917" w:rsidRPr="00745022">
        <w:t xml:space="preserve">Commonwealth, State and Territory </w:t>
      </w:r>
      <w:r w:rsidRPr="00745022">
        <w:t>Consumer Affairs Ministers</w:t>
      </w:r>
      <w:r w:rsidR="00DB2E64" w:rsidRPr="00745022">
        <w:t>,</w:t>
      </w:r>
      <w:r w:rsidR="00394601" w:rsidRPr="00745022">
        <w:t xml:space="preserve"> </w:t>
      </w:r>
      <w:r w:rsidR="00360AEC" w:rsidRPr="00745022">
        <w:t>through</w:t>
      </w:r>
      <w:r w:rsidR="00FB2A26" w:rsidRPr="00745022">
        <w:t xml:space="preserve"> the former</w:t>
      </w:r>
      <w:r w:rsidR="00994917" w:rsidRPr="00745022">
        <w:t xml:space="preserve"> </w:t>
      </w:r>
      <w:r w:rsidR="00360AEC" w:rsidRPr="00745022">
        <w:t>CAF</w:t>
      </w:r>
      <w:r w:rsidR="00CA719A" w:rsidRPr="00745022">
        <w:t>,</w:t>
      </w:r>
      <w:r w:rsidRPr="00745022">
        <w:t xml:space="preserve"> agreed to require ticket resale services to disclose the face value of tickets and to disclose the fact that they are not an </w:t>
      </w:r>
      <w:r w:rsidR="00E66827" w:rsidRPr="00745022">
        <w:t xml:space="preserve">original </w:t>
      </w:r>
      <w:r w:rsidRPr="00745022">
        <w:t xml:space="preserve">ticket seller. </w:t>
      </w:r>
      <w:r w:rsidR="009B0B32" w:rsidRPr="00745022">
        <w:t xml:space="preserve">This </w:t>
      </w:r>
      <w:r w:rsidR="00DC4030" w:rsidRPr="00745022">
        <w:t xml:space="preserve">was agreed </w:t>
      </w:r>
      <w:r w:rsidR="001C1E0A" w:rsidRPr="00745022">
        <w:t>to</w:t>
      </w:r>
      <w:r w:rsidR="009B0B32" w:rsidRPr="00745022">
        <w:t xml:space="preserve"> ensure consumers are aware they are buying from a </w:t>
      </w:r>
      <w:r w:rsidR="00AD2F29" w:rsidRPr="00745022">
        <w:t>reseller</w:t>
      </w:r>
      <w:r w:rsidR="00A274D0" w:rsidRPr="00745022">
        <w:t>,</w:t>
      </w:r>
      <w:r w:rsidR="00FA403B" w:rsidRPr="00745022">
        <w:t xml:space="preserve"> </w:t>
      </w:r>
      <w:r w:rsidR="00F03F4C" w:rsidRPr="00745022">
        <w:t xml:space="preserve">informed of </w:t>
      </w:r>
      <w:r w:rsidR="00FA403B" w:rsidRPr="00745022">
        <w:t xml:space="preserve">any </w:t>
      </w:r>
      <w:r w:rsidR="00D55BB7" w:rsidRPr="00745022">
        <w:t xml:space="preserve">differences </w:t>
      </w:r>
      <w:r w:rsidR="00FA403B" w:rsidRPr="00745022">
        <w:t>between the face value of a particular ticket and the resale price</w:t>
      </w:r>
      <w:r w:rsidR="00A274D0" w:rsidRPr="00745022">
        <w:t>, and</w:t>
      </w:r>
      <w:r w:rsidR="009B0B32" w:rsidRPr="00745022">
        <w:t xml:space="preserve"> able to make an informed decision about whether to buy tickets from </w:t>
      </w:r>
      <w:r w:rsidR="0096006B" w:rsidRPr="00745022">
        <w:t>an electronic ticket resale service.</w:t>
      </w:r>
    </w:p>
    <w:p w14:paraId="71425934" w14:textId="238F6ACA" w:rsidR="00C61EA2" w:rsidRPr="00745022" w:rsidRDefault="00DC5FE7" w:rsidP="003F1C73">
      <w:pPr>
        <w:spacing w:before="240"/>
      </w:pPr>
      <w:r w:rsidRPr="00745022">
        <w:t>A Decision Regulation Impact Statement was published in November 2018 and assessed as compliant with Council of Australian Government</w:t>
      </w:r>
      <w:r w:rsidR="00851A19" w:rsidRPr="00745022">
        <w:t>s</w:t>
      </w:r>
      <w:r w:rsidRPr="00745022">
        <w:t xml:space="preserve"> R</w:t>
      </w:r>
      <w:r w:rsidR="00C05299" w:rsidRPr="00745022">
        <w:t>egulation Impact Statement</w:t>
      </w:r>
      <w:r w:rsidRPr="00745022">
        <w:t xml:space="preserve"> requirements by the Office of Best Practice Regulation.</w:t>
      </w:r>
      <w:r w:rsidR="00D46BAD" w:rsidRPr="00745022">
        <w:rPr>
          <w:rStyle w:val="FootnoteReference"/>
        </w:rPr>
        <w:footnoteReference w:id="2"/>
      </w:r>
      <w:r w:rsidRPr="00745022">
        <w:t xml:space="preserve"> </w:t>
      </w:r>
      <w:r w:rsidR="008C0625" w:rsidRPr="00745022">
        <w:t>C</w:t>
      </w:r>
      <w:r w:rsidR="00C61EA2" w:rsidRPr="00745022">
        <w:t xml:space="preserve">onsultation on </w:t>
      </w:r>
      <w:r w:rsidR="008C0625" w:rsidRPr="00745022">
        <w:t>an</w:t>
      </w:r>
      <w:r w:rsidR="00C61EA2" w:rsidRPr="00745022">
        <w:t xml:space="preserve"> </w:t>
      </w:r>
      <w:r w:rsidR="008C0625" w:rsidRPr="00745022">
        <w:t>e</w:t>
      </w:r>
      <w:r w:rsidR="00C61EA2" w:rsidRPr="00745022">
        <w:t xml:space="preserve">xposure </w:t>
      </w:r>
      <w:r w:rsidR="008C0625" w:rsidRPr="00745022">
        <w:t>d</w:t>
      </w:r>
      <w:r w:rsidR="00C61EA2" w:rsidRPr="00745022">
        <w:t>raft</w:t>
      </w:r>
      <w:r w:rsidR="008C0625" w:rsidRPr="00745022">
        <w:t xml:space="preserve"> </w:t>
      </w:r>
      <w:r w:rsidR="001174D6" w:rsidRPr="00745022">
        <w:t>of the Information Standard</w:t>
      </w:r>
      <w:r w:rsidR="008C0625" w:rsidRPr="00745022">
        <w:t xml:space="preserve"> occurred from </w:t>
      </w:r>
      <w:r w:rsidR="009B0B32" w:rsidRPr="00745022">
        <w:t>24 December 2019</w:t>
      </w:r>
      <w:r w:rsidR="008C0625" w:rsidRPr="00745022">
        <w:t xml:space="preserve"> to </w:t>
      </w:r>
      <w:r w:rsidR="00FE3210" w:rsidRPr="00745022">
        <w:t>14 February 2020</w:t>
      </w:r>
      <w:r w:rsidR="00C61EA2" w:rsidRPr="00745022">
        <w:t>.</w:t>
      </w:r>
      <w:r w:rsidR="008C0625" w:rsidRPr="00745022">
        <w:t xml:space="preserve"> </w:t>
      </w:r>
      <w:r w:rsidR="004E2CFA" w:rsidRPr="00745022">
        <w:t>Eleven</w:t>
      </w:r>
      <w:r w:rsidR="008C0625" w:rsidRPr="00745022">
        <w:t xml:space="preserve"> submissions were received from </w:t>
      </w:r>
      <w:r w:rsidR="002600EF" w:rsidRPr="00745022">
        <w:t xml:space="preserve">stakeholders including </w:t>
      </w:r>
      <w:r w:rsidR="008C0625" w:rsidRPr="00745022">
        <w:t>industry</w:t>
      </w:r>
      <w:r w:rsidR="00FE3210" w:rsidRPr="00745022">
        <w:t xml:space="preserve"> organisations</w:t>
      </w:r>
      <w:r w:rsidR="008C0625" w:rsidRPr="00745022">
        <w:t xml:space="preserve">, </w:t>
      </w:r>
      <w:r w:rsidR="00FE3210" w:rsidRPr="00745022">
        <w:t>consumer groups and individuals.</w:t>
      </w:r>
    </w:p>
    <w:p w14:paraId="2711F7AE" w14:textId="691B03DB" w:rsidR="002B311A" w:rsidRPr="00745022" w:rsidRDefault="00CA4284" w:rsidP="003F1C73">
      <w:pPr>
        <w:spacing w:before="240"/>
      </w:pPr>
      <w:r w:rsidRPr="00745022">
        <w:t>The</w:t>
      </w:r>
      <w:r w:rsidR="003F1C73" w:rsidRPr="00745022">
        <w:t xml:space="preserve"> Information Standard </w:t>
      </w:r>
      <w:r w:rsidRPr="00745022">
        <w:t xml:space="preserve">requires a person who is </w:t>
      </w:r>
      <w:r w:rsidR="0084520B" w:rsidRPr="00745022">
        <w:t xml:space="preserve">providing </w:t>
      </w:r>
      <w:r w:rsidRPr="00745022">
        <w:t>a</w:t>
      </w:r>
      <w:r w:rsidR="00234879" w:rsidRPr="00745022">
        <w:t>n</w:t>
      </w:r>
      <w:r w:rsidRPr="00745022">
        <w:t xml:space="preserve"> </w:t>
      </w:r>
      <w:r w:rsidR="00AD2F29" w:rsidRPr="00745022">
        <w:t xml:space="preserve">electronic </w:t>
      </w:r>
      <w:r w:rsidR="00941733" w:rsidRPr="00745022">
        <w:t xml:space="preserve">ticket resale </w:t>
      </w:r>
      <w:r w:rsidRPr="00745022">
        <w:t>service</w:t>
      </w:r>
      <w:r w:rsidR="003F1C73" w:rsidRPr="00745022">
        <w:t xml:space="preserve"> to continuously display information on their electronic platforms </w:t>
      </w:r>
      <w:proofErr w:type="gramStart"/>
      <w:r w:rsidR="002A35AB" w:rsidRPr="00745022">
        <w:t>in order to</w:t>
      </w:r>
      <w:proofErr w:type="gramEnd"/>
      <w:r w:rsidR="003F1C73" w:rsidRPr="00745022">
        <w:t xml:space="preserve"> inform consumers that they are </w:t>
      </w:r>
      <w:r w:rsidR="00C452B1" w:rsidRPr="00745022">
        <w:t>a ticket resale service</w:t>
      </w:r>
      <w:r w:rsidR="00234879" w:rsidRPr="00745022">
        <w:t xml:space="preserve"> and not the primary </w:t>
      </w:r>
      <w:r w:rsidR="00C94079" w:rsidRPr="00745022">
        <w:t xml:space="preserve">ticket </w:t>
      </w:r>
      <w:r w:rsidR="00234879" w:rsidRPr="00745022">
        <w:t>provider</w:t>
      </w:r>
      <w:r w:rsidR="003F1C73" w:rsidRPr="00745022">
        <w:t xml:space="preserve">. The </w:t>
      </w:r>
      <w:r w:rsidR="00ED443D" w:rsidRPr="00745022">
        <w:t xml:space="preserve">Information </w:t>
      </w:r>
      <w:r w:rsidR="003F1C73" w:rsidRPr="00745022">
        <w:t>Standard also require</w:t>
      </w:r>
      <w:r w:rsidR="009278D7" w:rsidRPr="00745022">
        <w:t>s</w:t>
      </w:r>
      <w:r w:rsidR="003F1C73" w:rsidRPr="00745022">
        <w:t xml:space="preserve"> </w:t>
      </w:r>
      <w:r w:rsidR="002A35AB" w:rsidRPr="00745022">
        <w:t>the disclosure of</w:t>
      </w:r>
      <w:r w:rsidR="003F1C73" w:rsidRPr="00745022">
        <w:t xml:space="preserve"> information about the price of a ticket in the primary market. </w:t>
      </w:r>
    </w:p>
    <w:p w14:paraId="6893D592" w14:textId="1B01BE19" w:rsidR="003F1C73" w:rsidRPr="00745022" w:rsidRDefault="002B311A" w:rsidP="003F1C73">
      <w:pPr>
        <w:spacing w:before="240"/>
      </w:pPr>
      <w:r w:rsidRPr="00745022">
        <w:t xml:space="preserve">Details of the Information Standard are set out in </w:t>
      </w:r>
      <w:r w:rsidR="00ED443D" w:rsidRPr="00745022">
        <w:rPr>
          <w:u w:val="single"/>
        </w:rPr>
        <w:t>Attachment A</w:t>
      </w:r>
      <w:r w:rsidR="00ED443D" w:rsidRPr="00745022">
        <w:t>.</w:t>
      </w:r>
    </w:p>
    <w:p w14:paraId="4EB84B82" w14:textId="77777777" w:rsidR="00AD3116" w:rsidRPr="00745022" w:rsidRDefault="003F1C73" w:rsidP="003F1C73">
      <w:pPr>
        <w:spacing w:before="240"/>
      </w:pPr>
      <w:r w:rsidRPr="00745022">
        <w:t xml:space="preserve">The Information Standard is a legislative instrument for the purposes of the </w:t>
      </w:r>
      <w:r w:rsidRPr="00745022">
        <w:rPr>
          <w:i/>
        </w:rPr>
        <w:t>Legislation Act 2003</w:t>
      </w:r>
      <w:r w:rsidRPr="00745022">
        <w:t xml:space="preserve">. </w:t>
      </w:r>
    </w:p>
    <w:p w14:paraId="0A7534AF" w14:textId="04A7D4C4" w:rsidR="003F1C73" w:rsidRPr="00745022" w:rsidRDefault="00AD3116" w:rsidP="00DB2E64">
      <w:pPr>
        <w:spacing w:before="240"/>
      </w:pPr>
      <w:r w:rsidRPr="00745022">
        <w:t xml:space="preserve">The </w:t>
      </w:r>
      <w:r w:rsidR="00DF7718" w:rsidRPr="00745022">
        <w:t>Australian Consumer Law</w:t>
      </w:r>
      <w:r w:rsidR="00F1023D" w:rsidRPr="00745022">
        <w:t xml:space="preserve">, contained in Schedule 2 </w:t>
      </w:r>
      <w:r w:rsidR="007C6162" w:rsidRPr="00745022">
        <w:t>to</w:t>
      </w:r>
      <w:r w:rsidR="00F1023D" w:rsidRPr="00745022">
        <w:t xml:space="preserve"> the Act,</w:t>
      </w:r>
      <w:r w:rsidR="00DF7718" w:rsidRPr="00745022">
        <w:t xml:space="preserve"> is made pursuant to the Intergovernmental Agreement for the Australian Consumer Law</w:t>
      </w:r>
      <w:r w:rsidR="005E06A0" w:rsidRPr="00745022">
        <w:t xml:space="preserve">. </w:t>
      </w:r>
      <w:r w:rsidR="007B47EB" w:rsidRPr="00745022">
        <w:t xml:space="preserve">The Australian Consumer Law </w:t>
      </w:r>
      <w:r w:rsidR="00B1468F" w:rsidRPr="00745022">
        <w:t xml:space="preserve">therefore </w:t>
      </w:r>
      <w:r w:rsidR="005E06A0" w:rsidRPr="00745022">
        <w:t xml:space="preserve">facilitates the establishment or operation of an </w:t>
      </w:r>
      <w:r w:rsidR="007B47EB" w:rsidRPr="00745022">
        <w:t xml:space="preserve">intergovernmental </w:t>
      </w:r>
      <w:r w:rsidR="005E06A0" w:rsidRPr="00745022">
        <w:t xml:space="preserve">scheme involving the Commonwealth and </w:t>
      </w:r>
      <w:r w:rsidR="009F7003" w:rsidRPr="00745022">
        <w:t>all</w:t>
      </w:r>
      <w:r w:rsidR="005E06A0" w:rsidRPr="00745022">
        <w:t xml:space="preserve"> States </w:t>
      </w:r>
      <w:r w:rsidR="009F7003" w:rsidRPr="00745022">
        <w:t>and</w:t>
      </w:r>
      <w:r w:rsidR="005E06A0" w:rsidRPr="00745022">
        <w:t xml:space="preserve"> </w:t>
      </w:r>
      <w:r w:rsidR="00866AB7" w:rsidRPr="00745022">
        <w:t xml:space="preserve">Territories, </w:t>
      </w:r>
      <w:r w:rsidR="00B81D41" w:rsidRPr="00745022">
        <w:t xml:space="preserve">while </w:t>
      </w:r>
      <w:r w:rsidR="005E06A0" w:rsidRPr="00745022">
        <w:t>authoris</w:t>
      </w:r>
      <w:r w:rsidR="00B81D41" w:rsidRPr="00745022">
        <w:t>ing</w:t>
      </w:r>
      <w:r w:rsidR="005E06A0" w:rsidRPr="00745022">
        <w:t xml:space="preserve"> the </w:t>
      </w:r>
      <w:r w:rsidR="007B47EB" w:rsidRPr="00745022">
        <w:t>Information Standard</w:t>
      </w:r>
      <w:r w:rsidR="005E06A0" w:rsidRPr="00745022">
        <w:t xml:space="preserve"> to be made for the purposes of </w:t>
      </w:r>
      <w:r w:rsidR="007B47EB" w:rsidRPr="00745022">
        <w:t>the</w:t>
      </w:r>
      <w:r w:rsidR="005E06A0" w:rsidRPr="00745022">
        <w:t xml:space="preserve"> scheme</w:t>
      </w:r>
      <w:r w:rsidR="007B47EB" w:rsidRPr="00745022">
        <w:t>.</w:t>
      </w:r>
      <w:r w:rsidR="00DF7718" w:rsidRPr="00745022">
        <w:t xml:space="preserve"> </w:t>
      </w:r>
      <w:r w:rsidR="00EE7E45" w:rsidRPr="00745022">
        <w:t>Accordingly,</w:t>
      </w:r>
      <w:r w:rsidR="003F1C73" w:rsidRPr="00745022">
        <w:t xml:space="preserve"> the </w:t>
      </w:r>
      <w:r w:rsidR="00AB3EBA" w:rsidRPr="00745022">
        <w:t>Information</w:t>
      </w:r>
      <w:r w:rsidR="003F1C73" w:rsidRPr="00745022">
        <w:t xml:space="preserve"> Standard is not subject to disallowance by virtue of </w:t>
      </w:r>
      <w:r w:rsidR="00FA7CFE" w:rsidRPr="00745022">
        <w:t>sub</w:t>
      </w:r>
      <w:r w:rsidR="003F1C73" w:rsidRPr="00745022">
        <w:t>section 44</w:t>
      </w:r>
      <w:r w:rsidR="00FA7CFE" w:rsidRPr="00745022">
        <w:t>(1)</w:t>
      </w:r>
      <w:r w:rsidR="003F1C73" w:rsidRPr="00745022">
        <w:t xml:space="preserve"> of </w:t>
      </w:r>
      <w:r w:rsidR="000841B1" w:rsidRPr="00745022">
        <w:t xml:space="preserve">the </w:t>
      </w:r>
      <w:r w:rsidR="000841B1" w:rsidRPr="00745022">
        <w:rPr>
          <w:i/>
          <w:iCs/>
        </w:rPr>
        <w:t>Legislation Act 2003</w:t>
      </w:r>
      <w:r w:rsidR="003F1C73" w:rsidRPr="00745022">
        <w:t>, or sunsetting by virtue of s</w:t>
      </w:r>
      <w:r w:rsidR="00FA7CFE" w:rsidRPr="00745022">
        <w:t>ubs</w:t>
      </w:r>
      <w:r w:rsidR="003F1C73" w:rsidRPr="00745022">
        <w:t xml:space="preserve">ection </w:t>
      </w:r>
      <w:r w:rsidR="00A16B7A" w:rsidRPr="00745022">
        <w:t>54</w:t>
      </w:r>
      <w:r w:rsidR="00FA7CFE" w:rsidRPr="00745022">
        <w:t>(1)</w:t>
      </w:r>
      <w:r w:rsidR="00A16B7A" w:rsidRPr="00745022">
        <w:t> </w:t>
      </w:r>
      <w:r w:rsidR="003F1C73" w:rsidRPr="00745022">
        <w:t>of that Act.</w:t>
      </w:r>
    </w:p>
    <w:p w14:paraId="4D72CD9A" w14:textId="1D08FEF8" w:rsidR="003F1C73" w:rsidRPr="00745022" w:rsidRDefault="003F1C73" w:rsidP="003F1C73">
      <w:pPr>
        <w:spacing w:before="240"/>
      </w:pPr>
      <w:r w:rsidRPr="00745022">
        <w:t xml:space="preserve">The Information Standard </w:t>
      </w:r>
      <w:r w:rsidR="002A35AB" w:rsidRPr="00745022">
        <w:t xml:space="preserve">commences </w:t>
      </w:r>
      <w:r w:rsidR="00E67FD1" w:rsidRPr="00745022">
        <w:t xml:space="preserve">the day after the end of the period of </w:t>
      </w:r>
      <w:r w:rsidR="00221272" w:rsidRPr="00745022">
        <w:t>six</w:t>
      </w:r>
      <w:r w:rsidR="00E67FD1" w:rsidRPr="00745022">
        <w:t xml:space="preserve"> months, beginning on the day the instrument is registered on </w:t>
      </w:r>
      <w:r w:rsidR="00ED443D" w:rsidRPr="00745022">
        <w:t>the Federal Register of Legislation.</w:t>
      </w:r>
    </w:p>
    <w:p w14:paraId="48467758" w14:textId="77777777" w:rsidR="003F1C73" w:rsidRPr="00745022" w:rsidRDefault="003F1C73" w:rsidP="003F1C73">
      <w:pPr>
        <w:pageBreakBefore/>
        <w:spacing w:before="240"/>
        <w:jc w:val="right"/>
        <w:rPr>
          <w:b/>
          <w:u w:val="single"/>
        </w:rPr>
      </w:pPr>
      <w:r w:rsidRPr="00745022">
        <w:rPr>
          <w:b/>
          <w:u w:val="single"/>
        </w:rPr>
        <w:lastRenderedPageBreak/>
        <w:t>ATTACHMENT</w:t>
      </w:r>
      <w:r w:rsidR="00ED443D" w:rsidRPr="00745022">
        <w:rPr>
          <w:b/>
          <w:u w:val="single"/>
        </w:rPr>
        <w:t xml:space="preserve"> A</w:t>
      </w:r>
    </w:p>
    <w:p w14:paraId="525D421C" w14:textId="6964DAB8" w:rsidR="003F1C73" w:rsidRPr="00745022" w:rsidRDefault="003F1C73" w:rsidP="003F1C73">
      <w:pPr>
        <w:spacing w:before="240"/>
        <w:ind w:right="91"/>
        <w:rPr>
          <w:b/>
          <w:bCs/>
          <w:i/>
          <w:szCs w:val="24"/>
          <w:u w:val="single"/>
        </w:rPr>
      </w:pPr>
      <w:r w:rsidRPr="00745022">
        <w:rPr>
          <w:b/>
          <w:u w:val="single"/>
        </w:rPr>
        <w:t>Details of the</w:t>
      </w:r>
      <w:r w:rsidRPr="00745022">
        <w:rPr>
          <w:b/>
          <w:bCs/>
          <w:i/>
          <w:u w:val="single"/>
        </w:rPr>
        <w:t xml:space="preserve"> </w:t>
      </w:r>
      <w:r w:rsidRPr="00745022">
        <w:rPr>
          <w:b/>
          <w:i/>
          <w:u w:val="single"/>
        </w:rPr>
        <w:t>Competition and Consumer (Australian Consumer Law—</w:t>
      </w:r>
      <w:r w:rsidR="00214AF0" w:rsidRPr="00745022">
        <w:rPr>
          <w:b/>
          <w:i/>
          <w:u w:val="single"/>
        </w:rPr>
        <w:t xml:space="preserve">Electronic </w:t>
      </w:r>
      <w:r w:rsidRPr="00745022">
        <w:rPr>
          <w:b/>
          <w:i/>
          <w:u w:val="single"/>
        </w:rPr>
        <w:t>Ticket Resale Service) Information Standard 20</w:t>
      </w:r>
      <w:r w:rsidR="00E8677B" w:rsidRPr="00745022">
        <w:rPr>
          <w:b/>
          <w:i/>
          <w:u w:val="single"/>
        </w:rPr>
        <w:t>22</w:t>
      </w:r>
      <w:r w:rsidRPr="00745022">
        <w:rPr>
          <w:b/>
          <w:bCs/>
          <w:i/>
          <w:u w:val="single"/>
        </w:rPr>
        <w:t xml:space="preserve"> </w:t>
      </w:r>
    </w:p>
    <w:p w14:paraId="5EBE0F86" w14:textId="77777777" w:rsidR="003F1C73" w:rsidRPr="00745022" w:rsidRDefault="003F1C73" w:rsidP="003F1C73">
      <w:pPr>
        <w:spacing w:before="240"/>
        <w:rPr>
          <w:b/>
          <w:u w:val="single"/>
        </w:rPr>
      </w:pPr>
      <w:r w:rsidRPr="00745022">
        <w:rPr>
          <w:b/>
        </w:rPr>
        <w:t>Part 1 – Preliminary</w:t>
      </w:r>
    </w:p>
    <w:p w14:paraId="3C668256" w14:textId="5D27B622" w:rsidR="003F1C73" w:rsidRPr="00745022" w:rsidRDefault="003F1C73" w:rsidP="003F1C73">
      <w:pPr>
        <w:spacing w:before="240"/>
        <w:rPr>
          <w:rFonts w:ascii="Calibri" w:hAnsi="Calibri"/>
          <w:sz w:val="22"/>
          <w:szCs w:val="22"/>
          <w:u w:val="single"/>
          <w:lang w:eastAsia="en-US"/>
        </w:rPr>
      </w:pPr>
      <w:r w:rsidRPr="00745022">
        <w:rPr>
          <w:u w:val="single"/>
        </w:rPr>
        <w:t xml:space="preserve">Section 1 – Name of the </w:t>
      </w:r>
      <w:r w:rsidR="00BC2D8F" w:rsidRPr="00745022">
        <w:rPr>
          <w:u w:val="single"/>
        </w:rPr>
        <w:t>I</w:t>
      </w:r>
      <w:r w:rsidRPr="00745022">
        <w:rPr>
          <w:u w:val="single"/>
        </w:rPr>
        <w:t xml:space="preserve">nformation </w:t>
      </w:r>
      <w:r w:rsidR="00BC2D8F" w:rsidRPr="00745022">
        <w:rPr>
          <w:u w:val="single"/>
        </w:rPr>
        <w:t>S</w:t>
      </w:r>
      <w:r w:rsidRPr="00745022">
        <w:rPr>
          <w:u w:val="single"/>
        </w:rPr>
        <w:t>tandard</w:t>
      </w:r>
    </w:p>
    <w:p w14:paraId="43A30458" w14:textId="7D2A371F" w:rsidR="003F1C73" w:rsidRPr="00745022" w:rsidRDefault="003F1C73" w:rsidP="003F1C73">
      <w:pPr>
        <w:spacing w:before="240"/>
      </w:pPr>
      <w:r w:rsidRPr="00745022">
        <w:t>This section provides that the name of the i</w:t>
      </w:r>
      <w:r w:rsidR="003D3E83" w:rsidRPr="00745022">
        <w:t>nstrument</w:t>
      </w:r>
      <w:r w:rsidRPr="00745022">
        <w:t xml:space="preserve"> is the </w:t>
      </w:r>
      <w:r w:rsidRPr="00745022">
        <w:rPr>
          <w:i/>
          <w:noProof/>
        </w:rPr>
        <w:t>Competition and Consumer (Australian Consumer Law—Electronic Ticket Resale Service) Information Standard 20</w:t>
      </w:r>
      <w:r w:rsidR="00E8677B" w:rsidRPr="00745022">
        <w:rPr>
          <w:i/>
          <w:noProof/>
        </w:rPr>
        <w:t>22</w:t>
      </w:r>
      <w:r w:rsidRPr="00745022">
        <w:t xml:space="preserve"> (the Information Standard).</w:t>
      </w:r>
    </w:p>
    <w:p w14:paraId="5FEA7B69" w14:textId="77777777" w:rsidR="003F1C73" w:rsidRPr="00745022" w:rsidRDefault="003F1C73" w:rsidP="003F1C73">
      <w:pPr>
        <w:spacing w:before="240"/>
        <w:ind w:right="91"/>
        <w:rPr>
          <w:u w:val="single"/>
        </w:rPr>
      </w:pPr>
      <w:r w:rsidRPr="00745022">
        <w:rPr>
          <w:u w:val="single"/>
        </w:rPr>
        <w:t>Section 2 – Commencement</w:t>
      </w:r>
    </w:p>
    <w:p w14:paraId="418D4402" w14:textId="5DBFCF0D" w:rsidR="003F1C73" w:rsidRPr="00745022" w:rsidRDefault="003F1C73" w:rsidP="003F1C73">
      <w:pPr>
        <w:spacing w:before="240"/>
        <w:ind w:right="91"/>
      </w:pPr>
      <w:r w:rsidRPr="00745022">
        <w:t xml:space="preserve">This section provides that the </w:t>
      </w:r>
      <w:r w:rsidR="00291CC1" w:rsidRPr="00745022">
        <w:t>Information Standard</w:t>
      </w:r>
      <w:r w:rsidRPr="00745022">
        <w:t xml:space="preserve"> will commence on the day </w:t>
      </w:r>
      <w:r w:rsidR="00D441BF" w:rsidRPr="00745022">
        <w:t xml:space="preserve">after </w:t>
      </w:r>
      <w:r w:rsidRPr="00745022">
        <w:t xml:space="preserve">the end of the period of </w:t>
      </w:r>
      <w:r w:rsidR="00E8677B" w:rsidRPr="00745022">
        <w:t xml:space="preserve">six </w:t>
      </w:r>
      <w:r w:rsidRPr="00745022">
        <w:t>months beginning on the day the instrument is registered on the Federal Register of Legislation.</w:t>
      </w:r>
    </w:p>
    <w:p w14:paraId="6376EAE6" w14:textId="77777777" w:rsidR="003F1C73" w:rsidRPr="00745022" w:rsidRDefault="003F1C73" w:rsidP="003F1C73">
      <w:pPr>
        <w:spacing w:before="240"/>
        <w:ind w:right="91"/>
        <w:rPr>
          <w:u w:val="single"/>
        </w:rPr>
      </w:pPr>
      <w:r w:rsidRPr="00745022">
        <w:rPr>
          <w:u w:val="single"/>
        </w:rPr>
        <w:t>Section 3 – Authority</w:t>
      </w:r>
    </w:p>
    <w:p w14:paraId="641E6227" w14:textId="22771C7C" w:rsidR="003F1C73" w:rsidRPr="00745022" w:rsidRDefault="00E8677B" w:rsidP="003F1C73">
      <w:pPr>
        <w:spacing w:before="240"/>
        <w:ind w:right="91"/>
      </w:pPr>
      <w:r w:rsidRPr="00745022">
        <w:t>This section provides that t</w:t>
      </w:r>
      <w:r w:rsidR="003F1C73" w:rsidRPr="00745022">
        <w:t xml:space="preserve">he Information Standard is made under the </w:t>
      </w:r>
      <w:r w:rsidR="003F1C73" w:rsidRPr="00745022">
        <w:rPr>
          <w:i/>
        </w:rPr>
        <w:t xml:space="preserve">Competition and Consumer Act 2010 </w:t>
      </w:r>
      <w:r w:rsidR="003F1C73" w:rsidRPr="00745022">
        <w:t>(the Act).</w:t>
      </w:r>
    </w:p>
    <w:p w14:paraId="7CA861E2" w14:textId="77777777" w:rsidR="003F1C73" w:rsidRPr="00745022" w:rsidRDefault="003F1C73" w:rsidP="003F1C73">
      <w:pPr>
        <w:spacing w:before="240"/>
        <w:ind w:right="91"/>
        <w:rPr>
          <w:u w:val="single"/>
        </w:rPr>
      </w:pPr>
      <w:r w:rsidRPr="00745022">
        <w:rPr>
          <w:u w:val="single"/>
        </w:rPr>
        <w:t>Section 4 – Definitions</w:t>
      </w:r>
    </w:p>
    <w:p w14:paraId="62C014A2" w14:textId="77777777" w:rsidR="003F1C73" w:rsidRPr="00745022" w:rsidRDefault="003F1C73" w:rsidP="003F1C73">
      <w:pPr>
        <w:spacing w:before="240" w:after="200"/>
        <w:ind w:right="91"/>
      </w:pPr>
      <w:r w:rsidRPr="00745022">
        <w:t xml:space="preserve">This section contains definitions of key terms used in the Information Standard. Notably the term </w:t>
      </w:r>
      <w:r w:rsidRPr="00745022">
        <w:rPr>
          <w:b/>
          <w:i/>
        </w:rPr>
        <w:t>market</w:t>
      </w:r>
      <w:r w:rsidRPr="00745022">
        <w:t xml:space="preserve"> takes the meaning given at section 4E of the Act, whilst the terms </w:t>
      </w:r>
      <w:r w:rsidRPr="00745022">
        <w:rPr>
          <w:b/>
          <w:i/>
        </w:rPr>
        <w:t>service</w:t>
      </w:r>
      <w:r w:rsidRPr="00745022">
        <w:t xml:space="preserve"> and </w:t>
      </w:r>
      <w:r w:rsidRPr="00745022">
        <w:rPr>
          <w:b/>
          <w:i/>
        </w:rPr>
        <w:t>supply</w:t>
      </w:r>
      <w:r w:rsidRPr="00745022">
        <w:t xml:space="preserve"> take the meanings that are given at section 2 of Schedule 2 to the Act.</w:t>
      </w:r>
    </w:p>
    <w:p w14:paraId="7DE47CAA" w14:textId="3069BDDA" w:rsidR="003F1C73" w:rsidRPr="00745022" w:rsidRDefault="003F1C73" w:rsidP="003F1C73">
      <w:pPr>
        <w:spacing w:before="240" w:after="200"/>
        <w:ind w:right="91"/>
      </w:pPr>
      <w:r w:rsidRPr="00745022">
        <w:t xml:space="preserve">The term </w:t>
      </w:r>
      <w:r w:rsidRPr="00745022">
        <w:rPr>
          <w:b/>
          <w:i/>
        </w:rPr>
        <w:t>event</w:t>
      </w:r>
      <w:r w:rsidRPr="00745022">
        <w:t xml:space="preserve"> should be interpreted broadly and should not be limited to the list provided at the definition. </w:t>
      </w:r>
    </w:p>
    <w:p w14:paraId="418F8297" w14:textId="77777777" w:rsidR="003F1C73" w:rsidRPr="00745022" w:rsidRDefault="003F1C73" w:rsidP="003F1C73">
      <w:pPr>
        <w:spacing w:before="240"/>
        <w:ind w:right="91"/>
        <w:rPr>
          <w:u w:val="single"/>
        </w:rPr>
      </w:pPr>
      <w:r w:rsidRPr="00745022">
        <w:rPr>
          <w:u w:val="single"/>
        </w:rPr>
        <w:t>Section 5 – Inconsistency with State and Territory Laws</w:t>
      </w:r>
    </w:p>
    <w:p w14:paraId="3991A602" w14:textId="5E2EBA9A" w:rsidR="003F1C73" w:rsidRPr="00745022" w:rsidRDefault="003F1C73" w:rsidP="003F1C73">
      <w:pPr>
        <w:spacing w:before="0" w:after="0"/>
      </w:pPr>
      <w:r w:rsidRPr="00745022">
        <w:t xml:space="preserve">This section provides the Information Standard does not operate to exclude or limit the operation of a law of a State or Territory that </w:t>
      </w:r>
      <w:proofErr w:type="gramStart"/>
      <w:r w:rsidRPr="00745022">
        <w:t>is capable of operating</w:t>
      </w:r>
      <w:proofErr w:type="gramEnd"/>
      <w:r w:rsidRPr="00745022">
        <w:t xml:space="preserve"> concurrently with the provisions</w:t>
      </w:r>
      <w:r w:rsidR="00AF3B9D" w:rsidRPr="00745022">
        <w:t xml:space="preserve"> </w:t>
      </w:r>
      <w:r w:rsidR="00E74EDB" w:rsidRPr="00745022">
        <w:t>of</w:t>
      </w:r>
      <w:r w:rsidR="00AF3B9D" w:rsidRPr="00745022">
        <w:t xml:space="preserve"> Part 2,</w:t>
      </w:r>
      <w:r w:rsidRPr="00745022">
        <w:t xml:space="preserve"> which </w:t>
      </w:r>
      <w:r w:rsidR="004C5571" w:rsidRPr="00745022">
        <w:t>contain</w:t>
      </w:r>
      <w:r w:rsidR="00E74EDB" w:rsidRPr="00745022">
        <w:t>s</w:t>
      </w:r>
      <w:r w:rsidR="004C5571" w:rsidRPr="00745022">
        <w:t xml:space="preserve"> the </w:t>
      </w:r>
      <w:r w:rsidRPr="00745022">
        <w:t>electronic ticket resale service display requirements.</w:t>
      </w:r>
    </w:p>
    <w:p w14:paraId="239A7BB0" w14:textId="77777777" w:rsidR="003F1C73" w:rsidRPr="00745022" w:rsidRDefault="003F1C73" w:rsidP="003F1C73">
      <w:pPr>
        <w:spacing w:before="240"/>
        <w:rPr>
          <w:b/>
          <w:u w:val="single"/>
        </w:rPr>
      </w:pPr>
      <w:r w:rsidRPr="00745022">
        <w:rPr>
          <w:b/>
        </w:rPr>
        <w:t>Part 2 – Electronic ticket resale service display requirements</w:t>
      </w:r>
    </w:p>
    <w:p w14:paraId="7887C40F" w14:textId="77777777" w:rsidR="00EB45F1" w:rsidRPr="00745022" w:rsidRDefault="003F1C73" w:rsidP="00EB45F1">
      <w:pPr>
        <w:spacing w:before="240"/>
        <w:rPr>
          <w:rFonts w:ascii="Calibri" w:hAnsi="Calibri"/>
          <w:sz w:val="22"/>
          <w:szCs w:val="22"/>
          <w:u w:val="single"/>
          <w:lang w:eastAsia="en-US"/>
        </w:rPr>
      </w:pPr>
      <w:r w:rsidRPr="00745022">
        <w:rPr>
          <w:u w:val="single"/>
        </w:rPr>
        <w:t>Section 6 – Display requirements</w:t>
      </w:r>
    </w:p>
    <w:p w14:paraId="0B796B57" w14:textId="215C46B7" w:rsidR="004F6029" w:rsidRPr="00745022" w:rsidRDefault="003F1C73" w:rsidP="00EB45F1">
      <w:pPr>
        <w:spacing w:before="240"/>
      </w:pPr>
      <w:r w:rsidRPr="00745022">
        <w:t xml:space="preserve">Subsection 6(1) sets out two conditions that together define the kind of service to which the Information Standard applies. If a service meets both the conditions, </w:t>
      </w:r>
      <w:r w:rsidR="004C5571" w:rsidRPr="00745022">
        <w:t xml:space="preserve">the </w:t>
      </w:r>
      <w:r w:rsidRPr="00745022">
        <w:t>person providing that service must ensure they comply with the obligati</w:t>
      </w:r>
      <w:r w:rsidR="00901A28" w:rsidRPr="00745022">
        <w:t>ons set out in subsection 6(2).</w:t>
      </w:r>
    </w:p>
    <w:p w14:paraId="344D2086" w14:textId="22DD7C42" w:rsidR="00544B40" w:rsidRPr="00745022" w:rsidRDefault="00B642F5" w:rsidP="00544B40">
      <w:pPr>
        <w:spacing w:before="0" w:after="0"/>
        <w:rPr>
          <w:i/>
          <w:u w:val="single"/>
        </w:rPr>
      </w:pPr>
      <w:r w:rsidRPr="00745022">
        <w:rPr>
          <w:i/>
        </w:rPr>
        <w:br w:type="column"/>
      </w:r>
      <w:r w:rsidR="00544B40" w:rsidRPr="00745022">
        <w:rPr>
          <w:i/>
          <w:u w:val="single"/>
        </w:rPr>
        <w:lastRenderedPageBreak/>
        <w:t>Subsection 6(1) – Defining the kind of service</w:t>
      </w:r>
    </w:p>
    <w:p w14:paraId="4C178DB2" w14:textId="5791A7F5" w:rsidR="004F6029" w:rsidRPr="00745022" w:rsidRDefault="004F6029" w:rsidP="00EB45F1">
      <w:pPr>
        <w:spacing w:before="240"/>
        <w:rPr>
          <w:i/>
        </w:rPr>
      </w:pPr>
      <w:r w:rsidRPr="00745022">
        <w:rPr>
          <w:i/>
        </w:rPr>
        <w:t>Condition 1</w:t>
      </w:r>
      <w:r w:rsidR="004C5571" w:rsidRPr="00745022">
        <w:rPr>
          <w:i/>
        </w:rPr>
        <w:t xml:space="preserve"> </w:t>
      </w:r>
      <w:r w:rsidR="0017606B" w:rsidRPr="00745022">
        <w:rPr>
          <w:i/>
        </w:rPr>
        <w:t xml:space="preserve">– </w:t>
      </w:r>
      <w:r w:rsidR="004C5571" w:rsidRPr="00745022">
        <w:rPr>
          <w:i/>
        </w:rPr>
        <w:t>paragraph 6(1)(a)</w:t>
      </w:r>
    </w:p>
    <w:p w14:paraId="3EA3BC22" w14:textId="18A4D3A2" w:rsidR="007C6D58" w:rsidRPr="00745022" w:rsidRDefault="00177EFC" w:rsidP="00EB45F1">
      <w:pPr>
        <w:spacing w:before="240"/>
      </w:pPr>
      <w:r w:rsidRPr="00745022">
        <w:t>This condition capture</w:t>
      </w:r>
      <w:r w:rsidR="003F08F4" w:rsidRPr="00745022">
        <w:t>s</w:t>
      </w:r>
      <w:r w:rsidRPr="00745022">
        <w:t xml:space="preserve"> services that </w:t>
      </w:r>
      <w:r w:rsidR="00151AA2" w:rsidRPr="00745022">
        <w:t xml:space="preserve">provide </w:t>
      </w:r>
      <w:r w:rsidRPr="00745022">
        <w:t xml:space="preserve">information to </w:t>
      </w:r>
      <w:r w:rsidR="0065103C" w:rsidRPr="00745022">
        <w:t xml:space="preserve">a person (the </w:t>
      </w:r>
      <w:r w:rsidRPr="00745022">
        <w:rPr>
          <w:b/>
          <w:bCs/>
          <w:i/>
          <w:iCs/>
        </w:rPr>
        <w:t>consumer</w:t>
      </w:r>
      <w:r w:rsidR="0065103C" w:rsidRPr="00745022">
        <w:t>)</w:t>
      </w:r>
      <w:r w:rsidRPr="00745022">
        <w:t xml:space="preserve"> </w:t>
      </w:r>
      <w:r w:rsidR="00F03F4C" w:rsidRPr="00745022">
        <w:t xml:space="preserve">in relation </w:t>
      </w:r>
      <w:r w:rsidR="00151AA2" w:rsidRPr="00745022">
        <w:t xml:space="preserve">to the supply, in a secondary market, </w:t>
      </w:r>
      <w:r w:rsidRPr="00745022">
        <w:t xml:space="preserve">of </w:t>
      </w:r>
      <w:r w:rsidR="00F03F4C" w:rsidRPr="00745022">
        <w:t xml:space="preserve">a </w:t>
      </w:r>
      <w:r w:rsidRPr="00745022">
        <w:t xml:space="preserve">ticket </w:t>
      </w:r>
      <w:r w:rsidR="0076750C" w:rsidRPr="00745022">
        <w:t xml:space="preserve">for admission </w:t>
      </w:r>
      <w:r w:rsidRPr="00745022">
        <w:t xml:space="preserve">to </w:t>
      </w:r>
      <w:r w:rsidR="00F03F4C" w:rsidRPr="00745022">
        <w:t xml:space="preserve">an </w:t>
      </w:r>
      <w:r w:rsidRPr="00745022">
        <w:t>event hosted or located in Aust</w:t>
      </w:r>
      <w:r w:rsidR="007C6D58" w:rsidRPr="00745022">
        <w:t>ralia.</w:t>
      </w:r>
      <w:r w:rsidR="00151AA2" w:rsidRPr="00745022">
        <w:t xml:space="preserve"> </w:t>
      </w:r>
    </w:p>
    <w:p w14:paraId="2A752F5B" w14:textId="09E53A0C" w:rsidR="006C5DFB" w:rsidRPr="00745022" w:rsidRDefault="006C5DFB" w:rsidP="004F6029">
      <w:pPr>
        <w:spacing w:before="240"/>
      </w:pPr>
      <w:r w:rsidRPr="00745022">
        <w:rPr>
          <w:i/>
        </w:rPr>
        <w:t>Condition 2</w:t>
      </w:r>
      <w:r w:rsidR="004C5571" w:rsidRPr="00745022">
        <w:rPr>
          <w:i/>
        </w:rPr>
        <w:t xml:space="preserve"> </w:t>
      </w:r>
      <w:r w:rsidR="0017606B" w:rsidRPr="00745022">
        <w:rPr>
          <w:i/>
        </w:rPr>
        <w:t>–</w:t>
      </w:r>
      <w:r w:rsidR="004C5571" w:rsidRPr="00745022">
        <w:rPr>
          <w:i/>
        </w:rPr>
        <w:t xml:space="preserve"> paragraph 6(1)(b)</w:t>
      </w:r>
    </w:p>
    <w:p w14:paraId="4BE5A7FF" w14:textId="657333C7" w:rsidR="00EB45F1" w:rsidRPr="00745022" w:rsidRDefault="00177EFC" w:rsidP="001907A0">
      <w:pPr>
        <w:spacing w:before="240"/>
      </w:pPr>
      <w:r w:rsidRPr="00745022">
        <w:t>This condition qualifies the first condition by describing the method by which the information in the f</w:t>
      </w:r>
      <w:r w:rsidR="00F87C95" w:rsidRPr="00745022">
        <w:t xml:space="preserve">irst condition must be supplied. </w:t>
      </w:r>
      <w:r w:rsidR="007C6D58" w:rsidRPr="00745022">
        <w:t xml:space="preserve">Firstly, </w:t>
      </w:r>
      <w:r w:rsidRPr="00745022">
        <w:t xml:space="preserve">the information </w:t>
      </w:r>
      <w:r w:rsidR="007C6D58" w:rsidRPr="00745022">
        <w:t>must be</w:t>
      </w:r>
      <w:r w:rsidRPr="00745022">
        <w:t xml:space="preserve"> supplied by an electronic</w:t>
      </w:r>
      <w:r w:rsidR="00F81C3F" w:rsidRPr="00745022">
        <w:t xml:space="preserve"> platform, such as a website or </w:t>
      </w:r>
      <w:r w:rsidR="00CC2E4F" w:rsidRPr="00745022">
        <w:t xml:space="preserve">mobile </w:t>
      </w:r>
      <w:r w:rsidR="0088786E" w:rsidRPr="00745022">
        <w:t>app</w:t>
      </w:r>
      <w:r w:rsidR="00B642F5" w:rsidRPr="00745022">
        <w:t xml:space="preserve">. </w:t>
      </w:r>
      <w:r w:rsidR="00342EA7" w:rsidRPr="00745022">
        <w:t>For example, i</w:t>
      </w:r>
      <w:r w:rsidR="00B642F5" w:rsidRPr="00745022">
        <w:t>nformation supplied by a newspaper or in-person would not meet this condition.</w:t>
      </w:r>
      <w:r w:rsidR="00F87C95" w:rsidRPr="00745022">
        <w:t xml:space="preserve"> </w:t>
      </w:r>
      <w:r w:rsidR="007C6D58" w:rsidRPr="00745022">
        <w:t>Secondly, the electronic platform must function for the sole or dominant purpose of facilitating</w:t>
      </w:r>
      <w:r w:rsidR="004F6029" w:rsidRPr="00745022">
        <w:t xml:space="preserve"> a </w:t>
      </w:r>
      <w:r w:rsidR="00E65136" w:rsidRPr="00745022">
        <w:t xml:space="preserve">market in </w:t>
      </w:r>
      <w:r w:rsidR="004F6029" w:rsidRPr="00745022">
        <w:t>tickets</w:t>
      </w:r>
      <w:r w:rsidR="00151AA2" w:rsidRPr="00745022">
        <w:t xml:space="preserve"> for </w:t>
      </w:r>
      <w:r w:rsidR="00980786" w:rsidRPr="00745022">
        <w:t>admission</w:t>
      </w:r>
      <w:r w:rsidR="00151AA2" w:rsidRPr="00745022">
        <w:t xml:space="preserve"> to events</w:t>
      </w:r>
      <w:r w:rsidR="004F6029" w:rsidRPr="00745022">
        <w:t>.</w:t>
      </w:r>
    </w:p>
    <w:p w14:paraId="4C4E1883" w14:textId="447EEB31" w:rsidR="003F1C73" w:rsidRPr="00745022" w:rsidRDefault="003F1C73" w:rsidP="001907A0">
      <w:pPr>
        <w:spacing w:before="240"/>
        <w:rPr>
          <w:kern w:val="28"/>
        </w:rPr>
      </w:pPr>
      <w:r w:rsidRPr="00745022">
        <w:rPr>
          <w:b/>
          <w:bCs/>
          <w:iCs/>
        </w:rPr>
        <w:t xml:space="preserve">Example </w:t>
      </w:r>
      <w:bookmarkStart w:id="0" w:name="_Hlk98845023"/>
      <w:r w:rsidRPr="00745022">
        <w:rPr>
          <w:b/>
          <w:bCs/>
          <w:iCs/>
        </w:rPr>
        <w:t>1</w:t>
      </w:r>
      <w:r w:rsidR="00773917" w:rsidRPr="00745022">
        <w:rPr>
          <w:b/>
          <w:bCs/>
          <w:iCs/>
        </w:rPr>
        <w:t xml:space="preserve"> </w:t>
      </w:r>
      <w:r w:rsidR="00B8206B" w:rsidRPr="00745022">
        <w:rPr>
          <w:b/>
          <w:bCs/>
          <w:iCs/>
        </w:rPr>
        <w:t xml:space="preserve">– </w:t>
      </w:r>
      <w:bookmarkEnd w:id="0"/>
      <w:r w:rsidR="00B8206B" w:rsidRPr="00745022">
        <w:rPr>
          <w:b/>
          <w:bCs/>
          <w:iCs/>
        </w:rPr>
        <w:t>kind of service</w:t>
      </w:r>
    </w:p>
    <w:p w14:paraId="40829CA7" w14:textId="73EDAB5F" w:rsidR="003F1C73" w:rsidRPr="00745022" w:rsidRDefault="003F1C73" w:rsidP="0042283D">
      <w:pPr>
        <w:spacing w:before="240"/>
      </w:pPr>
      <w:r w:rsidRPr="00745022">
        <w:t xml:space="preserve">Company A runs a mobile app which offers a service where people can list information on an electronic notice board, advertising goods or services for sale. The goods and services can be sold at a fixed price or by way of auction. The </w:t>
      </w:r>
      <w:r w:rsidR="002B6E30" w:rsidRPr="00745022">
        <w:t xml:space="preserve">mobile </w:t>
      </w:r>
      <w:r w:rsidRPr="00745022">
        <w:t xml:space="preserve">app offers the service in relation to hundreds of different categories of goods and services such as cars, garden supplies, jewellery, real estate, </w:t>
      </w:r>
      <w:r w:rsidR="00EE7E45" w:rsidRPr="00745022">
        <w:t>tickets,</w:t>
      </w:r>
      <w:r w:rsidRPr="00745022">
        <w:t xml:space="preserve"> and books. It is difficult to discern which category contains the most listings.</w:t>
      </w:r>
    </w:p>
    <w:p w14:paraId="0CD5C02E" w14:textId="2E454881" w:rsidR="003F1C73" w:rsidRPr="00745022" w:rsidRDefault="003F1C73" w:rsidP="0042283D">
      <w:pPr>
        <w:spacing w:before="240"/>
      </w:pPr>
      <w:r w:rsidRPr="00745022">
        <w:t xml:space="preserve">The listing service provided on this </w:t>
      </w:r>
      <w:r w:rsidR="00CC2E4F" w:rsidRPr="00745022">
        <w:t>mobile app</w:t>
      </w:r>
      <w:r w:rsidRPr="00745022">
        <w:t xml:space="preserve"> would not meet the condition at paragraph 6(1)(b) because the dominant purpose of the </w:t>
      </w:r>
      <w:r w:rsidR="00CC2E4F" w:rsidRPr="00745022">
        <w:t>mobile app</w:t>
      </w:r>
      <w:r w:rsidRPr="00745022">
        <w:t xml:space="preserve"> is facilitating the listing of many categories of goods and services, not facilitating </w:t>
      </w:r>
      <w:r w:rsidR="002F3702" w:rsidRPr="00745022">
        <w:t>a market in</w:t>
      </w:r>
      <w:r w:rsidR="00126879" w:rsidRPr="00745022">
        <w:t xml:space="preserve"> </w:t>
      </w:r>
      <w:r w:rsidRPr="00745022">
        <w:t>tickets for admission to events.</w:t>
      </w:r>
    </w:p>
    <w:p w14:paraId="7E38E561" w14:textId="6CAA8437" w:rsidR="003F1C73" w:rsidRPr="00745022" w:rsidRDefault="003F1C73" w:rsidP="001907A0">
      <w:pPr>
        <w:spacing w:before="240"/>
        <w:rPr>
          <w:kern w:val="28"/>
        </w:rPr>
      </w:pPr>
      <w:r w:rsidRPr="00745022">
        <w:rPr>
          <w:b/>
          <w:bCs/>
          <w:iCs/>
        </w:rPr>
        <w:t>Example 2</w:t>
      </w:r>
      <w:r w:rsidR="00B8206B" w:rsidRPr="00745022">
        <w:rPr>
          <w:b/>
          <w:bCs/>
          <w:iCs/>
        </w:rPr>
        <w:t xml:space="preserve"> – kind of service</w:t>
      </w:r>
    </w:p>
    <w:p w14:paraId="00E0D66C" w14:textId="17C7ECCC" w:rsidR="003F1C73" w:rsidRPr="00745022" w:rsidRDefault="003F1C73" w:rsidP="0042283D">
      <w:pPr>
        <w:spacing w:before="240"/>
      </w:pPr>
      <w:r w:rsidRPr="00745022">
        <w:t xml:space="preserve">Company B runs a website which offers </w:t>
      </w:r>
      <w:proofErr w:type="gramStart"/>
      <w:r w:rsidRPr="00745022">
        <w:t>a number of</w:t>
      </w:r>
      <w:proofErr w:type="gramEnd"/>
      <w:r w:rsidRPr="00745022">
        <w:t xml:space="preserve"> </w:t>
      </w:r>
      <w:r w:rsidR="002F35FF" w:rsidRPr="00745022">
        <w:t xml:space="preserve">ticketing </w:t>
      </w:r>
      <w:r w:rsidRPr="00745022">
        <w:t xml:space="preserve">services to consumers. People can use the website to list information about tickets for admission to Australian or international events that they wish to sell, having first purchased those tickets from </w:t>
      </w:r>
      <w:r w:rsidR="0071504F" w:rsidRPr="00745022">
        <w:t xml:space="preserve">a primary </w:t>
      </w:r>
      <w:r w:rsidR="00C94079" w:rsidRPr="00745022">
        <w:t xml:space="preserve">ticket </w:t>
      </w:r>
      <w:r w:rsidR="0071504F" w:rsidRPr="00745022">
        <w:t>provider</w:t>
      </w:r>
      <w:r w:rsidRPr="00745022">
        <w:t xml:space="preserve">. People can also use the website to view information about the tickets that are </w:t>
      </w:r>
      <w:r w:rsidR="002F3702" w:rsidRPr="00745022">
        <w:t xml:space="preserve">listed </w:t>
      </w:r>
      <w:r w:rsidRPr="00745022">
        <w:t>for sale on the website.</w:t>
      </w:r>
    </w:p>
    <w:p w14:paraId="17BDCC06" w14:textId="11D0DDAC" w:rsidR="003F1C73" w:rsidRPr="00745022" w:rsidRDefault="003F1C73" w:rsidP="0042283D">
      <w:pPr>
        <w:spacing w:before="240"/>
      </w:pPr>
      <w:r w:rsidRPr="00745022">
        <w:t>The website also offers some other services such as facilitating the exchange of tickets between people who have listed a ticket for sale and people who wish to buy a listed ticket. The website also offers an underwriting service that guarantees to buyers and sellers of tickets that they will get the money or tickets owed to them in transactions facilitated through the website.</w:t>
      </w:r>
    </w:p>
    <w:p w14:paraId="3BD44574" w14:textId="7FD44FB9" w:rsidR="0071504F" w:rsidRPr="00745022" w:rsidRDefault="003F1C73" w:rsidP="0042283D">
      <w:pPr>
        <w:spacing w:before="240"/>
      </w:pPr>
      <w:r w:rsidRPr="00745022">
        <w:t xml:space="preserve">As Company B’s website is an electronic platform that has the dominant purpose of facilitating </w:t>
      </w:r>
      <w:r w:rsidR="002F3702" w:rsidRPr="00745022">
        <w:t>a market in</w:t>
      </w:r>
      <w:r w:rsidR="0071504F" w:rsidRPr="00745022">
        <w:t xml:space="preserve"> </w:t>
      </w:r>
      <w:r w:rsidRPr="00745022">
        <w:t xml:space="preserve">tickets, it meets the condition at paragraph 6(1)(b) in relation to </w:t>
      </w:r>
      <w:proofErr w:type="gramStart"/>
      <w:r w:rsidRPr="00745022">
        <w:t>the means by which</w:t>
      </w:r>
      <w:proofErr w:type="gramEnd"/>
      <w:r w:rsidRPr="00745022">
        <w:t xml:space="preserve"> the information mentioned </w:t>
      </w:r>
      <w:r w:rsidR="00D07E1B" w:rsidRPr="00745022">
        <w:t xml:space="preserve">in </w:t>
      </w:r>
      <w:r w:rsidRPr="00745022">
        <w:t xml:space="preserve">paragraph 6(1)(a) </w:t>
      </w:r>
      <w:r w:rsidR="003B43BE" w:rsidRPr="00745022">
        <w:t>is</w:t>
      </w:r>
      <w:r w:rsidRPr="00745022">
        <w:t xml:space="preserve"> supplied.</w:t>
      </w:r>
    </w:p>
    <w:p w14:paraId="31BA69E8" w14:textId="459AA5EA" w:rsidR="0071504F" w:rsidRPr="00745022" w:rsidRDefault="0071504F" w:rsidP="001A6A83">
      <w:pPr>
        <w:keepNext/>
        <w:keepLines/>
        <w:spacing w:before="240"/>
        <w:rPr>
          <w:b/>
          <w:bCs/>
          <w:iCs/>
        </w:rPr>
      </w:pPr>
      <w:r w:rsidRPr="00745022">
        <w:rPr>
          <w:b/>
          <w:bCs/>
          <w:iCs/>
        </w:rPr>
        <w:lastRenderedPageBreak/>
        <w:t>Example 3</w:t>
      </w:r>
      <w:r w:rsidR="00B8206B" w:rsidRPr="00745022">
        <w:rPr>
          <w:b/>
          <w:bCs/>
          <w:iCs/>
        </w:rPr>
        <w:t xml:space="preserve"> – kind of service</w:t>
      </w:r>
    </w:p>
    <w:p w14:paraId="419D11D7" w14:textId="3505EF28" w:rsidR="0071504F" w:rsidRPr="00745022" w:rsidRDefault="0071504F" w:rsidP="001A6A83">
      <w:pPr>
        <w:keepNext/>
        <w:keepLines/>
        <w:spacing w:before="240"/>
      </w:pPr>
      <w:r w:rsidRPr="00745022">
        <w:t xml:space="preserve">Company C runs a </w:t>
      </w:r>
      <w:r w:rsidR="005C57BC" w:rsidRPr="00745022">
        <w:t>mobile app</w:t>
      </w:r>
      <w:r w:rsidRPr="00745022">
        <w:t xml:space="preserve"> </w:t>
      </w:r>
      <w:r w:rsidR="00980786" w:rsidRPr="00745022">
        <w:t xml:space="preserve">that facilitates </w:t>
      </w:r>
      <w:r w:rsidR="002F35FF" w:rsidRPr="00745022">
        <w:t>a market in</w:t>
      </w:r>
      <w:r w:rsidR="00980786" w:rsidRPr="00745022">
        <w:t xml:space="preserve"> tickets </w:t>
      </w:r>
      <w:r w:rsidR="003B43BE" w:rsidRPr="00745022">
        <w:t xml:space="preserve">for admission </w:t>
      </w:r>
      <w:r w:rsidR="00980786" w:rsidRPr="00745022">
        <w:t xml:space="preserve">to </w:t>
      </w:r>
      <w:r w:rsidR="009838DF" w:rsidRPr="00745022">
        <w:t xml:space="preserve">sporting </w:t>
      </w:r>
      <w:r w:rsidR="00980786" w:rsidRPr="00745022">
        <w:t>events</w:t>
      </w:r>
      <w:r w:rsidR="00F80B46" w:rsidRPr="00745022">
        <w:t xml:space="preserve"> in Australia</w:t>
      </w:r>
      <w:r w:rsidR="00980786" w:rsidRPr="00745022">
        <w:t xml:space="preserve">. </w:t>
      </w:r>
      <w:r w:rsidR="00C5471B" w:rsidRPr="00745022">
        <w:t xml:space="preserve">Company C </w:t>
      </w:r>
      <w:r w:rsidR="00CB3EA0" w:rsidRPr="00745022">
        <w:t>are</w:t>
      </w:r>
      <w:r w:rsidR="009859E7" w:rsidRPr="00745022">
        <w:t xml:space="preserve"> authorised to provide </w:t>
      </w:r>
      <w:r w:rsidR="00A2140D" w:rsidRPr="00745022">
        <w:t>the first supply of tickets to sporting events</w:t>
      </w:r>
      <w:r w:rsidR="00C5471B" w:rsidRPr="00745022">
        <w:t xml:space="preserve">; the </w:t>
      </w:r>
      <w:r w:rsidR="00980786" w:rsidRPr="00745022">
        <w:t>dominant purpose of th</w:t>
      </w:r>
      <w:r w:rsidR="00C5471B" w:rsidRPr="00745022">
        <w:t>eir</w:t>
      </w:r>
      <w:r w:rsidR="00980786" w:rsidRPr="00745022">
        <w:t xml:space="preserve"> </w:t>
      </w:r>
      <w:r w:rsidR="005C57BC" w:rsidRPr="00745022">
        <w:t>mobile app</w:t>
      </w:r>
      <w:r w:rsidR="00980786" w:rsidRPr="00745022">
        <w:t xml:space="preserve"> is to supply </w:t>
      </w:r>
      <w:r w:rsidR="00C5471B" w:rsidRPr="00745022">
        <w:t xml:space="preserve">tickets in </w:t>
      </w:r>
      <w:r w:rsidR="00980786" w:rsidRPr="00745022">
        <w:t xml:space="preserve">the primary market. However, </w:t>
      </w:r>
      <w:r w:rsidR="0022658B" w:rsidRPr="00745022">
        <w:t>Company C</w:t>
      </w:r>
      <w:r w:rsidR="00FD737B" w:rsidRPr="00745022">
        <w:t xml:space="preserve"> also uses its</w:t>
      </w:r>
      <w:r w:rsidR="00980786" w:rsidRPr="00745022">
        <w:t xml:space="preserve"> </w:t>
      </w:r>
      <w:r w:rsidR="005C57BC" w:rsidRPr="00745022">
        <w:t>mobile app</w:t>
      </w:r>
      <w:r w:rsidR="00980786" w:rsidRPr="00745022">
        <w:t xml:space="preserve"> </w:t>
      </w:r>
      <w:r w:rsidR="00FD737B" w:rsidRPr="00745022">
        <w:t>to</w:t>
      </w:r>
      <w:r w:rsidR="0022658B" w:rsidRPr="00745022">
        <w:t xml:space="preserve"> facilitate the </w:t>
      </w:r>
      <w:r w:rsidR="00C10EB1" w:rsidRPr="00745022">
        <w:t>resale of</w:t>
      </w:r>
      <w:r w:rsidR="0022658B" w:rsidRPr="00745022">
        <w:t xml:space="preserve"> its tickets</w:t>
      </w:r>
      <w:r w:rsidR="00C10EB1" w:rsidRPr="00745022">
        <w:t xml:space="preserve"> in the secondary market.</w:t>
      </w:r>
      <w:r w:rsidR="001663F2" w:rsidRPr="00745022">
        <w:t xml:space="preserve"> </w:t>
      </w:r>
      <w:r w:rsidR="005B603A" w:rsidRPr="00745022">
        <w:t>A person</w:t>
      </w:r>
      <w:r w:rsidR="00C10EB1" w:rsidRPr="00745022">
        <w:t xml:space="preserve"> can use the </w:t>
      </w:r>
      <w:r w:rsidR="005C57BC" w:rsidRPr="00745022">
        <w:t>mobile app</w:t>
      </w:r>
      <w:r w:rsidR="00C10EB1" w:rsidRPr="00745022">
        <w:t xml:space="preserve"> to </w:t>
      </w:r>
      <w:r w:rsidR="005B603A" w:rsidRPr="00745022">
        <w:t xml:space="preserve">list a </w:t>
      </w:r>
      <w:r w:rsidR="00C10EB1" w:rsidRPr="00745022">
        <w:t xml:space="preserve">ticket that </w:t>
      </w:r>
      <w:r w:rsidR="005B603A" w:rsidRPr="00745022">
        <w:t xml:space="preserve">they </w:t>
      </w:r>
      <w:r w:rsidR="00C10EB1" w:rsidRPr="00745022">
        <w:t xml:space="preserve">originally purchased from Company C </w:t>
      </w:r>
      <w:r w:rsidR="002561E4" w:rsidRPr="00745022">
        <w:t>and</w:t>
      </w:r>
      <w:r w:rsidR="00C10EB1" w:rsidRPr="00745022">
        <w:t xml:space="preserve"> </w:t>
      </w:r>
      <w:r w:rsidR="005B603A" w:rsidRPr="00745022">
        <w:t>sell it to a</w:t>
      </w:r>
      <w:r w:rsidR="00C10EB1" w:rsidRPr="00745022">
        <w:t xml:space="preserve"> new buyer.</w:t>
      </w:r>
      <w:r w:rsidR="001663F2" w:rsidRPr="00745022">
        <w:t xml:space="preserve"> </w:t>
      </w:r>
      <w:r w:rsidR="00C10EB1" w:rsidRPr="00745022">
        <w:t>Company C</w:t>
      </w:r>
      <w:r w:rsidR="00DB6541" w:rsidRPr="00745022">
        <w:t xml:space="preserve"> does not buy back the ticket</w:t>
      </w:r>
      <w:r w:rsidR="005B603A" w:rsidRPr="00745022">
        <w:t>s</w:t>
      </w:r>
      <w:r w:rsidR="00DB6541" w:rsidRPr="00745022">
        <w:t>. Company C’s</w:t>
      </w:r>
      <w:r w:rsidR="00C10EB1" w:rsidRPr="00745022">
        <w:t xml:space="preserve"> </w:t>
      </w:r>
      <w:r w:rsidR="005C57BC" w:rsidRPr="00745022">
        <w:t xml:space="preserve">mobile app </w:t>
      </w:r>
      <w:r w:rsidR="00C10EB1" w:rsidRPr="00745022">
        <w:t>merely provides a third</w:t>
      </w:r>
      <w:r w:rsidR="008F37B3" w:rsidRPr="00745022">
        <w:noBreakHyphen/>
      </w:r>
      <w:r w:rsidR="00C10EB1" w:rsidRPr="00745022">
        <w:t>party platform to facilitate the resale of its tickets between a buyer and a sell</w:t>
      </w:r>
      <w:r w:rsidR="005B603A" w:rsidRPr="00745022">
        <w:t>er</w:t>
      </w:r>
      <w:r w:rsidR="00DB6541" w:rsidRPr="00745022">
        <w:t>.</w:t>
      </w:r>
    </w:p>
    <w:p w14:paraId="29108B6D" w14:textId="5F94AF2F" w:rsidR="003F1C73" w:rsidRPr="00745022" w:rsidRDefault="0071504F" w:rsidP="0042283D">
      <w:pPr>
        <w:spacing w:before="240"/>
      </w:pPr>
      <w:r w:rsidRPr="00745022">
        <w:t>The service provided on</w:t>
      </w:r>
      <w:r w:rsidR="009838DF" w:rsidRPr="00745022">
        <w:t xml:space="preserve"> Company C’s</w:t>
      </w:r>
      <w:r w:rsidR="006D44D9" w:rsidRPr="00745022">
        <w:t xml:space="preserve"> </w:t>
      </w:r>
      <w:r w:rsidR="005C57BC" w:rsidRPr="00745022">
        <w:t>mobile app</w:t>
      </w:r>
      <w:r w:rsidRPr="00745022">
        <w:t xml:space="preserve"> would meet the condition</w:t>
      </w:r>
      <w:r w:rsidR="006D44D9" w:rsidRPr="00745022">
        <w:t>s</w:t>
      </w:r>
      <w:r w:rsidRPr="00745022">
        <w:t xml:space="preserve"> </w:t>
      </w:r>
      <w:r w:rsidR="006D44D9" w:rsidRPr="00745022">
        <w:t>in</w:t>
      </w:r>
      <w:r w:rsidRPr="00745022">
        <w:t xml:space="preserve"> </w:t>
      </w:r>
      <w:r w:rsidR="006D44D9" w:rsidRPr="00745022">
        <w:t>subsection</w:t>
      </w:r>
      <w:r w:rsidRPr="00745022">
        <w:t xml:space="preserve"> 6(1)</w:t>
      </w:r>
      <w:r w:rsidR="006D44D9" w:rsidRPr="00745022">
        <w:t xml:space="preserve">. </w:t>
      </w:r>
      <w:r w:rsidR="002561E4" w:rsidRPr="00745022">
        <w:t xml:space="preserve">Although the dominant purpose of Company C’s </w:t>
      </w:r>
      <w:r w:rsidR="005C57BC" w:rsidRPr="00745022">
        <w:t xml:space="preserve">mobile app </w:t>
      </w:r>
      <w:r w:rsidR="002561E4" w:rsidRPr="00745022">
        <w:t>is to supply tickets in the primary market, paragraph 6(1)(b) applies to</w:t>
      </w:r>
      <w:r w:rsidR="005C4639" w:rsidRPr="00745022">
        <w:t xml:space="preserve"> an</w:t>
      </w:r>
      <w:r w:rsidR="002561E4" w:rsidRPr="00745022">
        <w:t xml:space="preserve"> </w:t>
      </w:r>
      <w:r w:rsidR="00661E50" w:rsidRPr="00745022">
        <w:t>electronic platform</w:t>
      </w:r>
      <w:r w:rsidR="002561E4" w:rsidRPr="00745022">
        <w:t xml:space="preserve"> whose</w:t>
      </w:r>
      <w:r w:rsidR="005B603A" w:rsidRPr="00745022">
        <w:t xml:space="preserve"> dominant purpose is to facilitate a </w:t>
      </w:r>
      <w:r w:rsidR="007761C6" w:rsidRPr="00745022">
        <w:t>market in</w:t>
      </w:r>
      <w:r w:rsidR="005B603A" w:rsidRPr="00745022">
        <w:t xml:space="preserve"> tickets</w:t>
      </w:r>
      <w:r w:rsidR="002561E4" w:rsidRPr="00745022">
        <w:t>; this include</w:t>
      </w:r>
      <w:r w:rsidR="00DB6541" w:rsidRPr="00745022">
        <w:t>s</w:t>
      </w:r>
      <w:r w:rsidR="002561E4" w:rsidRPr="00745022">
        <w:t xml:space="preserve"> the primary </w:t>
      </w:r>
      <w:r w:rsidR="007761C6" w:rsidRPr="00745022">
        <w:t>market in</w:t>
      </w:r>
      <w:r w:rsidR="00E72237" w:rsidRPr="00745022">
        <w:t xml:space="preserve"> tickets</w:t>
      </w:r>
      <w:r w:rsidR="000A663C" w:rsidRPr="00745022">
        <w:t xml:space="preserve"> </w:t>
      </w:r>
      <w:r w:rsidR="002D56F0" w:rsidRPr="00745022">
        <w:t xml:space="preserve">and </w:t>
      </w:r>
      <w:r w:rsidR="00E72237" w:rsidRPr="00745022">
        <w:t xml:space="preserve">the secondary </w:t>
      </w:r>
      <w:r w:rsidR="007761C6" w:rsidRPr="00745022">
        <w:t>market in</w:t>
      </w:r>
      <w:r w:rsidR="00E72237" w:rsidRPr="00745022">
        <w:t xml:space="preserve"> tickets</w:t>
      </w:r>
      <w:r w:rsidR="002561E4" w:rsidRPr="00745022">
        <w:t xml:space="preserve">. </w:t>
      </w:r>
      <w:r w:rsidR="00E72237" w:rsidRPr="00745022">
        <w:t xml:space="preserve">As the </w:t>
      </w:r>
      <w:r w:rsidR="002828FC" w:rsidRPr="00745022">
        <w:t>mobile app</w:t>
      </w:r>
      <w:r w:rsidR="00E72237" w:rsidRPr="00745022">
        <w:t xml:space="preserve"> </w:t>
      </w:r>
      <w:r w:rsidR="00A17C40" w:rsidRPr="00745022">
        <w:t xml:space="preserve">provides information in relation to the supply of tickets in </w:t>
      </w:r>
      <w:r w:rsidR="00E72237" w:rsidRPr="00745022">
        <w:t>the secondary market</w:t>
      </w:r>
      <w:r w:rsidR="00A17C40" w:rsidRPr="00745022">
        <w:t xml:space="preserve">, and the dominant purpose of the website is to facilitate </w:t>
      </w:r>
      <w:r w:rsidR="002561E4" w:rsidRPr="00745022">
        <w:t>the primary market</w:t>
      </w:r>
      <w:r w:rsidR="00A17C40" w:rsidRPr="00745022">
        <w:t xml:space="preserve"> in tickets</w:t>
      </w:r>
      <w:r w:rsidR="005B603A" w:rsidRPr="00745022">
        <w:t xml:space="preserve">, the website </w:t>
      </w:r>
      <w:r w:rsidR="00E72237" w:rsidRPr="00745022">
        <w:t>must display the information set out in subsection 6(2)</w:t>
      </w:r>
      <w:r w:rsidR="00BD3B5D" w:rsidRPr="00745022">
        <w:t xml:space="preserve"> on the relevant parts of the </w:t>
      </w:r>
      <w:r w:rsidR="00795FC1" w:rsidRPr="00745022">
        <w:t xml:space="preserve">mobile </w:t>
      </w:r>
      <w:r w:rsidR="00121EFE" w:rsidRPr="00745022">
        <w:t>app</w:t>
      </w:r>
      <w:r w:rsidR="00BD3B5D" w:rsidRPr="00745022">
        <w:t xml:space="preserve"> that facilit</w:t>
      </w:r>
      <w:r w:rsidR="00EA78C6" w:rsidRPr="00745022">
        <w:t>at</w:t>
      </w:r>
      <w:r w:rsidR="00BD3B5D" w:rsidRPr="00745022">
        <w:t>e the resale of tickets in the secondary market</w:t>
      </w:r>
      <w:r w:rsidR="00E72237" w:rsidRPr="00745022">
        <w:t xml:space="preserve">.  </w:t>
      </w:r>
    </w:p>
    <w:p w14:paraId="71C6E1F2" w14:textId="20AB71A6" w:rsidR="003F1C73" w:rsidRPr="00745022" w:rsidRDefault="003F1C73" w:rsidP="001907A0">
      <w:pPr>
        <w:spacing w:before="240"/>
        <w:rPr>
          <w:i/>
          <w:u w:val="single"/>
        </w:rPr>
      </w:pPr>
      <w:r w:rsidRPr="00745022">
        <w:rPr>
          <w:i/>
          <w:u w:val="single"/>
        </w:rPr>
        <w:t>Subsection 6(2) – Display requirements</w:t>
      </w:r>
    </w:p>
    <w:p w14:paraId="0A18AC38" w14:textId="2A8FF237" w:rsidR="005E681A" w:rsidRPr="00745022" w:rsidRDefault="003F1C73" w:rsidP="0042283D">
      <w:pPr>
        <w:spacing w:before="240"/>
      </w:pPr>
      <w:r w:rsidRPr="00745022">
        <w:t>Subsection 6(2) of the Information Standard sets out the obligations that must be complied with by a person providing a service that meets the conditions in subsection</w:t>
      </w:r>
      <w:r w:rsidR="001A6A83" w:rsidRPr="00745022">
        <w:t> </w:t>
      </w:r>
      <w:r w:rsidRPr="00745022">
        <w:t>6(1).</w:t>
      </w:r>
      <w:r w:rsidR="005E681A" w:rsidRPr="00745022">
        <w:t xml:space="preserve"> </w:t>
      </w:r>
    </w:p>
    <w:p w14:paraId="22C011AE" w14:textId="7F0002E4" w:rsidR="003F1C73" w:rsidRPr="00745022" w:rsidRDefault="00E900BC" w:rsidP="0042283D">
      <w:pPr>
        <w:spacing w:before="240"/>
      </w:pPr>
      <w:r w:rsidRPr="00745022">
        <w:t xml:space="preserve">A person </w:t>
      </w:r>
      <w:r w:rsidR="003F1C73" w:rsidRPr="00745022">
        <w:t xml:space="preserve">must display the statement at paragraph 6(2)(a) </w:t>
      </w:r>
      <w:r w:rsidRPr="00745022">
        <w:t>on their electronic platform so</w:t>
      </w:r>
      <w:r w:rsidR="00012A85" w:rsidRPr="00745022">
        <w:t xml:space="preserve"> that it can b</w:t>
      </w:r>
      <w:r w:rsidR="00F87C95" w:rsidRPr="00745022">
        <w:t xml:space="preserve">e easily seen and read by any </w:t>
      </w:r>
      <w:r w:rsidRPr="00745022">
        <w:t>person</w:t>
      </w:r>
      <w:r w:rsidR="00F87C95" w:rsidRPr="00745022">
        <w:t>.</w:t>
      </w:r>
      <w:r w:rsidR="002540FF" w:rsidRPr="00745022">
        <w:t xml:space="preserve"> </w:t>
      </w:r>
      <w:r w:rsidR="00012A85" w:rsidRPr="00745022">
        <w:t>This is intended to</w:t>
      </w:r>
      <w:r w:rsidR="003F1C73" w:rsidRPr="00745022">
        <w:t xml:space="preserve"> </w:t>
      </w:r>
      <w:r w:rsidR="00012A85" w:rsidRPr="00745022">
        <w:t>clearly indicate to a</w:t>
      </w:r>
      <w:r w:rsidR="003F1C73" w:rsidRPr="00745022">
        <w:t xml:space="preserve"> </w:t>
      </w:r>
      <w:r w:rsidR="00C4241F" w:rsidRPr="00745022">
        <w:t xml:space="preserve">consumer </w:t>
      </w:r>
      <w:r w:rsidR="003F1C73" w:rsidRPr="00745022">
        <w:t xml:space="preserve">viewing the electronic platform that they are </w:t>
      </w:r>
      <w:r w:rsidR="00B753A4" w:rsidRPr="00745022">
        <w:t>using a ticket resale service, and th</w:t>
      </w:r>
      <w:r w:rsidR="007761C6" w:rsidRPr="00745022">
        <w:t xml:space="preserve">at they are not buying a ticket from a primary </w:t>
      </w:r>
      <w:r w:rsidR="00C94079" w:rsidRPr="00745022">
        <w:t xml:space="preserve">ticket </w:t>
      </w:r>
      <w:r w:rsidR="007761C6" w:rsidRPr="00745022">
        <w:t>provider</w:t>
      </w:r>
      <w:r w:rsidR="003F1C73" w:rsidRPr="00745022">
        <w:t>.</w:t>
      </w:r>
    </w:p>
    <w:p w14:paraId="3D731195" w14:textId="66118C84" w:rsidR="003F1C73" w:rsidRPr="00745022" w:rsidRDefault="003F1C73" w:rsidP="0042283D">
      <w:pPr>
        <w:spacing w:before="240"/>
      </w:pPr>
      <w:r w:rsidRPr="00745022">
        <w:t xml:space="preserve">Paragraph 6(2)(b) requires information about the total </w:t>
      </w:r>
      <w:r w:rsidR="002540FF" w:rsidRPr="00745022">
        <w:t>price of a ticket</w:t>
      </w:r>
      <w:r w:rsidRPr="00745022">
        <w:t xml:space="preserve"> in the primary market to be</w:t>
      </w:r>
      <w:r w:rsidR="00012A85" w:rsidRPr="00745022">
        <w:t xml:space="preserve"> supplied to consumers</w:t>
      </w:r>
      <w:r w:rsidRPr="00745022">
        <w:t xml:space="preserve">. </w:t>
      </w:r>
      <w:r w:rsidR="00012A85" w:rsidRPr="00745022">
        <w:t>T</w:t>
      </w:r>
      <w:r w:rsidRPr="00745022">
        <w:t xml:space="preserve">he intention of this paragraph is to ensure that consumers have adequate information about how much a ticket </w:t>
      </w:r>
      <w:r w:rsidR="00012A85" w:rsidRPr="00745022">
        <w:t xml:space="preserve">to an event </w:t>
      </w:r>
      <w:r w:rsidRPr="00745022">
        <w:t>would have cost</w:t>
      </w:r>
      <w:r w:rsidR="00012A85" w:rsidRPr="00745022">
        <w:t xml:space="preserve"> from the </w:t>
      </w:r>
      <w:r w:rsidR="00B753A4" w:rsidRPr="00745022">
        <w:t xml:space="preserve">primary </w:t>
      </w:r>
      <w:r w:rsidR="00C94079" w:rsidRPr="00745022">
        <w:t xml:space="preserve">ticket </w:t>
      </w:r>
      <w:r w:rsidR="00B753A4" w:rsidRPr="00745022">
        <w:t>provider</w:t>
      </w:r>
      <w:r w:rsidRPr="00745022">
        <w:t>.</w:t>
      </w:r>
    </w:p>
    <w:p w14:paraId="02766503" w14:textId="3EC4E761" w:rsidR="003F1C73" w:rsidRPr="00745022" w:rsidRDefault="003F1C73" w:rsidP="0042283D">
      <w:pPr>
        <w:spacing w:before="240"/>
      </w:pPr>
      <w:r w:rsidRPr="00745022">
        <w:t xml:space="preserve">The price </w:t>
      </w:r>
      <w:r w:rsidR="002540FF" w:rsidRPr="00745022">
        <w:t>of a ticket in the primary market is required to be</w:t>
      </w:r>
      <w:r w:rsidRPr="00745022">
        <w:t xml:space="preserve"> displayed continuously. This means that whenever a </w:t>
      </w:r>
      <w:r w:rsidR="006C5DFB" w:rsidRPr="00745022">
        <w:t xml:space="preserve">purchase </w:t>
      </w:r>
      <w:r w:rsidRPr="00745022">
        <w:t>price for the</w:t>
      </w:r>
      <w:r w:rsidR="006C5DFB" w:rsidRPr="00745022">
        <w:t xml:space="preserve"> resale</w:t>
      </w:r>
      <w:r w:rsidRPr="00745022">
        <w:t xml:space="preserve"> of a ticket </w:t>
      </w:r>
      <w:r w:rsidR="006C5DFB" w:rsidRPr="00745022">
        <w:t>is</w:t>
      </w:r>
      <w:r w:rsidRPr="00745022">
        <w:t xml:space="preserve"> displayed, the total price that </w:t>
      </w:r>
      <w:r w:rsidR="00144212" w:rsidRPr="00745022">
        <w:t xml:space="preserve">a </w:t>
      </w:r>
      <w:r w:rsidRPr="00745022">
        <w:t>person would reasonably be expected to have paid in the primary market must also be displayed.</w:t>
      </w:r>
    </w:p>
    <w:p w14:paraId="2DDC8C59" w14:textId="0400AE9A" w:rsidR="00C4241F" w:rsidRPr="00745022" w:rsidRDefault="003F1C73" w:rsidP="0042283D">
      <w:pPr>
        <w:spacing w:before="240"/>
      </w:pPr>
      <w:r w:rsidRPr="00745022">
        <w:t>The total price</w:t>
      </w:r>
      <w:r w:rsidR="002540FF" w:rsidRPr="00745022">
        <w:t xml:space="preserve"> </w:t>
      </w:r>
      <w:r w:rsidRPr="00745022">
        <w:t xml:space="preserve">should be </w:t>
      </w:r>
      <w:r w:rsidR="00012A85" w:rsidRPr="00745022">
        <w:t>worked out</w:t>
      </w:r>
      <w:r w:rsidRPr="00745022">
        <w:t xml:space="preserve"> by reference to the actual price that a person would </w:t>
      </w:r>
      <w:r w:rsidR="00367ED4" w:rsidRPr="00745022">
        <w:t xml:space="preserve">reasonably be expected to </w:t>
      </w:r>
      <w:r w:rsidRPr="00745022">
        <w:t xml:space="preserve">pay to purchase that ticket from the </w:t>
      </w:r>
      <w:r w:rsidR="006C5DFB" w:rsidRPr="00745022">
        <w:t>person authorised to provide the first supply of tickets for that same event</w:t>
      </w:r>
      <w:r w:rsidRPr="00745022">
        <w:t>.</w:t>
      </w:r>
    </w:p>
    <w:p w14:paraId="3AE0F0DA" w14:textId="006EB636" w:rsidR="00E604E7" w:rsidRPr="00745022" w:rsidRDefault="00C4241F" w:rsidP="001A6A83">
      <w:pPr>
        <w:keepNext/>
        <w:keepLines/>
        <w:spacing w:before="240"/>
      </w:pPr>
      <w:r w:rsidRPr="00745022">
        <w:lastRenderedPageBreak/>
        <w:t>This could be determined by reference to the price stated on the ticket, also known as the face value of the ticket. If no price is displayed</w:t>
      </w:r>
      <w:r w:rsidR="00822CF2" w:rsidRPr="00745022">
        <w:t xml:space="preserve"> on </w:t>
      </w:r>
      <w:r w:rsidR="00BF52D7" w:rsidRPr="00745022">
        <w:t>the face of the</w:t>
      </w:r>
      <w:r w:rsidR="00822CF2" w:rsidRPr="00745022">
        <w:t xml:space="preserve"> ticket</w:t>
      </w:r>
      <w:r w:rsidRPr="00745022">
        <w:t>, the total price could be determined by</w:t>
      </w:r>
      <w:r w:rsidR="00E604E7" w:rsidRPr="00745022">
        <w:t>:</w:t>
      </w:r>
      <w:r w:rsidRPr="00745022">
        <w:t xml:space="preserve"> </w:t>
      </w:r>
    </w:p>
    <w:p w14:paraId="6157544E" w14:textId="23899697" w:rsidR="00C4241F" w:rsidRPr="00745022" w:rsidRDefault="00C4241F" w:rsidP="001A6A83">
      <w:pPr>
        <w:pStyle w:val="Bullet"/>
        <w:keepNext/>
        <w:keepLines/>
      </w:pPr>
      <w:r w:rsidRPr="00745022">
        <w:t xml:space="preserve">the </w:t>
      </w:r>
      <w:r w:rsidR="00E604E7" w:rsidRPr="00745022">
        <w:t>amount</w:t>
      </w:r>
      <w:r w:rsidRPr="00745022">
        <w:t xml:space="preserve"> for which the ticket was</w:t>
      </w:r>
      <w:r w:rsidR="00E604E7" w:rsidRPr="00745022">
        <w:t xml:space="preserve"> originally</w:t>
      </w:r>
      <w:r w:rsidRPr="00745022">
        <w:t xml:space="preserve"> sold </w:t>
      </w:r>
      <w:r w:rsidR="00E604E7" w:rsidRPr="00745022">
        <w:t>by the primary</w:t>
      </w:r>
      <w:r w:rsidR="00C94079" w:rsidRPr="00745022">
        <w:t xml:space="preserve"> ticket</w:t>
      </w:r>
      <w:r w:rsidR="00E604E7" w:rsidRPr="00745022">
        <w:t xml:space="preserve"> provider</w:t>
      </w:r>
      <w:r w:rsidRPr="00745022">
        <w:t>;</w:t>
      </w:r>
      <w:r w:rsidR="00BF52D7" w:rsidRPr="00745022">
        <w:t xml:space="preserve"> or</w:t>
      </w:r>
    </w:p>
    <w:p w14:paraId="07835927" w14:textId="204CD17F" w:rsidR="00C4241F" w:rsidRPr="00745022" w:rsidRDefault="00C4241F" w:rsidP="008B2613">
      <w:pPr>
        <w:pStyle w:val="Bullet"/>
      </w:pPr>
      <w:r w:rsidRPr="00745022">
        <w:t xml:space="preserve">the amount specified </w:t>
      </w:r>
      <w:r w:rsidR="00E604E7" w:rsidRPr="00745022">
        <w:t xml:space="preserve">for the ticket </w:t>
      </w:r>
      <w:r w:rsidRPr="00745022">
        <w:t>in an advertisement or website</w:t>
      </w:r>
      <w:r w:rsidR="00BF52D7" w:rsidRPr="00745022">
        <w:t>.</w:t>
      </w:r>
    </w:p>
    <w:p w14:paraId="130DDC70" w14:textId="50D248A6" w:rsidR="003F1C73" w:rsidRPr="00745022" w:rsidRDefault="00BF52D7" w:rsidP="0042283D">
      <w:pPr>
        <w:spacing w:before="240"/>
      </w:pPr>
      <w:r w:rsidRPr="00745022">
        <w:t xml:space="preserve">If the </w:t>
      </w:r>
      <w:r w:rsidR="00534130" w:rsidRPr="00745022">
        <w:t xml:space="preserve">original price of the </w:t>
      </w:r>
      <w:r w:rsidRPr="00745022">
        <w:t xml:space="preserve">ticket is not available, </w:t>
      </w:r>
      <w:r w:rsidR="003F1C73" w:rsidRPr="00745022">
        <w:t xml:space="preserve">a person </w:t>
      </w:r>
      <w:r w:rsidRPr="00745022">
        <w:t xml:space="preserve">may be required </w:t>
      </w:r>
      <w:r w:rsidR="003F1C73" w:rsidRPr="00745022">
        <w:t xml:space="preserve">to compare the characteristics of </w:t>
      </w:r>
      <w:r w:rsidR="001F5008" w:rsidRPr="00745022">
        <w:t>the</w:t>
      </w:r>
      <w:r w:rsidR="003F1C73" w:rsidRPr="00745022">
        <w:t xml:space="preserve"> ticket to similar tickets sold by </w:t>
      </w:r>
      <w:r w:rsidR="00770DB4" w:rsidRPr="00745022">
        <w:t xml:space="preserve">a </w:t>
      </w:r>
      <w:r w:rsidR="00552AE8" w:rsidRPr="00745022">
        <w:t xml:space="preserve">primary </w:t>
      </w:r>
      <w:r w:rsidR="00C94079" w:rsidRPr="00745022">
        <w:t xml:space="preserve">ticket </w:t>
      </w:r>
      <w:r w:rsidR="00552AE8" w:rsidRPr="00745022">
        <w:t>provider</w:t>
      </w:r>
      <w:r w:rsidR="003F1C73" w:rsidRPr="00745022">
        <w:t>. These characteristics would include, but are not limited to:</w:t>
      </w:r>
    </w:p>
    <w:p w14:paraId="15CE7EF2" w14:textId="77777777" w:rsidR="003F1C73" w:rsidRPr="00745022" w:rsidRDefault="003F1C73" w:rsidP="00E8486C">
      <w:pPr>
        <w:pStyle w:val="Bullet"/>
      </w:pPr>
      <w:r w:rsidRPr="00745022">
        <w:t xml:space="preserve">the event to which the ticket grants </w:t>
      </w:r>
      <w:proofErr w:type="gramStart"/>
      <w:r w:rsidRPr="00745022">
        <w:t>admission;</w:t>
      </w:r>
      <w:proofErr w:type="gramEnd"/>
    </w:p>
    <w:p w14:paraId="2DE8D49E" w14:textId="7C4694C0" w:rsidR="003F1C73" w:rsidRPr="00745022" w:rsidRDefault="003F1C73" w:rsidP="00E8486C">
      <w:pPr>
        <w:pStyle w:val="Bullet"/>
      </w:pPr>
      <w:r w:rsidRPr="00745022">
        <w:t xml:space="preserve">the time, </w:t>
      </w:r>
      <w:r w:rsidR="00EE7E45" w:rsidRPr="00745022">
        <w:t>date,</w:t>
      </w:r>
      <w:r w:rsidRPr="00745022">
        <w:t xml:space="preserve"> and location of that </w:t>
      </w:r>
      <w:proofErr w:type="gramStart"/>
      <w:r w:rsidRPr="00745022">
        <w:t>event;</w:t>
      </w:r>
      <w:proofErr w:type="gramEnd"/>
    </w:p>
    <w:p w14:paraId="58318EE8" w14:textId="532B318E" w:rsidR="003F1C73" w:rsidRPr="00745022" w:rsidRDefault="003F1C73" w:rsidP="00E8486C">
      <w:pPr>
        <w:pStyle w:val="Bullet"/>
      </w:pPr>
      <w:r w:rsidRPr="00745022">
        <w:t>the seat number or viewing position at the event to which the ticket relates;</w:t>
      </w:r>
      <w:r w:rsidR="00171354" w:rsidRPr="00745022">
        <w:t xml:space="preserve"> or</w:t>
      </w:r>
    </w:p>
    <w:p w14:paraId="00444E80" w14:textId="77777777" w:rsidR="003F1C73" w:rsidRPr="00745022" w:rsidRDefault="003F1C73" w:rsidP="00E8486C">
      <w:pPr>
        <w:pStyle w:val="Bullet"/>
      </w:pPr>
      <w:r w:rsidRPr="00745022">
        <w:t xml:space="preserve">if there are multiple releases of tickets to an event, then the relevant release. For example, a ticket purchased in an ‘early bird’ period may be cheaper than tickets purchased </w:t>
      </w:r>
      <w:proofErr w:type="gramStart"/>
      <w:r w:rsidRPr="00745022">
        <w:t>at a later date</w:t>
      </w:r>
      <w:proofErr w:type="gramEnd"/>
      <w:r w:rsidRPr="00745022">
        <w:t xml:space="preserve"> after the ‘early bird’ period has ended.</w:t>
      </w:r>
    </w:p>
    <w:p w14:paraId="57842D69" w14:textId="76266353" w:rsidR="003F1C73" w:rsidRPr="00745022" w:rsidRDefault="00440B46" w:rsidP="0042283D">
      <w:pPr>
        <w:spacing w:before="240"/>
      </w:pPr>
      <w:r w:rsidRPr="00745022">
        <w:t>The</w:t>
      </w:r>
      <w:r w:rsidR="003F1C73" w:rsidRPr="00745022">
        <w:t xml:space="preserve"> total price does not need to include the cost of sending the ticket from </w:t>
      </w:r>
      <w:r w:rsidRPr="00745022">
        <w:t xml:space="preserve">the primary </w:t>
      </w:r>
      <w:r w:rsidR="00C94079" w:rsidRPr="00745022">
        <w:t xml:space="preserve">ticket </w:t>
      </w:r>
      <w:r w:rsidRPr="00745022">
        <w:t>provider</w:t>
      </w:r>
      <w:r w:rsidR="003F1C73" w:rsidRPr="00745022">
        <w:t xml:space="preserve"> to a consumer.</w:t>
      </w:r>
      <w:r w:rsidR="00615F60" w:rsidRPr="00745022">
        <w:t xml:space="preserve"> </w:t>
      </w:r>
      <w:r w:rsidR="001A6FFC" w:rsidRPr="00745022">
        <w:t>The</w:t>
      </w:r>
      <w:r w:rsidR="003C76E1" w:rsidRPr="00745022">
        <w:t xml:space="preserve"> example to subsection 6(2) illustrates this. If a</w:t>
      </w:r>
      <w:r w:rsidR="00615F60" w:rsidRPr="00745022">
        <w:t xml:space="preserve"> ticket to an Australian event is sold by a primary </w:t>
      </w:r>
      <w:r w:rsidR="00C94079" w:rsidRPr="00745022">
        <w:t xml:space="preserve">ticket </w:t>
      </w:r>
      <w:r w:rsidR="00615F60" w:rsidRPr="00745022">
        <w:t xml:space="preserve">provider for $108 including $8 </w:t>
      </w:r>
      <w:r w:rsidR="002D2276" w:rsidRPr="00745022">
        <w:t>postage</w:t>
      </w:r>
      <w:r w:rsidR="003C76E1" w:rsidRPr="00745022">
        <w:t>, t</w:t>
      </w:r>
      <w:r w:rsidR="00615F60" w:rsidRPr="00745022">
        <w:t xml:space="preserve">he total price a person would reasonably be expected to pay to purchase the ticket from a person who is authorised to provide the first supply of tickets, excluding </w:t>
      </w:r>
      <w:r w:rsidR="003B43BE" w:rsidRPr="00745022">
        <w:t>postage</w:t>
      </w:r>
      <w:r w:rsidR="00615F60" w:rsidRPr="00745022">
        <w:t>, is $100.</w:t>
      </w:r>
    </w:p>
    <w:p w14:paraId="5E511486" w14:textId="620C945E" w:rsidR="00B87CCB" w:rsidRPr="00745022" w:rsidRDefault="00B87CCB" w:rsidP="0042283D">
      <w:pPr>
        <w:spacing w:before="240"/>
      </w:pPr>
      <w:r w:rsidRPr="00745022">
        <w:t>A person that supplies</w:t>
      </w:r>
      <w:r w:rsidR="00E76FD5" w:rsidRPr="00745022">
        <w:t xml:space="preserve"> a</w:t>
      </w:r>
      <w:r w:rsidR="0096006B" w:rsidRPr="00745022">
        <w:t xml:space="preserve"> </w:t>
      </w:r>
      <w:r w:rsidRPr="00745022">
        <w:t xml:space="preserve">service to which the Information Standard </w:t>
      </w:r>
      <w:r w:rsidR="0041471B" w:rsidRPr="00745022">
        <w:t xml:space="preserve">applies </w:t>
      </w:r>
      <w:r w:rsidR="00AB6C14" w:rsidRPr="00745022">
        <w:t>by virtue of subsection 6(</w:t>
      </w:r>
      <w:r w:rsidR="000E0B64" w:rsidRPr="00745022">
        <w:t>1</w:t>
      </w:r>
      <w:r w:rsidR="00AB6C14" w:rsidRPr="00745022">
        <w:t>)</w:t>
      </w:r>
      <w:r w:rsidR="006408EA" w:rsidRPr="00745022">
        <w:t>,</w:t>
      </w:r>
      <w:r w:rsidR="00924954" w:rsidRPr="00745022">
        <w:t xml:space="preserve"> </w:t>
      </w:r>
      <w:r w:rsidRPr="00745022">
        <w:t>that does not comply with the display requirements in subsection</w:t>
      </w:r>
      <w:r w:rsidR="001A6A83" w:rsidRPr="00745022">
        <w:t> </w:t>
      </w:r>
      <w:r w:rsidRPr="00745022">
        <w:t xml:space="preserve">6(2), may commit a strict liability offence pursuant to section 204 of </w:t>
      </w:r>
      <w:r w:rsidR="0096006B" w:rsidRPr="00745022">
        <w:t xml:space="preserve">Schedule 2 of the Act </w:t>
      </w:r>
      <w:r w:rsidRPr="00745022">
        <w:t xml:space="preserve">or be liable to a civil penalty pursuant to section 137 of </w:t>
      </w:r>
      <w:r w:rsidR="0096006B" w:rsidRPr="00745022">
        <w:t>Schedule 2 of the Act</w:t>
      </w:r>
      <w:r w:rsidRPr="00745022">
        <w:t>.</w:t>
      </w:r>
    </w:p>
    <w:p w14:paraId="6BB87696" w14:textId="2A29D8DA" w:rsidR="00F358BE" w:rsidRPr="00745022" w:rsidRDefault="00F358BE" w:rsidP="001907A0">
      <w:pPr>
        <w:spacing w:before="240"/>
        <w:rPr>
          <w:b/>
          <w:bCs/>
          <w:iCs/>
          <w:kern w:val="28"/>
        </w:rPr>
      </w:pPr>
      <w:r w:rsidRPr="00745022">
        <w:rPr>
          <w:b/>
          <w:bCs/>
          <w:iCs/>
          <w:kern w:val="28"/>
        </w:rPr>
        <w:t>Example 1</w:t>
      </w:r>
      <w:r w:rsidR="00773917" w:rsidRPr="00745022">
        <w:rPr>
          <w:b/>
          <w:bCs/>
          <w:iCs/>
          <w:kern w:val="28"/>
        </w:rPr>
        <w:t xml:space="preserve"> </w:t>
      </w:r>
      <w:r w:rsidR="00B8206B" w:rsidRPr="00745022">
        <w:rPr>
          <w:b/>
          <w:bCs/>
          <w:iCs/>
          <w:kern w:val="28"/>
        </w:rPr>
        <w:t xml:space="preserve">– </w:t>
      </w:r>
      <w:r w:rsidR="00EA54EF" w:rsidRPr="00745022">
        <w:rPr>
          <w:b/>
          <w:bCs/>
          <w:iCs/>
          <w:kern w:val="28"/>
        </w:rPr>
        <w:t>display requirements</w:t>
      </w:r>
      <w:r w:rsidR="00B8206B" w:rsidRPr="00745022">
        <w:rPr>
          <w:b/>
          <w:bCs/>
          <w:iCs/>
          <w:kern w:val="28"/>
        </w:rPr>
        <w:t xml:space="preserve"> </w:t>
      </w:r>
    </w:p>
    <w:p w14:paraId="52117D48" w14:textId="6ABB4917" w:rsidR="00924954" w:rsidRPr="00745022" w:rsidRDefault="00F358BE" w:rsidP="0042283D">
      <w:pPr>
        <w:spacing w:before="240"/>
      </w:pPr>
      <w:r w:rsidRPr="00745022">
        <w:t xml:space="preserve">Company D runs a website which primarily allows consumers to list information about tickets for admission to events in Australia that they wish to sell, having first purchased those tickets from a primary </w:t>
      </w:r>
      <w:r w:rsidR="00C94079" w:rsidRPr="00745022">
        <w:t xml:space="preserve">ticket </w:t>
      </w:r>
      <w:r w:rsidRPr="00745022">
        <w:t xml:space="preserve">provider. People can also use the website to view information about the tickets that are for sale. </w:t>
      </w:r>
      <w:r w:rsidR="00644490" w:rsidRPr="00745022">
        <w:t xml:space="preserve">The service </w:t>
      </w:r>
      <w:r w:rsidR="00BE23C7" w:rsidRPr="00745022">
        <w:t xml:space="preserve">provided on </w:t>
      </w:r>
      <w:r w:rsidR="00644490" w:rsidRPr="00745022">
        <w:t>Company D</w:t>
      </w:r>
      <w:r w:rsidR="00BE23C7" w:rsidRPr="00745022">
        <w:t>’s website</w:t>
      </w:r>
      <w:r w:rsidR="00644490" w:rsidRPr="00745022">
        <w:t xml:space="preserve"> meets the conditions in </w:t>
      </w:r>
      <w:r w:rsidR="00D9431C" w:rsidRPr="00745022">
        <w:t xml:space="preserve">subsection </w:t>
      </w:r>
      <w:r w:rsidR="00644490" w:rsidRPr="00745022">
        <w:t>6(</w:t>
      </w:r>
      <w:r w:rsidR="00D9431C" w:rsidRPr="00745022">
        <w:t>1</w:t>
      </w:r>
      <w:r w:rsidR="00644490" w:rsidRPr="00745022">
        <w:t xml:space="preserve">). Company D is responsible for complying with display requirements in </w:t>
      </w:r>
      <w:r w:rsidR="00C27E45" w:rsidRPr="00745022">
        <w:t xml:space="preserve">subsection 6(2) </w:t>
      </w:r>
      <w:r w:rsidR="00644490" w:rsidRPr="00745022">
        <w:t>rather than a consumer listing a ticket for sale.</w:t>
      </w:r>
    </w:p>
    <w:p w14:paraId="2B5CCC8A" w14:textId="2668A4C4" w:rsidR="00F358BE" w:rsidRPr="00745022" w:rsidRDefault="00F358BE" w:rsidP="000E00F0">
      <w:pPr>
        <w:spacing w:before="240"/>
      </w:pPr>
      <w:r w:rsidRPr="00745022">
        <w:t>Company D intend to list</w:t>
      </w:r>
      <w:r w:rsidR="00A97B95" w:rsidRPr="00745022">
        <w:t xml:space="preserve"> a ticket for sale</w:t>
      </w:r>
      <w:r w:rsidRPr="00745022">
        <w:t xml:space="preserve"> on behalf of</w:t>
      </w:r>
      <w:r w:rsidR="00586911" w:rsidRPr="00745022">
        <w:t xml:space="preserve"> a</w:t>
      </w:r>
      <w:r w:rsidRPr="00745022">
        <w:t xml:space="preserve"> seller and are looking to verify the total price a person could reasonably be expected to pay for th</w:t>
      </w:r>
      <w:r w:rsidR="00586911" w:rsidRPr="00745022">
        <w:t xml:space="preserve">at </w:t>
      </w:r>
      <w:r w:rsidRPr="00745022">
        <w:t xml:space="preserve">ticket in the primary market. </w:t>
      </w:r>
      <w:r w:rsidR="00F3677B" w:rsidRPr="00745022">
        <w:t>The ticket is a season ticket to the ballet in Melbourne. Company</w:t>
      </w:r>
      <w:r w:rsidR="001A6A83" w:rsidRPr="00745022">
        <w:t> </w:t>
      </w:r>
      <w:r w:rsidR="00F3677B" w:rsidRPr="00745022">
        <w:t>D determine</w:t>
      </w:r>
      <w:r w:rsidR="00741D89" w:rsidRPr="00745022">
        <w:t>s</w:t>
      </w:r>
      <w:r w:rsidR="00F3677B" w:rsidRPr="00745022">
        <w:t xml:space="preserve"> that t</w:t>
      </w:r>
      <w:r w:rsidRPr="00745022">
        <w:t xml:space="preserve">he </w:t>
      </w:r>
      <w:r w:rsidR="00F3677B" w:rsidRPr="00745022">
        <w:t>event</w:t>
      </w:r>
      <w:r w:rsidRPr="00745022">
        <w:t xml:space="preserve"> organiser originally charged $700 for the ticket, which covered admission to 6 performances. However, only one performance remains in the season. The price of a ticket to the final performance, in a similar seat, is </w:t>
      </w:r>
      <w:r w:rsidRPr="00745022">
        <w:lastRenderedPageBreak/>
        <w:t>advertised by the event organiser for $200. Company D determine that $200 is the total price a person would reasonably be expected to pay to purchase a season ticket with one event remaining from the event organiser.</w:t>
      </w:r>
    </w:p>
    <w:p w14:paraId="19E9196B" w14:textId="3951A354" w:rsidR="00F358BE" w:rsidRPr="00745022" w:rsidRDefault="00F358BE" w:rsidP="0042283D">
      <w:pPr>
        <w:spacing w:before="240"/>
      </w:pPr>
      <w:r w:rsidRPr="00745022">
        <w:t xml:space="preserve">Company D </w:t>
      </w:r>
      <w:r w:rsidR="00481B5A" w:rsidRPr="00745022">
        <w:t>c</w:t>
      </w:r>
      <w:r w:rsidR="00E34E83" w:rsidRPr="00745022">
        <w:t>ould</w:t>
      </w:r>
      <w:r w:rsidR="00481B5A" w:rsidRPr="00745022">
        <w:t xml:space="preserve"> </w:t>
      </w:r>
      <w:r w:rsidRPr="00745022">
        <w:t>comply with the requirement in paragraph 6(2)(b) by</w:t>
      </w:r>
      <w:r w:rsidR="004965D3" w:rsidRPr="00745022">
        <w:t xml:space="preserve"> prominently displaying</w:t>
      </w:r>
      <w:r w:rsidRPr="00745022">
        <w:t xml:space="preserve"> </w:t>
      </w:r>
      <w:r w:rsidR="00E13BA7" w:rsidRPr="00745022">
        <w:t xml:space="preserve">$200 as </w:t>
      </w:r>
      <w:r w:rsidRPr="00745022">
        <w:t>the total price of</w:t>
      </w:r>
      <w:r w:rsidR="00E13BA7" w:rsidRPr="00745022">
        <w:t xml:space="preserve"> the</w:t>
      </w:r>
      <w:r w:rsidRPr="00745022">
        <w:t xml:space="preserve"> ticket alongside </w:t>
      </w:r>
      <w:r w:rsidR="00611903" w:rsidRPr="00745022">
        <w:t>the</w:t>
      </w:r>
      <w:r w:rsidRPr="00745022">
        <w:t xml:space="preserve"> </w:t>
      </w:r>
      <w:r w:rsidR="004965D3" w:rsidRPr="00745022">
        <w:t xml:space="preserve">listed </w:t>
      </w:r>
      <w:r w:rsidRPr="00745022">
        <w:t>resale price</w:t>
      </w:r>
      <w:r w:rsidR="00F432E2" w:rsidRPr="00745022">
        <w:t xml:space="preserve"> on its website</w:t>
      </w:r>
      <w:r w:rsidRPr="00745022">
        <w:t>.</w:t>
      </w:r>
    </w:p>
    <w:p w14:paraId="4983ED99" w14:textId="1785B837" w:rsidR="00F358BE" w:rsidRPr="00745022" w:rsidRDefault="00F358BE" w:rsidP="001907A0">
      <w:pPr>
        <w:spacing w:before="240"/>
        <w:rPr>
          <w:b/>
          <w:bCs/>
          <w:iCs/>
          <w:kern w:val="28"/>
        </w:rPr>
      </w:pPr>
      <w:r w:rsidRPr="00745022">
        <w:rPr>
          <w:b/>
          <w:bCs/>
          <w:iCs/>
          <w:kern w:val="28"/>
        </w:rPr>
        <w:t>Example 2</w:t>
      </w:r>
      <w:r w:rsidR="00B8206B" w:rsidRPr="00745022">
        <w:rPr>
          <w:b/>
          <w:bCs/>
          <w:iCs/>
          <w:kern w:val="28"/>
        </w:rPr>
        <w:t xml:space="preserve"> – </w:t>
      </w:r>
      <w:r w:rsidR="00EA54EF" w:rsidRPr="00745022">
        <w:rPr>
          <w:b/>
          <w:bCs/>
          <w:iCs/>
          <w:kern w:val="28"/>
        </w:rPr>
        <w:t>display requirements</w:t>
      </w:r>
    </w:p>
    <w:p w14:paraId="369F1324" w14:textId="4875EDF7" w:rsidR="00F358BE" w:rsidRPr="00745022" w:rsidRDefault="00F358BE" w:rsidP="0042283D">
      <w:pPr>
        <w:spacing w:before="240"/>
      </w:pPr>
      <w:r w:rsidRPr="00745022">
        <w:t xml:space="preserve">Sam purchased a ticket to an event in </w:t>
      </w:r>
      <w:r w:rsidR="006C70CF" w:rsidRPr="00745022">
        <w:t xml:space="preserve">Townsville </w:t>
      </w:r>
      <w:r w:rsidRPr="00745022">
        <w:t xml:space="preserve">from the website of a primary </w:t>
      </w:r>
      <w:r w:rsidR="00C94079" w:rsidRPr="00745022">
        <w:t xml:space="preserve">ticket </w:t>
      </w:r>
      <w:r w:rsidRPr="00745022">
        <w:t>provider, named Great Time (a fictitious company). Sam paid $</w:t>
      </w:r>
      <w:r w:rsidR="00615F60" w:rsidRPr="00745022">
        <w:t>200</w:t>
      </w:r>
      <w:r w:rsidRPr="00745022">
        <w:t xml:space="preserve"> for the ticket, including $</w:t>
      </w:r>
      <w:r w:rsidR="00615F60" w:rsidRPr="00745022">
        <w:t>10</w:t>
      </w:r>
      <w:r w:rsidRPr="00745022">
        <w:t xml:space="preserve"> in </w:t>
      </w:r>
      <w:r w:rsidR="002D2276" w:rsidRPr="00745022">
        <w:t>postage</w:t>
      </w:r>
      <w:r w:rsidRPr="00745022">
        <w:t>. When Sam received the ticket, the price of $</w:t>
      </w:r>
      <w:r w:rsidR="00615F60" w:rsidRPr="00745022">
        <w:t>200</w:t>
      </w:r>
      <w:r w:rsidRPr="00745022">
        <w:t xml:space="preserve"> was printed on its face; $</w:t>
      </w:r>
      <w:r w:rsidR="00615F60" w:rsidRPr="00745022">
        <w:t>2</w:t>
      </w:r>
      <w:r w:rsidRPr="00745022">
        <w:t xml:space="preserve">00 is the face value of the ticket. </w:t>
      </w:r>
    </w:p>
    <w:p w14:paraId="388FB6A9" w14:textId="6F36E555" w:rsidR="00636BA7" w:rsidRPr="00745022" w:rsidRDefault="00F358BE" w:rsidP="0042283D">
      <w:pPr>
        <w:spacing w:before="240"/>
      </w:pPr>
      <w:r w:rsidRPr="00745022">
        <w:t>After receiving the ticket, Sam realised she would not be able to attend the event. Sam decides she would like to sell her ticket for $</w:t>
      </w:r>
      <w:r w:rsidR="00615F60" w:rsidRPr="00745022">
        <w:t>1</w:t>
      </w:r>
      <w:r w:rsidR="005144E3" w:rsidRPr="00745022">
        <w:t>5</w:t>
      </w:r>
      <w:r w:rsidRPr="00745022">
        <w:t xml:space="preserve">0. In addition to Great Time’s website being the primary </w:t>
      </w:r>
      <w:r w:rsidR="00C94079" w:rsidRPr="00745022">
        <w:t>ticket provider</w:t>
      </w:r>
      <w:r w:rsidRPr="00745022">
        <w:t xml:space="preserve">, their website also facilitates the resale of tickets, by allowing a consumer that has purchased a ticket from Great Time, to list that ticket for resale to a new buyer. </w:t>
      </w:r>
    </w:p>
    <w:p w14:paraId="51DE5BD7" w14:textId="0BBAB684" w:rsidR="00F358BE" w:rsidRPr="00745022" w:rsidRDefault="00F358BE" w:rsidP="0042283D">
      <w:pPr>
        <w:spacing w:before="240"/>
      </w:pPr>
      <w:r w:rsidRPr="00745022">
        <w:t xml:space="preserve">To list a ticket, Great Time requires a person to provide an estimate of the total price </w:t>
      </w:r>
      <w:r w:rsidR="00895061" w:rsidRPr="00745022">
        <w:t xml:space="preserve">that the consumer would reasonably be expected to pay to purchase the ticket from </w:t>
      </w:r>
      <w:r w:rsidR="00CD269D" w:rsidRPr="00745022">
        <w:t xml:space="preserve">the primary </w:t>
      </w:r>
      <w:r w:rsidR="00C94079" w:rsidRPr="00745022">
        <w:t xml:space="preserve">ticket </w:t>
      </w:r>
      <w:r w:rsidR="00CD269D" w:rsidRPr="00745022">
        <w:t>provider</w:t>
      </w:r>
      <w:r w:rsidRPr="00745022">
        <w:t xml:space="preserve">. Sam </w:t>
      </w:r>
      <w:r w:rsidR="00895061" w:rsidRPr="00745022">
        <w:t>considers</w:t>
      </w:r>
      <w:r w:rsidRPr="00745022">
        <w:t xml:space="preserve"> that the total price is $</w:t>
      </w:r>
      <w:r w:rsidR="005144E3" w:rsidRPr="00745022">
        <w:t>20</w:t>
      </w:r>
      <w:r w:rsidRPr="00745022">
        <w:t>0 (the face value of the ticket). The $</w:t>
      </w:r>
      <w:r w:rsidR="005144E3" w:rsidRPr="00745022">
        <w:t>10</w:t>
      </w:r>
      <w:r w:rsidRPr="00745022">
        <w:t xml:space="preserve"> cost of </w:t>
      </w:r>
      <w:r w:rsidR="00084F0E" w:rsidRPr="00745022">
        <w:t xml:space="preserve">postage </w:t>
      </w:r>
      <w:r w:rsidRPr="00745022">
        <w:t>is not included</w:t>
      </w:r>
      <w:r w:rsidR="00F300D2" w:rsidRPr="00745022">
        <w:t xml:space="preserve"> in the total price</w:t>
      </w:r>
      <w:r w:rsidRPr="00745022">
        <w:t xml:space="preserve">. </w:t>
      </w:r>
    </w:p>
    <w:p w14:paraId="34A456AC" w14:textId="33D96822" w:rsidR="00881D1E" w:rsidRDefault="00F358BE" w:rsidP="001A6A83">
      <w:pPr>
        <w:spacing w:before="240"/>
      </w:pPr>
      <w:r w:rsidRPr="00745022">
        <w:t xml:space="preserve">Great Time reviews the total price Sam provided and confirms that it aligns with the price to purchase the ticket from them as the primary </w:t>
      </w:r>
      <w:r w:rsidR="00C94079" w:rsidRPr="00745022">
        <w:t xml:space="preserve">ticket </w:t>
      </w:r>
      <w:r w:rsidRPr="00745022">
        <w:t>provider. Great Time then lists Sam’s ticket on their website and clearly display the total price of the ticket as $</w:t>
      </w:r>
      <w:r w:rsidR="005144E3" w:rsidRPr="00745022">
        <w:t>2</w:t>
      </w:r>
      <w:r w:rsidRPr="00745022">
        <w:t>00, alongside Sam’s chosen resale price of $</w:t>
      </w:r>
      <w:r w:rsidR="005144E3" w:rsidRPr="00745022">
        <w:t>1</w:t>
      </w:r>
      <w:r w:rsidRPr="00745022">
        <w:t xml:space="preserve">50. Great Time’s website also prominently states that “This is a ticket resale service. You are not buying from a primary </w:t>
      </w:r>
      <w:r w:rsidR="00C94079" w:rsidRPr="00745022">
        <w:t xml:space="preserve">ticket </w:t>
      </w:r>
      <w:r w:rsidRPr="00745022">
        <w:t>provider.”. Great Time has therefore met the requirements under subsection 6(2). Sam sells her ticket for $</w:t>
      </w:r>
      <w:r w:rsidR="005144E3" w:rsidRPr="00745022">
        <w:t>1</w:t>
      </w:r>
      <w:r w:rsidRPr="00745022">
        <w:t>50 and posts it to the new buyer.</w:t>
      </w:r>
    </w:p>
    <w:sectPr w:rsidR="00881D1E" w:rsidSect="00811C62">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9F8E" w14:textId="77777777" w:rsidR="00DB1B70" w:rsidRDefault="00DB1B70" w:rsidP="00D039E8">
      <w:pPr>
        <w:spacing w:before="0" w:after="0"/>
      </w:pPr>
      <w:r>
        <w:separator/>
      </w:r>
    </w:p>
  </w:endnote>
  <w:endnote w:type="continuationSeparator" w:id="0">
    <w:p w14:paraId="72A92E22" w14:textId="77777777" w:rsidR="00DB1B70" w:rsidRDefault="00DB1B70" w:rsidP="00D039E8">
      <w:pPr>
        <w:spacing w:before="0" w:after="0"/>
      </w:pPr>
      <w:r>
        <w:continuationSeparator/>
      </w:r>
    </w:p>
  </w:endnote>
  <w:endnote w:type="continuationNotice" w:id="1">
    <w:p w14:paraId="5D2D30A5" w14:textId="77777777" w:rsidR="00DB1B70" w:rsidRDefault="00DB1B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72359B3" w14:textId="789413F2" w:rsidR="009A4604" w:rsidRDefault="009A4604" w:rsidP="00811C62">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66CBA">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66CBA">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EAA0" w14:textId="77777777" w:rsidR="00DB1B70" w:rsidRDefault="00DB1B70" w:rsidP="00D039E8">
      <w:pPr>
        <w:spacing w:before="0" w:after="0"/>
      </w:pPr>
      <w:r>
        <w:separator/>
      </w:r>
    </w:p>
  </w:footnote>
  <w:footnote w:type="continuationSeparator" w:id="0">
    <w:p w14:paraId="55ED3A99" w14:textId="77777777" w:rsidR="00DB1B70" w:rsidRDefault="00DB1B70" w:rsidP="00D039E8">
      <w:pPr>
        <w:spacing w:before="0" w:after="0"/>
      </w:pPr>
      <w:r>
        <w:continuationSeparator/>
      </w:r>
    </w:p>
  </w:footnote>
  <w:footnote w:type="continuationNotice" w:id="1">
    <w:p w14:paraId="271CBD05" w14:textId="77777777" w:rsidR="00DB1B70" w:rsidRDefault="00DB1B70">
      <w:pPr>
        <w:spacing w:before="0" w:after="0"/>
      </w:pPr>
    </w:p>
  </w:footnote>
  <w:footnote w:id="2">
    <w:p w14:paraId="3650D3FC" w14:textId="5A346B94" w:rsidR="00D46BAD" w:rsidRDefault="00D46BAD">
      <w:pPr>
        <w:pStyle w:val="FootnoteText"/>
      </w:pPr>
      <w:r>
        <w:rPr>
          <w:rStyle w:val="FootnoteReference"/>
        </w:rPr>
        <w:footnoteRef/>
      </w:r>
      <w:r>
        <w:t xml:space="preserve"> The Decision </w:t>
      </w:r>
      <w:r w:rsidR="00C05299">
        <w:t>Regulation Impa</w:t>
      </w:r>
      <w:r w:rsidR="004E2CFA">
        <w:t>c</w:t>
      </w:r>
      <w:r w:rsidR="00C05299">
        <w:t xml:space="preserve">t </w:t>
      </w:r>
      <w:r>
        <w:t>S</w:t>
      </w:r>
      <w:r w:rsidR="00C05299">
        <w:t>tatement</w:t>
      </w:r>
      <w:r>
        <w:t xml:space="preserve"> </w:t>
      </w:r>
      <w:r w:rsidRPr="000E00F0">
        <w:rPr>
          <w:i/>
          <w:iCs/>
        </w:rPr>
        <w:t>Ticket Reselling in Australia</w:t>
      </w:r>
      <w:r>
        <w:t xml:space="preserve"> is available here: </w:t>
      </w:r>
      <w:hyperlink r:id="rId1" w:history="1">
        <w:r w:rsidR="00A9547F" w:rsidRPr="00C9321F">
          <w:rPr>
            <w:rStyle w:val="Hyperlink"/>
            <w:color w:val="auto"/>
          </w:rPr>
          <w:t>https://obpr.pmc.gov.au/published-impact-analyses-and-reports/ticket-reselling-0</w:t>
        </w:r>
      </w:hyperlink>
      <w:r w:rsidRPr="00C932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BD0C" w14:textId="23B648AB" w:rsidR="00260A6C" w:rsidRPr="00260A6C" w:rsidRDefault="00260A6C" w:rsidP="00260A6C">
    <w:pPr>
      <w:pStyle w:val="Header"/>
      <w:jc w:val="cente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1FBE3EC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687" w:hanging="360"/>
      </w:pPr>
    </w:lvl>
    <w:lvl w:ilvl="4">
      <w:start w:val="1"/>
      <w:numFmt w:val="lowerLetter"/>
      <w:lvlText w:val="(%5)"/>
      <w:lvlJc w:val="left"/>
      <w:pPr>
        <w:ind w:left="-327" w:hanging="360"/>
      </w:pPr>
    </w:lvl>
    <w:lvl w:ilvl="5">
      <w:start w:val="1"/>
      <w:numFmt w:val="lowerRoman"/>
      <w:lvlText w:val="(%6)"/>
      <w:lvlJc w:val="left"/>
      <w:pPr>
        <w:ind w:left="33" w:hanging="360"/>
      </w:pPr>
    </w:lvl>
    <w:lvl w:ilvl="6">
      <w:start w:val="1"/>
      <w:numFmt w:val="decimal"/>
      <w:lvlText w:val="%7."/>
      <w:lvlJc w:val="left"/>
      <w:pPr>
        <w:ind w:left="393" w:hanging="360"/>
      </w:pPr>
    </w:lvl>
    <w:lvl w:ilvl="7">
      <w:start w:val="1"/>
      <w:numFmt w:val="lowerLetter"/>
      <w:lvlText w:val="%8."/>
      <w:lvlJc w:val="left"/>
      <w:pPr>
        <w:ind w:left="753" w:hanging="360"/>
      </w:pPr>
    </w:lvl>
    <w:lvl w:ilvl="8">
      <w:start w:val="1"/>
      <w:numFmt w:val="lowerRoman"/>
      <w:lvlText w:val="%9."/>
      <w:lvlJc w:val="left"/>
      <w:pPr>
        <w:ind w:left="1113" w:hanging="360"/>
      </w:pPr>
    </w:lvl>
  </w:abstractNum>
  <w:abstractNum w:abstractNumId="1" w15:restartNumberingAfterBreak="0">
    <w:nsid w:val="69F36E6D"/>
    <w:multiLevelType w:val="hybridMultilevel"/>
    <w:tmpl w:val="2DACA0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73"/>
    <w:rsid w:val="00004235"/>
    <w:rsid w:val="000107C9"/>
    <w:rsid w:val="00010BB4"/>
    <w:rsid w:val="00012A85"/>
    <w:rsid w:val="00015E0C"/>
    <w:rsid w:val="00016BB6"/>
    <w:rsid w:val="000179E2"/>
    <w:rsid w:val="000218A1"/>
    <w:rsid w:val="00031AF6"/>
    <w:rsid w:val="0006285E"/>
    <w:rsid w:val="00070794"/>
    <w:rsid w:val="00083F06"/>
    <w:rsid w:val="000841B1"/>
    <w:rsid w:val="00084F0E"/>
    <w:rsid w:val="00091077"/>
    <w:rsid w:val="00093160"/>
    <w:rsid w:val="00095C3F"/>
    <w:rsid w:val="000A663C"/>
    <w:rsid w:val="000B29CD"/>
    <w:rsid w:val="000B3D30"/>
    <w:rsid w:val="000B5242"/>
    <w:rsid w:val="000B7BD5"/>
    <w:rsid w:val="000C4E03"/>
    <w:rsid w:val="000D582E"/>
    <w:rsid w:val="000D7708"/>
    <w:rsid w:val="000E00F0"/>
    <w:rsid w:val="000E06C3"/>
    <w:rsid w:val="000E0B64"/>
    <w:rsid w:val="001038A3"/>
    <w:rsid w:val="001144B0"/>
    <w:rsid w:val="001174D6"/>
    <w:rsid w:val="0012142F"/>
    <w:rsid w:val="00121EFE"/>
    <w:rsid w:val="00122C2C"/>
    <w:rsid w:val="00126879"/>
    <w:rsid w:val="001313E9"/>
    <w:rsid w:val="001331B3"/>
    <w:rsid w:val="00144212"/>
    <w:rsid w:val="00151AA2"/>
    <w:rsid w:val="001629AE"/>
    <w:rsid w:val="001663F2"/>
    <w:rsid w:val="001668B2"/>
    <w:rsid w:val="001669FC"/>
    <w:rsid w:val="00171354"/>
    <w:rsid w:val="00175E30"/>
    <w:rsid w:val="0017606B"/>
    <w:rsid w:val="00177EFC"/>
    <w:rsid w:val="0018460C"/>
    <w:rsid w:val="001856BF"/>
    <w:rsid w:val="0018580D"/>
    <w:rsid w:val="0018582B"/>
    <w:rsid w:val="001907A0"/>
    <w:rsid w:val="0019366D"/>
    <w:rsid w:val="001A3210"/>
    <w:rsid w:val="001A6A83"/>
    <w:rsid w:val="001A6FFC"/>
    <w:rsid w:val="001A7B7A"/>
    <w:rsid w:val="001B646E"/>
    <w:rsid w:val="001C1E0A"/>
    <w:rsid w:val="001D38D8"/>
    <w:rsid w:val="001E6889"/>
    <w:rsid w:val="001F2535"/>
    <w:rsid w:val="001F5008"/>
    <w:rsid w:val="00214AF0"/>
    <w:rsid w:val="00215E3D"/>
    <w:rsid w:val="00221272"/>
    <w:rsid w:val="002222C3"/>
    <w:rsid w:val="0022658B"/>
    <w:rsid w:val="00230129"/>
    <w:rsid w:val="00234879"/>
    <w:rsid w:val="00240246"/>
    <w:rsid w:val="0024235B"/>
    <w:rsid w:val="00252709"/>
    <w:rsid w:val="002540FF"/>
    <w:rsid w:val="002561E4"/>
    <w:rsid w:val="00256C8F"/>
    <w:rsid w:val="002600EF"/>
    <w:rsid w:val="00260A6C"/>
    <w:rsid w:val="00270452"/>
    <w:rsid w:val="002828FC"/>
    <w:rsid w:val="0029040A"/>
    <w:rsid w:val="00291CC1"/>
    <w:rsid w:val="00293C50"/>
    <w:rsid w:val="00297181"/>
    <w:rsid w:val="002A35AB"/>
    <w:rsid w:val="002A4492"/>
    <w:rsid w:val="002B1686"/>
    <w:rsid w:val="002B311A"/>
    <w:rsid w:val="002B5759"/>
    <w:rsid w:val="002B6E30"/>
    <w:rsid w:val="002C327F"/>
    <w:rsid w:val="002C394C"/>
    <w:rsid w:val="002D109B"/>
    <w:rsid w:val="002D2276"/>
    <w:rsid w:val="002D56F0"/>
    <w:rsid w:val="002E41F6"/>
    <w:rsid w:val="002F0CBA"/>
    <w:rsid w:val="002F21A9"/>
    <w:rsid w:val="002F35FF"/>
    <w:rsid w:val="002F3702"/>
    <w:rsid w:val="002F5332"/>
    <w:rsid w:val="003045E9"/>
    <w:rsid w:val="00305C4D"/>
    <w:rsid w:val="003064EF"/>
    <w:rsid w:val="003070D1"/>
    <w:rsid w:val="00315B10"/>
    <w:rsid w:val="00316EFE"/>
    <w:rsid w:val="00321BC7"/>
    <w:rsid w:val="00323238"/>
    <w:rsid w:val="00326484"/>
    <w:rsid w:val="00342EA7"/>
    <w:rsid w:val="00345869"/>
    <w:rsid w:val="0034674E"/>
    <w:rsid w:val="00356379"/>
    <w:rsid w:val="00360AEC"/>
    <w:rsid w:val="00363E17"/>
    <w:rsid w:val="00367ED4"/>
    <w:rsid w:val="003723D7"/>
    <w:rsid w:val="0037702A"/>
    <w:rsid w:val="003836BF"/>
    <w:rsid w:val="003872B0"/>
    <w:rsid w:val="00394601"/>
    <w:rsid w:val="00395C59"/>
    <w:rsid w:val="003A00E4"/>
    <w:rsid w:val="003A4675"/>
    <w:rsid w:val="003B43BE"/>
    <w:rsid w:val="003B5384"/>
    <w:rsid w:val="003B6736"/>
    <w:rsid w:val="003C38CA"/>
    <w:rsid w:val="003C4B41"/>
    <w:rsid w:val="003C76E1"/>
    <w:rsid w:val="003D18C4"/>
    <w:rsid w:val="003D3E83"/>
    <w:rsid w:val="003F08F4"/>
    <w:rsid w:val="003F1C73"/>
    <w:rsid w:val="003F20EB"/>
    <w:rsid w:val="003F274A"/>
    <w:rsid w:val="0041471B"/>
    <w:rsid w:val="00416E98"/>
    <w:rsid w:val="0042283D"/>
    <w:rsid w:val="00425252"/>
    <w:rsid w:val="004339E1"/>
    <w:rsid w:val="00440B46"/>
    <w:rsid w:val="00450FF4"/>
    <w:rsid w:val="00460C65"/>
    <w:rsid w:val="0046318B"/>
    <w:rsid w:val="00464514"/>
    <w:rsid w:val="00466CBA"/>
    <w:rsid w:val="0047302D"/>
    <w:rsid w:val="004753DE"/>
    <w:rsid w:val="00481B5A"/>
    <w:rsid w:val="004951C9"/>
    <w:rsid w:val="004965D3"/>
    <w:rsid w:val="004A2C3C"/>
    <w:rsid w:val="004A5A0E"/>
    <w:rsid w:val="004B0000"/>
    <w:rsid w:val="004B0662"/>
    <w:rsid w:val="004B17B7"/>
    <w:rsid w:val="004B401C"/>
    <w:rsid w:val="004B660F"/>
    <w:rsid w:val="004B6699"/>
    <w:rsid w:val="004C5571"/>
    <w:rsid w:val="004D08B1"/>
    <w:rsid w:val="004E2CFA"/>
    <w:rsid w:val="004E5D71"/>
    <w:rsid w:val="004F6029"/>
    <w:rsid w:val="005144E3"/>
    <w:rsid w:val="00522660"/>
    <w:rsid w:val="00523A95"/>
    <w:rsid w:val="00524B10"/>
    <w:rsid w:val="005323CE"/>
    <w:rsid w:val="00532844"/>
    <w:rsid w:val="00534130"/>
    <w:rsid w:val="00544B40"/>
    <w:rsid w:val="00551E00"/>
    <w:rsid w:val="005523E3"/>
    <w:rsid w:val="00552AE8"/>
    <w:rsid w:val="00553C7A"/>
    <w:rsid w:val="00555A45"/>
    <w:rsid w:val="00556235"/>
    <w:rsid w:val="005651B6"/>
    <w:rsid w:val="00566752"/>
    <w:rsid w:val="00570387"/>
    <w:rsid w:val="00570EAB"/>
    <w:rsid w:val="005816F3"/>
    <w:rsid w:val="005844CB"/>
    <w:rsid w:val="00586911"/>
    <w:rsid w:val="005879F2"/>
    <w:rsid w:val="0059458C"/>
    <w:rsid w:val="005951A6"/>
    <w:rsid w:val="005A21CB"/>
    <w:rsid w:val="005B2DB9"/>
    <w:rsid w:val="005B3857"/>
    <w:rsid w:val="005B603A"/>
    <w:rsid w:val="005C0FC5"/>
    <w:rsid w:val="005C4639"/>
    <w:rsid w:val="005C57BC"/>
    <w:rsid w:val="005D24DA"/>
    <w:rsid w:val="005E06A0"/>
    <w:rsid w:val="005E1428"/>
    <w:rsid w:val="005E3ED1"/>
    <w:rsid w:val="005E681A"/>
    <w:rsid w:val="005F527B"/>
    <w:rsid w:val="005F5382"/>
    <w:rsid w:val="005F7D24"/>
    <w:rsid w:val="0060508D"/>
    <w:rsid w:val="00611903"/>
    <w:rsid w:val="00615F60"/>
    <w:rsid w:val="00616545"/>
    <w:rsid w:val="00623D53"/>
    <w:rsid w:val="00625248"/>
    <w:rsid w:val="006344AE"/>
    <w:rsid w:val="00636BA7"/>
    <w:rsid w:val="00637815"/>
    <w:rsid w:val="006408EA"/>
    <w:rsid w:val="00644490"/>
    <w:rsid w:val="0064632D"/>
    <w:rsid w:val="0065103C"/>
    <w:rsid w:val="00655B7A"/>
    <w:rsid w:val="00661E50"/>
    <w:rsid w:val="00666E9C"/>
    <w:rsid w:val="006717F0"/>
    <w:rsid w:val="00690131"/>
    <w:rsid w:val="006A61F6"/>
    <w:rsid w:val="006A7741"/>
    <w:rsid w:val="006B7A1A"/>
    <w:rsid w:val="006C4AAE"/>
    <w:rsid w:val="006C5DFB"/>
    <w:rsid w:val="006C70CF"/>
    <w:rsid w:val="006D25C3"/>
    <w:rsid w:val="006D31BC"/>
    <w:rsid w:val="006D44D9"/>
    <w:rsid w:val="00701A84"/>
    <w:rsid w:val="00704BE2"/>
    <w:rsid w:val="007076A5"/>
    <w:rsid w:val="00712B2F"/>
    <w:rsid w:val="007146AC"/>
    <w:rsid w:val="0071504F"/>
    <w:rsid w:val="007163BD"/>
    <w:rsid w:val="007167B6"/>
    <w:rsid w:val="00717847"/>
    <w:rsid w:val="00723274"/>
    <w:rsid w:val="0072488A"/>
    <w:rsid w:val="007267E0"/>
    <w:rsid w:val="0073060B"/>
    <w:rsid w:val="00731763"/>
    <w:rsid w:val="007333E4"/>
    <w:rsid w:val="00734BE1"/>
    <w:rsid w:val="00737FB1"/>
    <w:rsid w:val="00741D89"/>
    <w:rsid w:val="00745022"/>
    <w:rsid w:val="0076144D"/>
    <w:rsid w:val="00763E21"/>
    <w:rsid w:val="0076750C"/>
    <w:rsid w:val="00770DB4"/>
    <w:rsid w:val="00773917"/>
    <w:rsid w:val="007761C6"/>
    <w:rsid w:val="00776C4A"/>
    <w:rsid w:val="00780E26"/>
    <w:rsid w:val="007823BB"/>
    <w:rsid w:val="007918FD"/>
    <w:rsid w:val="00791D75"/>
    <w:rsid w:val="00795FC1"/>
    <w:rsid w:val="007A01E2"/>
    <w:rsid w:val="007A339C"/>
    <w:rsid w:val="007A7EC8"/>
    <w:rsid w:val="007B1FF9"/>
    <w:rsid w:val="007B47EB"/>
    <w:rsid w:val="007C1528"/>
    <w:rsid w:val="007C6162"/>
    <w:rsid w:val="007C6D58"/>
    <w:rsid w:val="007C7325"/>
    <w:rsid w:val="007C74E3"/>
    <w:rsid w:val="007D3B57"/>
    <w:rsid w:val="007E0483"/>
    <w:rsid w:val="007E1D14"/>
    <w:rsid w:val="008001C9"/>
    <w:rsid w:val="00802414"/>
    <w:rsid w:val="00804B48"/>
    <w:rsid w:val="00811C62"/>
    <w:rsid w:val="008131C6"/>
    <w:rsid w:val="00822CF2"/>
    <w:rsid w:val="008269D4"/>
    <w:rsid w:val="00837E3B"/>
    <w:rsid w:val="0084520B"/>
    <w:rsid w:val="008506B1"/>
    <w:rsid w:val="00851A19"/>
    <w:rsid w:val="00861C37"/>
    <w:rsid w:val="008632BC"/>
    <w:rsid w:val="00863E28"/>
    <w:rsid w:val="00866AB7"/>
    <w:rsid w:val="00877D6A"/>
    <w:rsid w:val="00880B8D"/>
    <w:rsid w:val="00881D1E"/>
    <w:rsid w:val="008847CC"/>
    <w:rsid w:val="008868BA"/>
    <w:rsid w:val="0088786E"/>
    <w:rsid w:val="00893B89"/>
    <w:rsid w:val="00895061"/>
    <w:rsid w:val="008B2613"/>
    <w:rsid w:val="008C0625"/>
    <w:rsid w:val="008D1224"/>
    <w:rsid w:val="008D617A"/>
    <w:rsid w:val="008E1728"/>
    <w:rsid w:val="008E37F3"/>
    <w:rsid w:val="008E3C40"/>
    <w:rsid w:val="008F37B3"/>
    <w:rsid w:val="008F507D"/>
    <w:rsid w:val="008F701D"/>
    <w:rsid w:val="008F744E"/>
    <w:rsid w:val="009004A5"/>
    <w:rsid w:val="0090101D"/>
    <w:rsid w:val="009012F0"/>
    <w:rsid w:val="00901A28"/>
    <w:rsid w:val="00905D06"/>
    <w:rsid w:val="0091319F"/>
    <w:rsid w:val="009169CA"/>
    <w:rsid w:val="00924954"/>
    <w:rsid w:val="0092716D"/>
    <w:rsid w:val="009278D7"/>
    <w:rsid w:val="00930108"/>
    <w:rsid w:val="00937484"/>
    <w:rsid w:val="00941733"/>
    <w:rsid w:val="009528B4"/>
    <w:rsid w:val="00956591"/>
    <w:rsid w:val="00957829"/>
    <w:rsid w:val="0096006B"/>
    <w:rsid w:val="009639B6"/>
    <w:rsid w:val="00964930"/>
    <w:rsid w:val="00971403"/>
    <w:rsid w:val="00974B8A"/>
    <w:rsid w:val="00980786"/>
    <w:rsid w:val="00981818"/>
    <w:rsid w:val="0098300D"/>
    <w:rsid w:val="009838DF"/>
    <w:rsid w:val="009859E7"/>
    <w:rsid w:val="009872AF"/>
    <w:rsid w:val="00987403"/>
    <w:rsid w:val="00987639"/>
    <w:rsid w:val="00994917"/>
    <w:rsid w:val="00997E21"/>
    <w:rsid w:val="009A4604"/>
    <w:rsid w:val="009A7F97"/>
    <w:rsid w:val="009B0284"/>
    <w:rsid w:val="009B0B32"/>
    <w:rsid w:val="009B5DCB"/>
    <w:rsid w:val="009C1B18"/>
    <w:rsid w:val="009C55A8"/>
    <w:rsid w:val="009D589E"/>
    <w:rsid w:val="009D7BD9"/>
    <w:rsid w:val="009E07A0"/>
    <w:rsid w:val="009E714B"/>
    <w:rsid w:val="009F3931"/>
    <w:rsid w:val="009F49EB"/>
    <w:rsid w:val="009F7003"/>
    <w:rsid w:val="00A1299A"/>
    <w:rsid w:val="00A16B7A"/>
    <w:rsid w:val="00A17C40"/>
    <w:rsid w:val="00A2140D"/>
    <w:rsid w:val="00A22B25"/>
    <w:rsid w:val="00A25A75"/>
    <w:rsid w:val="00A274D0"/>
    <w:rsid w:val="00A343FF"/>
    <w:rsid w:val="00A35BF1"/>
    <w:rsid w:val="00A558E6"/>
    <w:rsid w:val="00A6611F"/>
    <w:rsid w:val="00A74428"/>
    <w:rsid w:val="00A74B84"/>
    <w:rsid w:val="00A80141"/>
    <w:rsid w:val="00A82292"/>
    <w:rsid w:val="00A83F1E"/>
    <w:rsid w:val="00A87557"/>
    <w:rsid w:val="00A91CE0"/>
    <w:rsid w:val="00A92369"/>
    <w:rsid w:val="00A94D27"/>
    <w:rsid w:val="00A9547F"/>
    <w:rsid w:val="00A97B95"/>
    <w:rsid w:val="00AA65AD"/>
    <w:rsid w:val="00AA6B2A"/>
    <w:rsid w:val="00AB0693"/>
    <w:rsid w:val="00AB12A3"/>
    <w:rsid w:val="00AB3EBA"/>
    <w:rsid w:val="00AB46E6"/>
    <w:rsid w:val="00AB53AA"/>
    <w:rsid w:val="00AB68B5"/>
    <w:rsid w:val="00AB6C14"/>
    <w:rsid w:val="00AC0BDB"/>
    <w:rsid w:val="00AC26E3"/>
    <w:rsid w:val="00AC38D5"/>
    <w:rsid w:val="00AD2F29"/>
    <w:rsid w:val="00AD3116"/>
    <w:rsid w:val="00AD442B"/>
    <w:rsid w:val="00AF0583"/>
    <w:rsid w:val="00AF2257"/>
    <w:rsid w:val="00AF3809"/>
    <w:rsid w:val="00AF3B9D"/>
    <w:rsid w:val="00B06C09"/>
    <w:rsid w:val="00B06FA9"/>
    <w:rsid w:val="00B11926"/>
    <w:rsid w:val="00B1468F"/>
    <w:rsid w:val="00B1607F"/>
    <w:rsid w:val="00B256C9"/>
    <w:rsid w:val="00B32571"/>
    <w:rsid w:val="00B42990"/>
    <w:rsid w:val="00B4444D"/>
    <w:rsid w:val="00B474D0"/>
    <w:rsid w:val="00B553DB"/>
    <w:rsid w:val="00B565B9"/>
    <w:rsid w:val="00B60B6D"/>
    <w:rsid w:val="00B6183D"/>
    <w:rsid w:val="00B63B71"/>
    <w:rsid w:val="00B642F5"/>
    <w:rsid w:val="00B67C9B"/>
    <w:rsid w:val="00B753A4"/>
    <w:rsid w:val="00B81D41"/>
    <w:rsid w:val="00B8206B"/>
    <w:rsid w:val="00B82511"/>
    <w:rsid w:val="00B84862"/>
    <w:rsid w:val="00B848DF"/>
    <w:rsid w:val="00B8699F"/>
    <w:rsid w:val="00B87CCB"/>
    <w:rsid w:val="00B87D38"/>
    <w:rsid w:val="00B90E8E"/>
    <w:rsid w:val="00B915CF"/>
    <w:rsid w:val="00B96CBE"/>
    <w:rsid w:val="00B96F56"/>
    <w:rsid w:val="00B97BE0"/>
    <w:rsid w:val="00BA5A8A"/>
    <w:rsid w:val="00BC2C49"/>
    <w:rsid w:val="00BC2D8F"/>
    <w:rsid w:val="00BC6B1D"/>
    <w:rsid w:val="00BD3B5D"/>
    <w:rsid w:val="00BE23C7"/>
    <w:rsid w:val="00BF2127"/>
    <w:rsid w:val="00BF52D7"/>
    <w:rsid w:val="00BF5C27"/>
    <w:rsid w:val="00BF6B7E"/>
    <w:rsid w:val="00C03BC9"/>
    <w:rsid w:val="00C05299"/>
    <w:rsid w:val="00C07900"/>
    <w:rsid w:val="00C10EB1"/>
    <w:rsid w:val="00C116AA"/>
    <w:rsid w:val="00C200C1"/>
    <w:rsid w:val="00C250E9"/>
    <w:rsid w:val="00C255F8"/>
    <w:rsid w:val="00C27E45"/>
    <w:rsid w:val="00C40B5B"/>
    <w:rsid w:val="00C4241F"/>
    <w:rsid w:val="00C452B1"/>
    <w:rsid w:val="00C5471B"/>
    <w:rsid w:val="00C57D97"/>
    <w:rsid w:val="00C61EA2"/>
    <w:rsid w:val="00C638F7"/>
    <w:rsid w:val="00C65F8A"/>
    <w:rsid w:val="00C76D06"/>
    <w:rsid w:val="00C87A62"/>
    <w:rsid w:val="00C87CFD"/>
    <w:rsid w:val="00C911C1"/>
    <w:rsid w:val="00C9321F"/>
    <w:rsid w:val="00C94079"/>
    <w:rsid w:val="00C9765A"/>
    <w:rsid w:val="00CA0A10"/>
    <w:rsid w:val="00CA4284"/>
    <w:rsid w:val="00CA719A"/>
    <w:rsid w:val="00CB33EB"/>
    <w:rsid w:val="00CB3C05"/>
    <w:rsid w:val="00CB3EA0"/>
    <w:rsid w:val="00CB4C6E"/>
    <w:rsid w:val="00CB6E74"/>
    <w:rsid w:val="00CC2827"/>
    <w:rsid w:val="00CC2E4F"/>
    <w:rsid w:val="00CC67EF"/>
    <w:rsid w:val="00CD269D"/>
    <w:rsid w:val="00CD3F77"/>
    <w:rsid w:val="00CD44B9"/>
    <w:rsid w:val="00CD70B6"/>
    <w:rsid w:val="00CE2A9E"/>
    <w:rsid w:val="00CE3D84"/>
    <w:rsid w:val="00CE6C31"/>
    <w:rsid w:val="00CF4BDB"/>
    <w:rsid w:val="00CF5252"/>
    <w:rsid w:val="00D00DE2"/>
    <w:rsid w:val="00D039E8"/>
    <w:rsid w:val="00D07E1B"/>
    <w:rsid w:val="00D13485"/>
    <w:rsid w:val="00D15822"/>
    <w:rsid w:val="00D26B55"/>
    <w:rsid w:val="00D26DD1"/>
    <w:rsid w:val="00D27B73"/>
    <w:rsid w:val="00D30698"/>
    <w:rsid w:val="00D3101E"/>
    <w:rsid w:val="00D441BF"/>
    <w:rsid w:val="00D458EE"/>
    <w:rsid w:val="00D46BAD"/>
    <w:rsid w:val="00D472AD"/>
    <w:rsid w:val="00D55BB7"/>
    <w:rsid w:val="00D56846"/>
    <w:rsid w:val="00D63C7C"/>
    <w:rsid w:val="00D72C47"/>
    <w:rsid w:val="00D85316"/>
    <w:rsid w:val="00D93CBD"/>
    <w:rsid w:val="00D93FEC"/>
    <w:rsid w:val="00D9431C"/>
    <w:rsid w:val="00DB1374"/>
    <w:rsid w:val="00DB1B70"/>
    <w:rsid w:val="00DB2AB5"/>
    <w:rsid w:val="00DB2E64"/>
    <w:rsid w:val="00DB6232"/>
    <w:rsid w:val="00DB6541"/>
    <w:rsid w:val="00DC0D15"/>
    <w:rsid w:val="00DC31F4"/>
    <w:rsid w:val="00DC4030"/>
    <w:rsid w:val="00DC5FE7"/>
    <w:rsid w:val="00DD1D5D"/>
    <w:rsid w:val="00DD239D"/>
    <w:rsid w:val="00DD58DB"/>
    <w:rsid w:val="00DD754C"/>
    <w:rsid w:val="00DE1F84"/>
    <w:rsid w:val="00DE61FB"/>
    <w:rsid w:val="00DF7398"/>
    <w:rsid w:val="00DF7718"/>
    <w:rsid w:val="00E0017B"/>
    <w:rsid w:val="00E038E9"/>
    <w:rsid w:val="00E03D5A"/>
    <w:rsid w:val="00E04FE3"/>
    <w:rsid w:val="00E11259"/>
    <w:rsid w:val="00E13BA7"/>
    <w:rsid w:val="00E14BE2"/>
    <w:rsid w:val="00E15BE6"/>
    <w:rsid w:val="00E16318"/>
    <w:rsid w:val="00E200DF"/>
    <w:rsid w:val="00E31011"/>
    <w:rsid w:val="00E34E83"/>
    <w:rsid w:val="00E44260"/>
    <w:rsid w:val="00E51A64"/>
    <w:rsid w:val="00E604E7"/>
    <w:rsid w:val="00E639D3"/>
    <w:rsid w:val="00E641FD"/>
    <w:rsid w:val="00E65136"/>
    <w:rsid w:val="00E66827"/>
    <w:rsid w:val="00E67FD1"/>
    <w:rsid w:val="00E72114"/>
    <w:rsid w:val="00E72237"/>
    <w:rsid w:val="00E74EDB"/>
    <w:rsid w:val="00E76FD5"/>
    <w:rsid w:val="00E83BDA"/>
    <w:rsid w:val="00E8486C"/>
    <w:rsid w:val="00E84EE8"/>
    <w:rsid w:val="00E8677B"/>
    <w:rsid w:val="00E900BC"/>
    <w:rsid w:val="00E940EC"/>
    <w:rsid w:val="00EA3631"/>
    <w:rsid w:val="00EA54EF"/>
    <w:rsid w:val="00EA78C6"/>
    <w:rsid w:val="00EB158B"/>
    <w:rsid w:val="00EB3E4C"/>
    <w:rsid w:val="00EB45F1"/>
    <w:rsid w:val="00EB5594"/>
    <w:rsid w:val="00ED2452"/>
    <w:rsid w:val="00ED3266"/>
    <w:rsid w:val="00ED443D"/>
    <w:rsid w:val="00EE7E45"/>
    <w:rsid w:val="00EF0766"/>
    <w:rsid w:val="00EF11A1"/>
    <w:rsid w:val="00F00175"/>
    <w:rsid w:val="00F03F4C"/>
    <w:rsid w:val="00F1023D"/>
    <w:rsid w:val="00F16FF7"/>
    <w:rsid w:val="00F24769"/>
    <w:rsid w:val="00F27F78"/>
    <w:rsid w:val="00F300D2"/>
    <w:rsid w:val="00F358BE"/>
    <w:rsid w:val="00F3677B"/>
    <w:rsid w:val="00F432E2"/>
    <w:rsid w:val="00F6014B"/>
    <w:rsid w:val="00F60E9A"/>
    <w:rsid w:val="00F80B46"/>
    <w:rsid w:val="00F81C3F"/>
    <w:rsid w:val="00F864FC"/>
    <w:rsid w:val="00F87C95"/>
    <w:rsid w:val="00F90417"/>
    <w:rsid w:val="00FA10F6"/>
    <w:rsid w:val="00FA33B0"/>
    <w:rsid w:val="00FA403B"/>
    <w:rsid w:val="00FA4B54"/>
    <w:rsid w:val="00FA7CFE"/>
    <w:rsid w:val="00FB2A26"/>
    <w:rsid w:val="00FC18F8"/>
    <w:rsid w:val="00FC25DB"/>
    <w:rsid w:val="00FC6219"/>
    <w:rsid w:val="00FD737B"/>
    <w:rsid w:val="00FE061D"/>
    <w:rsid w:val="00FE1628"/>
    <w:rsid w:val="00FE1694"/>
    <w:rsid w:val="00FE3210"/>
    <w:rsid w:val="00FE53B5"/>
    <w:rsid w:val="00FF13DF"/>
    <w:rsid w:val="00FF1DDD"/>
    <w:rsid w:val="00FF20D9"/>
    <w:rsid w:val="00FF39D2"/>
    <w:rsid w:val="00FF58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F4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73"/>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3F1C73"/>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3F1C73"/>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character" w:customStyle="1" w:styleId="Heading1Char">
    <w:name w:val="Heading 1 Char"/>
    <w:basedOn w:val="DefaultParagraphFont"/>
    <w:link w:val="Heading1"/>
    <w:rsid w:val="003F1C73"/>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3F1C73"/>
    <w:rPr>
      <w:rFonts w:ascii="Times New Roman" w:eastAsia="Times New Roman" w:hAnsi="Times New Roman" w:cs="Times New Roman"/>
      <w:b/>
      <w:sz w:val="28"/>
      <w:szCs w:val="20"/>
      <w:u w:val="single"/>
      <w:lang w:eastAsia="en-AU"/>
    </w:rPr>
  </w:style>
  <w:style w:type="paragraph" w:customStyle="1" w:styleId="Bullet">
    <w:name w:val="Bullet"/>
    <w:basedOn w:val="Normal"/>
    <w:link w:val="BulletChar"/>
    <w:rsid w:val="003F1C73"/>
    <w:pPr>
      <w:numPr>
        <w:numId w:val="1"/>
      </w:numPr>
      <w:spacing w:before="240"/>
    </w:pPr>
    <w:rPr>
      <w:szCs w:val="23"/>
    </w:rPr>
  </w:style>
  <w:style w:type="character" w:customStyle="1" w:styleId="BulletChar">
    <w:name w:val="Bullet Char"/>
    <w:basedOn w:val="DefaultParagraphFont"/>
    <w:link w:val="Bullet"/>
    <w:rsid w:val="003F1C73"/>
    <w:rPr>
      <w:rFonts w:ascii="Times New Roman" w:eastAsia="Times New Roman" w:hAnsi="Times New Roman" w:cs="Times New Roman"/>
      <w:sz w:val="24"/>
      <w:szCs w:val="23"/>
      <w:lang w:eastAsia="en-AU"/>
    </w:rPr>
  </w:style>
  <w:style w:type="paragraph" w:customStyle="1" w:styleId="Dash">
    <w:name w:val="Dash"/>
    <w:basedOn w:val="Normal"/>
    <w:rsid w:val="003F1C73"/>
    <w:pPr>
      <w:numPr>
        <w:ilvl w:val="1"/>
        <w:numId w:val="1"/>
      </w:numPr>
      <w:spacing w:before="240"/>
    </w:pPr>
    <w:rPr>
      <w:szCs w:val="23"/>
    </w:rPr>
  </w:style>
  <w:style w:type="paragraph" w:customStyle="1" w:styleId="DoubleDot">
    <w:name w:val="Double Dot"/>
    <w:basedOn w:val="Normal"/>
    <w:rsid w:val="003F1C73"/>
    <w:pPr>
      <w:numPr>
        <w:ilvl w:val="2"/>
        <w:numId w:val="1"/>
      </w:numPr>
      <w:spacing w:before="240"/>
    </w:pPr>
    <w:rPr>
      <w:szCs w:val="23"/>
    </w:rPr>
  </w:style>
  <w:style w:type="paragraph" w:styleId="Footer">
    <w:name w:val="footer"/>
    <w:basedOn w:val="Normal"/>
    <w:link w:val="FooterChar"/>
    <w:uiPriority w:val="99"/>
    <w:unhideWhenUsed/>
    <w:rsid w:val="003F1C73"/>
    <w:pPr>
      <w:tabs>
        <w:tab w:val="center" w:pos="4513"/>
        <w:tab w:val="right" w:pos="9026"/>
      </w:tabs>
      <w:spacing w:before="0" w:after="0"/>
    </w:pPr>
  </w:style>
  <w:style w:type="character" w:customStyle="1" w:styleId="FooterChar">
    <w:name w:val="Footer Char"/>
    <w:basedOn w:val="DefaultParagraphFont"/>
    <w:link w:val="Footer"/>
    <w:uiPriority w:val="99"/>
    <w:rsid w:val="003F1C73"/>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D039E8"/>
    <w:pPr>
      <w:tabs>
        <w:tab w:val="center" w:pos="4513"/>
        <w:tab w:val="right" w:pos="9026"/>
      </w:tabs>
      <w:spacing w:before="0" w:after="0"/>
    </w:pPr>
  </w:style>
  <w:style w:type="character" w:customStyle="1" w:styleId="HeaderChar">
    <w:name w:val="Header Char"/>
    <w:basedOn w:val="DefaultParagraphFont"/>
    <w:link w:val="Header"/>
    <w:uiPriority w:val="99"/>
    <w:rsid w:val="00D039E8"/>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E1125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59"/>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5A21CB"/>
    <w:rPr>
      <w:sz w:val="16"/>
      <w:szCs w:val="16"/>
    </w:rPr>
  </w:style>
  <w:style w:type="paragraph" w:styleId="CommentText">
    <w:name w:val="annotation text"/>
    <w:basedOn w:val="Normal"/>
    <w:link w:val="CommentTextChar"/>
    <w:uiPriority w:val="99"/>
    <w:semiHidden/>
    <w:unhideWhenUsed/>
    <w:rsid w:val="005A21CB"/>
    <w:rPr>
      <w:sz w:val="20"/>
    </w:rPr>
  </w:style>
  <w:style w:type="character" w:customStyle="1" w:styleId="CommentTextChar">
    <w:name w:val="Comment Text Char"/>
    <w:basedOn w:val="DefaultParagraphFont"/>
    <w:link w:val="CommentText"/>
    <w:uiPriority w:val="99"/>
    <w:semiHidden/>
    <w:rsid w:val="005A21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A21CB"/>
    <w:rPr>
      <w:b/>
      <w:bCs/>
    </w:rPr>
  </w:style>
  <w:style w:type="character" w:customStyle="1" w:styleId="CommentSubjectChar">
    <w:name w:val="Comment Subject Char"/>
    <w:basedOn w:val="CommentTextChar"/>
    <w:link w:val="CommentSubject"/>
    <w:uiPriority w:val="99"/>
    <w:semiHidden/>
    <w:rsid w:val="005A21CB"/>
    <w:rPr>
      <w:rFonts w:ascii="Times New Roman" w:eastAsia="Times New Roman" w:hAnsi="Times New Roman" w:cs="Times New Roman"/>
      <w:b/>
      <w:bCs/>
      <w:sz w:val="20"/>
      <w:szCs w:val="20"/>
      <w:lang w:eastAsia="en-AU"/>
    </w:rPr>
  </w:style>
  <w:style w:type="paragraph" w:styleId="EndnoteText">
    <w:name w:val="endnote text"/>
    <w:basedOn w:val="Normal"/>
    <w:link w:val="EndnoteTextChar"/>
    <w:uiPriority w:val="99"/>
    <w:semiHidden/>
    <w:unhideWhenUsed/>
    <w:rsid w:val="005A21CB"/>
    <w:pPr>
      <w:spacing w:before="0" w:after="0"/>
    </w:pPr>
    <w:rPr>
      <w:sz w:val="20"/>
    </w:rPr>
  </w:style>
  <w:style w:type="character" w:customStyle="1" w:styleId="EndnoteTextChar">
    <w:name w:val="Endnote Text Char"/>
    <w:basedOn w:val="DefaultParagraphFont"/>
    <w:link w:val="EndnoteText"/>
    <w:uiPriority w:val="99"/>
    <w:semiHidden/>
    <w:rsid w:val="005A21CB"/>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5A21CB"/>
    <w:rPr>
      <w:vertAlign w:val="superscript"/>
    </w:rPr>
  </w:style>
  <w:style w:type="paragraph" w:styleId="ListParagraph">
    <w:name w:val="List Paragraph"/>
    <w:basedOn w:val="Normal"/>
    <w:uiPriority w:val="34"/>
    <w:qFormat/>
    <w:rsid w:val="00B753A4"/>
    <w:pPr>
      <w:spacing w:before="0" w:after="160" w:line="259" w:lineRule="auto"/>
      <w:ind w:left="720"/>
      <w:contextualSpacing/>
    </w:pPr>
    <w:rPr>
      <w:rFonts w:ascii="Calibri" w:eastAsia="Calibri" w:hAnsi="Calibri"/>
      <w:sz w:val="22"/>
      <w:szCs w:val="22"/>
      <w:lang w:eastAsia="en-US"/>
    </w:rPr>
  </w:style>
  <w:style w:type="paragraph" w:customStyle="1" w:styleId="Dotpoint1">
    <w:name w:val="Dot point 1"/>
    <w:basedOn w:val="Normal"/>
    <w:link w:val="Dotpoint1Char"/>
    <w:uiPriority w:val="1"/>
    <w:qFormat/>
    <w:rsid w:val="00171354"/>
    <w:pPr>
      <w:ind w:left="1418" w:hanging="709"/>
    </w:pPr>
    <w:rPr>
      <w:rFonts w:eastAsiaTheme="minorHAnsi" w:cstheme="minorBidi"/>
      <w:sz w:val="22"/>
      <w:szCs w:val="22"/>
      <w:lang w:eastAsia="en-US"/>
    </w:rPr>
  </w:style>
  <w:style w:type="character" w:customStyle="1" w:styleId="Dotpoint1Char">
    <w:name w:val="Dot point 1 Char"/>
    <w:basedOn w:val="DefaultParagraphFont"/>
    <w:link w:val="Dotpoint1"/>
    <w:uiPriority w:val="1"/>
    <w:rsid w:val="00171354"/>
    <w:rPr>
      <w:rFonts w:ascii="Times New Roman" w:hAnsi="Times New Roman"/>
    </w:rPr>
  </w:style>
  <w:style w:type="paragraph" w:styleId="Revision">
    <w:name w:val="Revision"/>
    <w:hidden/>
    <w:uiPriority w:val="99"/>
    <w:semiHidden/>
    <w:rsid w:val="00E03D5A"/>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semiHidden/>
    <w:unhideWhenUsed/>
    <w:rsid w:val="00DF7398"/>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D46BAD"/>
    <w:pPr>
      <w:spacing w:before="0" w:after="0"/>
    </w:pPr>
    <w:rPr>
      <w:sz w:val="20"/>
    </w:rPr>
  </w:style>
  <w:style w:type="character" w:customStyle="1" w:styleId="FootnoteTextChar">
    <w:name w:val="Footnote Text Char"/>
    <w:basedOn w:val="DefaultParagraphFont"/>
    <w:link w:val="FootnoteText"/>
    <w:uiPriority w:val="99"/>
    <w:semiHidden/>
    <w:rsid w:val="00D46B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46BAD"/>
    <w:rPr>
      <w:vertAlign w:val="superscript"/>
    </w:rPr>
  </w:style>
  <w:style w:type="character" w:styleId="Hyperlink">
    <w:name w:val="Hyperlink"/>
    <w:basedOn w:val="DefaultParagraphFont"/>
    <w:uiPriority w:val="99"/>
    <w:unhideWhenUsed/>
    <w:rsid w:val="00A9547F"/>
    <w:rPr>
      <w:color w:val="0000FF" w:themeColor="hyperlink"/>
      <w:u w:val="single"/>
    </w:rPr>
  </w:style>
  <w:style w:type="character" w:styleId="UnresolvedMention">
    <w:name w:val="Unresolved Mention"/>
    <w:basedOn w:val="DefaultParagraphFont"/>
    <w:uiPriority w:val="99"/>
    <w:semiHidden/>
    <w:unhideWhenUsed/>
    <w:rsid w:val="00A9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659">
      <w:bodyDiv w:val="1"/>
      <w:marLeft w:val="0"/>
      <w:marRight w:val="0"/>
      <w:marTop w:val="0"/>
      <w:marBottom w:val="0"/>
      <w:divBdr>
        <w:top w:val="none" w:sz="0" w:space="0" w:color="auto"/>
        <w:left w:val="none" w:sz="0" w:space="0" w:color="auto"/>
        <w:bottom w:val="none" w:sz="0" w:space="0" w:color="auto"/>
        <w:right w:val="none" w:sz="0" w:space="0" w:color="auto"/>
      </w:divBdr>
    </w:div>
    <w:div w:id="261500152">
      <w:bodyDiv w:val="1"/>
      <w:marLeft w:val="0"/>
      <w:marRight w:val="0"/>
      <w:marTop w:val="0"/>
      <w:marBottom w:val="0"/>
      <w:divBdr>
        <w:top w:val="none" w:sz="0" w:space="0" w:color="auto"/>
        <w:left w:val="none" w:sz="0" w:space="0" w:color="auto"/>
        <w:bottom w:val="none" w:sz="0" w:space="0" w:color="auto"/>
        <w:right w:val="none" w:sz="0" w:space="0" w:color="auto"/>
      </w:divBdr>
    </w:div>
    <w:div w:id="684985920">
      <w:bodyDiv w:val="1"/>
      <w:marLeft w:val="0"/>
      <w:marRight w:val="0"/>
      <w:marTop w:val="0"/>
      <w:marBottom w:val="0"/>
      <w:divBdr>
        <w:top w:val="none" w:sz="0" w:space="0" w:color="auto"/>
        <w:left w:val="none" w:sz="0" w:space="0" w:color="auto"/>
        <w:bottom w:val="none" w:sz="0" w:space="0" w:color="auto"/>
        <w:right w:val="none" w:sz="0" w:space="0" w:color="auto"/>
      </w:divBdr>
    </w:div>
    <w:div w:id="9025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bpr.pmc.gov.au/published-impact-analyses-and-reports/ticket-reselling-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9D01F70AC4B9793C499743AE18E14"/>
        <w:category>
          <w:name w:val="General"/>
          <w:gallery w:val="placeholder"/>
        </w:category>
        <w:types>
          <w:type w:val="bbPlcHdr"/>
        </w:types>
        <w:behaviors>
          <w:behavior w:val="content"/>
        </w:behaviors>
        <w:guid w:val="{32CFD934-5147-4C07-82B0-1B3243064C1A}"/>
      </w:docPartPr>
      <w:docPartBody>
        <w:p w:rsidR="006B359A" w:rsidRDefault="00154A51" w:rsidP="00154A51">
          <w:pPr>
            <w:pStyle w:val="A419D01F70AC4B9793C499743AE18E14"/>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51"/>
    <w:rsid w:val="000B045F"/>
    <w:rsid w:val="00154A51"/>
    <w:rsid w:val="003014F6"/>
    <w:rsid w:val="00436226"/>
    <w:rsid w:val="0044191E"/>
    <w:rsid w:val="006B359A"/>
    <w:rsid w:val="006C4435"/>
    <w:rsid w:val="00937098"/>
    <w:rsid w:val="00E012BC"/>
    <w:rsid w:val="00E3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A51"/>
    <w:rPr>
      <w:color w:val="808080"/>
    </w:rPr>
  </w:style>
  <w:style w:type="paragraph" w:customStyle="1" w:styleId="A419D01F70AC4B9793C499743AE18E14">
    <w:name w:val="A419D01F70AC4B9793C499743AE18E14"/>
    <w:rsid w:val="00154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8F3C-7BD3-434E-8EB6-54749DE0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2022-03-31T02:51:00Z</dcterms:created>
  <dcterms:modified xsi:type="dcterms:W3CDTF">2022-03-31T02:51:00Z</dcterms:modified>
</cp:coreProperties>
</file>