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6373F" w14:textId="2A056E33" w:rsidR="00F109D4" w:rsidRPr="00572CAD" w:rsidRDefault="00F109D4" w:rsidP="00647BB7">
      <w:pPr>
        <w:pStyle w:val="Heading1"/>
        <w:spacing w:after="360"/>
        <w:rPr>
          <w:rFonts w:ascii="Times New Roman" w:hAnsi="Times New Roman"/>
          <w:sz w:val="24"/>
          <w:szCs w:val="24"/>
        </w:rPr>
      </w:pPr>
      <w:r w:rsidRPr="00572CAD">
        <w:rPr>
          <w:rFonts w:ascii="Times New Roman" w:hAnsi="Times New Roman"/>
          <w:sz w:val="24"/>
          <w:szCs w:val="24"/>
        </w:rPr>
        <w:t>EXPLANATORY STATEMENT</w:t>
      </w:r>
    </w:p>
    <w:p w14:paraId="77123610" w14:textId="0E0B17E6" w:rsidR="007662C7" w:rsidRPr="00572CAD" w:rsidRDefault="00F109D4" w:rsidP="003E1CE3">
      <w:pPr>
        <w:pStyle w:val="Heading2"/>
        <w:jc w:val="center"/>
        <w:rPr>
          <w:sz w:val="24"/>
          <w:szCs w:val="24"/>
        </w:rPr>
      </w:pPr>
      <w:r w:rsidRPr="00572CAD">
        <w:rPr>
          <w:sz w:val="24"/>
          <w:szCs w:val="24"/>
        </w:rPr>
        <w:t>Issued by authority of the</w:t>
      </w:r>
      <w:r w:rsidR="00076178" w:rsidRPr="00572CAD">
        <w:rPr>
          <w:sz w:val="24"/>
          <w:szCs w:val="24"/>
        </w:rPr>
        <w:t xml:space="preserve"> </w:t>
      </w:r>
      <w:sdt>
        <w:sdtPr>
          <w:rPr>
            <w:sz w:val="24"/>
            <w:szCs w:val="24"/>
          </w:rPr>
          <w:id w:val="435951383"/>
          <w:placeholder>
            <w:docPart w:val="D387D1C52A3343DFB6A0E955A5DDF2BF"/>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D65AAA" w:rsidRPr="00572CAD">
            <w:rPr>
              <w:sz w:val="24"/>
              <w:szCs w:val="24"/>
            </w:rPr>
            <w:t>Assistant Treasurer, Minister for Housing and Minister for Homelessness, Social and Community Housing</w:t>
          </w:r>
        </w:sdtContent>
      </w:sdt>
    </w:p>
    <w:p w14:paraId="10B0FD46" w14:textId="1643E808" w:rsidR="00F109D4" w:rsidRPr="00572CAD" w:rsidRDefault="005E61B0" w:rsidP="003C7907">
      <w:pPr>
        <w:spacing w:before="240" w:after="240"/>
        <w:jc w:val="center"/>
        <w:rPr>
          <w:i/>
        </w:rPr>
      </w:pPr>
      <w:r w:rsidRPr="00572CAD">
        <w:rPr>
          <w:i/>
        </w:rPr>
        <w:t>Corporations</w:t>
      </w:r>
      <w:r w:rsidR="00403BF2" w:rsidRPr="00572CAD">
        <w:rPr>
          <w:i/>
        </w:rPr>
        <w:t xml:space="preserve"> (Fees)</w:t>
      </w:r>
      <w:r w:rsidRPr="00572CAD">
        <w:rPr>
          <w:i/>
        </w:rPr>
        <w:t xml:space="preserve"> Act 2001</w:t>
      </w:r>
    </w:p>
    <w:p w14:paraId="650134F5" w14:textId="6A0B4C69" w:rsidR="005E1F73" w:rsidRPr="00572CAD" w:rsidRDefault="00403BF2" w:rsidP="00403BF2">
      <w:pPr>
        <w:spacing w:before="240"/>
        <w:jc w:val="center"/>
        <w:rPr>
          <w:i/>
        </w:rPr>
      </w:pPr>
      <w:r w:rsidRPr="00572CAD">
        <w:rPr>
          <w:i/>
        </w:rPr>
        <w:t>Corporations (Fees) Amendment (Corporate Collective Investment Vehicle Framework) Regulations 2022</w:t>
      </w:r>
    </w:p>
    <w:p w14:paraId="49705152" w14:textId="4DBB750B" w:rsidR="00403BF2" w:rsidRPr="00572CAD" w:rsidRDefault="00403BF2" w:rsidP="00647BB7">
      <w:pPr>
        <w:spacing w:before="240"/>
      </w:pPr>
      <w:r w:rsidRPr="00572CAD">
        <w:t xml:space="preserve">The </w:t>
      </w:r>
      <w:r w:rsidRPr="00572CAD">
        <w:rPr>
          <w:i/>
          <w:iCs/>
        </w:rPr>
        <w:t>Corporations (Fees) Act 2001</w:t>
      </w:r>
      <w:r w:rsidRPr="00572CAD">
        <w:t xml:space="preserve"> (Fees Act) provides that various actions required or permitted under the </w:t>
      </w:r>
      <w:r w:rsidRPr="00572CAD">
        <w:rPr>
          <w:i/>
          <w:iCs/>
        </w:rPr>
        <w:t>Corporations Act 2001</w:t>
      </w:r>
      <w:r w:rsidRPr="00572CAD">
        <w:t xml:space="preserve"> (Corporations Act) are chargeable matters, meaning they may attract a fee. Chargeable matters include</w:t>
      </w:r>
      <w:r w:rsidR="002F196D" w:rsidRPr="00572CAD">
        <w:t xml:space="preserve"> </w:t>
      </w:r>
      <w:r w:rsidR="006604E5" w:rsidRPr="00572CAD">
        <w:t xml:space="preserve">the </w:t>
      </w:r>
      <w:r w:rsidRPr="00572CAD">
        <w:t xml:space="preserve">lodgement or registration of documents </w:t>
      </w:r>
      <w:r w:rsidR="006604E5" w:rsidRPr="00572CAD">
        <w:t xml:space="preserve">under the Corporations Act </w:t>
      </w:r>
      <w:r w:rsidRPr="00572CAD">
        <w:t>and the issue of a licence, consent or approval</w:t>
      </w:r>
      <w:r w:rsidR="006604E5" w:rsidRPr="00572CAD">
        <w:t xml:space="preserve"> under the Corporations Act</w:t>
      </w:r>
      <w:r w:rsidRPr="00572CAD">
        <w:t xml:space="preserve">. </w:t>
      </w:r>
    </w:p>
    <w:p w14:paraId="6F054DB9" w14:textId="3CD3D382" w:rsidR="00F109D4" w:rsidRPr="00572CAD" w:rsidRDefault="00403BF2" w:rsidP="00647BB7">
      <w:pPr>
        <w:spacing w:before="240"/>
      </w:pPr>
      <w:r w:rsidRPr="00572CAD">
        <w:t>Section 8 of the Fees Act empowers the Governor-General to make regulations prescribing fees for chargeable matters</w:t>
      </w:r>
      <w:r w:rsidR="00B9219C" w:rsidRPr="00572CAD">
        <w:t>. S</w:t>
      </w:r>
      <w:r w:rsidR="00A73715" w:rsidRPr="00572CAD">
        <w:t>ubs</w:t>
      </w:r>
      <w:r w:rsidR="00B9219C" w:rsidRPr="00572CAD">
        <w:t xml:space="preserve">ection 6(1) of the Fees Act provides that </w:t>
      </w:r>
      <w:r w:rsidR="002531D4" w:rsidRPr="00572CAD">
        <w:t>a</w:t>
      </w:r>
      <w:r w:rsidR="00B9219C" w:rsidRPr="00572CAD">
        <w:t xml:space="preserve"> fee may be either a specified</w:t>
      </w:r>
      <w:r w:rsidR="002F196D" w:rsidRPr="00572CAD">
        <w:t xml:space="preserve"> amount</w:t>
      </w:r>
      <w:r w:rsidR="00A80F69" w:rsidRPr="00572CAD">
        <w:t xml:space="preserve">, </w:t>
      </w:r>
      <w:r w:rsidR="002F196D" w:rsidRPr="00572CAD">
        <w:t>not exceeding $200,000</w:t>
      </w:r>
      <w:r w:rsidR="00A80F69" w:rsidRPr="00572CAD">
        <w:t>,</w:t>
      </w:r>
      <w:r w:rsidR="002F196D" w:rsidRPr="00572CAD">
        <w:t xml:space="preserve"> or a specified method for calculating an amount. </w:t>
      </w:r>
    </w:p>
    <w:p w14:paraId="0D3E780F" w14:textId="756757A1" w:rsidR="00B9219C" w:rsidRPr="00572CAD" w:rsidRDefault="005E61B0" w:rsidP="004951A4">
      <w:pPr>
        <w:spacing w:before="240"/>
      </w:pPr>
      <w:r w:rsidRPr="00572CAD">
        <w:t xml:space="preserve">The purpose of the </w:t>
      </w:r>
      <w:r w:rsidR="005E1F73" w:rsidRPr="00572CAD">
        <w:rPr>
          <w:i/>
          <w:iCs/>
        </w:rPr>
        <w:t xml:space="preserve">Corporations </w:t>
      </w:r>
      <w:r w:rsidR="00A73715" w:rsidRPr="00572CAD">
        <w:rPr>
          <w:i/>
          <w:iCs/>
        </w:rPr>
        <w:t xml:space="preserve">(Fees) </w:t>
      </w:r>
      <w:r w:rsidR="005E1F73" w:rsidRPr="00572CAD">
        <w:rPr>
          <w:i/>
          <w:iCs/>
        </w:rPr>
        <w:t>and Other Legislation Amendment (Corporate Collective Investment Vehicle Framework) Regulations 202</w:t>
      </w:r>
      <w:r w:rsidR="00DB45C8" w:rsidRPr="00572CAD">
        <w:rPr>
          <w:i/>
          <w:iCs/>
        </w:rPr>
        <w:t>2</w:t>
      </w:r>
      <w:r w:rsidR="005E1F73" w:rsidRPr="00572CAD">
        <w:t xml:space="preserve"> </w:t>
      </w:r>
      <w:r w:rsidRPr="00572CAD">
        <w:t xml:space="preserve">(the Regulations) is </w:t>
      </w:r>
      <w:r w:rsidR="00C00EB5" w:rsidRPr="00572CAD">
        <w:t xml:space="preserve">to </w:t>
      </w:r>
      <w:r w:rsidR="00B9219C" w:rsidRPr="00572CAD">
        <w:t xml:space="preserve">support the operation of the </w:t>
      </w:r>
      <w:r w:rsidR="00275741" w:rsidRPr="00572CAD">
        <w:rPr>
          <w:i/>
          <w:iCs/>
        </w:rPr>
        <w:t>Corporate Collective Investment Vehicle Framework and Other Measures Act 2022</w:t>
      </w:r>
      <w:r w:rsidR="00275741" w:rsidRPr="00572CAD">
        <w:t xml:space="preserve"> (CCIV Act)</w:t>
      </w:r>
      <w:r w:rsidR="00B9219C" w:rsidRPr="00572CAD">
        <w:t xml:space="preserve">. The CCIV Act </w:t>
      </w:r>
      <w:r w:rsidR="00275741" w:rsidRPr="00572CAD">
        <w:t xml:space="preserve">inserts new Chapter 8B into the Corporations Act and makes other related amendments to establish a </w:t>
      </w:r>
      <w:r w:rsidR="00B9219C" w:rsidRPr="00572CAD">
        <w:t>corporate collective investment vehicle (CCIV)</w:t>
      </w:r>
      <w:r w:rsidR="00275741" w:rsidRPr="00572CAD">
        <w:t xml:space="preserve"> as a new type of company limited by shares and used for funds management</w:t>
      </w:r>
      <w:r w:rsidR="00B9219C" w:rsidRPr="00572CAD">
        <w:t>.</w:t>
      </w:r>
      <w:r w:rsidR="00275741" w:rsidRPr="00572CAD">
        <w:t xml:space="preserve"> </w:t>
      </w:r>
      <w:r w:rsidR="008D34FA" w:rsidRPr="00572CAD">
        <w:t xml:space="preserve">Establishing CCIVs in Australia is intended to increase the competitiveness of Australia’s managed funds industry by providing an internationally recognisable corporate vehicle as an alternative to a trust-based managed investment scheme (MIS). </w:t>
      </w:r>
      <w:r w:rsidR="00275741" w:rsidRPr="00572CAD">
        <w:t>The regulatory framework established by the CCIV Act</w:t>
      </w:r>
      <w:r w:rsidR="008D34FA" w:rsidRPr="00572CAD">
        <w:t xml:space="preserve"> aims to provide regulatory parity, as far as is practicable, between a CCIV and a MIS.</w:t>
      </w:r>
    </w:p>
    <w:p w14:paraId="3B0B9B09" w14:textId="3A0BA722" w:rsidR="00403BF2" w:rsidRPr="00572CAD" w:rsidRDefault="00B9219C" w:rsidP="004951A4">
      <w:pPr>
        <w:spacing w:before="240"/>
      </w:pPr>
      <w:r w:rsidRPr="00572CAD">
        <w:t xml:space="preserve">The Regulations </w:t>
      </w:r>
      <w:r w:rsidR="003F440B" w:rsidRPr="00572CAD">
        <w:t xml:space="preserve">amend the </w:t>
      </w:r>
      <w:r w:rsidR="003F440B" w:rsidRPr="00572CAD">
        <w:rPr>
          <w:i/>
          <w:iCs/>
        </w:rPr>
        <w:t>Corporations (Fees) Regulations 2001</w:t>
      </w:r>
      <w:r w:rsidR="003F440B" w:rsidRPr="00572CAD">
        <w:t xml:space="preserve"> (the Fees Regulations) to</w:t>
      </w:r>
      <w:r w:rsidR="002531D4" w:rsidRPr="00572CAD">
        <w:t xml:space="preserve"> ensure that existing fees apply appropriately to CCIVs</w:t>
      </w:r>
      <w:r w:rsidR="003F440B" w:rsidRPr="00572CAD">
        <w:t xml:space="preserve"> </w:t>
      </w:r>
      <w:r w:rsidR="002531D4" w:rsidRPr="00572CAD">
        <w:t xml:space="preserve">and to </w:t>
      </w:r>
      <w:r w:rsidR="004951A4" w:rsidRPr="00572CAD">
        <w:t xml:space="preserve">prescribe </w:t>
      </w:r>
      <w:r w:rsidR="002531D4" w:rsidRPr="00572CAD">
        <w:t>new fees for chargeable matters under Chapter 8B of the Corporations Act.</w:t>
      </w:r>
    </w:p>
    <w:p w14:paraId="079094EE" w14:textId="09B02F18" w:rsidR="00C00EB5" w:rsidRPr="00572CAD" w:rsidRDefault="00C00EB5" w:rsidP="00C00EB5">
      <w:pPr>
        <w:spacing w:before="240"/>
      </w:pPr>
      <w:r w:rsidRPr="00572CAD">
        <w:t xml:space="preserve">In </w:t>
      </w:r>
      <w:r w:rsidR="00702EE2" w:rsidRPr="00572CAD">
        <w:t>some</w:t>
      </w:r>
      <w:r w:rsidRPr="00572CAD">
        <w:t xml:space="preserve"> cases, chargeable matters in relation to a CCIV are already provided for in the Fees Regulations. For example, because a CCIV is a company, an application to register a CCIV will attract the specified fee for an application to register a company under the Corporations Act. </w:t>
      </w:r>
      <w:r w:rsidR="00702EE2" w:rsidRPr="00572CAD">
        <w:t>Other</w:t>
      </w:r>
      <w:r w:rsidRPr="00572CAD">
        <w:t xml:space="preserve"> fee items require amendment to</w:t>
      </w:r>
      <w:r w:rsidR="0051607E" w:rsidRPr="00572CAD">
        <w:t xml:space="preserve"> </w:t>
      </w:r>
      <w:r w:rsidR="0088103F" w:rsidRPr="00572CAD">
        <w:t>ensure th</w:t>
      </w:r>
      <w:r w:rsidR="000A277C" w:rsidRPr="00572CAD">
        <w:t>at existing fees for chargeable matters</w:t>
      </w:r>
      <w:r w:rsidR="0038440F" w:rsidRPr="00572CAD">
        <w:t xml:space="preserve"> </w:t>
      </w:r>
      <w:r w:rsidR="004D370B" w:rsidRPr="00572CAD">
        <w:t>appl</w:t>
      </w:r>
      <w:r w:rsidR="0088103F" w:rsidRPr="00572CAD">
        <w:t>y</w:t>
      </w:r>
      <w:r w:rsidR="004D370B" w:rsidRPr="00572CAD">
        <w:t xml:space="preserve"> </w:t>
      </w:r>
      <w:r w:rsidR="0088103F" w:rsidRPr="00572CAD">
        <w:t>appropriately in relation to</w:t>
      </w:r>
      <w:r w:rsidR="004D370B" w:rsidRPr="00572CAD">
        <w:t xml:space="preserve"> CCIVs</w:t>
      </w:r>
      <w:r w:rsidRPr="00572CAD">
        <w:t xml:space="preserve">. In addition, </w:t>
      </w:r>
      <w:r w:rsidR="008D34FA" w:rsidRPr="00572CAD">
        <w:t xml:space="preserve">the Regulations prescribe fees for </w:t>
      </w:r>
      <w:r w:rsidRPr="00572CAD">
        <w:t>new chargeable matters under Chapter 8B</w:t>
      </w:r>
      <w:r w:rsidR="008D34FA" w:rsidRPr="00572CAD">
        <w:t>, such as lodgement of a notice that</w:t>
      </w:r>
      <w:r w:rsidR="00603360" w:rsidRPr="00572CAD">
        <w:t xml:space="preserve"> a</w:t>
      </w:r>
      <w:r w:rsidR="008D34FA" w:rsidRPr="00572CAD">
        <w:t xml:space="preserve"> CCIV intends to change its status from wholesale to retail (or vice versa).</w:t>
      </w:r>
    </w:p>
    <w:p w14:paraId="4B52EAEE" w14:textId="366133F5" w:rsidR="004951A4" w:rsidRPr="00572CAD" w:rsidRDefault="00A80F69" w:rsidP="00C00EB5">
      <w:pPr>
        <w:spacing w:before="240"/>
      </w:pPr>
      <w:r w:rsidRPr="00572CAD">
        <w:t xml:space="preserve">The </w:t>
      </w:r>
      <w:r w:rsidR="00F9299C" w:rsidRPr="00572CAD">
        <w:t xml:space="preserve">new and amended </w:t>
      </w:r>
      <w:r w:rsidRPr="00572CAD">
        <w:t>fees prescribed by the Regulations range in value from $83 to $</w:t>
      </w:r>
      <w:r w:rsidR="00F9299C" w:rsidRPr="00572CAD">
        <w:t xml:space="preserve">8,862.72. All fees are below </w:t>
      </w:r>
      <w:r w:rsidRPr="00572CAD">
        <w:t xml:space="preserve">the $200,000 </w:t>
      </w:r>
      <w:r w:rsidR="001A2403" w:rsidRPr="00572CAD">
        <w:t>limit</w:t>
      </w:r>
      <w:r w:rsidRPr="00572CAD">
        <w:t xml:space="preserve"> imposed by </w:t>
      </w:r>
      <w:r w:rsidR="00A73715" w:rsidRPr="00572CAD">
        <w:t xml:space="preserve">paragraph </w:t>
      </w:r>
      <w:r w:rsidRPr="00572CAD">
        <w:t xml:space="preserve">6(1)(a) of the Fees Act. </w:t>
      </w:r>
      <w:r w:rsidR="00C73A3F" w:rsidRPr="00572CAD">
        <w:t>S</w:t>
      </w:r>
      <w:r w:rsidR="00B667ED" w:rsidRPr="00572CAD">
        <w:t>ome new</w:t>
      </w:r>
      <w:r w:rsidR="001366C4" w:rsidRPr="00572CAD">
        <w:t xml:space="preserve"> fee items specify that there is no fee</w:t>
      </w:r>
      <w:r w:rsidR="002531D4" w:rsidRPr="00572CAD">
        <w:t xml:space="preserve"> applicable</w:t>
      </w:r>
      <w:r w:rsidR="006E4457" w:rsidRPr="00572CAD">
        <w:t xml:space="preserve"> </w:t>
      </w:r>
      <w:r w:rsidR="00EA1D27" w:rsidRPr="00572CAD">
        <w:t>to a chargeable matter</w:t>
      </w:r>
      <w:r w:rsidR="00FA46DF" w:rsidRPr="00572CAD">
        <w:t xml:space="preserve"> under the Corporations Act</w:t>
      </w:r>
      <w:r w:rsidR="001366C4" w:rsidRPr="00572CAD">
        <w:t>.</w:t>
      </w:r>
      <w:r w:rsidR="00996118" w:rsidRPr="00572CAD">
        <w:t xml:space="preserve"> </w:t>
      </w:r>
      <w:r w:rsidR="00C73A3F" w:rsidRPr="00572CAD">
        <w:t xml:space="preserve">This is because </w:t>
      </w:r>
      <w:r w:rsidR="00FA46DF" w:rsidRPr="00572CAD">
        <w:t xml:space="preserve">a </w:t>
      </w:r>
      <w:r w:rsidR="00996118" w:rsidRPr="00572CAD">
        <w:t xml:space="preserve">default </w:t>
      </w:r>
      <w:r w:rsidR="00FA46DF" w:rsidRPr="00572CAD">
        <w:t xml:space="preserve">fee </w:t>
      </w:r>
      <w:r w:rsidR="00235201" w:rsidRPr="00572CAD">
        <w:t>applies to</w:t>
      </w:r>
      <w:r w:rsidR="00EA1D27" w:rsidRPr="00572CAD">
        <w:t xml:space="preserve"> applications under the Corporations Act unless otherwise specified.</w:t>
      </w:r>
      <w:r w:rsidR="00996118" w:rsidRPr="00572CAD">
        <w:t xml:space="preserve"> </w:t>
      </w:r>
      <w:r w:rsidR="00EA1D27" w:rsidRPr="00572CAD">
        <w:t xml:space="preserve">Where a new </w:t>
      </w:r>
      <w:r w:rsidR="00EA1D27" w:rsidRPr="00572CAD">
        <w:lastRenderedPageBreak/>
        <w:t>chargeable matter is equivalent to an existing chargeable matter in relation to a MIS, the prescribed fee is the same amount</w:t>
      </w:r>
      <w:r w:rsidR="00E32C0C" w:rsidRPr="00572CAD">
        <w:t xml:space="preserve"> for both </w:t>
      </w:r>
      <w:r w:rsidR="00221CEF" w:rsidRPr="00572CAD">
        <w:t xml:space="preserve">chargeable </w:t>
      </w:r>
      <w:r w:rsidR="00E32C0C" w:rsidRPr="00572CAD">
        <w:t>matters</w:t>
      </w:r>
      <w:r w:rsidR="00EA1D27" w:rsidRPr="00572CAD">
        <w:t xml:space="preserve">, </w:t>
      </w:r>
      <w:r w:rsidR="00996118" w:rsidRPr="00572CAD">
        <w:t>including where there is no fee</w:t>
      </w:r>
      <w:r w:rsidR="00EA1D27" w:rsidRPr="00572CAD">
        <w:t>.</w:t>
      </w:r>
      <w:r w:rsidR="006E4457" w:rsidRPr="00572CAD">
        <w:t xml:space="preserve"> </w:t>
      </w:r>
    </w:p>
    <w:p w14:paraId="77E371CA" w14:textId="6DA410F4" w:rsidR="001366C4" w:rsidRPr="00572CAD" w:rsidRDefault="00CC4E64" w:rsidP="00C00EB5">
      <w:pPr>
        <w:spacing w:before="240"/>
      </w:pPr>
      <w:r w:rsidRPr="00572CAD">
        <w:t xml:space="preserve">The Fees Act provides that the fees imposed </w:t>
      </w:r>
      <w:r w:rsidR="003659EF" w:rsidRPr="00572CAD">
        <w:t>under that Act</w:t>
      </w:r>
      <w:r w:rsidRPr="00572CAD">
        <w:t xml:space="preserve"> are those prescribed by </w:t>
      </w:r>
      <w:r w:rsidR="003659EF" w:rsidRPr="00572CAD">
        <w:t>the Fees R</w:t>
      </w:r>
      <w:r w:rsidRPr="00572CAD">
        <w:t>egulations</w:t>
      </w:r>
      <w:r w:rsidR="003659EF" w:rsidRPr="00572CAD">
        <w:t xml:space="preserve"> (see section 5)</w:t>
      </w:r>
      <w:r w:rsidRPr="00572CAD">
        <w:t xml:space="preserve">. </w:t>
      </w:r>
      <w:r w:rsidR="001366C4" w:rsidRPr="00572CAD">
        <w:t xml:space="preserve">Prescribing fees in regulations is </w:t>
      </w:r>
      <w:r w:rsidR="00595B01" w:rsidRPr="00572CAD">
        <w:t>appropriate to maintain consistency</w:t>
      </w:r>
      <w:r w:rsidR="001366C4" w:rsidRPr="00572CAD">
        <w:t xml:space="preserve"> with the existing legislative framework</w:t>
      </w:r>
      <w:r w:rsidR="00595B01" w:rsidRPr="00572CAD">
        <w:t xml:space="preserve"> and necessary to ensure that all fees for chargeable matters under the Corporations Act </w:t>
      </w:r>
      <w:r w:rsidR="00300133" w:rsidRPr="00572CAD">
        <w:t xml:space="preserve">are </w:t>
      </w:r>
      <w:r w:rsidR="00595B01" w:rsidRPr="00572CAD">
        <w:t>co-located at a single point in the legislation.</w:t>
      </w:r>
      <w:r w:rsidR="001366C4" w:rsidRPr="00572CAD">
        <w:t xml:space="preserve"> </w:t>
      </w:r>
      <w:r w:rsidR="00595B01" w:rsidRPr="00572CAD">
        <w:t xml:space="preserve"> </w:t>
      </w:r>
    </w:p>
    <w:p w14:paraId="6F0B7373" w14:textId="72349A36" w:rsidR="0069797D" w:rsidRPr="00572CAD" w:rsidRDefault="0069797D" w:rsidP="002C226C">
      <w:pPr>
        <w:spacing w:before="240"/>
      </w:pPr>
      <w:r w:rsidRPr="00572CAD">
        <w:t xml:space="preserve">Details of the Regulations are set out in </w:t>
      </w:r>
      <w:r w:rsidRPr="00572CAD">
        <w:rPr>
          <w:u w:val="single"/>
        </w:rPr>
        <w:t>Attachment</w:t>
      </w:r>
      <w:r w:rsidR="004951A4" w:rsidRPr="00572CAD">
        <w:rPr>
          <w:u w:val="single"/>
        </w:rPr>
        <w:t xml:space="preserve"> </w:t>
      </w:r>
      <w:r w:rsidR="00C16040" w:rsidRPr="00572CAD">
        <w:rPr>
          <w:u w:val="single"/>
        </w:rPr>
        <w:t>A</w:t>
      </w:r>
      <w:r w:rsidRPr="00572CAD">
        <w:t xml:space="preserve">. </w:t>
      </w:r>
    </w:p>
    <w:p w14:paraId="40B70554" w14:textId="0298673B" w:rsidR="00452260" w:rsidRPr="00572CAD" w:rsidRDefault="004951A4" w:rsidP="00452260">
      <w:pPr>
        <w:spacing w:before="240"/>
      </w:pPr>
      <w:r w:rsidRPr="00572CAD">
        <w:t>The Act does not specify</w:t>
      </w:r>
      <w:r w:rsidR="00F30DB4" w:rsidRPr="00572CAD">
        <w:t xml:space="preserve"> </w:t>
      </w:r>
      <w:r w:rsidR="00A94D14" w:rsidRPr="00572CAD">
        <w:t xml:space="preserve">any </w:t>
      </w:r>
      <w:r w:rsidR="00452260" w:rsidRPr="00572CAD">
        <w:t xml:space="preserve">conditions that </w:t>
      </w:r>
      <w:r w:rsidR="00A94D14" w:rsidRPr="00572CAD">
        <w:t>must</w:t>
      </w:r>
      <w:r w:rsidR="00452260" w:rsidRPr="00572CAD">
        <w:t xml:space="preserve"> be satisfied before the power to make Regulations may be exercised. </w:t>
      </w:r>
    </w:p>
    <w:p w14:paraId="6A640768" w14:textId="382E61D0" w:rsidR="00E5020F" w:rsidRPr="00572CAD" w:rsidRDefault="00AC2227" w:rsidP="00E5020F">
      <w:pPr>
        <w:spacing w:before="240"/>
      </w:pPr>
      <w:r w:rsidRPr="00572CAD">
        <w:t xml:space="preserve">The CCIVs regime has been subject to several rounds of public consultation since 2016. </w:t>
      </w:r>
      <w:r w:rsidR="00996118" w:rsidRPr="00572CAD">
        <w:t>Pu</w:t>
      </w:r>
      <w:r w:rsidR="002F196D" w:rsidRPr="00572CAD">
        <w:t xml:space="preserve">blic consultation on the draft </w:t>
      </w:r>
      <w:r w:rsidR="00403BF2" w:rsidRPr="00572CAD">
        <w:rPr>
          <w:i/>
        </w:rPr>
        <w:t>Corporations and Other Legislation Amendment (Corporate Collective Investment Vehicle Framework) Regulations 2022</w:t>
      </w:r>
      <w:r w:rsidR="00403BF2" w:rsidRPr="00572CAD">
        <w:t xml:space="preserve"> </w:t>
      </w:r>
      <w:r w:rsidR="002F196D" w:rsidRPr="00572CAD">
        <w:t>took place</w:t>
      </w:r>
      <w:r w:rsidR="00403BF2" w:rsidRPr="00572CAD">
        <w:t xml:space="preserve"> from </w:t>
      </w:r>
      <w:r w:rsidR="00E5146E" w:rsidRPr="00572CAD">
        <w:t>21</w:t>
      </w:r>
      <w:r w:rsidR="00403BF2" w:rsidRPr="00572CAD">
        <w:t xml:space="preserve"> December 2021 </w:t>
      </w:r>
      <w:r w:rsidR="00E5146E" w:rsidRPr="00572CAD">
        <w:t>to</w:t>
      </w:r>
      <w:r w:rsidR="00403BF2" w:rsidRPr="00572CAD">
        <w:t xml:space="preserve"> 21 January 2022</w:t>
      </w:r>
      <w:r w:rsidR="00E5020F" w:rsidRPr="00572CAD">
        <w:t>, with the</w:t>
      </w:r>
      <w:r w:rsidR="00403BF2" w:rsidRPr="00572CAD">
        <w:t xml:space="preserve"> accompanying Explanatory Statement</w:t>
      </w:r>
      <w:r w:rsidR="002F196D" w:rsidRPr="00572CAD">
        <w:t xml:space="preserve"> </w:t>
      </w:r>
      <w:r w:rsidR="00E5020F" w:rsidRPr="00572CAD">
        <w:t>stating</w:t>
      </w:r>
      <w:r w:rsidR="002F196D" w:rsidRPr="00572CAD">
        <w:t xml:space="preserve"> that further regulations</w:t>
      </w:r>
      <w:r w:rsidR="00CD593F" w:rsidRPr="00572CAD">
        <w:t xml:space="preserve"> would be made to amend the Fees Regulations</w:t>
      </w:r>
      <w:r w:rsidR="00E5020F" w:rsidRPr="00572CAD">
        <w:t xml:space="preserve"> in respect of CCIVs</w:t>
      </w:r>
      <w:r w:rsidR="00403BF2" w:rsidRPr="00572CAD">
        <w:t>.</w:t>
      </w:r>
      <w:r w:rsidR="00CD593F" w:rsidRPr="00572CAD">
        <w:t xml:space="preserve"> </w:t>
      </w:r>
      <w:r w:rsidR="00E5146E" w:rsidRPr="00572CAD">
        <w:t>No comments were received in relation to this approach in any submissions or in targeted stakeholder discussions during the consultation process</w:t>
      </w:r>
      <w:r w:rsidR="00CD593F" w:rsidRPr="00572CAD">
        <w:t>.</w:t>
      </w:r>
      <w:r w:rsidRPr="00572CAD">
        <w:t xml:space="preserve"> It was not considered necessary to undertake </w:t>
      </w:r>
      <w:r w:rsidR="00996118" w:rsidRPr="00572CAD">
        <w:t xml:space="preserve">specific </w:t>
      </w:r>
      <w:r w:rsidRPr="00572CAD">
        <w:t>consultation on this instrument</w:t>
      </w:r>
      <w:r w:rsidR="00996118" w:rsidRPr="00572CAD">
        <w:t xml:space="preserve"> as </w:t>
      </w:r>
      <w:r w:rsidR="009D3F8C" w:rsidRPr="00572CAD">
        <w:t xml:space="preserve">the </w:t>
      </w:r>
      <w:r w:rsidR="00775805" w:rsidRPr="00572CAD">
        <w:t>collection of</w:t>
      </w:r>
      <w:r w:rsidR="009D3F8C" w:rsidRPr="00572CAD">
        <w:t xml:space="preserve"> fees </w:t>
      </w:r>
      <w:r w:rsidR="00775805" w:rsidRPr="00572CAD">
        <w:t xml:space="preserve">for administrative </w:t>
      </w:r>
      <w:r w:rsidR="00627D89" w:rsidRPr="00572CAD">
        <w:t>actions</w:t>
      </w:r>
      <w:r w:rsidR="00775805" w:rsidRPr="00572CAD">
        <w:t xml:space="preserve"> under </w:t>
      </w:r>
      <w:r w:rsidR="009D3F8C" w:rsidRPr="00572CAD">
        <w:t xml:space="preserve">the Corporations Act is </w:t>
      </w:r>
      <w:r w:rsidR="00775805" w:rsidRPr="00572CAD">
        <w:t>a longstanding and well understood aspect of corporations law</w:t>
      </w:r>
      <w:r w:rsidR="00D61D2F" w:rsidRPr="00572CAD">
        <w:t>.</w:t>
      </w:r>
      <w:r w:rsidR="00775805" w:rsidRPr="00572CAD">
        <w:t xml:space="preserve"> </w:t>
      </w:r>
      <w:r w:rsidR="009D3F8C" w:rsidRPr="00572CAD">
        <w:t>In particular, th</w:t>
      </w:r>
      <w:r w:rsidR="001E61CB" w:rsidRPr="00572CAD">
        <w:t>is</w:t>
      </w:r>
      <w:r w:rsidR="009D3F8C" w:rsidRPr="00572CAD">
        <w:t xml:space="preserve"> instrument does not </w:t>
      </w:r>
      <w:r w:rsidR="001A2403" w:rsidRPr="00572CAD">
        <w:t xml:space="preserve">alter the </w:t>
      </w:r>
      <w:r w:rsidR="00775805" w:rsidRPr="00572CAD">
        <w:t>nature or scope of</w:t>
      </w:r>
      <w:r w:rsidR="001A2403" w:rsidRPr="00572CAD">
        <w:t xml:space="preserve"> </w:t>
      </w:r>
      <w:r w:rsidR="004412DD" w:rsidRPr="00572CAD">
        <w:t xml:space="preserve">matters that are chargeable </w:t>
      </w:r>
      <w:r w:rsidR="00775805" w:rsidRPr="00572CAD">
        <w:t>under the Fees Act</w:t>
      </w:r>
      <w:r w:rsidR="00E5146E" w:rsidRPr="00572CAD">
        <w:t>, it simply prescribes the values of fees for those matters</w:t>
      </w:r>
      <w:r w:rsidR="004412DD" w:rsidRPr="00572CAD">
        <w:t>.</w:t>
      </w:r>
      <w:r w:rsidR="00E5020F" w:rsidRPr="00572CAD">
        <w:t xml:space="preserve"> </w:t>
      </w:r>
    </w:p>
    <w:p w14:paraId="741E1ADF" w14:textId="5496789D" w:rsidR="002C226C" w:rsidRPr="00572CAD" w:rsidRDefault="002C226C" w:rsidP="00647BB7">
      <w:pPr>
        <w:spacing w:before="240"/>
      </w:pPr>
      <w:r w:rsidRPr="00572CAD">
        <w:t xml:space="preserve">The Regulations are a legislative instrument for the purposes of the </w:t>
      </w:r>
      <w:r w:rsidRPr="00572CAD">
        <w:rPr>
          <w:i/>
        </w:rPr>
        <w:t xml:space="preserve">Legislation </w:t>
      </w:r>
      <w:r w:rsidR="008E4532" w:rsidRPr="00572CAD">
        <w:rPr>
          <w:i/>
        </w:rPr>
        <w:br/>
      </w:r>
      <w:r w:rsidRPr="00572CAD">
        <w:rPr>
          <w:i/>
        </w:rPr>
        <w:t>Act 2003</w:t>
      </w:r>
      <w:r w:rsidRPr="00572CAD">
        <w:t>.</w:t>
      </w:r>
    </w:p>
    <w:p w14:paraId="38495EE3" w14:textId="2DBA6E65" w:rsidR="006E2C9F" w:rsidRPr="00572CAD" w:rsidRDefault="0001384F" w:rsidP="00647BB7">
      <w:pPr>
        <w:spacing w:before="240"/>
      </w:pPr>
      <w:r w:rsidRPr="00572CAD">
        <w:t xml:space="preserve">The Regulations are exempt from sunsetting as section 12 of the </w:t>
      </w:r>
      <w:r w:rsidRPr="00572CAD">
        <w:rPr>
          <w:i/>
          <w:iCs/>
        </w:rPr>
        <w:t xml:space="preserve">Legislation (Exemptions and Other Matters) Regulation 2015 </w:t>
      </w:r>
      <w:r w:rsidRPr="00572CAD">
        <w:t xml:space="preserve">exempts regulations made under the </w:t>
      </w:r>
      <w:r w:rsidR="00D97CD0" w:rsidRPr="00572CAD">
        <w:t>Fees Act</w:t>
      </w:r>
      <w:r w:rsidRPr="00572CAD">
        <w:t xml:space="preserve"> from sunsetting.  </w:t>
      </w:r>
      <w:r w:rsidR="002B7E40" w:rsidRPr="00572CAD">
        <w:t>Regulations made under th</w:t>
      </w:r>
      <w:r w:rsidR="00D97CD0" w:rsidRPr="00572CAD">
        <w:t xml:space="preserve">at Act </w:t>
      </w:r>
      <w:r w:rsidR="002B7E40" w:rsidRPr="00572CAD">
        <w:t xml:space="preserve">were exempted as they are part of the Corporations Agreement 2002, an intergovernmental scheme between the Commonwealth, States and Territories, and support that scheme. However, as the Regulations are amending regulations, they </w:t>
      </w:r>
      <w:r w:rsidR="008972D3" w:rsidRPr="00572CAD">
        <w:t>will be</w:t>
      </w:r>
      <w:r w:rsidR="002B7E40" w:rsidRPr="00572CAD">
        <w:t xml:space="preserve"> automatically repeal</w:t>
      </w:r>
      <w:r w:rsidR="008972D3" w:rsidRPr="00572CAD">
        <w:t>ed</w:t>
      </w:r>
      <w:r w:rsidR="002B7E40" w:rsidRPr="00572CAD">
        <w:t xml:space="preserve"> by the operation of the </w:t>
      </w:r>
      <w:r w:rsidR="002B7E40" w:rsidRPr="00572CAD">
        <w:rPr>
          <w:i/>
          <w:iCs/>
        </w:rPr>
        <w:t>Legislation Act 2003</w:t>
      </w:r>
      <w:r w:rsidR="002B7E40" w:rsidRPr="00572CAD">
        <w:t>.</w:t>
      </w:r>
    </w:p>
    <w:p w14:paraId="41F9DC51" w14:textId="5B04BF55" w:rsidR="009143A0" w:rsidRPr="00572CAD" w:rsidRDefault="00F109D4" w:rsidP="00647BB7">
      <w:pPr>
        <w:spacing w:before="240"/>
      </w:pPr>
      <w:r w:rsidRPr="00572CAD">
        <w:t xml:space="preserve">The Regulations </w:t>
      </w:r>
      <w:r w:rsidR="003D0FA8" w:rsidRPr="00572CAD">
        <w:t xml:space="preserve">will commence on </w:t>
      </w:r>
      <w:r w:rsidR="0072148D" w:rsidRPr="00572CAD">
        <w:t>the later of the</w:t>
      </w:r>
      <w:r w:rsidR="00B720E3" w:rsidRPr="00572CAD">
        <w:t xml:space="preserve"> day after the instrument is registered and </w:t>
      </w:r>
      <w:r w:rsidR="003D0FA8" w:rsidRPr="00572CAD">
        <w:t>1 July 2022.</w:t>
      </w:r>
    </w:p>
    <w:p w14:paraId="3C441E16" w14:textId="0CB0EDDC" w:rsidR="00F6422D" w:rsidRPr="00572CAD" w:rsidRDefault="00F6422D" w:rsidP="005D59DD">
      <w:pPr>
        <w:spacing w:before="240"/>
      </w:pPr>
      <w:r w:rsidRPr="00572CAD">
        <w:rPr>
          <w:color w:val="000000"/>
          <w:szCs w:val="24"/>
        </w:rPr>
        <w:t xml:space="preserve">The Office of Best Practice Regulation has confirmed that the Regulations are covered by the Regulation Impact Statement found in the Explanatory Memorandum of </w:t>
      </w:r>
      <w:r w:rsidR="00603360" w:rsidRPr="00572CAD">
        <w:rPr>
          <w:color w:val="000000"/>
          <w:szCs w:val="24"/>
        </w:rPr>
        <w:t xml:space="preserve">the </w:t>
      </w:r>
      <w:r w:rsidR="008E4532" w:rsidRPr="00572CAD">
        <w:rPr>
          <w:color w:val="000000"/>
          <w:szCs w:val="24"/>
        </w:rPr>
        <w:t>CCIV</w:t>
      </w:r>
      <w:r w:rsidRPr="00572CAD">
        <w:rPr>
          <w:color w:val="000000"/>
          <w:szCs w:val="24"/>
        </w:rPr>
        <w:t xml:space="preserve"> Act.</w:t>
      </w:r>
    </w:p>
    <w:p w14:paraId="6BF0B077" w14:textId="737A776A" w:rsidR="005D59DD" w:rsidRPr="00572CAD" w:rsidRDefault="005D59DD" w:rsidP="005D59DD">
      <w:pPr>
        <w:spacing w:before="240"/>
        <w:rPr>
          <w:i/>
        </w:rPr>
      </w:pPr>
      <w:r w:rsidRPr="00572CAD">
        <w:t xml:space="preserve">A statement of Compatibility with Human Rights is at </w:t>
      </w:r>
      <w:r w:rsidRPr="00572CAD">
        <w:rPr>
          <w:u w:val="single"/>
        </w:rPr>
        <w:t>Attachment </w:t>
      </w:r>
      <w:r w:rsidR="00C16040" w:rsidRPr="00572CAD">
        <w:rPr>
          <w:u w:val="single"/>
        </w:rPr>
        <w:t>B</w:t>
      </w:r>
      <w:r w:rsidRPr="00572CAD">
        <w:t>.</w:t>
      </w:r>
    </w:p>
    <w:p w14:paraId="54FF947F" w14:textId="77777777" w:rsidR="005D59DD" w:rsidRPr="00572CAD" w:rsidRDefault="005D59DD" w:rsidP="00647BB7">
      <w:pPr>
        <w:spacing w:before="240"/>
        <w:rPr>
          <w:i/>
        </w:rPr>
      </w:pPr>
    </w:p>
    <w:p w14:paraId="3BB20761" w14:textId="77777777" w:rsidR="00FB7F78" w:rsidRPr="00572CAD" w:rsidRDefault="00FB7F78" w:rsidP="00647BB7">
      <w:pPr>
        <w:spacing w:before="240"/>
      </w:pPr>
    </w:p>
    <w:p w14:paraId="43619B3F" w14:textId="0CE5CDD4" w:rsidR="00EA4DD8" w:rsidRPr="00572CAD" w:rsidRDefault="00EA4DD8" w:rsidP="00EA4DD8">
      <w:pPr>
        <w:pageBreakBefore/>
        <w:spacing w:before="240"/>
        <w:jc w:val="right"/>
        <w:rPr>
          <w:b/>
          <w:u w:val="single"/>
        </w:rPr>
      </w:pPr>
      <w:r w:rsidRPr="00572CAD">
        <w:rPr>
          <w:b/>
          <w:u w:val="single"/>
        </w:rPr>
        <w:lastRenderedPageBreak/>
        <w:t>ATTACHMENT</w:t>
      </w:r>
      <w:r w:rsidR="004951A4" w:rsidRPr="00572CAD">
        <w:rPr>
          <w:b/>
          <w:u w:val="single"/>
        </w:rPr>
        <w:t xml:space="preserve"> </w:t>
      </w:r>
      <w:r w:rsidR="00C16040" w:rsidRPr="00572CAD">
        <w:rPr>
          <w:b/>
          <w:u w:val="single"/>
        </w:rPr>
        <w:t>A</w:t>
      </w:r>
    </w:p>
    <w:p w14:paraId="128D9CE0" w14:textId="16DB0FF5" w:rsidR="00EA4DD8" w:rsidRPr="00572CAD" w:rsidRDefault="00EA4DD8" w:rsidP="00EA4DD8">
      <w:pPr>
        <w:spacing w:before="240"/>
        <w:ind w:right="91"/>
        <w:rPr>
          <w:b/>
          <w:bCs/>
          <w:szCs w:val="24"/>
          <w:u w:val="single"/>
        </w:rPr>
      </w:pPr>
      <w:r w:rsidRPr="00572CAD">
        <w:rPr>
          <w:b/>
          <w:bCs/>
          <w:u w:val="single"/>
        </w:rPr>
        <w:t xml:space="preserve">Details of the </w:t>
      </w:r>
      <w:r w:rsidR="00C16040" w:rsidRPr="00572CAD">
        <w:rPr>
          <w:b/>
          <w:i/>
          <w:u w:val="single"/>
        </w:rPr>
        <w:t>Corporations (Fees) Amendment (Corporate Collective Investment Vehicle Framework) Regulations 2022</w:t>
      </w:r>
    </w:p>
    <w:p w14:paraId="5DC800CF" w14:textId="77777777" w:rsidR="00EA4DD8" w:rsidRPr="00572CAD" w:rsidRDefault="00EA4DD8" w:rsidP="00EA4DD8">
      <w:pPr>
        <w:spacing w:before="240"/>
        <w:rPr>
          <w:rFonts w:ascii="Calibri" w:hAnsi="Calibri"/>
          <w:b/>
          <w:sz w:val="22"/>
          <w:szCs w:val="22"/>
          <w:u w:val="single"/>
          <w:lang w:eastAsia="en-US"/>
        </w:rPr>
      </w:pPr>
      <w:r w:rsidRPr="00572CAD">
        <w:rPr>
          <w:b/>
          <w:u w:val="single"/>
        </w:rPr>
        <w:t>Section 1 – Name of the Regulations</w:t>
      </w:r>
    </w:p>
    <w:p w14:paraId="5CD3F152" w14:textId="5681D164" w:rsidR="00EA4DD8" w:rsidRPr="00572CAD" w:rsidRDefault="00EA4DD8" w:rsidP="00EA4DD8">
      <w:pPr>
        <w:spacing w:before="240"/>
      </w:pPr>
      <w:r w:rsidRPr="00572CAD">
        <w:t xml:space="preserve">This section provides that the name of the Regulations is the </w:t>
      </w:r>
      <w:r w:rsidR="00C16040" w:rsidRPr="00572CAD">
        <w:rPr>
          <w:i/>
        </w:rPr>
        <w:t xml:space="preserve">Corporations (Fees) Amendment (Corporate Collective Investment Vehicle Framework) Regulations 2022 </w:t>
      </w:r>
      <w:r w:rsidRPr="00572CAD">
        <w:t>(the</w:t>
      </w:r>
      <w:r w:rsidR="007D63D1" w:rsidRPr="00572CAD">
        <w:t> </w:t>
      </w:r>
      <w:r w:rsidRPr="00572CAD">
        <w:t>Regulations).</w:t>
      </w:r>
    </w:p>
    <w:p w14:paraId="49DDB4C0" w14:textId="77777777" w:rsidR="00EA4DD8" w:rsidRPr="00572CAD" w:rsidRDefault="00EA4DD8" w:rsidP="00EA4DD8">
      <w:pPr>
        <w:spacing w:before="240"/>
        <w:ind w:right="91"/>
        <w:rPr>
          <w:b/>
          <w:u w:val="single"/>
        </w:rPr>
      </w:pPr>
      <w:r w:rsidRPr="00572CAD">
        <w:rPr>
          <w:b/>
          <w:u w:val="single"/>
        </w:rPr>
        <w:t>Section 2 – Commencement</w:t>
      </w:r>
    </w:p>
    <w:p w14:paraId="596BFB0C" w14:textId="6379845A" w:rsidR="00EA4DD8" w:rsidRPr="00572CAD" w:rsidRDefault="005B3E65" w:rsidP="00EA4DD8">
      <w:pPr>
        <w:spacing w:before="240"/>
        <w:ind w:right="91"/>
      </w:pPr>
      <w:r w:rsidRPr="00572CAD">
        <w:t>The</w:t>
      </w:r>
      <w:r w:rsidR="00EA4DD8" w:rsidRPr="00572CAD">
        <w:t xml:space="preserve"> Regulations commence on</w:t>
      </w:r>
      <w:r w:rsidR="00C73152" w:rsidRPr="00572CAD">
        <w:t xml:space="preserve"> the later of the day after the instrument is registered and</w:t>
      </w:r>
      <w:r w:rsidR="00EA4DD8" w:rsidRPr="00572CAD">
        <w:t xml:space="preserve"> </w:t>
      </w:r>
      <w:sdt>
        <w:sdtPr>
          <w:id w:val="-36432914"/>
          <w:placeholder>
            <w:docPart w:val="83A324C2F3F54ECBAC45F9D85D9821DB"/>
          </w:placeholder>
          <w:date w:fullDate="2022-07-01T00:00:00Z">
            <w:dateFormat w:val="d MMMM yyyy"/>
            <w:lid w:val="en-AU"/>
            <w:storeMappedDataAs w:val="dateTime"/>
            <w:calendar w:val="gregorian"/>
          </w:date>
        </w:sdtPr>
        <w:sdtEndPr/>
        <w:sdtContent>
          <w:r w:rsidR="00C73152" w:rsidRPr="00572CAD">
            <w:t>1 July 2022</w:t>
          </w:r>
        </w:sdtContent>
      </w:sdt>
      <w:r w:rsidR="007C741D" w:rsidRPr="00572CAD">
        <w:t>.</w:t>
      </w:r>
    </w:p>
    <w:p w14:paraId="1E8AD846" w14:textId="77777777" w:rsidR="00EA4DD8" w:rsidRPr="00572CAD" w:rsidRDefault="00EA4DD8" w:rsidP="00EA4DD8">
      <w:pPr>
        <w:spacing w:before="240"/>
        <w:ind w:right="91"/>
        <w:rPr>
          <w:b/>
          <w:u w:val="single"/>
        </w:rPr>
      </w:pPr>
      <w:r w:rsidRPr="00572CAD">
        <w:rPr>
          <w:b/>
          <w:u w:val="single"/>
        </w:rPr>
        <w:t>Section 3 – Authority</w:t>
      </w:r>
    </w:p>
    <w:p w14:paraId="4F97B1E5" w14:textId="2CD1DC19" w:rsidR="00EA4DD8" w:rsidRPr="00572CAD" w:rsidRDefault="00EA4DD8" w:rsidP="00EA4DD8">
      <w:pPr>
        <w:spacing w:before="240"/>
        <w:ind w:right="91"/>
      </w:pPr>
      <w:r w:rsidRPr="00572CAD">
        <w:t xml:space="preserve">The Regulations are made under </w:t>
      </w:r>
      <w:r w:rsidR="00CA707B" w:rsidRPr="00572CAD">
        <w:t>section</w:t>
      </w:r>
      <w:r w:rsidR="00EC58BC" w:rsidRPr="00572CAD">
        <w:t xml:space="preserve"> </w:t>
      </w:r>
      <w:r w:rsidR="00C16040" w:rsidRPr="00572CAD">
        <w:t>8</w:t>
      </w:r>
      <w:r w:rsidR="00CA707B" w:rsidRPr="00572CAD">
        <w:t xml:space="preserve"> of the </w:t>
      </w:r>
      <w:r w:rsidR="00CA707B" w:rsidRPr="00572CAD">
        <w:rPr>
          <w:i/>
          <w:iCs/>
        </w:rPr>
        <w:t>Corporations</w:t>
      </w:r>
      <w:r w:rsidR="00C16040" w:rsidRPr="00572CAD">
        <w:rPr>
          <w:i/>
          <w:iCs/>
        </w:rPr>
        <w:t xml:space="preserve"> (Fees)</w:t>
      </w:r>
      <w:r w:rsidR="00CA707B" w:rsidRPr="00572CAD">
        <w:rPr>
          <w:i/>
          <w:iCs/>
        </w:rPr>
        <w:t xml:space="preserve"> Act</w:t>
      </w:r>
      <w:r w:rsidR="008E4532" w:rsidRPr="00572CAD">
        <w:rPr>
          <w:i/>
          <w:iCs/>
        </w:rPr>
        <w:t> </w:t>
      </w:r>
      <w:r w:rsidR="00CA707B" w:rsidRPr="00572CAD">
        <w:rPr>
          <w:i/>
          <w:iCs/>
        </w:rPr>
        <w:t>2001</w:t>
      </w:r>
      <w:r w:rsidR="00603360" w:rsidRPr="00572CAD">
        <w:rPr>
          <w:i/>
          <w:iCs/>
        </w:rPr>
        <w:t xml:space="preserve"> </w:t>
      </w:r>
      <w:r w:rsidR="00603360" w:rsidRPr="00572CAD">
        <w:t>(Fees Act)</w:t>
      </w:r>
      <w:r w:rsidR="00C16040" w:rsidRPr="00572CAD">
        <w:t>.</w:t>
      </w:r>
    </w:p>
    <w:p w14:paraId="09908E70" w14:textId="470FF5CC" w:rsidR="00EA4DD8" w:rsidRPr="00572CAD" w:rsidRDefault="00EA4DD8" w:rsidP="00EA4DD8">
      <w:pPr>
        <w:spacing w:before="240"/>
        <w:ind w:right="91"/>
        <w:rPr>
          <w:b/>
          <w:u w:val="single"/>
        </w:rPr>
      </w:pPr>
      <w:r w:rsidRPr="00572CAD">
        <w:rPr>
          <w:b/>
          <w:u w:val="single"/>
        </w:rPr>
        <w:t>Section 4 – Schedule</w:t>
      </w:r>
      <w:r w:rsidR="005B3E65" w:rsidRPr="00572CAD">
        <w:rPr>
          <w:b/>
          <w:u w:val="single"/>
        </w:rPr>
        <w:t>s</w:t>
      </w:r>
    </w:p>
    <w:p w14:paraId="09B515EA" w14:textId="77777777" w:rsidR="00EA4DD8" w:rsidRPr="00572CAD" w:rsidRDefault="00EA4DD8" w:rsidP="00EA4DD8">
      <w:pPr>
        <w:spacing w:before="240" w:after="200"/>
        <w:ind w:right="91"/>
        <w:rPr>
          <w:u w:val="single"/>
        </w:rPr>
      </w:pPr>
      <w:r w:rsidRPr="00572CAD">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126D1090" w14:textId="3B9FDFCC" w:rsidR="00EA4DD8" w:rsidRPr="00572CAD" w:rsidRDefault="00EA4DD8" w:rsidP="005B3E65">
      <w:pPr>
        <w:spacing w:after="0"/>
        <w:ind w:right="91"/>
        <w:rPr>
          <w:b/>
          <w:u w:val="single"/>
        </w:rPr>
      </w:pPr>
      <w:r w:rsidRPr="00572CAD">
        <w:rPr>
          <w:b/>
          <w:u w:val="single"/>
        </w:rPr>
        <w:t>Schedule 1 –</w:t>
      </w:r>
      <w:r w:rsidR="00C16040" w:rsidRPr="00572CAD">
        <w:rPr>
          <w:b/>
          <w:u w:val="single"/>
        </w:rPr>
        <w:t xml:space="preserve"> A</w:t>
      </w:r>
      <w:r w:rsidRPr="00572CAD">
        <w:rPr>
          <w:b/>
          <w:u w:val="single"/>
        </w:rPr>
        <w:t xml:space="preserve">mendments </w:t>
      </w:r>
      <w:r w:rsidR="00C16040" w:rsidRPr="00572CAD">
        <w:rPr>
          <w:b/>
          <w:u w:val="single"/>
        </w:rPr>
        <w:t xml:space="preserve">to the </w:t>
      </w:r>
      <w:r w:rsidR="00C16040" w:rsidRPr="00572CAD">
        <w:rPr>
          <w:b/>
          <w:i/>
          <w:iCs/>
          <w:u w:val="single"/>
        </w:rPr>
        <w:t>Corporations (Fees) Regulations 2001</w:t>
      </w:r>
      <w:r w:rsidR="00344938" w:rsidRPr="00572CAD">
        <w:rPr>
          <w:b/>
          <w:u w:val="single"/>
        </w:rPr>
        <w:t xml:space="preserve"> </w:t>
      </w:r>
      <w:r w:rsidR="00552ABF" w:rsidRPr="00572CAD">
        <w:rPr>
          <w:b/>
          <w:u w:val="single"/>
        </w:rPr>
        <w:t>(Fees Regulations)</w:t>
      </w:r>
    </w:p>
    <w:p w14:paraId="1A08C8F3" w14:textId="77777777" w:rsidR="00344938" w:rsidRPr="00572CAD" w:rsidRDefault="00344938">
      <w:pPr>
        <w:spacing w:before="0" w:after="0"/>
        <w:rPr>
          <w:u w:val="single"/>
        </w:rPr>
      </w:pPr>
    </w:p>
    <w:p w14:paraId="24AD8D2B" w14:textId="0176CC93" w:rsidR="00ED54B2" w:rsidRPr="00572CAD" w:rsidRDefault="00ED54B2">
      <w:pPr>
        <w:spacing w:before="0" w:after="0"/>
        <w:rPr>
          <w:u w:val="single"/>
        </w:rPr>
      </w:pPr>
      <w:r w:rsidRPr="00572CAD">
        <w:rPr>
          <w:u w:val="single"/>
        </w:rPr>
        <w:t>Items 1 to 4 – amendments to the Fees Regulations</w:t>
      </w:r>
    </w:p>
    <w:p w14:paraId="54F72E80" w14:textId="15917236" w:rsidR="00344938" w:rsidRPr="00572CAD" w:rsidRDefault="00344938">
      <w:pPr>
        <w:spacing w:before="0" w:after="0"/>
      </w:pPr>
      <w:r w:rsidRPr="00572CAD">
        <w:t xml:space="preserve">Items 1 </w:t>
      </w:r>
      <w:r w:rsidR="0089385B" w:rsidRPr="00572CAD">
        <w:t>to</w:t>
      </w:r>
      <w:r w:rsidRPr="00572CAD">
        <w:t xml:space="preserve"> 3 insert a note</w:t>
      </w:r>
      <w:r w:rsidR="0089385B" w:rsidRPr="00572CAD">
        <w:t xml:space="preserve"> at the end of the definitions</w:t>
      </w:r>
      <w:r w:rsidRPr="00572CAD">
        <w:t xml:space="preserve"> clarifying that expressions used in the Fees Regulations </w:t>
      </w:r>
      <w:r w:rsidR="00A62884" w:rsidRPr="00572CAD">
        <w:t>that are defined in the Corporations Act have the same meaning in the Fees Regulations as the</w:t>
      </w:r>
      <w:r w:rsidR="009D3F8C" w:rsidRPr="00572CAD">
        <w:t>y</w:t>
      </w:r>
      <w:r w:rsidR="00A62884" w:rsidRPr="00572CAD">
        <w:t xml:space="preserve"> do in the Corporations </w:t>
      </w:r>
      <w:r w:rsidRPr="00572CAD">
        <w:t xml:space="preserve">Act. </w:t>
      </w:r>
      <w:r w:rsidR="00A62884" w:rsidRPr="00572CAD">
        <w:t xml:space="preserve">This note confirms the application of </w:t>
      </w:r>
      <w:r w:rsidR="00603360" w:rsidRPr="00572CAD">
        <w:t>sub</w:t>
      </w:r>
      <w:r w:rsidR="00A62884" w:rsidRPr="00572CAD">
        <w:t>section 4(2) of the Fees Act. A version of th</w:t>
      </w:r>
      <w:r w:rsidR="000E6EE2" w:rsidRPr="00572CAD">
        <w:t>is</w:t>
      </w:r>
      <w:r w:rsidR="00A62884" w:rsidRPr="00572CAD">
        <w:t xml:space="preserve"> note was </w:t>
      </w:r>
      <w:r w:rsidR="000E6EE2" w:rsidRPr="00572CAD">
        <w:t>appended to the definition of ‘member of ASIC’</w:t>
      </w:r>
      <w:r w:rsidR="00A62884" w:rsidRPr="00572CAD">
        <w:t xml:space="preserve">. It has been moved to the end of the section to </w:t>
      </w:r>
      <w:r w:rsidR="00A62884" w:rsidRPr="00572CAD">
        <w:rPr>
          <w:color w:val="000000"/>
          <w:szCs w:val="24"/>
        </w:rPr>
        <w:t xml:space="preserve">make </w:t>
      </w:r>
      <w:r w:rsidR="000E6EE2" w:rsidRPr="00572CAD">
        <w:rPr>
          <w:color w:val="000000"/>
          <w:szCs w:val="24"/>
        </w:rPr>
        <w:t>clear that it applies to the Fees Regulations as a whole, and not just that expression.</w:t>
      </w:r>
    </w:p>
    <w:p w14:paraId="3C1B3F99" w14:textId="77777777" w:rsidR="00344938" w:rsidRPr="00572CAD" w:rsidRDefault="00344938">
      <w:pPr>
        <w:spacing w:before="0" w:after="0"/>
      </w:pPr>
    </w:p>
    <w:p w14:paraId="25FC87E4" w14:textId="038B45AA" w:rsidR="00344938" w:rsidRPr="00572CAD" w:rsidRDefault="00344938">
      <w:pPr>
        <w:spacing w:before="0" w:after="0"/>
      </w:pPr>
      <w:r w:rsidRPr="00572CAD">
        <w:t xml:space="preserve">Item 4 provides that new fees inserted by the Regulations will not be subject to indexation </w:t>
      </w:r>
      <w:r w:rsidR="003846F3" w:rsidRPr="00572CAD">
        <w:t xml:space="preserve">under regulation 3 </w:t>
      </w:r>
      <w:r w:rsidRPr="00572CAD">
        <w:t xml:space="preserve">in the financial year beginning 1 July 2022. The indexation applied by </w:t>
      </w:r>
      <w:r w:rsidR="00ED54B2" w:rsidRPr="00572CAD">
        <w:t>regulation 3</w:t>
      </w:r>
      <w:r w:rsidRPr="00572CAD">
        <w:t xml:space="preserve"> is calculated with reference to the previous year’s amount</w:t>
      </w:r>
      <w:r w:rsidR="00ED54B2" w:rsidRPr="00572CAD">
        <w:t>. For new fees, there is no previous amount,</w:t>
      </w:r>
      <w:r w:rsidRPr="00572CAD">
        <w:t xml:space="preserve"> </w:t>
      </w:r>
      <w:r w:rsidR="00ED54B2" w:rsidRPr="00572CAD">
        <w:t xml:space="preserve">so application of the indexing provisions would result in the fee being </w:t>
      </w:r>
      <w:r w:rsidRPr="00572CAD">
        <w:t>zero. From</w:t>
      </w:r>
      <w:r w:rsidR="00B872BE" w:rsidRPr="00572CAD">
        <w:t xml:space="preserve"> the financial year beginning</w:t>
      </w:r>
      <w:r w:rsidRPr="00572CAD">
        <w:t xml:space="preserve"> 1</w:t>
      </w:r>
      <w:r w:rsidR="008E4532" w:rsidRPr="00572CAD">
        <w:t> </w:t>
      </w:r>
      <w:r w:rsidRPr="00572CAD">
        <w:t>July</w:t>
      </w:r>
      <w:r w:rsidR="008E4532" w:rsidRPr="00572CAD">
        <w:t> </w:t>
      </w:r>
      <w:r w:rsidRPr="00572CAD">
        <w:t xml:space="preserve">2023, </w:t>
      </w:r>
      <w:r w:rsidR="00E8379E" w:rsidRPr="00572CAD">
        <w:t>indexation will apply as set out in regulation 3.</w:t>
      </w:r>
    </w:p>
    <w:p w14:paraId="6EBEA794" w14:textId="4592DBC0" w:rsidR="00344938" w:rsidRPr="00572CAD" w:rsidRDefault="00344938">
      <w:pPr>
        <w:spacing w:before="0" w:after="0"/>
      </w:pPr>
    </w:p>
    <w:p w14:paraId="2E051F02" w14:textId="12406DBF" w:rsidR="00ED54B2" w:rsidRPr="00572CAD" w:rsidRDefault="00ED54B2">
      <w:pPr>
        <w:spacing w:before="0" w:after="0"/>
        <w:rPr>
          <w:u w:val="single"/>
        </w:rPr>
      </w:pPr>
      <w:r w:rsidRPr="00572CAD">
        <w:rPr>
          <w:u w:val="single"/>
        </w:rPr>
        <w:t>Items 5 to 12 – amendments to Schedule 1 to the Fees Regulations</w:t>
      </w:r>
    </w:p>
    <w:p w14:paraId="7A8E940C" w14:textId="544691D1" w:rsidR="00ED54B2" w:rsidRPr="00572CAD" w:rsidRDefault="00344938">
      <w:pPr>
        <w:spacing w:before="0" w:after="0"/>
      </w:pPr>
      <w:r w:rsidRPr="00572CAD">
        <w:t>Item</w:t>
      </w:r>
      <w:r w:rsidR="00ED54B2" w:rsidRPr="00572CAD">
        <w:t>s</w:t>
      </w:r>
      <w:r w:rsidRPr="00572CAD">
        <w:t xml:space="preserve"> 5</w:t>
      </w:r>
      <w:r w:rsidR="00ED54B2" w:rsidRPr="00572CAD">
        <w:t xml:space="preserve"> and 6 insert a note </w:t>
      </w:r>
      <w:r w:rsidR="00B872BE" w:rsidRPr="00572CAD">
        <w:t xml:space="preserve">at the start of Schedule 1 </w:t>
      </w:r>
      <w:r w:rsidR="008A502B" w:rsidRPr="00572CAD">
        <w:t>to confirm</w:t>
      </w:r>
      <w:r w:rsidR="00ED54B2" w:rsidRPr="00572CAD">
        <w:t xml:space="preserve"> that existing fees in respect of a company or corporation may also apply to a CCIV.</w:t>
      </w:r>
    </w:p>
    <w:p w14:paraId="09FE01B4" w14:textId="77777777" w:rsidR="00ED54B2" w:rsidRPr="00572CAD" w:rsidRDefault="00ED54B2">
      <w:pPr>
        <w:spacing w:before="0" w:after="0"/>
      </w:pPr>
    </w:p>
    <w:p w14:paraId="3E5ED87A" w14:textId="65FFE124" w:rsidR="00ED54B2" w:rsidRPr="00572CAD" w:rsidRDefault="00ED54B2">
      <w:pPr>
        <w:spacing w:before="0" w:after="0"/>
      </w:pPr>
      <w:r w:rsidRPr="00572CAD">
        <w:t>Item 7</w:t>
      </w:r>
      <w:r w:rsidR="00A866D8" w:rsidRPr="00572CAD">
        <w:t xml:space="preserve"> amends a reference to reflect </w:t>
      </w:r>
      <w:r w:rsidR="0089385B" w:rsidRPr="00572CAD">
        <w:t>the renumbering of the definitions section as a result of items 1 to 3.</w:t>
      </w:r>
    </w:p>
    <w:p w14:paraId="061962ED" w14:textId="77777777" w:rsidR="00ED54B2" w:rsidRPr="00572CAD" w:rsidRDefault="00ED54B2">
      <w:pPr>
        <w:spacing w:before="0" w:after="0"/>
      </w:pPr>
    </w:p>
    <w:p w14:paraId="73469CE8" w14:textId="07D73698" w:rsidR="00ED54B2" w:rsidRPr="00572CAD" w:rsidRDefault="00114B14">
      <w:pPr>
        <w:spacing w:before="0" w:after="0"/>
      </w:pPr>
      <w:r w:rsidRPr="00572CAD">
        <w:lastRenderedPageBreak/>
        <w:t>Table</w:t>
      </w:r>
      <w:r w:rsidR="00B872BE" w:rsidRPr="00572CAD">
        <w:t xml:space="preserve"> items 79A and 79B </w:t>
      </w:r>
      <w:r w:rsidRPr="00572CAD">
        <w:t xml:space="preserve">prescribe fees in relation to registration as an Australian passport fund. Item 8 of the Regulations amends these items </w:t>
      </w:r>
      <w:r w:rsidR="00B872BE" w:rsidRPr="00572CAD">
        <w:t>to replace</w:t>
      </w:r>
      <w:r w:rsidR="00191A47" w:rsidRPr="00572CAD">
        <w:t xml:space="preserve"> </w:t>
      </w:r>
      <w:r w:rsidR="00B872BE" w:rsidRPr="00572CAD">
        <w:t xml:space="preserve">‘managed investment scheme’ with ‘collective investment fund’. The CCIV Act amends Chapter 8A of the Corporations Act to provide that a </w:t>
      </w:r>
      <w:r w:rsidR="00261326" w:rsidRPr="00572CAD">
        <w:t>collective investment fund may be registered as an Australian passport fund</w:t>
      </w:r>
      <w:r w:rsidR="00B872BE" w:rsidRPr="00572CAD">
        <w:t>. A collective investment fund may be either a managed investment scheme or a sub-fund of a retail CCIV (see section 1212)</w:t>
      </w:r>
      <w:r w:rsidR="00ED54B2" w:rsidRPr="00572CAD">
        <w:t xml:space="preserve">. </w:t>
      </w:r>
    </w:p>
    <w:p w14:paraId="1B44EA2D" w14:textId="77777777" w:rsidR="00ED54B2" w:rsidRPr="00572CAD" w:rsidRDefault="00ED54B2">
      <w:pPr>
        <w:spacing w:before="0" w:after="0"/>
      </w:pPr>
    </w:p>
    <w:p w14:paraId="2AB359D6" w14:textId="53B5F7C5" w:rsidR="00ED54B2" w:rsidRPr="00572CAD" w:rsidRDefault="00114B14">
      <w:pPr>
        <w:spacing w:before="0" w:after="0"/>
      </w:pPr>
      <w:r w:rsidRPr="00572CAD">
        <w:t>Table item</w:t>
      </w:r>
      <w:r w:rsidR="00191A47" w:rsidRPr="00572CAD">
        <w:t xml:space="preserve"> 80</w:t>
      </w:r>
      <w:r w:rsidRPr="00572CAD">
        <w:t xml:space="preserve"> provides that a fee applies to </w:t>
      </w:r>
      <w:r w:rsidR="00186354" w:rsidRPr="00572CAD">
        <w:t xml:space="preserve">certain </w:t>
      </w:r>
      <w:r w:rsidRPr="00572CAD">
        <w:t xml:space="preserve">applications </w:t>
      </w:r>
      <w:r w:rsidR="00186354" w:rsidRPr="00572CAD">
        <w:t>to</w:t>
      </w:r>
      <w:r w:rsidRPr="00572CAD">
        <w:t xml:space="preserve"> </w:t>
      </w:r>
      <w:r w:rsidR="00603360" w:rsidRPr="00572CAD">
        <w:t xml:space="preserve">the </w:t>
      </w:r>
      <w:r w:rsidRPr="00572CAD">
        <w:t>Minister or ASIC</w:t>
      </w:r>
      <w:r w:rsidR="00B872BE" w:rsidRPr="00572CAD">
        <w:t xml:space="preserve"> </w:t>
      </w:r>
      <w:r w:rsidRPr="00572CAD">
        <w:t>under the specified provisions of the Corporations Act</w:t>
      </w:r>
      <w:r w:rsidR="00603360" w:rsidRPr="00572CAD">
        <w:t xml:space="preserve">. </w:t>
      </w:r>
      <w:r w:rsidRPr="00572CAD">
        <w:t xml:space="preserve">Item 9 of the Regulations </w:t>
      </w:r>
      <w:r w:rsidR="00745230" w:rsidRPr="00572CAD">
        <w:t>amends table item 80(a) to include</w:t>
      </w:r>
      <w:r w:rsidR="00B872BE" w:rsidRPr="00572CAD">
        <w:t xml:space="preserve"> Chapter 8B</w:t>
      </w:r>
      <w:r w:rsidR="00603360" w:rsidRPr="00572CAD">
        <w:t xml:space="preserve"> of the Corporations Act</w:t>
      </w:r>
      <w:r w:rsidR="00B872BE" w:rsidRPr="00572CAD">
        <w:t>.</w:t>
      </w:r>
      <w:r w:rsidR="00191A47" w:rsidRPr="00572CAD">
        <w:t xml:space="preserve"> This ensures that the existing fee structure applies </w:t>
      </w:r>
      <w:r w:rsidRPr="00572CAD">
        <w:t>to the new</w:t>
      </w:r>
      <w:r w:rsidR="00191A47" w:rsidRPr="00572CAD">
        <w:t xml:space="preserve"> Chapter 8B in the same way as it applies to </w:t>
      </w:r>
      <w:r w:rsidR="00745230" w:rsidRPr="00572CAD">
        <w:t>other existing chapters of the</w:t>
      </w:r>
      <w:r w:rsidR="00191A47" w:rsidRPr="00572CAD">
        <w:t xml:space="preserve"> Act.</w:t>
      </w:r>
      <w:r w:rsidR="00B872BE" w:rsidRPr="00572CAD">
        <w:t xml:space="preserve"> </w:t>
      </w:r>
    </w:p>
    <w:p w14:paraId="78B4AA23" w14:textId="77777777" w:rsidR="00ED54B2" w:rsidRPr="00572CAD" w:rsidRDefault="00ED54B2">
      <w:pPr>
        <w:spacing w:before="0" w:after="0"/>
      </w:pPr>
    </w:p>
    <w:p w14:paraId="564B2DD9" w14:textId="4C0C6D5C" w:rsidR="00ED54B2" w:rsidRPr="00572CAD" w:rsidRDefault="00ED54B2">
      <w:pPr>
        <w:spacing w:before="0" w:after="0"/>
      </w:pPr>
      <w:r w:rsidRPr="00572CAD">
        <w:t xml:space="preserve">Item 10 amends existing table items </w:t>
      </w:r>
      <w:r w:rsidR="00745230" w:rsidRPr="00572CAD">
        <w:t xml:space="preserve">83 </w:t>
      </w:r>
      <w:r w:rsidR="00603360" w:rsidRPr="00572CAD">
        <w:t>and</w:t>
      </w:r>
      <w:r w:rsidR="00745230" w:rsidRPr="00572CAD">
        <w:t xml:space="preserve"> 84 to </w:t>
      </w:r>
      <w:r w:rsidR="007906E9" w:rsidRPr="00572CAD">
        <w:t>clarify</w:t>
      </w:r>
      <w:r w:rsidR="00745230" w:rsidRPr="00572CAD">
        <w:t xml:space="preserve"> that applications</w:t>
      </w:r>
      <w:r w:rsidR="00433DBD" w:rsidRPr="00572CAD">
        <w:t xml:space="preserve"> for the appointment or removal of an auditor</w:t>
      </w:r>
      <w:r w:rsidR="00745230" w:rsidRPr="00572CAD">
        <w:t xml:space="preserve"> under section 331AAC(1)(b)</w:t>
      </w:r>
      <w:r w:rsidR="00A74088" w:rsidRPr="00572CAD">
        <w:t xml:space="preserve"> and </w:t>
      </w:r>
      <w:r w:rsidR="00603360" w:rsidRPr="00572CAD">
        <w:br/>
      </w:r>
      <w:r w:rsidR="00A74088" w:rsidRPr="00572CAD">
        <w:t>subsections 331AC(1) or (2) of the Corporations Act</w:t>
      </w:r>
      <w:r w:rsidR="00745230" w:rsidRPr="00572CAD">
        <w:t xml:space="preserve"> may also be made by a retail CCIV.</w:t>
      </w:r>
      <w:r w:rsidR="00A74088" w:rsidRPr="00572CAD">
        <w:t xml:space="preserve"> </w:t>
      </w:r>
    </w:p>
    <w:p w14:paraId="17E57384" w14:textId="588D3AB6" w:rsidR="002C0775" w:rsidRPr="00572CAD" w:rsidRDefault="002C0775">
      <w:pPr>
        <w:spacing w:before="0" w:after="0"/>
      </w:pPr>
    </w:p>
    <w:p w14:paraId="3D1234F4" w14:textId="582862AE" w:rsidR="002C0775" w:rsidRPr="00572CAD" w:rsidRDefault="002C0775">
      <w:pPr>
        <w:spacing w:before="0" w:after="0"/>
      </w:pPr>
      <w:r w:rsidRPr="00572CAD">
        <w:t>Item 11 inserts new table items 105A and 105B prescribing fees for two chargeable matters under Chapter 8B of the Corporations Act:</w:t>
      </w:r>
    </w:p>
    <w:p w14:paraId="346F4D66" w14:textId="01CF7B4C" w:rsidR="002C0775" w:rsidRPr="00572CAD" w:rsidRDefault="002C0775" w:rsidP="002C0775">
      <w:pPr>
        <w:pStyle w:val="Dotpoint"/>
      </w:pPr>
      <w:r w:rsidRPr="00572CAD">
        <w:t xml:space="preserve">For an application for ASIC’s consent to the removal of an auditor of a CCIV’s compliance plan, a fee of $791 </w:t>
      </w:r>
      <w:r w:rsidR="00603360" w:rsidRPr="00572CAD">
        <w:t>applies</w:t>
      </w:r>
      <w:r w:rsidRPr="00572CAD">
        <w:t>; and</w:t>
      </w:r>
    </w:p>
    <w:p w14:paraId="20884233" w14:textId="561A4A2B" w:rsidR="002C0775" w:rsidRPr="00572CAD" w:rsidRDefault="002C0775" w:rsidP="001249D1">
      <w:pPr>
        <w:pStyle w:val="Dotpoint"/>
      </w:pPr>
      <w:r w:rsidRPr="00572CAD">
        <w:t xml:space="preserve">For an application for ASIC’s consent to the resignation of an auditor of a CCIV’s compliance plan, no fee </w:t>
      </w:r>
      <w:r w:rsidR="00603360" w:rsidRPr="00572CAD">
        <w:t>applies</w:t>
      </w:r>
      <w:r w:rsidRPr="00572CAD">
        <w:t>.</w:t>
      </w:r>
    </w:p>
    <w:p w14:paraId="4CDC0AFF" w14:textId="33BB1D8C" w:rsidR="00745230" w:rsidRPr="00572CAD" w:rsidRDefault="001249D1">
      <w:pPr>
        <w:spacing w:before="0" w:after="0"/>
      </w:pPr>
      <w:r w:rsidRPr="00572CAD">
        <w:t>Item 12 inserts new table items 149A, 149B and 149C prescribing a fee of $1,187 for lodgement of any of the following under Chapter 8B of the Corporations Act:</w:t>
      </w:r>
    </w:p>
    <w:p w14:paraId="2395853F" w14:textId="12E97E34" w:rsidR="001249D1" w:rsidRPr="00572CAD" w:rsidRDefault="001249D1" w:rsidP="001249D1">
      <w:pPr>
        <w:pStyle w:val="Dotpoint"/>
      </w:pPr>
      <w:r w:rsidRPr="00572CAD">
        <w:t xml:space="preserve">Lodgement with ASIC of a notice relating to a change in corporate director of a CCIV; </w:t>
      </w:r>
    </w:p>
    <w:p w14:paraId="55E56390" w14:textId="31560F35" w:rsidR="001249D1" w:rsidRPr="00572CAD" w:rsidRDefault="001249D1" w:rsidP="001249D1">
      <w:pPr>
        <w:pStyle w:val="Dotpoint"/>
      </w:pPr>
      <w:r w:rsidRPr="00572CAD">
        <w:t>Lodgement of a notice informing ASIC of the appointment of a temporary corporate director of a CCIV; or</w:t>
      </w:r>
    </w:p>
    <w:p w14:paraId="3EE0D5C9" w14:textId="6BC92DF3" w:rsidR="001249D1" w:rsidRPr="00572CAD" w:rsidRDefault="001249D1" w:rsidP="001249D1">
      <w:pPr>
        <w:pStyle w:val="Dotpoint"/>
      </w:pPr>
      <w:r w:rsidRPr="00572CAD">
        <w:t>Lodgement of a notice asking ASIC to alter the record of a CCIV’s registration to name a new corporate director.</w:t>
      </w:r>
    </w:p>
    <w:p w14:paraId="5EBBDFEE" w14:textId="77777777" w:rsidR="001249D1" w:rsidRPr="00572CAD" w:rsidRDefault="001249D1">
      <w:pPr>
        <w:spacing w:before="0" w:after="0"/>
      </w:pPr>
    </w:p>
    <w:p w14:paraId="0B376806" w14:textId="77777777" w:rsidR="00745230" w:rsidRPr="00572CAD" w:rsidRDefault="00ED54B2">
      <w:pPr>
        <w:spacing w:before="0" w:after="0"/>
        <w:rPr>
          <w:u w:val="single"/>
        </w:rPr>
      </w:pPr>
      <w:r w:rsidRPr="00572CAD">
        <w:rPr>
          <w:u w:val="single"/>
        </w:rPr>
        <w:t>Items 13 to 19 – amendments to Schedule 2 to the Fees Regulations</w:t>
      </w:r>
    </w:p>
    <w:p w14:paraId="3EACB780" w14:textId="749859D4" w:rsidR="00745230" w:rsidRPr="00572CAD" w:rsidRDefault="00745230">
      <w:pPr>
        <w:spacing w:before="0" w:after="0"/>
      </w:pPr>
      <w:r w:rsidRPr="00572CAD">
        <w:t>Ite</w:t>
      </w:r>
      <w:r w:rsidR="008A502B" w:rsidRPr="00572CAD">
        <w:t>ms 13 and 14 insert a note at the start of Schedule 2 to confirm that existing fees in respect of a company or corporation may also apply to a CCIV</w:t>
      </w:r>
      <w:r w:rsidR="00764499" w:rsidRPr="00572CAD">
        <w:t>.</w:t>
      </w:r>
      <w:r w:rsidR="008A502B" w:rsidRPr="00572CAD">
        <w:t xml:space="preserve"> </w:t>
      </w:r>
    </w:p>
    <w:p w14:paraId="13BB0817" w14:textId="09320764" w:rsidR="008A3373" w:rsidRPr="00572CAD" w:rsidRDefault="008A3373">
      <w:pPr>
        <w:spacing w:before="0" w:after="0"/>
      </w:pPr>
    </w:p>
    <w:p w14:paraId="5F52412C" w14:textId="796C5291" w:rsidR="008A3373" w:rsidRPr="00572CAD" w:rsidRDefault="008A3373">
      <w:pPr>
        <w:spacing w:before="0" w:after="0"/>
      </w:pPr>
      <w:r w:rsidRPr="00572CAD">
        <w:t xml:space="preserve">Item 15 inserts new table items </w:t>
      </w:r>
      <w:r w:rsidR="00D86650" w:rsidRPr="00572CAD">
        <w:t xml:space="preserve">1A to 1C </w:t>
      </w:r>
      <w:r w:rsidRPr="00572CAD">
        <w:t xml:space="preserve">prescribing fees for </w:t>
      </w:r>
      <w:r w:rsidR="00D86650" w:rsidRPr="00572CAD">
        <w:t xml:space="preserve">three </w:t>
      </w:r>
      <w:r w:rsidRPr="00572CAD">
        <w:t>chargeable matters under Chapter 8B of the Corporations Act</w:t>
      </w:r>
      <w:r w:rsidR="003572D2" w:rsidRPr="00572CAD">
        <w:t>. The effect of his item is that fees would apply in the following circumstances</w:t>
      </w:r>
      <w:r w:rsidRPr="00572CAD">
        <w:t>:</w:t>
      </w:r>
    </w:p>
    <w:p w14:paraId="205749BE" w14:textId="1040D243" w:rsidR="008A3373" w:rsidRPr="00572CAD" w:rsidRDefault="008A3373" w:rsidP="00077D49">
      <w:pPr>
        <w:pStyle w:val="Dotpoint"/>
      </w:pPr>
      <w:r w:rsidRPr="00572CAD">
        <w:t xml:space="preserve">For an application to register a new sub-fund of an existing CCIV, no </w:t>
      </w:r>
      <w:r w:rsidR="00D86650" w:rsidRPr="00572CAD">
        <w:t xml:space="preserve">fee </w:t>
      </w:r>
      <w:r w:rsidR="00603360" w:rsidRPr="00572CAD">
        <w:t>applies</w:t>
      </w:r>
      <w:r w:rsidR="00D86650" w:rsidRPr="00572CAD">
        <w:t>;</w:t>
      </w:r>
    </w:p>
    <w:p w14:paraId="1429E8C1" w14:textId="382B5AB6" w:rsidR="008A3373" w:rsidRPr="00572CAD" w:rsidRDefault="00D86650" w:rsidP="00077D49">
      <w:pPr>
        <w:pStyle w:val="Dotpoint"/>
      </w:pPr>
      <w:r w:rsidRPr="00572CAD">
        <w:t>For lodgement</w:t>
      </w:r>
      <w:r w:rsidR="008A3373" w:rsidRPr="00572CAD">
        <w:t xml:space="preserve"> of a notice stating that a CCIV is or wishes to become a retail CCIV</w:t>
      </w:r>
      <w:r w:rsidRPr="00572CAD">
        <w:t xml:space="preserve">, a fee of $83 </w:t>
      </w:r>
      <w:r w:rsidR="00603360" w:rsidRPr="00572CAD">
        <w:t>applies</w:t>
      </w:r>
      <w:r w:rsidRPr="00572CAD">
        <w:t>; and</w:t>
      </w:r>
    </w:p>
    <w:p w14:paraId="43DCC686" w14:textId="2A409E9B" w:rsidR="00D86650" w:rsidRPr="00572CAD" w:rsidRDefault="00D86650" w:rsidP="00077D49">
      <w:pPr>
        <w:pStyle w:val="Dotpoint"/>
      </w:pPr>
      <w:r w:rsidRPr="00572CAD">
        <w:t xml:space="preserve">For lodgement of a notice stating that a CCIV is or wishes to become a wholesale CCIV, a fee of $83 </w:t>
      </w:r>
      <w:r w:rsidR="00603360" w:rsidRPr="00572CAD">
        <w:t>applies</w:t>
      </w:r>
      <w:r w:rsidRPr="00572CAD">
        <w:t>.</w:t>
      </w:r>
    </w:p>
    <w:p w14:paraId="483B3558" w14:textId="2CF15380" w:rsidR="00D86650" w:rsidRPr="00572CAD" w:rsidRDefault="00D86650">
      <w:pPr>
        <w:spacing w:before="0" w:after="0"/>
      </w:pPr>
      <w:r w:rsidRPr="00572CAD">
        <w:lastRenderedPageBreak/>
        <w:t>Item 1</w:t>
      </w:r>
      <w:r w:rsidR="00B667ED" w:rsidRPr="00572CAD">
        <w:t>6</w:t>
      </w:r>
      <w:r w:rsidRPr="00572CAD">
        <w:t xml:space="preserve"> inserts new table items 12E and 12F </w:t>
      </w:r>
      <w:r w:rsidR="00121A13" w:rsidRPr="00572CAD">
        <w:t>to specify</w:t>
      </w:r>
      <w:r w:rsidRPr="00572CAD">
        <w:t xml:space="preserve"> that no fee </w:t>
      </w:r>
      <w:r w:rsidR="0055168B" w:rsidRPr="00572CAD">
        <w:t>applies</w:t>
      </w:r>
      <w:r w:rsidRPr="00572CAD">
        <w:t xml:space="preserve"> for </w:t>
      </w:r>
      <w:r w:rsidR="00603360" w:rsidRPr="00572CAD">
        <w:t xml:space="preserve">lodgement of </w:t>
      </w:r>
      <w:r w:rsidRPr="00572CAD">
        <w:t>an application to change the name of</w:t>
      </w:r>
      <w:r w:rsidR="00603360" w:rsidRPr="00572CAD">
        <w:t xml:space="preserve"> a sub-fund</w:t>
      </w:r>
      <w:r w:rsidRPr="00572CAD">
        <w:t xml:space="preserve"> </w:t>
      </w:r>
      <w:r w:rsidR="00B66607" w:rsidRPr="00572CAD">
        <w:t xml:space="preserve">of a CCIV </w:t>
      </w:r>
      <w:r w:rsidR="00077D49" w:rsidRPr="00572CAD">
        <w:t xml:space="preserve">or </w:t>
      </w:r>
      <w:r w:rsidR="00B66607" w:rsidRPr="00572CAD">
        <w:t xml:space="preserve">an application to </w:t>
      </w:r>
      <w:r w:rsidR="00077D49" w:rsidRPr="00572CAD">
        <w:t xml:space="preserve">deregister </w:t>
      </w:r>
      <w:r w:rsidRPr="00572CAD">
        <w:t>a sub-fund of a CCIV</w:t>
      </w:r>
      <w:r w:rsidR="00077D49" w:rsidRPr="00572CAD">
        <w:t>.</w:t>
      </w:r>
      <w:r w:rsidR="00470435" w:rsidRPr="00572CAD">
        <w:t xml:space="preserve"> </w:t>
      </w:r>
    </w:p>
    <w:p w14:paraId="122DF028" w14:textId="0762E229" w:rsidR="00077D49" w:rsidRPr="00572CAD" w:rsidRDefault="00077D49">
      <w:pPr>
        <w:spacing w:before="0" w:after="0"/>
      </w:pPr>
    </w:p>
    <w:p w14:paraId="778AF823" w14:textId="12B1A7B3" w:rsidR="00077D49" w:rsidRPr="00572CAD" w:rsidRDefault="00077D49">
      <w:pPr>
        <w:spacing w:before="0" w:after="0"/>
      </w:pPr>
      <w:r w:rsidRPr="00572CAD">
        <w:t>Item 1</w:t>
      </w:r>
      <w:r w:rsidR="00B667ED" w:rsidRPr="00572CAD">
        <w:t>7</w:t>
      </w:r>
      <w:r w:rsidRPr="00572CAD">
        <w:t xml:space="preserve"> amends table items 15 and 16 to </w:t>
      </w:r>
      <w:r w:rsidR="00D72BE6" w:rsidRPr="00572CAD">
        <w:t>ensure</w:t>
      </w:r>
      <w:r w:rsidRPr="00572CAD">
        <w:t xml:space="preserve"> that </w:t>
      </w:r>
      <w:r w:rsidR="00D72BE6" w:rsidRPr="00572CAD">
        <w:t>existing f</w:t>
      </w:r>
      <w:r w:rsidRPr="00572CAD">
        <w:t xml:space="preserve">ees </w:t>
      </w:r>
      <w:r w:rsidR="00D72BE6" w:rsidRPr="00572CAD">
        <w:t>for the</w:t>
      </w:r>
      <w:r w:rsidRPr="00572CAD">
        <w:t xml:space="preserve"> issue, display or inspect</w:t>
      </w:r>
      <w:r w:rsidR="00D72BE6" w:rsidRPr="00572CAD">
        <w:t>ion</w:t>
      </w:r>
      <w:r w:rsidRPr="00572CAD">
        <w:t xml:space="preserve"> </w:t>
      </w:r>
      <w:r w:rsidR="00D72BE6" w:rsidRPr="00572CAD">
        <w:t xml:space="preserve">of </w:t>
      </w:r>
      <w:r w:rsidR="00811D60" w:rsidRPr="00572CAD">
        <w:t xml:space="preserve">documents </w:t>
      </w:r>
      <w:r w:rsidR="00EF54F1" w:rsidRPr="00572CAD">
        <w:t>relating to</w:t>
      </w:r>
      <w:r w:rsidR="00811D60" w:rsidRPr="00572CAD">
        <w:t xml:space="preserve"> company or MIS also apply where the documents relate to</w:t>
      </w:r>
      <w:r w:rsidR="00D72BE6" w:rsidRPr="00572CAD">
        <w:t xml:space="preserve"> a CCIV or </w:t>
      </w:r>
      <w:r w:rsidR="00B66607" w:rsidRPr="00572CAD">
        <w:t>a</w:t>
      </w:r>
      <w:r w:rsidR="00D72BE6" w:rsidRPr="00572CAD">
        <w:t xml:space="preserve"> sub-fund of a CCIV. </w:t>
      </w:r>
    </w:p>
    <w:p w14:paraId="575927CE" w14:textId="15F7B25F" w:rsidR="00C16040" w:rsidRPr="00572CAD" w:rsidRDefault="00C16040" w:rsidP="00C16040">
      <w:pPr>
        <w:pageBreakBefore/>
        <w:spacing w:before="240"/>
        <w:jc w:val="right"/>
        <w:rPr>
          <w:b/>
          <w:u w:val="single"/>
        </w:rPr>
      </w:pPr>
      <w:r w:rsidRPr="00572CAD">
        <w:rPr>
          <w:b/>
          <w:u w:val="single"/>
        </w:rPr>
        <w:lastRenderedPageBreak/>
        <w:t xml:space="preserve">ATTACHMENT </w:t>
      </w:r>
      <w:r w:rsidR="000A705B" w:rsidRPr="00572CAD">
        <w:rPr>
          <w:b/>
          <w:u w:val="single"/>
        </w:rPr>
        <w:t>B</w:t>
      </w:r>
    </w:p>
    <w:p w14:paraId="4039177B" w14:textId="603A8638" w:rsidR="004951A4" w:rsidRPr="00572CAD" w:rsidRDefault="004951A4" w:rsidP="004951A4">
      <w:pPr>
        <w:keepNext/>
        <w:tabs>
          <w:tab w:val="left" w:pos="1987"/>
        </w:tabs>
        <w:spacing w:before="240"/>
        <w:outlineLvl w:val="2"/>
        <w:rPr>
          <w:b/>
          <w:kern w:val="28"/>
        </w:rPr>
      </w:pPr>
      <w:r w:rsidRPr="00572CAD">
        <w:rPr>
          <w:b/>
          <w:kern w:val="28"/>
        </w:rPr>
        <w:t>Statement of Compatibility with Human Rights</w:t>
      </w:r>
    </w:p>
    <w:p w14:paraId="694691C3" w14:textId="77777777" w:rsidR="004951A4" w:rsidRPr="00572CAD" w:rsidRDefault="004951A4" w:rsidP="004951A4">
      <w:pPr>
        <w:spacing w:before="240"/>
        <w:jc w:val="center"/>
        <w:rPr>
          <w:i/>
        </w:rPr>
      </w:pPr>
      <w:r w:rsidRPr="00572CAD">
        <w:rPr>
          <w:i/>
        </w:rPr>
        <w:t>Prepared in accordance with Part 3 of the Human Rights (Parliamentary Scrutiny) Act 2011</w:t>
      </w:r>
    </w:p>
    <w:p w14:paraId="663804AF" w14:textId="77777777" w:rsidR="00C16040" w:rsidRPr="00572CAD" w:rsidRDefault="00C16040" w:rsidP="00C16040">
      <w:pPr>
        <w:spacing w:before="240"/>
        <w:jc w:val="center"/>
        <w:rPr>
          <w:b/>
          <w:i/>
          <w:iCs/>
          <w:kern w:val="28"/>
        </w:rPr>
      </w:pPr>
      <w:r w:rsidRPr="00572CAD">
        <w:rPr>
          <w:b/>
          <w:i/>
          <w:iCs/>
          <w:kern w:val="28"/>
        </w:rPr>
        <w:t>Corporations (Fees) Amendment (Corporate Collective Investment Vehicle Framework) Regulations 2022</w:t>
      </w:r>
    </w:p>
    <w:p w14:paraId="2CCED700" w14:textId="5F9EB2A3" w:rsidR="004951A4" w:rsidRPr="00572CAD" w:rsidRDefault="004951A4" w:rsidP="004951A4">
      <w:pPr>
        <w:spacing w:before="240"/>
      </w:pPr>
      <w:r w:rsidRPr="00572CAD">
        <w:t xml:space="preserve">This Legislative Instrument is compatible with the human rights and freedoms recognised or declared in the international instruments listed in section 3 of the </w:t>
      </w:r>
      <w:r w:rsidRPr="00572CAD">
        <w:rPr>
          <w:i/>
        </w:rPr>
        <w:t>Human Rights (Parliamentary Scrutiny) Act 2011</w:t>
      </w:r>
      <w:r w:rsidRPr="00572CAD">
        <w:t>.</w:t>
      </w:r>
    </w:p>
    <w:p w14:paraId="161ADD2A" w14:textId="77777777" w:rsidR="004951A4" w:rsidRPr="00572CAD" w:rsidRDefault="004951A4" w:rsidP="004951A4">
      <w:pPr>
        <w:keepNext/>
        <w:tabs>
          <w:tab w:val="left" w:pos="1987"/>
        </w:tabs>
        <w:spacing w:before="240"/>
        <w:outlineLvl w:val="2"/>
        <w:rPr>
          <w:b/>
          <w:kern w:val="28"/>
        </w:rPr>
      </w:pPr>
      <w:r w:rsidRPr="00572CAD">
        <w:rPr>
          <w:b/>
          <w:kern w:val="28"/>
        </w:rPr>
        <w:t>Overview of the Legislative Instrument</w:t>
      </w:r>
    </w:p>
    <w:p w14:paraId="3AE9E90D" w14:textId="2FC19DC9" w:rsidR="0051607E" w:rsidRPr="00572CAD" w:rsidRDefault="004951A4" w:rsidP="0051607E">
      <w:pPr>
        <w:spacing w:before="240"/>
      </w:pPr>
      <w:r w:rsidRPr="00572CAD">
        <w:t xml:space="preserve">The Legislative Instrument amends the </w:t>
      </w:r>
      <w:r w:rsidRPr="00572CAD">
        <w:rPr>
          <w:i/>
          <w:iCs/>
        </w:rPr>
        <w:t>Corporations (Fees) Regulations 2001</w:t>
      </w:r>
      <w:r w:rsidR="0051607E" w:rsidRPr="00572CAD">
        <w:t xml:space="preserve"> to ensure that existing fees apply appropriately to C</w:t>
      </w:r>
      <w:r w:rsidR="008E4532" w:rsidRPr="00572CAD">
        <w:t xml:space="preserve">orporate Collective Investment Vehicles </w:t>
      </w:r>
      <w:r w:rsidR="0051607E" w:rsidRPr="00572CAD">
        <w:t xml:space="preserve">and to prescribe new fees for chargeable matters under Chapter 8B of the </w:t>
      </w:r>
      <w:r w:rsidR="0051607E" w:rsidRPr="00572CAD">
        <w:rPr>
          <w:i/>
          <w:iCs/>
        </w:rPr>
        <w:t>Corporations Act</w:t>
      </w:r>
      <w:r w:rsidR="008E4532" w:rsidRPr="00572CAD">
        <w:rPr>
          <w:i/>
          <w:iCs/>
        </w:rPr>
        <w:t xml:space="preserve"> 2001</w:t>
      </w:r>
      <w:r w:rsidR="0051607E" w:rsidRPr="00572CAD">
        <w:t>.</w:t>
      </w:r>
    </w:p>
    <w:p w14:paraId="583FCF3B" w14:textId="287F68F3" w:rsidR="004951A4" w:rsidRPr="00572CAD" w:rsidRDefault="004951A4" w:rsidP="0051607E">
      <w:pPr>
        <w:spacing w:before="240"/>
        <w:rPr>
          <w:b/>
          <w:kern w:val="28"/>
        </w:rPr>
      </w:pPr>
      <w:r w:rsidRPr="00572CAD">
        <w:rPr>
          <w:b/>
          <w:kern w:val="28"/>
        </w:rPr>
        <w:t>Human rights implications</w:t>
      </w:r>
    </w:p>
    <w:p w14:paraId="22FDFBBA" w14:textId="58FD607A" w:rsidR="004951A4" w:rsidRPr="00572CAD" w:rsidRDefault="004951A4" w:rsidP="004951A4">
      <w:pPr>
        <w:spacing w:before="240"/>
      </w:pPr>
      <w:r w:rsidRPr="00572CAD">
        <w:t>This Legislative Instrument does not engage any of the applicable rights or freedoms.</w:t>
      </w:r>
    </w:p>
    <w:p w14:paraId="04AEDAA0" w14:textId="77777777" w:rsidR="004951A4" w:rsidRPr="00572CAD" w:rsidRDefault="004951A4" w:rsidP="004951A4">
      <w:pPr>
        <w:keepNext/>
        <w:tabs>
          <w:tab w:val="left" w:pos="1987"/>
        </w:tabs>
        <w:spacing w:before="240"/>
        <w:outlineLvl w:val="2"/>
        <w:rPr>
          <w:b/>
          <w:kern w:val="28"/>
        </w:rPr>
      </w:pPr>
      <w:r w:rsidRPr="00572CAD">
        <w:rPr>
          <w:b/>
          <w:kern w:val="28"/>
        </w:rPr>
        <w:t>Conclusion</w:t>
      </w:r>
    </w:p>
    <w:p w14:paraId="4305ED9D" w14:textId="77777777" w:rsidR="004951A4" w:rsidRPr="00656E8C" w:rsidRDefault="004951A4" w:rsidP="004951A4">
      <w:pPr>
        <w:spacing w:before="240"/>
      </w:pPr>
      <w:r w:rsidRPr="00572CAD">
        <w:t>This Legislative Instrument is compatible with human rights as it does not raise any human rights issues.</w:t>
      </w:r>
    </w:p>
    <w:p w14:paraId="08B91A78" w14:textId="77777777" w:rsidR="00482B81" w:rsidRPr="00716900" w:rsidRDefault="00482B81" w:rsidP="00EA4DD8">
      <w:pPr>
        <w:spacing w:before="0" w:after="0"/>
        <w:rPr>
          <w:u w:val="single"/>
        </w:rPr>
      </w:pPr>
    </w:p>
    <w:sectPr w:rsidR="00482B81" w:rsidRPr="00716900" w:rsidSect="00A9069B">
      <w:footerReference w:type="default" r:id="rId8"/>
      <w:pgSz w:w="11906" w:h="16838"/>
      <w:pgMar w:top="1134" w:right="1797" w:bottom="1134"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46F722" w14:textId="77777777" w:rsidR="000014AC" w:rsidRDefault="000014AC" w:rsidP="00954679">
      <w:pPr>
        <w:spacing w:before="0" w:after="0"/>
      </w:pPr>
      <w:r>
        <w:separator/>
      </w:r>
    </w:p>
  </w:endnote>
  <w:endnote w:type="continuationSeparator" w:id="0">
    <w:p w14:paraId="3C2D7BC0" w14:textId="77777777" w:rsidR="000014AC" w:rsidRDefault="000014AC" w:rsidP="00954679">
      <w:pPr>
        <w:spacing w:before="0" w:after="0"/>
      </w:pPr>
      <w:r>
        <w:continuationSeparator/>
      </w:r>
    </w:p>
  </w:endnote>
  <w:endnote w:type="continuationNotice" w:id="1">
    <w:p w14:paraId="3BF1301A" w14:textId="77777777" w:rsidR="000014AC" w:rsidRDefault="000014A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640FDF6" w14:textId="77777777" w:rsidR="000014AC" w:rsidRDefault="000014AC"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F2B15" w14:textId="77777777" w:rsidR="000014AC" w:rsidRDefault="000014AC" w:rsidP="00954679">
      <w:pPr>
        <w:spacing w:before="0" w:after="0"/>
      </w:pPr>
      <w:r>
        <w:separator/>
      </w:r>
    </w:p>
  </w:footnote>
  <w:footnote w:type="continuationSeparator" w:id="0">
    <w:p w14:paraId="43016203" w14:textId="77777777" w:rsidR="000014AC" w:rsidRDefault="000014AC" w:rsidP="00954679">
      <w:pPr>
        <w:spacing w:before="0" w:after="0"/>
      </w:pPr>
      <w:r>
        <w:continuationSeparator/>
      </w:r>
    </w:p>
  </w:footnote>
  <w:footnote w:type="continuationNotice" w:id="1">
    <w:p w14:paraId="267558E1" w14:textId="77777777" w:rsidR="000014AC" w:rsidRDefault="000014AC">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E2913"/>
    <w:multiLevelType w:val="hybridMultilevel"/>
    <w:tmpl w:val="D0C0F6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535690"/>
    <w:multiLevelType w:val="hybridMultilevel"/>
    <w:tmpl w:val="56D47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05622A"/>
    <w:multiLevelType w:val="hybridMultilevel"/>
    <w:tmpl w:val="6860C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E05E3F"/>
    <w:multiLevelType w:val="multilevel"/>
    <w:tmpl w:val="17D8170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316F9F"/>
    <w:multiLevelType w:val="hybridMultilevel"/>
    <w:tmpl w:val="6BF0445E"/>
    <w:lvl w:ilvl="0" w:tplc="F3DE3D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7" w15:restartNumberingAfterBreak="0">
    <w:nsid w:val="67A43C0B"/>
    <w:multiLevelType w:val="multilevel"/>
    <w:tmpl w:val="9E640E8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2F62B0"/>
    <w:multiLevelType w:val="hybridMultilevel"/>
    <w:tmpl w:val="912A9184"/>
    <w:lvl w:ilvl="0" w:tplc="C3F2BF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2"/>
  </w:num>
  <w:num w:numId="5">
    <w:abstractNumId w:val="3"/>
  </w:num>
  <w:num w:numId="6">
    <w:abstractNumId w:val="0"/>
  </w:num>
  <w:num w:numId="7">
    <w:abstractNumId w:val="1"/>
  </w:num>
  <w:num w:numId="8">
    <w:abstractNumId w:val="4"/>
  </w:num>
  <w:num w:numId="9">
    <w:abstractNumId w:val="8"/>
  </w:num>
  <w:num w:numId="10">
    <w:abstractNumId w:val="6"/>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FE"/>
    <w:rsid w:val="00000E75"/>
    <w:rsid w:val="000014AC"/>
    <w:rsid w:val="00005068"/>
    <w:rsid w:val="00005BB8"/>
    <w:rsid w:val="0001004F"/>
    <w:rsid w:val="000102F6"/>
    <w:rsid w:val="00011450"/>
    <w:rsid w:val="00013390"/>
    <w:rsid w:val="0001384F"/>
    <w:rsid w:val="00013C3C"/>
    <w:rsid w:val="00013D3B"/>
    <w:rsid w:val="0001540E"/>
    <w:rsid w:val="0001567E"/>
    <w:rsid w:val="0001589C"/>
    <w:rsid w:val="00016375"/>
    <w:rsid w:val="00016EA2"/>
    <w:rsid w:val="000171E7"/>
    <w:rsid w:val="000177DB"/>
    <w:rsid w:val="000207D5"/>
    <w:rsid w:val="00023BE8"/>
    <w:rsid w:val="00023EEA"/>
    <w:rsid w:val="00031D10"/>
    <w:rsid w:val="00032D4B"/>
    <w:rsid w:val="00034965"/>
    <w:rsid w:val="00035A2C"/>
    <w:rsid w:val="000361DD"/>
    <w:rsid w:val="00036D10"/>
    <w:rsid w:val="00040683"/>
    <w:rsid w:val="0004271A"/>
    <w:rsid w:val="00043BBB"/>
    <w:rsid w:val="000461B5"/>
    <w:rsid w:val="00046395"/>
    <w:rsid w:val="000465D2"/>
    <w:rsid w:val="00052B63"/>
    <w:rsid w:val="000567B3"/>
    <w:rsid w:val="00056D57"/>
    <w:rsid w:val="00060431"/>
    <w:rsid w:val="00060D5B"/>
    <w:rsid w:val="000620B4"/>
    <w:rsid w:val="00064A8C"/>
    <w:rsid w:val="00070049"/>
    <w:rsid w:val="000728CC"/>
    <w:rsid w:val="00073B24"/>
    <w:rsid w:val="00074F3A"/>
    <w:rsid w:val="00075D3F"/>
    <w:rsid w:val="00076178"/>
    <w:rsid w:val="00077D49"/>
    <w:rsid w:val="00082207"/>
    <w:rsid w:val="00083029"/>
    <w:rsid w:val="00085690"/>
    <w:rsid w:val="00086183"/>
    <w:rsid w:val="00090625"/>
    <w:rsid w:val="00090E12"/>
    <w:rsid w:val="00091759"/>
    <w:rsid w:val="000924B3"/>
    <w:rsid w:val="00093950"/>
    <w:rsid w:val="00095211"/>
    <w:rsid w:val="000967E0"/>
    <w:rsid w:val="00096DDD"/>
    <w:rsid w:val="000A09A3"/>
    <w:rsid w:val="000A277C"/>
    <w:rsid w:val="000A2AFE"/>
    <w:rsid w:val="000A3E22"/>
    <w:rsid w:val="000A5B9E"/>
    <w:rsid w:val="000A651B"/>
    <w:rsid w:val="000A705B"/>
    <w:rsid w:val="000B2BFA"/>
    <w:rsid w:val="000B2C92"/>
    <w:rsid w:val="000B39A1"/>
    <w:rsid w:val="000B3D4A"/>
    <w:rsid w:val="000B49E6"/>
    <w:rsid w:val="000B4C01"/>
    <w:rsid w:val="000B6924"/>
    <w:rsid w:val="000C0FE5"/>
    <w:rsid w:val="000C10DF"/>
    <w:rsid w:val="000C1940"/>
    <w:rsid w:val="000C3E53"/>
    <w:rsid w:val="000C4568"/>
    <w:rsid w:val="000C5F00"/>
    <w:rsid w:val="000C6935"/>
    <w:rsid w:val="000D09D5"/>
    <w:rsid w:val="000D0E26"/>
    <w:rsid w:val="000D288E"/>
    <w:rsid w:val="000D3A76"/>
    <w:rsid w:val="000E0F2C"/>
    <w:rsid w:val="000E32E3"/>
    <w:rsid w:val="000E5DBA"/>
    <w:rsid w:val="000E6EE2"/>
    <w:rsid w:val="000F0F6B"/>
    <w:rsid w:val="000F3A72"/>
    <w:rsid w:val="000F58D6"/>
    <w:rsid w:val="000F74FB"/>
    <w:rsid w:val="000F7CF7"/>
    <w:rsid w:val="00102E22"/>
    <w:rsid w:val="00104C83"/>
    <w:rsid w:val="001053CB"/>
    <w:rsid w:val="00105B78"/>
    <w:rsid w:val="001135FA"/>
    <w:rsid w:val="0011392D"/>
    <w:rsid w:val="00113B45"/>
    <w:rsid w:val="00113DCA"/>
    <w:rsid w:val="00114B14"/>
    <w:rsid w:val="001155F3"/>
    <w:rsid w:val="00116FE3"/>
    <w:rsid w:val="00117DBF"/>
    <w:rsid w:val="001204E5"/>
    <w:rsid w:val="0012090B"/>
    <w:rsid w:val="00121A13"/>
    <w:rsid w:val="001223D7"/>
    <w:rsid w:val="00122F6F"/>
    <w:rsid w:val="001249D1"/>
    <w:rsid w:val="00124DC4"/>
    <w:rsid w:val="001334F4"/>
    <w:rsid w:val="001339EF"/>
    <w:rsid w:val="001366C4"/>
    <w:rsid w:val="001418CF"/>
    <w:rsid w:val="00144359"/>
    <w:rsid w:val="0015146F"/>
    <w:rsid w:val="00151840"/>
    <w:rsid w:val="00155AF1"/>
    <w:rsid w:val="00156BF5"/>
    <w:rsid w:val="00160014"/>
    <w:rsid w:val="00160226"/>
    <w:rsid w:val="001618A3"/>
    <w:rsid w:val="00162612"/>
    <w:rsid w:val="0016652A"/>
    <w:rsid w:val="00167833"/>
    <w:rsid w:val="00171AAC"/>
    <w:rsid w:val="00171BD3"/>
    <w:rsid w:val="00171F8C"/>
    <w:rsid w:val="00172BB9"/>
    <w:rsid w:val="00173C31"/>
    <w:rsid w:val="00177300"/>
    <w:rsid w:val="00181B1E"/>
    <w:rsid w:val="00185A67"/>
    <w:rsid w:val="00186354"/>
    <w:rsid w:val="00191A47"/>
    <w:rsid w:val="00193C50"/>
    <w:rsid w:val="00193D20"/>
    <w:rsid w:val="0019493D"/>
    <w:rsid w:val="001950E6"/>
    <w:rsid w:val="001966E6"/>
    <w:rsid w:val="0019700D"/>
    <w:rsid w:val="001A14C4"/>
    <w:rsid w:val="001A2403"/>
    <w:rsid w:val="001A27FA"/>
    <w:rsid w:val="001A3CE6"/>
    <w:rsid w:val="001A49C5"/>
    <w:rsid w:val="001A615C"/>
    <w:rsid w:val="001B2FCE"/>
    <w:rsid w:val="001B378F"/>
    <w:rsid w:val="001B6502"/>
    <w:rsid w:val="001B7535"/>
    <w:rsid w:val="001C45FE"/>
    <w:rsid w:val="001D0AC3"/>
    <w:rsid w:val="001D324D"/>
    <w:rsid w:val="001D358A"/>
    <w:rsid w:val="001D4168"/>
    <w:rsid w:val="001D68CF"/>
    <w:rsid w:val="001D703A"/>
    <w:rsid w:val="001D71F1"/>
    <w:rsid w:val="001D788B"/>
    <w:rsid w:val="001D7D32"/>
    <w:rsid w:val="001E1EE3"/>
    <w:rsid w:val="001E481C"/>
    <w:rsid w:val="001E61CB"/>
    <w:rsid w:val="001E6A74"/>
    <w:rsid w:val="001F0A4E"/>
    <w:rsid w:val="001F0E20"/>
    <w:rsid w:val="001F41D0"/>
    <w:rsid w:val="001F4CF8"/>
    <w:rsid w:val="00203BA0"/>
    <w:rsid w:val="002051E3"/>
    <w:rsid w:val="00206841"/>
    <w:rsid w:val="00207889"/>
    <w:rsid w:val="00211E39"/>
    <w:rsid w:val="00212A3B"/>
    <w:rsid w:val="00212DF5"/>
    <w:rsid w:val="00213298"/>
    <w:rsid w:val="00220F16"/>
    <w:rsid w:val="00221CEF"/>
    <w:rsid w:val="00223F74"/>
    <w:rsid w:val="002301B0"/>
    <w:rsid w:val="00235201"/>
    <w:rsid w:val="00235AA1"/>
    <w:rsid w:val="00237503"/>
    <w:rsid w:val="0024343F"/>
    <w:rsid w:val="00250AF4"/>
    <w:rsid w:val="00252695"/>
    <w:rsid w:val="00252F84"/>
    <w:rsid w:val="002531D4"/>
    <w:rsid w:val="00254C5B"/>
    <w:rsid w:val="00256A76"/>
    <w:rsid w:val="00260E99"/>
    <w:rsid w:val="00261326"/>
    <w:rsid w:val="00261621"/>
    <w:rsid w:val="002636A6"/>
    <w:rsid w:val="00265127"/>
    <w:rsid w:val="002673DF"/>
    <w:rsid w:val="00271C32"/>
    <w:rsid w:val="002725CA"/>
    <w:rsid w:val="002741A5"/>
    <w:rsid w:val="0027568A"/>
    <w:rsid w:val="00275741"/>
    <w:rsid w:val="002823F7"/>
    <w:rsid w:val="002830CE"/>
    <w:rsid w:val="00284862"/>
    <w:rsid w:val="00291138"/>
    <w:rsid w:val="00294299"/>
    <w:rsid w:val="002962C1"/>
    <w:rsid w:val="00296AE7"/>
    <w:rsid w:val="00297024"/>
    <w:rsid w:val="002973E8"/>
    <w:rsid w:val="002A0761"/>
    <w:rsid w:val="002A5F37"/>
    <w:rsid w:val="002A7E1F"/>
    <w:rsid w:val="002B3ACF"/>
    <w:rsid w:val="002B63D5"/>
    <w:rsid w:val="002B7E40"/>
    <w:rsid w:val="002C06CA"/>
    <w:rsid w:val="002C0775"/>
    <w:rsid w:val="002C226C"/>
    <w:rsid w:val="002C2762"/>
    <w:rsid w:val="002C2F02"/>
    <w:rsid w:val="002C5715"/>
    <w:rsid w:val="002C704D"/>
    <w:rsid w:val="002D1EA4"/>
    <w:rsid w:val="002D2FD2"/>
    <w:rsid w:val="002D36DC"/>
    <w:rsid w:val="002D6CE9"/>
    <w:rsid w:val="002E0328"/>
    <w:rsid w:val="002E0C9C"/>
    <w:rsid w:val="002E504D"/>
    <w:rsid w:val="002F191F"/>
    <w:rsid w:val="002F196D"/>
    <w:rsid w:val="002F31E1"/>
    <w:rsid w:val="0030005F"/>
    <w:rsid w:val="00300133"/>
    <w:rsid w:val="00300C94"/>
    <w:rsid w:val="0030410C"/>
    <w:rsid w:val="003041FA"/>
    <w:rsid w:val="00305515"/>
    <w:rsid w:val="0030692E"/>
    <w:rsid w:val="00313ADC"/>
    <w:rsid w:val="003144DC"/>
    <w:rsid w:val="00314662"/>
    <w:rsid w:val="00315D24"/>
    <w:rsid w:val="00320A6E"/>
    <w:rsid w:val="00321115"/>
    <w:rsid w:val="00322AF2"/>
    <w:rsid w:val="00325093"/>
    <w:rsid w:val="00327DD9"/>
    <w:rsid w:val="003342CD"/>
    <w:rsid w:val="00335042"/>
    <w:rsid w:val="003361F3"/>
    <w:rsid w:val="00344938"/>
    <w:rsid w:val="00351222"/>
    <w:rsid w:val="00351E10"/>
    <w:rsid w:val="003528A9"/>
    <w:rsid w:val="00353D5E"/>
    <w:rsid w:val="0035565C"/>
    <w:rsid w:val="00355E41"/>
    <w:rsid w:val="00357030"/>
    <w:rsid w:val="003572D2"/>
    <w:rsid w:val="003579DB"/>
    <w:rsid w:val="00362B70"/>
    <w:rsid w:val="00364F7F"/>
    <w:rsid w:val="003659EF"/>
    <w:rsid w:val="003671E6"/>
    <w:rsid w:val="003674E5"/>
    <w:rsid w:val="00367DEB"/>
    <w:rsid w:val="003777F8"/>
    <w:rsid w:val="0038440F"/>
    <w:rsid w:val="003845EA"/>
    <w:rsid w:val="003846F3"/>
    <w:rsid w:val="00390C5F"/>
    <w:rsid w:val="00390D08"/>
    <w:rsid w:val="00392BBA"/>
    <w:rsid w:val="00392FAF"/>
    <w:rsid w:val="003954FD"/>
    <w:rsid w:val="003A5691"/>
    <w:rsid w:val="003B1EF7"/>
    <w:rsid w:val="003B30D4"/>
    <w:rsid w:val="003B4367"/>
    <w:rsid w:val="003B4CBC"/>
    <w:rsid w:val="003B52E4"/>
    <w:rsid w:val="003B7585"/>
    <w:rsid w:val="003B7E35"/>
    <w:rsid w:val="003C02C1"/>
    <w:rsid w:val="003C222C"/>
    <w:rsid w:val="003C23C5"/>
    <w:rsid w:val="003C4C90"/>
    <w:rsid w:val="003C65FF"/>
    <w:rsid w:val="003C7907"/>
    <w:rsid w:val="003C7B90"/>
    <w:rsid w:val="003C7D0D"/>
    <w:rsid w:val="003D0FA8"/>
    <w:rsid w:val="003D3FE9"/>
    <w:rsid w:val="003D4215"/>
    <w:rsid w:val="003D4A00"/>
    <w:rsid w:val="003D4BEA"/>
    <w:rsid w:val="003D55DB"/>
    <w:rsid w:val="003D60D5"/>
    <w:rsid w:val="003D60D7"/>
    <w:rsid w:val="003D7C2D"/>
    <w:rsid w:val="003D7F8C"/>
    <w:rsid w:val="003E1CE3"/>
    <w:rsid w:val="003E6DB8"/>
    <w:rsid w:val="003F08C1"/>
    <w:rsid w:val="003F24B8"/>
    <w:rsid w:val="003F3704"/>
    <w:rsid w:val="003F440B"/>
    <w:rsid w:val="003F7B9F"/>
    <w:rsid w:val="0040375B"/>
    <w:rsid w:val="00403BF2"/>
    <w:rsid w:val="004044E2"/>
    <w:rsid w:val="00404A70"/>
    <w:rsid w:val="00405B8B"/>
    <w:rsid w:val="004063F5"/>
    <w:rsid w:val="00406BFF"/>
    <w:rsid w:val="00407F54"/>
    <w:rsid w:val="00410B18"/>
    <w:rsid w:val="004120E1"/>
    <w:rsid w:val="004122CC"/>
    <w:rsid w:val="004136B5"/>
    <w:rsid w:val="00425878"/>
    <w:rsid w:val="00427457"/>
    <w:rsid w:val="00427A3B"/>
    <w:rsid w:val="0043039F"/>
    <w:rsid w:val="00431156"/>
    <w:rsid w:val="00433612"/>
    <w:rsid w:val="00433DBD"/>
    <w:rsid w:val="00435956"/>
    <w:rsid w:val="00435F64"/>
    <w:rsid w:val="004412DD"/>
    <w:rsid w:val="00441448"/>
    <w:rsid w:val="004414EB"/>
    <w:rsid w:val="00441BE0"/>
    <w:rsid w:val="00442CB2"/>
    <w:rsid w:val="00446410"/>
    <w:rsid w:val="0045196C"/>
    <w:rsid w:val="00452260"/>
    <w:rsid w:val="004527A2"/>
    <w:rsid w:val="004530C2"/>
    <w:rsid w:val="004533CB"/>
    <w:rsid w:val="004568A2"/>
    <w:rsid w:val="00456C06"/>
    <w:rsid w:val="00456F98"/>
    <w:rsid w:val="0046101D"/>
    <w:rsid w:val="00461785"/>
    <w:rsid w:val="00462095"/>
    <w:rsid w:val="00464A1B"/>
    <w:rsid w:val="00470435"/>
    <w:rsid w:val="00471E12"/>
    <w:rsid w:val="0047220D"/>
    <w:rsid w:val="00474057"/>
    <w:rsid w:val="004742A7"/>
    <w:rsid w:val="00474DEF"/>
    <w:rsid w:val="00476F71"/>
    <w:rsid w:val="00477609"/>
    <w:rsid w:val="00477E63"/>
    <w:rsid w:val="00480649"/>
    <w:rsid w:val="00481044"/>
    <w:rsid w:val="00481454"/>
    <w:rsid w:val="00482B81"/>
    <w:rsid w:val="00482D4C"/>
    <w:rsid w:val="004951A4"/>
    <w:rsid w:val="004972FA"/>
    <w:rsid w:val="004A217F"/>
    <w:rsid w:val="004A3FA1"/>
    <w:rsid w:val="004A4BB7"/>
    <w:rsid w:val="004A696E"/>
    <w:rsid w:val="004A71A5"/>
    <w:rsid w:val="004B0307"/>
    <w:rsid w:val="004B1F2C"/>
    <w:rsid w:val="004B332F"/>
    <w:rsid w:val="004B36B9"/>
    <w:rsid w:val="004B3C0F"/>
    <w:rsid w:val="004B5D36"/>
    <w:rsid w:val="004B6DBF"/>
    <w:rsid w:val="004C05E4"/>
    <w:rsid w:val="004C3D54"/>
    <w:rsid w:val="004C6836"/>
    <w:rsid w:val="004C7501"/>
    <w:rsid w:val="004D22A8"/>
    <w:rsid w:val="004D370B"/>
    <w:rsid w:val="004D6341"/>
    <w:rsid w:val="004D7CE3"/>
    <w:rsid w:val="004E109C"/>
    <w:rsid w:val="004E1E1A"/>
    <w:rsid w:val="004E39E1"/>
    <w:rsid w:val="004E5B53"/>
    <w:rsid w:val="004E5EEA"/>
    <w:rsid w:val="004F0D94"/>
    <w:rsid w:val="004F275C"/>
    <w:rsid w:val="004F31F7"/>
    <w:rsid w:val="004F3A07"/>
    <w:rsid w:val="004F4F33"/>
    <w:rsid w:val="004F56D0"/>
    <w:rsid w:val="00500136"/>
    <w:rsid w:val="005016D9"/>
    <w:rsid w:val="00502891"/>
    <w:rsid w:val="00503E44"/>
    <w:rsid w:val="00505AE6"/>
    <w:rsid w:val="0051004C"/>
    <w:rsid w:val="00510D45"/>
    <w:rsid w:val="005113F7"/>
    <w:rsid w:val="00512070"/>
    <w:rsid w:val="00512775"/>
    <w:rsid w:val="00515283"/>
    <w:rsid w:val="0051607E"/>
    <w:rsid w:val="0052342D"/>
    <w:rsid w:val="00527A15"/>
    <w:rsid w:val="00533926"/>
    <w:rsid w:val="00550ABB"/>
    <w:rsid w:val="0055168B"/>
    <w:rsid w:val="00552ABF"/>
    <w:rsid w:val="00555745"/>
    <w:rsid w:val="0055675D"/>
    <w:rsid w:val="00557E7E"/>
    <w:rsid w:val="00560D09"/>
    <w:rsid w:val="0056318B"/>
    <w:rsid w:val="005658BB"/>
    <w:rsid w:val="005664F7"/>
    <w:rsid w:val="00566E8F"/>
    <w:rsid w:val="00572CAD"/>
    <w:rsid w:val="0057422E"/>
    <w:rsid w:val="00576892"/>
    <w:rsid w:val="00576EE2"/>
    <w:rsid w:val="00580054"/>
    <w:rsid w:val="00581032"/>
    <w:rsid w:val="00582BE6"/>
    <w:rsid w:val="00582E3F"/>
    <w:rsid w:val="005833BE"/>
    <w:rsid w:val="00586349"/>
    <w:rsid w:val="0058700E"/>
    <w:rsid w:val="005922C0"/>
    <w:rsid w:val="00592B2D"/>
    <w:rsid w:val="00595634"/>
    <w:rsid w:val="00595B01"/>
    <w:rsid w:val="00596419"/>
    <w:rsid w:val="00597322"/>
    <w:rsid w:val="005A1A1E"/>
    <w:rsid w:val="005A2974"/>
    <w:rsid w:val="005A5FDF"/>
    <w:rsid w:val="005A6CCA"/>
    <w:rsid w:val="005A788B"/>
    <w:rsid w:val="005A7E87"/>
    <w:rsid w:val="005B0CED"/>
    <w:rsid w:val="005B14F6"/>
    <w:rsid w:val="005B3799"/>
    <w:rsid w:val="005B3E65"/>
    <w:rsid w:val="005B5F74"/>
    <w:rsid w:val="005C1BA3"/>
    <w:rsid w:val="005C2B84"/>
    <w:rsid w:val="005C36BB"/>
    <w:rsid w:val="005C5A4F"/>
    <w:rsid w:val="005D0895"/>
    <w:rsid w:val="005D0E53"/>
    <w:rsid w:val="005D18FF"/>
    <w:rsid w:val="005D3E15"/>
    <w:rsid w:val="005D59DD"/>
    <w:rsid w:val="005D615D"/>
    <w:rsid w:val="005D67DA"/>
    <w:rsid w:val="005D6C5B"/>
    <w:rsid w:val="005D7D5A"/>
    <w:rsid w:val="005E03BE"/>
    <w:rsid w:val="005E0FA5"/>
    <w:rsid w:val="005E1F73"/>
    <w:rsid w:val="005E3078"/>
    <w:rsid w:val="005E3265"/>
    <w:rsid w:val="005E4BAC"/>
    <w:rsid w:val="005E61B0"/>
    <w:rsid w:val="005E67AD"/>
    <w:rsid w:val="005E7DE4"/>
    <w:rsid w:val="005F0015"/>
    <w:rsid w:val="005F0ED1"/>
    <w:rsid w:val="005F1486"/>
    <w:rsid w:val="005F3371"/>
    <w:rsid w:val="005F33AD"/>
    <w:rsid w:val="005F5319"/>
    <w:rsid w:val="005F5FF7"/>
    <w:rsid w:val="0060130D"/>
    <w:rsid w:val="00602F2D"/>
    <w:rsid w:val="00603360"/>
    <w:rsid w:val="006046B9"/>
    <w:rsid w:val="00605089"/>
    <w:rsid w:val="006148FC"/>
    <w:rsid w:val="00614D57"/>
    <w:rsid w:val="00615D64"/>
    <w:rsid w:val="006178CF"/>
    <w:rsid w:val="00620DD1"/>
    <w:rsid w:val="00622210"/>
    <w:rsid w:val="0062439B"/>
    <w:rsid w:val="00625DFA"/>
    <w:rsid w:val="00626077"/>
    <w:rsid w:val="006277DE"/>
    <w:rsid w:val="00627D89"/>
    <w:rsid w:val="0063050E"/>
    <w:rsid w:val="00630647"/>
    <w:rsid w:val="0063192F"/>
    <w:rsid w:val="00631B46"/>
    <w:rsid w:val="00632503"/>
    <w:rsid w:val="00632E83"/>
    <w:rsid w:val="00633618"/>
    <w:rsid w:val="00635192"/>
    <w:rsid w:val="006360B1"/>
    <w:rsid w:val="0063707E"/>
    <w:rsid w:val="00641116"/>
    <w:rsid w:val="0064129F"/>
    <w:rsid w:val="006436BE"/>
    <w:rsid w:val="0064572A"/>
    <w:rsid w:val="00646A77"/>
    <w:rsid w:val="00646CAE"/>
    <w:rsid w:val="00646D55"/>
    <w:rsid w:val="00647BB7"/>
    <w:rsid w:val="00650C39"/>
    <w:rsid w:val="0065130E"/>
    <w:rsid w:val="00652C2A"/>
    <w:rsid w:val="006540CB"/>
    <w:rsid w:val="0065495F"/>
    <w:rsid w:val="006549A7"/>
    <w:rsid w:val="00654D9D"/>
    <w:rsid w:val="0065603E"/>
    <w:rsid w:val="006604E5"/>
    <w:rsid w:val="00660F67"/>
    <w:rsid w:val="00664189"/>
    <w:rsid w:val="006653FA"/>
    <w:rsid w:val="0066672D"/>
    <w:rsid w:val="006707CC"/>
    <w:rsid w:val="00671304"/>
    <w:rsid w:val="0067585C"/>
    <w:rsid w:val="00680297"/>
    <w:rsid w:val="006808DD"/>
    <w:rsid w:val="00683C61"/>
    <w:rsid w:val="00685946"/>
    <w:rsid w:val="00685961"/>
    <w:rsid w:val="006873CE"/>
    <w:rsid w:val="006915F1"/>
    <w:rsid w:val="00691BEA"/>
    <w:rsid w:val="006920C1"/>
    <w:rsid w:val="00692832"/>
    <w:rsid w:val="00692F00"/>
    <w:rsid w:val="00694DA3"/>
    <w:rsid w:val="00694E18"/>
    <w:rsid w:val="0069797D"/>
    <w:rsid w:val="006A0786"/>
    <w:rsid w:val="006A2AD6"/>
    <w:rsid w:val="006A53AC"/>
    <w:rsid w:val="006A653E"/>
    <w:rsid w:val="006B0229"/>
    <w:rsid w:val="006B050D"/>
    <w:rsid w:val="006B2518"/>
    <w:rsid w:val="006B2CF2"/>
    <w:rsid w:val="006B353B"/>
    <w:rsid w:val="006B3857"/>
    <w:rsid w:val="006B57B5"/>
    <w:rsid w:val="006B733E"/>
    <w:rsid w:val="006C026B"/>
    <w:rsid w:val="006C4147"/>
    <w:rsid w:val="006C4B69"/>
    <w:rsid w:val="006C66DA"/>
    <w:rsid w:val="006C7AF5"/>
    <w:rsid w:val="006D1435"/>
    <w:rsid w:val="006D15C7"/>
    <w:rsid w:val="006D421B"/>
    <w:rsid w:val="006D423E"/>
    <w:rsid w:val="006D72C4"/>
    <w:rsid w:val="006E0B62"/>
    <w:rsid w:val="006E0EBB"/>
    <w:rsid w:val="006E2303"/>
    <w:rsid w:val="006E2C9F"/>
    <w:rsid w:val="006E3BBD"/>
    <w:rsid w:val="006E4457"/>
    <w:rsid w:val="006E4C08"/>
    <w:rsid w:val="006E7B99"/>
    <w:rsid w:val="006F2453"/>
    <w:rsid w:val="006F39A2"/>
    <w:rsid w:val="006F3AEC"/>
    <w:rsid w:val="006F74F5"/>
    <w:rsid w:val="0070221C"/>
    <w:rsid w:val="0070292C"/>
    <w:rsid w:val="00702EE2"/>
    <w:rsid w:val="0070483B"/>
    <w:rsid w:val="00710E94"/>
    <w:rsid w:val="00710F14"/>
    <w:rsid w:val="00711DBE"/>
    <w:rsid w:val="0071299B"/>
    <w:rsid w:val="007149CB"/>
    <w:rsid w:val="007153B8"/>
    <w:rsid w:val="00716900"/>
    <w:rsid w:val="00717F8C"/>
    <w:rsid w:val="007212DB"/>
    <w:rsid w:val="0072148D"/>
    <w:rsid w:val="00725D53"/>
    <w:rsid w:val="00727D8A"/>
    <w:rsid w:val="00731FEA"/>
    <w:rsid w:val="00733930"/>
    <w:rsid w:val="00736F61"/>
    <w:rsid w:val="00742253"/>
    <w:rsid w:val="0074512C"/>
    <w:rsid w:val="007451A8"/>
    <w:rsid w:val="00745230"/>
    <w:rsid w:val="00746518"/>
    <w:rsid w:val="00746535"/>
    <w:rsid w:val="00746839"/>
    <w:rsid w:val="00747CA2"/>
    <w:rsid w:val="007535F6"/>
    <w:rsid w:val="00764499"/>
    <w:rsid w:val="007662C7"/>
    <w:rsid w:val="0076719E"/>
    <w:rsid w:val="007708BD"/>
    <w:rsid w:val="00775805"/>
    <w:rsid w:val="00775C84"/>
    <w:rsid w:val="00776306"/>
    <w:rsid w:val="00780B72"/>
    <w:rsid w:val="007824D3"/>
    <w:rsid w:val="007847F6"/>
    <w:rsid w:val="007906E9"/>
    <w:rsid w:val="00790D5F"/>
    <w:rsid w:val="007A0186"/>
    <w:rsid w:val="007A2E92"/>
    <w:rsid w:val="007A484F"/>
    <w:rsid w:val="007A5455"/>
    <w:rsid w:val="007A55A7"/>
    <w:rsid w:val="007A7437"/>
    <w:rsid w:val="007B0D6E"/>
    <w:rsid w:val="007B1F10"/>
    <w:rsid w:val="007B2545"/>
    <w:rsid w:val="007B2EB7"/>
    <w:rsid w:val="007B30AF"/>
    <w:rsid w:val="007B335E"/>
    <w:rsid w:val="007B52E1"/>
    <w:rsid w:val="007C0888"/>
    <w:rsid w:val="007C0976"/>
    <w:rsid w:val="007C6887"/>
    <w:rsid w:val="007C741D"/>
    <w:rsid w:val="007D09B2"/>
    <w:rsid w:val="007D3CAC"/>
    <w:rsid w:val="007D63D1"/>
    <w:rsid w:val="007E018D"/>
    <w:rsid w:val="007E05E5"/>
    <w:rsid w:val="007E2A28"/>
    <w:rsid w:val="007E2DA2"/>
    <w:rsid w:val="007E31CA"/>
    <w:rsid w:val="007E3EE8"/>
    <w:rsid w:val="007E49B0"/>
    <w:rsid w:val="007E7E5A"/>
    <w:rsid w:val="007F0F4A"/>
    <w:rsid w:val="007F19C4"/>
    <w:rsid w:val="007F1AFE"/>
    <w:rsid w:val="007F1B71"/>
    <w:rsid w:val="007F2856"/>
    <w:rsid w:val="007F3D4A"/>
    <w:rsid w:val="007F3FBE"/>
    <w:rsid w:val="007F46D9"/>
    <w:rsid w:val="007F571B"/>
    <w:rsid w:val="00802F2F"/>
    <w:rsid w:val="00803855"/>
    <w:rsid w:val="008042BC"/>
    <w:rsid w:val="00805EEF"/>
    <w:rsid w:val="00807E7D"/>
    <w:rsid w:val="00811D60"/>
    <w:rsid w:val="00813210"/>
    <w:rsid w:val="00816CB0"/>
    <w:rsid w:val="00820652"/>
    <w:rsid w:val="008226F7"/>
    <w:rsid w:val="00825115"/>
    <w:rsid w:val="00826250"/>
    <w:rsid w:val="0082694B"/>
    <w:rsid w:val="00831675"/>
    <w:rsid w:val="008322EE"/>
    <w:rsid w:val="00832390"/>
    <w:rsid w:val="00835958"/>
    <w:rsid w:val="00836442"/>
    <w:rsid w:val="00836A06"/>
    <w:rsid w:val="00837B2A"/>
    <w:rsid w:val="00841171"/>
    <w:rsid w:val="008445FD"/>
    <w:rsid w:val="00851191"/>
    <w:rsid w:val="00851214"/>
    <w:rsid w:val="00851BE7"/>
    <w:rsid w:val="00852AC8"/>
    <w:rsid w:val="00856036"/>
    <w:rsid w:val="0085785F"/>
    <w:rsid w:val="0086083F"/>
    <w:rsid w:val="00863687"/>
    <w:rsid w:val="00872919"/>
    <w:rsid w:val="00872BA2"/>
    <w:rsid w:val="008750B4"/>
    <w:rsid w:val="0087668B"/>
    <w:rsid w:val="00877237"/>
    <w:rsid w:val="0088103F"/>
    <w:rsid w:val="008815F4"/>
    <w:rsid w:val="0088467C"/>
    <w:rsid w:val="00885052"/>
    <w:rsid w:val="00890C81"/>
    <w:rsid w:val="0089385B"/>
    <w:rsid w:val="00894325"/>
    <w:rsid w:val="00894579"/>
    <w:rsid w:val="008960A5"/>
    <w:rsid w:val="008972D3"/>
    <w:rsid w:val="008A1B79"/>
    <w:rsid w:val="008A3373"/>
    <w:rsid w:val="008A502B"/>
    <w:rsid w:val="008A5B67"/>
    <w:rsid w:val="008B2816"/>
    <w:rsid w:val="008B5DC8"/>
    <w:rsid w:val="008B68D4"/>
    <w:rsid w:val="008C0DB1"/>
    <w:rsid w:val="008C34BD"/>
    <w:rsid w:val="008C38FC"/>
    <w:rsid w:val="008C39BB"/>
    <w:rsid w:val="008C5498"/>
    <w:rsid w:val="008D095B"/>
    <w:rsid w:val="008D16F7"/>
    <w:rsid w:val="008D1D80"/>
    <w:rsid w:val="008D34FA"/>
    <w:rsid w:val="008D372E"/>
    <w:rsid w:val="008D62C1"/>
    <w:rsid w:val="008D6AF5"/>
    <w:rsid w:val="008E1427"/>
    <w:rsid w:val="008E3587"/>
    <w:rsid w:val="008E4532"/>
    <w:rsid w:val="008E61B0"/>
    <w:rsid w:val="008E7208"/>
    <w:rsid w:val="008E78A5"/>
    <w:rsid w:val="008E7BE7"/>
    <w:rsid w:val="008F0ABA"/>
    <w:rsid w:val="008F1837"/>
    <w:rsid w:val="008F374D"/>
    <w:rsid w:val="008F6E6F"/>
    <w:rsid w:val="008F6F91"/>
    <w:rsid w:val="009022FF"/>
    <w:rsid w:val="00903ECB"/>
    <w:rsid w:val="009040F0"/>
    <w:rsid w:val="009063AB"/>
    <w:rsid w:val="00910053"/>
    <w:rsid w:val="009101D2"/>
    <w:rsid w:val="0091207D"/>
    <w:rsid w:val="009143A0"/>
    <w:rsid w:val="00915491"/>
    <w:rsid w:val="00916FD4"/>
    <w:rsid w:val="00923B4B"/>
    <w:rsid w:val="0092750B"/>
    <w:rsid w:val="00927F13"/>
    <w:rsid w:val="0093133C"/>
    <w:rsid w:val="00932C9E"/>
    <w:rsid w:val="009330FE"/>
    <w:rsid w:val="00934294"/>
    <w:rsid w:val="009363EC"/>
    <w:rsid w:val="00936902"/>
    <w:rsid w:val="0095187D"/>
    <w:rsid w:val="00952C1E"/>
    <w:rsid w:val="0095306E"/>
    <w:rsid w:val="0095315A"/>
    <w:rsid w:val="00954679"/>
    <w:rsid w:val="009572AC"/>
    <w:rsid w:val="00960ECA"/>
    <w:rsid w:val="009610BB"/>
    <w:rsid w:val="00963A7E"/>
    <w:rsid w:val="00966C39"/>
    <w:rsid w:val="00967A7B"/>
    <w:rsid w:val="0097215A"/>
    <w:rsid w:val="009751E3"/>
    <w:rsid w:val="009760D0"/>
    <w:rsid w:val="00976DB8"/>
    <w:rsid w:val="009869C1"/>
    <w:rsid w:val="00991C91"/>
    <w:rsid w:val="00993C75"/>
    <w:rsid w:val="00996118"/>
    <w:rsid w:val="00996BC6"/>
    <w:rsid w:val="00996F10"/>
    <w:rsid w:val="009971CF"/>
    <w:rsid w:val="009A0EB0"/>
    <w:rsid w:val="009A1885"/>
    <w:rsid w:val="009A49D7"/>
    <w:rsid w:val="009A63FB"/>
    <w:rsid w:val="009B2660"/>
    <w:rsid w:val="009B3305"/>
    <w:rsid w:val="009B46B5"/>
    <w:rsid w:val="009B7155"/>
    <w:rsid w:val="009B7635"/>
    <w:rsid w:val="009C6A1E"/>
    <w:rsid w:val="009D1414"/>
    <w:rsid w:val="009D3F8C"/>
    <w:rsid w:val="009D47BD"/>
    <w:rsid w:val="009D62D8"/>
    <w:rsid w:val="009D744F"/>
    <w:rsid w:val="009E0B28"/>
    <w:rsid w:val="009E2F86"/>
    <w:rsid w:val="009E3D1A"/>
    <w:rsid w:val="009E40DA"/>
    <w:rsid w:val="009F0D65"/>
    <w:rsid w:val="009F250B"/>
    <w:rsid w:val="009F6136"/>
    <w:rsid w:val="009F6E55"/>
    <w:rsid w:val="00A03A25"/>
    <w:rsid w:val="00A046D0"/>
    <w:rsid w:val="00A04D8A"/>
    <w:rsid w:val="00A12209"/>
    <w:rsid w:val="00A13933"/>
    <w:rsid w:val="00A207A4"/>
    <w:rsid w:val="00A2085E"/>
    <w:rsid w:val="00A20E81"/>
    <w:rsid w:val="00A21344"/>
    <w:rsid w:val="00A21ED4"/>
    <w:rsid w:val="00A2204D"/>
    <w:rsid w:val="00A23DDC"/>
    <w:rsid w:val="00A27176"/>
    <w:rsid w:val="00A3336E"/>
    <w:rsid w:val="00A3590F"/>
    <w:rsid w:val="00A36DF2"/>
    <w:rsid w:val="00A36DF3"/>
    <w:rsid w:val="00A448C4"/>
    <w:rsid w:val="00A47F94"/>
    <w:rsid w:val="00A50499"/>
    <w:rsid w:val="00A50A84"/>
    <w:rsid w:val="00A532DD"/>
    <w:rsid w:val="00A556A9"/>
    <w:rsid w:val="00A62884"/>
    <w:rsid w:val="00A63C8B"/>
    <w:rsid w:val="00A63FE4"/>
    <w:rsid w:val="00A6477C"/>
    <w:rsid w:val="00A64792"/>
    <w:rsid w:val="00A65318"/>
    <w:rsid w:val="00A73715"/>
    <w:rsid w:val="00A74088"/>
    <w:rsid w:val="00A741E4"/>
    <w:rsid w:val="00A75CEF"/>
    <w:rsid w:val="00A80BCF"/>
    <w:rsid w:val="00A80F69"/>
    <w:rsid w:val="00A81970"/>
    <w:rsid w:val="00A8369C"/>
    <w:rsid w:val="00A8663D"/>
    <w:rsid w:val="00A866D8"/>
    <w:rsid w:val="00A8691C"/>
    <w:rsid w:val="00A874F3"/>
    <w:rsid w:val="00A9069B"/>
    <w:rsid w:val="00A92B7D"/>
    <w:rsid w:val="00A92D51"/>
    <w:rsid w:val="00A93BC7"/>
    <w:rsid w:val="00A94D14"/>
    <w:rsid w:val="00A94E0D"/>
    <w:rsid w:val="00A952B1"/>
    <w:rsid w:val="00A95862"/>
    <w:rsid w:val="00A97E04"/>
    <w:rsid w:val="00AA10B2"/>
    <w:rsid w:val="00AA1689"/>
    <w:rsid w:val="00AA5770"/>
    <w:rsid w:val="00AB18BF"/>
    <w:rsid w:val="00AC00FD"/>
    <w:rsid w:val="00AC1D15"/>
    <w:rsid w:val="00AC2227"/>
    <w:rsid w:val="00AC4C97"/>
    <w:rsid w:val="00AD49F0"/>
    <w:rsid w:val="00AD5979"/>
    <w:rsid w:val="00AD700F"/>
    <w:rsid w:val="00AE31A4"/>
    <w:rsid w:val="00AE5114"/>
    <w:rsid w:val="00AE52C2"/>
    <w:rsid w:val="00AE6935"/>
    <w:rsid w:val="00AE6EE6"/>
    <w:rsid w:val="00AE7281"/>
    <w:rsid w:val="00AE7737"/>
    <w:rsid w:val="00AF19BA"/>
    <w:rsid w:val="00AF1B17"/>
    <w:rsid w:val="00AF2FB6"/>
    <w:rsid w:val="00AF3E82"/>
    <w:rsid w:val="00AF4B7A"/>
    <w:rsid w:val="00B0657A"/>
    <w:rsid w:val="00B07B0C"/>
    <w:rsid w:val="00B1203C"/>
    <w:rsid w:val="00B150AF"/>
    <w:rsid w:val="00B15292"/>
    <w:rsid w:val="00B15FAA"/>
    <w:rsid w:val="00B16F3D"/>
    <w:rsid w:val="00B17388"/>
    <w:rsid w:val="00B20A6B"/>
    <w:rsid w:val="00B22E90"/>
    <w:rsid w:val="00B232F1"/>
    <w:rsid w:val="00B25563"/>
    <w:rsid w:val="00B25A5F"/>
    <w:rsid w:val="00B260B1"/>
    <w:rsid w:val="00B26D48"/>
    <w:rsid w:val="00B37FC8"/>
    <w:rsid w:val="00B42EE1"/>
    <w:rsid w:val="00B4773C"/>
    <w:rsid w:val="00B52DB1"/>
    <w:rsid w:val="00B56AFF"/>
    <w:rsid w:val="00B56B9C"/>
    <w:rsid w:val="00B60A4A"/>
    <w:rsid w:val="00B64702"/>
    <w:rsid w:val="00B66607"/>
    <w:rsid w:val="00B667ED"/>
    <w:rsid w:val="00B675FF"/>
    <w:rsid w:val="00B720E3"/>
    <w:rsid w:val="00B75381"/>
    <w:rsid w:val="00B75587"/>
    <w:rsid w:val="00B7577B"/>
    <w:rsid w:val="00B75BB6"/>
    <w:rsid w:val="00B75F6D"/>
    <w:rsid w:val="00B764D9"/>
    <w:rsid w:val="00B82362"/>
    <w:rsid w:val="00B8293D"/>
    <w:rsid w:val="00B84318"/>
    <w:rsid w:val="00B8451D"/>
    <w:rsid w:val="00B84DE4"/>
    <w:rsid w:val="00B86C28"/>
    <w:rsid w:val="00B872BE"/>
    <w:rsid w:val="00B90087"/>
    <w:rsid w:val="00B9209D"/>
    <w:rsid w:val="00B9219C"/>
    <w:rsid w:val="00B92478"/>
    <w:rsid w:val="00B95BB5"/>
    <w:rsid w:val="00B96089"/>
    <w:rsid w:val="00B9729B"/>
    <w:rsid w:val="00B97B5D"/>
    <w:rsid w:val="00BA034F"/>
    <w:rsid w:val="00BA29EF"/>
    <w:rsid w:val="00BA2AAD"/>
    <w:rsid w:val="00BA4EF8"/>
    <w:rsid w:val="00BA6188"/>
    <w:rsid w:val="00BB0D53"/>
    <w:rsid w:val="00BB1580"/>
    <w:rsid w:val="00BB1CE3"/>
    <w:rsid w:val="00BB7E7E"/>
    <w:rsid w:val="00BC20B8"/>
    <w:rsid w:val="00BC2CEF"/>
    <w:rsid w:val="00BC3819"/>
    <w:rsid w:val="00BC3DD9"/>
    <w:rsid w:val="00BC4250"/>
    <w:rsid w:val="00BC4B75"/>
    <w:rsid w:val="00BC71DF"/>
    <w:rsid w:val="00BD0F26"/>
    <w:rsid w:val="00BD2328"/>
    <w:rsid w:val="00BD3A39"/>
    <w:rsid w:val="00BD61A2"/>
    <w:rsid w:val="00BD70BA"/>
    <w:rsid w:val="00BD7680"/>
    <w:rsid w:val="00BE484D"/>
    <w:rsid w:val="00BE5A83"/>
    <w:rsid w:val="00BE65B2"/>
    <w:rsid w:val="00BF060F"/>
    <w:rsid w:val="00BF1B61"/>
    <w:rsid w:val="00BF2569"/>
    <w:rsid w:val="00BF2CAC"/>
    <w:rsid w:val="00BF3390"/>
    <w:rsid w:val="00BF5AEC"/>
    <w:rsid w:val="00BF66D2"/>
    <w:rsid w:val="00C00EB5"/>
    <w:rsid w:val="00C035A5"/>
    <w:rsid w:val="00C037BD"/>
    <w:rsid w:val="00C10255"/>
    <w:rsid w:val="00C10327"/>
    <w:rsid w:val="00C13C0A"/>
    <w:rsid w:val="00C16040"/>
    <w:rsid w:val="00C1717D"/>
    <w:rsid w:val="00C20912"/>
    <w:rsid w:val="00C22AA9"/>
    <w:rsid w:val="00C255A4"/>
    <w:rsid w:val="00C26CF1"/>
    <w:rsid w:val="00C3191A"/>
    <w:rsid w:val="00C35A16"/>
    <w:rsid w:val="00C3752B"/>
    <w:rsid w:val="00C37E05"/>
    <w:rsid w:val="00C409EE"/>
    <w:rsid w:val="00C43C43"/>
    <w:rsid w:val="00C43F57"/>
    <w:rsid w:val="00C52C18"/>
    <w:rsid w:val="00C5466F"/>
    <w:rsid w:val="00C55D29"/>
    <w:rsid w:val="00C56AC0"/>
    <w:rsid w:val="00C6064F"/>
    <w:rsid w:val="00C62AFD"/>
    <w:rsid w:val="00C65E26"/>
    <w:rsid w:val="00C669C5"/>
    <w:rsid w:val="00C66B0E"/>
    <w:rsid w:val="00C70F96"/>
    <w:rsid w:val="00C73152"/>
    <w:rsid w:val="00C73A3F"/>
    <w:rsid w:val="00C742F6"/>
    <w:rsid w:val="00C753A4"/>
    <w:rsid w:val="00C76865"/>
    <w:rsid w:val="00C812C4"/>
    <w:rsid w:val="00C82C6C"/>
    <w:rsid w:val="00C83288"/>
    <w:rsid w:val="00C84D34"/>
    <w:rsid w:val="00C870F7"/>
    <w:rsid w:val="00C87768"/>
    <w:rsid w:val="00C903A4"/>
    <w:rsid w:val="00C948C0"/>
    <w:rsid w:val="00C9668F"/>
    <w:rsid w:val="00CA0BE9"/>
    <w:rsid w:val="00CA107C"/>
    <w:rsid w:val="00CA138D"/>
    <w:rsid w:val="00CA1FA0"/>
    <w:rsid w:val="00CA511D"/>
    <w:rsid w:val="00CA707B"/>
    <w:rsid w:val="00CB7C24"/>
    <w:rsid w:val="00CC4E64"/>
    <w:rsid w:val="00CC53AB"/>
    <w:rsid w:val="00CC5CF7"/>
    <w:rsid w:val="00CC7641"/>
    <w:rsid w:val="00CD1532"/>
    <w:rsid w:val="00CD2A83"/>
    <w:rsid w:val="00CD593F"/>
    <w:rsid w:val="00CD5B77"/>
    <w:rsid w:val="00CD7BFF"/>
    <w:rsid w:val="00CE1D38"/>
    <w:rsid w:val="00CE213B"/>
    <w:rsid w:val="00CE486C"/>
    <w:rsid w:val="00CE48D3"/>
    <w:rsid w:val="00CE5303"/>
    <w:rsid w:val="00CF0D0E"/>
    <w:rsid w:val="00CF340F"/>
    <w:rsid w:val="00CF41CF"/>
    <w:rsid w:val="00CF64DF"/>
    <w:rsid w:val="00CF7F9C"/>
    <w:rsid w:val="00D01BC6"/>
    <w:rsid w:val="00D02673"/>
    <w:rsid w:val="00D034E1"/>
    <w:rsid w:val="00D03D52"/>
    <w:rsid w:val="00D07468"/>
    <w:rsid w:val="00D10343"/>
    <w:rsid w:val="00D11CCE"/>
    <w:rsid w:val="00D1275E"/>
    <w:rsid w:val="00D13794"/>
    <w:rsid w:val="00D16CC7"/>
    <w:rsid w:val="00D16DB3"/>
    <w:rsid w:val="00D17F36"/>
    <w:rsid w:val="00D2172D"/>
    <w:rsid w:val="00D24052"/>
    <w:rsid w:val="00D24386"/>
    <w:rsid w:val="00D24DDA"/>
    <w:rsid w:val="00D26BBB"/>
    <w:rsid w:val="00D30424"/>
    <w:rsid w:val="00D30695"/>
    <w:rsid w:val="00D3106D"/>
    <w:rsid w:val="00D3110F"/>
    <w:rsid w:val="00D31132"/>
    <w:rsid w:val="00D31575"/>
    <w:rsid w:val="00D31D7F"/>
    <w:rsid w:val="00D322BB"/>
    <w:rsid w:val="00D340CF"/>
    <w:rsid w:val="00D34626"/>
    <w:rsid w:val="00D34FB4"/>
    <w:rsid w:val="00D3521F"/>
    <w:rsid w:val="00D353CB"/>
    <w:rsid w:val="00D35711"/>
    <w:rsid w:val="00D36A08"/>
    <w:rsid w:val="00D36C63"/>
    <w:rsid w:val="00D407BB"/>
    <w:rsid w:val="00D40A2B"/>
    <w:rsid w:val="00D41C97"/>
    <w:rsid w:val="00D4257A"/>
    <w:rsid w:val="00D428A2"/>
    <w:rsid w:val="00D42B7B"/>
    <w:rsid w:val="00D61795"/>
    <w:rsid w:val="00D61D2F"/>
    <w:rsid w:val="00D62665"/>
    <w:rsid w:val="00D63C95"/>
    <w:rsid w:val="00D65AAA"/>
    <w:rsid w:val="00D66AFB"/>
    <w:rsid w:val="00D72BE6"/>
    <w:rsid w:val="00D73A1F"/>
    <w:rsid w:val="00D76B4E"/>
    <w:rsid w:val="00D817C8"/>
    <w:rsid w:val="00D829D2"/>
    <w:rsid w:val="00D82A50"/>
    <w:rsid w:val="00D82E47"/>
    <w:rsid w:val="00D841DF"/>
    <w:rsid w:val="00D86650"/>
    <w:rsid w:val="00D967AB"/>
    <w:rsid w:val="00D97829"/>
    <w:rsid w:val="00D97CD0"/>
    <w:rsid w:val="00DA059A"/>
    <w:rsid w:val="00DA79CC"/>
    <w:rsid w:val="00DB2084"/>
    <w:rsid w:val="00DB3B61"/>
    <w:rsid w:val="00DB4353"/>
    <w:rsid w:val="00DB45C8"/>
    <w:rsid w:val="00DB5906"/>
    <w:rsid w:val="00DC0CDE"/>
    <w:rsid w:val="00DC0D76"/>
    <w:rsid w:val="00DC1BD1"/>
    <w:rsid w:val="00DC47F5"/>
    <w:rsid w:val="00DC4D72"/>
    <w:rsid w:val="00DC5D11"/>
    <w:rsid w:val="00DD1FCE"/>
    <w:rsid w:val="00DD455F"/>
    <w:rsid w:val="00DD6C99"/>
    <w:rsid w:val="00DD6E29"/>
    <w:rsid w:val="00DD765E"/>
    <w:rsid w:val="00DE5D84"/>
    <w:rsid w:val="00DF269D"/>
    <w:rsid w:val="00DF32D6"/>
    <w:rsid w:val="00E00B6B"/>
    <w:rsid w:val="00E06165"/>
    <w:rsid w:val="00E0624D"/>
    <w:rsid w:val="00E127AD"/>
    <w:rsid w:val="00E129A4"/>
    <w:rsid w:val="00E13A41"/>
    <w:rsid w:val="00E16885"/>
    <w:rsid w:val="00E16C54"/>
    <w:rsid w:val="00E17566"/>
    <w:rsid w:val="00E22EF8"/>
    <w:rsid w:val="00E24E40"/>
    <w:rsid w:val="00E268BD"/>
    <w:rsid w:val="00E31E34"/>
    <w:rsid w:val="00E3299F"/>
    <w:rsid w:val="00E32C0C"/>
    <w:rsid w:val="00E337AA"/>
    <w:rsid w:val="00E356EB"/>
    <w:rsid w:val="00E35DEF"/>
    <w:rsid w:val="00E426C3"/>
    <w:rsid w:val="00E43220"/>
    <w:rsid w:val="00E4402A"/>
    <w:rsid w:val="00E4438C"/>
    <w:rsid w:val="00E44785"/>
    <w:rsid w:val="00E457F3"/>
    <w:rsid w:val="00E47AB0"/>
    <w:rsid w:val="00E5020F"/>
    <w:rsid w:val="00E5146E"/>
    <w:rsid w:val="00E51860"/>
    <w:rsid w:val="00E540FD"/>
    <w:rsid w:val="00E54F27"/>
    <w:rsid w:val="00E627FF"/>
    <w:rsid w:val="00E63E02"/>
    <w:rsid w:val="00E64A84"/>
    <w:rsid w:val="00E70F10"/>
    <w:rsid w:val="00E76481"/>
    <w:rsid w:val="00E7765A"/>
    <w:rsid w:val="00E8066E"/>
    <w:rsid w:val="00E82319"/>
    <w:rsid w:val="00E8379E"/>
    <w:rsid w:val="00E84A07"/>
    <w:rsid w:val="00E84DE0"/>
    <w:rsid w:val="00E84E2D"/>
    <w:rsid w:val="00E91C35"/>
    <w:rsid w:val="00E936FA"/>
    <w:rsid w:val="00E938E8"/>
    <w:rsid w:val="00E938F1"/>
    <w:rsid w:val="00E94113"/>
    <w:rsid w:val="00E9547E"/>
    <w:rsid w:val="00E96278"/>
    <w:rsid w:val="00E9700B"/>
    <w:rsid w:val="00EA1D27"/>
    <w:rsid w:val="00EA4DD8"/>
    <w:rsid w:val="00EB0CE8"/>
    <w:rsid w:val="00EB2AEF"/>
    <w:rsid w:val="00EB6960"/>
    <w:rsid w:val="00EB6F98"/>
    <w:rsid w:val="00EB7E71"/>
    <w:rsid w:val="00EC0EBC"/>
    <w:rsid w:val="00EC58BC"/>
    <w:rsid w:val="00EC72F6"/>
    <w:rsid w:val="00ED54B2"/>
    <w:rsid w:val="00ED60E8"/>
    <w:rsid w:val="00ED73DF"/>
    <w:rsid w:val="00EE2841"/>
    <w:rsid w:val="00EE4DC7"/>
    <w:rsid w:val="00EF3677"/>
    <w:rsid w:val="00EF373C"/>
    <w:rsid w:val="00EF54F1"/>
    <w:rsid w:val="00EF7D9B"/>
    <w:rsid w:val="00F03295"/>
    <w:rsid w:val="00F03AEA"/>
    <w:rsid w:val="00F06EFF"/>
    <w:rsid w:val="00F109D4"/>
    <w:rsid w:val="00F10E71"/>
    <w:rsid w:val="00F14F35"/>
    <w:rsid w:val="00F15EE9"/>
    <w:rsid w:val="00F20688"/>
    <w:rsid w:val="00F22ECD"/>
    <w:rsid w:val="00F23DB2"/>
    <w:rsid w:val="00F24B2E"/>
    <w:rsid w:val="00F30DB4"/>
    <w:rsid w:val="00F314D5"/>
    <w:rsid w:val="00F3209C"/>
    <w:rsid w:val="00F33BF6"/>
    <w:rsid w:val="00F33E05"/>
    <w:rsid w:val="00F343EA"/>
    <w:rsid w:val="00F35661"/>
    <w:rsid w:val="00F36B0C"/>
    <w:rsid w:val="00F37403"/>
    <w:rsid w:val="00F37E68"/>
    <w:rsid w:val="00F4136E"/>
    <w:rsid w:val="00F45A1A"/>
    <w:rsid w:val="00F47585"/>
    <w:rsid w:val="00F47C50"/>
    <w:rsid w:val="00F50717"/>
    <w:rsid w:val="00F528F2"/>
    <w:rsid w:val="00F54A4E"/>
    <w:rsid w:val="00F5674E"/>
    <w:rsid w:val="00F57F36"/>
    <w:rsid w:val="00F603A2"/>
    <w:rsid w:val="00F609C6"/>
    <w:rsid w:val="00F619F7"/>
    <w:rsid w:val="00F6422D"/>
    <w:rsid w:val="00F744E2"/>
    <w:rsid w:val="00F8224F"/>
    <w:rsid w:val="00F82975"/>
    <w:rsid w:val="00F83933"/>
    <w:rsid w:val="00F8497B"/>
    <w:rsid w:val="00F85A0B"/>
    <w:rsid w:val="00F85E6F"/>
    <w:rsid w:val="00F87343"/>
    <w:rsid w:val="00F913D1"/>
    <w:rsid w:val="00F91514"/>
    <w:rsid w:val="00F91D98"/>
    <w:rsid w:val="00F92181"/>
    <w:rsid w:val="00F9299C"/>
    <w:rsid w:val="00F97917"/>
    <w:rsid w:val="00F97A82"/>
    <w:rsid w:val="00F97F32"/>
    <w:rsid w:val="00FA0B72"/>
    <w:rsid w:val="00FA0C7F"/>
    <w:rsid w:val="00FA0E78"/>
    <w:rsid w:val="00FA2912"/>
    <w:rsid w:val="00FA46DF"/>
    <w:rsid w:val="00FA49FA"/>
    <w:rsid w:val="00FA51C9"/>
    <w:rsid w:val="00FA75D8"/>
    <w:rsid w:val="00FB1C6B"/>
    <w:rsid w:val="00FB36D8"/>
    <w:rsid w:val="00FB3B69"/>
    <w:rsid w:val="00FB4256"/>
    <w:rsid w:val="00FB5051"/>
    <w:rsid w:val="00FB62A7"/>
    <w:rsid w:val="00FB7E1E"/>
    <w:rsid w:val="00FB7F78"/>
    <w:rsid w:val="00FC3356"/>
    <w:rsid w:val="00FC52CE"/>
    <w:rsid w:val="00FC7384"/>
    <w:rsid w:val="00FD06D5"/>
    <w:rsid w:val="00FD1378"/>
    <w:rsid w:val="00FD144D"/>
    <w:rsid w:val="00FD1782"/>
    <w:rsid w:val="00FD2DC4"/>
    <w:rsid w:val="00FD38ED"/>
    <w:rsid w:val="00FD3BA2"/>
    <w:rsid w:val="00FD43D9"/>
    <w:rsid w:val="00FD5C9D"/>
    <w:rsid w:val="00FD6A06"/>
    <w:rsid w:val="00FE04E4"/>
    <w:rsid w:val="00FE3B05"/>
    <w:rsid w:val="00FE57F8"/>
    <w:rsid w:val="00FE6150"/>
    <w:rsid w:val="00FE724B"/>
    <w:rsid w:val="00FE73F9"/>
    <w:rsid w:val="00FE7AF4"/>
    <w:rsid w:val="00FF1057"/>
    <w:rsid w:val="00FF3E25"/>
    <w:rsid w:val="00FF4ED3"/>
    <w:rsid w:val="00FF68CE"/>
    <w:rsid w:val="00FF7B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C73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left" w:pos="851"/>
      </w:tabs>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ListParagraph">
    <w:name w:val="List Paragraph"/>
    <w:basedOn w:val="Normal"/>
    <w:link w:val="ListParagraphChar"/>
    <w:uiPriority w:val="34"/>
    <w:qFormat/>
    <w:rsid w:val="00FB7F78"/>
    <w:pPr>
      <w:ind w:left="720"/>
      <w:contextualSpacing/>
    </w:pPr>
  </w:style>
  <w:style w:type="table" w:styleId="TableGrid">
    <w:name w:val="Table Grid"/>
    <w:basedOn w:val="TableNormal"/>
    <w:rsid w:val="009F6E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2051E3"/>
    <w:rPr>
      <w:sz w:val="24"/>
    </w:rPr>
  </w:style>
  <w:style w:type="character" w:customStyle="1" w:styleId="CharSectno">
    <w:name w:val="CharSectno"/>
    <w:basedOn w:val="DefaultParagraphFont"/>
    <w:qFormat/>
    <w:rsid w:val="00E268BD"/>
  </w:style>
  <w:style w:type="paragraph" w:styleId="Revision">
    <w:name w:val="Revision"/>
    <w:hidden/>
    <w:uiPriority w:val="99"/>
    <w:semiHidden/>
    <w:rsid w:val="00E06165"/>
    <w:rPr>
      <w:sz w:val="24"/>
    </w:rPr>
  </w:style>
  <w:style w:type="paragraph" w:customStyle="1" w:styleId="subsection">
    <w:name w:val="subsection"/>
    <w:aliases w:val="ss,Subsection"/>
    <w:basedOn w:val="Normal"/>
    <w:link w:val="subsectionChar"/>
    <w:rsid w:val="00D16DB3"/>
    <w:pPr>
      <w:spacing w:before="100" w:beforeAutospacing="1" w:after="100" w:afterAutospacing="1"/>
    </w:pPr>
    <w:rPr>
      <w:szCs w:val="24"/>
    </w:rPr>
  </w:style>
  <w:style w:type="paragraph" w:customStyle="1" w:styleId="paragraph">
    <w:name w:val="paragraph"/>
    <w:aliases w:val="a"/>
    <w:basedOn w:val="Normal"/>
    <w:link w:val="paragraphChar"/>
    <w:rsid w:val="00D16DB3"/>
    <w:pPr>
      <w:spacing w:before="100" w:beforeAutospacing="1" w:after="100" w:afterAutospacing="1"/>
    </w:pPr>
    <w:rPr>
      <w:szCs w:val="24"/>
    </w:rPr>
  </w:style>
  <w:style w:type="paragraph" w:customStyle="1" w:styleId="notetext">
    <w:name w:val="notetext"/>
    <w:basedOn w:val="Normal"/>
    <w:rsid w:val="00D16DB3"/>
    <w:pPr>
      <w:spacing w:before="100" w:beforeAutospacing="1" w:after="100" w:afterAutospacing="1"/>
    </w:pPr>
    <w:rPr>
      <w:szCs w:val="24"/>
    </w:rPr>
  </w:style>
  <w:style w:type="character" w:customStyle="1" w:styleId="subsectionChar">
    <w:name w:val="subsection Char"/>
    <w:aliases w:val="ss Char"/>
    <w:basedOn w:val="DefaultParagraphFont"/>
    <w:link w:val="subsection"/>
    <w:locked/>
    <w:rsid w:val="000C1940"/>
    <w:rPr>
      <w:sz w:val="24"/>
      <w:szCs w:val="24"/>
    </w:rPr>
  </w:style>
  <w:style w:type="character" w:customStyle="1" w:styleId="paragraphChar">
    <w:name w:val="paragraph Char"/>
    <w:aliases w:val="a Char"/>
    <w:link w:val="paragraph"/>
    <w:rsid w:val="000C1940"/>
    <w:rPr>
      <w:sz w:val="24"/>
      <w:szCs w:val="24"/>
    </w:rPr>
  </w:style>
  <w:style w:type="character" w:styleId="UnresolvedMention">
    <w:name w:val="Unresolved Mention"/>
    <w:basedOn w:val="DefaultParagraphFont"/>
    <w:uiPriority w:val="99"/>
    <w:semiHidden/>
    <w:unhideWhenUsed/>
    <w:rsid w:val="00F33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047989">
      <w:bodyDiv w:val="1"/>
      <w:marLeft w:val="0"/>
      <w:marRight w:val="0"/>
      <w:marTop w:val="0"/>
      <w:marBottom w:val="0"/>
      <w:divBdr>
        <w:top w:val="none" w:sz="0" w:space="0" w:color="auto"/>
        <w:left w:val="none" w:sz="0" w:space="0" w:color="auto"/>
        <w:bottom w:val="none" w:sz="0" w:space="0" w:color="auto"/>
        <w:right w:val="none" w:sz="0" w:space="0" w:color="auto"/>
      </w:divBdr>
    </w:div>
    <w:div w:id="860438894">
      <w:bodyDiv w:val="1"/>
      <w:marLeft w:val="0"/>
      <w:marRight w:val="0"/>
      <w:marTop w:val="0"/>
      <w:marBottom w:val="0"/>
      <w:divBdr>
        <w:top w:val="none" w:sz="0" w:space="0" w:color="auto"/>
        <w:left w:val="none" w:sz="0" w:space="0" w:color="auto"/>
        <w:bottom w:val="none" w:sz="0" w:space="0" w:color="auto"/>
        <w:right w:val="none" w:sz="0" w:space="0" w:color="auto"/>
      </w:divBdr>
    </w:div>
    <w:div w:id="1736929654">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387D1C52A3343DFB6A0E955A5DDF2BF"/>
        <w:category>
          <w:name w:val="General"/>
          <w:gallery w:val="placeholder"/>
        </w:category>
        <w:types>
          <w:type w:val="bbPlcHdr"/>
        </w:types>
        <w:behaviors>
          <w:behavior w:val="content"/>
        </w:behaviors>
        <w:guid w:val="{9A0BD4EF-225F-4EBC-845B-EE5646970BA1}"/>
      </w:docPartPr>
      <w:docPartBody>
        <w:p w:rsidR="00090458" w:rsidRDefault="00090458">
          <w:pPr>
            <w:pStyle w:val="D387D1C52A3343DFB6A0E955A5DDF2BF"/>
          </w:pPr>
          <w:r w:rsidRPr="003C7907">
            <w:rPr>
              <w:rStyle w:val="PlaceholderText"/>
              <w:sz w:val="24"/>
              <w:szCs w:val="24"/>
            </w:rPr>
            <w:t>Select a Minister</w:t>
          </w:r>
        </w:p>
      </w:docPartBody>
    </w:docPart>
    <w:docPart>
      <w:docPartPr>
        <w:name w:val="83A324C2F3F54ECBAC45F9D85D9821DB"/>
        <w:category>
          <w:name w:val="General"/>
          <w:gallery w:val="placeholder"/>
        </w:category>
        <w:types>
          <w:type w:val="bbPlcHdr"/>
        </w:types>
        <w:behaviors>
          <w:behavior w:val="content"/>
        </w:behaviors>
        <w:guid w:val="{42D1A904-F7BF-4EA4-86AB-16042BF54F76}"/>
      </w:docPartPr>
      <w:docPartBody>
        <w:p w:rsidR="00B26EC9" w:rsidRDefault="00F87C06">
          <w:pPr>
            <w:pStyle w:val="83A324C2F3F54ECBAC45F9D85D9821DB"/>
          </w:pPr>
          <w:r>
            <w:rPr>
              <w:rStyle w:val="PlaceholderText"/>
            </w:rPr>
            <w:t xml:space="preserve">Click here to </w:t>
          </w:r>
          <w:r w:rsidRPr="000E7BFC">
            <w:rPr>
              <w:rStyle w:val="PlaceholderText"/>
            </w:rPr>
            <w:t>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58"/>
    <w:rsid w:val="000816E2"/>
    <w:rsid w:val="00090458"/>
    <w:rsid w:val="002224F3"/>
    <w:rsid w:val="00276B78"/>
    <w:rsid w:val="0066721A"/>
    <w:rsid w:val="00801C20"/>
    <w:rsid w:val="0090215A"/>
    <w:rsid w:val="00A957D0"/>
    <w:rsid w:val="00B26EC9"/>
    <w:rsid w:val="00F528C9"/>
    <w:rsid w:val="00F87C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A6E76F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7C06"/>
    <w:rPr>
      <w:color w:val="808080"/>
    </w:rPr>
  </w:style>
  <w:style w:type="paragraph" w:customStyle="1" w:styleId="D387D1C52A3343DFB6A0E955A5DDF2BF">
    <w:name w:val="D387D1C52A3343DFB6A0E955A5DDF2BF"/>
  </w:style>
  <w:style w:type="paragraph" w:customStyle="1" w:styleId="83A324C2F3F54ECBAC45F9D85D9821DB">
    <w:name w:val="83A324C2F3F54ECBAC45F9D85D9821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1822</Words>
  <Characters>10389</Characters>
  <Application>Microsoft Office Word</Application>
  <DocSecurity>0</DocSecurity>
  <Lines>86</Lines>
  <Paragraphs>24</Paragraphs>
  <ScaleCrop>false</ScaleCrop>
  <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2022-03-29T03:30:00Z</dcterms:created>
  <dcterms:modified xsi:type="dcterms:W3CDTF">2022-03-29T03:30:00Z</dcterms:modified>
</cp:coreProperties>
</file>