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FA99" w14:textId="77777777" w:rsidR="005641C1" w:rsidRPr="00414AAA" w:rsidRDefault="005641C1" w:rsidP="005641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4AAA">
        <w:rPr>
          <w:rFonts w:ascii="Times New Roman" w:hAnsi="Times New Roman" w:cs="Times New Roman"/>
          <w:b/>
          <w:sz w:val="28"/>
          <w:szCs w:val="28"/>
        </w:rPr>
        <w:t>Commonwealth Procurement Rules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AAA">
        <w:rPr>
          <w:rFonts w:ascii="Times New Roman" w:hAnsi="Times New Roman" w:cs="Times New Roman"/>
          <w:b/>
          <w:sz w:val="28"/>
          <w:szCs w:val="28"/>
        </w:rPr>
        <w:t xml:space="preserve">Explanatory Statement </w:t>
      </w:r>
    </w:p>
    <w:p w14:paraId="6CA49513" w14:textId="348DA34D" w:rsidR="005641C1" w:rsidRDefault="005641C1" w:rsidP="00564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DF7344">
        <w:rPr>
          <w:rFonts w:ascii="Times New Roman" w:eastAsia="Times New Roman" w:hAnsi="Times New Roman" w:cs="Times New Roman"/>
          <w:sz w:val="24"/>
          <w:szCs w:val="24"/>
          <w:lang w:eastAsia="en-AU"/>
        </w:rPr>
        <w:t>Commonwealth Procurement Rules</w:t>
      </w:r>
      <w:r w:rsidR="001D083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are issued by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Minister for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Finance under s105B(1) of the </w:t>
      </w:r>
      <w:r w:rsidRPr="0061242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Public Governance, Performance and Accountability Act 2013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(PGPA Act). As per s105B(2) of the PGPA Act,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instrument 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not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subject to section 42 (disallowance) of the </w:t>
      </w:r>
      <w:r w:rsidRPr="0061242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Legislative Instruments Act 2003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instrument commences on </w:t>
      </w:r>
      <w:r w:rsidR="00C829E7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F94B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829E7">
        <w:rPr>
          <w:rFonts w:ascii="Times New Roman" w:eastAsia="Times New Roman" w:hAnsi="Times New Roman" w:cs="Times New Roman"/>
          <w:sz w:val="24"/>
          <w:szCs w:val="24"/>
          <w:lang w:eastAsia="en-AU"/>
        </w:rPr>
        <w:t>July</w:t>
      </w:r>
      <w:r w:rsidR="00B94CB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repeals the previous Commonwealth Procurement Rules (</w:t>
      </w:r>
      <w:r w:rsidR="00651C05" w:rsidRPr="00651C05">
        <w:rPr>
          <w:rFonts w:ascii="Times New Roman" w:eastAsia="Times New Roman" w:hAnsi="Times New Roman" w:cs="Times New Roman"/>
          <w:sz w:val="24"/>
          <w:szCs w:val="24"/>
          <w:lang w:eastAsia="en-AU"/>
        </w:rPr>
        <w:t>F2020L01519</w:t>
      </w:r>
      <w:r w:rsidRPr="00C12CD2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14:paraId="00F7DD69" w14:textId="04AC0C88" w:rsidR="008E5D44" w:rsidRPr="00AC6C67" w:rsidRDefault="008E5D44" w:rsidP="008E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1D083E" w:rsidRPr="00DF7344">
        <w:rPr>
          <w:rFonts w:ascii="Times New Roman" w:eastAsia="Times New Roman" w:hAnsi="Times New Roman" w:cs="Times New Roman"/>
          <w:sz w:val="24"/>
          <w:szCs w:val="24"/>
          <w:lang w:eastAsia="en-AU"/>
        </w:rPr>
        <w:t>Commonwealth Procurement Rules</w:t>
      </w:r>
      <w:r w:rsidRPr="00AC6C67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>incorporate the requirements of Australia’s international trade obligations and government policy in procurement into a set of rules which apply to Commonwealth procurement.</w:t>
      </w:r>
      <w:r w:rsidRPr="0061242C">
        <w:rPr>
          <w:sz w:val="24"/>
          <w:szCs w:val="24"/>
        </w:rPr>
        <w:t xml:space="preserve">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1D083E" w:rsidRPr="00DF7344">
        <w:rPr>
          <w:rFonts w:ascii="Times New Roman" w:eastAsia="Times New Roman" w:hAnsi="Times New Roman" w:cs="Times New Roman"/>
          <w:sz w:val="24"/>
          <w:szCs w:val="24"/>
          <w:lang w:eastAsia="en-AU"/>
        </w:rPr>
        <w:t>Commonwealth Procurement Rules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apply to procurement conducted by non-corporate Commonwealth entities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certain procurements conducted by prescribed corporate Commonwealth entities as listed in section</w:t>
      </w:r>
      <w:r w:rsidR="00FE1FA4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30 of the PGPA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Rule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3FF5C103" w14:textId="41435796" w:rsidR="008D21B2" w:rsidRPr="00BD07AB" w:rsidRDefault="005641C1" w:rsidP="00564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updated </w:t>
      </w:r>
      <w:r w:rsidR="001D083E" w:rsidRPr="00DF7344">
        <w:rPr>
          <w:rFonts w:ascii="Times New Roman" w:eastAsia="Times New Roman" w:hAnsi="Times New Roman" w:cs="Times New Roman"/>
          <w:sz w:val="24"/>
          <w:szCs w:val="24"/>
          <w:lang w:eastAsia="en-AU"/>
        </w:rPr>
        <w:t>Commonwealth Procurement Rules</w:t>
      </w:r>
      <w:r w:rsid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reflect the Australian Government’s commitment to </w:t>
      </w:r>
      <w:r w:rsidR="00BD07AB" w:rsidRP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improving the competitive capability of small and medium enterprises when participating in Commonwealth procurement, leading to better participation and outcomes for </w:t>
      </w:r>
      <w:r w:rsidR="002D213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both Government and </w:t>
      </w:r>
      <w:r w:rsidR="00BD07AB" w:rsidRP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>industry</w:t>
      </w:r>
      <w:r w:rsid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51FA6EF3" w14:textId="4462FF27" w:rsidR="00A578E3" w:rsidRPr="00BD07AB" w:rsidRDefault="00545763" w:rsidP="00564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update includes a number of </w:t>
      </w:r>
      <w:r w:rsidR="009B04BC">
        <w:rPr>
          <w:rFonts w:ascii="Times New Roman" w:eastAsia="Times New Roman" w:hAnsi="Times New Roman" w:cs="Times New Roman"/>
          <w:sz w:val="24"/>
          <w:szCs w:val="24"/>
          <w:lang w:eastAsia="en-AU"/>
        </w:rPr>
        <w:t>revisions</w:t>
      </w:r>
      <w:r w:rsidRP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578E3" w:rsidRP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>comprising</w:t>
      </w:r>
      <w:r w:rsidR="009F278E" w:rsidRP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Pr="00BD07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7AE14A6A" w14:textId="2F7A1FC9" w:rsidR="00BD07AB" w:rsidRPr="00BD07AB" w:rsidRDefault="00BD07AB" w:rsidP="00BD07AB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BD07AB">
        <w:rPr>
          <w:rFonts w:ascii="Times New Roman" w:hAnsi="Times New Roman" w:cs="Times New Roman"/>
          <w:bCs/>
          <w:sz w:val="24"/>
          <w:szCs w:val="24"/>
        </w:rPr>
        <w:t xml:space="preserve">inclusion of </w:t>
      </w:r>
      <w:r w:rsidRPr="00BD07AB">
        <w:rPr>
          <w:rFonts w:ascii="Times New Roman" w:hAnsi="Times New Roman" w:cs="Times New Roman"/>
          <w:i/>
          <w:sz w:val="24"/>
          <w:szCs w:val="24"/>
        </w:rPr>
        <w:t>Government Procurement (Judicial Review) Act 2018</w:t>
      </w:r>
      <w:r w:rsidRPr="00BD07AB">
        <w:rPr>
          <w:rFonts w:ascii="Times New Roman" w:hAnsi="Times New Roman" w:cs="Times New Roman"/>
          <w:sz w:val="24"/>
          <w:szCs w:val="24"/>
        </w:rPr>
        <w:t xml:space="preserve"> under Legislation heading and inclusion of ‘free trade agreements and other commitments’ under</w:t>
      </w:r>
      <w:r w:rsidR="00103CEF">
        <w:rPr>
          <w:rFonts w:ascii="Times New Roman" w:hAnsi="Times New Roman" w:cs="Times New Roman"/>
          <w:sz w:val="24"/>
          <w:szCs w:val="24"/>
        </w:rPr>
        <w:t xml:space="preserve"> the</w:t>
      </w:r>
      <w:r w:rsidRPr="00BD07AB">
        <w:rPr>
          <w:rFonts w:ascii="Times New Roman" w:hAnsi="Times New Roman" w:cs="Times New Roman"/>
          <w:sz w:val="24"/>
          <w:szCs w:val="24"/>
        </w:rPr>
        <w:t xml:space="preserve"> International obligations heading within</w:t>
      </w:r>
      <w:r w:rsidR="00103CEF">
        <w:rPr>
          <w:rFonts w:ascii="Times New Roman" w:hAnsi="Times New Roman" w:cs="Times New Roman"/>
          <w:sz w:val="24"/>
          <w:szCs w:val="24"/>
        </w:rPr>
        <w:t xml:space="preserve"> Figure 1:</w:t>
      </w:r>
      <w:r w:rsidRPr="00BD07AB">
        <w:rPr>
          <w:rFonts w:ascii="Times New Roman" w:hAnsi="Times New Roman" w:cs="Times New Roman"/>
          <w:sz w:val="24"/>
          <w:szCs w:val="24"/>
        </w:rPr>
        <w:t xml:space="preserve"> Legislative and policy </w:t>
      </w:r>
      <w:r w:rsidR="00103CEF">
        <w:rPr>
          <w:rFonts w:ascii="Times New Roman" w:hAnsi="Times New Roman" w:cs="Times New Roman"/>
          <w:sz w:val="24"/>
          <w:szCs w:val="24"/>
        </w:rPr>
        <w:t>diagram</w:t>
      </w:r>
      <w:r w:rsidRPr="00BD07AB">
        <w:rPr>
          <w:rFonts w:ascii="Times New Roman" w:hAnsi="Times New Roman" w:cs="Times New Roman"/>
          <w:sz w:val="24"/>
          <w:szCs w:val="24"/>
        </w:rPr>
        <w:t>;</w:t>
      </w:r>
    </w:p>
    <w:p w14:paraId="2FF0AF5B" w14:textId="7DB6B6C0" w:rsidR="00BD07AB" w:rsidRPr="00BD07AB" w:rsidRDefault="00BD07AB" w:rsidP="00BD07AB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BD07AB">
        <w:rPr>
          <w:rFonts w:ascii="Times New Roman" w:hAnsi="Times New Roman" w:cs="Times New Roman"/>
          <w:sz w:val="24"/>
          <w:szCs w:val="24"/>
          <w:shd w:val="clear" w:color="auto" w:fill="FFFFFF"/>
        </w:rPr>
        <w:t>clarification that the C</w:t>
      </w:r>
      <w:r w:rsidR="009B0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ommonwealth </w:t>
      </w:r>
      <w:r w:rsidRPr="00BD07A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B0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rocurement </w:t>
      </w:r>
      <w:r w:rsidRPr="00BD07A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9B04BC">
        <w:rPr>
          <w:rFonts w:ascii="Times New Roman" w:hAnsi="Times New Roman" w:cs="Times New Roman"/>
          <w:sz w:val="24"/>
          <w:szCs w:val="24"/>
          <w:shd w:val="clear" w:color="auto" w:fill="FFFFFF"/>
        </w:rPr>
        <w:t>ule</w:t>
      </w:r>
      <w:r w:rsidRPr="00BD0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apply to the administrative services of </w:t>
      </w:r>
      <w:r w:rsidR="00103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BD07AB">
        <w:rPr>
          <w:rFonts w:ascii="Times New Roman" w:hAnsi="Times New Roman" w:cs="Times New Roman"/>
          <w:bCs/>
          <w:sz w:val="24"/>
          <w:szCs w:val="24"/>
        </w:rPr>
        <w:t>Commonwealth Superannuation Corporation</w:t>
      </w:r>
      <w:r w:rsidRPr="00BD0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relate to the superannuation schemes it administers</w:t>
      </w:r>
      <w:r w:rsidRPr="00BD07AB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3DEBB2" w14:textId="4C79CD3C" w:rsidR="00F929DB" w:rsidRPr="00F929DB" w:rsidRDefault="00F929DB" w:rsidP="00BD07AB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requirement</w:t>
      </w:r>
      <w:r w:rsidRPr="00F929DB">
        <w:rPr>
          <w:rFonts w:ascii="Times New Roman" w:hAnsi="Times New Roman" w:cs="Times New Roman"/>
          <w:sz w:val="24"/>
          <w:szCs w:val="24"/>
        </w:rPr>
        <w:t xml:space="preserve"> that non-corporate Commonwealth entities and prescribed Commonwealth corporate entities must </w:t>
      </w:r>
      <w:bookmarkStart w:id="0" w:name="_GoBack"/>
      <w:r w:rsidR="006A7FE4">
        <w:rPr>
          <w:rFonts w:ascii="Times New Roman" w:hAnsi="Times New Roman" w:cs="Times New Roman"/>
          <w:sz w:val="24"/>
          <w:szCs w:val="24"/>
        </w:rPr>
        <w:t>comply with</w:t>
      </w:r>
      <w:bookmarkEnd w:id="0"/>
      <w:r w:rsidRPr="00F929DB">
        <w:rPr>
          <w:rFonts w:ascii="Times New Roman" w:hAnsi="Times New Roman" w:cs="Times New Roman"/>
          <w:sz w:val="24"/>
          <w:szCs w:val="24"/>
        </w:rPr>
        <w:t xml:space="preserve"> procurement-connected policies where the policy indicates that it is applicable to the procurement process and to the entity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853AAD" w14:textId="639E5DF3" w:rsidR="00BD07AB" w:rsidRPr="00BD07AB" w:rsidRDefault="00944673" w:rsidP="00BD07AB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new text advising</w:t>
      </w:r>
      <w:r w:rsidR="00BD07AB">
        <w:rPr>
          <w:rFonts w:ascii="Times New Roman" w:hAnsi="Times New Roman" w:cs="Times New Roman"/>
          <w:sz w:val="24"/>
          <w:szCs w:val="24"/>
        </w:rPr>
        <w:t xml:space="preserve"> pr</w:t>
      </w:r>
      <w:r w:rsidR="00BD07AB" w:rsidRPr="00BD07AB">
        <w:rPr>
          <w:rFonts w:ascii="Times New Roman" w:hAnsi="Times New Roman" w:cs="Times New Roman"/>
          <w:sz w:val="24"/>
          <w:szCs w:val="24"/>
        </w:rPr>
        <w:t xml:space="preserve">ocuring officials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BD07AB" w:rsidRPr="00BD07AB">
        <w:rPr>
          <w:rFonts w:ascii="Times New Roman" w:hAnsi="Times New Roman" w:cs="Times New Roman"/>
          <w:sz w:val="24"/>
          <w:szCs w:val="24"/>
        </w:rPr>
        <w:t>consider the disaggregation of large projects into smaller packages that maximise competition</w:t>
      </w:r>
      <w:r w:rsidR="00FE1FA4">
        <w:rPr>
          <w:rFonts w:ascii="Times New Roman" w:hAnsi="Times New Roman" w:cs="Times New Roman"/>
          <w:sz w:val="24"/>
          <w:szCs w:val="24"/>
        </w:rPr>
        <w:t>,</w:t>
      </w:r>
      <w:r w:rsidR="00BD07AB" w:rsidRPr="00BD07AB">
        <w:rPr>
          <w:rFonts w:ascii="Times New Roman" w:hAnsi="Times New Roman" w:cs="Times New Roman"/>
          <w:sz w:val="24"/>
          <w:szCs w:val="24"/>
        </w:rPr>
        <w:t xml:space="preserve"> where appropriate;</w:t>
      </w:r>
      <w:r w:rsidR="00BD0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8CD26" w14:textId="0AAA59AD" w:rsidR="00BD07AB" w:rsidRPr="00BD07AB" w:rsidRDefault="00BD07AB" w:rsidP="00BD07AB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D07AB">
        <w:rPr>
          <w:rFonts w:ascii="Times New Roman" w:hAnsi="Times New Roman" w:cs="Times New Roman"/>
          <w:bCs/>
          <w:sz w:val="24"/>
          <w:szCs w:val="24"/>
        </w:rPr>
        <w:t xml:space="preserve">amended text reflecting the removal of the $1 million threshold in the </w:t>
      </w:r>
      <w:r w:rsidRPr="00BD07AB">
        <w:rPr>
          <w:rFonts w:ascii="Times New Roman" w:hAnsi="Times New Roman" w:cs="Times New Roman"/>
          <w:bCs/>
          <w:i/>
          <w:sz w:val="24"/>
          <w:szCs w:val="24"/>
        </w:rPr>
        <w:t>Supplier Pay On-Time or Pay Interest Policy</w:t>
      </w:r>
      <w:r w:rsidRPr="00BD07AB">
        <w:rPr>
          <w:rFonts w:ascii="Times New Roman" w:hAnsi="Times New Roman" w:cs="Times New Roman"/>
          <w:bCs/>
          <w:sz w:val="24"/>
          <w:szCs w:val="24"/>
        </w:rPr>
        <w:t xml:space="preserve"> – Resource Management Guide No. 417;</w:t>
      </w:r>
      <w:r w:rsidR="00B94C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AB71BD" w14:textId="4276B8DC" w:rsidR="00F929DB" w:rsidRDefault="00F929DB" w:rsidP="00BD07AB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F929DB">
        <w:rPr>
          <w:rFonts w:ascii="Times New Roman" w:hAnsi="Times New Roman" w:cs="Times New Roman"/>
          <w:bCs/>
          <w:sz w:val="24"/>
          <w:szCs w:val="24"/>
        </w:rPr>
        <w:t>ew text to provide that suppliers do not need to take out insurance until a contract is to be awarded</w:t>
      </w:r>
      <w:r w:rsidR="002D21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29DB">
        <w:rPr>
          <w:rFonts w:ascii="Times New Roman" w:hAnsi="Times New Roman" w:cs="Times New Roman"/>
          <w:bCs/>
          <w:sz w:val="24"/>
          <w:szCs w:val="24"/>
        </w:rPr>
        <w:t>to limit insurance imposts in contracts and embed the principle of risk sharing by better reflecting the actua</w:t>
      </w:r>
      <w:r w:rsidR="00B94CBA">
        <w:rPr>
          <w:rFonts w:ascii="Times New Roman" w:hAnsi="Times New Roman" w:cs="Times New Roman"/>
          <w:bCs/>
          <w:sz w:val="24"/>
          <w:szCs w:val="24"/>
        </w:rPr>
        <w:t>l risk in contractual liability; and</w:t>
      </w:r>
    </w:p>
    <w:p w14:paraId="56A0FACF" w14:textId="5769644B" w:rsidR="00B94CBA" w:rsidRPr="00F929DB" w:rsidRDefault="00274D3C" w:rsidP="00BD07AB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74D3C">
        <w:rPr>
          <w:rFonts w:ascii="Times New Roman" w:hAnsi="Times New Roman" w:cs="Times New Roman"/>
          <w:bCs/>
          <w:sz w:val="24"/>
          <w:szCs w:val="24"/>
        </w:rPr>
        <w:t xml:space="preserve">an amendment to Appendix A: Exemption 17 allowing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Department of </w:t>
      </w:r>
      <w:r w:rsidRPr="00274D3C">
        <w:rPr>
          <w:rFonts w:ascii="Times New Roman" w:hAnsi="Times New Roman" w:cs="Times New Roman"/>
          <w:bCs/>
          <w:sz w:val="24"/>
          <w:szCs w:val="24"/>
        </w:rPr>
        <w:t>Defence to directly engage an SME for procurements valued up to $500,000</w:t>
      </w:r>
      <w:r w:rsidR="00B94C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AC697C" w14:textId="39C06EA6" w:rsidR="008E5D44" w:rsidRPr="00722D8B" w:rsidRDefault="008E5D44" w:rsidP="008E5D44">
      <w:pPr>
        <w:pStyle w:val="Default"/>
      </w:pPr>
      <w:r>
        <w:t xml:space="preserve">The </w:t>
      </w:r>
      <w:r w:rsidR="001D083E" w:rsidRPr="00DF7344">
        <w:rPr>
          <w:rFonts w:eastAsia="Times New Roman"/>
          <w:lang w:eastAsia="en-AU"/>
        </w:rPr>
        <w:t>Commonwealth Procurement Rules</w:t>
      </w:r>
      <w:r>
        <w:t xml:space="preserve"> are</w:t>
      </w:r>
      <w:r w:rsidRPr="00722D8B">
        <w:t xml:space="preserve"> supported by guidance available at </w:t>
      </w:r>
      <w:hyperlink r:id="rId11" w:history="1">
        <w:r w:rsidRPr="00722D8B">
          <w:rPr>
            <w:rStyle w:val="Hyperlink"/>
          </w:rPr>
          <w:t>http://www.finance.gov.au/procurement/</w:t>
        </w:r>
      </w:hyperlink>
      <w:r w:rsidRPr="00722D8B">
        <w:t xml:space="preserve">. </w:t>
      </w:r>
    </w:p>
    <w:p w14:paraId="285790AA" w14:textId="77777777" w:rsidR="008E5D44" w:rsidRPr="00722D8B" w:rsidRDefault="008E5D44" w:rsidP="008E5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5A2B3" w14:textId="77777777" w:rsidR="008E5D44" w:rsidRPr="00722D8B" w:rsidRDefault="008E5D44" w:rsidP="008E5D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D8B">
        <w:rPr>
          <w:rFonts w:ascii="Times New Roman" w:hAnsi="Times New Roman" w:cs="Times New Roman"/>
          <w:b/>
          <w:sz w:val="24"/>
          <w:szCs w:val="24"/>
        </w:rPr>
        <w:t>Consultation</w:t>
      </w:r>
    </w:p>
    <w:p w14:paraId="05B3FE52" w14:textId="0104F1C1" w:rsidR="005641C1" w:rsidRDefault="008E5D44" w:rsidP="009B04BC">
      <w:pPr>
        <w:pStyle w:val="NumberList"/>
        <w:numPr>
          <w:ilvl w:val="0"/>
          <w:numId w:val="0"/>
        </w:numPr>
        <w:spacing w:after="120"/>
      </w:pPr>
      <w:r>
        <w:rPr>
          <w:rFonts w:eastAsiaTheme="minorHAnsi"/>
          <w:color w:val="000000"/>
        </w:rPr>
        <w:t xml:space="preserve">The Minister for Finance approved the amendments to the </w:t>
      </w:r>
      <w:r w:rsidR="001D083E" w:rsidRPr="00DF7344">
        <w:rPr>
          <w:lang w:eastAsia="en-AU"/>
        </w:rPr>
        <w:t>Commonwealth Procurement Rules</w:t>
      </w:r>
      <w:r>
        <w:rPr>
          <w:rFonts w:eastAsiaTheme="minorHAnsi"/>
          <w:color w:val="000000"/>
        </w:rPr>
        <w:t>.</w:t>
      </w:r>
    </w:p>
    <w:sectPr w:rsidR="005641C1" w:rsidSect="00C829E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AD0"/>
    <w:multiLevelType w:val="hybridMultilevel"/>
    <w:tmpl w:val="E5408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2" w15:restartNumberingAfterBreak="0">
    <w:nsid w:val="77D908F9"/>
    <w:multiLevelType w:val="hybridMultilevel"/>
    <w:tmpl w:val="F3465AB4"/>
    <w:lvl w:ilvl="0" w:tplc="65CCB7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C1"/>
    <w:rsid w:val="0009720E"/>
    <w:rsid w:val="00103CEF"/>
    <w:rsid w:val="001A7719"/>
    <w:rsid w:val="001C0C2E"/>
    <w:rsid w:val="001D083E"/>
    <w:rsid w:val="00274D3C"/>
    <w:rsid w:val="002D2134"/>
    <w:rsid w:val="00327022"/>
    <w:rsid w:val="00391F1C"/>
    <w:rsid w:val="00545763"/>
    <w:rsid w:val="005641C1"/>
    <w:rsid w:val="00577689"/>
    <w:rsid w:val="00594B6A"/>
    <w:rsid w:val="005E0C00"/>
    <w:rsid w:val="00607ADE"/>
    <w:rsid w:val="00630843"/>
    <w:rsid w:val="00634E91"/>
    <w:rsid w:val="00651C05"/>
    <w:rsid w:val="006A7FE4"/>
    <w:rsid w:val="007B4460"/>
    <w:rsid w:val="00800E07"/>
    <w:rsid w:val="008D21B2"/>
    <w:rsid w:val="008E5D44"/>
    <w:rsid w:val="00944673"/>
    <w:rsid w:val="00980AD2"/>
    <w:rsid w:val="009A7E8E"/>
    <w:rsid w:val="009B04BC"/>
    <w:rsid w:val="009F278E"/>
    <w:rsid w:val="00A578E3"/>
    <w:rsid w:val="00A90143"/>
    <w:rsid w:val="00B94CBA"/>
    <w:rsid w:val="00BC1F0D"/>
    <w:rsid w:val="00BD07AB"/>
    <w:rsid w:val="00C829E7"/>
    <w:rsid w:val="00D5460D"/>
    <w:rsid w:val="00E26E58"/>
    <w:rsid w:val="00E722E7"/>
    <w:rsid w:val="00E74C70"/>
    <w:rsid w:val="00F929DB"/>
    <w:rsid w:val="00F94B71"/>
    <w:rsid w:val="00FD4E3C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1621"/>
  <w15:chartTrackingRefBased/>
  <w15:docId w15:val="{DBDBA355-F1F7-4E48-AF82-BFD65CFF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umberList">
    <w:name w:val="Number List"/>
    <w:basedOn w:val="Normal"/>
    <w:rsid w:val="008E5D44"/>
    <w:pPr>
      <w:numPr>
        <w:numId w:val="1"/>
      </w:numPr>
      <w:tabs>
        <w:tab w:val="left" w:pos="1985"/>
      </w:tabs>
      <w:spacing w:before="240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8E5D44"/>
    <w:pPr>
      <w:numPr>
        <w:ilvl w:val="1"/>
      </w:numPr>
      <w:tabs>
        <w:tab w:val="left" w:pos="2552"/>
      </w:tabs>
    </w:pPr>
  </w:style>
  <w:style w:type="character" w:styleId="Hyperlink">
    <w:name w:val="Hyperlink"/>
    <w:basedOn w:val="DefaultParagraphFont"/>
    <w:uiPriority w:val="99"/>
    <w:unhideWhenUsed/>
    <w:rsid w:val="008E5D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D44"/>
    <w:rPr>
      <w:color w:val="954F72" w:themeColor="followedHyperlink"/>
      <w:u w:val="single"/>
    </w:rPr>
  </w:style>
  <w:style w:type="paragraph" w:styleId="ListParagraph">
    <w:name w:val="List Paragraph"/>
    <w:aliases w:val="Recommendation,List Paragraph1,List Paragraph11,List Paragraph2,AR bullet 1,Bullet Point,L,Bullet points,Content descriptions,Bullet Points,WISDOM Bullets,Bullet point,NFP GP Bulleted List,bullet point list,1 heading,Bulleted Para,Dot pt"/>
    <w:basedOn w:val="Normal"/>
    <w:link w:val="ListParagraphChar"/>
    <w:uiPriority w:val="34"/>
    <w:qFormat/>
    <w:rsid w:val="00A578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7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2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0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commendation Char,List Paragraph1 Char,List Paragraph11 Char,List Paragraph2 Char,AR bullet 1 Char,Bullet Point Char,L Char,Bullet points Char,Content descriptions Char,Bullet Points Char,WISDOM Bullets Char,Bullet point Char"/>
    <w:basedOn w:val="DefaultParagraphFont"/>
    <w:link w:val="ListParagraph"/>
    <w:uiPriority w:val="34"/>
    <w:locked/>
    <w:rsid w:val="00BD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finance.gov.au/procurement/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73b3df24114868a21db4ce3ca83710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b73b3df24114868a21db4ce3ca83710>
    <TaxCatchAll xmlns="82ff9d9b-d3fc-4aad-bc42-9949ee83b815">
      <Value>130</Value>
      <Value>1</Value>
    </TaxCatchAll>
    <TaxKeywordTaxHTField xmlns="82ff9d9b-d3fc-4aad-bc42-9949ee83b815">
      <Terms xmlns="http://schemas.microsoft.com/office/infopath/2007/PartnerControls"/>
    </TaxKeywordTaxHTField>
    <LMName xmlns="82ff9d9b-d3fc-4aad-bc42-9949ee83b815" xsi:nil="true"/>
    <LastModDate xmlns="82ff9d9b-d3fc-4aad-bc42-9949ee83b815" xsi:nil="true"/>
    <SecClass xmlns="82ff9d9b-d3fc-4aad-bc42-9949ee83b815">OFFICIAL</SecClass>
    <iee44f6412bf40639855518abb1a08cc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Policy</TermName>
          <TermId xmlns="http://schemas.microsoft.com/office/infopath/2007/PartnerControls">db21f25d-32db-47c1-972a-c84366a309ce</TermId>
        </TermInfo>
      </Terms>
    </iee44f6412bf40639855518abb1a08cc>
    <k90b8697a98d4606834ec03f7c33303a xmlns="82ff9d9b-d3fc-4aad-bc42-9949ee83b815">
      <Terms xmlns="http://schemas.microsoft.com/office/infopath/2007/PartnerControls"/>
    </k90b8697a98d4606834ec03f7c33303a>
    <k710d1823c744f64b20abec111d3c509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710d1823c744f64b20abec111d3c509>
    <RelatedItems xmlns="http://schemas.microsoft.com/sharepoint/v3" xsi:nil="true"/>
    <Original_x0020_Date_x0020_Created xmlns="82ff9d9b-d3fc-4aad-bc42-9949ee83b815" xsi:nil="true"/>
    <_dlc_DocId xmlns="67a709a9-7539-4d0f-aed5-94eb6312c732">FIN33931-22883953-90279</_dlc_DocId>
    <_dlc_DocIdUrl xmlns="67a709a9-7539-4d0f-aed5-94eb6312c732">
      <Url>https://f1.prdmgd.finance.gov.au/sites/50033931/_layouts/15/DocIdRedir.aspx?ID=FIN33931-22883953-90279</Url>
      <Description>FIN33931-22883953-90279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321FEA60C5BA343A52BC94EC00ABC9E0700E60BD6776122E74B80963C61431CF77A" ma:contentTypeVersion="102" ma:contentTypeDescription="Create a new document." ma:contentTypeScope="" ma:versionID="6af5637429ba49017af3aff2a5f226bd">
  <xsd:schema xmlns:xsd="http://www.w3.org/2001/XMLSchema" xmlns:xs="http://www.w3.org/2001/XMLSchema" xmlns:p="http://schemas.microsoft.com/office/2006/metadata/properties" xmlns:ns1="http://schemas.microsoft.com/sharepoint/v3" xmlns:ns2="82ff9d9b-d3fc-4aad-bc42-9949ee83b815" xmlns:ns3="67a709a9-7539-4d0f-aed5-94eb6312c732" targetNamespace="http://schemas.microsoft.com/office/2006/metadata/properties" ma:root="true" ma:fieldsID="ad76809134f8bc97aa307ff80ddfde40" ns1:_="" ns2:_="" ns3:_="">
    <xsd:import namespace="http://schemas.microsoft.com/sharepoint/v3"/>
    <xsd:import namespace="82ff9d9b-d3fc-4aad-bc42-9949ee83b815"/>
    <xsd:import namespace="67a709a9-7539-4d0f-aed5-94eb6312c732"/>
    <xsd:element name="properties">
      <xsd:complexType>
        <xsd:sequence>
          <xsd:element name="documentManagement">
            <xsd:complexType>
              <xsd:all>
                <xsd:element ref="ns2:SecClass" minOccurs="0"/>
                <xsd:element ref="ns1:RelatedItems" minOccurs="0"/>
                <xsd:element ref="ns2:LMName" minOccurs="0"/>
                <xsd:element ref="ns2:LastModDate" minOccurs="0"/>
                <xsd:element ref="ns2:k710d1823c744f64b20abec111d3c509" minOccurs="0"/>
                <xsd:element ref="ns2:kb73b3df24114868a21db4ce3ca83710" minOccurs="0"/>
                <xsd:element ref="ns2:TaxKeywordTaxHTField" minOccurs="0"/>
                <xsd:element ref="ns2:TaxCatchAll" minOccurs="0"/>
                <xsd:element ref="ns2:k90b8697a98d4606834ec03f7c33303a" minOccurs="0"/>
                <xsd:element ref="ns2:iee44f6412bf40639855518abb1a08cc" minOccurs="0"/>
                <xsd:element ref="ns2:TaxCatchAllLabel" minOccurs="0"/>
                <xsd:element ref="ns2:Original_x0020_Date_x0020_Creat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7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9d9b-d3fc-4aad-bc42-9949ee83b815" elementFormDefault="qualified">
    <xsd:import namespace="http://schemas.microsoft.com/office/2006/documentManagement/types"/>
    <xsd:import namespace="http://schemas.microsoft.com/office/infopath/2007/PartnerControls"/>
    <xsd:element name="SecClass" ma:index="3" nillable="true" ma:displayName="Security Classification" ma:default="OFFICIAL" ma:description="Security Classification" ma:format="Dropdown" ma:internalName="SecClass">
      <xsd:simpleType>
        <xsd:restriction base="dms:Choice">
          <xsd:enumeration value="UNOFFICIAL"/>
          <xsd:enumeration value="OFFICIAL"/>
          <xsd:enumeration value="OFFICIAL:Sensitive"/>
          <xsd:enumeration value="OFFICIAL:Sensitive, Personal-Privacy"/>
          <xsd:enumeration value="OFFICIAL:Sensitive, Legal-Privilege"/>
          <xsd:enumeration value="OFFICIAL:Sensitive, Legislative-Secrecy"/>
          <xsd:enumeration value="OFFICIAL:Sensitive, SH:National-Cabinet"/>
          <xsd:enumeration value="OFFICIAL:Sensitive, SH:National-Cabinet, Personal-Privacy"/>
          <xsd:enumeration value="OFFICIAL:Sensitive, SH:National-Cabinet, Legislative-Secrecy"/>
          <xsd:enumeration value="OFFICIAL:Sensitive, SH:National-Cabinet, Legal-Privilege"/>
          <xsd:enumeration value="PROTECTED"/>
          <xsd:enumeration value="PROTECTED, Legal-Privilege"/>
          <xsd:enumeration value="PROTECTED, Personal-Privacy"/>
          <xsd:enumeration value="PROTECTED, Legislative-Secrecy"/>
          <xsd:enumeration value="PROTECTED SH:CABINET"/>
          <xsd:enumeration value="PROTECTED SH:CABINET, Personal-Privacy"/>
          <xsd:enumeration value="PROTECTED SH:CABINET, Legal-Privilege"/>
          <xsd:enumeration value="PROTECTED SH:CABINET, Legislative-Secrecy"/>
          <xsd:enumeration value="PROTECTED SH:National-Cabinet"/>
          <xsd:enumeration value="PROTECTED SH:National-Cabinet, Personal-Privacy"/>
          <xsd:enumeration value="PROTECTED SH:National-Cabinet, Legal-Privilege"/>
          <xsd:enumeration value="PROTECTED SH:National-Cabinet, Legislative-Secrecy"/>
          <xsd:enumeration value="UNCLASSIFIED"/>
          <xsd:enumeration value="UNCLASSIFIED - Sensitive: Personal"/>
          <xsd:enumeration value="UNCLASSIFIED - Sensitive: Legal"/>
          <xsd:enumeration value="UNCLASSIFIED - Sensitive"/>
          <xsd:enumeration value="For Official Use Only"/>
          <xsd:enumeration value="PROTECTED - Sensitive"/>
          <xsd:enumeration value="PROTECTED - Sensitive: Personal"/>
          <xsd:enumeration value="PROTECTED - Sensitive: Cabinet"/>
          <xsd:enumeration value="PROTECTED - Sensitive: Legal"/>
        </xsd:restriction>
      </xsd:simpleType>
    </xsd:element>
    <xsd:element name="LMName" ma:index="9" nillable="true" ma:displayName="Last Modified by Name" ma:description="For archiving purposes" ma:internalName="LMName">
      <xsd:simpleType>
        <xsd:restriction base="dms:Text"/>
      </xsd:simpleType>
    </xsd:element>
    <xsd:element name="LastModDate" ma:index="10" nillable="true" ma:displayName="Last User 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k710d1823c744f64b20abec111d3c509" ma:index="13" nillable="true" ma:taxonomy="true" ma:internalName="k710d1823c744f64b20abec111d3c509" ma:taxonomyFieldName="InitiatingEntity" ma:displayName="Initiating Entity" ma:indexed="true" ma:fieldId="{4710d182-3c74-4f64-b20a-bec111d3c509}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73b3df24114868a21db4ce3ca83710" ma:index="15" nillable="true" ma:taxonomy="true" ma:internalName="kb73b3df24114868a21db4ce3ca83710" ma:taxonomyFieldName="AbtEntity" ma:displayName="About Entity" ma:fieldId="{4b73b3df-2411-4868-a21d-b4ce3ca83710}" ma:taxonomyMulti="true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c5fb5116-7131-45fb-9d92-9264787763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0779774a-81c2-4628-9acf-756ad12964f4}" ma:internalName="TaxCatchAll" ma:showField="CatchAllData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0b8697a98d4606834ec03f7c33303a" ma:index="20" nillable="true" ma:taxonomy="true" ma:internalName="k90b8697a98d4606834ec03f7c33303a" ma:taxonomyFieldName="Function_x0020_and_x0020_Activity" ma:displayName="Function and Activity" ma:indexed="true" ma:default="" ma:fieldId="{490b8697-a98d-4606-834e-c03f7c33303a}" ma:sspId="c5fb5116-7131-45fb-9d92-926478776364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e44f6412bf40639855518abb1a08cc" ma:index="22" nillable="true" ma:taxonomy="true" ma:internalName="iee44f6412bf40639855518abb1a08cc" ma:taxonomyFieldName="OrgUnit" ma:displayName="Organisation Unit" ma:indexed="true" ma:fieldId="{2ee44f64-12bf-4063-9855-518abb1a08cc}" ma:sspId="c5fb5116-7131-45fb-9d92-926478776364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0779774a-81c2-4628-9acf-756ad12964f4}" ma:internalName="TaxCatchAllLabel" ma:readOnly="true" ma:showField="CatchAllDataLabel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al_x0020_Date_x0020_Created" ma:index="24" nillable="true" ma:displayName="Original Date Created" ma:description="The date of which the source or original paper based document was created on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09a9-7539-4d0f-aed5-94eb6312c732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Information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5fb5116-7131-45fb-9d92-926478776364" ContentTypeId="0x010100B321FEA60C5BA343A52BC94EC00ABC9E07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265E-3929-4C4E-956B-9BA6A03FAD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82C699-CEFB-4576-A526-707F2A3DE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AF9D0-B9AE-4BEA-B475-C28D631531F7}">
  <ds:schemaRefs>
    <ds:schemaRef ds:uri="http://purl.org/dc/elements/1.1/"/>
    <ds:schemaRef ds:uri="http://schemas.microsoft.com/office/2006/metadata/properties"/>
    <ds:schemaRef ds:uri="82ff9d9b-d3fc-4aad-bc42-9949ee83b81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0da25fb-85a7-478c-b4ad-b72ee6770bd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478129-348C-44C1-81A4-36B506E900AC}"/>
</file>

<file path=customXml/itemProps5.xml><?xml version="1.0" encoding="utf-8"?>
<ds:datastoreItem xmlns:ds="http://schemas.openxmlformats.org/officeDocument/2006/customXml" ds:itemID="{2DDEF776-4884-4768-B78C-30878C2EDD8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47F8F19-F559-4593-9E2E-7C173C01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Wendy</dc:creator>
  <cp:keywords/>
  <dc:description/>
  <cp:lastModifiedBy>Poynton, Bridget</cp:lastModifiedBy>
  <cp:revision>2</cp:revision>
  <dcterms:created xsi:type="dcterms:W3CDTF">2022-03-28T22:09:00Z</dcterms:created>
  <dcterms:modified xsi:type="dcterms:W3CDTF">2022-03-28T22:09:00Z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0x010100B321FEA60C5BA343A52BC94EC00ABC9E0700E60BD6776122E74B80963C61431CF77A</vt:lpwstr>
  </property>
  <property fmtid="{D5CDD505-2E9C-101B-9397-08002B2CF9AE}" pid="3" name="TaxKeyword">
    <vt:lpwstr/>
  </property>
  <property fmtid="{D5CDD505-2E9C-101B-9397-08002B2CF9AE}" pid="4" name="g30b6d601f624994bd5004651b59f186">
    <vt:lpwstr/>
  </property>
  <property fmtid="{D5CDD505-2E9C-101B-9397-08002B2CF9AE}" pid="5" name="OrgUnit">
    <vt:lpwstr>130;#Procurement Policy|db21f25d-32db-47c1-972a-c84366a309ce</vt:lpwstr>
  </property>
  <property fmtid="{D5CDD505-2E9C-101B-9397-08002B2CF9AE}" pid="6" name="DocumentType">
    <vt:lpwstr/>
  </property>
  <property fmtid="{D5CDD505-2E9C-101B-9397-08002B2CF9AE}" pid="7" name="InitiatingEntity">
    <vt:lpwstr>1;#Department of Finance|fd660e8f-8f31-49bd-92a3-d31d4da31afe</vt:lpwstr>
  </property>
  <property fmtid="{D5CDD505-2E9C-101B-9397-08002B2CF9AE}" pid="8" name="Function and Activity">
    <vt:lpwstr/>
  </property>
  <property fmtid="{D5CDD505-2E9C-101B-9397-08002B2CF9AE}" pid="9" name="AbtEntity">
    <vt:lpwstr>1;#Department of Finance|fd660e8f-8f31-49bd-92a3-d31d4da31afe</vt:lpwstr>
  </property>
  <property fmtid="{D5CDD505-2E9C-101B-9397-08002B2CF9AE}" pid="10" name="_dlc_DocIdItemGuid">
    <vt:lpwstr>0b19cc33-663d-400f-803f-2db415b59801</vt:lpwstr>
  </property>
</Properties>
</file>