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5927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2B94B3" wp14:editId="15F44E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5F998" w14:textId="77777777" w:rsidR="00715914" w:rsidRPr="00E500D4" w:rsidRDefault="00715914" w:rsidP="00715914">
      <w:pPr>
        <w:rPr>
          <w:sz w:val="19"/>
        </w:rPr>
      </w:pPr>
    </w:p>
    <w:p w14:paraId="6A85208C" w14:textId="53575E2D" w:rsidR="00554826" w:rsidRPr="003E2B17" w:rsidRDefault="00C829A6" w:rsidP="00554826">
      <w:pPr>
        <w:pStyle w:val="ShortT"/>
      </w:pPr>
      <w:r w:rsidRPr="003E2B17">
        <w:t>Therapeutic Goods</w:t>
      </w:r>
      <w:r w:rsidR="00554826" w:rsidRPr="003E2B17">
        <w:t xml:space="preserve"> (</w:t>
      </w:r>
      <w:r w:rsidRPr="003E2B17">
        <w:t xml:space="preserve">Standard for </w:t>
      </w:r>
      <w:r w:rsidR="00223B63" w:rsidRPr="003E2B17">
        <w:t>H</w:t>
      </w:r>
      <w:r w:rsidRPr="003E2B17">
        <w:t xml:space="preserve">uman </w:t>
      </w:r>
      <w:r w:rsidR="00223B63" w:rsidRPr="003E2B17">
        <w:t>A</w:t>
      </w:r>
      <w:r w:rsidRPr="003E2B17">
        <w:t>lbumin</w:t>
      </w:r>
      <w:r w:rsidR="00554826" w:rsidRPr="003E2B17">
        <w:t xml:space="preserve">) </w:t>
      </w:r>
      <w:r w:rsidRPr="003E2B17">
        <w:t xml:space="preserve">(TGO </w:t>
      </w:r>
      <w:r w:rsidR="003D466E" w:rsidRPr="003E2B17">
        <w:t>111</w:t>
      </w:r>
      <w:r w:rsidRPr="003E2B17">
        <w:t>) Order 202</w:t>
      </w:r>
      <w:r w:rsidR="003D466E" w:rsidRPr="003E2B17">
        <w:t>2</w:t>
      </w:r>
    </w:p>
    <w:p w14:paraId="103E7D18" w14:textId="509DB9BB" w:rsidR="00554826" w:rsidRPr="003E2B17" w:rsidRDefault="00554826" w:rsidP="00554826">
      <w:pPr>
        <w:pStyle w:val="SignCoverPageStart"/>
        <w:spacing w:before="240"/>
        <w:ind w:right="91"/>
        <w:rPr>
          <w:szCs w:val="22"/>
        </w:rPr>
      </w:pPr>
      <w:r w:rsidRPr="003E2B17">
        <w:rPr>
          <w:szCs w:val="22"/>
        </w:rPr>
        <w:t xml:space="preserve">I, </w:t>
      </w:r>
      <w:r w:rsidR="003D466E" w:rsidRPr="003E2B17">
        <w:rPr>
          <w:szCs w:val="22"/>
        </w:rPr>
        <w:t>Nick Henderson</w:t>
      </w:r>
      <w:r w:rsidRPr="003E2B17">
        <w:rPr>
          <w:szCs w:val="22"/>
        </w:rPr>
        <w:t xml:space="preserve">, </w:t>
      </w:r>
      <w:r w:rsidR="00C829A6" w:rsidRPr="003E2B17">
        <w:rPr>
          <w:szCs w:val="22"/>
        </w:rPr>
        <w:t>as delegate of the Minister for Health and Aged Care</w:t>
      </w:r>
      <w:r w:rsidRPr="003E2B17">
        <w:rPr>
          <w:szCs w:val="22"/>
        </w:rPr>
        <w:t xml:space="preserve">, make the following </w:t>
      </w:r>
      <w:r w:rsidR="00C829A6" w:rsidRPr="003E2B17">
        <w:rPr>
          <w:szCs w:val="22"/>
        </w:rPr>
        <w:t>order</w:t>
      </w:r>
      <w:r w:rsidRPr="003E2B17">
        <w:rPr>
          <w:szCs w:val="22"/>
        </w:rPr>
        <w:t>.</w:t>
      </w:r>
    </w:p>
    <w:p w14:paraId="4851BA37" w14:textId="2184CC5A" w:rsidR="00554826" w:rsidRPr="003E2B17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E2B17">
        <w:rPr>
          <w:szCs w:val="22"/>
        </w:rPr>
        <w:t>Dated</w:t>
      </w:r>
      <w:r w:rsidR="002173B1" w:rsidRPr="003E2B17">
        <w:rPr>
          <w:szCs w:val="22"/>
        </w:rPr>
        <w:t xml:space="preserve"> 25 </w:t>
      </w:r>
      <w:r w:rsidR="003D466E" w:rsidRPr="003E2B17">
        <w:rPr>
          <w:szCs w:val="22"/>
        </w:rPr>
        <w:t>March 2022</w:t>
      </w:r>
    </w:p>
    <w:p w14:paraId="0261A82D" w14:textId="350B35A9" w:rsidR="00554826" w:rsidRPr="003E2B17" w:rsidRDefault="003D466E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E2B17">
        <w:rPr>
          <w:szCs w:val="22"/>
        </w:rPr>
        <w:t>Nick Henderson</w:t>
      </w:r>
    </w:p>
    <w:p w14:paraId="777D71CE" w14:textId="59833F13" w:rsidR="00554826" w:rsidRPr="003E2B17" w:rsidRDefault="00C829A6" w:rsidP="00554826">
      <w:pPr>
        <w:pStyle w:val="SignCoverPageEnd"/>
        <w:ind w:right="91"/>
        <w:rPr>
          <w:sz w:val="22"/>
        </w:rPr>
      </w:pPr>
      <w:r w:rsidRPr="003E2B17">
        <w:rPr>
          <w:sz w:val="22"/>
        </w:rPr>
        <w:t>First Assistant Secretary</w:t>
      </w:r>
      <w:r w:rsidRPr="003E2B17">
        <w:rPr>
          <w:sz w:val="22"/>
        </w:rPr>
        <w:br/>
        <w:t>Medicines Regulation Division</w:t>
      </w:r>
      <w:r w:rsidRPr="003E2B17">
        <w:rPr>
          <w:sz w:val="22"/>
        </w:rPr>
        <w:br/>
        <w:t>Health Products Regulation Group</w:t>
      </w:r>
      <w:r w:rsidRPr="003E2B17">
        <w:rPr>
          <w:sz w:val="22"/>
        </w:rPr>
        <w:br/>
        <w:t>Department of Health</w:t>
      </w:r>
    </w:p>
    <w:p w14:paraId="2283D32B" w14:textId="77777777" w:rsidR="00554826" w:rsidRPr="003E2B17" w:rsidRDefault="00554826" w:rsidP="00554826"/>
    <w:p w14:paraId="3648CF3F" w14:textId="77777777" w:rsidR="00554826" w:rsidRPr="003E2B17" w:rsidRDefault="00554826" w:rsidP="00554826"/>
    <w:p w14:paraId="22436753" w14:textId="77777777" w:rsidR="00F6696E" w:rsidRPr="003E2B17" w:rsidRDefault="00F6696E" w:rsidP="00F6696E"/>
    <w:p w14:paraId="0EDFA0EA" w14:textId="77777777" w:rsidR="00F6696E" w:rsidRPr="003E2B17" w:rsidRDefault="00F6696E" w:rsidP="00F6696E">
      <w:pPr>
        <w:sectPr w:rsidR="00F6696E" w:rsidRPr="003E2B17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42CE89B" w14:textId="77777777" w:rsidR="007500C8" w:rsidRPr="003E2B17" w:rsidRDefault="00715914" w:rsidP="00715914">
      <w:pPr>
        <w:outlineLvl w:val="0"/>
        <w:rPr>
          <w:sz w:val="36"/>
        </w:rPr>
      </w:pPr>
      <w:r w:rsidRPr="003E2B17">
        <w:rPr>
          <w:sz w:val="36"/>
        </w:rPr>
        <w:lastRenderedPageBreak/>
        <w:t>Contents</w:t>
      </w:r>
    </w:p>
    <w:p w14:paraId="50C7D7AD" w14:textId="40331A74" w:rsidR="002F0E7B" w:rsidRPr="003E2B1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fldChar w:fldCharType="begin"/>
      </w:r>
      <w:r w:rsidRPr="003E2B17">
        <w:instrText xml:space="preserve"> TOC \o "1-9" </w:instrText>
      </w:r>
      <w:r w:rsidRPr="003E2B17">
        <w:fldChar w:fldCharType="separate"/>
      </w:r>
      <w:r w:rsidR="002F0E7B" w:rsidRPr="003E2B17">
        <w:rPr>
          <w:noProof/>
        </w:rPr>
        <w:t>1  Name</w:t>
      </w:r>
      <w:r w:rsidR="002F0E7B" w:rsidRPr="003E2B17">
        <w:rPr>
          <w:noProof/>
        </w:rPr>
        <w:tab/>
      </w:r>
      <w:r w:rsidR="002F0E7B" w:rsidRPr="003E2B17">
        <w:rPr>
          <w:noProof/>
        </w:rPr>
        <w:fldChar w:fldCharType="begin"/>
      </w:r>
      <w:r w:rsidR="002F0E7B" w:rsidRPr="003E2B17">
        <w:rPr>
          <w:noProof/>
        </w:rPr>
        <w:instrText xml:space="preserve"> PAGEREF _Toc96516287 \h </w:instrText>
      </w:r>
      <w:r w:rsidR="002F0E7B" w:rsidRPr="003E2B17">
        <w:rPr>
          <w:noProof/>
        </w:rPr>
      </w:r>
      <w:r w:rsidR="002F0E7B" w:rsidRPr="003E2B17">
        <w:rPr>
          <w:noProof/>
        </w:rPr>
        <w:fldChar w:fldCharType="separate"/>
      </w:r>
      <w:r w:rsidR="002F0E7B" w:rsidRPr="003E2B17">
        <w:rPr>
          <w:noProof/>
        </w:rPr>
        <w:t>1</w:t>
      </w:r>
      <w:r w:rsidR="002F0E7B" w:rsidRPr="003E2B17">
        <w:rPr>
          <w:noProof/>
        </w:rPr>
        <w:fldChar w:fldCharType="end"/>
      </w:r>
    </w:p>
    <w:p w14:paraId="1DA9EB81" w14:textId="6505A930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2  Commencement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_Toc96516288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1</w:t>
      </w:r>
      <w:r w:rsidRPr="003E2B17">
        <w:rPr>
          <w:noProof/>
        </w:rPr>
        <w:fldChar w:fldCharType="end"/>
      </w:r>
    </w:p>
    <w:p w14:paraId="1ABC7DAC" w14:textId="2015C4BC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3  Authority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_Toc96516289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1</w:t>
      </w:r>
      <w:r w:rsidRPr="003E2B17">
        <w:rPr>
          <w:noProof/>
        </w:rPr>
        <w:fldChar w:fldCharType="end"/>
      </w:r>
    </w:p>
    <w:p w14:paraId="4C2DDFBD" w14:textId="14D93DD9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4  Definitions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_Toc96516290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1</w:t>
      </w:r>
      <w:r w:rsidRPr="003E2B17">
        <w:rPr>
          <w:noProof/>
        </w:rPr>
        <w:fldChar w:fldCharType="end"/>
      </w:r>
    </w:p>
    <w:p w14:paraId="16ED2E9A" w14:textId="606B37DD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5  Standard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_Toc96516291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1</w:t>
      </w:r>
      <w:r w:rsidRPr="003E2B17">
        <w:rPr>
          <w:noProof/>
        </w:rPr>
        <w:fldChar w:fldCharType="end"/>
      </w:r>
    </w:p>
    <w:p w14:paraId="242194BA" w14:textId="6C745220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6  Application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_Toc96516292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2</w:t>
      </w:r>
      <w:r w:rsidRPr="003E2B17">
        <w:rPr>
          <w:noProof/>
        </w:rPr>
        <w:fldChar w:fldCharType="end"/>
      </w:r>
    </w:p>
    <w:p w14:paraId="375361B0" w14:textId="1F5E14E8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7  Requirements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_Toc96516293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2</w:t>
      </w:r>
      <w:r w:rsidRPr="003E2B17">
        <w:rPr>
          <w:noProof/>
        </w:rPr>
        <w:fldChar w:fldCharType="end"/>
      </w:r>
    </w:p>
    <w:p w14:paraId="14D766AB" w14:textId="3DCAC00E" w:rsidR="002F0E7B" w:rsidRPr="003E2B17" w:rsidRDefault="002F0E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2B17">
        <w:rPr>
          <w:noProof/>
        </w:rPr>
        <w:t>8  Repeals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_Toc96516294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2</w:t>
      </w:r>
      <w:r w:rsidRPr="003E2B17">
        <w:rPr>
          <w:noProof/>
        </w:rPr>
        <w:fldChar w:fldCharType="end"/>
      </w:r>
    </w:p>
    <w:p w14:paraId="268A7DC6" w14:textId="491E8A20" w:rsidR="002F0E7B" w:rsidRPr="003E2B17" w:rsidRDefault="002F0E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E2B17">
        <w:rPr>
          <w:noProof/>
        </w:rPr>
        <w:t>Schedule 1—Repeals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_Toc96516295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3</w:t>
      </w:r>
      <w:r w:rsidRPr="003E2B17">
        <w:rPr>
          <w:noProof/>
        </w:rPr>
        <w:fldChar w:fldCharType="end"/>
      </w:r>
    </w:p>
    <w:p w14:paraId="2A07CBA1" w14:textId="6655581D" w:rsidR="002F0E7B" w:rsidRPr="003E2B17" w:rsidRDefault="002F0E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E2B17">
        <w:rPr>
          <w:i w:val="0"/>
          <w:iCs/>
          <w:noProof/>
        </w:rPr>
        <w:t>Therapeutic Goods Order No. 90 Standard for human albumin</w:t>
      </w:r>
      <w:r w:rsidRPr="003E2B17">
        <w:rPr>
          <w:noProof/>
        </w:rPr>
        <w:tab/>
      </w:r>
      <w:r w:rsidRPr="003E2B17">
        <w:rPr>
          <w:noProof/>
        </w:rPr>
        <w:fldChar w:fldCharType="begin"/>
      </w:r>
      <w:r w:rsidRPr="003E2B17">
        <w:rPr>
          <w:noProof/>
        </w:rPr>
        <w:instrText xml:space="preserve"> PAGEREF _Toc96516296 \h </w:instrText>
      </w:r>
      <w:r w:rsidRPr="003E2B17">
        <w:rPr>
          <w:noProof/>
        </w:rPr>
      </w:r>
      <w:r w:rsidRPr="003E2B17">
        <w:rPr>
          <w:noProof/>
        </w:rPr>
        <w:fldChar w:fldCharType="separate"/>
      </w:r>
      <w:r w:rsidRPr="003E2B17">
        <w:rPr>
          <w:noProof/>
        </w:rPr>
        <w:t>3</w:t>
      </w:r>
      <w:r w:rsidRPr="003E2B17">
        <w:rPr>
          <w:noProof/>
        </w:rPr>
        <w:fldChar w:fldCharType="end"/>
      </w:r>
    </w:p>
    <w:p w14:paraId="4A7785B9" w14:textId="433A036A" w:rsidR="00F6696E" w:rsidRPr="003E2B17" w:rsidRDefault="00B418CB" w:rsidP="00F6696E">
      <w:pPr>
        <w:outlineLvl w:val="0"/>
      </w:pPr>
      <w:r w:rsidRPr="003E2B17">
        <w:fldChar w:fldCharType="end"/>
      </w:r>
    </w:p>
    <w:p w14:paraId="6651E0AC" w14:textId="77777777" w:rsidR="00F6696E" w:rsidRPr="003E2B17" w:rsidRDefault="00F6696E" w:rsidP="00F6696E">
      <w:pPr>
        <w:outlineLvl w:val="0"/>
        <w:rPr>
          <w:sz w:val="20"/>
        </w:rPr>
      </w:pPr>
    </w:p>
    <w:p w14:paraId="6E2517D9" w14:textId="77777777" w:rsidR="00F6696E" w:rsidRPr="003E2B17" w:rsidRDefault="00F6696E" w:rsidP="00F6696E">
      <w:pPr>
        <w:sectPr w:rsidR="00F6696E" w:rsidRPr="003E2B17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10D938" w14:textId="77777777" w:rsidR="00554826" w:rsidRPr="003E2B17" w:rsidRDefault="00554826" w:rsidP="00554826">
      <w:pPr>
        <w:pStyle w:val="ActHead5"/>
      </w:pPr>
      <w:bookmarkStart w:id="0" w:name="_Toc96516287"/>
      <w:proofErr w:type="gramStart"/>
      <w:r w:rsidRPr="003E2B17">
        <w:lastRenderedPageBreak/>
        <w:t>1  Name</w:t>
      </w:r>
      <w:bookmarkEnd w:id="0"/>
      <w:proofErr w:type="gramEnd"/>
    </w:p>
    <w:p w14:paraId="4169F6B6" w14:textId="75C0D764" w:rsidR="00554826" w:rsidRPr="003E2B17" w:rsidRDefault="00554826" w:rsidP="00554826">
      <w:pPr>
        <w:pStyle w:val="subsection"/>
      </w:pPr>
      <w:r w:rsidRPr="003E2B17">
        <w:tab/>
      </w:r>
      <w:r w:rsidR="00EB2CB9" w:rsidRPr="003E2B17">
        <w:t>(1)</w:t>
      </w:r>
      <w:r w:rsidRPr="003E2B17">
        <w:tab/>
        <w:t xml:space="preserve">This instrument is the </w:t>
      </w:r>
      <w:bookmarkStart w:id="1" w:name="BKCheck15B_3"/>
      <w:bookmarkStart w:id="2" w:name="_Hlk96588003"/>
      <w:bookmarkEnd w:id="1"/>
      <w:r w:rsidR="00C829A6" w:rsidRPr="003E2B17">
        <w:rPr>
          <w:i/>
        </w:rPr>
        <w:t xml:space="preserve">Therapeutic Goods (Standard for </w:t>
      </w:r>
      <w:r w:rsidR="00223B63" w:rsidRPr="003E2B17">
        <w:rPr>
          <w:i/>
        </w:rPr>
        <w:t>H</w:t>
      </w:r>
      <w:r w:rsidR="00C829A6" w:rsidRPr="003E2B17">
        <w:rPr>
          <w:i/>
        </w:rPr>
        <w:t xml:space="preserve">uman </w:t>
      </w:r>
      <w:r w:rsidR="00223B63" w:rsidRPr="003E2B17">
        <w:rPr>
          <w:i/>
        </w:rPr>
        <w:t>A</w:t>
      </w:r>
      <w:r w:rsidR="00C829A6" w:rsidRPr="003E2B17">
        <w:rPr>
          <w:i/>
        </w:rPr>
        <w:t>lbumin) (TGO</w:t>
      </w:r>
      <w:r w:rsidR="003028C5" w:rsidRPr="003E2B17">
        <w:rPr>
          <w:i/>
        </w:rPr>
        <w:t> </w:t>
      </w:r>
      <w:r w:rsidR="003D466E" w:rsidRPr="003E2B17">
        <w:rPr>
          <w:i/>
        </w:rPr>
        <w:t>111</w:t>
      </w:r>
      <w:r w:rsidR="00C829A6" w:rsidRPr="003E2B17">
        <w:rPr>
          <w:i/>
        </w:rPr>
        <w:t>) Order 202</w:t>
      </w:r>
      <w:r w:rsidR="003D466E" w:rsidRPr="003E2B17">
        <w:rPr>
          <w:i/>
        </w:rPr>
        <w:t>2</w:t>
      </w:r>
      <w:bookmarkEnd w:id="2"/>
      <w:r w:rsidRPr="003E2B17">
        <w:t>.</w:t>
      </w:r>
    </w:p>
    <w:p w14:paraId="451E8F6B" w14:textId="37555451" w:rsidR="00EB2CB9" w:rsidRPr="003E2B17" w:rsidRDefault="00EB2CB9" w:rsidP="00554826">
      <w:pPr>
        <w:pStyle w:val="subsection"/>
      </w:pPr>
      <w:r w:rsidRPr="003E2B17">
        <w:tab/>
        <w:t>(2)</w:t>
      </w:r>
      <w:r w:rsidRPr="003E2B17">
        <w:tab/>
        <w:t>This instrument may also be cited as TGO 111.</w:t>
      </w:r>
    </w:p>
    <w:p w14:paraId="192A74E5" w14:textId="77777777" w:rsidR="00554826" w:rsidRPr="003E2B17" w:rsidRDefault="00554826" w:rsidP="00554826">
      <w:pPr>
        <w:pStyle w:val="ActHead5"/>
      </w:pPr>
      <w:bookmarkStart w:id="3" w:name="_Toc96516288"/>
      <w:proofErr w:type="gramStart"/>
      <w:r w:rsidRPr="003E2B17">
        <w:t>2  Commencement</w:t>
      </w:r>
      <w:bookmarkEnd w:id="3"/>
      <w:proofErr w:type="gramEnd"/>
    </w:p>
    <w:p w14:paraId="0CD32154" w14:textId="77777777" w:rsidR="003767E2" w:rsidRPr="003E2B17" w:rsidRDefault="003767E2" w:rsidP="003767E2">
      <w:pPr>
        <w:pStyle w:val="subsection"/>
      </w:pPr>
      <w:r w:rsidRPr="003E2B17">
        <w:tab/>
        <w:t>(1)</w:t>
      </w:r>
      <w:r w:rsidRPr="003E2B1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AB24678" w14:textId="77777777" w:rsidR="003767E2" w:rsidRPr="003E2B17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E2B17" w14:paraId="53CCEB11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4630DA" w14:textId="77777777" w:rsidR="003767E2" w:rsidRPr="003E2B17" w:rsidRDefault="003767E2" w:rsidP="00A02135">
            <w:pPr>
              <w:pStyle w:val="TableHeading"/>
            </w:pPr>
            <w:r w:rsidRPr="003E2B17">
              <w:t>Commencement information</w:t>
            </w:r>
          </w:p>
        </w:tc>
      </w:tr>
      <w:tr w:rsidR="003767E2" w:rsidRPr="003E2B17" w14:paraId="0D4F15F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62DD23" w14:textId="77777777" w:rsidR="003767E2" w:rsidRPr="003E2B17" w:rsidRDefault="003767E2" w:rsidP="00A02135">
            <w:pPr>
              <w:pStyle w:val="TableHeading"/>
            </w:pPr>
            <w:r w:rsidRPr="003E2B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CA927C" w14:textId="77777777" w:rsidR="003767E2" w:rsidRPr="003E2B17" w:rsidRDefault="003767E2" w:rsidP="00A02135">
            <w:pPr>
              <w:pStyle w:val="TableHeading"/>
            </w:pPr>
            <w:r w:rsidRPr="003E2B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6261CF" w14:textId="77777777" w:rsidR="003767E2" w:rsidRPr="003E2B17" w:rsidRDefault="003767E2" w:rsidP="00A02135">
            <w:pPr>
              <w:pStyle w:val="TableHeading"/>
            </w:pPr>
            <w:r w:rsidRPr="003E2B17">
              <w:t>Column 3</w:t>
            </w:r>
          </w:p>
        </w:tc>
      </w:tr>
      <w:tr w:rsidR="003767E2" w:rsidRPr="003E2B17" w14:paraId="2F8E13F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0AA7C8" w14:textId="77777777" w:rsidR="003767E2" w:rsidRPr="003E2B17" w:rsidRDefault="003767E2" w:rsidP="00A02135">
            <w:pPr>
              <w:pStyle w:val="TableHeading"/>
            </w:pPr>
            <w:r w:rsidRPr="003E2B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D37194" w14:textId="77777777" w:rsidR="003767E2" w:rsidRPr="003E2B17" w:rsidRDefault="003767E2" w:rsidP="00A02135">
            <w:pPr>
              <w:pStyle w:val="TableHeading"/>
            </w:pPr>
            <w:r w:rsidRPr="003E2B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B9375E" w14:textId="77777777" w:rsidR="003767E2" w:rsidRPr="003E2B17" w:rsidRDefault="003767E2" w:rsidP="00A02135">
            <w:pPr>
              <w:pStyle w:val="TableHeading"/>
            </w:pPr>
            <w:r w:rsidRPr="003E2B17">
              <w:t>Date/Details</w:t>
            </w:r>
          </w:p>
        </w:tc>
      </w:tr>
      <w:tr w:rsidR="003767E2" w:rsidRPr="003E2B17" w14:paraId="5327813C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8A116FD" w14:textId="5AD34631" w:rsidR="003767E2" w:rsidRPr="003E2B17" w:rsidRDefault="003767E2" w:rsidP="00C829A6">
            <w:pPr>
              <w:pStyle w:val="Tabletext"/>
              <w:rPr>
                <w:i/>
              </w:rPr>
            </w:pPr>
            <w:r w:rsidRPr="003E2B17">
              <w:t xml:space="preserve">1.  </w:t>
            </w:r>
            <w:r w:rsidR="00C829A6" w:rsidRPr="003E2B1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6FBD874" w14:textId="602CC2A0" w:rsidR="003767E2" w:rsidRPr="003E2B17" w:rsidRDefault="00050886" w:rsidP="00A02135">
            <w:pPr>
              <w:pStyle w:val="Tabletext"/>
            </w:pPr>
            <w:r w:rsidRPr="003E2B17">
              <w:t>31 March 2022</w:t>
            </w:r>
            <w:r w:rsidR="00C829A6" w:rsidRPr="003E2B1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ABAD64" w14:textId="7C49217D" w:rsidR="003767E2" w:rsidRPr="003E2B17" w:rsidRDefault="00050886" w:rsidP="00A02135">
            <w:pPr>
              <w:pStyle w:val="Tabletext"/>
            </w:pPr>
            <w:r w:rsidRPr="003E2B17">
              <w:t>31 March 2022</w:t>
            </w:r>
          </w:p>
        </w:tc>
      </w:tr>
    </w:tbl>
    <w:p w14:paraId="2D95C592" w14:textId="77777777" w:rsidR="003767E2" w:rsidRPr="003E2B17" w:rsidRDefault="003767E2" w:rsidP="003767E2">
      <w:pPr>
        <w:pStyle w:val="notetext"/>
      </w:pPr>
      <w:r w:rsidRPr="003E2B17">
        <w:rPr>
          <w:snapToGrid w:val="0"/>
          <w:lang w:eastAsia="en-US"/>
        </w:rPr>
        <w:t>Note:</w:t>
      </w:r>
      <w:r w:rsidRPr="003E2B17">
        <w:rPr>
          <w:snapToGrid w:val="0"/>
          <w:lang w:eastAsia="en-US"/>
        </w:rPr>
        <w:tab/>
        <w:t>This table relates only to the provisions of this instrument</w:t>
      </w:r>
      <w:r w:rsidRPr="003E2B17">
        <w:t xml:space="preserve"> </w:t>
      </w:r>
      <w:r w:rsidRPr="003E2B17">
        <w:rPr>
          <w:snapToGrid w:val="0"/>
          <w:lang w:eastAsia="en-US"/>
        </w:rPr>
        <w:t>as originally made. It will not be amended to deal with any later amendments of this instrument.</w:t>
      </w:r>
    </w:p>
    <w:p w14:paraId="65C945A8" w14:textId="77777777" w:rsidR="003767E2" w:rsidRPr="003E2B17" w:rsidRDefault="003767E2" w:rsidP="003767E2">
      <w:pPr>
        <w:pStyle w:val="subsection"/>
      </w:pPr>
      <w:r w:rsidRPr="003E2B17">
        <w:tab/>
        <w:t>(2)</w:t>
      </w:r>
      <w:r w:rsidRPr="003E2B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5823324" w14:textId="77777777" w:rsidR="00554826" w:rsidRPr="003E2B17" w:rsidRDefault="00554826" w:rsidP="00554826">
      <w:pPr>
        <w:pStyle w:val="ActHead5"/>
      </w:pPr>
      <w:bookmarkStart w:id="4" w:name="_Toc96516289"/>
      <w:proofErr w:type="gramStart"/>
      <w:r w:rsidRPr="003E2B17">
        <w:t>3  Authority</w:t>
      </w:r>
      <w:bookmarkEnd w:id="4"/>
      <w:proofErr w:type="gramEnd"/>
    </w:p>
    <w:p w14:paraId="1EF0E89C" w14:textId="77777777" w:rsidR="00554826" w:rsidRPr="003E2B17" w:rsidRDefault="00554826" w:rsidP="00554826">
      <w:pPr>
        <w:pStyle w:val="subsection"/>
      </w:pPr>
      <w:r w:rsidRPr="003E2B17">
        <w:tab/>
      </w:r>
      <w:r w:rsidRPr="003E2B17">
        <w:tab/>
        <w:t xml:space="preserve">This instrument is made under </w:t>
      </w:r>
      <w:r w:rsidR="00C829A6" w:rsidRPr="003E2B17">
        <w:t xml:space="preserve">section 10 of the </w:t>
      </w:r>
      <w:r w:rsidR="00C829A6" w:rsidRPr="003E2B17">
        <w:rPr>
          <w:i/>
        </w:rPr>
        <w:t>Therapeutic Goods Act 1989</w:t>
      </w:r>
      <w:r w:rsidRPr="003E2B17">
        <w:t>.</w:t>
      </w:r>
    </w:p>
    <w:p w14:paraId="1B187E51" w14:textId="77777777" w:rsidR="00554826" w:rsidRPr="003E2B17" w:rsidRDefault="00554826" w:rsidP="00554826">
      <w:pPr>
        <w:pStyle w:val="ActHead5"/>
      </w:pPr>
      <w:bookmarkStart w:id="5" w:name="_Toc96516290"/>
      <w:proofErr w:type="gramStart"/>
      <w:r w:rsidRPr="003E2B17">
        <w:t>4  Definitions</w:t>
      </w:r>
      <w:bookmarkEnd w:id="5"/>
      <w:proofErr w:type="gramEnd"/>
    </w:p>
    <w:p w14:paraId="15B2B482" w14:textId="45A01700" w:rsidR="00554826" w:rsidRPr="003E2B17" w:rsidRDefault="00554826" w:rsidP="00554826">
      <w:pPr>
        <w:pStyle w:val="notetext"/>
      </w:pPr>
      <w:r w:rsidRPr="003E2B17">
        <w:t>Note:</w:t>
      </w:r>
      <w:r w:rsidRPr="003E2B17">
        <w:tab/>
      </w:r>
      <w:proofErr w:type="gramStart"/>
      <w:r w:rsidRPr="003E2B17">
        <w:t>A number of</w:t>
      </w:r>
      <w:proofErr w:type="gramEnd"/>
      <w:r w:rsidRPr="003E2B17">
        <w:t xml:space="preserve"> expressions used in this instrument are defined in </w:t>
      </w:r>
      <w:r w:rsidR="003D466E" w:rsidRPr="003E2B17">
        <w:t>sub</w:t>
      </w:r>
      <w:r w:rsidR="006A0107" w:rsidRPr="003E2B17">
        <w:t>section 3</w:t>
      </w:r>
      <w:r w:rsidR="003D466E" w:rsidRPr="003E2B17">
        <w:t>(1)</w:t>
      </w:r>
      <w:r w:rsidRPr="003E2B17">
        <w:t xml:space="preserve"> of the Act, including the following:</w:t>
      </w:r>
    </w:p>
    <w:p w14:paraId="03C392DB" w14:textId="77777777" w:rsidR="00554826" w:rsidRPr="003E2B17" w:rsidRDefault="00554826" w:rsidP="00554826">
      <w:pPr>
        <w:pStyle w:val="notepara"/>
      </w:pPr>
      <w:r w:rsidRPr="003E2B17">
        <w:t>(a)</w:t>
      </w:r>
      <w:r w:rsidRPr="003E2B17">
        <w:tab/>
      </w:r>
      <w:r w:rsidR="006A0107" w:rsidRPr="003E2B17">
        <w:t xml:space="preserve">British </w:t>
      </w:r>
      <w:proofErr w:type="gramStart"/>
      <w:r w:rsidR="006A0107" w:rsidRPr="003E2B17">
        <w:t>Pharmacopoeia</w:t>
      </w:r>
      <w:r w:rsidRPr="003E2B17">
        <w:t>;</w:t>
      </w:r>
      <w:proofErr w:type="gramEnd"/>
    </w:p>
    <w:p w14:paraId="00E594CF" w14:textId="078E7ED7" w:rsidR="00554826" w:rsidRPr="003E2B17" w:rsidRDefault="00554826" w:rsidP="00554826">
      <w:pPr>
        <w:pStyle w:val="notepara"/>
      </w:pPr>
      <w:r w:rsidRPr="003E2B17">
        <w:t>(b)</w:t>
      </w:r>
      <w:r w:rsidRPr="003E2B17">
        <w:tab/>
      </w:r>
      <w:r w:rsidR="006A0107" w:rsidRPr="003E2B17">
        <w:t xml:space="preserve">European </w:t>
      </w:r>
      <w:proofErr w:type="gramStart"/>
      <w:r w:rsidR="006A0107" w:rsidRPr="003E2B17">
        <w:t>Pharmacopoeia</w:t>
      </w:r>
      <w:r w:rsidR="003D466E" w:rsidRPr="003E2B17">
        <w:t>;</w:t>
      </w:r>
      <w:proofErr w:type="gramEnd"/>
    </w:p>
    <w:p w14:paraId="717C6003" w14:textId="3DA21312" w:rsidR="00223B63" w:rsidRPr="003E2B17" w:rsidRDefault="003D466E" w:rsidP="00554826">
      <w:pPr>
        <w:pStyle w:val="notepara"/>
      </w:pPr>
      <w:r w:rsidRPr="003E2B17">
        <w:t>(c)</w:t>
      </w:r>
      <w:r w:rsidRPr="003E2B17">
        <w:tab/>
      </w:r>
      <w:r w:rsidR="00223B63" w:rsidRPr="003E2B17">
        <w:t xml:space="preserve">export only </w:t>
      </w:r>
      <w:proofErr w:type="gramStart"/>
      <w:r w:rsidR="00223B63" w:rsidRPr="003E2B17">
        <w:t>medicine;</w:t>
      </w:r>
      <w:proofErr w:type="gramEnd"/>
    </w:p>
    <w:p w14:paraId="57ACAE6B" w14:textId="31613C45" w:rsidR="00223B63" w:rsidRPr="003E2B17" w:rsidRDefault="00223B63" w:rsidP="00554826">
      <w:pPr>
        <w:pStyle w:val="notepara"/>
      </w:pPr>
      <w:r w:rsidRPr="003E2B17">
        <w:t>(d)</w:t>
      </w:r>
      <w:r w:rsidRPr="003E2B17">
        <w:tab/>
      </w:r>
      <w:proofErr w:type="gramStart"/>
      <w:r w:rsidRPr="003E2B17">
        <w:t>standard;</w:t>
      </w:r>
      <w:proofErr w:type="gramEnd"/>
    </w:p>
    <w:p w14:paraId="62DF238E" w14:textId="4519CF04" w:rsidR="003D466E" w:rsidRPr="003E2B17" w:rsidRDefault="00223B63" w:rsidP="00554826">
      <w:pPr>
        <w:pStyle w:val="notepara"/>
      </w:pPr>
      <w:r w:rsidRPr="003E2B17">
        <w:t>(e)</w:t>
      </w:r>
      <w:r w:rsidRPr="003E2B17">
        <w:tab/>
      </w:r>
      <w:r w:rsidR="003D466E" w:rsidRPr="003E2B17">
        <w:t xml:space="preserve">therapeutic </w:t>
      </w:r>
      <w:proofErr w:type="gramStart"/>
      <w:r w:rsidR="003D466E" w:rsidRPr="003E2B17">
        <w:t>goods;</w:t>
      </w:r>
      <w:proofErr w:type="gramEnd"/>
    </w:p>
    <w:p w14:paraId="48BF9840" w14:textId="6BC541F1" w:rsidR="003D466E" w:rsidRPr="003E2B17" w:rsidRDefault="003D466E" w:rsidP="00554826">
      <w:pPr>
        <w:pStyle w:val="notepara"/>
      </w:pPr>
      <w:r w:rsidRPr="003E2B17">
        <w:t>(</w:t>
      </w:r>
      <w:r w:rsidR="00223B63" w:rsidRPr="003E2B17">
        <w:t>f</w:t>
      </w:r>
      <w:r w:rsidRPr="003E2B17">
        <w:t>)</w:t>
      </w:r>
      <w:r w:rsidRPr="003E2B17">
        <w:tab/>
        <w:t>therapeutic use</w:t>
      </w:r>
      <w:r w:rsidR="00223B63" w:rsidRPr="003E2B17">
        <w:t>.</w:t>
      </w:r>
    </w:p>
    <w:p w14:paraId="028A73FD" w14:textId="77777777" w:rsidR="00554826" w:rsidRPr="003E2B17" w:rsidRDefault="00554826" w:rsidP="00554826">
      <w:pPr>
        <w:pStyle w:val="subsection"/>
      </w:pPr>
      <w:r w:rsidRPr="003E2B17">
        <w:tab/>
      </w:r>
      <w:r w:rsidRPr="003E2B17">
        <w:tab/>
        <w:t>In this instrument:</w:t>
      </w:r>
    </w:p>
    <w:p w14:paraId="14905987" w14:textId="77777777" w:rsidR="00554826" w:rsidRPr="003E2B17" w:rsidRDefault="00554826" w:rsidP="00554826">
      <w:pPr>
        <w:pStyle w:val="Definition"/>
      </w:pPr>
      <w:r w:rsidRPr="003E2B17">
        <w:rPr>
          <w:b/>
          <w:i/>
        </w:rPr>
        <w:t>Act</w:t>
      </w:r>
      <w:r w:rsidRPr="003E2B17">
        <w:t xml:space="preserve"> means the </w:t>
      </w:r>
      <w:r w:rsidR="00C829A6" w:rsidRPr="003E2B17">
        <w:rPr>
          <w:i/>
        </w:rPr>
        <w:t>Therapeutic Goods Act 1989</w:t>
      </w:r>
      <w:r w:rsidRPr="003E2B17">
        <w:t>.</w:t>
      </w:r>
    </w:p>
    <w:p w14:paraId="00C739E4" w14:textId="151D6450" w:rsidR="00C829A6" w:rsidRPr="003E2B17" w:rsidRDefault="006A0107" w:rsidP="00554826">
      <w:pPr>
        <w:pStyle w:val="Definition"/>
      </w:pPr>
      <w:r w:rsidRPr="003E2B17">
        <w:rPr>
          <w:b/>
          <w:i/>
        </w:rPr>
        <w:t>h</w:t>
      </w:r>
      <w:r w:rsidR="00C829A6" w:rsidRPr="003E2B17">
        <w:rPr>
          <w:b/>
          <w:i/>
        </w:rPr>
        <w:t>uman albumin</w:t>
      </w:r>
      <w:r w:rsidR="00554826" w:rsidRPr="003E2B17">
        <w:rPr>
          <w:b/>
          <w:i/>
        </w:rPr>
        <w:t xml:space="preserve"> </w:t>
      </w:r>
      <w:r w:rsidR="00554826" w:rsidRPr="003E2B17">
        <w:t xml:space="preserve">means </w:t>
      </w:r>
      <w:r w:rsidR="00C829A6" w:rsidRPr="003E2B17">
        <w:t xml:space="preserve">albumin </w:t>
      </w:r>
      <w:r w:rsidR="009967CB" w:rsidRPr="003E2B17">
        <w:t xml:space="preserve">derived </w:t>
      </w:r>
      <w:r w:rsidR="00C829A6" w:rsidRPr="003E2B17">
        <w:t>from humans for:</w:t>
      </w:r>
    </w:p>
    <w:p w14:paraId="7604A09A" w14:textId="77777777" w:rsidR="00C829A6" w:rsidRPr="003E2B17" w:rsidRDefault="00C829A6" w:rsidP="00C829A6">
      <w:pPr>
        <w:pStyle w:val="paragraph"/>
      </w:pPr>
      <w:r w:rsidRPr="003E2B17">
        <w:tab/>
        <w:t>(a)</w:t>
      </w:r>
      <w:r w:rsidRPr="003E2B17">
        <w:tab/>
        <w:t>therapeutic use; or</w:t>
      </w:r>
    </w:p>
    <w:p w14:paraId="2A92220E" w14:textId="3D0F2657" w:rsidR="00C829A6" w:rsidRPr="003E2B17" w:rsidRDefault="00C829A6" w:rsidP="00C829A6">
      <w:pPr>
        <w:pStyle w:val="paragraph"/>
      </w:pPr>
      <w:r w:rsidRPr="003E2B17">
        <w:tab/>
        <w:t>(b)</w:t>
      </w:r>
      <w:r w:rsidRPr="003E2B17">
        <w:tab/>
        <w:t>use as an ingredient or component in the manufacture of therapeutic good</w:t>
      </w:r>
      <w:r w:rsidR="005E2C02" w:rsidRPr="003E2B17">
        <w:t>s</w:t>
      </w:r>
      <w:r w:rsidR="00C13603" w:rsidRPr="003E2B17">
        <w:t xml:space="preserve"> other than a medical device.</w:t>
      </w:r>
    </w:p>
    <w:p w14:paraId="53C8C422" w14:textId="77777777" w:rsidR="005E2C02" w:rsidRPr="003E2B17" w:rsidRDefault="005E2C02" w:rsidP="00C13603">
      <w:pPr>
        <w:pStyle w:val="ActHead5"/>
        <w:ind w:left="0" w:firstLine="0"/>
      </w:pPr>
      <w:bookmarkStart w:id="6" w:name="_Toc96516291"/>
      <w:proofErr w:type="gramStart"/>
      <w:r w:rsidRPr="003E2B17">
        <w:lastRenderedPageBreak/>
        <w:t>5  Standard</w:t>
      </w:r>
      <w:bookmarkEnd w:id="6"/>
      <w:proofErr w:type="gramEnd"/>
    </w:p>
    <w:p w14:paraId="58192F7B" w14:textId="7D61E944" w:rsidR="005E2C02" w:rsidRPr="003E2B17" w:rsidRDefault="005E2C02" w:rsidP="005E2C02">
      <w:pPr>
        <w:pStyle w:val="subsection"/>
      </w:pPr>
      <w:r w:rsidRPr="003E2B17">
        <w:tab/>
      </w:r>
      <w:r w:rsidRPr="003E2B17">
        <w:tab/>
        <w:t>Th</w:t>
      </w:r>
      <w:r w:rsidR="00050886" w:rsidRPr="003E2B17">
        <w:t>e matters specified in th</w:t>
      </w:r>
      <w:r w:rsidRPr="003E2B17">
        <w:t>is instrument constitute a standard for human albumin.</w:t>
      </w:r>
    </w:p>
    <w:p w14:paraId="5AC02A03" w14:textId="6D853D03" w:rsidR="00C13603" w:rsidRPr="003E2B17" w:rsidRDefault="009B6B53" w:rsidP="00C13603">
      <w:pPr>
        <w:pStyle w:val="ActHead5"/>
      </w:pPr>
      <w:bookmarkStart w:id="7" w:name="_Toc96516292"/>
      <w:bookmarkStart w:id="8" w:name="_Toc454781205"/>
      <w:proofErr w:type="gramStart"/>
      <w:r w:rsidRPr="003E2B17">
        <w:t>6</w:t>
      </w:r>
      <w:r w:rsidR="00C13603" w:rsidRPr="003E2B17">
        <w:t xml:space="preserve">  Application</w:t>
      </w:r>
      <w:bookmarkEnd w:id="7"/>
      <w:proofErr w:type="gramEnd"/>
    </w:p>
    <w:p w14:paraId="19188D22" w14:textId="3BE16465" w:rsidR="00C13603" w:rsidRPr="003E2B17" w:rsidRDefault="00C13603" w:rsidP="00C13603">
      <w:pPr>
        <w:pStyle w:val="subsection"/>
      </w:pPr>
      <w:r w:rsidRPr="003E2B17">
        <w:tab/>
      </w:r>
      <w:r w:rsidRPr="003E2B17">
        <w:tab/>
        <w:t>This instrument appl</w:t>
      </w:r>
      <w:r w:rsidR="00050886" w:rsidRPr="003E2B17">
        <w:t>ies</w:t>
      </w:r>
      <w:r w:rsidRPr="003E2B17">
        <w:t xml:space="preserve"> to human albumin</w:t>
      </w:r>
      <w:r w:rsidR="00050886" w:rsidRPr="003E2B17">
        <w:t>, other than human albumin</w:t>
      </w:r>
      <w:r w:rsidRPr="003E2B17">
        <w:t xml:space="preserve"> that is:</w:t>
      </w:r>
    </w:p>
    <w:p w14:paraId="704957DC" w14:textId="3421D4BC" w:rsidR="00C13603" w:rsidRPr="003E2B17" w:rsidRDefault="00C13603" w:rsidP="00C13603">
      <w:pPr>
        <w:pStyle w:val="paragraph"/>
      </w:pPr>
      <w:r w:rsidRPr="003E2B17">
        <w:tab/>
        <w:t>(a)</w:t>
      </w:r>
      <w:r w:rsidRPr="003E2B17">
        <w:tab/>
        <w:t>an export only medicine; or</w:t>
      </w:r>
    </w:p>
    <w:p w14:paraId="49A967D8" w14:textId="39C278A1" w:rsidR="00C13603" w:rsidRPr="003E2B17" w:rsidRDefault="00C13603" w:rsidP="00C13603">
      <w:pPr>
        <w:pStyle w:val="paragraph"/>
      </w:pPr>
      <w:r w:rsidRPr="003E2B17">
        <w:tab/>
        <w:t>(b)</w:t>
      </w:r>
      <w:r w:rsidRPr="003E2B17">
        <w:tab/>
        <w:t>an ingredient or component</w:t>
      </w:r>
      <w:r w:rsidR="001B0EB0" w:rsidRPr="003E2B17">
        <w:t xml:space="preserve"> </w:t>
      </w:r>
      <w:r w:rsidRPr="003E2B17">
        <w:t>in the manufacture of an export only medicine.</w:t>
      </w:r>
    </w:p>
    <w:p w14:paraId="593F676F" w14:textId="16652556" w:rsidR="005E2C02" w:rsidRPr="003E2B17" w:rsidRDefault="009B6B53" w:rsidP="005E2C02">
      <w:pPr>
        <w:pStyle w:val="ActHead5"/>
      </w:pPr>
      <w:bookmarkStart w:id="9" w:name="_Toc96516293"/>
      <w:proofErr w:type="gramStart"/>
      <w:r w:rsidRPr="003E2B17">
        <w:t>7</w:t>
      </w:r>
      <w:r w:rsidR="005E2C02" w:rsidRPr="003E2B17">
        <w:t xml:space="preserve">  Requirements</w:t>
      </w:r>
      <w:bookmarkEnd w:id="9"/>
      <w:proofErr w:type="gramEnd"/>
    </w:p>
    <w:p w14:paraId="707000C9" w14:textId="21944DC7" w:rsidR="005E2C02" w:rsidRPr="003E2B17" w:rsidRDefault="00CA1435" w:rsidP="005E2C02">
      <w:pPr>
        <w:pStyle w:val="subsection"/>
      </w:pPr>
      <w:r w:rsidRPr="003E2B17">
        <w:tab/>
      </w:r>
      <w:r w:rsidRPr="003E2B17">
        <w:tab/>
        <w:t xml:space="preserve">The requirements for human albumin are the requirements </w:t>
      </w:r>
      <w:r w:rsidR="00050886" w:rsidRPr="003E2B17">
        <w:t xml:space="preserve">specified </w:t>
      </w:r>
      <w:r w:rsidR="00F12FAA" w:rsidRPr="003E2B17">
        <w:t>in</w:t>
      </w:r>
      <w:r w:rsidRPr="003E2B17">
        <w:t xml:space="preserve"> an individual or general monograph </w:t>
      </w:r>
      <w:r w:rsidR="0039202B" w:rsidRPr="003E2B17">
        <w:t>in the British Pharmacopoeia or the European Pharmacopoeia</w:t>
      </w:r>
      <w:r w:rsidR="0039202B" w:rsidRPr="003E2B17" w:rsidDel="0039202B">
        <w:t xml:space="preserve"> </w:t>
      </w:r>
      <w:r w:rsidR="0039202B" w:rsidRPr="003E2B17">
        <w:t xml:space="preserve">that is applicable to </w:t>
      </w:r>
      <w:r w:rsidRPr="003E2B17">
        <w:t xml:space="preserve">human albumin, </w:t>
      </w:r>
      <w:r w:rsidR="00F12FAA" w:rsidRPr="003E2B17">
        <w:t xml:space="preserve">as interpreted in accordance with the </w:t>
      </w:r>
      <w:r w:rsidRPr="003E2B17">
        <w:t>General Notices</w:t>
      </w:r>
      <w:r w:rsidR="00F12FAA" w:rsidRPr="003E2B17">
        <w:t xml:space="preserve"> section of the </w:t>
      </w:r>
      <w:r w:rsidR="0039202B" w:rsidRPr="003E2B17">
        <w:t>relevant</w:t>
      </w:r>
      <w:r w:rsidRPr="003E2B17">
        <w:t xml:space="preserve"> Pharmacopoeia</w:t>
      </w:r>
      <w:r w:rsidR="00F12FAA" w:rsidRPr="003E2B17">
        <w:t>.</w:t>
      </w:r>
    </w:p>
    <w:p w14:paraId="13DB1BB4" w14:textId="22F41589" w:rsidR="00554826" w:rsidRPr="003E2B17" w:rsidRDefault="009B6B53" w:rsidP="00554826">
      <w:pPr>
        <w:pStyle w:val="ActHead5"/>
      </w:pPr>
      <w:bookmarkStart w:id="10" w:name="_Toc96516294"/>
      <w:proofErr w:type="gramStart"/>
      <w:r w:rsidRPr="003E2B17">
        <w:t>8</w:t>
      </w:r>
      <w:r w:rsidR="00554826" w:rsidRPr="003E2B17">
        <w:t xml:space="preserve">  </w:t>
      </w:r>
      <w:bookmarkEnd w:id="8"/>
      <w:r w:rsidR="002F0E7B" w:rsidRPr="003E2B17">
        <w:t>Repeals</w:t>
      </w:r>
      <w:bookmarkEnd w:id="10"/>
      <w:proofErr w:type="gramEnd"/>
    </w:p>
    <w:p w14:paraId="421A7ABA" w14:textId="000A7DD4" w:rsidR="00C13603" w:rsidRPr="003E2B17" w:rsidRDefault="00554826" w:rsidP="00223B63">
      <w:pPr>
        <w:pStyle w:val="subsection"/>
      </w:pPr>
      <w:r w:rsidRPr="003E2B17">
        <w:tab/>
      </w:r>
      <w:r w:rsidRPr="003E2B17">
        <w:tab/>
        <w:t>Each instrument that is specified in Schedule</w:t>
      </w:r>
      <w:r w:rsidR="002F0E7B" w:rsidRPr="003E2B17">
        <w:t xml:space="preserve"> 1</w:t>
      </w:r>
      <w:r w:rsidRPr="003E2B17">
        <w:t xml:space="preserve"> is repealed as set out in the applicable items in th</w:t>
      </w:r>
      <w:r w:rsidR="002F0E7B" w:rsidRPr="003E2B17">
        <w:t>at</w:t>
      </w:r>
      <w:r w:rsidRPr="003E2B17">
        <w:t xml:space="preserve"> Schedule.</w:t>
      </w:r>
    </w:p>
    <w:p w14:paraId="5C86B4C4" w14:textId="77777777" w:rsidR="00554826" w:rsidRPr="003E2B17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3E2B17">
        <w:br w:type="page"/>
      </w:r>
    </w:p>
    <w:p w14:paraId="36D1A62F" w14:textId="3921E42B" w:rsidR="00D6537E" w:rsidRPr="003E2B17" w:rsidRDefault="004E1307" w:rsidP="00D6537E">
      <w:pPr>
        <w:pStyle w:val="ActHead6"/>
      </w:pPr>
      <w:bookmarkStart w:id="11" w:name="_Toc96516295"/>
      <w:r w:rsidRPr="003E2B17">
        <w:lastRenderedPageBreak/>
        <w:t xml:space="preserve">Schedule </w:t>
      </w:r>
      <w:r w:rsidR="00D6537E" w:rsidRPr="003E2B17">
        <w:t>1—Repeals</w:t>
      </w:r>
      <w:bookmarkEnd w:id="11"/>
    </w:p>
    <w:p w14:paraId="11703974" w14:textId="6DDE27A1" w:rsidR="002F0E7B" w:rsidRPr="003E2B17" w:rsidRDefault="002F0E7B" w:rsidP="002F0E7B">
      <w:pPr>
        <w:pStyle w:val="Schedulereference"/>
        <w:ind w:left="0"/>
        <w:rPr>
          <w:rFonts w:ascii="Times New Roman" w:hAnsi="Times New Roman"/>
          <w:szCs w:val="18"/>
        </w:rPr>
      </w:pPr>
      <w:r w:rsidRPr="003E2B17">
        <w:rPr>
          <w:rFonts w:ascii="Times New Roman" w:hAnsi="Times New Roman"/>
          <w:szCs w:val="18"/>
        </w:rPr>
        <w:t>Note:</w:t>
      </w:r>
      <w:r w:rsidRPr="003E2B17">
        <w:rPr>
          <w:rFonts w:ascii="Times New Roman" w:hAnsi="Times New Roman"/>
          <w:szCs w:val="18"/>
        </w:rPr>
        <w:tab/>
        <w:t>See section 8.</w:t>
      </w:r>
    </w:p>
    <w:p w14:paraId="23E130E4" w14:textId="77777777" w:rsidR="00D6537E" w:rsidRPr="003E2B17" w:rsidRDefault="00CA1435" w:rsidP="00D6537E">
      <w:pPr>
        <w:pStyle w:val="ActHead9"/>
        <w:rPr>
          <w:i w:val="0"/>
          <w:iCs/>
        </w:rPr>
      </w:pPr>
      <w:bookmarkStart w:id="12" w:name="_Toc96516296"/>
      <w:r w:rsidRPr="003E2B17">
        <w:rPr>
          <w:i w:val="0"/>
          <w:iCs/>
        </w:rPr>
        <w:t>Therapeutic Goods Order No. 90 Standard for human albumin</w:t>
      </w:r>
      <w:bookmarkEnd w:id="12"/>
    </w:p>
    <w:p w14:paraId="111D702D" w14:textId="77777777" w:rsidR="00D6537E" w:rsidRPr="003E2B17" w:rsidRDefault="00D6537E" w:rsidP="00D6537E">
      <w:pPr>
        <w:pStyle w:val="ItemHead"/>
      </w:pPr>
      <w:proofErr w:type="gramStart"/>
      <w:r w:rsidRPr="003E2B17">
        <w:t xml:space="preserve">1  </w:t>
      </w:r>
      <w:r w:rsidR="00BB1533" w:rsidRPr="003E2B17">
        <w:t>The</w:t>
      </w:r>
      <w:proofErr w:type="gramEnd"/>
      <w:r w:rsidR="00BB1533" w:rsidRPr="003E2B17">
        <w:t xml:space="preserve"> w</w:t>
      </w:r>
      <w:r w:rsidRPr="003E2B17">
        <w:t>hole of the instrument</w:t>
      </w:r>
    </w:p>
    <w:p w14:paraId="31651D8E" w14:textId="31F5C626" w:rsidR="00A75FE9" w:rsidRDefault="00D6537E" w:rsidP="00CA1435">
      <w:pPr>
        <w:pStyle w:val="Item"/>
      </w:pPr>
      <w:r w:rsidRPr="003E2B17">
        <w:t>Repeal the instrument</w:t>
      </w:r>
      <w:r w:rsidR="00BF5D39" w:rsidRPr="003E2B17">
        <w:t>.</w:t>
      </w: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9737" w14:textId="77777777" w:rsidR="007F1885" w:rsidRDefault="007F1885" w:rsidP="00715914">
      <w:pPr>
        <w:spacing w:line="240" w:lineRule="auto"/>
      </w:pPr>
      <w:r>
        <w:separator/>
      </w:r>
    </w:p>
  </w:endnote>
  <w:endnote w:type="continuationSeparator" w:id="0">
    <w:p w14:paraId="77D14695" w14:textId="77777777" w:rsidR="007F1885" w:rsidRDefault="007F188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DE46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CA91F1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309FC8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E9D5D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29A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97CD3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42089D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1B448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F55E4A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1116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E8A80A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66180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B49C6F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29A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E22AA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0700AF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76BE52" w14:textId="77777777" w:rsidR="0072147A" w:rsidRDefault="0072147A" w:rsidP="00A369E3">
          <w:pPr>
            <w:rPr>
              <w:sz w:val="18"/>
            </w:rPr>
          </w:pPr>
        </w:p>
      </w:tc>
    </w:tr>
  </w:tbl>
  <w:p w14:paraId="05622C1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291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01348C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EF8A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56049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FA301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DCE30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C37D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A843023" w14:textId="77777777" w:rsidTr="00A87A58">
      <w:tc>
        <w:tcPr>
          <w:tcW w:w="365" w:type="pct"/>
        </w:tcPr>
        <w:p w14:paraId="31163F6B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8BB454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29A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91C6C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BF9C4AD" w14:textId="77777777" w:rsidTr="00A87A58">
      <w:tc>
        <w:tcPr>
          <w:tcW w:w="5000" w:type="pct"/>
          <w:gridSpan w:val="3"/>
        </w:tcPr>
        <w:p w14:paraId="3C37991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7FB043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5D94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739"/>
      <w:gridCol w:w="1298"/>
    </w:tblGrid>
    <w:tr w:rsidR="00F6696E" w14:paraId="691F7711" w14:textId="77777777" w:rsidTr="005C5813">
      <w:tc>
        <w:tcPr>
          <w:tcW w:w="767" w:type="pct"/>
        </w:tcPr>
        <w:p w14:paraId="43DC4ABC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452" w:type="pct"/>
        </w:tcPr>
        <w:p w14:paraId="752BEA02" w14:textId="0998B59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2B17">
            <w:rPr>
              <w:i/>
              <w:noProof/>
              <w:sz w:val="18"/>
            </w:rPr>
            <w:t>Therapeutic Goods (Standard for Human Albumin) (TGO 111) Order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81" w:type="pct"/>
        </w:tcPr>
        <w:p w14:paraId="30BD4C28" w14:textId="7D630309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6E5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BD00D4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7AA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1"/>
      <w:gridCol w:w="5942"/>
      <w:gridCol w:w="1160"/>
    </w:tblGrid>
    <w:tr w:rsidR="008C2EAC" w14:paraId="4F17D4FB" w14:textId="77777777" w:rsidTr="00366B07">
      <w:tc>
        <w:tcPr>
          <w:tcW w:w="728" w:type="pct"/>
        </w:tcPr>
        <w:p w14:paraId="3B3609B7" w14:textId="6B5ECDF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6E5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574" w:type="pct"/>
        </w:tcPr>
        <w:p w14:paraId="231F9729" w14:textId="0006FB9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2B17">
            <w:rPr>
              <w:i/>
              <w:noProof/>
              <w:sz w:val="18"/>
            </w:rPr>
            <w:t>Therapeutic Goods (Standard for Human Albumin) (TGO 111) Order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698" w:type="pct"/>
        </w:tcPr>
        <w:p w14:paraId="0DF6C60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</w:tbl>
  <w:p w14:paraId="3EB97323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1A2F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9"/>
      <w:gridCol w:w="5666"/>
      <w:gridCol w:w="1298"/>
    </w:tblGrid>
    <w:tr w:rsidR="008C2EAC" w14:paraId="54083CCF" w14:textId="77777777" w:rsidTr="00366B07">
      <w:tc>
        <w:tcPr>
          <w:tcW w:w="811" w:type="pct"/>
        </w:tcPr>
        <w:p w14:paraId="0946673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408" w:type="pct"/>
        </w:tcPr>
        <w:p w14:paraId="6CF1FE92" w14:textId="3D47B10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E2B17">
            <w:rPr>
              <w:i/>
              <w:noProof/>
              <w:sz w:val="18"/>
            </w:rPr>
            <w:t>Therapeutic Goods (Standard for Human Albumin) (TGO 111) Order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81" w:type="pct"/>
        </w:tcPr>
        <w:p w14:paraId="1AC00839" w14:textId="718970E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6E5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EE4FC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A6944" w14:textId="77777777" w:rsidR="007F1885" w:rsidRDefault="007F1885" w:rsidP="00715914">
      <w:pPr>
        <w:spacing w:line="240" w:lineRule="auto"/>
      </w:pPr>
      <w:r>
        <w:separator/>
      </w:r>
    </w:p>
  </w:footnote>
  <w:footnote w:type="continuationSeparator" w:id="0">
    <w:p w14:paraId="29542B34" w14:textId="77777777" w:rsidR="007F1885" w:rsidRDefault="007F188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5226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6EF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A805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6B7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A477B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32CD" w14:textId="77777777" w:rsidR="004E1307" w:rsidRDefault="004E1307" w:rsidP="00715914">
    <w:pPr>
      <w:rPr>
        <w:sz w:val="20"/>
      </w:rPr>
    </w:pPr>
  </w:p>
  <w:p w14:paraId="4080AFE0" w14:textId="77777777" w:rsidR="004E1307" w:rsidRDefault="004E1307" w:rsidP="00715914">
    <w:pPr>
      <w:rPr>
        <w:sz w:val="20"/>
      </w:rPr>
    </w:pPr>
  </w:p>
  <w:p w14:paraId="23E7F034" w14:textId="77777777" w:rsidR="004E1307" w:rsidRPr="007A1328" w:rsidRDefault="004E1307" w:rsidP="00715914">
    <w:pPr>
      <w:rPr>
        <w:sz w:val="20"/>
      </w:rPr>
    </w:pPr>
  </w:p>
  <w:p w14:paraId="13F6CDD7" w14:textId="77777777" w:rsidR="004E1307" w:rsidRPr="007A1328" w:rsidRDefault="004E1307" w:rsidP="00715914">
    <w:pPr>
      <w:rPr>
        <w:b/>
        <w:sz w:val="24"/>
      </w:rPr>
    </w:pPr>
  </w:p>
  <w:p w14:paraId="7E43678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5A8AB" w14:textId="77777777" w:rsidR="004E1307" w:rsidRPr="007A1328" w:rsidRDefault="004E1307" w:rsidP="00715914">
    <w:pPr>
      <w:jc w:val="right"/>
      <w:rPr>
        <w:sz w:val="20"/>
      </w:rPr>
    </w:pPr>
  </w:p>
  <w:p w14:paraId="5784B25D" w14:textId="77777777" w:rsidR="004E1307" w:rsidRPr="007A1328" w:rsidRDefault="004E1307" w:rsidP="00715914">
    <w:pPr>
      <w:jc w:val="right"/>
      <w:rPr>
        <w:sz w:val="20"/>
      </w:rPr>
    </w:pPr>
  </w:p>
  <w:p w14:paraId="18BB7892" w14:textId="77777777" w:rsidR="004E1307" w:rsidRPr="007A1328" w:rsidRDefault="004E1307" w:rsidP="00715914">
    <w:pPr>
      <w:jc w:val="right"/>
      <w:rPr>
        <w:sz w:val="20"/>
      </w:rPr>
    </w:pPr>
  </w:p>
  <w:p w14:paraId="6B0D4A42" w14:textId="77777777" w:rsidR="004E1307" w:rsidRPr="007A1328" w:rsidRDefault="004E1307" w:rsidP="00715914">
    <w:pPr>
      <w:jc w:val="right"/>
      <w:rPr>
        <w:b/>
        <w:sz w:val="24"/>
      </w:rPr>
    </w:pPr>
  </w:p>
  <w:p w14:paraId="77E6C24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68F6410"/>
    <w:multiLevelType w:val="hybridMultilevel"/>
    <w:tmpl w:val="89D67796"/>
    <w:lvl w:ilvl="0" w:tplc="7D90A3E8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A6"/>
    <w:rsid w:val="00004174"/>
    <w:rsid w:val="00004470"/>
    <w:rsid w:val="000136AF"/>
    <w:rsid w:val="000258B1"/>
    <w:rsid w:val="00025A85"/>
    <w:rsid w:val="00040A89"/>
    <w:rsid w:val="000437C1"/>
    <w:rsid w:val="0004455A"/>
    <w:rsid w:val="00050886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4534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0EB0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173B1"/>
    <w:rsid w:val="00223B63"/>
    <w:rsid w:val="002321E8"/>
    <w:rsid w:val="00232984"/>
    <w:rsid w:val="0024010F"/>
    <w:rsid w:val="00240749"/>
    <w:rsid w:val="00243018"/>
    <w:rsid w:val="00252AB9"/>
    <w:rsid w:val="002564A4"/>
    <w:rsid w:val="00266EEE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F0E7B"/>
    <w:rsid w:val="002F7884"/>
    <w:rsid w:val="003028C5"/>
    <w:rsid w:val="00304F8B"/>
    <w:rsid w:val="00335BC6"/>
    <w:rsid w:val="003415D3"/>
    <w:rsid w:val="00344338"/>
    <w:rsid w:val="00344701"/>
    <w:rsid w:val="00352B0F"/>
    <w:rsid w:val="00357E79"/>
    <w:rsid w:val="00360459"/>
    <w:rsid w:val="00366B07"/>
    <w:rsid w:val="003767E2"/>
    <w:rsid w:val="0038049F"/>
    <w:rsid w:val="0039202B"/>
    <w:rsid w:val="003B4E13"/>
    <w:rsid w:val="003C6231"/>
    <w:rsid w:val="003D0BFE"/>
    <w:rsid w:val="003D466E"/>
    <w:rsid w:val="003D5700"/>
    <w:rsid w:val="003E2B17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074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567E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C5813"/>
    <w:rsid w:val="005D1D92"/>
    <w:rsid w:val="005D2D09"/>
    <w:rsid w:val="005E2C02"/>
    <w:rsid w:val="00600219"/>
    <w:rsid w:val="00604F2A"/>
    <w:rsid w:val="00620076"/>
    <w:rsid w:val="00627E0A"/>
    <w:rsid w:val="006301D1"/>
    <w:rsid w:val="0065488B"/>
    <w:rsid w:val="00670EA1"/>
    <w:rsid w:val="00677CC2"/>
    <w:rsid w:val="0068744B"/>
    <w:rsid w:val="006905DE"/>
    <w:rsid w:val="0069207B"/>
    <w:rsid w:val="006A0107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2DD9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1885"/>
    <w:rsid w:val="007F28C9"/>
    <w:rsid w:val="007F51B2"/>
    <w:rsid w:val="008040DD"/>
    <w:rsid w:val="00804CDD"/>
    <w:rsid w:val="008117E9"/>
    <w:rsid w:val="00824498"/>
    <w:rsid w:val="00826BD1"/>
    <w:rsid w:val="00854D0B"/>
    <w:rsid w:val="00856A31"/>
    <w:rsid w:val="0086049A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67CB"/>
    <w:rsid w:val="009B6B5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1185"/>
    <w:rsid w:val="00BE2155"/>
    <w:rsid w:val="00BE4E37"/>
    <w:rsid w:val="00BE719A"/>
    <w:rsid w:val="00BE720A"/>
    <w:rsid w:val="00BF0D73"/>
    <w:rsid w:val="00BF2465"/>
    <w:rsid w:val="00BF5D39"/>
    <w:rsid w:val="00C13603"/>
    <w:rsid w:val="00C16619"/>
    <w:rsid w:val="00C25E7F"/>
    <w:rsid w:val="00C2746F"/>
    <w:rsid w:val="00C323D6"/>
    <w:rsid w:val="00C324A0"/>
    <w:rsid w:val="00C42BF8"/>
    <w:rsid w:val="00C50043"/>
    <w:rsid w:val="00C53C22"/>
    <w:rsid w:val="00C7573B"/>
    <w:rsid w:val="00C829A6"/>
    <w:rsid w:val="00C97A54"/>
    <w:rsid w:val="00CA1435"/>
    <w:rsid w:val="00CA5B23"/>
    <w:rsid w:val="00CB602E"/>
    <w:rsid w:val="00CB7E90"/>
    <w:rsid w:val="00CD7096"/>
    <w:rsid w:val="00CE051D"/>
    <w:rsid w:val="00CE1335"/>
    <w:rsid w:val="00CE493D"/>
    <w:rsid w:val="00CF07FA"/>
    <w:rsid w:val="00CF0BB2"/>
    <w:rsid w:val="00CF3EE8"/>
    <w:rsid w:val="00D13441"/>
    <w:rsid w:val="00D150E7"/>
    <w:rsid w:val="00D16E50"/>
    <w:rsid w:val="00D52DC2"/>
    <w:rsid w:val="00D53BCC"/>
    <w:rsid w:val="00D54C9E"/>
    <w:rsid w:val="00D557E0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D443D"/>
    <w:rsid w:val="00DE107C"/>
    <w:rsid w:val="00DF2388"/>
    <w:rsid w:val="00DF79B7"/>
    <w:rsid w:val="00E05704"/>
    <w:rsid w:val="00E338EF"/>
    <w:rsid w:val="00E544BB"/>
    <w:rsid w:val="00E74DC7"/>
    <w:rsid w:val="00E8075A"/>
    <w:rsid w:val="00E940D8"/>
    <w:rsid w:val="00E94D5E"/>
    <w:rsid w:val="00EA1355"/>
    <w:rsid w:val="00EA7100"/>
    <w:rsid w:val="00EA7672"/>
    <w:rsid w:val="00EA7F9F"/>
    <w:rsid w:val="00EB1274"/>
    <w:rsid w:val="00EB2CB9"/>
    <w:rsid w:val="00ED2BB6"/>
    <w:rsid w:val="00ED34E1"/>
    <w:rsid w:val="00ED3B8D"/>
    <w:rsid w:val="00EE5E36"/>
    <w:rsid w:val="00EF2E3A"/>
    <w:rsid w:val="00F02C7C"/>
    <w:rsid w:val="00F072A7"/>
    <w:rsid w:val="00F078DC"/>
    <w:rsid w:val="00F12FAA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3BE4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B89860"/>
  <w15:docId w15:val="{477A6409-5ACE-4883-8EA0-B0D0A9D7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E2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C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C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C02"/>
    <w:rPr>
      <w:b/>
      <w:bCs/>
    </w:rPr>
  </w:style>
  <w:style w:type="paragraph" w:customStyle="1" w:styleId="Schedulereference">
    <w:name w:val="Schedule reference"/>
    <w:basedOn w:val="Normal"/>
    <w:next w:val="Normal"/>
    <w:rsid w:val="002F0E7B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arn\AppData\Local\Microsoft\Windows\INetCache\IE\2DJ84UIH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5D26-2CDF-4FAB-A647-7FD05665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7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KULAR, Navreen</dc:creator>
  <cp:lastModifiedBy>MCDONALD, Jess</cp:lastModifiedBy>
  <cp:revision>3</cp:revision>
  <dcterms:created xsi:type="dcterms:W3CDTF">2022-03-25T05:35:00Z</dcterms:created>
  <dcterms:modified xsi:type="dcterms:W3CDTF">2022-03-25T05:42:00Z</dcterms:modified>
</cp:coreProperties>
</file>