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B71B" w14:textId="77777777" w:rsidR="00414BC3" w:rsidRPr="00C549FE" w:rsidRDefault="00414BC3" w:rsidP="00A94F2A">
      <w:pPr>
        <w:pStyle w:val="CoverTitle"/>
        <w:spacing w:after="600"/>
        <w:jc w:val="center"/>
      </w:pPr>
      <w:r w:rsidRPr="00C549FE">
        <w:t>Explanatory Statement</w:t>
      </w:r>
    </w:p>
    <w:p w14:paraId="64B6B71C" w14:textId="377B45FB" w:rsidR="00414BC3" w:rsidRPr="00C549FE" w:rsidRDefault="00396BCD" w:rsidP="006B1B4A">
      <w:pPr>
        <w:pStyle w:val="CoverTitle"/>
        <w:spacing w:after="120"/>
        <w:jc w:val="center"/>
        <w:rPr>
          <w:i/>
          <w:sz w:val="36"/>
          <w:szCs w:val="36"/>
        </w:rPr>
      </w:pPr>
      <w:r w:rsidRPr="00C549FE">
        <w:rPr>
          <w:sz w:val="36"/>
          <w:szCs w:val="36"/>
        </w:rPr>
        <w:t xml:space="preserve">Accounting Standard </w:t>
      </w:r>
      <w:r w:rsidR="005F4451" w:rsidRPr="00C549FE">
        <w:rPr>
          <w:sz w:val="36"/>
          <w:szCs w:val="36"/>
        </w:rPr>
        <w:t xml:space="preserve">AASB </w:t>
      </w:r>
      <w:r w:rsidR="00C61FC9" w:rsidRPr="00C549FE">
        <w:rPr>
          <w:sz w:val="36"/>
          <w:szCs w:val="36"/>
        </w:rPr>
        <w:t>20</w:t>
      </w:r>
      <w:r w:rsidR="00E3408F" w:rsidRPr="00C549FE">
        <w:rPr>
          <w:sz w:val="36"/>
          <w:szCs w:val="36"/>
        </w:rPr>
        <w:t>2</w:t>
      </w:r>
      <w:r w:rsidR="00F40216">
        <w:rPr>
          <w:sz w:val="36"/>
          <w:szCs w:val="36"/>
        </w:rPr>
        <w:t>2</w:t>
      </w:r>
      <w:r w:rsidR="00C61FC9" w:rsidRPr="00C549FE">
        <w:rPr>
          <w:sz w:val="36"/>
          <w:szCs w:val="36"/>
        </w:rPr>
        <w:t>-</w:t>
      </w:r>
      <w:r w:rsidR="003375EB">
        <w:rPr>
          <w:sz w:val="36"/>
          <w:szCs w:val="36"/>
        </w:rPr>
        <w:t>1</w:t>
      </w:r>
      <w:r w:rsidR="00347521" w:rsidRPr="00C549FE">
        <w:rPr>
          <w:sz w:val="36"/>
          <w:szCs w:val="36"/>
        </w:rPr>
        <w:br/>
      </w:r>
      <w:r w:rsidR="00C61FC9" w:rsidRPr="00C549FE">
        <w:rPr>
          <w:i/>
          <w:sz w:val="36"/>
          <w:szCs w:val="36"/>
        </w:rPr>
        <w:t xml:space="preserve">Amendments to Australian Accounting Standards </w:t>
      </w:r>
      <w:r w:rsidR="00A94F2A" w:rsidRPr="00C549FE">
        <w:rPr>
          <w:i/>
          <w:sz w:val="36"/>
          <w:szCs w:val="36"/>
        </w:rPr>
        <w:t>–</w:t>
      </w:r>
      <w:r w:rsidR="007D3EE4">
        <w:rPr>
          <w:i/>
          <w:sz w:val="36"/>
          <w:szCs w:val="36"/>
        </w:rPr>
        <w:t xml:space="preserve"> </w:t>
      </w:r>
      <w:r w:rsidR="007D3EE4">
        <w:rPr>
          <w:i/>
          <w:sz w:val="36"/>
          <w:szCs w:val="36"/>
        </w:rPr>
        <w:br/>
      </w:r>
      <w:r w:rsidR="00176DAD">
        <w:rPr>
          <w:i/>
          <w:sz w:val="36"/>
          <w:szCs w:val="36"/>
        </w:rPr>
        <w:t xml:space="preserve">Initial Application of AASB 17 and AASB 9 – </w:t>
      </w:r>
      <w:r w:rsidR="00EA57F1">
        <w:rPr>
          <w:i/>
          <w:sz w:val="36"/>
          <w:szCs w:val="36"/>
        </w:rPr>
        <w:br/>
      </w:r>
      <w:r w:rsidR="00176DAD">
        <w:rPr>
          <w:i/>
          <w:sz w:val="36"/>
          <w:szCs w:val="36"/>
        </w:rPr>
        <w:t>Comparative Information</w:t>
      </w:r>
    </w:p>
    <w:p w14:paraId="64B6B71D" w14:textId="77777777" w:rsidR="006776BD" w:rsidRPr="00C549FE" w:rsidRDefault="006776BD" w:rsidP="006776BD">
      <w:pPr>
        <w:pStyle w:val="CoverSubtitle"/>
        <w:spacing w:after="3120"/>
        <w:rPr>
          <w:sz w:val="32"/>
          <w:szCs w:val="32"/>
        </w:rPr>
      </w:pPr>
    </w:p>
    <w:p w14:paraId="64B6B71E" w14:textId="0F387F09" w:rsidR="00414BC3" w:rsidRPr="00C549FE" w:rsidRDefault="003375EB" w:rsidP="001F35B6">
      <w:pPr>
        <w:pStyle w:val="CoverDate"/>
        <w:tabs>
          <w:tab w:val="left" w:pos="3794"/>
          <w:tab w:val="left" w:pos="6232"/>
        </w:tabs>
        <w:spacing w:before="840"/>
        <w:jc w:val="center"/>
        <w:rPr>
          <w:b/>
          <w:sz w:val="28"/>
          <w:szCs w:val="28"/>
        </w:rPr>
      </w:pPr>
      <w:r>
        <w:rPr>
          <w:b/>
          <w:sz w:val="28"/>
          <w:szCs w:val="28"/>
        </w:rPr>
        <w:t>March</w:t>
      </w:r>
      <w:r w:rsidR="00BE2E8F" w:rsidRPr="00C549FE">
        <w:rPr>
          <w:b/>
          <w:sz w:val="28"/>
          <w:szCs w:val="28"/>
        </w:rPr>
        <w:t xml:space="preserve"> 202</w:t>
      </w:r>
      <w:r w:rsidR="00BE2E8F">
        <w:rPr>
          <w:b/>
          <w:sz w:val="28"/>
          <w:szCs w:val="28"/>
        </w:rPr>
        <w:t>2</w:t>
      </w:r>
    </w:p>
    <w:p w14:paraId="64B6B71F" w14:textId="77777777" w:rsidR="00414BC3" w:rsidRPr="00C549FE" w:rsidRDefault="00A157B5">
      <w:pPr>
        <w:sectPr w:rsidR="00414BC3" w:rsidRPr="00C549FE" w:rsidSect="00B93CE4">
          <w:headerReference w:type="even" r:id="rId11"/>
          <w:headerReference w:type="default" r:id="rId12"/>
          <w:footerReference w:type="even" r:id="rId13"/>
          <w:footerReference w:type="default" r:id="rId14"/>
          <w:headerReference w:type="first" r:id="rId15"/>
          <w:footerReference w:type="first" r:id="rId16"/>
          <w:pgSz w:w="11907" w:h="16840"/>
          <w:pgMar w:top="1134" w:right="1134" w:bottom="1134" w:left="1134" w:header="720" w:footer="720" w:gutter="0"/>
          <w:cols w:space="720"/>
        </w:sectPr>
      </w:pPr>
      <w:r>
        <w:rPr>
          <w:noProof/>
        </w:rPr>
        <w:object w:dxaOrig="1440" w:dyaOrig="1440" w14:anchorId="64B6B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Australian Government - Australian Accounting Standards Board" style="position:absolute;margin-left:0;margin-top:0;width:123.05pt;height:95.75pt;z-index:251658240;visibility:visible;mso-wrap-edited:f;mso-position-horizontal:left;mso-position-horizontal-relative:margin;mso-position-vertical:bottom;mso-position-vertical-relative:margin">
            <v:imagedata r:id="rId17" o:title=""/>
            <w10:wrap anchorx="margin" anchory="margin"/>
            <w10:anchorlock/>
          </v:shape>
          <o:OLEObject Type="Embed" ProgID="Word.Picture.8" ShapeID="_x0000_s2050" DrawAspect="Content" ObjectID="_1709368487" r:id="rId18"/>
        </w:object>
      </w:r>
    </w:p>
    <w:p w14:paraId="64B6B720" w14:textId="77777777" w:rsidR="00414BC3" w:rsidRPr="00C549FE" w:rsidRDefault="00414BC3">
      <w:pPr>
        <w:pStyle w:val="Heading1"/>
      </w:pPr>
      <w:r w:rsidRPr="00C549FE">
        <w:lastRenderedPageBreak/>
        <w:t>EXPLANATORY STATEMENT</w:t>
      </w:r>
    </w:p>
    <w:p w14:paraId="64B6B721" w14:textId="25B8FB63" w:rsidR="00FD4C0C" w:rsidRPr="00C549FE" w:rsidRDefault="006B1B4A" w:rsidP="00FD4C0C">
      <w:pPr>
        <w:pStyle w:val="Heading2"/>
      </w:pPr>
      <w:r w:rsidRPr="00C549FE">
        <w:t>Standards Amended by</w:t>
      </w:r>
      <w:r w:rsidR="00FD4C0C" w:rsidRPr="00C549FE">
        <w:t xml:space="preserve"> AASB </w:t>
      </w:r>
      <w:r w:rsidR="00C068D8" w:rsidRPr="00C549FE">
        <w:t>20</w:t>
      </w:r>
      <w:r w:rsidR="00E3408F" w:rsidRPr="00C549FE">
        <w:t>2</w:t>
      </w:r>
      <w:r w:rsidR="00F40216">
        <w:t>2</w:t>
      </w:r>
      <w:r w:rsidR="00C068D8" w:rsidRPr="00C549FE">
        <w:t>-</w:t>
      </w:r>
      <w:r w:rsidR="003375EB">
        <w:t>1</w:t>
      </w:r>
    </w:p>
    <w:p w14:paraId="0F36C0F8" w14:textId="1DF31FFA" w:rsidR="00FC1B4A" w:rsidRDefault="00FC1B4A" w:rsidP="00FC1B4A">
      <w:pPr>
        <w:pStyle w:val="NoNumPlain1"/>
      </w:pPr>
      <w:r>
        <w:t>This Standard makes amendments to AASB 1</w:t>
      </w:r>
      <w:r w:rsidR="006C06E2">
        <w:t>7</w:t>
      </w:r>
      <w:r>
        <w:t xml:space="preserve"> </w:t>
      </w:r>
      <w:r w:rsidR="006C06E2">
        <w:rPr>
          <w:i/>
          <w:iCs/>
        </w:rPr>
        <w:t>Insurance Contracts</w:t>
      </w:r>
      <w:r>
        <w:t xml:space="preserve"> (</w:t>
      </w:r>
      <w:r w:rsidR="006C06E2">
        <w:t>July</w:t>
      </w:r>
      <w:r>
        <w:t xml:space="preserve"> 201</w:t>
      </w:r>
      <w:r w:rsidR="006C06E2">
        <w:t>7</w:t>
      </w:r>
      <w:r>
        <w:t>).</w:t>
      </w:r>
    </w:p>
    <w:p w14:paraId="3A56CA0C" w14:textId="28B1CCBF" w:rsidR="00FC1B4A" w:rsidRPr="00B009FC" w:rsidRDefault="00FC1B4A" w:rsidP="00FC1B4A">
      <w:pPr>
        <w:pStyle w:val="NoNumPlain1"/>
      </w:pPr>
      <w:r>
        <w:t xml:space="preserve">These amendments arise from the issuance of International Financial Reporting Standard </w:t>
      </w:r>
      <w:r w:rsidR="006C06E2">
        <w:rPr>
          <w:i/>
          <w:iCs/>
        </w:rPr>
        <w:t>Initial Application of IFRS 17 and IFRS 9 – Comparative Information</w:t>
      </w:r>
      <w:r>
        <w:t xml:space="preserve"> (</w:t>
      </w:r>
      <w:r w:rsidR="00981FC4">
        <w:t xml:space="preserve">Amendment </w:t>
      </w:r>
      <w:r>
        <w:t xml:space="preserve">to </w:t>
      </w:r>
      <w:r w:rsidR="006C06E2">
        <w:t>IFRS 17</w:t>
      </w:r>
      <w:r>
        <w:t xml:space="preserve">) by the International Accounting Standards Board (IASB) in </w:t>
      </w:r>
      <w:r w:rsidR="006C06E2">
        <w:t>December 2</w:t>
      </w:r>
      <w:r>
        <w:t>021.</w:t>
      </w:r>
    </w:p>
    <w:p w14:paraId="64B6B724" w14:textId="7CCBEF4E" w:rsidR="00A94F2A" w:rsidRPr="00C549FE" w:rsidRDefault="00A94F2A" w:rsidP="00A94F2A">
      <w:pPr>
        <w:pStyle w:val="Heading3"/>
      </w:pPr>
      <w:r w:rsidRPr="00C549FE">
        <w:t>Power to Make Amendments</w:t>
      </w:r>
    </w:p>
    <w:p w14:paraId="64B6B725" w14:textId="77777777" w:rsidR="00A94F2A" w:rsidRPr="00C549FE" w:rsidRDefault="00B223A3" w:rsidP="00A33757">
      <w:pPr>
        <w:pStyle w:val="NoNumPlain1"/>
      </w:pPr>
      <w:r w:rsidRPr="00C549FE">
        <w:t xml:space="preserve">Under </w:t>
      </w:r>
      <w:r w:rsidR="00A94F2A" w:rsidRPr="00C549FE">
        <w:t xml:space="preserve">subsection 33(3) of the </w:t>
      </w:r>
      <w:r w:rsidR="00A94F2A" w:rsidRPr="00C549FE">
        <w:rPr>
          <w:i/>
        </w:rPr>
        <w:t>Acts Interpretation Act 1901</w:t>
      </w:r>
      <w:r w:rsidR="00A94F2A" w:rsidRPr="00C549FE">
        <w:t xml:space="preserve">, where an Act confers a power to make, grant or issue any instrument of a legislative or administrative character (including rules, </w:t>
      </w:r>
      <w:proofErr w:type="gramStart"/>
      <w:r w:rsidR="00A94F2A" w:rsidRPr="00C549FE">
        <w:t>regulations</w:t>
      </w:r>
      <w:proofErr w:type="gramEnd"/>
      <w:r w:rsidR="00A94F2A" w:rsidRPr="00C549FE">
        <w:t xml:space="preserve"> or by-laws), the power shall be construed as including a power exercisable in the like manner and subject to the like conditions (if any) to repeal, rescind, revoke, amend, or vary any such instrument.</w:t>
      </w:r>
      <w:r w:rsidR="00B93CE4" w:rsidRPr="00C549FE">
        <w:t xml:space="preserve">  Accordingly, the AASB has the power to amend the Accounting Standards that are made by the AASB as legislative instruments under the </w:t>
      </w:r>
      <w:r w:rsidR="00B93CE4" w:rsidRPr="00C549FE">
        <w:rPr>
          <w:i/>
        </w:rPr>
        <w:t>Corporations Act 2001</w:t>
      </w:r>
      <w:r w:rsidR="00B93CE4" w:rsidRPr="00C549FE">
        <w:t>.</w:t>
      </w:r>
    </w:p>
    <w:p w14:paraId="64B6B726" w14:textId="4490D151" w:rsidR="00FD4C0C" w:rsidRPr="00C549FE" w:rsidRDefault="00FD4C0C" w:rsidP="00FD4C0C">
      <w:pPr>
        <w:pStyle w:val="Heading2"/>
      </w:pPr>
      <w:r w:rsidRPr="00C549FE">
        <w:t xml:space="preserve">Main Features of AASB </w:t>
      </w:r>
      <w:r w:rsidR="00722443">
        <w:t>202</w:t>
      </w:r>
      <w:r w:rsidR="00F40216">
        <w:t>2</w:t>
      </w:r>
      <w:r w:rsidR="00C068D8" w:rsidRPr="00C549FE">
        <w:t>-</w:t>
      </w:r>
      <w:r w:rsidR="003375EB">
        <w:t>1</w:t>
      </w:r>
    </w:p>
    <w:p w14:paraId="396642D8" w14:textId="5748F093" w:rsidR="00E07552" w:rsidRPr="00C549FE" w:rsidRDefault="00E07552" w:rsidP="00E07552">
      <w:pPr>
        <w:pStyle w:val="Heading3"/>
      </w:pPr>
      <w:r>
        <w:t>Main Requirements</w:t>
      </w:r>
    </w:p>
    <w:p w14:paraId="1BCA4D27" w14:textId="35472F2C" w:rsidR="0048344D" w:rsidRDefault="00E602DC" w:rsidP="006C06E2">
      <w:pPr>
        <w:pStyle w:val="NoNumPlain1"/>
      </w:pPr>
      <w:r w:rsidRPr="00637016">
        <w:t xml:space="preserve">This Standard amends AASB </w:t>
      </w:r>
      <w:r>
        <w:t>17</w:t>
      </w:r>
      <w:r w:rsidRPr="00637016">
        <w:t xml:space="preserve"> </w:t>
      </w:r>
      <w:r>
        <w:t>to add a transition option referred to as ‘a classification overlay’ relating to comparative information about financial assets presented on initial application of AASB 17 and AASB 9</w:t>
      </w:r>
      <w:r w:rsidR="00981FC4" w:rsidRPr="00981FC4">
        <w:t xml:space="preserve"> </w:t>
      </w:r>
      <w:r w:rsidR="00981FC4" w:rsidRPr="00981FC4">
        <w:rPr>
          <w:i/>
          <w:iCs/>
        </w:rPr>
        <w:t>Financial Instruments</w:t>
      </w:r>
      <w:r w:rsidR="00981FC4">
        <w:t xml:space="preserve"> at the same time</w:t>
      </w:r>
      <w:r>
        <w:t>. The amendments relate to financial assets for which comparative information presented on initial application of AASB 17 and AA</w:t>
      </w:r>
      <w:r w:rsidR="00FA523D">
        <w:t>S</w:t>
      </w:r>
      <w:r>
        <w:t>B 9 has not been restated for AASB 9. Applying the transition option would permit an entity to present comparative information about such a financial asset as if the classification and measurement requirements of AASB 9 had been applied to that financial asset. This enables insurers to reduce potentially significant accounting mismatches between financial assets and insurance contract liabilities in the comparative period</w:t>
      </w:r>
      <w:r w:rsidR="00981FC4">
        <w:t xml:space="preserve"> (or periods), to improve the usefulness of the comparative information in the </w:t>
      </w:r>
      <w:proofErr w:type="gramStart"/>
      <w:r w:rsidR="00981FC4">
        <w:t>general purpose</w:t>
      </w:r>
      <w:proofErr w:type="gramEnd"/>
      <w:r w:rsidR="00981FC4">
        <w:t xml:space="preserve"> financial statements</w:t>
      </w:r>
      <w:r>
        <w:t>.</w:t>
      </w:r>
    </w:p>
    <w:p w14:paraId="64B6B728" w14:textId="77777777" w:rsidR="00FD4C0C" w:rsidRPr="00C549FE" w:rsidRDefault="00FD4C0C" w:rsidP="006B1B4A">
      <w:pPr>
        <w:pStyle w:val="Heading3"/>
      </w:pPr>
      <w:r w:rsidRPr="00C549FE">
        <w:t>Application Date</w:t>
      </w:r>
    </w:p>
    <w:p w14:paraId="64B6B729" w14:textId="58411E4C" w:rsidR="00BE66D4" w:rsidRPr="00C549FE" w:rsidRDefault="005F1173" w:rsidP="00A92FFA">
      <w:pPr>
        <w:pStyle w:val="NoNumPlain1"/>
      </w:pPr>
      <w:r w:rsidRPr="00C549FE">
        <w:t xml:space="preserve">AASB </w:t>
      </w:r>
      <w:r w:rsidR="00C068D8" w:rsidRPr="00C549FE">
        <w:t>20</w:t>
      </w:r>
      <w:r w:rsidR="00DF4C2A" w:rsidRPr="00C549FE">
        <w:t>2</w:t>
      </w:r>
      <w:r w:rsidR="00D87B2D">
        <w:t>2</w:t>
      </w:r>
      <w:r w:rsidR="00C068D8" w:rsidRPr="00C549FE">
        <w:t>-</w:t>
      </w:r>
      <w:r w:rsidR="003375EB">
        <w:t>1</w:t>
      </w:r>
      <w:r w:rsidR="003375EB" w:rsidRPr="00C549FE">
        <w:t xml:space="preserve"> </w:t>
      </w:r>
      <w:r w:rsidR="00DD5AC5" w:rsidRPr="00C549FE">
        <w:t xml:space="preserve">applies to annual reporting periods beginning on or after </w:t>
      </w:r>
      <w:r w:rsidR="006E77D9" w:rsidRPr="00C549FE">
        <w:t xml:space="preserve">1 </w:t>
      </w:r>
      <w:r w:rsidR="00A44B61">
        <w:t>January</w:t>
      </w:r>
      <w:r w:rsidR="006E77D9" w:rsidRPr="00C549FE">
        <w:t xml:space="preserve"> 202</w:t>
      </w:r>
      <w:r w:rsidR="00A44B61">
        <w:t>3</w:t>
      </w:r>
      <w:r w:rsidR="006E77D9" w:rsidRPr="00C549FE">
        <w:t xml:space="preserve">. </w:t>
      </w:r>
      <w:r w:rsidR="00722443">
        <w:t>The amendments may be applied</w:t>
      </w:r>
      <w:r w:rsidR="007445F0">
        <w:t xml:space="preserve"> to earlier reporting periods</w:t>
      </w:r>
      <w:r w:rsidR="006761A8">
        <w:t>.</w:t>
      </w:r>
    </w:p>
    <w:p w14:paraId="64B6B72A" w14:textId="6117EF9D" w:rsidR="007676C0" w:rsidRPr="00C549FE" w:rsidRDefault="007676C0" w:rsidP="007676C0">
      <w:pPr>
        <w:pStyle w:val="Heading3"/>
      </w:pPr>
      <w:r w:rsidRPr="00C549FE">
        <w:t>References to Other AASB Standards</w:t>
      </w:r>
    </w:p>
    <w:p w14:paraId="64B6B72B" w14:textId="77777777" w:rsidR="007676C0" w:rsidRPr="00C549FE" w:rsidRDefault="007676C0" w:rsidP="00A92FFA">
      <w:pPr>
        <w:pStyle w:val="NoNumPlain1"/>
      </w:pPr>
      <w:r w:rsidRPr="00C549FE">
        <w:t xml:space="preserve">References in this Standard to </w:t>
      </w:r>
      <w:r w:rsidR="006628B2" w:rsidRPr="00C549FE">
        <w:t xml:space="preserve">the titles of </w:t>
      </w:r>
      <w:r w:rsidRPr="00C549FE">
        <w:t xml:space="preserve">other AASB Standards that are legislative instruments are to be construed as </w:t>
      </w:r>
      <w:r w:rsidR="006628B2" w:rsidRPr="00C549FE">
        <w:t>references to those other Standards as originally made and as amended from time to time and incorporate provisions of those Standards as in force from time to time.</w:t>
      </w:r>
    </w:p>
    <w:p w14:paraId="64B6B72C" w14:textId="77777777" w:rsidR="00EA0A87" w:rsidRPr="00C549FE" w:rsidRDefault="00EA0A87" w:rsidP="00EA0A87">
      <w:pPr>
        <w:pStyle w:val="Heading2"/>
      </w:pPr>
      <w:r w:rsidRPr="00C549FE">
        <w:t>Consultation Prior to Issuing this Standard</w:t>
      </w:r>
    </w:p>
    <w:p w14:paraId="00BF0690" w14:textId="7A3088B6" w:rsidR="001D6837" w:rsidRDefault="00843BF6" w:rsidP="008C7E24">
      <w:pPr>
        <w:spacing w:after="200"/>
      </w:pPr>
      <w:r w:rsidRPr="00C549FE">
        <w:t>The A</w:t>
      </w:r>
      <w:r w:rsidR="00FD0F0A" w:rsidRPr="00C549FE">
        <w:t>ASB</w:t>
      </w:r>
      <w:r w:rsidR="00210BA3" w:rsidRPr="00C549FE">
        <w:t xml:space="preserve"> </w:t>
      </w:r>
      <w:r w:rsidR="00904FC9" w:rsidRPr="00904FC9">
        <w:t xml:space="preserve">issued </w:t>
      </w:r>
      <w:r w:rsidR="0001021A">
        <w:t xml:space="preserve">Exposure Draft </w:t>
      </w:r>
      <w:r w:rsidR="00904FC9" w:rsidRPr="00904FC9">
        <w:t xml:space="preserve">ED </w:t>
      </w:r>
      <w:r w:rsidR="001012D8">
        <w:t>313</w:t>
      </w:r>
      <w:r w:rsidR="00904FC9" w:rsidRPr="00904FC9">
        <w:t xml:space="preserve"> </w:t>
      </w:r>
      <w:r w:rsidR="001012D8">
        <w:rPr>
          <w:i/>
          <w:iCs/>
        </w:rPr>
        <w:t>Initial Application of AASB 17 and AASB 9 – Comparative Information</w:t>
      </w:r>
      <w:r w:rsidR="00904FC9" w:rsidRPr="00904FC9">
        <w:t xml:space="preserve"> in </w:t>
      </w:r>
      <w:r w:rsidR="001012D8">
        <w:t>August</w:t>
      </w:r>
      <w:r w:rsidR="00904FC9" w:rsidRPr="00904FC9">
        <w:t xml:space="preserve"> 20</w:t>
      </w:r>
      <w:r w:rsidR="001012D8">
        <w:t>21</w:t>
      </w:r>
      <w:r w:rsidR="007445F0">
        <w:t>,</w:t>
      </w:r>
      <w:r w:rsidR="00904FC9" w:rsidRPr="00904FC9">
        <w:t xml:space="preserve"> with comments due by </w:t>
      </w:r>
      <w:r w:rsidR="001012D8">
        <w:t>20</w:t>
      </w:r>
      <w:r w:rsidR="00904FC9" w:rsidRPr="00904FC9">
        <w:t xml:space="preserve"> </w:t>
      </w:r>
      <w:r w:rsidR="001012D8">
        <w:t>August</w:t>
      </w:r>
      <w:r w:rsidR="00904FC9" w:rsidRPr="00904FC9">
        <w:t xml:space="preserve"> 20</w:t>
      </w:r>
      <w:r w:rsidR="001012D8">
        <w:t>20</w:t>
      </w:r>
      <w:r w:rsidR="00904FC9" w:rsidRPr="00904FC9">
        <w:t>.</w:t>
      </w:r>
      <w:r w:rsidR="00FF10AF" w:rsidRPr="00C549FE">
        <w:t xml:space="preserve"> ED</w:t>
      </w:r>
      <w:r w:rsidR="005167EE">
        <w:t> </w:t>
      </w:r>
      <w:r w:rsidR="001012D8">
        <w:t>313</w:t>
      </w:r>
      <w:r w:rsidR="00FF10AF" w:rsidRPr="00C549FE">
        <w:t xml:space="preserve"> incorporated IASB Exposure Draft ED/20</w:t>
      </w:r>
      <w:r w:rsidR="001012D8">
        <w:t>21</w:t>
      </w:r>
      <w:r w:rsidR="00020C3C">
        <w:t>/</w:t>
      </w:r>
      <w:r w:rsidR="001012D8">
        <w:t>8</w:t>
      </w:r>
      <w:r w:rsidR="00B82334" w:rsidRPr="00C549FE">
        <w:t xml:space="preserve"> </w:t>
      </w:r>
      <w:r w:rsidR="001012D8">
        <w:rPr>
          <w:i/>
          <w:iCs/>
        </w:rPr>
        <w:t xml:space="preserve">Initial Application of </w:t>
      </w:r>
      <w:r w:rsidR="00EA57F1">
        <w:rPr>
          <w:i/>
          <w:iCs/>
        </w:rPr>
        <w:t xml:space="preserve">IFRS </w:t>
      </w:r>
      <w:r w:rsidR="001012D8">
        <w:rPr>
          <w:i/>
          <w:iCs/>
        </w:rPr>
        <w:t xml:space="preserve">17 and </w:t>
      </w:r>
      <w:r w:rsidR="00EA57F1">
        <w:rPr>
          <w:i/>
          <w:iCs/>
        </w:rPr>
        <w:t xml:space="preserve">IFRS </w:t>
      </w:r>
      <w:r w:rsidR="001012D8">
        <w:rPr>
          <w:i/>
          <w:iCs/>
        </w:rPr>
        <w:t xml:space="preserve">9 – Comparative </w:t>
      </w:r>
      <w:r w:rsidR="002D2280">
        <w:rPr>
          <w:i/>
          <w:iCs/>
        </w:rPr>
        <w:t>Information</w:t>
      </w:r>
      <w:r w:rsidR="00B82334" w:rsidRPr="00C549FE">
        <w:rPr>
          <w:i/>
          <w:iCs/>
        </w:rPr>
        <w:t xml:space="preserve">. </w:t>
      </w:r>
      <w:r w:rsidR="0002461D">
        <w:t>No</w:t>
      </w:r>
      <w:r w:rsidR="004F1EA9">
        <w:t xml:space="preserve"> </w:t>
      </w:r>
      <w:r w:rsidR="001D6837">
        <w:t>comment letters</w:t>
      </w:r>
      <w:r w:rsidR="009443DD" w:rsidRPr="00C549FE">
        <w:t xml:space="preserve"> were received by the AASB </w:t>
      </w:r>
      <w:r w:rsidR="001D6837">
        <w:t>relating to</w:t>
      </w:r>
      <w:r w:rsidR="009443DD" w:rsidRPr="00C549FE">
        <w:t xml:space="preserve"> ED </w:t>
      </w:r>
      <w:r w:rsidR="001012D8">
        <w:t>313</w:t>
      </w:r>
      <w:r w:rsidR="0002461D">
        <w:t xml:space="preserve">. </w:t>
      </w:r>
      <w:r w:rsidR="003D3AA6">
        <w:t>T</w:t>
      </w:r>
      <w:r w:rsidR="001D6837">
        <w:t>he AASB did not make a submission to the IASB on ED/</w:t>
      </w:r>
      <w:r w:rsidR="001012D8">
        <w:t>2021</w:t>
      </w:r>
      <w:r w:rsidR="008A462D">
        <w:t>/</w:t>
      </w:r>
      <w:r w:rsidR="001012D8">
        <w:t>8</w:t>
      </w:r>
      <w:r w:rsidR="001D6837">
        <w:t>.</w:t>
      </w:r>
    </w:p>
    <w:p w14:paraId="51D88C25" w14:textId="4BE7BF76" w:rsidR="007935A9" w:rsidRDefault="007935A9" w:rsidP="00F07536">
      <w:pPr>
        <w:spacing w:after="200"/>
      </w:pPr>
      <w:r w:rsidRPr="00C549FE">
        <w:t xml:space="preserve">The IASB analysed the feedback it received on the proposed amendments and decided to finalise </w:t>
      </w:r>
      <w:r w:rsidR="00237E40">
        <w:t>the</w:t>
      </w:r>
      <w:r w:rsidRPr="00C549FE">
        <w:t xml:space="preserve"> amendments</w:t>
      </w:r>
      <w:r w:rsidR="00D65E97">
        <w:t xml:space="preserve"> after making </w:t>
      </w:r>
      <w:r w:rsidR="00D22F21">
        <w:t>some minor</w:t>
      </w:r>
      <w:r w:rsidR="004A22CE">
        <w:t xml:space="preserve"> changes</w:t>
      </w:r>
      <w:r w:rsidR="003D3AA6">
        <w:t xml:space="preserve">, including </w:t>
      </w:r>
      <w:r w:rsidR="00601753">
        <w:t>expanding the availability of the classification overlay to all financial assets</w:t>
      </w:r>
      <w:r w:rsidR="00FE2C04">
        <w:t xml:space="preserve">, </w:t>
      </w:r>
      <w:r w:rsidR="008650A1">
        <w:t>while also</w:t>
      </w:r>
      <w:r w:rsidR="00FE2C04">
        <w:t xml:space="preserve"> </w:t>
      </w:r>
      <w:r w:rsidR="00601753">
        <w:t>providing relief in disclosure requirements</w:t>
      </w:r>
      <w:r w:rsidR="007F6F7F">
        <w:t>.</w:t>
      </w:r>
      <w:r w:rsidR="006F1866" w:rsidRPr="006F1866">
        <w:t xml:space="preserve"> The </w:t>
      </w:r>
      <w:r w:rsidR="006F1866">
        <w:t>IASB</w:t>
      </w:r>
      <w:r w:rsidR="006F1866" w:rsidRPr="006F1866">
        <w:t xml:space="preserve"> concluded that </w:t>
      </w:r>
      <w:r w:rsidR="006F1866">
        <w:t xml:space="preserve">these amendments </w:t>
      </w:r>
      <w:r w:rsidR="002E1039">
        <w:t xml:space="preserve">will help insurers to avoid differences in transition requirements causing temporary accounting mismatches and, therefore, will </w:t>
      </w:r>
      <w:r w:rsidR="003150DD">
        <w:t xml:space="preserve">improve the usefulness of information to investors on initial application of the </w:t>
      </w:r>
      <w:r w:rsidR="00E30524">
        <w:t xml:space="preserve">insurance contracts </w:t>
      </w:r>
      <w:r w:rsidR="003150DD">
        <w:t>Standard</w:t>
      </w:r>
      <w:r w:rsidR="006F1866">
        <w:t>.</w:t>
      </w:r>
      <w:r w:rsidR="00E43BE9">
        <w:t xml:space="preserve"> </w:t>
      </w:r>
      <w:r w:rsidR="00615B9C">
        <w:t xml:space="preserve">The IASB set an effective date </w:t>
      </w:r>
      <w:r w:rsidR="00CE171A">
        <w:t xml:space="preserve">for the amendments </w:t>
      </w:r>
      <w:r w:rsidR="00615B9C">
        <w:t xml:space="preserve">of annual periods beginning on or </w:t>
      </w:r>
      <w:r w:rsidR="00743AFE">
        <w:t xml:space="preserve">after 1 </w:t>
      </w:r>
      <w:r w:rsidR="00F628A2">
        <w:t>January</w:t>
      </w:r>
      <w:r w:rsidR="00743AFE">
        <w:t xml:space="preserve"> 202</w:t>
      </w:r>
      <w:r w:rsidR="00F628A2">
        <w:t>3</w:t>
      </w:r>
      <w:r w:rsidR="004B3F6E">
        <w:t>,</w:t>
      </w:r>
      <w:r w:rsidR="004A22CE">
        <w:t xml:space="preserve"> </w:t>
      </w:r>
      <w:r w:rsidR="00C9757F">
        <w:t>with e</w:t>
      </w:r>
      <w:r w:rsidR="00CE171A">
        <w:t xml:space="preserve">arlier </w:t>
      </w:r>
      <w:r w:rsidR="000440EC">
        <w:t>application permitte</w:t>
      </w:r>
      <w:r w:rsidR="00332206">
        <w:t>d</w:t>
      </w:r>
      <w:r w:rsidR="00F07536" w:rsidRPr="00F07536">
        <w:t>.</w:t>
      </w:r>
      <w:r w:rsidR="00F07536">
        <w:t xml:space="preserve"> </w:t>
      </w:r>
      <w:r w:rsidR="00FD3127">
        <w:t xml:space="preserve">The AASB considered </w:t>
      </w:r>
      <w:r w:rsidR="00EE4045">
        <w:t xml:space="preserve">and adopted </w:t>
      </w:r>
      <w:r w:rsidR="00FD3127">
        <w:t xml:space="preserve">the amendments made by the IASB to IFRS </w:t>
      </w:r>
      <w:r w:rsidR="00ED7A97">
        <w:t xml:space="preserve">Standards </w:t>
      </w:r>
      <w:r w:rsidR="0076592F">
        <w:t>in finalising AASB 202</w:t>
      </w:r>
      <w:r w:rsidR="000338F5">
        <w:t>2</w:t>
      </w:r>
      <w:r w:rsidR="0076592F">
        <w:t>-</w:t>
      </w:r>
      <w:r w:rsidR="003375EB">
        <w:t xml:space="preserve">1 </w:t>
      </w:r>
      <w:r w:rsidR="0076592F">
        <w:t>and the amendments to</w:t>
      </w:r>
      <w:r w:rsidR="0001021A">
        <w:t xml:space="preserve"> AASB 17</w:t>
      </w:r>
      <w:r w:rsidR="0076592F">
        <w:t>.</w:t>
      </w:r>
    </w:p>
    <w:p w14:paraId="64B6B72F" w14:textId="2FE00AFF" w:rsidR="00C66950" w:rsidRDefault="004D74A9" w:rsidP="000352E0">
      <w:pPr>
        <w:spacing w:after="200"/>
      </w:pPr>
      <w:r>
        <w:t>A Regulation Impact Statement (RIS) has not been prepared in connection with the issue of AASB 2</w:t>
      </w:r>
      <w:r w:rsidR="00FF6C9F">
        <w:t>02</w:t>
      </w:r>
      <w:r w:rsidR="000338F5">
        <w:t>2</w:t>
      </w:r>
      <w:r w:rsidR="00FF6C9F">
        <w:t>-</w:t>
      </w:r>
      <w:r w:rsidR="003375EB">
        <w:t xml:space="preserve">1 </w:t>
      </w:r>
      <w:r>
        <w:t>as the</w:t>
      </w:r>
      <w:r w:rsidR="00055553">
        <w:t xml:space="preserve"> </w:t>
      </w:r>
      <w:r>
        <w:t>amendments made do not have a substantial direct or indirect impact on business or competition.</w:t>
      </w:r>
    </w:p>
    <w:p w14:paraId="64B6B730" w14:textId="04825F35" w:rsidR="00AD44F9" w:rsidRPr="00C549FE" w:rsidRDefault="00C66950" w:rsidP="004E7E5E">
      <w:pPr>
        <w:pStyle w:val="Heading2"/>
        <w:spacing w:before="1200"/>
        <w:jc w:val="center"/>
      </w:pPr>
      <w:r>
        <w:br w:type="page"/>
      </w:r>
      <w:r w:rsidR="00CD0A54" w:rsidRPr="00C549FE">
        <w:lastRenderedPageBreak/>
        <w:t>Statement of Compatibility with Human Rights</w:t>
      </w:r>
    </w:p>
    <w:p w14:paraId="64B6B731" w14:textId="77777777" w:rsidR="00E770E5" w:rsidRPr="00C549FE" w:rsidRDefault="00E770E5" w:rsidP="00E770E5">
      <w:pPr>
        <w:pStyle w:val="NoNumPlain1"/>
        <w:jc w:val="center"/>
      </w:pPr>
      <w:r w:rsidRPr="00C549FE">
        <w:t xml:space="preserve">Prepared in accordance with Part 3 of the </w:t>
      </w:r>
      <w:r w:rsidRPr="00C549FE">
        <w:br/>
      </w:r>
      <w:r w:rsidRPr="00C549FE">
        <w:rPr>
          <w:i/>
        </w:rPr>
        <w:t>Human Rights (Parliamentary Scrutiny) Act 2011</w:t>
      </w:r>
    </w:p>
    <w:p w14:paraId="64B6B732" w14:textId="41129E65" w:rsidR="00E770E5" w:rsidRPr="00C549FE" w:rsidRDefault="00A90A3D" w:rsidP="00A90A3D">
      <w:pPr>
        <w:pStyle w:val="Heading3"/>
        <w:spacing w:after="360"/>
        <w:jc w:val="center"/>
        <w:rPr>
          <w:i/>
          <w:iCs w:val="0"/>
        </w:rPr>
      </w:pPr>
      <w:r w:rsidRPr="00C549FE">
        <w:t>Accounting Standard AASB 20</w:t>
      </w:r>
      <w:r w:rsidR="00D610CE" w:rsidRPr="00C549FE">
        <w:t>2</w:t>
      </w:r>
      <w:r w:rsidR="000338F5">
        <w:t>2</w:t>
      </w:r>
      <w:r w:rsidRPr="00C549FE">
        <w:t>-</w:t>
      </w:r>
      <w:r w:rsidR="003375EB">
        <w:t>1</w:t>
      </w:r>
      <w:r w:rsidRPr="00C549FE">
        <w:rPr>
          <w:i/>
          <w:iCs w:val="0"/>
        </w:rPr>
        <w:br/>
      </w:r>
      <w:r w:rsidR="003C4D81">
        <w:rPr>
          <w:i/>
          <w:iCs w:val="0"/>
        </w:rPr>
        <w:t>Amendments to Australian Accounting Standards</w:t>
      </w:r>
      <w:r w:rsidR="00714F7A">
        <w:rPr>
          <w:i/>
          <w:iCs w:val="0"/>
        </w:rPr>
        <w:t xml:space="preserve"> – </w:t>
      </w:r>
      <w:r w:rsidR="00714F7A">
        <w:rPr>
          <w:i/>
          <w:iCs w:val="0"/>
        </w:rPr>
        <w:br/>
      </w:r>
      <w:r w:rsidR="00601753">
        <w:rPr>
          <w:i/>
          <w:iCs w:val="0"/>
        </w:rPr>
        <w:t>Initial Application of AASB 17 and AASB 9 – Comparative Information</w:t>
      </w:r>
    </w:p>
    <w:p w14:paraId="64B6B733" w14:textId="77777777" w:rsidR="00A90A3D" w:rsidRPr="00C549FE" w:rsidRDefault="00A90A3D" w:rsidP="00A90A3D">
      <w:pPr>
        <w:pStyle w:val="Heading3"/>
      </w:pPr>
      <w:r w:rsidRPr="00C549FE">
        <w:t>Overview of the Accounting Standard</w:t>
      </w:r>
    </w:p>
    <w:p w14:paraId="5CD44F51" w14:textId="6815C756" w:rsidR="000F6B8E" w:rsidRPr="00D221A5" w:rsidRDefault="00F34275" w:rsidP="00601753">
      <w:pPr>
        <w:pStyle w:val="NoNumPlain1"/>
      </w:pPr>
      <w:r w:rsidRPr="00637016">
        <w:t xml:space="preserve">This Standard amends AASB </w:t>
      </w:r>
      <w:r>
        <w:t>17</w:t>
      </w:r>
      <w:r w:rsidRPr="00637016">
        <w:t xml:space="preserve"> </w:t>
      </w:r>
      <w:r>
        <w:t>to add a transition option referred to as ‘a classification overlay’ relating to comparative information about financial assets presented on initial application of AASB 17 and AASB 9</w:t>
      </w:r>
      <w:r w:rsidR="00430298">
        <w:t xml:space="preserve"> </w:t>
      </w:r>
      <w:r w:rsidR="00430298" w:rsidRPr="00981FC4">
        <w:rPr>
          <w:i/>
          <w:iCs/>
        </w:rPr>
        <w:t>Financial Instruments</w:t>
      </w:r>
      <w:r w:rsidR="00430298">
        <w:t xml:space="preserve"> at the same time</w:t>
      </w:r>
      <w:r>
        <w:t>. The amendments relate to financial assets for which comparative information presented on initial application of AASB 17 and AA</w:t>
      </w:r>
      <w:r w:rsidR="000338F5">
        <w:t>S</w:t>
      </w:r>
      <w:r>
        <w:t>B 9 has not been restated for AASB 9. Applying the transition option would permit an entity to present comparative information about such a financial asset as if the classification and measurement requirements of AASB 9 had been applied to that financial asset. This enables insurers to reduce potentially significant accounting mismatches between financial assets and insurance contract liabilities in the comparative period</w:t>
      </w:r>
      <w:r w:rsidR="00430298">
        <w:t xml:space="preserve"> (or periods), to improve the usefulness of the comparative information in the </w:t>
      </w:r>
      <w:proofErr w:type="gramStart"/>
      <w:r w:rsidR="00430298">
        <w:t>general purpose</w:t>
      </w:r>
      <w:proofErr w:type="gramEnd"/>
      <w:r w:rsidR="00430298">
        <w:t xml:space="preserve"> financial statements</w:t>
      </w:r>
      <w:r>
        <w:t>.</w:t>
      </w:r>
    </w:p>
    <w:p w14:paraId="64B6B735" w14:textId="77777777" w:rsidR="00A90A3D" w:rsidRPr="00C549FE" w:rsidRDefault="00A90A3D" w:rsidP="00A90A3D">
      <w:pPr>
        <w:pStyle w:val="Heading3"/>
      </w:pPr>
      <w:r w:rsidRPr="00C549FE">
        <w:t>Human Rights Implications</w:t>
      </w:r>
    </w:p>
    <w:p w14:paraId="64B6B736" w14:textId="77777777" w:rsidR="00A90A3D" w:rsidRPr="00C549FE" w:rsidRDefault="00F62F5C" w:rsidP="00C068D8">
      <w:pPr>
        <w:pStyle w:val="NoNumPlain1"/>
      </w:pPr>
      <w:r w:rsidRPr="00C549FE">
        <w:t>This Standard is issued by the AASB in furtherance of the objective of facilitating the Australian economy.  It does not diminish or limit any of the applicable human rights or freedoms, and thus does not raise any human rights issues.</w:t>
      </w:r>
    </w:p>
    <w:p w14:paraId="64B6B737" w14:textId="77777777" w:rsidR="00F62F5C" w:rsidRPr="00C549FE" w:rsidRDefault="00F62F5C" w:rsidP="00F62F5C">
      <w:pPr>
        <w:pStyle w:val="Heading3"/>
      </w:pPr>
      <w:r w:rsidRPr="00C549FE">
        <w:t>Conclusion</w:t>
      </w:r>
    </w:p>
    <w:p w14:paraId="64B6B738" w14:textId="77777777" w:rsidR="00CD0A54" w:rsidRPr="00C549FE" w:rsidRDefault="00CD0A54" w:rsidP="00C068D8">
      <w:pPr>
        <w:pStyle w:val="NoNumPlain1"/>
      </w:pPr>
      <w:r w:rsidRPr="00C549FE">
        <w:t xml:space="preserve">This Standard is compatible with the human rights and freedoms recognised or declared in the international instruments listed in section 3 of the </w:t>
      </w:r>
      <w:r w:rsidRPr="00C549FE">
        <w:rPr>
          <w:i/>
        </w:rPr>
        <w:t>Human Rights (Parliamentary Scrutiny) Act 2011</w:t>
      </w:r>
      <w:r w:rsidRPr="00C549FE">
        <w:t>.</w:t>
      </w:r>
    </w:p>
    <w:p w14:paraId="64B6B739" w14:textId="77777777" w:rsidR="00F62F5C" w:rsidRPr="00C549FE" w:rsidRDefault="00F62F5C" w:rsidP="00C068D8">
      <w:pPr>
        <w:pStyle w:val="NoNumPlain1"/>
      </w:pPr>
    </w:p>
    <w:sectPr w:rsidR="00F62F5C" w:rsidRPr="00C549FE" w:rsidSect="00B93CE4">
      <w:headerReference w:type="even" r:id="rId19"/>
      <w:footerReference w:type="default" r:id="rId20"/>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2185" w14:textId="77777777" w:rsidR="0086136A" w:rsidRDefault="0086136A">
      <w:r>
        <w:separator/>
      </w:r>
    </w:p>
  </w:endnote>
  <w:endnote w:type="continuationSeparator" w:id="0">
    <w:p w14:paraId="7D0019B3" w14:textId="77777777" w:rsidR="0086136A" w:rsidRDefault="0086136A">
      <w:r>
        <w:continuationSeparator/>
      </w:r>
    </w:p>
  </w:endnote>
  <w:endnote w:type="continuationNotice" w:id="1">
    <w:p w14:paraId="3F038138" w14:textId="77777777" w:rsidR="0086136A" w:rsidRDefault="008613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1B54" w14:textId="77777777" w:rsidR="003375EB" w:rsidRDefault="00337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3C02" w14:textId="77777777" w:rsidR="003375EB" w:rsidRDefault="00337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5CC8" w14:textId="77777777" w:rsidR="003375EB" w:rsidRDefault="00337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B741" w14:textId="025366A8" w:rsidR="007E2AC9" w:rsidRDefault="007E2AC9" w:rsidP="00B93CE4">
    <w:pPr>
      <w:pStyle w:val="Footer"/>
      <w:tabs>
        <w:tab w:val="clear" w:pos="3119"/>
        <w:tab w:val="clear" w:pos="6237"/>
        <w:tab w:val="center" w:pos="4820"/>
        <w:tab w:val="right" w:pos="9639"/>
      </w:tabs>
      <w:rPr>
        <w:b/>
      </w:rPr>
    </w:pPr>
    <w:r>
      <w:rPr>
        <w:b/>
      </w:rPr>
      <w:t>AASB 202</w:t>
    </w:r>
    <w:r w:rsidR="00D87B2D">
      <w:rPr>
        <w:b/>
      </w:rPr>
      <w:t>2</w:t>
    </w:r>
    <w:r>
      <w:rPr>
        <w:b/>
      </w:rPr>
      <w:t>-</w:t>
    </w:r>
    <w:r w:rsidR="003375EB">
      <w:rPr>
        <w:b/>
      </w:rPr>
      <w:t>1</w:t>
    </w:r>
    <w:r>
      <w:rPr>
        <w:b/>
      </w:rPr>
      <w:tab/>
    </w:r>
    <w:r>
      <w:fldChar w:fldCharType="begin"/>
    </w:r>
    <w:r>
      <w:instrText>PAGE</w:instrText>
    </w:r>
    <w:r>
      <w:fldChar w:fldCharType="separate"/>
    </w:r>
    <w:r w:rsidR="00507D38">
      <w:rPr>
        <w:noProof/>
      </w:rPr>
      <w:t>3</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10DA" w14:textId="77777777" w:rsidR="0086136A" w:rsidRDefault="0086136A">
      <w:r>
        <w:separator/>
      </w:r>
    </w:p>
  </w:footnote>
  <w:footnote w:type="continuationSeparator" w:id="0">
    <w:p w14:paraId="2BD7DF3B" w14:textId="77777777" w:rsidR="0086136A" w:rsidRDefault="0086136A">
      <w:r>
        <w:continuationSeparator/>
      </w:r>
    </w:p>
  </w:footnote>
  <w:footnote w:type="continuationNotice" w:id="1">
    <w:p w14:paraId="54BF115D" w14:textId="77777777" w:rsidR="0086136A" w:rsidRDefault="008613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D352" w14:textId="77777777" w:rsidR="003375EB" w:rsidRDefault="00337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B73F" w14:textId="77777777" w:rsidR="007E2AC9" w:rsidRPr="00B259A2" w:rsidRDefault="007E2AC9" w:rsidP="00B25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720A" w14:textId="77777777" w:rsidR="003375EB" w:rsidRDefault="003375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B740" w14:textId="77777777" w:rsidR="007E2AC9" w:rsidRDefault="007E2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95C77"/>
    <w:multiLevelType w:val="hybridMultilevel"/>
    <w:tmpl w:val="17DA8048"/>
    <w:lvl w:ilvl="0" w:tplc="4B929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81C2BF7"/>
    <w:multiLevelType w:val="hybridMultilevel"/>
    <w:tmpl w:val="3D228BB0"/>
    <w:lvl w:ilvl="0" w:tplc="EACAFBD2">
      <w:start w:val="1"/>
      <w:numFmt w:val="lowerLetter"/>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B901C9F"/>
    <w:multiLevelType w:val="hybridMultilevel"/>
    <w:tmpl w:val="72103B98"/>
    <w:lvl w:ilvl="0" w:tplc="8AA8C6B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0B860FA"/>
    <w:multiLevelType w:val="hybridMultilevel"/>
    <w:tmpl w:val="4A0C1FD8"/>
    <w:lvl w:ilvl="0" w:tplc="0CB4CF9C">
      <w:start w:val="1"/>
      <w:numFmt w:val="lowerLetter"/>
      <w:lvlText w:val="(%1)"/>
      <w:lvlJc w:val="left"/>
      <w:pPr>
        <w:ind w:left="510" w:hanging="51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6" w15:restartNumberingAfterBreak="0">
    <w:nsid w:val="26734C59"/>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50733"/>
    <w:multiLevelType w:val="hybridMultilevel"/>
    <w:tmpl w:val="99F86ACA"/>
    <w:lvl w:ilvl="0" w:tplc="43C0A6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4875FB"/>
    <w:multiLevelType w:val="hybridMultilevel"/>
    <w:tmpl w:val="A9582782"/>
    <w:lvl w:ilvl="0" w:tplc="794E2B4E">
      <w:start w:val="1"/>
      <w:numFmt w:val="lowerLetter"/>
      <w:lvlText w:val="(%1)"/>
      <w:lvlJc w:val="left"/>
      <w:pPr>
        <w:ind w:left="510" w:hanging="5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AA7E7C"/>
    <w:multiLevelType w:val="hybridMultilevel"/>
    <w:tmpl w:val="72103B98"/>
    <w:lvl w:ilvl="0" w:tplc="8AA8C6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3127CB"/>
    <w:multiLevelType w:val="hybridMultilevel"/>
    <w:tmpl w:val="9A22A710"/>
    <w:lvl w:ilvl="0" w:tplc="A86CAE8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911612"/>
    <w:multiLevelType w:val="hybridMultilevel"/>
    <w:tmpl w:val="E8CC9420"/>
    <w:lvl w:ilvl="0" w:tplc="67BE5F3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1E6120"/>
    <w:multiLevelType w:val="hybridMultilevel"/>
    <w:tmpl w:val="17DA8048"/>
    <w:lvl w:ilvl="0" w:tplc="4B929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0C32ED8"/>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7"/>
  </w:num>
  <w:num w:numId="3">
    <w:abstractNumId w:val="15"/>
  </w:num>
  <w:num w:numId="4">
    <w:abstractNumId w:val="0"/>
  </w:num>
  <w:num w:numId="5">
    <w:abstractNumId w:val="8"/>
  </w:num>
  <w:num w:numId="6">
    <w:abstractNumId w:val="7"/>
  </w:num>
  <w:num w:numId="7">
    <w:abstractNumId w:val="1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19"/>
  </w:num>
  <w:num w:numId="15">
    <w:abstractNumId w:val="12"/>
  </w:num>
  <w:num w:numId="16">
    <w:abstractNumId w:val="3"/>
  </w:num>
  <w:num w:numId="17">
    <w:abstractNumId w:val="18"/>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4"/>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intFractionalCharacterWidth/>
  <w:hideGrammaticalErrors/>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C8"/>
    <w:rsid w:val="000018C8"/>
    <w:rsid w:val="00005371"/>
    <w:rsid w:val="0001021A"/>
    <w:rsid w:val="00013F09"/>
    <w:rsid w:val="0001484E"/>
    <w:rsid w:val="0001534B"/>
    <w:rsid w:val="00020C3C"/>
    <w:rsid w:val="000225E8"/>
    <w:rsid w:val="0002461D"/>
    <w:rsid w:val="00031DBC"/>
    <w:rsid w:val="00033109"/>
    <w:rsid w:val="000338F5"/>
    <w:rsid w:val="000352E0"/>
    <w:rsid w:val="0003794A"/>
    <w:rsid w:val="000440EC"/>
    <w:rsid w:val="0004439B"/>
    <w:rsid w:val="00055553"/>
    <w:rsid w:val="00055755"/>
    <w:rsid w:val="000623C8"/>
    <w:rsid w:val="00071E94"/>
    <w:rsid w:val="00075626"/>
    <w:rsid w:val="00077A0D"/>
    <w:rsid w:val="00077DF5"/>
    <w:rsid w:val="00080331"/>
    <w:rsid w:val="00080A90"/>
    <w:rsid w:val="0008234F"/>
    <w:rsid w:val="0008242C"/>
    <w:rsid w:val="000845D4"/>
    <w:rsid w:val="00085B62"/>
    <w:rsid w:val="000869C9"/>
    <w:rsid w:val="00090AA2"/>
    <w:rsid w:val="00090D77"/>
    <w:rsid w:val="000920D3"/>
    <w:rsid w:val="000936C7"/>
    <w:rsid w:val="000963C2"/>
    <w:rsid w:val="00096CED"/>
    <w:rsid w:val="000976A2"/>
    <w:rsid w:val="000A14F7"/>
    <w:rsid w:val="000A2A30"/>
    <w:rsid w:val="000A2F25"/>
    <w:rsid w:val="000A60C5"/>
    <w:rsid w:val="000B28C9"/>
    <w:rsid w:val="000B7C61"/>
    <w:rsid w:val="000C0242"/>
    <w:rsid w:val="000C4494"/>
    <w:rsid w:val="000C53F5"/>
    <w:rsid w:val="000D0748"/>
    <w:rsid w:val="000D26A2"/>
    <w:rsid w:val="000D41A4"/>
    <w:rsid w:val="000D428B"/>
    <w:rsid w:val="000E1B26"/>
    <w:rsid w:val="000E4CB0"/>
    <w:rsid w:val="000E6E09"/>
    <w:rsid w:val="000E7712"/>
    <w:rsid w:val="000E7F81"/>
    <w:rsid w:val="000F281A"/>
    <w:rsid w:val="000F2911"/>
    <w:rsid w:val="000F4C2A"/>
    <w:rsid w:val="000F6012"/>
    <w:rsid w:val="000F6B8E"/>
    <w:rsid w:val="001012D8"/>
    <w:rsid w:val="00101ED2"/>
    <w:rsid w:val="0010538A"/>
    <w:rsid w:val="00111680"/>
    <w:rsid w:val="00113A47"/>
    <w:rsid w:val="00114E2B"/>
    <w:rsid w:val="001169EC"/>
    <w:rsid w:val="001218DE"/>
    <w:rsid w:val="00121C54"/>
    <w:rsid w:val="00123919"/>
    <w:rsid w:val="0012730F"/>
    <w:rsid w:val="00130B9F"/>
    <w:rsid w:val="00131465"/>
    <w:rsid w:val="00131C3F"/>
    <w:rsid w:val="001414DC"/>
    <w:rsid w:val="00144CC0"/>
    <w:rsid w:val="0015670A"/>
    <w:rsid w:val="001639EB"/>
    <w:rsid w:val="001653DC"/>
    <w:rsid w:val="00167F05"/>
    <w:rsid w:val="00176DAD"/>
    <w:rsid w:val="001773C3"/>
    <w:rsid w:val="001821F7"/>
    <w:rsid w:val="001A1B6E"/>
    <w:rsid w:val="001A3A3D"/>
    <w:rsid w:val="001C08CF"/>
    <w:rsid w:val="001C1871"/>
    <w:rsid w:val="001C4F14"/>
    <w:rsid w:val="001D1FFA"/>
    <w:rsid w:val="001D6837"/>
    <w:rsid w:val="001D7DA0"/>
    <w:rsid w:val="001E0872"/>
    <w:rsid w:val="001E0EA2"/>
    <w:rsid w:val="001E4107"/>
    <w:rsid w:val="001F35B6"/>
    <w:rsid w:val="001F3ED4"/>
    <w:rsid w:val="00200047"/>
    <w:rsid w:val="0020067C"/>
    <w:rsid w:val="0020218F"/>
    <w:rsid w:val="0020261B"/>
    <w:rsid w:val="00206A47"/>
    <w:rsid w:val="00210BA3"/>
    <w:rsid w:val="00211323"/>
    <w:rsid w:val="002233E5"/>
    <w:rsid w:val="00223C1A"/>
    <w:rsid w:val="00225101"/>
    <w:rsid w:val="00230891"/>
    <w:rsid w:val="00230E6D"/>
    <w:rsid w:val="0023104C"/>
    <w:rsid w:val="002322EA"/>
    <w:rsid w:val="00236896"/>
    <w:rsid w:val="00237E40"/>
    <w:rsid w:val="0024118D"/>
    <w:rsid w:val="00243728"/>
    <w:rsid w:val="00250E42"/>
    <w:rsid w:val="0025380C"/>
    <w:rsid w:val="0026109F"/>
    <w:rsid w:val="00267D86"/>
    <w:rsid w:val="00270BD2"/>
    <w:rsid w:val="002807EC"/>
    <w:rsid w:val="00280986"/>
    <w:rsid w:val="00284D8D"/>
    <w:rsid w:val="00284DE4"/>
    <w:rsid w:val="002922D7"/>
    <w:rsid w:val="00295892"/>
    <w:rsid w:val="00295E74"/>
    <w:rsid w:val="002A0A4B"/>
    <w:rsid w:val="002A64DC"/>
    <w:rsid w:val="002A7634"/>
    <w:rsid w:val="002B1A78"/>
    <w:rsid w:val="002C66F3"/>
    <w:rsid w:val="002D1A97"/>
    <w:rsid w:val="002D2280"/>
    <w:rsid w:val="002D5BBA"/>
    <w:rsid w:val="002D6698"/>
    <w:rsid w:val="002D6D7A"/>
    <w:rsid w:val="002E1039"/>
    <w:rsid w:val="002F724F"/>
    <w:rsid w:val="00302FEE"/>
    <w:rsid w:val="003039C1"/>
    <w:rsid w:val="00310F98"/>
    <w:rsid w:val="003150DD"/>
    <w:rsid w:val="00315A08"/>
    <w:rsid w:val="00320F3D"/>
    <w:rsid w:val="00323A85"/>
    <w:rsid w:val="0032467B"/>
    <w:rsid w:val="003275F6"/>
    <w:rsid w:val="00332206"/>
    <w:rsid w:val="003329B8"/>
    <w:rsid w:val="003375EB"/>
    <w:rsid w:val="00343DE4"/>
    <w:rsid w:val="00344576"/>
    <w:rsid w:val="00347521"/>
    <w:rsid w:val="00347B50"/>
    <w:rsid w:val="00350F59"/>
    <w:rsid w:val="00352568"/>
    <w:rsid w:val="00362678"/>
    <w:rsid w:val="00374420"/>
    <w:rsid w:val="003770CE"/>
    <w:rsid w:val="00384832"/>
    <w:rsid w:val="00385E62"/>
    <w:rsid w:val="0039164A"/>
    <w:rsid w:val="00391DC5"/>
    <w:rsid w:val="00396BCD"/>
    <w:rsid w:val="003A4379"/>
    <w:rsid w:val="003A5EC1"/>
    <w:rsid w:val="003B1263"/>
    <w:rsid w:val="003B22F9"/>
    <w:rsid w:val="003C22AA"/>
    <w:rsid w:val="003C2BE8"/>
    <w:rsid w:val="003C3C64"/>
    <w:rsid w:val="003C4D81"/>
    <w:rsid w:val="003D3AA6"/>
    <w:rsid w:val="003D3F75"/>
    <w:rsid w:val="003E0D83"/>
    <w:rsid w:val="003F4333"/>
    <w:rsid w:val="003F575F"/>
    <w:rsid w:val="004002FF"/>
    <w:rsid w:val="004055B6"/>
    <w:rsid w:val="00411797"/>
    <w:rsid w:val="00414BC3"/>
    <w:rsid w:val="00416FE6"/>
    <w:rsid w:val="004179BF"/>
    <w:rsid w:val="004209B2"/>
    <w:rsid w:val="00421E36"/>
    <w:rsid w:val="00425BDF"/>
    <w:rsid w:val="00425F5E"/>
    <w:rsid w:val="00430298"/>
    <w:rsid w:val="0043257F"/>
    <w:rsid w:val="00442527"/>
    <w:rsid w:val="00451018"/>
    <w:rsid w:val="00451CA9"/>
    <w:rsid w:val="004541B3"/>
    <w:rsid w:val="00454D5F"/>
    <w:rsid w:val="00457698"/>
    <w:rsid w:val="00457DCC"/>
    <w:rsid w:val="004642BE"/>
    <w:rsid w:val="00472F3C"/>
    <w:rsid w:val="00477550"/>
    <w:rsid w:val="004808F0"/>
    <w:rsid w:val="0048344D"/>
    <w:rsid w:val="00492A74"/>
    <w:rsid w:val="00493DD4"/>
    <w:rsid w:val="004A1676"/>
    <w:rsid w:val="004A22CE"/>
    <w:rsid w:val="004B0D14"/>
    <w:rsid w:val="004B3F6E"/>
    <w:rsid w:val="004C1746"/>
    <w:rsid w:val="004C27CC"/>
    <w:rsid w:val="004C62D2"/>
    <w:rsid w:val="004D2BDB"/>
    <w:rsid w:val="004D360D"/>
    <w:rsid w:val="004D74A9"/>
    <w:rsid w:val="004E23D0"/>
    <w:rsid w:val="004E7E5E"/>
    <w:rsid w:val="004F1EA9"/>
    <w:rsid w:val="005024A1"/>
    <w:rsid w:val="005038F6"/>
    <w:rsid w:val="00506534"/>
    <w:rsid w:val="00507D38"/>
    <w:rsid w:val="005108D2"/>
    <w:rsid w:val="00510E48"/>
    <w:rsid w:val="00512F90"/>
    <w:rsid w:val="005156AA"/>
    <w:rsid w:val="005167EE"/>
    <w:rsid w:val="00520E9E"/>
    <w:rsid w:val="00523387"/>
    <w:rsid w:val="005252BF"/>
    <w:rsid w:val="00526DA0"/>
    <w:rsid w:val="00540E70"/>
    <w:rsid w:val="00545DEE"/>
    <w:rsid w:val="00551F40"/>
    <w:rsid w:val="00560CB5"/>
    <w:rsid w:val="00565477"/>
    <w:rsid w:val="00571559"/>
    <w:rsid w:val="00571F43"/>
    <w:rsid w:val="005A1F0D"/>
    <w:rsid w:val="005A7B12"/>
    <w:rsid w:val="005B06A0"/>
    <w:rsid w:val="005B0933"/>
    <w:rsid w:val="005B238F"/>
    <w:rsid w:val="005B7BB7"/>
    <w:rsid w:val="005C6FF3"/>
    <w:rsid w:val="005D7662"/>
    <w:rsid w:val="005E2BBE"/>
    <w:rsid w:val="005E3AD6"/>
    <w:rsid w:val="005F0581"/>
    <w:rsid w:val="005F1173"/>
    <w:rsid w:val="005F3618"/>
    <w:rsid w:val="005F3AA4"/>
    <w:rsid w:val="005F4451"/>
    <w:rsid w:val="00601017"/>
    <w:rsid w:val="00601753"/>
    <w:rsid w:val="00603AB1"/>
    <w:rsid w:val="006104FA"/>
    <w:rsid w:val="00611CE9"/>
    <w:rsid w:val="0061316D"/>
    <w:rsid w:val="00615B9C"/>
    <w:rsid w:val="00616B47"/>
    <w:rsid w:val="00623C92"/>
    <w:rsid w:val="00624E65"/>
    <w:rsid w:val="00626AC2"/>
    <w:rsid w:val="00631140"/>
    <w:rsid w:val="006312D1"/>
    <w:rsid w:val="00633D29"/>
    <w:rsid w:val="00635FA2"/>
    <w:rsid w:val="00640F8A"/>
    <w:rsid w:val="0064675C"/>
    <w:rsid w:val="00651773"/>
    <w:rsid w:val="00654FF7"/>
    <w:rsid w:val="006572E1"/>
    <w:rsid w:val="006628B2"/>
    <w:rsid w:val="00663A50"/>
    <w:rsid w:val="006646CF"/>
    <w:rsid w:val="00666164"/>
    <w:rsid w:val="0067195B"/>
    <w:rsid w:val="00672100"/>
    <w:rsid w:val="006761A8"/>
    <w:rsid w:val="006776BD"/>
    <w:rsid w:val="00680442"/>
    <w:rsid w:val="00680795"/>
    <w:rsid w:val="00684668"/>
    <w:rsid w:val="00686B7C"/>
    <w:rsid w:val="006A01D2"/>
    <w:rsid w:val="006A0C7C"/>
    <w:rsid w:val="006A2A04"/>
    <w:rsid w:val="006A56D8"/>
    <w:rsid w:val="006A6876"/>
    <w:rsid w:val="006A71A8"/>
    <w:rsid w:val="006B1B4A"/>
    <w:rsid w:val="006C06E2"/>
    <w:rsid w:val="006C2ABD"/>
    <w:rsid w:val="006C34F1"/>
    <w:rsid w:val="006C3752"/>
    <w:rsid w:val="006C39D1"/>
    <w:rsid w:val="006C5EB8"/>
    <w:rsid w:val="006C65C7"/>
    <w:rsid w:val="006D5858"/>
    <w:rsid w:val="006D65D3"/>
    <w:rsid w:val="006D6B35"/>
    <w:rsid w:val="006E62D5"/>
    <w:rsid w:val="006E77D9"/>
    <w:rsid w:val="006E7E8F"/>
    <w:rsid w:val="006F0F82"/>
    <w:rsid w:val="006F13EF"/>
    <w:rsid w:val="006F1866"/>
    <w:rsid w:val="006F1FA6"/>
    <w:rsid w:val="006F217C"/>
    <w:rsid w:val="006F46DE"/>
    <w:rsid w:val="006F54C0"/>
    <w:rsid w:val="006F7F1A"/>
    <w:rsid w:val="00703ACF"/>
    <w:rsid w:val="007048F4"/>
    <w:rsid w:val="00711664"/>
    <w:rsid w:val="00714F7A"/>
    <w:rsid w:val="00717627"/>
    <w:rsid w:val="00720919"/>
    <w:rsid w:val="00722443"/>
    <w:rsid w:val="007231BD"/>
    <w:rsid w:val="007261ED"/>
    <w:rsid w:val="007322D6"/>
    <w:rsid w:val="007328C0"/>
    <w:rsid w:val="00734970"/>
    <w:rsid w:val="00741AD2"/>
    <w:rsid w:val="00743AFE"/>
    <w:rsid w:val="007445F0"/>
    <w:rsid w:val="00746F3D"/>
    <w:rsid w:val="00747429"/>
    <w:rsid w:val="00752719"/>
    <w:rsid w:val="00753193"/>
    <w:rsid w:val="00755B4C"/>
    <w:rsid w:val="00755D8C"/>
    <w:rsid w:val="0076592F"/>
    <w:rsid w:val="007676C0"/>
    <w:rsid w:val="00781C08"/>
    <w:rsid w:val="00783BEC"/>
    <w:rsid w:val="00787825"/>
    <w:rsid w:val="00791279"/>
    <w:rsid w:val="007916AE"/>
    <w:rsid w:val="007935A9"/>
    <w:rsid w:val="00793810"/>
    <w:rsid w:val="0079565D"/>
    <w:rsid w:val="00796787"/>
    <w:rsid w:val="00796A4F"/>
    <w:rsid w:val="007A0B4B"/>
    <w:rsid w:val="007A1E93"/>
    <w:rsid w:val="007B02E3"/>
    <w:rsid w:val="007B3132"/>
    <w:rsid w:val="007B323F"/>
    <w:rsid w:val="007B539D"/>
    <w:rsid w:val="007B7963"/>
    <w:rsid w:val="007C0F08"/>
    <w:rsid w:val="007C13D0"/>
    <w:rsid w:val="007C1E39"/>
    <w:rsid w:val="007C2A76"/>
    <w:rsid w:val="007C2B04"/>
    <w:rsid w:val="007D3EE4"/>
    <w:rsid w:val="007E2AC9"/>
    <w:rsid w:val="007E548A"/>
    <w:rsid w:val="007F4E20"/>
    <w:rsid w:val="007F6F7F"/>
    <w:rsid w:val="007F7086"/>
    <w:rsid w:val="00802C2B"/>
    <w:rsid w:val="008076FA"/>
    <w:rsid w:val="00820241"/>
    <w:rsid w:val="008225F9"/>
    <w:rsid w:val="00822659"/>
    <w:rsid w:val="008240F7"/>
    <w:rsid w:val="00824809"/>
    <w:rsid w:val="0082668C"/>
    <w:rsid w:val="00826FE1"/>
    <w:rsid w:val="00835CCD"/>
    <w:rsid w:val="00836B23"/>
    <w:rsid w:val="008377FF"/>
    <w:rsid w:val="00843BF6"/>
    <w:rsid w:val="00850913"/>
    <w:rsid w:val="00854BCD"/>
    <w:rsid w:val="00855513"/>
    <w:rsid w:val="00861349"/>
    <w:rsid w:val="0086136A"/>
    <w:rsid w:val="00861618"/>
    <w:rsid w:val="008650A1"/>
    <w:rsid w:val="00865890"/>
    <w:rsid w:val="00871EC6"/>
    <w:rsid w:val="00875681"/>
    <w:rsid w:val="00896AE0"/>
    <w:rsid w:val="008A462D"/>
    <w:rsid w:val="008A5EB5"/>
    <w:rsid w:val="008B147C"/>
    <w:rsid w:val="008B1F76"/>
    <w:rsid w:val="008B445C"/>
    <w:rsid w:val="008B55F2"/>
    <w:rsid w:val="008B63BA"/>
    <w:rsid w:val="008B66C2"/>
    <w:rsid w:val="008C0F68"/>
    <w:rsid w:val="008C5B82"/>
    <w:rsid w:val="008C7E24"/>
    <w:rsid w:val="008D3E1A"/>
    <w:rsid w:val="008E2695"/>
    <w:rsid w:val="008E4294"/>
    <w:rsid w:val="008F02DD"/>
    <w:rsid w:val="008F344A"/>
    <w:rsid w:val="00904FC9"/>
    <w:rsid w:val="00916B64"/>
    <w:rsid w:val="00924470"/>
    <w:rsid w:val="00930915"/>
    <w:rsid w:val="00936AD7"/>
    <w:rsid w:val="00940662"/>
    <w:rsid w:val="00940F9B"/>
    <w:rsid w:val="009443DD"/>
    <w:rsid w:val="0095060D"/>
    <w:rsid w:val="00967764"/>
    <w:rsid w:val="00981098"/>
    <w:rsid w:val="00981FC4"/>
    <w:rsid w:val="009823F8"/>
    <w:rsid w:val="00982974"/>
    <w:rsid w:val="00982A10"/>
    <w:rsid w:val="00983056"/>
    <w:rsid w:val="009839D3"/>
    <w:rsid w:val="0098568E"/>
    <w:rsid w:val="0099465E"/>
    <w:rsid w:val="009A00D9"/>
    <w:rsid w:val="009A385E"/>
    <w:rsid w:val="009A5F64"/>
    <w:rsid w:val="009A7483"/>
    <w:rsid w:val="009B1A57"/>
    <w:rsid w:val="009C5C89"/>
    <w:rsid w:val="009C6386"/>
    <w:rsid w:val="009D5CEF"/>
    <w:rsid w:val="009D6119"/>
    <w:rsid w:val="009E324D"/>
    <w:rsid w:val="009E33FB"/>
    <w:rsid w:val="009E494C"/>
    <w:rsid w:val="009F2A8A"/>
    <w:rsid w:val="00A019AB"/>
    <w:rsid w:val="00A01ED9"/>
    <w:rsid w:val="00A02B65"/>
    <w:rsid w:val="00A07B58"/>
    <w:rsid w:val="00A11193"/>
    <w:rsid w:val="00A14C37"/>
    <w:rsid w:val="00A157B5"/>
    <w:rsid w:val="00A17FD9"/>
    <w:rsid w:val="00A20458"/>
    <w:rsid w:val="00A205AC"/>
    <w:rsid w:val="00A221C0"/>
    <w:rsid w:val="00A33757"/>
    <w:rsid w:val="00A33DEF"/>
    <w:rsid w:val="00A36261"/>
    <w:rsid w:val="00A41EF3"/>
    <w:rsid w:val="00A44B61"/>
    <w:rsid w:val="00A46379"/>
    <w:rsid w:val="00A4663A"/>
    <w:rsid w:val="00A545A9"/>
    <w:rsid w:val="00A55FA5"/>
    <w:rsid w:val="00A61CB2"/>
    <w:rsid w:val="00A6431F"/>
    <w:rsid w:val="00A650D8"/>
    <w:rsid w:val="00A65245"/>
    <w:rsid w:val="00A722F4"/>
    <w:rsid w:val="00A8344C"/>
    <w:rsid w:val="00A90590"/>
    <w:rsid w:val="00A90A3D"/>
    <w:rsid w:val="00A92FFA"/>
    <w:rsid w:val="00A9484D"/>
    <w:rsid w:val="00A94F2A"/>
    <w:rsid w:val="00A97053"/>
    <w:rsid w:val="00A97B77"/>
    <w:rsid w:val="00AA4EC3"/>
    <w:rsid w:val="00AB2137"/>
    <w:rsid w:val="00AB30FB"/>
    <w:rsid w:val="00AB61AB"/>
    <w:rsid w:val="00AC2063"/>
    <w:rsid w:val="00AC2CA9"/>
    <w:rsid w:val="00AC5D88"/>
    <w:rsid w:val="00AC7ADB"/>
    <w:rsid w:val="00AC7AEB"/>
    <w:rsid w:val="00AD44F9"/>
    <w:rsid w:val="00AE1F8A"/>
    <w:rsid w:val="00AE7055"/>
    <w:rsid w:val="00AE7AA9"/>
    <w:rsid w:val="00AF054F"/>
    <w:rsid w:val="00B009FC"/>
    <w:rsid w:val="00B00C1B"/>
    <w:rsid w:val="00B07DFE"/>
    <w:rsid w:val="00B103F1"/>
    <w:rsid w:val="00B10AB1"/>
    <w:rsid w:val="00B127B5"/>
    <w:rsid w:val="00B12B7F"/>
    <w:rsid w:val="00B15CE2"/>
    <w:rsid w:val="00B223A3"/>
    <w:rsid w:val="00B23EEB"/>
    <w:rsid w:val="00B259A2"/>
    <w:rsid w:val="00B26830"/>
    <w:rsid w:val="00B27B19"/>
    <w:rsid w:val="00B40E24"/>
    <w:rsid w:val="00B44EFA"/>
    <w:rsid w:val="00B468E3"/>
    <w:rsid w:val="00B50A3C"/>
    <w:rsid w:val="00B50C4F"/>
    <w:rsid w:val="00B5196B"/>
    <w:rsid w:val="00B60A66"/>
    <w:rsid w:val="00B629BE"/>
    <w:rsid w:val="00B65433"/>
    <w:rsid w:val="00B67434"/>
    <w:rsid w:val="00B73133"/>
    <w:rsid w:val="00B76775"/>
    <w:rsid w:val="00B81972"/>
    <w:rsid w:val="00B81F9E"/>
    <w:rsid w:val="00B82334"/>
    <w:rsid w:val="00B85DBC"/>
    <w:rsid w:val="00B87E2D"/>
    <w:rsid w:val="00B92BD6"/>
    <w:rsid w:val="00B93CE4"/>
    <w:rsid w:val="00B96F14"/>
    <w:rsid w:val="00BB2459"/>
    <w:rsid w:val="00BC2A8A"/>
    <w:rsid w:val="00BC4E30"/>
    <w:rsid w:val="00BC5C33"/>
    <w:rsid w:val="00BD0B5B"/>
    <w:rsid w:val="00BD5956"/>
    <w:rsid w:val="00BD7877"/>
    <w:rsid w:val="00BE2E8F"/>
    <w:rsid w:val="00BE6433"/>
    <w:rsid w:val="00BE66D4"/>
    <w:rsid w:val="00C068D8"/>
    <w:rsid w:val="00C11640"/>
    <w:rsid w:val="00C119CC"/>
    <w:rsid w:val="00C14CCB"/>
    <w:rsid w:val="00C21F45"/>
    <w:rsid w:val="00C35A20"/>
    <w:rsid w:val="00C418EC"/>
    <w:rsid w:val="00C43F6E"/>
    <w:rsid w:val="00C44C82"/>
    <w:rsid w:val="00C546C0"/>
    <w:rsid w:val="00C549FE"/>
    <w:rsid w:val="00C56CC4"/>
    <w:rsid w:val="00C617DC"/>
    <w:rsid w:val="00C61FC9"/>
    <w:rsid w:val="00C634BB"/>
    <w:rsid w:val="00C63F4D"/>
    <w:rsid w:val="00C6491F"/>
    <w:rsid w:val="00C65AA1"/>
    <w:rsid w:val="00C661A8"/>
    <w:rsid w:val="00C66950"/>
    <w:rsid w:val="00C66953"/>
    <w:rsid w:val="00C806B2"/>
    <w:rsid w:val="00C80CE0"/>
    <w:rsid w:val="00C82560"/>
    <w:rsid w:val="00C82A8C"/>
    <w:rsid w:val="00C83DB5"/>
    <w:rsid w:val="00C87E29"/>
    <w:rsid w:val="00C926B4"/>
    <w:rsid w:val="00C9757F"/>
    <w:rsid w:val="00CA0345"/>
    <w:rsid w:val="00CA20FA"/>
    <w:rsid w:val="00CA518E"/>
    <w:rsid w:val="00CB5BAD"/>
    <w:rsid w:val="00CB74B0"/>
    <w:rsid w:val="00CC546B"/>
    <w:rsid w:val="00CD0A54"/>
    <w:rsid w:val="00CD2852"/>
    <w:rsid w:val="00CD3283"/>
    <w:rsid w:val="00CD50A4"/>
    <w:rsid w:val="00CD74E9"/>
    <w:rsid w:val="00CE171A"/>
    <w:rsid w:val="00CE4D45"/>
    <w:rsid w:val="00CE7138"/>
    <w:rsid w:val="00CF0EF9"/>
    <w:rsid w:val="00CF1826"/>
    <w:rsid w:val="00CF1B83"/>
    <w:rsid w:val="00CF4D2F"/>
    <w:rsid w:val="00CF72F6"/>
    <w:rsid w:val="00CF7D12"/>
    <w:rsid w:val="00D03547"/>
    <w:rsid w:val="00D043EC"/>
    <w:rsid w:val="00D05EB6"/>
    <w:rsid w:val="00D17938"/>
    <w:rsid w:val="00D221A5"/>
    <w:rsid w:val="00D22F21"/>
    <w:rsid w:val="00D24634"/>
    <w:rsid w:val="00D27E14"/>
    <w:rsid w:val="00D40502"/>
    <w:rsid w:val="00D429C8"/>
    <w:rsid w:val="00D43163"/>
    <w:rsid w:val="00D467FF"/>
    <w:rsid w:val="00D5323B"/>
    <w:rsid w:val="00D60E04"/>
    <w:rsid w:val="00D610CE"/>
    <w:rsid w:val="00D623DB"/>
    <w:rsid w:val="00D65E97"/>
    <w:rsid w:val="00D67C43"/>
    <w:rsid w:val="00D70E82"/>
    <w:rsid w:val="00D71916"/>
    <w:rsid w:val="00D71B35"/>
    <w:rsid w:val="00D73C46"/>
    <w:rsid w:val="00D81901"/>
    <w:rsid w:val="00D850DE"/>
    <w:rsid w:val="00D87B2D"/>
    <w:rsid w:val="00D905B7"/>
    <w:rsid w:val="00D955F8"/>
    <w:rsid w:val="00DA17BB"/>
    <w:rsid w:val="00DA2024"/>
    <w:rsid w:val="00DA2E07"/>
    <w:rsid w:val="00DA52B1"/>
    <w:rsid w:val="00DB2754"/>
    <w:rsid w:val="00DB3BF8"/>
    <w:rsid w:val="00DB5798"/>
    <w:rsid w:val="00DC1371"/>
    <w:rsid w:val="00DD1167"/>
    <w:rsid w:val="00DD2C28"/>
    <w:rsid w:val="00DD3FDF"/>
    <w:rsid w:val="00DD5AC5"/>
    <w:rsid w:val="00DD72B7"/>
    <w:rsid w:val="00DE2BF2"/>
    <w:rsid w:val="00DF4C2A"/>
    <w:rsid w:val="00E00D64"/>
    <w:rsid w:val="00E07552"/>
    <w:rsid w:val="00E079C1"/>
    <w:rsid w:val="00E11F07"/>
    <w:rsid w:val="00E1280A"/>
    <w:rsid w:val="00E14C97"/>
    <w:rsid w:val="00E1658F"/>
    <w:rsid w:val="00E30524"/>
    <w:rsid w:val="00E3408F"/>
    <w:rsid w:val="00E34411"/>
    <w:rsid w:val="00E3636E"/>
    <w:rsid w:val="00E41534"/>
    <w:rsid w:val="00E41E4F"/>
    <w:rsid w:val="00E42DF8"/>
    <w:rsid w:val="00E43BE9"/>
    <w:rsid w:val="00E4487C"/>
    <w:rsid w:val="00E45F6D"/>
    <w:rsid w:val="00E460CB"/>
    <w:rsid w:val="00E57A5E"/>
    <w:rsid w:val="00E602DC"/>
    <w:rsid w:val="00E70691"/>
    <w:rsid w:val="00E74B9D"/>
    <w:rsid w:val="00E770E5"/>
    <w:rsid w:val="00E7777B"/>
    <w:rsid w:val="00E81116"/>
    <w:rsid w:val="00E839B1"/>
    <w:rsid w:val="00E919F9"/>
    <w:rsid w:val="00E95CEE"/>
    <w:rsid w:val="00E9682C"/>
    <w:rsid w:val="00EA0A87"/>
    <w:rsid w:val="00EA56FD"/>
    <w:rsid w:val="00EA57F1"/>
    <w:rsid w:val="00EB63C0"/>
    <w:rsid w:val="00EB749E"/>
    <w:rsid w:val="00EC3BD5"/>
    <w:rsid w:val="00ED5ADB"/>
    <w:rsid w:val="00ED7A97"/>
    <w:rsid w:val="00EE3B4D"/>
    <w:rsid w:val="00EE3C2C"/>
    <w:rsid w:val="00EE4045"/>
    <w:rsid w:val="00EF11AD"/>
    <w:rsid w:val="00EF5099"/>
    <w:rsid w:val="00F019C5"/>
    <w:rsid w:val="00F041AA"/>
    <w:rsid w:val="00F04EBC"/>
    <w:rsid w:val="00F07536"/>
    <w:rsid w:val="00F10252"/>
    <w:rsid w:val="00F12DF8"/>
    <w:rsid w:val="00F216E5"/>
    <w:rsid w:val="00F23FEF"/>
    <w:rsid w:val="00F333A9"/>
    <w:rsid w:val="00F33A97"/>
    <w:rsid w:val="00F34275"/>
    <w:rsid w:val="00F40216"/>
    <w:rsid w:val="00F40732"/>
    <w:rsid w:val="00F43ADF"/>
    <w:rsid w:val="00F60281"/>
    <w:rsid w:val="00F628A2"/>
    <w:rsid w:val="00F62F5C"/>
    <w:rsid w:val="00F63F3B"/>
    <w:rsid w:val="00F67288"/>
    <w:rsid w:val="00F71510"/>
    <w:rsid w:val="00F72062"/>
    <w:rsid w:val="00F75E3D"/>
    <w:rsid w:val="00F81F26"/>
    <w:rsid w:val="00F81FC3"/>
    <w:rsid w:val="00F8246A"/>
    <w:rsid w:val="00F90707"/>
    <w:rsid w:val="00F91048"/>
    <w:rsid w:val="00FA30CB"/>
    <w:rsid w:val="00FA523D"/>
    <w:rsid w:val="00FA6144"/>
    <w:rsid w:val="00FA7999"/>
    <w:rsid w:val="00FA7C5C"/>
    <w:rsid w:val="00FB0CFC"/>
    <w:rsid w:val="00FC0FAA"/>
    <w:rsid w:val="00FC1B4A"/>
    <w:rsid w:val="00FC6232"/>
    <w:rsid w:val="00FC709A"/>
    <w:rsid w:val="00FC7C56"/>
    <w:rsid w:val="00FD0F0A"/>
    <w:rsid w:val="00FD3127"/>
    <w:rsid w:val="00FD3663"/>
    <w:rsid w:val="00FD4C0C"/>
    <w:rsid w:val="00FD7AAC"/>
    <w:rsid w:val="00FE2C04"/>
    <w:rsid w:val="00FF084D"/>
    <w:rsid w:val="00FF10AF"/>
    <w:rsid w:val="00FF1DF6"/>
    <w:rsid w:val="00FF354C"/>
    <w:rsid w:val="00FF6C9F"/>
    <w:rsid w:val="1D89552C"/>
    <w:rsid w:val="3D0F5F57"/>
    <w:rsid w:val="41782941"/>
    <w:rsid w:val="59C66B27"/>
    <w:rsid w:val="6A18965C"/>
    <w:rsid w:val="6C8F60D5"/>
    <w:rsid w:val="6C988270"/>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colormru v:ext="edit" colors="#ddd,silver,#eaeaea"/>
    </o:shapedefaults>
    <o:shapelayout v:ext="edit">
      <o:idmap v:ext="edit" data="2"/>
    </o:shapelayout>
  </w:shapeDefaults>
  <w:decimalSymbol w:val="."/>
  <w:listSeparator w:val=","/>
  <w14:docId w14:val="64B6B71B"/>
  <w15:docId w15:val="{6AAC74BF-2291-4901-8855-3610C0FC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Paragraph">
    <w:name w:val="List Paragraph"/>
    <w:basedOn w:val="Normal"/>
    <w:uiPriority w:val="34"/>
    <w:qFormat/>
    <w:rsid w:val="003C2BE8"/>
    <w:pPr>
      <w:ind w:left="720"/>
      <w:contextualSpacing/>
    </w:pPr>
  </w:style>
  <w:style w:type="character" w:styleId="CommentReference">
    <w:name w:val="annotation reference"/>
    <w:basedOn w:val="DefaultParagraphFont"/>
    <w:semiHidden/>
    <w:unhideWhenUsed/>
    <w:rsid w:val="000E4CB0"/>
    <w:rPr>
      <w:sz w:val="16"/>
      <w:szCs w:val="16"/>
    </w:rPr>
  </w:style>
  <w:style w:type="paragraph" w:styleId="CommentText">
    <w:name w:val="annotation text"/>
    <w:basedOn w:val="Normal"/>
    <w:link w:val="CommentTextChar"/>
    <w:semiHidden/>
    <w:unhideWhenUsed/>
    <w:rsid w:val="000E4CB0"/>
    <w:pPr>
      <w:spacing w:line="240" w:lineRule="auto"/>
    </w:pPr>
  </w:style>
  <w:style w:type="character" w:customStyle="1" w:styleId="CommentTextChar">
    <w:name w:val="Comment Text Char"/>
    <w:basedOn w:val="DefaultParagraphFont"/>
    <w:link w:val="CommentText"/>
    <w:semiHidden/>
    <w:rsid w:val="000E4CB0"/>
    <w:rPr>
      <w:lang w:eastAsia="en-US"/>
    </w:rPr>
  </w:style>
  <w:style w:type="paragraph" w:styleId="CommentSubject">
    <w:name w:val="annotation subject"/>
    <w:basedOn w:val="CommentText"/>
    <w:next w:val="CommentText"/>
    <w:link w:val="CommentSubjectChar"/>
    <w:semiHidden/>
    <w:unhideWhenUsed/>
    <w:rsid w:val="000E4CB0"/>
    <w:rPr>
      <w:b/>
      <w:bCs/>
    </w:rPr>
  </w:style>
  <w:style w:type="character" w:customStyle="1" w:styleId="CommentSubjectChar">
    <w:name w:val="Comment Subject Char"/>
    <w:basedOn w:val="CommentTextChar"/>
    <w:link w:val="CommentSubject"/>
    <w:semiHidden/>
    <w:rsid w:val="000E4CB0"/>
    <w:rPr>
      <w:b/>
      <w:bCs/>
      <w:lang w:eastAsia="en-US"/>
    </w:rPr>
  </w:style>
  <w:style w:type="character" w:customStyle="1" w:styleId="UnresolvedMention1">
    <w:name w:val="Unresolved Mention1"/>
    <w:basedOn w:val="DefaultParagraphFont"/>
    <w:uiPriority w:val="99"/>
    <w:semiHidden/>
    <w:unhideWhenUsed/>
    <w:rsid w:val="000E4CB0"/>
    <w:rPr>
      <w:color w:val="605E5C"/>
      <w:shd w:val="clear" w:color="auto" w:fill="E1DFDD"/>
    </w:rPr>
  </w:style>
  <w:style w:type="character" w:styleId="FollowedHyperlink">
    <w:name w:val="FollowedHyperlink"/>
    <w:basedOn w:val="DefaultParagraphFont"/>
    <w:semiHidden/>
    <w:unhideWhenUsed/>
    <w:rsid w:val="00310F98"/>
    <w:rPr>
      <w:color w:val="800080" w:themeColor="followedHyperlink"/>
      <w:u w:val="single"/>
    </w:rPr>
  </w:style>
  <w:style w:type="paragraph" w:styleId="Revision">
    <w:name w:val="Revision"/>
    <w:hidden/>
    <w:uiPriority w:val="99"/>
    <w:semiHidden/>
    <w:rsid w:val="008B445C"/>
    <w:rPr>
      <w:lang w:eastAsia="en-US"/>
    </w:rPr>
  </w:style>
  <w:style w:type="character" w:styleId="UnresolvedMention">
    <w:name w:val="Unresolved Mention"/>
    <w:basedOn w:val="DefaultParagraphFont"/>
    <w:uiPriority w:val="99"/>
    <w:semiHidden/>
    <w:unhideWhenUsed/>
    <w:rsid w:val="00FF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20552">
      <w:bodyDiv w:val="1"/>
      <w:marLeft w:val="0"/>
      <w:marRight w:val="0"/>
      <w:marTop w:val="0"/>
      <w:marBottom w:val="0"/>
      <w:divBdr>
        <w:top w:val="none" w:sz="0" w:space="0" w:color="auto"/>
        <w:left w:val="none" w:sz="0" w:space="0" w:color="auto"/>
        <w:bottom w:val="none" w:sz="0" w:space="0" w:color="auto"/>
        <w:right w:val="none" w:sz="0" w:space="0" w:color="auto"/>
      </w:divBdr>
    </w:div>
    <w:div w:id="621421964">
      <w:bodyDiv w:val="1"/>
      <w:marLeft w:val="0"/>
      <w:marRight w:val="0"/>
      <w:marTop w:val="0"/>
      <w:marBottom w:val="0"/>
      <w:divBdr>
        <w:top w:val="none" w:sz="0" w:space="0" w:color="auto"/>
        <w:left w:val="none" w:sz="0" w:space="0" w:color="auto"/>
        <w:bottom w:val="none" w:sz="0" w:space="0" w:color="auto"/>
        <w:right w:val="none" w:sz="0" w:space="0" w:color="auto"/>
      </w:divBdr>
    </w:div>
    <w:div w:id="1012999850">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186720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EAC48-FFB4-40AD-8AC8-2803C4077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1D2CB-7BA3-4F31-AEB9-1FFE84D8D0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EA7913-3EED-4B1E-BDAA-7CA7DC57A34B}">
  <ds:schemaRefs>
    <ds:schemaRef ds:uri="http://schemas.openxmlformats.org/officeDocument/2006/bibliography"/>
  </ds:schemaRefs>
</ds:datastoreItem>
</file>

<file path=customXml/itemProps4.xml><?xml version="1.0" encoding="utf-8"?>
<ds:datastoreItem xmlns:ds="http://schemas.openxmlformats.org/officeDocument/2006/customXml" ds:itemID="{CEB30A3A-96F9-4D5C-A50E-FC16A9587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877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dc:creator>
  <cp:keywords/>
  <cp:lastModifiedBy>Maggie Man</cp:lastModifiedBy>
  <cp:revision>22</cp:revision>
  <cp:lastPrinted>2020-03-11T02:38:00Z</cp:lastPrinted>
  <dcterms:created xsi:type="dcterms:W3CDTF">2021-12-13T00:17:00Z</dcterms:created>
  <dcterms:modified xsi:type="dcterms:W3CDTF">2022-03-21T00:48:00Z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