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5CA17" w14:textId="77777777" w:rsidR="00FF6E25" w:rsidRPr="002D7A08" w:rsidRDefault="00FF6E25" w:rsidP="006018C9">
      <w:pPr>
        <w:spacing w:before="120" w:after="120"/>
        <w:jc w:val="center"/>
        <w:rPr>
          <w:rFonts w:asciiTheme="minorHAnsi" w:hAnsiTheme="minorHAnsi" w:cstheme="minorHAnsi"/>
          <w:b/>
          <w:szCs w:val="24"/>
          <w:u w:val="single"/>
        </w:rPr>
      </w:pPr>
      <w:r w:rsidRPr="002D7A08">
        <w:rPr>
          <w:rFonts w:asciiTheme="minorHAnsi" w:hAnsiTheme="minorHAnsi" w:cstheme="minorHAnsi"/>
          <w:b/>
          <w:szCs w:val="24"/>
          <w:u w:val="single"/>
        </w:rPr>
        <w:t>EXPLANATORY STATEMENT</w:t>
      </w:r>
    </w:p>
    <w:p w14:paraId="1276A090" w14:textId="6B63F116" w:rsidR="0088497A" w:rsidRPr="0088497A" w:rsidRDefault="0088497A" w:rsidP="006018C9">
      <w:pPr>
        <w:spacing w:before="120" w:after="120"/>
        <w:jc w:val="center"/>
        <w:rPr>
          <w:rFonts w:asciiTheme="minorHAnsi" w:hAnsiTheme="minorHAnsi" w:cstheme="minorHAnsi"/>
          <w:szCs w:val="24"/>
          <w:highlight w:val="yellow"/>
          <w:u w:val="single"/>
        </w:rPr>
      </w:pPr>
      <w:r w:rsidRPr="0088497A">
        <w:rPr>
          <w:rFonts w:asciiTheme="minorHAnsi" w:hAnsiTheme="minorHAnsi" w:cstheme="minorHAnsi"/>
          <w:szCs w:val="24"/>
          <w:u w:val="single"/>
        </w:rPr>
        <w:t>Issued by the authority of</w:t>
      </w:r>
      <w:r w:rsidR="002D7A08">
        <w:rPr>
          <w:rFonts w:asciiTheme="minorHAnsi" w:hAnsiTheme="minorHAnsi" w:cstheme="minorHAnsi"/>
          <w:szCs w:val="24"/>
          <w:u w:val="single"/>
        </w:rPr>
        <w:t xml:space="preserve"> Minister for E</w:t>
      </w:r>
      <w:r w:rsidR="00E41B25">
        <w:rPr>
          <w:rFonts w:asciiTheme="minorHAnsi" w:hAnsiTheme="minorHAnsi" w:cstheme="minorHAnsi"/>
          <w:szCs w:val="24"/>
          <w:u w:val="single"/>
        </w:rPr>
        <w:t>mployment, Workforce, Skills, Small and Family Business</w:t>
      </w:r>
    </w:p>
    <w:p w14:paraId="6BFA5D5F" w14:textId="72449710" w:rsidR="00455C2A" w:rsidRPr="002D7A08" w:rsidRDefault="00AF61FA" w:rsidP="006018C9">
      <w:pPr>
        <w:spacing w:before="120" w:after="120"/>
        <w:jc w:val="center"/>
        <w:rPr>
          <w:rFonts w:asciiTheme="minorHAnsi" w:hAnsiTheme="minorHAnsi" w:cstheme="minorHAnsi"/>
          <w:b/>
          <w:i/>
          <w:szCs w:val="24"/>
        </w:rPr>
      </w:pPr>
      <w:r>
        <w:rPr>
          <w:rFonts w:asciiTheme="minorHAnsi" w:hAnsiTheme="minorHAnsi" w:cstheme="minorHAnsi"/>
          <w:b/>
          <w:i/>
          <w:szCs w:val="24"/>
        </w:rPr>
        <w:t>Higher Education Support Act 2003</w:t>
      </w:r>
    </w:p>
    <w:p w14:paraId="7EDCF407" w14:textId="2F0E48D3" w:rsidR="00503218" w:rsidRPr="0088497A" w:rsidRDefault="002454EC" w:rsidP="006018C9">
      <w:pPr>
        <w:spacing w:before="120" w:after="120"/>
        <w:jc w:val="center"/>
        <w:rPr>
          <w:rFonts w:asciiTheme="minorHAnsi" w:hAnsiTheme="minorHAnsi" w:cstheme="minorHAnsi"/>
          <w:b/>
          <w:i/>
          <w:szCs w:val="24"/>
        </w:rPr>
      </w:pPr>
      <w:r w:rsidRPr="002454EC">
        <w:rPr>
          <w:rFonts w:asciiTheme="minorHAnsi" w:hAnsiTheme="minorHAnsi" w:cstheme="minorHAnsi"/>
          <w:b/>
          <w:i/>
          <w:szCs w:val="24"/>
        </w:rPr>
        <w:t>Higher Education Support (Other Grants) Guidelines 2022</w:t>
      </w:r>
    </w:p>
    <w:p w14:paraId="7D8AADBF" w14:textId="77777777" w:rsidR="00455C2A" w:rsidRDefault="00144950" w:rsidP="006018C9">
      <w:pPr>
        <w:pStyle w:val="Heading2"/>
        <w:spacing w:before="120" w:after="120"/>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4C38664E" w14:textId="1AAE4D1E" w:rsidR="00DB6247" w:rsidRPr="002D7A08" w:rsidRDefault="002D7A08" w:rsidP="006018C9">
      <w:pPr>
        <w:pStyle w:val="Heading2"/>
        <w:spacing w:before="120" w:after="120"/>
        <w:rPr>
          <w:iCs/>
          <w:color w:val="auto"/>
          <w:sz w:val="20"/>
          <w:shd w:val="clear" w:color="auto" w:fill="FFFFFF"/>
        </w:rPr>
      </w:pPr>
      <w:r w:rsidRPr="002D7A08">
        <w:rPr>
          <w:rFonts w:asciiTheme="minorHAnsi" w:hAnsiTheme="minorHAnsi" w:cstheme="minorHAnsi"/>
          <w:b w:val="0"/>
          <w:iCs/>
          <w:color w:val="auto"/>
        </w:rPr>
        <w:t xml:space="preserve">The </w:t>
      </w:r>
      <w:r w:rsidR="002454EC" w:rsidRPr="002454EC">
        <w:rPr>
          <w:rFonts w:asciiTheme="minorHAnsi" w:hAnsiTheme="minorHAnsi" w:cstheme="minorHAnsi"/>
          <w:b w:val="0"/>
          <w:i/>
          <w:color w:val="auto"/>
        </w:rPr>
        <w:t>Higher Education Support (Other Grants) Guidelines 2022</w:t>
      </w:r>
      <w:r w:rsidRPr="002D7A08">
        <w:rPr>
          <w:rFonts w:asciiTheme="minorHAnsi" w:hAnsiTheme="minorHAnsi" w:cstheme="minorHAnsi"/>
          <w:b w:val="0"/>
          <w:iCs/>
          <w:color w:val="auto"/>
        </w:rPr>
        <w:t xml:space="preserve"> </w:t>
      </w:r>
      <w:r w:rsidR="00207BCF">
        <w:rPr>
          <w:rFonts w:asciiTheme="minorHAnsi" w:hAnsiTheme="minorHAnsi" w:cstheme="minorHAnsi"/>
          <w:b w:val="0"/>
          <w:iCs/>
          <w:color w:val="auto"/>
        </w:rPr>
        <w:t>(</w:t>
      </w:r>
      <w:r w:rsidR="00F65018">
        <w:rPr>
          <w:rFonts w:asciiTheme="minorHAnsi" w:hAnsiTheme="minorHAnsi" w:cstheme="minorHAnsi"/>
          <w:b w:val="0"/>
          <w:iCs/>
          <w:color w:val="auto"/>
        </w:rPr>
        <w:t>‘</w:t>
      </w:r>
      <w:r w:rsidR="00A75E4D">
        <w:rPr>
          <w:rFonts w:asciiTheme="minorHAnsi" w:hAnsiTheme="minorHAnsi" w:cstheme="minorHAnsi"/>
          <w:b w:val="0"/>
          <w:iCs/>
          <w:color w:val="auto"/>
        </w:rPr>
        <w:t>Other Grants Guidelines</w:t>
      </w:r>
      <w:r w:rsidR="00F65018">
        <w:rPr>
          <w:rFonts w:asciiTheme="minorHAnsi" w:hAnsiTheme="minorHAnsi" w:cstheme="minorHAnsi"/>
          <w:b w:val="0"/>
          <w:iCs/>
          <w:color w:val="auto"/>
        </w:rPr>
        <w:t>’</w:t>
      </w:r>
      <w:r w:rsidR="00207BCF">
        <w:rPr>
          <w:rFonts w:asciiTheme="minorHAnsi" w:hAnsiTheme="minorHAnsi" w:cstheme="minorHAnsi"/>
          <w:b w:val="0"/>
          <w:iCs/>
          <w:color w:val="auto"/>
        </w:rPr>
        <w:t>)</w:t>
      </w:r>
      <w:r w:rsidRPr="002D7A08">
        <w:rPr>
          <w:rFonts w:asciiTheme="minorHAnsi" w:hAnsiTheme="minorHAnsi" w:cstheme="minorHAnsi"/>
          <w:b w:val="0"/>
          <w:iCs/>
          <w:color w:val="auto"/>
        </w:rPr>
        <w:t xml:space="preserve"> </w:t>
      </w:r>
      <w:r w:rsidR="002454EC">
        <w:rPr>
          <w:rFonts w:asciiTheme="minorHAnsi" w:hAnsiTheme="minorHAnsi" w:cstheme="minorHAnsi"/>
          <w:b w:val="0"/>
          <w:iCs/>
          <w:color w:val="auto"/>
        </w:rPr>
        <w:t>are</w:t>
      </w:r>
      <w:r w:rsidRPr="002D7A08">
        <w:rPr>
          <w:rFonts w:asciiTheme="minorHAnsi" w:hAnsiTheme="minorHAnsi" w:cstheme="minorHAnsi"/>
          <w:b w:val="0"/>
          <w:iCs/>
          <w:color w:val="auto"/>
        </w:rPr>
        <w:t xml:space="preserve"> made by the Minister </w:t>
      </w:r>
      <w:r w:rsidR="00A75E4D">
        <w:rPr>
          <w:rFonts w:asciiTheme="minorHAnsi" w:hAnsiTheme="minorHAnsi" w:cstheme="minorHAnsi"/>
          <w:b w:val="0"/>
          <w:iCs/>
          <w:color w:val="auto"/>
        </w:rPr>
        <w:t>for</w:t>
      </w:r>
      <w:r w:rsidR="00ED6E7A">
        <w:rPr>
          <w:rFonts w:asciiTheme="minorHAnsi" w:hAnsiTheme="minorHAnsi" w:cstheme="minorHAnsi"/>
          <w:b w:val="0"/>
          <w:iCs/>
          <w:color w:val="auto"/>
        </w:rPr>
        <w:t xml:space="preserve"> Employment, Workforce, Skills, Small and Family Business</w:t>
      </w:r>
      <w:r w:rsidR="00A75E4D">
        <w:rPr>
          <w:rFonts w:asciiTheme="minorHAnsi" w:hAnsiTheme="minorHAnsi" w:cstheme="minorHAnsi"/>
          <w:b w:val="0"/>
          <w:iCs/>
          <w:color w:val="auto"/>
        </w:rPr>
        <w:t xml:space="preserve"> </w:t>
      </w:r>
      <w:r w:rsidR="00A75E4D" w:rsidRPr="00A75E4D">
        <w:rPr>
          <w:rFonts w:asciiTheme="minorHAnsi" w:hAnsiTheme="minorHAnsi" w:cstheme="minorHAnsi"/>
          <w:b w:val="0"/>
          <w:iCs/>
          <w:color w:val="auto"/>
        </w:rPr>
        <w:t>under section 238</w:t>
      </w:r>
      <w:r w:rsidR="00A75E4D" w:rsidRPr="00A75E4D">
        <w:rPr>
          <w:rFonts w:ascii="Cambria Math" w:hAnsi="Cambria Math" w:cs="Cambria Math"/>
          <w:b w:val="0"/>
          <w:iCs/>
          <w:color w:val="auto"/>
        </w:rPr>
        <w:t>‑</w:t>
      </w:r>
      <w:r w:rsidR="00A75E4D" w:rsidRPr="00A75E4D">
        <w:rPr>
          <w:rFonts w:asciiTheme="minorHAnsi" w:hAnsiTheme="minorHAnsi" w:cstheme="minorHAnsi"/>
          <w:b w:val="0"/>
          <w:iCs/>
          <w:color w:val="auto"/>
        </w:rPr>
        <w:t>10</w:t>
      </w:r>
      <w:r w:rsidR="00A75E4D">
        <w:rPr>
          <w:rFonts w:asciiTheme="minorHAnsi" w:hAnsiTheme="minorHAnsi" w:cstheme="minorHAnsi"/>
          <w:b w:val="0"/>
          <w:iCs/>
          <w:color w:val="auto"/>
        </w:rPr>
        <w:t xml:space="preserve"> </w:t>
      </w:r>
      <w:r w:rsidRPr="002D7A08">
        <w:rPr>
          <w:rFonts w:asciiTheme="minorHAnsi" w:hAnsiTheme="minorHAnsi" w:cstheme="minorHAnsi"/>
          <w:b w:val="0"/>
          <w:iCs/>
          <w:color w:val="auto"/>
        </w:rPr>
        <w:t xml:space="preserve">of the </w:t>
      </w:r>
      <w:r w:rsidR="00A75E4D">
        <w:rPr>
          <w:rFonts w:asciiTheme="minorHAnsi" w:hAnsiTheme="minorHAnsi" w:cstheme="minorHAnsi"/>
          <w:b w:val="0"/>
          <w:i/>
          <w:color w:val="auto"/>
        </w:rPr>
        <w:t>Higher Education Support Act 2003</w:t>
      </w:r>
      <w:r w:rsidRPr="002D7A08">
        <w:rPr>
          <w:rFonts w:asciiTheme="minorHAnsi" w:hAnsiTheme="minorHAnsi" w:cstheme="minorHAnsi"/>
          <w:b w:val="0"/>
          <w:iCs/>
          <w:color w:val="auto"/>
        </w:rPr>
        <w:t xml:space="preserve"> (</w:t>
      </w:r>
      <w:r w:rsidR="00466147">
        <w:rPr>
          <w:rFonts w:asciiTheme="minorHAnsi" w:hAnsiTheme="minorHAnsi" w:cstheme="minorHAnsi"/>
          <w:b w:val="0"/>
          <w:iCs/>
          <w:color w:val="auto"/>
        </w:rPr>
        <w:t>‘</w:t>
      </w:r>
      <w:r w:rsidR="00A75E4D">
        <w:rPr>
          <w:rFonts w:asciiTheme="minorHAnsi" w:hAnsiTheme="minorHAnsi" w:cstheme="minorHAnsi"/>
          <w:b w:val="0"/>
          <w:iCs/>
          <w:color w:val="auto"/>
        </w:rPr>
        <w:t>HESA</w:t>
      </w:r>
      <w:r w:rsidR="00466147">
        <w:rPr>
          <w:rFonts w:asciiTheme="minorHAnsi" w:hAnsiTheme="minorHAnsi" w:cstheme="minorHAnsi"/>
          <w:b w:val="0"/>
          <w:iCs/>
          <w:color w:val="auto"/>
        </w:rPr>
        <w:t>’</w:t>
      </w:r>
      <w:r w:rsidR="00207BCF">
        <w:rPr>
          <w:rFonts w:asciiTheme="minorHAnsi" w:hAnsiTheme="minorHAnsi" w:cstheme="minorHAnsi"/>
          <w:b w:val="0"/>
          <w:iCs/>
          <w:color w:val="auto"/>
        </w:rPr>
        <w:t>)</w:t>
      </w:r>
      <w:r w:rsidRPr="002D7A08">
        <w:rPr>
          <w:rFonts w:asciiTheme="minorHAnsi" w:hAnsiTheme="minorHAnsi" w:cstheme="minorHAnsi"/>
          <w:b w:val="0"/>
          <w:iCs/>
          <w:color w:val="auto"/>
        </w:rPr>
        <w:t xml:space="preserve">. </w:t>
      </w:r>
    </w:p>
    <w:bookmarkEnd w:id="0"/>
    <w:bookmarkEnd w:id="1"/>
    <w:p w14:paraId="2AB9AA29" w14:textId="77777777" w:rsidR="00DA552F" w:rsidRPr="008134D5" w:rsidRDefault="00144950" w:rsidP="006018C9">
      <w:pPr>
        <w:pStyle w:val="Heading2"/>
        <w:spacing w:before="120" w:after="120"/>
        <w:rPr>
          <w:rFonts w:asciiTheme="minorHAnsi" w:hAnsiTheme="minorHAnsi" w:cstheme="minorHAnsi"/>
          <w:color w:val="auto"/>
        </w:rPr>
      </w:pPr>
      <w:r>
        <w:rPr>
          <w:rFonts w:asciiTheme="minorHAnsi" w:hAnsiTheme="minorHAnsi" w:cstheme="minorHAnsi"/>
          <w:color w:val="auto"/>
        </w:rPr>
        <w:t>PURPOSE AND OPERATION</w:t>
      </w:r>
    </w:p>
    <w:p w14:paraId="2FC1A8FC" w14:textId="1311D839" w:rsidR="008070EB" w:rsidRDefault="008070EB" w:rsidP="006018C9">
      <w:pPr>
        <w:spacing w:before="120" w:after="120"/>
        <w:rPr>
          <w:rFonts w:asciiTheme="minorHAnsi" w:hAnsiTheme="minorHAnsi" w:cstheme="minorHAnsi"/>
          <w:iCs/>
          <w:szCs w:val="24"/>
        </w:rPr>
      </w:pPr>
      <w:r w:rsidRPr="008070EB">
        <w:rPr>
          <w:rFonts w:asciiTheme="minorHAnsi" w:hAnsiTheme="minorHAnsi" w:cstheme="minorHAnsi"/>
          <w:iCs/>
          <w:szCs w:val="24"/>
        </w:rPr>
        <w:t xml:space="preserve">The </w:t>
      </w:r>
      <w:r w:rsidR="00F65018">
        <w:rPr>
          <w:rFonts w:asciiTheme="minorHAnsi" w:hAnsiTheme="minorHAnsi" w:cstheme="minorHAnsi"/>
          <w:iCs/>
          <w:szCs w:val="24"/>
        </w:rPr>
        <w:t>Other Grants Guidelines are made for the purposes of the “other grants” that are payable to certain higher education providers and bodies corporate under Part 2-3 of</w:t>
      </w:r>
      <w:r w:rsidR="0000124D">
        <w:rPr>
          <w:rFonts w:asciiTheme="minorHAnsi" w:hAnsiTheme="minorHAnsi" w:cstheme="minorHAnsi"/>
          <w:iCs/>
          <w:szCs w:val="24"/>
        </w:rPr>
        <w:t xml:space="preserve"> </w:t>
      </w:r>
      <w:r w:rsidR="00F65018">
        <w:rPr>
          <w:rFonts w:asciiTheme="minorHAnsi" w:hAnsiTheme="minorHAnsi" w:cstheme="minorHAnsi"/>
          <w:iCs/>
          <w:szCs w:val="24"/>
        </w:rPr>
        <w:t xml:space="preserve">HESA. The primary purpose of the </w:t>
      </w:r>
      <w:r w:rsidR="00207BCF">
        <w:rPr>
          <w:rFonts w:asciiTheme="minorHAnsi" w:hAnsiTheme="minorHAnsi" w:cstheme="minorHAnsi"/>
          <w:iCs/>
          <w:szCs w:val="24"/>
        </w:rPr>
        <w:t xml:space="preserve">Other Grant </w:t>
      </w:r>
      <w:r w:rsidR="00F65018">
        <w:rPr>
          <w:rFonts w:asciiTheme="minorHAnsi" w:hAnsiTheme="minorHAnsi" w:cstheme="minorHAnsi"/>
          <w:iCs/>
          <w:szCs w:val="24"/>
        </w:rPr>
        <w:t>Guidelines is to set out the eligibility criteria, amounts and conditions that apply to grants payable in respect of grant programs that operate under Part 2-3</w:t>
      </w:r>
      <w:r w:rsidR="00207BCF">
        <w:rPr>
          <w:rFonts w:asciiTheme="minorHAnsi" w:hAnsiTheme="minorHAnsi" w:cstheme="minorHAnsi"/>
          <w:iCs/>
          <w:szCs w:val="24"/>
        </w:rPr>
        <w:t xml:space="preserve"> of HESA</w:t>
      </w:r>
      <w:r w:rsidR="00F65018">
        <w:rPr>
          <w:rFonts w:asciiTheme="minorHAnsi" w:hAnsiTheme="minorHAnsi" w:cstheme="minorHAnsi"/>
          <w:iCs/>
          <w:szCs w:val="24"/>
        </w:rPr>
        <w:t>.</w:t>
      </w:r>
      <w:r w:rsidR="00394820">
        <w:rPr>
          <w:rFonts w:asciiTheme="minorHAnsi" w:hAnsiTheme="minorHAnsi" w:cstheme="minorHAnsi"/>
          <w:iCs/>
          <w:szCs w:val="24"/>
        </w:rPr>
        <w:t xml:space="preserve">    </w:t>
      </w:r>
    </w:p>
    <w:p w14:paraId="24426607" w14:textId="6B845FF1" w:rsidR="001B47EB" w:rsidRPr="001B47EB" w:rsidRDefault="00C46FE8" w:rsidP="006018C9">
      <w:pPr>
        <w:spacing w:before="120" w:after="120"/>
        <w:rPr>
          <w:rFonts w:asciiTheme="minorHAnsi" w:hAnsiTheme="minorHAnsi" w:cstheme="minorHAnsi"/>
          <w:iCs/>
          <w:szCs w:val="24"/>
        </w:rPr>
      </w:pPr>
      <w:r>
        <w:rPr>
          <w:rFonts w:asciiTheme="minorHAnsi" w:hAnsiTheme="minorHAnsi" w:cstheme="minorHAnsi"/>
          <w:iCs/>
          <w:szCs w:val="24"/>
        </w:rPr>
        <w:t>In particular, and as</w:t>
      </w:r>
      <w:r w:rsidR="001B47EB">
        <w:rPr>
          <w:rFonts w:asciiTheme="minorHAnsi" w:hAnsiTheme="minorHAnsi" w:cstheme="minorHAnsi"/>
          <w:iCs/>
          <w:szCs w:val="24"/>
        </w:rPr>
        <w:t xml:space="preserve"> set out in the general outline provision at section 6 of the</w:t>
      </w:r>
      <w:r w:rsidR="00645241">
        <w:rPr>
          <w:rFonts w:asciiTheme="minorHAnsi" w:hAnsiTheme="minorHAnsi" w:cstheme="minorHAnsi"/>
          <w:iCs/>
          <w:szCs w:val="24"/>
        </w:rPr>
        <w:t xml:space="preserve"> Other Grants</w:t>
      </w:r>
      <w:r w:rsidR="001B47EB">
        <w:rPr>
          <w:rFonts w:asciiTheme="minorHAnsi" w:hAnsiTheme="minorHAnsi" w:cstheme="minorHAnsi"/>
          <w:iCs/>
          <w:szCs w:val="24"/>
        </w:rPr>
        <w:t xml:space="preserve"> Guidelines, </w:t>
      </w:r>
      <w:r w:rsidR="003E46E7">
        <w:rPr>
          <w:rFonts w:asciiTheme="minorHAnsi" w:hAnsiTheme="minorHAnsi" w:cstheme="minorHAnsi"/>
          <w:iCs/>
          <w:szCs w:val="24"/>
        </w:rPr>
        <w:t>s</w:t>
      </w:r>
      <w:r w:rsidR="001B47EB" w:rsidRPr="001B47EB">
        <w:rPr>
          <w:rFonts w:asciiTheme="minorHAnsi" w:hAnsiTheme="minorHAnsi" w:cstheme="minorHAnsi"/>
          <w:iCs/>
          <w:szCs w:val="24"/>
        </w:rPr>
        <w:t>ection 41-10 of</w:t>
      </w:r>
      <w:r w:rsidR="0000124D">
        <w:rPr>
          <w:rFonts w:asciiTheme="minorHAnsi" w:hAnsiTheme="minorHAnsi" w:cstheme="minorHAnsi"/>
          <w:iCs/>
          <w:szCs w:val="24"/>
        </w:rPr>
        <w:t xml:space="preserve"> </w:t>
      </w:r>
      <w:r w:rsidR="0036384A">
        <w:rPr>
          <w:rFonts w:asciiTheme="minorHAnsi" w:hAnsiTheme="minorHAnsi" w:cstheme="minorHAnsi"/>
          <w:iCs/>
          <w:szCs w:val="24"/>
        </w:rPr>
        <w:t xml:space="preserve">HESA </w:t>
      </w:r>
      <w:r w:rsidR="001B47EB" w:rsidRPr="001B47EB">
        <w:rPr>
          <w:rFonts w:asciiTheme="minorHAnsi" w:hAnsiTheme="minorHAnsi" w:cstheme="minorHAnsi"/>
          <w:iCs/>
          <w:szCs w:val="24"/>
        </w:rPr>
        <w:t xml:space="preserve">contains a table which states the purposes for which other grants made under Part 2-3 of </w:t>
      </w:r>
      <w:r w:rsidR="00207BCF">
        <w:rPr>
          <w:rFonts w:asciiTheme="minorHAnsi" w:hAnsiTheme="minorHAnsi" w:cstheme="minorHAnsi"/>
          <w:iCs/>
          <w:szCs w:val="24"/>
        </w:rPr>
        <w:t>HESA</w:t>
      </w:r>
      <w:r w:rsidR="001B47EB" w:rsidRPr="001B47EB">
        <w:rPr>
          <w:rFonts w:asciiTheme="minorHAnsi" w:hAnsiTheme="minorHAnsi" w:cstheme="minorHAnsi"/>
          <w:iCs/>
          <w:szCs w:val="24"/>
        </w:rPr>
        <w:t xml:space="preserve"> may be made and says that the Other Grant Guidelines may:</w:t>
      </w:r>
    </w:p>
    <w:p w14:paraId="2250EA0B" w14:textId="342BAD42"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(a)</w:t>
      </w:r>
      <w:r w:rsidRPr="001B47EB">
        <w:rPr>
          <w:rFonts w:asciiTheme="minorHAnsi" w:hAnsiTheme="minorHAnsi" w:cstheme="minorHAnsi"/>
          <w:iCs/>
          <w:szCs w:val="24"/>
        </w:rPr>
        <w:tab/>
        <w:t>specify certain bodies corporate that are eligible for grants in relation to</w:t>
      </w:r>
      <w:r w:rsidR="00CE4C4C">
        <w:rPr>
          <w:rFonts w:asciiTheme="minorHAnsi" w:hAnsiTheme="minorHAnsi" w:cstheme="minorHAnsi"/>
          <w:iCs/>
          <w:szCs w:val="24"/>
        </w:rPr>
        <w:t xml:space="preserve"> particular</w:t>
      </w:r>
      <w:r w:rsidRPr="001B47EB">
        <w:rPr>
          <w:rFonts w:asciiTheme="minorHAnsi" w:hAnsiTheme="minorHAnsi" w:cstheme="minorHAnsi"/>
          <w:iCs/>
          <w:szCs w:val="24"/>
        </w:rPr>
        <w:t xml:space="preserve"> purpose</w:t>
      </w:r>
      <w:r w:rsidR="00A030A8">
        <w:rPr>
          <w:rFonts w:asciiTheme="minorHAnsi" w:hAnsiTheme="minorHAnsi" w:cstheme="minorHAnsi"/>
          <w:iCs/>
          <w:szCs w:val="24"/>
        </w:rPr>
        <w:t>s</w:t>
      </w:r>
      <w:r w:rsidRPr="001B47EB">
        <w:rPr>
          <w:rFonts w:asciiTheme="minorHAnsi" w:hAnsiTheme="minorHAnsi" w:cstheme="minorHAnsi"/>
          <w:iCs/>
          <w:szCs w:val="24"/>
        </w:rPr>
        <w:t xml:space="preserve"> set out in the table in that section;</w:t>
      </w:r>
    </w:p>
    <w:p w14:paraId="152F7720" w14:textId="77777777"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(b)</w:t>
      </w:r>
      <w:r w:rsidRPr="001B47EB">
        <w:rPr>
          <w:rFonts w:asciiTheme="minorHAnsi" w:hAnsiTheme="minorHAnsi" w:cstheme="minorHAnsi"/>
          <w:iCs/>
          <w:szCs w:val="24"/>
        </w:rPr>
        <w:tab/>
        <w:t>specify national institutes for the purposes of item 4 in the table in that section; and</w:t>
      </w:r>
    </w:p>
    <w:p w14:paraId="58F9B2E8" w14:textId="5F69AB39"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(c)</w:t>
      </w:r>
      <w:r w:rsidRPr="001B47EB">
        <w:rPr>
          <w:rFonts w:asciiTheme="minorHAnsi" w:hAnsiTheme="minorHAnsi" w:cstheme="minorHAnsi"/>
          <w:iCs/>
          <w:szCs w:val="24"/>
        </w:rPr>
        <w:tab/>
        <w:t xml:space="preserve">specify extra conditions of eligibility to receive a grant under a program that is also specified in these </w:t>
      </w:r>
      <w:r w:rsidR="00345FA2">
        <w:rPr>
          <w:rFonts w:asciiTheme="minorHAnsi" w:hAnsiTheme="minorHAnsi" w:cstheme="minorHAnsi"/>
          <w:iCs/>
          <w:szCs w:val="24"/>
        </w:rPr>
        <w:t>g</w:t>
      </w:r>
      <w:r w:rsidRPr="001B47EB">
        <w:rPr>
          <w:rFonts w:asciiTheme="minorHAnsi" w:hAnsiTheme="minorHAnsi" w:cstheme="minorHAnsi"/>
          <w:iCs/>
          <w:szCs w:val="24"/>
        </w:rPr>
        <w:t>uidelines.</w:t>
      </w:r>
    </w:p>
    <w:p w14:paraId="7E515587" w14:textId="21515F65"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Subsection 41-15(1) of</w:t>
      </w:r>
      <w:r w:rsidR="0000124D">
        <w:rPr>
          <w:rFonts w:asciiTheme="minorHAnsi" w:hAnsiTheme="minorHAnsi" w:cstheme="minorHAnsi"/>
          <w:iCs/>
          <w:szCs w:val="24"/>
        </w:rPr>
        <w:t xml:space="preserve"> </w:t>
      </w:r>
      <w:r w:rsidR="00466147">
        <w:rPr>
          <w:rFonts w:asciiTheme="minorHAnsi" w:hAnsiTheme="minorHAnsi" w:cstheme="minorHAnsi"/>
          <w:iCs/>
          <w:szCs w:val="24"/>
        </w:rPr>
        <w:t>HESA</w:t>
      </w:r>
      <w:r w:rsidRPr="001B47EB">
        <w:rPr>
          <w:rFonts w:asciiTheme="minorHAnsi" w:hAnsiTheme="minorHAnsi" w:cstheme="minorHAnsi"/>
          <w:iCs/>
          <w:szCs w:val="24"/>
        </w:rPr>
        <w:t xml:space="preserve"> states that Other Grants Guidelines may specify one or more programs under which grants for particular purposes</w:t>
      </w:r>
      <w:r w:rsidR="00345FA2">
        <w:rPr>
          <w:rFonts w:asciiTheme="minorHAnsi" w:hAnsiTheme="minorHAnsi" w:cstheme="minorHAnsi"/>
          <w:iCs/>
          <w:szCs w:val="24"/>
        </w:rPr>
        <w:t>,</w:t>
      </w:r>
      <w:r w:rsidRPr="001B47EB">
        <w:rPr>
          <w:rFonts w:asciiTheme="minorHAnsi" w:hAnsiTheme="minorHAnsi" w:cstheme="minorHAnsi"/>
          <w:iCs/>
          <w:szCs w:val="24"/>
        </w:rPr>
        <w:t xml:space="preserve"> specified in the table in subsection 41</w:t>
      </w:r>
      <w:r w:rsidRPr="001B47EB">
        <w:rPr>
          <w:rFonts w:ascii="Cambria Math" w:hAnsi="Cambria Math" w:cs="Cambria Math"/>
          <w:iCs/>
          <w:szCs w:val="24"/>
        </w:rPr>
        <w:t>‑</w:t>
      </w:r>
      <w:r w:rsidRPr="001B47EB">
        <w:rPr>
          <w:rFonts w:asciiTheme="minorHAnsi" w:hAnsiTheme="minorHAnsi" w:cstheme="minorHAnsi"/>
          <w:iCs/>
          <w:szCs w:val="24"/>
        </w:rPr>
        <w:t>10(1)</w:t>
      </w:r>
      <w:r w:rsidR="00345FA2">
        <w:rPr>
          <w:rFonts w:asciiTheme="minorHAnsi" w:hAnsiTheme="minorHAnsi" w:cstheme="minorHAnsi"/>
          <w:iCs/>
          <w:szCs w:val="24"/>
        </w:rPr>
        <w:t>,</w:t>
      </w:r>
      <w:r w:rsidRPr="001B47EB">
        <w:rPr>
          <w:rFonts w:asciiTheme="minorHAnsi" w:hAnsiTheme="minorHAnsi" w:cstheme="minorHAnsi"/>
          <w:iCs/>
          <w:szCs w:val="24"/>
        </w:rPr>
        <w:t xml:space="preserve"> are to be paid.  </w:t>
      </w:r>
    </w:p>
    <w:p w14:paraId="114B27CA" w14:textId="15BF4DE2"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Subsection 41-15(2) of</w:t>
      </w:r>
      <w:r w:rsidR="0000124D">
        <w:rPr>
          <w:rFonts w:asciiTheme="minorHAnsi" w:hAnsiTheme="minorHAnsi" w:cstheme="minorHAnsi"/>
          <w:iCs/>
          <w:szCs w:val="24"/>
        </w:rPr>
        <w:t xml:space="preserve"> </w:t>
      </w:r>
      <w:r w:rsidR="00466147">
        <w:rPr>
          <w:rFonts w:asciiTheme="minorHAnsi" w:hAnsiTheme="minorHAnsi" w:cstheme="minorHAnsi"/>
          <w:iCs/>
          <w:szCs w:val="24"/>
        </w:rPr>
        <w:t>HESA</w:t>
      </w:r>
      <w:r w:rsidRPr="001B47EB">
        <w:rPr>
          <w:rFonts w:asciiTheme="minorHAnsi" w:hAnsiTheme="minorHAnsi" w:cstheme="minorHAnsi"/>
          <w:iCs/>
          <w:szCs w:val="24"/>
        </w:rPr>
        <w:t xml:space="preserve"> </w:t>
      </w:r>
      <w:r w:rsidR="00341B62">
        <w:rPr>
          <w:rFonts w:asciiTheme="minorHAnsi" w:hAnsiTheme="minorHAnsi" w:cstheme="minorHAnsi"/>
          <w:iCs/>
          <w:szCs w:val="24"/>
        </w:rPr>
        <w:t>states</w:t>
      </w:r>
      <w:r w:rsidRPr="001B47EB">
        <w:rPr>
          <w:rFonts w:asciiTheme="minorHAnsi" w:hAnsiTheme="minorHAnsi" w:cstheme="minorHAnsi"/>
          <w:iCs/>
          <w:szCs w:val="24"/>
        </w:rPr>
        <w:t xml:space="preserve"> that, if the Other Grants Guidelines specify a program for a grant for a particular purpose, the </w:t>
      </w:r>
      <w:r w:rsidR="00645241">
        <w:rPr>
          <w:rFonts w:asciiTheme="minorHAnsi" w:hAnsiTheme="minorHAnsi" w:cstheme="minorHAnsi"/>
          <w:iCs/>
          <w:szCs w:val="24"/>
        </w:rPr>
        <w:t xml:space="preserve">Other Grants </w:t>
      </w:r>
      <w:r w:rsidR="0015375F">
        <w:rPr>
          <w:rFonts w:asciiTheme="minorHAnsi" w:hAnsiTheme="minorHAnsi" w:cstheme="minorHAnsi"/>
          <w:iCs/>
          <w:szCs w:val="24"/>
        </w:rPr>
        <w:t>G</w:t>
      </w:r>
      <w:r w:rsidRPr="001B47EB">
        <w:rPr>
          <w:rFonts w:asciiTheme="minorHAnsi" w:hAnsiTheme="minorHAnsi" w:cstheme="minorHAnsi"/>
          <w:iCs/>
          <w:szCs w:val="24"/>
        </w:rPr>
        <w:t xml:space="preserve">uidelines may also specify all or any of the following matters for the program: </w:t>
      </w:r>
    </w:p>
    <w:p w14:paraId="0B421AB9" w14:textId="77777777"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(a)</w:t>
      </w:r>
      <w:r w:rsidRPr="001B47EB">
        <w:rPr>
          <w:rFonts w:asciiTheme="minorHAnsi" w:hAnsiTheme="minorHAnsi" w:cstheme="minorHAnsi"/>
          <w:iCs/>
          <w:szCs w:val="24"/>
        </w:rPr>
        <w:tab/>
        <w:t>the program’s objectives;</w:t>
      </w:r>
    </w:p>
    <w:p w14:paraId="0207D060" w14:textId="77777777"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(b)</w:t>
      </w:r>
      <w:r w:rsidRPr="001B47EB">
        <w:rPr>
          <w:rFonts w:asciiTheme="minorHAnsi" w:hAnsiTheme="minorHAnsi" w:cstheme="minorHAnsi"/>
          <w:iCs/>
          <w:szCs w:val="24"/>
        </w:rPr>
        <w:tab/>
        <w:t xml:space="preserve">the extra conditions of eligibility to receive a grant under the program; </w:t>
      </w:r>
    </w:p>
    <w:p w14:paraId="00D1A9F4" w14:textId="78408A52"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(c)</w:t>
      </w:r>
      <w:r w:rsidRPr="001B47EB">
        <w:rPr>
          <w:rFonts w:asciiTheme="minorHAnsi" w:hAnsiTheme="minorHAnsi" w:cstheme="minorHAnsi"/>
          <w:iCs/>
          <w:szCs w:val="24"/>
        </w:rPr>
        <w:tab/>
        <w:t>the amount, being a part of the amount referred to in section 41</w:t>
      </w:r>
      <w:r w:rsidR="00672946">
        <w:rPr>
          <w:rFonts w:asciiTheme="minorHAnsi" w:hAnsiTheme="minorHAnsi" w:cstheme="minorHAnsi"/>
          <w:iCs/>
          <w:szCs w:val="24"/>
        </w:rPr>
        <w:t>-</w:t>
      </w:r>
      <w:r w:rsidRPr="001B47EB">
        <w:rPr>
          <w:rFonts w:asciiTheme="minorHAnsi" w:hAnsiTheme="minorHAnsi" w:cstheme="minorHAnsi"/>
          <w:iCs/>
          <w:szCs w:val="24"/>
        </w:rPr>
        <w:t>45 for a year, that will be spent on the program in that particular year;</w:t>
      </w:r>
    </w:p>
    <w:p w14:paraId="0671962A" w14:textId="7B93419B"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lastRenderedPageBreak/>
        <w:tab/>
        <w:t>(d)</w:t>
      </w:r>
      <w:r w:rsidRPr="001B47EB">
        <w:rPr>
          <w:rFonts w:asciiTheme="minorHAnsi" w:hAnsiTheme="minorHAnsi" w:cstheme="minorHAnsi"/>
          <w:iCs/>
          <w:szCs w:val="24"/>
        </w:rPr>
        <w:tab/>
        <w:t>the indexation of that amount for subsequent years, using the method of indexation set out in Part 5</w:t>
      </w:r>
      <w:r w:rsidRPr="001B47EB">
        <w:rPr>
          <w:rFonts w:ascii="Cambria Math" w:hAnsi="Cambria Math" w:cs="Cambria Math"/>
          <w:iCs/>
          <w:szCs w:val="24"/>
        </w:rPr>
        <w:t>‑</w:t>
      </w:r>
      <w:r w:rsidRPr="001B47EB">
        <w:rPr>
          <w:rFonts w:asciiTheme="minorHAnsi" w:hAnsiTheme="minorHAnsi" w:cstheme="minorHAnsi"/>
          <w:iCs/>
          <w:szCs w:val="24"/>
        </w:rPr>
        <w:t xml:space="preserve">6 of </w:t>
      </w:r>
      <w:r w:rsidR="00207BCF">
        <w:rPr>
          <w:rFonts w:asciiTheme="minorHAnsi" w:hAnsiTheme="minorHAnsi" w:cstheme="minorHAnsi"/>
          <w:iCs/>
          <w:szCs w:val="24"/>
        </w:rPr>
        <w:t>HESA</w:t>
      </w:r>
      <w:r w:rsidRPr="001B47EB">
        <w:rPr>
          <w:rFonts w:asciiTheme="minorHAnsi" w:hAnsiTheme="minorHAnsi" w:cstheme="minorHAnsi"/>
          <w:iCs/>
          <w:szCs w:val="24"/>
        </w:rPr>
        <w:t>;</w:t>
      </w:r>
    </w:p>
    <w:p w14:paraId="4E9A8D49" w14:textId="77777777"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(e)</w:t>
      </w:r>
      <w:r w:rsidRPr="001B47EB">
        <w:rPr>
          <w:rFonts w:asciiTheme="minorHAnsi" w:hAnsiTheme="minorHAnsi" w:cstheme="minorHAnsi"/>
          <w:iCs/>
          <w:szCs w:val="24"/>
        </w:rPr>
        <w:tab/>
        <w:t xml:space="preserve">the method by which the amount of grants under the program will be determined; </w:t>
      </w:r>
    </w:p>
    <w:p w14:paraId="1A2B13E7" w14:textId="77777777"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(f)</w:t>
      </w:r>
      <w:r w:rsidRPr="001B47EB">
        <w:rPr>
          <w:rFonts w:asciiTheme="minorHAnsi" w:hAnsiTheme="minorHAnsi" w:cstheme="minorHAnsi"/>
          <w:iCs/>
          <w:szCs w:val="24"/>
        </w:rPr>
        <w:tab/>
        <w:t>whether grants under a program are in respect of a year or a project;</w:t>
      </w:r>
    </w:p>
    <w:p w14:paraId="01A73D91" w14:textId="77777777"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ab/>
        <w:t>(g)</w:t>
      </w:r>
      <w:r w:rsidRPr="001B47EB">
        <w:rPr>
          <w:rFonts w:asciiTheme="minorHAnsi" w:hAnsiTheme="minorHAnsi" w:cstheme="minorHAnsi"/>
          <w:iCs/>
          <w:szCs w:val="24"/>
        </w:rPr>
        <w:tab/>
        <w:t>the conditions that apply to grants under the program.</w:t>
      </w:r>
    </w:p>
    <w:p w14:paraId="07F1A372" w14:textId="71D63DF2" w:rsidR="001B47EB" w:rsidRPr="001B47EB"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 xml:space="preserve">Subsection 41-25(1) of </w:t>
      </w:r>
      <w:r w:rsidR="00207BCF">
        <w:rPr>
          <w:rFonts w:asciiTheme="minorHAnsi" w:hAnsiTheme="minorHAnsi" w:cstheme="minorHAnsi"/>
          <w:iCs/>
          <w:szCs w:val="24"/>
        </w:rPr>
        <w:t>HESA</w:t>
      </w:r>
      <w:r w:rsidRPr="001B47EB">
        <w:rPr>
          <w:rFonts w:asciiTheme="minorHAnsi" w:hAnsiTheme="minorHAnsi" w:cstheme="minorHAnsi"/>
          <w:iCs/>
          <w:szCs w:val="24"/>
        </w:rPr>
        <w:t xml:space="preserve"> states that, if a grant is made under a program and the Other Grants Guidelines specify conditions that apply to a grant under that program, the grant is made on the conditions provided for in the</w:t>
      </w:r>
      <w:r w:rsidR="00645241" w:rsidRPr="00645241">
        <w:rPr>
          <w:rFonts w:asciiTheme="minorHAnsi" w:hAnsiTheme="minorHAnsi" w:cstheme="minorHAnsi"/>
          <w:iCs/>
          <w:szCs w:val="24"/>
        </w:rPr>
        <w:t xml:space="preserve"> </w:t>
      </w:r>
      <w:r w:rsidR="00645241">
        <w:rPr>
          <w:rFonts w:asciiTheme="minorHAnsi" w:hAnsiTheme="minorHAnsi" w:cstheme="minorHAnsi"/>
          <w:iCs/>
          <w:szCs w:val="24"/>
        </w:rPr>
        <w:t>Other Grants</w:t>
      </w:r>
      <w:r w:rsidRPr="001B47EB">
        <w:rPr>
          <w:rFonts w:asciiTheme="minorHAnsi" w:hAnsiTheme="minorHAnsi" w:cstheme="minorHAnsi"/>
          <w:iCs/>
          <w:szCs w:val="24"/>
        </w:rPr>
        <w:t xml:space="preserve"> </w:t>
      </w:r>
      <w:r w:rsidR="00645241">
        <w:rPr>
          <w:rFonts w:asciiTheme="minorHAnsi" w:hAnsiTheme="minorHAnsi" w:cstheme="minorHAnsi"/>
          <w:iCs/>
          <w:szCs w:val="24"/>
        </w:rPr>
        <w:t>G</w:t>
      </w:r>
      <w:r w:rsidRPr="001B47EB">
        <w:rPr>
          <w:rFonts w:asciiTheme="minorHAnsi" w:hAnsiTheme="minorHAnsi" w:cstheme="minorHAnsi"/>
          <w:iCs/>
          <w:szCs w:val="24"/>
        </w:rPr>
        <w:t xml:space="preserve">uidelines (however the Minister may also determine other conditions).  </w:t>
      </w:r>
    </w:p>
    <w:p w14:paraId="337C86F7" w14:textId="240DA26B" w:rsidR="00C62E16" w:rsidRDefault="001B47EB" w:rsidP="006018C9">
      <w:pPr>
        <w:spacing w:before="120" w:after="120"/>
        <w:rPr>
          <w:rFonts w:asciiTheme="minorHAnsi" w:hAnsiTheme="minorHAnsi" w:cstheme="minorHAnsi"/>
          <w:iCs/>
          <w:szCs w:val="24"/>
        </w:rPr>
      </w:pPr>
      <w:r w:rsidRPr="001B47EB">
        <w:rPr>
          <w:rFonts w:asciiTheme="minorHAnsi" w:hAnsiTheme="minorHAnsi" w:cstheme="minorHAnsi"/>
          <w:iCs/>
          <w:szCs w:val="24"/>
        </w:rPr>
        <w:t xml:space="preserve">Section 41-30 of </w:t>
      </w:r>
      <w:r w:rsidR="00207BCF">
        <w:rPr>
          <w:rFonts w:asciiTheme="minorHAnsi" w:hAnsiTheme="minorHAnsi" w:cstheme="minorHAnsi"/>
          <w:iCs/>
          <w:szCs w:val="24"/>
        </w:rPr>
        <w:t>HESA</w:t>
      </w:r>
      <w:r w:rsidRPr="001B47EB">
        <w:rPr>
          <w:rFonts w:asciiTheme="minorHAnsi" w:hAnsiTheme="minorHAnsi" w:cstheme="minorHAnsi"/>
          <w:iCs/>
          <w:szCs w:val="24"/>
        </w:rPr>
        <w:t xml:space="preserve"> states that the Other Grant Guidelines may also specify a method by which the amount of grants under a program are to be determined. </w:t>
      </w:r>
    </w:p>
    <w:p w14:paraId="68FCA7CE" w14:textId="58D58619" w:rsidR="00273B56" w:rsidRDefault="00273B56" w:rsidP="006018C9">
      <w:pPr>
        <w:spacing w:before="120" w:after="120"/>
        <w:rPr>
          <w:rFonts w:asciiTheme="minorHAnsi" w:hAnsiTheme="minorHAnsi" w:cstheme="minorHAnsi"/>
          <w:iCs/>
          <w:szCs w:val="24"/>
        </w:rPr>
      </w:pPr>
      <w:r>
        <w:rPr>
          <w:rFonts w:asciiTheme="minorHAnsi" w:hAnsiTheme="minorHAnsi" w:cstheme="minorHAnsi"/>
          <w:iCs/>
          <w:szCs w:val="24"/>
        </w:rPr>
        <w:t>The</w:t>
      </w:r>
      <w:r w:rsidR="00645241">
        <w:rPr>
          <w:rFonts w:asciiTheme="minorHAnsi" w:hAnsiTheme="minorHAnsi" w:cstheme="minorHAnsi"/>
          <w:iCs/>
          <w:szCs w:val="24"/>
        </w:rPr>
        <w:t xml:space="preserve"> Other Grants</w:t>
      </w:r>
      <w:r>
        <w:rPr>
          <w:rFonts w:asciiTheme="minorHAnsi" w:hAnsiTheme="minorHAnsi" w:cstheme="minorHAnsi"/>
          <w:iCs/>
          <w:szCs w:val="24"/>
        </w:rPr>
        <w:t xml:space="preserve"> Guidelines specify matters for these purposes.</w:t>
      </w:r>
    </w:p>
    <w:p w14:paraId="2C3B34D8" w14:textId="380195A1" w:rsidR="00E229E3" w:rsidRDefault="00E229E3" w:rsidP="006018C9">
      <w:pPr>
        <w:spacing w:before="120" w:after="120"/>
        <w:rPr>
          <w:rFonts w:asciiTheme="minorHAnsi" w:hAnsiTheme="minorHAnsi" w:cstheme="minorHAnsi"/>
          <w:iCs/>
          <w:szCs w:val="24"/>
        </w:rPr>
      </w:pPr>
      <w:r>
        <w:rPr>
          <w:rFonts w:asciiTheme="minorHAnsi" w:hAnsiTheme="minorHAnsi" w:cstheme="minorHAnsi"/>
          <w:iCs/>
          <w:szCs w:val="24"/>
        </w:rPr>
        <w:t>The</w:t>
      </w:r>
      <w:r w:rsidR="00645241">
        <w:rPr>
          <w:rFonts w:asciiTheme="minorHAnsi" w:hAnsiTheme="minorHAnsi" w:cstheme="minorHAnsi"/>
          <w:iCs/>
          <w:szCs w:val="24"/>
        </w:rPr>
        <w:t xml:space="preserve"> Other Grants</w:t>
      </w:r>
      <w:r>
        <w:rPr>
          <w:rFonts w:asciiTheme="minorHAnsi" w:hAnsiTheme="minorHAnsi" w:cstheme="minorHAnsi"/>
          <w:iCs/>
          <w:szCs w:val="24"/>
        </w:rPr>
        <w:t xml:space="preserve"> Guidelines are largely a remake of </w:t>
      </w:r>
      <w:r w:rsidR="00A06685">
        <w:rPr>
          <w:rFonts w:asciiTheme="minorHAnsi" w:hAnsiTheme="minorHAnsi" w:cstheme="minorHAnsi"/>
          <w:iCs/>
          <w:szCs w:val="24"/>
        </w:rPr>
        <w:t xml:space="preserve">the </w:t>
      </w:r>
      <w:r w:rsidR="00A06685" w:rsidRPr="003012FC">
        <w:rPr>
          <w:rFonts w:asciiTheme="minorHAnsi" w:hAnsiTheme="minorHAnsi" w:cstheme="minorHAnsi"/>
          <w:i/>
          <w:szCs w:val="24"/>
        </w:rPr>
        <w:t>Other Grants Guidelines (Education) 2012</w:t>
      </w:r>
      <w:r w:rsidR="00A06685">
        <w:rPr>
          <w:rFonts w:asciiTheme="minorHAnsi" w:hAnsiTheme="minorHAnsi" w:cstheme="minorHAnsi"/>
          <w:i/>
          <w:szCs w:val="24"/>
        </w:rPr>
        <w:t xml:space="preserve"> </w:t>
      </w:r>
      <w:r w:rsidR="00A06685">
        <w:rPr>
          <w:rFonts w:asciiTheme="minorHAnsi" w:hAnsiTheme="minorHAnsi" w:cstheme="minorHAnsi"/>
          <w:iCs/>
          <w:szCs w:val="24"/>
        </w:rPr>
        <w:t>(‘the former Guidelines’)</w:t>
      </w:r>
      <w:r>
        <w:rPr>
          <w:rFonts w:asciiTheme="minorHAnsi" w:hAnsiTheme="minorHAnsi" w:cstheme="minorHAnsi"/>
          <w:iCs/>
          <w:szCs w:val="24"/>
        </w:rPr>
        <w:t>, which they repeal</w:t>
      </w:r>
      <w:r w:rsidR="006F498A">
        <w:rPr>
          <w:rFonts w:asciiTheme="minorHAnsi" w:hAnsiTheme="minorHAnsi" w:cstheme="minorHAnsi"/>
          <w:iCs/>
          <w:szCs w:val="24"/>
        </w:rPr>
        <w:t>.</w:t>
      </w:r>
      <w:r w:rsidR="007658A2">
        <w:rPr>
          <w:rFonts w:asciiTheme="minorHAnsi" w:hAnsiTheme="minorHAnsi" w:cstheme="minorHAnsi"/>
          <w:iCs/>
          <w:szCs w:val="24"/>
        </w:rPr>
        <w:t xml:space="preserve"> </w:t>
      </w:r>
      <w:r w:rsidR="003012FC">
        <w:rPr>
          <w:rFonts w:asciiTheme="minorHAnsi" w:hAnsiTheme="minorHAnsi" w:cstheme="minorHAnsi"/>
          <w:iCs/>
          <w:szCs w:val="24"/>
        </w:rPr>
        <w:t>The</w:t>
      </w:r>
      <w:r w:rsidR="004E1682">
        <w:rPr>
          <w:rFonts w:asciiTheme="minorHAnsi" w:hAnsiTheme="minorHAnsi" w:cstheme="minorHAnsi"/>
          <w:iCs/>
          <w:szCs w:val="24"/>
        </w:rPr>
        <w:t xml:space="preserve"> former Guidelines </w:t>
      </w:r>
      <w:r w:rsidR="007310DF">
        <w:rPr>
          <w:rFonts w:asciiTheme="minorHAnsi" w:hAnsiTheme="minorHAnsi" w:cstheme="minorHAnsi"/>
          <w:iCs/>
          <w:szCs w:val="24"/>
        </w:rPr>
        <w:t>will</w:t>
      </w:r>
      <w:r w:rsidR="004E1682">
        <w:rPr>
          <w:rFonts w:asciiTheme="minorHAnsi" w:hAnsiTheme="minorHAnsi" w:cstheme="minorHAnsi"/>
          <w:iCs/>
          <w:szCs w:val="24"/>
        </w:rPr>
        <w:t xml:space="preserve"> sunset on </w:t>
      </w:r>
      <w:r w:rsidR="00345FA2">
        <w:rPr>
          <w:rFonts w:asciiTheme="minorHAnsi" w:hAnsiTheme="minorHAnsi" w:cstheme="minorHAnsi"/>
          <w:iCs/>
          <w:szCs w:val="24"/>
        </w:rPr>
        <w:t>1 </w:t>
      </w:r>
      <w:r w:rsidR="004E1682">
        <w:rPr>
          <w:rFonts w:asciiTheme="minorHAnsi" w:hAnsiTheme="minorHAnsi" w:cstheme="minorHAnsi"/>
          <w:iCs/>
          <w:szCs w:val="24"/>
        </w:rPr>
        <w:t>April 2022 and the</w:t>
      </w:r>
      <w:r w:rsidR="00207BCF">
        <w:rPr>
          <w:rFonts w:asciiTheme="minorHAnsi" w:hAnsiTheme="minorHAnsi" w:cstheme="minorHAnsi"/>
          <w:iCs/>
          <w:szCs w:val="24"/>
        </w:rPr>
        <w:t xml:space="preserve"> Other Grants</w:t>
      </w:r>
      <w:r w:rsidR="004E1682">
        <w:rPr>
          <w:rFonts w:asciiTheme="minorHAnsi" w:hAnsiTheme="minorHAnsi" w:cstheme="minorHAnsi"/>
          <w:iCs/>
          <w:szCs w:val="24"/>
        </w:rPr>
        <w:t xml:space="preserve"> Guidelines are made to ensure that </w:t>
      </w:r>
      <w:r w:rsidR="00F227FE">
        <w:rPr>
          <w:rFonts w:asciiTheme="minorHAnsi" w:hAnsiTheme="minorHAnsi" w:cstheme="minorHAnsi"/>
          <w:iCs/>
          <w:szCs w:val="24"/>
        </w:rPr>
        <w:t>the grant programs</w:t>
      </w:r>
      <w:r w:rsidR="003012FC">
        <w:rPr>
          <w:rFonts w:asciiTheme="minorHAnsi" w:hAnsiTheme="minorHAnsi" w:cstheme="minorHAnsi"/>
          <w:iCs/>
          <w:szCs w:val="24"/>
        </w:rPr>
        <w:t xml:space="preserve"> </w:t>
      </w:r>
      <w:r w:rsidR="00F227FE">
        <w:rPr>
          <w:rFonts w:asciiTheme="minorHAnsi" w:hAnsiTheme="minorHAnsi" w:cstheme="minorHAnsi"/>
          <w:iCs/>
          <w:szCs w:val="24"/>
        </w:rPr>
        <w:t>that operate under Part 2-3 can continue in operation. The</w:t>
      </w:r>
      <w:r w:rsidR="00207BCF">
        <w:rPr>
          <w:rFonts w:asciiTheme="minorHAnsi" w:hAnsiTheme="minorHAnsi" w:cstheme="minorHAnsi"/>
          <w:iCs/>
          <w:szCs w:val="24"/>
        </w:rPr>
        <w:t xml:space="preserve"> Other Grants</w:t>
      </w:r>
      <w:r w:rsidR="00F227FE">
        <w:rPr>
          <w:rFonts w:asciiTheme="minorHAnsi" w:hAnsiTheme="minorHAnsi" w:cstheme="minorHAnsi"/>
          <w:iCs/>
          <w:szCs w:val="24"/>
        </w:rPr>
        <w:t xml:space="preserve"> Guidelines </w:t>
      </w:r>
      <w:r w:rsidR="00410977">
        <w:rPr>
          <w:rFonts w:asciiTheme="minorHAnsi" w:hAnsiTheme="minorHAnsi" w:cstheme="minorHAnsi"/>
          <w:iCs/>
          <w:szCs w:val="24"/>
        </w:rPr>
        <w:t>work in tandem with another set of Guidelines</w:t>
      </w:r>
      <w:r w:rsidR="007658A2">
        <w:rPr>
          <w:rFonts w:asciiTheme="minorHAnsi" w:hAnsiTheme="minorHAnsi" w:cstheme="minorHAnsi"/>
          <w:iCs/>
          <w:szCs w:val="24"/>
        </w:rPr>
        <w:t xml:space="preserve"> under Part 2-3</w:t>
      </w:r>
      <w:r w:rsidR="00410977">
        <w:rPr>
          <w:rFonts w:asciiTheme="minorHAnsi" w:hAnsiTheme="minorHAnsi" w:cstheme="minorHAnsi"/>
          <w:iCs/>
          <w:szCs w:val="24"/>
        </w:rPr>
        <w:t xml:space="preserve"> which relate specifically to research grants, the </w:t>
      </w:r>
      <w:r w:rsidR="00AF3507" w:rsidRPr="00AF3507">
        <w:rPr>
          <w:rFonts w:asciiTheme="minorHAnsi" w:hAnsiTheme="minorHAnsi" w:cstheme="minorHAnsi"/>
          <w:i/>
          <w:szCs w:val="24"/>
        </w:rPr>
        <w:t>Other Grants Guidelines (Research) 2017</w:t>
      </w:r>
      <w:r w:rsidR="00AF3507">
        <w:rPr>
          <w:rFonts w:asciiTheme="minorHAnsi" w:hAnsiTheme="minorHAnsi" w:cstheme="minorHAnsi"/>
          <w:iCs/>
          <w:szCs w:val="24"/>
        </w:rPr>
        <w:t>.</w:t>
      </w:r>
      <w:r>
        <w:rPr>
          <w:rFonts w:asciiTheme="minorHAnsi" w:hAnsiTheme="minorHAnsi" w:cstheme="minorHAnsi"/>
          <w:iCs/>
          <w:szCs w:val="24"/>
        </w:rPr>
        <w:t xml:space="preserve"> </w:t>
      </w:r>
    </w:p>
    <w:p w14:paraId="45A397DC" w14:textId="77777777" w:rsidR="00350779" w:rsidRPr="00350779" w:rsidRDefault="00144950" w:rsidP="006018C9">
      <w:pPr>
        <w:pStyle w:val="Heading2"/>
        <w:spacing w:before="120" w:after="120"/>
        <w:rPr>
          <w:rFonts w:asciiTheme="minorHAnsi" w:hAnsiTheme="minorHAnsi" w:cstheme="minorHAnsi"/>
          <w:color w:val="auto"/>
        </w:rPr>
      </w:pPr>
      <w:r>
        <w:rPr>
          <w:rFonts w:asciiTheme="minorHAnsi" w:hAnsiTheme="minorHAnsi" w:cstheme="minorHAnsi"/>
          <w:color w:val="auto"/>
        </w:rPr>
        <w:t>REGULATORY IMPACT</w:t>
      </w:r>
    </w:p>
    <w:p w14:paraId="63E17B71" w14:textId="683C84B8" w:rsidR="000D218A" w:rsidRDefault="000D218A" w:rsidP="000D218A">
      <w:pPr>
        <w:spacing w:before="120" w:after="120"/>
        <w:rPr>
          <w:rFonts w:asciiTheme="minorHAnsi" w:hAnsiTheme="minorHAnsi" w:cstheme="minorHAnsi"/>
          <w:szCs w:val="24"/>
        </w:rPr>
      </w:pPr>
      <w:bookmarkStart w:id="2" w:name="_Hlk96605320"/>
      <w:r w:rsidRPr="00812BF0">
        <w:rPr>
          <w:rFonts w:asciiTheme="minorHAnsi" w:hAnsiTheme="minorHAnsi" w:cstheme="minorHAnsi"/>
          <w:szCs w:val="24"/>
        </w:rPr>
        <w:t>The Office of Best Practice Regulation (OBPR) has been consulted and advised that</w:t>
      </w:r>
      <w:r w:rsidRPr="003C7E1D">
        <w:rPr>
          <w:rFonts w:asciiTheme="minorHAnsi" w:hAnsiTheme="minorHAnsi" w:cstheme="minorHAnsi"/>
          <w:szCs w:val="24"/>
        </w:rPr>
        <w:t xml:space="preserve"> the Guidelines are unlikely to have a more than minor regulatory impact</w:t>
      </w:r>
      <w:r>
        <w:rPr>
          <w:rFonts w:asciiTheme="minorHAnsi" w:hAnsiTheme="minorHAnsi" w:cstheme="minorHAnsi"/>
          <w:szCs w:val="24"/>
        </w:rPr>
        <w:t xml:space="preserve"> </w:t>
      </w:r>
      <w:r w:rsidRPr="00E406B4">
        <w:rPr>
          <w:rFonts w:asciiTheme="minorHAnsi" w:hAnsiTheme="minorHAnsi" w:cstheme="minorHAnsi"/>
          <w:szCs w:val="24"/>
        </w:rPr>
        <w:t>and therefore the preparation of a Regulation Impact Statement is not required</w:t>
      </w:r>
      <w:r>
        <w:rPr>
          <w:rFonts w:asciiTheme="minorHAnsi" w:hAnsiTheme="minorHAnsi" w:cstheme="minorHAnsi"/>
          <w:szCs w:val="24"/>
        </w:rPr>
        <w:t xml:space="preserve"> </w:t>
      </w:r>
      <w:r w:rsidRPr="00812BF0">
        <w:rPr>
          <w:rFonts w:asciiTheme="minorHAnsi" w:hAnsiTheme="minorHAnsi" w:cstheme="minorHAnsi"/>
          <w:szCs w:val="24"/>
        </w:rPr>
        <w:t xml:space="preserve">(OBPR ID: </w:t>
      </w:r>
      <w:r w:rsidRPr="000D218A">
        <w:rPr>
          <w:rFonts w:asciiTheme="minorHAnsi" w:hAnsiTheme="minorHAnsi" w:cstheme="minorHAnsi"/>
          <w:szCs w:val="24"/>
        </w:rPr>
        <w:t>22-01786</w:t>
      </w:r>
      <w:r>
        <w:rPr>
          <w:rFonts w:asciiTheme="minorHAnsi" w:hAnsiTheme="minorHAnsi" w:cstheme="minorHAnsi"/>
          <w:szCs w:val="24"/>
        </w:rPr>
        <w:t>)</w:t>
      </w:r>
      <w:r w:rsidRPr="00812BF0">
        <w:rPr>
          <w:rFonts w:asciiTheme="minorHAnsi" w:hAnsiTheme="minorHAnsi" w:cstheme="minorHAnsi"/>
          <w:szCs w:val="24"/>
        </w:rPr>
        <w:t>.</w:t>
      </w:r>
    </w:p>
    <w:bookmarkEnd w:id="2"/>
    <w:p w14:paraId="41A1D9CD" w14:textId="77777777" w:rsidR="00696CF0" w:rsidRPr="0088497A" w:rsidRDefault="00144950" w:rsidP="006018C9">
      <w:pPr>
        <w:pStyle w:val="Heading2"/>
        <w:spacing w:before="120" w:after="120"/>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92D5E64" w14:textId="0F024AE8" w:rsidR="002D7A08" w:rsidRPr="00FC4B4B" w:rsidRDefault="002D7A08" w:rsidP="006018C9">
      <w:pPr>
        <w:spacing w:before="120" w:after="120"/>
        <w:rPr>
          <w:rFonts w:asciiTheme="minorHAnsi" w:hAnsiTheme="minorHAnsi" w:cstheme="minorHAnsi"/>
          <w:iCs/>
          <w:szCs w:val="24"/>
        </w:rPr>
      </w:pPr>
      <w:bookmarkStart w:id="3" w:name="_Toc34293360"/>
      <w:r w:rsidRPr="00442657">
        <w:rPr>
          <w:rFonts w:asciiTheme="minorHAnsi" w:hAnsiTheme="minorHAnsi" w:cstheme="minorHAnsi"/>
          <w:iCs/>
          <w:szCs w:val="24"/>
        </w:rPr>
        <w:t xml:space="preserve">The Instrument commences on </w:t>
      </w:r>
      <w:r w:rsidR="000E4FB4">
        <w:rPr>
          <w:rFonts w:asciiTheme="minorHAnsi" w:hAnsiTheme="minorHAnsi" w:cstheme="minorHAnsi"/>
          <w:iCs/>
          <w:szCs w:val="24"/>
        </w:rPr>
        <w:t>the day after it is registered on the Federal Register of Legislation.</w:t>
      </w:r>
      <w:r>
        <w:rPr>
          <w:rFonts w:asciiTheme="minorHAnsi" w:hAnsiTheme="minorHAnsi" w:cstheme="minorHAnsi"/>
          <w:iCs/>
          <w:szCs w:val="24"/>
        </w:rPr>
        <w:t xml:space="preserve"> </w:t>
      </w:r>
    </w:p>
    <w:p w14:paraId="5C8B291F" w14:textId="77777777" w:rsidR="00696CF0" w:rsidRPr="008134D5" w:rsidRDefault="00144950" w:rsidP="006018C9">
      <w:pPr>
        <w:pStyle w:val="Heading2"/>
        <w:spacing w:before="120" w:after="120"/>
        <w:rPr>
          <w:rFonts w:asciiTheme="minorHAnsi" w:hAnsiTheme="minorHAnsi" w:cstheme="minorHAnsi"/>
          <w:color w:val="auto"/>
        </w:rPr>
      </w:pPr>
      <w:r w:rsidRPr="008134D5">
        <w:rPr>
          <w:rFonts w:asciiTheme="minorHAnsi" w:hAnsiTheme="minorHAnsi" w:cstheme="minorHAnsi"/>
          <w:color w:val="auto"/>
        </w:rPr>
        <w:t>CONSULTATION</w:t>
      </w:r>
      <w:bookmarkEnd w:id="3"/>
    </w:p>
    <w:p w14:paraId="5FB39CBE" w14:textId="0DB05237" w:rsidR="00A172A4" w:rsidRPr="00A172A4" w:rsidRDefault="00A172A4" w:rsidP="00A172A4">
      <w:pPr>
        <w:spacing w:before="120" w:after="120"/>
        <w:rPr>
          <w:rFonts w:asciiTheme="minorHAnsi" w:hAnsiTheme="minorHAnsi" w:cstheme="minorHAnsi"/>
          <w:iCs/>
          <w:szCs w:val="24"/>
        </w:rPr>
      </w:pPr>
      <w:r w:rsidRPr="00A172A4">
        <w:rPr>
          <w:rFonts w:asciiTheme="minorHAnsi" w:hAnsiTheme="minorHAnsi" w:cstheme="minorHAnsi"/>
          <w:iCs/>
          <w:szCs w:val="24"/>
        </w:rPr>
        <w:t xml:space="preserve">In February 2022, the Department of Education, Skills and Employment (the Department) engaged in consultation through seeking </w:t>
      </w:r>
      <w:r w:rsidR="006F45A7">
        <w:rPr>
          <w:rFonts w:asciiTheme="minorHAnsi" w:hAnsiTheme="minorHAnsi" w:cstheme="minorHAnsi"/>
          <w:iCs/>
          <w:szCs w:val="24"/>
        </w:rPr>
        <w:t>feedback</w:t>
      </w:r>
      <w:r w:rsidRPr="00A172A4">
        <w:rPr>
          <w:rFonts w:asciiTheme="minorHAnsi" w:hAnsiTheme="minorHAnsi" w:cstheme="minorHAnsi"/>
          <w:iCs/>
          <w:szCs w:val="24"/>
        </w:rPr>
        <w:t xml:space="preserve"> on </w:t>
      </w:r>
      <w:r>
        <w:rPr>
          <w:rFonts w:asciiTheme="minorHAnsi" w:hAnsiTheme="minorHAnsi" w:cstheme="minorHAnsi"/>
          <w:iCs/>
          <w:szCs w:val="24"/>
        </w:rPr>
        <w:t>an Exposure Draft</w:t>
      </w:r>
      <w:r w:rsidRPr="00A172A4">
        <w:rPr>
          <w:rFonts w:asciiTheme="minorHAnsi" w:hAnsiTheme="minorHAnsi" w:cstheme="minorHAnsi"/>
          <w:iCs/>
          <w:szCs w:val="24"/>
        </w:rPr>
        <w:t xml:space="preserve"> of the</w:t>
      </w:r>
      <w:r>
        <w:rPr>
          <w:rFonts w:asciiTheme="minorHAnsi" w:hAnsiTheme="minorHAnsi" w:cstheme="minorHAnsi"/>
          <w:iCs/>
          <w:szCs w:val="24"/>
        </w:rPr>
        <w:t xml:space="preserve"> Other Grant</w:t>
      </w:r>
      <w:r w:rsidRPr="00A172A4">
        <w:rPr>
          <w:rFonts w:asciiTheme="minorHAnsi" w:hAnsiTheme="minorHAnsi" w:cstheme="minorHAnsi"/>
          <w:iCs/>
          <w:szCs w:val="24"/>
        </w:rPr>
        <w:t xml:space="preserve"> Guidelines from a combined group of twenty-six relevant experts, stakeholder representatives, peak body representatives, and university administrators with experience administering programs under the Guidelines. </w:t>
      </w:r>
      <w:r w:rsidR="006F45A7">
        <w:rPr>
          <w:rFonts w:asciiTheme="minorHAnsi" w:hAnsiTheme="minorHAnsi" w:cstheme="minorHAnsi"/>
          <w:iCs/>
          <w:szCs w:val="24"/>
        </w:rPr>
        <w:t xml:space="preserve">Minor clarifications </w:t>
      </w:r>
      <w:r w:rsidRPr="00A172A4">
        <w:rPr>
          <w:rFonts w:asciiTheme="minorHAnsi" w:hAnsiTheme="minorHAnsi" w:cstheme="minorHAnsi"/>
          <w:iCs/>
          <w:szCs w:val="24"/>
        </w:rPr>
        <w:t>were made to the</w:t>
      </w:r>
      <w:r w:rsidR="006F45A7">
        <w:rPr>
          <w:rFonts w:asciiTheme="minorHAnsi" w:hAnsiTheme="minorHAnsi" w:cstheme="minorHAnsi"/>
          <w:iCs/>
          <w:szCs w:val="24"/>
        </w:rPr>
        <w:t xml:space="preserve"> Other Grant Guidelines as a result of feedback received</w:t>
      </w:r>
      <w:r w:rsidRPr="00A172A4">
        <w:rPr>
          <w:rFonts w:asciiTheme="minorHAnsi" w:hAnsiTheme="minorHAnsi" w:cstheme="minorHAnsi"/>
          <w:iCs/>
          <w:szCs w:val="24"/>
        </w:rPr>
        <w:t>.</w:t>
      </w:r>
    </w:p>
    <w:p w14:paraId="52422EA2" w14:textId="4B156F30" w:rsidR="006D14BA" w:rsidRPr="006825F9" w:rsidRDefault="006D14BA" w:rsidP="006018C9">
      <w:pPr>
        <w:spacing w:before="120" w:after="120"/>
        <w:rPr>
          <w:rFonts w:asciiTheme="minorHAnsi" w:hAnsiTheme="minorHAnsi" w:cstheme="minorHAnsi"/>
          <w:iCs/>
        </w:rPr>
      </w:pPr>
    </w:p>
    <w:p w14:paraId="357A2BF3" w14:textId="06922917" w:rsidR="00DA552F" w:rsidRPr="00A72AD9" w:rsidRDefault="00A72AD9" w:rsidP="006018C9">
      <w:pPr>
        <w:spacing w:before="120" w:after="120"/>
        <w:jc w:val="center"/>
        <w:rPr>
          <w:rFonts w:asciiTheme="minorHAnsi" w:hAnsiTheme="minorHAnsi" w:cstheme="minorHAnsi"/>
          <w:b/>
          <w:szCs w:val="24"/>
        </w:rPr>
      </w:pPr>
      <w:bookmarkStart w:id="4" w:name="_Toc23942241"/>
      <w:bookmarkStart w:id="5" w:name="_Toc34293362"/>
      <w:r>
        <w:rPr>
          <w:rFonts w:asciiTheme="minorHAnsi" w:hAnsiTheme="minorHAnsi" w:cstheme="minorHAnsi"/>
        </w:rPr>
        <w:br w:type="page"/>
      </w:r>
      <w:r w:rsidR="00DA552F" w:rsidRPr="00A72AD9">
        <w:rPr>
          <w:rFonts w:asciiTheme="minorHAnsi" w:hAnsiTheme="minorHAnsi" w:cstheme="minorHAnsi"/>
          <w:b/>
          <w:szCs w:val="24"/>
        </w:rPr>
        <w:lastRenderedPageBreak/>
        <w:t>STATEMENT OF COMPATIBILITY WITH HUMAN RIGHTS</w:t>
      </w:r>
      <w:bookmarkEnd w:id="4"/>
      <w:bookmarkEnd w:id="5"/>
    </w:p>
    <w:p w14:paraId="2AF4E717" w14:textId="77777777" w:rsidR="00DA552F" w:rsidRPr="008134D5" w:rsidRDefault="00DA552F" w:rsidP="006018C9">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105220B8" w14:textId="1EB3B1C5" w:rsidR="00DA552F" w:rsidRPr="002D7A08" w:rsidRDefault="00AF3507" w:rsidP="006018C9">
      <w:pPr>
        <w:spacing w:before="120" w:after="120"/>
        <w:jc w:val="center"/>
        <w:rPr>
          <w:rFonts w:asciiTheme="minorHAnsi" w:hAnsiTheme="minorHAnsi" w:cstheme="minorHAnsi"/>
          <w:iCs/>
          <w:szCs w:val="24"/>
          <w:u w:val="single"/>
        </w:rPr>
      </w:pPr>
      <w:r w:rsidRPr="00AF3507">
        <w:rPr>
          <w:rFonts w:asciiTheme="minorHAnsi" w:hAnsiTheme="minorHAnsi" w:cstheme="minorHAnsi"/>
          <w:iCs/>
          <w:u w:val="single"/>
        </w:rPr>
        <w:t>Higher Education Support (Other Grants) Guidelines 2022</w:t>
      </w:r>
    </w:p>
    <w:p w14:paraId="39BDF1A2" w14:textId="2029C36B" w:rsidR="00DA552F" w:rsidRPr="008134D5" w:rsidRDefault="00F9205E" w:rsidP="006018C9">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AF3507" w:rsidRPr="00AF3507">
        <w:rPr>
          <w:rFonts w:asciiTheme="minorHAnsi" w:hAnsiTheme="minorHAnsi" w:cstheme="minorHAnsi"/>
          <w:i/>
        </w:rPr>
        <w:t xml:space="preserve">Higher Education Support (Other Grants) Guidelines 2022 </w:t>
      </w:r>
      <w:r w:rsidR="00B43054">
        <w:rPr>
          <w:rFonts w:asciiTheme="minorHAnsi" w:hAnsiTheme="minorHAnsi" w:cstheme="minorHAnsi"/>
          <w:iCs/>
        </w:rPr>
        <w:t xml:space="preserve">(‘Other Grants Guidelines’) </w:t>
      </w:r>
      <w:r w:rsidR="00AF3507">
        <w:rPr>
          <w:rFonts w:asciiTheme="minorHAnsi" w:hAnsiTheme="minorHAnsi" w:cstheme="minorHAnsi"/>
          <w:szCs w:val="24"/>
        </w:rPr>
        <w:t>are</w:t>
      </w:r>
      <w:r w:rsidR="002B5C28">
        <w:rPr>
          <w:rFonts w:asciiTheme="minorHAnsi" w:hAnsiTheme="minorHAnsi" w:cstheme="minorHAnsi"/>
          <w:szCs w:val="24"/>
        </w:rPr>
        <w:t xml:space="preserve">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6EBB5EF" w14:textId="77777777" w:rsidR="00F9205E" w:rsidRPr="008134D5" w:rsidRDefault="00F9205E" w:rsidP="006018C9">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6F239D68" w14:textId="02C08C18" w:rsidR="00AF3507" w:rsidRDefault="00AF3507" w:rsidP="006018C9">
      <w:pPr>
        <w:spacing w:before="120" w:after="120"/>
        <w:rPr>
          <w:rFonts w:asciiTheme="minorHAnsi" w:hAnsiTheme="minorHAnsi" w:cstheme="minorHAnsi"/>
          <w:iCs/>
          <w:szCs w:val="24"/>
        </w:rPr>
      </w:pPr>
      <w:r w:rsidRPr="008070EB">
        <w:rPr>
          <w:rFonts w:asciiTheme="minorHAnsi" w:hAnsiTheme="minorHAnsi" w:cstheme="minorHAnsi"/>
          <w:iCs/>
          <w:szCs w:val="24"/>
        </w:rPr>
        <w:t xml:space="preserve">The </w:t>
      </w:r>
      <w:r>
        <w:rPr>
          <w:rFonts w:asciiTheme="minorHAnsi" w:hAnsiTheme="minorHAnsi" w:cstheme="minorHAnsi"/>
          <w:iCs/>
          <w:szCs w:val="24"/>
        </w:rPr>
        <w:t>Other Grants Guidelines are made for the purposes of the “other grants” that are payable to certain higher education providers and bodies corporate under Part 2-3 of</w:t>
      </w:r>
      <w:r w:rsidR="00103D47">
        <w:rPr>
          <w:rFonts w:asciiTheme="minorHAnsi" w:hAnsiTheme="minorHAnsi" w:cstheme="minorHAnsi"/>
          <w:iCs/>
          <w:szCs w:val="24"/>
        </w:rPr>
        <w:t xml:space="preserve"> the </w:t>
      </w:r>
      <w:r w:rsidR="00103D47" w:rsidRPr="00207BCF">
        <w:rPr>
          <w:rFonts w:asciiTheme="minorHAnsi" w:hAnsiTheme="minorHAnsi" w:cstheme="minorHAnsi"/>
          <w:i/>
          <w:szCs w:val="24"/>
        </w:rPr>
        <w:t>Higher Education Support Act 2003</w:t>
      </w:r>
      <w:r w:rsidR="00103D47">
        <w:rPr>
          <w:rFonts w:asciiTheme="minorHAnsi" w:hAnsiTheme="minorHAnsi" w:cstheme="minorHAnsi"/>
          <w:iCs/>
          <w:szCs w:val="24"/>
        </w:rPr>
        <w:t xml:space="preserve"> (HESA)</w:t>
      </w:r>
      <w:r>
        <w:rPr>
          <w:rFonts w:asciiTheme="minorHAnsi" w:hAnsiTheme="minorHAnsi" w:cstheme="minorHAnsi"/>
          <w:iCs/>
          <w:szCs w:val="24"/>
        </w:rPr>
        <w:t xml:space="preserve">. The primary purpose of the </w:t>
      </w:r>
      <w:r w:rsidR="00ED7DD8">
        <w:rPr>
          <w:rFonts w:asciiTheme="minorHAnsi" w:hAnsiTheme="minorHAnsi" w:cstheme="minorHAnsi"/>
          <w:iCs/>
          <w:szCs w:val="24"/>
        </w:rPr>
        <w:t xml:space="preserve">Other Grants </w:t>
      </w:r>
      <w:r>
        <w:rPr>
          <w:rFonts w:asciiTheme="minorHAnsi" w:hAnsiTheme="minorHAnsi" w:cstheme="minorHAnsi"/>
          <w:iCs/>
          <w:szCs w:val="24"/>
        </w:rPr>
        <w:t>Guidelines is to set out the eligibility criteria, amounts and conditions that apply to grants payable in respect of grant programs that operate under Part</w:t>
      </w:r>
      <w:r w:rsidR="003C69D9">
        <w:rPr>
          <w:rFonts w:asciiTheme="minorHAnsi" w:hAnsiTheme="minorHAnsi" w:cstheme="minorHAnsi"/>
          <w:iCs/>
          <w:szCs w:val="24"/>
        </w:rPr>
        <w:t> </w:t>
      </w:r>
      <w:r>
        <w:rPr>
          <w:rFonts w:asciiTheme="minorHAnsi" w:hAnsiTheme="minorHAnsi" w:cstheme="minorHAnsi"/>
          <w:iCs/>
          <w:szCs w:val="24"/>
        </w:rPr>
        <w:t>2-3.</w:t>
      </w:r>
    </w:p>
    <w:p w14:paraId="38275E5D" w14:textId="77777777" w:rsidR="00F9205E" w:rsidRPr="008134D5" w:rsidRDefault="00F9205E" w:rsidP="006018C9">
      <w:pPr>
        <w:keepNext/>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595BDDF1" w14:textId="77777777" w:rsidR="00E8671C" w:rsidRPr="006E5E0B" w:rsidRDefault="00F9205E" w:rsidP="006018C9">
      <w:pPr>
        <w:keepNext/>
        <w:spacing w:before="120" w:after="120"/>
        <w:rPr>
          <w:rFonts w:asciiTheme="minorHAnsi" w:hAnsiTheme="minorHAnsi" w:cstheme="minorHAnsi"/>
          <w:szCs w:val="24"/>
        </w:rPr>
      </w:pPr>
      <w:r w:rsidRPr="006E5E0B">
        <w:rPr>
          <w:rFonts w:asciiTheme="minorHAnsi" w:hAnsiTheme="minorHAnsi" w:cstheme="minorHAnsi"/>
          <w:szCs w:val="24"/>
        </w:rPr>
        <w:t xml:space="preserve">The </w:t>
      </w:r>
      <w:r w:rsidR="00FF6E25" w:rsidRPr="006E5E0B">
        <w:rPr>
          <w:rFonts w:asciiTheme="minorHAnsi" w:hAnsiTheme="minorHAnsi" w:cstheme="minorHAnsi"/>
          <w:szCs w:val="24"/>
        </w:rPr>
        <w:t>Instrument</w:t>
      </w:r>
      <w:r w:rsidRPr="006E5E0B">
        <w:rPr>
          <w:rFonts w:asciiTheme="minorHAnsi" w:hAnsiTheme="minorHAnsi" w:cstheme="minorHAnsi"/>
          <w:szCs w:val="24"/>
        </w:rPr>
        <w:t xml:space="preserve"> engages the following rights:</w:t>
      </w:r>
    </w:p>
    <w:p w14:paraId="345E3D52" w14:textId="46EACD7C" w:rsidR="006E5E0B" w:rsidRPr="00B3381B" w:rsidRDefault="006E5E0B" w:rsidP="006018C9">
      <w:pPr>
        <w:pStyle w:val="ListParagraph"/>
        <w:numPr>
          <w:ilvl w:val="0"/>
          <w:numId w:val="2"/>
        </w:numPr>
        <w:shd w:val="clear" w:color="auto" w:fill="FFFFFF"/>
        <w:spacing w:before="120" w:after="120"/>
        <w:rPr>
          <w:rFonts w:eastAsia="Times New Roman" w:cs="Times New Roman"/>
          <w:color w:val="000000"/>
          <w:szCs w:val="24"/>
          <w:lang w:eastAsia="en-AU"/>
        </w:rPr>
      </w:pPr>
      <w:r w:rsidRPr="006E5E0B">
        <w:rPr>
          <w:rFonts w:ascii="Calibri" w:eastAsia="Times New Roman" w:hAnsi="Calibri" w:cs="Calibri"/>
          <w:color w:val="000000"/>
          <w:szCs w:val="24"/>
          <w:lang w:eastAsia="en-AU"/>
        </w:rPr>
        <w:t>the right to education – Article 13 of the </w:t>
      </w:r>
      <w:r w:rsidRPr="006E5E0B">
        <w:rPr>
          <w:rFonts w:ascii="Calibri" w:eastAsia="Times New Roman" w:hAnsi="Calibri" w:cs="Calibri"/>
          <w:i/>
          <w:iCs/>
          <w:color w:val="000000"/>
          <w:szCs w:val="24"/>
          <w:lang w:eastAsia="en-AU"/>
        </w:rPr>
        <w:t>International Covenant on Economic, Social and Cultural Rights </w:t>
      </w:r>
      <w:r w:rsidRPr="006E5E0B">
        <w:rPr>
          <w:rFonts w:ascii="Calibri" w:eastAsia="Times New Roman" w:hAnsi="Calibri" w:cs="Calibri"/>
          <w:color w:val="000000"/>
          <w:szCs w:val="24"/>
          <w:lang w:eastAsia="en-AU"/>
        </w:rPr>
        <w:t>(ICESCR), and Article 28 of the </w:t>
      </w:r>
      <w:r w:rsidRPr="006E5E0B">
        <w:rPr>
          <w:rFonts w:ascii="Calibri" w:eastAsia="Times New Roman" w:hAnsi="Calibri" w:cs="Calibri"/>
          <w:i/>
          <w:iCs/>
          <w:color w:val="000000"/>
          <w:szCs w:val="24"/>
          <w:lang w:eastAsia="en-AU"/>
        </w:rPr>
        <w:t>Convention on the Rights of the Child </w:t>
      </w:r>
      <w:r w:rsidRPr="006E5E0B">
        <w:rPr>
          <w:rFonts w:ascii="Calibri" w:eastAsia="Times New Roman" w:hAnsi="Calibri" w:cs="Calibri"/>
          <w:color w:val="000000"/>
          <w:szCs w:val="24"/>
          <w:lang w:eastAsia="en-AU"/>
        </w:rPr>
        <w:t>(UNCRC)</w:t>
      </w:r>
      <w:r w:rsidR="00B3381B">
        <w:rPr>
          <w:rFonts w:ascii="Calibri" w:eastAsia="Times New Roman" w:hAnsi="Calibri" w:cs="Calibri"/>
          <w:color w:val="000000"/>
          <w:szCs w:val="24"/>
          <w:lang w:eastAsia="en-AU"/>
        </w:rPr>
        <w:t xml:space="preserve">; </w:t>
      </w:r>
    </w:p>
    <w:p w14:paraId="5EB3F9DF" w14:textId="6CBDC9E3" w:rsidR="00171F2F" w:rsidRPr="00805863" w:rsidRDefault="00B3381B" w:rsidP="006018C9">
      <w:pPr>
        <w:pStyle w:val="ListParagraph"/>
        <w:numPr>
          <w:ilvl w:val="0"/>
          <w:numId w:val="2"/>
        </w:numPr>
        <w:shd w:val="clear" w:color="auto" w:fill="FFFFFF"/>
        <w:spacing w:before="120" w:after="120"/>
        <w:rPr>
          <w:rFonts w:eastAsia="Times New Roman" w:cs="Times New Roman"/>
          <w:color w:val="000000"/>
          <w:szCs w:val="24"/>
          <w:lang w:eastAsia="en-AU"/>
        </w:rPr>
      </w:pPr>
      <w:r>
        <w:rPr>
          <w:rFonts w:ascii="Calibri" w:eastAsia="Times New Roman" w:hAnsi="Calibri" w:cs="Calibri"/>
          <w:color w:val="000000"/>
          <w:szCs w:val="24"/>
          <w:lang w:eastAsia="en-AU"/>
        </w:rPr>
        <w:t>the right to work and right to just and favourable condition of work – Articles 6(1) and 7 of the ICESC</w:t>
      </w:r>
      <w:r w:rsidR="00DB4875">
        <w:rPr>
          <w:rFonts w:ascii="Calibri" w:eastAsia="Times New Roman" w:hAnsi="Calibri" w:cs="Calibri"/>
          <w:color w:val="000000"/>
          <w:szCs w:val="24"/>
          <w:lang w:eastAsia="en-AU"/>
        </w:rPr>
        <w:t>R</w:t>
      </w:r>
      <w:r w:rsidR="00C74B8D">
        <w:rPr>
          <w:rFonts w:ascii="Calibri" w:eastAsia="Times New Roman" w:hAnsi="Calibri" w:cs="Calibri"/>
          <w:color w:val="000000"/>
          <w:szCs w:val="24"/>
          <w:lang w:eastAsia="en-AU"/>
        </w:rPr>
        <w:t>.</w:t>
      </w:r>
    </w:p>
    <w:p w14:paraId="3985C53E" w14:textId="77777777" w:rsidR="00E8671C" w:rsidRPr="006E5E0B" w:rsidRDefault="006E5E0B" w:rsidP="006018C9">
      <w:pPr>
        <w:shd w:val="clear" w:color="auto" w:fill="FFFFFF"/>
        <w:spacing w:before="120" w:after="120" w:line="276" w:lineRule="atLeast"/>
        <w:rPr>
          <w:rFonts w:eastAsia="Times New Roman" w:cs="Times New Roman"/>
          <w:color w:val="000000"/>
          <w:szCs w:val="24"/>
          <w:u w:val="single"/>
          <w:lang w:eastAsia="en-AU"/>
        </w:rPr>
      </w:pPr>
      <w:r w:rsidRPr="006E5E0B">
        <w:rPr>
          <w:rFonts w:ascii="Calibri" w:eastAsia="Times New Roman" w:hAnsi="Calibri" w:cs="Calibri"/>
          <w:color w:val="000000"/>
          <w:szCs w:val="24"/>
          <w:u w:val="single"/>
          <w:lang w:eastAsia="en-AU"/>
        </w:rPr>
        <w:t>Right to education</w:t>
      </w:r>
    </w:p>
    <w:p w14:paraId="5BEC9E35" w14:textId="77777777" w:rsidR="006E5E0B" w:rsidRPr="006E5E0B" w:rsidRDefault="006E5E0B" w:rsidP="006018C9">
      <w:pPr>
        <w:shd w:val="clear" w:color="auto" w:fill="FFFFFF"/>
        <w:spacing w:before="120" w:after="120"/>
        <w:rPr>
          <w:rFonts w:ascii="Calibri" w:eastAsia="Times New Roman" w:hAnsi="Calibri" w:cs="Calibri"/>
          <w:color w:val="000000"/>
          <w:szCs w:val="24"/>
          <w:lang w:eastAsia="en-AU"/>
        </w:rPr>
      </w:pPr>
      <w:r w:rsidRPr="006E5E0B">
        <w:rPr>
          <w:rFonts w:ascii="Calibri" w:eastAsia="Times New Roman" w:hAnsi="Calibri" w:cs="Calibri"/>
          <w:color w:val="000000"/>
          <w:szCs w:val="24"/>
          <w:lang w:eastAsia="en-AU"/>
        </w:rPr>
        <w:t>Article 13(1) of the ICESCR recognises each person’s right to education, and that education is important to </w:t>
      </w:r>
      <w:r w:rsidRPr="006E5E0B">
        <w:rPr>
          <w:rFonts w:ascii="Calibri" w:eastAsia="Times New Roman" w:hAnsi="Calibri" w:cs="Calibri"/>
          <w:i/>
          <w:iCs/>
          <w:color w:val="000000"/>
          <w:szCs w:val="24"/>
          <w:lang w:eastAsia="en-AU"/>
        </w:rPr>
        <w:t>“the full development of the human personality”</w:t>
      </w:r>
      <w:r w:rsidRPr="006E5E0B">
        <w:rPr>
          <w:rFonts w:ascii="Calibri" w:eastAsia="Times New Roman" w:hAnsi="Calibri" w:cs="Calibri"/>
          <w:color w:val="000000"/>
          <w:szCs w:val="24"/>
          <w:lang w:eastAsia="en-AU"/>
        </w:rPr>
        <w:t>, and enables </w:t>
      </w:r>
      <w:r w:rsidRPr="006E5E0B">
        <w:rPr>
          <w:rFonts w:ascii="Calibri" w:eastAsia="Times New Roman" w:hAnsi="Calibri" w:cs="Calibri"/>
          <w:i/>
          <w:iCs/>
          <w:color w:val="000000"/>
          <w:szCs w:val="24"/>
          <w:lang w:eastAsia="en-AU"/>
        </w:rPr>
        <w:t>“all persons to participate effectively in a free society, promote understanding, tolerance and friendship among all nations and all racial, ethnic or religious groups”</w:t>
      </w:r>
      <w:r w:rsidRPr="006E5E0B">
        <w:rPr>
          <w:rFonts w:ascii="Calibri" w:eastAsia="Times New Roman" w:hAnsi="Calibri" w:cs="Calibri"/>
          <w:color w:val="000000"/>
          <w:szCs w:val="24"/>
          <w:lang w:eastAsia="en-AU"/>
        </w:rPr>
        <w:t>.</w:t>
      </w:r>
    </w:p>
    <w:p w14:paraId="1F7E4A6C" w14:textId="77777777" w:rsidR="006E5E0B" w:rsidRPr="006E5E0B" w:rsidRDefault="006E5E0B" w:rsidP="006018C9">
      <w:pPr>
        <w:shd w:val="clear" w:color="auto" w:fill="FFFFFF"/>
        <w:spacing w:before="120" w:after="120"/>
        <w:rPr>
          <w:rFonts w:ascii="Calibri" w:eastAsia="Times New Roman" w:hAnsi="Calibri" w:cs="Calibri"/>
          <w:color w:val="000000"/>
          <w:szCs w:val="24"/>
          <w:lang w:eastAsia="en-AU"/>
        </w:rPr>
      </w:pPr>
      <w:r w:rsidRPr="006E5E0B">
        <w:rPr>
          <w:rFonts w:ascii="Calibri" w:eastAsia="Times New Roman" w:hAnsi="Calibri" w:cs="Calibri"/>
          <w:color w:val="000000"/>
          <w:szCs w:val="24"/>
          <w:lang w:eastAsia="en-AU"/>
        </w:rPr>
        <w:t>Similarly, Article 28(1) of the UNCRC recognises the </w:t>
      </w:r>
      <w:r w:rsidRPr="006E5E0B">
        <w:rPr>
          <w:rFonts w:ascii="Calibri" w:eastAsia="Times New Roman" w:hAnsi="Calibri" w:cs="Calibri"/>
          <w:i/>
          <w:iCs/>
          <w:color w:val="000000"/>
          <w:szCs w:val="24"/>
          <w:lang w:eastAsia="en-AU"/>
        </w:rPr>
        <w:t>“right of the child to education, and with a view to achieving this right progressively and on the basis of equal opportunity”</w:t>
      </w:r>
      <w:r w:rsidRPr="006E5E0B">
        <w:rPr>
          <w:rFonts w:ascii="Calibri" w:eastAsia="Times New Roman" w:hAnsi="Calibri" w:cs="Calibri"/>
          <w:color w:val="000000"/>
          <w:szCs w:val="24"/>
          <w:lang w:eastAsia="en-AU"/>
        </w:rPr>
        <w:t>.</w:t>
      </w:r>
    </w:p>
    <w:p w14:paraId="22CE391A" w14:textId="06A07953" w:rsidR="008A325B" w:rsidRPr="008A325B" w:rsidRDefault="00C74B8D" w:rsidP="00103D47">
      <w:pPr>
        <w:pStyle w:val="tabletext"/>
        <w:spacing w:before="60" w:beforeAutospacing="0" w:after="120" w:afterAutospacing="0" w:line="276" w:lineRule="auto"/>
        <w:rPr>
          <w:rFonts w:ascii="Calibri" w:hAnsi="Calibri" w:cs="Calibri"/>
          <w:color w:val="000000"/>
        </w:rPr>
      </w:pPr>
      <w:r>
        <w:rPr>
          <w:rFonts w:ascii="Calibri" w:hAnsi="Calibri" w:cs="Calibri"/>
          <w:color w:val="000000"/>
        </w:rPr>
        <w:t xml:space="preserve">The Other Grants Guidelines ensure </w:t>
      </w:r>
      <w:r w:rsidR="007C41A3">
        <w:rPr>
          <w:rFonts w:ascii="Calibri" w:hAnsi="Calibri" w:cs="Calibri"/>
          <w:color w:val="000000"/>
        </w:rPr>
        <w:t xml:space="preserve">grants can be made for an array of purposes to support higher education and higher education providers and enhance the right </w:t>
      </w:r>
      <w:r w:rsidR="007420E9">
        <w:rPr>
          <w:rFonts w:ascii="Calibri" w:hAnsi="Calibri" w:cs="Calibri"/>
          <w:color w:val="000000"/>
        </w:rPr>
        <w:t>to education</w:t>
      </w:r>
      <w:r w:rsidR="0027038E">
        <w:rPr>
          <w:rFonts w:ascii="Calibri" w:hAnsi="Calibri" w:cs="Calibri"/>
          <w:color w:val="000000"/>
        </w:rPr>
        <w:t>, improving access and opportunity.</w:t>
      </w:r>
      <w:r w:rsidR="006B45D7">
        <w:rPr>
          <w:rFonts w:ascii="Calibri" w:hAnsi="Calibri" w:cs="Calibri"/>
          <w:color w:val="000000"/>
        </w:rPr>
        <w:t xml:space="preserve"> </w:t>
      </w:r>
      <w:r w:rsidR="006F02D0">
        <w:rPr>
          <w:rFonts w:ascii="Calibri" w:hAnsi="Calibri" w:cs="Calibri"/>
          <w:color w:val="000000"/>
        </w:rPr>
        <w:t>Several of the grant programs specified in the</w:t>
      </w:r>
      <w:r w:rsidR="00645241">
        <w:rPr>
          <w:rFonts w:ascii="Calibri" w:hAnsi="Calibri" w:cs="Calibri"/>
          <w:color w:val="000000"/>
        </w:rPr>
        <w:t xml:space="preserve"> Other Grants</w:t>
      </w:r>
      <w:r w:rsidR="006F02D0">
        <w:rPr>
          <w:rFonts w:ascii="Calibri" w:hAnsi="Calibri" w:cs="Calibri"/>
          <w:color w:val="000000"/>
        </w:rPr>
        <w:t xml:space="preserve"> </w:t>
      </w:r>
      <w:r w:rsidR="00645241">
        <w:rPr>
          <w:rFonts w:ascii="Calibri" w:hAnsi="Calibri" w:cs="Calibri"/>
          <w:color w:val="000000"/>
        </w:rPr>
        <w:t>G</w:t>
      </w:r>
      <w:r w:rsidR="006F02D0">
        <w:rPr>
          <w:rFonts w:ascii="Calibri" w:hAnsi="Calibri" w:cs="Calibri"/>
          <w:color w:val="000000"/>
        </w:rPr>
        <w:t>uidelines are for the purpose set out in</w:t>
      </w:r>
      <w:r w:rsidR="000519A4">
        <w:rPr>
          <w:rFonts w:ascii="Calibri" w:hAnsi="Calibri" w:cs="Calibri"/>
          <w:color w:val="000000"/>
        </w:rPr>
        <w:t xml:space="preserve"> item</w:t>
      </w:r>
      <w:r w:rsidR="00B9450D">
        <w:rPr>
          <w:rFonts w:ascii="Calibri" w:hAnsi="Calibri" w:cs="Calibri"/>
          <w:color w:val="000000"/>
        </w:rPr>
        <w:t xml:space="preserve"> 1 </w:t>
      </w:r>
      <w:r w:rsidR="008A325B">
        <w:rPr>
          <w:rFonts w:ascii="Calibri" w:hAnsi="Calibri" w:cs="Calibri"/>
          <w:color w:val="000000"/>
        </w:rPr>
        <w:t xml:space="preserve">of the table in subsection </w:t>
      </w:r>
      <w:r w:rsidR="00B9450D">
        <w:rPr>
          <w:rFonts w:ascii="Calibri" w:hAnsi="Calibri" w:cs="Calibri"/>
          <w:color w:val="000000"/>
        </w:rPr>
        <w:t>41-10(1)</w:t>
      </w:r>
      <w:r w:rsidR="008A325B">
        <w:rPr>
          <w:rFonts w:ascii="Calibri" w:hAnsi="Calibri" w:cs="Calibri"/>
          <w:color w:val="000000"/>
        </w:rPr>
        <w:t xml:space="preserve"> of</w:t>
      </w:r>
      <w:r w:rsidR="0000124D">
        <w:rPr>
          <w:rFonts w:ascii="Calibri" w:hAnsi="Calibri" w:cs="Calibri"/>
          <w:color w:val="000000"/>
        </w:rPr>
        <w:t xml:space="preserve"> </w:t>
      </w:r>
      <w:r w:rsidR="008A325B">
        <w:rPr>
          <w:rFonts w:ascii="Calibri" w:hAnsi="Calibri" w:cs="Calibri"/>
          <w:color w:val="000000"/>
        </w:rPr>
        <w:t>HESA</w:t>
      </w:r>
      <w:r w:rsidR="00603665">
        <w:rPr>
          <w:rFonts w:ascii="Calibri" w:hAnsi="Calibri" w:cs="Calibri"/>
          <w:color w:val="000000"/>
        </w:rPr>
        <w:t xml:space="preserve"> </w:t>
      </w:r>
      <w:r w:rsidR="00645241">
        <w:rPr>
          <w:rFonts w:ascii="Calibri" w:hAnsi="Calibri" w:cs="Calibri"/>
          <w:color w:val="000000"/>
        </w:rPr>
        <w:t xml:space="preserve">– </w:t>
      </w:r>
      <w:r w:rsidR="008441CC">
        <w:rPr>
          <w:rFonts w:ascii="Calibri" w:hAnsi="Calibri" w:cs="Calibri"/>
          <w:color w:val="000000"/>
        </w:rPr>
        <w:t>‘G</w:t>
      </w:r>
      <w:r w:rsidR="008441CC" w:rsidRPr="008A325B">
        <w:rPr>
          <w:rFonts w:ascii="Calibri" w:hAnsi="Calibri" w:cs="Calibri"/>
          <w:color w:val="000000"/>
        </w:rPr>
        <w:t xml:space="preserve">rants </w:t>
      </w:r>
      <w:r w:rsidR="008A325B" w:rsidRPr="008A325B">
        <w:rPr>
          <w:rFonts w:ascii="Calibri" w:hAnsi="Calibri" w:cs="Calibri"/>
          <w:color w:val="000000"/>
        </w:rPr>
        <w:t>to promote equality of opportunity in higher education</w:t>
      </w:r>
      <w:r w:rsidR="008441CC">
        <w:rPr>
          <w:rFonts w:ascii="Calibri" w:hAnsi="Calibri" w:cs="Calibri"/>
          <w:color w:val="000000"/>
        </w:rPr>
        <w:t>’</w:t>
      </w:r>
      <w:r w:rsidR="006A6248">
        <w:rPr>
          <w:rFonts w:ascii="Calibri" w:hAnsi="Calibri" w:cs="Calibri"/>
          <w:color w:val="000000"/>
        </w:rPr>
        <w:t xml:space="preserve">. These grants are intended to </w:t>
      </w:r>
      <w:r w:rsidR="00E358C4">
        <w:rPr>
          <w:rFonts w:ascii="Calibri" w:hAnsi="Calibri" w:cs="Calibri"/>
          <w:color w:val="000000"/>
        </w:rPr>
        <w:t>assist</w:t>
      </w:r>
      <w:r w:rsidR="006A6248">
        <w:rPr>
          <w:rFonts w:ascii="Calibri" w:hAnsi="Calibri" w:cs="Calibri"/>
          <w:color w:val="000000"/>
        </w:rPr>
        <w:t xml:space="preserve"> </w:t>
      </w:r>
      <w:r w:rsidR="00E958E2">
        <w:rPr>
          <w:rFonts w:ascii="Calibri" w:hAnsi="Calibri" w:cs="Calibri"/>
          <w:color w:val="000000"/>
        </w:rPr>
        <w:t>individuals</w:t>
      </w:r>
      <w:r w:rsidR="004C40BC">
        <w:rPr>
          <w:rFonts w:ascii="Calibri" w:hAnsi="Calibri" w:cs="Calibri"/>
          <w:color w:val="000000"/>
        </w:rPr>
        <w:t xml:space="preserve"> </w:t>
      </w:r>
      <w:r w:rsidR="00E958E2">
        <w:rPr>
          <w:rFonts w:ascii="Calibri" w:hAnsi="Calibri" w:cs="Calibri"/>
          <w:color w:val="000000"/>
        </w:rPr>
        <w:t>with</w:t>
      </w:r>
      <w:r w:rsidR="004C40BC">
        <w:rPr>
          <w:rFonts w:ascii="Calibri" w:hAnsi="Calibri" w:cs="Calibri"/>
          <w:color w:val="000000"/>
        </w:rPr>
        <w:t xml:space="preserve"> low socio-economic status</w:t>
      </w:r>
      <w:r w:rsidR="002E3E24">
        <w:rPr>
          <w:rFonts w:ascii="Calibri" w:hAnsi="Calibri" w:cs="Calibri"/>
          <w:color w:val="000000"/>
        </w:rPr>
        <w:t xml:space="preserve"> or</w:t>
      </w:r>
      <w:r w:rsidR="00E958E2">
        <w:rPr>
          <w:rFonts w:ascii="Calibri" w:hAnsi="Calibri" w:cs="Calibri"/>
          <w:color w:val="000000"/>
        </w:rPr>
        <w:t xml:space="preserve"> </w:t>
      </w:r>
      <w:r w:rsidR="00B97AA6">
        <w:rPr>
          <w:rFonts w:ascii="Calibri" w:hAnsi="Calibri" w:cs="Calibri"/>
          <w:color w:val="000000"/>
        </w:rPr>
        <w:t xml:space="preserve">from </w:t>
      </w:r>
      <w:r w:rsidR="00E958E2">
        <w:rPr>
          <w:rFonts w:ascii="Calibri" w:hAnsi="Calibri" w:cs="Calibri"/>
          <w:color w:val="000000"/>
        </w:rPr>
        <w:t>regional and remote areas</w:t>
      </w:r>
      <w:r w:rsidR="002E3E24">
        <w:rPr>
          <w:rFonts w:ascii="Calibri" w:hAnsi="Calibri" w:cs="Calibri"/>
          <w:color w:val="000000"/>
        </w:rPr>
        <w:t xml:space="preserve"> as well as Indigenous persons and pe</w:t>
      </w:r>
      <w:r w:rsidR="00605695">
        <w:rPr>
          <w:rFonts w:ascii="Calibri" w:hAnsi="Calibri" w:cs="Calibri"/>
          <w:color w:val="000000"/>
        </w:rPr>
        <w:t>ople with a disability</w:t>
      </w:r>
      <w:r w:rsidR="00E358C4">
        <w:rPr>
          <w:rFonts w:ascii="Calibri" w:hAnsi="Calibri" w:cs="Calibri"/>
          <w:color w:val="000000"/>
        </w:rPr>
        <w:t xml:space="preserve"> to engage in </w:t>
      </w:r>
      <w:r w:rsidR="00344FE4">
        <w:rPr>
          <w:rFonts w:ascii="Calibri" w:hAnsi="Calibri" w:cs="Calibri"/>
          <w:color w:val="000000"/>
        </w:rPr>
        <w:t xml:space="preserve">higher education. </w:t>
      </w:r>
      <w:r w:rsidR="00605695">
        <w:rPr>
          <w:rFonts w:ascii="Calibri" w:hAnsi="Calibri" w:cs="Calibri"/>
          <w:color w:val="000000"/>
        </w:rPr>
        <w:t xml:space="preserve">   </w:t>
      </w:r>
      <w:r w:rsidR="004C40BC">
        <w:rPr>
          <w:rFonts w:ascii="Calibri" w:hAnsi="Calibri" w:cs="Calibri"/>
          <w:color w:val="000000"/>
        </w:rPr>
        <w:t xml:space="preserve"> </w:t>
      </w:r>
    </w:p>
    <w:p w14:paraId="7B88D59A" w14:textId="77777777" w:rsidR="006E5E0B" w:rsidRPr="00B3381B" w:rsidRDefault="006E5E0B" w:rsidP="00645241">
      <w:pPr>
        <w:keepNext/>
        <w:spacing w:before="120" w:after="120"/>
        <w:rPr>
          <w:rFonts w:asciiTheme="minorHAnsi" w:hAnsiTheme="minorHAnsi" w:cstheme="minorHAnsi"/>
          <w:szCs w:val="24"/>
          <w:u w:val="single"/>
        </w:rPr>
      </w:pPr>
      <w:r w:rsidRPr="00B3381B">
        <w:rPr>
          <w:rFonts w:asciiTheme="minorHAnsi" w:hAnsiTheme="minorHAnsi" w:cstheme="minorHAnsi"/>
          <w:szCs w:val="24"/>
          <w:u w:val="single"/>
        </w:rPr>
        <w:lastRenderedPageBreak/>
        <w:t>Right to work and right to just and favourable conditions of work</w:t>
      </w:r>
    </w:p>
    <w:p w14:paraId="4B776629" w14:textId="291B1024" w:rsidR="006E5E0B" w:rsidRPr="006E5E0B" w:rsidRDefault="006E5E0B" w:rsidP="006018C9">
      <w:pPr>
        <w:spacing w:before="120" w:after="120"/>
        <w:rPr>
          <w:rFonts w:asciiTheme="minorHAnsi" w:hAnsiTheme="minorHAnsi" w:cstheme="minorHAnsi"/>
          <w:szCs w:val="24"/>
        </w:rPr>
      </w:pPr>
      <w:r w:rsidRPr="006E5E0B">
        <w:rPr>
          <w:rFonts w:asciiTheme="minorHAnsi" w:hAnsiTheme="minorHAnsi" w:cstheme="minorHAnsi"/>
          <w:szCs w:val="24"/>
        </w:rPr>
        <w:t xml:space="preserve">The </w:t>
      </w:r>
      <w:r w:rsidR="007420E9">
        <w:rPr>
          <w:rFonts w:asciiTheme="minorHAnsi" w:hAnsiTheme="minorHAnsi" w:cstheme="minorHAnsi"/>
          <w:szCs w:val="24"/>
        </w:rPr>
        <w:t>Other Grants Guidelines</w:t>
      </w:r>
      <w:r>
        <w:rPr>
          <w:rFonts w:asciiTheme="minorHAnsi" w:hAnsiTheme="minorHAnsi" w:cstheme="minorHAnsi"/>
          <w:szCs w:val="24"/>
        </w:rPr>
        <w:t xml:space="preserve"> also</w:t>
      </w:r>
      <w:r w:rsidRPr="006E5E0B">
        <w:rPr>
          <w:rFonts w:asciiTheme="minorHAnsi" w:hAnsiTheme="minorHAnsi" w:cstheme="minorHAnsi"/>
          <w:szCs w:val="24"/>
        </w:rPr>
        <w:t xml:space="preserve"> engage the right to work and rights at work contained in </w:t>
      </w:r>
      <w:r>
        <w:rPr>
          <w:rFonts w:asciiTheme="minorHAnsi" w:hAnsiTheme="minorHAnsi" w:cstheme="minorHAnsi"/>
          <w:szCs w:val="24"/>
        </w:rPr>
        <w:t>A</w:t>
      </w:r>
      <w:r w:rsidRPr="006E5E0B">
        <w:rPr>
          <w:rFonts w:asciiTheme="minorHAnsi" w:hAnsiTheme="minorHAnsi" w:cstheme="minorHAnsi"/>
          <w:szCs w:val="24"/>
        </w:rPr>
        <w:t>rticles 6(1) and 7 of the ICESCR. Article 6(1) recognises the right to work, which includes the right of everyone to the opportunity to gain their living by work which they freely choose or accept</w:t>
      </w:r>
      <w:r w:rsidR="00B3381B">
        <w:rPr>
          <w:rFonts w:asciiTheme="minorHAnsi" w:hAnsiTheme="minorHAnsi" w:cstheme="minorHAnsi"/>
          <w:szCs w:val="24"/>
        </w:rPr>
        <w:t>,</w:t>
      </w:r>
      <w:r w:rsidRPr="006E5E0B">
        <w:rPr>
          <w:rFonts w:asciiTheme="minorHAnsi" w:hAnsiTheme="minorHAnsi" w:cstheme="minorHAnsi"/>
          <w:szCs w:val="24"/>
        </w:rPr>
        <w:t xml:space="preserve"> and </w:t>
      </w:r>
      <w:r w:rsidR="00B3381B">
        <w:rPr>
          <w:rFonts w:asciiTheme="minorHAnsi" w:hAnsiTheme="minorHAnsi" w:cstheme="minorHAnsi"/>
          <w:szCs w:val="24"/>
        </w:rPr>
        <w:t xml:space="preserve">recognises </w:t>
      </w:r>
      <w:r w:rsidRPr="006E5E0B">
        <w:rPr>
          <w:rFonts w:asciiTheme="minorHAnsi" w:hAnsiTheme="minorHAnsi" w:cstheme="minorHAnsi"/>
          <w:szCs w:val="24"/>
        </w:rPr>
        <w:t>that states will take appropriate steps to safeguard this right. Article 7 recognises the right of everyone to the enjoyment of just and favourable conditions of work, including fair wages, safe and healthy working conditions and equal opportunity for advancement.</w:t>
      </w:r>
    </w:p>
    <w:p w14:paraId="3E971E6B" w14:textId="5E7C0EE1" w:rsidR="006E5E0B" w:rsidRDefault="006E5E0B" w:rsidP="006018C9">
      <w:pPr>
        <w:spacing w:before="120" w:after="120"/>
        <w:rPr>
          <w:rFonts w:asciiTheme="minorHAnsi" w:hAnsiTheme="minorHAnsi" w:cstheme="minorHAnsi"/>
          <w:szCs w:val="24"/>
        </w:rPr>
      </w:pPr>
      <w:r w:rsidRPr="006E5E0B">
        <w:rPr>
          <w:rFonts w:asciiTheme="minorHAnsi" w:hAnsiTheme="minorHAnsi" w:cstheme="minorHAnsi"/>
          <w:szCs w:val="24"/>
        </w:rPr>
        <w:t>The</w:t>
      </w:r>
      <w:r w:rsidR="00B3381B">
        <w:rPr>
          <w:rFonts w:asciiTheme="minorHAnsi" w:hAnsiTheme="minorHAnsi" w:cstheme="minorHAnsi"/>
          <w:szCs w:val="24"/>
        </w:rPr>
        <w:t xml:space="preserve"> </w:t>
      </w:r>
      <w:r w:rsidR="007420E9">
        <w:rPr>
          <w:rFonts w:asciiTheme="minorHAnsi" w:hAnsiTheme="minorHAnsi" w:cstheme="minorHAnsi"/>
          <w:szCs w:val="24"/>
        </w:rPr>
        <w:t>Other Grants Guidelines</w:t>
      </w:r>
      <w:r w:rsidR="00B3381B">
        <w:rPr>
          <w:rFonts w:asciiTheme="minorHAnsi" w:hAnsiTheme="minorHAnsi" w:cstheme="minorHAnsi"/>
          <w:szCs w:val="24"/>
        </w:rPr>
        <w:t xml:space="preserve"> promote the right to work and rights at work </w:t>
      </w:r>
      <w:r w:rsidR="007420E9">
        <w:rPr>
          <w:rFonts w:asciiTheme="minorHAnsi" w:hAnsiTheme="minorHAnsi" w:cstheme="minorHAnsi"/>
          <w:szCs w:val="24"/>
        </w:rPr>
        <w:t xml:space="preserve">by ensuring that grants are provided for purposes that ensure </w:t>
      </w:r>
      <w:r w:rsidR="00DB5E79">
        <w:rPr>
          <w:rFonts w:asciiTheme="minorHAnsi" w:hAnsiTheme="minorHAnsi" w:cstheme="minorHAnsi"/>
          <w:szCs w:val="24"/>
        </w:rPr>
        <w:t xml:space="preserve">the higher education sector is supported to ensure engagement with industry and education practices which support the transition from study into employment. </w:t>
      </w:r>
    </w:p>
    <w:p w14:paraId="45B5A6AE" w14:textId="77777777" w:rsidR="00DA552F" w:rsidRPr="008134D5" w:rsidRDefault="00F9205E" w:rsidP="006018C9">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0B1F35E4" w14:textId="439F9117" w:rsidR="003E6EB5" w:rsidRPr="008134D5" w:rsidRDefault="003E6EB5" w:rsidP="006018C9">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3A21A3">
        <w:rPr>
          <w:rFonts w:asciiTheme="minorHAnsi" w:hAnsiTheme="minorHAnsi" w:cstheme="minorHAnsi"/>
          <w:szCs w:val="24"/>
        </w:rPr>
        <w:t xml:space="preserve">Other Grants </w:t>
      </w:r>
      <w:r w:rsidR="00DB5E79">
        <w:rPr>
          <w:rFonts w:asciiTheme="minorHAnsi" w:hAnsiTheme="minorHAnsi" w:cstheme="minorHAnsi"/>
          <w:szCs w:val="24"/>
        </w:rPr>
        <w:t>Guidelines</w:t>
      </w:r>
      <w:r w:rsidRPr="008134D5">
        <w:rPr>
          <w:rFonts w:asciiTheme="minorHAnsi" w:hAnsiTheme="minorHAnsi" w:cstheme="minorHAnsi"/>
          <w:szCs w:val="24"/>
        </w:rPr>
        <w:t xml:space="preserve"> </w:t>
      </w:r>
      <w:r w:rsidR="00DB5E79">
        <w:rPr>
          <w:rFonts w:asciiTheme="minorHAnsi" w:hAnsiTheme="minorHAnsi" w:cstheme="minorHAnsi"/>
          <w:szCs w:val="24"/>
        </w:rPr>
        <w:t>are</w:t>
      </w:r>
      <w:r w:rsidRPr="008134D5">
        <w:rPr>
          <w:rFonts w:asciiTheme="minorHAnsi" w:hAnsiTheme="minorHAnsi" w:cstheme="minorHAnsi"/>
          <w:szCs w:val="24"/>
        </w:rPr>
        <w:t xml:space="preserve"> compatible with human rights </w:t>
      </w:r>
      <w:r w:rsidRPr="00DB4875">
        <w:rPr>
          <w:rFonts w:asciiTheme="minorHAnsi" w:hAnsiTheme="minorHAnsi" w:cstheme="minorHAnsi"/>
          <w:szCs w:val="24"/>
        </w:rPr>
        <w:t>because</w:t>
      </w:r>
      <w:r>
        <w:rPr>
          <w:rFonts w:asciiTheme="minorHAnsi" w:hAnsiTheme="minorHAnsi" w:cstheme="minorHAnsi"/>
          <w:szCs w:val="24"/>
        </w:rPr>
        <w:t xml:space="preserve"> </w:t>
      </w:r>
      <w:r w:rsidR="00DB5E79">
        <w:rPr>
          <w:rFonts w:asciiTheme="minorHAnsi" w:hAnsiTheme="minorHAnsi" w:cstheme="minorHAnsi"/>
          <w:szCs w:val="24"/>
        </w:rPr>
        <w:t>they</w:t>
      </w:r>
      <w:r>
        <w:rPr>
          <w:rFonts w:asciiTheme="minorHAnsi" w:hAnsiTheme="minorHAnsi" w:cstheme="minorHAnsi"/>
          <w:szCs w:val="24"/>
        </w:rPr>
        <w:t xml:space="preserve"> </w:t>
      </w:r>
      <w:r w:rsidR="00DB5E79">
        <w:rPr>
          <w:rFonts w:asciiTheme="minorHAnsi" w:hAnsiTheme="minorHAnsi" w:cstheme="minorHAnsi"/>
          <w:szCs w:val="24"/>
        </w:rPr>
        <w:t>promote the human rights that they engage.</w:t>
      </w:r>
      <w:r w:rsidRPr="008134D5">
        <w:rPr>
          <w:rFonts w:asciiTheme="minorHAnsi" w:hAnsiTheme="minorHAnsi" w:cstheme="minorHAnsi"/>
          <w:szCs w:val="24"/>
        </w:rPr>
        <w:t xml:space="preserve"> </w:t>
      </w:r>
    </w:p>
    <w:p w14:paraId="00A40566" w14:textId="3D24BD93" w:rsidR="00DA552F" w:rsidRPr="008134D5" w:rsidRDefault="00D8103E" w:rsidP="006018C9">
      <w:pPr>
        <w:spacing w:before="120" w:after="120"/>
        <w:jc w:val="center"/>
        <w:rPr>
          <w:rFonts w:asciiTheme="minorHAnsi" w:hAnsiTheme="minorHAnsi" w:cstheme="minorHAnsi"/>
          <w:szCs w:val="24"/>
        </w:rPr>
      </w:pPr>
      <w:r w:rsidRPr="008134D5">
        <w:rPr>
          <w:rFonts w:asciiTheme="minorHAnsi" w:hAnsiTheme="minorHAnsi" w:cstheme="minorHAnsi"/>
          <w:b/>
          <w:szCs w:val="24"/>
        </w:rPr>
        <w:t>Minister for</w:t>
      </w:r>
      <w:r w:rsidR="006E5E0B">
        <w:rPr>
          <w:rFonts w:asciiTheme="minorHAnsi" w:hAnsiTheme="minorHAnsi" w:cstheme="minorHAnsi"/>
          <w:b/>
          <w:szCs w:val="24"/>
        </w:rPr>
        <w:t xml:space="preserve"> </w:t>
      </w:r>
      <w:r w:rsidR="00A43CC8">
        <w:rPr>
          <w:rFonts w:asciiTheme="minorHAnsi" w:hAnsiTheme="minorHAnsi" w:cstheme="minorHAnsi"/>
          <w:b/>
          <w:szCs w:val="24"/>
        </w:rPr>
        <w:t>Employment, Workforce, Skills, Small and Family Business</w:t>
      </w:r>
    </w:p>
    <w:p w14:paraId="2F6FD579" w14:textId="77777777" w:rsidR="00DA552F" w:rsidRPr="008134D5" w:rsidRDefault="00DA552F" w:rsidP="006018C9">
      <w:pPr>
        <w:spacing w:before="120" w:after="12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2C40DCDC" w14:textId="6DFCFC38" w:rsidR="00523900" w:rsidRPr="001E52EB" w:rsidRDefault="00A178D7" w:rsidP="006018C9">
      <w:pPr>
        <w:spacing w:before="120" w:after="120"/>
        <w:jc w:val="center"/>
        <w:rPr>
          <w:rFonts w:asciiTheme="minorHAnsi" w:hAnsiTheme="minorHAnsi" w:cstheme="minorHAnsi"/>
          <w:b/>
          <w:szCs w:val="24"/>
          <w:highlight w:val="yellow"/>
        </w:rPr>
      </w:pPr>
      <w:r w:rsidRPr="00A178D7">
        <w:rPr>
          <w:rFonts w:asciiTheme="minorHAnsi" w:hAnsiTheme="minorHAnsi" w:cstheme="minorHAnsi"/>
          <w:b/>
          <w:szCs w:val="24"/>
        </w:rPr>
        <w:lastRenderedPageBreak/>
        <w:t>Higher Education Support (Other Grants) Guidelines 2022</w:t>
      </w:r>
    </w:p>
    <w:p w14:paraId="4F65A4CF" w14:textId="77777777" w:rsidR="00523900" w:rsidRPr="008134D5" w:rsidRDefault="00523900" w:rsidP="006018C9">
      <w:pPr>
        <w:pStyle w:val="Heading2"/>
        <w:spacing w:before="120" w:after="120"/>
        <w:jc w:val="center"/>
        <w:rPr>
          <w:rFonts w:asciiTheme="minorHAnsi" w:hAnsiTheme="minorHAnsi" w:cstheme="minorHAnsi"/>
          <w:color w:val="auto"/>
        </w:rPr>
      </w:pPr>
      <w:r>
        <w:rPr>
          <w:rFonts w:asciiTheme="minorHAnsi" w:hAnsiTheme="minorHAnsi" w:cstheme="minorHAnsi"/>
          <w:color w:val="auto"/>
        </w:rPr>
        <w:t>EXPLANATION OF PROVISIONS</w:t>
      </w:r>
    </w:p>
    <w:p w14:paraId="09707E95" w14:textId="77777777" w:rsidR="00523900" w:rsidRPr="00A207D9" w:rsidRDefault="00523900" w:rsidP="001D33A1">
      <w:pPr>
        <w:spacing w:before="120" w:after="120"/>
        <w:rPr>
          <w:rFonts w:asciiTheme="minorHAnsi" w:hAnsiTheme="minorHAnsi" w:cstheme="minorHAnsi"/>
          <w:b/>
        </w:rPr>
      </w:pPr>
      <w:bookmarkStart w:id="6" w:name="_Hlk80613890"/>
      <w:r w:rsidRPr="00A207D9">
        <w:rPr>
          <w:rFonts w:asciiTheme="minorHAnsi" w:hAnsiTheme="minorHAnsi" w:cstheme="minorHAnsi"/>
          <w:b/>
        </w:rPr>
        <w:t>PART 1—PRELIMINARY</w:t>
      </w:r>
    </w:p>
    <w:bookmarkEnd w:id="6"/>
    <w:p w14:paraId="3BB4C464" w14:textId="77777777" w:rsidR="00523900" w:rsidRPr="008134D5" w:rsidRDefault="00523900" w:rsidP="001D33A1">
      <w:pPr>
        <w:spacing w:before="120" w:after="120"/>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1: </w:t>
      </w:r>
      <w:r>
        <w:rPr>
          <w:rFonts w:asciiTheme="minorHAnsi" w:hAnsiTheme="minorHAnsi" w:cstheme="minorHAnsi"/>
          <w:b/>
          <w:u w:val="single"/>
        </w:rPr>
        <w:t>Name</w:t>
      </w:r>
    </w:p>
    <w:p w14:paraId="20DEF4E4" w14:textId="6B84BB4A" w:rsidR="00523900" w:rsidRPr="00EF4ACB" w:rsidRDefault="00523900" w:rsidP="001D33A1">
      <w:pPr>
        <w:pStyle w:val="ListParagraph"/>
        <w:numPr>
          <w:ilvl w:val="0"/>
          <w:numId w:val="1"/>
        </w:numPr>
        <w:spacing w:before="120" w:after="120"/>
        <w:rPr>
          <w:rFonts w:asciiTheme="minorHAnsi" w:hAnsiTheme="minorHAnsi" w:cstheme="minorHAnsi"/>
          <w:szCs w:val="24"/>
        </w:rPr>
      </w:pPr>
      <w:r w:rsidRPr="00EF4ACB">
        <w:rPr>
          <w:rFonts w:asciiTheme="minorHAnsi" w:hAnsiTheme="minorHAnsi" w:cstheme="minorHAnsi"/>
          <w:szCs w:val="24"/>
        </w:rPr>
        <w:t xml:space="preserve">This </w:t>
      </w:r>
      <w:r w:rsidR="006540EF">
        <w:rPr>
          <w:rFonts w:asciiTheme="minorHAnsi" w:hAnsiTheme="minorHAnsi" w:cstheme="minorHAnsi"/>
          <w:szCs w:val="24"/>
        </w:rPr>
        <w:t>section specifies</w:t>
      </w:r>
      <w:r w:rsidRPr="00EF4ACB">
        <w:rPr>
          <w:rFonts w:asciiTheme="minorHAnsi" w:hAnsiTheme="minorHAnsi" w:cstheme="minorHAnsi"/>
          <w:szCs w:val="24"/>
        </w:rPr>
        <w:t xml:space="preserve"> the name of the </w:t>
      </w:r>
      <w:r w:rsidR="00A178D7">
        <w:rPr>
          <w:rFonts w:asciiTheme="minorHAnsi" w:hAnsiTheme="minorHAnsi" w:cstheme="minorHAnsi"/>
          <w:szCs w:val="24"/>
        </w:rPr>
        <w:t>Guidelines</w:t>
      </w:r>
      <w:r w:rsidR="008033A7">
        <w:rPr>
          <w:rFonts w:asciiTheme="minorHAnsi" w:hAnsiTheme="minorHAnsi" w:cstheme="minorHAnsi"/>
          <w:szCs w:val="24"/>
        </w:rPr>
        <w:t xml:space="preserve"> as the </w:t>
      </w:r>
      <w:r w:rsidR="00177683" w:rsidRPr="00103D47">
        <w:rPr>
          <w:rFonts w:asciiTheme="minorHAnsi" w:hAnsiTheme="minorHAnsi" w:cstheme="minorHAnsi"/>
          <w:i/>
        </w:rPr>
        <w:t>Higher Education Support (Other Grants) Guidelines 2022</w:t>
      </w:r>
      <w:r w:rsidR="00A178D7">
        <w:rPr>
          <w:rFonts w:asciiTheme="minorHAnsi" w:hAnsiTheme="minorHAnsi" w:cstheme="minorHAnsi"/>
          <w:szCs w:val="24"/>
        </w:rPr>
        <w:t>, which is how they are to be cited.</w:t>
      </w:r>
    </w:p>
    <w:p w14:paraId="24658A06" w14:textId="77777777" w:rsidR="00523900" w:rsidRPr="008134D5" w:rsidRDefault="00523900" w:rsidP="001D33A1">
      <w:pPr>
        <w:spacing w:before="120" w:after="120"/>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2: Commencement</w:t>
      </w:r>
    </w:p>
    <w:p w14:paraId="666CCEAF" w14:textId="1AE5F14C" w:rsidR="00523900" w:rsidRPr="001A53F9" w:rsidRDefault="00523900" w:rsidP="001D33A1">
      <w:pPr>
        <w:pStyle w:val="ListParagraph"/>
        <w:numPr>
          <w:ilvl w:val="0"/>
          <w:numId w:val="1"/>
        </w:numPr>
        <w:spacing w:before="120" w:after="120"/>
        <w:rPr>
          <w:rFonts w:asciiTheme="minorHAnsi" w:hAnsiTheme="minorHAnsi" w:cstheme="minorHAnsi"/>
          <w:i/>
        </w:rPr>
      </w:pPr>
      <w:r w:rsidRPr="001A53F9">
        <w:rPr>
          <w:rFonts w:asciiTheme="minorHAnsi" w:hAnsiTheme="minorHAnsi" w:cstheme="minorHAnsi"/>
          <w:iCs/>
        </w:rPr>
        <w:t>This section specifies that the</w:t>
      </w:r>
      <w:r w:rsidR="0038163B">
        <w:rPr>
          <w:rFonts w:asciiTheme="minorHAnsi" w:hAnsiTheme="minorHAnsi" w:cstheme="minorHAnsi"/>
          <w:iCs/>
        </w:rPr>
        <w:t xml:space="preserve"> Other Grants</w:t>
      </w:r>
      <w:r w:rsidRPr="001A53F9">
        <w:rPr>
          <w:rFonts w:asciiTheme="minorHAnsi" w:hAnsiTheme="minorHAnsi" w:cstheme="minorHAnsi"/>
          <w:iCs/>
        </w:rPr>
        <w:t xml:space="preserve"> </w:t>
      </w:r>
      <w:r w:rsidR="00A178D7">
        <w:rPr>
          <w:rFonts w:asciiTheme="minorHAnsi" w:hAnsiTheme="minorHAnsi" w:cstheme="minorHAnsi"/>
          <w:iCs/>
        </w:rPr>
        <w:t>Guidelines</w:t>
      </w:r>
      <w:r w:rsidRPr="001A53F9">
        <w:rPr>
          <w:rFonts w:asciiTheme="minorHAnsi" w:hAnsiTheme="minorHAnsi" w:cstheme="minorHAnsi"/>
          <w:iCs/>
        </w:rPr>
        <w:t xml:space="preserve"> commence on the day after </w:t>
      </w:r>
      <w:r>
        <w:rPr>
          <w:rFonts w:asciiTheme="minorHAnsi" w:hAnsiTheme="minorHAnsi" w:cstheme="minorHAnsi"/>
          <w:iCs/>
        </w:rPr>
        <w:t>registration on the Federal Register of Legislation</w:t>
      </w:r>
      <w:r w:rsidRPr="001A53F9">
        <w:rPr>
          <w:rFonts w:asciiTheme="minorHAnsi" w:hAnsiTheme="minorHAnsi" w:cstheme="minorHAnsi"/>
          <w:iCs/>
        </w:rPr>
        <w:t xml:space="preserve">. </w:t>
      </w:r>
    </w:p>
    <w:p w14:paraId="77420CDA" w14:textId="77777777" w:rsidR="00523900" w:rsidRPr="00E631F9" w:rsidRDefault="00523900" w:rsidP="001D33A1">
      <w:pPr>
        <w:spacing w:before="120" w:after="120"/>
        <w:rPr>
          <w:rFonts w:asciiTheme="minorHAnsi" w:hAnsiTheme="minorHAnsi" w:cstheme="minorHAnsi"/>
          <w:b/>
          <w:u w:val="single"/>
        </w:rPr>
      </w:pPr>
      <w:r w:rsidRPr="00E631F9">
        <w:rPr>
          <w:rFonts w:asciiTheme="minorHAnsi" w:hAnsiTheme="minorHAnsi" w:cstheme="minorHAnsi"/>
          <w:b/>
          <w:u w:val="single"/>
        </w:rPr>
        <w:t>Section 3: Authority</w:t>
      </w:r>
    </w:p>
    <w:p w14:paraId="3BF3FC02" w14:textId="3A498848" w:rsidR="00523900" w:rsidRPr="001A53F9" w:rsidRDefault="00523900" w:rsidP="001D33A1">
      <w:pPr>
        <w:pStyle w:val="ListParagraph"/>
        <w:numPr>
          <w:ilvl w:val="0"/>
          <w:numId w:val="1"/>
        </w:numPr>
        <w:spacing w:before="120" w:after="120"/>
        <w:rPr>
          <w:rFonts w:asciiTheme="minorHAnsi" w:hAnsiTheme="minorHAnsi" w:cstheme="minorHAnsi"/>
          <w:iCs/>
        </w:rPr>
      </w:pPr>
      <w:r w:rsidRPr="001A53F9">
        <w:rPr>
          <w:rFonts w:asciiTheme="minorHAnsi" w:hAnsiTheme="minorHAnsi" w:cstheme="minorHAnsi"/>
          <w:iCs/>
        </w:rPr>
        <w:t>Th</w:t>
      </w:r>
      <w:r w:rsidR="002348D2">
        <w:rPr>
          <w:rFonts w:asciiTheme="minorHAnsi" w:hAnsiTheme="minorHAnsi" w:cstheme="minorHAnsi"/>
          <w:iCs/>
        </w:rPr>
        <w:t xml:space="preserve">is section </w:t>
      </w:r>
      <w:r w:rsidR="006929AA">
        <w:rPr>
          <w:rFonts w:asciiTheme="minorHAnsi" w:hAnsiTheme="minorHAnsi" w:cstheme="minorHAnsi"/>
          <w:iCs/>
        </w:rPr>
        <w:t>specifies that the</w:t>
      </w:r>
      <w:r w:rsidR="0038163B">
        <w:rPr>
          <w:rFonts w:asciiTheme="minorHAnsi" w:hAnsiTheme="minorHAnsi" w:cstheme="minorHAnsi"/>
          <w:iCs/>
        </w:rPr>
        <w:t xml:space="preserve"> </w:t>
      </w:r>
      <w:r w:rsidR="0038163B">
        <w:rPr>
          <w:rFonts w:asciiTheme="minorHAnsi" w:hAnsiTheme="minorHAnsi" w:cstheme="minorHAnsi"/>
          <w:iCs/>
          <w:szCs w:val="24"/>
        </w:rPr>
        <w:t>Other Grants</w:t>
      </w:r>
      <w:r w:rsidRPr="001A53F9">
        <w:rPr>
          <w:rFonts w:asciiTheme="minorHAnsi" w:hAnsiTheme="minorHAnsi" w:cstheme="minorHAnsi"/>
          <w:iCs/>
        </w:rPr>
        <w:t xml:space="preserve"> </w:t>
      </w:r>
      <w:r w:rsidR="00A178D7">
        <w:rPr>
          <w:rFonts w:asciiTheme="minorHAnsi" w:hAnsiTheme="minorHAnsi" w:cstheme="minorHAnsi"/>
          <w:iCs/>
        </w:rPr>
        <w:t>Guidelines</w:t>
      </w:r>
      <w:r w:rsidRPr="001A53F9">
        <w:rPr>
          <w:rFonts w:asciiTheme="minorHAnsi" w:hAnsiTheme="minorHAnsi" w:cstheme="minorHAnsi"/>
          <w:iCs/>
        </w:rPr>
        <w:t xml:space="preserve"> are made by the Minister under section </w:t>
      </w:r>
      <w:r w:rsidR="00A178D7">
        <w:rPr>
          <w:rFonts w:asciiTheme="minorHAnsi" w:hAnsiTheme="minorHAnsi" w:cstheme="minorHAnsi"/>
          <w:iCs/>
        </w:rPr>
        <w:t>238</w:t>
      </w:r>
      <w:r w:rsidR="008669CC">
        <w:rPr>
          <w:rFonts w:asciiTheme="minorHAnsi" w:hAnsiTheme="minorHAnsi" w:cstheme="minorHAnsi"/>
          <w:iCs/>
        </w:rPr>
        <w:noBreakHyphen/>
      </w:r>
      <w:r w:rsidR="006F3C66">
        <w:rPr>
          <w:rFonts w:asciiTheme="minorHAnsi" w:hAnsiTheme="minorHAnsi" w:cstheme="minorHAnsi"/>
          <w:iCs/>
        </w:rPr>
        <w:t xml:space="preserve">10 of </w:t>
      </w:r>
      <w:r w:rsidR="003C42EF">
        <w:rPr>
          <w:rFonts w:asciiTheme="minorHAnsi" w:hAnsiTheme="minorHAnsi" w:cstheme="minorHAnsi"/>
          <w:iCs/>
        </w:rPr>
        <w:t xml:space="preserve">the </w:t>
      </w:r>
      <w:r w:rsidR="003C42EF">
        <w:rPr>
          <w:rFonts w:asciiTheme="minorHAnsi" w:hAnsiTheme="minorHAnsi" w:cstheme="minorHAnsi"/>
          <w:i/>
        </w:rPr>
        <w:t>Higher Education Support Act 2003</w:t>
      </w:r>
      <w:r w:rsidR="003C42EF">
        <w:rPr>
          <w:rFonts w:asciiTheme="minorHAnsi" w:hAnsiTheme="minorHAnsi" w:cstheme="minorHAnsi"/>
          <w:iCs/>
        </w:rPr>
        <w:t xml:space="preserve"> (‘HESA’)</w:t>
      </w:r>
      <w:r w:rsidRPr="001A53F9">
        <w:rPr>
          <w:rFonts w:asciiTheme="minorHAnsi" w:hAnsiTheme="minorHAnsi" w:cstheme="minorHAnsi"/>
          <w:iCs/>
        </w:rPr>
        <w:t xml:space="preserve"> </w:t>
      </w:r>
      <w:r w:rsidR="006F3C66">
        <w:rPr>
          <w:rFonts w:asciiTheme="minorHAnsi" w:hAnsiTheme="minorHAnsi" w:cstheme="minorHAnsi"/>
          <w:iCs/>
        </w:rPr>
        <w:t>for the purposes of Part 2</w:t>
      </w:r>
      <w:r w:rsidR="00103D47">
        <w:rPr>
          <w:rFonts w:asciiTheme="minorHAnsi" w:hAnsiTheme="minorHAnsi" w:cstheme="minorHAnsi"/>
          <w:iCs/>
        </w:rPr>
        <w:t>-</w:t>
      </w:r>
      <w:r w:rsidR="006F3C66">
        <w:rPr>
          <w:rFonts w:asciiTheme="minorHAnsi" w:hAnsiTheme="minorHAnsi" w:cstheme="minorHAnsi"/>
          <w:iCs/>
        </w:rPr>
        <w:t>3 of that Act.</w:t>
      </w:r>
    </w:p>
    <w:p w14:paraId="1A17B976" w14:textId="10DD5D4E" w:rsidR="00523900" w:rsidRDefault="00523900" w:rsidP="001D33A1">
      <w:pPr>
        <w:spacing w:before="120" w:after="120"/>
        <w:rPr>
          <w:rFonts w:asciiTheme="minorHAnsi" w:hAnsiTheme="minorHAnsi" w:cstheme="minorHAnsi"/>
          <w:b/>
          <w:u w:val="single"/>
        </w:rPr>
      </w:pPr>
      <w:r>
        <w:rPr>
          <w:rFonts w:asciiTheme="minorHAnsi" w:hAnsiTheme="minorHAnsi" w:cstheme="minorHAnsi"/>
          <w:b/>
          <w:u w:val="single"/>
        </w:rPr>
        <w:t xml:space="preserve">Section 4: </w:t>
      </w:r>
      <w:r w:rsidR="003C42EF">
        <w:rPr>
          <w:rFonts w:asciiTheme="minorHAnsi" w:hAnsiTheme="minorHAnsi" w:cstheme="minorHAnsi"/>
          <w:b/>
          <w:u w:val="single"/>
        </w:rPr>
        <w:t>Definitions</w:t>
      </w:r>
    </w:p>
    <w:p w14:paraId="1B32AA74" w14:textId="521AA404" w:rsidR="00523900" w:rsidRPr="001A53F9" w:rsidRDefault="006F3C66" w:rsidP="001D33A1">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This section </w:t>
      </w:r>
      <w:r w:rsidR="005B3C8C">
        <w:rPr>
          <w:rFonts w:asciiTheme="minorHAnsi" w:hAnsiTheme="minorHAnsi" w:cstheme="minorHAnsi"/>
          <w:iCs/>
          <w:szCs w:val="24"/>
        </w:rPr>
        <w:t>defines a range of</w:t>
      </w:r>
      <w:r>
        <w:rPr>
          <w:rFonts w:asciiTheme="minorHAnsi" w:hAnsiTheme="minorHAnsi" w:cstheme="minorHAnsi"/>
          <w:iCs/>
          <w:szCs w:val="24"/>
        </w:rPr>
        <w:t xml:space="preserve"> </w:t>
      </w:r>
      <w:r w:rsidR="005B3C8C">
        <w:rPr>
          <w:rFonts w:asciiTheme="minorHAnsi" w:hAnsiTheme="minorHAnsi" w:cstheme="minorHAnsi"/>
          <w:iCs/>
          <w:szCs w:val="24"/>
        </w:rPr>
        <w:t>terms that are used in the</w:t>
      </w:r>
      <w:r w:rsidR="0038163B">
        <w:rPr>
          <w:rFonts w:asciiTheme="minorHAnsi" w:hAnsiTheme="minorHAnsi" w:cstheme="minorHAnsi"/>
          <w:iCs/>
          <w:szCs w:val="24"/>
        </w:rPr>
        <w:t xml:space="preserve"> Other Grants</w:t>
      </w:r>
      <w:r w:rsidR="005B3C8C">
        <w:rPr>
          <w:rFonts w:asciiTheme="minorHAnsi" w:hAnsiTheme="minorHAnsi" w:cstheme="minorHAnsi"/>
          <w:iCs/>
          <w:szCs w:val="24"/>
        </w:rPr>
        <w:t xml:space="preserve"> Guidelines and notes that some terms used in the </w:t>
      </w:r>
      <w:r w:rsidR="0038163B">
        <w:rPr>
          <w:rFonts w:asciiTheme="minorHAnsi" w:hAnsiTheme="minorHAnsi" w:cstheme="minorHAnsi"/>
          <w:iCs/>
          <w:szCs w:val="24"/>
        </w:rPr>
        <w:t>g</w:t>
      </w:r>
      <w:r w:rsidR="005B3C8C">
        <w:rPr>
          <w:rFonts w:asciiTheme="minorHAnsi" w:hAnsiTheme="minorHAnsi" w:cstheme="minorHAnsi"/>
          <w:iCs/>
          <w:szCs w:val="24"/>
        </w:rPr>
        <w:t xml:space="preserve">uidelines are defined in </w:t>
      </w:r>
      <w:r w:rsidR="00937032">
        <w:rPr>
          <w:rFonts w:asciiTheme="minorHAnsi" w:hAnsiTheme="minorHAnsi" w:cstheme="minorHAnsi"/>
          <w:iCs/>
          <w:szCs w:val="24"/>
        </w:rPr>
        <w:t>Schedule 1 of</w:t>
      </w:r>
      <w:r w:rsidR="00D31A05">
        <w:rPr>
          <w:rFonts w:asciiTheme="minorHAnsi" w:hAnsiTheme="minorHAnsi" w:cstheme="minorHAnsi"/>
          <w:iCs/>
          <w:szCs w:val="24"/>
        </w:rPr>
        <w:t xml:space="preserve"> HESA</w:t>
      </w:r>
      <w:r w:rsidR="00937032">
        <w:rPr>
          <w:rFonts w:asciiTheme="minorHAnsi" w:hAnsiTheme="minorHAnsi" w:cstheme="minorHAnsi"/>
          <w:iCs/>
          <w:szCs w:val="24"/>
        </w:rPr>
        <w:t xml:space="preserve"> </w:t>
      </w:r>
      <w:r w:rsidR="005B3C8C">
        <w:rPr>
          <w:rFonts w:asciiTheme="minorHAnsi" w:hAnsiTheme="minorHAnsi" w:cstheme="minorHAnsi"/>
          <w:iCs/>
          <w:szCs w:val="24"/>
        </w:rPr>
        <w:t>(and have the same meaning</w:t>
      </w:r>
      <w:r w:rsidR="003C42EF">
        <w:rPr>
          <w:rFonts w:asciiTheme="minorHAnsi" w:hAnsiTheme="minorHAnsi" w:cstheme="minorHAnsi"/>
          <w:iCs/>
          <w:szCs w:val="24"/>
        </w:rPr>
        <w:t xml:space="preserve"> as in</w:t>
      </w:r>
      <w:r w:rsidR="00050BCA">
        <w:rPr>
          <w:rFonts w:asciiTheme="minorHAnsi" w:hAnsiTheme="minorHAnsi" w:cstheme="minorHAnsi"/>
          <w:iCs/>
          <w:szCs w:val="24"/>
        </w:rPr>
        <w:t xml:space="preserve"> </w:t>
      </w:r>
      <w:r w:rsidR="003C42EF">
        <w:rPr>
          <w:rFonts w:asciiTheme="minorHAnsi" w:hAnsiTheme="minorHAnsi" w:cstheme="minorHAnsi"/>
          <w:iCs/>
          <w:szCs w:val="24"/>
        </w:rPr>
        <w:t>HESA).</w:t>
      </w:r>
    </w:p>
    <w:p w14:paraId="01C1DBAB" w14:textId="7695CA8D" w:rsidR="00523900" w:rsidRDefault="00523900" w:rsidP="001D33A1">
      <w:pPr>
        <w:spacing w:before="120" w:after="120"/>
        <w:rPr>
          <w:rFonts w:asciiTheme="minorHAnsi" w:hAnsiTheme="minorHAnsi" w:cstheme="minorHAnsi"/>
          <w:b/>
          <w:u w:val="single"/>
        </w:rPr>
      </w:pPr>
      <w:r w:rsidRPr="001A53F9">
        <w:rPr>
          <w:rFonts w:asciiTheme="minorHAnsi" w:hAnsiTheme="minorHAnsi" w:cstheme="minorHAnsi"/>
          <w:b/>
          <w:u w:val="single"/>
        </w:rPr>
        <w:t xml:space="preserve">Section 5: </w:t>
      </w:r>
      <w:r w:rsidR="003C42EF">
        <w:rPr>
          <w:rFonts w:asciiTheme="minorHAnsi" w:hAnsiTheme="minorHAnsi" w:cstheme="minorHAnsi"/>
          <w:b/>
          <w:u w:val="single"/>
        </w:rPr>
        <w:t>Schedule</w:t>
      </w:r>
    </w:p>
    <w:p w14:paraId="0514D317" w14:textId="510CF37E" w:rsidR="00523900" w:rsidRPr="001A53F9" w:rsidRDefault="00523900" w:rsidP="001D33A1">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This </w:t>
      </w:r>
      <w:r w:rsidR="003C42EF">
        <w:rPr>
          <w:rFonts w:asciiTheme="minorHAnsi" w:hAnsiTheme="minorHAnsi" w:cstheme="minorHAnsi"/>
          <w:iCs/>
          <w:szCs w:val="24"/>
        </w:rPr>
        <w:t xml:space="preserve">is a </w:t>
      </w:r>
      <w:r w:rsidR="00103D47">
        <w:rPr>
          <w:rFonts w:asciiTheme="minorHAnsi" w:hAnsiTheme="minorHAnsi" w:cstheme="minorHAnsi"/>
          <w:iCs/>
          <w:szCs w:val="24"/>
        </w:rPr>
        <w:t xml:space="preserve">technical </w:t>
      </w:r>
      <w:r w:rsidR="003C42EF">
        <w:rPr>
          <w:rFonts w:asciiTheme="minorHAnsi" w:hAnsiTheme="minorHAnsi" w:cstheme="minorHAnsi"/>
          <w:iCs/>
          <w:szCs w:val="24"/>
        </w:rPr>
        <w:t xml:space="preserve">section that simply </w:t>
      </w:r>
      <w:r w:rsidR="00CD1D61">
        <w:rPr>
          <w:rFonts w:asciiTheme="minorHAnsi" w:hAnsiTheme="minorHAnsi" w:cstheme="minorHAnsi"/>
          <w:iCs/>
          <w:szCs w:val="24"/>
        </w:rPr>
        <w:t>ensures that the Schedules have effect on their terms</w:t>
      </w:r>
      <w:r w:rsidR="00752180">
        <w:rPr>
          <w:rFonts w:asciiTheme="minorHAnsi" w:hAnsiTheme="minorHAnsi" w:cstheme="minorHAnsi"/>
          <w:iCs/>
          <w:szCs w:val="24"/>
        </w:rPr>
        <w:t xml:space="preserve"> (to repeal the former Guidelines and to give effect to transitional arrangements).</w:t>
      </w:r>
    </w:p>
    <w:p w14:paraId="0AF2D408" w14:textId="04CDDBC6" w:rsidR="00523900" w:rsidRPr="00E631F9" w:rsidRDefault="00523900" w:rsidP="001D33A1">
      <w:pPr>
        <w:spacing w:before="120" w:after="120"/>
        <w:rPr>
          <w:rFonts w:asciiTheme="minorHAnsi" w:hAnsiTheme="minorHAnsi" w:cstheme="minorHAnsi"/>
        </w:rPr>
      </w:pPr>
      <w:r>
        <w:rPr>
          <w:rFonts w:asciiTheme="minorHAnsi" w:hAnsiTheme="minorHAnsi" w:cstheme="minorHAnsi"/>
          <w:b/>
          <w:u w:val="single"/>
        </w:rPr>
        <w:t xml:space="preserve">Section 6: </w:t>
      </w:r>
      <w:r w:rsidR="007E38A2">
        <w:rPr>
          <w:rFonts w:asciiTheme="minorHAnsi" w:hAnsiTheme="minorHAnsi" w:cstheme="minorHAnsi"/>
          <w:b/>
          <w:u w:val="single"/>
        </w:rPr>
        <w:t>General outline</w:t>
      </w:r>
    </w:p>
    <w:p w14:paraId="79C6E66E" w14:textId="48FF39B5" w:rsidR="00523900" w:rsidRPr="00213BF3" w:rsidRDefault="004F5405" w:rsidP="001D33A1">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t>T</w:t>
      </w:r>
      <w:r w:rsidR="00523900">
        <w:rPr>
          <w:rFonts w:asciiTheme="minorHAnsi" w:hAnsiTheme="minorHAnsi" w:cstheme="minorHAnsi"/>
          <w:iCs/>
          <w:szCs w:val="24"/>
        </w:rPr>
        <w:t xml:space="preserve">his </w:t>
      </w:r>
      <w:r w:rsidR="007E38A2">
        <w:rPr>
          <w:rFonts w:asciiTheme="minorHAnsi" w:hAnsiTheme="minorHAnsi" w:cstheme="minorHAnsi"/>
          <w:iCs/>
          <w:szCs w:val="24"/>
        </w:rPr>
        <w:t>section explains what</w:t>
      </w:r>
      <w:r w:rsidR="00F209A1">
        <w:rPr>
          <w:rFonts w:asciiTheme="minorHAnsi" w:hAnsiTheme="minorHAnsi" w:cstheme="minorHAnsi"/>
          <w:iCs/>
          <w:szCs w:val="24"/>
        </w:rPr>
        <w:t xml:space="preserve"> </w:t>
      </w:r>
      <w:r w:rsidR="007E38A2">
        <w:rPr>
          <w:rFonts w:asciiTheme="minorHAnsi" w:hAnsiTheme="minorHAnsi" w:cstheme="minorHAnsi"/>
          <w:iCs/>
          <w:szCs w:val="24"/>
        </w:rPr>
        <w:t xml:space="preserve">HESA </w:t>
      </w:r>
      <w:r w:rsidR="00F209A1">
        <w:rPr>
          <w:rFonts w:asciiTheme="minorHAnsi" w:hAnsiTheme="minorHAnsi" w:cstheme="minorHAnsi"/>
          <w:iCs/>
          <w:szCs w:val="24"/>
        </w:rPr>
        <w:t xml:space="preserve">provides </w:t>
      </w:r>
      <w:r w:rsidR="007E38A2">
        <w:rPr>
          <w:rFonts w:asciiTheme="minorHAnsi" w:hAnsiTheme="minorHAnsi" w:cstheme="minorHAnsi"/>
          <w:iCs/>
          <w:szCs w:val="24"/>
        </w:rPr>
        <w:t>that the</w:t>
      </w:r>
      <w:r w:rsidR="0038163B">
        <w:rPr>
          <w:rFonts w:asciiTheme="minorHAnsi" w:hAnsiTheme="minorHAnsi" w:cstheme="minorHAnsi"/>
          <w:iCs/>
          <w:szCs w:val="24"/>
        </w:rPr>
        <w:t xml:space="preserve"> Other Grants</w:t>
      </w:r>
      <w:r w:rsidR="007E38A2">
        <w:rPr>
          <w:rFonts w:asciiTheme="minorHAnsi" w:hAnsiTheme="minorHAnsi" w:cstheme="minorHAnsi"/>
          <w:iCs/>
          <w:szCs w:val="24"/>
        </w:rPr>
        <w:t xml:space="preserve"> Guidelines are able to </w:t>
      </w:r>
      <w:r w:rsidR="00850F6F">
        <w:rPr>
          <w:rFonts w:asciiTheme="minorHAnsi" w:hAnsiTheme="minorHAnsi" w:cstheme="minorHAnsi"/>
          <w:iCs/>
          <w:szCs w:val="24"/>
        </w:rPr>
        <w:t>specify.</w:t>
      </w:r>
      <w:r w:rsidR="0021392C">
        <w:rPr>
          <w:rFonts w:asciiTheme="minorHAnsi" w:hAnsiTheme="minorHAnsi" w:cstheme="minorHAnsi"/>
          <w:iCs/>
          <w:szCs w:val="24"/>
        </w:rPr>
        <w:t xml:space="preserve"> In short,</w:t>
      </w:r>
      <w:r w:rsidR="00F209A1">
        <w:rPr>
          <w:rFonts w:asciiTheme="minorHAnsi" w:hAnsiTheme="minorHAnsi" w:cstheme="minorHAnsi"/>
          <w:iCs/>
          <w:szCs w:val="24"/>
        </w:rPr>
        <w:t xml:space="preserve"> </w:t>
      </w:r>
      <w:r w:rsidR="0021392C">
        <w:rPr>
          <w:rFonts w:asciiTheme="minorHAnsi" w:hAnsiTheme="minorHAnsi" w:cstheme="minorHAnsi"/>
          <w:iCs/>
          <w:szCs w:val="24"/>
        </w:rPr>
        <w:t>HESA allows the</w:t>
      </w:r>
      <w:r w:rsidR="0038163B">
        <w:rPr>
          <w:rFonts w:asciiTheme="minorHAnsi" w:hAnsiTheme="minorHAnsi" w:cstheme="minorHAnsi"/>
          <w:iCs/>
          <w:szCs w:val="24"/>
        </w:rPr>
        <w:t xml:space="preserve"> Other Grants</w:t>
      </w:r>
      <w:r w:rsidR="0021392C">
        <w:rPr>
          <w:rFonts w:asciiTheme="minorHAnsi" w:hAnsiTheme="minorHAnsi" w:cstheme="minorHAnsi"/>
          <w:iCs/>
          <w:szCs w:val="24"/>
        </w:rPr>
        <w:t xml:space="preserve"> Guidelines to set out a range of matters relevant to grant programs that operate under Part 2-3, including eligibility criteria for grants, </w:t>
      </w:r>
      <w:r w:rsidR="001433A3">
        <w:rPr>
          <w:rFonts w:asciiTheme="minorHAnsi" w:hAnsiTheme="minorHAnsi" w:cstheme="minorHAnsi"/>
          <w:iCs/>
          <w:szCs w:val="24"/>
        </w:rPr>
        <w:t>amounts payable and conditions that apply to grants under that Part.</w:t>
      </w:r>
    </w:p>
    <w:p w14:paraId="6A53F3B3" w14:textId="31B9119D" w:rsidR="00240B63" w:rsidRDefault="00240B63" w:rsidP="001D33A1">
      <w:pPr>
        <w:spacing w:before="120" w:after="120"/>
        <w:rPr>
          <w:rFonts w:asciiTheme="minorHAnsi" w:hAnsiTheme="minorHAnsi" w:cstheme="minorHAnsi"/>
          <w:b/>
          <w:u w:val="single"/>
        </w:rPr>
      </w:pPr>
      <w:bookmarkStart w:id="7" w:name="_Toc88732865"/>
      <w:r w:rsidRPr="00240B63">
        <w:rPr>
          <w:rFonts w:asciiTheme="minorHAnsi" w:hAnsiTheme="minorHAnsi" w:cstheme="minorHAnsi"/>
          <w:b/>
          <w:u w:val="single"/>
        </w:rPr>
        <w:t>Part 2—Programs that promote equality of opportunity in higher education—Indigenous, Regional and Low Socio-Economic Status Attainment Fund (IRLSAF)</w:t>
      </w:r>
      <w:bookmarkEnd w:id="7"/>
    </w:p>
    <w:p w14:paraId="5E82FF39" w14:textId="11DFF7B7" w:rsidR="00523900" w:rsidRPr="00E631F9" w:rsidRDefault="00523900" w:rsidP="001D33A1">
      <w:pPr>
        <w:spacing w:before="120" w:after="120"/>
        <w:rPr>
          <w:rFonts w:asciiTheme="minorHAnsi" w:hAnsiTheme="minorHAnsi" w:cstheme="minorHAnsi"/>
        </w:rPr>
      </w:pPr>
      <w:r w:rsidRPr="00D52E9D">
        <w:rPr>
          <w:rFonts w:asciiTheme="minorHAnsi" w:hAnsiTheme="minorHAnsi" w:cstheme="minorHAnsi"/>
          <w:b/>
          <w:u w:val="single"/>
        </w:rPr>
        <w:t xml:space="preserve">Section 7: </w:t>
      </w:r>
      <w:r w:rsidR="00240B63">
        <w:rPr>
          <w:rFonts w:asciiTheme="minorHAnsi" w:hAnsiTheme="minorHAnsi" w:cstheme="minorHAnsi"/>
          <w:b/>
          <w:u w:val="single"/>
        </w:rPr>
        <w:t>Outline</w:t>
      </w:r>
      <w:r w:rsidR="00A27055">
        <w:rPr>
          <w:rFonts w:asciiTheme="minorHAnsi" w:hAnsiTheme="minorHAnsi" w:cstheme="minorHAnsi"/>
          <w:b/>
          <w:u w:val="single"/>
        </w:rPr>
        <w:t xml:space="preserve"> of this Part</w:t>
      </w:r>
    </w:p>
    <w:p w14:paraId="1634200A" w14:textId="331C09C4" w:rsidR="00675845" w:rsidRPr="00103D47" w:rsidRDefault="00523900" w:rsidP="00103D47">
      <w:pPr>
        <w:pStyle w:val="ListParagraph"/>
        <w:numPr>
          <w:ilvl w:val="0"/>
          <w:numId w:val="1"/>
        </w:numPr>
        <w:spacing w:before="120" w:after="120"/>
        <w:rPr>
          <w:rFonts w:asciiTheme="minorHAnsi" w:hAnsiTheme="minorHAnsi" w:cstheme="minorHAnsi"/>
          <w:iCs/>
          <w:szCs w:val="24"/>
        </w:rPr>
      </w:pPr>
      <w:r w:rsidRPr="001A53F9">
        <w:rPr>
          <w:rFonts w:asciiTheme="minorHAnsi" w:hAnsiTheme="minorHAnsi" w:cstheme="minorHAnsi"/>
          <w:iCs/>
          <w:szCs w:val="24"/>
        </w:rPr>
        <w:t xml:space="preserve">Section </w:t>
      </w:r>
      <w:r>
        <w:rPr>
          <w:rFonts w:asciiTheme="minorHAnsi" w:hAnsiTheme="minorHAnsi" w:cstheme="minorHAnsi"/>
          <w:iCs/>
          <w:szCs w:val="24"/>
        </w:rPr>
        <w:t>7</w:t>
      </w:r>
      <w:r w:rsidRPr="001A53F9">
        <w:rPr>
          <w:rFonts w:asciiTheme="minorHAnsi" w:hAnsiTheme="minorHAnsi" w:cstheme="minorHAnsi"/>
          <w:iCs/>
          <w:szCs w:val="24"/>
        </w:rPr>
        <w:t xml:space="preserve"> </w:t>
      </w:r>
      <w:r w:rsidR="0061650D">
        <w:rPr>
          <w:rFonts w:asciiTheme="minorHAnsi" w:hAnsiTheme="minorHAnsi" w:cstheme="minorHAnsi"/>
          <w:iCs/>
          <w:szCs w:val="24"/>
        </w:rPr>
        <w:t xml:space="preserve">provides </w:t>
      </w:r>
      <w:r w:rsidR="00047931">
        <w:rPr>
          <w:rFonts w:asciiTheme="minorHAnsi" w:hAnsiTheme="minorHAnsi" w:cstheme="minorHAnsi"/>
          <w:iCs/>
          <w:szCs w:val="24"/>
        </w:rPr>
        <w:t xml:space="preserve">an outline </w:t>
      </w:r>
      <w:r w:rsidR="0061650D">
        <w:rPr>
          <w:rFonts w:asciiTheme="minorHAnsi" w:hAnsiTheme="minorHAnsi" w:cstheme="minorHAnsi"/>
          <w:iCs/>
          <w:szCs w:val="24"/>
        </w:rPr>
        <w:t>of</w:t>
      </w:r>
      <w:r w:rsidR="00047931">
        <w:rPr>
          <w:rFonts w:asciiTheme="minorHAnsi" w:hAnsiTheme="minorHAnsi" w:cstheme="minorHAnsi"/>
          <w:iCs/>
          <w:szCs w:val="24"/>
        </w:rPr>
        <w:t xml:space="preserve"> Part 2 of the Guidelines which deals with the </w:t>
      </w:r>
      <w:r w:rsidR="0091514A" w:rsidRPr="0091514A">
        <w:rPr>
          <w:rFonts w:asciiTheme="minorHAnsi" w:hAnsiTheme="minorHAnsi" w:cstheme="minorHAnsi"/>
          <w:iCs/>
          <w:szCs w:val="24"/>
        </w:rPr>
        <w:t>Indigenous, Regional and Low Socio-Economic Status Attainment Fund (IRLSAF)</w:t>
      </w:r>
      <w:r w:rsidRPr="001A53F9">
        <w:rPr>
          <w:rFonts w:asciiTheme="minorHAnsi" w:hAnsiTheme="minorHAnsi" w:cstheme="minorHAnsi"/>
          <w:iCs/>
          <w:szCs w:val="24"/>
        </w:rPr>
        <w:t>.</w:t>
      </w:r>
      <w:r w:rsidR="0091514A">
        <w:rPr>
          <w:rFonts w:asciiTheme="minorHAnsi" w:hAnsiTheme="minorHAnsi" w:cstheme="minorHAnsi"/>
          <w:iCs/>
          <w:szCs w:val="24"/>
        </w:rPr>
        <w:t xml:space="preserve"> </w:t>
      </w:r>
      <w:r w:rsidR="0061650D">
        <w:rPr>
          <w:rFonts w:asciiTheme="minorHAnsi" w:hAnsiTheme="minorHAnsi" w:cstheme="minorHAnsi"/>
          <w:iCs/>
          <w:szCs w:val="24"/>
        </w:rPr>
        <w:t>The outline</w:t>
      </w:r>
      <w:r w:rsidR="0091514A">
        <w:rPr>
          <w:rFonts w:asciiTheme="minorHAnsi" w:hAnsiTheme="minorHAnsi" w:cstheme="minorHAnsi"/>
          <w:iCs/>
          <w:szCs w:val="24"/>
        </w:rPr>
        <w:t xml:space="preserve"> clarifies that the Divisions of this Part </w:t>
      </w:r>
      <w:r w:rsidR="00ED49B5">
        <w:rPr>
          <w:rFonts w:asciiTheme="minorHAnsi" w:hAnsiTheme="minorHAnsi" w:cstheme="minorHAnsi"/>
          <w:iCs/>
          <w:szCs w:val="24"/>
        </w:rPr>
        <w:t>are separate grant programs under Part 2-3 of</w:t>
      </w:r>
      <w:r w:rsidR="00050BCA">
        <w:rPr>
          <w:rFonts w:asciiTheme="minorHAnsi" w:hAnsiTheme="minorHAnsi" w:cstheme="minorHAnsi"/>
          <w:iCs/>
          <w:szCs w:val="24"/>
        </w:rPr>
        <w:t xml:space="preserve"> </w:t>
      </w:r>
      <w:r w:rsidR="00ED49B5">
        <w:rPr>
          <w:rFonts w:asciiTheme="minorHAnsi" w:hAnsiTheme="minorHAnsi" w:cstheme="minorHAnsi"/>
          <w:iCs/>
          <w:szCs w:val="24"/>
        </w:rPr>
        <w:t>HESA</w:t>
      </w:r>
      <w:r w:rsidR="0013236B">
        <w:rPr>
          <w:rFonts w:asciiTheme="minorHAnsi" w:hAnsiTheme="minorHAnsi" w:cstheme="minorHAnsi"/>
          <w:iCs/>
          <w:szCs w:val="24"/>
        </w:rPr>
        <w:t xml:space="preserve"> which are </w:t>
      </w:r>
      <w:r w:rsidR="00411D1E">
        <w:rPr>
          <w:rFonts w:asciiTheme="minorHAnsi" w:hAnsiTheme="minorHAnsi" w:cstheme="minorHAnsi"/>
          <w:iCs/>
          <w:szCs w:val="24"/>
        </w:rPr>
        <w:t xml:space="preserve">for the purpose specified in </w:t>
      </w:r>
      <w:r w:rsidR="00D52CDA">
        <w:rPr>
          <w:rFonts w:asciiTheme="minorHAnsi" w:hAnsiTheme="minorHAnsi" w:cstheme="minorHAnsi"/>
          <w:iCs/>
          <w:szCs w:val="24"/>
        </w:rPr>
        <w:t xml:space="preserve">item 1 of </w:t>
      </w:r>
      <w:r w:rsidR="009E0693">
        <w:rPr>
          <w:rFonts w:asciiTheme="minorHAnsi" w:hAnsiTheme="minorHAnsi" w:cstheme="minorHAnsi"/>
          <w:iCs/>
          <w:szCs w:val="24"/>
        </w:rPr>
        <w:t>the table in section 41</w:t>
      </w:r>
      <w:r w:rsidR="00103D47">
        <w:rPr>
          <w:rFonts w:asciiTheme="minorHAnsi" w:hAnsiTheme="minorHAnsi" w:cstheme="minorHAnsi"/>
          <w:iCs/>
          <w:szCs w:val="24"/>
        </w:rPr>
        <w:t>-</w:t>
      </w:r>
      <w:r w:rsidR="009E0693">
        <w:rPr>
          <w:rFonts w:asciiTheme="minorHAnsi" w:hAnsiTheme="minorHAnsi" w:cstheme="minorHAnsi"/>
          <w:iCs/>
          <w:szCs w:val="24"/>
        </w:rPr>
        <w:t>10</w:t>
      </w:r>
      <w:r w:rsidR="00675845">
        <w:rPr>
          <w:rFonts w:asciiTheme="minorHAnsi" w:hAnsiTheme="minorHAnsi" w:cstheme="minorHAnsi"/>
          <w:iCs/>
          <w:szCs w:val="24"/>
        </w:rPr>
        <w:t xml:space="preserve"> </w:t>
      </w:r>
      <w:r w:rsidR="00271EAA">
        <w:rPr>
          <w:rFonts w:asciiTheme="minorHAnsi" w:hAnsiTheme="minorHAnsi" w:cstheme="minorHAnsi"/>
          <w:iCs/>
          <w:szCs w:val="24"/>
        </w:rPr>
        <w:softHyphen/>
      </w:r>
      <w:r w:rsidR="00271EAA">
        <w:rPr>
          <w:rFonts w:asciiTheme="minorHAnsi" w:hAnsiTheme="minorHAnsi" w:cstheme="minorHAnsi"/>
          <w:iCs/>
          <w:szCs w:val="24"/>
        </w:rPr>
        <w:softHyphen/>
        <w:t>–</w:t>
      </w:r>
      <w:r w:rsidR="00103D47">
        <w:rPr>
          <w:rFonts w:asciiTheme="minorHAnsi" w:hAnsiTheme="minorHAnsi" w:cstheme="minorHAnsi"/>
          <w:iCs/>
          <w:szCs w:val="24"/>
        </w:rPr>
        <w:t xml:space="preserve"> </w:t>
      </w:r>
      <w:r w:rsidR="00714F37" w:rsidRPr="00103D47">
        <w:rPr>
          <w:rFonts w:asciiTheme="minorHAnsi" w:hAnsiTheme="minorHAnsi" w:cstheme="minorHAnsi"/>
          <w:iCs/>
          <w:szCs w:val="24"/>
        </w:rPr>
        <w:t xml:space="preserve">‘Grants to promote </w:t>
      </w:r>
      <w:r w:rsidR="00675845" w:rsidRPr="00103D47">
        <w:rPr>
          <w:rFonts w:asciiTheme="minorHAnsi" w:hAnsiTheme="minorHAnsi" w:cstheme="minorHAnsi"/>
          <w:iCs/>
          <w:szCs w:val="24"/>
        </w:rPr>
        <w:t>equality of opportunity in higher education</w:t>
      </w:r>
      <w:r w:rsidR="00714F37" w:rsidRPr="00103D47">
        <w:rPr>
          <w:rFonts w:asciiTheme="minorHAnsi" w:hAnsiTheme="minorHAnsi" w:cstheme="minorHAnsi"/>
          <w:iCs/>
          <w:szCs w:val="24"/>
        </w:rPr>
        <w:t>’</w:t>
      </w:r>
      <w:r w:rsidR="00675845" w:rsidRPr="00103D47">
        <w:rPr>
          <w:rFonts w:asciiTheme="minorHAnsi" w:hAnsiTheme="minorHAnsi" w:cstheme="minorHAnsi"/>
          <w:iCs/>
          <w:szCs w:val="24"/>
        </w:rPr>
        <w:t>.</w:t>
      </w:r>
    </w:p>
    <w:p w14:paraId="64836ABF" w14:textId="64796E8B" w:rsidR="0031464D" w:rsidRPr="00ED49B5" w:rsidRDefault="0031464D" w:rsidP="00D5636F">
      <w:pPr>
        <w:pStyle w:val="ListParagraph"/>
        <w:spacing w:before="120" w:after="120"/>
        <w:rPr>
          <w:rFonts w:asciiTheme="minorHAnsi" w:hAnsiTheme="minorHAnsi" w:cstheme="minorHAnsi"/>
          <w:iCs/>
          <w:szCs w:val="24"/>
        </w:rPr>
      </w:pPr>
    </w:p>
    <w:p w14:paraId="1E70C3B6" w14:textId="77777777" w:rsidR="009B1528" w:rsidRPr="009B1528" w:rsidRDefault="009B1528" w:rsidP="001D33A1">
      <w:pPr>
        <w:pStyle w:val="ActHead3"/>
        <w:keepLines w:val="0"/>
        <w:spacing w:before="120" w:after="120"/>
        <w:rPr>
          <w:rFonts w:asciiTheme="minorHAnsi" w:eastAsiaTheme="minorHAnsi" w:hAnsiTheme="minorHAnsi" w:cstheme="minorHAnsi"/>
          <w:kern w:val="0"/>
          <w:sz w:val="24"/>
          <w:szCs w:val="22"/>
          <w:u w:val="single"/>
          <w:lang w:eastAsia="en-US"/>
        </w:rPr>
      </w:pPr>
      <w:bookmarkStart w:id="8" w:name="_Toc88732867"/>
      <w:r w:rsidRPr="009B1528">
        <w:rPr>
          <w:rFonts w:asciiTheme="minorHAnsi" w:eastAsiaTheme="minorHAnsi" w:hAnsiTheme="minorHAnsi" w:cstheme="minorHAnsi"/>
          <w:kern w:val="0"/>
          <w:sz w:val="24"/>
          <w:szCs w:val="22"/>
          <w:u w:val="single"/>
          <w:lang w:eastAsia="en-US"/>
        </w:rPr>
        <w:t>Division 1—Higher Education Participation and Partnerships Program (HEPPP)</w:t>
      </w:r>
      <w:bookmarkEnd w:id="8"/>
    </w:p>
    <w:p w14:paraId="35499272" w14:textId="39133238" w:rsidR="00523900" w:rsidRDefault="00523900" w:rsidP="001D33A1">
      <w:pPr>
        <w:keepNext/>
        <w:spacing w:before="120" w:after="120"/>
        <w:rPr>
          <w:rFonts w:asciiTheme="minorHAnsi" w:hAnsiTheme="minorHAnsi" w:cstheme="minorHAnsi"/>
          <w:b/>
          <w:u w:val="single"/>
        </w:rPr>
      </w:pPr>
      <w:r>
        <w:rPr>
          <w:rFonts w:asciiTheme="minorHAnsi" w:hAnsiTheme="minorHAnsi" w:cstheme="minorHAnsi"/>
          <w:b/>
          <w:u w:val="single"/>
        </w:rPr>
        <w:t xml:space="preserve">Section 8: </w:t>
      </w:r>
      <w:r w:rsidR="009B1528">
        <w:rPr>
          <w:rFonts w:asciiTheme="minorHAnsi" w:hAnsiTheme="minorHAnsi" w:cstheme="minorHAnsi"/>
          <w:b/>
          <w:u w:val="single"/>
        </w:rPr>
        <w:t>Program objectives</w:t>
      </w:r>
    </w:p>
    <w:p w14:paraId="1AA5A5BA" w14:textId="625AABFD" w:rsidR="00E87392" w:rsidRPr="00E87392" w:rsidRDefault="008C2AF3" w:rsidP="00286BAF">
      <w:pPr>
        <w:pStyle w:val="ListParagraph"/>
        <w:numPr>
          <w:ilvl w:val="0"/>
          <w:numId w:val="1"/>
        </w:numPr>
        <w:spacing w:before="120" w:after="120"/>
      </w:pPr>
      <w:r w:rsidRPr="00E87392">
        <w:rPr>
          <w:rFonts w:asciiTheme="minorHAnsi" w:hAnsiTheme="minorHAnsi" w:cstheme="minorHAnsi"/>
          <w:bCs/>
        </w:rPr>
        <w:t>Section 8</w:t>
      </w:r>
      <w:r w:rsidR="006B45FE">
        <w:rPr>
          <w:rFonts w:asciiTheme="minorHAnsi" w:hAnsiTheme="minorHAnsi" w:cstheme="minorHAnsi"/>
          <w:bCs/>
        </w:rPr>
        <w:t xml:space="preserve"> specifies </w:t>
      </w:r>
      <w:r w:rsidR="00D73AF1">
        <w:rPr>
          <w:rFonts w:asciiTheme="minorHAnsi" w:hAnsiTheme="minorHAnsi" w:cstheme="minorHAnsi"/>
          <w:bCs/>
        </w:rPr>
        <w:t xml:space="preserve">the </w:t>
      </w:r>
      <w:r w:rsidR="00E34FA1" w:rsidRPr="00E87392">
        <w:rPr>
          <w:rFonts w:asciiTheme="minorHAnsi" w:hAnsiTheme="minorHAnsi" w:cstheme="minorHAnsi"/>
          <w:bCs/>
        </w:rPr>
        <w:t>Higher Education Participation and Partnerships Program (HEPPP)</w:t>
      </w:r>
      <w:r w:rsidR="0089262E">
        <w:rPr>
          <w:rFonts w:asciiTheme="minorHAnsi" w:hAnsiTheme="minorHAnsi" w:cstheme="minorHAnsi"/>
          <w:bCs/>
        </w:rPr>
        <w:t xml:space="preserve"> as</w:t>
      </w:r>
      <w:r w:rsidR="00523015">
        <w:rPr>
          <w:rFonts w:asciiTheme="minorHAnsi" w:hAnsiTheme="minorHAnsi" w:cstheme="minorHAnsi"/>
          <w:bCs/>
        </w:rPr>
        <w:t xml:space="preserve"> a program</w:t>
      </w:r>
      <w:r w:rsidR="00D73AF1">
        <w:rPr>
          <w:rFonts w:asciiTheme="minorHAnsi" w:hAnsiTheme="minorHAnsi" w:cstheme="minorHAnsi"/>
          <w:bCs/>
        </w:rPr>
        <w:t xml:space="preserve"> for the purpose of promoti</w:t>
      </w:r>
      <w:r w:rsidR="0081177E">
        <w:rPr>
          <w:rFonts w:asciiTheme="minorHAnsi" w:hAnsiTheme="minorHAnsi" w:cstheme="minorHAnsi"/>
          <w:bCs/>
        </w:rPr>
        <w:t>ng</w:t>
      </w:r>
      <w:r w:rsidR="00D73AF1">
        <w:rPr>
          <w:rFonts w:asciiTheme="minorHAnsi" w:hAnsiTheme="minorHAnsi" w:cstheme="minorHAnsi"/>
          <w:bCs/>
        </w:rPr>
        <w:t xml:space="preserve"> equality of opportunity in higher education and lists the objectives for HEPPP</w:t>
      </w:r>
      <w:r w:rsidR="00E34FA1" w:rsidRPr="00E87392">
        <w:rPr>
          <w:rFonts w:asciiTheme="minorHAnsi" w:hAnsiTheme="minorHAnsi" w:cstheme="minorHAnsi"/>
          <w:bCs/>
        </w:rPr>
        <w:t>.</w:t>
      </w:r>
      <w:r w:rsidRPr="00E87392">
        <w:rPr>
          <w:rFonts w:asciiTheme="minorHAnsi" w:hAnsiTheme="minorHAnsi" w:cstheme="minorHAnsi"/>
          <w:bCs/>
        </w:rPr>
        <w:t xml:space="preserve">  </w:t>
      </w:r>
    </w:p>
    <w:p w14:paraId="35695EEE" w14:textId="4B84E2E6" w:rsidR="00E87392" w:rsidRPr="00E87392" w:rsidRDefault="0063249E" w:rsidP="00E87392">
      <w:pPr>
        <w:keepNext/>
        <w:spacing w:before="120" w:after="120"/>
        <w:rPr>
          <w:rFonts w:asciiTheme="minorHAnsi" w:hAnsiTheme="minorHAnsi" w:cstheme="minorHAnsi"/>
          <w:b/>
          <w:u w:val="single"/>
        </w:rPr>
      </w:pPr>
      <w:r w:rsidRPr="00E87392">
        <w:rPr>
          <w:rFonts w:asciiTheme="minorHAnsi" w:hAnsiTheme="minorHAnsi" w:cstheme="minorHAnsi"/>
          <w:b/>
          <w:u w:val="single"/>
        </w:rPr>
        <w:t xml:space="preserve">Section 9: </w:t>
      </w:r>
      <w:r w:rsidR="00E87392" w:rsidRPr="00E87392">
        <w:rPr>
          <w:rFonts w:asciiTheme="minorHAnsi" w:hAnsiTheme="minorHAnsi" w:cstheme="minorHAnsi"/>
          <w:b/>
          <w:u w:val="single"/>
        </w:rPr>
        <w:t>Specified bodies corporate and extra conditions of eligibility</w:t>
      </w:r>
    </w:p>
    <w:p w14:paraId="3DB5324F" w14:textId="613CDFFF" w:rsidR="00523900" w:rsidRPr="00E87392" w:rsidRDefault="008C2AF3" w:rsidP="00E87392">
      <w:pPr>
        <w:pStyle w:val="ListParagraph"/>
        <w:keepNext/>
        <w:numPr>
          <w:ilvl w:val="0"/>
          <w:numId w:val="1"/>
        </w:numPr>
        <w:spacing w:before="120" w:after="120"/>
        <w:rPr>
          <w:rFonts w:asciiTheme="minorHAnsi" w:hAnsiTheme="minorHAnsi" w:cstheme="minorHAnsi"/>
          <w:b/>
          <w:u w:val="single"/>
        </w:rPr>
      </w:pPr>
      <w:r w:rsidRPr="00E87392">
        <w:rPr>
          <w:rFonts w:asciiTheme="minorHAnsi" w:hAnsiTheme="minorHAnsi" w:cstheme="minorHAnsi"/>
          <w:bCs/>
        </w:rPr>
        <w:t>Section 9</w:t>
      </w:r>
      <w:r w:rsidR="0037238C">
        <w:rPr>
          <w:rFonts w:asciiTheme="minorHAnsi" w:hAnsiTheme="minorHAnsi" w:cstheme="minorHAnsi"/>
          <w:bCs/>
        </w:rPr>
        <w:t xml:space="preserve"> and its note</w:t>
      </w:r>
      <w:r w:rsidRPr="00E87392">
        <w:rPr>
          <w:rFonts w:asciiTheme="minorHAnsi" w:hAnsiTheme="minorHAnsi" w:cstheme="minorHAnsi"/>
          <w:bCs/>
        </w:rPr>
        <w:t xml:space="preserve"> clarif</w:t>
      </w:r>
      <w:r w:rsidR="0037238C">
        <w:rPr>
          <w:rFonts w:asciiTheme="minorHAnsi" w:hAnsiTheme="minorHAnsi" w:cstheme="minorHAnsi"/>
          <w:bCs/>
        </w:rPr>
        <w:t>y</w:t>
      </w:r>
      <w:r w:rsidRPr="00E87392">
        <w:rPr>
          <w:rFonts w:asciiTheme="minorHAnsi" w:hAnsiTheme="minorHAnsi" w:cstheme="minorHAnsi"/>
          <w:bCs/>
        </w:rPr>
        <w:t xml:space="preserve"> that there are no additional specified bodies corporate or extra conditions of eligibility besides those that apply under section 41</w:t>
      </w:r>
      <w:r w:rsidR="0032791F">
        <w:rPr>
          <w:rFonts w:asciiTheme="minorHAnsi" w:hAnsiTheme="minorHAnsi" w:cstheme="minorHAnsi"/>
          <w:bCs/>
        </w:rPr>
        <w:noBreakHyphen/>
      </w:r>
      <w:r w:rsidRPr="00E87392">
        <w:rPr>
          <w:rFonts w:asciiTheme="minorHAnsi" w:hAnsiTheme="minorHAnsi" w:cstheme="minorHAnsi"/>
          <w:bCs/>
        </w:rPr>
        <w:t>10 of</w:t>
      </w:r>
      <w:r w:rsidR="00050BCA">
        <w:rPr>
          <w:rFonts w:asciiTheme="minorHAnsi" w:hAnsiTheme="minorHAnsi" w:cstheme="minorHAnsi"/>
          <w:bCs/>
        </w:rPr>
        <w:t xml:space="preserve"> </w:t>
      </w:r>
      <w:r w:rsidRPr="00E87392">
        <w:rPr>
          <w:rFonts w:asciiTheme="minorHAnsi" w:hAnsiTheme="minorHAnsi" w:cstheme="minorHAnsi"/>
          <w:bCs/>
        </w:rPr>
        <w:t>HESA.</w:t>
      </w:r>
    </w:p>
    <w:p w14:paraId="6B57E387" w14:textId="326AAF5D" w:rsidR="00523900" w:rsidRDefault="00523900" w:rsidP="001D33A1">
      <w:pPr>
        <w:spacing w:before="120" w:after="120" w:line="259" w:lineRule="auto"/>
        <w:rPr>
          <w:rFonts w:asciiTheme="minorHAnsi" w:hAnsiTheme="minorHAnsi" w:cstheme="minorHAnsi"/>
          <w:b/>
          <w:u w:val="single"/>
        </w:rPr>
      </w:pPr>
      <w:r>
        <w:rPr>
          <w:rFonts w:asciiTheme="minorHAnsi" w:hAnsiTheme="minorHAnsi" w:cstheme="minorHAnsi"/>
          <w:b/>
          <w:u w:val="single"/>
        </w:rPr>
        <w:t>Section</w:t>
      </w:r>
      <w:r w:rsidR="00AD683B">
        <w:rPr>
          <w:rFonts w:asciiTheme="minorHAnsi" w:hAnsiTheme="minorHAnsi" w:cstheme="minorHAnsi"/>
          <w:b/>
          <w:u w:val="single"/>
        </w:rPr>
        <w:t>s</w:t>
      </w:r>
      <w:r>
        <w:rPr>
          <w:rFonts w:asciiTheme="minorHAnsi" w:hAnsiTheme="minorHAnsi" w:cstheme="minorHAnsi"/>
          <w:b/>
          <w:u w:val="single"/>
        </w:rPr>
        <w:t xml:space="preserve"> </w:t>
      </w:r>
      <w:r w:rsidR="008C2AF3">
        <w:rPr>
          <w:rFonts w:asciiTheme="minorHAnsi" w:hAnsiTheme="minorHAnsi" w:cstheme="minorHAnsi"/>
          <w:b/>
          <w:u w:val="single"/>
        </w:rPr>
        <w:t>10</w:t>
      </w:r>
      <w:r w:rsidR="00AD683B">
        <w:rPr>
          <w:rFonts w:asciiTheme="minorHAnsi" w:hAnsiTheme="minorHAnsi" w:cstheme="minorHAnsi"/>
          <w:b/>
          <w:u w:val="single"/>
        </w:rPr>
        <w:t xml:space="preserve"> and 11</w:t>
      </w:r>
      <w:r w:rsidR="00D30E8E">
        <w:rPr>
          <w:rFonts w:asciiTheme="minorHAnsi" w:hAnsiTheme="minorHAnsi" w:cstheme="minorHAnsi"/>
          <w:b/>
          <w:u w:val="single"/>
        </w:rPr>
        <w:t xml:space="preserve"> Grants to be </w:t>
      </w:r>
      <w:r w:rsidR="00E3356E">
        <w:rPr>
          <w:rFonts w:asciiTheme="minorHAnsi" w:hAnsiTheme="minorHAnsi" w:cstheme="minorHAnsi"/>
          <w:b/>
          <w:u w:val="single"/>
        </w:rPr>
        <w:t>made</w:t>
      </w:r>
      <w:r w:rsidR="00D30E8E">
        <w:rPr>
          <w:rFonts w:asciiTheme="minorHAnsi" w:hAnsiTheme="minorHAnsi" w:cstheme="minorHAnsi"/>
          <w:b/>
          <w:u w:val="single"/>
        </w:rPr>
        <w:t xml:space="preserve"> in respect of a year and Indexation</w:t>
      </w:r>
    </w:p>
    <w:p w14:paraId="5223B2AF" w14:textId="28E3278A" w:rsidR="00DF2C28" w:rsidRDefault="00AD683B" w:rsidP="001D33A1">
      <w:pPr>
        <w:pStyle w:val="ListParagraph"/>
        <w:numPr>
          <w:ilvl w:val="0"/>
          <w:numId w:val="1"/>
        </w:numPr>
        <w:spacing w:before="120" w:after="120"/>
        <w:ind w:left="714" w:hanging="357"/>
        <w:rPr>
          <w:rFonts w:asciiTheme="minorHAnsi" w:hAnsiTheme="minorHAnsi" w:cstheme="minorHAnsi"/>
          <w:bCs/>
        </w:rPr>
      </w:pPr>
      <w:r>
        <w:rPr>
          <w:rFonts w:asciiTheme="minorHAnsi" w:hAnsiTheme="minorHAnsi" w:cstheme="minorHAnsi"/>
          <w:bCs/>
        </w:rPr>
        <w:t>Section 10</w:t>
      </w:r>
      <w:r w:rsidR="00645B16">
        <w:rPr>
          <w:rFonts w:asciiTheme="minorHAnsi" w:hAnsiTheme="minorHAnsi" w:cstheme="minorHAnsi"/>
          <w:bCs/>
        </w:rPr>
        <w:t xml:space="preserve"> clarifies that grants under the HEPPP are made in respect of a year and </w:t>
      </w:r>
      <w:r>
        <w:rPr>
          <w:rFonts w:asciiTheme="minorHAnsi" w:hAnsiTheme="minorHAnsi" w:cstheme="minorHAnsi"/>
          <w:bCs/>
        </w:rPr>
        <w:t>states the amount that is dedicated for the program in 2022</w:t>
      </w:r>
      <w:r w:rsidR="00DF2C28">
        <w:rPr>
          <w:rFonts w:asciiTheme="minorHAnsi" w:hAnsiTheme="minorHAnsi" w:cstheme="minorHAnsi"/>
          <w:bCs/>
        </w:rPr>
        <w:t>.</w:t>
      </w:r>
    </w:p>
    <w:p w14:paraId="1F100B84" w14:textId="35DB2BF0" w:rsidR="00EB2036" w:rsidRPr="00645B16" w:rsidRDefault="001B6531" w:rsidP="001D33A1">
      <w:pPr>
        <w:pStyle w:val="ListParagraph"/>
        <w:numPr>
          <w:ilvl w:val="0"/>
          <w:numId w:val="1"/>
        </w:numPr>
        <w:spacing w:before="120" w:after="120"/>
        <w:ind w:left="714" w:hanging="357"/>
        <w:rPr>
          <w:rFonts w:asciiTheme="minorHAnsi" w:hAnsiTheme="minorHAnsi" w:cstheme="minorHAnsi"/>
          <w:bCs/>
        </w:rPr>
      </w:pPr>
      <w:r>
        <w:rPr>
          <w:rFonts w:asciiTheme="minorHAnsi" w:hAnsiTheme="minorHAnsi" w:cstheme="minorHAnsi"/>
          <w:bCs/>
        </w:rPr>
        <w:t>Section 11 clarifies that the amount</w:t>
      </w:r>
      <w:r w:rsidR="00AA3227">
        <w:rPr>
          <w:rFonts w:asciiTheme="minorHAnsi" w:hAnsiTheme="minorHAnsi" w:cstheme="minorHAnsi"/>
          <w:bCs/>
        </w:rPr>
        <w:t xml:space="preserve"> listed in subsection 10(2)</w:t>
      </w:r>
      <w:r w:rsidR="00AD683B">
        <w:rPr>
          <w:rFonts w:asciiTheme="minorHAnsi" w:hAnsiTheme="minorHAnsi" w:cstheme="minorHAnsi"/>
          <w:bCs/>
        </w:rPr>
        <w:t xml:space="preserve"> is subject to consumer price index indexation as clarified by section 11</w:t>
      </w:r>
      <w:r w:rsidR="00523900">
        <w:rPr>
          <w:rFonts w:asciiTheme="minorHAnsi" w:hAnsiTheme="minorHAnsi" w:cstheme="minorHAnsi"/>
          <w:bCs/>
        </w:rPr>
        <w:t>.</w:t>
      </w:r>
    </w:p>
    <w:p w14:paraId="1A2D076D" w14:textId="06AE059D" w:rsidR="00523900" w:rsidRPr="00584D78" w:rsidRDefault="00523900" w:rsidP="001D33A1">
      <w:pPr>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D22B46">
        <w:rPr>
          <w:rFonts w:asciiTheme="minorHAnsi" w:hAnsiTheme="minorHAnsi" w:cstheme="minorHAnsi"/>
          <w:b/>
          <w:bCs/>
          <w:u w:val="single"/>
        </w:rPr>
        <w:t>12</w:t>
      </w:r>
      <w:r w:rsidR="00F0280A">
        <w:rPr>
          <w:rFonts w:asciiTheme="minorHAnsi" w:hAnsiTheme="minorHAnsi" w:cstheme="minorHAnsi"/>
          <w:b/>
          <w:bCs/>
          <w:u w:val="single"/>
        </w:rPr>
        <w:t xml:space="preserve">: </w:t>
      </w:r>
      <w:r w:rsidR="00F0280A" w:rsidRPr="00F0280A">
        <w:rPr>
          <w:rFonts w:asciiTheme="minorHAnsi" w:hAnsiTheme="minorHAnsi" w:cstheme="minorHAnsi"/>
          <w:b/>
          <w:bCs/>
          <w:u w:val="single"/>
        </w:rPr>
        <w:t>Method by which the amount of grants under the program are determined for a provider</w:t>
      </w:r>
    </w:p>
    <w:p w14:paraId="1AA34773" w14:textId="77777777" w:rsidR="00F52D67" w:rsidRDefault="00523900" w:rsidP="001D33A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w:t>
      </w:r>
      <w:r w:rsidR="00D22B46">
        <w:rPr>
          <w:rFonts w:asciiTheme="minorHAnsi" w:hAnsiTheme="minorHAnsi" w:cstheme="minorHAnsi"/>
          <w:bCs/>
        </w:rPr>
        <w:t xml:space="preserve"> sets out how grants are calculated under the program for a provider.  The </w:t>
      </w:r>
      <w:r w:rsidR="00112636">
        <w:rPr>
          <w:rFonts w:asciiTheme="minorHAnsi" w:hAnsiTheme="minorHAnsi" w:cstheme="minorHAnsi"/>
          <w:bCs/>
        </w:rPr>
        <w:t>formula is to apply on its terms and sets out that a provider’s grant amount is based on factors relating to</w:t>
      </w:r>
      <w:r w:rsidR="00DB1C5E">
        <w:rPr>
          <w:rFonts w:asciiTheme="minorHAnsi" w:hAnsiTheme="minorHAnsi" w:cstheme="minorHAnsi"/>
          <w:bCs/>
        </w:rPr>
        <w:t xml:space="preserve">: </w:t>
      </w:r>
    </w:p>
    <w:p w14:paraId="49A540FF" w14:textId="065F2969" w:rsidR="00523900" w:rsidRDefault="00DB1C5E" w:rsidP="001D33A1">
      <w:pPr>
        <w:pStyle w:val="ListParagraph"/>
        <w:numPr>
          <w:ilvl w:val="1"/>
          <w:numId w:val="1"/>
        </w:numPr>
        <w:spacing w:before="120" w:after="120"/>
        <w:rPr>
          <w:rFonts w:asciiTheme="minorHAnsi" w:hAnsiTheme="minorHAnsi" w:cstheme="minorHAnsi"/>
          <w:bCs/>
        </w:rPr>
      </w:pPr>
      <w:r>
        <w:rPr>
          <w:rFonts w:asciiTheme="minorHAnsi" w:hAnsiTheme="minorHAnsi" w:cstheme="minorHAnsi"/>
          <w:bCs/>
        </w:rPr>
        <w:t xml:space="preserve">the </w:t>
      </w:r>
      <w:r w:rsidR="00A730C2">
        <w:rPr>
          <w:rFonts w:asciiTheme="minorHAnsi" w:hAnsiTheme="minorHAnsi" w:cstheme="minorHAnsi"/>
          <w:bCs/>
        </w:rPr>
        <w:t>proportion</w:t>
      </w:r>
      <w:r>
        <w:rPr>
          <w:rFonts w:asciiTheme="minorHAnsi" w:hAnsiTheme="minorHAnsi" w:cstheme="minorHAnsi"/>
          <w:bCs/>
        </w:rPr>
        <w:t xml:space="preserve"> of domestic </w:t>
      </w:r>
      <w:r w:rsidR="00F52D67" w:rsidRPr="00F52D67">
        <w:rPr>
          <w:rFonts w:asciiTheme="minorHAnsi" w:hAnsiTheme="minorHAnsi" w:cstheme="minorHAnsi"/>
          <w:bCs/>
        </w:rPr>
        <w:t xml:space="preserve">undergraduate students from low socioeconomic backgrounds enrolled at the relevant higher education </w:t>
      </w:r>
      <w:r w:rsidR="007A25C8">
        <w:rPr>
          <w:rFonts w:asciiTheme="minorHAnsi" w:hAnsiTheme="minorHAnsi" w:cstheme="minorHAnsi"/>
          <w:bCs/>
        </w:rPr>
        <w:t>provider</w:t>
      </w:r>
      <w:r w:rsidR="00F52D67">
        <w:rPr>
          <w:rFonts w:asciiTheme="minorHAnsi" w:hAnsiTheme="minorHAnsi" w:cstheme="minorHAnsi"/>
          <w:bCs/>
        </w:rPr>
        <w:t>;</w:t>
      </w:r>
    </w:p>
    <w:p w14:paraId="0C66B22B" w14:textId="0BC449C2" w:rsidR="00F52D67" w:rsidRDefault="005F7A07" w:rsidP="001D33A1">
      <w:pPr>
        <w:pStyle w:val="ListParagraph"/>
        <w:numPr>
          <w:ilvl w:val="1"/>
          <w:numId w:val="1"/>
        </w:numPr>
        <w:spacing w:before="120" w:after="120"/>
        <w:rPr>
          <w:rFonts w:asciiTheme="minorHAnsi" w:hAnsiTheme="minorHAnsi" w:cstheme="minorHAnsi"/>
          <w:bCs/>
        </w:rPr>
      </w:pPr>
      <w:r w:rsidRPr="005F7A07">
        <w:rPr>
          <w:rFonts w:asciiTheme="minorHAnsi" w:hAnsiTheme="minorHAnsi" w:cstheme="minorHAnsi"/>
          <w:bCs/>
        </w:rPr>
        <w:t xml:space="preserve">the </w:t>
      </w:r>
      <w:r w:rsidR="00A730C2">
        <w:rPr>
          <w:rFonts w:asciiTheme="minorHAnsi" w:hAnsiTheme="minorHAnsi" w:cstheme="minorHAnsi"/>
          <w:bCs/>
        </w:rPr>
        <w:t xml:space="preserve">proportion </w:t>
      </w:r>
      <w:r w:rsidRPr="005F7A07">
        <w:rPr>
          <w:rFonts w:asciiTheme="minorHAnsi" w:hAnsiTheme="minorHAnsi" w:cstheme="minorHAnsi"/>
          <w:bCs/>
        </w:rPr>
        <w:t>of domestic undergraduate students with a permanent residential address in a regional area or a remote area</w:t>
      </w:r>
      <w:r w:rsidR="008E23B6">
        <w:rPr>
          <w:rFonts w:asciiTheme="minorHAnsi" w:hAnsiTheme="minorHAnsi" w:cstheme="minorHAnsi"/>
          <w:bCs/>
        </w:rPr>
        <w:t xml:space="preserve"> enrolled with the provider</w:t>
      </w:r>
      <w:r w:rsidR="007A25C8">
        <w:rPr>
          <w:rFonts w:asciiTheme="minorHAnsi" w:hAnsiTheme="minorHAnsi" w:cstheme="minorHAnsi"/>
          <w:bCs/>
        </w:rPr>
        <w:t>;</w:t>
      </w:r>
    </w:p>
    <w:p w14:paraId="226C21C2" w14:textId="044E5C31" w:rsidR="007A25C8" w:rsidRDefault="007A25C8" w:rsidP="001D33A1">
      <w:pPr>
        <w:pStyle w:val="ListParagraph"/>
        <w:numPr>
          <w:ilvl w:val="1"/>
          <w:numId w:val="1"/>
        </w:numPr>
        <w:spacing w:before="120" w:after="120"/>
        <w:rPr>
          <w:rFonts w:asciiTheme="minorHAnsi" w:hAnsiTheme="minorHAnsi" w:cstheme="minorHAnsi"/>
          <w:bCs/>
        </w:rPr>
      </w:pPr>
      <w:r>
        <w:rPr>
          <w:rFonts w:asciiTheme="minorHAnsi" w:hAnsiTheme="minorHAnsi" w:cstheme="minorHAnsi"/>
          <w:bCs/>
        </w:rPr>
        <w:t xml:space="preserve">the </w:t>
      </w:r>
      <w:r w:rsidR="00A730C2">
        <w:rPr>
          <w:rFonts w:asciiTheme="minorHAnsi" w:hAnsiTheme="minorHAnsi" w:cstheme="minorHAnsi"/>
          <w:bCs/>
        </w:rPr>
        <w:t>proportion</w:t>
      </w:r>
      <w:r>
        <w:rPr>
          <w:rFonts w:asciiTheme="minorHAnsi" w:hAnsiTheme="minorHAnsi" w:cstheme="minorHAnsi"/>
          <w:bCs/>
        </w:rPr>
        <w:t xml:space="preserve"> of Indigenous students enrolled with the provider.</w:t>
      </w:r>
    </w:p>
    <w:p w14:paraId="00CB6A40" w14:textId="4251A2A6" w:rsidR="00A730C2" w:rsidRPr="004217E3" w:rsidRDefault="00A730C2" w:rsidP="004217E3">
      <w:pPr>
        <w:pStyle w:val="ListParagraph"/>
        <w:numPr>
          <w:ilvl w:val="0"/>
          <w:numId w:val="1"/>
        </w:numPr>
        <w:spacing w:before="120" w:after="120"/>
        <w:rPr>
          <w:rFonts w:asciiTheme="minorHAnsi" w:hAnsiTheme="minorHAnsi" w:cstheme="minorHAnsi"/>
          <w:bCs/>
        </w:rPr>
      </w:pPr>
      <w:r w:rsidRPr="004217E3">
        <w:rPr>
          <w:rFonts w:asciiTheme="minorHAnsi" w:hAnsiTheme="minorHAnsi" w:cstheme="minorHAnsi"/>
          <w:bCs/>
        </w:rPr>
        <w:t xml:space="preserve">The formula is listed separately for each calendar year </w:t>
      </w:r>
      <w:r w:rsidR="00B74DF7" w:rsidRPr="004217E3">
        <w:rPr>
          <w:rFonts w:asciiTheme="minorHAnsi" w:hAnsiTheme="minorHAnsi" w:cstheme="minorHAnsi"/>
          <w:bCs/>
        </w:rPr>
        <w:t>to enable a</w:t>
      </w:r>
      <w:r w:rsidRPr="004217E3">
        <w:rPr>
          <w:rFonts w:asciiTheme="minorHAnsi" w:hAnsiTheme="minorHAnsi" w:cstheme="minorHAnsi"/>
          <w:bCs/>
        </w:rPr>
        <w:t xml:space="preserve"> transition from a formula based</w:t>
      </w:r>
      <w:r w:rsidR="00B74DF7" w:rsidRPr="004217E3">
        <w:rPr>
          <w:rFonts w:asciiTheme="minorHAnsi" w:hAnsiTheme="minorHAnsi" w:cstheme="minorHAnsi"/>
          <w:bCs/>
        </w:rPr>
        <w:t xml:space="preserve"> on</w:t>
      </w:r>
      <w:r w:rsidRPr="004217E3">
        <w:rPr>
          <w:rFonts w:asciiTheme="minorHAnsi" w:hAnsiTheme="minorHAnsi" w:cstheme="minorHAnsi"/>
          <w:bCs/>
        </w:rPr>
        <w:t xml:space="preserve"> 100 per cent </w:t>
      </w:r>
      <w:r w:rsidR="00B74DF7" w:rsidRPr="004217E3">
        <w:rPr>
          <w:rFonts w:asciiTheme="minorHAnsi" w:hAnsiTheme="minorHAnsi" w:cstheme="minorHAnsi"/>
          <w:bCs/>
        </w:rPr>
        <w:t>of</w:t>
      </w:r>
      <w:r w:rsidRPr="004217E3">
        <w:rPr>
          <w:rFonts w:asciiTheme="minorHAnsi" w:hAnsiTheme="minorHAnsi" w:cstheme="minorHAnsi"/>
          <w:bCs/>
        </w:rPr>
        <w:t xml:space="preserve"> low socioeconomic student enrolments (</w:t>
      </w:r>
      <w:r w:rsidR="00B74DF7" w:rsidRPr="004217E3">
        <w:rPr>
          <w:rFonts w:asciiTheme="minorHAnsi" w:hAnsiTheme="minorHAnsi" w:cstheme="minorHAnsi"/>
          <w:bCs/>
        </w:rPr>
        <w:t xml:space="preserve">prior to </w:t>
      </w:r>
      <w:r w:rsidRPr="004217E3">
        <w:rPr>
          <w:rFonts w:asciiTheme="minorHAnsi" w:hAnsiTheme="minorHAnsi" w:cstheme="minorHAnsi"/>
          <w:bCs/>
        </w:rPr>
        <w:t xml:space="preserve">2021) to </w:t>
      </w:r>
      <w:r w:rsidR="00B74DF7" w:rsidRPr="004217E3">
        <w:rPr>
          <w:rFonts w:asciiTheme="minorHAnsi" w:hAnsiTheme="minorHAnsi" w:cstheme="minorHAnsi"/>
          <w:bCs/>
        </w:rPr>
        <w:t>a formula</w:t>
      </w:r>
      <w:r w:rsidRPr="004217E3">
        <w:rPr>
          <w:rFonts w:asciiTheme="minorHAnsi" w:hAnsiTheme="minorHAnsi" w:cstheme="minorHAnsi"/>
          <w:bCs/>
        </w:rPr>
        <w:t xml:space="preserve"> based on weightings of 45 per cent low socioeconomic, 45</w:t>
      </w:r>
      <w:r w:rsidR="000F096E">
        <w:rPr>
          <w:rFonts w:asciiTheme="minorHAnsi" w:hAnsiTheme="minorHAnsi" w:cstheme="minorHAnsi"/>
          <w:bCs/>
        </w:rPr>
        <w:t> </w:t>
      </w:r>
      <w:r w:rsidRPr="004217E3">
        <w:rPr>
          <w:rFonts w:asciiTheme="minorHAnsi" w:hAnsiTheme="minorHAnsi" w:cstheme="minorHAnsi"/>
          <w:bCs/>
        </w:rPr>
        <w:t>per</w:t>
      </w:r>
      <w:r w:rsidR="000F096E">
        <w:rPr>
          <w:rFonts w:asciiTheme="minorHAnsi" w:hAnsiTheme="minorHAnsi" w:cstheme="minorHAnsi"/>
          <w:bCs/>
        </w:rPr>
        <w:t> </w:t>
      </w:r>
      <w:r w:rsidRPr="004217E3">
        <w:rPr>
          <w:rFonts w:asciiTheme="minorHAnsi" w:hAnsiTheme="minorHAnsi" w:cstheme="minorHAnsi"/>
          <w:bCs/>
        </w:rPr>
        <w:t>cent regional and remote, and 10 per cent Indigenous student enrolments (</w:t>
      </w:r>
      <w:r w:rsidR="00B74DF7" w:rsidRPr="004217E3">
        <w:rPr>
          <w:rFonts w:asciiTheme="minorHAnsi" w:hAnsiTheme="minorHAnsi" w:cstheme="minorHAnsi"/>
          <w:bCs/>
        </w:rPr>
        <w:t xml:space="preserve">from </w:t>
      </w:r>
      <w:r w:rsidRPr="004217E3">
        <w:rPr>
          <w:rFonts w:asciiTheme="minorHAnsi" w:hAnsiTheme="minorHAnsi" w:cstheme="minorHAnsi"/>
          <w:bCs/>
        </w:rPr>
        <w:t>2024 onwards).</w:t>
      </w:r>
    </w:p>
    <w:p w14:paraId="63BB454F" w14:textId="31EA6C75" w:rsidR="00523900" w:rsidRPr="00584D78" w:rsidRDefault="00523900" w:rsidP="001D33A1">
      <w:pPr>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F0280A">
        <w:rPr>
          <w:rFonts w:asciiTheme="minorHAnsi" w:hAnsiTheme="minorHAnsi" w:cstheme="minorHAnsi"/>
          <w:b/>
          <w:bCs/>
          <w:u w:val="single"/>
        </w:rPr>
        <w:t>13</w:t>
      </w:r>
      <w:r w:rsidRPr="00584D78">
        <w:rPr>
          <w:rFonts w:asciiTheme="minorHAnsi" w:hAnsiTheme="minorHAnsi" w:cstheme="minorHAnsi"/>
          <w:b/>
          <w:bCs/>
          <w:u w:val="single"/>
        </w:rPr>
        <w:t xml:space="preserve">: </w:t>
      </w:r>
      <w:r w:rsidR="00F0280A">
        <w:rPr>
          <w:rFonts w:asciiTheme="minorHAnsi" w:hAnsiTheme="minorHAnsi" w:cstheme="minorHAnsi"/>
          <w:b/>
          <w:bCs/>
          <w:u w:val="single"/>
        </w:rPr>
        <w:t>Conditions that apply to grants</w:t>
      </w:r>
    </w:p>
    <w:p w14:paraId="01849AF0" w14:textId="75FCF1B7" w:rsidR="005E32F3" w:rsidRDefault="00523900" w:rsidP="001D33A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w:t>
      </w:r>
      <w:r w:rsidR="00F0280A">
        <w:rPr>
          <w:rFonts w:asciiTheme="minorHAnsi" w:hAnsiTheme="minorHAnsi" w:cstheme="minorHAnsi"/>
          <w:bCs/>
        </w:rPr>
        <w:t xml:space="preserve"> specifies the conditions that apply to grants under the HEPPP by clarifying what grants can and cannot be spent on.</w:t>
      </w:r>
    </w:p>
    <w:p w14:paraId="03D1F497" w14:textId="1B72A49A" w:rsidR="00E60935" w:rsidRPr="00F0280A" w:rsidRDefault="00E60935" w:rsidP="001D33A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The note at the end of section 13 identifies that the power </w:t>
      </w:r>
      <w:r w:rsidR="006E3D18">
        <w:rPr>
          <w:rFonts w:asciiTheme="minorHAnsi" w:hAnsiTheme="minorHAnsi" w:cstheme="minorHAnsi"/>
          <w:bCs/>
        </w:rPr>
        <w:t xml:space="preserve">to impose conditions in section 41-25 of HESA includes a power to impose conditions in relation of reporting and lists a number of matters these reports may deal with. </w:t>
      </w:r>
      <w:r>
        <w:rPr>
          <w:rFonts w:asciiTheme="minorHAnsi" w:hAnsiTheme="minorHAnsi" w:cstheme="minorHAnsi"/>
          <w:bCs/>
        </w:rPr>
        <w:t xml:space="preserve"> </w:t>
      </w:r>
    </w:p>
    <w:p w14:paraId="567AF1F6" w14:textId="29DDEF40" w:rsidR="005F33E0" w:rsidRPr="00551359" w:rsidRDefault="005F33E0" w:rsidP="00FC253E">
      <w:pPr>
        <w:keepNext/>
        <w:spacing w:before="120" w:after="120" w:line="259" w:lineRule="auto"/>
        <w:rPr>
          <w:rFonts w:asciiTheme="minorHAnsi" w:hAnsiTheme="minorHAnsi" w:cstheme="minorHAnsi"/>
          <w:b/>
          <w:bCs/>
          <w:u w:val="single"/>
        </w:rPr>
      </w:pPr>
      <w:r w:rsidRPr="00551359">
        <w:rPr>
          <w:rFonts w:asciiTheme="minorHAnsi" w:hAnsiTheme="minorHAnsi" w:cstheme="minorHAnsi"/>
          <w:b/>
          <w:bCs/>
          <w:u w:val="single"/>
        </w:rPr>
        <w:lastRenderedPageBreak/>
        <w:t>Division 2—National Pri</w:t>
      </w:r>
      <w:r w:rsidR="00551359" w:rsidRPr="00551359">
        <w:rPr>
          <w:rFonts w:asciiTheme="minorHAnsi" w:hAnsiTheme="minorHAnsi" w:cstheme="minorHAnsi"/>
          <w:b/>
          <w:bCs/>
          <w:u w:val="single"/>
        </w:rPr>
        <w:t>orities Pool Program</w:t>
      </w:r>
    </w:p>
    <w:p w14:paraId="40D86FC5" w14:textId="11EC4639" w:rsidR="00523900" w:rsidRPr="00584D78" w:rsidRDefault="00523900" w:rsidP="00FC253E">
      <w:pPr>
        <w:keepNext/>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551359">
        <w:rPr>
          <w:rFonts w:asciiTheme="minorHAnsi" w:hAnsiTheme="minorHAnsi" w:cstheme="minorHAnsi"/>
          <w:b/>
          <w:bCs/>
          <w:u w:val="single"/>
        </w:rPr>
        <w:t>14</w:t>
      </w:r>
      <w:r w:rsidRPr="00584D78">
        <w:rPr>
          <w:rFonts w:asciiTheme="minorHAnsi" w:hAnsiTheme="minorHAnsi" w:cstheme="minorHAnsi"/>
          <w:b/>
          <w:bCs/>
          <w:u w:val="single"/>
        </w:rPr>
        <w:t xml:space="preserve">: </w:t>
      </w:r>
      <w:r w:rsidR="00551359">
        <w:rPr>
          <w:rFonts w:asciiTheme="minorHAnsi" w:hAnsiTheme="minorHAnsi" w:cstheme="minorHAnsi"/>
          <w:b/>
          <w:bCs/>
          <w:u w:val="single"/>
        </w:rPr>
        <w:t>Program objectives</w:t>
      </w:r>
    </w:p>
    <w:p w14:paraId="3FB996BF" w14:textId="29C73D9A" w:rsidR="00984ADE" w:rsidRPr="00CC6AAA" w:rsidRDefault="00523900" w:rsidP="001D33A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w:t>
      </w:r>
      <w:r w:rsidR="00CC6AAA">
        <w:rPr>
          <w:rFonts w:asciiTheme="minorHAnsi" w:hAnsiTheme="minorHAnsi" w:cstheme="minorHAnsi"/>
          <w:bCs/>
        </w:rPr>
        <w:t xml:space="preserve"> specifies</w:t>
      </w:r>
      <w:r w:rsidR="0055432B">
        <w:rPr>
          <w:rFonts w:asciiTheme="minorHAnsi" w:hAnsiTheme="minorHAnsi" w:cstheme="minorHAnsi"/>
          <w:bCs/>
        </w:rPr>
        <w:t xml:space="preserve"> the </w:t>
      </w:r>
      <w:r w:rsidR="0055432B" w:rsidRPr="00F01307">
        <w:rPr>
          <w:rFonts w:asciiTheme="minorHAnsi" w:hAnsiTheme="minorHAnsi" w:cstheme="minorHAnsi"/>
          <w:bCs/>
        </w:rPr>
        <w:t>National Priorities Pool Program</w:t>
      </w:r>
      <w:r w:rsidR="0089262E">
        <w:rPr>
          <w:rFonts w:asciiTheme="minorHAnsi" w:hAnsiTheme="minorHAnsi" w:cstheme="minorHAnsi"/>
          <w:bCs/>
        </w:rPr>
        <w:t xml:space="preserve"> as</w:t>
      </w:r>
      <w:r w:rsidR="00523015">
        <w:rPr>
          <w:rFonts w:asciiTheme="minorHAnsi" w:hAnsiTheme="minorHAnsi" w:cstheme="minorHAnsi"/>
          <w:bCs/>
        </w:rPr>
        <w:t xml:space="preserve"> a program</w:t>
      </w:r>
      <w:r w:rsidR="00242DD6" w:rsidRPr="00F01307">
        <w:rPr>
          <w:rFonts w:asciiTheme="minorHAnsi" w:hAnsiTheme="minorHAnsi" w:cstheme="minorHAnsi"/>
          <w:bCs/>
        </w:rPr>
        <w:t xml:space="preserve"> for the purpose of promoting equality of opportunity in higher education and sets out</w:t>
      </w:r>
      <w:r w:rsidR="00CC6AAA">
        <w:rPr>
          <w:rFonts w:asciiTheme="minorHAnsi" w:hAnsiTheme="minorHAnsi" w:cstheme="minorHAnsi"/>
          <w:bCs/>
        </w:rPr>
        <w:t xml:space="preserve"> the program objectives</w:t>
      </w:r>
      <w:r w:rsidR="00DA0736">
        <w:rPr>
          <w:rFonts w:asciiTheme="minorHAnsi" w:hAnsiTheme="minorHAnsi" w:cstheme="minorHAnsi"/>
          <w:bCs/>
        </w:rPr>
        <w:t>.</w:t>
      </w:r>
    </w:p>
    <w:p w14:paraId="6D03C7DE" w14:textId="2D709F58" w:rsidR="00523900" w:rsidRPr="00584D78" w:rsidRDefault="00523900" w:rsidP="00AB167A">
      <w:pPr>
        <w:keepNext/>
        <w:spacing w:before="120" w:after="120" w:line="259" w:lineRule="auto"/>
        <w:rPr>
          <w:rFonts w:asciiTheme="minorHAnsi" w:hAnsiTheme="minorHAnsi" w:cstheme="minorHAnsi"/>
          <w:b/>
          <w:bCs/>
          <w:u w:val="single"/>
        </w:rPr>
      </w:pPr>
      <w:r w:rsidRPr="00EA3BC3">
        <w:rPr>
          <w:rFonts w:asciiTheme="minorHAnsi" w:hAnsiTheme="minorHAnsi" w:cstheme="minorHAnsi"/>
          <w:b/>
          <w:bCs/>
          <w:u w:val="single"/>
        </w:rPr>
        <w:t>Section</w:t>
      </w:r>
      <w:r w:rsidR="00C45C7C">
        <w:rPr>
          <w:rFonts w:asciiTheme="minorHAnsi" w:hAnsiTheme="minorHAnsi" w:cstheme="minorHAnsi"/>
          <w:b/>
          <w:bCs/>
          <w:u w:val="single"/>
        </w:rPr>
        <w:t>s</w:t>
      </w:r>
      <w:r w:rsidRPr="00EA3BC3">
        <w:rPr>
          <w:rFonts w:asciiTheme="minorHAnsi" w:hAnsiTheme="minorHAnsi" w:cstheme="minorHAnsi"/>
          <w:b/>
          <w:bCs/>
          <w:u w:val="single"/>
        </w:rPr>
        <w:t xml:space="preserve"> </w:t>
      </w:r>
      <w:r w:rsidR="00DA0736">
        <w:rPr>
          <w:rFonts w:asciiTheme="minorHAnsi" w:hAnsiTheme="minorHAnsi" w:cstheme="minorHAnsi"/>
          <w:b/>
          <w:bCs/>
          <w:u w:val="single"/>
        </w:rPr>
        <w:t>15 and 16</w:t>
      </w:r>
      <w:r w:rsidR="00A172A4">
        <w:rPr>
          <w:rFonts w:asciiTheme="minorHAnsi" w:hAnsiTheme="minorHAnsi" w:cstheme="minorHAnsi"/>
          <w:b/>
          <w:bCs/>
          <w:u w:val="single"/>
        </w:rPr>
        <w:t>:</w:t>
      </w:r>
      <w:r w:rsidR="00851EBC">
        <w:rPr>
          <w:rFonts w:asciiTheme="minorHAnsi" w:hAnsiTheme="minorHAnsi" w:cstheme="minorHAnsi"/>
          <w:b/>
          <w:bCs/>
          <w:u w:val="single"/>
        </w:rPr>
        <w:t xml:space="preserve"> Specified bodies </w:t>
      </w:r>
      <w:r w:rsidR="00AA3939">
        <w:rPr>
          <w:rFonts w:asciiTheme="minorHAnsi" w:hAnsiTheme="minorHAnsi" w:cstheme="minorHAnsi"/>
          <w:b/>
          <w:bCs/>
          <w:u w:val="single"/>
        </w:rPr>
        <w:t>c</w:t>
      </w:r>
      <w:r w:rsidR="00851EBC">
        <w:rPr>
          <w:rFonts w:asciiTheme="minorHAnsi" w:hAnsiTheme="minorHAnsi" w:cstheme="minorHAnsi"/>
          <w:b/>
          <w:bCs/>
          <w:u w:val="single"/>
        </w:rPr>
        <w:t>orporate and extra conditions of eligibility and Grants to be made in respect of projects</w:t>
      </w:r>
    </w:p>
    <w:p w14:paraId="3120FF3F" w14:textId="45C07717" w:rsidR="00FF7492" w:rsidRDefault="00D95DE1" w:rsidP="001D33A1">
      <w:pPr>
        <w:pStyle w:val="ListParagraph"/>
        <w:numPr>
          <w:ilvl w:val="0"/>
          <w:numId w:val="1"/>
        </w:numPr>
        <w:spacing w:before="120" w:after="120"/>
        <w:ind w:left="714" w:hanging="357"/>
        <w:rPr>
          <w:rFonts w:asciiTheme="minorHAnsi" w:hAnsiTheme="minorHAnsi" w:cstheme="minorHAnsi"/>
          <w:bCs/>
        </w:rPr>
      </w:pPr>
      <w:r>
        <w:rPr>
          <w:rFonts w:asciiTheme="minorHAnsi" w:hAnsiTheme="minorHAnsi" w:cstheme="minorHAnsi"/>
          <w:bCs/>
        </w:rPr>
        <w:t>S</w:t>
      </w:r>
      <w:r w:rsidR="00DA0736">
        <w:rPr>
          <w:rFonts w:asciiTheme="minorHAnsi" w:hAnsiTheme="minorHAnsi" w:cstheme="minorHAnsi"/>
          <w:bCs/>
        </w:rPr>
        <w:t>ection</w:t>
      </w:r>
      <w:r>
        <w:rPr>
          <w:rFonts w:asciiTheme="minorHAnsi" w:hAnsiTheme="minorHAnsi" w:cstheme="minorHAnsi"/>
          <w:bCs/>
        </w:rPr>
        <w:t xml:space="preserve"> 15</w:t>
      </w:r>
      <w:r w:rsidR="00AE5F8A">
        <w:rPr>
          <w:rFonts w:asciiTheme="minorHAnsi" w:hAnsiTheme="minorHAnsi" w:cstheme="minorHAnsi"/>
          <w:bCs/>
        </w:rPr>
        <w:t xml:space="preserve"> clarif</w:t>
      </w:r>
      <w:r>
        <w:rPr>
          <w:rFonts w:asciiTheme="minorHAnsi" w:hAnsiTheme="minorHAnsi" w:cstheme="minorHAnsi"/>
          <w:bCs/>
        </w:rPr>
        <w:t>ies</w:t>
      </w:r>
      <w:r w:rsidR="00AE5F8A">
        <w:rPr>
          <w:rFonts w:asciiTheme="minorHAnsi" w:hAnsiTheme="minorHAnsi" w:cstheme="minorHAnsi"/>
          <w:bCs/>
        </w:rPr>
        <w:t xml:space="preserve"> that there are no additional specified bodies corporate or extra conditions of eligibility besides those that apply under section 41-10 of</w:t>
      </w:r>
      <w:r w:rsidR="00050BCA">
        <w:rPr>
          <w:rFonts w:asciiTheme="minorHAnsi" w:hAnsiTheme="minorHAnsi" w:cstheme="minorHAnsi"/>
          <w:bCs/>
        </w:rPr>
        <w:t xml:space="preserve"> </w:t>
      </w:r>
      <w:r w:rsidR="00AE5F8A">
        <w:rPr>
          <w:rFonts w:asciiTheme="minorHAnsi" w:hAnsiTheme="minorHAnsi" w:cstheme="minorHAnsi"/>
          <w:bCs/>
        </w:rPr>
        <w:t>HESA</w:t>
      </w:r>
      <w:r w:rsidR="00FF7492">
        <w:rPr>
          <w:rFonts w:asciiTheme="minorHAnsi" w:hAnsiTheme="minorHAnsi" w:cstheme="minorHAnsi"/>
          <w:bCs/>
        </w:rPr>
        <w:t>.</w:t>
      </w:r>
    </w:p>
    <w:p w14:paraId="2E578325" w14:textId="333ED649" w:rsidR="00213BF3" w:rsidRDefault="00FF7492" w:rsidP="001D33A1">
      <w:pPr>
        <w:pStyle w:val="ListParagraph"/>
        <w:numPr>
          <w:ilvl w:val="0"/>
          <w:numId w:val="1"/>
        </w:numPr>
        <w:spacing w:before="120" w:after="120"/>
        <w:ind w:left="714" w:hanging="357"/>
        <w:rPr>
          <w:rFonts w:asciiTheme="minorHAnsi" w:hAnsiTheme="minorHAnsi" w:cstheme="minorHAnsi"/>
          <w:bCs/>
        </w:rPr>
      </w:pPr>
      <w:r>
        <w:rPr>
          <w:rFonts w:asciiTheme="minorHAnsi" w:hAnsiTheme="minorHAnsi" w:cstheme="minorHAnsi"/>
          <w:bCs/>
        </w:rPr>
        <w:t>S</w:t>
      </w:r>
      <w:r w:rsidR="00B35698">
        <w:rPr>
          <w:rFonts w:asciiTheme="minorHAnsi" w:hAnsiTheme="minorHAnsi" w:cstheme="minorHAnsi"/>
          <w:bCs/>
        </w:rPr>
        <w:t>ection 16 specifies</w:t>
      </w:r>
      <w:r w:rsidR="00AE5F8A">
        <w:rPr>
          <w:rFonts w:asciiTheme="minorHAnsi" w:hAnsiTheme="minorHAnsi" w:cstheme="minorHAnsi"/>
          <w:bCs/>
        </w:rPr>
        <w:t xml:space="preserve"> the amount</w:t>
      </w:r>
      <w:r w:rsidR="008E476C">
        <w:rPr>
          <w:rFonts w:asciiTheme="minorHAnsi" w:hAnsiTheme="minorHAnsi" w:cstheme="minorHAnsi"/>
          <w:bCs/>
        </w:rPr>
        <w:t xml:space="preserve"> dedicated to the program </w:t>
      </w:r>
      <w:r w:rsidR="00A51D05">
        <w:rPr>
          <w:rFonts w:asciiTheme="minorHAnsi" w:hAnsiTheme="minorHAnsi" w:cstheme="minorHAnsi"/>
          <w:bCs/>
        </w:rPr>
        <w:t>for</w:t>
      </w:r>
      <w:r w:rsidR="004940B0">
        <w:rPr>
          <w:rFonts w:asciiTheme="minorHAnsi" w:hAnsiTheme="minorHAnsi" w:cstheme="minorHAnsi"/>
          <w:bCs/>
        </w:rPr>
        <w:t xml:space="preserve"> each</w:t>
      </w:r>
      <w:r w:rsidR="00A51D05">
        <w:rPr>
          <w:rFonts w:asciiTheme="minorHAnsi" w:hAnsiTheme="minorHAnsi" w:cstheme="minorHAnsi"/>
          <w:bCs/>
        </w:rPr>
        <w:t xml:space="preserve"> of the years</w:t>
      </w:r>
      <w:r w:rsidR="008E476C">
        <w:rPr>
          <w:rFonts w:asciiTheme="minorHAnsi" w:hAnsiTheme="minorHAnsi" w:cstheme="minorHAnsi"/>
          <w:bCs/>
        </w:rPr>
        <w:t xml:space="preserve"> 2022, 2023, 2024 and 2025.</w:t>
      </w:r>
    </w:p>
    <w:p w14:paraId="342FED5B" w14:textId="52D4EDBD" w:rsidR="00523900" w:rsidRPr="00584D78" w:rsidRDefault="00523900" w:rsidP="001D33A1">
      <w:pPr>
        <w:keepNext/>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8E476C">
        <w:rPr>
          <w:rFonts w:asciiTheme="minorHAnsi" w:hAnsiTheme="minorHAnsi" w:cstheme="minorHAnsi"/>
          <w:b/>
          <w:bCs/>
          <w:u w:val="single"/>
        </w:rPr>
        <w:t>17</w:t>
      </w:r>
      <w:r w:rsidR="009C2962">
        <w:rPr>
          <w:rFonts w:asciiTheme="minorHAnsi" w:hAnsiTheme="minorHAnsi" w:cstheme="minorHAnsi"/>
          <w:b/>
          <w:bCs/>
          <w:u w:val="single"/>
        </w:rPr>
        <w:t>: Conditions that apply to grants</w:t>
      </w:r>
    </w:p>
    <w:p w14:paraId="4C46460C" w14:textId="006BDB66" w:rsidR="003F3802" w:rsidRDefault="008E476C" w:rsidP="001D33A1">
      <w:pPr>
        <w:pStyle w:val="ListParagraph"/>
        <w:keepNext/>
        <w:numPr>
          <w:ilvl w:val="0"/>
          <w:numId w:val="1"/>
        </w:numPr>
        <w:spacing w:before="120" w:after="120"/>
        <w:rPr>
          <w:rFonts w:asciiTheme="minorHAnsi" w:hAnsiTheme="minorHAnsi" w:cstheme="minorHAnsi"/>
          <w:bCs/>
        </w:rPr>
      </w:pPr>
      <w:r>
        <w:rPr>
          <w:rFonts w:asciiTheme="minorHAnsi" w:hAnsiTheme="minorHAnsi" w:cstheme="minorHAnsi"/>
          <w:bCs/>
        </w:rPr>
        <w:t xml:space="preserve">This section specifies the conditions that apply to grants under the </w:t>
      </w:r>
      <w:r w:rsidR="009C2962" w:rsidRPr="009C2962">
        <w:rPr>
          <w:rFonts w:asciiTheme="minorHAnsi" w:hAnsiTheme="minorHAnsi" w:cstheme="minorHAnsi"/>
          <w:bCs/>
        </w:rPr>
        <w:t xml:space="preserve">National Priorities Pool Program </w:t>
      </w:r>
      <w:r>
        <w:rPr>
          <w:rFonts w:asciiTheme="minorHAnsi" w:hAnsiTheme="minorHAnsi" w:cstheme="minorHAnsi"/>
          <w:bCs/>
        </w:rPr>
        <w:t>by clarifying what grants can be spent on</w:t>
      </w:r>
      <w:r w:rsidR="009C2962">
        <w:rPr>
          <w:rFonts w:asciiTheme="minorHAnsi" w:hAnsiTheme="minorHAnsi" w:cstheme="minorHAnsi"/>
          <w:bCs/>
        </w:rPr>
        <w:t>.</w:t>
      </w:r>
    </w:p>
    <w:p w14:paraId="2167BCDF" w14:textId="77777777" w:rsidR="00CA3F4B" w:rsidRDefault="00CA3F4B" w:rsidP="001D33A1">
      <w:pPr>
        <w:spacing w:before="120" w:after="120" w:line="259" w:lineRule="auto"/>
        <w:rPr>
          <w:rFonts w:asciiTheme="minorHAnsi" w:hAnsiTheme="minorHAnsi" w:cstheme="minorHAnsi"/>
          <w:bCs/>
        </w:rPr>
      </w:pPr>
    </w:p>
    <w:p w14:paraId="27F0FED8" w14:textId="61700474" w:rsidR="00941652" w:rsidRPr="00941652" w:rsidRDefault="00941652" w:rsidP="001D33A1">
      <w:pPr>
        <w:spacing w:before="120" w:after="120" w:line="259" w:lineRule="auto"/>
        <w:rPr>
          <w:rFonts w:asciiTheme="minorHAnsi" w:hAnsiTheme="minorHAnsi" w:cstheme="minorHAnsi"/>
          <w:b/>
          <w:bCs/>
          <w:u w:val="single"/>
        </w:rPr>
      </w:pPr>
      <w:r w:rsidRPr="00941652">
        <w:rPr>
          <w:rFonts w:asciiTheme="minorHAnsi" w:hAnsiTheme="minorHAnsi" w:cstheme="minorHAnsi"/>
          <w:b/>
          <w:bCs/>
          <w:u w:val="single"/>
        </w:rPr>
        <w:t>Division </w:t>
      </w:r>
      <w:r w:rsidR="00672D97">
        <w:rPr>
          <w:rFonts w:asciiTheme="minorHAnsi" w:hAnsiTheme="minorHAnsi" w:cstheme="minorHAnsi"/>
          <w:b/>
          <w:bCs/>
          <w:u w:val="single"/>
        </w:rPr>
        <w:t>3</w:t>
      </w:r>
      <w:r w:rsidRPr="00941652">
        <w:rPr>
          <w:rFonts w:asciiTheme="minorHAnsi" w:hAnsiTheme="minorHAnsi" w:cstheme="minorHAnsi"/>
          <w:b/>
          <w:bCs/>
          <w:u w:val="single"/>
        </w:rPr>
        <w:t>—</w:t>
      </w:r>
      <w:r w:rsidR="00B03FF2" w:rsidRPr="00B03FF2">
        <w:rPr>
          <w:rFonts w:asciiTheme="minorHAnsi" w:hAnsiTheme="minorHAnsi" w:cstheme="minorHAnsi"/>
          <w:b/>
          <w:bCs/>
          <w:u w:val="single"/>
        </w:rPr>
        <w:t>Regional Partnerships Project Pool Program</w:t>
      </w:r>
    </w:p>
    <w:p w14:paraId="339CAE26" w14:textId="08CC28AD" w:rsidR="001C6174" w:rsidRPr="00584D78" w:rsidRDefault="001C6174" w:rsidP="001D33A1">
      <w:pPr>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18</w:t>
      </w:r>
      <w:r w:rsidRPr="00584D78">
        <w:rPr>
          <w:rFonts w:asciiTheme="minorHAnsi" w:hAnsiTheme="minorHAnsi" w:cstheme="minorHAnsi"/>
          <w:b/>
          <w:bCs/>
          <w:u w:val="single"/>
        </w:rPr>
        <w:t xml:space="preserve">: </w:t>
      </w:r>
      <w:r>
        <w:rPr>
          <w:rFonts w:asciiTheme="minorHAnsi" w:hAnsiTheme="minorHAnsi" w:cstheme="minorHAnsi"/>
          <w:b/>
          <w:bCs/>
          <w:u w:val="single"/>
        </w:rPr>
        <w:t>Program objectives</w:t>
      </w:r>
    </w:p>
    <w:p w14:paraId="57E5F1FB" w14:textId="7BE77558" w:rsidR="00941652" w:rsidRDefault="001C6174" w:rsidP="001D33A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This section specifies the </w:t>
      </w:r>
      <w:r w:rsidR="00B03FF2" w:rsidRPr="00B03FF2">
        <w:rPr>
          <w:rFonts w:asciiTheme="minorHAnsi" w:hAnsiTheme="minorHAnsi" w:cstheme="minorHAnsi"/>
          <w:bCs/>
        </w:rPr>
        <w:t>Regional Partnerships Project Pool Program</w:t>
      </w:r>
      <w:r w:rsidR="00523015">
        <w:rPr>
          <w:rFonts w:asciiTheme="minorHAnsi" w:hAnsiTheme="minorHAnsi" w:cstheme="minorHAnsi"/>
          <w:bCs/>
        </w:rPr>
        <w:t xml:space="preserve"> as a program</w:t>
      </w:r>
      <w:r w:rsidR="000C5FCE">
        <w:rPr>
          <w:rFonts w:asciiTheme="minorHAnsi" w:hAnsiTheme="minorHAnsi" w:cstheme="minorHAnsi"/>
          <w:bCs/>
        </w:rPr>
        <w:t xml:space="preserve"> for the purpose of promoting equality of opportunity in higher education</w:t>
      </w:r>
      <w:r w:rsidR="005E4BCE">
        <w:rPr>
          <w:rFonts w:asciiTheme="minorHAnsi" w:hAnsiTheme="minorHAnsi" w:cstheme="minorHAnsi"/>
          <w:bCs/>
        </w:rPr>
        <w:t xml:space="preserve"> and sets out the objectives of the program</w:t>
      </w:r>
      <w:r>
        <w:rPr>
          <w:rFonts w:asciiTheme="minorHAnsi" w:hAnsiTheme="minorHAnsi" w:cstheme="minorHAnsi"/>
          <w:bCs/>
        </w:rPr>
        <w:t>.</w:t>
      </w:r>
    </w:p>
    <w:p w14:paraId="13B758AB" w14:textId="4ADE61CC" w:rsidR="003E59FC" w:rsidRPr="00584D78" w:rsidRDefault="003E59FC" w:rsidP="003E59FC">
      <w:pPr>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19</w:t>
      </w:r>
      <w:r w:rsidRPr="00584D78">
        <w:rPr>
          <w:rFonts w:asciiTheme="minorHAnsi" w:hAnsiTheme="minorHAnsi" w:cstheme="minorHAnsi"/>
          <w:b/>
          <w:bCs/>
          <w:u w:val="single"/>
        </w:rPr>
        <w:t xml:space="preserve">: </w:t>
      </w:r>
      <w:r w:rsidR="00E41F57">
        <w:rPr>
          <w:rFonts w:asciiTheme="minorHAnsi" w:hAnsiTheme="minorHAnsi" w:cstheme="minorHAnsi"/>
          <w:b/>
          <w:bCs/>
          <w:u w:val="single"/>
        </w:rPr>
        <w:t xml:space="preserve">Specified </w:t>
      </w:r>
      <w:r w:rsidR="007D1486">
        <w:rPr>
          <w:rFonts w:asciiTheme="minorHAnsi" w:hAnsiTheme="minorHAnsi" w:cstheme="minorHAnsi"/>
          <w:b/>
          <w:bCs/>
          <w:u w:val="single"/>
        </w:rPr>
        <w:t xml:space="preserve">bodies corporate </w:t>
      </w:r>
    </w:p>
    <w:p w14:paraId="05706101" w14:textId="14C65300" w:rsidR="003E59FC" w:rsidRPr="003E59FC" w:rsidRDefault="003E59FC" w:rsidP="009D4C1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specifies</w:t>
      </w:r>
      <w:r w:rsidR="00063367">
        <w:rPr>
          <w:rFonts w:asciiTheme="minorHAnsi" w:hAnsiTheme="minorHAnsi" w:cstheme="minorHAnsi"/>
          <w:bCs/>
        </w:rPr>
        <w:t xml:space="preserve"> that (besides Table A providers are referred to in the table </w:t>
      </w:r>
      <w:r w:rsidR="00847082">
        <w:rPr>
          <w:rFonts w:asciiTheme="minorHAnsi" w:hAnsiTheme="minorHAnsi" w:cstheme="minorHAnsi"/>
          <w:bCs/>
        </w:rPr>
        <w:t xml:space="preserve">in section 41-10 of </w:t>
      </w:r>
      <w:r w:rsidR="00207BCF">
        <w:rPr>
          <w:rFonts w:asciiTheme="minorHAnsi" w:hAnsiTheme="minorHAnsi" w:cstheme="minorHAnsi"/>
          <w:bCs/>
        </w:rPr>
        <w:t>HESA</w:t>
      </w:r>
      <w:r w:rsidR="00847082">
        <w:rPr>
          <w:rFonts w:asciiTheme="minorHAnsi" w:hAnsiTheme="minorHAnsi" w:cstheme="minorHAnsi"/>
          <w:bCs/>
        </w:rPr>
        <w:t xml:space="preserve">), bodies corporate </w:t>
      </w:r>
      <w:r w:rsidR="009D4C11" w:rsidRPr="009D4C11">
        <w:rPr>
          <w:rFonts w:asciiTheme="minorHAnsi" w:hAnsiTheme="minorHAnsi" w:cstheme="minorHAnsi"/>
          <w:bCs/>
        </w:rPr>
        <w:t>in receipt of a grant under the Regional University Centres Program referred to in Part 9 of the</w:t>
      </w:r>
      <w:r w:rsidR="0038163B">
        <w:rPr>
          <w:rFonts w:asciiTheme="minorHAnsi" w:hAnsiTheme="minorHAnsi" w:cstheme="minorHAnsi"/>
          <w:bCs/>
        </w:rPr>
        <w:t xml:space="preserve"> Other Grant</w:t>
      </w:r>
      <w:r w:rsidR="009D4C11" w:rsidRPr="009D4C11">
        <w:rPr>
          <w:rFonts w:asciiTheme="minorHAnsi" w:hAnsiTheme="minorHAnsi" w:cstheme="minorHAnsi"/>
          <w:bCs/>
        </w:rPr>
        <w:t xml:space="preserve"> Guidelines are also eligible to receive a grant under the Regional Partnerships Project Pool Program</w:t>
      </w:r>
      <w:r w:rsidR="009D4C11">
        <w:rPr>
          <w:rFonts w:asciiTheme="minorHAnsi" w:hAnsiTheme="minorHAnsi" w:cstheme="minorHAnsi"/>
          <w:bCs/>
        </w:rPr>
        <w:t>.</w:t>
      </w:r>
    </w:p>
    <w:p w14:paraId="7991830D" w14:textId="35D22D7F" w:rsidR="00523900" w:rsidRPr="00F96196" w:rsidRDefault="00523900" w:rsidP="001D33A1">
      <w:pPr>
        <w:spacing w:before="120" w:after="120" w:line="259" w:lineRule="auto"/>
        <w:rPr>
          <w:rFonts w:asciiTheme="minorHAnsi" w:hAnsiTheme="minorHAnsi" w:cstheme="minorHAnsi"/>
          <w:b/>
          <w:bCs/>
          <w:u w:val="single"/>
        </w:rPr>
      </w:pPr>
      <w:r w:rsidRPr="002D73C0">
        <w:rPr>
          <w:rFonts w:asciiTheme="minorHAnsi" w:hAnsiTheme="minorHAnsi" w:cstheme="minorHAnsi"/>
          <w:b/>
          <w:bCs/>
          <w:u w:val="single"/>
        </w:rPr>
        <w:t>Section</w:t>
      </w:r>
      <w:r w:rsidR="00B03FF2">
        <w:rPr>
          <w:rFonts w:asciiTheme="minorHAnsi" w:hAnsiTheme="minorHAnsi" w:cstheme="minorHAnsi"/>
          <w:b/>
          <w:bCs/>
          <w:u w:val="single"/>
        </w:rPr>
        <w:t>s 20</w:t>
      </w:r>
      <w:r w:rsidR="00B04F29">
        <w:rPr>
          <w:rFonts w:asciiTheme="minorHAnsi" w:hAnsiTheme="minorHAnsi" w:cstheme="minorHAnsi"/>
          <w:b/>
          <w:bCs/>
          <w:u w:val="single"/>
        </w:rPr>
        <w:t xml:space="preserve"> and 21</w:t>
      </w:r>
      <w:r w:rsidR="00434172">
        <w:rPr>
          <w:rFonts w:asciiTheme="minorHAnsi" w:hAnsiTheme="minorHAnsi" w:cstheme="minorHAnsi"/>
          <w:b/>
          <w:bCs/>
          <w:u w:val="single"/>
        </w:rPr>
        <w:t xml:space="preserve"> Grants to be made in respect of projects and Indexation</w:t>
      </w:r>
    </w:p>
    <w:p w14:paraId="30CB9A8C" w14:textId="58FD5F1D" w:rsidR="008A3867" w:rsidRDefault="009048FD" w:rsidP="003A4D86">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Section 20</w:t>
      </w:r>
      <w:r w:rsidR="00B03FF2" w:rsidRPr="00B03FF2">
        <w:rPr>
          <w:rFonts w:asciiTheme="minorHAnsi" w:hAnsiTheme="minorHAnsi" w:cstheme="minorHAnsi"/>
          <w:bCs/>
        </w:rPr>
        <w:t xml:space="preserve"> </w:t>
      </w:r>
      <w:r w:rsidR="00E06EDD">
        <w:rPr>
          <w:rFonts w:asciiTheme="minorHAnsi" w:hAnsiTheme="minorHAnsi" w:cstheme="minorHAnsi"/>
          <w:bCs/>
        </w:rPr>
        <w:t>specif</w:t>
      </w:r>
      <w:r>
        <w:rPr>
          <w:rFonts w:asciiTheme="minorHAnsi" w:hAnsiTheme="minorHAnsi" w:cstheme="minorHAnsi"/>
          <w:bCs/>
        </w:rPr>
        <w:t>ies</w:t>
      </w:r>
      <w:r w:rsidR="00B03FF2" w:rsidRPr="00B03FF2">
        <w:rPr>
          <w:rFonts w:asciiTheme="minorHAnsi" w:hAnsiTheme="minorHAnsi" w:cstheme="minorHAnsi"/>
          <w:bCs/>
        </w:rPr>
        <w:t xml:space="preserve"> that </w:t>
      </w:r>
      <w:r w:rsidR="005D0BEB">
        <w:rPr>
          <w:rFonts w:asciiTheme="minorHAnsi" w:hAnsiTheme="minorHAnsi" w:cstheme="minorHAnsi"/>
          <w:bCs/>
        </w:rPr>
        <w:t>grants are made in respect of projects</w:t>
      </w:r>
      <w:r w:rsidR="00B03FF2" w:rsidRPr="00B03FF2">
        <w:rPr>
          <w:rFonts w:asciiTheme="minorHAnsi" w:hAnsiTheme="minorHAnsi" w:cstheme="minorHAnsi"/>
          <w:bCs/>
        </w:rPr>
        <w:t xml:space="preserve"> and the amount dedicated to the program in 2022</w:t>
      </w:r>
      <w:r w:rsidR="005C288E">
        <w:rPr>
          <w:rFonts w:asciiTheme="minorHAnsi" w:hAnsiTheme="minorHAnsi" w:cstheme="minorHAnsi"/>
          <w:bCs/>
        </w:rPr>
        <w:t xml:space="preserve"> and 2024</w:t>
      </w:r>
      <w:r w:rsidR="008A3867">
        <w:rPr>
          <w:rFonts w:asciiTheme="minorHAnsi" w:hAnsiTheme="minorHAnsi" w:cstheme="minorHAnsi"/>
          <w:bCs/>
        </w:rPr>
        <w:t>.</w:t>
      </w:r>
    </w:p>
    <w:p w14:paraId="49D1F7B8" w14:textId="77777777" w:rsidR="005C288E" w:rsidRDefault="005C288E" w:rsidP="003A4D86">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Subsection 20(2) specifies the amount dedicated to the program in 2022.</w:t>
      </w:r>
    </w:p>
    <w:p w14:paraId="1017573A" w14:textId="1A024F42" w:rsidR="001F756C" w:rsidRDefault="005C288E" w:rsidP="003A4D86">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Subsection 20(3) specifies the amount dedicated to the program in 2024. This amount is calculated by multiplying $1,784,000 by the indexation factor for 2024.  </w:t>
      </w:r>
    </w:p>
    <w:p w14:paraId="5F35E339" w14:textId="4FAFF563" w:rsidR="00B03FF2" w:rsidRPr="003A4D86" w:rsidRDefault="008A3867" w:rsidP="003A4D86">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Section 21 clarifies that the amount </w:t>
      </w:r>
      <w:r w:rsidR="009A6E7E">
        <w:rPr>
          <w:rFonts w:asciiTheme="minorHAnsi" w:hAnsiTheme="minorHAnsi" w:cstheme="minorHAnsi"/>
          <w:bCs/>
        </w:rPr>
        <w:t>dedicated to the program in 2022</w:t>
      </w:r>
      <w:r w:rsidR="001F756C">
        <w:rPr>
          <w:rFonts w:asciiTheme="minorHAnsi" w:hAnsiTheme="minorHAnsi" w:cstheme="minorHAnsi"/>
          <w:bCs/>
        </w:rPr>
        <w:t>, under subsection 20(2)</w:t>
      </w:r>
      <w:r w:rsidR="00FE7DB7">
        <w:rPr>
          <w:rFonts w:asciiTheme="minorHAnsi" w:hAnsiTheme="minorHAnsi" w:cstheme="minorHAnsi"/>
          <w:bCs/>
        </w:rPr>
        <w:t>,</w:t>
      </w:r>
      <w:r w:rsidR="00B04F29">
        <w:rPr>
          <w:rFonts w:asciiTheme="minorHAnsi" w:hAnsiTheme="minorHAnsi" w:cstheme="minorHAnsi"/>
          <w:bCs/>
        </w:rPr>
        <w:t xml:space="preserve"> is subject to consumer price index indexation</w:t>
      </w:r>
      <w:r w:rsidR="001F756C">
        <w:rPr>
          <w:rFonts w:asciiTheme="minorHAnsi" w:hAnsiTheme="minorHAnsi" w:cstheme="minorHAnsi"/>
          <w:bCs/>
        </w:rPr>
        <w:t xml:space="preserve"> for the 2023 year</w:t>
      </w:r>
      <w:r w:rsidR="00B04F29">
        <w:rPr>
          <w:rFonts w:asciiTheme="minorHAnsi" w:hAnsiTheme="minorHAnsi" w:cstheme="minorHAnsi"/>
          <w:bCs/>
        </w:rPr>
        <w:t>.</w:t>
      </w:r>
    </w:p>
    <w:p w14:paraId="45FCB55C" w14:textId="0376EC40" w:rsidR="00523900" w:rsidRPr="00B03FF2" w:rsidRDefault="00523900" w:rsidP="00FE7DB7">
      <w:pPr>
        <w:keepNext/>
        <w:spacing w:before="120" w:after="120" w:line="259" w:lineRule="auto"/>
        <w:rPr>
          <w:rFonts w:asciiTheme="minorHAnsi" w:hAnsiTheme="minorHAnsi" w:cstheme="minorHAnsi"/>
          <w:b/>
          <w:bCs/>
          <w:u w:val="single"/>
        </w:rPr>
      </w:pPr>
      <w:r w:rsidRPr="00B03FF2">
        <w:rPr>
          <w:rFonts w:asciiTheme="minorHAnsi" w:hAnsiTheme="minorHAnsi" w:cstheme="minorHAnsi"/>
          <w:b/>
          <w:bCs/>
          <w:u w:val="single"/>
        </w:rPr>
        <w:lastRenderedPageBreak/>
        <w:t xml:space="preserve">Section </w:t>
      </w:r>
      <w:r w:rsidR="00672D97">
        <w:rPr>
          <w:rFonts w:asciiTheme="minorHAnsi" w:hAnsiTheme="minorHAnsi" w:cstheme="minorHAnsi"/>
          <w:b/>
          <w:bCs/>
          <w:u w:val="single"/>
        </w:rPr>
        <w:t xml:space="preserve">22: Conditions that apply to grants </w:t>
      </w:r>
    </w:p>
    <w:p w14:paraId="0AC65A00" w14:textId="7A631F72" w:rsidR="00672D97" w:rsidRPr="00584D78" w:rsidRDefault="00523900" w:rsidP="009D4C1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This section </w:t>
      </w:r>
      <w:r w:rsidR="00672D97">
        <w:rPr>
          <w:rFonts w:asciiTheme="minorHAnsi" w:hAnsiTheme="minorHAnsi" w:cstheme="minorHAnsi"/>
          <w:bCs/>
        </w:rPr>
        <w:t>clarifies that, while there are no conditions set out in the</w:t>
      </w:r>
      <w:r w:rsidR="0038163B">
        <w:rPr>
          <w:rFonts w:asciiTheme="minorHAnsi" w:hAnsiTheme="minorHAnsi" w:cstheme="minorHAnsi"/>
          <w:bCs/>
        </w:rPr>
        <w:t xml:space="preserve"> </w:t>
      </w:r>
      <w:r w:rsidR="0038163B">
        <w:rPr>
          <w:rFonts w:asciiTheme="minorHAnsi" w:hAnsiTheme="minorHAnsi" w:cstheme="minorHAnsi"/>
          <w:iCs/>
          <w:szCs w:val="24"/>
        </w:rPr>
        <w:t>Other Grants</w:t>
      </w:r>
      <w:r w:rsidR="00672D97">
        <w:rPr>
          <w:rFonts w:asciiTheme="minorHAnsi" w:hAnsiTheme="minorHAnsi" w:cstheme="minorHAnsi"/>
          <w:bCs/>
        </w:rPr>
        <w:t xml:space="preserve"> Guidelines, the Minister has the power to impose specific conditions, on a grant by grant basis, under section 41-25 of</w:t>
      </w:r>
      <w:r w:rsidR="00050BCA">
        <w:rPr>
          <w:rFonts w:asciiTheme="minorHAnsi" w:hAnsiTheme="minorHAnsi" w:cstheme="minorHAnsi"/>
          <w:bCs/>
        </w:rPr>
        <w:t xml:space="preserve"> </w:t>
      </w:r>
      <w:r w:rsidR="00672D97">
        <w:rPr>
          <w:rFonts w:asciiTheme="minorHAnsi" w:hAnsiTheme="minorHAnsi" w:cstheme="minorHAnsi"/>
          <w:bCs/>
        </w:rPr>
        <w:t>HESA.</w:t>
      </w:r>
    </w:p>
    <w:p w14:paraId="550AEEA8" w14:textId="148916D2" w:rsidR="006B6373" w:rsidRPr="00584D78" w:rsidRDefault="006B6373" w:rsidP="001D33A1">
      <w:pPr>
        <w:pStyle w:val="ListParagraph"/>
        <w:spacing w:before="120" w:after="120"/>
        <w:rPr>
          <w:rFonts w:asciiTheme="minorHAnsi" w:hAnsiTheme="minorHAnsi" w:cstheme="minorHAnsi"/>
          <w:bCs/>
        </w:rPr>
      </w:pPr>
    </w:p>
    <w:p w14:paraId="10A18288" w14:textId="5CED7746" w:rsidR="00672D97" w:rsidRPr="00941652" w:rsidRDefault="00672D97" w:rsidP="003A4D86">
      <w:pPr>
        <w:keepNext/>
        <w:spacing w:before="120" w:after="120" w:line="259" w:lineRule="auto"/>
        <w:rPr>
          <w:rFonts w:asciiTheme="minorHAnsi" w:hAnsiTheme="minorHAnsi" w:cstheme="minorHAnsi"/>
          <w:b/>
          <w:bCs/>
          <w:u w:val="single"/>
        </w:rPr>
      </w:pPr>
      <w:r w:rsidRPr="00941652">
        <w:rPr>
          <w:rFonts w:asciiTheme="minorHAnsi" w:hAnsiTheme="minorHAnsi" w:cstheme="minorHAnsi"/>
          <w:b/>
          <w:bCs/>
          <w:u w:val="single"/>
        </w:rPr>
        <w:t>Division </w:t>
      </w:r>
      <w:r>
        <w:rPr>
          <w:rFonts w:asciiTheme="minorHAnsi" w:hAnsiTheme="minorHAnsi" w:cstheme="minorHAnsi"/>
          <w:b/>
          <w:bCs/>
          <w:u w:val="single"/>
        </w:rPr>
        <w:t>4</w:t>
      </w:r>
      <w:r w:rsidRPr="00941652">
        <w:rPr>
          <w:rFonts w:asciiTheme="minorHAnsi" w:hAnsiTheme="minorHAnsi" w:cstheme="minorHAnsi"/>
          <w:b/>
          <w:bCs/>
          <w:u w:val="single"/>
        </w:rPr>
        <w:t>—</w:t>
      </w:r>
      <w:r>
        <w:rPr>
          <w:rFonts w:asciiTheme="minorHAnsi" w:hAnsiTheme="minorHAnsi" w:cstheme="minorHAnsi"/>
          <w:b/>
          <w:bCs/>
          <w:u w:val="single"/>
        </w:rPr>
        <w:t>Regional Loading Program</w:t>
      </w:r>
    </w:p>
    <w:p w14:paraId="1F195FBE" w14:textId="6D4F70F9" w:rsidR="00672D97" w:rsidRPr="00584D78" w:rsidRDefault="00672D97" w:rsidP="003A4D86">
      <w:pPr>
        <w:keepNext/>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23</w:t>
      </w:r>
      <w:r w:rsidRPr="00584D78">
        <w:rPr>
          <w:rFonts w:asciiTheme="minorHAnsi" w:hAnsiTheme="minorHAnsi" w:cstheme="minorHAnsi"/>
          <w:b/>
          <w:bCs/>
          <w:u w:val="single"/>
        </w:rPr>
        <w:t xml:space="preserve">: </w:t>
      </w:r>
      <w:r>
        <w:rPr>
          <w:rFonts w:asciiTheme="minorHAnsi" w:hAnsiTheme="minorHAnsi" w:cstheme="minorHAnsi"/>
          <w:b/>
          <w:bCs/>
          <w:u w:val="single"/>
        </w:rPr>
        <w:t>Program objectives</w:t>
      </w:r>
    </w:p>
    <w:p w14:paraId="104DB83C" w14:textId="122712A3" w:rsidR="00672D97" w:rsidRPr="00672D97" w:rsidRDefault="00672D97" w:rsidP="009D4C1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w:t>
      </w:r>
      <w:r w:rsidR="00704CE4">
        <w:rPr>
          <w:rFonts w:asciiTheme="minorHAnsi" w:hAnsiTheme="minorHAnsi" w:cstheme="minorHAnsi"/>
          <w:bCs/>
        </w:rPr>
        <w:t xml:space="preserve"> specifies</w:t>
      </w:r>
      <w:r>
        <w:rPr>
          <w:rFonts w:asciiTheme="minorHAnsi" w:hAnsiTheme="minorHAnsi" w:cstheme="minorHAnsi"/>
          <w:bCs/>
        </w:rPr>
        <w:t xml:space="preserve"> the </w:t>
      </w:r>
      <w:r w:rsidRPr="00B03FF2">
        <w:rPr>
          <w:rFonts w:asciiTheme="minorHAnsi" w:hAnsiTheme="minorHAnsi" w:cstheme="minorHAnsi"/>
          <w:bCs/>
        </w:rPr>
        <w:t xml:space="preserve">Regional </w:t>
      </w:r>
      <w:r>
        <w:rPr>
          <w:rFonts w:asciiTheme="minorHAnsi" w:hAnsiTheme="minorHAnsi" w:cstheme="minorHAnsi"/>
          <w:bCs/>
        </w:rPr>
        <w:t xml:space="preserve">Loading </w:t>
      </w:r>
      <w:r w:rsidRPr="00B03FF2">
        <w:rPr>
          <w:rFonts w:asciiTheme="minorHAnsi" w:hAnsiTheme="minorHAnsi" w:cstheme="minorHAnsi"/>
          <w:bCs/>
        </w:rPr>
        <w:t>Program</w:t>
      </w:r>
      <w:r w:rsidR="00523015">
        <w:rPr>
          <w:rFonts w:asciiTheme="minorHAnsi" w:hAnsiTheme="minorHAnsi" w:cstheme="minorHAnsi"/>
          <w:bCs/>
        </w:rPr>
        <w:t xml:space="preserve"> as a program</w:t>
      </w:r>
      <w:r w:rsidR="002F632A">
        <w:rPr>
          <w:rFonts w:asciiTheme="minorHAnsi" w:hAnsiTheme="minorHAnsi" w:cstheme="minorHAnsi"/>
          <w:bCs/>
        </w:rPr>
        <w:t xml:space="preserve"> for the purpose of promotin</w:t>
      </w:r>
      <w:r w:rsidR="00646993">
        <w:rPr>
          <w:rFonts w:asciiTheme="minorHAnsi" w:hAnsiTheme="minorHAnsi" w:cstheme="minorHAnsi"/>
          <w:bCs/>
        </w:rPr>
        <w:t>g</w:t>
      </w:r>
      <w:r w:rsidR="002F632A">
        <w:rPr>
          <w:rFonts w:asciiTheme="minorHAnsi" w:hAnsiTheme="minorHAnsi" w:cstheme="minorHAnsi"/>
          <w:bCs/>
        </w:rPr>
        <w:t xml:space="preserve"> equality of opportunity in higher education and sets out the objective</w:t>
      </w:r>
      <w:r w:rsidR="00635ED9">
        <w:rPr>
          <w:rFonts w:asciiTheme="minorHAnsi" w:hAnsiTheme="minorHAnsi" w:cstheme="minorHAnsi"/>
          <w:bCs/>
        </w:rPr>
        <w:t>s of the program</w:t>
      </w:r>
      <w:r>
        <w:rPr>
          <w:rFonts w:asciiTheme="minorHAnsi" w:hAnsiTheme="minorHAnsi" w:cstheme="minorHAnsi"/>
          <w:bCs/>
        </w:rPr>
        <w:t>.</w:t>
      </w:r>
    </w:p>
    <w:p w14:paraId="767761BA" w14:textId="31376896" w:rsidR="00523900" w:rsidRPr="00584D78" w:rsidRDefault="00523900" w:rsidP="00AB167A">
      <w:pPr>
        <w:keepNext/>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686CE3">
        <w:rPr>
          <w:rFonts w:asciiTheme="minorHAnsi" w:hAnsiTheme="minorHAnsi" w:cstheme="minorHAnsi"/>
          <w:b/>
          <w:bCs/>
          <w:u w:val="single"/>
        </w:rPr>
        <w:t>24</w:t>
      </w:r>
      <w:r w:rsidRPr="00584D78">
        <w:rPr>
          <w:rFonts w:asciiTheme="minorHAnsi" w:hAnsiTheme="minorHAnsi" w:cstheme="minorHAnsi"/>
          <w:b/>
          <w:bCs/>
          <w:u w:val="single"/>
        </w:rPr>
        <w:t xml:space="preserve">: </w:t>
      </w:r>
      <w:r w:rsidR="00E5282C" w:rsidRPr="00E5282C">
        <w:rPr>
          <w:rFonts w:asciiTheme="minorHAnsi" w:hAnsiTheme="minorHAnsi" w:cstheme="minorHAnsi"/>
          <w:b/>
          <w:bCs/>
          <w:u w:val="single"/>
        </w:rPr>
        <w:t>Specified bodies corporate and extra conditions of eligibility</w:t>
      </w:r>
    </w:p>
    <w:p w14:paraId="7084E251" w14:textId="02829887" w:rsidR="00D94015" w:rsidRDefault="00523900" w:rsidP="009D4C1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w:t>
      </w:r>
      <w:r w:rsidR="00553B33">
        <w:rPr>
          <w:rFonts w:asciiTheme="minorHAnsi" w:hAnsiTheme="minorHAnsi" w:cstheme="minorHAnsi"/>
          <w:bCs/>
        </w:rPr>
        <w:t xml:space="preserve"> specifies that a</w:t>
      </w:r>
      <w:r>
        <w:rPr>
          <w:rFonts w:asciiTheme="minorHAnsi" w:hAnsiTheme="minorHAnsi" w:cstheme="minorHAnsi"/>
          <w:bCs/>
        </w:rPr>
        <w:t xml:space="preserve"> </w:t>
      </w:r>
      <w:r w:rsidR="00553B33" w:rsidRPr="00553B33">
        <w:rPr>
          <w:rFonts w:asciiTheme="minorHAnsi" w:hAnsiTheme="minorHAnsi" w:cstheme="minorHAnsi"/>
          <w:bCs/>
        </w:rPr>
        <w:t>higher education provider will be eligible for grant under the Regional Loading Program in relation to a particular campus of the provider if the average student load for the campus is a minimum of 50 internal and multi-modal Commonwealth supported students, expressed as E</w:t>
      </w:r>
      <w:r w:rsidR="00497EBF">
        <w:rPr>
          <w:rFonts w:asciiTheme="minorHAnsi" w:hAnsiTheme="minorHAnsi" w:cstheme="minorHAnsi"/>
          <w:bCs/>
        </w:rPr>
        <w:t xml:space="preserve">quivalent </w:t>
      </w:r>
      <w:r w:rsidR="00553B33" w:rsidRPr="00553B33">
        <w:rPr>
          <w:rFonts w:asciiTheme="minorHAnsi" w:hAnsiTheme="minorHAnsi" w:cstheme="minorHAnsi"/>
          <w:bCs/>
        </w:rPr>
        <w:t>F</w:t>
      </w:r>
      <w:r w:rsidR="00497EBF">
        <w:rPr>
          <w:rFonts w:asciiTheme="minorHAnsi" w:hAnsiTheme="minorHAnsi" w:cstheme="minorHAnsi"/>
          <w:bCs/>
        </w:rPr>
        <w:t>ull</w:t>
      </w:r>
      <w:r w:rsidR="002E2297">
        <w:rPr>
          <w:rFonts w:asciiTheme="minorHAnsi" w:hAnsiTheme="minorHAnsi" w:cstheme="minorHAnsi"/>
          <w:bCs/>
        </w:rPr>
        <w:t>-</w:t>
      </w:r>
      <w:r w:rsidR="00553B33" w:rsidRPr="00553B33">
        <w:rPr>
          <w:rFonts w:asciiTheme="minorHAnsi" w:hAnsiTheme="minorHAnsi" w:cstheme="minorHAnsi"/>
          <w:bCs/>
        </w:rPr>
        <w:t>T</w:t>
      </w:r>
      <w:r w:rsidR="002E2297">
        <w:rPr>
          <w:rFonts w:asciiTheme="minorHAnsi" w:hAnsiTheme="minorHAnsi" w:cstheme="minorHAnsi"/>
          <w:bCs/>
        </w:rPr>
        <w:t xml:space="preserve">ime </w:t>
      </w:r>
      <w:r w:rsidR="00553B33" w:rsidRPr="00553B33">
        <w:rPr>
          <w:rFonts w:asciiTheme="minorHAnsi" w:hAnsiTheme="minorHAnsi" w:cstheme="minorHAnsi"/>
          <w:bCs/>
        </w:rPr>
        <w:t>S</w:t>
      </w:r>
      <w:r w:rsidR="002E2297">
        <w:rPr>
          <w:rFonts w:asciiTheme="minorHAnsi" w:hAnsiTheme="minorHAnsi" w:cstheme="minorHAnsi"/>
          <w:bCs/>
        </w:rPr>
        <w:t xml:space="preserve">tudent </w:t>
      </w:r>
      <w:r w:rsidR="00553B33" w:rsidRPr="00553B33">
        <w:rPr>
          <w:rFonts w:asciiTheme="minorHAnsi" w:hAnsiTheme="minorHAnsi" w:cstheme="minorHAnsi"/>
          <w:bCs/>
        </w:rPr>
        <w:t>L</w:t>
      </w:r>
      <w:r w:rsidR="002E2297">
        <w:rPr>
          <w:rFonts w:asciiTheme="minorHAnsi" w:hAnsiTheme="minorHAnsi" w:cstheme="minorHAnsi"/>
          <w:bCs/>
        </w:rPr>
        <w:t>oad (EFTSL)</w:t>
      </w:r>
      <w:r w:rsidRPr="00145C45">
        <w:rPr>
          <w:rFonts w:asciiTheme="minorHAnsi" w:hAnsiTheme="minorHAnsi" w:cstheme="minorHAnsi"/>
          <w:bCs/>
        </w:rPr>
        <w:t>.</w:t>
      </w:r>
      <w:r w:rsidR="001C5149">
        <w:rPr>
          <w:rFonts w:asciiTheme="minorHAnsi" w:hAnsiTheme="minorHAnsi" w:cstheme="minorHAnsi"/>
          <w:bCs/>
        </w:rPr>
        <w:t xml:space="preserve"> </w:t>
      </w:r>
      <w:r w:rsidR="00492074">
        <w:rPr>
          <w:rFonts w:asciiTheme="minorHAnsi" w:hAnsiTheme="minorHAnsi" w:cstheme="minorHAnsi"/>
          <w:bCs/>
        </w:rPr>
        <w:t>Th</w:t>
      </w:r>
      <w:r w:rsidR="004217E3">
        <w:rPr>
          <w:rFonts w:asciiTheme="minorHAnsi" w:hAnsiTheme="minorHAnsi" w:cstheme="minorHAnsi"/>
          <w:bCs/>
        </w:rPr>
        <w:t>is</w:t>
      </w:r>
      <w:r w:rsidR="00492074">
        <w:rPr>
          <w:rFonts w:asciiTheme="minorHAnsi" w:hAnsiTheme="minorHAnsi" w:cstheme="minorHAnsi"/>
          <w:bCs/>
        </w:rPr>
        <w:t xml:space="preserve"> sectio</w:t>
      </w:r>
      <w:r w:rsidR="004217E3">
        <w:rPr>
          <w:rFonts w:asciiTheme="minorHAnsi" w:hAnsiTheme="minorHAnsi" w:cstheme="minorHAnsi"/>
          <w:bCs/>
        </w:rPr>
        <w:t>n</w:t>
      </w:r>
      <w:r w:rsidR="001C5149">
        <w:rPr>
          <w:rFonts w:asciiTheme="minorHAnsi" w:hAnsiTheme="minorHAnsi" w:cstheme="minorHAnsi"/>
          <w:bCs/>
        </w:rPr>
        <w:t xml:space="preserve"> also contains a specific provision for how grants to Charles Darwin University are to be calculated</w:t>
      </w:r>
      <w:r w:rsidRPr="00145C45">
        <w:rPr>
          <w:rFonts w:asciiTheme="minorHAnsi" w:hAnsiTheme="minorHAnsi" w:cstheme="minorHAnsi"/>
          <w:bCs/>
        </w:rPr>
        <w:t xml:space="preserve"> </w:t>
      </w:r>
      <w:r w:rsidR="00CB6C6B">
        <w:rPr>
          <w:rFonts w:asciiTheme="minorHAnsi" w:hAnsiTheme="minorHAnsi" w:cstheme="minorHAnsi"/>
          <w:bCs/>
        </w:rPr>
        <w:t>(</w:t>
      </w:r>
      <w:r w:rsidR="00CB6C6B" w:rsidRPr="0004731F">
        <w:rPr>
          <w:rFonts w:asciiTheme="minorHAnsi" w:hAnsiTheme="minorHAnsi" w:cstheme="minorHAnsi"/>
          <w:bCs/>
        </w:rPr>
        <w:t>the Commonwealth supported student load at Batchelor Institute of Indigenous Tertiary Education is to count towards Charles Darwin University’s average student lo</w:t>
      </w:r>
      <w:r w:rsidR="0004731F">
        <w:rPr>
          <w:rFonts w:asciiTheme="minorHAnsi" w:hAnsiTheme="minorHAnsi" w:cstheme="minorHAnsi"/>
          <w:bCs/>
        </w:rPr>
        <w:t>ad</w:t>
      </w:r>
      <w:r w:rsidR="00846616">
        <w:rPr>
          <w:rFonts w:asciiTheme="minorHAnsi" w:hAnsiTheme="minorHAnsi" w:cstheme="minorHAnsi"/>
          <w:bCs/>
        </w:rPr>
        <w:t xml:space="preserve"> when applying the method in section 27</w:t>
      </w:r>
      <w:r w:rsidR="0004731F">
        <w:rPr>
          <w:rFonts w:asciiTheme="minorHAnsi" w:hAnsiTheme="minorHAnsi" w:cstheme="minorHAnsi"/>
          <w:bCs/>
        </w:rPr>
        <w:t>).</w:t>
      </w:r>
    </w:p>
    <w:p w14:paraId="745EDE0C" w14:textId="18217533" w:rsidR="00207192" w:rsidRPr="00207192" w:rsidRDefault="00207192" w:rsidP="009D4C11">
      <w:pPr>
        <w:keepNext/>
        <w:spacing w:before="120" w:after="120" w:line="259" w:lineRule="auto"/>
        <w:rPr>
          <w:rFonts w:asciiTheme="minorHAnsi" w:hAnsiTheme="minorHAnsi" w:cstheme="minorHAnsi"/>
          <w:b/>
          <w:bCs/>
          <w:u w:val="single"/>
        </w:rPr>
      </w:pPr>
      <w:r w:rsidRPr="00207192">
        <w:rPr>
          <w:rFonts w:asciiTheme="minorHAnsi" w:hAnsiTheme="minorHAnsi" w:cstheme="minorHAnsi"/>
          <w:b/>
          <w:bCs/>
          <w:u w:val="single"/>
        </w:rPr>
        <w:t>Section</w:t>
      </w:r>
      <w:r w:rsidR="008C2501">
        <w:rPr>
          <w:rFonts w:asciiTheme="minorHAnsi" w:hAnsiTheme="minorHAnsi" w:cstheme="minorHAnsi"/>
          <w:b/>
          <w:bCs/>
          <w:u w:val="single"/>
        </w:rPr>
        <w:t>s</w:t>
      </w:r>
      <w:r w:rsidRPr="00207192">
        <w:rPr>
          <w:rFonts w:asciiTheme="minorHAnsi" w:hAnsiTheme="minorHAnsi" w:cstheme="minorHAnsi"/>
          <w:b/>
          <w:bCs/>
          <w:u w:val="single"/>
        </w:rPr>
        <w:t xml:space="preserve"> 2</w:t>
      </w:r>
      <w:r>
        <w:rPr>
          <w:rFonts w:asciiTheme="minorHAnsi" w:hAnsiTheme="minorHAnsi" w:cstheme="minorHAnsi"/>
          <w:b/>
          <w:bCs/>
          <w:u w:val="single"/>
        </w:rPr>
        <w:t>5</w:t>
      </w:r>
      <w:r w:rsidR="008C2501">
        <w:rPr>
          <w:rFonts w:asciiTheme="minorHAnsi" w:hAnsiTheme="minorHAnsi" w:cstheme="minorHAnsi"/>
          <w:b/>
          <w:bCs/>
          <w:u w:val="single"/>
        </w:rPr>
        <w:t xml:space="preserve"> and 26</w:t>
      </w:r>
      <w:r w:rsidR="006E3D18">
        <w:rPr>
          <w:rFonts w:asciiTheme="minorHAnsi" w:hAnsiTheme="minorHAnsi" w:cstheme="minorHAnsi"/>
          <w:b/>
          <w:bCs/>
          <w:u w:val="single"/>
        </w:rPr>
        <w:t>:</w:t>
      </w:r>
      <w:r w:rsidR="00774960">
        <w:rPr>
          <w:rFonts w:asciiTheme="minorHAnsi" w:hAnsiTheme="minorHAnsi" w:cstheme="minorHAnsi"/>
          <w:b/>
          <w:bCs/>
          <w:u w:val="single"/>
        </w:rPr>
        <w:t xml:space="preserve"> Grants to be made in respect of a year and Indexation</w:t>
      </w:r>
    </w:p>
    <w:p w14:paraId="72782CD9" w14:textId="2B173861" w:rsidR="00523900" w:rsidRDefault="00C30332" w:rsidP="009D4C11">
      <w:pPr>
        <w:pStyle w:val="ListParagraph"/>
        <w:keepNext/>
        <w:numPr>
          <w:ilvl w:val="0"/>
          <w:numId w:val="1"/>
        </w:numPr>
        <w:spacing w:before="120" w:after="120"/>
        <w:rPr>
          <w:rFonts w:asciiTheme="minorHAnsi" w:hAnsiTheme="minorHAnsi" w:cstheme="minorHAnsi"/>
          <w:bCs/>
        </w:rPr>
      </w:pPr>
      <w:r>
        <w:rPr>
          <w:rFonts w:asciiTheme="minorHAnsi" w:hAnsiTheme="minorHAnsi" w:cstheme="minorHAnsi"/>
          <w:bCs/>
        </w:rPr>
        <w:t>S</w:t>
      </w:r>
      <w:r w:rsidR="00207192" w:rsidRPr="00207192">
        <w:rPr>
          <w:rFonts w:asciiTheme="minorHAnsi" w:hAnsiTheme="minorHAnsi" w:cstheme="minorHAnsi"/>
          <w:bCs/>
        </w:rPr>
        <w:t xml:space="preserve">ection </w:t>
      </w:r>
      <w:r>
        <w:rPr>
          <w:rFonts w:asciiTheme="minorHAnsi" w:hAnsiTheme="minorHAnsi" w:cstheme="minorHAnsi"/>
          <w:bCs/>
        </w:rPr>
        <w:t xml:space="preserve">25 </w:t>
      </w:r>
      <w:r w:rsidR="00207192" w:rsidRPr="00207192">
        <w:rPr>
          <w:rFonts w:asciiTheme="minorHAnsi" w:hAnsiTheme="minorHAnsi" w:cstheme="minorHAnsi"/>
          <w:bCs/>
        </w:rPr>
        <w:t xml:space="preserve">specifies </w:t>
      </w:r>
      <w:r w:rsidR="008C2501">
        <w:rPr>
          <w:rFonts w:asciiTheme="minorHAnsi" w:hAnsiTheme="minorHAnsi" w:cstheme="minorHAnsi"/>
          <w:bCs/>
        </w:rPr>
        <w:t xml:space="preserve">that grants under this program are to be made in respect of a year and </w:t>
      </w:r>
      <w:r>
        <w:rPr>
          <w:rFonts w:asciiTheme="minorHAnsi" w:hAnsiTheme="minorHAnsi" w:cstheme="minorHAnsi"/>
          <w:bCs/>
        </w:rPr>
        <w:t>the amount committed for this program in 2022</w:t>
      </w:r>
      <w:r w:rsidR="00486894">
        <w:rPr>
          <w:rFonts w:asciiTheme="minorHAnsi" w:hAnsiTheme="minorHAnsi" w:cstheme="minorHAnsi"/>
          <w:bCs/>
        </w:rPr>
        <w:t>.</w:t>
      </w:r>
    </w:p>
    <w:p w14:paraId="34DAA81F" w14:textId="674A5EE5" w:rsidR="00486894" w:rsidRPr="00486894" w:rsidRDefault="00486894" w:rsidP="00486894">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Section 26 clarifies that the amount dedicated to the program in 2022 is subject to consumer price index indexation.</w:t>
      </w:r>
    </w:p>
    <w:p w14:paraId="109FEB4B" w14:textId="526502C6" w:rsidR="0012062D" w:rsidRPr="0012062D" w:rsidRDefault="0012062D" w:rsidP="00846616">
      <w:pPr>
        <w:keepNext/>
        <w:spacing w:before="120" w:after="120" w:line="259" w:lineRule="auto"/>
        <w:rPr>
          <w:rFonts w:asciiTheme="minorHAnsi" w:hAnsiTheme="minorHAnsi" w:cstheme="minorHAnsi"/>
          <w:b/>
          <w:bCs/>
          <w:u w:val="single"/>
        </w:rPr>
      </w:pPr>
      <w:r w:rsidRPr="0012062D">
        <w:rPr>
          <w:rFonts w:asciiTheme="minorHAnsi" w:hAnsiTheme="minorHAnsi" w:cstheme="minorHAnsi"/>
          <w:b/>
          <w:bCs/>
          <w:u w:val="single"/>
        </w:rPr>
        <w:lastRenderedPageBreak/>
        <w:t>Section</w:t>
      </w:r>
      <w:r>
        <w:rPr>
          <w:rFonts w:asciiTheme="minorHAnsi" w:hAnsiTheme="minorHAnsi" w:cstheme="minorHAnsi"/>
          <w:b/>
          <w:bCs/>
          <w:u w:val="single"/>
        </w:rPr>
        <w:t xml:space="preserve"> 27: </w:t>
      </w:r>
      <w:r w:rsidR="00BA3421" w:rsidRPr="00BA3421">
        <w:rPr>
          <w:rFonts w:asciiTheme="minorHAnsi" w:hAnsiTheme="minorHAnsi" w:cstheme="minorHAnsi"/>
          <w:b/>
          <w:bCs/>
          <w:u w:val="single"/>
        </w:rPr>
        <w:t>Method by which the amount of grants under the program are determined for a provider</w:t>
      </w:r>
    </w:p>
    <w:p w14:paraId="39DCD1B6" w14:textId="3DD854E5" w:rsidR="0012062D" w:rsidRDefault="00BA3421" w:rsidP="009D4C11">
      <w:pPr>
        <w:pStyle w:val="ListParagraph"/>
        <w:keepNext/>
        <w:numPr>
          <w:ilvl w:val="0"/>
          <w:numId w:val="1"/>
        </w:numPr>
        <w:spacing w:before="120" w:after="120"/>
        <w:rPr>
          <w:rFonts w:asciiTheme="minorHAnsi" w:hAnsiTheme="minorHAnsi" w:cstheme="minorHAnsi"/>
          <w:bCs/>
        </w:rPr>
      </w:pPr>
      <w:r>
        <w:rPr>
          <w:rFonts w:asciiTheme="minorHAnsi" w:hAnsiTheme="minorHAnsi" w:cstheme="minorHAnsi"/>
          <w:bCs/>
        </w:rPr>
        <w:t>This section sets out the method for calculating grants under this program.</w:t>
      </w:r>
    </w:p>
    <w:p w14:paraId="6710A822" w14:textId="6A4ACAA5" w:rsidR="00883D82" w:rsidRDefault="009D48FF" w:rsidP="009D4C11">
      <w:pPr>
        <w:pStyle w:val="ListParagraph"/>
        <w:keepNext/>
        <w:numPr>
          <w:ilvl w:val="0"/>
          <w:numId w:val="1"/>
        </w:numPr>
        <w:spacing w:before="120" w:after="120"/>
        <w:rPr>
          <w:rFonts w:asciiTheme="minorHAnsi" w:hAnsiTheme="minorHAnsi" w:cstheme="minorHAnsi"/>
          <w:bCs/>
        </w:rPr>
      </w:pPr>
      <w:r>
        <w:rPr>
          <w:rFonts w:asciiTheme="minorHAnsi" w:hAnsiTheme="minorHAnsi" w:cstheme="minorHAnsi"/>
          <w:bCs/>
        </w:rPr>
        <w:t xml:space="preserve">The grant amounts are calculated by </w:t>
      </w:r>
      <w:r w:rsidR="003B0CC5">
        <w:rPr>
          <w:rFonts w:asciiTheme="minorHAnsi" w:hAnsiTheme="minorHAnsi" w:cstheme="minorHAnsi"/>
          <w:bCs/>
        </w:rPr>
        <w:t>reference to</w:t>
      </w:r>
      <w:r w:rsidR="002D0E25">
        <w:rPr>
          <w:rFonts w:asciiTheme="minorHAnsi" w:hAnsiTheme="minorHAnsi" w:cstheme="minorHAnsi"/>
          <w:bCs/>
        </w:rPr>
        <w:t xml:space="preserve"> the</w:t>
      </w:r>
      <w:r w:rsidR="00883D82">
        <w:rPr>
          <w:rFonts w:asciiTheme="minorHAnsi" w:hAnsiTheme="minorHAnsi" w:cstheme="minorHAnsi"/>
          <w:bCs/>
        </w:rPr>
        <w:t>:</w:t>
      </w:r>
      <w:r w:rsidR="003B0CC5">
        <w:rPr>
          <w:rFonts w:asciiTheme="minorHAnsi" w:hAnsiTheme="minorHAnsi" w:cstheme="minorHAnsi"/>
          <w:bCs/>
        </w:rPr>
        <w:t xml:space="preserve">  </w:t>
      </w:r>
    </w:p>
    <w:p w14:paraId="369B1B44" w14:textId="52DC5ABF" w:rsidR="00883D82" w:rsidRDefault="00D702E5" w:rsidP="00883D82">
      <w:pPr>
        <w:pStyle w:val="ListParagraph"/>
        <w:keepNext/>
        <w:numPr>
          <w:ilvl w:val="1"/>
          <w:numId w:val="1"/>
        </w:numPr>
        <w:spacing w:before="120" w:after="120"/>
        <w:rPr>
          <w:rFonts w:asciiTheme="minorHAnsi" w:hAnsiTheme="minorHAnsi" w:cstheme="minorHAnsi"/>
          <w:bCs/>
        </w:rPr>
      </w:pPr>
      <w:r>
        <w:rPr>
          <w:rFonts w:asciiTheme="minorHAnsi" w:hAnsiTheme="minorHAnsi" w:cstheme="minorHAnsi"/>
          <w:bCs/>
        </w:rPr>
        <w:t>r</w:t>
      </w:r>
      <w:r w:rsidR="00883D82">
        <w:rPr>
          <w:rFonts w:asciiTheme="minorHAnsi" w:hAnsiTheme="minorHAnsi" w:cstheme="minorHAnsi"/>
          <w:bCs/>
        </w:rPr>
        <w:t>emoteness category of the eligible campus</w:t>
      </w:r>
      <w:r w:rsidR="002D0E25">
        <w:rPr>
          <w:rFonts w:asciiTheme="minorHAnsi" w:hAnsiTheme="minorHAnsi" w:cstheme="minorHAnsi"/>
          <w:bCs/>
        </w:rPr>
        <w:t>;</w:t>
      </w:r>
    </w:p>
    <w:p w14:paraId="0399036F" w14:textId="5360A305" w:rsidR="00D702E5" w:rsidRDefault="00D702E5" w:rsidP="00883D82">
      <w:pPr>
        <w:pStyle w:val="ListParagraph"/>
        <w:keepNext/>
        <w:numPr>
          <w:ilvl w:val="1"/>
          <w:numId w:val="1"/>
        </w:numPr>
        <w:spacing w:before="120" w:after="120"/>
        <w:rPr>
          <w:rFonts w:asciiTheme="minorHAnsi" w:hAnsiTheme="minorHAnsi" w:cstheme="minorHAnsi"/>
          <w:bCs/>
        </w:rPr>
      </w:pPr>
      <w:r>
        <w:rPr>
          <w:rFonts w:asciiTheme="minorHAnsi" w:hAnsiTheme="minorHAnsi" w:cstheme="minorHAnsi"/>
          <w:bCs/>
        </w:rPr>
        <w:t>remoteness category of the provider’s main campus</w:t>
      </w:r>
      <w:r w:rsidR="002D0E25">
        <w:rPr>
          <w:rFonts w:asciiTheme="minorHAnsi" w:hAnsiTheme="minorHAnsi" w:cstheme="minorHAnsi"/>
          <w:bCs/>
        </w:rPr>
        <w:t>;</w:t>
      </w:r>
    </w:p>
    <w:p w14:paraId="136E4B11" w14:textId="704F7570" w:rsidR="00E05742" w:rsidRDefault="006E28E3" w:rsidP="00883D82">
      <w:pPr>
        <w:pStyle w:val="ListParagraph"/>
        <w:keepNext/>
        <w:numPr>
          <w:ilvl w:val="1"/>
          <w:numId w:val="1"/>
        </w:numPr>
        <w:spacing w:before="120" w:after="120"/>
        <w:rPr>
          <w:rFonts w:asciiTheme="minorHAnsi" w:hAnsiTheme="minorHAnsi" w:cstheme="minorHAnsi"/>
          <w:bCs/>
        </w:rPr>
      </w:pPr>
      <w:r>
        <w:rPr>
          <w:rFonts w:asciiTheme="minorHAnsi" w:hAnsiTheme="minorHAnsi" w:cstheme="minorHAnsi"/>
          <w:bCs/>
        </w:rPr>
        <w:t xml:space="preserve">average student load </w:t>
      </w:r>
      <w:r w:rsidR="008E58BB">
        <w:rPr>
          <w:rFonts w:asciiTheme="minorHAnsi" w:hAnsiTheme="minorHAnsi" w:cstheme="minorHAnsi"/>
          <w:bCs/>
        </w:rPr>
        <w:t xml:space="preserve">of internal and multi-modal Commonwealth supported students enrolled at </w:t>
      </w:r>
      <w:r w:rsidR="00E05742">
        <w:rPr>
          <w:rFonts w:asciiTheme="minorHAnsi" w:hAnsiTheme="minorHAnsi" w:cstheme="minorHAnsi"/>
          <w:bCs/>
        </w:rPr>
        <w:t>the relevant eligible campus</w:t>
      </w:r>
      <w:r w:rsidR="002D0E25">
        <w:rPr>
          <w:rFonts w:asciiTheme="minorHAnsi" w:hAnsiTheme="minorHAnsi" w:cstheme="minorHAnsi"/>
          <w:bCs/>
        </w:rPr>
        <w:t>; and</w:t>
      </w:r>
    </w:p>
    <w:p w14:paraId="00600AA0" w14:textId="77777777" w:rsidR="000973F1" w:rsidRDefault="003D2775" w:rsidP="00846616">
      <w:pPr>
        <w:pStyle w:val="ListParagraph"/>
        <w:keepNext/>
        <w:numPr>
          <w:ilvl w:val="1"/>
          <w:numId w:val="1"/>
        </w:numPr>
        <w:spacing w:before="120" w:after="120"/>
        <w:rPr>
          <w:rFonts w:asciiTheme="minorHAnsi" w:hAnsiTheme="minorHAnsi" w:cstheme="minorHAnsi"/>
          <w:bCs/>
        </w:rPr>
      </w:pPr>
      <w:r>
        <w:rPr>
          <w:rFonts w:asciiTheme="minorHAnsi" w:hAnsiTheme="minorHAnsi" w:cstheme="minorHAnsi"/>
          <w:bCs/>
        </w:rPr>
        <w:t xml:space="preserve">average student </w:t>
      </w:r>
      <w:r w:rsidR="0079091F">
        <w:rPr>
          <w:rFonts w:asciiTheme="minorHAnsi" w:hAnsiTheme="minorHAnsi" w:cstheme="minorHAnsi"/>
          <w:bCs/>
        </w:rPr>
        <w:t xml:space="preserve">load of a provider’s external Commonwealth supported students. </w:t>
      </w:r>
      <w:r w:rsidR="00883D82">
        <w:rPr>
          <w:rFonts w:asciiTheme="minorHAnsi" w:hAnsiTheme="minorHAnsi" w:cstheme="minorHAnsi"/>
          <w:bCs/>
        </w:rPr>
        <w:t xml:space="preserve"> </w:t>
      </w:r>
    </w:p>
    <w:p w14:paraId="40E18153" w14:textId="66B54942" w:rsidR="00BA3421" w:rsidRPr="000973F1" w:rsidRDefault="00CB672E" w:rsidP="000973F1">
      <w:pPr>
        <w:pStyle w:val="ListParagraph"/>
        <w:keepNext/>
        <w:numPr>
          <w:ilvl w:val="0"/>
          <w:numId w:val="1"/>
        </w:numPr>
        <w:spacing w:before="120" w:after="120"/>
        <w:rPr>
          <w:rFonts w:asciiTheme="minorHAnsi" w:hAnsiTheme="minorHAnsi" w:cstheme="minorHAnsi"/>
          <w:bCs/>
        </w:rPr>
      </w:pPr>
      <w:r w:rsidRPr="000973F1">
        <w:rPr>
          <w:rFonts w:asciiTheme="minorHAnsi" w:hAnsiTheme="minorHAnsi" w:cstheme="minorHAnsi"/>
          <w:bCs/>
        </w:rPr>
        <w:t xml:space="preserve">There is a detailed explanation of the formula in subsection (7) (set out in subsections (8) to (11) which attempts to elucidate the operation of the formula. Note that the symbol “∑” means the aggregate of the factors which follow it. </w:t>
      </w:r>
    </w:p>
    <w:p w14:paraId="7B43F687" w14:textId="7B18CF76" w:rsidR="00636C4C" w:rsidRPr="00B03FF2" w:rsidRDefault="00636C4C" w:rsidP="001D33A1">
      <w:pPr>
        <w:spacing w:before="120" w:after="120" w:line="259" w:lineRule="auto"/>
        <w:rPr>
          <w:rFonts w:asciiTheme="minorHAnsi" w:hAnsiTheme="minorHAnsi" w:cstheme="minorHAnsi"/>
          <w:b/>
          <w:bCs/>
          <w:u w:val="single"/>
        </w:rPr>
      </w:pPr>
      <w:r w:rsidRPr="00B03FF2">
        <w:rPr>
          <w:rFonts w:asciiTheme="minorHAnsi" w:hAnsiTheme="minorHAnsi" w:cstheme="minorHAnsi"/>
          <w:b/>
          <w:bCs/>
          <w:u w:val="single"/>
        </w:rPr>
        <w:t xml:space="preserve">Section </w:t>
      </w:r>
      <w:r>
        <w:rPr>
          <w:rFonts w:asciiTheme="minorHAnsi" w:hAnsiTheme="minorHAnsi" w:cstheme="minorHAnsi"/>
          <w:b/>
          <w:bCs/>
          <w:u w:val="single"/>
        </w:rPr>
        <w:t xml:space="preserve">28: Conditions that apply to grants </w:t>
      </w:r>
    </w:p>
    <w:p w14:paraId="79558157" w14:textId="0451F3B2" w:rsidR="00636C4C" w:rsidRPr="00584D78" w:rsidRDefault="00636C4C" w:rsidP="009D4C1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clarifies that, while there are no conditions set out in the</w:t>
      </w:r>
      <w:r w:rsidR="0038163B">
        <w:rPr>
          <w:rFonts w:asciiTheme="minorHAnsi" w:hAnsiTheme="minorHAnsi" w:cstheme="minorHAnsi"/>
          <w:bCs/>
        </w:rPr>
        <w:t xml:space="preserve"> </w:t>
      </w:r>
      <w:r w:rsidR="0038163B">
        <w:rPr>
          <w:rFonts w:asciiTheme="minorHAnsi" w:hAnsiTheme="minorHAnsi" w:cstheme="minorHAnsi"/>
          <w:iCs/>
          <w:szCs w:val="24"/>
        </w:rPr>
        <w:t>Other Grants</w:t>
      </w:r>
      <w:r>
        <w:rPr>
          <w:rFonts w:asciiTheme="minorHAnsi" w:hAnsiTheme="minorHAnsi" w:cstheme="minorHAnsi"/>
          <w:bCs/>
        </w:rPr>
        <w:t xml:space="preserve"> Guidelines, the Minister has the power to impose specific conditions, on a grant by grant basis, under section 41-25 of</w:t>
      </w:r>
      <w:r w:rsidR="00050BCA">
        <w:rPr>
          <w:rFonts w:asciiTheme="minorHAnsi" w:hAnsiTheme="minorHAnsi" w:cstheme="minorHAnsi"/>
          <w:bCs/>
        </w:rPr>
        <w:t xml:space="preserve"> </w:t>
      </w:r>
      <w:r>
        <w:rPr>
          <w:rFonts w:asciiTheme="minorHAnsi" w:hAnsiTheme="minorHAnsi" w:cstheme="minorHAnsi"/>
          <w:bCs/>
        </w:rPr>
        <w:t>HESA.</w:t>
      </w:r>
    </w:p>
    <w:p w14:paraId="34F817E8" w14:textId="77777777" w:rsidR="001D33A1" w:rsidRDefault="001D33A1" w:rsidP="001D33A1">
      <w:pPr>
        <w:spacing w:before="120" w:after="120" w:line="259" w:lineRule="auto"/>
        <w:rPr>
          <w:rFonts w:asciiTheme="minorHAnsi" w:hAnsiTheme="minorHAnsi" w:cstheme="minorHAnsi"/>
          <w:b/>
          <w:bCs/>
          <w:u w:val="single"/>
        </w:rPr>
      </w:pPr>
    </w:p>
    <w:p w14:paraId="0C81DDFC" w14:textId="41B5C3C0" w:rsidR="001D33A1" w:rsidRPr="00941652" w:rsidRDefault="001D33A1" w:rsidP="00E347D3">
      <w:pPr>
        <w:keepNext/>
        <w:spacing w:before="120" w:after="120" w:line="259" w:lineRule="auto"/>
        <w:rPr>
          <w:rFonts w:asciiTheme="minorHAnsi" w:hAnsiTheme="minorHAnsi" w:cstheme="minorHAnsi"/>
          <w:b/>
          <w:bCs/>
          <w:u w:val="single"/>
        </w:rPr>
      </w:pPr>
      <w:r w:rsidRPr="00941652">
        <w:rPr>
          <w:rFonts w:asciiTheme="minorHAnsi" w:hAnsiTheme="minorHAnsi" w:cstheme="minorHAnsi"/>
          <w:b/>
          <w:bCs/>
          <w:u w:val="single"/>
        </w:rPr>
        <w:t>Division </w:t>
      </w:r>
      <w:r>
        <w:rPr>
          <w:rFonts w:asciiTheme="minorHAnsi" w:hAnsiTheme="minorHAnsi" w:cstheme="minorHAnsi"/>
          <w:b/>
          <w:bCs/>
          <w:u w:val="single"/>
        </w:rPr>
        <w:t>5</w:t>
      </w:r>
      <w:r w:rsidRPr="00941652">
        <w:rPr>
          <w:rFonts w:asciiTheme="minorHAnsi" w:hAnsiTheme="minorHAnsi" w:cstheme="minorHAnsi"/>
          <w:b/>
          <w:bCs/>
          <w:u w:val="single"/>
        </w:rPr>
        <w:t>—</w:t>
      </w:r>
      <w:r>
        <w:rPr>
          <w:rFonts w:asciiTheme="minorHAnsi" w:hAnsiTheme="minorHAnsi" w:cstheme="minorHAnsi"/>
          <w:b/>
          <w:bCs/>
          <w:u w:val="single"/>
        </w:rPr>
        <w:t>Enabling Loading Program</w:t>
      </w:r>
    </w:p>
    <w:p w14:paraId="6D2DD320" w14:textId="6984DC73" w:rsidR="001D33A1" w:rsidRPr="00584D78" w:rsidRDefault="001D33A1" w:rsidP="00E347D3">
      <w:pPr>
        <w:keepNext/>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2</w:t>
      </w:r>
      <w:r w:rsidR="00E42700">
        <w:rPr>
          <w:rFonts w:asciiTheme="minorHAnsi" w:hAnsiTheme="minorHAnsi" w:cstheme="minorHAnsi"/>
          <w:b/>
          <w:bCs/>
          <w:u w:val="single"/>
        </w:rPr>
        <w:t>9</w:t>
      </w:r>
      <w:r w:rsidRPr="00584D78">
        <w:rPr>
          <w:rFonts w:asciiTheme="minorHAnsi" w:hAnsiTheme="minorHAnsi" w:cstheme="minorHAnsi"/>
          <w:b/>
          <w:bCs/>
          <w:u w:val="single"/>
        </w:rPr>
        <w:t xml:space="preserve">: </w:t>
      </w:r>
      <w:r>
        <w:rPr>
          <w:rFonts w:asciiTheme="minorHAnsi" w:hAnsiTheme="minorHAnsi" w:cstheme="minorHAnsi"/>
          <w:b/>
          <w:bCs/>
          <w:u w:val="single"/>
        </w:rPr>
        <w:t>Program objectives</w:t>
      </w:r>
    </w:p>
    <w:p w14:paraId="120976E0" w14:textId="014BA6DD" w:rsidR="001D33A1" w:rsidRPr="00672D97" w:rsidRDefault="001D33A1" w:rsidP="009D4C11">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This section specifies the </w:t>
      </w:r>
      <w:r w:rsidR="00271455">
        <w:rPr>
          <w:rFonts w:asciiTheme="minorHAnsi" w:hAnsiTheme="minorHAnsi" w:cstheme="minorHAnsi"/>
          <w:bCs/>
        </w:rPr>
        <w:t>Enabling</w:t>
      </w:r>
      <w:r w:rsidRPr="00B03FF2">
        <w:rPr>
          <w:rFonts w:asciiTheme="minorHAnsi" w:hAnsiTheme="minorHAnsi" w:cstheme="minorHAnsi"/>
          <w:bCs/>
        </w:rPr>
        <w:t xml:space="preserve"> </w:t>
      </w:r>
      <w:r>
        <w:rPr>
          <w:rFonts w:asciiTheme="minorHAnsi" w:hAnsiTheme="minorHAnsi" w:cstheme="minorHAnsi"/>
          <w:bCs/>
        </w:rPr>
        <w:t xml:space="preserve">Loading </w:t>
      </w:r>
      <w:r w:rsidRPr="00B03FF2">
        <w:rPr>
          <w:rFonts w:asciiTheme="minorHAnsi" w:hAnsiTheme="minorHAnsi" w:cstheme="minorHAnsi"/>
          <w:bCs/>
        </w:rPr>
        <w:t>Program</w:t>
      </w:r>
      <w:r w:rsidR="00523015">
        <w:rPr>
          <w:rFonts w:asciiTheme="minorHAnsi" w:hAnsiTheme="minorHAnsi" w:cstheme="minorHAnsi"/>
          <w:bCs/>
        </w:rPr>
        <w:t xml:space="preserve"> as a program</w:t>
      </w:r>
      <w:r w:rsidR="00D00D27">
        <w:rPr>
          <w:rFonts w:asciiTheme="minorHAnsi" w:hAnsiTheme="minorHAnsi" w:cstheme="minorHAnsi"/>
          <w:bCs/>
        </w:rPr>
        <w:t xml:space="preserve"> for the purpose of promotin</w:t>
      </w:r>
      <w:r w:rsidR="00646993">
        <w:rPr>
          <w:rFonts w:asciiTheme="minorHAnsi" w:hAnsiTheme="minorHAnsi" w:cstheme="minorHAnsi"/>
          <w:bCs/>
        </w:rPr>
        <w:t>g</w:t>
      </w:r>
      <w:r w:rsidR="00D00D27">
        <w:rPr>
          <w:rFonts w:asciiTheme="minorHAnsi" w:hAnsiTheme="minorHAnsi" w:cstheme="minorHAnsi"/>
          <w:bCs/>
        </w:rPr>
        <w:t xml:space="preserve"> equality of opportunity in higher education </w:t>
      </w:r>
      <w:r w:rsidR="0063180C">
        <w:rPr>
          <w:rFonts w:asciiTheme="minorHAnsi" w:hAnsiTheme="minorHAnsi" w:cstheme="minorHAnsi"/>
          <w:bCs/>
        </w:rPr>
        <w:t>and outlines the objectives of the program</w:t>
      </w:r>
      <w:r w:rsidR="000973F1">
        <w:rPr>
          <w:rFonts w:asciiTheme="minorHAnsi" w:hAnsiTheme="minorHAnsi" w:cstheme="minorHAnsi"/>
          <w:bCs/>
        </w:rPr>
        <w:t>.</w:t>
      </w:r>
    </w:p>
    <w:p w14:paraId="52910D22" w14:textId="7046DFFE" w:rsidR="009B61D1" w:rsidRDefault="00D24144" w:rsidP="00AB167A">
      <w:pPr>
        <w:keepNext/>
        <w:spacing w:before="120" w:after="120" w:line="259" w:lineRule="auto"/>
        <w:rPr>
          <w:rFonts w:asciiTheme="minorHAnsi" w:hAnsiTheme="minorHAnsi" w:cstheme="minorHAnsi"/>
          <w:b/>
          <w:bCs/>
          <w:u w:val="single"/>
        </w:rPr>
      </w:pPr>
      <w:r>
        <w:rPr>
          <w:rFonts w:asciiTheme="minorHAnsi" w:hAnsiTheme="minorHAnsi" w:cstheme="minorHAnsi"/>
          <w:b/>
          <w:bCs/>
          <w:u w:val="single"/>
        </w:rPr>
        <w:t>Section 30</w:t>
      </w:r>
      <w:r w:rsidR="002D77F2">
        <w:rPr>
          <w:rFonts w:asciiTheme="minorHAnsi" w:hAnsiTheme="minorHAnsi" w:cstheme="minorHAnsi"/>
          <w:b/>
          <w:bCs/>
          <w:u w:val="single"/>
        </w:rPr>
        <w:t>:</w:t>
      </w:r>
      <w:r w:rsidR="000B108D">
        <w:rPr>
          <w:rFonts w:asciiTheme="minorHAnsi" w:hAnsiTheme="minorHAnsi" w:cstheme="minorHAnsi"/>
          <w:b/>
          <w:bCs/>
          <w:u w:val="single"/>
        </w:rPr>
        <w:t xml:space="preserve"> Specified bodies corporate and extra conditions of eligibility</w:t>
      </w:r>
    </w:p>
    <w:p w14:paraId="1F7DFF39" w14:textId="1C5A98BF" w:rsidR="00170BD6" w:rsidRPr="00170BD6" w:rsidRDefault="00170BD6" w:rsidP="00170BD6">
      <w:pPr>
        <w:pStyle w:val="ListParagraph"/>
        <w:numPr>
          <w:ilvl w:val="0"/>
          <w:numId w:val="1"/>
        </w:numPr>
        <w:spacing w:before="120" w:after="120"/>
        <w:rPr>
          <w:rFonts w:asciiTheme="minorHAnsi" w:hAnsiTheme="minorHAnsi" w:cstheme="minorHAnsi"/>
          <w:bCs/>
        </w:rPr>
      </w:pPr>
      <w:r w:rsidRPr="00170BD6">
        <w:rPr>
          <w:rFonts w:asciiTheme="minorHAnsi" w:hAnsiTheme="minorHAnsi" w:cstheme="minorHAnsi"/>
          <w:bCs/>
        </w:rPr>
        <w:t xml:space="preserve">Section </w:t>
      </w:r>
      <w:r>
        <w:rPr>
          <w:rFonts w:asciiTheme="minorHAnsi" w:hAnsiTheme="minorHAnsi" w:cstheme="minorHAnsi"/>
          <w:bCs/>
        </w:rPr>
        <w:t>30</w:t>
      </w:r>
      <w:r w:rsidRPr="00170BD6">
        <w:rPr>
          <w:rFonts w:asciiTheme="minorHAnsi" w:hAnsiTheme="minorHAnsi" w:cstheme="minorHAnsi"/>
          <w:bCs/>
        </w:rPr>
        <w:t xml:space="preserve"> clarifies that there are no additional specified bodies corporate or extra conditions of eligibility besides those that apply under section 41-10 of</w:t>
      </w:r>
      <w:r w:rsidR="007361C9">
        <w:rPr>
          <w:rFonts w:asciiTheme="minorHAnsi" w:hAnsiTheme="minorHAnsi" w:cstheme="minorHAnsi"/>
          <w:bCs/>
        </w:rPr>
        <w:t xml:space="preserve"> </w:t>
      </w:r>
      <w:r w:rsidRPr="00170BD6">
        <w:rPr>
          <w:rFonts w:asciiTheme="minorHAnsi" w:hAnsiTheme="minorHAnsi" w:cstheme="minorHAnsi"/>
          <w:bCs/>
        </w:rPr>
        <w:t>HESA.</w:t>
      </w:r>
    </w:p>
    <w:p w14:paraId="06142F63" w14:textId="6E21D0FC" w:rsidR="00D24144" w:rsidRPr="00584D78" w:rsidRDefault="008D22EF" w:rsidP="00D24144">
      <w:pPr>
        <w:spacing w:before="120" w:after="120" w:line="259" w:lineRule="auto"/>
        <w:rPr>
          <w:rFonts w:asciiTheme="minorHAnsi" w:hAnsiTheme="minorHAnsi" w:cstheme="minorHAnsi"/>
          <w:b/>
          <w:bCs/>
          <w:u w:val="single"/>
        </w:rPr>
      </w:pPr>
      <w:r>
        <w:rPr>
          <w:rFonts w:asciiTheme="minorHAnsi" w:hAnsiTheme="minorHAnsi" w:cstheme="minorHAnsi"/>
          <w:b/>
          <w:bCs/>
          <w:u w:val="single"/>
        </w:rPr>
        <w:t>Sections</w:t>
      </w:r>
      <w:r w:rsidR="001C75B6">
        <w:rPr>
          <w:rFonts w:asciiTheme="minorHAnsi" w:hAnsiTheme="minorHAnsi" w:cstheme="minorHAnsi"/>
          <w:b/>
          <w:bCs/>
          <w:u w:val="single"/>
        </w:rPr>
        <w:t xml:space="preserve"> </w:t>
      </w:r>
      <w:r w:rsidR="00D24144">
        <w:rPr>
          <w:rFonts w:asciiTheme="minorHAnsi" w:hAnsiTheme="minorHAnsi" w:cstheme="minorHAnsi"/>
          <w:b/>
          <w:bCs/>
          <w:u w:val="single"/>
        </w:rPr>
        <w:t>31 and 32</w:t>
      </w:r>
      <w:r w:rsidR="00103D47">
        <w:rPr>
          <w:rFonts w:asciiTheme="minorHAnsi" w:hAnsiTheme="minorHAnsi" w:cstheme="minorHAnsi"/>
          <w:b/>
          <w:bCs/>
          <w:u w:val="single"/>
        </w:rPr>
        <w:t>:</w:t>
      </w:r>
      <w:r w:rsidR="007361C9">
        <w:rPr>
          <w:rFonts w:asciiTheme="minorHAnsi" w:hAnsiTheme="minorHAnsi" w:cstheme="minorHAnsi"/>
          <w:b/>
          <w:bCs/>
          <w:u w:val="single"/>
        </w:rPr>
        <w:t xml:space="preserve"> Grants to be made in respect of a year and Indexation</w:t>
      </w:r>
    </w:p>
    <w:p w14:paraId="25D011DB" w14:textId="77777777" w:rsidR="00BD5FC2" w:rsidRDefault="00D24144" w:rsidP="00E347D3">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 </w:t>
      </w:r>
      <w:r w:rsidR="00BD5FC2">
        <w:rPr>
          <w:rFonts w:asciiTheme="minorHAnsi" w:hAnsiTheme="minorHAnsi" w:cstheme="minorHAnsi"/>
          <w:bCs/>
        </w:rPr>
        <w:t>S</w:t>
      </w:r>
      <w:r>
        <w:rPr>
          <w:rFonts w:asciiTheme="minorHAnsi" w:hAnsiTheme="minorHAnsi" w:cstheme="minorHAnsi"/>
          <w:bCs/>
        </w:rPr>
        <w:t>ection</w:t>
      </w:r>
      <w:r w:rsidR="00BD5FC2">
        <w:rPr>
          <w:rFonts w:asciiTheme="minorHAnsi" w:hAnsiTheme="minorHAnsi" w:cstheme="minorHAnsi"/>
          <w:bCs/>
        </w:rPr>
        <w:t xml:space="preserve"> 31</w:t>
      </w:r>
      <w:r>
        <w:rPr>
          <w:rFonts w:asciiTheme="minorHAnsi" w:hAnsiTheme="minorHAnsi" w:cstheme="minorHAnsi"/>
          <w:bCs/>
        </w:rPr>
        <w:t xml:space="preserve"> clarif</w:t>
      </w:r>
      <w:r w:rsidR="00BD5FC2">
        <w:rPr>
          <w:rFonts w:asciiTheme="minorHAnsi" w:hAnsiTheme="minorHAnsi" w:cstheme="minorHAnsi"/>
          <w:bCs/>
        </w:rPr>
        <w:t>ies</w:t>
      </w:r>
      <w:r>
        <w:rPr>
          <w:rFonts w:asciiTheme="minorHAnsi" w:hAnsiTheme="minorHAnsi" w:cstheme="minorHAnsi"/>
          <w:bCs/>
        </w:rPr>
        <w:t xml:space="preserve"> that grants under the Enabling Loading Program are made in respect of a year and the amount that is dedicated for the program in 2022</w:t>
      </w:r>
      <w:r w:rsidR="00BD5FC2">
        <w:rPr>
          <w:rFonts w:asciiTheme="minorHAnsi" w:hAnsiTheme="minorHAnsi" w:cstheme="minorHAnsi"/>
          <w:bCs/>
        </w:rPr>
        <w:t>.</w:t>
      </w:r>
    </w:p>
    <w:p w14:paraId="7F6FA146" w14:textId="7A24EBF6" w:rsidR="00BD5FC2" w:rsidRPr="00486894" w:rsidRDefault="00BD5FC2" w:rsidP="00BD5FC2">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Section 32 clarifies that the amount dedicated to the program in 2022 is subject to consumer price index indexation.</w:t>
      </w:r>
    </w:p>
    <w:p w14:paraId="19A6A596" w14:textId="04BFDA3A" w:rsidR="00D640F2" w:rsidRPr="0012062D" w:rsidRDefault="00D640F2" w:rsidP="00D640F2">
      <w:pPr>
        <w:spacing w:before="120" w:after="120" w:line="259" w:lineRule="auto"/>
        <w:rPr>
          <w:rFonts w:asciiTheme="minorHAnsi" w:hAnsiTheme="minorHAnsi" w:cstheme="minorHAnsi"/>
          <w:b/>
          <w:bCs/>
          <w:u w:val="single"/>
        </w:rPr>
      </w:pPr>
      <w:r w:rsidRPr="0012062D">
        <w:rPr>
          <w:rFonts w:asciiTheme="minorHAnsi" w:hAnsiTheme="minorHAnsi" w:cstheme="minorHAnsi"/>
          <w:b/>
          <w:bCs/>
          <w:u w:val="single"/>
        </w:rPr>
        <w:t>Section</w:t>
      </w:r>
      <w:r>
        <w:rPr>
          <w:rFonts w:asciiTheme="minorHAnsi" w:hAnsiTheme="minorHAnsi" w:cstheme="minorHAnsi"/>
          <w:b/>
          <w:bCs/>
          <w:u w:val="single"/>
        </w:rPr>
        <w:t xml:space="preserve"> 33: </w:t>
      </w:r>
      <w:r w:rsidRPr="00BA3421">
        <w:rPr>
          <w:rFonts w:asciiTheme="minorHAnsi" w:hAnsiTheme="minorHAnsi" w:cstheme="minorHAnsi"/>
          <w:b/>
          <w:bCs/>
          <w:u w:val="single"/>
        </w:rPr>
        <w:t>Method by which the amount of grants under the program are determined for a provider</w:t>
      </w:r>
    </w:p>
    <w:p w14:paraId="292B3AC5" w14:textId="62FAED8E" w:rsidR="00D640F2" w:rsidRDefault="00D640F2" w:rsidP="00E347D3">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sets out the method for calculating grants under this program.</w:t>
      </w:r>
    </w:p>
    <w:p w14:paraId="35EEC735" w14:textId="4F70BACE" w:rsidR="003369B0" w:rsidRDefault="00BE23BD" w:rsidP="00BE23BD">
      <w:pPr>
        <w:pStyle w:val="ListParagraph"/>
        <w:keepNext/>
        <w:numPr>
          <w:ilvl w:val="0"/>
          <w:numId w:val="1"/>
        </w:numPr>
        <w:spacing w:before="120" w:after="120"/>
        <w:rPr>
          <w:rFonts w:asciiTheme="minorHAnsi" w:hAnsiTheme="minorHAnsi" w:cstheme="minorHAnsi"/>
          <w:bCs/>
        </w:rPr>
      </w:pPr>
      <w:r>
        <w:rPr>
          <w:rFonts w:asciiTheme="minorHAnsi" w:hAnsiTheme="minorHAnsi" w:cstheme="minorHAnsi"/>
          <w:bCs/>
        </w:rPr>
        <w:lastRenderedPageBreak/>
        <w:t>The grant amounts are calculated by reference to the</w:t>
      </w:r>
      <w:r w:rsidR="006361D9">
        <w:rPr>
          <w:rFonts w:asciiTheme="minorHAnsi" w:hAnsiTheme="minorHAnsi" w:cstheme="minorHAnsi"/>
          <w:bCs/>
        </w:rPr>
        <w:t xml:space="preserve"> enabling loading amount</w:t>
      </w:r>
      <w:r w:rsidR="00E71E96">
        <w:rPr>
          <w:rFonts w:asciiTheme="minorHAnsi" w:hAnsiTheme="minorHAnsi" w:cstheme="minorHAnsi"/>
          <w:bCs/>
        </w:rPr>
        <w:t xml:space="preserve"> (specified in </w:t>
      </w:r>
      <w:r w:rsidR="00657260">
        <w:rPr>
          <w:rFonts w:asciiTheme="minorHAnsi" w:hAnsiTheme="minorHAnsi" w:cstheme="minorHAnsi"/>
          <w:bCs/>
        </w:rPr>
        <w:t>subsection 31(2))</w:t>
      </w:r>
      <w:r w:rsidR="006361D9">
        <w:rPr>
          <w:rFonts w:asciiTheme="minorHAnsi" w:hAnsiTheme="minorHAnsi" w:cstheme="minorHAnsi"/>
          <w:bCs/>
        </w:rPr>
        <w:t xml:space="preserve"> and the</w:t>
      </w:r>
      <w:r w:rsidR="006C5FAE">
        <w:rPr>
          <w:rFonts w:asciiTheme="minorHAnsi" w:hAnsiTheme="minorHAnsi" w:cstheme="minorHAnsi"/>
          <w:bCs/>
        </w:rPr>
        <w:t xml:space="preserve"> lesser of the</w:t>
      </w:r>
      <w:r>
        <w:rPr>
          <w:rFonts w:asciiTheme="minorHAnsi" w:hAnsiTheme="minorHAnsi" w:cstheme="minorHAnsi"/>
          <w:bCs/>
        </w:rPr>
        <w:t xml:space="preserve">: </w:t>
      </w:r>
    </w:p>
    <w:p w14:paraId="0F9C9819" w14:textId="0BF1627E" w:rsidR="00EB1A24" w:rsidRDefault="006C5FAE" w:rsidP="003369B0">
      <w:pPr>
        <w:pStyle w:val="ListParagraph"/>
        <w:keepNext/>
        <w:numPr>
          <w:ilvl w:val="1"/>
          <w:numId w:val="1"/>
        </w:numPr>
        <w:spacing w:before="120" w:after="120"/>
        <w:rPr>
          <w:rFonts w:asciiTheme="minorHAnsi" w:hAnsiTheme="minorHAnsi" w:cstheme="minorHAnsi"/>
          <w:bCs/>
        </w:rPr>
      </w:pPr>
      <w:r>
        <w:rPr>
          <w:rFonts w:asciiTheme="minorHAnsi" w:hAnsiTheme="minorHAnsi" w:cstheme="minorHAnsi"/>
          <w:bCs/>
        </w:rPr>
        <w:t>n</w:t>
      </w:r>
      <w:r w:rsidR="003369B0">
        <w:rPr>
          <w:rFonts w:asciiTheme="minorHAnsi" w:hAnsiTheme="minorHAnsi" w:cstheme="minorHAnsi"/>
          <w:bCs/>
        </w:rPr>
        <w:t xml:space="preserve">umber of Commonwealth </w:t>
      </w:r>
      <w:r w:rsidR="00FB643E">
        <w:rPr>
          <w:rFonts w:asciiTheme="minorHAnsi" w:hAnsiTheme="minorHAnsi" w:cstheme="minorHAnsi"/>
          <w:bCs/>
        </w:rPr>
        <w:t xml:space="preserve">supported </w:t>
      </w:r>
      <w:r w:rsidR="00AB5BBF">
        <w:rPr>
          <w:rFonts w:asciiTheme="minorHAnsi" w:hAnsiTheme="minorHAnsi" w:cstheme="minorHAnsi"/>
          <w:bCs/>
        </w:rPr>
        <w:t xml:space="preserve">places in enabling courses </w:t>
      </w:r>
      <w:r w:rsidR="00192886">
        <w:rPr>
          <w:rFonts w:asciiTheme="minorHAnsi" w:hAnsiTheme="minorHAnsi" w:cstheme="minorHAnsi"/>
          <w:bCs/>
        </w:rPr>
        <w:t>the provider provides</w:t>
      </w:r>
      <w:r w:rsidR="001D1BE3">
        <w:rPr>
          <w:rFonts w:asciiTheme="minorHAnsi" w:hAnsiTheme="minorHAnsi" w:cstheme="minorHAnsi"/>
          <w:bCs/>
        </w:rPr>
        <w:t xml:space="preserve"> in </w:t>
      </w:r>
      <w:r w:rsidR="002847F4">
        <w:rPr>
          <w:rFonts w:asciiTheme="minorHAnsi" w:hAnsiTheme="minorHAnsi" w:cstheme="minorHAnsi"/>
          <w:bCs/>
        </w:rPr>
        <w:t>the relevant year</w:t>
      </w:r>
      <w:r w:rsidR="00EB1A24">
        <w:rPr>
          <w:rFonts w:asciiTheme="minorHAnsi" w:hAnsiTheme="minorHAnsi" w:cstheme="minorHAnsi"/>
          <w:bCs/>
        </w:rPr>
        <w:t>;</w:t>
      </w:r>
      <w:r w:rsidR="006361D9">
        <w:rPr>
          <w:rFonts w:asciiTheme="minorHAnsi" w:hAnsiTheme="minorHAnsi" w:cstheme="minorHAnsi"/>
          <w:bCs/>
        </w:rPr>
        <w:t xml:space="preserve"> and</w:t>
      </w:r>
    </w:p>
    <w:p w14:paraId="4F785A6B" w14:textId="11BC9C0C" w:rsidR="00131700" w:rsidRPr="00AB167A" w:rsidRDefault="00D00301" w:rsidP="00AB167A">
      <w:pPr>
        <w:pStyle w:val="ListParagraph"/>
        <w:keepNext/>
        <w:numPr>
          <w:ilvl w:val="1"/>
          <w:numId w:val="1"/>
        </w:numPr>
        <w:spacing w:before="120" w:after="120"/>
        <w:rPr>
          <w:rFonts w:asciiTheme="minorHAnsi" w:hAnsiTheme="minorHAnsi" w:cstheme="minorHAnsi"/>
          <w:bCs/>
        </w:rPr>
      </w:pPr>
      <w:r w:rsidRPr="004618B8">
        <w:rPr>
          <w:rFonts w:asciiTheme="minorHAnsi" w:hAnsiTheme="minorHAnsi" w:cstheme="minorHAnsi"/>
          <w:bCs/>
        </w:rPr>
        <w:t>the number of places allocated in writing by the Department for the provider for the grant year for enabling courses</w:t>
      </w:r>
      <w:r w:rsidR="006361D9">
        <w:rPr>
          <w:rFonts w:asciiTheme="minorHAnsi" w:hAnsiTheme="minorHAnsi" w:cstheme="minorHAnsi"/>
          <w:bCs/>
        </w:rPr>
        <w:t>.</w:t>
      </w:r>
    </w:p>
    <w:p w14:paraId="6D798CC2" w14:textId="0D325271" w:rsidR="007A0AD5" w:rsidRPr="00B03FF2" w:rsidRDefault="007A0AD5" w:rsidP="007A0AD5">
      <w:pPr>
        <w:spacing w:before="120" w:after="120" w:line="259" w:lineRule="auto"/>
        <w:rPr>
          <w:rFonts w:asciiTheme="minorHAnsi" w:hAnsiTheme="minorHAnsi" w:cstheme="minorHAnsi"/>
          <w:b/>
          <w:bCs/>
          <w:u w:val="single"/>
        </w:rPr>
      </w:pPr>
      <w:r w:rsidRPr="00B03FF2">
        <w:rPr>
          <w:rFonts w:asciiTheme="minorHAnsi" w:hAnsiTheme="minorHAnsi" w:cstheme="minorHAnsi"/>
          <w:b/>
          <w:bCs/>
          <w:u w:val="single"/>
        </w:rPr>
        <w:t xml:space="preserve">Section </w:t>
      </w:r>
      <w:r>
        <w:rPr>
          <w:rFonts w:asciiTheme="minorHAnsi" w:hAnsiTheme="minorHAnsi" w:cstheme="minorHAnsi"/>
          <w:b/>
          <w:bCs/>
          <w:u w:val="single"/>
        </w:rPr>
        <w:t xml:space="preserve">34: Conditions that apply to grants </w:t>
      </w:r>
    </w:p>
    <w:p w14:paraId="6B19EF20" w14:textId="04336CAC" w:rsidR="007A0AD5" w:rsidRPr="00584D78" w:rsidRDefault="007A0AD5" w:rsidP="00EC6D3E">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clarifies that, while there are no conditions set out in the</w:t>
      </w:r>
      <w:r w:rsidR="0038163B">
        <w:rPr>
          <w:rFonts w:asciiTheme="minorHAnsi" w:hAnsiTheme="minorHAnsi" w:cstheme="minorHAnsi"/>
          <w:bCs/>
        </w:rPr>
        <w:t xml:space="preserve"> </w:t>
      </w:r>
      <w:r w:rsidR="0038163B">
        <w:rPr>
          <w:rFonts w:asciiTheme="minorHAnsi" w:hAnsiTheme="minorHAnsi" w:cstheme="minorHAnsi"/>
          <w:iCs/>
          <w:szCs w:val="24"/>
        </w:rPr>
        <w:t>Other Grants</w:t>
      </w:r>
      <w:r>
        <w:rPr>
          <w:rFonts w:asciiTheme="minorHAnsi" w:hAnsiTheme="minorHAnsi" w:cstheme="minorHAnsi"/>
          <w:bCs/>
        </w:rPr>
        <w:t xml:space="preserve"> Guidelines, the Minister has the power to impose specific conditions, on a grant by grant basis, under section 41-25 of</w:t>
      </w:r>
      <w:r w:rsidR="00050BCA">
        <w:rPr>
          <w:rFonts w:asciiTheme="minorHAnsi" w:hAnsiTheme="minorHAnsi" w:cstheme="minorHAnsi"/>
          <w:bCs/>
        </w:rPr>
        <w:t xml:space="preserve"> </w:t>
      </w:r>
      <w:r>
        <w:rPr>
          <w:rFonts w:asciiTheme="minorHAnsi" w:hAnsiTheme="minorHAnsi" w:cstheme="minorHAnsi"/>
          <w:bCs/>
        </w:rPr>
        <w:t>HESA.</w:t>
      </w:r>
    </w:p>
    <w:p w14:paraId="6AAC9E5B" w14:textId="0E77BAFF" w:rsidR="00636C4C" w:rsidRDefault="00636C4C" w:rsidP="001D33A1">
      <w:pPr>
        <w:spacing w:before="120" w:after="120"/>
        <w:rPr>
          <w:rFonts w:asciiTheme="minorHAnsi" w:hAnsiTheme="minorHAnsi" w:cstheme="minorHAnsi"/>
          <w:bCs/>
        </w:rPr>
      </w:pPr>
    </w:p>
    <w:p w14:paraId="1096C21C" w14:textId="6216786B" w:rsidR="004D156B" w:rsidRDefault="004D156B" w:rsidP="009D4C11">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3</w:t>
      </w:r>
      <w:r w:rsidRPr="00240B63">
        <w:rPr>
          <w:rFonts w:asciiTheme="minorHAnsi" w:hAnsiTheme="minorHAnsi" w:cstheme="minorHAnsi"/>
          <w:b/>
          <w:u w:val="single"/>
        </w:rPr>
        <w:t>—</w:t>
      </w:r>
      <w:r w:rsidR="00293DC9" w:rsidRPr="00293DC9">
        <w:t xml:space="preserve"> </w:t>
      </w:r>
      <w:r w:rsidR="00293DC9" w:rsidRPr="00293DC9">
        <w:rPr>
          <w:rFonts w:asciiTheme="minorHAnsi" w:hAnsiTheme="minorHAnsi" w:cstheme="minorHAnsi"/>
          <w:b/>
          <w:u w:val="single"/>
        </w:rPr>
        <w:t>Programs that promote equality of opportunity in higher education—Disability Support Programs</w:t>
      </w:r>
    </w:p>
    <w:p w14:paraId="02A15AB5" w14:textId="6FA9E043" w:rsidR="004D156B" w:rsidRPr="00E631F9" w:rsidRDefault="004D156B" w:rsidP="009D4C11">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sidR="00293DC9">
        <w:rPr>
          <w:rFonts w:asciiTheme="minorHAnsi" w:hAnsiTheme="minorHAnsi" w:cstheme="minorHAnsi"/>
          <w:b/>
          <w:u w:val="single"/>
        </w:rPr>
        <w:t>35</w:t>
      </w:r>
      <w:r w:rsidRPr="00D52E9D">
        <w:rPr>
          <w:rFonts w:asciiTheme="minorHAnsi" w:hAnsiTheme="minorHAnsi" w:cstheme="minorHAnsi"/>
          <w:b/>
          <w:u w:val="single"/>
        </w:rPr>
        <w:t xml:space="preserve">: </w:t>
      </w:r>
      <w:r>
        <w:rPr>
          <w:rFonts w:asciiTheme="minorHAnsi" w:hAnsiTheme="minorHAnsi" w:cstheme="minorHAnsi"/>
          <w:b/>
          <w:u w:val="single"/>
        </w:rPr>
        <w:t>Outline</w:t>
      </w:r>
      <w:r w:rsidR="007F7380">
        <w:rPr>
          <w:rFonts w:asciiTheme="minorHAnsi" w:hAnsiTheme="minorHAnsi" w:cstheme="minorHAnsi"/>
          <w:b/>
          <w:u w:val="single"/>
        </w:rPr>
        <w:t xml:space="preserve"> of this Part</w:t>
      </w:r>
    </w:p>
    <w:p w14:paraId="3FC8E0E7" w14:textId="07FDB05C" w:rsidR="00EA3D10" w:rsidRDefault="004D156B" w:rsidP="006361D9">
      <w:pPr>
        <w:pStyle w:val="ListParagraph"/>
        <w:keepNext/>
        <w:numPr>
          <w:ilvl w:val="0"/>
          <w:numId w:val="1"/>
        </w:numPr>
        <w:spacing w:before="120" w:after="120"/>
        <w:rPr>
          <w:rFonts w:asciiTheme="minorHAnsi" w:hAnsiTheme="minorHAnsi" w:cstheme="minorHAnsi"/>
          <w:iCs/>
          <w:szCs w:val="24"/>
        </w:rPr>
      </w:pPr>
      <w:r w:rsidRPr="001A53F9">
        <w:rPr>
          <w:rFonts w:asciiTheme="minorHAnsi" w:hAnsiTheme="minorHAnsi" w:cstheme="minorHAnsi"/>
          <w:iCs/>
          <w:szCs w:val="24"/>
        </w:rPr>
        <w:t xml:space="preserve">Section </w:t>
      </w:r>
      <w:r w:rsidR="00293DC9">
        <w:rPr>
          <w:rFonts w:asciiTheme="minorHAnsi" w:hAnsiTheme="minorHAnsi" w:cstheme="minorHAnsi"/>
          <w:iCs/>
          <w:szCs w:val="24"/>
        </w:rPr>
        <w:t>35</w:t>
      </w:r>
      <w:r w:rsidRPr="001A53F9">
        <w:rPr>
          <w:rFonts w:asciiTheme="minorHAnsi" w:hAnsiTheme="minorHAnsi" w:cstheme="minorHAnsi"/>
          <w:iCs/>
          <w:szCs w:val="24"/>
        </w:rPr>
        <w:t xml:space="preserve"> </w:t>
      </w:r>
      <w:r w:rsidR="000068C3">
        <w:rPr>
          <w:rFonts w:asciiTheme="minorHAnsi" w:hAnsiTheme="minorHAnsi" w:cstheme="minorHAnsi"/>
          <w:iCs/>
          <w:szCs w:val="24"/>
        </w:rPr>
        <w:t>provides</w:t>
      </w:r>
      <w:r>
        <w:rPr>
          <w:rFonts w:asciiTheme="minorHAnsi" w:hAnsiTheme="minorHAnsi" w:cstheme="minorHAnsi"/>
          <w:iCs/>
          <w:szCs w:val="24"/>
        </w:rPr>
        <w:t xml:space="preserve"> an outline </w:t>
      </w:r>
      <w:r w:rsidR="000068C3">
        <w:rPr>
          <w:rFonts w:asciiTheme="minorHAnsi" w:hAnsiTheme="minorHAnsi" w:cstheme="minorHAnsi"/>
          <w:iCs/>
          <w:szCs w:val="24"/>
        </w:rPr>
        <w:t>of</w:t>
      </w:r>
      <w:r>
        <w:rPr>
          <w:rFonts w:asciiTheme="minorHAnsi" w:hAnsiTheme="minorHAnsi" w:cstheme="minorHAnsi"/>
          <w:iCs/>
          <w:szCs w:val="24"/>
        </w:rPr>
        <w:t xml:space="preserve"> Part </w:t>
      </w:r>
      <w:r w:rsidR="00293DC9">
        <w:rPr>
          <w:rFonts w:asciiTheme="minorHAnsi" w:hAnsiTheme="minorHAnsi" w:cstheme="minorHAnsi"/>
          <w:iCs/>
          <w:szCs w:val="24"/>
        </w:rPr>
        <w:t>3</w:t>
      </w:r>
      <w:r>
        <w:rPr>
          <w:rFonts w:asciiTheme="minorHAnsi" w:hAnsiTheme="minorHAnsi" w:cstheme="minorHAnsi"/>
          <w:iCs/>
          <w:szCs w:val="24"/>
        </w:rPr>
        <w:t xml:space="preserve"> of the</w:t>
      </w:r>
      <w:r w:rsidR="0038163B" w:rsidRPr="0038163B">
        <w:rPr>
          <w:rFonts w:asciiTheme="minorHAnsi" w:hAnsiTheme="minorHAnsi" w:cstheme="minorHAnsi"/>
          <w:iCs/>
          <w:szCs w:val="24"/>
        </w:rPr>
        <w:t xml:space="preserve"> </w:t>
      </w:r>
      <w:r w:rsidR="0038163B">
        <w:rPr>
          <w:rFonts w:asciiTheme="minorHAnsi" w:hAnsiTheme="minorHAnsi" w:cstheme="minorHAnsi"/>
          <w:iCs/>
          <w:szCs w:val="24"/>
        </w:rPr>
        <w:t>Other Grants</w:t>
      </w:r>
      <w:r>
        <w:rPr>
          <w:rFonts w:asciiTheme="minorHAnsi" w:hAnsiTheme="minorHAnsi" w:cstheme="minorHAnsi"/>
          <w:iCs/>
          <w:szCs w:val="24"/>
        </w:rPr>
        <w:t xml:space="preserve"> Guidelines which deals with </w:t>
      </w:r>
      <w:r w:rsidR="00293DC9">
        <w:rPr>
          <w:rFonts w:asciiTheme="minorHAnsi" w:hAnsiTheme="minorHAnsi" w:cstheme="minorHAnsi"/>
          <w:iCs/>
          <w:szCs w:val="24"/>
        </w:rPr>
        <w:t>Disability Support Programs.</w:t>
      </w:r>
      <w:r>
        <w:rPr>
          <w:rFonts w:asciiTheme="minorHAnsi" w:hAnsiTheme="minorHAnsi" w:cstheme="minorHAnsi"/>
          <w:iCs/>
          <w:szCs w:val="24"/>
        </w:rPr>
        <w:t xml:space="preserve">  </w:t>
      </w:r>
      <w:r w:rsidR="003E24C7">
        <w:rPr>
          <w:rFonts w:asciiTheme="minorHAnsi" w:hAnsiTheme="minorHAnsi" w:cstheme="minorHAnsi"/>
          <w:iCs/>
          <w:szCs w:val="24"/>
        </w:rPr>
        <w:t xml:space="preserve">The outline </w:t>
      </w:r>
      <w:r>
        <w:rPr>
          <w:rFonts w:asciiTheme="minorHAnsi" w:hAnsiTheme="minorHAnsi" w:cstheme="minorHAnsi"/>
          <w:iCs/>
          <w:szCs w:val="24"/>
        </w:rPr>
        <w:t>clarifies that the Divisions of this Part are separate grant programs under Part 2-3 of</w:t>
      </w:r>
      <w:r w:rsidR="003E24C7">
        <w:rPr>
          <w:rFonts w:asciiTheme="minorHAnsi" w:hAnsiTheme="minorHAnsi" w:cstheme="minorHAnsi"/>
          <w:iCs/>
          <w:szCs w:val="24"/>
        </w:rPr>
        <w:t xml:space="preserve"> </w:t>
      </w:r>
      <w:r>
        <w:rPr>
          <w:rFonts w:asciiTheme="minorHAnsi" w:hAnsiTheme="minorHAnsi" w:cstheme="minorHAnsi"/>
          <w:iCs/>
          <w:szCs w:val="24"/>
        </w:rPr>
        <w:t>HESA</w:t>
      </w:r>
      <w:r w:rsidR="00AD7F9B">
        <w:rPr>
          <w:rFonts w:asciiTheme="minorHAnsi" w:hAnsiTheme="minorHAnsi" w:cstheme="minorHAnsi"/>
          <w:iCs/>
          <w:szCs w:val="24"/>
        </w:rPr>
        <w:t xml:space="preserve"> and the </w:t>
      </w:r>
      <w:r w:rsidR="00E00ED3">
        <w:rPr>
          <w:rFonts w:asciiTheme="minorHAnsi" w:hAnsiTheme="minorHAnsi" w:cstheme="minorHAnsi"/>
          <w:iCs/>
          <w:szCs w:val="24"/>
        </w:rPr>
        <w:t xml:space="preserve">each of the programs specified in this Part are for the purpose of promoting equality of opportunity in higher </w:t>
      </w:r>
      <w:r w:rsidR="00364B78">
        <w:rPr>
          <w:rFonts w:asciiTheme="minorHAnsi" w:hAnsiTheme="minorHAnsi" w:cstheme="minorHAnsi"/>
          <w:iCs/>
          <w:szCs w:val="24"/>
        </w:rPr>
        <w:t>education</w:t>
      </w:r>
      <w:r w:rsidR="00EC77BF">
        <w:rPr>
          <w:rFonts w:asciiTheme="minorHAnsi" w:hAnsiTheme="minorHAnsi" w:cstheme="minorHAnsi"/>
          <w:iCs/>
          <w:szCs w:val="24"/>
        </w:rPr>
        <w:t xml:space="preserve"> by providing support to students with disability to access, participate and succeed in higher education.</w:t>
      </w:r>
      <w:r w:rsidR="00E00ED3">
        <w:rPr>
          <w:rFonts w:asciiTheme="minorHAnsi" w:hAnsiTheme="minorHAnsi" w:cstheme="minorHAnsi"/>
          <w:iCs/>
          <w:szCs w:val="24"/>
        </w:rPr>
        <w:t xml:space="preserve"> </w:t>
      </w:r>
    </w:p>
    <w:p w14:paraId="03217D84" w14:textId="77277538" w:rsidR="004D156B" w:rsidRPr="00ED49B5" w:rsidRDefault="004D156B" w:rsidP="00EA3D10">
      <w:pPr>
        <w:pStyle w:val="ListParagraph"/>
        <w:spacing w:before="120" w:after="120"/>
        <w:rPr>
          <w:rFonts w:asciiTheme="minorHAnsi" w:hAnsiTheme="minorHAnsi" w:cstheme="minorHAnsi"/>
          <w:iCs/>
          <w:szCs w:val="24"/>
        </w:rPr>
      </w:pPr>
      <w:r w:rsidRPr="001A53F9">
        <w:rPr>
          <w:rFonts w:asciiTheme="minorHAnsi" w:hAnsiTheme="minorHAnsi" w:cstheme="minorHAnsi"/>
          <w:iCs/>
          <w:szCs w:val="24"/>
        </w:rPr>
        <w:t xml:space="preserve"> </w:t>
      </w:r>
    </w:p>
    <w:p w14:paraId="616EBC85" w14:textId="270F6BCC" w:rsidR="00293DC9" w:rsidRPr="00941652" w:rsidRDefault="00293DC9" w:rsidP="00BA7120">
      <w:pPr>
        <w:keepNext/>
        <w:spacing w:before="120" w:after="120" w:line="259" w:lineRule="auto"/>
        <w:rPr>
          <w:rFonts w:asciiTheme="minorHAnsi" w:hAnsiTheme="minorHAnsi" w:cstheme="minorHAnsi"/>
          <w:b/>
          <w:bCs/>
          <w:u w:val="single"/>
        </w:rPr>
      </w:pPr>
      <w:r w:rsidRPr="00941652">
        <w:rPr>
          <w:rFonts w:asciiTheme="minorHAnsi" w:hAnsiTheme="minorHAnsi" w:cstheme="minorHAnsi"/>
          <w:b/>
          <w:bCs/>
          <w:u w:val="single"/>
        </w:rPr>
        <w:t>Division </w:t>
      </w:r>
      <w:r w:rsidR="00EA3D10">
        <w:rPr>
          <w:rFonts w:asciiTheme="minorHAnsi" w:hAnsiTheme="minorHAnsi" w:cstheme="minorHAnsi"/>
          <w:b/>
          <w:bCs/>
          <w:u w:val="single"/>
        </w:rPr>
        <w:t>1</w:t>
      </w:r>
      <w:r w:rsidRPr="00941652">
        <w:rPr>
          <w:rFonts w:asciiTheme="minorHAnsi" w:hAnsiTheme="minorHAnsi" w:cstheme="minorHAnsi"/>
          <w:b/>
          <w:bCs/>
          <w:u w:val="single"/>
        </w:rPr>
        <w:t>—</w:t>
      </w:r>
      <w:r w:rsidR="00EA3D10">
        <w:rPr>
          <w:rFonts w:asciiTheme="minorHAnsi" w:hAnsiTheme="minorHAnsi" w:cstheme="minorHAnsi"/>
          <w:b/>
          <w:bCs/>
          <w:u w:val="single"/>
        </w:rPr>
        <w:t>Disability Support Fund</w:t>
      </w:r>
    </w:p>
    <w:p w14:paraId="70433220" w14:textId="6BEF2F94" w:rsidR="00293DC9" w:rsidRPr="00584D78" w:rsidRDefault="00293DC9" w:rsidP="00BA7120">
      <w:pPr>
        <w:keepNext/>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EA3D10">
        <w:rPr>
          <w:rFonts w:asciiTheme="minorHAnsi" w:hAnsiTheme="minorHAnsi" w:cstheme="minorHAnsi"/>
          <w:b/>
          <w:bCs/>
          <w:u w:val="single"/>
        </w:rPr>
        <w:t>36</w:t>
      </w:r>
      <w:r w:rsidRPr="00584D78">
        <w:rPr>
          <w:rFonts w:asciiTheme="minorHAnsi" w:hAnsiTheme="minorHAnsi" w:cstheme="minorHAnsi"/>
          <w:b/>
          <w:bCs/>
          <w:u w:val="single"/>
        </w:rPr>
        <w:t xml:space="preserve">: </w:t>
      </w:r>
      <w:r>
        <w:rPr>
          <w:rFonts w:asciiTheme="minorHAnsi" w:hAnsiTheme="minorHAnsi" w:cstheme="minorHAnsi"/>
          <w:b/>
          <w:bCs/>
          <w:u w:val="single"/>
        </w:rPr>
        <w:t>Program objectives</w:t>
      </w:r>
    </w:p>
    <w:p w14:paraId="5CE6E079" w14:textId="268202EF" w:rsidR="00293DC9" w:rsidRPr="00672D97" w:rsidRDefault="00293DC9" w:rsidP="00EC77BF">
      <w:pPr>
        <w:pStyle w:val="ListParagraph"/>
        <w:keepNext/>
        <w:numPr>
          <w:ilvl w:val="0"/>
          <w:numId w:val="1"/>
        </w:numPr>
        <w:spacing w:before="120" w:after="120"/>
        <w:rPr>
          <w:rFonts w:asciiTheme="minorHAnsi" w:hAnsiTheme="minorHAnsi" w:cstheme="minorHAnsi"/>
          <w:bCs/>
        </w:rPr>
      </w:pPr>
      <w:r>
        <w:rPr>
          <w:rFonts w:asciiTheme="minorHAnsi" w:hAnsiTheme="minorHAnsi" w:cstheme="minorHAnsi"/>
          <w:bCs/>
        </w:rPr>
        <w:t xml:space="preserve">This section specifies the </w:t>
      </w:r>
      <w:r w:rsidR="00F7251D">
        <w:rPr>
          <w:rFonts w:asciiTheme="minorHAnsi" w:hAnsiTheme="minorHAnsi" w:cstheme="minorHAnsi"/>
          <w:bCs/>
        </w:rPr>
        <w:t>Disability Support Fund</w:t>
      </w:r>
      <w:r w:rsidR="008833DB">
        <w:rPr>
          <w:rFonts w:asciiTheme="minorHAnsi" w:hAnsiTheme="minorHAnsi" w:cstheme="minorHAnsi"/>
          <w:bCs/>
        </w:rPr>
        <w:t xml:space="preserve"> (DSF)</w:t>
      </w:r>
      <w:r w:rsidR="005C395A">
        <w:rPr>
          <w:rFonts w:asciiTheme="minorHAnsi" w:hAnsiTheme="minorHAnsi" w:cstheme="minorHAnsi"/>
          <w:bCs/>
        </w:rPr>
        <w:t xml:space="preserve"> as a program</w:t>
      </w:r>
      <w:r w:rsidR="003C04F6">
        <w:rPr>
          <w:rFonts w:asciiTheme="minorHAnsi" w:hAnsiTheme="minorHAnsi" w:cstheme="minorHAnsi"/>
          <w:bCs/>
        </w:rPr>
        <w:t xml:space="preserve"> for the purpose of promotin</w:t>
      </w:r>
      <w:r w:rsidR="00646993">
        <w:rPr>
          <w:rFonts w:asciiTheme="minorHAnsi" w:hAnsiTheme="minorHAnsi" w:cstheme="minorHAnsi"/>
          <w:bCs/>
        </w:rPr>
        <w:t>g</w:t>
      </w:r>
      <w:r w:rsidR="003C04F6">
        <w:rPr>
          <w:rFonts w:asciiTheme="minorHAnsi" w:hAnsiTheme="minorHAnsi" w:cstheme="minorHAnsi"/>
          <w:bCs/>
        </w:rPr>
        <w:t xml:space="preserve"> equality of opportunity in higher education and outlines the objectives of the program</w:t>
      </w:r>
      <w:r>
        <w:rPr>
          <w:rFonts w:asciiTheme="minorHAnsi" w:hAnsiTheme="minorHAnsi" w:cstheme="minorHAnsi"/>
          <w:bCs/>
        </w:rPr>
        <w:t>.</w:t>
      </w:r>
    </w:p>
    <w:p w14:paraId="203E5CB3" w14:textId="4132F3C3" w:rsidR="00293DC9" w:rsidRPr="00584D78" w:rsidRDefault="00293DC9" w:rsidP="00EC77BF">
      <w:pPr>
        <w:keepNext/>
        <w:spacing w:before="120" w:after="120" w:line="259" w:lineRule="auto"/>
        <w:rPr>
          <w:rFonts w:asciiTheme="minorHAnsi" w:hAnsiTheme="minorHAnsi" w:cstheme="minorHAnsi"/>
          <w:b/>
          <w:bCs/>
          <w:u w:val="single"/>
        </w:rPr>
      </w:pPr>
      <w:r>
        <w:rPr>
          <w:rFonts w:asciiTheme="minorHAnsi" w:hAnsiTheme="minorHAnsi" w:cstheme="minorHAnsi"/>
          <w:b/>
          <w:bCs/>
          <w:u w:val="single"/>
        </w:rPr>
        <w:t>Sections 3</w:t>
      </w:r>
      <w:r w:rsidR="0081629D">
        <w:rPr>
          <w:rFonts w:asciiTheme="minorHAnsi" w:hAnsiTheme="minorHAnsi" w:cstheme="minorHAnsi"/>
          <w:b/>
          <w:bCs/>
          <w:u w:val="single"/>
        </w:rPr>
        <w:t>7 and 38</w:t>
      </w:r>
      <w:r w:rsidR="00616B06">
        <w:rPr>
          <w:rFonts w:asciiTheme="minorHAnsi" w:hAnsiTheme="minorHAnsi" w:cstheme="minorHAnsi"/>
          <w:b/>
          <w:bCs/>
          <w:u w:val="single"/>
        </w:rPr>
        <w:t>:</w:t>
      </w:r>
      <w:r w:rsidR="00A53AE8">
        <w:rPr>
          <w:rFonts w:asciiTheme="minorHAnsi" w:hAnsiTheme="minorHAnsi" w:cstheme="minorHAnsi"/>
          <w:b/>
          <w:bCs/>
          <w:u w:val="single"/>
        </w:rPr>
        <w:t xml:space="preserve"> </w:t>
      </w:r>
      <w:r w:rsidR="008B67F5" w:rsidRPr="008B67F5">
        <w:rPr>
          <w:rFonts w:asciiTheme="minorHAnsi" w:hAnsiTheme="minorHAnsi" w:cstheme="minorHAnsi"/>
          <w:b/>
          <w:bCs/>
          <w:u w:val="single"/>
        </w:rPr>
        <w:t>Specified bodies corporate and extra conditions of eligibility</w:t>
      </w:r>
      <w:r w:rsidR="008B67F5">
        <w:rPr>
          <w:rFonts w:asciiTheme="minorHAnsi" w:hAnsiTheme="minorHAnsi" w:cstheme="minorHAnsi"/>
          <w:b/>
          <w:bCs/>
          <w:u w:val="single"/>
        </w:rPr>
        <w:t xml:space="preserve"> and </w:t>
      </w:r>
      <w:r w:rsidR="00A53AE8">
        <w:rPr>
          <w:rFonts w:asciiTheme="minorHAnsi" w:hAnsiTheme="minorHAnsi" w:cstheme="minorHAnsi"/>
          <w:b/>
          <w:bCs/>
          <w:u w:val="single"/>
        </w:rPr>
        <w:t>Grants to be made in respect of a year</w:t>
      </w:r>
    </w:p>
    <w:p w14:paraId="0C2D66CE" w14:textId="51734806" w:rsidR="000621E2" w:rsidRDefault="00140806" w:rsidP="00EC77BF">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Section 37 </w:t>
      </w:r>
      <w:r w:rsidR="00B666A2">
        <w:rPr>
          <w:rFonts w:asciiTheme="minorHAnsi" w:hAnsiTheme="minorHAnsi" w:cstheme="minorHAnsi"/>
          <w:bCs/>
        </w:rPr>
        <w:t>c</w:t>
      </w:r>
      <w:r w:rsidR="007E63F4" w:rsidRPr="00B03FF2">
        <w:rPr>
          <w:rFonts w:asciiTheme="minorHAnsi" w:hAnsiTheme="minorHAnsi" w:cstheme="minorHAnsi"/>
          <w:bCs/>
        </w:rPr>
        <w:t>larif</w:t>
      </w:r>
      <w:r w:rsidR="00B666A2">
        <w:rPr>
          <w:rFonts w:asciiTheme="minorHAnsi" w:hAnsiTheme="minorHAnsi" w:cstheme="minorHAnsi"/>
          <w:bCs/>
        </w:rPr>
        <w:t>ies</w:t>
      </w:r>
      <w:r w:rsidR="007E63F4" w:rsidRPr="00B03FF2">
        <w:rPr>
          <w:rFonts w:asciiTheme="minorHAnsi" w:hAnsiTheme="minorHAnsi" w:cstheme="minorHAnsi"/>
          <w:bCs/>
        </w:rPr>
        <w:t xml:space="preserve"> that there are no additional specified bodies corporate or extra conditions of eligibility besides those that apply under section 41-10 of</w:t>
      </w:r>
      <w:r w:rsidR="000621E2">
        <w:rPr>
          <w:rFonts w:asciiTheme="minorHAnsi" w:hAnsiTheme="minorHAnsi" w:cstheme="minorHAnsi"/>
          <w:bCs/>
        </w:rPr>
        <w:t xml:space="preserve"> </w:t>
      </w:r>
      <w:r w:rsidR="007E63F4" w:rsidRPr="00B03FF2">
        <w:rPr>
          <w:rFonts w:asciiTheme="minorHAnsi" w:hAnsiTheme="minorHAnsi" w:cstheme="minorHAnsi"/>
          <w:bCs/>
        </w:rPr>
        <w:t>HESA</w:t>
      </w:r>
      <w:r w:rsidR="000621E2">
        <w:rPr>
          <w:rFonts w:asciiTheme="minorHAnsi" w:hAnsiTheme="minorHAnsi" w:cstheme="minorHAnsi"/>
          <w:bCs/>
        </w:rPr>
        <w:t>.</w:t>
      </w:r>
    </w:p>
    <w:p w14:paraId="1376F13B" w14:textId="44CD9AEB" w:rsidR="00293DC9" w:rsidRPr="00672D97" w:rsidRDefault="000621E2" w:rsidP="00EC77BF">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w:t>
      </w:r>
      <w:r w:rsidR="00B666A2">
        <w:rPr>
          <w:rFonts w:asciiTheme="minorHAnsi" w:hAnsiTheme="minorHAnsi" w:cstheme="minorHAnsi"/>
          <w:bCs/>
        </w:rPr>
        <w:t>ection 38 provides</w:t>
      </w:r>
      <w:r w:rsidR="007E63F4">
        <w:rPr>
          <w:rFonts w:asciiTheme="minorHAnsi" w:hAnsiTheme="minorHAnsi" w:cstheme="minorHAnsi"/>
          <w:bCs/>
        </w:rPr>
        <w:t xml:space="preserve"> that grants are made under this program in respect of a year.</w:t>
      </w:r>
    </w:p>
    <w:p w14:paraId="77E27A17" w14:textId="737FA867" w:rsidR="007E63F4" w:rsidRPr="0012062D" w:rsidRDefault="007E63F4" w:rsidP="007E63F4">
      <w:pPr>
        <w:spacing w:before="120" w:after="120" w:line="259" w:lineRule="auto"/>
        <w:rPr>
          <w:rFonts w:asciiTheme="minorHAnsi" w:hAnsiTheme="minorHAnsi" w:cstheme="minorHAnsi"/>
          <w:b/>
          <w:bCs/>
          <w:u w:val="single"/>
        </w:rPr>
      </w:pPr>
      <w:r w:rsidRPr="0012062D">
        <w:rPr>
          <w:rFonts w:asciiTheme="minorHAnsi" w:hAnsiTheme="minorHAnsi" w:cstheme="minorHAnsi"/>
          <w:b/>
          <w:bCs/>
          <w:u w:val="single"/>
        </w:rPr>
        <w:t>Section</w:t>
      </w:r>
      <w:r>
        <w:rPr>
          <w:rFonts w:asciiTheme="minorHAnsi" w:hAnsiTheme="minorHAnsi" w:cstheme="minorHAnsi"/>
          <w:b/>
          <w:bCs/>
          <w:u w:val="single"/>
        </w:rPr>
        <w:t xml:space="preserve"> 39: </w:t>
      </w:r>
      <w:r w:rsidRPr="00BA3421">
        <w:rPr>
          <w:rFonts w:asciiTheme="minorHAnsi" w:hAnsiTheme="minorHAnsi" w:cstheme="minorHAnsi"/>
          <w:b/>
          <w:bCs/>
          <w:u w:val="single"/>
        </w:rPr>
        <w:t>Method by which the amount of grants under the program are determined for a provider</w:t>
      </w:r>
    </w:p>
    <w:p w14:paraId="4672AF47" w14:textId="25AF2BF8" w:rsidR="007E63F4" w:rsidRDefault="007E63F4" w:rsidP="00EC77BF">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sets out the method for calculating grants under this program.</w:t>
      </w:r>
    </w:p>
    <w:p w14:paraId="3A47A2EA" w14:textId="77777777" w:rsidR="000973F1" w:rsidRDefault="008833DB" w:rsidP="00EC77BF">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In summary, a</w:t>
      </w:r>
      <w:r w:rsidR="002C7194">
        <w:rPr>
          <w:rFonts w:asciiTheme="minorHAnsi" w:hAnsiTheme="minorHAnsi" w:cstheme="minorHAnsi"/>
          <w:bCs/>
        </w:rPr>
        <w:t xml:space="preserve"> grant amount</w:t>
      </w:r>
      <w:r w:rsidR="00F821B4">
        <w:rPr>
          <w:rFonts w:asciiTheme="minorHAnsi" w:hAnsiTheme="minorHAnsi" w:cstheme="minorHAnsi"/>
          <w:bCs/>
        </w:rPr>
        <w:t xml:space="preserve"> </w:t>
      </w:r>
      <w:r w:rsidR="002C7194">
        <w:rPr>
          <w:rFonts w:asciiTheme="minorHAnsi" w:hAnsiTheme="minorHAnsi" w:cstheme="minorHAnsi"/>
          <w:bCs/>
        </w:rPr>
        <w:t>is calculated by</w:t>
      </w:r>
      <w:r w:rsidR="003503D4">
        <w:rPr>
          <w:rFonts w:asciiTheme="minorHAnsi" w:hAnsiTheme="minorHAnsi" w:cstheme="minorHAnsi"/>
          <w:bCs/>
        </w:rPr>
        <w:t xml:space="preserve"> adding the</w:t>
      </w:r>
      <w:r w:rsidR="00E424AA" w:rsidRPr="00D26A00">
        <w:rPr>
          <w:rFonts w:asciiTheme="minorHAnsi" w:hAnsiTheme="minorHAnsi" w:cstheme="minorHAnsi"/>
          <w:bCs/>
        </w:rPr>
        <w:t xml:space="preserve"> enrolments-based grant amount</w:t>
      </w:r>
      <w:r w:rsidR="00432894">
        <w:rPr>
          <w:rFonts w:asciiTheme="minorHAnsi" w:hAnsiTheme="minorHAnsi" w:cstheme="minorHAnsi"/>
          <w:bCs/>
        </w:rPr>
        <w:t xml:space="preserve"> for a provider</w:t>
      </w:r>
      <w:r>
        <w:rPr>
          <w:rFonts w:asciiTheme="minorHAnsi" w:hAnsiTheme="minorHAnsi" w:cstheme="minorHAnsi"/>
          <w:bCs/>
        </w:rPr>
        <w:t xml:space="preserve"> (calculated under s</w:t>
      </w:r>
      <w:r w:rsidR="00432894">
        <w:rPr>
          <w:rFonts w:asciiTheme="minorHAnsi" w:hAnsiTheme="minorHAnsi" w:cstheme="minorHAnsi"/>
          <w:bCs/>
        </w:rPr>
        <w:t>ubsection (4))</w:t>
      </w:r>
      <w:r w:rsidR="00E424AA" w:rsidRPr="00D26A00">
        <w:rPr>
          <w:rFonts w:asciiTheme="minorHAnsi" w:hAnsiTheme="minorHAnsi" w:cstheme="minorHAnsi"/>
          <w:bCs/>
        </w:rPr>
        <w:t xml:space="preserve"> and the </w:t>
      </w:r>
      <w:r w:rsidR="00B707C1" w:rsidRPr="00D26A00">
        <w:rPr>
          <w:rFonts w:asciiTheme="minorHAnsi" w:hAnsiTheme="minorHAnsi" w:cstheme="minorHAnsi"/>
          <w:bCs/>
        </w:rPr>
        <w:t>amount for students with disability with high costs needs</w:t>
      </w:r>
      <w:r w:rsidR="00432894">
        <w:rPr>
          <w:rFonts w:asciiTheme="minorHAnsi" w:hAnsiTheme="minorHAnsi" w:cstheme="minorHAnsi"/>
          <w:bCs/>
        </w:rPr>
        <w:t xml:space="preserve"> ca</w:t>
      </w:r>
      <w:r w:rsidR="00D26A00">
        <w:rPr>
          <w:rFonts w:asciiTheme="minorHAnsi" w:hAnsiTheme="minorHAnsi" w:cstheme="minorHAnsi"/>
          <w:bCs/>
        </w:rPr>
        <w:t xml:space="preserve">lculated under subsection (6)). </w:t>
      </w:r>
    </w:p>
    <w:p w14:paraId="4C36A195" w14:textId="5190C7A3" w:rsidR="00A673EA" w:rsidRDefault="004D6C16" w:rsidP="00EC77BF">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lastRenderedPageBreak/>
        <w:t>The enrolments</w:t>
      </w:r>
      <w:r w:rsidR="00AB167A">
        <w:rPr>
          <w:rFonts w:asciiTheme="minorHAnsi" w:hAnsiTheme="minorHAnsi" w:cstheme="minorHAnsi"/>
          <w:bCs/>
        </w:rPr>
        <w:t>-</w:t>
      </w:r>
      <w:r>
        <w:rPr>
          <w:rFonts w:asciiTheme="minorHAnsi" w:hAnsiTheme="minorHAnsi" w:cstheme="minorHAnsi"/>
          <w:bCs/>
        </w:rPr>
        <w:t xml:space="preserve">based grant is amount, is based on enrolled students with disability (for a provider as a function of all students with disability enrolled with all Table A providers) and the </w:t>
      </w:r>
      <w:r w:rsidRPr="00D26A00">
        <w:rPr>
          <w:rFonts w:asciiTheme="minorHAnsi" w:hAnsiTheme="minorHAnsi" w:cstheme="minorHAnsi"/>
          <w:bCs/>
        </w:rPr>
        <w:t>amount for students with disability with high costs</w:t>
      </w:r>
      <w:r>
        <w:rPr>
          <w:rFonts w:asciiTheme="minorHAnsi" w:hAnsiTheme="minorHAnsi" w:cstheme="minorHAnsi"/>
          <w:bCs/>
        </w:rPr>
        <w:t xml:space="preserve"> is based on claims associated with expenses for</w:t>
      </w:r>
      <w:r w:rsidRPr="004D6C16">
        <w:rPr>
          <w:rFonts w:asciiTheme="minorHAnsi" w:hAnsiTheme="minorHAnsi" w:cstheme="minorHAnsi"/>
          <w:bCs/>
        </w:rPr>
        <w:t xml:space="preserve"> educational support and equipment provided to a student with disability and high cost needs</w:t>
      </w:r>
      <w:r>
        <w:rPr>
          <w:rFonts w:asciiTheme="minorHAnsi" w:hAnsiTheme="minorHAnsi" w:cstheme="minorHAnsi"/>
          <w:bCs/>
        </w:rPr>
        <w:t>.</w:t>
      </w:r>
    </w:p>
    <w:p w14:paraId="6D95EA87" w14:textId="3304447D" w:rsidR="000337B6" w:rsidRPr="003D60DE" w:rsidRDefault="00135327" w:rsidP="000337B6">
      <w:pPr>
        <w:pStyle w:val="ListParagraph"/>
        <w:keepNext/>
        <w:numPr>
          <w:ilvl w:val="0"/>
          <w:numId w:val="1"/>
        </w:numPr>
        <w:spacing w:before="120" w:after="120"/>
        <w:rPr>
          <w:rFonts w:asciiTheme="minorHAnsi" w:hAnsiTheme="minorHAnsi" w:cstheme="minorHAnsi"/>
          <w:bCs/>
        </w:rPr>
      </w:pPr>
      <w:r w:rsidRPr="003D60DE">
        <w:rPr>
          <w:rFonts w:asciiTheme="minorHAnsi" w:hAnsiTheme="minorHAnsi" w:cstheme="minorHAnsi"/>
          <w:bCs/>
        </w:rPr>
        <w:t xml:space="preserve">Subsections </w:t>
      </w:r>
      <w:r w:rsidR="0054527C" w:rsidRPr="003D60DE">
        <w:rPr>
          <w:rFonts w:asciiTheme="minorHAnsi" w:hAnsiTheme="minorHAnsi" w:cstheme="minorHAnsi"/>
          <w:bCs/>
        </w:rPr>
        <w:t>39</w:t>
      </w:r>
      <w:r w:rsidRPr="003D60DE">
        <w:rPr>
          <w:rFonts w:asciiTheme="minorHAnsi" w:hAnsiTheme="minorHAnsi" w:cstheme="minorHAnsi"/>
          <w:bCs/>
        </w:rPr>
        <w:t xml:space="preserve">(7) and (8) specify </w:t>
      </w:r>
      <w:r w:rsidR="00F66AB8" w:rsidRPr="003D60DE">
        <w:rPr>
          <w:rFonts w:asciiTheme="minorHAnsi" w:hAnsiTheme="minorHAnsi" w:cstheme="minorHAnsi"/>
          <w:bCs/>
        </w:rPr>
        <w:t xml:space="preserve">modifications to the calculation in particular circumstances. </w:t>
      </w:r>
    </w:p>
    <w:p w14:paraId="6D468D0A" w14:textId="17931C45" w:rsidR="009E6CD1" w:rsidRPr="00AB167A" w:rsidRDefault="0054527C" w:rsidP="003D60DE">
      <w:pPr>
        <w:pStyle w:val="ListParagraph"/>
        <w:keepNext/>
        <w:numPr>
          <w:ilvl w:val="0"/>
          <w:numId w:val="1"/>
        </w:numPr>
        <w:spacing w:before="120" w:after="120"/>
        <w:rPr>
          <w:rFonts w:asciiTheme="minorHAnsi" w:hAnsiTheme="minorHAnsi" w:cstheme="minorHAnsi"/>
          <w:bCs/>
        </w:rPr>
      </w:pPr>
      <w:r w:rsidRPr="003D60DE">
        <w:rPr>
          <w:rFonts w:asciiTheme="minorHAnsi" w:hAnsiTheme="minorHAnsi" w:cstheme="minorHAnsi"/>
          <w:bCs/>
        </w:rPr>
        <w:t xml:space="preserve">Subsection 39(7) </w:t>
      </w:r>
      <w:r w:rsidR="002654E5" w:rsidRPr="003D60DE">
        <w:rPr>
          <w:rFonts w:asciiTheme="minorHAnsi" w:hAnsiTheme="minorHAnsi" w:cstheme="minorHAnsi"/>
          <w:bCs/>
        </w:rPr>
        <w:t xml:space="preserve">provides </w:t>
      </w:r>
      <w:r w:rsidR="007A105D" w:rsidRPr="003D60DE">
        <w:rPr>
          <w:rFonts w:asciiTheme="minorHAnsi" w:hAnsiTheme="minorHAnsi" w:cstheme="minorHAnsi"/>
          <w:bCs/>
        </w:rPr>
        <w:t xml:space="preserve">that where the amount </w:t>
      </w:r>
      <w:r w:rsidR="002654E5" w:rsidRPr="003D60DE">
        <w:rPr>
          <w:rFonts w:asciiTheme="minorHAnsi" w:hAnsiTheme="minorHAnsi" w:cstheme="minorHAnsi"/>
          <w:bCs/>
        </w:rPr>
        <w:t>for students with disability with high costs needs</w:t>
      </w:r>
      <w:r w:rsidR="007A105D" w:rsidRPr="003D60DE">
        <w:rPr>
          <w:rFonts w:asciiTheme="minorHAnsi" w:hAnsiTheme="minorHAnsi" w:cstheme="minorHAnsi"/>
          <w:bCs/>
        </w:rPr>
        <w:t xml:space="preserve"> (calculated under subsection (</w:t>
      </w:r>
      <w:r w:rsidR="0070350F" w:rsidRPr="003D60DE">
        <w:rPr>
          <w:rFonts w:asciiTheme="minorHAnsi" w:hAnsiTheme="minorHAnsi" w:cstheme="minorHAnsi"/>
          <w:bCs/>
        </w:rPr>
        <w:t>6</w:t>
      </w:r>
      <w:r w:rsidR="007A105D" w:rsidRPr="003D60DE">
        <w:rPr>
          <w:rFonts w:asciiTheme="minorHAnsi" w:hAnsiTheme="minorHAnsi" w:cstheme="minorHAnsi"/>
          <w:bCs/>
        </w:rPr>
        <w:t xml:space="preserve">)) </w:t>
      </w:r>
      <w:r w:rsidR="0070350F" w:rsidRPr="003D60DE">
        <w:rPr>
          <w:rFonts w:asciiTheme="minorHAnsi" w:hAnsiTheme="minorHAnsi" w:cstheme="minorHAnsi"/>
          <w:bCs/>
        </w:rPr>
        <w:t xml:space="preserve">is greater than the expenses associated </w:t>
      </w:r>
      <w:r w:rsidR="009E6CD1" w:rsidRPr="003D60DE">
        <w:rPr>
          <w:rFonts w:asciiTheme="minorHAnsi" w:hAnsiTheme="minorHAnsi" w:cstheme="minorHAnsi"/>
          <w:bCs/>
        </w:rPr>
        <w:t xml:space="preserve">with relevant claims, the amount payable to the provider is to be </w:t>
      </w:r>
      <w:r w:rsidR="00CB672E">
        <w:rPr>
          <w:rFonts w:asciiTheme="minorHAnsi" w:hAnsiTheme="minorHAnsi" w:cstheme="minorHAnsi"/>
          <w:bCs/>
        </w:rPr>
        <w:t>n</w:t>
      </w:r>
      <w:r w:rsidR="009E6CD1" w:rsidRPr="003D60DE">
        <w:rPr>
          <w:rFonts w:asciiTheme="minorHAnsi" w:hAnsiTheme="minorHAnsi" w:cstheme="minorHAnsi"/>
          <w:bCs/>
        </w:rPr>
        <w:t xml:space="preserve">o more </w:t>
      </w:r>
      <w:r w:rsidR="009E6CD1" w:rsidRPr="00AB167A">
        <w:rPr>
          <w:rFonts w:asciiTheme="minorHAnsi" w:hAnsiTheme="minorHAnsi" w:cstheme="minorHAnsi"/>
          <w:bCs/>
        </w:rPr>
        <w:t>than the expenses associated with those claims.</w:t>
      </w:r>
    </w:p>
    <w:p w14:paraId="6815B43C" w14:textId="2E617D04" w:rsidR="00593F77" w:rsidRPr="00AB167A" w:rsidRDefault="000337B6" w:rsidP="000337B6">
      <w:pPr>
        <w:pStyle w:val="ListParagraph"/>
        <w:keepNext/>
        <w:numPr>
          <w:ilvl w:val="0"/>
          <w:numId w:val="1"/>
        </w:numPr>
        <w:spacing w:before="120" w:after="120"/>
        <w:rPr>
          <w:rFonts w:asciiTheme="minorHAnsi" w:hAnsiTheme="minorHAnsi" w:cstheme="minorHAnsi"/>
          <w:bCs/>
        </w:rPr>
      </w:pPr>
      <w:r w:rsidRPr="00AB167A">
        <w:rPr>
          <w:rFonts w:asciiTheme="minorHAnsi" w:hAnsiTheme="minorHAnsi" w:cstheme="minorHAnsi"/>
          <w:bCs/>
        </w:rPr>
        <w:t>S</w:t>
      </w:r>
      <w:r w:rsidR="001B596C" w:rsidRPr="00AB167A">
        <w:rPr>
          <w:rFonts w:asciiTheme="minorHAnsi" w:hAnsiTheme="minorHAnsi" w:cstheme="minorHAnsi"/>
          <w:bCs/>
        </w:rPr>
        <w:t>ubsection 39(8) provides that</w:t>
      </w:r>
      <w:r w:rsidR="00593F77" w:rsidRPr="00AB167A">
        <w:rPr>
          <w:rFonts w:asciiTheme="minorHAnsi" w:hAnsiTheme="minorHAnsi" w:cstheme="minorHAnsi"/>
          <w:bCs/>
        </w:rPr>
        <w:t xml:space="preserve"> where the total cost of all eligible provider claims for students with disability with high</w:t>
      </w:r>
      <w:r w:rsidR="00593F77" w:rsidRPr="00AB167A">
        <w:rPr>
          <w:rFonts w:asciiTheme="minorHAnsi" w:hAnsiTheme="minorHAnsi" w:cstheme="minorHAnsi"/>
          <w:bCs/>
        </w:rPr>
        <w:noBreakHyphen/>
        <w:t>cost needs is less than the 45 percent of the DSF yearly total</w:t>
      </w:r>
      <w:r w:rsidR="004D6C16" w:rsidRPr="00AB167A">
        <w:rPr>
          <w:rFonts w:asciiTheme="minorHAnsi" w:hAnsiTheme="minorHAnsi" w:cstheme="minorHAnsi"/>
          <w:bCs/>
        </w:rPr>
        <w:t xml:space="preserve"> (which could occur in a year where the amount of claims are lower than expected)</w:t>
      </w:r>
      <w:r w:rsidR="00593F77" w:rsidRPr="00AB167A">
        <w:rPr>
          <w:rFonts w:asciiTheme="minorHAnsi" w:hAnsiTheme="minorHAnsi" w:cstheme="minorHAnsi"/>
          <w:bCs/>
        </w:rPr>
        <w:t xml:space="preserve">, the remaining amount will be added to the enrolments-based grant </w:t>
      </w:r>
      <w:r w:rsidR="004D6C16" w:rsidRPr="00AB167A">
        <w:rPr>
          <w:rFonts w:asciiTheme="minorHAnsi" w:hAnsiTheme="minorHAnsi" w:cstheme="minorHAnsi"/>
          <w:bCs/>
        </w:rPr>
        <w:t>pool</w:t>
      </w:r>
      <w:r w:rsidR="00593F77" w:rsidRPr="00AB167A">
        <w:rPr>
          <w:rFonts w:asciiTheme="minorHAnsi" w:hAnsiTheme="minorHAnsi" w:cstheme="minorHAnsi"/>
          <w:bCs/>
        </w:rPr>
        <w:t xml:space="preserve"> and calculated as per the formula listed under </w:t>
      </w:r>
      <w:r w:rsidR="00F66AB8" w:rsidRPr="00AB167A">
        <w:rPr>
          <w:rFonts w:asciiTheme="minorHAnsi" w:hAnsiTheme="minorHAnsi" w:cstheme="minorHAnsi"/>
          <w:bCs/>
        </w:rPr>
        <w:t>subsection</w:t>
      </w:r>
      <w:r w:rsidR="00593F77" w:rsidRPr="00AB167A">
        <w:rPr>
          <w:rFonts w:asciiTheme="minorHAnsi" w:hAnsiTheme="minorHAnsi" w:cstheme="minorHAnsi"/>
          <w:bCs/>
        </w:rPr>
        <w:t xml:space="preserve"> </w:t>
      </w:r>
      <w:r w:rsidR="00F66AB8" w:rsidRPr="00AB167A">
        <w:rPr>
          <w:rFonts w:asciiTheme="minorHAnsi" w:hAnsiTheme="minorHAnsi" w:cstheme="minorHAnsi"/>
          <w:bCs/>
        </w:rPr>
        <w:t>(</w:t>
      </w:r>
      <w:r w:rsidR="00593F77" w:rsidRPr="00AB167A">
        <w:rPr>
          <w:rFonts w:asciiTheme="minorHAnsi" w:hAnsiTheme="minorHAnsi" w:cstheme="minorHAnsi"/>
          <w:bCs/>
        </w:rPr>
        <w:t>4</w:t>
      </w:r>
      <w:r w:rsidR="00F66AB8" w:rsidRPr="00AB167A">
        <w:rPr>
          <w:rFonts w:asciiTheme="minorHAnsi" w:hAnsiTheme="minorHAnsi" w:cstheme="minorHAnsi"/>
          <w:bCs/>
        </w:rPr>
        <w:t>)</w:t>
      </w:r>
      <w:r w:rsidR="00593F77" w:rsidRPr="00AB167A">
        <w:rPr>
          <w:rFonts w:asciiTheme="minorHAnsi" w:hAnsiTheme="minorHAnsi" w:cstheme="minorHAnsi"/>
          <w:bCs/>
        </w:rPr>
        <w:t xml:space="preserve">.  </w:t>
      </w:r>
    </w:p>
    <w:p w14:paraId="2C14439A" w14:textId="779D46F4" w:rsidR="009A06E3" w:rsidRPr="0012062D" w:rsidRDefault="009A06E3" w:rsidP="00523784">
      <w:pPr>
        <w:spacing w:before="120" w:after="120" w:line="259" w:lineRule="auto"/>
        <w:rPr>
          <w:rFonts w:asciiTheme="minorHAnsi" w:hAnsiTheme="minorHAnsi" w:cstheme="minorHAnsi"/>
          <w:b/>
          <w:bCs/>
          <w:u w:val="single"/>
        </w:rPr>
      </w:pPr>
      <w:r w:rsidRPr="0012062D">
        <w:rPr>
          <w:rFonts w:asciiTheme="minorHAnsi" w:hAnsiTheme="minorHAnsi" w:cstheme="minorHAnsi"/>
          <w:b/>
          <w:bCs/>
          <w:u w:val="single"/>
        </w:rPr>
        <w:t>Section</w:t>
      </w:r>
      <w:r>
        <w:rPr>
          <w:rFonts w:asciiTheme="minorHAnsi" w:hAnsiTheme="minorHAnsi" w:cstheme="minorHAnsi"/>
          <w:b/>
          <w:bCs/>
          <w:u w:val="single"/>
        </w:rPr>
        <w:t xml:space="preserve"> 40: Indexation</w:t>
      </w:r>
    </w:p>
    <w:p w14:paraId="207227A4" w14:textId="41233EAF" w:rsidR="009A06E3" w:rsidRDefault="009A06E3"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specifies that certain dollar amounts mentioned in section 39 are subject to indexati</w:t>
      </w:r>
      <w:r w:rsidR="00E374F8">
        <w:rPr>
          <w:rFonts w:asciiTheme="minorHAnsi" w:hAnsiTheme="minorHAnsi" w:cstheme="minorHAnsi"/>
          <w:bCs/>
        </w:rPr>
        <w:t>on against the consumer price index under Part 5-6 of</w:t>
      </w:r>
      <w:r w:rsidR="0077559B">
        <w:rPr>
          <w:rFonts w:asciiTheme="minorHAnsi" w:hAnsiTheme="minorHAnsi" w:cstheme="minorHAnsi"/>
          <w:bCs/>
        </w:rPr>
        <w:t xml:space="preserve"> </w:t>
      </w:r>
      <w:r w:rsidR="00E374F8">
        <w:rPr>
          <w:rFonts w:asciiTheme="minorHAnsi" w:hAnsiTheme="minorHAnsi" w:cstheme="minorHAnsi"/>
          <w:bCs/>
        </w:rPr>
        <w:t>HESA.</w:t>
      </w:r>
    </w:p>
    <w:p w14:paraId="206CEBD8" w14:textId="631A7621" w:rsidR="00E374F8" w:rsidRPr="0012062D" w:rsidRDefault="00E374F8" w:rsidP="00103D47">
      <w:pPr>
        <w:keepNext/>
        <w:spacing w:before="120" w:after="120" w:line="259" w:lineRule="auto"/>
        <w:rPr>
          <w:rFonts w:asciiTheme="minorHAnsi" w:hAnsiTheme="minorHAnsi" w:cstheme="minorHAnsi"/>
          <w:b/>
          <w:bCs/>
          <w:u w:val="single"/>
        </w:rPr>
      </w:pPr>
      <w:r w:rsidRPr="0012062D">
        <w:rPr>
          <w:rFonts w:asciiTheme="minorHAnsi" w:hAnsiTheme="minorHAnsi" w:cstheme="minorHAnsi"/>
          <w:b/>
          <w:bCs/>
          <w:u w:val="single"/>
        </w:rPr>
        <w:t>Section</w:t>
      </w:r>
      <w:r>
        <w:rPr>
          <w:rFonts w:asciiTheme="minorHAnsi" w:hAnsiTheme="minorHAnsi" w:cstheme="minorHAnsi"/>
          <w:b/>
          <w:bCs/>
          <w:u w:val="single"/>
        </w:rPr>
        <w:t xml:space="preserve"> 41: Conditions that apply to grants</w:t>
      </w:r>
    </w:p>
    <w:p w14:paraId="0DA07824" w14:textId="6FAAA8A7" w:rsidR="00E374F8" w:rsidRDefault="00E374F8"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This section sets out conditions that apply to grants under this program by specifying what grants may be spent on.</w:t>
      </w:r>
    </w:p>
    <w:p w14:paraId="0114F6D3" w14:textId="6873D5CD" w:rsidR="006A6280" w:rsidRDefault="006A6280" w:rsidP="006A6280">
      <w:pPr>
        <w:pStyle w:val="ListParagraph"/>
        <w:spacing w:before="120" w:after="120"/>
        <w:rPr>
          <w:rFonts w:asciiTheme="minorHAnsi" w:hAnsiTheme="minorHAnsi" w:cstheme="minorHAnsi"/>
          <w:bCs/>
        </w:rPr>
      </w:pPr>
    </w:p>
    <w:p w14:paraId="1E963CBE" w14:textId="04A50085" w:rsidR="006A6280" w:rsidRDefault="0074611F" w:rsidP="0074611F">
      <w:pPr>
        <w:spacing w:before="120" w:after="120" w:line="259" w:lineRule="auto"/>
        <w:rPr>
          <w:rFonts w:asciiTheme="minorHAnsi" w:hAnsiTheme="minorHAnsi" w:cstheme="minorHAnsi"/>
          <w:b/>
          <w:bCs/>
          <w:u w:val="single"/>
        </w:rPr>
      </w:pPr>
      <w:r w:rsidRPr="00941652">
        <w:rPr>
          <w:rFonts w:asciiTheme="minorHAnsi" w:hAnsiTheme="minorHAnsi" w:cstheme="minorHAnsi"/>
          <w:b/>
          <w:bCs/>
          <w:u w:val="single"/>
        </w:rPr>
        <w:t>Division </w:t>
      </w:r>
      <w:r>
        <w:rPr>
          <w:rFonts w:asciiTheme="minorHAnsi" w:hAnsiTheme="minorHAnsi" w:cstheme="minorHAnsi"/>
          <w:b/>
          <w:bCs/>
          <w:u w:val="single"/>
        </w:rPr>
        <w:t>2</w:t>
      </w:r>
      <w:r w:rsidRPr="00941652">
        <w:rPr>
          <w:rFonts w:asciiTheme="minorHAnsi" w:hAnsiTheme="minorHAnsi" w:cstheme="minorHAnsi"/>
          <w:b/>
          <w:bCs/>
          <w:u w:val="single"/>
        </w:rPr>
        <w:t>—</w:t>
      </w:r>
      <w:r w:rsidR="006A6280" w:rsidRPr="006A6280">
        <w:rPr>
          <w:rFonts w:asciiTheme="minorHAnsi" w:hAnsiTheme="minorHAnsi" w:cstheme="minorHAnsi"/>
          <w:b/>
          <w:bCs/>
          <w:u w:val="single"/>
        </w:rPr>
        <w:t>Australian Disability Clearinghouse on Education and Trainin</w:t>
      </w:r>
      <w:r w:rsidR="006A6280">
        <w:rPr>
          <w:rFonts w:asciiTheme="minorHAnsi" w:hAnsiTheme="minorHAnsi" w:cstheme="minorHAnsi"/>
          <w:b/>
          <w:bCs/>
          <w:u w:val="single"/>
        </w:rPr>
        <w:t>g</w:t>
      </w:r>
    </w:p>
    <w:p w14:paraId="5E3E4564" w14:textId="4BEF9765" w:rsidR="0074611F" w:rsidRPr="00584D78" w:rsidRDefault="0074611F" w:rsidP="0074611F">
      <w:pPr>
        <w:spacing w:before="120" w:after="12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sidR="00F317C3">
        <w:rPr>
          <w:rFonts w:asciiTheme="minorHAnsi" w:hAnsiTheme="minorHAnsi" w:cstheme="minorHAnsi"/>
          <w:b/>
          <w:bCs/>
          <w:u w:val="single"/>
        </w:rPr>
        <w:t>42</w:t>
      </w:r>
      <w:r w:rsidRPr="00584D78">
        <w:rPr>
          <w:rFonts w:asciiTheme="minorHAnsi" w:hAnsiTheme="minorHAnsi" w:cstheme="minorHAnsi"/>
          <w:b/>
          <w:bCs/>
          <w:u w:val="single"/>
        </w:rPr>
        <w:t xml:space="preserve">: </w:t>
      </w:r>
      <w:r>
        <w:rPr>
          <w:rFonts w:asciiTheme="minorHAnsi" w:hAnsiTheme="minorHAnsi" w:cstheme="minorHAnsi"/>
          <w:b/>
          <w:bCs/>
          <w:u w:val="single"/>
        </w:rPr>
        <w:t>Program objectives</w:t>
      </w:r>
    </w:p>
    <w:p w14:paraId="15F8F0B0" w14:textId="686AE1ED" w:rsidR="0074611F" w:rsidRPr="00672D97" w:rsidRDefault="0074611F"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 xml:space="preserve">This section specifies </w:t>
      </w:r>
      <w:r w:rsidR="009920D6">
        <w:rPr>
          <w:rFonts w:asciiTheme="minorHAnsi" w:hAnsiTheme="minorHAnsi" w:cstheme="minorHAnsi"/>
          <w:bCs/>
        </w:rPr>
        <w:t xml:space="preserve">the </w:t>
      </w:r>
      <w:r w:rsidR="006A6280" w:rsidRPr="006A6280">
        <w:rPr>
          <w:rFonts w:asciiTheme="minorHAnsi" w:hAnsiTheme="minorHAnsi" w:cstheme="minorHAnsi"/>
          <w:bCs/>
        </w:rPr>
        <w:t>Australian Disability Clearinghouse on Education and Trainin</w:t>
      </w:r>
      <w:r w:rsidR="006A6280">
        <w:rPr>
          <w:rFonts w:asciiTheme="minorHAnsi" w:hAnsiTheme="minorHAnsi" w:cstheme="minorHAnsi"/>
          <w:bCs/>
        </w:rPr>
        <w:t>g</w:t>
      </w:r>
      <w:r w:rsidR="009920D6">
        <w:rPr>
          <w:rFonts w:asciiTheme="minorHAnsi" w:hAnsiTheme="minorHAnsi" w:cstheme="minorHAnsi"/>
          <w:bCs/>
        </w:rPr>
        <w:t xml:space="preserve"> as a program for the purpose of </w:t>
      </w:r>
      <w:r w:rsidR="000E501C">
        <w:rPr>
          <w:rFonts w:asciiTheme="minorHAnsi" w:hAnsiTheme="minorHAnsi" w:cstheme="minorHAnsi"/>
          <w:bCs/>
        </w:rPr>
        <w:t>promotin</w:t>
      </w:r>
      <w:r w:rsidR="00646993">
        <w:rPr>
          <w:rFonts w:asciiTheme="minorHAnsi" w:hAnsiTheme="minorHAnsi" w:cstheme="minorHAnsi"/>
          <w:bCs/>
        </w:rPr>
        <w:t>g</w:t>
      </w:r>
      <w:r w:rsidR="000E501C">
        <w:rPr>
          <w:rFonts w:asciiTheme="minorHAnsi" w:hAnsiTheme="minorHAnsi" w:cstheme="minorHAnsi"/>
          <w:bCs/>
        </w:rPr>
        <w:t xml:space="preserve"> equality of opportunity in higher education and outlines the objectives of the program</w:t>
      </w:r>
      <w:r>
        <w:rPr>
          <w:rFonts w:asciiTheme="minorHAnsi" w:hAnsiTheme="minorHAnsi" w:cstheme="minorHAnsi"/>
          <w:bCs/>
        </w:rPr>
        <w:t>.</w:t>
      </w:r>
    </w:p>
    <w:p w14:paraId="2E5361CA" w14:textId="3CEAAAC2" w:rsidR="00F317C3" w:rsidRPr="00584D78" w:rsidRDefault="00F317C3" w:rsidP="00F317C3">
      <w:pPr>
        <w:spacing w:before="120" w:after="120" w:line="259" w:lineRule="auto"/>
        <w:rPr>
          <w:rFonts w:asciiTheme="minorHAnsi" w:hAnsiTheme="minorHAnsi" w:cstheme="minorHAnsi"/>
          <w:b/>
          <w:bCs/>
          <w:u w:val="single"/>
        </w:rPr>
      </w:pPr>
      <w:r>
        <w:rPr>
          <w:rFonts w:asciiTheme="minorHAnsi" w:hAnsiTheme="minorHAnsi" w:cstheme="minorHAnsi"/>
          <w:b/>
          <w:bCs/>
          <w:u w:val="single"/>
        </w:rPr>
        <w:t>Sections 43 and 44</w:t>
      </w:r>
      <w:r w:rsidR="00C35A02">
        <w:rPr>
          <w:rFonts w:asciiTheme="minorHAnsi" w:hAnsiTheme="minorHAnsi" w:cstheme="minorHAnsi"/>
          <w:b/>
          <w:bCs/>
          <w:u w:val="single"/>
        </w:rPr>
        <w:t>:</w:t>
      </w:r>
      <w:r w:rsidR="00475C80">
        <w:rPr>
          <w:rFonts w:asciiTheme="minorHAnsi" w:hAnsiTheme="minorHAnsi" w:cstheme="minorHAnsi"/>
          <w:b/>
          <w:bCs/>
          <w:u w:val="single"/>
        </w:rPr>
        <w:t xml:space="preserve"> </w:t>
      </w:r>
      <w:r w:rsidR="00475C80" w:rsidRPr="00AD168D">
        <w:rPr>
          <w:rFonts w:asciiTheme="minorHAnsi" w:hAnsiTheme="minorHAnsi" w:cstheme="minorHAnsi"/>
          <w:b/>
          <w:bCs/>
          <w:u w:val="single"/>
        </w:rPr>
        <w:t>Specified bodies corporate and extra conditions of eligibility and</w:t>
      </w:r>
      <w:r w:rsidR="00AD168D" w:rsidRPr="00AD168D">
        <w:rPr>
          <w:rFonts w:asciiTheme="minorHAnsi" w:hAnsiTheme="minorHAnsi" w:cstheme="minorHAnsi"/>
          <w:b/>
          <w:bCs/>
          <w:u w:val="single"/>
        </w:rPr>
        <w:t xml:space="preserve"> Grants to be made in respect of a year</w:t>
      </w:r>
    </w:p>
    <w:p w14:paraId="544ED2B1" w14:textId="6A1F3085" w:rsidR="00AD168D" w:rsidRDefault="00EF1E92"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w:t>
      </w:r>
      <w:r w:rsidR="00F317C3" w:rsidRPr="00B03FF2">
        <w:rPr>
          <w:rFonts w:asciiTheme="minorHAnsi" w:hAnsiTheme="minorHAnsi" w:cstheme="minorHAnsi"/>
          <w:bCs/>
        </w:rPr>
        <w:t>ection</w:t>
      </w:r>
      <w:r>
        <w:rPr>
          <w:rFonts w:asciiTheme="minorHAnsi" w:hAnsiTheme="minorHAnsi" w:cstheme="minorHAnsi"/>
          <w:bCs/>
        </w:rPr>
        <w:t xml:space="preserve"> 43</w:t>
      </w:r>
      <w:r w:rsidR="00F317C3" w:rsidRPr="00B03FF2">
        <w:rPr>
          <w:rFonts w:asciiTheme="minorHAnsi" w:hAnsiTheme="minorHAnsi" w:cstheme="minorHAnsi"/>
          <w:bCs/>
        </w:rPr>
        <w:t xml:space="preserve"> clarif</w:t>
      </w:r>
      <w:r>
        <w:rPr>
          <w:rFonts w:asciiTheme="minorHAnsi" w:hAnsiTheme="minorHAnsi" w:cstheme="minorHAnsi"/>
          <w:bCs/>
        </w:rPr>
        <w:t>ies</w:t>
      </w:r>
      <w:r w:rsidR="00F317C3" w:rsidRPr="00B03FF2">
        <w:rPr>
          <w:rFonts w:asciiTheme="minorHAnsi" w:hAnsiTheme="minorHAnsi" w:cstheme="minorHAnsi"/>
          <w:bCs/>
        </w:rPr>
        <w:t xml:space="preserve"> that there are no additional specified bodies corporate or extra conditions of eligibility besides those that apply under section 41-10 of HESA</w:t>
      </w:r>
      <w:r w:rsidR="00AD168D">
        <w:rPr>
          <w:rFonts w:asciiTheme="minorHAnsi" w:hAnsiTheme="minorHAnsi" w:cstheme="minorHAnsi"/>
          <w:bCs/>
        </w:rPr>
        <w:t>.</w:t>
      </w:r>
    </w:p>
    <w:p w14:paraId="4FDB3C01" w14:textId="00AB0BA7" w:rsidR="00F317C3" w:rsidRPr="00672D97" w:rsidRDefault="00AD168D"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bCs/>
        </w:rPr>
        <w:t>S</w:t>
      </w:r>
      <w:r w:rsidR="000E6117">
        <w:rPr>
          <w:rFonts w:asciiTheme="minorHAnsi" w:hAnsiTheme="minorHAnsi" w:cstheme="minorHAnsi"/>
          <w:bCs/>
        </w:rPr>
        <w:t>ection 44 specifies</w:t>
      </w:r>
      <w:r w:rsidR="00F317C3">
        <w:rPr>
          <w:rFonts w:asciiTheme="minorHAnsi" w:hAnsiTheme="minorHAnsi" w:cstheme="minorHAnsi"/>
          <w:bCs/>
        </w:rPr>
        <w:t xml:space="preserve"> that grants are made under this program in respect of a year.</w:t>
      </w:r>
    </w:p>
    <w:p w14:paraId="116873F4" w14:textId="3FF9017F" w:rsidR="00EB59ED" w:rsidRPr="00584D78" w:rsidRDefault="00EB59ED" w:rsidP="00EB59ED">
      <w:pPr>
        <w:spacing w:before="120" w:after="120" w:line="259" w:lineRule="auto"/>
        <w:rPr>
          <w:rFonts w:asciiTheme="minorHAnsi" w:hAnsiTheme="minorHAnsi" w:cstheme="minorHAnsi"/>
          <w:b/>
          <w:bCs/>
          <w:u w:val="single"/>
        </w:rPr>
      </w:pPr>
      <w:r>
        <w:rPr>
          <w:rFonts w:asciiTheme="minorHAnsi" w:hAnsiTheme="minorHAnsi" w:cstheme="minorHAnsi"/>
          <w:b/>
          <w:bCs/>
          <w:u w:val="single"/>
        </w:rPr>
        <w:t>Section 45:</w:t>
      </w:r>
      <w:r w:rsidRPr="00EB59ED">
        <w:rPr>
          <w:rFonts w:asciiTheme="minorHAnsi" w:hAnsiTheme="minorHAnsi" w:cstheme="minorHAnsi"/>
          <w:b/>
          <w:bCs/>
          <w:u w:val="single"/>
        </w:rPr>
        <w:t xml:space="preserve"> </w:t>
      </w:r>
      <w:r w:rsidRPr="00BA3421">
        <w:rPr>
          <w:rFonts w:asciiTheme="minorHAnsi" w:hAnsiTheme="minorHAnsi" w:cstheme="minorHAnsi"/>
          <w:b/>
          <w:bCs/>
          <w:u w:val="single"/>
        </w:rPr>
        <w:t xml:space="preserve">Method by which the amount of grants under the program are determined </w:t>
      </w:r>
      <w:r w:rsidR="00DE3E69">
        <w:rPr>
          <w:rFonts w:asciiTheme="minorHAnsi" w:hAnsiTheme="minorHAnsi" w:cstheme="minorHAnsi"/>
          <w:b/>
          <w:bCs/>
          <w:u w:val="single"/>
        </w:rPr>
        <w:t xml:space="preserve">and applicable </w:t>
      </w:r>
      <w:r w:rsidR="00F47287">
        <w:rPr>
          <w:rFonts w:asciiTheme="minorHAnsi" w:hAnsiTheme="minorHAnsi" w:cstheme="minorHAnsi"/>
          <w:b/>
          <w:bCs/>
          <w:u w:val="single"/>
        </w:rPr>
        <w:t>conditions of grant</w:t>
      </w:r>
    </w:p>
    <w:p w14:paraId="6F3521E4" w14:textId="6F59DDB0" w:rsidR="00EB59ED" w:rsidRPr="00672D97" w:rsidRDefault="00EB59ED" w:rsidP="00FC253E">
      <w:pPr>
        <w:pStyle w:val="ListParagraph"/>
        <w:numPr>
          <w:ilvl w:val="0"/>
          <w:numId w:val="1"/>
        </w:numPr>
        <w:spacing w:before="120" w:after="120"/>
        <w:rPr>
          <w:rFonts w:asciiTheme="minorHAnsi" w:hAnsiTheme="minorHAnsi" w:cstheme="minorHAnsi"/>
          <w:bCs/>
        </w:rPr>
      </w:pPr>
      <w:r w:rsidRPr="00B03FF2">
        <w:rPr>
          <w:rFonts w:asciiTheme="minorHAnsi" w:hAnsiTheme="minorHAnsi" w:cstheme="minorHAnsi"/>
          <w:bCs/>
        </w:rPr>
        <w:t>Th</w:t>
      </w:r>
      <w:r w:rsidR="00991F24">
        <w:rPr>
          <w:rFonts w:asciiTheme="minorHAnsi" w:hAnsiTheme="minorHAnsi" w:cstheme="minorHAnsi"/>
          <w:bCs/>
        </w:rPr>
        <w:t>is</w:t>
      </w:r>
      <w:r w:rsidRPr="00B03FF2">
        <w:rPr>
          <w:rFonts w:asciiTheme="minorHAnsi" w:hAnsiTheme="minorHAnsi" w:cstheme="minorHAnsi"/>
          <w:bCs/>
        </w:rPr>
        <w:t xml:space="preserve"> section</w:t>
      </w:r>
      <w:r w:rsidR="00324CAA">
        <w:rPr>
          <w:rFonts w:asciiTheme="minorHAnsi" w:hAnsiTheme="minorHAnsi" w:cstheme="minorHAnsi"/>
          <w:bCs/>
        </w:rPr>
        <w:t xml:space="preserve"> </w:t>
      </w:r>
      <w:r>
        <w:rPr>
          <w:rFonts w:asciiTheme="minorHAnsi" w:hAnsiTheme="minorHAnsi" w:cstheme="minorHAnsi"/>
          <w:bCs/>
        </w:rPr>
        <w:t xml:space="preserve">states that the </w:t>
      </w:r>
      <w:r w:rsidR="00324CAA">
        <w:rPr>
          <w:rFonts w:asciiTheme="minorHAnsi" w:hAnsiTheme="minorHAnsi" w:cstheme="minorHAnsi"/>
          <w:bCs/>
        </w:rPr>
        <w:t>Minister will choose a specific provider to host the website mentioned in section 42 and specific conditions of grant will be outlined under section 41-25 of</w:t>
      </w:r>
      <w:r w:rsidR="00050BCA">
        <w:rPr>
          <w:rFonts w:asciiTheme="minorHAnsi" w:hAnsiTheme="minorHAnsi" w:cstheme="minorHAnsi"/>
          <w:bCs/>
        </w:rPr>
        <w:t xml:space="preserve"> </w:t>
      </w:r>
      <w:r w:rsidR="00324CAA">
        <w:rPr>
          <w:rFonts w:asciiTheme="minorHAnsi" w:hAnsiTheme="minorHAnsi" w:cstheme="minorHAnsi"/>
          <w:bCs/>
        </w:rPr>
        <w:t>HESA</w:t>
      </w:r>
      <w:r w:rsidR="00991F24">
        <w:rPr>
          <w:rFonts w:asciiTheme="minorHAnsi" w:hAnsiTheme="minorHAnsi" w:cstheme="minorHAnsi"/>
          <w:bCs/>
        </w:rPr>
        <w:t xml:space="preserve"> in relation to the grant made to the chosen provider.</w:t>
      </w:r>
      <w:r w:rsidR="00427368">
        <w:rPr>
          <w:rFonts w:asciiTheme="minorHAnsi" w:hAnsiTheme="minorHAnsi" w:cstheme="minorHAnsi"/>
          <w:bCs/>
        </w:rPr>
        <w:t xml:space="preserve"> </w:t>
      </w:r>
      <w:r w:rsidR="00427368">
        <w:rPr>
          <w:rFonts w:asciiTheme="minorHAnsi" w:hAnsiTheme="minorHAnsi" w:cstheme="minorHAnsi"/>
          <w:bCs/>
        </w:rPr>
        <w:lastRenderedPageBreak/>
        <w:t>This section also provides that the amount of the grant will b</w:t>
      </w:r>
      <w:r w:rsidR="00B17FD4">
        <w:rPr>
          <w:rFonts w:asciiTheme="minorHAnsi" w:hAnsiTheme="minorHAnsi" w:cstheme="minorHAnsi"/>
          <w:bCs/>
        </w:rPr>
        <w:t xml:space="preserve">e determined by the Minister under paragraph </w:t>
      </w:r>
      <w:r w:rsidR="00E7690B">
        <w:rPr>
          <w:rFonts w:asciiTheme="minorHAnsi" w:hAnsiTheme="minorHAnsi" w:cstheme="minorHAnsi"/>
          <w:bCs/>
        </w:rPr>
        <w:t>41-30(b) of</w:t>
      </w:r>
      <w:r w:rsidR="00050BCA">
        <w:rPr>
          <w:rFonts w:asciiTheme="minorHAnsi" w:hAnsiTheme="minorHAnsi" w:cstheme="minorHAnsi"/>
          <w:bCs/>
        </w:rPr>
        <w:t xml:space="preserve"> </w:t>
      </w:r>
      <w:r w:rsidR="00E7690B">
        <w:rPr>
          <w:rFonts w:asciiTheme="minorHAnsi" w:hAnsiTheme="minorHAnsi" w:cstheme="minorHAnsi"/>
          <w:bCs/>
        </w:rPr>
        <w:t>HESA.</w:t>
      </w:r>
    </w:p>
    <w:p w14:paraId="4349F09F" w14:textId="77777777" w:rsidR="006B1660" w:rsidRDefault="006B1660" w:rsidP="006B1660">
      <w:pPr>
        <w:spacing w:before="120" w:after="120"/>
        <w:rPr>
          <w:rFonts w:asciiTheme="minorHAnsi" w:hAnsiTheme="minorHAnsi" w:cstheme="minorHAnsi"/>
          <w:b/>
          <w:u w:val="single"/>
        </w:rPr>
      </w:pPr>
    </w:p>
    <w:p w14:paraId="23F53801" w14:textId="0041FB7D" w:rsidR="006B1660" w:rsidRDefault="006B1660" w:rsidP="00AC1EEF">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4</w:t>
      </w:r>
      <w:r w:rsidRPr="00240B63">
        <w:rPr>
          <w:rFonts w:asciiTheme="minorHAnsi" w:hAnsiTheme="minorHAnsi" w:cstheme="minorHAnsi"/>
          <w:b/>
          <w:u w:val="single"/>
        </w:rPr>
        <w:t>—</w:t>
      </w:r>
      <w:r w:rsidRPr="00293DC9">
        <w:t xml:space="preserve"> </w:t>
      </w:r>
      <w:r w:rsidR="00AC1EEF" w:rsidRPr="00AC1EEF">
        <w:rPr>
          <w:rFonts w:asciiTheme="minorHAnsi" w:hAnsiTheme="minorHAnsi" w:cstheme="minorHAnsi"/>
          <w:b/>
          <w:u w:val="single"/>
        </w:rPr>
        <w:t>Programs that promote equality of opportunity in higher education—Women in STEM Cadetships and Advanced Apprenticeships Program</w:t>
      </w:r>
    </w:p>
    <w:p w14:paraId="11724480" w14:textId="136861C0" w:rsidR="006B1660" w:rsidRPr="00E631F9" w:rsidRDefault="006B1660" w:rsidP="00AC1EEF">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sidR="00AC1EEF">
        <w:rPr>
          <w:rFonts w:asciiTheme="minorHAnsi" w:hAnsiTheme="minorHAnsi" w:cstheme="minorHAnsi"/>
          <w:b/>
          <w:u w:val="single"/>
        </w:rPr>
        <w:t>46</w:t>
      </w:r>
      <w:r w:rsidRPr="00D52E9D">
        <w:rPr>
          <w:rFonts w:asciiTheme="minorHAnsi" w:hAnsiTheme="minorHAnsi" w:cstheme="minorHAnsi"/>
          <w:b/>
          <w:u w:val="single"/>
        </w:rPr>
        <w:t xml:space="preserve">: </w:t>
      </w:r>
      <w:r w:rsidR="00AC1EEF">
        <w:rPr>
          <w:rFonts w:asciiTheme="minorHAnsi" w:hAnsiTheme="minorHAnsi" w:cstheme="minorHAnsi"/>
          <w:b/>
          <w:u w:val="single"/>
        </w:rPr>
        <w:t>Program objectives</w:t>
      </w:r>
    </w:p>
    <w:p w14:paraId="67BA9693" w14:textId="06CB8C31" w:rsidR="006B1660" w:rsidRDefault="00AC1EEF"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w:t>
      </w:r>
      <w:r w:rsidR="00C334CC">
        <w:rPr>
          <w:rFonts w:asciiTheme="minorHAnsi" w:hAnsiTheme="minorHAnsi" w:cstheme="minorHAnsi"/>
          <w:iCs/>
          <w:szCs w:val="24"/>
        </w:rPr>
        <w:t xml:space="preserve"> specifies the</w:t>
      </w:r>
      <w:r>
        <w:rPr>
          <w:rFonts w:asciiTheme="minorHAnsi" w:hAnsiTheme="minorHAnsi" w:cstheme="minorHAnsi"/>
          <w:iCs/>
          <w:szCs w:val="24"/>
        </w:rPr>
        <w:t xml:space="preserve"> </w:t>
      </w:r>
      <w:r w:rsidRPr="00AC1EEF">
        <w:rPr>
          <w:rFonts w:asciiTheme="minorHAnsi" w:hAnsiTheme="minorHAnsi" w:cstheme="minorHAnsi"/>
          <w:iCs/>
          <w:szCs w:val="24"/>
        </w:rPr>
        <w:t>Women in STEM Cadetships and Advanced Apprenticeships Program</w:t>
      </w:r>
      <w:r w:rsidR="00C334CC">
        <w:rPr>
          <w:rFonts w:asciiTheme="minorHAnsi" w:hAnsiTheme="minorHAnsi" w:cstheme="minorHAnsi"/>
          <w:iCs/>
          <w:szCs w:val="24"/>
        </w:rPr>
        <w:t xml:space="preserve"> </w:t>
      </w:r>
      <w:r w:rsidR="00C334CC">
        <w:rPr>
          <w:rFonts w:asciiTheme="minorHAnsi" w:hAnsiTheme="minorHAnsi" w:cstheme="minorHAnsi"/>
          <w:bCs/>
        </w:rPr>
        <w:t>as a program for the purpose of promot</w:t>
      </w:r>
      <w:r w:rsidR="001E2F7F">
        <w:rPr>
          <w:rFonts w:asciiTheme="minorHAnsi" w:hAnsiTheme="minorHAnsi" w:cstheme="minorHAnsi"/>
          <w:bCs/>
        </w:rPr>
        <w:t>ing</w:t>
      </w:r>
      <w:r w:rsidR="00C334CC">
        <w:rPr>
          <w:rFonts w:asciiTheme="minorHAnsi" w:hAnsiTheme="minorHAnsi" w:cstheme="minorHAnsi"/>
          <w:bCs/>
        </w:rPr>
        <w:t xml:space="preserve"> equality of opportunity in higher education and outlines the objectives of the program</w:t>
      </w:r>
      <w:r w:rsidR="00C334CC">
        <w:rPr>
          <w:rFonts w:asciiTheme="minorHAnsi" w:hAnsiTheme="minorHAnsi" w:cstheme="minorHAnsi"/>
          <w:iCs/>
          <w:szCs w:val="24"/>
        </w:rPr>
        <w:t xml:space="preserve"> and sets outs the objectives of the program</w:t>
      </w:r>
      <w:r w:rsidR="001E2F7F">
        <w:rPr>
          <w:rFonts w:asciiTheme="minorHAnsi" w:hAnsiTheme="minorHAnsi" w:cstheme="minorHAnsi"/>
          <w:iCs/>
          <w:szCs w:val="24"/>
        </w:rPr>
        <w:t>.</w:t>
      </w:r>
    </w:p>
    <w:p w14:paraId="44BFBA8C" w14:textId="7C847112" w:rsidR="00522CE6" w:rsidRPr="00522CE6" w:rsidRDefault="00522CE6" w:rsidP="00522CE6">
      <w:pPr>
        <w:keepNext/>
        <w:spacing w:before="120" w:after="120"/>
        <w:rPr>
          <w:rFonts w:asciiTheme="minorHAnsi" w:hAnsiTheme="minorHAnsi" w:cstheme="minorHAnsi"/>
        </w:rPr>
      </w:pPr>
      <w:r w:rsidRPr="00522CE6">
        <w:rPr>
          <w:rFonts w:asciiTheme="minorHAnsi" w:hAnsiTheme="minorHAnsi" w:cstheme="minorHAnsi"/>
          <w:b/>
          <w:u w:val="single"/>
        </w:rPr>
        <w:t>Section 4</w:t>
      </w:r>
      <w:r>
        <w:rPr>
          <w:rFonts w:asciiTheme="minorHAnsi" w:hAnsiTheme="minorHAnsi" w:cstheme="minorHAnsi"/>
          <w:b/>
          <w:u w:val="single"/>
        </w:rPr>
        <w:t>7</w:t>
      </w:r>
      <w:r w:rsidRPr="00522CE6">
        <w:rPr>
          <w:rFonts w:asciiTheme="minorHAnsi" w:hAnsiTheme="minorHAnsi" w:cstheme="minorHAnsi"/>
          <w:b/>
          <w:u w:val="single"/>
        </w:rPr>
        <w:t xml:space="preserve">: </w:t>
      </w:r>
      <w:r w:rsidR="001D3959">
        <w:rPr>
          <w:rFonts w:asciiTheme="minorHAnsi" w:hAnsiTheme="minorHAnsi" w:cstheme="minorHAnsi"/>
          <w:b/>
          <w:u w:val="single"/>
        </w:rPr>
        <w:t>Specified bodies corp</w:t>
      </w:r>
      <w:r w:rsidR="006B3B06">
        <w:rPr>
          <w:rFonts w:asciiTheme="minorHAnsi" w:hAnsiTheme="minorHAnsi" w:cstheme="minorHAnsi"/>
          <w:b/>
          <w:u w:val="single"/>
        </w:rPr>
        <w:t>o</w:t>
      </w:r>
      <w:r w:rsidR="001D3959">
        <w:rPr>
          <w:rFonts w:asciiTheme="minorHAnsi" w:hAnsiTheme="minorHAnsi" w:cstheme="minorHAnsi"/>
          <w:b/>
          <w:u w:val="single"/>
        </w:rPr>
        <w:t>rate and e</w:t>
      </w:r>
      <w:r w:rsidR="003C145F">
        <w:rPr>
          <w:rFonts w:asciiTheme="minorHAnsi" w:hAnsiTheme="minorHAnsi" w:cstheme="minorHAnsi"/>
          <w:b/>
          <w:u w:val="single"/>
        </w:rPr>
        <w:t>xtra conditions of eligibility</w:t>
      </w:r>
    </w:p>
    <w:p w14:paraId="3F03D64A" w14:textId="11D54442" w:rsidR="00F2483C" w:rsidRPr="002C36AF" w:rsidRDefault="00522CE6" w:rsidP="00FC253E">
      <w:pPr>
        <w:pStyle w:val="ListParagraph"/>
        <w:numPr>
          <w:ilvl w:val="0"/>
          <w:numId w:val="1"/>
        </w:numPr>
        <w:spacing w:before="120" w:after="120"/>
        <w:rPr>
          <w:rFonts w:asciiTheme="minorHAnsi" w:hAnsiTheme="minorHAnsi" w:cstheme="minorHAnsi"/>
          <w:bCs/>
        </w:rPr>
      </w:pPr>
      <w:r w:rsidRPr="00522CE6">
        <w:rPr>
          <w:rFonts w:asciiTheme="minorHAnsi" w:hAnsiTheme="minorHAnsi" w:cstheme="minorHAnsi"/>
          <w:iCs/>
          <w:szCs w:val="24"/>
        </w:rPr>
        <w:t xml:space="preserve">This section </w:t>
      </w:r>
      <w:r>
        <w:rPr>
          <w:rFonts w:asciiTheme="minorHAnsi" w:hAnsiTheme="minorHAnsi" w:cstheme="minorHAnsi"/>
          <w:iCs/>
          <w:szCs w:val="24"/>
        </w:rPr>
        <w:t>sets out additiona</w:t>
      </w:r>
      <w:r w:rsidR="0017429D">
        <w:rPr>
          <w:rFonts w:asciiTheme="minorHAnsi" w:hAnsiTheme="minorHAnsi" w:cstheme="minorHAnsi"/>
          <w:iCs/>
          <w:szCs w:val="24"/>
        </w:rPr>
        <w:t>l</w:t>
      </w:r>
      <w:r>
        <w:rPr>
          <w:rFonts w:asciiTheme="minorHAnsi" w:hAnsiTheme="minorHAnsi" w:cstheme="minorHAnsi"/>
          <w:iCs/>
          <w:szCs w:val="24"/>
        </w:rPr>
        <w:t xml:space="preserve"> conditions of eligibility (besides those that apply under</w:t>
      </w:r>
      <w:r w:rsidR="005C0DF7">
        <w:rPr>
          <w:rFonts w:asciiTheme="minorHAnsi" w:hAnsiTheme="minorHAnsi" w:cstheme="minorHAnsi"/>
          <w:iCs/>
          <w:szCs w:val="24"/>
        </w:rPr>
        <w:t xml:space="preserve"> </w:t>
      </w:r>
      <w:r>
        <w:rPr>
          <w:rFonts w:asciiTheme="minorHAnsi" w:hAnsiTheme="minorHAnsi" w:cstheme="minorHAnsi"/>
          <w:iCs/>
          <w:szCs w:val="24"/>
        </w:rPr>
        <w:t xml:space="preserve">HESA) </w:t>
      </w:r>
      <w:r w:rsidR="0017429D">
        <w:rPr>
          <w:rFonts w:asciiTheme="minorHAnsi" w:hAnsiTheme="minorHAnsi" w:cstheme="minorHAnsi"/>
          <w:iCs/>
          <w:szCs w:val="24"/>
        </w:rPr>
        <w:t xml:space="preserve">for a grant under this program and </w:t>
      </w:r>
      <w:r w:rsidR="00004CAA">
        <w:rPr>
          <w:rFonts w:asciiTheme="minorHAnsi" w:hAnsiTheme="minorHAnsi" w:cstheme="minorHAnsi"/>
          <w:iCs/>
          <w:szCs w:val="24"/>
        </w:rPr>
        <w:t xml:space="preserve">states </w:t>
      </w:r>
      <w:r w:rsidR="0017429D">
        <w:rPr>
          <w:rFonts w:asciiTheme="minorHAnsi" w:hAnsiTheme="minorHAnsi" w:cstheme="minorHAnsi"/>
          <w:iCs/>
          <w:szCs w:val="24"/>
        </w:rPr>
        <w:t>that higher education providers</w:t>
      </w:r>
      <w:r w:rsidR="00F44CF9">
        <w:rPr>
          <w:rFonts w:asciiTheme="minorHAnsi" w:hAnsiTheme="minorHAnsi" w:cstheme="minorHAnsi"/>
          <w:iCs/>
          <w:szCs w:val="24"/>
        </w:rPr>
        <w:t xml:space="preserve"> (other than Table A providers)</w:t>
      </w:r>
      <w:r w:rsidR="0017429D">
        <w:rPr>
          <w:rFonts w:asciiTheme="minorHAnsi" w:hAnsiTheme="minorHAnsi" w:cstheme="minorHAnsi"/>
          <w:iCs/>
          <w:szCs w:val="24"/>
        </w:rPr>
        <w:t xml:space="preserve"> and emplo</w:t>
      </w:r>
      <w:r w:rsidR="00E63245">
        <w:rPr>
          <w:rFonts w:asciiTheme="minorHAnsi" w:hAnsiTheme="minorHAnsi" w:cstheme="minorHAnsi"/>
          <w:iCs/>
          <w:szCs w:val="24"/>
        </w:rPr>
        <w:t xml:space="preserve">yers (that are bodies corporate) that employ women undertaking </w:t>
      </w:r>
      <w:r w:rsidR="00004CAA">
        <w:rPr>
          <w:rFonts w:asciiTheme="minorHAnsi" w:hAnsiTheme="minorHAnsi" w:cstheme="minorHAnsi"/>
          <w:iCs/>
          <w:szCs w:val="24"/>
        </w:rPr>
        <w:t>a</w:t>
      </w:r>
      <w:r w:rsidR="00E63245">
        <w:rPr>
          <w:rFonts w:asciiTheme="minorHAnsi" w:hAnsiTheme="minorHAnsi" w:cstheme="minorHAnsi"/>
          <w:iCs/>
          <w:szCs w:val="24"/>
        </w:rPr>
        <w:t xml:space="preserve"> STEM qualification can receive a grant under this program.</w:t>
      </w:r>
      <w:r w:rsidR="00E47DD3">
        <w:rPr>
          <w:rFonts w:asciiTheme="minorHAnsi" w:hAnsiTheme="minorHAnsi" w:cstheme="minorHAnsi"/>
          <w:iCs/>
          <w:szCs w:val="24"/>
        </w:rPr>
        <w:t xml:space="preserve"> Table A providers are eligible by virtue of item 1 of the table in section 41</w:t>
      </w:r>
      <w:r w:rsidR="005C0DF7">
        <w:rPr>
          <w:rFonts w:asciiTheme="minorHAnsi" w:hAnsiTheme="minorHAnsi" w:cstheme="minorHAnsi"/>
          <w:iCs/>
          <w:szCs w:val="24"/>
        </w:rPr>
        <w:noBreakHyphen/>
      </w:r>
      <w:r w:rsidR="00E47DD3">
        <w:rPr>
          <w:rFonts w:asciiTheme="minorHAnsi" w:hAnsiTheme="minorHAnsi" w:cstheme="minorHAnsi"/>
          <w:iCs/>
          <w:szCs w:val="24"/>
        </w:rPr>
        <w:t>10 of</w:t>
      </w:r>
      <w:r w:rsidR="005C0DF7">
        <w:rPr>
          <w:rFonts w:asciiTheme="minorHAnsi" w:hAnsiTheme="minorHAnsi" w:cstheme="minorHAnsi"/>
          <w:iCs/>
          <w:szCs w:val="24"/>
        </w:rPr>
        <w:t xml:space="preserve"> </w:t>
      </w:r>
      <w:r w:rsidR="00E47DD3">
        <w:rPr>
          <w:rFonts w:asciiTheme="minorHAnsi" w:hAnsiTheme="minorHAnsi" w:cstheme="minorHAnsi"/>
          <w:iCs/>
          <w:szCs w:val="24"/>
        </w:rPr>
        <w:t>HESA.</w:t>
      </w:r>
    </w:p>
    <w:p w14:paraId="21CFB82C" w14:textId="41080E65" w:rsidR="002C36AF" w:rsidRPr="000224A7" w:rsidRDefault="002C36AF"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iCs/>
          <w:szCs w:val="24"/>
        </w:rPr>
        <w:t>The requirements in this provision relating to entry into a deed wi</w:t>
      </w:r>
      <w:r w:rsidR="00F01E03">
        <w:rPr>
          <w:rFonts w:asciiTheme="minorHAnsi" w:hAnsiTheme="minorHAnsi" w:cstheme="minorHAnsi"/>
          <w:iCs/>
          <w:szCs w:val="24"/>
        </w:rPr>
        <w:t>th the Commonwealth in respect of participation in the provider and to enter into a “restricted access agreement” (which is a term defined in</w:t>
      </w:r>
      <w:r w:rsidR="005C0DF7">
        <w:rPr>
          <w:rFonts w:asciiTheme="minorHAnsi" w:hAnsiTheme="minorHAnsi" w:cstheme="minorHAnsi"/>
          <w:iCs/>
          <w:szCs w:val="24"/>
        </w:rPr>
        <w:t xml:space="preserve"> </w:t>
      </w:r>
      <w:r w:rsidR="00F01E03">
        <w:rPr>
          <w:rFonts w:asciiTheme="minorHAnsi" w:hAnsiTheme="minorHAnsi" w:cstheme="minorHAnsi"/>
          <w:iCs/>
          <w:szCs w:val="24"/>
        </w:rPr>
        <w:t xml:space="preserve">HESA in relation to students </w:t>
      </w:r>
      <w:r w:rsidR="001B4F0B">
        <w:rPr>
          <w:rFonts w:asciiTheme="minorHAnsi" w:hAnsiTheme="minorHAnsi" w:cstheme="minorHAnsi"/>
          <w:iCs/>
          <w:szCs w:val="24"/>
        </w:rPr>
        <w:t>who are in “allocated employer reserved places”).</w:t>
      </w:r>
    </w:p>
    <w:p w14:paraId="5364BD25" w14:textId="4600925B" w:rsidR="000224A7" w:rsidRPr="00D20A09" w:rsidRDefault="000224A7" w:rsidP="00243B26">
      <w:pPr>
        <w:keepNext/>
        <w:spacing w:before="120" w:after="120"/>
        <w:rPr>
          <w:rFonts w:asciiTheme="minorHAnsi" w:hAnsiTheme="minorHAnsi" w:cstheme="minorHAnsi"/>
          <w:b/>
          <w:u w:val="single"/>
        </w:rPr>
      </w:pPr>
      <w:r w:rsidRPr="00D20A09">
        <w:rPr>
          <w:rFonts w:asciiTheme="minorHAnsi" w:hAnsiTheme="minorHAnsi" w:cstheme="minorHAnsi"/>
          <w:b/>
          <w:u w:val="single"/>
        </w:rPr>
        <w:t>Section</w:t>
      </w:r>
      <w:r w:rsidR="00572C31">
        <w:rPr>
          <w:rFonts w:asciiTheme="minorHAnsi" w:hAnsiTheme="minorHAnsi" w:cstheme="minorHAnsi"/>
          <w:b/>
          <w:u w:val="single"/>
        </w:rPr>
        <w:t xml:space="preserve"> 48</w:t>
      </w:r>
      <w:r w:rsidR="00956860">
        <w:rPr>
          <w:rFonts w:asciiTheme="minorHAnsi" w:hAnsiTheme="minorHAnsi" w:cstheme="minorHAnsi"/>
          <w:b/>
          <w:u w:val="single"/>
        </w:rPr>
        <w:t>:</w:t>
      </w:r>
      <w:r w:rsidRPr="00D20A09">
        <w:rPr>
          <w:rFonts w:asciiTheme="minorHAnsi" w:hAnsiTheme="minorHAnsi" w:cstheme="minorHAnsi"/>
          <w:b/>
          <w:u w:val="single"/>
        </w:rPr>
        <w:t xml:space="preserve"> </w:t>
      </w:r>
      <w:r w:rsidR="0076279C">
        <w:rPr>
          <w:rFonts w:asciiTheme="minorHAnsi" w:hAnsiTheme="minorHAnsi" w:cstheme="minorHAnsi"/>
          <w:b/>
          <w:u w:val="single"/>
        </w:rPr>
        <w:t>Grant</w:t>
      </w:r>
      <w:r w:rsidRPr="00D20A09">
        <w:rPr>
          <w:rFonts w:asciiTheme="minorHAnsi" w:hAnsiTheme="minorHAnsi" w:cstheme="minorHAnsi"/>
          <w:b/>
          <w:u w:val="single"/>
        </w:rPr>
        <w:t xml:space="preserve"> distribution</w:t>
      </w:r>
    </w:p>
    <w:p w14:paraId="1CE92577" w14:textId="196B094F" w:rsidR="003D0FC6" w:rsidRPr="003D0FC6" w:rsidRDefault="003D0FC6" w:rsidP="000224A7">
      <w:pPr>
        <w:pStyle w:val="ListParagraph"/>
        <w:numPr>
          <w:ilvl w:val="0"/>
          <w:numId w:val="1"/>
        </w:numPr>
        <w:spacing w:before="120" w:after="120"/>
        <w:rPr>
          <w:rFonts w:asciiTheme="minorHAnsi" w:hAnsiTheme="minorHAnsi" w:cstheme="minorHAnsi"/>
          <w:bCs/>
        </w:rPr>
      </w:pPr>
      <w:r>
        <w:rPr>
          <w:rFonts w:asciiTheme="minorHAnsi" w:hAnsiTheme="minorHAnsi" w:cstheme="minorHAnsi"/>
          <w:iCs/>
          <w:szCs w:val="24"/>
        </w:rPr>
        <w:t xml:space="preserve">This section </w:t>
      </w:r>
      <w:r w:rsidRPr="003D0FC6">
        <w:rPr>
          <w:rFonts w:asciiTheme="minorHAnsi" w:hAnsiTheme="minorHAnsi" w:cstheme="minorHAnsi"/>
          <w:iCs/>
          <w:szCs w:val="24"/>
        </w:rPr>
        <w:t>specif</w:t>
      </w:r>
      <w:r>
        <w:rPr>
          <w:rFonts w:asciiTheme="minorHAnsi" w:hAnsiTheme="minorHAnsi" w:cstheme="minorHAnsi"/>
          <w:iCs/>
          <w:szCs w:val="24"/>
        </w:rPr>
        <w:t>ies</w:t>
      </w:r>
      <w:r w:rsidRPr="003D0FC6">
        <w:rPr>
          <w:rFonts w:asciiTheme="minorHAnsi" w:hAnsiTheme="minorHAnsi" w:cstheme="minorHAnsi"/>
          <w:iCs/>
          <w:szCs w:val="24"/>
        </w:rPr>
        <w:t xml:space="preserve"> that grants are to be distributed twice per calendar year</w:t>
      </w:r>
      <w:r>
        <w:rPr>
          <w:rFonts w:asciiTheme="minorHAnsi" w:hAnsiTheme="minorHAnsi" w:cstheme="minorHAnsi"/>
          <w:iCs/>
          <w:szCs w:val="24"/>
        </w:rPr>
        <w:t>.</w:t>
      </w:r>
    </w:p>
    <w:p w14:paraId="7945E6EC" w14:textId="4A76523D" w:rsidR="000128F7" w:rsidRPr="002E19E1" w:rsidRDefault="000128F7" w:rsidP="00A1234B">
      <w:pPr>
        <w:spacing w:before="120" w:after="120"/>
        <w:rPr>
          <w:rFonts w:asciiTheme="minorHAnsi" w:hAnsiTheme="minorHAnsi" w:cstheme="minorHAnsi"/>
          <w:b/>
          <w:u w:val="single"/>
        </w:rPr>
      </w:pPr>
      <w:r w:rsidRPr="002E19E1">
        <w:rPr>
          <w:rFonts w:asciiTheme="minorHAnsi" w:hAnsiTheme="minorHAnsi" w:cstheme="minorHAnsi"/>
          <w:b/>
          <w:u w:val="single"/>
        </w:rPr>
        <w:t>Section 4</w:t>
      </w:r>
      <w:r w:rsidR="00956860">
        <w:rPr>
          <w:rFonts w:asciiTheme="minorHAnsi" w:hAnsiTheme="minorHAnsi" w:cstheme="minorHAnsi"/>
          <w:b/>
          <w:u w:val="single"/>
        </w:rPr>
        <w:t>9:</w:t>
      </w:r>
      <w:r w:rsidRPr="002E19E1">
        <w:rPr>
          <w:rFonts w:asciiTheme="minorHAnsi" w:hAnsiTheme="minorHAnsi" w:cstheme="minorHAnsi"/>
          <w:b/>
          <w:u w:val="single"/>
        </w:rPr>
        <w:t xml:space="preserve"> </w:t>
      </w:r>
      <w:r w:rsidR="0076279C">
        <w:rPr>
          <w:rFonts w:asciiTheme="minorHAnsi" w:hAnsiTheme="minorHAnsi" w:cstheme="minorHAnsi"/>
          <w:b/>
          <w:u w:val="single"/>
        </w:rPr>
        <w:t>Employer reserved places</w:t>
      </w:r>
    </w:p>
    <w:p w14:paraId="156E7451" w14:textId="393EA482" w:rsidR="001B4F0B" w:rsidRPr="00F77684" w:rsidRDefault="001B4F0B"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iCs/>
          <w:szCs w:val="24"/>
        </w:rPr>
        <w:t xml:space="preserve">This </w:t>
      </w:r>
      <w:r w:rsidR="00E00992">
        <w:rPr>
          <w:rFonts w:asciiTheme="minorHAnsi" w:hAnsiTheme="minorHAnsi" w:cstheme="minorHAnsi"/>
          <w:iCs/>
          <w:szCs w:val="24"/>
        </w:rPr>
        <w:t xml:space="preserve">section </w:t>
      </w:r>
      <w:r>
        <w:rPr>
          <w:rFonts w:asciiTheme="minorHAnsi" w:hAnsiTheme="minorHAnsi" w:cstheme="minorHAnsi"/>
          <w:iCs/>
          <w:szCs w:val="24"/>
        </w:rPr>
        <w:t>provi</w:t>
      </w:r>
      <w:r w:rsidR="00E00992">
        <w:rPr>
          <w:rFonts w:asciiTheme="minorHAnsi" w:hAnsiTheme="minorHAnsi" w:cstheme="minorHAnsi"/>
          <w:iCs/>
          <w:szCs w:val="24"/>
        </w:rPr>
        <w:t>des</w:t>
      </w:r>
      <w:r>
        <w:rPr>
          <w:rFonts w:asciiTheme="minorHAnsi" w:hAnsiTheme="minorHAnsi" w:cstheme="minorHAnsi"/>
          <w:iCs/>
          <w:szCs w:val="24"/>
        </w:rPr>
        <w:t xml:space="preserve"> that there</w:t>
      </w:r>
      <w:r w:rsidR="00613502">
        <w:rPr>
          <w:rFonts w:asciiTheme="minorHAnsi" w:hAnsiTheme="minorHAnsi" w:cstheme="minorHAnsi"/>
          <w:iCs/>
          <w:szCs w:val="24"/>
        </w:rPr>
        <w:t xml:space="preserve"> are up</w:t>
      </w:r>
      <w:r>
        <w:rPr>
          <w:rFonts w:asciiTheme="minorHAnsi" w:hAnsiTheme="minorHAnsi" w:cstheme="minorHAnsi"/>
          <w:iCs/>
          <w:szCs w:val="24"/>
        </w:rPr>
        <w:t xml:space="preserve"> </w:t>
      </w:r>
      <w:r w:rsidR="00613502" w:rsidRPr="00613502">
        <w:rPr>
          <w:rFonts w:asciiTheme="minorHAnsi" w:hAnsiTheme="minorHAnsi" w:cstheme="minorHAnsi"/>
          <w:iCs/>
          <w:szCs w:val="24"/>
        </w:rPr>
        <w:t>to 500 employer reserved places to allocate to eligible providers across the 2021, 2022, 2023 and 2024 years</w:t>
      </w:r>
      <w:r w:rsidR="00613502">
        <w:rPr>
          <w:rFonts w:asciiTheme="minorHAnsi" w:hAnsiTheme="minorHAnsi" w:cstheme="minorHAnsi"/>
          <w:iCs/>
          <w:szCs w:val="24"/>
        </w:rPr>
        <w:t xml:space="preserve">, based on an application process </w:t>
      </w:r>
      <w:r w:rsidR="000E4F3E">
        <w:rPr>
          <w:rFonts w:asciiTheme="minorHAnsi" w:hAnsiTheme="minorHAnsi" w:cstheme="minorHAnsi"/>
          <w:iCs/>
          <w:szCs w:val="24"/>
        </w:rPr>
        <w:t>conducted</w:t>
      </w:r>
      <w:r w:rsidR="003C3EA5">
        <w:rPr>
          <w:rFonts w:asciiTheme="minorHAnsi" w:hAnsiTheme="minorHAnsi" w:cstheme="minorHAnsi"/>
          <w:iCs/>
          <w:szCs w:val="24"/>
        </w:rPr>
        <w:t xml:space="preserve"> by the Department.</w:t>
      </w:r>
    </w:p>
    <w:p w14:paraId="6DA6ACD0" w14:textId="063234C4" w:rsidR="00F77684" w:rsidRPr="00522CE6" w:rsidRDefault="00F77684" w:rsidP="00FC253E">
      <w:pPr>
        <w:pStyle w:val="ListParagraph"/>
        <w:numPr>
          <w:ilvl w:val="0"/>
          <w:numId w:val="1"/>
        </w:numPr>
        <w:spacing w:before="120" w:after="120"/>
        <w:rPr>
          <w:rFonts w:asciiTheme="minorHAnsi" w:hAnsiTheme="minorHAnsi" w:cstheme="minorHAnsi"/>
          <w:bCs/>
        </w:rPr>
      </w:pPr>
      <w:r>
        <w:rPr>
          <w:rFonts w:asciiTheme="minorHAnsi" w:hAnsiTheme="minorHAnsi" w:cstheme="minorHAnsi"/>
          <w:iCs/>
          <w:szCs w:val="24"/>
        </w:rPr>
        <w:t>Each emp</w:t>
      </w:r>
      <w:r w:rsidR="00E1722C">
        <w:rPr>
          <w:rFonts w:asciiTheme="minorHAnsi" w:hAnsiTheme="minorHAnsi" w:cstheme="minorHAnsi"/>
          <w:iCs/>
          <w:szCs w:val="24"/>
        </w:rPr>
        <w:t>loyer reserved place is the equivalent of 0.5 EFTSL</w:t>
      </w:r>
      <w:r w:rsidR="00A03D5F">
        <w:rPr>
          <w:rFonts w:asciiTheme="minorHAnsi" w:hAnsiTheme="minorHAnsi" w:cstheme="minorHAnsi"/>
          <w:iCs/>
          <w:szCs w:val="24"/>
        </w:rPr>
        <w:t xml:space="preserve"> resulting in </w:t>
      </w:r>
      <w:r w:rsidR="007116CB">
        <w:rPr>
          <w:rFonts w:asciiTheme="minorHAnsi" w:hAnsiTheme="minorHAnsi" w:cstheme="minorHAnsi"/>
          <w:iCs/>
          <w:szCs w:val="24"/>
        </w:rPr>
        <w:t xml:space="preserve">1000 EFTSL </w:t>
      </w:r>
      <w:r w:rsidR="00501BEB">
        <w:rPr>
          <w:rFonts w:asciiTheme="minorHAnsi" w:hAnsiTheme="minorHAnsi" w:cstheme="minorHAnsi"/>
          <w:iCs/>
          <w:szCs w:val="24"/>
        </w:rPr>
        <w:t>being available over the four</w:t>
      </w:r>
      <w:r w:rsidR="000074A9">
        <w:rPr>
          <w:rFonts w:asciiTheme="minorHAnsi" w:hAnsiTheme="minorHAnsi" w:cstheme="minorHAnsi"/>
          <w:iCs/>
          <w:szCs w:val="24"/>
        </w:rPr>
        <w:t xml:space="preserve"> </w:t>
      </w:r>
      <w:r w:rsidR="00501BEB">
        <w:rPr>
          <w:rFonts w:asciiTheme="minorHAnsi" w:hAnsiTheme="minorHAnsi" w:cstheme="minorHAnsi"/>
          <w:iCs/>
          <w:szCs w:val="24"/>
        </w:rPr>
        <w:t>year period</w:t>
      </w:r>
      <w:r w:rsidR="004D6C16">
        <w:rPr>
          <w:rFonts w:asciiTheme="minorHAnsi" w:hAnsiTheme="minorHAnsi" w:cstheme="minorHAnsi"/>
          <w:iCs/>
          <w:szCs w:val="24"/>
        </w:rPr>
        <w:t xml:space="preserve"> (</w:t>
      </w:r>
      <w:r w:rsidR="004D6C16" w:rsidRPr="004D6C16">
        <w:rPr>
          <w:rFonts w:asciiTheme="minorHAnsi" w:hAnsiTheme="minorHAnsi" w:cstheme="minorHAnsi"/>
          <w:iCs/>
          <w:szCs w:val="24"/>
        </w:rPr>
        <w:t>the 2021, 2022, 2023 and 2024 years</w:t>
      </w:r>
      <w:r w:rsidR="004D6C16">
        <w:rPr>
          <w:rFonts w:asciiTheme="minorHAnsi" w:hAnsiTheme="minorHAnsi" w:cstheme="minorHAnsi"/>
          <w:iCs/>
          <w:szCs w:val="24"/>
        </w:rPr>
        <w:t>)</w:t>
      </w:r>
      <w:r w:rsidR="00501BEB">
        <w:rPr>
          <w:rFonts w:asciiTheme="minorHAnsi" w:hAnsiTheme="minorHAnsi" w:cstheme="minorHAnsi"/>
          <w:iCs/>
          <w:szCs w:val="24"/>
        </w:rPr>
        <w:t xml:space="preserve">. </w:t>
      </w:r>
    </w:p>
    <w:p w14:paraId="68D69E40" w14:textId="7C41A1CD" w:rsidR="001D33A1" w:rsidRDefault="003C3EA5" w:rsidP="001D33A1">
      <w:pPr>
        <w:spacing w:before="120" w:after="120"/>
        <w:rPr>
          <w:rFonts w:asciiTheme="minorHAnsi" w:hAnsiTheme="minorHAnsi" w:cstheme="minorHAnsi"/>
          <w:b/>
          <w:u w:val="single"/>
        </w:rPr>
      </w:pPr>
      <w:bookmarkStart w:id="9" w:name="_Hlk96090098"/>
      <w:r w:rsidRPr="003C3EA5">
        <w:rPr>
          <w:rFonts w:asciiTheme="minorHAnsi" w:hAnsiTheme="minorHAnsi" w:cstheme="minorHAnsi"/>
          <w:b/>
          <w:u w:val="single"/>
        </w:rPr>
        <w:t>Section</w:t>
      </w:r>
      <w:r w:rsidR="00291AC1">
        <w:rPr>
          <w:rFonts w:asciiTheme="minorHAnsi" w:hAnsiTheme="minorHAnsi" w:cstheme="minorHAnsi"/>
          <w:b/>
          <w:u w:val="single"/>
        </w:rPr>
        <w:t xml:space="preserve"> 50</w:t>
      </w:r>
      <w:r w:rsidR="00762D20">
        <w:rPr>
          <w:rFonts w:asciiTheme="minorHAnsi" w:hAnsiTheme="minorHAnsi" w:cstheme="minorHAnsi"/>
          <w:b/>
          <w:u w:val="single"/>
        </w:rPr>
        <w:t>:</w:t>
      </w:r>
      <w:r w:rsidRPr="003C3EA5">
        <w:rPr>
          <w:rFonts w:asciiTheme="minorHAnsi" w:hAnsiTheme="minorHAnsi" w:cstheme="minorHAnsi"/>
          <w:b/>
          <w:u w:val="single"/>
        </w:rPr>
        <w:t xml:space="preserve"> </w:t>
      </w:r>
      <w:r w:rsidR="00762D20">
        <w:rPr>
          <w:rFonts w:asciiTheme="minorHAnsi" w:hAnsiTheme="minorHAnsi" w:cstheme="minorHAnsi"/>
          <w:b/>
          <w:u w:val="single"/>
        </w:rPr>
        <w:t>Method by which the amount of grants under the program are determined</w:t>
      </w:r>
    </w:p>
    <w:bookmarkEnd w:id="9"/>
    <w:p w14:paraId="6E16971C" w14:textId="3CCF290E" w:rsidR="003C3EA5" w:rsidRDefault="004D6C16" w:rsidP="00FC253E">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w:t>
      </w:r>
      <w:r w:rsidRPr="009959FF">
        <w:rPr>
          <w:rFonts w:asciiTheme="minorHAnsi" w:hAnsiTheme="minorHAnsi" w:cstheme="minorHAnsi"/>
          <w:iCs/>
          <w:szCs w:val="24"/>
        </w:rPr>
        <w:t xml:space="preserve"> </w:t>
      </w:r>
      <w:r>
        <w:rPr>
          <w:rFonts w:asciiTheme="minorHAnsi" w:hAnsiTheme="minorHAnsi" w:cstheme="minorHAnsi"/>
          <w:iCs/>
          <w:szCs w:val="24"/>
        </w:rPr>
        <w:t>states</w:t>
      </w:r>
      <w:r w:rsidR="008260D8">
        <w:rPr>
          <w:rFonts w:asciiTheme="minorHAnsi" w:hAnsiTheme="minorHAnsi" w:cstheme="minorHAnsi"/>
          <w:iCs/>
          <w:szCs w:val="24"/>
        </w:rPr>
        <w:t xml:space="preserve"> that grant amounts are to be </w:t>
      </w:r>
      <w:r w:rsidR="00687E9C">
        <w:rPr>
          <w:rFonts w:asciiTheme="minorHAnsi" w:hAnsiTheme="minorHAnsi" w:cstheme="minorHAnsi"/>
          <w:iCs/>
          <w:szCs w:val="24"/>
        </w:rPr>
        <w:t>specified by the Minister (</w:t>
      </w:r>
      <w:r w:rsidR="00937ED4">
        <w:rPr>
          <w:rFonts w:asciiTheme="minorHAnsi" w:hAnsiTheme="minorHAnsi" w:cstheme="minorHAnsi"/>
          <w:iCs/>
          <w:szCs w:val="24"/>
        </w:rPr>
        <w:t xml:space="preserve">for </w:t>
      </w:r>
      <w:r w:rsidR="00700303">
        <w:rPr>
          <w:rFonts w:asciiTheme="minorHAnsi" w:hAnsiTheme="minorHAnsi" w:cstheme="minorHAnsi"/>
          <w:iCs/>
          <w:szCs w:val="24"/>
        </w:rPr>
        <w:t xml:space="preserve">eligible </w:t>
      </w:r>
      <w:r w:rsidR="00937ED4">
        <w:rPr>
          <w:rFonts w:asciiTheme="minorHAnsi" w:hAnsiTheme="minorHAnsi" w:cstheme="minorHAnsi"/>
          <w:iCs/>
          <w:szCs w:val="24"/>
        </w:rPr>
        <w:t xml:space="preserve">Women in STEM employers, the maximum grant amount is </w:t>
      </w:r>
      <w:r w:rsidR="00F61FBC" w:rsidRPr="00F61FBC">
        <w:rPr>
          <w:rFonts w:asciiTheme="minorHAnsi" w:hAnsiTheme="minorHAnsi" w:cstheme="minorHAnsi"/>
          <w:iCs/>
          <w:szCs w:val="24"/>
        </w:rPr>
        <w:t>$5,000 for each student, for a year, over the duration of the course of study</w:t>
      </w:r>
      <w:r w:rsidR="00870E9D">
        <w:rPr>
          <w:rFonts w:asciiTheme="minorHAnsi" w:hAnsiTheme="minorHAnsi" w:cstheme="minorHAnsi"/>
          <w:iCs/>
          <w:szCs w:val="24"/>
        </w:rPr>
        <w:t>). Providers may receive an</w:t>
      </w:r>
      <w:r w:rsidR="00F61FBC">
        <w:rPr>
          <w:rFonts w:asciiTheme="minorHAnsi" w:hAnsiTheme="minorHAnsi" w:cstheme="minorHAnsi"/>
          <w:iCs/>
          <w:szCs w:val="24"/>
        </w:rPr>
        <w:t xml:space="preserve"> additional equality of opportunity payment</w:t>
      </w:r>
      <w:r w:rsidR="00870E9D">
        <w:rPr>
          <w:rFonts w:asciiTheme="minorHAnsi" w:hAnsiTheme="minorHAnsi" w:cstheme="minorHAnsi"/>
          <w:iCs/>
          <w:szCs w:val="24"/>
        </w:rPr>
        <w:t xml:space="preserve"> where this is specified in a provider’s deed.</w:t>
      </w:r>
    </w:p>
    <w:p w14:paraId="08EF5A12" w14:textId="6CAE2D0A" w:rsidR="001A11ED" w:rsidRDefault="001A11ED" w:rsidP="001A11ED">
      <w:pPr>
        <w:spacing w:before="120" w:after="120"/>
        <w:rPr>
          <w:rFonts w:asciiTheme="minorHAnsi" w:hAnsiTheme="minorHAnsi" w:cstheme="minorHAnsi"/>
          <w:b/>
          <w:u w:val="single"/>
        </w:rPr>
      </w:pPr>
      <w:r w:rsidRPr="003C3EA5">
        <w:rPr>
          <w:rFonts w:asciiTheme="minorHAnsi" w:hAnsiTheme="minorHAnsi" w:cstheme="minorHAnsi"/>
          <w:b/>
          <w:u w:val="single"/>
        </w:rPr>
        <w:lastRenderedPageBreak/>
        <w:t>Section</w:t>
      </w:r>
      <w:r w:rsidR="00884626">
        <w:rPr>
          <w:rFonts w:asciiTheme="minorHAnsi" w:hAnsiTheme="minorHAnsi" w:cstheme="minorHAnsi"/>
          <w:b/>
          <w:u w:val="single"/>
        </w:rPr>
        <w:t>s</w:t>
      </w:r>
      <w:r>
        <w:rPr>
          <w:rFonts w:asciiTheme="minorHAnsi" w:hAnsiTheme="minorHAnsi" w:cstheme="minorHAnsi"/>
          <w:b/>
          <w:u w:val="single"/>
        </w:rPr>
        <w:t xml:space="preserve"> 5</w:t>
      </w:r>
      <w:r w:rsidR="00884626">
        <w:rPr>
          <w:rFonts w:asciiTheme="minorHAnsi" w:hAnsiTheme="minorHAnsi" w:cstheme="minorHAnsi"/>
          <w:b/>
          <w:u w:val="single"/>
        </w:rPr>
        <w:t>1 and 52</w:t>
      </w:r>
      <w:r w:rsidR="00611C80">
        <w:rPr>
          <w:rFonts w:asciiTheme="minorHAnsi" w:hAnsiTheme="minorHAnsi" w:cstheme="minorHAnsi"/>
          <w:b/>
          <w:u w:val="single"/>
        </w:rPr>
        <w:t xml:space="preserve">: </w:t>
      </w:r>
      <w:r w:rsidR="00884626">
        <w:rPr>
          <w:rFonts w:asciiTheme="minorHAnsi" w:hAnsiTheme="minorHAnsi" w:cstheme="minorHAnsi"/>
          <w:b/>
          <w:u w:val="single"/>
        </w:rPr>
        <w:t>Conditions that apply to grants</w:t>
      </w:r>
      <w:r w:rsidR="006A30EA">
        <w:rPr>
          <w:rFonts w:asciiTheme="minorHAnsi" w:hAnsiTheme="minorHAnsi" w:cstheme="minorHAnsi"/>
          <w:b/>
          <w:u w:val="single"/>
        </w:rPr>
        <w:t xml:space="preserve"> for providers and </w:t>
      </w:r>
      <w:r w:rsidR="000F7D73" w:rsidRPr="002F63C7">
        <w:rPr>
          <w:rFonts w:asciiTheme="minorHAnsi" w:hAnsiTheme="minorHAnsi" w:cstheme="minorHAnsi"/>
          <w:b/>
          <w:u w:val="single"/>
        </w:rPr>
        <w:t>Conditions that apply to grants for Women in STEM employers</w:t>
      </w:r>
      <w:r w:rsidR="00884626">
        <w:rPr>
          <w:rFonts w:asciiTheme="minorHAnsi" w:hAnsiTheme="minorHAnsi" w:cstheme="minorHAnsi"/>
          <w:b/>
          <w:u w:val="single"/>
        </w:rPr>
        <w:t xml:space="preserve"> </w:t>
      </w:r>
    </w:p>
    <w:p w14:paraId="615F225A" w14:textId="4CF47D21" w:rsidR="001A11ED" w:rsidRDefault="001A11ED" w:rsidP="00FC253E">
      <w:pPr>
        <w:pStyle w:val="ListParagraph"/>
        <w:numPr>
          <w:ilvl w:val="0"/>
          <w:numId w:val="1"/>
        </w:numPr>
        <w:spacing w:before="120" w:after="120"/>
        <w:rPr>
          <w:rFonts w:asciiTheme="minorHAnsi" w:hAnsiTheme="minorHAnsi" w:cstheme="minorHAnsi"/>
          <w:iCs/>
          <w:szCs w:val="24"/>
        </w:rPr>
      </w:pPr>
      <w:r w:rsidRPr="009959FF">
        <w:rPr>
          <w:rFonts w:asciiTheme="minorHAnsi" w:hAnsiTheme="minorHAnsi" w:cstheme="minorHAnsi"/>
          <w:iCs/>
          <w:szCs w:val="24"/>
        </w:rPr>
        <w:t>These s</w:t>
      </w:r>
      <w:r>
        <w:rPr>
          <w:rFonts w:asciiTheme="minorHAnsi" w:hAnsiTheme="minorHAnsi" w:cstheme="minorHAnsi"/>
          <w:iCs/>
          <w:szCs w:val="24"/>
        </w:rPr>
        <w:t xml:space="preserve">ections </w:t>
      </w:r>
      <w:r w:rsidR="002625FA">
        <w:rPr>
          <w:rFonts w:asciiTheme="minorHAnsi" w:hAnsiTheme="minorHAnsi" w:cstheme="minorHAnsi"/>
          <w:iCs/>
          <w:szCs w:val="24"/>
        </w:rPr>
        <w:t>set out conditions of grant that apply under this program</w:t>
      </w:r>
      <w:r w:rsidR="00611C80">
        <w:rPr>
          <w:rFonts w:asciiTheme="minorHAnsi" w:hAnsiTheme="minorHAnsi" w:cstheme="minorHAnsi"/>
          <w:iCs/>
          <w:szCs w:val="24"/>
        </w:rPr>
        <w:t xml:space="preserve"> to providers and Women in Stem emp</w:t>
      </w:r>
      <w:r w:rsidR="00524146">
        <w:rPr>
          <w:rFonts w:asciiTheme="minorHAnsi" w:hAnsiTheme="minorHAnsi" w:cstheme="minorHAnsi"/>
          <w:iCs/>
          <w:szCs w:val="24"/>
        </w:rPr>
        <w:t>loyers respectively.</w:t>
      </w:r>
      <w:r w:rsidR="00C31D9D">
        <w:rPr>
          <w:rFonts w:asciiTheme="minorHAnsi" w:hAnsiTheme="minorHAnsi" w:cstheme="minorHAnsi"/>
          <w:iCs/>
          <w:szCs w:val="24"/>
        </w:rPr>
        <w:t xml:space="preserve"> The condition</w:t>
      </w:r>
      <w:r w:rsidR="00DB602A">
        <w:rPr>
          <w:rFonts w:asciiTheme="minorHAnsi" w:hAnsiTheme="minorHAnsi" w:cstheme="minorHAnsi"/>
          <w:iCs/>
          <w:szCs w:val="24"/>
        </w:rPr>
        <w:t>s</w:t>
      </w:r>
      <w:r w:rsidR="00524146">
        <w:rPr>
          <w:rFonts w:asciiTheme="minorHAnsi" w:hAnsiTheme="minorHAnsi" w:cstheme="minorHAnsi"/>
          <w:iCs/>
          <w:szCs w:val="24"/>
        </w:rPr>
        <w:t xml:space="preserve"> </w:t>
      </w:r>
      <w:r w:rsidR="002625FA">
        <w:rPr>
          <w:rFonts w:asciiTheme="minorHAnsi" w:hAnsiTheme="minorHAnsi" w:cstheme="minorHAnsi"/>
          <w:iCs/>
          <w:szCs w:val="24"/>
        </w:rPr>
        <w:t>includ</w:t>
      </w:r>
      <w:r w:rsidR="00C31D9D">
        <w:rPr>
          <w:rFonts w:asciiTheme="minorHAnsi" w:hAnsiTheme="minorHAnsi" w:cstheme="minorHAnsi"/>
          <w:iCs/>
          <w:szCs w:val="24"/>
        </w:rPr>
        <w:t>e</w:t>
      </w:r>
      <w:r w:rsidR="002625FA">
        <w:rPr>
          <w:rFonts w:asciiTheme="minorHAnsi" w:hAnsiTheme="minorHAnsi" w:cstheme="minorHAnsi"/>
          <w:iCs/>
          <w:szCs w:val="24"/>
        </w:rPr>
        <w:t>:</w:t>
      </w:r>
    </w:p>
    <w:p w14:paraId="5BC47927" w14:textId="6ADA61E2" w:rsidR="002625FA" w:rsidRDefault="002625FA" w:rsidP="003E59FC">
      <w:pPr>
        <w:pStyle w:val="ListParagraph"/>
        <w:numPr>
          <w:ilvl w:val="1"/>
          <w:numId w:val="36"/>
        </w:numPr>
        <w:spacing w:before="120" w:after="120"/>
        <w:rPr>
          <w:rFonts w:asciiTheme="minorHAnsi" w:hAnsiTheme="minorHAnsi" w:cstheme="minorHAnsi"/>
          <w:iCs/>
          <w:szCs w:val="24"/>
        </w:rPr>
      </w:pPr>
      <w:r>
        <w:rPr>
          <w:rFonts w:asciiTheme="minorHAnsi" w:hAnsiTheme="minorHAnsi" w:cstheme="minorHAnsi"/>
          <w:iCs/>
          <w:szCs w:val="24"/>
        </w:rPr>
        <w:t>Course requirements in relation to the program</w:t>
      </w:r>
      <w:r w:rsidR="00800653">
        <w:rPr>
          <w:rFonts w:asciiTheme="minorHAnsi" w:hAnsiTheme="minorHAnsi" w:cstheme="minorHAnsi"/>
          <w:iCs/>
          <w:szCs w:val="24"/>
        </w:rPr>
        <w:t>;</w:t>
      </w:r>
    </w:p>
    <w:p w14:paraId="56EA07E5" w14:textId="4E4AEA51" w:rsidR="00800653" w:rsidRDefault="00800653" w:rsidP="003E59FC">
      <w:pPr>
        <w:pStyle w:val="ListParagraph"/>
        <w:numPr>
          <w:ilvl w:val="1"/>
          <w:numId w:val="36"/>
        </w:numPr>
        <w:spacing w:before="120" w:after="120"/>
        <w:rPr>
          <w:rFonts w:asciiTheme="minorHAnsi" w:hAnsiTheme="minorHAnsi" w:cstheme="minorHAnsi"/>
          <w:iCs/>
          <w:szCs w:val="24"/>
        </w:rPr>
      </w:pPr>
      <w:r>
        <w:rPr>
          <w:rFonts w:asciiTheme="minorHAnsi" w:hAnsiTheme="minorHAnsi" w:cstheme="minorHAnsi"/>
          <w:iCs/>
          <w:szCs w:val="24"/>
        </w:rPr>
        <w:t>Employer responsibilities to ensure</w:t>
      </w:r>
      <w:r w:rsidR="004968C6">
        <w:rPr>
          <w:rFonts w:asciiTheme="minorHAnsi" w:hAnsiTheme="minorHAnsi" w:cstheme="minorHAnsi"/>
          <w:iCs/>
          <w:szCs w:val="24"/>
        </w:rPr>
        <w:t xml:space="preserve"> students under the program are given the opportunity </w:t>
      </w:r>
      <w:r w:rsidR="00633B83">
        <w:rPr>
          <w:rFonts w:asciiTheme="minorHAnsi" w:hAnsiTheme="minorHAnsi" w:cstheme="minorHAnsi"/>
          <w:iCs/>
          <w:szCs w:val="24"/>
        </w:rPr>
        <w:t>to</w:t>
      </w:r>
      <w:r w:rsidR="004968C6">
        <w:rPr>
          <w:rFonts w:asciiTheme="minorHAnsi" w:hAnsiTheme="minorHAnsi" w:cstheme="minorHAnsi"/>
          <w:iCs/>
          <w:szCs w:val="24"/>
        </w:rPr>
        <w:t xml:space="preserve"> study (by being “released” as appropriate from work </w:t>
      </w:r>
      <w:r w:rsidR="00633B83">
        <w:rPr>
          <w:rFonts w:asciiTheme="minorHAnsi" w:hAnsiTheme="minorHAnsi" w:cstheme="minorHAnsi"/>
          <w:iCs/>
          <w:szCs w:val="24"/>
        </w:rPr>
        <w:t>duties)</w:t>
      </w:r>
    </w:p>
    <w:p w14:paraId="32CAB497" w14:textId="7CAF3E5D" w:rsidR="00800653" w:rsidRDefault="00633B83" w:rsidP="003E59FC">
      <w:pPr>
        <w:pStyle w:val="ListParagraph"/>
        <w:numPr>
          <w:ilvl w:val="1"/>
          <w:numId w:val="36"/>
        </w:numPr>
        <w:spacing w:before="120" w:after="120"/>
        <w:rPr>
          <w:rFonts w:asciiTheme="minorHAnsi" w:hAnsiTheme="minorHAnsi" w:cstheme="minorHAnsi"/>
          <w:iCs/>
          <w:szCs w:val="24"/>
        </w:rPr>
      </w:pPr>
      <w:r>
        <w:rPr>
          <w:rFonts w:asciiTheme="minorHAnsi" w:hAnsiTheme="minorHAnsi" w:cstheme="minorHAnsi"/>
          <w:iCs/>
          <w:szCs w:val="24"/>
        </w:rPr>
        <w:t>R</w:t>
      </w:r>
      <w:r w:rsidR="00800653">
        <w:rPr>
          <w:rFonts w:asciiTheme="minorHAnsi" w:hAnsiTheme="minorHAnsi" w:cstheme="minorHAnsi"/>
          <w:iCs/>
          <w:szCs w:val="24"/>
        </w:rPr>
        <w:t>eporting</w:t>
      </w:r>
      <w:r>
        <w:rPr>
          <w:rFonts w:asciiTheme="minorHAnsi" w:hAnsiTheme="minorHAnsi" w:cstheme="minorHAnsi"/>
          <w:iCs/>
          <w:szCs w:val="24"/>
        </w:rPr>
        <w:t xml:space="preserve"> requirements.</w:t>
      </w:r>
    </w:p>
    <w:p w14:paraId="1173789D" w14:textId="3B669E14" w:rsidR="001A11ED" w:rsidRDefault="001A11ED" w:rsidP="001A11ED">
      <w:pPr>
        <w:spacing w:before="120" w:after="120"/>
        <w:rPr>
          <w:rFonts w:asciiTheme="minorHAnsi" w:hAnsiTheme="minorHAnsi" w:cstheme="minorHAnsi"/>
          <w:iCs/>
          <w:szCs w:val="24"/>
        </w:rPr>
      </w:pPr>
    </w:p>
    <w:p w14:paraId="3F4CEAF6" w14:textId="3ABCE6F1" w:rsidR="00633B83" w:rsidRDefault="00633B83" w:rsidP="00633B83">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5</w:t>
      </w:r>
      <w:r w:rsidRPr="00240B63">
        <w:rPr>
          <w:rFonts w:asciiTheme="minorHAnsi" w:hAnsiTheme="minorHAnsi" w:cstheme="minorHAnsi"/>
          <w:b/>
          <w:u w:val="single"/>
        </w:rPr>
        <w:t>—</w:t>
      </w:r>
      <w:r w:rsidRPr="00293DC9">
        <w:t xml:space="preserve"> </w:t>
      </w:r>
      <w:r>
        <w:rPr>
          <w:rFonts w:asciiTheme="minorHAnsi" w:hAnsiTheme="minorHAnsi" w:cstheme="minorHAnsi"/>
          <w:b/>
          <w:u w:val="single"/>
        </w:rPr>
        <w:t xml:space="preserve">Specification of National Institutes </w:t>
      </w:r>
    </w:p>
    <w:p w14:paraId="04DEBD68" w14:textId="1EC0FCC7" w:rsidR="00633B83" w:rsidRPr="00E631F9" w:rsidRDefault="00633B83" w:rsidP="00633B83">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Pr>
          <w:rFonts w:asciiTheme="minorHAnsi" w:hAnsiTheme="minorHAnsi" w:cstheme="minorHAnsi"/>
          <w:b/>
          <w:u w:val="single"/>
        </w:rPr>
        <w:t>5</w:t>
      </w:r>
      <w:r w:rsidR="009208B7">
        <w:rPr>
          <w:rFonts w:asciiTheme="minorHAnsi" w:hAnsiTheme="minorHAnsi" w:cstheme="minorHAnsi"/>
          <w:b/>
          <w:u w:val="single"/>
        </w:rPr>
        <w:t>3</w:t>
      </w:r>
      <w:r w:rsidRPr="00D52E9D">
        <w:rPr>
          <w:rFonts w:asciiTheme="minorHAnsi" w:hAnsiTheme="minorHAnsi" w:cstheme="minorHAnsi"/>
          <w:b/>
          <w:u w:val="single"/>
        </w:rPr>
        <w:t xml:space="preserve">: </w:t>
      </w:r>
      <w:r w:rsidR="00C9686C">
        <w:rPr>
          <w:rFonts w:asciiTheme="minorHAnsi" w:hAnsiTheme="minorHAnsi" w:cstheme="minorHAnsi"/>
          <w:b/>
          <w:u w:val="single"/>
        </w:rPr>
        <w:t>National institutes</w:t>
      </w:r>
    </w:p>
    <w:p w14:paraId="7014F0AE" w14:textId="39AF9D45" w:rsidR="00633B83" w:rsidRDefault="00633B83"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This section </w:t>
      </w:r>
      <w:r w:rsidR="00864741">
        <w:rPr>
          <w:rFonts w:asciiTheme="minorHAnsi" w:hAnsiTheme="minorHAnsi" w:cstheme="minorHAnsi"/>
          <w:iCs/>
          <w:szCs w:val="24"/>
        </w:rPr>
        <w:t xml:space="preserve">specifies certain </w:t>
      </w:r>
      <w:r w:rsidR="00864741" w:rsidRPr="00864741">
        <w:rPr>
          <w:rFonts w:asciiTheme="minorHAnsi" w:hAnsiTheme="minorHAnsi" w:cstheme="minorHAnsi"/>
          <w:iCs/>
          <w:szCs w:val="24"/>
        </w:rPr>
        <w:t>national institutes for the purposes of item 4 of the table in subsection 41</w:t>
      </w:r>
      <w:r w:rsidR="00864741" w:rsidRPr="00864741">
        <w:rPr>
          <w:rFonts w:asciiTheme="minorHAnsi" w:hAnsiTheme="minorHAnsi" w:cstheme="minorHAnsi"/>
          <w:iCs/>
          <w:szCs w:val="24"/>
        </w:rPr>
        <w:noBreakHyphen/>
        <w:t xml:space="preserve">10(1) of </w:t>
      </w:r>
      <w:r w:rsidR="00207BCF">
        <w:rPr>
          <w:rFonts w:asciiTheme="minorHAnsi" w:hAnsiTheme="minorHAnsi" w:cstheme="minorHAnsi"/>
          <w:iCs/>
          <w:szCs w:val="24"/>
        </w:rPr>
        <w:t>HESA</w:t>
      </w:r>
      <w:r w:rsidR="0097766F">
        <w:rPr>
          <w:rFonts w:asciiTheme="minorHAnsi" w:hAnsiTheme="minorHAnsi" w:cstheme="minorHAnsi"/>
          <w:iCs/>
          <w:szCs w:val="24"/>
        </w:rPr>
        <w:t xml:space="preserve"> (which enables</w:t>
      </w:r>
      <w:r w:rsidR="00451192">
        <w:rPr>
          <w:rFonts w:asciiTheme="minorHAnsi" w:hAnsiTheme="minorHAnsi" w:cstheme="minorHAnsi"/>
          <w:iCs/>
          <w:szCs w:val="24"/>
        </w:rPr>
        <w:t xml:space="preserve"> Table A providers to receive grants</w:t>
      </w:r>
      <w:r w:rsidR="004E40B4">
        <w:rPr>
          <w:rFonts w:asciiTheme="minorHAnsi" w:hAnsiTheme="minorHAnsi" w:cstheme="minorHAnsi"/>
          <w:iCs/>
          <w:szCs w:val="24"/>
        </w:rPr>
        <w:t xml:space="preserve"> to support these</w:t>
      </w:r>
      <w:r w:rsidR="0097766F">
        <w:rPr>
          <w:rFonts w:asciiTheme="minorHAnsi" w:hAnsiTheme="minorHAnsi" w:cstheme="minorHAnsi"/>
          <w:iCs/>
          <w:szCs w:val="24"/>
        </w:rPr>
        <w:t xml:space="preserve"> institutes</w:t>
      </w:r>
      <w:r w:rsidR="006B5314">
        <w:rPr>
          <w:rFonts w:asciiTheme="minorHAnsi" w:hAnsiTheme="minorHAnsi" w:cstheme="minorHAnsi"/>
          <w:iCs/>
          <w:szCs w:val="24"/>
        </w:rPr>
        <w:t>).</w:t>
      </w:r>
      <w:r w:rsidR="0097766F">
        <w:rPr>
          <w:rFonts w:asciiTheme="minorHAnsi" w:hAnsiTheme="minorHAnsi" w:cstheme="minorHAnsi"/>
          <w:iCs/>
          <w:szCs w:val="24"/>
        </w:rPr>
        <w:t xml:space="preserve"> </w:t>
      </w:r>
    </w:p>
    <w:p w14:paraId="55619D79" w14:textId="2313399A" w:rsidR="0097766F" w:rsidRDefault="0097766F" w:rsidP="0097766F">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6</w:t>
      </w:r>
      <w:r w:rsidRPr="00240B63">
        <w:rPr>
          <w:rFonts w:asciiTheme="minorHAnsi" w:hAnsiTheme="minorHAnsi" w:cstheme="minorHAnsi"/>
          <w:b/>
          <w:u w:val="single"/>
        </w:rPr>
        <w:t>—</w:t>
      </w:r>
      <w:r w:rsidRPr="00293DC9">
        <w:t xml:space="preserve"> </w:t>
      </w:r>
      <w:r w:rsidR="00707A97" w:rsidRPr="00707A97">
        <w:rPr>
          <w:rFonts w:asciiTheme="minorHAnsi" w:hAnsiTheme="minorHAnsi" w:cstheme="minorHAnsi"/>
          <w:b/>
          <w:u w:val="single"/>
        </w:rPr>
        <w:t>Grants to assist with the cost of higher education providers’ superannuation liabilities—Higher Education Superannuation Program</w:t>
      </w:r>
    </w:p>
    <w:p w14:paraId="1CE3162F" w14:textId="487FC6B3" w:rsidR="0097766F" w:rsidRPr="00E631F9" w:rsidRDefault="0097766F" w:rsidP="0097766F">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sidR="00707A97">
        <w:rPr>
          <w:rFonts w:asciiTheme="minorHAnsi" w:hAnsiTheme="minorHAnsi" w:cstheme="minorHAnsi"/>
          <w:b/>
          <w:u w:val="single"/>
        </w:rPr>
        <w:t>5</w:t>
      </w:r>
      <w:r w:rsidR="009208B7">
        <w:rPr>
          <w:rFonts w:asciiTheme="minorHAnsi" w:hAnsiTheme="minorHAnsi" w:cstheme="minorHAnsi"/>
          <w:b/>
          <w:u w:val="single"/>
        </w:rPr>
        <w:t>4</w:t>
      </w:r>
      <w:r w:rsidRPr="00D52E9D">
        <w:rPr>
          <w:rFonts w:asciiTheme="minorHAnsi" w:hAnsiTheme="minorHAnsi" w:cstheme="minorHAnsi"/>
          <w:b/>
          <w:u w:val="single"/>
        </w:rPr>
        <w:t xml:space="preserve">: </w:t>
      </w:r>
      <w:r>
        <w:rPr>
          <w:rFonts w:asciiTheme="minorHAnsi" w:hAnsiTheme="minorHAnsi" w:cstheme="minorHAnsi"/>
          <w:b/>
          <w:u w:val="single"/>
        </w:rPr>
        <w:t>Program objectives</w:t>
      </w:r>
    </w:p>
    <w:p w14:paraId="4ED6B9C7" w14:textId="6492CC55" w:rsidR="0097766F" w:rsidRDefault="0097766F"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 specifies</w:t>
      </w:r>
      <w:r w:rsidR="00782AA7">
        <w:rPr>
          <w:rFonts w:asciiTheme="minorHAnsi" w:hAnsiTheme="minorHAnsi" w:cstheme="minorHAnsi"/>
          <w:iCs/>
          <w:szCs w:val="24"/>
        </w:rPr>
        <w:t xml:space="preserve"> the Higher </w:t>
      </w:r>
      <w:r w:rsidR="005D4D12">
        <w:rPr>
          <w:rFonts w:asciiTheme="minorHAnsi" w:hAnsiTheme="minorHAnsi" w:cstheme="minorHAnsi"/>
          <w:iCs/>
          <w:szCs w:val="24"/>
        </w:rPr>
        <w:t>Education Superannuation Program as a program for the purpose of assisting with the cost of</w:t>
      </w:r>
      <w:r w:rsidR="00E708BB">
        <w:rPr>
          <w:rFonts w:asciiTheme="minorHAnsi" w:hAnsiTheme="minorHAnsi" w:cstheme="minorHAnsi"/>
          <w:iCs/>
          <w:szCs w:val="24"/>
        </w:rPr>
        <w:t xml:space="preserve"> higher education providers’ superannuation liabilities and outlines</w:t>
      </w:r>
      <w:r w:rsidR="008D2607">
        <w:rPr>
          <w:rFonts w:asciiTheme="minorHAnsi" w:hAnsiTheme="minorHAnsi" w:cstheme="minorHAnsi"/>
          <w:iCs/>
          <w:szCs w:val="24"/>
        </w:rPr>
        <w:t xml:space="preserve"> </w:t>
      </w:r>
      <w:r w:rsidR="00E708BB">
        <w:rPr>
          <w:rFonts w:asciiTheme="minorHAnsi" w:hAnsiTheme="minorHAnsi" w:cstheme="minorHAnsi"/>
          <w:iCs/>
          <w:szCs w:val="24"/>
        </w:rPr>
        <w:t xml:space="preserve">the </w:t>
      </w:r>
      <w:r w:rsidR="008D2607">
        <w:rPr>
          <w:rFonts w:asciiTheme="minorHAnsi" w:hAnsiTheme="minorHAnsi" w:cstheme="minorHAnsi"/>
          <w:iCs/>
          <w:szCs w:val="24"/>
        </w:rPr>
        <w:t xml:space="preserve">objectives for this program (being to </w:t>
      </w:r>
      <w:r w:rsidR="008D2607" w:rsidRPr="008D2607">
        <w:rPr>
          <w:rFonts w:asciiTheme="minorHAnsi" w:hAnsiTheme="minorHAnsi" w:cstheme="minorHAnsi"/>
          <w:iCs/>
          <w:szCs w:val="24"/>
        </w:rPr>
        <w:t>provide Commonwealth financial assistance to eligible Higher Education Providers by contributing to expenses incurred by those providers in respect of former employees who are members of an eligible superannuation scheme or fund</w:t>
      </w:r>
      <w:r w:rsidR="008D2607">
        <w:rPr>
          <w:rFonts w:asciiTheme="minorHAnsi" w:hAnsiTheme="minorHAnsi" w:cstheme="minorHAnsi"/>
          <w:iCs/>
          <w:szCs w:val="24"/>
        </w:rPr>
        <w:t>)</w:t>
      </w:r>
      <w:r w:rsidR="008D2607" w:rsidRPr="008D2607">
        <w:rPr>
          <w:rFonts w:asciiTheme="minorHAnsi" w:hAnsiTheme="minorHAnsi" w:cstheme="minorHAnsi"/>
          <w:iCs/>
          <w:szCs w:val="24"/>
        </w:rPr>
        <w:t>.</w:t>
      </w:r>
    </w:p>
    <w:p w14:paraId="6EF5E14E" w14:textId="6EB5D735" w:rsidR="00E9583C" w:rsidRPr="00E9583C" w:rsidRDefault="00E9583C" w:rsidP="00E9583C">
      <w:pPr>
        <w:keepNext/>
        <w:spacing w:before="120" w:after="120"/>
        <w:rPr>
          <w:rFonts w:asciiTheme="minorHAnsi" w:hAnsiTheme="minorHAnsi" w:cstheme="minorHAnsi"/>
        </w:rPr>
      </w:pPr>
      <w:r w:rsidRPr="00E9583C">
        <w:rPr>
          <w:rFonts w:asciiTheme="minorHAnsi" w:hAnsiTheme="minorHAnsi" w:cstheme="minorHAnsi"/>
          <w:b/>
          <w:u w:val="single"/>
        </w:rPr>
        <w:t>Section 5</w:t>
      </w:r>
      <w:r w:rsidR="00E32061">
        <w:rPr>
          <w:rFonts w:asciiTheme="minorHAnsi" w:hAnsiTheme="minorHAnsi" w:cstheme="minorHAnsi"/>
          <w:b/>
          <w:u w:val="single"/>
        </w:rPr>
        <w:t>5</w:t>
      </w:r>
      <w:r w:rsidRPr="00E9583C">
        <w:rPr>
          <w:rFonts w:asciiTheme="minorHAnsi" w:hAnsiTheme="minorHAnsi" w:cstheme="minorHAnsi"/>
          <w:b/>
          <w:u w:val="single"/>
        </w:rPr>
        <w:t xml:space="preserve">: </w:t>
      </w:r>
      <w:r>
        <w:rPr>
          <w:rFonts w:asciiTheme="minorHAnsi" w:hAnsiTheme="minorHAnsi" w:cstheme="minorHAnsi"/>
          <w:b/>
          <w:u w:val="single"/>
        </w:rPr>
        <w:t>Extra conditions of eligibility</w:t>
      </w:r>
    </w:p>
    <w:p w14:paraId="6ACB4386" w14:textId="7D6BE3F5" w:rsidR="00633B83" w:rsidRDefault="00E9583C" w:rsidP="00FC253E">
      <w:pPr>
        <w:pStyle w:val="ListParagraph"/>
        <w:numPr>
          <w:ilvl w:val="0"/>
          <w:numId w:val="1"/>
        </w:numPr>
        <w:spacing w:before="120" w:after="120"/>
        <w:rPr>
          <w:rFonts w:asciiTheme="minorHAnsi" w:hAnsiTheme="minorHAnsi" w:cstheme="minorHAnsi"/>
          <w:iCs/>
          <w:szCs w:val="24"/>
        </w:rPr>
      </w:pPr>
      <w:r w:rsidRPr="00E9583C">
        <w:rPr>
          <w:rFonts w:asciiTheme="minorHAnsi" w:hAnsiTheme="minorHAnsi" w:cstheme="minorHAnsi"/>
          <w:iCs/>
          <w:szCs w:val="24"/>
        </w:rPr>
        <w:t xml:space="preserve">This section </w:t>
      </w:r>
      <w:r>
        <w:rPr>
          <w:rFonts w:asciiTheme="minorHAnsi" w:hAnsiTheme="minorHAnsi" w:cstheme="minorHAnsi"/>
          <w:iCs/>
          <w:szCs w:val="24"/>
        </w:rPr>
        <w:t>specifies th</w:t>
      </w:r>
      <w:r w:rsidR="00AD43A2">
        <w:rPr>
          <w:rFonts w:asciiTheme="minorHAnsi" w:hAnsiTheme="minorHAnsi" w:cstheme="minorHAnsi"/>
          <w:iCs/>
          <w:szCs w:val="24"/>
        </w:rPr>
        <w:t xml:space="preserve">at </w:t>
      </w:r>
      <w:r w:rsidR="00272D61">
        <w:rPr>
          <w:rFonts w:asciiTheme="minorHAnsi" w:hAnsiTheme="minorHAnsi" w:cstheme="minorHAnsi"/>
          <w:iCs/>
          <w:szCs w:val="24"/>
        </w:rPr>
        <w:t>only specified</w:t>
      </w:r>
      <w:r>
        <w:rPr>
          <w:rFonts w:asciiTheme="minorHAnsi" w:hAnsiTheme="minorHAnsi" w:cstheme="minorHAnsi"/>
          <w:iCs/>
          <w:szCs w:val="24"/>
        </w:rPr>
        <w:t xml:space="preserve"> </w:t>
      </w:r>
      <w:r w:rsidR="00F552A3">
        <w:rPr>
          <w:rFonts w:asciiTheme="minorHAnsi" w:hAnsiTheme="minorHAnsi" w:cstheme="minorHAnsi"/>
          <w:iCs/>
          <w:szCs w:val="24"/>
        </w:rPr>
        <w:t>Table A</w:t>
      </w:r>
      <w:r w:rsidR="00272D61">
        <w:rPr>
          <w:rFonts w:asciiTheme="minorHAnsi" w:hAnsiTheme="minorHAnsi" w:cstheme="minorHAnsi"/>
          <w:iCs/>
          <w:szCs w:val="24"/>
        </w:rPr>
        <w:t xml:space="preserve"> </w:t>
      </w:r>
      <w:r>
        <w:rPr>
          <w:rFonts w:asciiTheme="minorHAnsi" w:hAnsiTheme="minorHAnsi" w:cstheme="minorHAnsi"/>
          <w:iCs/>
          <w:szCs w:val="24"/>
        </w:rPr>
        <w:t>providers</w:t>
      </w:r>
      <w:r w:rsidR="00272D61">
        <w:rPr>
          <w:rFonts w:asciiTheme="minorHAnsi" w:hAnsiTheme="minorHAnsi" w:cstheme="minorHAnsi"/>
          <w:iCs/>
          <w:szCs w:val="24"/>
        </w:rPr>
        <w:t xml:space="preserve"> are</w:t>
      </w:r>
      <w:r>
        <w:rPr>
          <w:rFonts w:asciiTheme="minorHAnsi" w:hAnsiTheme="minorHAnsi" w:cstheme="minorHAnsi"/>
          <w:iCs/>
          <w:szCs w:val="24"/>
        </w:rPr>
        <w:t xml:space="preserve"> eligible for grants under this program</w:t>
      </w:r>
      <w:r w:rsidR="002D2E28">
        <w:rPr>
          <w:rFonts w:asciiTheme="minorHAnsi" w:hAnsiTheme="minorHAnsi" w:cstheme="minorHAnsi"/>
          <w:iCs/>
          <w:szCs w:val="24"/>
        </w:rPr>
        <w:t xml:space="preserve"> (subsection </w:t>
      </w:r>
      <w:r w:rsidR="00D87BD1">
        <w:rPr>
          <w:rFonts w:asciiTheme="minorHAnsi" w:hAnsiTheme="minorHAnsi" w:cstheme="minorHAnsi"/>
          <w:iCs/>
          <w:szCs w:val="24"/>
        </w:rPr>
        <w:t>55</w:t>
      </w:r>
      <w:r w:rsidR="002D2E28">
        <w:rPr>
          <w:rFonts w:asciiTheme="minorHAnsi" w:hAnsiTheme="minorHAnsi" w:cstheme="minorHAnsi"/>
          <w:iCs/>
          <w:szCs w:val="24"/>
        </w:rPr>
        <w:t>(2))</w:t>
      </w:r>
      <w:r w:rsidR="0067507B">
        <w:rPr>
          <w:rFonts w:asciiTheme="minorHAnsi" w:hAnsiTheme="minorHAnsi" w:cstheme="minorHAnsi"/>
          <w:iCs/>
          <w:szCs w:val="24"/>
        </w:rPr>
        <w:t xml:space="preserve"> and that, to be eligible,</w:t>
      </w:r>
      <w:r w:rsidR="00C51DDC">
        <w:rPr>
          <w:rFonts w:asciiTheme="minorHAnsi" w:hAnsiTheme="minorHAnsi" w:cstheme="minorHAnsi"/>
          <w:iCs/>
          <w:szCs w:val="24"/>
        </w:rPr>
        <w:t xml:space="preserve"> the provider must have </w:t>
      </w:r>
      <w:r w:rsidR="0067507B">
        <w:rPr>
          <w:rFonts w:asciiTheme="minorHAnsi" w:hAnsiTheme="minorHAnsi" w:cstheme="minorHAnsi"/>
          <w:iCs/>
          <w:szCs w:val="24"/>
        </w:rPr>
        <w:t xml:space="preserve">former employees </w:t>
      </w:r>
      <w:r w:rsidR="00287CAB">
        <w:rPr>
          <w:rFonts w:asciiTheme="minorHAnsi" w:hAnsiTheme="minorHAnsi" w:cstheme="minorHAnsi"/>
          <w:iCs/>
          <w:szCs w:val="24"/>
        </w:rPr>
        <w:t>who are</w:t>
      </w:r>
      <w:r w:rsidR="0067507B">
        <w:rPr>
          <w:rFonts w:asciiTheme="minorHAnsi" w:hAnsiTheme="minorHAnsi" w:cstheme="minorHAnsi"/>
          <w:iCs/>
          <w:szCs w:val="24"/>
        </w:rPr>
        <w:t xml:space="preserve"> members of certain listed superannuation schemes or funds</w:t>
      </w:r>
      <w:r w:rsidR="004A160C">
        <w:rPr>
          <w:rFonts w:asciiTheme="minorHAnsi" w:hAnsiTheme="minorHAnsi" w:cstheme="minorHAnsi"/>
          <w:iCs/>
          <w:szCs w:val="24"/>
        </w:rPr>
        <w:t xml:space="preserve">, which are specified in </w:t>
      </w:r>
      <w:r w:rsidR="002D2E28">
        <w:rPr>
          <w:rFonts w:asciiTheme="minorHAnsi" w:hAnsiTheme="minorHAnsi" w:cstheme="minorHAnsi"/>
          <w:iCs/>
          <w:szCs w:val="24"/>
        </w:rPr>
        <w:t xml:space="preserve">subsection </w:t>
      </w:r>
      <w:r w:rsidR="00D87BD1">
        <w:rPr>
          <w:rFonts w:asciiTheme="minorHAnsi" w:hAnsiTheme="minorHAnsi" w:cstheme="minorHAnsi"/>
          <w:iCs/>
          <w:szCs w:val="24"/>
        </w:rPr>
        <w:t>55</w:t>
      </w:r>
      <w:r w:rsidR="002D2E28">
        <w:rPr>
          <w:rFonts w:asciiTheme="minorHAnsi" w:hAnsiTheme="minorHAnsi" w:cstheme="minorHAnsi"/>
          <w:iCs/>
          <w:szCs w:val="24"/>
        </w:rPr>
        <w:t>(3)</w:t>
      </w:r>
      <w:r w:rsidR="0067507B">
        <w:rPr>
          <w:rFonts w:asciiTheme="minorHAnsi" w:hAnsiTheme="minorHAnsi" w:cstheme="minorHAnsi"/>
          <w:iCs/>
          <w:szCs w:val="24"/>
        </w:rPr>
        <w:t>.</w:t>
      </w:r>
    </w:p>
    <w:p w14:paraId="46C8523B" w14:textId="74C3ECCC" w:rsidR="006F676A" w:rsidRPr="00E631F9" w:rsidRDefault="006F676A" w:rsidP="006F676A">
      <w:pPr>
        <w:keepNext/>
        <w:spacing w:before="120" w:after="120"/>
        <w:rPr>
          <w:rFonts w:asciiTheme="minorHAnsi" w:hAnsiTheme="minorHAnsi" w:cstheme="minorHAnsi"/>
        </w:rPr>
      </w:pPr>
      <w:r w:rsidRPr="00D52E9D">
        <w:rPr>
          <w:rFonts w:asciiTheme="minorHAnsi" w:hAnsiTheme="minorHAnsi" w:cstheme="minorHAnsi"/>
          <w:b/>
          <w:u w:val="single"/>
        </w:rPr>
        <w:t>Section</w:t>
      </w:r>
      <w:r>
        <w:rPr>
          <w:rFonts w:asciiTheme="minorHAnsi" w:hAnsiTheme="minorHAnsi" w:cstheme="minorHAnsi"/>
          <w:b/>
          <w:u w:val="single"/>
        </w:rPr>
        <w:t>s 5</w:t>
      </w:r>
      <w:r w:rsidR="006B52D9">
        <w:rPr>
          <w:rFonts w:asciiTheme="minorHAnsi" w:hAnsiTheme="minorHAnsi" w:cstheme="minorHAnsi"/>
          <w:b/>
          <w:u w:val="single"/>
        </w:rPr>
        <w:t>6</w:t>
      </w:r>
      <w:r>
        <w:rPr>
          <w:rFonts w:asciiTheme="minorHAnsi" w:hAnsiTheme="minorHAnsi" w:cstheme="minorHAnsi"/>
          <w:b/>
          <w:u w:val="single"/>
        </w:rPr>
        <w:t xml:space="preserve"> and 5</w:t>
      </w:r>
      <w:r w:rsidR="006B52D9">
        <w:rPr>
          <w:rFonts w:asciiTheme="minorHAnsi" w:hAnsiTheme="minorHAnsi" w:cstheme="minorHAnsi"/>
          <w:b/>
          <w:u w:val="single"/>
        </w:rPr>
        <w:t>7</w:t>
      </w:r>
      <w:r w:rsidR="0085017E">
        <w:rPr>
          <w:rFonts w:asciiTheme="minorHAnsi" w:hAnsiTheme="minorHAnsi" w:cstheme="minorHAnsi"/>
          <w:b/>
          <w:u w:val="single"/>
        </w:rPr>
        <w:t xml:space="preserve">: Grants to be made in respect of a year and Grant </w:t>
      </w:r>
      <w:r w:rsidR="002270C3">
        <w:rPr>
          <w:rFonts w:asciiTheme="minorHAnsi" w:hAnsiTheme="minorHAnsi" w:cstheme="minorHAnsi"/>
          <w:b/>
          <w:u w:val="single"/>
        </w:rPr>
        <w:t>a</w:t>
      </w:r>
      <w:r w:rsidR="0085017E">
        <w:rPr>
          <w:rFonts w:asciiTheme="minorHAnsi" w:hAnsiTheme="minorHAnsi" w:cstheme="minorHAnsi"/>
          <w:b/>
          <w:u w:val="single"/>
        </w:rPr>
        <w:t>mounts</w:t>
      </w:r>
    </w:p>
    <w:p w14:paraId="7F965F05" w14:textId="6DEAC92D" w:rsidR="006F676A" w:rsidRPr="00E9583C" w:rsidRDefault="001E5553" w:rsidP="00FC253E">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t>S</w:t>
      </w:r>
      <w:r w:rsidR="006F676A">
        <w:rPr>
          <w:rFonts w:asciiTheme="minorHAnsi" w:hAnsiTheme="minorHAnsi" w:cstheme="minorHAnsi"/>
          <w:iCs/>
          <w:szCs w:val="24"/>
        </w:rPr>
        <w:t>ection</w:t>
      </w:r>
      <w:r w:rsidR="00C35B04">
        <w:rPr>
          <w:rFonts w:asciiTheme="minorHAnsi" w:hAnsiTheme="minorHAnsi" w:cstheme="minorHAnsi"/>
          <w:iCs/>
          <w:szCs w:val="24"/>
        </w:rPr>
        <w:t>s</w:t>
      </w:r>
      <w:r>
        <w:rPr>
          <w:rFonts w:asciiTheme="minorHAnsi" w:hAnsiTheme="minorHAnsi" w:cstheme="minorHAnsi"/>
          <w:iCs/>
          <w:szCs w:val="24"/>
        </w:rPr>
        <w:t xml:space="preserve"> 56</w:t>
      </w:r>
      <w:r w:rsidR="006F676A">
        <w:rPr>
          <w:rFonts w:asciiTheme="minorHAnsi" w:hAnsiTheme="minorHAnsi" w:cstheme="minorHAnsi"/>
          <w:iCs/>
          <w:szCs w:val="24"/>
        </w:rPr>
        <w:t xml:space="preserve"> specif</w:t>
      </w:r>
      <w:r w:rsidR="00C66316">
        <w:rPr>
          <w:rFonts w:asciiTheme="minorHAnsi" w:hAnsiTheme="minorHAnsi" w:cstheme="minorHAnsi"/>
          <w:iCs/>
          <w:szCs w:val="24"/>
        </w:rPr>
        <w:t>ies</w:t>
      </w:r>
      <w:r w:rsidR="006F676A">
        <w:rPr>
          <w:rFonts w:asciiTheme="minorHAnsi" w:hAnsiTheme="minorHAnsi" w:cstheme="minorHAnsi"/>
          <w:iCs/>
          <w:szCs w:val="24"/>
        </w:rPr>
        <w:t xml:space="preserve"> </w:t>
      </w:r>
      <w:r w:rsidR="002D2E28">
        <w:rPr>
          <w:rFonts w:asciiTheme="minorHAnsi" w:hAnsiTheme="minorHAnsi" w:cstheme="minorHAnsi"/>
          <w:iCs/>
          <w:szCs w:val="24"/>
        </w:rPr>
        <w:t xml:space="preserve">that grants are </w:t>
      </w:r>
      <w:r w:rsidR="00A30305">
        <w:rPr>
          <w:rFonts w:asciiTheme="minorHAnsi" w:hAnsiTheme="minorHAnsi" w:cstheme="minorHAnsi"/>
          <w:iCs/>
          <w:szCs w:val="24"/>
        </w:rPr>
        <w:t xml:space="preserve">to be made in respect of a year </w:t>
      </w:r>
      <w:r w:rsidR="00C66316">
        <w:rPr>
          <w:rFonts w:asciiTheme="minorHAnsi" w:hAnsiTheme="minorHAnsi" w:cstheme="minorHAnsi"/>
          <w:iCs/>
          <w:szCs w:val="24"/>
        </w:rPr>
        <w:t>and section 57 provides that the grant am</w:t>
      </w:r>
      <w:r w:rsidR="00A30305">
        <w:rPr>
          <w:rFonts w:asciiTheme="minorHAnsi" w:hAnsiTheme="minorHAnsi" w:cstheme="minorHAnsi"/>
          <w:iCs/>
          <w:szCs w:val="24"/>
        </w:rPr>
        <w:t>ount</w:t>
      </w:r>
      <w:r w:rsidR="00C66316">
        <w:rPr>
          <w:rFonts w:asciiTheme="minorHAnsi" w:hAnsiTheme="minorHAnsi" w:cstheme="minorHAnsi"/>
          <w:iCs/>
          <w:szCs w:val="24"/>
        </w:rPr>
        <w:t xml:space="preserve"> will be</w:t>
      </w:r>
      <w:r w:rsidR="00A30305">
        <w:rPr>
          <w:rFonts w:asciiTheme="minorHAnsi" w:hAnsiTheme="minorHAnsi" w:cstheme="minorHAnsi"/>
          <w:iCs/>
          <w:szCs w:val="24"/>
        </w:rPr>
        <w:t xml:space="preserve"> determined by the Minister under section 41-30 of</w:t>
      </w:r>
      <w:r w:rsidR="00D87BD1">
        <w:rPr>
          <w:rFonts w:asciiTheme="minorHAnsi" w:hAnsiTheme="minorHAnsi" w:cstheme="minorHAnsi"/>
          <w:iCs/>
          <w:szCs w:val="24"/>
        </w:rPr>
        <w:t xml:space="preserve"> </w:t>
      </w:r>
      <w:r w:rsidR="00A30305">
        <w:rPr>
          <w:rFonts w:asciiTheme="minorHAnsi" w:hAnsiTheme="minorHAnsi" w:cstheme="minorHAnsi"/>
          <w:iCs/>
          <w:szCs w:val="24"/>
        </w:rPr>
        <w:t>HESA</w:t>
      </w:r>
      <w:r w:rsidR="00C35B04">
        <w:rPr>
          <w:rFonts w:asciiTheme="minorHAnsi" w:hAnsiTheme="minorHAnsi" w:cstheme="minorHAnsi"/>
          <w:iCs/>
          <w:szCs w:val="24"/>
        </w:rPr>
        <w:t xml:space="preserve"> (which is a broad power to approve grants).</w:t>
      </w:r>
    </w:p>
    <w:p w14:paraId="6F6A2A3F" w14:textId="1AE151D8" w:rsidR="00095DEC" w:rsidRPr="00E9583C" w:rsidRDefault="00095DEC" w:rsidP="00095DEC">
      <w:pPr>
        <w:keepNext/>
        <w:spacing w:before="120" w:after="120"/>
        <w:rPr>
          <w:rFonts w:asciiTheme="minorHAnsi" w:hAnsiTheme="minorHAnsi" w:cstheme="minorHAnsi"/>
        </w:rPr>
      </w:pPr>
      <w:r w:rsidRPr="00E9583C">
        <w:rPr>
          <w:rFonts w:asciiTheme="minorHAnsi" w:hAnsiTheme="minorHAnsi" w:cstheme="minorHAnsi"/>
          <w:b/>
          <w:u w:val="single"/>
        </w:rPr>
        <w:t xml:space="preserve">Section </w:t>
      </w:r>
      <w:r w:rsidR="006B52D9">
        <w:rPr>
          <w:rFonts w:asciiTheme="minorHAnsi" w:hAnsiTheme="minorHAnsi" w:cstheme="minorHAnsi"/>
          <w:b/>
          <w:u w:val="single"/>
        </w:rPr>
        <w:t>58</w:t>
      </w:r>
      <w:r w:rsidRPr="00E9583C">
        <w:rPr>
          <w:rFonts w:asciiTheme="minorHAnsi" w:hAnsiTheme="minorHAnsi" w:cstheme="minorHAnsi"/>
          <w:b/>
          <w:u w:val="single"/>
        </w:rPr>
        <w:t xml:space="preserve">: </w:t>
      </w:r>
      <w:r w:rsidR="0055049A">
        <w:rPr>
          <w:rFonts w:asciiTheme="minorHAnsi" w:hAnsiTheme="minorHAnsi" w:cstheme="minorHAnsi"/>
          <w:b/>
          <w:u w:val="single"/>
        </w:rPr>
        <w:t>Conditions that apply to grants</w:t>
      </w:r>
    </w:p>
    <w:p w14:paraId="05C74D93" w14:textId="17500B08" w:rsidR="0085017E" w:rsidRDefault="00095DEC" w:rsidP="00FC253E">
      <w:pPr>
        <w:pStyle w:val="ListParagraph"/>
        <w:numPr>
          <w:ilvl w:val="0"/>
          <w:numId w:val="1"/>
        </w:numPr>
        <w:spacing w:before="120" w:after="120"/>
        <w:rPr>
          <w:rFonts w:asciiTheme="minorHAnsi" w:hAnsiTheme="minorHAnsi" w:cstheme="minorHAnsi"/>
          <w:iCs/>
          <w:szCs w:val="24"/>
        </w:rPr>
      </w:pPr>
      <w:r w:rsidRPr="00E9583C">
        <w:rPr>
          <w:rFonts w:asciiTheme="minorHAnsi" w:hAnsiTheme="minorHAnsi" w:cstheme="minorHAnsi"/>
          <w:iCs/>
          <w:szCs w:val="24"/>
        </w:rPr>
        <w:t xml:space="preserve">This section </w:t>
      </w:r>
      <w:r>
        <w:rPr>
          <w:rFonts w:asciiTheme="minorHAnsi" w:hAnsiTheme="minorHAnsi" w:cstheme="minorHAnsi"/>
          <w:iCs/>
          <w:szCs w:val="24"/>
        </w:rPr>
        <w:t xml:space="preserve">specifies </w:t>
      </w:r>
      <w:r w:rsidR="00033705">
        <w:rPr>
          <w:rFonts w:asciiTheme="minorHAnsi" w:hAnsiTheme="minorHAnsi" w:cstheme="minorHAnsi"/>
          <w:iCs/>
          <w:szCs w:val="24"/>
        </w:rPr>
        <w:t>the conditions that apply to grants under this program</w:t>
      </w:r>
      <w:r w:rsidR="00464E82">
        <w:rPr>
          <w:rFonts w:asciiTheme="minorHAnsi" w:hAnsiTheme="minorHAnsi" w:cstheme="minorHAnsi"/>
          <w:iCs/>
          <w:szCs w:val="24"/>
        </w:rPr>
        <w:t>. Grants may only be spent on paying out superannuation liabilities that arise under law</w:t>
      </w:r>
      <w:r w:rsidR="00986942">
        <w:rPr>
          <w:rFonts w:asciiTheme="minorHAnsi" w:hAnsiTheme="minorHAnsi" w:cstheme="minorHAnsi"/>
          <w:iCs/>
          <w:szCs w:val="24"/>
        </w:rPr>
        <w:t xml:space="preserve"> in respect of former employees</w:t>
      </w:r>
      <w:r w:rsidR="00464E82">
        <w:rPr>
          <w:rFonts w:asciiTheme="minorHAnsi" w:hAnsiTheme="minorHAnsi" w:cstheme="minorHAnsi"/>
          <w:iCs/>
          <w:szCs w:val="24"/>
        </w:rPr>
        <w:t xml:space="preserve"> and related</w:t>
      </w:r>
      <w:r w:rsidR="00986942">
        <w:rPr>
          <w:rFonts w:asciiTheme="minorHAnsi" w:hAnsiTheme="minorHAnsi" w:cstheme="minorHAnsi"/>
          <w:iCs/>
          <w:szCs w:val="24"/>
        </w:rPr>
        <w:t xml:space="preserve"> administrative costs.</w:t>
      </w:r>
      <w:r w:rsidR="00C800AA">
        <w:rPr>
          <w:rFonts w:asciiTheme="minorHAnsi" w:hAnsiTheme="minorHAnsi" w:cstheme="minorHAnsi"/>
          <w:iCs/>
          <w:szCs w:val="24"/>
        </w:rPr>
        <w:t xml:space="preserve"> </w:t>
      </w:r>
    </w:p>
    <w:p w14:paraId="56E3987D" w14:textId="40493E90" w:rsidR="00095DEC" w:rsidRDefault="00C800AA" w:rsidP="00FC253E">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lastRenderedPageBreak/>
        <w:t xml:space="preserve">Subsection </w:t>
      </w:r>
      <w:r w:rsidR="0085017E">
        <w:rPr>
          <w:rFonts w:asciiTheme="minorHAnsi" w:hAnsiTheme="minorHAnsi" w:cstheme="minorHAnsi"/>
          <w:iCs/>
          <w:szCs w:val="24"/>
        </w:rPr>
        <w:t>58</w:t>
      </w:r>
      <w:r>
        <w:rPr>
          <w:rFonts w:asciiTheme="minorHAnsi" w:hAnsiTheme="minorHAnsi" w:cstheme="minorHAnsi"/>
          <w:iCs/>
          <w:szCs w:val="24"/>
        </w:rPr>
        <w:t>(4) states that</w:t>
      </w:r>
      <w:r w:rsidR="001C1107">
        <w:rPr>
          <w:rFonts w:asciiTheme="minorHAnsi" w:hAnsiTheme="minorHAnsi" w:cstheme="minorHAnsi"/>
          <w:iCs/>
          <w:szCs w:val="24"/>
        </w:rPr>
        <w:t xml:space="preserve"> providers must provide (or provide authority for the Commonwealth to obtain) evidence that grants have been applied for </w:t>
      </w:r>
      <w:r w:rsidR="006B0454">
        <w:rPr>
          <w:rFonts w:asciiTheme="minorHAnsi" w:hAnsiTheme="minorHAnsi" w:cstheme="minorHAnsi"/>
          <w:iCs/>
          <w:szCs w:val="24"/>
        </w:rPr>
        <w:t>the purpose for which they were provided.</w:t>
      </w:r>
      <w:r>
        <w:rPr>
          <w:rFonts w:asciiTheme="minorHAnsi" w:hAnsiTheme="minorHAnsi" w:cstheme="minorHAnsi"/>
          <w:iCs/>
          <w:szCs w:val="24"/>
        </w:rPr>
        <w:t xml:space="preserve"> </w:t>
      </w:r>
    </w:p>
    <w:p w14:paraId="05D299F4" w14:textId="77777777" w:rsidR="006B0454" w:rsidRDefault="006B0454" w:rsidP="006B0454">
      <w:pPr>
        <w:pStyle w:val="ListParagraph"/>
        <w:spacing w:before="120" w:after="120"/>
        <w:rPr>
          <w:rFonts w:asciiTheme="minorHAnsi" w:hAnsiTheme="minorHAnsi" w:cstheme="minorHAnsi"/>
          <w:iCs/>
          <w:szCs w:val="24"/>
        </w:rPr>
      </w:pPr>
    </w:p>
    <w:p w14:paraId="2260D550" w14:textId="1C00C477" w:rsidR="006B0454" w:rsidRDefault="006B0454" w:rsidP="006B0454">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7</w:t>
      </w:r>
      <w:r w:rsidRPr="00240B63">
        <w:rPr>
          <w:rFonts w:asciiTheme="minorHAnsi" w:hAnsiTheme="minorHAnsi" w:cstheme="minorHAnsi"/>
          <w:b/>
          <w:u w:val="single"/>
        </w:rPr>
        <w:t>—</w:t>
      </w:r>
      <w:r w:rsidRPr="00293DC9">
        <w:t xml:space="preserve"> </w:t>
      </w:r>
      <w:r w:rsidR="000B68E3" w:rsidRPr="000B68E3">
        <w:rPr>
          <w:rFonts w:asciiTheme="minorHAnsi" w:hAnsiTheme="minorHAnsi" w:cstheme="minorHAnsi"/>
          <w:b/>
          <w:u w:val="single"/>
        </w:rPr>
        <w:t>Grants to foster collaboration and reform in higher education—University and Industry Collaboration Program</w:t>
      </w:r>
    </w:p>
    <w:p w14:paraId="77E41954" w14:textId="510D80F8" w:rsidR="006B0454" w:rsidRPr="00E631F9" w:rsidRDefault="006B0454" w:rsidP="006B0454">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Pr>
          <w:rFonts w:asciiTheme="minorHAnsi" w:hAnsiTheme="minorHAnsi" w:cstheme="minorHAnsi"/>
          <w:b/>
          <w:u w:val="single"/>
        </w:rPr>
        <w:t>5</w:t>
      </w:r>
      <w:r w:rsidR="003A0147">
        <w:rPr>
          <w:rFonts w:asciiTheme="minorHAnsi" w:hAnsiTheme="minorHAnsi" w:cstheme="minorHAnsi"/>
          <w:b/>
          <w:u w:val="single"/>
        </w:rPr>
        <w:t>9</w:t>
      </w:r>
      <w:r w:rsidRPr="00D52E9D">
        <w:rPr>
          <w:rFonts w:asciiTheme="minorHAnsi" w:hAnsiTheme="minorHAnsi" w:cstheme="minorHAnsi"/>
          <w:b/>
          <w:u w:val="single"/>
        </w:rPr>
        <w:t xml:space="preserve">: </w:t>
      </w:r>
      <w:r>
        <w:rPr>
          <w:rFonts w:asciiTheme="minorHAnsi" w:hAnsiTheme="minorHAnsi" w:cstheme="minorHAnsi"/>
          <w:b/>
          <w:u w:val="single"/>
        </w:rPr>
        <w:t>Program objectives</w:t>
      </w:r>
    </w:p>
    <w:p w14:paraId="3E300898" w14:textId="77777777" w:rsidR="009B0041" w:rsidRDefault="006B0454"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 specifies</w:t>
      </w:r>
      <w:r w:rsidR="00447ECC">
        <w:rPr>
          <w:rFonts w:asciiTheme="minorHAnsi" w:hAnsiTheme="minorHAnsi" w:cstheme="minorHAnsi"/>
          <w:iCs/>
          <w:szCs w:val="24"/>
        </w:rPr>
        <w:t xml:space="preserve"> the University and Industry Collaboration Program </w:t>
      </w:r>
      <w:r w:rsidR="000E5B88">
        <w:rPr>
          <w:rFonts w:asciiTheme="minorHAnsi" w:hAnsiTheme="minorHAnsi" w:cstheme="minorHAnsi"/>
          <w:iCs/>
          <w:szCs w:val="24"/>
        </w:rPr>
        <w:t xml:space="preserve">as a program for the purpose of fostering collaboration and reform in higher education </w:t>
      </w:r>
      <w:r w:rsidR="00FF2E33">
        <w:rPr>
          <w:rFonts w:asciiTheme="minorHAnsi" w:hAnsiTheme="minorHAnsi" w:cstheme="minorHAnsi"/>
          <w:iCs/>
          <w:szCs w:val="24"/>
        </w:rPr>
        <w:t>and outlines</w:t>
      </w:r>
      <w:r>
        <w:rPr>
          <w:rFonts w:asciiTheme="minorHAnsi" w:hAnsiTheme="minorHAnsi" w:cstheme="minorHAnsi"/>
          <w:iCs/>
          <w:szCs w:val="24"/>
        </w:rPr>
        <w:t xml:space="preserve"> the objectives </w:t>
      </w:r>
      <w:r w:rsidR="000B68E3">
        <w:rPr>
          <w:rFonts w:asciiTheme="minorHAnsi" w:hAnsiTheme="minorHAnsi" w:cstheme="minorHAnsi"/>
          <w:iCs/>
          <w:szCs w:val="24"/>
        </w:rPr>
        <w:t xml:space="preserve">for this program (being to </w:t>
      </w:r>
      <w:r w:rsidR="009E6537" w:rsidRPr="009E6537">
        <w:rPr>
          <w:rFonts w:asciiTheme="minorHAnsi" w:hAnsiTheme="minorHAnsi" w:cstheme="minorHAnsi"/>
          <w:iCs/>
          <w:szCs w:val="24"/>
        </w:rPr>
        <w:t>enhance collaboration between Australian universities and industry</w:t>
      </w:r>
      <w:r w:rsidR="009E6537">
        <w:rPr>
          <w:rFonts w:asciiTheme="minorHAnsi" w:hAnsiTheme="minorHAnsi" w:cstheme="minorHAnsi"/>
          <w:iCs/>
          <w:szCs w:val="24"/>
        </w:rPr>
        <w:t xml:space="preserve">). </w:t>
      </w:r>
    </w:p>
    <w:p w14:paraId="04AC9F5C" w14:textId="53B271F9" w:rsidR="006B0454" w:rsidRDefault="009E6537"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Notes </w:t>
      </w:r>
      <w:r w:rsidR="001E5553">
        <w:rPr>
          <w:rFonts w:asciiTheme="minorHAnsi" w:hAnsiTheme="minorHAnsi" w:cstheme="minorHAnsi"/>
          <w:iCs/>
          <w:szCs w:val="24"/>
        </w:rPr>
        <w:t>3 and 4</w:t>
      </w:r>
      <w:r w:rsidR="009B0041">
        <w:rPr>
          <w:rFonts w:asciiTheme="minorHAnsi" w:hAnsiTheme="minorHAnsi" w:cstheme="minorHAnsi"/>
          <w:iCs/>
          <w:szCs w:val="24"/>
        </w:rPr>
        <w:t xml:space="preserve"> </w:t>
      </w:r>
      <w:r>
        <w:rPr>
          <w:rFonts w:asciiTheme="minorHAnsi" w:hAnsiTheme="minorHAnsi" w:cstheme="minorHAnsi"/>
          <w:iCs/>
          <w:szCs w:val="24"/>
        </w:rPr>
        <w:t xml:space="preserve">at the end of the provision clarify that conditions and </w:t>
      </w:r>
      <w:r w:rsidR="000B3817">
        <w:rPr>
          <w:rFonts w:asciiTheme="minorHAnsi" w:hAnsiTheme="minorHAnsi" w:cstheme="minorHAnsi"/>
          <w:iCs/>
          <w:szCs w:val="24"/>
        </w:rPr>
        <w:t>grant amounts may be determined in respect of this program under relevant provisions in Part 2-3 of</w:t>
      </w:r>
      <w:r w:rsidR="009B0041">
        <w:rPr>
          <w:rFonts w:asciiTheme="minorHAnsi" w:hAnsiTheme="minorHAnsi" w:cstheme="minorHAnsi"/>
          <w:iCs/>
          <w:szCs w:val="24"/>
        </w:rPr>
        <w:t xml:space="preserve"> </w:t>
      </w:r>
      <w:r w:rsidR="000B3817">
        <w:rPr>
          <w:rFonts w:asciiTheme="minorHAnsi" w:hAnsiTheme="minorHAnsi" w:cstheme="minorHAnsi"/>
          <w:iCs/>
          <w:szCs w:val="24"/>
        </w:rPr>
        <w:t>HESA.</w:t>
      </w:r>
    </w:p>
    <w:p w14:paraId="5B025B67" w14:textId="77777777" w:rsidR="00801C60" w:rsidRDefault="00801C60" w:rsidP="00801C60">
      <w:pPr>
        <w:pStyle w:val="ListParagraph"/>
        <w:keepNext/>
        <w:spacing w:before="120" w:after="120"/>
        <w:rPr>
          <w:rFonts w:asciiTheme="minorHAnsi" w:hAnsiTheme="minorHAnsi" w:cstheme="minorHAnsi"/>
          <w:iCs/>
          <w:szCs w:val="24"/>
        </w:rPr>
      </w:pPr>
    </w:p>
    <w:p w14:paraId="61FEEF3B" w14:textId="42F3CE3D" w:rsidR="00801C60" w:rsidRDefault="00801C60" w:rsidP="00801C60">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8</w:t>
      </w:r>
      <w:r w:rsidRPr="00240B63">
        <w:rPr>
          <w:rFonts w:asciiTheme="minorHAnsi" w:hAnsiTheme="minorHAnsi" w:cstheme="minorHAnsi"/>
          <w:b/>
          <w:u w:val="single"/>
        </w:rPr>
        <w:t>—</w:t>
      </w:r>
      <w:r w:rsidRPr="00293DC9">
        <w:t xml:space="preserve"> </w:t>
      </w:r>
      <w:r w:rsidR="00D54971" w:rsidRPr="00D54971">
        <w:rPr>
          <w:rFonts w:asciiTheme="minorHAnsi" w:hAnsiTheme="minorHAnsi" w:cstheme="minorHAnsi"/>
          <w:b/>
          <w:u w:val="single"/>
        </w:rPr>
        <w:t>Grants to assure and enhance the quality of Australia’s higher education sector—Higher Education Continuity Guarantee</w:t>
      </w:r>
    </w:p>
    <w:p w14:paraId="0C2C931D" w14:textId="2C5326DA" w:rsidR="00801C60" w:rsidRPr="00E631F9" w:rsidRDefault="00801C60" w:rsidP="00801C60">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sidR="001E5553">
        <w:rPr>
          <w:rFonts w:asciiTheme="minorHAnsi" w:hAnsiTheme="minorHAnsi" w:cstheme="minorHAnsi"/>
          <w:b/>
          <w:u w:val="single"/>
        </w:rPr>
        <w:t>6</w:t>
      </w:r>
      <w:r w:rsidR="004C06D5">
        <w:rPr>
          <w:rFonts w:asciiTheme="minorHAnsi" w:hAnsiTheme="minorHAnsi" w:cstheme="minorHAnsi"/>
          <w:b/>
          <w:u w:val="single"/>
        </w:rPr>
        <w:t>0</w:t>
      </w:r>
      <w:r w:rsidRPr="00D52E9D">
        <w:rPr>
          <w:rFonts w:asciiTheme="minorHAnsi" w:hAnsiTheme="minorHAnsi" w:cstheme="minorHAnsi"/>
          <w:b/>
          <w:u w:val="single"/>
        </w:rPr>
        <w:t xml:space="preserve">: </w:t>
      </w:r>
      <w:r>
        <w:rPr>
          <w:rFonts w:asciiTheme="minorHAnsi" w:hAnsiTheme="minorHAnsi" w:cstheme="minorHAnsi"/>
          <w:b/>
          <w:u w:val="single"/>
        </w:rPr>
        <w:t>Program objectives</w:t>
      </w:r>
    </w:p>
    <w:p w14:paraId="2514697F" w14:textId="49203BCD" w:rsidR="00801C60" w:rsidRDefault="00801C60"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 specifies</w:t>
      </w:r>
      <w:r w:rsidR="00F71A50" w:rsidRPr="00F71A50">
        <w:rPr>
          <w:rFonts w:asciiTheme="minorHAnsi" w:hAnsiTheme="minorHAnsi" w:cstheme="minorHAnsi"/>
          <w:iCs/>
          <w:szCs w:val="24"/>
        </w:rPr>
        <w:t xml:space="preserve"> </w:t>
      </w:r>
      <w:r w:rsidR="00F71A50">
        <w:rPr>
          <w:rFonts w:asciiTheme="minorHAnsi" w:hAnsiTheme="minorHAnsi" w:cstheme="minorHAnsi"/>
          <w:iCs/>
          <w:szCs w:val="24"/>
        </w:rPr>
        <w:t xml:space="preserve">the Higher Education and Continuity Guarantee as a program for the purpose of </w:t>
      </w:r>
      <w:r w:rsidR="004E592D">
        <w:rPr>
          <w:rFonts w:asciiTheme="minorHAnsi" w:hAnsiTheme="minorHAnsi" w:cstheme="minorHAnsi"/>
          <w:iCs/>
          <w:szCs w:val="24"/>
        </w:rPr>
        <w:t>assuring and enhancing the quality of Australia’s higher education sector and outlines the</w:t>
      </w:r>
      <w:r>
        <w:rPr>
          <w:rFonts w:asciiTheme="minorHAnsi" w:hAnsiTheme="minorHAnsi" w:cstheme="minorHAnsi"/>
          <w:iCs/>
          <w:szCs w:val="24"/>
        </w:rPr>
        <w:t xml:space="preserve"> objectives for this program (being to </w:t>
      </w:r>
      <w:r w:rsidR="004524A5">
        <w:rPr>
          <w:rFonts w:asciiTheme="minorHAnsi" w:hAnsiTheme="minorHAnsi" w:cstheme="minorHAnsi"/>
          <w:iCs/>
          <w:szCs w:val="24"/>
        </w:rPr>
        <w:t xml:space="preserve">assist higher education providers </w:t>
      </w:r>
      <w:r w:rsidR="00650C53">
        <w:rPr>
          <w:rFonts w:asciiTheme="minorHAnsi" w:hAnsiTheme="minorHAnsi" w:cstheme="minorHAnsi"/>
          <w:iCs/>
          <w:szCs w:val="24"/>
        </w:rPr>
        <w:t>to operate during and recover from the COVID-19 pandemic).</w:t>
      </w:r>
    </w:p>
    <w:p w14:paraId="79303763" w14:textId="5B822271" w:rsidR="00154056" w:rsidRPr="00E631F9" w:rsidRDefault="00154056" w:rsidP="00154056">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Pr>
          <w:rFonts w:asciiTheme="minorHAnsi" w:hAnsiTheme="minorHAnsi" w:cstheme="minorHAnsi"/>
          <w:b/>
          <w:u w:val="single"/>
        </w:rPr>
        <w:t>6</w:t>
      </w:r>
      <w:r w:rsidR="004E592D">
        <w:rPr>
          <w:rFonts w:asciiTheme="minorHAnsi" w:hAnsiTheme="minorHAnsi" w:cstheme="minorHAnsi"/>
          <w:b/>
          <w:u w:val="single"/>
        </w:rPr>
        <w:t>1</w:t>
      </w:r>
      <w:r w:rsidRPr="00D52E9D">
        <w:rPr>
          <w:rFonts w:asciiTheme="minorHAnsi" w:hAnsiTheme="minorHAnsi" w:cstheme="minorHAnsi"/>
          <w:b/>
          <w:u w:val="single"/>
        </w:rPr>
        <w:t xml:space="preserve">: </w:t>
      </w:r>
      <w:r w:rsidR="005D2E0D">
        <w:rPr>
          <w:rFonts w:asciiTheme="minorHAnsi" w:hAnsiTheme="minorHAnsi" w:cstheme="minorHAnsi"/>
          <w:b/>
          <w:u w:val="single"/>
        </w:rPr>
        <w:t>Specified bodies corporate and e</w:t>
      </w:r>
      <w:r>
        <w:rPr>
          <w:rFonts w:asciiTheme="minorHAnsi" w:hAnsiTheme="minorHAnsi" w:cstheme="minorHAnsi"/>
          <w:b/>
          <w:u w:val="single"/>
        </w:rPr>
        <w:t>xtra conditions of eligibility</w:t>
      </w:r>
    </w:p>
    <w:p w14:paraId="49C9C45B" w14:textId="7BBEBAF5" w:rsidR="00154056" w:rsidRDefault="00154056"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This section </w:t>
      </w:r>
      <w:r w:rsidR="00F66854">
        <w:rPr>
          <w:rFonts w:asciiTheme="minorHAnsi" w:hAnsiTheme="minorHAnsi" w:cstheme="minorHAnsi"/>
          <w:iCs/>
          <w:szCs w:val="24"/>
        </w:rPr>
        <w:t>specifies that</w:t>
      </w:r>
      <w:r w:rsidR="00820750">
        <w:rPr>
          <w:rFonts w:asciiTheme="minorHAnsi" w:hAnsiTheme="minorHAnsi" w:cstheme="minorHAnsi"/>
          <w:iCs/>
          <w:szCs w:val="24"/>
        </w:rPr>
        <w:t xml:space="preserve"> a </w:t>
      </w:r>
      <w:r w:rsidR="000C6D5D">
        <w:rPr>
          <w:rFonts w:asciiTheme="minorHAnsi" w:hAnsiTheme="minorHAnsi" w:cstheme="minorHAnsi"/>
          <w:iCs/>
          <w:szCs w:val="24"/>
        </w:rPr>
        <w:t>body corporate</w:t>
      </w:r>
      <w:r w:rsidR="00F66854">
        <w:rPr>
          <w:rFonts w:asciiTheme="minorHAnsi" w:hAnsiTheme="minorHAnsi" w:cstheme="minorHAnsi"/>
          <w:iCs/>
          <w:szCs w:val="24"/>
        </w:rPr>
        <w:t xml:space="preserve"> with a funding agreement under the Commonwealth Grants Scheme in Part 2-2 of</w:t>
      </w:r>
      <w:r w:rsidR="005D2E0D">
        <w:rPr>
          <w:rFonts w:asciiTheme="minorHAnsi" w:hAnsiTheme="minorHAnsi" w:cstheme="minorHAnsi"/>
          <w:iCs/>
          <w:szCs w:val="24"/>
        </w:rPr>
        <w:t xml:space="preserve"> </w:t>
      </w:r>
      <w:r w:rsidR="00F66854">
        <w:rPr>
          <w:rFonts w:asciiTheme="minorHAnsi" w:hAnsiTheme="minorHAnsi" w:cstheme="minorHAnsi"/>
          <w:iCs/>
          <w:szCs w:val="24"/>
        </w:rPr>
        <w:t xml:space="preserve">HESA </w:t>
      </w:r>
      <w:r w:rsidR="00820750">
        <w:rPr>
          <w:rFonts w:asciiTheme="minorHAnsi" w:hAnsiTheme="minorHAnsi" w:cstheme="minorHAnsi"/>
          <w:iCs/>
          <w:szCs w:val="24"/>
        </w:rPr>
        <w:t>is</w:t>
      </w:r>
      <w:r w:rsidR="00F66854">
        <w:rPr>
          <w:rFonts w:asciiTheme="minorHAnsi" w:hAnsiTheme="minorHAnsi" w:cstheme="minorHAnsi"/>
          <w:iCs/>
          <w:szCs w:val="24"/>
        </w:rPr>
        <w:t xml:space="preserve"> eligible for grants under this program.</w:t>
      </w:r>
    </w:p>
    <w:p w14:paraId="4024CAB4" w14:textId="672A680F" w:rsidR="00820750" w:rsidRDefault="00820750"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Subsection 61(2) provides that, Table A providers must have funding agreement under the Commonwealth Grants Scheme in Part 2-2 of</w:t>
      </w:r>
      <w:r w:rsidR="00B03BB8">
        <w:rPr>
          <w:rFonts w:asciiTheme="minorHAnsi" w:hAnsiTheme="minorHAnsi" w:cstheme="minorHAnsi"/>
          <w:iCs/>
          <w:szCs w:val="24"/>
        </w:rPr>
        <w:t xml:space="preserve"> </w:t>
      </w:r>
      <w:r>
        <w:rPr>
          <w:rFonts w:asciiTheme="minorHAnsi" w:hAnsiTheme="minorHAnsi" w:cstheme="minorHAnsi"/>
          <w:iCs/>
          <w:szCs w:val="24"/>
        </w:rPr>
        <w:t>HESA to be eligible for grants under this program.</w:t>
      </w:r>
    </w:p>
    <w:p w14:paraId="1263C475" w14:textId="4B0D3C19" w:rsidR="005930D1" w:rsidRPr="00E631F9" w:rsidRDefault="005930D1" w:rsidP="005930D1">
      <w:pPr>
        <w:keepNext/>
        <w:spacing w:before="120" w:after="120"/>
        <w:rPr>
          <w:rFonts w:asciiTheme="minorHAnsi" w:hAnsiTheme="minorHAnsi" w:cstheme="minorHAnsi"/>
        </w:rPr>
      </w:pPr>
      <w:r w:rsidRPr="00D52E9D">
        <w:rPr>
          <w:rFonts w:asciiTheme="minorHAnsi" w:hAnsiTheme="minorHAnsi" w:cstheme="minorHAnsi"/>
          <w:b/>
          <w:u w:val="single"/>
        </w:rPr>
        <w:t>Section</w:t>
      </w:r>
      <w:r>
        <w:rPr>
          <w:rFonts w:asciiTheme="minorHAnsi" w:hAnsiTheme="minorHAnsi" w:cstheme="minorHAnsi"/>
          <w:b/>
          <w:u w:val="single"/>
        </w:rPr>
        <w:t>s</w:t>
      </w:r>
      <w:r w:rsidRPr="00D52E9D">
        <w:rPr>
          <w:rFonts w:asciiTheme="minorHAnsi" w:hAnsiTheme="minorHAnsi" w:cstheme="minorHAnsi"/>
          <w:b/>
          <w:u w:val="single"/>
        </w:rPr>
        <w:t xml:space="preserve"> </w:t>
      </w:r>
      <w:r>
        <w:rPr>
          <w:rFonts w:asciiTheme="minorHAnsi" w:hAnsiTheme="minorHAnsi" w:cstheme="minorHAnsi"/>
          <w:b/>
          <w:u w:val="single"/>
        </w:rPr>
        <w:t>6</w:t>
      </w:r>
      <w:r w:rsidR="00243B26">
        <w:rPr>
          <w:rFonts w:asciiTheme="minorHAnsi" w:hAnsiTheme="minorHAnsi" w:cstheme="minorHAnsi"/>
          <w:b/>
          <w:u w:val="single"/>
        </w:rPr>
        <w:t>2</w:t>
      </w:r>
      <w:r>
        <w:rPr>
          <w:rFonts w:asciiTheme="minorHAnsi" w:hAnsiTheme="minorHAnsi" w:cstheme="minorHAnsi"/>
          <w:b/>
          <w:u w:val="single"/>
        </w:rPr>
        <w:t xml:space="preserve"> and 6</w:t>
      </w:r>
      <w:r w:rsidR="00243B26">
        <w:rPr>
          <w:rFonts w:asciiTheme="minorHAnsi" w:hAnsiTheme="minorHAnsi" w:cstheme="minorHAnsi"/>
          <w:b/>
          <w:u w:val="single"/>
        </w:rPr>
        <w:t>3</w:t>
      </w:r>
      <w:r w:rsidR="005D2E0D">
        <w:rPr>
          <w:rFonts w:asciiTheme="minorHAnsi" w:hAnsiTheme="minorHAnsi" w:cstheme="minorHAnsi"/>
          <w:b/>
          <w:u w:val="single"/>
        </w:rPr>
        <w:t xml:space="preserve">: Grants to be made in respect of a year and </w:t>
      </w:r>
      <w:r w:rsidR="008F2155" w:rsidRPr="008F2155">
        <w:rPr>
          <w:rFonts w:asciiTheme="minorHAnsi" w:hAnsiTheme="minorHAnsi" w:cstheme="minorHAnsi"/>
          <w:b/>
          <w:u w:val="single"/>
        </w:rPr>
        <w:t>Method by which the amount of grants under the program are determined for a provider</w:t>
      </w:r>
    </w:p>
    <w:p w14:paraId="6BBF5198" w14:textId="77777777" w:rsidR="00B03BB8" w:rsidRDefault="00196991"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Section</w:t>
      </w:r>
      <w:r w:rsidR="000074A9">
        <w:rPr>
          <w:rFonts w:asciiTheme="minorHAnsi" w:hAnsiTheme="minorHAnsi" w:cstheme="minorHAnsi"/>
          <w:iCs/>
          <w:szCs w:val="24"/>
        </w:rPr>
        <w:t xml:space="preserve"> </w:t>
      </w:r>
      <w:r w:rsidR="00C21F6C">
        <w:rPr>
          <w:rFonts w:asciiTheme="minorHAnsi" w:hAnsiTheme="minorHAnsi" w:cstheme="minorHAnsi"/>
          <w:iCs/>
          <w:szCs w:val="24"/>
        </w:rPr>
        <w:t xml:space="preserve">62 </w:t>
      </w:r>
      <w:r w:rsidR="00E37152">
        <w:rPr>
          <w:rFonts w:asciiTheme="minorHAnsi" w:hAnsiTheme="minorHAnsi" w:cstheme="minorHAnsi"/>
          <w:iCs/>
          <w:szCs w:val="24"/>
        </w:rPr>
        <w:t xml:space="preserve">states that grants under the program are to be </w:t>
      </w:r>
      <w:r w:rsidR="00471BD9">
        <w:rPr>
          <w:rFonts w:asciiTheme="minorHAnsi" w:hAnsiTheme="minorHAnsi" w:cstheme="minorHAnsi"/>
          <w:iCs/>
          <w:szCs w:val="24"/>
        </w:rPr>
        <w:t>made in respect of a year</w:t>
      </w:r>
      <w:r w:rsidR="00B03BB8">
        <w:rPr>
          <w:rFonts w:asciiTheme="minorHAnsi" w:hAnsiTheme="minorHAnsi" w:cstheme="minorHAnsi"/>
          <w:iCs/>
          <w:szCs w:val="24"/>
        </w:rPr>
        <w:t>.</w:t>
      </w:r>
    </w:p>
    <w:p w14:paraId="187468A4" w14:textId="44F3E417" w:rsidR="005930D1" w:rsidRDefault="00B03BB8"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S</w:t>
      </w:r>
      <w:r w:rsidR="00B66D1B">
        <w:rPr>
          <w:rFonts w:asciiTheme="minorHAnsi" w:hAnsiTheme="minorHAnsi" w:cstheme="minorHAnsi"/>
          <w:iCs/>
          <w:szCs w:val="24"/>
        </w:rPr>
        <w:t>ection 63 sets out</w:t>
      </w:r>
      <w:r w:rsidR="00471BD9">
        <w:rPr>
          <w:rFonts w:asciiTheme="minorHAnsi" w:hAnsiTheme="minorHAnsi" w:cstheme="minorHAnsi"/>
          <w:iCs/>
          <w:szCs w:val="24"/>
        </w:rPr>
        <w:t xml:space="preserve"> the method for working our grants amounts for 2022 and 2023</w:t>
      </w:r>
      <w:r w:rsidR="0091364D">
        <w:rPr>
          <w:rFonts w:asciiTheme="minorHAnsi" w:hAnsiTheme="minorHAnsi" w:cstheme="minorHAnsi"/>
          <w:iCs/>
          <w:szCs w:val="24"/>
        </w:rPr>
        <w:t>.</w:t>
      </w:r>
    </w:p>
    <w:p w14:paraId="2184641A" w14:textId="68866ECC" w:rsidR="00B76494" w:rsidRDefault="00790CFE"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In summary, the grant amount</w:t>
      </w:r>
      <w:r w:rsidR="00367652">
        <w:rPr>
          <w:rFonts w:asciiTheme="minorHAnsi" w:hAnsiTheme="minorHAnsi" w:cstheme="minorHAnsi"/>
          <w:iCs/>
          <w:szCs w:val="24"/>
        </w:rPr>
        <w:t xml:space="preserve"> i</w:t>
      </w:r>
      <w:r w:rsidR="004E4787">
        <w:rPr>
          <w:rFonts w:asciiTheme="minorHAnsi" w:hAnsiTheme="minorHAnsi" w:cstheme="minorHAnsi"/>
          <w:iCs/>
          <w:szCs w:val="24"/>
        </w:rPr>
        <w:t>s</w:t>
      </w:r>
      <w:r w:rsidR="00367652">
        <w:rPr>
          <w:rFonts w:asciiTheme="minorHAnsi" w:hAnsiTheme="minorHAnsi" w:cstheme="minorHAnsi"/>
          <w:iCs/>
          <w:szCs w:val="24"/>
        </w:rPr>
        <w:t xml:space="preserve"> calculated by subtracting the CGS payment (defined for </w:t>
      </w:r>
      <w:r w:rsidR="004F7D8C">
        <w:rPr>
          <w:rFonts w:asciiTheme="minorHAnsi" w:hAnsiTheme="minorHAnsi" w:cstheme="minorHAnsi"/>
          <w:iCs/>
          <w:szCs w:val="24"/>
        </w:rPr>
        <w:t>Table A</w:t>
      </w:r>
      <w:r>
        <w:rPr>
          <w:rFonts w:asciiTheme="minorHAnsi" w:hAnsiTheme="minorHAnsi" w:cstheme="minorHAnsi"/>
          <w:iCs/>
          <w:szCs w:val="24"/>
        </w:rPr>
        <w:t xml:space="preserve"> </w:t>
      </w:r>
      <w:r w:rsidR="004F7D8C">
        <w:rPr>
          <w:rFonts w:asciiTheme="minorHAnsi" w:hAnsiTheme="minorHAnsi" w:cstheme="minorHAnsi"/>
          <w:iCs/>
          <w:szCs w:val="24"/>
        </w:rPr>
        <w:t>and non</w:t>
      </w:r>
      <w:r w:rsidR="004E4787">
        <w:rPr>
          <w:rFonts w:asciiTheme="minorHAnsi" w:hAnsiTheme="minorHAnsi" w:cstheme="minorHAnsi"/>
          <w:iCs/>
          <w:szCs w:val="24"/>
        </w:rPr>
        <w:t>-</w:t>
      </w:r>
      <w:r w:rsidR="004F7D8C">
        <w:rPr>
          <w:rFonts w:asciiTheme="minorHAnsi" w:hAnsiTheme="minorHAnsi" w:cstheme="minorHAnsi"/>
          <w:iCs/>
          <w:szCs w:val="24"/>
        </w:rPr>
        <w:t xml:space="preserve">Table A providers in subsections </w:t>
      </w:r>
      <w:r w:rsidR="001E5553">
        <w:rPr>
          <w:rFonts w:asciiTheme="minorHAnsi" w:hAnsiTheme="minorHAnsi" w:cstheme="minorHAnsi"/>
          <w:iCs/>
          <w:szCs w:val="24"/>
        </w:rPr>
        <w:t>63</w:t>
      </w:r>
      <w:r w:rsidR="00221390">
        <w:rPr>
          <w:rFonts w:asciiTheme="minorHAnsi" w:hAnsiTheme="minorHAnsi" w:cstheme="minorHAnsi"/>
          <w:iCs/>
          <w:szCs w:val="24"/>
        </w:rPr>
        <w:t>(1</w:t>
      </w:r>
      <w:r w:rsidR="004E4787">
        <w:rPr>
          <w:rFonts w:asciiTheme="minorHAnsi" w:hAnsiTheme="minorHAnsi" w:cstheme="minorHAnsi"/>
          <w:iCs/>
          <w:szCs w:val="24"/>
        </w:rPr>
        <w:t xml:space="preserve">) and (2) </w:t>
      </w:r>
      <w:r w:rsidR="004E4787">
        <w:rPr>
          <w:rFonts w:asciiTheme="minorHAnsi" w:hAnsiTheme="minorHAnsi" w:cstheme="minorHAnsi"/>
          <w:iCs/>
          <w:szCs w:val="24"/>
        </w:rPr>
        <w:lastRenderedPageBreak/>
        <w:t xml:space="preserve">respectively) from the </w:t>
      </w:r>
      <w:r w:rsidR="008E3592">
        <w:rPr>
          <w:rFonts w:asciiTheme="minorHAnsi" w:hAnsiTheme="minorHAnsi" w:cstheme="minorHAnsi"/>
          <w:iCs/>
          <w:szCs w:val="24"/>
        </w:rPr>
        <w:t>‘</w:t>
      </w:r>
      <w:r w:rsidR="004E4787">
        <w:rPr>
          <w:rFonts w:asciiTheme="minorHAnsi" w:hAnsiTheme="minorHAnsi" w:cstheme="minorHAnsi"/>
          <w:iCs/>
          <w:szCs w:val="24"/>
        </w:rPr>
        <w:t>Max</w:t>
      </w:r>
      <w:r w:rsidR="008E3592">
        <w:rPr>
          <w:rFonts w:asciiTheme="minorHAnsi" w:hAnsiTheme="minorHAnsi" w:cstheme="minorHAnsi"/>
          <w:iCs/>
          <w:szCs w:val="24"/>
        </w:rPr>
        <w:t>’</w:t>
      </w:r>
      <w:r w:rsidR="004E4787">
        <w:rPr>
          <w:rFonts w:asciiTheme="minorHAnsi" w:hAnsiTheme="minorHAnsi" w:cstheme="minorHAnsi"/>
          <w:iCs/>
          <w:szCs w:val="24"/>
        </w:rPr>
        <w:t xml:space="preserve"> </w:t>
      </w:r>
      <w:r w:rsidR="00F22F03">
        <w:rPr>
          <w:rFonts w:asciiTheme="minorHAnsi" w:hAnsiTheme="minorHAnsi" w:cstheme="minorHAnsi"/>
          <w:iCs/>
          <w:szCs w:val="24"/>
        </w:rPr>
        <w:t>amount (</w:t>
      </w:r>
      <w:r w:rsidR="00872D08">
        <w:rPr>
          <w:rFonts w:asciiTheme="minorHAnsi" w:hAnsiTheme="minorHAnsi" w:cstheme="minorHAnsi"/>
          <w:iCs/>
          <w:szCs w:val="24"/>
        </w:rPr>
        <w:t>also</w:t>
      </w:r>
      <w:r w:rsidR="00F22F03">
        <w:rPr>
          <w:rFonts w:asciiTheme="minorHAnsi" w:hAnsiTheme="minorHAnsi" w:cstheme="minorHAnsi"/>
          <w:iCs/>
          <w:szCs w:val="24"/>
        </w:rPr>
        <w:t xml:space="preserve"> </w:t>
      </w:r>
      <w:r w:rsidR="00872D08">
        <w:rPr>
          <w:rFonts w:asciiTheme="minorHAnsi" w:hAnsiTheme="minorHAnsi" w:cstheme="minorHAnsi"/>
          <w:iCs/>
          <w:szCs w:val="24"/>
        </w:rPr>
        <w:t xml:space="preserve">defined for Table A and non-Table A providers in subsections </w:t>
      </w:r>
      <w:r w:rsidR="001E5553">
        <w:rPr>
          <w:rFonts w:asciiTheme="minorHAnsi" w:hAnsiTheme="minorHAnsi" w:cstheme="minorHAnsi"/>
          <w:iCs/>
          <w:szCs w:val="24"/>
        </w:rPr>
        <w:t>63</w:t>
      </w:r>
      <w:r w:rsidR="00872D08">
        <w:rPr>
          <w:rFonts w:asciiTheme="minorHAnsi" w:hAnsiTheme="minorHAnsi" w:cstheme="minorHAnsi"/>
          <w:iCs/>
          <w:szCs w:val="24"/>
        </w:rPr>
        <w:t>(1) and (2) respectively).</w:t>
      </w:r>
    </w:p>
    <w:p w14:paraId="7ACE99D9" w14:textId="132528D5" w:rsidR="005930D1" w:rsidRDefault="005930D1" w:rsidP="005930D1">
      <w:pPr>
        <w:keepNext/>
        <w:spacing w:before="120" w:after="120"/>
        <w:rPr>
          <w:rFonts w:asciiTheme="minorHAnsi" w:hAnsiTheme="minorHAnsi" w:cstheme="minorHAnsi"/>
          <w:iCs/>
          <w:szCs w:val="24"/>
        </w:rPr>
      </w:pPr>
    </w:p>
    <w:p w14:paraId="6A2C3E7A" w14:textId="754F5196" w:rsidR="0091364D" w:rsidRDefault="0091364D" w:rsidP="0091364D">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9</w:t>
      </w:r>
      <w:r w:rsidRPr="00240B63">
        <w:rPr>
          <w:rFonts w:asciiTheme="minorHAnsi" w:hAnsiTheme="minorHAnsi" w:cstheme="minorHAnsi"/>
          <w:b/>
          <w:u w:val="single"/>
        </w:rPr>
        <w:t>—</w:t>
      </w:r>
      <w:r w:rsidRPr="00293DC9">
        <w:t xml:space="preserve"> </w:t>
      </w:r>
      <w:r w:rsidR="004F7896" w:rsidRPr="004F7896">
        <w:rPr>
          <w:rFonts w:asciiTheme="minorHAnsi" w:hAnsiTheme="minorHAnsi" w:cstheme="minorHAnsi"/>
          <w:b/>
          <w:u w:val="single"/>
        </w:rPr>
        <w:t>Grants to support open access to higher education across Australia—Regional University Centres Program</w:t>
      </w:r>
    </w:p>
    <w:p w14:paraId="3E65B7F8" w14:textId="0C0BD7F6" w:rsidR="0091364D" w:rsidRPr="00E631F9" w:rsidRDefault="0091364D" w:rsidP="0091364D">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sidR="004F7896">
        <w:rPr>
          <w:rFonts w:asciiTheme="minorHAnsi" w:hAnsiTheme="minorHAnsi" w:cstheme="minorHAnsi"/>
          <w:b/>
          <w:u w:val="single"/>
        </w:rPr>
        <w:t>6</w:t>
      </w:r>
      <w:r w:rsidR="00A35EBC">
        <w:rPr>
          <w:rFonts w:asciiTheme="minorHAnsi" w:hAnsiTheme="minorHAnsi" w:cstheme="minorHAnsi"/>
          <w:b/>
          <w:u w:val="single"/>
        </w:rPr>
        <w:t>4</w:t>
      </w:r>
      <w:r w:rsidRPr="00D52E9D">
        <w:rPr>
          <w:rFonts w:asciiTheme="minorHAnsi" w:hAnsiTheme="minorHAnsi" w:cstheme="minorHAnsi"/>
          <w:b/>
          <w:u w:val="single"/>
        </w:rPr>
        <w:t xml:space="preserve">: </w:t>
      </w:r>
      <w:r>
        <w:rPr>
          <w:rFonts w:asciiTheme="minorHAnsi" w:hAnsiTheme="minorHAnsi" w:cstheme="minorHAnsi"/>
          <w:b/>
          <w:u w:val="single"/>
        </w:rPr>
        <w:t>Program objectives</w:t>
      </w:r>
    </w:p>
    <w:p w14:paraId="5F4F8347" w14:textId="7EAF5207" w:rsidR="0091364D" w:rsidRDefault="0091364D"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 specifies</w:t>
      </w:r>
      <w:r w:rsidR="00742A05">
        <w:rPr>
          <w:rFonts w:asciiTheme="minorHAnsi" w:hAnsiTheme="minorHAnsi" w:cstheme="minorHAnsi"/>
          <w:iCs/>
          <w:szCs w:val="24"/>
        </w:rPr>
        <w:t xml:space="preserve"> the Regional University Centres Program as a</w:t>
      </w:r>
      <w:r>
        <w:rPr>
          <w:rFonts w:asciiTheme="minorHAnsi" w:hAnsiTheme="minorHAnsi" w:cstheme="minorHAnsi"/>
          <w:iCs/>
          <w:szCs w:val="24"/>
        </w:rPr>
        <w:t xml:space="preserve"> program</w:t>
      </w:r>
      <w:r w:rsidR="00742A05">
        <w:rPr>
          <w:rFonts w:asciiTheme="minorHAnsi" w:hAnsiTheme="minorHAnsi" w:cstheme="minorHAnsi"/>
          <w:iCs/>
          <w:szCs w:val="24"/>
        </w:rPr>
        <w:t xml:space="preserve"> for the purpose of supporting open access to higher education across Australia and outlines the</w:t>
      </w:r>
      <w:r>
        <w:rPr>
          <w:rFonts w:asciiTheme="minorHAnsi" w:hAnsiTheme="minorHAnsi" w:cstheme="minorHAnsi"/>
          <w:iCs/>
          <w:szCs w:val="24"/>
        </w:rPr>
        <w:t xml:space="preserve"> objectives for this program (being </w:t>
      </w:r>
      <w:r w:rsidR="00CE3F9E" w:rsidRPr="00CE3F9E">
        <w:rPr>
          <w:rFonts w:asciiTheme="minorHAnsi" w:hAnsiTheme="minorHAnsi" w:cstheme="minorHAnsi"/>
          <w:iCs/>
          <w:szCs w:val="24"/>
        </w:rPr>
        <w:t xml:space="preserve">to provide financial assistance to community-based bodies corporate in regional and remote areas of Australia, to enable them to establish and maintain </w:t>
      </w:r>
      <w:r w:rsidR="00593F77">
        <w:rPr>
          <w:rFonts w:asciiTheme="minorHAnsi" w:hAnsiTheme="minorHAnsi" w:cstheme="minorHAnsi"/>
          <w:iCs/>
          <w:szCs w:val="24"/>
        </w:rPr>
        <w:t>R</w:t>
      </w:r>
      <w:r w:rsidR="00CE3F9E" w:rsidRPr="00CE3F9E">
        <w:rPr>
          <w:rFonts w:asciiTheme="minorHAnsi" w:hAnsiTheme="minorHAnsi" w:cstheme="minorHAnsi"/>
          <w:iCs/>
          <w:szCs w:val="24"/>
        </w:rPr>
        <w:t xml:space="preserve">egional </w:t>
      </w:r>
      <w:r w:rsidR="00593F77">
        <w:rPr>
          <w:rFonts w:asciiTheme="minorHAnsi" w:hAnsiTheme="minorHAnsi" w:cstheme="minorHAnsi"/>
          <w:iCs/>
          <w:szCs w:val="24"/>
        </w:rPr>
        <w:t>U</w:t>
      </w:r>
      <w:r w:rsidR="00CE3F9E" w:rsidRPr="00CE3F9E">
        <w:rPr>
          <w:rFonts w:asciiTheme="minorHAnsi" w:hAnsiTheme="minorHAnsi" w:cstheme="minorHAnsi"/>
          <w:iCs/>
          <w:szCs w:val="24"/>
        </w:rPr>
        <w:t xml:space="preserve">niversity </w:t>
      </w:r>
      <w:r w:rsidR="00593F77">
        <w:rPr>
          <w:rFonts w:asciiTheme="minorHAnsi" w:hAnsiTheme="minorHAnsi" w:cstheme="minorHAnsi"/>
          <w:iCs/>
          <w:szCs w:val="24"/>
        </w:rPr>
        <w:t>C</w:t>
      </w:r>
      <w:r w:rsidR="00CE3F9E" w:rsidRPr="00CE3F9E">
        <w:rPr>
          <w:rFonts w:asciiTheme="minorHAnsi" w:hAnsiTheme="minorHAnsi" w:cstheme="minorHAnsi"/>
          <w:iCs/>
          <w:szCs w:val="24"/>
        </w:rPr>
        <w:t>entres in regional areas that support local students</w:t>
      </w:r>
      <w:r>
        <w:rPr>
          <w:rFonts w:asciiTheme="minorHAnsi" w:hAnsiTheme="minorHAnsi" w:cstheme="minorHAnsi"/>
          <w:iCs/>
          <w:szCs w:val="24"/>
        </w:rPr>
        <w:t>).</w:t>
      </w:r>
    </w:p>
    <w:p w14:paraId="62ED86A3" w14:textId="199F162D" w:rsidR="00C310FB" w:rsidRPr="00E631F9" w:rsidRDefault="00C310FB" w:rsidP="00C310FB">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Pr>
          <w:rFonts w:asciiTheme="minorHAnsi" w:hAnsiTheme="minorHAnsi" w:cstheme="minorHAnsi"/>
          <w:b/>
          <w:u w:val="single"/>
        </w:rPr>
        <w:t>6</w:t>
      </w:r>
      <w:r w:rsidR="00452ED9">
        <w:rPr>
          <w:rFonts w:asciiTheme="minorHAnsi" w:hAnsiTheme="minorHAnsi" w:cstheme="minorHAnsi"/>
          <w:b/>
          <w:u w:val="single"/>
        </w:rPr>
        <w:t>5</w:t>
      </w:r>
      <w:r w:rsidRPr="00D52E9D">
        <w:rPr>
          <w:rFonts w:asciiTheme="minorHAnsi" w:hAnsiTheme="minorHAnsi" w:cstheme="minorHAnsi"/>
          <w:b/>
          <w:u w:val="single"/>
        </w:rPr>
        <w:t xml:space="preserve">: </w:t>
      </w:r>
      <w:r w:rsidR="000E01BE">
        <w:rPr>
          <w:rFonts w:asciiTheme="minorHAnsi" w:hAnsiTheme="minorHAnsi" w:cstheme="minorHAnsi"/>
          <w:b/>
          <w:u w:val="single"/>
        </w:rPr>
        <w:t>Specified bodies corporate and e</w:t>
      </w:r>
      <w:r>
        <w:rPr>
          <w:rFonts w:asciiTheme="minorHAnsi" w:hAnsiTheme="minorHAnsi" w:cstheme="minorHAnsi"/>
          <w:b/>
          <w:u w:val="single"/>
        </w:rPr>
        <w:t xml:space="preserve">xtra conditions of eligibility </w:t>
      </w:r>
    </w:p>
    <w:p w14:paraId="4D52FF8B" w14:textId="4152A7FA" w:rsidR="00C310FB" w:rsidRDefault="00C310FB"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This section specifies </w:t>
      </w:r>
      <w:r w:rsidR="00E74461">
        <w:rPr>
          <w:rFonts w:asciiTheme="minorHAnsi" w:hAnsiTheme="minorHAnsi" w:cstheme="minorHAnsi"/>
          <w:iCs/>
          <w:szCs w:val="24"/>
        </w:rPr>
        <w:t>the following bodies</w:t>
      </w:r>
      <w:r w:rsidR="00D74462">
        <w:rPr>
          <w:rFonts w:asciiTheme="minorHAnsi" w:hAnsiTheme="minorHAnsi" w:cstheme="minorHAnsi"/>
          <w:iCs/>
          <w:szCs w:val="24"/>
        </w:rPr>
        <w:t xml:space="preserve"> corporate as</w:t>
      </w:r>
      <w:r w:rsidR="001A56D6">
        <w:rPr>
          <w:rFonts w:asciiTheme="minorHAnsi" w:hAnsiTheme="minorHAnsi" w:cstheme="minorHAnsi"/>
          <w:iCs/>
          <w:szCs w:val="24"/>
        </w:rPr>
        <w:t xml:space="preserve"> eligibility to receive a grant under this pr</w:t>
      </w:r>
      <w:r w:rsidR="008A1FEF">
        <w:rPr>
          <w:rFonts w:asciiTheme="minorHAnsi" w:hAnsiTheme="minorHAnsi" w:cstheme="minorHAnsi"/>
          <w:iCs/>
          <w:szCs w:val="24"/>
        </w:rPr>
        <w:t>ogram</w:t>
      </w:r>
      <w:r w:rsidR="00431CBD">
        <w:rPr>
          <w:rFonts w:asciiTheme="minorHAnsi" w:hAnsiTheme="minorHAnsi" w:cstheme="minorHAnsi"/>
          <w:iCs/>
          <w:szCs w:val="24"/>
        </w:rPr>
        <w:t>:</w:t>
      </w:r>
      <w:r w:rsidR="008A1FEF">
        <w:rPr>
          <w:rFonts w:asciiTheme="minorHAnsi" w:hAnsiTheme="minorHAnsi" w:cstheme="minorHAnsi"/>
          <w:iCs/>
          <w:szCs w:val="24"/>
        </w:rPr>
        <w:t xml:space="preserve">  </w:t>
      </w:r>
    </w:p>
    <w:p w14:paraId="2C0251E4" w14:textId="1B02E868" w:rsidR="008A1FEF" w:rsidRPr="008A1FEF" w:rsidRDefault="00261C83" w:rsidP="00A35EBC">
      <w:pPr>
        <w:pStyle w:val="ListParagraph"/>
        <w:numPr>
          <w:ilvl w:val="1"/>
          <w:numId w:val="36"/>
        </w:numPr>
        <w:spacing w:before="120" w:after="120"/>
        <w:rPr>
          <w:rFonts w:asciiTheme="minorHAnsi" w:hAnsiTheme="minorHAnsi" w:cstheme="minorHAnsi"/>
          <w:iCs/>
          <w:szCs w:val="24"/>
        </w:rPr>
      </w:pPr>
      <w:r>
        <w:rPr>
          <w:rFonts w:asciiTheme="minorHAnsi" w:hAnsiTheme="minorHAnsi" w:cstheme="minorHAnsi"/>
          <w:iCs/>
          <w:szCs w:val="24"/>
        </w:rPr>
        <w:t>a</w:t>
      </w:r>
      <w:r w:rsidR="00431CBD">
        <w:rPr>
          <w:rFonts w:asciiTheme="minorHAnsi" w:hAnsiTheme="minorHAnsi" w:cstheme="minorHAnsi"/>
          <w:iCs/>
          <w:szCs w:val="24"/>
        </w:rPr>
        <w:t xml:space="preserve"> body corporate that the Minister </w:t>
      </w:r>
      <w:r>
        <w:rPr>
          <w:rFonts w:asciiTheme="minorHAnsi" w:hAnsiTheme="minorHAnsi" w:cstheme="minorHAnsi"/>
          <w:iCs/>
          <w:szCs w:val="24"/>
        </w:rPr>
        <w:t xml:space="preserve">is satisfied has </w:t>
      </w:r>
      <w:r w:rsidR="008A1FEF">
        <w:rPr>
          <w:rFonts w:asciiTheme="minorHAnsi" w:hAnsiTheme="minorHAnsi" w:cstheme="minorHAnsi"/>
          <w:iCs/>
          <w:szCs w:val="24"/>
        </w:rPr>
        <w:t>(or will have)</w:t>
      </w:r>
      <w:r w:rsidR="008A1FEF" w:rsidRPr="008A1FEF">
        <w:rPr>
          <w:rFonts w:asciiTheme="minorHAnsi" w:hAnsiTheme="minorHAnsi" w:cstheme="minorHAnsi"/>
          <w:iCs/>
          <w:szCs w:val="24"/>
        </w:rPr>
        <w:t xml:space="preserve">, a physical operational presence in a Remoteness Area categorised under the ABS Remoteness Structure as Inner Regional Australia, Outer Regional Australia, Remote Australia or Very Remote Australia; </w:t>
      </w:r>
    </w:p>
    <w:p w14:paraId="700C6E84" w14:textId="6D963ADB" w:rsidR="008A1FEF" w:rsidRPr="008A1FEF" w:rsidRDefault="008A1FEF" w:rsidP="00A35EBC">
      <w:pPr>
        <w:pStyle w:val="ListParagraph"/>
        <w:numPr>
          <w:ilvl w:val="1"/>
          <w:numId w:val="36"/>
        </w:numPr>
        <w:spacing w:before="120" w:after="120"/>
        <w:rPr>
          <w:rFonts w:asciiTheme="minorHAnsi" w:hAnsiTheme="minorHAnsi" w:cstheme="minorHAnsi"/>
          <w:iCs/>
          <w:szCs w:val="24"/>
        </w:rPr>
      </w:pPr>
      <w:r w:rsidRPr="008A1FEF">
        <w:rPr>
          <w:rFonts w:asciiTheme="minorHAnsi" w:hAnsiTheme="minorHAnsi" w:cstheme="minorHAnsi"/>
          <w:iCs/>
          <w:szCs w:val="24"/>
        </w:rPr>
        <w:t>a</w:t>
      </w:r>
      <w:r w:rsidR="00261C83">
        <w:rPr>
          <w:rFonts w:asciiTheme="minorHAnsi" w:hAnsiTheme="minorHAnsi" w:cstheme="minorHAnsi"/>
          <w:iCs/>
          <w:szCs w:val="24"/>
        </w:rPr>
        <w:t xml:space="preserve"> body corporate </w:t>
      </w:r>
      <w:r w:rsidR="0066736B">
        <w:rPr>
          <w:rFonts w:asciiTheme="minorHAnsi" w:hAnsiTheme="minorHAnsi" w:cstheme="minorHAnsi"/>
          <w:iCs/>
          <w:szCs w:val="24"/>
        </w:rPr>
        <w:t>that is</w:t>
      </w:r>
      <w:r w:rsidRPr="008A1FEF">
        <w:rPr>
          <w:rFonts w:asciiTheme="minorHAnsi" w:hAnsiTheme="minorHAnsi" w:cstheme="minorHAnsi"/>
          <w:iCs/>
          <w:szCs w:val="24"/>
        </w:rPr>
        <w:t xml:space="preserve"> registered entity (within the meaning of the </w:t>
      </w:r>
      <w:r w:rsidRPr="0066736B">
        <w:rPr>
          <w:rFonts w:asciiTheme="minorHAnsi" w:hAnsiTheme="minorHAnsi" w:cstheme="minorHAnsi"/>
          <w:i/>
          <w:szCs w:val="24"/>
        </w:rPr>
        <w:t>Australian Charities and Not for profits Commission Act 2012</w:t>
      </w:r>
      <w:r w:rsidRPr="008A1FEF">
        <w:rPr>
          <w:rFonts w:asciiTheme="minorHAnsi" w:hAnsiTheme="minorHAnsi" w:cstheme="minorHAnsi"/>
          <w:iCs/>
          <w:szCs w:val="24"/>
        </w:rPr>
        <w:t>);</w:t>
      </w:r>
    </w:p>
    <w:p w14:paraId="27F8C43A" w14:textId="1A5E9BAB" w:rsidR="008A1FEF" w:rsidRPr="008A1FEF" w:rsidRDefault="008A1FEF" w:rsidP="00A35EBC">
      <w:pPr>
        <w:pStyle w:val="ListParagraph"/>
        <w:numPr>
          <w:ilvl w:val="1"/>
          <w:numId w:val="36"/>
        </w:numPr>
        <w:spacing w:before="120" w:after="120"/>
        <w:rPr>
          <w:rFonts w:asciiTheme="minorHAnsi" w:hAnsiTheme="minorHAnsi" w:cstheme="minorHAnsi"/>
          <w:iCs/>
          <w:szCs w:val="24"/>
        </w:rPr>
      </w:pPr>
      <w:r w:rsidRPr="008A1FEF">
        <w:rPr>
          <w:rFonts w:asciiTheme="minorHAnsi" w:hAnsiTheme="minorHAnsi" w:cstheme="minorHAnsi"/>
          <w:iCs/>
          <w:szCs w:val="24"/>
        </w:rPr>
        <w:t>a Table B provider;</w:t>
      </w:r>
    </w:p>
    <w:p w14:paraId="7809ADD6" w14:textId="4670C17E" w:rsidR="008A1FEF" w:rsidRDefault="008A1FEF" w:rsidP="00A35EBC">
      <w:pPr>
        <w:pStyle w:val="ListParagraph"/>
        <w:numPr>
          <w:ilvl w:val="1"/>
          <w:numId w:val="36"/>
        </w:numPr>
        <w:spacing w:before="120" w:after="120"/>
        <w:rPr>
          <w:rFonts w:asciiTheme="minorHAnsi" w:hAnsiTheme="minorHAnsi" w:cstheme="minorHAnsi"/>
          <w:iCs/>
          <w:szCs w:val="24"/>
        </w:rPr>
      </w:pPr>
      <w:r w:rsidRPr="008A1FEF">
        <w:rPr>
          <w:rFonts w:asciiTheme="minorHAnsi" w:hAnsiTheme="minorHAnsi" w:cstheme="minorHAnsi"/>
          <w:iCs/>
          <w:szCs w:val="24"/>
        </w:rPr>
        <w:t>a higher education provider to which the Minister has allocated Commonwealth supported places under section 30</w:t>
      </w:r>
      <w:r w:rsidR="0066736B">
        <w:rPr>
          <w:rFonts w:asciiTheme="minorHAnsi" w:hAnsiTheme="minorHAnsi" w:cstheme="minorHAnsi"/>
          <w:iCs/>
          <w:szCs w:val="24"/>
        </w:rPr>
        <w:t>-</w:t>
      </w:r>
      <w:r w:rsidRPr="008A1FEF">
        <w:rPr>
          <w:rFonts w:asciiTheme="minorHAnsi" w:hAnsiTheme="minorHAnsi" w:cstheme="minorHAnsi"/>
          <w:iCs/>
          <w:szCs w:val="24"/>
        </w:rPr>
        <w:t xml:space="preserve">10 of </w:t>
      </w:r>
      <w:r w:rsidR="00207BCF">
        <w:rPr>
          <w:rFonts w:asciiTheme="minorHAnsi" w:hAnsiTheme="minorHAnsi" w:cstheme="minorHAnsi"/>
          <w:iCs/>
          <w:szCs w:val="24"/>
        </w:rPr>
        <w:t>HESA</w:t>
      </w:r>
      <w:r w:rsidRPr="008A1FEF">
        <w:rPr>
          <w:rFonts w:asciiTheme="minorHAnsi" w:hAnsiTheme="minorHAnsi" w:cstheme="minorHAnsi"/>
          <w:iCs/>
          <w:szCs w:val="24"/>
        </w:rPr>
        <w:t>.</w:t>
      </w:r>
    </w:p>
    <w:p w14:paraId="0DBBC36A" w14:textId="3CC76DCC" w:rsidR="00C2203A" w:rsidRPr="008A1FEF" w:rsidRDefault="00822A06" w:rsidP="00836969">
      <w:pPr>
        <w:pStyle w:val="ListParagraph"/>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Subsection </w:t>
      </w:r>
      <w:r w:rsidR="00350656">
        <w:rPr>
          <w:rFonts w:asciiTheme="minorHAnsi" w:hAnsiTheme="minorHAnsi" w:cstheme="minorHAnsi"/>
          <w:iCs/>
          <w:szCs w:val="24"/>
        </w:rPr>
        <w:t>65</w:t>
      </w:r>
      <w:r>
        <w:rPr>
          <w:rFonts w:asciiTheme="minorHAnsi" w:hAnsiTheme="minorHAnsi" w:cstheme="minorHAnsi"/>
          <w:iCs/>
          <w:szCs w:val="24"/>
        </w:rPr>
        <w:t xml:space="preserve">(2) </w:t>
      </w:r>
      <w:r w:rsidR="00C375FD">
        <w:rPr>
          <w:rFonts w:asciiTheme="minorHAnsi" w:hAnsiTheme="minorHAnsi" w:cstheme="minorHAnsi"/>
          <w:iCs/>
          <w:szCs w:val="24"/>
        </w:rPr>
        <w:t xml:space="preserve">specifies additional eligibility criteria in relation to </w:t>
      </w:r>
      <w:r w:rsidR="009E435B">
        <w:rPr>
          <w:rFonts w:asciiTheme="minorHAnsi" w:hAnsiTheme="minorHAnsi" w:cstheme="minorHAnsi"/>
          <w:iCs/>
          <w:szCs w:val="24"/>
        </w:rPr>
        <w:t xml:space="preserve">the first two categories of body corporates listed above. </w:t>
      </w:r>
    </w:p>
    <w:p w14:paraId="51A86CB3" w14:textId="5723E181" w:rsidR="00A95AA6" w:rsidRPr="00E631F9" w:rsidRDefault="00A95AA6" w:rsidP="00A95AA6">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Pr>
          <w:rFonts w:asciiTheme="minorHAnsi" w:hAnsiTheme="minorHAnsi" w:cstheme="minorHAnsi"/>
          <w:b/>
          <w:u w:val="single"/>
        </w:rPr>
        <w:t>6</w:t>
      </w:r>
      <w:r w:rsidR="00C2203A">
        <w:rPr>
          <w:rFonts w:asciiTheme="minorHAnsi" w:hAnsiTheme="minorHAnsi" w:cstheme="minorHAnsi"/>
          <w:b/>
          <w:u w:val="single"/>
        </w:rPr>
        <w:t>6</w:t>
      </w:r>
      <w:r w:rsidRPr="00D52E9D">
        <w:rPr>
          <w:rFonts w:asciiTheme="minorHAnsi" w:hAnsiTheme="minorHAnsi" w:cstheme="minorHAnsi"/>
          <w:b/>
          <w:u w:val="single"/>
        </w:rPr>
        <w:t xml:space="preserve">: </w:t>
      </w:r>
      <w:r>
        <w:rPr>
          <w:rFonts w:asciiTheme="minorHAnsi" w:hAnsiTheme="minorHAnsi" w:cstheme="minorHAnsi"/>
          <w:b/>
          <w:u w:val="single"/>
        </w:rPr>
        <w:t xml:space="preserve">Conditions that apply to grants </w:t>
      </w:r>
    </w:p>
    <w:p w14:paraId="455EF036" w14:textId="7266D214" w:rsidR="00A95AA6" w:rsidRDefault="00A95AA6"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This section sets out </w:t>
      </w:r>
      <w:r w:rsidR="007D4D24">
        <w:rPr>
          <w:rFonts w:asciiTheme="minorHAnsi" w:hAnsiTheme="minorHAnsi" w:cstheme="minorHAnsi"/>
          <w:iCs/>
          <w:szCs w:val="24"/>
        </w:rPr>
        <w:t xml:space="preserve">that it is a condition of grant that recipients </w:t>
      </w:r>
      <w:r w:rsidR="00F70CC4">
        <w:rPr>
          <w:rFonts w:asciiTheme="minorHAnsi" w:hAnsiTheme="minorHAnsi" w:cstheme="minorHAnsi"/>
          <w:iCs/>
          <w:szCs w:val="24"/>
        </w:rPr>
        <w:t xml:space="preserve">establish a </w:t>
      </w:r>
      <w:r w:rsidR="00593F77">
        <w:rPr>
          <w:rFonts w:asciiTheme="minorHAnsi" w:hAnsiTheme="minorHAnsi" w:cstheme="minorHAnsi"/>
          <w:iCs/>
          <w:szCs w:val="24"/>
        </w:rPr>
        <w:t>R</w:t>
      </w:r>
      <w:r w:rsidR="00F70CC4">
        <w:rPr>
          <w:rFonts w:asciiTheme="minorHAnsi" w:hAnsiTheme="minorHAnsi" w:cstheme="minorHAnsi"/>
          <w:iCs/>
          <w:szCs w:val="24"/>
        </w:rPr>
        <w:t xml:space="preserve">egional </w:t>
      </w:r>
      <w:r w:rsidR="00593F77">
        <w:rPr>
          <w:rFonts w:asciiTheme="minorHAnsi" w:hAnsiTheme="minorHAnsi" w:cstheme="minorHAnsi"/>
          <w:iCs/>
          <w:szCs w:val="24"/>
        </w:rPr>
        <w:t>University C</w:t>
      </w:r>
      <w:r w:rsidR="00F70CC4">
        <w:rPr>
          <w:rFonts w:asciiTheme="minorHAnsi" w:hAnsiTheme="minorHAnsi" w:cstheme="minorHAnsi"/>
          <w:iCs/>
          <w:szCs w:val="24"/>
        </w:rPr>
        <w:t>entre in a regional or remote area</w:t>
      </w:r>
      <w:r w:rsidR="00593F77">
        <w:rPr>
          <w:rFonts w:asciiTheme="minorHAnsi" w:hAnsiTheme="minorHAnsi" w:cstheme="minorHAnsi"/>
          <w:iCs/>
          <w:szCs w:val="24"/>
        </w:rPr>
        <w:t>. It</w:t>
      </w:r>
      <w:r w:rsidR="00F70CC4">
        <w:rPr>
          <w:rFonts w:asciiTheme="minorHAnsi" w:hAnsiTheme="minorHAnsi" w:cstheme="minorHAnsi"/>
          <w:iCs/>
          <w:szCs w:val="24"/>
        </w:rPr>
        <w:t xml:space="preserve"> sets out requirements in respect of the in</w:t>
      </w:r>
      <w:r w:rsidR="00682372">
        <w:rPr>
          <w:rFonts w:asciiTheme="minorHAnsi" w:hAnsiTheme="minorHAnsi" w:cstheme="minorHAnsi"/>
          <w:iCs/>
          <w:szCs w:val="24"/>
        </w:rPr>
        <w:t xml:space="preserve">frastructure and facilities as well as in respect of required </w:t>
      </w:r>
      <w:r w:rsidR="00593F77">
        <w:rPr>
          <w:rFonts w:asciiTheme="minorHAnsi" w:hAnsiTheme="minorHAnsi" w:cstheme="minorHAnsi"/>
          <w:iCs/>
          <w:szCs w:val="24"/>
        </w:rPr>
        <w:t xml:space="preserve">academic and </w:t>
      </w:r>
      <w:r w:rsidR="00682372">
        <w:rPr>
          <w:rFonts w:asciiTheme="minorHAnsi" w:hAnsiTheme="minorHAnsi" w:cstheme="minorHAnsi"/>
          <w:iCs/>
          <w:szCs w:val="24"/>
        </w:rPr>
        <w:lastRenderedPageBreak/>
        <w:t>student</w:t>
      </w:r>
      <w:r w:rsidR="00593F77">
        <w:rPr>
          <w:rFonts w:asciiTheme="minorHAnsi" w:hAnsiTheme="minorHAnsi" w:cstheme="minorHAnsi"/>
          <w:iCs/>
          <w:szCs w:val="24"/>
        </w:rPr>
        <w:t xml:space="preserve"> support</w:t>
      </w:r>
      <w:r w:rsidR="00682372">
        <w:rPr>
          <w:rFonts w:asciiTheme="minorHAnsi" w:hAnsiTheme="minorHAnsi" w:cstheme="minorHAnsi"/>
          <w:iCs/>
          <w:szCs w:val="24"/>
        </w:rPr>
        <w:t xml:space="preserve"> services.</w:t>
      </w:r>
      <w:r w:rsidR="00593F77">
        <w:rPr>
          <w:rFonts w:asciiTheme="minorHAnsi" w:hAnsiTheme="minorHAnsi" w:cstheme="minorHAnsi"/>
          <w:iCs/>
          <w:szCs w:val="24"/>
        </w:rPr>
        <w:t xml:space="preserve"> </w:t>
      </w:r>
      <w:r w:rsidR="004E6767">
        <w:rPr>
          <w:rFonts w:asciiTheme="minorHAnsi" w:hAnsiTheme="minorHAnsi" w:cstheme="minorHAnsi"/>
          <w:iCs/>
          <w:szCs w:val="24"/>
        </w:rPr>
        <w:t>The section</w:t>
      </w:r>
      <w:r w:rsidR="00593F77">
        <w:rPr>
          <w:rFonts w:asciiTheme="minorHAnsi" w:hAnsiTheme="minorHAnsi" w:cstheme="minorHAnsi"/>
          <w:iCs/>
          <w:szCs w:val="24"/>
        </w:rPr>
        <w:t xml:space="preserve"> also outlines that grants may be used </w:t>
      </w:r>
      <w:r w:rsidR="00984E37">
        <w:rPr>
          <w:rFonts w:asciiTheme="minorHAnsi" w:hAnsiTheme="minorHAnsi" w:cstheme="minorHAnsi"/>
          <w:iCs/>
          <w:szCs w:val="24"/>
        </w:rPr>
        <w:t xml:space="preserve">to support </w:t>
      </w:r>
      <w:r w:rsidR="00E05A10">
        <w:rPr>
          <w:rFonts w:asciiTheme="minorHAnsi" w:hAnsiTheme="minorHAnsi" w:cstheme="minorHAnsi"/>
          <w:iCs/>
          <w:szCs w:val="24"/>
        </w:rPr>
        <w:t xml:space="preserve">forming </w:t>
      </w:r>
      <w:r w:rsidR="00593F77">
        <w:rPr>
          <w:rFonts w:asciiTheme="minorHAnsi" w:hAnsiTheme="minorHAnsi" w:cstheme="minorHAnsi"/>
          <w:iCs/>
          <w:szCs w:val="24"/>
        </w:rPr>
        <w:t>partnerships to further support student learning and outcomes.</w:t>
      </w:r>
    </w:p>
    <w:p w14:paraId="67665F6F" w14:textId="77777777" w:rsidR="00682372" w:rsidRDefault="00682372" w:rsidP="00682372">
      <w:pPr>
        <w:pStyle w:val="ListParagraph"/>
        <w:keepNext/>
        <w:spacing w:before="120" w:after="120"/>
        <w:rPr>
          <w:rFonts w:asciiTheme="minorHAnsi" w:hAnsiTheme="minorHAnsi" w:cstheme="minorHAnsi"/>
          <w:iCs/>
          <w:szCs w:val="24"/>
        </w:rPr>
      </w:pPr>
    </w:p>
    <w:p w14:paraId="5AF78A4C" w14:textId="2552FA4C" w:rsidR="00F944A5" w:rsidRDefault="00F944A5" w:rsidP="00682372">
      <w:pPr>
        <w:keepNext/>
        <w:spacing w:before="120" w:after="120"/>
        <w:rPr>
          <w:rFonts w:asciiTheme="minorHAnsi" w:hAnsiTheme="minorHAnsi" w:cstheme="minorHAnsi"/>
          <w:b/>
          <w:u w:val="single"/>
        </w:rPr>
      </w:pPr>
      <w:r>
        <w:rPr>
          <w:rFonts w:asciiTheme="minorHAnsi" w:hAnsiTheme="minorHAnsi" w:cstheme="minorHAnsi"/>
          <w:b/>
          <w:u w:val="single"/>
        </w:rPr>
        <w:t xml:space="preserve">Part 10 – Other specified </w:t>
      </w:r>
      <w:r w:rsidR="00545B15">
        <w:rPr>
          <w:rFonts w:asciiTheme="minorHAnsi" w:hAnsiTheme="minorHAnsi" w:cstheme="minorHAnsi"/>
          <w:b/>
          <w:u w:val="single"/>
        </w:rPr>
        <w:t>bodies corporate</w:t>
      </w:r>
    </w:p>
    <w:p w14:paraId="7B58FC0A" w14:textId="0C30432E" w:rsidR="00545B15" w:rsidRDefault="00545B15" w:rsidP="00682372">
      <w:pPr>
        <w:keepNext/>
        <w:spacing w:before="120" w:after="120"/>
        <w:rPr>
          <w:rFonts w:asciiTheme="minorHAnsi" w:hAnsiTheme="minorHAnsi" w:cstheme="minorHAnsi"/>
          <w:b/>
        </w:rPr>
      </w:pPr>
      <w:r w:rsidRPr="00545B15">
        <w:rPr>
          <w:rFonts w:asciiTheme="minorHAnsi" w:hAnsiTheme="minorHAnsi" w:cstheme="minorHAnsi"/>
          <w:b/>
        </w:rPr>
        <w:t>Section 67</w:t>
      </w:r>
      <w:r w:rsidR="009C4829">
        <w:rPr>
          <w:rFonts w:asciiTheme="minorHAnsi" w:hAnsiTheme="minorHAnsi" w:cstheme="minorHAnsi"/>
          <w:b/>
        </w:rPr>
        <w:t>: Bodies corporate specified for the purposes of eligibility to receive grants</w:t>
      </w:r>
    </w:p>
    <w:p w14:paraId="328DF2DD" w14:textId="70A76652" w:rsidR="009C4829" w:rsidRPr="00207BCF" w:rsidRDefault="00F055A1" w:rsidP="00207BCF">
      <w:pPr>
        <w:pStyle w:val="ListParagraph"/>
        <w:keepNext/>
        <w:numPr>
          <w:ilvl w:val="0"/>
          <w:numId w:val="1"/>
        </w:numPr>
        <w:spacing w:before="120" w:after="120"/>
        <w:rPr>
          <w:rFonts w:asciiTheme="minorHAnsi" w:hAnsiTheme="minorHAnsi" w:cstheme="minorHAnsi"/>
          <w:bCs/>
        </w:rPr>
      </w:pPr>
      <w:r w:rsidRPr="00315DE7">
        <w:rPr>
          <w:rFonts w:asciiTheme="minorHAnsi" w:hAnsiTheme="minorHAnsi" w:cstheme="minorHAnsi"/>
          <w:bCs/>
        </w:rPr>
        <w:t>This item specifies certain bod</w:t>
      </w:r>
      <w:r w:rsidR="00E159BD" w:rsidRPr="00315DE7">
        <w:rPr>
          <w:rFonts w:asciiTheme="minorHAnsi" w:hAnsiTheme="minorHAnsi" w:cstheme="minorHAnsi"/>
          <w:bCs/>
        </w:rPr>
        <w:t>ies corporate who are</w:t>
      </w:r>
      <w:r w:rsidR="00315DE7">
        <w:rPr>
          <w:rFonts w:asciiTheme="minorHAnsi" w:hAnsiTheme="minorHAnsi" w:cstheme="minorHAnsi"/>
          <w:bCs/>
        </w:rPr>
        <w:t xml:space="preserve"> generally</w:t>
      </w:r>
      <w:r w:rsidR="00E159BD" w:rsidRPr="00315DE7">
        <w:rPr>
          <w:rFonts w:asciiTheme="minorHAnsi" w:hAnsiTheme="minorHAnsi" w:cstheme="minorHAnsi"/>
          <w:bCs/>
        </w:rPr>
        <w:t xml:space="preserve"> eligible to receive grants for the purpose set out in item 11 of the table in section </w:t>
      </w:r>
      <w:r w:rsidR="00315DE7" w:rsidRPr="00315DE7">
        <w:rPr>
          <w:rFonts w:asciiTheme="minorHAnsi" w:hAnsiTheme="minorHAnsi" w:cstheme="minorHAnsi"/>
          <w:bCs/>
        </w:rPr>
        <w:t xml:space="preserve">41-10 of </w:t>
      </w:r>
      <w:r w:rsidR="00207BCF">
        <w:rPr>
          <w:rFonts w:asciiTheme="minorHAnsi" w:hAnsiTheme="minorHAnsi" w:cstheme="minorHAnsi"/>
          <w:bCs/>
        </w:rPr>
        <w:t>HESA</w:t>
      </w:r>
      <w:r w:rsidR="00315DE7" w:rsidRPr="00207BCF">
        <w:rPr>
          <w:rFonts w:asciiTheme="minorHAnsi" w:hAnsiTheme="minorHAnsi" w:cstheme="minorHAnsi"/>
          <w:bCs/>
        </w:rPr>
        <w:t xml:space="preserve">. </w:t>
      </w:r>
    </w:p>
    <w:p w14:paraId="32499BDD" w14:textId="77777777" w:rsidR="000074A9" w:rsidRDefault="000074A9" w:rsidP="00682372">
      <w:pPr>
        <w:keepNext/>
        <w:spacing w:before="120" w:after="120"/>
        <w:rPr>
          <w:rFonts w:asciiTheme="minorHAnsi" w:hAnsiTheme="minorHAnsi" w:cstheme="minorHAnsi"/>
          <w:b/>
          <w:u w:val="single"/>
        </w:rPr>
      </w:pPr>
    </w:p>
    <w:p w14:paraId="06681AE7" w14:textId="67D6B0CD" w:rsidR="00682372" w:rsidRDefault="00682372" w:rsidP="00682372">
      <w:pPr>
        <w:keepNext/>
        <w:spacing w:before="120" w:after="120"/>
        <w:rPr>
          <w:rFonts w:asciiTheme="minorHAnsi" w:hAnsiTheme="minorHAnsi" w:cstheme="minorHAnsi"/>
          <w:b/>
          <w:u w:val="single"/>
        </w:rPr>
      </w:pPr>
      <w:r w:rsidRPr="00240B63">
        <w:rPr>
          <w:rFonts w:asciiTheme="minorHAnsi" w:hAnsiTheme="minorHAnsi" w:cstheme="minorHAnsi"/>
          <w:b/>
          <w:u w:val="single"/>
        </w:rPr>
        <w:t xml:space="preserve">Part </w:t>
      </w:r>
      <w:r>
        <w:rPr>
          <w:rFonts w:asciiTheme="minorHAnsi" w:hAnsiTheme="minorHAnsi" w:cstheme="minorHAnsi"/>
          <w:b/>
          <w:u w:val="single"/>
        </w:rPr>
        <w:t>1</w:t>
      </w:r>
      <w:r w:rsidR="00F944A5">
        <w:rPr>
          <w:rFonts w:asciiTheme="minorHAnsi" w:hAnsiTheme="minorHAnsi" w:cstheme="minorHAnsi"/>
          <w:b/>
          <w:u w:val="single"/>
        </w:rPr>
        <w:t>1</w:t>
      </w:r>
      <w:r w:rsidRPr="00240B63">
        <w:rPr>
          <w:rFonts w:asciiTheme="minorHAnsi" w:hAnsiTheme="minorHAnsi" w:cstheme="minorHAnsi"/>
          <w:b/>
          <w:u w:val="single"/>
        </w:rPr>
        <w:t>—</w:t>
      </w:r>
      <w:r w:rsidRPr="00293DC9">
        <w:t xml:space="preserve"> </w:t>
      </w:r>
      <w:r w:rsidR="0043612D" w:rsidRPr="0043612D">
        <w:rPr>
          <w:rFonts w:asciiTheme="minorHAnsi" w:hAnsiTheme="minorHAnsi" w:cstheme="minorHAnsi"/>
          <w:b/>
          <w:u w:val="single"/>
        </w:rPr>
        <w:t>Grants to encourage higher education providers to engage with industry—National Priorities and Industry Linkage Fund</w:t>
      </w:r>
    </w:p>
    <w:p w14:paraId="62DCBCB9" w14:textId="4A98E762" w:rsidR="00682372" w:rsidRPr="00E631F9" w:rsidRDefault="00682372" w:rsidP="00682372">
      <w:pPr>
        <w:keepNext/>
        <w:spacing w:before="120" w:after="120"/>
        <w:rPr>
          <w:rFonts w:asciiTheme="minorHAnsi" w:hAnsiTheme="minorHAnsi" w:cstheme="minorHAnsi"/>
        </w:rPr>
      </w:pPr>
      <w:r w:rsidRPr="00D52E9D">
        <w:rPr>
          <w:rFonts w:asciiTheme="minorHAnsi" w:hAnsiTheme="minorHAnsi" w:cstheme="minorHAnsi"/>
          <w:b/>
          <w:u w:val="single"/>
        </w:rPr>
        <w:t xml:space="preserve">Section </w:t>
      </w:r>
      <w:r>
        <w:rPr>
          <w:rFonts w:asciiTheme="minorHAnsi" w:hAnsiTheme="minorHAnsi" w:cstheme="minorHAnsi"/>
          <w:b/>
          <w:u w:val="single"/>
        </w:rPr>
        <w:t>6</w:t>
      </w:r>
      <w:r w:rsidR="00545B15">
        <w:rPr>
          <w:rFonts w:asciiTheme="minorHAnsi" w:hAnsiTheme="minorHAnsi" w:cstheme="minorHAnsi"/>
          <w:b/>
          <w:u w:val="single"/>
        </w:rPr>
        <w:t>8</w:t>
      </w:r>
      <w:r w:rsidRPr="00D52E9D">
        <w:rPr>
          <w:rFonts w:asciiTheme="minorHAnsi" w:hAnsiTheme="minorHAnsi" w:cstheme="minorHAnsi"/>
          <w:b/>
          <w:u w:val="single"/>
        </w:rPr>
        <w:t xml:space="preserve">: </w:t>
      </w:r>
      <w:r>
        <w:rPr>
          <w:rFonts w:asciiTheme="minorHAnsi" w:hAnsiTheme="minorHAnsi" w:cstheme="minorHAnsi"/>
          <w:b/>
          <w:u w:val="single"/>
        </w:rPr>
        <w:t>Program objectives</w:t>
      </w:r>
    </w:p>
    <w:p w14:paraId="4940F6DF" w14:textId="66F1744A" w:rsidR="00682372" w:rsidRDefault="00682372"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This section specifies the</w:t>
      </w:r>
      <w:r w:rsidR="00E65E8D">
        <w:rPr>
          <w:rFonts w:asciiTheme="minorHAnsi" w:hAnsiTheme="minorHAnsi" w:cstheme="minorHAnsi"/>
          <w:iCs/>
          <w:szCs w:val="24"/>
        </w:rPr>
        <w:t xml:space="preserve"> National Priorities and Industry Linkage Fund</w:t>
      </w:r>
      <w:r w:rsidR="00D5644D">
        <w:rPr>
          <w:rFonts w:asciiTheme="minorHAnsi" w:hAnsiTheme="minorHAnsi" w:cstheme="minorHAnsi"/>
          <w:iCs/>
          <w:szCs w:val="24"/>
        </w:rPr>
        <w:t xml:space="preserve"> as a program for the purpose of encouraging higher education providers to engage with industry</w:t>
      </w:r>
      <w:r w:rsidR="00C23A0D">
        <w:rPr>
          <w:rFonts w:asciiTheme="minorHAnsi" w:hAnsiTheme="minorHAnsi" w:cstheme="minorHAnsi"/>
          <w:iCs/>
          <w:szCs w:val="24"/>
        </w:rPr>
        <w:t xml:space="preserve"> and outlines the</w:t>
      </w:r>
      <w:r>
        <w:rPr>
          <w:rFonts w:asciiTheme="minorHAnsi" w:hAnsiTheme="minorHAnsi" w:cstheme="minorHAnsi"/>
          <w:iCs/>
          <w:szCs w:val="24"/>
        </w:rPr>
        <w:t xml:space="preserve"> objectives for this program (being </w:t>
      </w:r>
      <w:r w:rsidR="0003641C">
        <w:rPr>
          <w:rFonts w:asciiTheme="minorHAnsi" w:hAnsiTheme="minorHAnsi" w:cstheme="minorHAnsi"/>
          <w:iCs/>
          <w:szCs w:val="24"/>
        </w:rPr>
        <w:t>to encourage higher education providers to engage</w:t>
      </w:r>
      <w:r w:rsidR="00042A50">
        <w:rPr>
          <w:rFonts w:asciiTheme="minorHAnsi" w:hAnsiTheme="minorHAnsi" w:cstheme="minorHAnsi"/>
          <w:iCs/>
          <w:szCs w:val="24"/>
        </w:rPr>
        <w:t xml:space="preserve"> </w:t>
      </w:r>
      <w:r w:rsidR="0003641C">
        <w:rPr>
          <w:rFonts w:asciiTheme="minorHAnsi" w:hAnsiTheme="minorHAnsi" w:cstheme="minorHAnsi"/>
          <w:iCs/>
          <w:szCs w:val="24"/>
        </w:rPr>
        <w:t>with industry</w:t>
      </w:r>
      <w:r w:rsidR="0046683E">
        <w:rPr>
          <w:rFonts w:asciiTheme="minorHAnsi" w:hAnsiTheme="minorHAnsi" w:cstheme="minorHAnsi"/>
          <w:iCs/>
          <w:szCs w:val="24"/>
        </w:rPr>
        <w:t>, and focused on work-integrated learning, STEM-skilled graduates and industry partnerships</w:t>
      </w:r>
      <w:r>
        <w:rPr>
          <w:rFonts w:asciiTheme="minorHAnsi" w:hAnsiTheme="minorHAnsi" w:cstheme="minorHAnsi"/>
          <w:iCs/>
          <w:szCs w:val="24"/>
        </w:rPr>
        <w:t>).</w:t>
      </w:r>
    </w:p>
    <w:p w14:paraId="5C4BB7E7" w14:textId="55807843" w:rsidR="00682372" w:rsidRPr="00E631F9" w:rsidRDefault="00682372" w:rsidP="00682372">
      <w:pPr>
        <w:keepNext/>
        <w:spacing w:before="120" w:after="120"/>
        <w:rPr>
          <w:rFonts w:asciiTheme="minorHAnsi" w:hAnsiTheme="minorHAnsi" w:cstheme="minorHAnsi"/>
        </w:rPr>
      </w:pPr>
      <w:r w:rsidRPr="00D52E9D">
        <w:rPr>
          <w:rFonts w:asciiTheme="minorHAnsi" w:hAnsiTheme="minorHAnsi" w:cstheme="minorHAnsi"/>
          <w:b/>
          <w:u w:val="single"/>
        </w:rPr>
        <w:t>Section</w:t>
      </w:r>
      <w:r w:rsidR="000965BC">
        <w:rPr>
          <w:rFonts w:asciiTheme="minorHAnsi" w:hAnsiTheme="minorHAnsi" w:cstheme="minorHAnsi"/>
          <w:b/>
          <w:u w:val="single"/>
        </w:rPr>
        <w:t>s 6</w:t>
      </w:r>
      <w:r w:rsidR="00AF0653">
        <w:rPr>
          <w:rFonts w:asciiTheme="minorHAnsi" w:hAnsiTheme="minorHAnsi" w:cstheme="minorHAnsi"/>
          <w:b/>
          <w:u w:val="single"/>
        </w:rPr>
        <w:t>9</w:t>
      </w:r>
      <w:r w:rsidR="000206A9">
        <w:rPr>
          <w:rFonts w:asciiTheme="minorHAnsi" w:hAnsiTheme="minorHAnsi" w:cstheme="minorHAnsi"/>
          <w:b/>
          <w:u w:val="single"/>
        </w:rPr>
        <w:t>:</w:t>
      </w:r>
      <w:r w:rsidR="0013275E">
        <w:rPr>
          <w:rFonts w:asciiTheme="minorHAnsi" w:hAnsiTheme="minorHAnsi" w:cstheme="minorHAnsi"/>
          <w:b/>
          <w:u w:val="single"/>
        </w:rPr>
        <w:t xml:space="preserve"> </w:t>
      </w:r>
      <w:r w:rsidR="0013275E" w:rsidRPr="00DA0B96">
        <w:rPr>
          <w:rFonts w:asciiTheme="minorHAnsi" w:hAnsiTheme="minorHAnsi" w:cstheme="minorHAnsi"/>
          <w:b/>
          <w:u w:val="single"/>
        </w:rPr>
        <w:t>Grants to be made in respect of a year</w:t>
      </w:r>
      <w:r w:rsidR="000965BC">
        <w:rPr>
          <w:rFonts w:asciiTheme="minorHAnsi" w:hAnsiTheme="minorHAnsi" w:cstheme="minorHAnsi"/>
          <w:b/>
          <w:u w:val="single"/>
        </w:rPr>
        <w:t xml:space="preserve">, </w:t>
      </w:r>
      <w:r w:rsidR="00AF0653">
        <w:rPr>
          <w:rFonts w:asciiTheme="minorHAnsi" w:hAnsiTheme="minorHAnsi" w:cstheme="minorHAnsi"/>
          <w:b/>
          <w:u w:val="single"/>
        </w:rPr>
        <w:t>70</w:t>
      </w:r>
      <w:r w:rsidR="000206A9">
        <w:rPr>
          <w:rFonts w:asciiTheme="minorHAnsi" w:hAnsiTheme="minorHAnsi" w:cstheme="minorHAnsi"/>
          <w:b/>
          <w:u w:val="single"/>
        </w:rPr>
        <w:t>:</w:t>
      </w:r>
      <w:r w:rsidR="00F67D22">
        <w:rPr>
          <w:rFonts w:asciiTheme="minorHAnsi" w:hAnsiTheme="minorHAnsi" w:cstheme="minorHAnsi"/>
          <w:b/>
          <w:u w:val="single"/>
        </w:rPr>
        <w:t xml:space="preserve"> </w:t>
      </w:r>
      <w:r w:rsidR="00F67D22" w:rsidRPr="00DA0B96">
        <w:rPr>
          <w:rFonts w:asciiTheme="minorHAnsi" w:hAnsiTheme="minorHAnsi" w:cstheme="minorHAnsi"/>
          <w:b/>
          <w:u w:val="single"/>
        </w:rPr>
        <w:t>Method by which the amount of grants under the program are determined for a provider</w:t>
      </w:r>
      <w:r w:rsidR="000965BC">
        <w:rPr>
          <w:rFonts w:asciiTheme="minorHAnsi" w:hAnsiTheme="minorHAnsi" w:cstheme="minorHAnsi"/>
          <w:b/>
          <w:u w:val="single"/>
        </w:rPr>
        <w:t xml:space="preserve"> and </w:t>
      </w:r>
      <w:r w:rsidR="00AF0653">
        <w:rPr>
          <w:rFonts w:asciiTheme="minorHAnsi" w:hAnsiTheme="minorHAnsi" w:cstheme="minorHAnsi"/>
          <w:b/>
          <w:u w:val="single"/>
        </w:rPr>
        <w:t>71</w:t>
      </w:r>
      <w:r w:rsidR="000206A9">
        <w:rPr>
          <w:rFonts w:asciiTheme="minorHAnsi" w:hAnsiTheme="minorHAnsi" w:cstheme="minorHAnsi"/>
          <w:b/>
          <w:u w:val="single"/>
        </w:rPr>
        <w:t>:</w:t>
      </w:r>
      <w:r w:rsidRPr="00D52E9D">
        <w:rPr>
          <w:rFonts w:asciiTheme="minorHAnsi" w:hAnsiTheme="minorHAnsi" w:cstheme="minorHAnsi"/>
          <w:b/>
          <w:u w:val="single"/>
        </w:rPr>
        <w:t xml:space="preserve"> </w:t>
      </w:r>
      <w:r w:rsidR="000206A9">
        <w:rPr>
          <w:rFonts w:asciiTheme="minorHAnsi" w:hAnsiTheme="minorHAnsi" w:cstheme="minorHAnsi"/>
          <w:b/>
          <w:u w:val="single"/>
        </w:rPr>
        <w:t>Indexation</w:t>
      </w:r>
    </w:p>
    <w:p w14:paraId="705BAB65" w14:textId="2D71E190" w:rsidR="009C1E82" w:rsidRDefault="00F6009F"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Section 69</w:t>
      </w:r>
      <w:r w:rsidR="000965BC">
        <w:rPr>
          <w:rFonts w:asciiTheme="minorHAnsi" w:hAnsiTheme="minorHAnsi" w:cstheme="minorHAnsi"/>
          <w:iCs/>
          <w:szCs w:val="24"/>
        </w:rPr>
        <w:t xml:space="preserve"> </w:t>
      </w:r>
      <w:r w:rsidR="009C1E82">
        <w:rPr>
          <w:rFonts w:asciiTheme="minorHAnsi" w:hAnsiTheme="minorHAnsi" w:cstheme="minorHAnsi"/>
          <w:iCs/>
          <w:szCs w:val="24"/>
        </w:rPr>
        <w:t>provides</w:t>
      </w:r>
      <w:r w:rsidR="000965BC">
        <w:rPr>
          <w:rFonts w:asciiTheme="minorHAnsi" w:hAnsiTheme="minorHAnsi" w:cstheme="minorHAnsi"/>
          <w:iCs/>
          <w:szCs w:val="24"/>
        </w:rPr>
        <w:t xml:space="preserve"> that grants under the program are made in respect of 2022, 2023 and 2024</w:t>
      </w:r>
      <w:r w:rsidR="009C1E82">
        <w:rPr>
          <w:rFonts w:asciiTheme="minorHAnsi" w:hAnsiTheme="minorHAnsi" w:cstheme="minorHAnsi"/>
          <w:iCs/>
          <w:szCs w:val="24"/>
        </w:rPr>
        <w:t>.</w:t>
      </w:r>
    </w:p>
    <w:p w14:paraId="08048519" w14:textId="58160FFD" w:rsidR="009C1E82" w:rsidRDefault="009C1E82"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S</w:t>
      </w:r>
      <w:r w:rsidR="00205456">
        <w:rPr>
          <w:rFonts w:asciiTheme="minorHAnsi" w:hAnsiTheme="minorHAnsi" w:cstheme="minorHAnsi"/>
          <w:iCs/>
          <w:szCs w:val="24"/>
        </w:rPr>
        <w:t>ection 70</w:t>
      </w:r>
      <w:r w:rsidR="000965BC">
        <w:rPr>
          <w:rFonts w:asciiTheme="minorHAnsi" w:hAnsiTheme="minorHAnsi" w:cstheme="minorHAnsi"/>
          <w:iCs/>
          <w:szCs w:val="24"/>
        </w:rPr>
        <w:t xml:space="preserve"> </w:t>
      </w:r>
      <w:r w:rsidR="00A21471">
        <w:rPr>
          <w:rFonts w:asciiTheme="minorHAnsi" w:hAnsiTheme="minorHAnsi" w:cstheme="minorHAnsi"/>
          <w:iCs/>
          <w:szCs w:val="24"/>
        </w:rPr>
        <w:t>set</w:t>
      </w:r>
      <w:r w:rsidR="00205456">
        <w:rPr>
          <w:rFonts w:asciiTheme="minorHAnsi" w:hAnsiTheme="minorHAnsi" w:cstheme="minorHAnsi"/>
          <w:iCs/>
          <w:szCs w:val="24"/>
        </w:rPr>
        <w:t>s</w:t>
      </w:r>
      <w:r w:rsidR="00A21471">
        <w:rPr>
          <w:rFonts w:asciiTheme="minorHAnsi" w:hAnsiTheme="minorHAnsi" w:cstheme="minorHAnsi"/>
          <w:iCs/>
          <w:szCs w:val="24"/>
        </w:rPr>
        <w:t xml:space="preserve"> out the method for grant calculation by reference to the number of Commonwealth supports places the provider has in respect of those years</w:t>
      </w:r>
      <w:r w:rsidR="003415F9">
        <w:rPr>
          <w:rFonts w:asciiTheme="minorHAnsi" w:hAnsiTheme="minorHAnsi" w:cstheme="minorHAnsi"/>
          <w:iCs/>
          <w:szCs w:val="24"/>
        </w:rPr>
        <w:t xml:space="preserve">. </w:t>
      </w:r>
    </w:p>
    <w:p w14:paraId="590527BE" w14:textId="27BA8E7C" w:rsidR="003415F9" w:rsidRPr="003415F9" w:rsidRDefault="003415F9" w:rsidP="00FC253E">
      <w:pPr>
        <w:pStyle w:val="ListParagraph"/>
        <w:keepNext/>
        <w:numPr>
          <w:ilvl w:val="0"/>
          <w:numId w:val="1"/>
        </w:numPr>
        <w:spacing w:before="120" w:after="120"/>
        <w:rPr>
          <w:rFonts w:asciiTheme="minorHAnsi" w:hAnsiTheme="minorHAnsi" w:cstheme="minorHAnsi"/>
          <w:iCs/>
          <w:szCs w:val="24"/>
        </w:rPr>
      </w:pPr>
      <w:r>
        <w:rPr>
          <w:rFonts w:asciiTheme="minorHAnsi" w:hAnsiTheme="minorHAnsi" w:cstheme="minorHAnsi"/>
          <w:iCs/>
          <w:szCs w:val="24"/>
        </w:rPr>
        <w:t xml:space="preserve">Section </w:t>
      </w:r>
      <w:r w:rsidR="00F72393">
        <w:rPr>
          <w:rFonts w:asciiTheme="minorHAnsi" w:hAnsiTheme="minorHAnsi" w:cstheme="minorHAnsi"/>
          <w:iCs/>
          <w:szCs w:val="24"/>
        </w:rPr>
        <w:t>71</w:t>
      </w:r>
      <w:r>
        <w:rPr>
          <w:rFonts w:asciiTheme="minorHAnsi" w:hAnsiTheme="minorHAnsi" w:cstheme="minorHAnsi"/>
          <w:iCs/>
          <w:szCs w:val="24"/>
        </w:rPr>
        <w:t xml:space="preserve"> clarifies that amounts in the table in section </w:t>
      </w:r>
      <w:r w:rsidR="00F72393">
        <w:rPr>
          <w:rFonts w:asciiTheme="minorHAnsi" w:hAnsiTheme="minorHAnsi" w:cstheme="minorHAnsi"/>
          <w:iCs/>
          <w:szCs w:val="24"/>
        </w:rPr>
        <w:t>70</w:t>
      </w:r>
      <w:r>
        <w:rPr>
          <w:rFonts w:asciiTheme="minorHAnsi" w:hAnsiTheme="minorHAnsi" w:cstheme="minorHAnsi"/>
          <w:iCs/>
          <w:szCs w:val="24"/>
        </w:rPr>
        <w:t xml:space="preserve"> are subject to indexation against the consumer price index in accordance with the method set out in Part 5-6 of</w:t>
      </w:r>
      <w:r w:rsidR="009C1E82">
        <w:rPr>
          <w:rFonts w:asciiTheme="minorHAnsi" w:hAnsiTheme="minorHAnsi" w:cstheme="minorHAnsi"/>
          <w:iCs/>
          <w:szCs w:val="24"/>
        </w:rPr>
        <w:t xml:space="preserve"> </w:t>
      </w:r>
      <w:r>
        <w:rPr>
          <w:rFonts w:asciiTheme="minorHAnsi" w:hAnsiTheme="minorHAnsi" w:cstheme="minorHAnsi"/>
          <w:iCs/>
          <w:szCs w:val="24"/>
        </w:rPr>
        <w:t>HESA.</w:t>
      </w:r>
    </w:p>
    <w:p w14:paraId="3CA083AA" w14:textId="7E2D7873" w:rsidR="003415F9" w:rsidRPr="00452164" w:rsidRDefault="003415F9" w:rsidP="00452164">
      <w:pPr>
        <w:keepNext/>
        <w:spacing w:before="120" w:after="120"/>
        <w:ind w:left="360"/>
        <w:rPr>
          <w:rFonts w:asciiTheme="minorHAnsi" w:hAnsiTheme="minorHAnsi" w:cstheme="minorHAnsi"/>
        </w:rPr>
      </w:pPr>
      <w:r w:rsidRPr="00452164">
        <w:rPr>
          <w:rFonts w:asciiTheme="minorHAnsi" w:hAnsiTheme="minorHAnsi" w:cstheme="minorHAnsi"/>
          <w:b/>
          <w:u w:val="single"/>
        </w:rPr>
        <w:t>Section</w:t>
      </w:r>
      <w:r w:rsidR="00452164">
        <w:rPr>
          <w:rFonts w:asciiTheme="minorHAnsi" w:hAnsiTheme="minorHAnsi" w:cstheme="minorHAnsi"/>
          <w:b/>
          <w:u w:val="single"/>
        </w:rPr>
        <w:t xml:space="preserve"> 7</w:t>
      </w:r>
      <w:r w:rsidR="006313EC">
        <w:rPr>
          <w:rFonts w:asciiTheme="minorHAnsi" w:hAnsiTheme="minorHAnsi" w:cstheme="minorHAnsi"/>
          <w:b/>
          <w:u w:val="single"/>
        </w:rPr>
        <w:t>2</w:t>
      </w:r>
      <w:r w:rsidR="00452164">
        <w:rPr>
          <w:rFonts w:asciiTheme="minorHAnsi" w:hAnsiTheme="minorHAnsi" w:cstheme="minorHAnsi"/>
          <w:b/>
          <w:u w:val="single"/>
        </w:rPr>
        <w:t>: Conditions of grant</w:t>
      </w:r>
      <w:r w:rsidRPr="00452164">
        <w:rPr>
          <w:rFonts w:asciiTheme="minorHAnsi" w:hAnsiTheme="minorHAnsi" w:cstheme="minorHAnsi"/>
          <w:b/>
          <w:u w:val="single"/>
        </w:rPr>
        <w:t xml:space="preserve"> </w:t>
      </w:r>
    </w:p>
    <w:p w14:paraId="435F6FB2" w14:textId="1E158C1B" w:rsidR="00633B83" w:rsidRDefault="003415F9" w:rsidP="00FC253E">
      <w:pPr>
        <w:pStyle w:val="ListParagraph"/>
        <w:numPr>
          <w:ilvl w:val="0"/>
          <w:numId w:val="1"/>
        </w:numPr>
        <w:spacing w:before="120" w:after="120"/>
        <w:rPr>
          <w:rFonts w:asciiTheme="minorHAnsi" w:hAnsiTheme="minorHAnsi" w:cstheme="minorHAnsi"/>
          <w:iCs/>
          <w:szCs w:val="24"/>
        </w:rPr>
      </w:pPr>
      <w:r w:rsidRPr="003415F9">
        <w:rPr>
          <w:rFonts w:asciiTheme="minorHAnsi" w:hAnsiTheme="minorHAnsi" w:cstheme="minorHAnsi"/>
          <w:iCs/>
          <w:szCs w:val="24"/>
        </w:rPr>
        <w:t>Th</w:t>
      </w:r>
      <w:r w:rsidR="00D014FF">
        <w:rPr>
          <w:rFonts w:asciiTheme="minorHAnsi" w:hAnsiTheme="minorHAnsi" w:cstheme="minorHAnsi"/>
          <w:iCs/>
          <w:szCs w:val="24"/>
        </w:rPr>
        <w:t>is</w:t>
      </w:r>
      <w:r w:rsidRPr="003415F9">
        <w:rPr>
          <w:rFonts w:asciiTheme="minorHAnsi" w:hAnsiTheme="minorHAnsi" w:cstheme="minorHAnsi"/>
          <w:iCs/>
          <w:szCs w:val="24"/>
        </w:rPr>
        <w:t xml:space="preserve"> section</w:t>
      </w:r>
      <w:r w:rsidR="00D752AD">
        <w:rPr>
          <w:rFonts w:asciiTheme="minorHAnsi" w:hAnsiTheme="minorHAnsi" w:cstheme="minorHAnsi"/>
          <w:iCs/>
          <w:szCs w:val="24"/>
        </w:rPr>
        <w:t xml:space="preserve"> specifies that grants under the program may only be used for the purposes described in section 6</w:t>
      </w:r>
      <w:r w:rsidR="006313EC">
        <w:rPr>
          <w:rFonts w:asciiTheme="minorHAnsi" w:hAnsiTheme="minorHAnsi" w:cstheme="minorHAnsi"/>
          <w:iCs/>
          <w:szCs w:val="24"/>
        </w:rPr>
        <w:t>8</w:t>
      </w:r>
      <w:r w:rsidR="00D752AD">
        <w:rPr>
          <w:rFonts w:asciiTheme="minorHAnsi" w:hAnsiTheme="minorHAnsi" w:cstheme="minorHAnsi"/>
          <w:iCs/>
          <w:szCs w:val="24"/>
        </w:rPr>
        <w:t>.</w:t>
      </w:r>
    </w:p>
    <w:p w14:paraId="3B68A5D3" w14:textId="77777777" w:rsidR="00D752AD" w:rsidRPr="003415F9" w:rsidRDefault="00D752AD" w:rsidP="00D752AD">
      <w:pPr>
        <w:pStyle w:val="ListParagraph"/>
        <w:spacing w:before="120" w:after="120"/>
        <w:rPr>
          <w:rFonts w:asciiTheme="minorHAnsi" w:hAnsiTheme="minorHAnsi" w:cstheme="minorHAnsi"/>
          <w:iCs/>
          <w:szCs w:val="24"/>
        </w:rPr>
      </w:pPr>
    </w:p>
    <w:p w14:paraId="075D6DA2" w14:textId="3B9C5919" w:rsidR="00523900" w:rsidRDefault="00523900" w:rsidP="00894B6C">
      <w:pPr>
        <w:keepNext/>
        <w:spacing w:before="120" w:after="120"/>
        <w:rPr>
          <w:rFonts w:asciiTheme="minorHAnsi" w:hAnsiTheme="minorHAnsi" w:cstheme="minorHAnsi"/>
          <w:b/>
        </w:rPr>
      </w:pPr>
      <w:r>
        <w:rPr>
          <w:rFonts w:asciiTheme="minorHAnsi" w:hAnsiTheme="minorHAnsi" w:cstheme="minorHAnsi"/>
          <w:b/>
        </w:rPr>
        <w:t>SCHEDULE</w:t>
      </w:r>
      <w:r w:rsidRPr="00584D78">
        <w:rPr>
          <w:rFonts w:asciiTheme="minorHAnsi" w:hAnsiTheme="minorHAnsi" w:cstheme="minorHAnsi"/>
          <w:b/>
        </w:rPr>
        <w:t xml:space="preserve"> 1—</w:t>
      </w:r>
      <w:r w:rsidR="00D752AD">
        <w:rPr>
          <w:rFonts w:asciiTheme="minorHAnsi" w:hAnsiTheme="minorHAnsi" w:cstheme="minorHAnsi"/>
          <w:b/>
        </w:rPr>
        <w:t>REPEAL</w:t>
      </w:r>
    </w:p>
    <w:p w14:paraId="7812F3FD" w14:textId="5C670F8D" w:rsidR="0049399E" w:rsidRPr="0049399E" w:rsidRDefault="0049399E" w:rsidP="0049399E">
      <w:pPr>
        <w:pStyle w:val="ActHead9"/>
        <w:rPr>
          <w:rFonts w:asciiTheme="minorHAnsi" w:hAnsiTheme="minorHAnsi" w:cstheme="minorHAnsi"/>
          <w:sz w:val="24"/>
          <w:szCs w:val="24"/>
        </w:rPr>
      </w:pPr>
      <w:bookmarkStart w:id="10" w:name="_Toc96341475"/>
      <w:r w:rsidRPr="0049399E">
        <w:rPr>
          <w:rFonts w:asciiTheme="minorHAnsi" w:hAnsiTheme="minorHAnsi" w:cstheme="minorHAnsi"/>
          <w:sz w:val="24"/>
          <w:szCs w:val="24"/>
        </w:rPr>
        <w:t>Other Grants Guidelines (Education) 2012</w:t>
      </w:r>
      <w:bookmarkEnd w:id="10"/>
    </w:p>
    <w:p w14:paraId="26438970" w14:textId="178ADB75" w:rsidR="00523900" w:rsidRPr="00584D78" w:rsidRDefault="00523900" w:rsidP="00894B6C">
      <w:pPr>
        <w:keepNext/>
        <w:spacing w:before="120" w:after="120" w:line="259" w:lineRule="auto"/>
        <w:rPr>
          <w:rFonts w:asciiTheme="minorHAnsi" w:hAnsiTheme="minorHAnsi" w:cstheme="minorHAnsi"/>
          <w:b/>
          <w:bCs/>
          <w:u w:val="single"/>
        </w:rPr>
      </w:pPr>
      <w:r w:rsidRPr="00FA2330">
        <w:rPr>
          <w:rFonts w:asciiTheme="minorHAnsi" w:hAnsiTheme="minorHAnsi" w:cstheme="minorHAnsi"/>
          <w:b/>
          <w:bCs/>
          <w:u w:val="single"/>
        </w:rPr>
        <w:t xml:space="preserve">Item 1: </w:t>
      </w:r>
      <w:r w:rsidR="00CC049A">
        <w:rPr>
          <w:rFonts w:asciiTheme="minorHAnsi" w:hAnsiTheme="minorHAnsi" w:cstheme="minorHAnsi"/>
          <w:b/>
          <w:bCs/>
          <w:u w:val="single"/>
        </w:rPr>
        <w:t>The whole of the instrument</w:t>
      </w:r>
    </w:p>
    <w:p w14:paraId="2E70BF83" w14:textId="5920D6A3" w:rsidR="00D752AD" w:rsidRPr="00D752AD" w:rsidRDefault="00152280" w:rsidP="00FC253E">
      <w:pPr>
        <w:pStyle w:val="ListParagraph"/>
        <w:numPr>
          <w:ilvl w:val="0"/>
          <w:numId w:val="1"/>
        </w:numPr>
        <w:spacing w:before="120" w:after="120"/>
        <w:rPr>
          <w:rFonts w:asciiTheme="minorHAnsi" w:hAnsiTheme="minorHAnsi" w:cstheme="minorHAnsi"/>
          <w:b/>
        </w:rPr>
      </w:pPr>
      <w:r>
        <w:rPr>
          <w:rFonts w:asciiTheme="minorHAnsi" w:hAnsiTheme="minorHAnsi" w:cstheme="minorHAnsi"/>
          <w:bCs/>
        </w:rPr>
        <w:t>I</w:t>
      </w:r>
      <w:r w:rsidR="00D752AD">
        <w:rPr>
          <w:rFonts w:asciiTheme="minorHAnsi" w:hAnsiTheme="minorHAnsi" w:cstheme="minorHAnsi"/>
          <w:bCs/>
        </w:rPr>
        <w:t>tem</w:t>
      </w:r>
      <w:r>
        <w:rPr>
          <w:rFonts w:asciiTheme="minorHAnsi" w:hAnsiTheme="minorHAnsi" w:cstheme="minorHAnsi"/>
          <w:bCs/>
        </w:rPr>
        <w:t xml:space="preserve"> 1</w:t>
      </w:r>
      <w:r w:rsidR="00D752AD">
        <w:rPr>
          <w:rFonts w:asciiTheme="minorHAnsi" w:hAnsiTheme="minorHAnsi" w:cstheme="minorHAnsi"/>
          <w:bCs/>
        </w:rPr>
        <w:t xml:space="preserve"> repeals the former Guidelines, the </w:t>
      </w:r>
      <w:r w:rsidR="00D752AD">
        <w:rPr>
          <w:rFonts w:asciiTheme="minorHAnsi" w:hAnsiTheme="minorHAnsi" w:cstheme="minorHAnsi"/>
          <w:bCs/>
          <w:i/>
          <w:iCs/>
        </w:rPr>
        <w:t>Other Grants Guidelines (Education) 2012</w:t>
      </w:r>
      <w:r w:rsidR="00D752AD">
        <w:rPr>
          <w:rFonts w:asciiTheme="minorHAnsi" w:hAnsiTheme="minorHAnsi" w:cstheme="minorHAnsi"/>
          <w:bCs/>
        </w:rPr>
        <w:t xml:space="preserve">, which </w:t>
      </w:r>
      <w:r>
        <w:rPr>
          <w:rFonts w:asciiTheme="minorHAnsi" w:hAnsiTheme="minorHAnsi" w:cstheme="minorHAnsi"/>
          <w:bCs/>
        </w:rPr>
        <w:t>will</w:t>
      </w:r>
      <w:r w:rsidR="00D30833">
        <w:rPr>
          <w:rFonts w:asciiTheme="minorHAnsi" w:hAnsiTheme="minorHAnsi" w:cstheme="minorHAnsi"/>
          <w:bCs/>
        </w:rPr>
        <w:t xml:space="preserve"> </w:t>
      </w:r>
      <w:r w:rsidR="00D752AD">
        <w:rPr>
          <w:rFonts w:asciiTheme="minorHAnsi" w:hAnsiTheme="minorHAnsi" w:cstheme="minorHAnsi"/>
          <w:bCs/>
        </w:rPr>
        <w:t>sunset on 1 April 2022.</w:t>
      </w:r>
      <w:r w:rsidR="00523900">
        <w:rPr>
          <w:rFonts w:asciiTheme="minorHAnsi" w:hAnsiTheme="minorHAnsi" w:cstheme="minorHAnsi"/>
          <w:bCs/>
        </w:rPr>
        <w:t xml:space="preserve"> </w:t>
      </w:r>
      <w:r w:rsidR="00B91280">
        <w:rPr>
          <w:rFonts w:asciiTheme="minorHAnsi" w:hAnsiTheme="minorHAnsi" w:cstheme="minorHAnsi"/>
          <w:bCs/>
        </w:rPr>
        <w:t xml:space="preserve">Given the </w:t>
      </w:r>
      <w:r w:rsidR="00C40D25">
        <w:rPr>
          <w:rFonts w:asciiTheme="minorHAnsi" w:hAnsiTheme="minorHAnsi" w:cstheme="minorHAnsi"/>
          <w:bCs/>
        </w:rPr>
        <w:t>commencement provision</w:t>
      </w:r>
      <w:r w:rsidR="00B80E10">
        <w:rPr>
          <w:rFonts w:asciiTheme="minorHAnsi" w:hAnsiTheme="minorHAnsi" w:cstheme="minorHAnsi"/>
          <w:bCs/>
        </w:rPr>
        <w:t xml:space="preserve"> in section 2 of </w:t>
      </w:r>
      <w:r w:rsidR="00B80E10">
        <w:rPr>
          <w:rFonts w:asciiTheme="minorHAnsi" w:hAnsiTheme="minorHAnsi" w:cstheme="minorHAnsi"/>
          <w:bCs/>
        </w:rPr>
        <w:lastRenderedPageBreak/>
        <w:t xml:space="preserve">these Guidelines, the </w:t>
      </w:r>
      <w:r w:rsidR="00693F2F">
        <w:rPr>
          <w:rFonts w:asciiTheme="minorHAnsi" w:hAnsiTheme="minorHAnsi" w:cstheme="minorHAnsi"/>
          <w:bCs/>
        </w:rPr>
        <w:t xml:space="preserve">repeal will </w:t>
      </w:r>
      <w:r w:rsidR="00885386">
        <w:rPr>
          <w:rFonts w:asciiTheme="minorHAnsi" w:hAnsiTheme="minorHAnsi" w:cstheme="minorHAnsi"/>
          <w:bCs/>
        </w:rPr>
        <w:t xml:space="preserve">coincide with the commencement of the rest of these Guidelines. </w:t>
      </w:r>
    </w:p>
    <w:p w14:paraId="7B0B86C5" w14:textId="77777777" w:rsidR="00D752AD" w:rsidRPr="00D752AD" w:rsidRDefault="00D752AD" w:rsidP="00D752AD">
      <w:pPr>
        <w:pStyle w:val="ListParagraph"/>
        <w:spacing w:before="120" w:after="120"/>
        <w:rPr>
          <w:rFonts w:asciiTheme="minorHAnsi" w:hAnsiTheme="minorHAnsi" w:cstheme="minorHAnsi"/>
          <w:b/>
        </w:rPr>
      </w:pPr>
    </w:p>
    <w:p w14:paraId="7805A442" w14:textId="5C4FCE70" w:rsidR="00523900" w:rsidRDefault="00523900" w:rsidP="00D752AD">
      <w:pPr>
        <w:spacing w:before="120" w:after="120"/>
        <w:rPr>
          <w:rFonts w:asciiTheme="minorHAnsi" w:hAnsiTheme="minorHAnsi" w:cstheme="minorHAnsi"/>
          <w:b/>
        </w:rPr>
      </w:pPr>
      <w:r w:rsidRPr="00D752AD">
        <w:rPr>
          <w:rFonts w:asciiTheme="minorHAnsi" w:hAnsiTheme="minorHAnsi" w:cstheme="minorHAnsi"/>
          <w:b/>
        </w:rPr>
        <w:t>SCHEDULE 2—</w:t>
      </w:r>
      <w:r w:rsidR="00D752AD">
        <w:rPr>
          <w:rFonts w:asciiTheme="minorHAnsi" w:hAnsiTheme="minorHAnsi" w:cstheme="minorHAnsi"/>
          <w:b/>
        </w:rPr>
        <w:t>TRANSITIONAL</w:t>
      </w:r>
    </w:p>
    <w:p w14:paraId="7CAF845D" w14:textId="0D4DC09D" w:rsidR="00185FA9" w:rsidRPr="00185FA9" w:rsidRDefault="00185FA9" w:rsidP="00185FA9">
      <w:pPr>
        <w:keepNext/>
        <w:spacing w:before="120" w:after="120" w:line="259" w:lineRule="auto"/>
        <w:rPr>
          <w:rFonts w:asciiTheme="minorHAnsi" w:hAnsiTheme="minorHAnsi" w:cstheme="minorHAnsi"/>
          <w:b/>
          <w:bCs/>
          <w:u w:val="single"/>
        </w:rPr>
      </w:pPr>
      <w:r w:rsidRPr="00FA2330">
        <w:rPr>
          <w:rFonts w:asciiTheme="minorHAnsi" w:hAnsiTheme="minorHAnsi" w:cstheme="minorHAnsi"/>
          <w:b/>
          <w:bCs/>
          <w:u w:val="single"/>
        </w:rPr>
        <w:t xml:space="preserve">Item 1: </w:t>
      </w:r>
      <w:r>
        <w:rPr>
          <w:rFonts w:asciiTheme="minorHAnsi" w:hAnsiTheme="minorHAnsi" w:cstheme="minorHAnsi"/>
          <w:b/>
          <w:bCs/>
          <w:u w:val="single"/>
        </w:rPr>
        <w:t>Saved effect of conditions</w:t>
      </w:r>
    </w:p>
    <w:p w14:paraId="3251FD18" w14:textId="49FEF180" w:rsidR="00C37A0A" w:rsidRPr="00D30833" w:rsidRDefault="00185FA9" w:rsidP="00926FA1">
      <w:pPr>
        <w:pStyle w:val="ListParagraph"/>
        <w:keepNext/>
        <w:numPr>
          <w:ilvl w:val="0"/>
          <w:numId w:val="1"/>
        </w:numPr>
        <w:spacing w:before="120" w:after="120"/>
        <w:rPr>
          <w:rFonts w:asciiTheme="minorHAnsi" w:hAnsiTheme="minorHAnsi" w:cstheme="minorHAnsi"/>
          <w:u w:val="single"/>
        </w:rPr>
      </w:pPr>
      <w:r>
        <w:rPr>
          <w:rFonts w:asciiTheme="minorHAnsi" w:hAnsiTheme="minorHAnsi" w:cstheme="minorHAnsi"/>
          <w:bCs/>
        </w:rPr>
        <w:t>I</w:t>
      </w:r>
      <w:r w:rsidR="00D752AD" w:rsidRPr="00C40D25">
        <w:rPr>
          <w:rFonts w:asciiTheme="minorHAnsi" w:hAnsiTheme="minorHAnsi" w:cstheme="minorHAnsi"/>
          <w:bCs/>
        </w:rPr>
        <w:t>tem</w:t>
      </w:r>
      <w:r>
        <w:rPr>
          <w:rFonts w:asciiTheme="minorHAnsi" w:hAnsiTheme="minorHAnsi" w:cstheme="minorHAnsi"/>
          <w:bCs/>
        </w:rPr>
        <w:t xml:space="preserve"> 1</w:t>
      </w:r>
      <w:r w:rsidR="00D752AD" w:rsidRPr="00C40D25">
        <w:rPr>
          <w:rFonts w:asciiTheme="minorHAnsi" w:hAnsiTheme="minorHAnsi" w:cstheme="minorHAnsi"/>
          <w:bCs/>
        </w:rPr>
        <w:t xml:space="preserve"> clarifies that</w:t>
      </w:r>
      <w:r w:rsidR="009251F4" w:rsidRPr="00693F2F">
        <w:rPr>
          <w:rFonts w:asciiTheme="minorHAnsi" w:hAnsiTheme="minorHAnsi" w:cstheme="minorHAnsi"/>
          <w:bCs/>
        </w:rPr>
        <w:t xml:space="preserve">, despite </w:t>
      </w:r>
      <w:r w:rsidR="00D752AD" w:rsidRPr="00DB602A">
        <w:rPr>
          <w:rFonts w:asciiTheme="minorHAnsi" w:hAnsiTheme="minorHAnsi" w:cstheme="minorHAnsi"/>
          <w:bCs/>
        </w:rPr>
        <w:t>the repeal of the former Guidelines by Schedule 1</w:t>
      </w:r>
      <w:r w:rsidR="009251F4" w:rsidRPr="00B90CF9">
        <w:rPr>
          <w:rFonts w:asciiTheme="minorHAnsi" w:hAnsiTheme="minorHAnsi" w:cstheme="minorHAnsi"/>
          <w:bCs/>
        </w:rPr>
        <w:t xml:space="preserve">, conditions imposed under those guidelines are taken, by virtue of this item, to </w:t>
      </w:r>
      <w:r w:rsidR="009251F4" w:rsidRPr="00696D40">
        <w:rPr>
          <w:rFonts w:asciiTheme="minorHAnsi" w:hAnsiTheme="minorHAnsi" w:cstheme="minorHAnsi"/>
          <w:bCs/>
        </w:rPr>
        <w:t>continue in force</w:t>
      </w:r>
      <w:r w:rsidR="003C0645" w:rsidRPr="00696D40">
        <w:rPr>
          <w:rFonts w:asciiTheme="minorHAnsi" w:hAnsiTheme="minorHAnsi" w:cstheme="minorHAnsi"/>
          <w:bCs/>
        </w:rPr>
        <w:t xml:space="preserve"> as if the repeal had not occurred. </w:t>
      </w:r>
    </w:p>
    <w:p w14:paraId="35EEB127" w14:textId="54839C75" w:rsidR="00756D99" w:rsidRDefault="00732CF0" w:rsidP="00926FA1">
      <w:pPr>
        <w:pStyle w:val="ListParagraph"/>
        <w:keepNext/>
        <w:numPr>
          <w:ilvl w:val="0"/>
          <w:numId w:val="1"/>
        </w:numPr>
        <w:spacing w:before="120" w:after="120"/>
        <w:rPr>
          <w:rFonts w:asciiTheme="minorHAnsi" w:hAnsiTheme="minorHAnsi" w:cstheme="minorHAnsi"/>
          <w:u w:val="single"/>
        </w:rPr>
      </w:pPr>
      <w:r w:rsidRPr="004E4787">
        <w:rPr>
          <w:rFonts w:asciiTheme="minorHAnsi" w:hAnsiTheme="minorHAnsi" w:cstheme="minorHAnsi"/>
          <w:bCs/>
        </w:rPr>
        <w:t>As set out in the note at the end of this section, t</w:t>
      </w:r>
      <w:r w:rsidR="003C0645" w:rsidRPr="00872D08">
        <w:rPr>
          <w:rFonts w:asciiTheme="minorHAnsi" w:hAnsiTheme="minorHAnsi" w:cstheme="minorHAnsi"/>
          <w:bCs/>
        </w:rPr>
        <w:t xml:space="preserve">his means, among other things, that deeds </w:t>
      </w:r>
      <w:r w:rsidR="008E16BD" w:rsidRPr="00A302D0">
        <w:rPr>
          <w:rFonts w:asciiTheme="minorHAnsi" w:hAnsiTheme="minorHAnsi" w:cstheme="minorHAnsi"/>
          <w:bCs/>
        </w:rPr>
        <w:t xml:space="preserve">entered into under the </w:t>
      </w:r>
      <w:r w:rsidR="003C32CA" w:rsidRPr="00A302D0">
        <w:rPr>
          <w:rFonts w:asciiTheme="minorHAnsi" w:hAnsiTheme="minorHAnsi" w:cstheme="minorHAnsi"/>
          <w:bCs/>
        </w:rPr>
        <w:t>Women in STEM Cadetships and Advanced Apprenticeships Program</w:t>
      </w:r>
      <w:r w:rsidR="003C32CA" w:rsidRPr="009C4829">
        <w:rPr>
          <w:rFonts w:asciiTheme="minorHAnsi" w:hAnsiTheme="minorHAnsi" w:cstheme="minorHAnsi"/>
          <w:bCs/>
        </w:rPr>
        <w:t xml:space="preserve"> rema</w:t>
      </w:r>
      <w:r w:rsidR="00BA37C7" w:rsidRPr="00547F5F">
        <w:rPr>
          <w:rFonts w:asciiTheme="minorHAnsi" w:hAnsiTheme="minorHAnsi" w:cstheme="minorHAnsi"/>
          <w:bCs/>
        </w:rPr>
        <w:t>i</w:t>
      </w:r>
      <w:r w:rsidR="003C32CA" w:rsidRPr="00547F5F">
        <w:rPr>
          <w:rFonts w:asciiTheme="minorHAnsi" w:hAnsiTheme="minorHAnsi" w:cstheme="minorHAnsi"/>
          <w:bCs/>
        </w:rPr>
        <w:t xml:space="preserve">n in force and references in those deeds to provisions of the former </w:t>
      </w:r>
      <w:r w:rsidR="004573E5" w:rsidRPr="00547F5F">
        <w:rPr>
          <w:rFonts w:asciiTheme="minorHAnsi" w:hAnsiTheme="minorHAnsi" w:cstheme="minorHAnsi"/>
          <w:bCs/>
        </w:rPr>
        <w:t>G</w:t>
      </w:r>
      <w:r w:rsidR="003C32CA" w:rsidRPr="00547F5F">
        <w:rPr>
          <w:rFonts w:asciiTheme="minorHAnsi" w:hAnsiTheme="minorHAnsi" w:cstheme="minorHAnsi"/>
          <w:bCs/>
        </w:rPr>
        <w:t xml:space="preserve">uidelines continue </w:t>
      </w:r>
      <w:r w:rsidR="00BA37C7" w:rsidRPr="00547F5F">
        <w:rPr>
          <w:rFonts w:asciiTheme="minorHAnsi" w:hAnsiTheme="minorHAnsi" w:cstheme="minorHAnsi"/>
          <w:bCs/>
        </w:rPr>
        <w:t>to be effective</w:t>
      </w:r>
      <w:r w:rsidR="00547F5F" w:rsidRPr="00547F5F">
        <w:rPr>
          <w:rFonts w:asciiTheme="minorHAnsi" w:hAnsiTheme="minorHAnsi" w:cstheme="minorHAnsi"/>
          <w:bCs/>
        </w:rPr>
        <w:t>.</w:t>
      </w:r>
      <w:r w:rsidR="00BA37C7" w:rsidRPr="00547F5F">
        <w:rPr>
          <w:rFonts w:asciiTheme="minorHAnsi" w:hAnsiTheme="minorHAnsi" w:cstheme="minorHAnsi"/>
          <w:bCs/>
        </w:rPr>
        <w:t xml:space="preserve"> </w:t>
      </w: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468CD" w14:textId="77777777" w:rsidR="0034632A" w:rsidRDefault="0034632A" w:rsidP="00783FAB">
      <w:pPr>
        <w:spacing w:after="0" w:line="240" w:lineRule="auto"/>
      </w:pPr>
      <w:r>
        <w:separator/>
      </w:r>
    </w:p>
  </w:endnote>
  <w:endnote w:type="continuationSeparator" w:id="0">
    <w:p w14:paraId="181CCD69" w14:textId="77777777" w:rsidR="0034632A" w:rsidRDefault="0034632A" w:rsidP="00783FAB">
      <w:pPr>
        <w:spacing w:after="0" w:line="240" w:lineRule="auto"/>
      </w:pPr>
      <w:r>
        <w:continuationSeparator/>
      </w:r>
    </w:p>
  </w:endnote>
  <w:endnote w:type="continuationNotice" w:id="1">
    <w:p w14:paraId="54DFCB4A" w14:textId="77777777" w:rsidR="0034632A" w:rsidRDefault="00346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1E04" w14:textId="77777777" w:rsidR="004D1250" w:rsidRDefault="004D1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rFonts w:asciiTheme="minorHAnsi" w:hAnsiTheme="minorHAnsi" w:cstheme="minorHAnsi"/>
        <w:noProof/>
      </w:rPr>
    </w:sdtEndPr>
    <w:sdtContent>
      <w:p w14:paraId="32969EF8" w14:textId="7EAA209F" w:rsidR="008134D5" w:rsidRDefault="008134D5">
        <w:pPr>
          <w:pStyle w:val="Footer"/>
          <w:jc w:val="center"/>
        </w:pPr>
        <w:r w:rsidRPr="004D1250">
          <w:rPr>
            <w:rFonts w:asciiTheme="minorHAnsi" w:hAnsiTheme="minorHAnsi" w:cstheme="minorHAnsi"/>
          </w:rPr>
          <w:fldChar w:fldCharType="begin"/>
        </w:r>
        <w:r w:rsidRPr="004D1250">
          <w:rPr>
            <w:rFonts w:asciiTheme="minorHAnsi" w:hAnsiTheme="minorHAnsi" w:cstheme="minorHAnsi"/>
          </w:rPr>
          <w:instrText xml:space="preserve"> PAGE   \* MERGEFORMAT </w:instrText>
        </w:r>
        <w:r w:rsidRPr="004D1250">
          <w:rPr>
            <w:rFonts w:asciiTheme="minorHAnsi" w:hAnsiTheme="minorHAnsi" w:cstheme="minorHAnsi"/>
          </w:rPr>
          <w:fldChar w:fldCharType="separate"/>
        </w:r>
        <w:r w:rsidR="00B74160" w:rsidRPr="00C65E2D">
          <w:rPr>
            <w:rFonts w:asciiTheme="minorHAnsi" w:hAnsiTheme="minorHAnsi" w:cstheme="minorHAnsi"/>
            <w:noProof/>
          </w:rPr>
          <w:t>1</w:t>
        </w:r>
        <w:r w:rsidRPr="004D1250">
          <w:rPr>
            <w:rFonts w:asciiTheme="minorHAnsi" w:hAnsiTheme="minorHAnsi" w:cstheme="minorHAnsi"/>
            <w:noProof/>
          </w:rPr>
          <w:fldChar w:fldCharType="end"/>
        </w:r>
      </w:p>
    </w:sdtContent>
  </w:sdt>
  <w:p w14:paraId="575D5E8B"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E258" w14:textId="77777777" w:rsidR="004D1250" w:rsidRDefault="004D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69F14" w14:textId="77777777" w:rsidR="0034632A" w:rsidRDefault="0034632A" w:rsidP="00783FAB">
      <w:pPr>
        <w:spacing w:after="0" w:line="240" w:lineRule="auto"/>
      </w:pPr>
      <w:r>
        <w:separator/>
      </w:r>
    </w:p>
  </w:footnote>
  <w:footnote w:type="continuationSeparator" w:id="0">
    <w:p w14:paraId="76D0C79C" w14:textId="77777777" w:rsidR="0034632A" w:rsidRDefault="0034632A" w:rsidP="00783FAB">
      <w:pPr>
        <w:spacing w:after="0" w:line="240" w:lineRule="auto"/>
      </w:pPr>
      <w:r>
        <w:continuationSeparator/>
      </w:r>
    </w:p>
  </w:footnote>
  <w:footnote w:type="continuationNotice" w:id="1">
    <w:p w14:paraId="439660E2" w14:textId="77777777" w:rsidR="0034632A" w:rsidRDefault="00346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286F4" w14:textId="77777777" w:rsidR="004D1250" w:rsidRDefault="004D1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601F" w14:textId="77777777" w:rsidR="004D1250" w:rsidRDefault="004D1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ECA7" w14:textId="77777777" w:rsidR="004D1250" w:rsidRDefault="004D1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34D5"/>
    <w:multiLevelType w:val="hybridMultilevel"/>
    <w:tmpl w:val="0B0E9A0E"/>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C373A"/>
    <w:multiLevelType w:val="hybridMultilevel"/>
    <w:tmpl w:val="5D285922"/>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365DEF"/>
    <w:multiLevelType w:val="hybridMultilevel"/>
    <w:tmpl w:val="1264F6D6"/>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220C0F"/>
    <w:multiLevelType w:val="hybridMultilevel"/>
    <w:tmpl w:val="00C856E2"/>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754F1E"/>
    <w:multiLevelType w:val="hybridMultilevel"/>
    <w:tmpl w:val="0AB03D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9B56F29"/>
    <w:multiLevelType w:val="hybridMultilevel"/>
    <w:tmpl w:val="34BEC312"/>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670DC8"/>
    <w:multiLevelType w:val="hybridMultilevel"/>
    <w:tmpl w:val="BB38F580"/>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92008522">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A01152"/>
    <w:multiLevelType w:val="hybridMultilevel"/>
    <w:tmpl w:val="E8A48F6A"/>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A143A7"/>
    <w:multiLevelType w:val="hybridMultilevel"/>
    <w:tmpl w:val="020284B6"/>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BE23D2"/>
    <w:multiLevelType w:val="hybridMultilevel"/>
    <w:tmpl w:val="B38C6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139A4"/>
    <w:multiLevelType w:val="hybridMultilevel"/>
    <w:tmpl w:val="314CA5EA"/>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F2B2D"/>
    <w:multiLevelType w:val="hybridMultilevel"/>
    <w:tmpl w:val="D4507DDC"/>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92008522">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992D66"/>
    <w:multiLevelType w:val="hybridMultilevel"/>
    <w:tmpl w:val="779AECA4"/>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C53AB3"/>
    <w:multiLevelType w:val="multilevel"/>
    <w:tmpl w:val="363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D83A32"/>
    <w:multiLevelType w:val="hybridMultilevel"/>
    <w:tmpl w:val="9E444180"/>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B93E56"/>
    <w:multiLevelType w:val="hybridMultilevel"/>
    <w:tmpl w:val="5772369C"/>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935184"/>
    <w:multiLevelType w:val="hybridMultilevel"/>
    <w:tmpl w:val="1940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CB6B82"/>
    <w:multiLevelType w:val="hybridMultilevel"/>
    <w:tmpl w:val="36E68E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19F4236"/>
    <w:multiLevelType w:val="hybridMultilevel"/>
    <w:tmpl w:val="9572A9D8"/>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556C8C"/>
    <w:multiLevelType w:val="hybridMultilevel"/>
    <w:tmpl w:val="1A8CF052"/>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211FA1"/>
    <w:multiLevelType w:val="hybridMultilevel"/>
    <w:tmpl w:val="D20007DC"/>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100FD4"/>
    <w:multiLevelType w:val="hybridMultilevel"/>
    <w:tmpl w:val="B1268EA8"/>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665A4C"/>
    <w:multiLevelType w:val="hybridMultilevel"/>
    <w:tmpl w:val="D166D4CA"/>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104FCE"/>
    <w:multiLevelType w:val="hybridMultilevel"/>
    <w:tmpl w:val="8E2CA6EA"/>
    <w:lvl w:ilvl="0" w:tplc="468A8BC6">
      <w:start w:val="1"/>
      <w:numFmt w:val="decimal"/>
      <w:pStyle w:val="MBPoint"/>
      <w:lvlText w:val="%1."/>
      <w:lvlJc w:val="left"/>
      <w:pPr>
        <w:ind w:left="-207" w:hanging="360"/>
      </w:pPr>
      <w:rPr>
        <w:rFonts w:hint="default"/>
      </w:rPr>
    </w:lvl>
    <w:lvl w:ilvl="1" w:tplc="C688D224">
      <w:start w:val="1"/>
      <w:numFmt w:val="lowerLetter"/>
      <w:pStyle w:val="MBPointSub"/>
      <w:lvlText w:val="%2."/>
      <w:lvlJc w:val="left"/>
      <w:pPr>
        <w:ind w:left="513" w:hanging="360"/>
      </w:pPr>
    </w:lvl>
    <w:lvl w:ilvl="2" w:tplc="0C090003">
      <w:start w:val="1"/>
      <w:numFmt w:val="bullet"/>
      <w:lvlText w:val="o"/>
      <w:lvlJc w:val="left"/>
      <w:pPr>
        <w:ind w:left="1233" w:hanging="180"/>
      </w:pPr>
      <w:rPr>
        <w:rFonts w:ascii="Courier New" w:hAnsi="Courier New" w:cs="Courier New" w:hint="default"/>
      </w:rPr>
    </w:lvl>
    <w:lvl w:ilvl="3" w:tplc="1D468B6A" w:tentative="1">
      <w:start w:val="1"/>
      <w:numFmt w:val="decimal"/>
      <w:lvlText w:val="%4."/>
      <w:lvlJc w:val="left"/>
      <w:pPr>
        <w:ind w:left="1953" w:hanging="360"/>
      </w:pPr>
    </w:lvl>
    <w:lvl w:ilvl="4" w:tplc="094E4C76" w:tentative="1">
      <w:start w:val="1"/>
      <w:numFmt w:val="lowerLetter"/>
      <w:lvlText w:val="%5."/>
      <w:lvlJc w:val="left"/>
      <w:pPr>
        <w:ind w:left="2673" w:hanging="360"/>
      </w:pPr>
    </w:lvl>
    <w:lvl w:ilvl="5" w:tplc="C108CA3E" w:tentative="1">
      <w:start w:val="1"/>
      <w:numFmt w:val="lowerRoman"/>
      <w:lvlText w:val="%6."/>
      <w:lvlJc w:val="right"/>
      <w:pPr>
        <w:ind w:left="3393" w:hanging="180"/>
      </w:pPr>
    </w:lvl>
    <w:lvl w:ilvl="6" w:tplc="3282EC68" w:tentative="1">
      <w:start w:val="1"/>
      <w:numFmt w:val="decimal"/>
      <w:lvlText w:val="%7."/>
      <w:lvlJc w:val="left"/>
      <w:pPr>
        <w:ind w:left="4113" w:hanging="360"/>
      </w:pPr>
    </w:lvl>
    <w:lvl w:ilvl="7" w:tplc="121630C6" w:tentative="1">
      <w:start w:val="1"/>
      <w:numFmt w:val="lowerLetter"/>
      <w:lvlText w:val="%8."/>
      <w:lvlJc w:val="left"/>
      <w:pPr>
        <w:ind w:left="4833" w:hanging="360"/>
      </w:pPr>
    </w:lvl>
    <w:lvl w:ilvl="8" w:tplc="7CB21D2E" w:tentative="1">
      <w:start w:val="1"/>
      <w:numFmt w:val="lowerRoman"/>
      <w:lvlText w:val="%9."/>
      <w:lvlJc w:val="right"/>
      <w:pPr>
        <w:ind w:left="5553" w:hanging="180"/>
      </w:pPr>
    </w:lvl>
  </w:abstractNum>
  <w:abstractNum w:abstractNumId="25" w15:restartNumberingAfterBreak="0">
    <w:nsid w:val="5CF621E2"/>
    <w:multiLevelType w:val="hybridMultilevel"/>
    <w:tmpl w:val="9E444180"/>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DA7261"/>
    <w:multiLevelType w:val="hybridMultilevel"/>
    <w:tmpl w:val="3DFA1508"/>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92008522">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4F736F"/>
    <w:multiLevelType w:val="hybridMultilevel"/>
    <w:tmpl w:val="00C856E2"/>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6124AE"/>
    <w:multiLevelType w:val="hybridMultilevel"/>
    <w:tmpl w:val="93D4BC0A"/>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3129DB"/>
    <w:multiLevelType w:val="hybridMultilevel"/>
    <w:tmpl w:val="17346DA4"/>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92008522">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BE1849"/>
    <w:multiLevelType w:val="hybridMultilevel"/>
    <w:tmpl w:val="B59A4916"/>
    <w:lvl w:ilvl="0" w:tplc="B156C2D2">
      <w:start w:val="1"/>
      <w:numFmt w:val="decimal"/>
      <w:suff w:val="space"/>
      <w:lvlText w:val="%1."/>
      <w:lvlJc w:val="left"/>
      <w:pPr>
        <w:ind w:left="720" w:hanging="360"/>
      </w:pPr>
      <w:rPr>
        <w:rFonts w:hint="default"/>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614A98"/>
    <w:multiLevelType w:val="hybridMultilevel"/>
    <w:tmpl w:val="020284B6"/>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EF210E"/>
    <w:multiLevelType w:val="hybridMultilevel"/>
    <w:tmpl w:val="B80A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5C4F57"/>
    <w:multiLevelType w:val="hybridMultilevel"/>
    <w:tmpl w:val="4D7ABD0C"/>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C828C3"/>
    <w:multiLevelType w:val="hybridMultilevel"/>
    <w:tmpl w:val="A9468540"/>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92008522">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333128"/>
    <w:multiLevelType w:val="hybridMultilevel"/>
    <w:tmpl w:val="0F940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2E41C6"/>
    <w:multiLevelType w:val="hybridMultilevel"/>
    <w:tmpl w:val="A838DE8C"/>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A35B74"/>
    <w:multiLevelType w:val="hybridMultilevel"/>
    <w:tmpl w:val="941A270E"/>
    <w:lvl w:ilvl="0" w:tplc="A5FA0E40">
      <w:start w:val="1"/>
      <w:numFmt w:val="decimal"/>
      <w:suff w:val="space"/>
      <w:lvlText w:val="%1."/>
      <w:lvlJc w:val="left"/>
      <w:pPr>
        <w:ind w:left="720" w:hanging="360"/>
      </w:pPr>
      <w:rPr>
        <w:rFonts w:hint="default"/>
        <w:b w:val="0"/>
        <w:bCs w:val="0"/>
        <w:i w:val="0"/>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7"/>
  </w:num>
  <w:num w:numId="4">
    <w:abstractNumId w:val="24"/>
  </w:num>
  <w:num w:numId="5">
    <w:abstractNumId w:val="4"/>
  </w:num>
  <w:num w:numId="6">
    <w:abstractNumId w:val="32"/>
  </w:num>
  <w:num w:numId="7">
    <w:abstractNumId w:val="18"/>
  </w:num>
  <w:num w:numId="8">
    <w:abstractNumId w:val="30"/>
  </w:num>
  <w:num w:numId="9">
    <w:abstractNumId w:val="11"/>
  </w:num>
  <w:num w:numId="10">
    <w:abstractNumId w:val="27"/>
  </w:num>
  <w:num w:numId="11">
    <w:abstractNumId w:val="3"/>
  </w:num>
  <w:num w:numId="12">
    <w:abstractNumId w:val="20"/>
  </w:num>
  <w:num w:numId="13">
    <w:abstractNumId w:val="19"/>
  </w:num>
  <w:num w:numId="14">
    <w:abstractNumId w:val="25"/>
  </w:num>
  <w:num w:numId="15">
    <w:abstractNumId w:val="15"/>
  </w:num>
  <w:num w:numId="16">
    <w:abstractNumId w:val="22"/>
  </w:num>
  <w:num w:numId="17">
    <w:abstractNumId w:val="37"/>
  </w:num>
  <w:num w:numId="18">
    <w:abstractNumId w:val="23"/>
  </w:num>
  <w:num w:numId="19">
    <w:abstractNumId w:val="8"/>
  </w:num>
  <w:num w:numId="20">
    <w:abstractNumId w:val="2"/>
  </w:num>
  <w:num w:numId="21">
    <w:abstractNumId w:val="13"/>
  </w:num>
  <w:num w:numId="22">
    <w:abstractNumId w:val="28"/>
  </w:num>
  <w:num w:numId="23">
    <w:abstractNumId w:val="36"/>
  </w:num>
  <w:num w:numId="24">
    <w:abstractNumId w:val="5"/>
  </w:num>
  <w:num w:numId="25">
    <w:abstractNumId w:val="31"/>
  </w:num>
  <w:num w:numId="26">
    <w:abstractNumId w:val="9"/>
  </w:num>
  <w:num w:numId="27">
    <w:abstractNumId w:val="21"/>
  </w:num>
  <w:num w:numId="28">
    <w:abstractNumId w:val="33"/>
  </w:num>
  <w:num w:numId="29">
    <w:abstractNumId w:val="16"/>
  </w:num>
  <w:num w:numId="30">
    <w:abstractNumId w:val="1"/>
  </w:num>
  <w:num w:numId="31">
    <w:abstractNumId w:val="0"/>
  </w:num>
  <w:num w:numId="32">
    <w:abstractNumId w:val="17"/>
  </w:num>
  <w:num w:numId="33">
    <w:abstractNumId w:val="10"/>
  </w:num>
  <w:num w:numId="34">
    <w:abstractNumId w:val="29"/>
  </w:num>
  <w:num w:numId="35">
    <w:abstractNumId w:val="26"/>
  </w:num>
  <w:num w:numId="36">
    <w:abstractNumId w:val="12"/>
  </w:num>
  <w:num w:numId="37">
    <w:abstractNumId w:val="14"/>
  </w:num>
  <w:num w:numId="38">
    <w:abstractNumId w:val="34"/>
  </w:num>
  <w:num w:numId="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24D"/>
    <w:rsid w:val="00003184"/>
    <w:rsid w:val="000036EB"/>
    <w:rsid w:val="0000395C"/>
    <w:rsid w:val="0000419A"/>
    <w:rsid w:val="00004CAA"/>
    <w:rsid w:val="000068C3"/>
    <w:rsid w:val="000074A9"/>
    <w:rsid w:val="00011E4D"/>
    <w:rsid w:val="000122F8"/>
    <w:rsid w:val="000128F7"/>
    <w:rsid w:val="000138CF"/>
    <w:rsid w:val="000140D5"/>
    <w:rsid w:val="000146FA"/>
    <w:rsid w:val="000147C2"/>
    <w:rsid w:val="0001554B"/>
    <w:rsid w:val="00016AFF"/>
    <w:rsid w:val="00017F54"/>
    <w:rsid w:val="000206A9"/>
    <w:rsid w:val="000224A7"/>
    <w:rsid w:val="000305EA"/>
    <w:rsid w:val="00031E3C"/>
    <w:rsid w:val="00032CB3"/>
    <w:rsid w:val="000336FE"/>
    <w:rsid w:val="00033705"/>
    <w:rsid w:val="000337B6"/>
    <w:rsid w:val="0003641C"/>
    <w:rsid w:val="00036FAE"/>
    <w:rsid w:val="00042A50"/>
    <w:rsid w:val="00044508"/>
    <w:rsid w:val="00046C9B"/>
    <w:rsid w:val="0004731F"/>
    <w:rsid w:val="00047668"/>
    <w:rsid w:val="00047931"/>
    <w:rsid w:val="00047A2A"/>
    <w:rsid w:val="000501C3"/>
    <w:rsid w:val="0005020B"/>
    <w:rsid w:val="00050BCA"/>
    <w:rsid w:val="0005161B"/>
    <w:rsid w:val="000519A4"/>
    <w:rsid w:val="00052E95"/>
    <w:rsid w:val="00053E67"/>
    <w:rsid w:val="00057815"/>
    <w:rsid w:val="00057A1E"/>
    <w:rsid w:val="000614A1"/>
    <w:rsid w:val="00061B39"/>
    <w:rsid w:val="000621E2"/>
    <w:rsid w:val="00062794"/>
    <w:rsid w:val="00063367"/>
    <w:rsid w:val="0006484E"/>
    <w:rsid w:val="000668B0"/>
    <w:rsid w:val="00073E42"/>
    <w:rsid w:val="000743B9"/>
    <w:rsid w:val="00076D31"/>
    <w:rsid w:val="00076E76"/>
    <w:rsid w:val="000835E3"/>
    <w:rsid w:val="00083F41"/>
    <w:rsid w:val="000846B7"/>
    <w:rsid w:val="00090B57"/>
    <w:rsid w:val="00092395"/>
    <w:rsid w:val="00095DEC"/>
    <w:rsid w:val="000965BC"/>
    <w:rsid w:val="000973F1"/>
    <w:rsid w:val="000A2A28"/>
    <w:rsid w:val="000A2D3A"/>
    <w:rsid w:val="000A3124"/>
    <w:rsid w:val="000A35D6"/>
    <w:rsid w:val="000B108D"/>
    <w:rsid w:val="000B1BE1"/>
    <w:rsid w:val="000B3817"/>
    <w:rsid w:val="000B3914"/>
    <w:rsid w:val="000B5282"/>
    <w:rsid w:val="000B5489"/>
    <w:rsid w:val="000B6430"/>
    <w:rsid w:val="000B68E3"/>
    <w:rsid w:val="000C224C"/>
    <w:rsid w:val="000C3274"/>
    <w:rsid w:val="000C34FD"/>
    <w:rsid w:val="000C41EA"/>
    <w:rsid w:val="000C45D7"/>
    <w:rsid w:val="000C4D6B"/>
    <w:rsid w:val="000C5FCE"/>
    <w:rsid w:val="000C6B29"/>
    <w:rsid w:val="000C6D5D"/>
    <w:rsid w:val="000D0BB2"/>
    <w:rsid w:val="000D1472"/>
    <w:rsid w:val="000D218A"/>
    <w:rsid w:val="000D5E6D"/>
    <w:rsid w:val="000E01BE"/>
    <w:rsid w:val="000E0E4A"/>
    <w:rsid w:val="000E3516"/>
    <w:rsid w:val="000E4F3E"/>
    <w:rsid w:val="000E4FB4"/>
    <w:rsid w:val="000E501C"/>
    <w:rsid w:val="000E57DB"/>
    <w:rsid w:val="000E5B88"/>
    <w:rsid w:val="000E6117"/>
    <w:rsid w:val="000E6FD6"/>
    <w:rsid w:val="000E774D"/>
    <w:rsid w:val="000F096E"/>
    <w:rsid w:val="000F1811"/>
    <w:rsid w:val="000F3681"/>
    <w:rsid w:val="000F7A8C"/>
    <w:rsid w:val="000F7D73"/>
    <w:rsid w:val="00101951"/>
    <w:rsid w:val="00103015"/>
    <w:rsid w:val="00103253"/>
    <w:rsid w:val="00103D47"/>
    <w:rsid w:val="001042BA"/>
    <w:rsid w:val="00105FEB"/>
    <w:rsid w:val="00106B3A"/>
    <w:rsid w:val="00112636"/>
    <w:rsid w:val="00117FD5"/>
    <w:rsid w:val="0012062D"/>
    <w:rsid w:val="00120A34"/>
    <w:rsid w:val="001214D9"/>
    <w:rsid w:val="00121D60"/>
    <w:rsid w:val="001222F0"/>
    <w:rsid w:val="00124260"/>
    <w:rsid w:val="00125A8E"/>
    <w:rsid w:val="001279DF"/>
    <w:rsid w:val="00127CBF"/>
    <w:rsid w:val="00127CD8"/>
    <w:rsid w:val="001301AD"/>
    <w:rsid w:val="00131700"/>
    <w:rsid w:val="0013236B"/>
    <w:rsid w:val="0013275E"/>
    <w:rsid w:val="001334D9"/>
    <w:rsid w:val="00135027"/>
    <w:rsid w:val="00135327"/>
    <w:rsid w:val="001377D9"/>
    <w:rsid w:val="00137ACD"/>
    <w:rsid w:val="00140806"/>
    <w:rsid w:val="00140DAD"/>
    <w:rsid w:val="00140E3D"/>
    <w:rsid w:val="001421FE"/>
    <w:rsid w:val="001433A3"/>
    <w:rsid w:val="001437EA"/>
    <w:rsid w:val="00144950"/>
    <w:rsid w:val="00144E95"/>
    <w:rsid w:val="00145BE1"/>
    <w:rsid w:val="00146F0C"/>
    <w:rsid w:val="00151CD2"/>
    <w:rsid w:val="00152280"/>
    <w:rsid w:val="0015276C"/>
    <w:rsid w:val="00152947"/>
    <w:rsid w:val="0015375F"/>
    <w:rsid w:val="00154056"/>
    <w:rsid w:val="0015508C"/>
    <w:rsid w:val="00156D9E"/>
    <w:rsid w:val="001575AD"/>
    <w:rsid w:val="00160153"/>
    <w:rsid w:val="00161A1F"/>
    <w:rsid w:val="00163189"/>
    <w:rsid w:val="001656A8"/>
    <w:rsid w:val="0017006A"/>
    <w:rsid w:val="00170BD6"/>
    <w:rsid w:val="00171F2F"/>
    <w:rsid w:val="0017232A"/>
    <w:rsid w:val="00172AA1"/>
    <w:rsid w:val="00173A64"/>
    <w:rsid w:val="00173E0C"/>
    <w:rsid w:val="0017429D"/>
    <w:rsid w:val="00175855"/>
    <w:rsid w:val="00176E29"/>
    <w:rsid w:val="00177683"/>
    <w:rsid w:val="00185491"/>
    <w:rsid w:val="00185FA9"/>
    <w:rsid w:val="00192886"/>
    <w:rsid w:val="00193B41"/>
    <w:rsid w:val="00194459"/>
    <w:rsid w:val="00195030"/>
    <w:rsid w:val="00196991"/>
    <w:rsid w:val="00197C3F"/>
    <w:rsid w:val="001A1123"/>
    <w:rsid w:val="001A11ED"/>
    <w:rsid w:val="001A24C6"/>
    <w:rsid w:val="001A26C4"/>
    <w:rsid w:val="001A2FE9"/>
    <w:rsid w:val="001A4389"/>
    <w:rsid w:val="001A56D6"/>
    <w:rsid w:val="001A7FED"/>
    <w:rsid w:val="001B3C7A"/>
    <w:rsid w:val="001B47EB"/>
    <w:rsid w:val="001B4F0B"/>
    <w:rsid w:val="001B5731"/>
    <w:rsid w:val="001B596C"/>
    <w:rsid w:val="001B6531"/>
    <w:rsid w:val="001B696A"/>
    <w:rsid w:val="001C1107"/>
    <w:rsid w:val="001C49FD"/>
    <w:rsid w:val="001C5149"/>
    <w:rsid w:val="001C6174"/>
    <w:rsid w:val="001C75B6"/>
    <w:rsid w:val="001C7EFD"/>
    <w:rsid w:val="001D00E3"/>
    <w:rsid w:val="001D0AF3"/>
    <w:rsid w:val="001D1BE3"/>
    <w:rsid w:val="001D1D8A"/>
    <w:rsid w:val="001D20B7"/>
    <w:rsid w:val="001D33A1"/>
    <w:rsid w:val="001D367B"/>
    <w:rsid w:val="001D36EE"/>
    <w:rsid w:val="001D3959"/>
    <w:rsid w:val="001E07CE"/>
    <w:rsid w:val="001E2C94"/>
    <w:rsid w:val="001E2F7F"/>
    <w:rsid w:val="001E52EB"/>
    <w:rsid w:val="001E5553"/>
    <w:rsid w:val="001E5562"/>
    <w:rsid w:val="001E5A0B"/>
    <w:rsid w:val="001F0ED8"/>
    <w:rsid w:val="001F127D"/>
    <w:rsid w:val="001F3626"/>
    <w:rsid w:val="001F7336"/>
    <w:rsid w:val="001F756C"/>
    <w:rsid w:val="00200358"/>
    <w:rsid w:val="002005CD"/>
    <w:rsid w:val="00201F75"/>
    <w:rsid w:val="00202EC1"/>
    <w:rsid w:val="00204283"/>
    <w:rsid w:val="00204EEF"/>
    <w:rsid w:val="00205456"/>
    <w:rsid w:val="00205A3C"/>
    <w:rsid w:val="00205DBD"/>
    <w:rsid w:val="00206F76"/>
    <w:rsid w:val="00207192"/>
    <w:rsid w:val="00207297"/>
    <w:rsid w:val="00207BCF"/>
    <w:rsid w:val="00210E41"/>
    <w:rsid w:val="0021337D"/>
    <w:rsid w:val="0021392C"/>
    <w:rsid w:val="00213BF3"/>
    <w:rsid w:val="0021551D"/>
    <w:rsid w:val="00216A1C"/>
    <w:rsid w:val="002178EA"/>
    <w:rsid w:val="00221390"/>
    <w:rsid w:val="00223F82"/>
    <w:rsid w:val="00224C52"/>
    <w:rsid w:val="00226C55"/>
    <w:rsid w:val="002270C3"/>
    <w:rsid w:val="00232304"/>
    <w:rsid w:val="002348D2"/>
    <w:rsid w:val="002378EE"/>
    <w:rsid w:val="00237EDA"/>
    <w:rsid w:val="00240B63"/>
    <w:rsid w:val="00242DD6"/>
    <w:rsid w:val="00243B26"/>
    <w:rsid w:val="002445E3"/>
    <w:rsid w:val="002454EC"/>
    <w:rsid w:val="00247EBF"/>
    <w:rsid w:val="00257772"/>
    <w:rsid w:val="00261499"/>
    <w:rsid w:val="00261C83"/>
    <w:rsid w:val="002625FA"/>
    <w:rsid w:val="002654E5"/>
    <w:rsid w:val="002672A4"/>
    <w:rsid w:val="0027038E"/>
    <w:rsid w:val="00271455"/>
    <w:rsid w:val="00271EAA"/>
    <w:rsid w:val="002722A1"/>
    <w:rsid w:val="00272D61"/>
    <w:rsid w:val="00273B56"/>
    <w:rsid w:val="0027425E"/>
    <w:rsid w:val="002747E8"/>
    <w:rsid w:val="00274EEA"/>
    <w:rsid w:val="00276262"/>
    <w:rsid w:val="0027686D"/>
    <w:rsid w:val="002808A9"/>
    <w:rsid w:val="002847F4"/>
    <w:rsid w:val="00284C9D"/>
    <w:rsid w:val="00287A5C"/>
    <w:rsid w:val="00287CAB"/>
    <w:rsid w:val="00291AC1"/>
    <w:rsid w:val="002925A9"/>
    <w:rsid w:val="00292863"/>
    <w:rsid w:val="002933AF"/>
    <w:rsid w:val="00293DC9"/>
    <w:rsid w:val="00294430"/>
    <w:rsid w:val="00296CA7"/>
    <w:rsid w:val="00296FAF"/>
    <w:rsid w:val="00297EAB"/>
    <w:rsid w:val="00297FA7"/>
    <w:rsid w:val="002A15F1"/>
    <w:rsid w:val="002A4961"/>
    <w:rsid w:val="002A7BBD"/>
    <w:rsid w:val="002B1D4A"/>
    <w:rsid w:val="002B313C"/>
    <w:rsid w:val="002B4448"/>
    <w:rsid w:val="002B5C28"/>
    <w:rsid w:val="002C1F84"/>
    <w:rsid w:val="002C36AF"/>
    <w:rsid w:val="002C40FB"/>
    <w:rsid w:val="002C7194"/>
    <w:rsid w:val="002D0E25"/>
    <w:rsid w:val="002D1364"/>
    <w:rsid w:val="002D1504"/>
    <w:rsid w:val="002D1875"/>
    <w:rsid w:val="002D2E28"/>
    <w:rsid w:val="002D564A"/>
    <w:rsid w:val="002D73C0"/>
    <w:rsid w:val="002D77F2"/>
    <w:rsid w:val="002D7A08"/>
    <w:rsid w:val="002E12E6"/>
    <w:rsid w:val="002E19E1"/>
    <w:rsid w:val="002E2297"/>
    <w:rsid w:val="002E3E24"/>
    <w:rsid w:val="002E45CD"/>
    <w:rsid w:val="002E5928"/>
    <w:rsid w:val="002F632A"/>
    <w:rsid w:val="002F63C7"/>
    <w:rsid w:val="002F76C6"/>
    <w:rsid w:val="003012FC"/>
    <w:rsid w:val="00301489"/>
    <w:rsid w:val="00304A88"/>
    <w:rsid w:val="00304E64"/>
    <w:rsid w:val="00305E84"/>
    <w:rsid w:val="00307358"/>
    <w:rsid w:val="0031070C"/>
    <w:rsid w:val="00313612"/>
    <w:rsid w:val="0031464D"/>
    <w:rsid w:val="00315DE7"/>
    <w:rsid w:val="00316053"/>
    <w:rsid w:val="00316D9C"/>
    <w:rsid w:val="003170AC"/>
    <w:rsid w:val="00323C61"/>
    <w:rsid w:val="00324CAA"/>
    <w:rsid w:val="00326C24"/>
    <w:rsid w:val="0032791F"/>
    <w:rsid w:val="0033070E"/>
    <w:rsid w:val="003369B0"/>
    <w:rsid w:val="00336ACE"/>
    <w:rsid w:val="003415F9"/>
    <w:rsid w:val="00341B62"/>
    <w:rsid w:val="003440C7"/>
    <w:rsid w:val="0034483E"/>
    <w:rsid w:val="00344FE4"/>
    <w:rsid w:val="00345FA2"/>
    <w:rsid w:val="0034632A"/>
    <w:rsid w:val="003503D4"/>
    <w:rsid w:val="00350656"/>
    <w:rsid w:val="00350779"/>
    <w:rsid w:val="00353D81"/>
    <w:rsid w:val="00354743"/>
    <w:rsid w:val="003548C1"/>
    <w:rsid w:val="003630E9"/>
    <w:rsid w:val="0036384A"/>
    <w:rsid w:val="00364B78"/>
    <w:rsid w:val="00365D2C"/>
    <w:rsid w:val="00367652"/>
    <w:rsid w:val="00367C2D"/>
    <w:rsid w:val="0037028F"/>
    <w:rsid w:val="003719BF"/>
    <w:rsid w:val="0037238C"/>
    <w:rsid w:val="003741C6"/>
    <w:rsid w:val="003748D4"/>
    <w:rsid w:val="00375010"/>
    <w:rsid w:val="00376E75"/>
    <w:rsid w:val="0037728A"/>
    <w:rsid w:val="00377427"/>
    <w:rsid w:val="0038163B"/>
    <w:rsid w:val="00386B68"/>
    <w:rsid w:val="00386E17"/>
    <w:rsid w:val="0038758C"/>
    <w:rsid w:val="00390ED7"/>
    <w:rsid w:val="003911EF"/>
    <w:rsid w:val="003913F1"/>
    <w:rsid w:val="00393A61"/>
    <w:rsid w:val="00394454"/>
    <w:rsid w:val="00394820"/>
    <w:rsid w:val="00395655"/>
    <w:rsid w:val="00397A4E"/>
    <w:rsid w:val="003A0147"/>
    <w:rsid w:val="003A0965"/>
    <w:rsid w:val="003A21A3"/>
    <w:rsid w:val="003A373E"/>
    <w:rsid w:val="003A3D0E"/>
    <w:rsid w:val="003A4424"/>
    <w:rsid w:val="003A4D86"/>
    <w:rsid w:val="003A530C"/>
    <w:rsid w:val="003A5841"/>
    <w:rsid w:val="003A7B17"/>
    <w:rsid w:val="003B0CC5"/>
    <w:rsid w:val="003B29B0"/>
    <w:rsid w:val="003B2DA8"/>
    <w:rsid w:val="003B3044"/>
    <w:rsid w:val="003B3052"/>
    <w:rsid w:val="003B5656"/>
    <w:rsid w:val="003B67B0"/>
    <w:rsid w:val="003B6C2D"/>
    <w:rsid w:val="003C04F6"/>
    <w:rsid w:val="003C0645"/>
    <w:rsid w:val="003C0D20"/>
    <w:rsid w:val="003C145F"/>
    <w:rsid w:val="003C16A9"/>
    <w:rsid w:val="003C1E66"/>
    <w:rsid w:val="003C202D"/>
    <w:rsid w:val="003C32CA"/>
    <w:rsid w:val="003C3EA5"/>
    <w:rsid w:val="003C42EF"/>
    <w:rsid w:val="003C69D9"/>
    <w:rsid w:val="003D0FC6"/>
    <w:rsid w:val="003D2775"/>
    <w:rsid w:val="003D47C4"/>
    <w:rsid w:val="003D60DE"/>
    <w:rsid w:val="003D7CE2"/>
    <w:rsid w:val="003E001E"/>
    <w:rsid w:val="003E1283"/>
    <w:rsid w:val="003E24C7"/>
    <w:rsid w:val="003E4413"/>
    <w:rsid w:val="003E46E7"/>
    <w:rsid w:val="003E59FC"/>
    <w:rsid w:val="003E5B26"/>
    <w:rsid w:val="003E6EB5"/>
    <w:rsid w:val="003F09F7"/>
    <w:rsid w:val="003F1AA1"/>
    <w:rsid w:val="003F24BC"/>
    <w:rsid w:val="003F264A"/>
    <w:rsid w:val="003F3519"/>
    <w:rsid w:val="003F3802"/>
    <w:rsid w:val="003F492F"/>
    <w:rsid w:val="00402144"/>
    <w:rsid w:val="004026BA"/>
    <w:rsid w:val="00402CC7"/>
    <w:rsid w:val="00402D70"/>
    <w:rsid w:val="00403CE4"/>
    <w:rsid w:val="004075A3"/>
    <w:rsid w:val="00410977"/>
    <w:rsid w:val="00410A3F"/>
    <w:rsid w:val="0041144F"/>
    <w:rsid w:val="00411D1E"/>
    <w:rsid w:val="004132E4"/>
    <w:rsid w:val="004143B1"/>
    <w:rsid w:val="0041556E"/>
    <w:rsid w:val="00415A55"/>
    <w:rsid w:val="004217E3"/>
    <w:rsid w:val="00424705"/>
    <w:rsid w:val="00424C51"/>
    <w:rsid w:val="00425A1E"/>
    <w:rsid w:val="00425AC0"/>
    <w:rsid w:val="00425FCB"/>
    <w:rsid w:val="004263FD"/>
    <w:rsid w:val="00427368"/>
    <w:rsid w:val="00430F1B"/>
    <w:rsid w:val="00431CBD"/>
    <w:rsid w:val="004327E1"/>
    <w:rsid w:val="00432894"/>
    <w:rsid w:val="00434172"/>
    <w:rsid w:val="00434240"/>
    <w:rsid w:val="00434508"/>
    <w:rsid w:val="00434641"/>
    <w:rsid w:val="00434CDD"/>
    <w:rsid w:val="004355D0"/>
    <w:rsid w:val="004355E8"/>
    <w:rsid w:val="0043612D"/>
    <w:rsid w:val="00436435"/>
    <w:rsid w:val="00445460"/>
    <w:rsid w:val="00445F44"/>
    <w:rsid w:val="00446B03"/>
    <w:rsid w:val="0044797F"/>
    <w:rsid w:val="00447ECC"/>
    <w:rsid w:val="00451192"/>
    <w:rsid w:val="00452164"/>
    <w:rsid w:val="004524A5"/>
    <w:rsid w:val="00452ED9"/>
    <w:rsid w:val="00455C2A"/>
    <w:rsid w:val="004573E5"/>
    <w:rsid w:val="004618B8"/>
    <w:rsid w:val="00464E82"/>
    <w:rsid w:val="00466147"/>
    <w:rsid w:val="0046683E"/>
    <w:rsid w:val="00470B0B"/>
    <w:rsid w:val="00471BD9"/>
    <w:rsid w:val="00472F61"/>
    <w:rsid w:val="00475C80"/>
    <w:rsid w:val="00475FA7"/>
    <w:rsid w:val="00481DE1"/>
    <w:rsid w:val="0048294E"/>
    <w:rsid w:val="00484B49"/>
    <w:rsid w:val="00484DBC"/>
    <w:rsid w:val="00486894"/>
    <w:rsid w:val="00487730"/>
    <w:rsid w:val="00487CD0"/>
    <w:rsid w:val="00487E81"/>
    <w:rsid w:val="00490BA0"/>
    <w:rsid w:val="00492074"/>
    <w:rsid w:val="0049399E"/>
    <w:rsid w:val="004940B0"/>
    <w:rsid w:val="00494834"/>
    <w:rsid w:val="0049486C"/>
    <w:rsid w:val="004968C6"/>
    <w:rsid w:val="00497EBF"/>
    <w:rsid w:val="004A160C"/>
    <w:rsid w:val="004A2F70"/>
    <w:rsid w:val="004A336E"/>
    <w:rsid w:val="004A409F"/>
    <w:rsid w:val="004A48D9"/>
    <w:rsid w:val="004A4EBF"/>
    <w:rsid w:val="004A6B2D"/>
    <w:rsid w:val="004A7B01"/>
    <w:rsid w:val="004B0A19"/>
    <w:rsid w:val="004B2C3F"/>
    <w:rsid w:val="004C06D5"/>
    <w:rsid w:val="004C1006"/>
    <w:rsid w:val="004C40BC"/>
    <w:rsid w:val="004D1250"/>
    <w:rsid w:val="004D156B"/>
    <w:rsid w:val="004D5695"/>
    <w:rsid w:val="004D665B"/>
    <w:rsid w:val="004D6C16"/>
    <w:rsid w:val="004D7B86"/>
    <w:rsid w:val="004E1682"/>
    <w:rsid w:val="004E2C3A"/>
    <w:rsid w:val="004E40B4"/>
    <w:rsid w:val="004E4787"/>
    <w:rsid w:val="004E48AA"/>
    <w:rsid w:val="004E4BFF"/>
    <w:rsid w:val="004E592D"/>
    <w:rsid w:val="004E6767"/>
    <w:rsid w:val="004F411B"/>
    <w:rsid w:val="004F53E6"/>
    <w:rsid w:val="004F5405"/>
    <w:rsid w:val="004F54FF"/>
    <w:rsid w:val="004F7896"/>
    <w:rsid w:val="004F7D8C"/>
    <w:rsid w:val="005001BA"/>
    <w:rsid w:val="00501BEB"/>
    <w:rsid w:val="005021A5"/>
    <w:rsid w:val="00503218"/>
    <w:rsid w:val="00505873"/>
    <w:rsid w:val="00506CF9"/>
    <w:rsid w:val="00506F28"/>
    <w:rsid w:val="00507A45"/>
    <w:rsid w:val="00513BFD"/>
    <w:rsid w:val="005146EC"/>
    <w:rsid w:val="00515BBE"/>
    <w:rsid w:val="00515DA8"/>
    <w:rsid w:val="005169CB"/>
    <w:rsid w:val="0051713D"/>
    <w:rsid w:val="00517337"/>
    <w:rsid w:val="005173FC"/>
    <w:rsid w:val="005200C9"/>
    <w:rsid w:val="00521455"/>
    <w:rsid w:val="00521A7C"/>
    <w:rsid w:val="00522CE6"/>
    <w:rsid w:val="00523015"/>
    <w:rsid w:val="00523784"/>
    <w:rsid w:val="00523900"/>
    <w:rsid w:val="00524146"/>
    <w:rsid w:val="00524226"/>
    <w:rsid w:val="00527330"/>
    <w:rsid w:val="00531D3B"/>
    <w:rsid w:val="0053335B"/>
    <w:rsid w:val="00533663"/>
    <w:rsid w:val="00536596"/>
    <w:rsid w:val="005366FF"/>
    <w:rsid w:val="00537A32"/>
    <w:rsid w:val="0054527C"/>
    <w:rsid w:val="00545B15"/>
    <w:rsid w:val="0054602B"/>
    <w:rsid w:val="00546375"/>
    <w:rsid w:val="00547F5F"/>
    <w:rsid w:val="0055049A"/>
    <w:rsid w:val="00551359"/>
    <w:rsid w:val="00553B33"/>
    <w:rsid w:val="0055432B"/>
    <w:rsid w:val="005567AF"/>
    <w:rsid w:val="00561450"/>
    <w:rsid w:val="005620CA"/>
    <w:rsid w:val="005706CD"/>
    <w:rsid w:val="00572401"/>
    <w:rsid w:val="00572C31"/>
    <w:rsid w:val="005732E6"/>
    <w:rsid w:val="0057649E"/>
    <w:rsid w:val="005769A5"/>
    <w:rsid w:val="00577C30"/>
    <w:rsid w:val="00580708"/>
    <w:rsid w:val="005812FF"/>
    <w:rsid w:val="005819C8"/>
    <w:rsid w:val="00583C04"/>
    <w:rsid w:val="0058422E"/>
    <w:rsid w:val="00584B84"/>
    <w:rsid w:val="005905A0"/>
    <w:rsid w:val="00591EC0"/>
    <w:rsid w:val="005930D1"/>
    <w:rsid w:val="00593F77"/>
    <w:rsid w:val="00597535"/>
    <w:rsid w:val="0059779C"/>
    <w:rsid w:val="005A54B4"/>
    <w:rsid w:val="005A7050"/>
    <w:rsid w:val="005B3C8C"/>
    <w:rsid w:val="005B3CBC"/>
    <w:rsid w:val="005B510A"/>
    <w:rsid w:val="005B5CE6"/>
    <w:rsid w:val="005C0598"/>
    <w:rsid w:val="005C0740"/>
    <w:rsid w:val="005C0DF7"/>
    <w:rsid w:val="005C18D0"/>
    <w:rsid w:val="005C288E"/>
    <w:rsid w:val="005C395A"/>
    <w:rsid w:val="005D0BEB"/>
    <w:rsid w:val="005D2E0D"/>
    <w:rsid w:val="005D4D12"/>
    <w:rsid w:val="005E2026"/>
    <w:rsid w:val="005E2FB6"/>
    <w:rsid w:val="005E32F3"/>
    <w:rsid w:val="005E4BCE"/>
    <w:rsid w:val="005F33E0"/>
    <w:rsid w:val="005F4914"/>
    <w:rsid w:val="005F5DF6"/>
    <w:rsid w:val="005F5FA1"/>
    <w:rsid w:val="005F7A07"/>
    <w:rsid w:val="005F7D42"/>
    <w:rsid w:val="0060088C"/>
    <w:rsid w:val="006018C9"/>
    <w:rsid w:val="00603665"/>
    <w:rsid w:val="00604F05"/>
    <w:rsid w:val="00605695"/>
    <w:rsid w:val="00605E9A"/>
    <w:rsid w:val="00611C80"/>
    <w:rsid w:val="00611D31"/>
    <w:rsid w:val="00613502"/>
    <w:rsid w:val="0061650D"/>
    <w:rsid w:val="00616B06"/>
    <w:rsid w:val="00617FC1"/>
    <w:rsid w:val="006202A1"/>
    <w:rsid w:val="0062319E"/>
    <w:rsid w:val="00625432"/>
    <w:rsid w:val="00626E42"/>
    <w:rsid w:val="0062794F"/>
    <w:rsid w:val="00627EDA"/>
    <w:rsid w:val="006313EC"/>
    <w:rsid w:val="0063180C"/>
    <w:rsid w:val="00631B74"/>
    <w:rsid w:val="0063249E"/>
    <w:rsid w:val="00633B83"/>
    <w:rsid w:val="00635ED9"/>
    <w:rsid w:val="006361D9"/>
    <w:rsid w:val="00636200"/>
    <w:rsid w:val="00636C4C"/>
    <w:rsid w:val="00637DB1"/>
    <w:rsid w:val="006409E9"/>
    <w:rsid w:val="00645241"/>
    <w:rsid w:val="0064592E"/>
    <w:rsid w:val="00645B16"/>
    <w:rsid w:val="00645DC7"/>
    <w:rsid w:val="00646993"/>
    <w:rsid w:val="0064724F"/>
    <w:rsid w:val="006507CB"/>
    <w:rsid w:val="00650C53"/>
    <w:rsid w:val="00651D68"/>
    <w:rsid w:val="00652D30"/>
    <w:rsid w:val="006540EF"/>
    <w:rsid w:val="00656314"/>
    <w:rsid w:val="00656C5D"/>
    <w:rsid w:val="00657260"/>
    <w:rsid w:val="00661580"/>
    <w:rsid w:val="006619C4"/>
    <w:rsid w:val="00661BE8"/>
    <w:rsid w:val="0066736B"/>
    <w:rsid w:val="00667B6F"/>
    <w:rsid w:val="00667F82"/>
    <w:rsid w:val="006700AA"/>
    <w:rsid w:val="00672946"/>
    <w:rsid w:val="00672BD2"/>
    <w:rsid w:val="00672D97"/>
    <w:rsid w:val="00673E5E"/>
    <w:rsid w:val="00674493"/>
    <w:rsid w:val="0067507B"/>
    <w:rsid w:val="00675845"/>
    <w:rsid w:val="00677A0D"/>
    <w:rsid w:val="00682372"/>
    <w:rsid w:val="006825F9"/>
    <w:rsid w:val="00683087"/>
    <w:rsid w:val="00685653"/>
    <w:rsid w:val="00686CE3"/>
    <w:rsid w:val="006875C8"/>
    <w:rsid w:val="00687BDE"/>
    <w:rsid w:val="00687E9C"/>
    <w:rsid w:val="00690929"/>
    <w:rsid w:val="006929AA"/>
    <w:rsid w:val="006930D1"/>
    <w:rsid w:val="006931AD"/>
    <w:rsid w:val="00693F2F"/>
    <w:rsid w:val="006940BB"/>
    <w:rsid w:val="00696CF0"/>
    <w:rsid w:val="00696D40"/>
    <w:rsid w:val="00697001"/>
    <w:rsid w:val="006A0097"/>
    <w:rsid w:val="006A1788"/>
    <w:rsid w:val="006A20EE"/>
    <w:rsid w:val="006A30EA"/>
    <w:rsid w:val="006A6248"/>
    <w:rsid w:val="006A6280"/>
    <w:rsid w:val="006A666D"/>
    <w:rsid w:val="006B0454"/>
    <w:rsid w:val="006B1660"/>
    <w:rsid w:val="006B2D99"/>
    <w:rsid w:val="006B3B06"/>
    <w:rsid w:val="006B45D7"/>
    <w:rsid w:val="006B45FE"/>
    <w:rsid w:val="006B52D9"/>
    <w:rsid w:val="006B5314"/>
    <w:rsid w:val="006B6373"/>
    <w:rsid w:val="006B6E38"/>
    <w:rsid w:val="006B7633"/>
    <w:rsid w:val="006C3EF7"/>
    <w:rsid w:val="006C5FAE"/>
    <w:rsid w:val="006C60A7"/>
    <w:rsid w:val="006C621A"/>
    <w:rsid w:val="006D0E9C"/>
    <w:rsid w:val="006D14BA"/>
    <w:rsid w:val="006D58E2"/>
    <w:rsid w:val="006D7B6B"/>
    <w:rsid w:val="006E28E3"/>
    <w:rsid w:val="006E3838"/>
    <w:rsid w:val="006E3C40"/>
    <w:rsid w:val="006E3D18"/>
    <w:rsid w:val="006E5E0B"/>
    <w:rsid w:val="006E7699"/>
    <w:rsid w:val="006F02D0"/>
    <w:rsid w:val="006F27AC"/>
    <w:rsid w:val="006F33E9"/>
    <w:rsid w:val="006F3C66"/>
    <w:rsid w:val="006F3E5C"/>
    <w:rsid w:val="006F45A7"/>
    <w:rsid w:val="006F498A"/>
    <w:rsid w:val="006F627D"/>
    <w:rsid w:val="006F676A"/>
    <w:rsid w:val="00700303"/>
    <w:rsid w:val="00701CB8"/>
    <w:rsid w:val="00701E47"/>
    <w:rsid w:val="0070350F"/>
    <w:rsid w:val="00704CE4"/>
    <w:rsid w:val="00707A97"/>
    <w:rsid w:val="00707E57"/>
    <w:rsid w:val="00707F49"/>
    <w:rsid w:val="007103B5"/>
    <w:rsid w:val="007116CB"/>
    <w:rsid w:val="00712FC0"/>
    <w:rsid w:val="00714F37"/>
    <w:rsid w:val="007213BB"/>
    <w:rsid w:val="0072758F"/>
    <w:rsid w:val="007310DF"/>
    <w:rsid w:val="007314EF"/>
    <w:rsid w:val="00732CF0"/>
    <w:rsid w:val="007361C9"/>
    <w:rsid w:val="0073763E"/>
    <w:rsid w:val="007420E9"/>
    <w:rsid w:val="00742A05"/>
    <w:rsid w:val="007452A0"/>
    <w:rsid w:val="00745786"/>
    <w:rsid w:val="00745FCA"/>
    <w:rsid w:val="0074611F"/>
    <w:rsid w:val="00746E0C"/>
    <w:rsid w:val="00747943"/>
    <w:rsid w:val="00752180"/>
    <w:rsid w:val="00752BD5"/>
    <w:rsid w:val="00753090"/>
    <w:rsid w:val="0075573F"/>
    <w:rsid w:val="0075604F"/>
    <w:rsid w:val="00756861"/>
    <w:rsid w:val="00756D99"/>
    <w:rsid w:val="00756F20"/>
    <w:rsid w:val="00760772"/>
    <w:rsid w:val="00760DDE"/>
    <w:rsid w:val="00761F6E"/>
    <w:rsid w:val="007620AE"/>
    <w:rsid w:val="0076279C"/>
    <w:rsid w:val="00762D20"/>
    <w:rsid w:val="00762EC5"/>
    <w:rsid w:val="00763959"/>
    <w:rsid w:val="007658A2"/>
    <w:rsid w:val="00766AF5"/>
    <w:rsid w:val="00772715"/>
    <w:rsid w:val="00774960"/>
    <w:rsid w:val="0077536C"/>
    <w:rsid w:val="0077559B"/>
    <w:rsid w:val="00782538"/>
    <w:rsid w:val="007828DD"/>
    <w:rsid w:val="00782AA7"/>
    <w:rsid w:val="00783FAB"/>
    <w:rsid w:val="00785B13"/>
    <w:rsid w:val="0078617C"/>
    <w:rsid w:val="0079091F"/>
    <w:rsid w:val="00790CFE"/>
    <w:rsid w:val="00791AAC"/>
    <w:rsid w:val="00793BE4"/>
    <w:rsid w:val="00795969"/>
    <w:rsid w:val="007A0AD5"/>
    <w:rsid w:val="007A105D"/>
    <w:rsid w:val="007A25C8"/>
    <w:rsid w:val="007A6AF0"/>
    <w:rsid w:val="007B0A9E"/>
    <w:rsid w:val="007B44CD"/>
    <w:rsid w:val="007B4836"/>
    <w:rsid w:val="007C316A"/>
    <w:rsid w:val="007C3734"/>
    <w:rsid w:val="007C41A3"/>
    <w:rsid w:val="007C5020"/>
    <w:rsid w:val="007D12B2"/>
    <w:rsid w:val="007D1486"/>
    <w:rsid w:val="007D1F16"/>
    <w:rsid w:val="007D4D24"/>
    <w:rsid w:val="007D4E08"/>
    <w:rsid w:val="007D67D4"/>
    <w:rsid w:val="007E00A8"/>
    <w:rsid w:val="007E16D6"/>
    <w:rsid w:val="007E2197"/>
    <w:rsid w:val="007E3446"/>
    <w:rsid w:val="007E3447"/>
    <w:rsid w:val="007E36E5"/>
    <w:rsid w:val="007E38A2"/>
    <w:rsid w:val="007E63F4"/>
    <w:rsid w:val="007E6EC6"/>
    <w:rsid w:val="007F33AF"/>
    <w:rsid w:val="007F412B"/>
    <w:rsid w:val="007F563E"/>
    <w:rsid w:val="007F7380"/>
    <w:rsid w:val="00800653"/>
    <w:rsid w:val="00801C60"/>
    <w:rsid w:val="008033A7"/>
    <w:rsid w:val="00803447"/>
    <w:rsid w:val="008035CF"/>
    <w:rsid w:val="0080584E"/>
    <w:rsid w:val="00805863"/>
    <w:rsid w:val="00805FEB"/>
    <w:rsid w:val="008070EB"/>
    <w:rsid w:val="0081177E"/>
    <w:rsid w:val="00811E34"/>
    <w:rsid w:val="0081284C"/>
    <w:rsid w:val="00812C37"/>
    <w:rsid w:val="008134D5"/>
    <w:rsid w:val="00813A38"/>
    <w:rsid w:val="0081629D"/>
    <w:rsid w:val="00816BFE"/>
    <w:rsid w:val="00820750"/>
    <w:rsid w:val="00821638"/>
    <w:rsid w:val="00821926"/>
    <w:rsid w:val="00822973"/>
    <w:rsid w:val="00822A06"/>
    <w:rsid w:val="00823B66"/>
    <w:rsid w:val="00823D0A"/>
    <w:rsid w:val="00824A98"/>
    <w:rsid w:val="008260D8"/>
    <w:rsid w:val="008310AA"/>
    <w:rsid w:val="00834114"/>
    <w:rsid w:val="00834182"/>
    <w:rsid w:val="00835DB2"/>
    <w:rsid w:val="00836969"/>
    <w:rsid w:val="00843D52"/>
    <w:rsid w:val="008441CC"/>
    <w:rsid w:val="00844D23"/>
    <w:rsid w:val="00846616"/>
    <w:rsid w:val="00847082"/>
    <w:rsid w:val="0084768A"/>
    <w:rsid w:val="0085017E"/>
    <w:rsid w:val="00850F6F"/>
    <w:rsid w:val="008517D8"/>
    <w:rsid w:val="00851EBC"/>
    <w:rsid w:val="00855239"/>
    <w:rsid w:val="00856BC4"/>
    <w:rsid w:val="00862FA0"/>
    <w:rsid w:val="00864741"/>
    <w:rsid w:val="00866914"/>
    <w:rsid w:val="008669CC"/>
    <w:rsid w:val="00867101"/>
    <w:rsid w:val="00870E9D"/>
    <w:rsid w:val="00872D08"/>
    <w:rsid w:val="008736CF"/>
    <w:rsid w:val="008755D8"/>
    <w:rsid w:val="0087737F"/>
    <w:rsid w:val="008833DB"/>
    <w:rsid w:val="00883D82"/>
    <w:rsid w:val="00884626"/>
    <w:rsid w:val="0088497A"/>
    <w:rsid w:val="00884FEB"/>
    <w:rsid w:val="00885386"/>
    <w:rsid w:val="0089262E"/>
    <w:rsid w:val="00894B6C"/>
    <w:rsid w:val="008950A0"/>
    <w:rsid w:val="00896DA0"/>
    <w:rsid w:val="008A1F97"/>
    <w:rsid w:val="008A1FEF"/>
    <w:rsid w:val="008A29CF"/>
    <w:rsid w:val="008A325B"/>
    <w:rsid w:val="008A3867"/>
    <w:rsid w:val="008A6224"/>
    <w:rsid w:val="008A69B5"/>
    <w:rsid w:val="008A7931"/>
    <w:rsid w:val="008B478B"/>
    <w:rsid w:val="008B51C6"/>
    <w:rsid w:val="008B61B7"/>
    <w:rsid w:val="008B67F5"/>
    <w:rsid w:val="008C2501"/>
    <w:rsid w:val="008C2AF3"/>
    <w:rsid w:val="008C48EF"/>
    <w:rsid w:val="008C497B"/>
    <w:rsid w:val="008C572C"/>
    <w:rsid w:val="008C76FD"/>
    <w:rsid w:val="008D22EF"/>
    <w:rsid w:val="008D2607"/>
    <w:rsid w:val="008D72EA"/>
    <w:rsid w:val="008D7625"/>
    <w:rsid w:val="008E16BD"/>
    <w:rsid w:val="008E23B6"/>
    <w:rsid w:val="008E2F06"/>
    <w:rsid w:val="008E30D6"/>
    <w:rsid w:val="008E30D9"/>
    <w:rsid w:val="008E3592"/>
    <w:rsid w:val="008E476C"/>
    <w:rsid w:val="008E58BB"/>
    <w:rsid w:val="008E68D3"/>
    <w:rsid w:val="008E79DF"/>
    <w:rsid w:val="008F002D"/>
    <w:rsid w:val="008F2155"/>
    <w:rsid w:val="008F43E8"/>
    <w:rsid w:val="008F4BD7"/>
    <w:rsid w:val="00900807"/>
    <w:rsid w:val="009014F5"/>
    <w:rsid w:val="00902A26"/>
    <w:rsid w:val="00903257"/>
    <w:rsid w:val="009036C0"/>
    <w:rsid w:val="009048A2"/>
    <w:rsid w:val="009048FD"/>
    <w:rsid w:val="00905C61"/>
    <w:rsid w:val="00906BC6"/>
    <w:rsid w:val="00907D61"/>
    <w:rsid w:val="00910064"/>
    <w:rsid w:val="009114DC"/>
    <w:rsid w:val="00911D92"/>
    <w:rsid w:val="009121D3"/>
    <w:rsid w:val="00912223"/>
    <w:rsid w:val="0091364D"/>
    <w:rsid w:val="0091514A"/>
    <w:rsid w:val="009165B9"/>
    <w:rsid w:val="009176F5"/>
    <w:rsid w:val="009208B7"/>
    <w:rsid w:val="009240A9"/>
    <w:rsid w:val="009251F4"/>
    <w:rsid w:val="00925854"/>
    <w:rsid w:val="00933AD6"/>
    <w:rsid w:val="0093515C"/>
    <w:rsid w:val="00937032"/>
    <w:rsid w:val="00937ED4"/>
    <w:rsid w:val="00941652"/>
    <w:rsid w:val="009421AA"/>
    <w:rsid w:val="0094476A"/>
    <w:rsid w:val="0094774B"/>
    <w:rsid w:val="009554C5"/>
    <w:rsid w:val="00956860"/>
    <w:rsid w:val="0095786F"/>
    <w:rsid w:val="00962AB6"/>
    <w:rsid w:val="00964375"/>
    <w:rsid w:val="00966059"/>
    <w:rsid w:val="00970AAB"/>
    <w:rsid w:val="0097388C"/>
    <w:rsid w:val="00974504"/>
    <w:rsid w:val="00975A4A"/>
    <w:rsid w:val="00976413"/>
    <w:rsid w:val="009767B4"/>
    <w:rsid w:val="0097766F"/>
    <w:rsid w:val="00977D37"/>
    <w:rsid w:val="009807AE"/>
    <w:rsid w:val="00984ADE"/>
    <w:rsid w:val="00984E37"/>
    <w:rsid w:val="00986942"/>
    <w:rsid w:val="00990334"/>
    <w:rsid w:val="009905AA"/>
    <w:rsid w:val="00991158"/>
    <w:rsid w:val="00991769"/>
    <w:rsid w:val="0099199E"/>
    <w:rsid w:val="00991F24"/>
    <w:rsid w:val="009920D6"/>
    <w:rsid w:val="0099474B"/>
    <w:rsid w:val="009959FF"/>
    <w:rsid w:val="00995C44"/>
    <w:rsid w:val="00997EEB"/>
    <w:rsid w:val="009A04A5"/>
    <w:rsid w:val="009A06E3"/>
    <w:rsid w:val="009A14CF"/>
    <w:rsid w:val="009A35A0"/>
    <w:rsid w:val="009A6E7E"/>
    <w:rsid w:val="009A7CFA"/>
    <w:rsid w:val="009B0041"/>
    <w:rsid w:val="009B0795"/>
    <w:rsid w:val="009B0C51"/>
    <w:rsid w:val="009B1528"/>
    <w:rsid w:val="009B2183"/>
    <w:rsid w:val="009B29AC"/>
    <w:rsid w:val="009B2D8A"/>
    <w:rsid w:val="009B4B7F"/>
    <w:rsid w:val="009B61D1"/>
    <w:rsid w:val="009C0F35"/>
    <w:rsid w:val="009C10C1"/>
    <w:rsid w:val="009C1E82"/>
    <w:rsid w:val="009C2962"/>
    <w:rsid w:val="009C4829"/>
    <w:rsid w:val="009C4F55"/>
    <w:rsid w:val="009C50FE"/>
    <w:rsid w:val="009C5E5D"/>
    <w:rsid w:val="009D0667"/>
    <w:rsid w:val="009D23FB"/>
    <w:rsid w:val="009D3D96"/>
    <w:rsid w:val="009D48FF"/>
    <w:rsid w:val="009D4C11"/>
    <w:rsid w:val="009D62D4"/>
    <w:rsid w:val="009D7562"/>
    <w:rsid w:val="009E0693"/>
    <w:rsid w:val="009E0803"/>
    <w:rsid w:val="009E435B"/>
    <w:rsid w:val="009E63ED"/>
    <w:rsid w:val="009E6537"/>
    <w:rsid w:val="009E6CD1"/>
    <w:rsid w:val="009E7C1C"/>
    <w:rsid w:val="009F13BF"/>
    <w:rsid w:val="009F1D01"/>
    <w:rsid w:val="009F1D34"/>
    <w:rsid w:val="009F4C47"/>
    <w:rsid w:val="009F528F"/>
    <w:rsid w:val="009F5739"/>
    <w:rsid w:val="009F6AC9"/>
    <w:rsid w:val="00A030A8"/>
    <w:rsid w:val="00A03D5F"/>
    <w:rsid w:val="00A06685"/>
    <w:rsid w:val="00A105DA"/>
    <w:rsid w:val="00A1234B"/>
    <w:rsid w:val="00A172A4"/>
    <w:rsid w:val="00A178D7"/>
    <w:rsid w:val="00A20031"/>
    <w:rsid w:val="00A202D5"/>
    <w:rsid w:val="00A21471"/>
    <w:rsid w:val="00A23CDC"/>
    <w:rsid w:val="00A24596"/>
    <w:rsid w:val="00A24B24"/>
    <w:rsid w:val="00A25E6C"/>
    <w:rsid w:val="00A27055"/>
    <w:rsid w:val="00A302D0"/>
    <w:rsid w:val="00A30305"/>
    <w:rsid w:val="00A31221"/>
    <w:rsid w:val="00A35EBC"/>
    <w:rsid w:val="00A40E3D"/>
    <w:rsid w:val="00A40EA6"/>
    <w:rsid w:val="00A40FF5"/>
    <w:rsid w:val="00A428DB"/>
    <w:rsid w:val="00A43CC8"/>
    <w:rsid w:val="00A469F5"/>
    <w:rsid w:val="00A46FA7"/>
    <w:rsid w:val="00A47C4E"/>
    <w:rsid w:val="00A51D05"/>
    <w:rsid w:val="00A52753"/>
    <w:rsid w:val="00A53AE8"/>
    <w:rsid w:val="00A550E8"/>
    <w:rsid w:val="00A556D1"/>
    <w:rsid w:val="00A56E8B"/>
    <w:rsid w:val="00A65CC7"/>
    <w:rsid w:val="00A673EA"/>
    <w:rsid w:val="00A71133"/>
    <w:rsid w:val="00A7209C"/>
    <w:rsid w:val="00A72AD9"/>
    <w:rsid w:val="00A730C2"/>
    <w:rsid w:val="00A75E4D"/>
    <w:rsid w:val="00A761C7"/>
    <w:rsid w:val="00A76E0C"/>
    <w:rsid w:val="00A77D42"/>
    <w:rsid w:val="00A81256"/>
    <w:rsid w:val="00A82E17"/>
    <w:rsid w:val="00A85075"/>
    <w:rsid w:val="00A90245"/>
    <w:rsid w:val="00A92F7C"/>
    <w:rsid w:val="00A93F1F"/>
    <w:rsid w:val="00A95AA6"/>
    <w:rsid w:val="00AA12F7"/>
    <w:rsid w:val="00AA3173"/>
    <w:rsid w:val="00AA3227"/>
    <w:rsid w:val="00AA3939"/>
    <w:rsid w:val="00AA3A3E"/>
    <w:rsid w:val="00AA7430"/>
    <w:rsid w:val="00AB167A"/>
    <w:rsid w:val="00AB19B6"/>
    <w:rsid w:val="00AB5BBF"/>
    <w:rsid w:val="00AB5D71"/>
    <w:rsid w:val="00AC0BFE"/>
    <w:rsid w:val="00AC1539"/>
    <w:rsid w:val="00AC1EEF"/>
    <w:rsid w:val="00AC6ABA"/>
    <w:rsid w:val="00AC7F4A"/>
    <w:rsid w:val="00AD168D"/>
    <w:rsid w:val="00AD1C80"/>
    <w:rsid w:val="00AD2E24"/>
    <w:rsid w:val="00AD43A2"/>
    <w:rsid w:val="00AD531E"/>
    <w:rsid w:val="00AD5627"/>
    <w:rsid w:val="00AD65C9"/>
    <w:rsid w:val="00AD6639"/>
    <w:rsid w:val="00AD683B"/>
    <w:rsid w:val="00AD6868"/>
    <w:rsid w:val="00AD7F9B"/>
    <w:rsid w:val="00AE4A25"/>
    <w:rsid w:val="00AE5CCB"/>
    <w:rsid w:val="00AE5F8A"/>
    <w:rsid w:val="00AE7179"/>
    <w:rsid w:val="00AF0653"/>
    <w:rsid w:val="00AF3507"/>
    <w:rsid w:val="00AF48BA"/>
    <w:rsid w:val="00AF58D0"/>
    <w:rsid w:val="00AF61FA"/>
    <w:rsid w:val="00AF6215"/>
    <w:rsid w:val="00AF6D8D"/>
    <w:rsid w:val="00AF6F6E"/>
    <w:rsid w:val="00B00A18"/>
    <w:rsid w:val="00B03BB8"/>
    <w:rsid w:val="00B03FF2"/>
    <w:rsid w:val="00B04F29"/>
    <w:rsid w:val="00B067CD"/>
    <w:rsid w:val="00B06D9F"/>
    <w:rsid w:val="00B11323"/>
    <w:rsid w:val="00B13A2F"/>
    <w:rsid w:val="00B145D2"/>
    <w:rsid w:val="00B178D3"/>
    <w:rsid w:val="00B17FD4"/>
    <w:rsid w:val="00B22F73"/>
    <w:rsid w:val="00B26835"/>
    <w:rsid w:val="00B3381B"/>
    <w:rsid w:val="00B339F8"/>
    <w:rsid w:val="00B345A5"/>
    <w:rsid w:val="00B35698"/>
    <w:rsid w:val="00B35BE1"/>
    <w:rsid w:val="00B4065C"/>
    <w:rsid w:val="00B43054"/>
    <w:rsid w:val="00B43512"/>
    <w:rsid w:val="00B44A37"/>
    <w:rsid w:val="00B52CD8"/>
    <w:rsid w:val="00B604EB"/>
    <w:rsid w:val="00B6108C"/>
    <w:rsid w:val="00B666A2"/>
    <w:rsid w:val="00B66D1B"/>
    <w:rsid w:val="00B67F7B"/>
    <w:rsid w:val="00B707C1"/>
    <w:rsid w:val="00B739E2"/>
    <w:rsid w:val="00B74160"/>
    <w:rsid w:val="00B74DF7"/>
    <w:rsid w:val="00B76494"/>
    <w:rsid w:val="00B80E10"/>
    <w:rsid w:val="00B8151D"/>
    <w:rsid w:val="00B819AA"/>
    <w:rsid w:val="00B90CF9"/>
    <w:rsid w:val="00B91280"/>
    <w:rsid w:val="00B932C2"/>
    <w:rsid w:val="00B93328"/>
    <w:rsid w:val="00B9450D"/>
    <w:rsid w:val="00B95E55"/>
    <w:rsid w:val="00B97AA6"/>
    <w:rsid w:val="00BA12CE"/>
    <w:rsid w:val="00BA1AEA"/>
    <w:rsid w:val="00BA3421"/>
    <w:rsid w:val="00BA37C7"/>
    <w:rsid w:val="00BA54AA"/>
    <w:rsid w:val="00BA7120"/>
    <w:rsid w:val="00BB2109"/>
    <w:rsid w:val="00BB2C6B"/>
    <w:rsid w:val="00BB2CB7"/>
    <w:rsid w:val="00BB38D4"/>
    <w:rsid w:val="00BB4D85"/>
    <w:rsid w:val="00BB4E04"/>
    <w:rsid w:val="00BB61E4"/>
    <w:rsid w:val="00BB631E"/>
    <w:rsid w:val="00BB71A8"/>
    <w:rsid w:val="00BC4BD5"/>
    <w:rsid w:val="00BC50A3"/>
    <w:rsid w:val="00BD41D4"/>
    <w:rsid w:val="00BD465A"/>
    <w:rsid w:val="00BD47A9"/>
    <w:rsid w:val="00BD5316"/>
    <w:rsid w:val="00BD5A86"/>
    <w:rsid w:val="00BD5FC2"/>
    <w:rsid w:val="00BD6AC2"/>
    <w:rsid w:val="00BE214C"/>
    <w:rsid w:val="00BE23BD"/>
    <w:rsid w:val="00BE68F9"/>
    <w:rsid w:val="00BE7C16"/>
    <w:rsid w:val="00BF2A9B"/>
    <w:rsid w:val="00BF3DAE"/>
    <w:rsid w:val="00BF7D82"/>
    <w:rsid w:val="00C01F57"/>
    <w:rsid w:val="00C02595"/>
    <w:rsid w:val="00C051FF"/>
    <w:rsid w:val="00C12197"/>
    <w:rsid w:val="00C1330A"/>
    <w:rsid w:val="00C145EB"/>
    <w:rsid w:val="00C21F6C"/>
    <w:rsid w:val="00C2203A"/>
    <w:rsid w:val="00C23A0D"/>
    <w:rsid w:val="00C2416A"/>
    <w:rsid w:val="00C30332"/>
    <w:rsid w:val="00C30E45"/>
    <w:rsid w:val="00C310FB"/>
    <w:rsid w:val="00C31D9D"/>
    <w:rsid w:val="00C325A5"/>
    <w:rsid w:val="00C32C7F"/>
    <w:rsid w:val="00C334CC"/>
    <w:rsid w:val="00C35A02"/>
    <w:rsid w:val="00C35B04"/>
    <w:rsid w:val="00C36A15"/>
    <w:rsid w:val="00C3701B"/>
    <w:rsid w:val="00C37043"/>
    <w:rsid w:val="00C375FD"/>
    <w:rsid w:val="00C37A0A"/>
    <w:rsid w:val="00C40D25"/>
    <w:rsid w:val="00C42988"/>
    <w:rsid w:val="00C4300F"/>
    <w:rsid w:val="00C4554A"/>
    <w:rsid w:val="00C45661"/>
    <w:rsid w:val="00C45C7C"/>
    <w:rsid w:val="00C46FE8"/>
    <w:rsid w:val="00C47748"/>
    <w:rsid w:val="00C5010C"/>
    <w:rsid w:val="00C50F9C"/>
    <w:rsid w:val="00C51DDC"/>
    <w:rsid w:val="00C520F9"/>
    <w:rsid w:val="00C61865"/>
    <w:rsid w:val="00C62BC1"/>
    <w:rsid w:val="00C62E16"/>
    <w:rsid w:val="00C64879"/>
    <w:rsid w:val="00C65E2D"/>
    <w:rsid w:val="00C66316"/>
    <w:rsid w:val="00C66953"/>
    <w:rsid w:val="00C73133"/>
    <w:rsid w:val="00C731FA"/>
    <w:rsid w:val="00C74B8D"/>
    <w:rsid w:val="00C7617C"/>
    <w:rsid w:val="00C800AA"/>
    <w:rsid w:val="00C81275"/>
    <w:rsid w:val="00C82861"/>
    <w:rsid w:val="00C82C91"/>
    <w:rsid w:val="00C84198"/>
    <w:rsid w:val="00C84325"/>
    <w:rsid w:val="00C846A2"/>
    <w:rsid w:val="00C856AC"/>
    <w:rsid w:val="00C8705B"/>
    <w:rsid w:val="00C87C42"/>
    <w:rsid w:val="00C90EFC"/>
    <w:rsid w:val="00C90FC4"/>
    <w:rsid w:val="00C91A23"/>
    <w:rsid w:val="00C954B7"/>
    <w:rsid w:val="00C9591A"/>
    <w:rsid w:val="00C9686C"/>
    <w:rsid w:val="00C969D6"/>
    <w:rsid w:val="00C97776"/>
    <w:rsid w:val="00CA3F4B"/>
    <w:rsid w:val="00CA46AC"/>
    <w:rsid w:val="00CA4F71"/>
    <w:rsid w:val="00CA7611"/>
    <w:rsid w:val="00CB056E"/>
    <w:rsid w:val="00CB337B"/>
    <w:rsid w:val="00CB45D5"/>
    <w:rsid w:val="00CB672E"/>
    <w:rsid w:val="00CB6C6B"/>
    <w:rsid w:val="00CB7A83"/>
    <w:rsid w:val="00CC049A"/>
    <w:rsid w:val="00CC0676"/>
    <w:rsid w:val="00CC3AE0"/>
    <w:rsid w:val="00CC3C0B"/>
    <w:rsid w:val="00CC3CD3"/>
    <w:rsid w:val="00CC4C6D"/>
    <w:rsid w:val="00CC6A5B"/>
    <w:rsid w:val="00CC6AAA"/>
    <w:rsid w:val="00CD1D61"/>
    <w:rsid w:val="00CD20F8"/>
    <w:rsid w:val="00CD3705"/>
    <w:rsid w:val="00CD56FA"/>
    <w:rsid w:val="00CD56FC"/>
    <w:rsid w:val="00CD66C5"/>
    <w:rsid w:val="00CD6E72"/>
    <w:rsid w:val="00CE0246"/>
    <w:rsid w:val="00CE3EA5"/>
    <w:rsid w:val="00CE3F9E"/>
    <w:rsid w:val="00CE4C4C"/>
    <w:rsid w:val="00CF1C96"/>
    <w:rsid w:val="00CF5A8C"/>
    <w:rsid w:val="00D00301"/>
    <w:rsid w:val="00D00D27"/>
    <w:rsid w:val="00D010D3"/>
    <w:rsid w:val="00D014FF"/>
    <w:rsid w:val="00D05A8C"/>
    <w:rsid w:val="00D07271"/>
    <w:rsid w:val="00D1121E"/>
    <w:rsid w:val="00D119DD"/>
    <w:rsid w:val="00D133DA"/>
    <w:rsid w:val="00D14A9D"/>
    <w:rsid w:val="00D17A67"/>
    <w:rsid w:val="00D17FC6"/>
    <w:rsid w:val="00D20A09"/>
    <w:rsid w:val="00D217D1"/>
    <w:rsid w:val="00D21F34"/>
    <w:rsid w:val="00D22B46"/>
    <w:rsid w:val="00D2409C"/>
    <w:rsid w:val="00D24144"/>
    <w:rsid w:val="00D2467C"/>
    <w:rsid w:val="00D2517F"/>
    <w:rsid w:val="00D26A00"/>
    <w:rsid w:val="00D302BF"/>
    <w:rsid w:val="00D30833"/>
    <w:rsid w:val="00D30E8E"/>
    <w:rsid w:val="00D31A05"/>
    <w:rsid w:val="00D32803"/>
    <w:rsid w:val="00D36B78"/>
    <w:rsid w:val="00D371D0"/>
    <w:rsid w:val="00D3758C"/>
    <w:rsid w:val="00D443CE"/>
    <w:rsid w:val="00D44D5F"/>
    <w:rsid w:val="00D46134"/>
    <w:rsid w:val="00D468A9"/>
    <w:rsid w:val="00D50946"/>
    <w:rsid w:val="00D52CDA"/>
    <w:rsid w:val="00D52E9D"/>
    <w:rsid w:val="00D53227"/>
    <w:rsid w:val="00D5387E"/>
    <w:rsid w:val="00D54971"/>
    <w:rsid w:val="00D5636F"/>
    <w:rsid w:val="00D5644D"/>
    <w:rsid w:val="00D56A3B"/>
    <w:rsid w:val="00D61A73"/>
    <w:rsid w:val="00D62C14"/>
    <w:rsid w:val="00D63270"/>
    <w:rsid w:val="00D63CDD"/>
    <w:rsid w:val="00D640F2"/>
    <w:rsid w:val="00D64B7D"/>
    <w:rsid w:val="00D66B65"/>
    <w:rsid w:val="00D702E5"/>
    <w:rsid w:val="00D70EAE"/>
    <w:rsid w:val="00D73415"/>
    <w:rsid w:val="00D73AF1"/>
    <w:rsid w:val="00D74462"/>
    <w:rsid w:val="00D7452C"/>
    <w:rsid w:val="00D74B9B"/>
    <w:rsid w:val="00D74F57"/>
    <w:rsid w:val="00D752AD"/>
    <w:rsid w:val="00D76E15"/>
    <w:rsid w:val="00D773CB"/>
    <w:rsid w:val="00D8103E"/>
    <w:rsid w:val="00D818BA"/>
    <w:rsid w:val="00D842A2"/>
    <w:rsid w:val="00D84946"/>
    <w:rsid w:val="00D87BD1"/>
    <w:rsid w:val="00D92A38"/>
    <w:rsid w:val="00D93741"/>
    <w:rsid w:val="00D94015"/>
    <w:rsid w:val="00D95DE1"/>
    <w:rsid w:val="00D964EE"/>
    <w:rsid w:val="00DA0736"/>
    <w:rsid w:val="00DA0B96"/>
    <w:rsid w:val="00DA250F"/>
    <w:rsid w:val="00DA552F"/>
    <w:rsid w:val="00DB1C5E"/>
    <w:rsid w:val="00DB1C9E"/>
    <w:rsid w:val="00DB2434"/>
    <w:rsid w:val="00DB461B"/>
    <w:rsid w:val="00DB4875"/>
    <w:rsid w:val="00DB4D35"/>
    <w:rsid w:val="00DB5E79"/>
    <w:rsid w:val="00DB602A"/>
    <w:rsid w:val="00DB6247"/>
    <w:rsid w:val="00DB685B"/>
    <w:rsid w:val="00DC3E8C"/>
    <w:rsid w:val="00DC4B5E"/>
    <w:rsid w:val="00DD1234"/>
    <w:rsid w:val="00DD3F72"/>
    <w:rsid w:val="00DD408F"/>
    <w:rsid w:val="00DD4138"/>
    <w:rsid w:val="00DD5F43"/>
    <w:rsid w:val="00DD651A"/>
    <w:rsid w:val="00DD6C91"/>
    <w:rsid w:val="00DD7496"/>
    <w:rsid w:val="00DD7B03"/>
    <w:rsid w:val="00DE02BB"/>
    <w:rsid w:val="00DE3E69"/>
    <w:rsid w:val="00DE50CC"/>
    <w:rsid w:val="00DE5F92"/>
    <w:rsid w:val="00DE715E"/>
    <w:rsid w:val="00DE796E"/>
    <w:rsid w:val="00DE7C37"/>
    <w:rsid w:val="00DF05EA"/>
    <w:rsid w:val="00DF13F3"/>
    <w:rsid w:val="00DF2B09"/>
    <w:rsid w:val="00DF2C28"/>
    <w:rsid w:val="00DF3683"/>
    <w:rsid w:val="00DF46B2"/>
    <w:rsid w:val="00DF57B8"/>
    <w:rsid w:val="00DF61B7"/>
    <w:rsid w:val="00DF75DB"/>
    <w:rsid w:val="00DF7CD4"/>
    <w:rsid w:val="00E00992"/>
    <w:rsid w:val="00E00ED3"/>
    <w:rsid w:val="00E01C32"/>
    <w:rsid w:val="00E01F85"/>
    <w:rsid w:val="00E05742"/>
    <w:rsid w:val="00E05A10"/>
    <w:rsid w:val="00E06EDD"/>
    <w:rsid w:val="00E1257E"/>
    <w:rsid w:val="00E14778"/>
    <w:rsid w:val="00E153CC"/>
    <w:rsid w:val="00E159BD"/>
    <w:rsid w:val="00E1722C"/>
    <w:rsid w:val="00E229E3"/>
    <w:rsid w:val="00E2457F"/>
    <w:rsid w:val="00E24E50"/>
    <w:rsid w:val="00E251EE"/>
    <w:rsid w:val="00E302D5"/>
    <w:rsid w:val="00E32061"/>
    <w:rsid w:val="00E3356E"/>
    <w:rsid w:val="00E33927"/>
    <w:rsid w:val="00E33FED"/>
    <w:rsid w:val="00E347D3"/>
    <w:rsid w:val="00E34FA1"/>
    <w:rsid w:val="00E358C4"/>
    <w:rsid w:val="00E37152"/>
    <w:rsid w:val="00E374F8"/>
    <w:rsid w:val="00E41B25"/>
    <w:rsid w:val="00E41F57"/>
    <w:rsid w:val="00E424AA"/>
    <w:rsid w:val="00E42700"/>
    <w:rsid w:val="00E43542"/>
    <w:rsid w:val="00E44999"/>
    <w:rsid w:val="00E473DE"/>
    <w:rsid w:val="00E47DD3"/>
    <w:rsid w:val="00E50E94"/>
    <w:rsid w:val="00E5282C"/>
    <w:rsid w:val="00E5541C"/>
    <w:rsid w:val="00E55C6E"/>
    <w:rsid w:val="00E55D04"/>
    <w:rsid w:val="00E60935"/>
    <w:rsid w:val="00E60A2A"/>
    <w:rsid w:val="00E62C51"/>
    <w:rsid w:val="00E631F9"/>
    <w:rsid w:val="00E63245"/>
    <w:rsid w:val="00E65E8D"/>
    <w:rsid w:val="00E662FD"/>
    <w:rsid w:val="00E708BB"/>
    <w:rsid w:val="00E70B07"/>
    <w:rsid w:val="00E71E96"/>
    <w:rsid w:val="00E72FD0"/>
    <w:rsid w:val="00E74461"/>
    <w:rsid w:val="00E757D0"/>
    <w:rsid w:val="00E767BE"/>
    <w:rsid w:val="00E7690B"/>
    <w:rsid w:val="00E815C9"/>
    <w:rsid w:val="00E8671C"/>
    <w:rsid w:val="00E87392"/>
    <w:rsid w:val="00E879AD"/>
    <w:rsid w:val="00E90298"/>
    <w:rsid w:val="00E90606"/>
    <w:rsid w:val="00E916A2"/>
    <w:rsid w:val="00E91930"/>
    <w:rsid w:val="00E9240F"/>
    <w:rsid w:val="00E92CCB"/>
    <w:rsid w:val="00E9583C"/>
    <w:rsid w:val="00E958E2"/>
    <w:rsid w:val="00EA1E96"/>
    <w:rsid w:val="00EA291C"/>
    <w:rsid w:val="00EA3BC3"/>
    <w:rsid w:val="00EA3D10"/>
    <w:rsid w:val="00EA423E"/>
    <w:rsid w:val="00EA4D0C"/>
    <w:rsid w:val="00EA6D4F"/>
    <w:rsid w:val="00EA716A"/>
    <w:rsid w:val="00EA7EA8"/>
    <w:rsid w:val="00EB1A24"/>
    <w:rsid w:val="00EB2036"/>
    <w:rsid w:val="00EB59ED"/>
    <w:rsid w:val="00EC0A15"/>
    <w:rsid w:val="00EC295A"/>
    <w:rsid w:val="00EC6D3E"/>
    <w:rsid w:val="00EC77BF"/>
    <w:rsid w:val="00ED1AA6"/>
    <w:rsid w:val="00ED49B5"/>
    <w:rsid w:val="00ED65FE"/>
    <w:rsid w:val="00ED6E7A"/>
    <w:rsid w:val="00ED7659"/>
    <w:rsid w:val="00ED7DD8"/>
    <w:rsid w:val="00EE1ABD"/>
    <w:rsid w:val="00EE412B"/>
    <w:rsid w:val="00EF1E92"/>
    <w:rsid w:val="00EF4ACB"/>
    <w:rsid w:val="00EF71EB"/>
    <w:rsid w:val="00F00674"/>
    <w:rsid w:val="00F01307"/>
    <w:rsid w:val="00F01E03"/>
    <w:rsid w:val="00F0280A"/>
    <w:rsid w:val="00F03635"/>
    <w:rsid w:val="00F0455E"/>
    <w:rsid w:val="00F055A1"/>
    <w:rsid w:val="00F0609A"/>
    <w:rsid w:val="00F10C22"/>
    <w:rsid w:val="00F1230D"/>
    <w:rsid w:val="00F14BCE"/>
    <w:rsid w:val="00F14F89"/>
    <w:rsid w:val="00F209A1"/>
    <w:rsid w:val="00F21042"/>
    <w:rsid w:val="00F21FAC"/>
    <w:rsid w:val="00F227FE"/>
    <w:rsid w:val="00F22F03"/>
    <w:rsid w:val="00F23027"/>
    <w:rsid w:val="00F2341E"/>
    <w:rsid w:val="00F2483C"/>
    <w:rsid w:val="00F317C3"/>
    <w:rsid w:val="00F31A69"/>
    <w:rsid w:val="00F3264E"/>
    <w:rsid w:val="00F36014"/>
    <w:rsid w:val="00F36E18"/>
    <w:rsid w:val="00F37BC2"/>
    <w:rsid w:val="00F37FE2"/>
    <w:rsid w:val="00F43DAD"/>
    <w:rsid w:val="00F44CF9"/>
    <w:rsid w:val="00F45857"/>
    <w:rsid w:val="00F47287"/>
    <w:rsid w:val="00F513EB"/>
    <w:rsid w:val="00F5236B"/>
    <w:rsid w:val="00F5252A"/>
    <w:rsid w:val="00F52D67"/>
    <w:rsid w:val="00F539C1"/>
    <w:rsid w:val="00F54266"/>
    <w:rsid w:val="00F552A3"/>
    <w:rsid w:val="00F552D2"/>
    <w:rsid w:val="00F5679F"/>
    <w:rsid w:val="00F572E4"/>
    <w:rsid w:val="00F6009F"/>
    <w:rsid w:val="00F60D6A"/>
    <w:rsid w:val="00F60F15"/>
    <w:rsid w:val="00F61FBC"/>
    <w:rsid w:val="00F62708"/>
    <w:rsid w:val="00F63BC2"/>
    <w:rsid w:val="00F6460E"/>
    <w:rsid w:val="00F64CB4"/>
    <w:rsid w:val="00F65018"/>
    <w:rsid w:val="00F65889"/>
    <w:rsid w:val="00F66854"/>
    <w:rsid w:val="00F66AB8"/>
    <w:rsid w:val="00F67D22"/>
    <w:rsid w:val="00F70CC4"/>
    <w:rsid w:val="00F71466"/>
    <w:rsid w:val="00F71A50"/>
    <w:rsid w:val="00F72393"/>
    <w:rsid w:val="00F72398"/>
    <w:rsid w:val="00F7251D"/>
    <w:rsid w:val="00F74CC9"/>
    <w:rsid w:val="00F77106"/>
    <w:rsid w:val="00F77684"/>
    <w:rsid w:val="00F803DB"/>
    <w:rsid w:val="00F821B4"/>
    <w:rsid w:val="00F850B8"/>
    <w:rsid w:val="00F85B48"/>
    <w:rsid w:val="00F861AE"/>
    <w:rsid w:val="00F871D7"/>
    <w:rsid w:val="00F87FB6"/>
    <w:rsid w:val="00F90098"/>
    <w:rsid w:val="00F9205E"/>
    <w:rsid w:val="00F92FA5"/>
    <w:rsid w:val="00F935BD"/>
    <w:rsid w:val="00F944A5"/>
    <w:rsid w:val="00F95C63"/>
    <w:rsid w:val="00F96196"/>
    <w:rsid w:val="00F96889"/>
    <w:rsid w:val="00FA2330"/>
    <w:rsid w:val="00FA6309"/>
    <w:rsid w:val="00FA6319"/>
    <w:rsid w:val="00FB0BD0"/>
    <w:rsid w:val="00FB120A"/>
    <w:rsid w:val="00FB14CA"/>
    <w:rsid w:val="00FB168A"/>
    <w:rsid w:val="00FB4419"/>
    <w:rsid w:val="00FB4568"/>
    <w:rsid w:val="00FB46DD"/>
    <w:rsid w:val="00FB643E"/>
    <w:rsid w:val="00FB656A"/>
    <w:rsid w:val="00FB7019"/>
    <w:rsid w:val="00FC18C2"/>
    <w:rsid w:val="00FC22B8"/>
    <w:rsid w:val="00FC253E"/>
    <w:rsid w:val="00FC522B"/>
    <w:rsid w:val="00FC6429"/>
    <w:rsid w:val="00FD0A30"/>
    <w:rsid w:val="00FD1A80"/>
    <w:rsid w:val="00FD303E"/>
    <w:rsid w:val="00FD36B4"/>
    <w:rsid w:val="00FD632A"/>
    <w:rsid w:val="00FE2F0A"/>
    <w:rsid w:val="00FE7DB7"/>
    <w:rsid w:val="00FF2A10"/>
    <w:rsid w:val="00FF2E33"/>
    <w:rsid w:val="00FF300F"/>
    <w:rsid w:val="00FF411D"/>
    <w:rsid w:val="00FF4D99"/>
    <w:rsid w:val="00FF557B"/>
    <w:rsid w:val="00FF57B7"/>
    <w:rsid w:val="00FF6E25"/>
    <w:rsid w:val="00FF7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9B41FC"/>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subsection">
    <w:name w:val="subsection"/>
    <w:basedOn w:val="Normal"/>
    <w:rsid w:val="008070EB"/>
    <w:pPr>
      <w:spacing w:before="100" w:beforeAutospacing="1" w:after="100" w:afterAutospacing="1" w:line="240" w:lineRule="auto"/>
    </w:pPr>
    <w:rPr>
      <w:rFonts w:eastAsia="Times New Roman" w:cs="Times New Roman"/>
      <w:szCs w:val="24"/>
      <w:lang w:eastAsia="en-AU"/>
    </w:rPr>
  </w:style>
  <w:style w:type="paragraph" w:customStyle="1" w:styleId="paragraph">
    <w:name w:val="paragraph"/>
    <w:aliases w:val="a"/>
    <w:basedOn w:val="Normal"/>
    <w:rsid w:val="008070EB"/>
    <w:pPr>
      <w:spacing w:before="100" w:beforeAutospacing="1" w:after="100" w:afterAutospacing="1" w:line="240" w:lineRule="auto"/>
    </w:pPr>
    <w:rPr>
      <w:rFonts w:eastAsia="Times New Roman" w:cs="Times New Roman"/>
      <w:szCs w:val="24"/>
      <w:lang w:eastAsia="en-AU"/>
    </w:rPr>
  </w:style>
  <w:style w:type="character" w:customStyle="1" w:styleId="UnresolvedMention1">
    <w:name w:val="Unresolved Mention1"/>
    <w:basedOn w:val="DefaultParagraphFont"/>
    <w:uiPriority w:val="99"/>
    <w:semiHidden/>
    <w:unhideWhenUsed/>
    <w:rsid w:val="003F492F"/>
    <w:rPr>
      <w:color w:val="605E5C"/>
      <w:shd w:val="clear" w:color="auto" w:fill="E1DFDD"/>
    </w:rPr>
  </w:style>
  <w:style w:type="paragraph" w:customStyle="1" w:styleId="MBPoint">
    <w:name w:val="MB Point"/>
    <w:basedOn w:val="ListParagraph"/>
    <w:link w:val="MBPointChar"/>
    <w:qFormat/>
    <w:rsid w:val="000743B9"/>
    <w:pPr>
      <w:numPr>
        <w:numId w:val="4"/>
      </w:numPr>
      <w:spacing w:after="60" w:line="240" w:lineRule="auto"/>
      <w:ind w:left="425" w:hanging="357"/>
      <w:contextualSpacing w:val="0"/>
    </w:pPr>
    <w:rPr>
      <w:rFonts w:cs="Times New Roman"/>
      <w:szCs w:val="24"/>
    </w:rPr>
  </w:style>
  <w:style w:type="paragraph" w:customStyle="1" w:styleId="MBPointSub">
    <w:name w:val="MB Point Sub"/>
    <w:basedOn w:val="ListParagraph"/>
    <w:qFormat/>
    <w:rsid w:val="000743B9"/>
    <w:pPr>
      <w:numPr>
        <w:ilvl w:val="1"/>
        <w:numId w:val="4"/>
      </w:numPr>
      <w:spacing w:after="60" w:line="240" w:lineRule="auto"/>
      <w:contextualSpacing w:val="0"/>
    </w:pPr>
    <w:rPr>
      <w:rFonts w:cs="Times New Roman"/>
      <w:szCs w:val="24"/>
    </w:rPr>
  </w:style>
  <w:style w:type="character" w:customStyle="1" w:styleId="MBPointChar">
    <w:name w:val="MB Point Char"/>
    <w:basedOn w:val="DefaultParagraphFont"/>
    <w:link w:val="MBPoint"/>
    <w:rsid w:val="000743B9"/>
    <w:rPr>
      <w:rFonts w:cs="Times New Roman"/>
      <w:szCs w:val="24"/>
    </w:rPr>
  </w:style>
  <w:style w:type="paragraph" w:customStyle="1" w:styleId="acthead5">
    <w:name w:val="acthead5"/>
    <w:basedOn w:val="Normal"/>
    <w:rsid w:val="006D14BA"/>
    <w:pPr>
      <w:spacing w:before="100" w:beforeAutospacing="1" w:after="100" w:afterAutospacing="1" w:line="240" w:lineRule="auto"/>
    </w:pPr>
    <w:rPr>
      <w:rFonts w:eastAsia="Times New Roman" w:cs="Times New Roman"/>
      <w:szCs w:val="24"/>
      <w:lang w:eastAsia="en-AU"/>
    </w:rPr>
  </w:style>
  <w:style w:type="character" w:customStyle="1" w:styleId="charsectno">
    <w:name w:val="charsectno"/>
    <w:basedOn w:val="DefaultParagraphFont"/>
    <w:rsid w:val="006D14BA"/>
  </w:style>
  <w:style w:type="paragraph" w:customStyle="1" w:styleId="notetext">
    <w:name w:val="notetext"/>
    <w:basedOn w:val="Normal"/>
    <w:rsid w:val="006D14BA"/>
    <w:pPr>
      <w:spacing w:before="100" w:beforeAutospacing="1" w:after="100" w:afterAutospacing="1" w:line="240" w:lineRule="auto"/>
    </w:pPr>
    <w:rPr>
      <w:rFonts w:eastAsia="Times New Roman" w:cs="Times New Roman"/>
      <w:szCs w:val="24"/>
      <w:lang w:eastAsia="en-AU"/>
    </w:rPr>
  </w:style>
  <w:style w:type="character" w:customStyle="1" w:styleId="CharDivText">
    <w:name w:val="CharDivText"/>
    <w:basedOn w:val="DefaultParagraphFont"/>
    <w:qFormat/>
    <w:rsid w:val="00240B63"/>
  </w:style>
  <w:style w:type="character" w:customStyle="1" w:styleId="CharPartNo">
    <w:name w:val="CharPartNo"/>
    <w:basedOn w:val="DefaultParagraphFont"/>
    <w:qFormat/>
    <w:rsid w:val="00240B63"/>
  </w:style>
  <w:style w:type="paragraph" w:customStyle="1" w:styleId="ActHead3">
    <w:name w:val="ActHead 3"/>
    <w:aliases w:val="d"/>
    <w:basedOn w:val="Normal"/>
    <w:next w:val="Normal"/>
    <w:qFormat/>
    <w:rsid w:val="009B1528"/>
    <w:pPr>
      <w:keepNext/>
      <w:keepLines/>
      <w:spacing w:before="240" w:after="0" w:line="240" w:lineRule="auto"/>
      <w:ind w:left="1134" w:hanging="1134"/>
      <w:outlineLvl w:val="2"/>
    </w:pPr>
    <w:rPr>
      <w:rFonts w:eastAsia="Times New Roman" w:cs="Times New Roman"/>
      <w:b/>
      <w:kern w:val="28"/>
      <w:sz w:val="28"/>
      <w:szCs w:val="20"/>
      <w:lang w:eastAsia="en-AU"/>
    </w:rPr>
  </w:style>
  <w:style w:type="character" w:customStyle="1" w:styleId="CharDivNo">
    <w:name w:val="CharDivNo"/>
    <w:basedOn w:val="DefaultParagraphFont"/>
    <w:qFormat/>
    <w:rsid w:val="009B1528"/>
  </w:style>
  <w:style w:type="paragraph" w:customStyle="1" w:styleId="tabletext">
    <w:name w:val="tabletext"/>
    <w:basedOn w:val="Normal"/>
    <w:rsid w:val="008A325B"/>
    <w:pPr>
      <w:spacing w:before="100" w:beforeAutospacing="1" w:after="100" w:afterAutospacing="1" w:line="240" w:lineRule="auto"/>
    </w:pPr>
    <w:rPr>
      <w:rFonts w:eastAsia="Times New Roman" w:cs="Times New Roman"/>
      <w:szCs w:val="24"/>
      <w:lang w:eastAsia="en-AU"/>
    </w:rPr>
  </w:style>
  <w:style w:type="paragraph" w:customStyle="1" w:styleId="SOText">
    <w:name w:val="SO Text"/>
    <w:aliases w:val="sot"/>
    <w:link w:val="SOTextChar"/>
    <w:rsid w:val="00675845"/>
    <w:pPr>
      <w:pBdr>
        <w:top w:val="single" w:sz="6" w:space="5" w:color="auto"/>
        <w:left w:val="single" w:sz="6" w:space="5" w:color="auto"/>
        <w:bottom w:val="single" w:sz="6" w:space="5" w:color="auto"/>
        <w:right w:val="single" w:sz="6" w:space="5" w:color="auto"/>
      </w:pBdr>
      <w:spacing w:before="240" w:after="0" w:line="240" w:lineRule="auto"/>
      <w:ind w:left="1134"/>
    </w:pPr>
    <w:rPr>
      <w:sz w:val="22"/>
      <w:szCs w:val="20"/>
    </w:rPr>
  </w:style>
  <w:style w:type="character" w:customStyle="1" w:styleId="SOTextChar">
    <w:name w:val="SO Text Char"/>
    <w:aliases w:val="sot Char"/>
    <w:basedOn w:val="DefaultParagraphFont"/>
    <w:link w:val="SOText"/>
    <w:rsid w:val="00675845"/>
    <w:rPr>
      <w:sz w:val="22"/>
      <w:szCs w:val="20"/>
    </w:rPr>
  </w:style>
  <w:style w:type="paragraph" w:customStyle="1" w:styleId="ActHead50">
    <w:name w:val="ActHead 5"/>
    <w:aliases w:val="s"/>
    <w:basedOn w:val="Normal"/>
    <w:next w:val="Normal"/>
    <w:qFormat/>
    <w:rsid w:val="00E87392"/>
    <w:pPr>
      <w:keepNext/>
      <w:keepLines/>
      <w:spacing w:before="280" w:after="0" w:line="240" w:lineRule="auto"/>
      <w:ind w:left="1134" w:hanging="1134"/>
      <w:outlineLvl w:val="4"/>
    </w:pPr>
    <w:rPr>
      <w:rFonts w:eastAsia="Times New Roman" w:cs="Times New Roman"/>
      <w:b/>
      <w:kern w:val="28"/>
      <w:szCs w:val="20"/>
      <w:lang w:eastAsia="en-AU"/>
    </w:rPr>
  </w:style>
  <w:style w:type="paragraph" w:customStyle="1" w:styleId="ActHead9">
    <w:name w:val="ActHead 9"/>
    <w:aliases w:val="aat"/>
    <w:basedOn w:val="Normal"/>
    <w:next w:val="Normal"/>
    <w:qFormat/>
    <w:rsid w:val="0049399E"/>
    <w:pPr>
      <w:keepNext/>
      <w:keepLines/>
      <w:spacing w:before="280" w:after="0" w:line="240" w:lineRule="auto"/>
      <w:ind w:left="1134" w:hanging="1134"/>
      <w:outlineLvl w:val="8"/>
    </w:pPr>
    <w:rPr>
      <w:rFonts w:eastAsia="Times New Roman" w:cs="Times New Roman"/>
      <w:b/>
      <w:i/>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75501">
      <w:bodyDiv w:val="1"/>
      <w:marLeft w:val="0"/>
      <w:marRight w:val="0"/>
      <w:marTop w:val="0"/>
      <w:marBottom w:val="0"/>
      <w:divBdr>
        <w:top w:val="none" w:sz="0" w:space="0" w:color="auto"/>
        <w:left w:val="none" w:sz="0" w:space="0" w:color="auto"/>
        <w:bottom w:val="none" w:sz="0" w:space="0" w:color="auto"/>
        <w:right w:val="none" w:sz="0" w:space="0" w:color="auto"/>
      </w:divBdr>
    </w:div>
    <w:div w:id="258371962">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50230551">
      <w:bodyDiv w:val="1"/>
      <w:marLeft w:val="0"/>
      <w:marRight w:val="0"/>
      <w:marTop w:val="0"/>
      <w:marBottom w:val="0"/>
      <w:divBdr>
        <w:top w:val="none" w:sz="0" w:space="0" w:color="auto"/>
        <w:left w:val="none" w:sz="0" w:space="0" w:color="auto"/>
        <w:bottom w:val="none" w:sz="0" w:space="0" w:color="auto"/>
        <w:right w:val="none" w:sz="0" w:space="0" w:color="auto"/>
      </w:divBdr>
    </w:div>
    <w:div w:id="355621681">
      <w:bodyDiv w:val="1"/>
      <w:marLeft w:val="0"/>
      <w:marRight w:val="0"/>
      <w:marTop w:val="0"/>
      <w:marBottom w:val="0"/>
      <w:divBdr>
        <w:top w:val="none" w:sz="0" w:space="0" w:color="auto"/>
        <w:left w:val="none" w:sz="0" w:space="0" w:color="auto"/>
        <w:bottom w:val="none" w:sz="0" w:space="0" w:color="auto"/>
        <w:right w:val="none" w:sz="0" w:space="0" w:color="auto"/>
      </w:divBdr>
    </w:div>
    <w:div w:id="427193086">
      <w:bodyDiv w:val="1"/>
      <w:marLeft w:val="0"/>
      <w:marRight w:val="0"/>
      <w:marTop w:val="0"/>
      <w:marBottom w:val="0"/>
      <w:divBdr>
        <w:top w:val="none" w:sz="0" w:space="0" w:color="auto"/>
        <w:left w:val="none" w:sz="0" w:space="0" w:color="auto"/>
        <w:bottom w:val="none" w:sz="0" w:space="0" w:color="auto"/>
        <w:right w:val="none" w:sz="0" w:space="0" w:color="auto"/>
      </w:divBdr>
    </w:div>
    <w:div w:id="525605112">
      <w:bodyDiv w:val="1"/>
      <w:marLeft w:val="0"/>
      <w:marRight w:val="0"/>
      <w:marTop w:val="0"/>
      <w:marBottom w:val="0"/>
      <w:divBdr>
        <w:top w:val="none" w:sz="0" w:space="0" w:color="auto"/>
        <w:left w:val="none" w:sz="0" w:space="0" w:color="auto"/>
        <w:bottom w:val="none" w:sz="0" w:space="0" w:color="auto"/>
        <w:right w:val="none" w:sz="0" w:space="0" w:color="auto"/>
      </w:divBdr>
    </w:div>
    <w:div w:id="545987541">
      <w:bodyDiv w:val="1"/>
      <w:marLeft w:val="0"/>
      <w:marRight w:val="0"/>
      <w:marTop w:val="0"/>
      <w:marBottom w:val="0"/>
      <w:divBdr>
        <w:top w:val="none" w:sz="0" w:space="0" w:color="auto"/>
        <w:left w:val="none" w:sz="0" w:space="0" w:color="auto"/>
        <w:bottom w:val="none" w:sz="0" w:space="0" w:color="auto"/>
        <w:right w:val="none" w:sz="0" w:space="0" w:color="auto"/>
      </w:divBdr>
    </w:div>
    <w:div w:id="590545243">
      <w:bodyDiv w:val="1"/>
      <w:marLeft w:val="0"/>
      <w:marRight w:val="0"/>
      <w:marTop w:val="0"/>
      <w:marBottom w:val="0"/>
      <w:divBdr>
        <w:top w:val="none" w:sz="0" w:space="0" w:color="auto"/>
        <w:left w:val="none" w:sz="0" w:space="0" w:color="auto"/>
        <w:bottom w:val="none" w:sz="0" w:space="0" w:color="auto"/>
        <w:right w:val="none" w:sz="0" w:space="0" w:color="auto"/>
      </w:divBdr>
    </w:div>
    <w:div w:id="633144480">
      <w:bodyDiv w:val="1"/>
      <w:marLeft w:val="0"/>
      <w:marRight w:val="0"/>
      <w:marTop w:val="0"/>
      <w:marBottom w:val="0"/>
      <w:divBdr>
        <w:top w:val="none" w:sz="0" w:space="0" w:color="auto"/>
        <w:left w:val="none" w:sz="0" w:space="0" w:color="auto"/>
        <w:bottom w:val="none" w:sz="0" w:space="0" w:color="auto"/>
        <w:right w:val="none" w:sz="0" w:space="0" w:color="auto"/>
      </w:divBdr>
    </w:div>
    <w:div w:id="781073732">
      <w:bodyDiv w:val="1"/>
      <w:marLeft w:val="0"/>
      <w:marRight w:val="0"/>
      <w:marTop w:val="0"/>
      <w:marBottom w:val="0"/>
      <w:divBdr>
        <w:top w:val="none" w:sz="0" w:space="0" w:color="auto"/>
        <w:left w:val="none" w:sz="0" w:space="0" w:color="auto"/>
        <w:bottom w:val="none" w:sz="0" w:space="0" w:color="auto"/>
        <w:right w:val="none" w:sz="0" w:space="0" w:color="auto"/>
      </w:divBdr>
    </w:div>
    <w:div w:id="818377810">
      <w:bodyDiv w:val="1"/>
      <w:marLeft w:val="0"/>
      <w:marRight w:val="0"/>
      <w:marTop w:val="0"/>
      <w:marBottom w:val="0"/>
      <w:divBdr>
        <w:top w:val="none" w:sz="0" w:space="0" w:color="auto"/>
        <w:left w:val="none" w:sz="0" w:space="0" w:color="auto"/>
        <w:bottom w:val="none" w:sz="0" w:space="0" w:color="auto"/>
        <w:right w:val="none" w:sz="0" w:space="0" w:color="auto"/>
      </w:divBdr>
    </w:div>
    <w:div w:id="848447229">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228373345">
      <w:bodyDiv w:val="1"/>
      <w:marLeft w:val="0"/>
      <w:marRight w:val="0"/>
      <w:marTop w:val="0"/>
      <w:marBottom w:val="0"/>
      <w:divBdr>
        <w:top w:val="none" w:sz="0" w:space="0" w:color="auto"/>
        <w:left w:val="none" w:sz="0" w:space="0" w:color="auto"/>
        <w:bottom w:val="none" w:sz="0" w:space="0" w:color="auto"/>
        <w:right w:val="none" w:sz="0" w:space="0" w:color="auto"/>
      </w:divBdr>
    </w:div>
    <w:div w:id="1231505156">
      <w:bodyDiv w:val="1"/>
      <w:marLeft w:val="0"/>
      <w:marRight w:val="0"/>
      <w:marTop w:val="0"/>
      <w:marBottom w:val="0"/>
      <w:divBdr>
        <w:top w:val="none" w:sz="0" w:space="0" w:color="auto"/>
        <w:left w:val="none" w:sz="0" w:space="0" w:color="auto"/>
        <w:bottom w:val="none" w:sz="0" w:space="0" w:color="auto"/>
        <w:right w:val="none" w:sz="0" w:space="0" w:color="auto"/>
      </w:divBdr>
    </w:div>
    <w:div w:id="1268149593">
      <w:bodyDiv w:val="1"/>
      <w:marLeft w:val="0"/>
      <w:marRight w:val="0"/>
      <w:marTop w:val="0"/>
      <w:marBottom w:val="0"/>
      <w:divBdr>
        <w:top w:val="none" w:sz="0" w:space="0" w:color="auto"/>
        <w:left w:val="none" w:sz="0" w:space="0" w:color="auto"/>
        <w:bottom w:val="none" w:sz="0" w:space="0" w:color="auto"/>
        <w:right w:val="none" w:sz="0" w:space="0" w:color="auto"/>
      </w:divBdr>
    </w:div>
    <w:div w:id="1547913616">
      <w:bodyDiv w:val="1"/>
      <w:marLeft w:val="0"/>
      <w:marRight w:val="0"/>
      <w:marTop w:val="0"/>
      <w:marBottom w:val="0"/>
      <w:divBdr>
        <w:top w:val="none" w:sz="0" w:space="0" w:color="auto"/>
        <w:left w:val="none" w:sz="0" w:space="0" w:color="auto"/>
        <w:bottom w:val="none" w:sz="0" w:space="0" w:color="auto"/>
        <w:right w:val="none" w:sz="0" w:space="0" w:color="auto"/>
      </w:divBdr>
      <w:divsChild>
        <w:div w:id="1427770811">
          <w:marLeft w:val="0"/>
          <w:marRight w:val="0"/>
          <w:marTop w:val="0"/>
          <w:marBottom w:val="0"/>
          <w:divBdr>
            <w:top w:val="none" w:sz="0" w:space="0" w:color="auto"/>
            <w:left w:val="none" w:sz="0" w:space="0" w:color="auto"/>
            <w:bottom w:val="none" w:sz="0" w:space="0" w:color="auto"/>
            <w:right w:val="none" w:sz="0" w:space="0" w:color="auto"/>
          </w:divBdr>
        </w:div>
      </w:divsChild>
    </w:div>
    <w:div w:id="1594780066">
      <w:bodyDiv w:val="1"/>
      <w:marLeft w:val="0"/>
      <w:marRight w:val="0"/>
      <w:marTop w:val="0"/>
      <w:marBottom w:val="0"/>
      <w:divBdr>
        <w:top w:val="none" w:sz="0" w:space="0" w:color="auto"/>
        <w:left w:val="none" w:sz="0" w:space="0" w:color="auto"/>
        <w:bottom w:val="none" w:sz="0" w:space="0" w:color="auto"/>
        <w:right w:val="none" w:sz="0" w:space="0" w:color="auto"/>
      </w:divBdr>
    </w:div>
    <w:div w:id="1606379800">
      <w:bodyDiv w:val="1"/>
      <w:marLeft w:val="0"/>
      <w:marRight w:val="0"/>
      <w:marTop w:val="0"/>
      <w:marBottom w:val="0"/>
      <w:divBdr>
        <w:top w:val="none" w:sz="0" w:space="0" w:color="auto"/>
        <w:left w:val="none" w:sz="0" w:space="0" w:color="auto"/>
        <w:bottom w:val="none" w:sz="0" w:space="0" w:color="auto"/>
        <w:right w:val="none" w:sz="0" w:space="0" w:color="auto"/>
      </w:divBdr>
    </w:div>
    <w:div w:id="1770350087">
      <w:bodyDiv w:val="1"/>
      <w:marLeft w:val="0"/>
      <w:marRight w:val="0"/>
      <w:marTop w:val="0"/>
      <w:marBottom w:val="0"/>
      <w:divBdr>
        <w:top w:val="none" w:sz="0" w:space="0" w:color="auto"/>
        <w:left w:val="none" w:sz="0" w:space="0" w:color="auto"/>
        <w:bottom w:val="none" w:sz="0" w:space="0" w:color="auto"/>
        <w:right w:val="none" w:sz="0" w:space="0" w:color="auto"/>
      </w:divBdr>
    </w:div>
    <w:div w:id="1851214643">
      <w:bodyDiv w:val="1"/>
      <w:marLeft w:val="0"/>
      <w:marRight w:val="0"/>
      <w:marTop w:val="0"/>
      <w:marBottom w:val="0"/>
      <w:divBdr>
        <w:top w:val="none" w:sz="0" w:space="0" w:color="auto"/>
        <w:left w:val="none" w:sz="0" w:space="0" w:color="auto"/>
        <w:bottom w:val="none" w:sz="0" w:space="0" w:color="auto"/>
        <w:right w:val="none" w:sz="0" w:space="0" w:color="auto"/>
      </w:divBdr>
    </w:div>
    <w:div w:id="1995601486">
      <w:bodyDiv w:val="1"/>
      <w:marLeft w:val="0"/>
      <w:marRight w:val="0"/>
      <w:marTop w:val="0"/>
      <w:marBottom w:val="0"/>
      <w:divBdr>
        <w:top w:val="none" w:sz="0" w:space="0" w:color="auto"/>
        <w:left w:val="none" w:sz="0" w:space="0" w:color="auto"/>
        <w:bottom w:val="none" w:sz="0" w:space="0" w:color="auto"/>
        <w:right w:val="none" w:sz="0" w:space="0" w:color="auto"/>
      </w:divBdr>
      <w:divsChild>
        <w:div w:id="97885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99ED96B-DAA9-4919-9496-24137AAE8E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38057EA04109045A4295464960635FC" ma:contentTypeVersion="" ma:contentTypeDescription="PDMS Document Site Content Type" ma:contentTypeScope="" ma:versionID="21cda227af2614520e91a9b1a309c61a">
  <xsd:schema xmlns:xsd="http://www.w3.org/2001/XMLSchema" xmlns:xs="http://www.w3.org/2001/XMLSchema" xmlns:p="http://schemas.microsoft.com/office/2006/metadata/properties" xmlns:ns2="C99ED96B-DAA9-4919-9496-24137AAE8E98" targetNamespace="http://schemas.microsoft.com/office/2006/metadata/properties" ma:root="true" ma:fieldsID="d9598d1ae5bc9feb01c53626503e6804" ns2:_="">
    <xsd:import namespace="C99ED96B-DAA9-4919-9496-24137AAE8E9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D96B-DAA9-4919-9496-24137AAE8E9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B282D-E5A5-472E-8FA3-AF2ECB5E1B19}">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C99ED96B-DAA9-4919-9496-24137AAE8E9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4011EEE-A533-4458-B9F2-12E4EA4B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ED96B-DAA9-4919-9496-24137AAE8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5114</Words>
  <Characters>29150</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BAKER,Fiona</cp:lastModifiedBy>
  <cp:revision>2</cp:revision>
  <cp:lastPrinted>2019-11-17T23:12:00Z</cp:lastPrinted>
  <dcterms:created xsi:type="dcterms:W3CDTF">2022-03-17T05:33:00Z</dcterms:created>
  <dcterms:modified xsi:type="dcterms:W3CDTF">2022-03-17T05:33:00Z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0x010100266966F133664895A6EE3632470D45F500338057EA04109045A4295464960635FC</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