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699C" w14:textId="77777777" w:rsidR="00A35F6D" w:rsidRPr="00A35F6D" w:rsidRDefault="00A35F6D" w:rsidP="00A35F6D">
      <w:pPr>
        <w:widowControl w:val="0"/>
        <w:rPr>
          <w:rFonts w:eastAsia="Times New Roman" w:cs="Times New Roman"/>
          <w:noProof/>
          <w:sz w:val="20"/>
          <w:szCs w:val="20"/>
          <w:lang w:val="en-AU" w:eastAsia="en-AU"/>
        </w:rPr>
      </w:pPr>
      <w:bookmarkStart w:id="0" w:name="_GoBack"/>
      <w:bookmarkEnd w:id="0"/>
      <w:r w:rsidRPr="00A35F6D">
        <w:rPr>
          <w:rFonts w:eastAsia="Times New Roman" w:cs="Times New Roman"/>
          <w:noProof/>
          <w:sz w:val="20"/>
          <w:szCs w:val="20"/>
          <w:lang w:eastAsia="en-GB"/>
        </w:rPr>
        <w:drawing>
          <wp:inline distT="0" distB="0" distL="0" distR="0" wp14:anchorId="50E9F3A6" wp14:editId="3A34FD06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42A9" w14:textId="77777777" w:rsidR="00A35F6D" w:rsidRPr="00A35F6D" w:rsidRDefault="00A35F6D" w:rsidP="00A35F6D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bCs/>
          <w:szCs w:val="20"/>
        </w:rPr>
      </w:pPr>
    </w:p>
    <w:p w14:paraId="2304480E" w14:textId="77777777" w:rsidR="00A35F6D" w:rsidRPr="00A35F6D" w:rsidRDefault="00A35F6D" w:rsidP="00A35F6D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>Food Standards (Proposal P1057 – Review of the kava standard) Variation</w:t>
      </w:r>
    </w:p>
    <w:p w14:paraId="764D01D2" w14:textId="77777777" w:rsidR="00A35F6D" w:rsidRPr="00A35F6D" w:rsidRDefault="00A35F6D" w:rsidP="00A35F6D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</w:p>
    <w:p w14:paraId="034BD319" w14:textId="7777777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EEE18A9" w14:textId="0E2393D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>The Board of Food Standards Australia New Zealand gives notice of the making of this variation under section 9</w:t>
      </w:r>
      <w:r w:rsidR="00C478F4">
        <w:rPr>
          <w:rFonts w:eastAsia="Times New Roman" w:cs="Times New Roman"/>
          <w:sz w:val="20"/>
          <w:szCs w:val="20"/>
        </w:rPr>
        <w:t>2</w:t>
      </w:r>
      <w:r w:rsidRPr="00A35F6D">
        <w:rPr>
          <w:rFonts w:eastAsia="Times New Roman" w:cs="Times New Roman"/>
          <w:sz w:val="20"/>
          <w:szCs w:val="20"/>
        </w:rPr>
        <w:t xml:space="preserve"> of the </w:t>
      </w:r>
      <w:r w:rsidRPr="00A35F6D">
        <w:rPr>
          <w:rFonts w:eastAsia="Times New Roman" w:cs="Times New Roman"/>
          <w:i/>
          <w:sz w:val="20"/>
          <w:szCs w:val="20"/>
        </w:rPr>
        <w:t>Food Standards Australia New Zealand Act 1991</w:t>
      </w:r>
      <w:r w:rsidRPr="00A35F6D">
        <w:rPr>
          <w:rFonts w:eastAsia="Times New Roman" w:cs="Times New Roman"/>
          <w:sz w:val="20"/>
          <w:szCs w:val="20"/>
        </w:rPr>
        <w:t>.  The variation commences on the date specified in clause 3 of this variation.</w:t>
      </w:r>
    </w:p>
    <w:p w14:paraId="5F34D62C" w14:textId="7777777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9095178" w14:textId="573C1A8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 xml:space="preserve">Dated </w:t>
      </w:r>
      <w:r w:rsidR="003849D3">
        <w:rPr>
          <w:rFonts w:eastAsia="Times New Roman" w:cs="Times New Roman"/>
          <w:sz w:val="20"/>
          <w:szCs w:val="20"/>
        </w:rPr>
        <w:t>9</w:t>
      </w:r>
      <w:r w:rsidR="00597D25">
        <w:rPr>
          <w:rFonts w:eastAsia="Times New Roman" w:cs="Times New Roman"/>
          <w:sz w:val="20"/>
          <w:szCs w:val="20"/>
        </w:rPr>
        <w:t xml:space="preserve"> Ma</w:t>
      </w:r>
      <w:r w:rsidR="003849D3">
        <w:rPr>
          <w:rFonts w:eastAsia="Times New Roman" w:cs="Times New Roman"/>
          <w:sz w:val="20"/>
          <w:szCs w:val="20"/>
        </w:rPr>
        <w:t>rch 2022</w:t>
      </w:r>
    </w:p>
    <w:p w14:paraId="45872942" w14:textId="7777777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6D469972" w14:textId="5F09F512" w:rsidR="00A35F6D" w:rsidRPr="00A35F6D" w:rsidRDefault="007230AE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7230AE">
        <w:rPr>
          <w:noProof/>
          <w:lang w:eastAsia="en-GB"/>
        </w:rPr>
        <w:drawing>
          <wp:inline distT="0" distB="0" distL="0" distR="0" wp14:anchorId="1C0B9F23" wp14:editId="04E4D544">
            <wp:extent cx="22479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6836" w14:textId="0DF2A7A9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4EDE9318" w14:textId="75FC6289" w:rsidR="00A35F6D" w:rsidRPr="00A35F6D" w:rsidRDefault="00597D25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Dr Matthew O’Mullane</w:t>
      </w:r>
    </w:p>
    <w:p w14:paraId="4BBDD164" w14:textId="7777777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>Delegate of the Board of Food Standards Australia New Zealand</w:t>
      </w:r>
    </w:p>
    <w:p w14:paraId="4C16C2B8" w14:textId="77777777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79CD67AD" w14:textId="1E86B783" w:rsidR="00A35F6D" w:rsidRPr="00A35F6D" w:rsidRDefault="00A35F6D" w:rsidP="00A35F6D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580F5DD1" w14:textId="77777777" w:rsidR="00A35F6D" w:rsidRPr="00A35F6D" w:rsidRDefault="00A35F6D" w:rsidP="00A35F6D">
      <w:pPr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br w:type="page"/>
      </w:r>
    </w:p>
    <w:p w14:paraId="608F126F" w14:textId="77777777" w:rsidR="00A35F6D" w:rsidRPr="00A35F6D" w:rsidRDefault="00A35F6D" w:rsidP="00A35F6D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A35F6D">
        <w:rPr>
          <w:rFonts w:eastAsia="Times New Roman" w:cs="Times New Roman"/>
          <w:b/>
          <w:sz w:val="20"/>
          <w:szCs w:val="20"/>
        </w:rPr>
        <w:tab/>
        <w:t>Name</w:t>
      </w:r>
    </w:p>
    <w:p w14:paraId="6BC321A9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 xml:space="preserve">This instrument is the </w:t>
      </w:r>
      <w:r w:rsidRPr="00A35F6D">
        <w:rPr>
          <w:rFonts w:eastAsia="Times New Roman" w:cs="Times New Roman"/>
          <w:i/>
          <w:sz w:val="20"/>
          <w:szCs w:val="20"/>
        </w:rPr>
        <w:t>Food Standards (Proposal P1057 – Review of the kava standard) Variation</w:t>
      </w:r>
      <w:r w:rsidRPr="00A35F6D">
        <w:rPr>
          <w:rFonts w:eastAsia="Times New Roman" w:cs="Times New Roman"/>
          <w:sz w:val="20"/>
          <w:szCs w:val="20"/>
        </w:rPr>
        <w:t>.</w:t>
      </w:r>
    </w:p>
    <w:p w14:paraId="37EF3B78" w14:textId="77777777" w:rsidR="00A35F6D" w:rsidRPr="00A35F6D" w:rsidRDefault="00A35F6D" w:rsidP="00A35F6D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>2</w:t>
      </w:r>
      <w:r w:rsidRPr="00A35F6D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A35F6D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6FC933CC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 xml:space="preserve">The Schedule varies Standards in the </w:t>
      </w:r>
      <w:r w:rsidRPr="00A35F6D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A35F6D">
        <w:rPr>
          <w:rFonts w:eastAsia="Times New Roman" w:cs="Times New Roman"/>
          <w:sz w:val="20"/>
          <w:szCs w:val="20"/>
        </w:rPr>
        <w:t>.</w:t>
      </w:r>
    </w:p>
    <w:p w14:paraId="14D504B6" w14:textId="77777777" w:rsidR="00A35F6D" w:rsidRPr="00A35F6D" w:rsidRDefault="00A35F6D" w:rsidP="00A35F6D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>3</w:t>
      </w:r>
      <w:r w:rsidRPr="00A35F6D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4B22674C" w14:textId="64F04BD8" w:rsidR="00A35F6D" w:rsidRPr="00A35F6D" w:rsidRDefault="008D34DB" w:rsidP="00A35F6D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>
        <w:rPr>
          <w:rFonts w:cs="Arial"/>
          <w:sz w:val="20"/>
          <w:szCs w:val="20"/>
        </w:rPr>
        <w:t xml:space="preserve">The variation commences on the date of </w:t>
      </w:r>
      <w:r>
        <w:rPr>
          <w:rFonts w:cs="Arial"/>
          <w:sz w:val="20"/>
          <w:szCs w:val="20"/>
          <w:lang w:val="en-AU"/>
        </w:rPr>
        <w:t>public notice of the approval of the variation</w:t>
      </w:r>
      <w:r w:rsidR="00A35F6D" w:rsidRPr="00A35F6D">
        <w:rPr>
          <w:rFonts w:eastAsia="Times New Roman" w:cs="Times New Roman"/>
          <w:sz w:val="20"/>
          <w:szCs w:val="20"/>
        </w:rPr>
        <w:t>.</w:t>
      </w:r>
    </w:p>
    <w:p w14:paraId="01E1BCC2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633606">
        <w:rPr>
          <w:rFonts w:eastAsia="Times New Roman" w:cs="Times New Roman"/>
          <w:b/>
          <w:sz w:val="20"/>
          <w:szCs w:val="20"/>
        </w:rPr>
        <w:t>4.</w:t>
      </w:r>
      <w:r w:rsidRPr="00A35F6D">
        <w:rPr>
          <w:rFonts w:eastAsia="Times New Roman" w:cs="Times New Roman"/>
          <w:sz w:val="20"/>
          <w:szCs w:val="20"/>
        </w:rPr>
        <w:tab/>
      </w:r>
      <w:r w:rsidRPr="00A35F6D">
        <w:rPr>
          <w:rFonts w:eastAsia="Times New Roman" w:cs="Times New Roman"/>
          <w:b/>
          <w:sz w:val="20"/>
          <w:szCs w:val="20"/>
        </w:rPr>
        <w:t>Transitional arrangements</w:t>
      </w:r>
    </w:p>
    <w:p w14:paraId="4C131267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 xml:space="preserve">Section </w:t>
      </w:r>
      <w:r w:rsidRPr="00A35F6D">
        <w:rPr>
          <w:rFonts w:eastAsia="Times New Roman" w:cs="Arial"/>
          <w:bCs/>
          <w:sz w:val="20"/>
          <w:szCs w:val="20"/>
          <w:shd w:val="clear" w:color="auto" w:fill="FFFFFF"/>
        </w:rPr>
        <w:t xml:space="preserve">1.1.1—9 of </w:t>
      </w:r>
      <w:r w:rsidRPr="00A35F6D">
        <w:rPr>
          <w:rFonts w:eastAsia="Times New Roman" w:cs="Times New Roman"/>
          <w:sz w:val="20"/>
          <w:szCs w:val="20"/>
        </w:rPr>
        <w:t xml:space="preserve">the </w:t>
      </w:r>
      <w:r w:rsidRPr="00A35F6D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A35F6D">
        <w:rPr>
          <w:rFonts w:eastAsia="Times New Roman" w:cs="Arial"/>
          <w:bCs/>
          <w:sz w:val="20"/>
          <w:szCs w:val="20"/>
          <w:shd w:val="clear" w:color="auto" w:fill="FFFFFF"/>
        </w:rPr>
        <w:t xml:space="preserve"> does not apply to the variations made by this instrument.</w:t>
      </w:r>
    </w:p>
    <w:p w14:paraId="12B5CE8B" w14:textId="77777777" w:rsidR="00A35F6D" w:rsidRPr="00A35F6D" w:rsidRDefault="00A35F6D" w:rsidP="00A35F6D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0"/>
          <w:szCs w:val="20"/>
        </w:rPr>
      </w:pPr>
    </w:p>
    <w:p w14:paraId="63C15BCC" w14:textId="77777777" w:rsidR="00A35F6D" w:rsidRPr="00A35F6D" w:rsidRDefault="00A35F6D" w:rsidP="00A35F6D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>Schedule</w:t>
      </w:r>
    </w:p>
    <w:p w14:paraId="0BEB8EE2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  <w:lang w:bidi="en-US"/>
        </w:rPr>
      </w:pPr>
      <w:r w:rsidRPr="00A35F6D">
        <w:rPr>
          <w:rFonts w:eastAsia="Times New Roman" w:cs="Times New Roman"/>
          <w:b/>
          <w:sz w:val="20"/>
          <w:szCs w:val="20"/>
          <w:lang w:bidi="en-US"/>
        </w:rPr>
        <w:t>Standard 1.1.2</w:t>
      </w:r>
    </w:p>
    <w:p w14:paraId="66D52B8C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>[1]</w:t>
      </w:r>
      <w:r w:rsidRPr="00A35F6D">
        <w:rPr>
          <w:rFonts w:eastAsia="Times New Roman" w:cs="Times New Roman"/>
          <w:b/>
          <w:sz w:val="20"/>
          <w:szCs w:val="20"/>
        </w:rPr>
        <w:tab/>
        <w:t xml:space="preserve">Subsection 1.1.2—3(2) (definition of </w:t>
      </w:r>
      <w:r w:rsidRPr="00A35F6D">
        <w:rPr>
          <w:rFonts w:eastAsia="Times New Roman" w:cs="Times New Roman"/>
          <w:b/>
          <w:i/>
          <w:sz w:val="20"/>
          <w:szCs w:val="20"/>
        </w:rPr>
        <w:t>kava root</w:t>
      </w:r>
      <w:r w:rsidRPr="00A35F6D">
        <w:rPr>
          <w:rFonts w:eastAsia="Times New Roman" w:cs="Times New Roman"/>
          <w:b/>
          <w:sz w:val="20"/>
          <w:szCs w:val="20"/>
        </w:rPr>
        <w:t>)</w:t>
      </w:r>
    </w:p>
    <w:p w14:paraId="1AF48396" w14:textId="77777777" w:rsidR="00A35F6D" w:rsidRPr="00A35F6D" w:rsidRDefault="00A35F6D" w:rsidP="00A35F6D">
      <w:pPr>
        <w:tabs>
          <w:tab w:val="left" w:pos="851"/>
        </w:tabs>
        <w:spacing w:before="120" w:after="120"/>
        <w:ind w:left="851" w:hanging="851"/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ab/>
        <w:t xml:space="preserve">Repeal the definition, substitute: </w:t>
      </w:r>
    </w:p>
    <w:p w14:paraId="3168D049" w14:textId="77777777" w:rsidR="00A35F6D" w:rsidRPr="00A35F6D" w:rsidRDefault="00A35F6D" w:rsidP="00A35F6D">
      <w:pPr>
        <w:widowControl w:val="0"/>
        <w:tabs>
          <w:tab w:val="left" w:pos="1134"/>
        </w:tabs>
        <w:spacing w:before="120" w:after="120"/>
        <w:ind w:left="1701"/>
        <w:rPr>
          <w:rFonts w:eastAsia="Times New Roman" w:cs="Arial"/>
          <w:iCs/>
          <w:sz w:val="20"/>
          <w:lang w:eastAsia="en-AU"/>
        </w:rPr>
      </w:pPr>
      <w:r w:rsidRPr="00A35F6D">
        <w:rPr>
          <w:rFonts w:eastAsia="Times New Roman" w:cs="Arial"/>
          <w:b/>
          <w:i/>
          <w:iCs/>
          <w:sz w:val="20"/>
          <w:lang w:eastAsia="en-AU"/>
        </w:rPr>
        <w:t>kava root</w:t>
      </w:r>
      <w:r w:rsidRPr="00A35F6D">
        <w:rPr>
          <w:rFonts w:eastAsia="Times New Roman" w:cs="Arial"/>
          <w:iCs/>
          <w:sz w:val="20"/>
          <w:lang w:eastAsia="en-AU"/>
        </w:rPr>
        <w:t xml:space="preserve"> means the peeled root or peeled rootstock of a Noble variety of kava that is named in section 3.1 of the </w:t>
      </w:r>
      <w:r w:rsidRPr="00A35F6D">
        <w:rPr>
          <w:rFonts w:eastAsia="Times New Roman" w:cs="Arial"/>
          <w:i/>
          <w:iCs/>
          <w:sz w:val="20"/>
          <w:lang w:eastAsia="en-AU"/>
        </w:rPr>
        <w:t>Regional Standard for Kava Products for use as a Beverage When Mixed with Water</w:t>
      </w:r>
      <w:r w:rsidRPr="00A35F6D">
        <w:rPr>
          <w:rFonts w:eastAsia="Times New Roman" w:cs="Arial"/>
          <w:iCs/>
          <w:sz w:val="20"/>
          <w:lang w:eastAsia="en-AU"/>
        </w:rPr>
        <w:t xml:space="preserve"> (</w:t>
      </w:r>
      <w:proofErr w:type="spellStart"/>
      <w:r w:rsidRPr="00A35F6D">
        <w:rPr>
          <w:rFonts w:eastAsia="Times New Roman" w:cs="Arial"/>
          <w:iCs/>
          <w:sz w:val="20"/>
          <w:lang w:eastAsia="en-AU"/>
        </w:rPr>
        <w:t>CXS</w:t>
      </w:r>
      <w:proofErr w:type="spellEnd"/>
      <w:r w:rsidRPr="00A35F6D">
        <w:rPr>
          <w:rFonts w:eastAsia="Times New Roman" w:cs="Arial"/>
          <w:iCs/>
          <w:sz w:val="20"/>
          <w:lang w:eastAsia="en-AU"/>
        </w:rPr>
        <w:t xml:space="preserve"> 336R-2020) as adopted by the 43</w:t>
      </w:r>
      <w:r w:rsidRPr="00A35F6D">
        <w:rPr>
          <w:rFonts w:eastAsia="Times New Roman" w:cs="Arial"/>
          <w:iCs/>
          <w:sz w:val="20"/>
          <w:vertAlign w:val="superscript"/>
          <w:lang w:eastAsia="en-AU"/>
        </w:rPr>
        <w:t>rd</w:t>
      </w:r>
      <w:r w:rsidRPr="00A35F6D">
        <w:rPr>
          <w:rFonts w:eastAsia="Times New Roman" w:cs="Arial"/>
          <w:iCs/>
          <w:sz w:val="20"/>
          <w:lang w:eastAsia="en-AU"/>
        </w:rPr>
        <w:t xml:space="preserve"> Session of the joint Food and Agriculture Organization and World Health Organization Codex Alimentarius Commission (2020).</w:t>
      </w:r>
    </w:p>
    <w:p w14:paraId="1D0B3C3D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  <w:lang w:bidi="en-US"/>
        </w:rPr>
        <w:t xml:space="preserve">Standard 2.6.3 </w:t>
      </w:r>
      <w:r w:rsidRPr="00A35F6D">
        <w:rPr>
          <w:rFonts w:eastAsia="Times New Roman" w:cs="Times New Roman"/>
          <w:b/>
          <w:sz w:val="20"/>
          <w:szCs w:val="20"/>
          <w:lang w:bidi="en-US"/>
        </w:rPr>
        <w:tab/>
        <w:t>Kava</w:t>
      </w:r>
    </w:p>
    <w:p w14:paraId="5312C115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>[2]</w:t>
      </w:r>
      <w:r w:rsidRPr="00A35F6D">
        <w:rPr>
          <w:rFonts w:eastAsia="Times New Roman" w:cs="Times New Roman"/>
          <w:b/>
          <w:sz w:val="20"/>
          <w:szCs w:val="20"/>
        </w:rPr>
        <w:tab/>
        <w:t>Section 2.6.3—2 (note)</w:t>
      </w:r>
    </w:p>
    <w:p w14:paraId="11862311" w14:textId="77777777" w:rsidR="00A35F6D" w:rsidRPr="00A35F6D" w:rsidRDefault="00A35F6D" w:rsidP="00A35F6D">
      <w:pPr>
        <w:tabs>
          <w:tab w:val="left" w:pos="851"/>
        </w:tabs>
        <w:spacing w:before="120" w:after="120"/>
        <w:ind w:left="851" w:hanging="851"/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ab/>
        <w:t xml:space="preserve">Omit “of kava”, substitute “of a Noble variety of kava that is named in section 3.1 of the </w:t>
      </w:r>
      <w:r w:rsidRPr="00A35F6D">
        <w:rPr>
          <w:rFonts w:eastAsia="Times New Roman" w:cs="Times New Roman"/>
          <w:i/>
          <w:sz w:val="20"/>
          <w:szCs w:val="20"/>
        </w:rPr>
        <w:t>Regional Standard for Kava Products for use as a Beverage When Mixed with Water</w:t>
      </w:r>
      <w:r w:rsidRPr="00A35F6D">
        <w:rPr>
          <w:rFonts w:eastAsia="Times New Roman" w:cs="Times New Roman"/>
          <w:sz w:val="20"/>
          <w:szCs w:val="20"/>
        </w:rPr>
        <w:t xml:space="preserve"> (</w:t>
      </w:r>
      <w:proofErr w:type="spellStart"/>
      <w:r w:rsidRPr="00A35F6D">
        <w:rPr>
          <w:rFonts w:eastAsia="Times New Roman" w:cs="Times New Roman"/>
          <w:sz w:val="20"/>
          <w:szCs w:val="20"/>
        </w:rPr>
        <w:t>CXS</w:t>
      </w:r>
      <w:proofErr w:type="spellEnd"/>
      <w:r w:rsidRPr="00A35F6D">
        <w:rPr>
          <w:rFonts w:eastAsia="Times New Roman" w:cs="Times New Roman"/>
          <w:sz w:val="20"/>
          <w:szCs w:val="20"/>
        </w:rPr>
        <w:t xml:space="preserve"> 336R-2020) as adopted by the 43</w:t>
      </w:r>
      <w:r w:rsidRPr="00A35F6D">
        <w:rPr>
          <w:rFonts w:eastAsia="Times New Roman" w:cs="Times New Roman"/>
          <w:sz w:val="20"/>
          <w:szCs w:val="20"/>
          <w:vertAlign w:val="superscript"/>
        </w:rPr>
        <w:t>rd</w:t>
      </w:r>
      <w:r w:rsidRPr="00A35F6D">
        <w:rPr>
          <w:rFonts w:eastAsia="Times New Roman" w:cs="Times New Roman"/>
          <w:sz w:val="20"/>
          <w:szCs w:val="20"/>
        </w:rPr>
        <w:t xml:space="preserve"> Session of the joint Food and Agriculture Organization and World Health Organization Codex Alimentarius Commission (2020)”.</w:t>
      </w:r>
    </w:p>
    <w:p w14:paraId="61FBEDE2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A35F6D">
        <w:rPr>
          <w:rFonts w:eastAsia="Times New Roman" w:cs="Times New Roman"/>
          <w:b/>
          <w:sz w:val="20"/>
          <w:szCs w:val="20"/>
        </w:rPr>
        <w:t xml:space="preserve"> [3]</w:t>
      </w:r>
      <w:r w:rsidRPr="00A35F6D">
        <w:rPr>
          <w:rFonts w:eastAsia="Times New Roman" w:cs="Times New Roman"/>
          <w:b/>
          <w:sz w:val="20"/>
          <w:szCs w:val="20"/>
        </w:rPr>
        <w:tab/>
        <w:t>At the end of the instrument</w:t>
      </w:r>
    </w:p>
    <w:p w14:paraId="18E1E579" w14:textId="77777777" w:rsidR="00A35F6D" w:rsidRPr="00A35F6D" w:rsidRDefault="00A35F6D" w:rsidP="00A35F6D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35F6D">
        <w:rPr>
          <w:rFonts w:eastAsia="Times New Roman" w:cs="Times New Roman"/>
          <w:sz w:val="20"/>
          <w:szCs w:val="20"/>
        </w:rPr>
        <w:tab/>
        <w:t>Add:</w:t>
      </w:r>
    </w:p>
    <w:p w14:paraId="2D2D1BCA" w14:textId="77777777" w:rsidR="00A35F6D" w:rsidRPr="00A35F6D" w:rsidRDefault="00A35F6D" w:rsidP="00A35F6D">
      <w:pPr>
        <w:keepNext/>
        <w:widowControl w:val="0"/>
        <w:spacing w:before="240" w:after="120"/>
        <w:ind w:left="1701" w:hanging="1701"/>
        <w:outlineLvl w:val="4"/>
        <w:rPr>
          <w:rFonts w:eastAsia="Times New Roman" w:cs="Times New Roman"/>
          <w:b/>
          <w:bCs/>
          <w:kern w:val="32"/>
          <w:szCs w:val="24"/>
          <w:lang w:eastAsia="en-GB"/>
        </w:rPr>
      </w:pPr>
      <w:r w:rsidRPr="00A35F6D">
        <w:rPr>
          <w:rFonts w:eastAsia="Times New Roman" w:cs="Times New Roman"/>
          <w:b/>
          <w:bCs/>
          <w:kern w:val="32"/>
          <w:szCs w:val="24"/>
          <w:lang w:eastAsia="en-AU"/>
        </w:rPr>
        <w:t>2.6.3—5</w:t>
      </w:r>
      <w:r w:rsidRPr="00A35F6D">
        <w:rPr>
          <w:rFonts w:eastAsia="Times New Roman" w:cs="Times New Roman"/>
          <w:b/>
          <w:bCs/>
          <w:kern w:val="32"/>
          <w:szCs w:val="24"/>
          <w:lang w:eastAsia="en-AU"/>
        </w:rPr>
        <w:tab/>
        <w:t>Prohibition on food additives and processing aids in kava</w:t>
      </w:r>
    </w:p>
    <w:p w14:paraId="368FDD24" w14:textId="77777777" w:rsidR="00A35F6D" w:rsidRPr="00A35F6D" w:rsidRDefault="00A35F6D" w:rsidP="00A35F6D">
      <w:pPr>
        <w:widowControl w:val="0"/>
        <w:tabs>
          <w:tab w:val="left" w:pos="1134"/>
        </w:tabs>
        <w:spacing w:before="120" w:after="120"/>
        <w:ind w:left="1701" w:hanging="1701"/>
        <w:rPr>
          <w:rFonts w:eastAsia="Times New Roman" w:cs="Arial"/>
          <w:iCs/>
          <w:sz w:val="20"/>
          <w:lang w:eastAsia="en-AU"/>
        </w:rPr>
      </w:pPr>
      <w:r w:rsidRPr="00A35F6D">
        <w:rPr>
          <w:rFonts w:eastAsia="Times New Roman" w:cs="Arial"/>
          <w:iCs/>
          <w:sz w:val="20"/>
          <w:lang w:eastAsia="en-AU"/>
        </w:rPr>
        <w:tab/>
      </w:r>
      <w:r w:rsidRPr="00A35F6D">
        <w:rPr>
          <w:rFonts w:eastAsia="Times New Roman" w:cs="Arial"/>
          <w:iCs/>
          <w:sz w:val="20"/>
          <w:lang w:eastAsia="en-AU"/>
        </w:rPr>
        <w:tab/>
        <w:t xml:space="preserve">A </w:t>
      </w:r>
      <w:r w:rsidRPr="00A35F6D">
        <w:rPr>
          <w:rFonts w:eastAsia="Times New Roman" w:cs="Arial"/>
          <w:iCs/>
          <w:color w:val="000000"/>
          <w:sz w:val="20"/>
          <w:szCs w:val="20"/>
          <w:shd w:val="clear" w:color="auto" w:fill="FFFFFF"/>
          <w:lang w:eastAsia="en-AU"/>
        </w:rPr>
        <w:t xml:space="preserve">food referred to in paragraph 2.6.3—3(a) or 2.6.3—3(b) </w:t>
      </w:r>
      <w:r w:rsidRPr="00A35F6D">
        <w:rPr>
          <w:rFonts w:eastAsia="Times New Roman" w:cs="Arial"/>
          <w:iCs/>
          <w:color w:val="000000"/>
          <w:sz w:val="20"/>
          <w:szCs w:val="20"/>
          <w:lang w:eastAsia="en-AU"/>
        </w:rPr>
        <w:t>must not have as an ingredient or a component, any of the following</w:t>
      </w:r>
      <w:r w:rsidRPr="00A35F6D">
        <w:rPr>
          <w:rFonts w:eastAsia="Times New Roman" w:cs="Arial"/>
          <w:iCs/>
          <w:sz w:val="20"/>
          <w:lang w:eastAsia="en-AU"/>
        </w:rPr>
        <w:t>:</w:t>
      </w:r>
    </w:p>
    <w:p w14:paraId="48236FDD" w14:textId="77777777" w:rsidR="00A35F6D" w:rsidRPr="00A35F6D" w:rsidRDefault="00A35F6D" w:rsidP="00A35F6D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A35F6D">
        <w:rPr>
          <w:rFonts w:eastAsia="Times New Roman" w:cs="Arial"/>
          <w:iCs/>
          <w:sz w:val="20"/>
          <w:lang w:eastAsia="en-AU"/>
        </w:rPr>
        <w:tab/>
        <w:t>(a)</w:t>
      </w:r>
      <w:r w:rsidRPr="00A35F6D">
        <w:rPr>
          <w:rFonts w:eastAsia="Times New Roman" w:cs="Arial"/>
          <w:iCs/>
          <w:sz w:val="20"/>
          <w:lang w:eastAsia="en-AU"/>
        </w:rPr>
        <w:tab/>
        <w:t xml:space="preserve">a substance </w:t>
      </w:r>
      <w:r w:rsidRPr="00A35F6D">
        <w:rPr>
          <w:rFonts w:eastAsia="Times New Roman" w:cs="Arial"/>
          <w:iCs/>
          <w:color w:val="000000"/>
          <w:sz w:val="20"/>
          <w:szCs w:val="20"/>
          <w:lang w:eastAsia="en-AU"/>
        </w:rPr>
        <w:t xml:space="preserve">that was *used as </w:t>
      </w:r>
      <w:r w:rsidRPr="00A35F6D">
        <w:rPr>
          <w:rFonts w:eastAsia="Times New Roman" w:cs="Arial"/>
          <w:iCs/>
          <w:sz w:val="20"/>
          <w:lang w:eastAsia="en-AU"/>
        </w:rPr>
        <w:t>a food additive;</w:t>
      </w:r>
    </w:p>
    <w:p w14:paraId="12875D8F" w14:textId="77777777" w:rsidR="00A35F6D" w:rsidRPr="00A35F6D" w:rsidRDefault="00A35F6D" w:rsidP="00A35F6D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A35F6D">
        <w:rPr>
          <w:rFonts w:eastAsia="Times New Roman" w:cs="Arial"/>
          <w:iCs/>
          <w:sz w:val="20"/>
          <w:lang w:eastAsia="en-AU"/>
        </w:rPr>
        <w:tab/>
        <w:t>(b)</w:t>
      </w:r>
      <w:r w:rsidRPr="00A35F6D">
        <w:rPr>
          <w:rFonts w:eastAsia="Times New Roman" w:cs="Arial"/>
          <w:iCs/>
          <w:sz w:val="20"/>
          <w:lang w:eastAsia="en-AU"/>
        </w:rPr>
        <w:tab/>
        <w:t xml:space="preserve">a substance </w:t>
      </w:r>
      <w:r w:rsidRPr="00A35F6D">
        <w:rPr>
          <w:rFonts w:eastAsia="Times New Roman" w:cs="Arial"/>
          <w:iCs/>
          <w:color w:val="000000"/>
          <w:sz w:val="20"/>
          <w:szCs w:val="20"/>
          <w:lang w:eastAsia="en-AU"/>
        </w:rPr>
        <w:t xml:space="preserve">that was *used as </w:t>
      </w:r>
      <w:r w:rsidRPr="00A35F6D">
        <w:rPr>
          <w:rFonts w:eastAsia="Times New Roman" w:cs="Arial"/>
          <w:iCs/>
          <w:sz w:val="20"/>
          <w:lang w:eastAsia="en-AU"/>
        </w:rPr>
        <w:t>a processing aid.</w:t>
      </w:r>
    </w:p>
    <w:p w14:paraId="6E1CFC7B" w14:textId="77777777" w:rsidR="00A35F6D" w:rsidRPr="00A35F6D" w:rsidRDefault="00A35F6D" w:rsidP="00A35F6D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sz w:val="16"/>
          <w:szCs w:val="18"/>
          <w:lang w:eastAsia="en-AU"/>
        </w:rPr>
      </w:pPr>
      <w:r w:rsidRPr="00A35F6D">
        <w:rPr>
          <w:rFonts w:eastAsia="Times New Roman" w:cs="Arial"/>
          <w:sz w:val="16"/>
          <w:szCs w:val="18"/>
          <w:lang w:eastAsia="en-AU"/>
        </w:rPr>
        <w:tab/>
      </w:r>
    </w:p>
    <w:p w14:paraId="690EEA1A" w14:textId="77777777" w:rsidR="00A35F6D" w:rsidRPr="00A35F6D" w:rsidRDefault="00A35F6D" w:rsidP="00A35F6D">
      <w:pPr>
        <w:shd w:val="clear" w:color="auto" w:fill="FFFFFF"/>
        <w:spacing w:before="120" w:after="120"/>
        <w:ind w:left="1701" w:hanging="1701"/>
        <w:rPr>
          <w:rFonts w:eastAsia="Times New Roman" w:cs="Arial"/>
          <w:color w:val="000000"/>
          <w:sz w:val="20"/>
          <w:szCs w:val="20"/>
          <w:lang w:eastAsia="en-GB"/>
        </w:rPr>
      </w:pPr>
      <w:r w:rsidRPr="00A35F6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</w:p>
    <w:p w14:paraId="7C37C52D" w14:textId="77777777" w:rsidR="00D5526B" w:rsidRPr="003A01FB" w:rsidRDefault="00D5526B" w:rsidP="00A35F6D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61450" w14:textId="77777777" w:rsidR="00C05E25" w:rsidRDefault="00C05E25" w:rsidP="003C1891">
      <w:r>
        <w:separator/>
      </w:r>
    </w:p>
  </w:endnote>
  <w:endnote w:type="continuationSeparator" w:id="0">
    <w:p w14:paraId="53762444" w14:textId="77777777" w:rsidR="00C05E25" w:rsidRDefault="00C05E25" w:rsidP="003C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5878" w14:textId="77777777" w:rsidR="00C05E25" w:rsidRDefault="00C05E25" w:rsidP="003C1891">
      <w:r>
        <w:separator/>
      </w:r>
    </w:p>
  </w:footnote>
  <w:footnote w:type="continuationSeparator" w:id="0">
    <w:p w14:paraId="1012B6A8" w14:textId="77777777" w:rsidR="00C05E25" w:rsidRDefault="00C05E25" w:rsidP="003C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91"/>
    <w:rsid w:val="0000542C"/>
    <w:rsid w:val="00041643"/>
    <w:rsid w:val="000435E4"/>
    <w:rsid w:val="000622E7"/>
    <w:rsid w:val="00066854"/>
    <w:rsid w:val="00066D85"/>
    <w:rsid w:val="000A38F8"/>
    <w:rsid w:val="000D7913"/>
    <w:rsid w:val="000F2196"/>
    <w:rsid w:val="000F5054"/>
    <w:rsid w:val="001734EA"/>
    <w:rsid w:val="00184403"/>
    <w:rsid w:val="00191770"/>
    <w:rsid w:val="001C5126"/>
    <w:rsid w:val="001E696B"/>
    <w:rsid w:val="00216E47"/>
    <w:rsid w:val="002232B1"/>
    <w:rsid w:val="00234C31"/>
    <w:rsid w:val="0033021F"/>
    <w:rsid w:val="00341D25"/>
    <w:rsid w:val="003701AA"/>
    <w:rsid w:val="003808B3"/>
    <w:rsid w:val="003849D3"/>
    <w:rsid w:val="003A01FB"/>
    <w:rsid w:val="003C1891"/>
    <w:rsid w:val="00404702"/>
    <w:rsid w:val="00441D77"/>
    <w:rsid w:val="00443F05"/>
    <w:rsid w:val="00486619"/>
    <w:rsid w:val="004D3868"/>
    <w:rsid w:val="004E6694"/>
    <w:rsid w:val="00517FD9"/>
    <w:rsid w:val="0054036E"/>
    <w:rsid w:val="00597D25"/>
    <w:rsid w:val="005B578D"/>
    <w:rsid w:val="005C1996"/>
    <w:rsid w:val="005C7DD5"/>
    <w:rsid w:val="00633606"/>
    <w:rsid w:val="006B6900"/>
    <w:rsid w:val="006D473E"/>
    <w:rsid w:val="007201F8"/>
    <w:rsid w:val="0072282A"/>
    <w:rsid w:val="007230AE"/>
    <w:rsid w:val="00793DE6"/>
    <w:rsid w:val="007F6456"/>
    <w:rsid w:val="00830393"/>
    <w:rsid w:val="00833D5A"/>
    <w:rsid w:val="00860EE7"/>
    <w:rsid w:val="00877A81"/>
    <w:rsid w:val="008931F6"/>
    <w:rsid w:val="008D34DB"/>
    <w:rsid w:val="008E2339"/>
    <w:rsid w:val="00935023"/>
    <w:rsid w:val="009806A5"/>
    <w:rsid w:val="009E265A"/>
    <w:rsid w:val="00A11664"/>
    <w:rsid w:val="00A25B29"/>
    <w:rsid w:val="00A26F82"/>
    <w:rsid w:val="00A35F6D"/>
    <w:rsid w:val="00A808E9"/>
    <w:rsid w:val="00A8476E"/>
    <w:rsid w:val="00AB424D"/>
    <w:rsid w:val="00B51DE1"/>
    <w:rsid w:val="00B53154"/>
    <w:rsid w:val="00B72074"/>
    <w:rsid w:val="00BC2133"/>
    <w:rsid w:val="00BE4F3A"/>
    <w:rsid w:val="00C019A6"/>
    <w:rsid w:val="00C05E25"/>
    <w:rsid w:val="00C478F4"/>
    <w:rsid w:val="00C572A2"/>
    <w:rsid w:val="00C7609A"/>
    <w:rsid w:val="00D43B71"/>
    <w:rsid w:val="00D5526B"/>
    <w:rsid w:val="00D66962"/>
    <w:rsid w:val="00D87D9C"/>
    <w:rsid w:val="00D92B3B"/>
    <w:rsid w:val="00DA7DED"/>
    <w:rsid w:val="00DF4A30"/>
    <w:rsid w:val="00E0050C"/>
    <w:rsid w:val="00E074C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285B6C5"/>
  <w15:chartTrackingRefBased/>
  <w15:docId w15:val="{7F550CEA-8C05-400E-B29E-976C44A8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13"/>
    <w:rPr>
      <w:rFonts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13"/>
    <w:rPr>
      <w:rFonts w:cstheme="minorBid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1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5759555f-5bed-45a4-a4c2-4e28e2623455" xsi:nil="true"/>
    <Agenda xmlns="5759555f-5bed-45a4-a4c2-4e28e2623455" xsi:nil="true"/>
    <Attachement xmlns="5759555f-5bed-45a4-a4c2-4e28e2623455">true</Attachement>
    <Hyperlink xmlns="5759555f-5bed-45a4-a4c2-4e28e2623455">
      <Url xsi:nil="true"/>
      <Description xsi:nil="true"/>
    </Hyperlink>
    <Related_x0020_project xmlns="ec50576e-4a27-4780-a1e1-e59563bc70b8" xsi:nil="true"/>
    <TaxCatchAll xmlns="ec50576e-4a27-4780-a1e1-e59563bc70b8">
      <Value>531</Value>
    </TaxCatchAll>
    <Links xmlns="5759555f-5bed-45a4-a4c2-4e28e2623455" xsi:nil="true"/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5759555f-5bed-45a4-a4c2-4e28e2623455">MMF7YEMDTSDN-199-16829</_dlc_DocId>
    <_dlc_DocIdUrl xmlns="5759555f-5bed-45a4-a4c2-4e28e2623455">
      <Url>http://fsintranet/Sections/pss/_layouts/15/DocIdRedir.aspx?ID=MMF7YEMDTSDN-199-16829</Url>
      <Description>MMF7YEMDTSDN-199-16829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CC10D0F970AB1946B2221A8383DDC535" ma:contentTypeVersion="45" ma:contentTypeDescription="FSANZ Record" ma:contentTypeScope="" ma:versionID="44dafba06524bb1100cbe22170010595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36474ed6af55c1efd9c74e3d285c351e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  <xsd:element ref="ns4:Attachement" minOccurs="0"/>
                <xsd:element ref="ns4:Abstract" minOccurs="0"/>
                <xsd:element ref="ns4:Agenda" minOccurs="0"/>
                <xsd:element ref="ns4:Hyperlink" minOccurs="0"/>
                <xsd:element ref="ns4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ttachement" ma:index="20" nillable="true" ma:displayName="Attachement" ma:default="1" ma:internalName="Attachement">
      <xsd:simpleType>
        <xsd:restriction base="dms:Boolean"/>
      </xsd:simpleType>
    </xsd:element>
    <xsd:element name="Abstract" ma:index="21" nillable="true" ma:displayName="Abstract" ma:internalName="Abstract">
      <xsd:simpleType>
        <xsd:restriction base="dms:Note">
          <xsd:maxLength value="255"/>
        </xsd:restriction>
      </xsd:simpleType>
    </xsd:element>
    <xsd:element name="Agenda" ma:index="22" nillable="true" ma:displayName="Agenda" ma:description="" ma:internalName="Agenda">
      <xsd:simpleType>
        <xsd:restriction base="dms:Note">
          <xsd:maxLength value="255"/>
        </xsd:restriction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" ma:index="24" nillable="true" ma:displayName="Links" ma:internalName="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8552-CDF1-4CF7-A7E5-39F6BE4B50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FBD228-47AE-430A-A9AA-085CDD3D88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BC06709-AACE-469E-AB2A-B9B4ECA1FF7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B33D784-276E-433C-86D0-B0DF8D42C3FA}">
  <ds:schemaRefs>
    <ds:schemaRef ds:uri="http://schemas.openxmlformats.org/package/2006/metadata/core-properties"/>
    <ds:schemaRef ds:uri="http://purl.org/dc/dcmitype/"/>
    <ds:schemaRef ds:uri="ec50576e-4a27-4780-a1e1-e59563bc70b8"/>
    <ds:schemaRef ds:uri="5759555f-5bed-45a4-a4c2-4e28e2623455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E221827-6DFC-4EA3-A6C2-69F9B97026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61BF06-2259-4CA6-9ABA-D0E3463B6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5759555f-5bed-45a4-a4c2-4e28e262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0BF99E1-905F-4732-9825-68BF69CAF3D5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1FF7040F-51C6-41DC-8DC0-B1851BAF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1775</Characters>
  <Application>Microsoft Office Word</Application>
  <DocSecurity>4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McGurgan, Danielle</dc:creator>
  <cp:lastModifiedBy>McGurgan, Danielle</cp:lastModifiedBy>
  <cp:revision>2</cp:revision>
  <dcterms:created xsi:type="dcterms:W3CDTF">2022-03-21T02:50:00Z</dcterms:created>
  <dcterms:modified xsi:type="dcterms:W3CDTF">2022-03-21T02:50:00Z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0x01010004C4C934AD08B647A78FCADD498BE3190200CC10D0F970AB1946B2221A8383DDC535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4" name="bjDocumentSecurityLabel">
    <vt:lpwstr>NO SECURITY CLASSIFICATION REQUIRED</vt:lpwstr>
  </property>
  <property fmtid="{D5CDD505-2E9C-101B-9397-08002B2CF9AE}" pid="5" name="docIndexRef">
    <vt:lpwstr>8b275b07-0005-4f3b-8d62-e1478d367440</vt:lpwstr>
  </property>
  <property fmtid="{D5CDD505-2E9C-101B-9397-08002B2CF9AE}" pid="6" name="bjSaver">
    <vt:lpwstr>F7CJ7+j1H4mVV8c3pro2WrI4n/XQdguU</vt:lpwstr>
  </property>
  <property fmtid="{D5CDD505-2E9C-101B-9397-08002B2CF9AE}" pid="7" name="bjDocumentLabelXML-0">
    <vt:lpwstr>ames.com/2008/01/sie/internal/label"&gt;&lt;element uid="66ddac19-06c4-4e63-b4dd-d8240d87a23f" value="" /&gt;&lt;/sisl&gt;</vt:lpwstr>
  </property>
  <property fmtid="{D5CDD505-2E9C-101B-9397-08002B2CF9AE}" pid="8" name="DisposalClass">
    <vt:lpwstr/>
  </property>
  <property fmtid="{D5CDD505-2E9C-101B-9397-08002B2CF9AE}" pid="9" name="BCS_">
    <vt:lpwstr>531;#Instruments|4a8ff5e5-1f0e-4751-ab44-bc0d33b46a80</vt:lpwstr>
  </property>
  <property fmtid="{D5CDD505-2E9C-101B-9397-08002B2CF9AE}" pid="10" name="_dlc_DocIdItemGuid">
    <vt:lpwstr>c4b7f1c6-9008-4520-8378-f43b57179c9c</vt:lpwstr>
  </property>
</Properties>
</file>