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EEEC" w14:textId="77777777" w:rsidR="008D011C" w:rsidRPr="00F17CC6" w:rsidRDefault="004A7042" w:rsidP="008D011C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6A32FD26" wp14:editId="41268B0C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DF1A" w14:textId="77777777" w:rsidR="008D011C" w:rsidRPr="000A3524" w:rsidRDefault="008D011C" w:rsidP="008D011C">
      <w:pPr>
        <w:pStyle w:val="LDTitle"/>
      </w:pPr>
      <w:bookmarkStart w:id="0" w:name="LIN"/>
      <w:r>
        <w:t xml:space="preserve">LIN </w:t>
      </w:r>
      <w:r w:rsidR="00B46B38">
        <w:t>22/035</w:t>
      </w:r>
      <w:bookmarkEnd w:id="0"/>
    </w:p>
    <w:p w14:paraId="4745BC97" w14:textId="20A3823B" w:rsidR="009228CB" w:rsidRPr="009464C5" w:rsidRDefault="00003795" w:rsidP="000B14AD">
      <w:pPr>
        <w:pStyle w:val="LDDescription"/>
      </w:pPr>
      <w:bookmarkStart w:id="1" w:name="Title"/>
      <w:r w:rsidRPr="00003795">
        <w:t>Migration (Arrangements for Certain Skilled and Temporary Graduate Visa Applicatio</w:t>
      </w:r>
      <w:r w:rsidR="00E36325">
        <w:t>ns) Amendment Instrument (LIN 22/035) </w:t>
      </w:r>
      <w:r>
        <w:t>2022</w:t>
      </w:r>
      <w:bookmarkEnd w:id="1"/>
    </w:p>
    <w:p w14:paraId="5960C605" w14:textId="537A86C9" w:rsidR="00554826" w:rsidRDefault="00554826" w:rsidP="00CB0F8B">
      <w:pPr>
        <w:pStyle w:val="LDBodytext"/>
      </w:pPr>
      <w:r w:rsidRPr="009464C5">
        <w:t xml:space="preserve">I, </w:t>
      </w:r>
      <w:r w:rsidR="00AC3FBF">
        <w:t>Paul Denman</w:t>
      </w:r>
      <w:r w:rsidRPr="009464C5">
        <w:t xml:space="preserve">, </w:t>
      </w:r>
      <w:r w:rsidR="00CB0F8B" w:rsidRPr="00CB0F8B">
        <w:t>delegate of the Minister</w:t>
      </w:r>
      <w:r w:rsidRPr="009464C5">
        <w:t>, make th</w:t>
      </w:r>
      <w:r w:rsidR="00B73647">
        <w:t>is instrument</w:t>
      </w:r>
      <w:r w:rsidR="00C12629">
        <w:t xml:space="preserve"> un</w:t>
      </w:r>
      <w:r w:rsidR="003B3646" w:rsidRPr="009464C5">
        <w:t xml:space="preserve">der </w:t>
      </w:r>
      <w:r w:rsidR="00CB0F8B">
        <w:t>subregulation</w:t>
      </w:r>
      <w:r w:rsidR="001B0062">
        <w:t> </w:t>
      </w:r>
      <w:r w:rsidR="00CB0F8B">
        <w:t xml:space="preserve">2.07(5) </w:t>
      </w:r>
      <w:r w:rsidR="00BC63E9">
        <w:t>of</w:t>
      </w:r>
      <w:r w:rsidR="00CB0F8B">
        <w:t xml:space="preserve"> the </w:t>
      </w:r>
      <w:r w:rsidR="00CB0F8B" w:rsidRPr="00CB0F8B">
        <w:rPr>
          <w:i/>
        </w:rPr>
        <w:t>Migration Regulations 1994</w:t>
      </w:r>
      <w:r w:rsidR="00CB0F8B" w:rsidRPr="009464C5">
        <w:t xml:space="preserve"> </w:t>
      </w:r>
      <w:r w:rsidR="000B14AD" w:rsidRPr="009464C5">
        <w:t xml:space="preserve">(the </w:t>
      </w:r>
      <w:r w:rsidR="00CB0F8B" w:rsidRPr="00CB0F8B">
        <w:rPr>
          <w:rStyle w:val="LDBoldItal"/>
        </w:rPr>
        <w:t>Regulations</w:t>
      </w:r>
      <w:r w:rsidR="000B14AD" w:rsidRPr="009464C5">
        <w:t>)</w:t>
      </w:r>
      <w:r w:rsidR="00F27438" w:rsidRPr="009464C5">
        <w:rPr>
          <w:i/>
        </w:rPr>
        <w:t>.</w:t>
      </w:r>
    </w:p>
    <w:p w14:paraId="70998D7F" w14:textId="20F4AED4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244B62">
        <w:rPr>
          <w:szCs w:val="22"/>
        </w:rPr>
        <w:t xml:space="preserve"> 5 March </w:t>
      </w:r>
      <w:r w:rsidR="007D0A67">
        <w:rPr>
          <w:szCs w:val="22"/>
        </w:rPr>
        <w:t>2022</w:t>
      </w:r>
    </w:p>
    <w:p w14:paraId="4DD63F9D" w14:textId="6E501F69" w:rsidR="003B3646" w:rsidRPr="00244B62" w:rsidRDefault="00244B62" w:rsidP="006A4AF3">
      <w:pPr>
        <w:pStyle w:val="LDSign"/>
        <w:rPr>
          <w:rFonts w:ascii="Times New Roman" w:hAnsi="Times New Roman"/>
          <w:b w:val="0"/>
          <w:caps/>
          <w:szCs w:val="24"/>
        </w:rPr>
      </w:pPr>
      <w:r w:rsidRPr="00244B62">
        <w:rPr>
          <w:rFonts w:ascii="Times New Roman" w:hAnsi="Times New Roman"/>
          <w:b w:val="0"/>
          <w:szCs w:val="24"/>
        </w:rPr>
        <w:t>Paul Denman</w:t>
      </w:r>
      <w:bookmarkStart w:id="2" w:name="_GoBack"/>
      <w:bookmarkEnd w:id="2"/>
    </w:p>
    <w:p w14:paraId="2F535B41" w14:textId="629450CA" w:rsidR="00554826" w:rsidRDefault="00AC3FBF" w:rsidP="00365E41">
      <w:pPr>
        <w:pStyle w:val="LDBodytext"/>
      </w:pPr>
      <w:r>
        <w:t>Acting Senior Executive Service Band One</w:t>
      </w:r>
    </w:p>
    <w:p w14:paraId="20447FB4" w14:textId="3D2D6424" w:rsidR="00AC3FBF" w:rsidRDefault="00AC3FBF" w:rsidP="00365E41">
      <w:pPr>
        <w:pStyle w:val="LDBodytext"/>
      </w:pPr>
      <w:r>
        <w:t>Immigration Programs Division</w:t>
      </w:r>
    </w:p>
    <w:p w14:paraId="4F575B3A" w14:textId="10120CE6" w:rsidR="00AC3FBF" w:rsidRPr="00F17CC6" w:rsidRDefault="00AC3FBF" w:rsidP="00365E41">
      <w:pPr>
        <w:pStyle w:val="LDBodytext"/>
      </w:pPr>
      <w:r>
        <w:t xml:space="preserve">Department of Home Affairs </w:t>
      </w:r>
    </w:p>
    <w:p w14:paraId="2BE091B3" w14:textId="77777777" w:rsidR="007235A0" w:rsidRDefault="007235A0" w:rsidP="00E36325">
      <w:pPr>
        <w:pStyle w:val="LDLine"/>
      </w:pPr>
      <w:bookmarkStart w:id="3" w:name="_Toc454512513"/>
      <w:bookmarkStart w:id="4" w:name="_Toc454512517"/>
    </w:p>
    <w:p w14:paraId="614245A2" w14:textId="50521599" w:rsidR="003B3646" w:rsidRPr="00F17CC6" w:rsidRDefault="00E36325" w:rsidP="000B14AD">
      <w:pPr>
        <w:pStyle w:val="LDSecHead"/>
      </w:pPr>
      <w:bookmarkStart w:id="5" w:name="_Toc31201286"/>
      <w:r>
        <w:rPr>
          <w:noProof/>
        </w:rPr>
        <w:t>1</w:t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14:paraId="46764E3D" w14:textId="01717645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E36325" w:rsidRPr="00E36325">
        <w:rPr>
          <w:rStyle w:val="LDItal"/>
        </w:rPr>
        <w:t>Migration (Arrangements for Certain Skilled and Temporary Graduate Visa Applications) Amendment Instrument (</w:t>
      </w:r>
      <w:r w:rsidR="00E36325" w:rsidRPr="00E36325">
        <w:rPr>
          <w:i/>
        </w:rPr>
        <w:t>LIN 22/035) 2022</w:t>
      </w:r>
      <w:r>
        <w:t>.</w:t>
      </w:r>
    </w:p>
    <w:p w14:paraId="43A453B3" w14:textId="12A4249C" w:rsidR="003B3646" w:rsidRPr="007E11B9" w:rsidRDefault="00E36325" w:rsidP="000B14AD">
      <w:pPr>
        <w:pStyle w:val="LDSecHead"/>
      </w:pPr>
      <w:bookmarkStart w:id="6" w:name="_Toc454512514"/>
      <w:bookmarkStart w:id="7" w:name="_Toc31201287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6"/>
      <w:bookmarkEnd w:id="7"/>
    </w:p>
    <w:p w14:paraId="122BD631" w14:textId="798127D4" w:rsidR="003B364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C430A0">
        <w:t>on 5 March 2022</w:t>
      </w:r>
      <w:r w:rsidR="003B3646" w:rsidRPr="00F17CC6">
        <w:t>.</w:t>
      </w:r>
    </w:p>
    <w:p w14:paraId="36C4D950" w14:textId="480A61B8" w:rsidR="003B3646" w:rsidRPr="00F17CC6" w:rsidRDefault="00E36325" w:rsidP="000B14AD">
      <w:pPr>
        <w:pStyle w:val="LDSecHead"/>
      </w:pPr>
      <w:bookmarkStart w:id="9" w:name="_Toc454512516"/>
      <w:bookmarkStart w:id="10" w:name="_Toc31201288"/>
      <w:bookmarkEnd w:id="8"/>
      <w:r>
        <w:rPr>
          <w:noProof/>
        </w:rPr>
        <w:t>3</w:t>
      </w:r>
      <w:r w:rsidR="000B14AD">
        <w:tab/>
      </w:r>
      <w:bookmarkEnd w:id="9"/>
      <w:bookmarkEnd w:id="10"/>
      <w:r w:rsidR="007235A0">
        <w:t>Amendment</w:t>
      </w:r>
    </w:p>
    <w:p w14:paraId="38D19ECA" w14:textId="0F4D74E9" w:rsidR="00E5722B" w:rsidRDefault="000B14AD" w:rsidP="004C2309">
      <w:pPr>
        <w:pStyle w:val="LDSec1"/>
      </w:pPr>
      <w:r>
        <w:tab/>
      </w:r>
      <w:r w:rsidR="003B3646" w:rsidRPr="00F17CC6">
        <w:tab/>
      </w:r>
      <w:r w:rsidR="007235A0">
        <w:t xml:space="preserve">Schedule 1 amends </w:t>
      </w:r>
      <w:r w:rsidR="007D0A67" w:rsidRPr="007D0A67">
        <w:rPr>
          <w:i/>
        </w:rPr>
        <w:t>Migration (Arrangements for Certain Skilled and Temporary Graduate Visa Applications) Instrument (LIN 20/162) 2020</w:t>
      </w:r>
      <w:r w:rsidR="007235A0">
        <w:t>.</w:t>
      </w:r>
    </w:p>
    <w:p w14:paraId="32E36449" w14:textId="77777777" w:rsidR="008C2ED0" w:rsidRDefault="008C2ED0" w:rsidP="008C2ED0">
      <w:pPr>
        <w:pStyle w:val="LDSecHead"/>
      </w:pPr>
      <w:bookmarkStart w:id="11" w:name="_Toc31201296"/>
      <w:bookmarkEnd w:id="4"/>
      <w:r>
        <w:t>4</w:t>
      </w:r>
      <w:r>
        <w:rPr>
          <w:noProof/>
        </w:rPr>
        <w:tab/>
      </w:r>
      <w:r w:rsidRPr="001475E3">
        <w:t>Application</w:t>
      </w:r>
      <w:r>
        <w:rPr>
          <w:b w:val="0"/>
          <w:bCs/>
        </w:rPr>
        <w:t xml:space="preserve"> </w:t>
      </w:r>
    </w:p>
    <w:p w14:paraId="6AFE54AD" w14:textId="77777777" w:rsidR="007F1F2C" w:rsidRDefault="008C2ED0" w:rsidP="007F1F2C">
      <w:pPr>
        <w:pStyle w:val="LDSec1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B48D6">
        <w:rPr>
          <w:sz w:val="23"/>
          <w:szCs w:val="23"/>
        </w:rPr>
        <w:t xml:space="preserve">For </w:t>
      </w:r>
      <w:r w:rsidR="00AB48D6" w:rsidRPr="007F1F2C">
        <w:t>clarity</w:t>
      </w:r>
      <w:r w:rsidR="00AB48D6">
        <w:rPr>
          <w:sz w:val="23"/>
          <w:szCs w:val="23"/>
        </w:rPr>
        <w:t>, this</w:t>
      </w:r>
      <w:r>
        <w:rPr>
          <w:sz w:val="23"/>
          <w:szCs w:val="23"/>
        </w:rPr>
        <w:t xml:space="preserve"> </w:t>
      </w:r>
      <w:r w:rsidRPr="001475E3">
        <w:t>instrument</w:t>
      </w:r>
      <w:r>
        <w:rPr>
          <w:sz w:val="23"/>
          <w:szCs w:val="23"/>
        </w:rPr>
        <w:t xml:space="preserve"> applies to a </w:t>
      </w:r>
      <w:r w:rsidRPr="001475E3">
        <w:rPr>
          <w:sz w:val="23"/>
          <w:szCs w:val="23"/>
        </w:rPr>
        <w:t>visa</w:t>
      </w:r>
      <w:r>
        <w:rPr>
          <w:sz w:val="23"/>
          <w:szCs w:val="23"/>
        </w:rPr>
        <w:t xml:space="preserve"> application</w:t>
      </w:r>
      <w:r w:rsidR="00AB48D6">
        <w:rPr>
          <w:sz w:val="23"/>
          <w:szCs w:val="23"/>
        </w:rPr>
        <w:t xml:space="preserve"> made before this instrument is registered.  </w:t>
      </w:r>
    </w:p>
    <w:p w14:paraId="69FDD1D6" w14:textId="037CEF8B" w:rsidR="00AB48D6" w:rsidRPr="00F17CC6" w:rsidRDefault="00AB48D6" w:rsidP="007F1F2C">
      <w:pPr>
        <w:pStyle w:val="LDNote"/>
      </w:pPr>
      <w:r>
        <w:rPr>
          <w:i/>
        </w:rPr>
        <w:t>Note</w:t>
      </w:r>
      <w:r>
        <w:rPr>
          <w:i/>
        </w:rPr>
        <w:tab/>
      </w:r>
      <w:r>
        <w:t xml:space="preserve">This instrument may apply retrospectively—see </w:t>
      </w:r>
      <w:r>
        <w:rPr>
          <w:i/>
        </w:rPr>
        <w:t>Legislation Act 2003</w:t>
      </w:r>
      <w:r>
        <w:t>, subsection 12(2).</w:t>
      </w:r>
    </w:p>
    <w:p w14:paraId="624BB598" w14:textId="2263DC54" w:rsidR="008C2ED0" w:rsidRPr="004C2309" w:rsidRDefault="008C2ED0" w:rsidP="007F1F2C">
      <w:pPr>
        <w:pStyle w:val="LDSec1"/>
        <w:rPr>
          <w:sz w:val="23"/>
          <w:szCs w:val="23"/>
        </w:rPr>
      </w:pPr>
    </w:p>
    <w:p w14:paraId="2094AD62" w14:textId="341B8D64" w:rsidR="00A252F1" w:rsidRDefault="00A252F1" w:rsidP="004C2309">
      <w:pPr>
        <w:pStyle w:val="LDSchedule"/>
        <w:keepNext/>
      </w:pPr>
      <w:r>
        <w:lastRenderedPageBreak/>
        <w:t xml:space="preserve">Schedule </w:t>
      </w:r>
      <w:bookmarkStart w:id="12" w:name="SchedFirst"/>
      <w:r w:rsidR="00E36325">
        <w:rPr>
          <w:noProof/>
        </w:rPr>
        <w:t>1</w:t>
      </w:r>
      <w:bookmarkEnd w:id="12"/>
      <w:r>
        <w:tab/>
      </w:r>
      <w:bookmarkEnd w:id="11"/>
      <w:r w:rsidR="00C21F16">
        <w:t>Amendment</w:t>
      </w:r>
    </w:p>
    <w:p w14:paraId="02CC3BA2" w14:textId="31B231AA" w:rsidR="00A252F1" w:rsidRDefault="00A252F1" w:rsidP="004C2309">
      <w:pPr>
        <w:pStyle w:val="LDSchedref"/>
        <w:keepNext/>
      </w:pPr>
      <w:r w:rsidRPr="00A252F1">
        <w:t>(</w:t>
      </w:r>
      <w:proofErr w:type="gramStart"/>
      <w:r w:rsidRPr="00A252F1">
        <w:t>s</w:t>
      </w:r>
      <w:r w:rsidR="00AC3FBF">
        <w:t>ection</w:t>
      </w:r>
      <w:proofErr w:type="gramEnd"/>
      <w:r w:rsidR="00AC3FBF">
        <w:t xml:space="preserve"> </w:t>
      </w:r>
      <w:r w:rsidR="007235A0">
        <w:t>3</w:t>
      </w:r>
      <w:r w:rsidRPr="00A252F1">
        <w:t>)</w:t>
      </w:r>
    </w:p>
    <w:p w14:paraId="70185DB6" w14:textId="1577FF69" w:rsidR="007235A0" w:rsidRDefault="00E36325" w:rsidP="007235A0">
      <w:pPr>
        <w:pStyle w:val="LDAmendHeading"/>
      </w:pPr>
      <w:r>
        <w:rPr>
          <w:noProof/>
        </w:rPr>
        <w:t>1</w:t>
      </w:r>
      <w:r w:rsidR="007235A0">
        <w:tab/>
      </w:r>
      <w:r w:rsidR="008D51CE">
        <w:t>Section</w:t>
      </w:r>
      <w:r w:rsidR="00303E1D">
        <w:t xml:space="preserve"> 3</w:t>
      </w:r>
    </w:p>
    <w:p w14:paraId="784061D7" w14:textId="769D1C4E" w:rsidR="009E61B1" w:rsidRPr="002D6EEE" w:rsidRDefault="009E61B1" w:rsidP="009E61B1">
      <w:pPr>
        <w:pStyle w:val="LDAmendInstruction"/>
      </w:pPr>
      <w:proofErr w:type="gramStart"/>
      <w:r>
        <w:t>omit</w:t>
      </w:r>
      <w:proofErr w:type="gramEnd"/>
    </w:p>
    <w:p w14:paraId="1C8D6A80" w14:textId="77777777" w:rsidR="009E61B1" w:rsidRDefault="009E61B1" w:rsidP="0022155A">
      <w:pPr>
        <w:pStyle w:val="LDSec1"/>
        <w:rPr>
          <w:sz w:val="22"/>
          <w:szCs w:val="22"/>
        </w:rPr>
      </w:pPr>
      <w:r>
        <w:tab/>
      </w:r>
      <w:r>
        <w:tab/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following </w:t>
      </w:r>
      <w:r w:rsidRPr="0022155A">
        <w:t>provisions</w:t>
      </w:r>
      <w:r>
        <w:rPr>
          <w:sz w:val="22"/>
          <w:szCs w:val="22"/>
        </w:rPr>
        <w:t xml:space="preserve"> of the </w:t>
      </w:r>
      <w:r>
        <w:rPr>
          <w:i/>
          <w:iCs/>
          <w:sz w:val="22"/>
          <w:szCs w:val="22"/>
        </w:rPr>
        <w:t>Migration Regulations 1994</w:t>
      </w:r>
      <w:r>
        <w:rPr>
          <w:sz w:val="22"/>
          <w:szCs w:val="22"/>
        </w:rPr>
        <w:t xml:space="preserve">: </w:t>
      </w:r>
    </w:p>
    <w:p w14:paraId="783B5EE1" w14:textId="1F312FDE" w:rsidR="009E61B1" w:rsidRDefault="0022155A" w:rsidP="0022155A">
      <w:pPr>
        <w:pStyle w:val="LDP1a"/>
      </w:pPr>
      <w:r>
        <w:t>(</w:t>
      </w:r>
      <w:proofErr w:type="gramStart"/>
      <w:r>
        <w:t>a</w:t>
      </w:r>
      <w:proofErr w:type="gramEnd"/>
      <w:r>
        <w:t>)</w:t>
      </w:r>
      <w:r>
        <w:tab/>
      </w:r>
      <w:r w:rsidR="009E61B1">
        <w:t xml:space="preserve">subregulation 2.07(5); </w:t>
      </w:r>
    </w:p>
    <w:p w14:paraId="58F66845" w14:textId="533431F5" w:rsidR="009E61B1" w:rsidRDefault="0022155A" w:rsidP="0022155A">
      <w:pPr>
        <w:pStyle w:val="LDP1a"/>
      </w:pPr>
      <w:r>
        <w:rPr>
          <w:sz w:val="22"/>
          <w:szCs w:val="22"/>
        </w:rPr>
        <w:t>(b)</w:t>
      </w:r>
      <w:r>
        <w:rPr>
          <w:sz w:val="22"/>
          <w:szCs w:val="22"/>
        </w:rPr>
        <w:tab/>
      </w:r>
      <w:proofErr w:type="gramStart"/>
      <w:r w:rsidR="009E61B1">
        <w:rPr>
          <w:sz w:val="22"/>
          <w:szCs w:val="22"/>
        </w:rPr>
        <w:t>items</w:t>
      </w:r>
      <w:proofErr w:type="gramEnd"/>
      <w:r w:rsidR="009E61B1">
        <w:rPr>
          <w:sz w:val="22"/>
          <w:szCs w:val="22"/>
        </w:rPr>
        <w:t xml:space="preserve"> 1136, 1137, </w:t>
      </w:r>
      <w:r w:rsidR="009E61B1" w:rsidRPr="0022155A">
        <w:t>1138</w:t>
      </w:r>
      <w:r w:rsidR="009E61B1">
        <w:rPr>
          <w:sz w:val="22"/>
          <w:szCs w:val="22"/>
        </w:rPr>
        <w:t>, 1228, 1229, 1230 and 1241 of Schedule 1.</w:t>
      </w:r>
    </w:p>
    <w:p w14:paraId="71D0013C" w14:textId="6A616840" w:rsidR="007235A0" w:rsidRPr="002D6EEE" w:rsidRDefault="008D51CE" w:rsidP="007235A0">
      <w:pPr>
        <w:pStyle w:val="LDAmendInstruction"/>
      </w:pPr>
      <w:proofErr w:type="gramStart"/>
      <w:r>
        <w:t>substitute</w:t>
      </w:r>
      <w:proofErr w:type="gramEnd"/>
    </w:p>
    <w:p w14:paraId="53CC3DC7" w14:textId="35E93C29" w:rsidR="007235A0" w:rsidRDefault="008D51CE" w:rsidP="0022155A">
      <w:pPr>
        <w:pStyle w:val="LDSec1"/>
      </w:pPr>
      <w:r>
        <w:tab/>
      </w:r>
      <w:r>
        <w:tab/>
      </w:r>
      <w:proofErr w:type="gramStart"/>
      <w:r>
        <w:t>subregulation</w:t>
      </w:r>
      <w:proofErr w:type="gramEnd"/>
      <w:r>
        <w:t xml:space="preserve"> 2.07(5) </w:t>
      </w:r>
      <w:r w:rsidRPr="008D51CE">
        <w:t xml:space="preserve">of the </w:t>
      </w:r>
      <w:r w:rsidRPr="00BC63E9">
        <w:t>Regulations.</w:t>
      </w:r>
    </w:p>
    <w:p w14:paraId="09473D6A" w14:textId="76377CB1" w:rsidR="007235A0" w:rsidRPr="007235A0" w:rsidRDefault="00E36325" w:rsidP="007235A0">
      <w:pPr>
        <w:pStyle w:val="LDAmendHeading"/>
      </w:pPr>
      <w:r>
        <w:rPr>
          <w:noProof/>
        </w:rPr>
        <w:t>2</w:t>
      </w:r>
      <w:r w:rsidR="007235A0">
        <w:tab/>
      </w:r>
      <w:r w:rsidR="00AC3FBF">
        <w:t>S</w:t>
      </w:r>
      <w:r w:rsidR="00A50266">
        <w:t xml:space="preserve">ection 9, </w:t>
      </w:r>
      <w:r w:rsidR="00D54F23">
        <w:t>after item 3</w:t>
      </w:r>
    </w:p>
    <w:p w14:paraId="0D0BCFFF" w14:textId="3F9B79C9" w:rsidR="007235A0" w:rsidRDefault="00D54F23" w:rsidP="007235A0">
      <w:pPr>
        <w:pStyle w:val="LDAmendInstruction"/>
      </w:pPr>
      <w:proofErr w:type="gramStart"/>
      <w:r>
        <w:t>insert</w:t>
      </w:r>
      <w:proofErr w:type="gramEnd"/>
    </w:p>
    <w:tbl>
      <w:tblPr>
        <w:tblStyle w:val="TableGrid"/>
        <w:tblW w:w="7768" w:type="dxa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560"/>
        <w:gridCol w:w="3402"/>
        <w:gridCol w:w="1842"/>
      </w:tblGrid>
      <w:tr w:rsidR="001D6DA6" w:rsidRPr="000D081D" w14:paraId="04B7FE72" w14:textId="11E8D286" w:rsidTr="004C2309">
        <w:trPr>
          <w:trHeight w:val="274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9A8AF04" w14:textId="77FA933F" w:rsidR="001D6DA6" w:rsidRPr="000D081D" w:rsidRDefault="00D54F23" w:rsidP="00A50266">
            <w:pPr>
              <w:pStyle w:val="LDTabletext"/>
            </w:pPr>
            <w:r>
              <w:t>3A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4F19B2" w14:textId="0137A099" w:rsidR="001D6DA6" w:rsidRPr="000D081D" w:rsidRDefault="001D6DA6" w:rsidP="00A50266">
            <w:pPr>
              <w:pStyle w:val="LDTabletext"/>
            </w:pPr>
            <w:r>
              <w:t>Item 1139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099BB6C" w14:textId="1729B095" w:rsidR="001D6DA6" w:rsidRPr="000D081D" w:rsidRDefault="001D6DA6" w:rsidP="00A50266">
            <w:pPr>
              <w:pStyle w:val="LDTabletext"/>
            </w:pPr>
            <w:r w:rsidRPr="001D6DA6">
              <w:t>Permanent Residence (Skilled Regional) (Class PR)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E12424" w14:textId="32336168" w:rsidR="001D6DA6" w:rsidRPr="000D081D" w:rsidRDefault="00E36325" w:rsidP="00A50266">
            <w:pPr>
              <w:pStyle w:val="LDTabletext"/>
            </w:pPr>
            <w:r>
              <w:t>1393 (internet)</w:t>
            </w:r>
          </w:p>
        </w:tc>
      </w:tr>
    </w:tbl>
    <w:p w14:paraId="5C41FA7A" w14:textId="77777777" w:rsidR="00C562C7" w:rsidRDefault="00C562C7" w:rsidP="00D54F23">
      <w:pPr>
        <w:pStyle w:val="LDLine"/>
        <w:pBdr>
          <w:bottom w:val="none" w:sz="0" w:space="0" w:color="auto"/>
        </w:pBdr>
      </w:pPr>
    </w:p>
    <w:sectPr w:rsidR="00C562C7" w:rsidSect="008D011C">
      <w:headerReference w:type="default" r:id="rId12"/>
      <w:footerReference w:type="default" r:id="rId13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81BB7" w14:textId="77777777" w:rsidR="002513A3" w:rsidRDefault="002513A3" w:rsidP="00715914">
      <w:pPr>
        <w:spacing w:line="240" w:lineRule="auto"/>
      </w:pPr>
      <w:r>
        <w:separator/>
      </w:r>
    </w:p>
    <w:p w14:paraId="79EBFD90" w14:textId="77777777" w:rsidR="002513A3" w:rsidRDefault="002513A3"/>
    <w:p w14:paraId="6D6B8574" w14:textId="77777777" w:rsidR="002513A3" w:rsidRDefault="002513A3"/>
  </w:endnote>
  <w:endnote w:type="continuationSeparator" w:id="0">
    <w:p w14:paraId="7D8B45DE" w14:textId="77777777" w:rsidR="002513A3" w:rsidRDefault="002513A3" w:rsidP="00715914">
      <w:pPr>
        <w:spacing w:line="240" w:lineRule="auto"/>
      </w:pPr>
      <w:r>
        <w:continuationSeparator/>
      </w:r>
    </w:p>
    <w:p w14:paraId="63044E6E" w14:textId="77777777" w:rsidR="002513A3" w:rsidRDefault="002513A3"/>
    <w:p w14:paraId="3741CAAC" w14:textId="77777777" w:rsidR="002513A3" w:rsidRDefault="00251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5D238" w14:textId="499299C1" w:rsidR="00494305" w:rsidRPr="007C5FDD" w:rsidRDefault="00E36325" w:rsidP="00494305">
    <w:pPr>
      <w:pStyle w:val="LDFooter"/>
    </w:pPr>
    <w:r w:rsidRPr="00E36325">
      <w:rPr>
        <w:rStyle w:val="LDItal"/>
      </w:rPr>
      <w:t>Migration (Arrangements for Certain Skilled and Temporary Graduate Visa Applications) Amendment Instrument (</w:t>
    </w:r>
    <w:r w:rsidRPr="00E36325">
      <w:rPr>
        <w:i/>
      </w:rPr>
      <w:t>LIN 22/035) 2022</w:t>
    </w:r>
  </w:p>
  <w:p w14:paraId="6C0E87F5" w14:textId="520A9E3E" w:rsidR="00B714F2" w:rsidRPr="007C5FDD" w:rsidRDefault="00E36325" w:rsidP="00494305">
    <w:pPr>
      <w:pStyle w:val="LDFooter"/>
      <w:tabs>
        <w:tab w:val="right" w:pos="9639"/>
      </w:tabs>
    </w:pPr>
    <w:r>
      <w:t>LIN 22/035</w:t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244B62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C565F" w14:textId="77777777" w:rsidR="002513A3" w:rsidRDefault="002513A3" w:rsidP="00715914">
      <w:pPr>
        <w:spacing w:line="240" w:lineRule="auto"/>
      </w:pPr>
      <w:r>
        <w:separator/>
      </w:r>
    </w:p>
    <w:p w14:paraId="0F2A5661" w14:textId="77777777" w:rsidR="002513A3" w:rsidRDefault="002513A3"/>
    <w:p w14:paraId="66406EE0" w14:textId="77777777" w:rsidR="002513A3" w:rsidRDefault="002513A3"/>
  </w:footnote>
  <w:footnote w:type="continuationSeparator" w:id="0">
    <w:p w14:paraId="4B21A6D5" w14:textId="77777777" w:rsidR="002513A3" w:rsidRDefault="002513A3" w:rsidP="00715914">
      <w:pPr>
        <w:spacing w:line="240" w:lineRule="auto"/>
      </w:pPr>
      <w:r>
        <w:continuationSeparator/>
      </w:r>
    </w:p>
    <w:p w14:paraId="650A1923" w14:textId="77777777" w:rsidR="002513A3" w:rsidRDefault="002513A3"/>
    <w:p w14:paraId="4F7332CC" w14:textId="77777777" w:rsidR="002513A3" w:rsidRDefault="00251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104D0" w14:textId="537B6C25" w:rsidR="00E36325" w:rsidRDefault="00E36325" w:rsidP="00E36325">
    <w:pPr>
      <w:pStyle w:val="LDLi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4"/>
  </w:num>
  <w:num w:numId="21">
    <w:abstractNumId w:val="17"/>
  </w:num>
  <w:num w:numId="22">
    <w:abstractNumId w:val="20"/>
  </w:num>
  <w:num w:numId="23">
    <w:abstractNumId w:val="22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A3"/>
    <w:rsid w:val="00000F86"/>
    <w:rsid w:val="00003795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35339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78F5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24E6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599A"/>
    <w:rsid w:val="001979C7"/>
    <w:rsid w:val="001B0062"/>
    <w:rsid w:val="001B2CB6"/>
    <w:rsid w:val="001C1715"/>
    <w:rsid w:val="001C2924"/>
    <w:rsid w:val="001C61C5"/>
    <w:rsid w:val="001C6494"/>
    <w:rsid w:val="001C69C4"/>
    <w:rsid w:val="001C6B40"/>
    <w:rsid w:val="001D37EF"/>
    <w:rsid w:val="001D3CE4"/>
    <w:rsid w:val="001D681A"/>
    <w:rsid w:val="001D6DA6"/>
    <w:rsid w:val="001D729F"/>
    <w:rsid w:val="001E3590"/>
    <w:rsid w:val="001E48E3"/>
    <w:rsid w:val="001E7407"/>
    <w:rsid w:val="001F5B44"/>
    <w:rsid w:val="001F5D5E"/>
    <w:rsid w:val="001F6219"/>
    <w:rsid w:val="001F6CD4"/>
    <w:rsid w:val="00201151"/>
    <w:rsid w:val="002029EE"/>
    <w:rsid w:val="00206C4D"/>
    <w:rsid w:val="00215AF1"/>
    <w:rsid w:val="002200EA"/>
    <w:rsid w:val="0022155A"/>
    <w:rsid w:val="00225C40"/>
    <w:rsid w:val="002321E8"/>
    <w:rsid w:val="00232984"/>
    <w:rsid w:val="00237C31"/>
    <w:rsid w:val="0024010F"/>
    <w:rsid w:val="00240749"/>
    <w:rsid w:val="00243018"/>
    <w:rsid w:val="00244B62"/>
    <w:rsid w:val="0024755E"/>
    <w:rsid w:val="002513A3"/>
    <w:rsid w:val="002564A4"/>
    <w:rsid w:val="0026736C"/>
    <w:rsid w:val="002707CD"/>
    <w:rsid w:val="0027325B"/>
    <w:rsid w:val="002767EE"/>
    <w:rsid w:val="00281308"/>
    <w:rsid w:val="00281AEE"/>
    <w:rsid w:val="00284719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E0F9F"/>
    <w:rsid w:val="002F2711"/>
    <w:rsid w:val="002F5727"/>
    <w:rsid w:val="00303E1D"/>
    <w:rsid w:val="003040B2"/>
    <w:rsid w:val="00304F8B"/>
    <w:rsid w:val="003218F9"/>
    <w:rsid w:val="00335BC6"/>
    <w:rsid w:val="003415D3"/>
    <w:rsid w:val="00343D01"/>
    <w:rsid w:val="00344338"/>
    <w:rsid w:val="00344701"/>
    <w:rsid w:val="00345DE9"/>
    <w:rsid w:val="00352B0F"/>
    <w:rsid w:val="003551C7"/>
    <w:rsid w:val="00355410"/>
    <w:rsid w:val="00360459"/>
    <w:rsid w:val="00365E41"/>
    <w:rsid w:val="0038049F"/>
    <w:rsid w:val="003A1079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133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042"/>
    <w:rsid w:val="004A78E0"/>
    <w:rsid w:val="004B6C48"/>
    <w:rsid w:val="004C2309"/>
    <w:rsid w:val="004C3385"/>
    <w:rsid w:val="004C4E59"/>
    <w:rsid w:val="004C6809"/>
    <w:rsid w:val="004D4B19"/>
    <w:rsid w:val="004E063A"/>
    <w:rsid w:val="004E1307"/>
    <w:rsid w:val="004E498B"/>
    <w:rsid w:val="004E7BEC"/>
    <w:rsid w:val="004F2B7B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0CB5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5F13AC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31097"/>
    <w:rsid w:val="006504D5"/>
    <w:rsid w:val="0065488B"/>
    <w:rsid w:val="006668AE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A4AF3"/>
    <w:rsid w:val="006B5789"/>
    <w:rsid w:val="006C30C5"/>
    <w:rsid w:val="006C5CDD"/>
    <w:rsid w:val="006C7F8C"/>
    <w:rsid w:val="006D33F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5A0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0A67"/>
    <w:rsid w:val="007D42B7"/>
    <w:rsid w:val="007D7671"/>
    <w:rsid w:val="007D7911"/>
    <w:rsid w:val="007E11B9"/>
    <w:rsid w:val="007E163D"/>
    <w:rsid w:val="007E667A"/>
    <w:rsid w:val="007F1F2C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5027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2ED0"/>
    <w:rsid w:val="008C3379"/>
    <w:rsid w:val="008D011C"/>
    <w:rsid w:val="008D0EE0"/>
    <w:rsid w:val="008D51CE"/>
    <w:rsid w:val="008E0027"/>
    <w:rsid w:val="008E31A1"/>
    <w:rsid w:val="008E6067"/>
    <w:rsid w:val="008F3675"/>
    <w:rsid w:val="008F54E7"/>
    <w:rsid w:val="00902274"/>
    <w:rsid w:val="00903422"/>
    <w:rsid w:val="00905A44"/>
    <w:rsid w:val="00906CEE"/>
    <w:rsid w:val="00916E8D"/>
    <w:rsid w:val="009228CB"/>
    <w:rsid w:val="00923013"/>
    <w:rsid w:val="009254C3"/>
    <w:rsid w:val="00925676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C215C"/>
    <w:rsid w:val="009C3413"/>
    <w:rsid w:val="009D0C05"/>
    <w:rsid w:val="009E09B1"/>
    <w:rsid w:val="009E61B1"/>
    <w:rsid w:val="009F13F4"/>
    <w:rsid w:val="009F49B2"/>
    <w:rsid w:val="009F69F1"/>
    <w:rsid w:val="00A0441E"/>
    <w:rsid w:val="00A06CA5"/>
    <w:rsid w:val="00A10C13"/>
    <w:rsid w:val="00A12128"/>
    <w:rsid w:val="00A127E7"/>
    <w:rsid w:val="00A174D7"/>
    <w:rsid w:val="00A2189B"/>
    <w:rsid w:val="00A22C98"/>
    <w:rsid w:val="00A231E2"/>
    <w:rsid w:val="00A252F1"/>
    <w:rsid w:val="00A35A1A"/>
    <w:rsid w:val="00A369E3"/>
    <w:rsid w:val="00A42284"/>
    <w:rsid w:val="00A50266"/>
    <w:rsid w:val="00A57600"/>
    <w:rsid w:val="00A63E61"/>
    <w:rsid w:val="00A64396"/>
    <w:rsid w:val="00A64912"/>
    <w:rsid w:val="00A70A74"/>
    <w:rsid w:val="00A719B1"/>
    <w:rsid w:val="00A72548"/>
    <w:rsid w:val="00A75A0B"/>
    <w:rsid w:val="00A75FE9"/>
    <w:rsid w:val="00A800DE"/>
    <w:rsid w:val="00A8241B"/>
    <w:rsid w:val="00A853F3"/>
    <w:rsid w:val="00A94216"/>
    <w:rsid w:val="00AA2CB1"/>
    <w:rsid w:val="00AA7A1C"/>
    <w:rsid w:val="00AB48D6"/>
    <w:rsid w:val="00AC3FBF"/>
    <w:rsid w:val="00AD15B1"/>
    <w:rsid w:val="00AD4774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6B38"/>
    <w:rsid w:val="00B47444"/>
    <w:rsid w:val="00B50ADC"/>
    <w:rsid w:val="00B528A6"/>
    <w:rsid w:val="00B566B1"/>
    <w:rsid w:val="00B601A4"/>
    <w:rsid w:val="00B62662"/>
    <w:rsid w:val="00B63834"/>
    <w:rsid w:val="00B661D6"/>
    <w:rsid w:val="00B711DA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63E9"/>
    <w:rsid w:val="00BC76AC"/>
    <w:rsid w:val="00BD08C0"/>
    <w:rsid w:val="00BD0ECB"/>
    <w:rsid w:val="00BE2155"/>
    <w:rsid w:val="00BE719A"/>
    <w:rsid w:val="00BE720A"/>
    <w:rsid w:val="00BF0D73"/>
    <w:rsid w:val="00BF2465"/>
    <w:rsid w:val="00BF408F"/>
    <w:rsid w:val="00BF71C9"/>
    <w:rsid w:val="00C06FBA"/>
    <w:rsid w:val="00C12629"/>
    <w:rsid w:val="00C14DAB"/>
    <w:rsid w:val="00C16619"/>
    <w:rsid w:val="00C21F16"/>
    <w:rsid w:val="00C25E7F"/>
    <w:rsid w:val="00C2746F"/>
    <w:rsid w:val="00C323D6"/>
    <w:rsid w:val="00C324A0"/>
    <w:rsid w:val="00C42BF8"/>
    <w:rsid w:val="00C430A0"/>
    <w:rsid w:val="00C50043"/>
    <w:rsid w:val="00C562C7"/>
    <w:rsid w:val="00C64F19"/>
    <w:rsid w:val="00C73B6F"/>
    <w:rsid w:val="00C7573B"/>
    <w:rsid w:val="00C96D4F"/>
    <w:rsid w:val="00C97A54"/>
    <w:rsid w:val="00CA5B23"/>
    <w:rsid w:val="00CB0F8B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1341E"/>
    <w:rsid w:val="00D13441"/>
    <w:rsid w:val="00D150E7"/>
    <w:rsid w:val="00D32EA1"/>
    <w:rsid w:val="00D52DC2"/>
    <w:rsid w:val="00D53BCC"/>
    <w:rsid w:val="00D54C9E"/>
    <w:rsid w:val="00D54F23"/>
    <w:rsid w:val="00D56422"/>
    <w:rsid w:val="00D6537E"/>
    <w:rsid w:val="00D706D1"/>
    <w:rsid w:val="00D70DFB"/>
    <w:rsid w:val="00D766DF"/>
    <w:rsid w:val="00D8206C"/>
    <w:rsid w:val="00D910DF"/>
    <w:rsid w:val="00D91F10"/>
    <w:rsid w:val="00D92C78"/>
    <w:rsid w:val="00D93DB7"/>
    <w:rsid w:val="00D979C7"/>
    <w:rsid w:val="00DA186E"/>
    <w:rsid w:val="00DA4116"/>
    <w:rsid w:val="00DA56DD"/>
    <w:rsid w:val="00DB251C"/>
    <w:rsid w:val="00DB2569"/>
    <w:rsid w:val="00DB2C9E"/>
    <w:rsid w:val="00DB3985"/>
    <w:rsid w:val="00DB4630"/>
    <w:rsid w:val="00DC4F88"/>
    <w:rsid w:val="00DC51B5"/>
    <w:rsid w:val="00DD22E6"/>
    <w:rsid w:val="00DD2D35"/>
    <w:rsid w:val="00DD54CD"/>
    <w:rsid w:val="00DE08BC"/>
    <w:rsid w:val="00DE107C"/>
    <w:rsid w:val="00DF2388"/>
    <w:rsid w:val="00E05704"/>
    <w:rsid w:val="00E05CB5"/>
    <w:rsid w:val="00E13901"/>
    <w:rsid w:val="00E14961"/>
    <w:rsid w:val="00E230F3"/>
    <w:rsid w:val="00E23301"/>
    <w:rsid w:val="00E33196"/>
    <w:rsid w:val="00E338EF"/>
    <w:rsid w:val="00E36325"/>
    <w:rsid w:val="00E544BB"/>
    <w:rsid w:val="00E5543F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605"/>
    <w:rsid w:val="00ED2BB6"/>
    <w:rsid w:val="00ED2BFB"/>
    <w:rsid w:val="00ED34E1"/>
    <w:rsid w:val="00ED3B8D"/>
    <w:rsid w:val="00EE5E36"/>
    <w:rsid w:val="00EE6562"/>
    <w:rsid w:val="00EF2E3A"/>
    <w:rsid w:val="00F02C7C"/>
    <w:rsid w:val="00F04826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16B20BE"/>
  <w15:docId w15:val="{6F8D15B4-35A6-43EF-ADCF-CEBA1B5F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A50266"/>
    <w:pPr>
      <w:ind w:left="1276" w:hanging="1276"/>
    </w:pPr>
    <w:rPr>
      <w:b/>
      <w:i/>
    </w:rPr>
  </w:style>
  <w:style w:type="paragraph" w:customStyle="1" w:styleId="Default">
    <w:name w:val="Default"/>
    <w:rsid w:val="009E61B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D0E1668-83BF-4573-8A8D-7850E6D93ED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38A5E-83DE-4B98-8CB3-04B2161D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HU</dc:creator>
  <cp:lastModifiedBy>Kylie MCKILLOP</cp:lastModifiedBy>
  <cp:revision>5</cp:revision>
  <cp:lastPrinted>2020-01-16T22:25:00Z</cp:lastPrinted>
  <dcterms:created xsi:type="dcterms:W3CDTF">2022-03-04T05:09:00Z</dcterms:created>
  <dcterms:modified xsi:type="dcterms:W3CDTF">2022-03-05T00:26:00Z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