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DA" w:rsidRPr="00A7639F" w:rsidRDefault="0057002B" w:rsidP="00BB0CF2">
      <w:pPr>
        <w:pStyle w:val="ESTitleHeader"/>
      </w:pPr>
      <w:bookmarkStart w:id="0" w:name="_GoBack"/>
      <w:bookmarkEnd w:id="0"/>
      <w:r w:rsidRPr="00A7639F">
        <w:t>EXPLANATORY STATEMENT</w:t>
      </w:r>
    </w:p>
    <w:p w:rsidR="0057002B" w:rsidRPr="00A7639F" w:rsidRDefault="0057002B" w:rsidP="00BB0CF2">
      <w:pPr>
        <w:pStyle w:val="ESTitleDecisionMaker"/>
      </w:pPr>
      <w:r w:rsidRPr="00A7639F">
        <w:t xml:space="preserve">Issued by authority of the </w:t>
      </w:r>
      <w:r w:rsidR="00C738D1" w:rsidRPr="00A7639F">
        <w:t>Minister for Immigration, Citizenship, Migrant Services and Multicultural Affairs</w:t>
      </w:r>
    </w:p>
    <w:p w:rsidR="0057002B" w:rsidRPr="00A7639F" w:rsidRDefault="00C738D1" w:rsidP="00BB0CF2">
      <w:pPr>
        <w:pStyle w:val="ESTitleEnablingLegislation"/>
      </w:pPr>
      <w:r w:rsidRPr="00A7639F">
        <w:t>Migration Regulations 1994</w:t>
      </w:r>
    </w:p>
    <w:p w:rsidR="0057002B" w:rsidRPr="00A7639F" w:rsidRDefault="00C738D1" w:rsidP="00BB0CF2">
      <w:pPr>
        <w:pStyle w:val="ESTitleInstrumentName"/>
      </w:pPr>
      <w:bookmarkStart w:id="1" w:name="Title"/>
      <w:r w:rsidRPr="00A7639F">
        <w:t>Migration (Arrangements for Child visas)</w:t>
      </w:r>
      <w:r w:rsidR="0076251D">
        <w:t xml:space="preserve"> Amendment</w:t>
      </w:r>
      <w:r w:rsidRPr="00A7639F">
        <w:t xml:space="preserve"> Instrument (LIN 2</w:t>
      </w:r>
      <w:r w:rsidR="008B63B7" w:rsidRPr="00A7639F">
        <w:t>2</w:t>
      </w:r>
      <w:r w:rsidRPr="00A7639F">
        <w:t>/</w:t>
      </w:r>
      <w:r w:rsidR="008B63B7" w:rsidRPr="00A7639F">
        <w:t>017</w:t>
      </w:r>
      <w:r w:rsidRPr="00A7639F">
        <w:t>) 2022</w:t>
      </w:r>
      <w:bookmarkEnd w:id="1"/>
    </w:p>
    <w:p w:rsidR="0057002B" w:rsidRPr="00A7639F" w:rsidRDefault="0057002B" w:rsidP="002D167E">
      <w:pPr>
        <w:pStyle w:val="ESPara"/>
      </w:pPr>
      <w:r w:rsidRPr="00A7639F">
        <w:t xml:space="preserve">The instrument, Departmental reference </w:t>
      </w:r>
      <w:r w:rsidR="00625AC5" w:rsidRPr="00A7639F">
        <w:t>LIN 2</w:t>
      </w:r>
      <w:r w:rsidR="008B63B7" w:rsidRPr="00A7639F">
        <w:t>2</w:t>
      </w:r>
      <w:r w:rsidR="00625AC5" w:rsidRPr="00A7639F">
        <w:t>/0</w:t>
      </w:r>
      <w:r w:rsidR="008B63B7" w:rsidRPr="00A7639F">
        <w:t>17</w:t>
      </w:r>
      <w:r w:rsidRPr="00A7639F">
        <w:t xml:space="preserve">, is made under </w:t>
      </w:r>
      <w:r w:rsidR="00C738D1" w:rsidRPr="00A7639F">
        <w:t xml:space="preserve">subregulation 2.07(5) </w:t>
      </w:r>
      <w:r w:rsidR="0076251D">
        <w:t>of</w:t>
      </w:r>
      <w:r w:rsidR="00C738D1" w:rsidRPr="00A7639F">
        <w:t xml:space="preserve"> the </w:t>
      </w:r>
      <w:r w:rsidR="00C738D1" w:rsidRPr="00A7639F">
        <w:rPr>
          <w:i/>
        </w:rPr>
        <w:t>Migration Regulations 1994</w:t>
      </w:r>
      <w:r w:rsidR="00C738D1" w:rsidRPr="00A7639F">
        <w:t xml:space="preserve"> </w:t>
      </w:r>
      <w:r w:rsidRPr="00A7639F">
        <w:t xml:space="preserve">(the </w:t>
      </w:r>
      <w:r w:rsidR="00C738D1" w:rsidRPr="00A7639F">
        <w:t>Regulations)</w:t>
      </w:r>
      <w:r w:rsidRPr="00A7639F">
        <w:t xml:space="preserve">.  </w:t>
      </w:r>
    </w:p>
    <w:p w:rsidR="00EA12C9" w:rsidRPr="00A7639F" w:rsidRDefault="00EA12C9" w:rsidP="00D9021A">
      <w:pPr>
        <w:pStyle w:val="ESPara"/>
      </w:pPr>
      <w:r w:rsidRPr="00A7639F">
        <w:t xml:space="preserve">The instrument </w:t>
      </w:r>
      <w:r w:rsidR="0076251D">
        <w:t>amends</w:t>
      </w:r>
      <w:r w:rsidR="0076251D" w:rsidRPr="00A7639F">
        <w:t xml:space="preserve"> </w:t>
      </w:r>
      <w:r w:rsidR="00C738D1" w:rsidRPr="00A7639F">
        <w:rPr>
          <w:i/>
        </w:rPr>
        <w:t>Arrangements for Child Visa Applications 2016/051</w:t>
      </w:r>
      <w:r w:rsidR="00E64D36">
        <w:rPr>
          <w:i/>
        </w:rPr>
        <w:t xml:space="preserve"> </w:t>
      </w:r>
      <w:r w:rsidR="00226ABF" w:rsidRPr="00A7639F">
        <w:t xml:space="preserve">(IMMI 16/051) </w:t>
      </w:r>
      <w:r w:rsidR="00C738D1" w:rsidRPr="00A7639F">
        <w:t>(</w:t>
      </w:r>
      <w:r w:rsidR="00D9021A" w:rsidRPr="00A7639F">
        <w:t>F2020C00612</w:t>
      </w:r>
      <w:r w:rsidR="00C738D1" w:rsidRPr="00A7639F">
        <w:t>)</w:t>
      </w:r>
      <w:r w:rsidR="00BD598E" w:rsidRPr="00A7639F">
        <w:t xml:space="preserve"> </w:t>
      </w:r>
      <w:r w:rsidRPr="00A7639F">
        <w:t xml:space="preserve">in accordance with subsection 33(3) of the </w:t>
      </w:r>
      <w:r w:rsidRPr="00A7639F">
        <w:rPr>
          <w:i/>
        </w:rPr>
        <w:t>Acts Interpretation Act 1901</w:t>
      </w:r>
      <w:r w:rsidRPr="00A7639F">
        <w:t xml:space="preserve">.  That subsection provides that </w:t>
      </w:r>
      <w:r w:rsidR="00100DFC" w:rsidRPr="00A7639F">
        <w:t>a power to make a legislative instrument includes a power to amend or repeal that instrument in the same manner, and subject to the same conditions, as the power to make the instrument</w:t>
      </w:r>
      <w:r w:rsidR="00BD598E" w:rsidRPr="00A7639F">
        <w:t xml:space="preserve">.  </w:t>
      </w:r>
    </w:p>
    <w:p w:rsidR="00BD598E" w:rsidRPr="00A7639F" w:rsidRDefault="00AA4557" w:rsidP="002D167E">
      <w:pPr>
        <w:pStyle w:val="ESPara"/>
      </w:pPr>
      <w:r w:rsidRPr="00A7639F">
        <w:t xml:space="preserve">The instrument commences </w:t>
      </w:r>
      <w:r w:rsidR="00477CE1" w:rsidRPr="00A7639F">
        <w:t>5 March 2022</w:t>
      </w:r>
      <w:r w:rsidRPr="00A7639F">
        <w:t>, and i</w:t>
      </w:r>
      <w:r w:rsidR="00BD598E" w:rsidRPr="00A7639F">
        <w:t xml:space="preserve">s a </w:t>
      </w:r>
      <w:r w:rsidRPr="00A7639F">
        <w:t>legislative</w:t>
      </w:r>
      <w:r w:rsidR="00BD598E" w:rsidRPr="00A7639F">
        <w:t xml:space="preserve"> instrument for </w:t>
      </w:r>
      <w:r w:rsidR="00B75478" w:rsidRPr="00A7639F">
        <w:t xml:space="preserve">the </w:t>
      </w:r>
      <w:r w:rsidR="00100DFC" w:rsidRPr="00A7639F">
        <w:rPr>
          <w:i/>
        </w:rPr>
        <w:t>Legislation Act 2003</w:t>
      </w:r>
      <w:r w:rsidR="00100DFC" w:rsidRPr="00A7639F">
        <w:t xml:space="preserve"> (the Legislation Act)</w:t>
      </w:r>
      <w:r w:rsidR="00BD598E" w:rsidRPr="00A7639F">
        <w:t xml:space="preserve">.  </w:t>
      </w:r>
    </w:p>
    <w:p w:rsidR="00EA12C9" w:rsidRPr="00A7639F" w:rsidRDefault="00BD598E" w:rsidP="00100DFC">
      <w:pPr>
        <w:pStyle w:val="ESHeading"/>
      </w:pPr>
      <w:r w:rsidRPr="00A7639F">
        <w:t>Purpose</w:t>
      </w:r>
    </w:p>
    <w:p w:rsidR="00055152" w:rsidRPr="00A7639F" w:rsidRDefault="00477CE1" w:rsidP="000947A9">
      <w:pPr>
        <w:pStyle w:val="ESPara"/>
      </w:pPr>
      <w:r w:rsidRPr="00A7639F">
        <w:t>The purp</w:t>
      </w:r>
      <w:r w:rsidR="00A94C37" w:rsidRPr="00A7639F">
        <w:t xml:space="preserve">ose of the instrument is to </w:t>
      </w:r>
      <w:r w:rsidR="00625AC5" w:rsidRPr="00A7639F">
        <w:t xml:space="preserve">update the approved form, place and manner </w:t>
      </w:r>
      <w:r w:rsidR="004F5CBE" w:rsidRPr="00A7639F">
        <w:t xml:space="preserve">(the arrangements) </w:t>
      </w:r>
      <w:r w:rsidR="008D1EF6" w:rsidRPr="00A7639F">
        <w:t xml:space="preserve">for making an application for the </w:t>
      </w:r>
      <w:r w:rsidR="00EC4069" w:rsidRPr="00A7639F">
        <w:t>Ex</w:t>
      </w:r>
      <w:r w:rsidR="004F5CBE" w:rsidRPr="00A7639F">
        <w:t>tended Eligibility (Temporary) (Class TK) visa</w:t>
      </w:r>
      <w:r w:rsidR="000A6AD3" w:rsidRPr="00A7639F">
        <w:t xml:space="preserve"> (Class TK visa)</w:t>
      </w:r>
      <w:r w:rsidR="000947A9" w:rsidRPr="00A7639F">
        <w:t xml:space="preserve">. </w:t>
      </w:r>
      <w:r w:rsidR="008D1EF6" w:rsidRPr="00A7639F">
        <w:t xml:space="preserve"> </w:t>
      </w:r>
      <w:r w:rsidR="00D8196A" w:rsidRPr="00A7639F">
        <w:t xml:space="preserve">The instrument follows recent amendments to the Regulations by the </w:t>
      </w:r>
      <w:r w:rsidR="000F0BFB" w:rsidRPr="00A7639F">
        <w:rPr>
          <w:i/>
        </w:rPr>
        <w:t>Migration Amendment (2022 Measures No. 1) Regulations 2022</w:t>
      </w:r>
      <w:r w:rsidR="00E87688" w:rsidRPr="00A7639F">
        <w:t xml:space="preserve"> (the amendment Regulations)</w:t>
      </w:r>
      <w:r w:rsidR="00D8196A" w:rsidRPr="00A7639F">
        <w:t xml:space="preserve">. </w:t>
      </w:r>
      <w:r w:rsidR="00E87688" w:rsidRPr="00A7639F">
        <w:t xml:space="preserve"> </w:t>
      </w:r>
      <w:r w:rsidR="00032092" w:rsidRPr="00A7639F">
        <w:t>Prior to the amendment Regulations</w:t>
      </w:r>
      <w:r w:rsidR="00D8196A" w:rsidRPr="00A7639F">
        <w:t xml:space="preserve">, an applicant for a Class TK visa had to be in Australia </w:t>
      </w:r>
      <w:r w:rsidR="00032092" w:rsidRPr="00A7639F">
        <w:t>to make a valid visa application</w:t>
      </w:r>
      <w:r w:rsidR="001D5A4C" w:rsidRPr="00A7639F">
        <w:t xml:space="preserve"> in Australia,</w:t>
      </w:r>
      <w:r w:rsidR="00A17526" w:rsidRPr="00A7639F">
        <w:t xml:space="preserve"> </w:t>
      </w:r>
      <w:r w:rsidR="001D5A4C" w:rsidRPr="00A7639F">
        <w:t>and an applicant who was outside Australia had to make</w:t>
      </w:r>
      <w:r w:rsidR="00226ABF" w:rsidRPr="00A7639F">
        <w:t xml:space="preserve"> an application outside Australia.  </w:t>
      </w:r>
      <w:r w:rsidR="00891F4B" w:rsidRPr="00A7639F">
        <w:t xml:space="preserve">The instrument </w:t>
      </w:r>
      <w:r w:rsidR="00DE4AD1" w:rsidRPr="00A7639F">
        <w:t>specifies updated</w:t>
      </w:r>
      <w:r w:rsidR="00D8196A" w:rsidRPr="00A7639F">
        <w:t xml:space="preserve"> arrangements for</w:t>
      </w:r>
      <w:r w:rsidR="00A17526" w:rsidRPr="00A7639F">
        <w:t xml:space="preserve"> the</w:t>
      </w:r>
      <w:r w:rsidR="005B0F1B" w:rsidRPr="00A7639F">
        <w:t xml:space="preserve"> </w:t>
      </w:r>
      <w:r w:rsidR="00D8196A" w:rsidRPr="00A7639F">
        <w:t>Class TK visa</w:t>
      </w:r>
      <w:r w:rsidR="00E87688" w:rsidRPr="00A7639F">
        <w:t xml:space="preserve"> following </w:t>
      </w:r>
      <w:r w:rsidR="007828FD">
        <w:t>the amendment Regulations</w:t>
      </w:r>
      <w:r w:rsidR="007646B2" w:rsidRPr="00A7639F">
        <w:t>, which allow applicants outside Australia to make an application in Australia</w:t>
      </w:r>
      <w:r w:rsidR="00D8196A" w:rsidRPr="00A7639F">
        <w:t xml:space="preserve">.  </w:t>
      </w:r>
    </w:p>
    <w:p w:rsidR="00226ABF" w:rsidRPr="00A7639F" w:rsidRDefault="00226ABF" w:rsidP="00226ABF">
      <w:pPr>
        <w:pStyle w:val="ESSubparaHeader"/>
        <w:rPr>
          <w:b/>
          <w:i/>
        </w:rPr>
      </w:pPr>
      <w:r w:rsidRPr="00A7639F">
        <w:t>The instrument also updates the arrangements for the Class TK visa by providing that anyone is able to make an application.  IMMI 16/0</w:t>
      </w:r>
      <w:r w:rsidR="007828FD">
        <w:t>51 previously</w:t>
      </w:r>
      <w:r w:rsidRPr="00A7639F">
        <w:t xml:space="preserve"> </w:t>
      </w:r>
      <w:r w:rsidR="007828FD">
        <w:t xml:space="preserve">only </w:t>
      </w:r>
      <w:r w:rsidRPr="00A7639F">
        <w:t>specified a place and manner for applications by certain dependent children, rather than for all applicants.  The instrument removes this limitation.  A requirement for an applicant to claim to be a dependent child of a holder of a certain visa is now specified in the Regulations</w:t>
      </w:r>
      <w:r w:rsidR="00AF0E59">
        <w:t xml:space="preserve"> (see paragraph 1211(3</w:t>
      </w:r>
      <w:proofErr w:type="gramStart"/>
      <w:r w:rsidR="00AF0E59">
        <w:t>)(</w:t>
      </w:r>
      <w:proofErr w:type="gramEnd"/>
      <w:r w:rsidR="00AF0E59">
        <w:t>ab) of Schedule 1)</w:t>
      </w:r>
      <w:r w:rsidRPr="00A7639F">
        <w:t xml:space="preserve">.  </w:t>
      </w:r>
    </w:p>
    <w:p w:rsidR="00226ABF" w:rsidRPr="00A7639F" w:rsidRDefault="00AA4557" w:rsidP="000947A9">
      <w:pPr>
        <w:pStyle w:val="ESPara"/>
      </w:pPr>
      <w:r w:rsidRPr="00A7639F">
        <w:t xml:space="preserve">The instrument </w:t>
      </w:r>
      <w:r w:rsidR="007828FD">
        <w:t>continues to</w:t>
      </w:r>
      <w:r w:rsidR="007828FD" w:rsidRPr="00A7639F">
        <w:t xml:space="preserve"> </w:t>
      </w:r>
      <w:r w:rsidR="00D8196A" w:rsidRPr="00A7639F">
        <w:t>specif</w:t>
      </w:r>
      <w:r w:rsidR="007828FD">
        <w:t>y</w:t>
      </w:r>
      <w:r w:rsidR="00D8196A" w:rsidRPr="00A7639F">
        <w:t xml:space="preserve"> </w:t>
      </w:r>
      <w:r w:rsidR="00EC4069" w:rsidRPr="00A7639F">
        <w:t>arrangements for</w:t>
      </w:r>
      <w:r w:rsidR="00D8196A" w:rsidRPr="00A7639F">
        <w:t xml:space="preserve"> making an application for a </w:t>
      </w:r>
      <w:r w:rsidR="00EC4069" w:rsidRPr="00A7639F">
        <w:t>Child (Migrant) (Class AH) visa (Class AH visa) and</w:t>
      </w:r>
      <w:r w:rsidR="003216D0" w:rsidRPr="00A7639F">
        <w:t xml:space="preserve"> </w:t>
      </w:r>
      <w:r w:rsidR="00D8196A" w:rsidRPr="00A7639F">
        <w:t xml:space="preserve">for a </w:t>
      </w:r>
      <w:r w:rsidR="003216D0" w:rsidRPr="00A7639F">
        <w:t>Child (Residence) (Class </w:t>
      </w:r>
      <w:r w:rsidR="00EC4069" w:rsidRPr="00A7639F">
        <w:t>BT) visa (Class BT</w:t>
      </w:r>
      <w:r w:rsidR="00E64D36">
        <w:t xml:space="preserve"> visa</w:t>
      </w:r>
      <w:r w:rsidR="00EC4069" w:rsidRPr="00A7639F">
        <w:t>)</w:t>
      </w:r>
      <w:r w:rsidR="00055152" w:rsidRPr="00A7639F">
        <w:t xml:space="preserve">.  </w:t>
      </w:r>
      <w:r w:rsidR="00D8196A" w:rsidRPr="00A7639F">
        <w:t>The instrument does not change th</w:t>
      </w:r>
      <w:r w:rsidR="00FB1704" w:rsidRPr="00A7639F">
        <w:t>e arrangements for those visas</w:t>
      </w:r>
      <w:r w:rsidR="00226ABF" w:rsidRPr="00A7639F">
        <w:t xml:space="preserve">. </w:t>
      </w:r>
      <w:r w:rsidR="00FB1704" w:rsidRPr="00A7639F">
        <w:t xml:space="preserve"> </w:t>
      </w:r>
    </w:p>
    <w:p w:rsidR="008B24C8" w:rsidRPr="00A7639F" w:rsidRDefault="00226ABF" w:rsidP="000947A9">
      <w:pPr>
        <w:pStyle w:val="ESPara"/>
      </w:pPr>
      <w:r w:rsidRPr="00A7639F">
        <w:t xml:space="preserve">The instrument </w:t>
      </w:r>
      <w:r w:rsidR="00B76BF6">
        <w:t xml:space="preserve">also </w:t>
      </w:r>
      <w:r w:rsidRPr="00A7639F">
        <w:t xml:space="preserve">updates </w:t>
      </w:r>
      <w:r w:rsidR="00D8196A" w:rsidRPr="00A7639F">
        <w:t>the drafting</w:t>
      </w:r>
      <w:r w:rsidRPr="00A7639F">
        <w:t xml:space="preserve"> of IMMI 16/051 to align with current standard</w:t>
      </w:r>
      <w:r w:rsidR="003C5E2E">
        <w:t>s</w:t>
      </w:r>
      <w:r w:rsidRPr="00A7639F">
        <w:t xml:space="preserve"> and remove redundant provisions. </w:t>
      </w:r>
      <w:r w:rsidR="00D8196A" w:rsidRPr="00A7639F">
        <w:t xml:space="preserve"> </w:t>
      </w:r>
    </w:p>
    <w:p w:rsidR="008B24C8" w:rsidRPr="00A7639F" w:rsidRDefault="008B24C8" w:rsidP="00100DFC">
      <w:pPr>
        <w:pStyle w:val="ESHeading"/>
      </w:pPr>
      <w:r w:rsidRPr="00A7639F">
        <w:t>Consultation</w:t>
      </w:r>
    </w:p>
    <w:p w:rsidR="005A3733" w:rsidRPr="00A7639F" w:rsidRDefault="005A3733" w:rsidP="005A3733">
      <w:pPr>
        <w:pStyle w:val="ESPara"/>
      </w:pPr>
      <w:r w:rsidRPr="00A7639F">
        <w:t xml:space="preserve">No consultation was done for this instrument.  This is because </w:t>
      </w:r>
      <w:r w:rsidR="003070E4" w:rsidRPr="00A7639F">
        <w:t>the changes are minor and machinery in nature and do not substantially alter the existing arrangements</w:t>
      </w:r>
      <w:r w:rsidRPr="00A7639F">
        <w:t>.</w:t>
      </w:r>
    </w:p>
    <w:p w:rsidR="008B24C8" w:rsidRPr="00A7639F" w:rsidRDefault="003070E4" w:rsidP="002D167E">
      <w:pPr>
        <w:pStyle w:val="ESPara"/>
      </w:pPr>
      <w:r w:rsidRPr="00A7639F">
        <w:lastRenderedPageBreak/>
        <w:t>T</w:t>
      </w:r>
      <w:r w:rsidR="008B24C8" w:rsidRPr="00A7639F">
        <w:t xml:space="preserve">he Office of Best Practice Regulation (OBPR) was consulted and considered that the instrument dealt with matters of a minor nature and no regulatory impact statement was required.  The OBPR reference number is </w:t>
      </w:r>
      <w:r w:rsidRPr="00A7639F">
        <w:rPr>
          <w:sz w:val="21"/>
          <w:szCs w:val="21"/>
        </w:rPr>
        <w:t>44683</w:t>
      </w:r>
      <w:r w:rsidR="008B24C8" w:rsidRPr="00A7639F">
        <w:t>.</w:t>
      </w:r>
    </w:p>
    <w:p w:rsidR="00AA4557" w:rsidRPr="00A7639F" w:rsidRDefault="00464080" w:rsidP="00100DFC">
      <w:pPr>
        <w:pStyle w:val="ESHeading"/>
      </w:pPr>
      <w:r w:rsidRPr="00A7639F">
        <w:t>Details</w:t>
      </w:r>
      <w:r w:rsidR="00AA4557" w:rsidRPr="00A7639F">
        <w:t xml:space="preserve"> of the instrument</w:t>
      </w:r>
    </w:p>
    <w:p w:rsidR="00AA4557" w:rsidRPr="00A7639F" w:rsidRDefault="00AA4557" w:rsidP="002D167E">
      <w:pPr>
        <w:pStyle w:val="ESPara"/>
      </w:pPr>
      <w:r w:rsidRPr="00A7639F">
        <w:t>Section 1 sets out</w:t>
      </w:r>
      <w:r w:rsidR="00E03DCC" w:rsidRPr="00A7639F">
        <w:t xml:space="preserve"> the name of the instrument. </w:t>
      </w:r>
    </w:p>
    <w:p w:rsidR="00AA4557" w:rsidRPr="00A7639F" w:rsidRDefault="00AA4557" w:rsidP="002D167E">
      <w:pPr>
        <w:pStyle w:val="ESPara"/>
      </w:pPr>
      <w:r w:rsidRPr="00A7639F">
        <w:t xml:space="preserve">Section 2 provides for the commencement of the instrument on </w:t>
      </w:r>
      <w:r w:rsidR="003070E4" w:rsidRPr="00A7639F">
        <w:t>5 March 2022</w:t>
      </w:r>
      <w:r w:rsidRPr="00A7639F">
        <w:t>.</w:t>
      </w:r>
    </w:p>
    <w:p w:rsidR="00AA4F77" w:rsidRDefault="00E03DCC" w:rsidP="00AA4F77">
      <w:pPr>
        <w:pStyle w:val="ESPara"/>
      </w:pPr>
      <w:r w:rsidRPr="00A7639F">
        <w:t xml:space="preserve">Section </w:t>
      </w:r>
      <w:r w:rsidR="000F0BFB" w:rsidRPr="00A7639F">
        <w:t>3</w:t>
      </w:r>
      <w:r w:rsidRPr="00A7639F">
        <w:t xml:space="preserve"> </w:t>
      </w:r>
      <w:r w:rsidR="003070E4" w:rsidRPr="00A7639F">
        <w:t xml:space="preserve">provides that IMMI 16/051 is </w:t>
      </w:r>
      <w:r w:rsidR="0076251D">
        <w:t>amended as set out in Schedule 1</w:t>
      </w:r>
      <w:r w:rsidR="00AA4F77" w:rsidRPr="00A7639F">
        <w:t xml:space="preserve">.  </w:t>
      </w:r>
    </w:p>
    <w:p w:rsidR="0076251D" w:rsidRDefault="0076251D" w:rsidP="00AA4F77">
      <w:pPr>
        <w:pStyle w:val="ESPara"/>
      </w:pPr>
      <w:r>
        <w:t xml:space="preserve">Item 1 of Schedule 1 to the instrument </w:t>
      </w:r>
      <w:r w:rsidR="001E65FE">
        <w:t xml:space="preserve">substitutes </w:t>
      </w:r>
      <w:r>
        <w:t>section</w:t>
      </w:r>
      <w:r w:rsidR="001E65FE">
        <w:t xml:space="preserve"> 4 of IMMI 16/051, which</w:t>
      </w:r>
      <w:r>
        <w:t xml:space="preserve"> specifies the arrangements for making an application for a Class AH</w:t>
      </w:r>
      <w:r w:rsidR="001E65FE">
        <w:t xml:space="preserve"> visa</w:t>
      </w:r>
      <w:r>
        <w:t xml:space="preserve">, </w:t>
      </w:r>
      <w:r w:rsidR="005D1CD5">
        <w:t xml:space="preserve">a </w:t>
      </w:r>
      <w:r>
        <w:t>Class BT</w:t>
      </w:r>
      <w:r w:rsidR="001E65FE">
        <w:t xml:space="preserve"> visa</w:t>
      </w:r>
      <w:r>
        <w:t xml:space="preserve"> and </w:t>
      </w:r>
      <w:r w:rsidR="005D1CD5">
        <w:t xml:space="preserve">a </w:t>
      </w:r>
      <w:r>
        <w:t xml:space="preserve">Class TK visa.  </w:t>
      </w:r>
    </w:p>
    <w:p w:rsidR="00825430" w:rsidRPr="00A7639F" w:rsidRDefault="0076251D" w:rsidP="00AA4F77">
      <w:pPr>
        <w:pStyle w:val="ESPara"/>
      </w:pPr>
      <w:r>
        <w:t>Item 1 of the table</w:t>
      </w:r>
      <w:r w:rsidR="00B8702E" w:rsidRPr="00A7639F">
        <w:t xml:space="preserve"> </w:t>
      </w:r>
      <w:r w:rsidR="00386B3C" w:rsidRPr="00A7639F">
        <w:t xml:space="preserve">specifies </w:t>
      </w:r>
      <w:r w:rsidR="000A58C5" w:rsidRPr="00A7639F">
        <w:t>the arrangements for making a Class AH visa</w:t>
      </w:r>
      <w:r w:rsidR="00632108" w:rsidRPr="00A7639F">
        <w:t xml:space="preserve"> application</w:t>
      </w:r>
      <w:r w:rsidR="00BC1293" w:rsidRPr="00A7639F">
        <w:t xml:space="preserve"> for subitem 1108(1) and paragraph 1108(3)(a) of Schedule 1 to the Regulations</w:t>
      </w:r>
      <w:r w:rsidR="000A58C5" w:rsidRPr="00A7639F">
        <w:t xml:space="preserve">. </w:t>
      </w:r>
      <w:r w:rsidR="00386B3C" w:rsidRPr="00A7639F">
        <w:t xml:space="preserve"> Applicants for a Class AH visa must use form 47CH</w:t>
      </w:r>
      <w:r w:rsidR="007828FD">
        <w:t xml:space="preserve">.  </w:t>
      </w:r>
    </w:p>
    <w:p w:rsidR="00386B3C" w:rsidRPr="00A7639F" w:rsidRDefault="007828FD" w:rsidP="00AA4F77">
      <w:pPr>
        <w:pStyle w:val="ESPara"/>
      </w:pPr>
      <w:r>
        <w:t>Item 2 of the table</w:t>
      </w:r>
      <w:r w:rsidRPr="00A7639F">
        <w:t xml:space="preserve"> </w:t>
      </w:r>
      <w:r w:rsidR="00386B3C" w:rsidRPr="00A7639F">
        <w:t>specifies the arrangements for making a Class BT visa</w:t>
      </w:r>
      <w:r w:rsidR="00632108" w:rsidRPr="00A7639F">
        <w:t xml:space="preserve"> application</w:t>
      </w:r>
      <w:r w:rsidR="00BC1293" w:rsidRPr="00A7639F">
        <w:t xml:space="preserve"> for subitem </w:t>
      </w:r>
      <w:proofErr w:type="gramStart"/>
      <w:r w:rsidR="00BC1293" w:rsidRPr="00A7639F">
        <w:t>1108A(</w:t>
      </w:r>
      <w:proofErr w:type="gramEnd"/>
      <w:r w:rsidR="00BC1293" w:rsidRPr="00A7639F">
        <w:t>1) and paragraph 1108A(3)(a) of Schedule 1 to the Regulations</w:t>
      </w:r>
      <w:r w:rsidR="00386B3C" w:rsidRPr="00A7639F">
        <w:t>.  Applicants for a Class BT visa must use form 47CH</w:t>
      </w:r>
      <w:r>
        <w:t xml:space="preserve">. </w:t>
      </w:r>
    </w:p>
    <w:p w:rsidR="007828FD" w:rsidRDefault="007828FD" w:rsidP="00AA4F77">
      <w:pPr>
        <w:pStyle w:val="ESPara"/>
      </w:pPr>
      <w:r>
        <w:t xml:space="preserve">Item 3 of the table </w:t>
      </w:r>
      <w:r w:rsidR="00386B3C" w:rsidRPr="00A7639F">
        <w:t>specifies the arrangements for making a Class TK visa</w:t>
      </w:r>
      <w:r w:rsidR="00632108" w:rsidRPr="00A7639F">
        <w:t xml:space="preserve"> application</w:t>
      </w:r>
      <w:r w:rsidR="00BC1293" w:rsidRPr="00A7639F">
        <w:t xml:space="preserve"> for subitem 1211(1) and paragraph 1211(3)(a) of Schedule 1 to the Regulations</w:t>
      </w:r>
      <w:r w:rsidR="00386B3C" w:rsidRPr="00A7639F">
        <w:t>.  Applicants for a Class TK visa must use form</w:t>
      </w:r>
      <w:r w:rsidR="00632108" w:rsidRPr="00A7639F">
        <w:t> </w:t>
      </w:r>
      <w:r w:rsidR="00386B3C" w:rsidRPr="00A7639F">
        <w:t>918</w:t>
      </w:r>
      <w:r>
        <w:t xml:space="preserve">. </w:t>
      </w:r>
      <w:r w:rsidR="00386B3C" w:rsidRPr="00A7639F">
        <w:t xml:space="preserve"> </w:t>
      </w:r>
    </w:p>
    <w:p w:rsidR="00386B3C" w:rsidRDefault="007828FD" w:rsidP="00AA4F77">
      <w:pPr>
        <w:pStyle w:val="ESPara"/>
      </w:pPr>
      <w:r>
        <w:t xml:space="preserve">Applicants for all visa classes must either </w:t>
      </w:r>
      <w:r w:rsidR="00386B3C" w:rsidRPr="00A7639F">
        <w:t>post</w:t>
      </w:r>
      <w:r>
        <w:t xml:space="preserve"> the relevant form</w:t>
      </w:r>
      <w:r w:rsidR="00386B3C" w:rsidRPr="00A7639F">
        <w:t xml:space="preserve"> with sufficient prepaid postage to the address specified, or deliver it by courier service to the address specified</w:t>
      </w:r>
      <w:r>
        <w:t xml:space="preserve">.  </w:t>
      </w:r>
      <w:r w:rsidR="00632108" w:rsidRPr="00A7639F">
        <w:t xml:space="preserve">An applicant is not required to both post and courier the application.  </w:t>
      </w:r>
      <w:r>
        <w:t xml:space="preserve">The addresses are the same for all visa classes.  </w:t>
      </w:r>
    </w:p>
    <w:p w:rsidR="00AA4557" w:rsidRPr="00A7639F" w:rsidRDefault="00AA4557" w:rsidP="00100DFC">
      <w:pPr>
        <w:pStyle w:val="ESHeading"/>
      </w:pPr>
      <w:r w:rsidRPr="00A7639F">
        <w:t xml:space="preserve">Parliamentary scrutiny etc.  </w:t>
      </w:r>
    </w:p>
    <w:p w:rsidR="00E03DCC" w:rsidRPr="00A7639F" w:rsidRDefault="00E03DCC" w:rsidP="003070E4">
      <w:pPr>
        <w:pStyle w:val="ESPara"/>
      </w:pPr>
      <w:r w:rsidRPr="00A7639F">
        <w:t xml:space="preserve">The instrument is exempt from disallowance under section 42 of the Legislation Act.  </w:t>
      </w:r>
      <w:r w:rsidR="003070E4" w:rsidRPr="00A7639F">
        <w:t xml:space="preserve">This is because instruments made under Part 2 </w:t>
      </w:r>
      <w:r w:rsidR="005D1CD5">
        <w:t xml:space="preserve">of, </w:t>
      </w:r>
      <w:r w:rsidR="003070E4" w:rsidRPr="00A7639F">
        <w:t>and Schedule 1 to</w:t>
      </w:r>
      <w:r w:rsidR="005D1CD5">
        <w:t>,</w:t>
      </w:r>
      <w:r w:rsidR="003070E4" w:rsidRPr="00A7639F">
        <w:t xml:space="preserve"> the Regulations are exempt </w:t>
      </w:r>
      <w:r w:rsidR="00E87688" w:rsidRPr="00A7639F">
        <w:t xml:space="preserve">under </w:t>
      </w:r>
      <w:r w:rsidR="00BC1293" w:rsidRPr="00A7639F">
        <w:t xml:space="preserve">paragraph </w:t>
      </w:r>
      <w:r w:rsidR="00E87688" w:rsidRPr="00A7639F">
        <w:t>(</w:t>
      </w:r>
      <w:r w:rsidR="00BC1293" w:rsidRPr="00A7639F">
        <w:t>b</w:t>
      </w:r>
      <w:r w:rsidR="00E87688" w:rsidRPr="00A7639F">
        <w:t>)</w:t>
      </w:r>
      <w:r w:rsidR="00BC1293" w:rsidRPr="00A7639F">
        <w:t xml:space="preserve"> of item 20 of the table in </w:t>
      </w:r>
      <w:r w:rsidR="003070E4" w:rsidRPr="00A7639F">
        <w:t xml:space="preserve">section 10 of the </w:t>
      </w:r>
      <w:r w:rsidR="003070E4" w:rsidRPr="00A7639F">
        <w:rPr>
          <w:i/>
        </w:rPr>
        <w:t>Legislation (Exemptions and Other Matters) Regulation 2015</w:t>
      </w:r>
      <w:r w:rsidR="003070E4" w:rsidRPr="00A7639F">
        <w:t xml:space="preserve">.  </w:t>
      </w:r>
    </w:p>
    <w:p w:rsidR="00BC1293" w:rsidRPr="00A7639F" w:rsidRDefault="000A3F2D" w:rsidP="003070E4">
      <w:pPr>
        <w:pStyle w:val="ESPara"/>
      </w:pPr>
      <w:r w:rsidRPr="00A7639F">
        <w:t>The instrument is appropriate to be exempt from disallowan</w:t>
      </w:r>
      <w:r w:rsidR="005943B3" w:rsidRPr="00A7639F">
        <w:t xml:space="preserve">ce as it </w:t>
      </w:r>
      <w:r w:rsidR="00CA06A2" w:rsidRPr="00A7639F">
        <w:t>concerns m</w:t>
      </w:r>
      <w:r w:rsidR="0058340F" w:rsidRPr="00A7639F">
        <w:t xml:space="preserve">atters of an administrative </w:t>
      </w:r>
      <w:r w:rsidR="00CA06A2" w:rsidRPr="00A7639F">
        <w:t>nature.  Updating</w:t>
      </w:r>
      <w:r w:rsidR="005943B3" w:rsidRPr="00A7639F">
        <w:t xml:space="preserve"> </w:t>
      </w:r>
      <w:r w:rsidR="001A6F33" w:rsidRPr="00A7639F">
        <w:t xml:space="preserve">legislative </w:t>
      </w:r>
      <w:r w:rsidRPr="00A7639F">
        <w:t>instruments</w:t>
      </w:r>
      <w:r w:rsidR="005943B3" w:rsidRPr="00A7639F">
        <w:t xml:space="preserve"> </w:t>
      </w:r>
      <w:r w:rsidR="001A6F33" w:rsidRPr="00A7639F">
        <w:t xml:space="preserve">that specify administrative matters </w:t>
      </w:r>
      <w:r w:rsidR="00CA06A2" w:rsidRPr="00A7639F">
        <w:t>allows for</w:t>
      </w:r>
      <w:r w:rsidR="001A6F33" w:rsidRPr="00A7639F">
        <w:t xml:space="preserve"> consistent internal management of the migration policy framework.  </w:t>
      </w:r>
    </w:p>
    <w:p w:rsidR="00915032" w:rsidRPr="00E64D36" w:rsidRDefault="00B75478" w:rsidP="00874B2E">
      <w:pPr>
        <w:pStyle w:val="ESPara"/>
      </w:pPr>
      <w:r w:rsidRPr="00A7639F">
        <w:t xml:space="preserve">The instrument was made by </w:t>
      </w:r>
      <w:r w:rsidR="003070E4" w:rsidRPr="00A7639F">
        <w:t>the Minister, in accord</w:t>
      </w:r>
      <w:r w:rsidR="00602DC0" w:rsidRPr="00A7639F">
        <w:t>ance with subregulation 2.07(5)</w:t>
      </w:r>
      <w:r w:rsidR="00226ABF" w:rsidRPr="00A7639F">
        <w:t xml:space="preserve"> of,</w:t>
      </w:r>
      <w:r w:rsidR="00602DC0" w:rsidRPr="00A7639F">
        <w:t xml:space="preserve"> and </w:t>
      </w:r>
      <w:r w:rsidR="00500B04" w:rsidRPr="00A7639F">
        <w:t>items 1108, 1108A and 1211 of Schedule 1 to</w:t>
      </w:r>
      <w:r w:rsidR="00226ABF" w:rsidRPr="00A7639F">
        <w:t>,</w:t>
      </w:r>
      <w:r w:rsidR="00026734" w:rsidRPr="00A7639F">
        <w:t xml:space="preserve"> the Regulations</w:t>
      </w:r>
      <w:r w:rsidRPr="00A7639F">
        <w:t xml:space="preserve">.  </w:t>
      </w:r>
    </w:p>
    <w:sectPr w:rsidR="00915032" w:rsidRPr="00E64D36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482D"/>
    <w:multiLevelType w:val="hybridMultilevel"/>
    <w:tmpl w:val="586A5734"/>
    <w:lvl w:ilvl="0" w:tplc="D144BA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D1"/>
    <w:rsid w:val="000137AE"/>
    <w:rsid w:val="00026734"/>
    <w:rsid w:val="00032092"/>
    <w:rsid w:val="00055152"/>
    <w:rsid w:val="000947A9"/>
    <w:rsid w:val="000A3F2D"/>
    <w:rsid w:val="000A58C5"/>
    <w:rsid w:val="000A6AD3"/>
    <w:rsid w:val="000B7D86"/>
    <w:rsid w:val="000D014F"/>
    <w:rsid w:val="000F0BFB"/>
    <w:rsid w:val="00100DFC"/>
    <w:rsid w:val="0014560B"/>
    <w:rsid w:val="0019164E"/>
    <w:rsid w:val="001A4C84"/>
    <w:rsid w:val="001A6F33"/>
    <w:rsid w:val="001D5A4C"/>
    <w:rsid w:val="001E65FE"/>
    <w:rsid w:val="00204549"/>
    <w:rsid w:val="00207F05"/>
    <w:rsid w:val="00217C66"/>
    <w:rsid w:val="00226ABF"/>
    <w:rsid w:val="002402E0"/>
    <w:rsid w:val="0024137B"/>
    <w:rsid w:val="002628DB"/>
    <w:rsid w:val="002B3962"/>
    <w:rsid w:val="002D167E"/>
    <w:rsid w:val="002F7D7E"/>
    <w:rsid w:val="003070E4"/>
    <w:rsid w:val="00315BA8"/>
    <w:rsid w:val="003216D0"/>
    <w:rsid w:val="0032373A"/>
    <w:rsid w:val="00337E45"/>
    <w:rsid w:val="00344748"/>
    <w:rsid w:val="00386B3C"/>
    <w:rsid w:val="00395F7A"/>
    <w:rsid w:val="003C5E2E"/>
    <w:rsid w:val="004054A4"/>
    <w:rsid w:val="00413B73"/>
    <w:rsid w:val="00436B21"/>
    <w:rsid w:val="00457D4A"/>
    <w:rsid w:val="00462815"/>
    <w:rsid w:val="00464080"/>
    <w:rsid w:val="00477CE1"/>
    <w:rsid w:val="00485AC0"/>
    <w:rsid w:val="004B1816"/>
    <w:rsid w:val="004F5CBE"/>
    <w:rsid w:val="004F5CE4"/>
    <w:rsid w:val="00500B04"/>
    <w:rsid w:val="005169A0"/>
    <w:rsid w:val="00537721"/>
    <w:rsid w:val="00560B24"/>
    <w:rsid w:val="0057002B"/>
    <w:rsid w:val="005729DE"/>
    <w:rsid w:val="0058340F"/>
    <w:rsid w:val="005943B3"/>
    <w:rsid w:val="005A3733"/>
    <w:rsid w:val="005B0F1B"/>
    <w:rsid w:val="005D1CD5"/>
    <w:rsid w:val="00602DC0"/>
    <w:rsid w:val="00604E06"/>
    <w:rsid w:val="00625AC5"/>
    <w:rsid w:val="00632108"/>
    <w:rsid w:val="00672D03"/>
    <w:rsid w:val="00682A7F"/>
    <w:rsid w:val="006C3922"/>
    <w:rsid w:val="006D3AD7"/>
    <w:rsid w:val="007348F9"/>
    <w:rsid w:val="007516EB"/>
    <w:rsid w:val="0075452C"/>
    <w:rsid w:val="0076251D"/>
    <w:rsid w:val="007646B2"/>
    <w:rsid w:val="00776322"/>
    <w:rsid w:val="007828FD"/>
    <w:rsid w:val="007E4691"/>
    <w:rsid w:val="007F7C59"/>
    <w:rsid w:val="00825430"/>
    <w:rsid w:val="0086418D"/>
    <w:rsid w:val="00874B2E"/>
    <w:rsid w:val="0088407D"/>
    <w:rsid w:val="00890AF3"/>
    <w:rsid w:val="00891F4B"/>
    <w:rsid w:val="008B24C8"/>
    <w:rsid w:val="008B63B7"/>
    <w:rsid w:val="008D1EF6"/>
    <w:rsid w:val="00915032"/>
    <w:rsid w:val="009B27B4"/>
    <w:rsid w:val="00A17526"/>
    <w:rsid w:val="00A2777F"/>
    <w:rsid w:val="00A457C6"/>
    <w:rsid w:val="00A60ACE"/>
    <w:rsid w:val="00A7639F"/>
    <w:rsid w:val="00A94C37"/>
    <w:rsid w:val="00AA4557"/>
    <w:rsid w:val="00AA4F77"/>
    <w:rsid w:val="00AF0E59"/>
    <w:rsid w:val="00B31731"/>
    <w:rsid w:val="00B445D9"/>
    <w:rsid w:val="00B55E6A"/>
    <w:rsid w:val="00B65A06"/>
    <w:rsid w:val="00B67BB8"/>
    <w:rsid w:val="00B71235"/>
    <w:rsid w:val="00B75478"/>
    <w:rsid w:val="00B76BF6"/>
    <w:rsid w:val="00B8702E"/>
    <w:rsid w:val="00BA3421"/>
    <w:rsid w:val="00BB0CF2"/>
    <w:rsid w:val="00BC1293"/>
    <w:rsid w:val="00BD598E"/>
    <w:rsid w:val="00BE3E7F"/>
    <w:rsid w:val="00C27D35"/>
    <w:rsid w:val="00C27F40"/>
    <w:rsid w:val="00C3141D"/>
    <w:rsid w:val="00C35CEF"/>
    <w:rsid w:val="00C3698B"/>
    <w:rsid w:val="00C738D1"/>
    <w:rsid w:val="00C81A5E"/>
    <w:rsid w:val="00C930F2"/>
    <w:rsid w:val="00CA06A2"/>
    <w:rsid w:val="00CC4604"/>
    <w:rsid w:val="00CD0F8E"/>
    <w:rsid w:val="00CD7952"/>
    <w:rsid w:val="00CE1EFA"/>
    <w:rsid w:val="00D1111E"/>
    <w:rsid w:val="00D13786"/>
    <w:rsid w:val="00D40E1E"/>
    <w:rsid w:val="00D8196A"/>
    <w:rsid w:val="00D9021A"/>
    <w:rsid w:val="00DE4AD1"/>
    <w:rsid w:val="00E03DCC"/>
    <w:rsid w:val="00E30D56"/>
    <w:rsid w:val="00E45FE2"/>
    <w:rsid w:val="00E64D36"/>
    <w:rsid w:val="00E73017"/>
    <w:rsid w:val="00E87688"/>
    <w:rsid w:val="00EA12C9"/>
    <w:rsid w:val="00EC4069"/>
    <w:rsid w:val="00F0668A"/>
    <w:rsid w:val="00F24072"/>
    <w:rsid w:val="00F32E93"/>
    <w:rsid w:val="00F57FBD"/>
    <w:rsid w:val="00F649BA"/>
    <w:rsid w:val="00F83FF6"/>
    <w:rsid w:val="00F9095D"/>
    <w:rsid w:val="00FB1704"/>
    <w:rsid w:val="00FD079D"/>
    <w:rsid w:val="00FE0FEE"/>
    <w:rsid w:val="00FF34DA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93323-892C-437E-8FE8-F003219C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567C"/>
    <w:rPr>
      <w:strike w:val="0"/>
      <w:dstrike w:val="0"/>
      <w:color w:val="007AC3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4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5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54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49"/>
    <w:rPr>
      <w:rFonts w:ascii="Segoe UI" w:hAnsi="Segoe UI" w:cs="Segoe UI"/>
      <w:sz w:val="18"/>
      <w:szCs w:val="18"/>
    </w:rPr>
  </w:style>
  <w:style w:type="paragraph" w:customStyle="1" w:styleId="contentelement-indenttwo1">
    <w:name w:val="contentelement-indenttwo1"/>
    <w:basedOn w:val="Normal"/>
    <w:rsid w:val="001A4C84"/>
    <w:pPr>
      <w:spacing w:before="240" w:after="240" w:line="240" w:lineRule="auto"/>
      <w:ind w:left="936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ntentelement-indentthree1">
    <w:name w:val="contentelement-indentthree1"/>
    <w:basedOn w:val="Normal"/>
    <w:rsid w:val="001A4C84"/>
    <w:pPr>
      <w:spacing w:before="240" w:after="240" w:line="240" w:lineRule="auto"/>
      <w:ind w:left="140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s-rtestyle-notelink1">
    <w:name w:val="ms-rtestyle-notelink1"/>
    <w:basedOn w:val="DefaultParagraphFont"/>
    <w:rsid w:val="001A4C84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B3C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B3C"/>
    <w:rPr>
      <w:rFonts w:ascii="Times New Roman" w:hAnsi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44748"/>
    <w:rPr>
      <w:b/>
      <w:bCs/>
    </w:rPr>
  </w:style>
  <w:style w:type="paragraph" w:customStyle="1" w:styleId="contentelement-indentone1">
    <w:name w:val="contentelement-indentone1"/>
    <w:basedOn w:val="Normal"/>
    <w:rsid w:val="00344748"/>
    <w:pPr>
      <w:spacing w:before="240" w:after="240" w:line="240" w:lineRule="auto"/>
      <w:ind w:left="468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30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97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9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69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Yo-ru LEE</dc:creator>
  <cp:keywords/>
  <dc:description/>
  <cp:lastModifiedBy>Thomas BURBURY</cp:lastModifiedBy>
  <cp:revision>2</cp:revision>
  <dcterms:created xsi:type="dcterms:W3CDTF">2022-03-04T00:37:00Z</dcterms:created>
  <dcterms:modified xsi:type="dcterms:W3CDTF">2022-03-04T00:37:00Z</dcterms:modified>
</cp:coreProperties>
</file>