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4277" w14:textId="3B18E2BA" w:rsidR="00B17B50" w:rsidRPr="00A51826" w:rsidRDefault="00B17B50" w:rsidP="00B17B50">
      <w:pPr>
        <w:jc w:val="center"/>
        <w:rPr>
          <w:rFonts w:ascii="Times New Roman" w:hAnsi="Times New Roman" w:cs="Times New Roman"/>
          <w:b/>
          <w:sz w:val="28"/>
          <w:szCs w:val="28"/>
        </w:rPr>
      </w:pPr>
      <w:r w:rsidRPr="00A51826">
        <w:rPr>
          <w:rFonts w:ascii="Times New Roman" w:hAnsi="Times New Roman" w:cs="Times New Roman"/>
          <w:b/>
          <w:sz w:val="28"/>
          <w:szCs w:val="28"/>
        </w:rPr>
        <w:t>EXPLANATORY STATEMENT</w:t>
      </w:r>
    </w:p>
    <w:p w14:paraId="5CBF4278" w14:textId="159773ED" w:rsidR="00B17B50" w:rsidRPr="00A51826" w:rsidRDefault="00AF7F5B" w:rsidP="00B17B50">
      <w:pPr>
        <w:jc w:val="center"/>
        <w:rPr>
          <w:rFonts w:ascii="Times New Roman" w:hAnsi="Times New Roman" w:cs="Times New Roman"/>
          <w:bCs/>
        </w:rPr>
      </w:pPr>
      <w:r w:rsidRPr="00A51826">
        <w:rPr>
          <w:rFonts w:ascii="Times New Roman" w:hAnsi="Times New Roman" w:cs="Times New Roman"/>
          <w:bCs/>
        </w:rPr>
        <w:t xml:space="preserve">Approved </w:t>
      </w:r>
      <w:r w:rsidR="00B17B50" w:rsidRPr="00A51826">
        <w:rPr>
          <w:rFonts w:ascii="Times New Roman" w:hAnsi="Times New Roman" w:cs="Times New Roman"/>
          <w:bCs/>
        </w:rPr>
        <w:t xml:space="preserve">by </w:t>
      </w:r>
      <w:r w:rsidR="00EF041A" w:rsidRPr="00A51826">
        <w:rPr>
          <w:rFonts w:ascii="Times New Roman" w:hAnsi="Times New Roman" w:cs="Times New Roman"/>
          <w:bCs/>
        </w:rPr>
        <w:t xml:space="preserve">the </w:t>
      </w:r>
      <w:r w:rsidR="00B17B50" w:rsidRPr="00A51826">
        <w:rPr>
          <w:rFonts w:ascii="Times New Roman" w:hAnsi="Times New Roman" w:cs="Times New Roman"/>
          <w:bCs/>
        </w:rPr>
        <w:t>Australian Communications and Media Authority</w:t>
      </w:r>
    </w:p>
    <w:p w14:paraId="5CBF4279" w14:textId="1E5E35D6" w:rsidR="00EF041A" w:rsidRPr="00A51826" w:rsidRDefault="00B17B50" w:rsidP="00B17B50">
      <w:pPr>
        <w:jc w:val="center"/>
        <w:rPr>
          <w:rFonts w:ascii="Times New Roman" w:hAnsi="Times New Roman" w:cs="Times New Roman"/>
          <w:b/>
        </w:rPr>
      </w:pPr>
      <w:r w:rsidRPr="00A51826">
        <w:rPr>
          <w:rFonts w:ascii="Times New Roman" w:hAnsi="Times New Roman" w:cs="Times New Roman"/>
          <w:b/>
          <w:i/>
        </w:rPr>
        <w:t>Telecommunications Act 1997</w:t>
      </w:r>
    </w:p>
    <w:p w14:paraId="5CBF427A" w14:textId="2A718924" w:rsidR="000C36F5" w:rsidRPr="00A51826" w:rsidRDefault="00EF041A">
      <w:pPr>
        <w:jc w:val="center"/>
        <w:rPr>
          <w:rFonts w:ascii="Times New Roman" w:hAnsi="Times New Roman" w:cs="Times New Roman"/>
          <w:b/>
        </w:rPr>
      </w:pPr>
      <w:r w:rsidRPr="00A51826">
        <w:rPr>
          <w:rFonts w:ascii="Times New Roman" w:hAnsi="Times New Roman" w:cs="Times New Roman"/>
          <w:b/>
          <w:i/>
        </w:rPr>
        <w:t xml:space="preserve">Telecommunications </w:t>
      </w:r>
      <w:r w:rsidR="00721C32" w:rsidRPr="00A51826">
        <w:rPr>
          <w:rFonts w:ascii="Times New Roman" w:hAnsi="Times New Roman" w:cs="Times New Roman"/>
          <w:b/>
          <w:i/>
        </w:rPr>
        <w:t>(</w:t>
      </w:r>
      <w:r w:rsidRPr="00A51826">
        <w:rPr>
          <w:rFonts w:ascii="Times New Roman" w:hAnsi="Times New Roman" w:cs="Times New Roman"/>
          <w:b/>
          <w:i/>
        </w:rPr>
        <w:t>Infringement Notice</w:t>
      </w:r>
      <w:r w:rsidR="00721C32" w:rsidRPr="00A51826">
        <w:rPr>
          <w:rFonts w:ascii="Times New Roman" w:hAnsi="Times New Roman" w:cs="Times New Roman"/>
          <w:b/>
          <w:i/>
        </w:rPr>
        <w:t>s)</w:t>
      </w:r>
      <w:r w:rsidRPr="00A51826">
        <w:rPr>
          <w:rFonts w:ascii="Times New Roman" w:hAnsi="Times New Roman" w:cs="Times New Roman"/>
          <w:b/>
          <w:i/>
        </w:rPr>
        <w:t xml:space="preserve"> Guidelines </w:t>
      </w:r>
      <w:r w:rsidR="00721C32" w:rsidRPr="00A51826">
        <w:rPr>
          <w:rFonts w:ascii="Times New Roman" w:hAnsi="Times New Roman" w:cs="Times New Roman"/>
          <w:b/>
          <w:i/>
        </w:rPr>
        <w:t>20</w:t>
      </w:r>
      <w:r w:rsidR="00AF7F5B" w:rsidRPr="00A51826">
        <w:rPr>
          <w:rFonts w:ascii="Times New Roman" w:hAnsi="Times New Roman" w:cs="Times New Roman"/>
          <w:b/>
          <w:i/>
        </w:rPr>
        <w:t>22</w:t>
      </w:r>
    </w:p>
    <w:p w14:paraId="4FD4D99B" w14:textId="53086C06" w:rsidR="008E696B" w:rsidRPr="00A51826" w:rsidRDefault="008E696B" w:rsidP="00B17B50">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
          <w:color w:val="000000"/>
          <w:lang w:eastAsia="en-AU"/>
        </w:rPr>
        <w:t>Authority</w:t>
      </w:r>
    </w:p>
    <w:p w14:paraId="05250BE8" w14:textId="6071316E" w:rsidR="008E696B" w:rsidRDefault="00D17E11" w:rsidP="00B13EE7">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Cs/>
          <w:color w:val="000000"/>
          <w:lang w:eastAsia="en-AU"/>
        </w:rPr>
        <w:t>The Australian Communications and Media Authority (</w:t>
      </w:r>
      <w:r w:rsidRPr="00A51826">
        <w:rPr>
          <w:rFonts w:ascii="Times New Roman" w:eastAsia="Times New Roman" w:hAnsi="Times New Roman" w:cs="Times New Roman"/>
          <w:b/>
          <w:color w:val="000000"/>
          <w:lang w:eastAsia="en-AU"/>
        </w:rPr>
        <w:t>the ACMA</w:t>
      </w:r>
      <w:r w:rsidRPr="00A51826">
        <w:rPr>
          <w:rFonts w:ascii="Times New Roman" w:eastAsia="Times New Roman" w:hAnsi="Times New Roman" w:cs="Times New Roman"/>
          <w:bCs/>
          <w:color w:val="000000"/>
          <w:lang w:eastAsia="en-AU"/>
        </w:rPr>
        <w:t xml:space="preserve">) has made the </w:t>
      </w:r>
      <w:r w:rsidRPr="00A51826">
        <w:rPr>
          <w:rFonts w:ascii="Times New Roman" w:eastAsia="Times New Roman" w:hAnsi="Times New Roman" w:cs="Times New Roman"/>
          <w:bCs/>
          <w:i/>
          <w:iCs/>
          <w:color w:val="000000"/>
          <w:lang w:eastAsia="en-AU"/>
        </w:rPr>
        <w:t xml:space="preserve">Telecommunications (Infringement Notices) Guidelines 2022 </w:t>
      </w:r>
      <w:r w:rsidRPr="00A51826">
        <w:rPr>
          <w:rFonts w:ascii="Times New Roman" w:eastAsia="Times New Roman" w:hAnsi="Times New Roman" w:cs="Times New Roman"/>
          <w:bCs/>
          <w:color w:val="000000"/>
          <w:lang w:eastAsia="en-AU"/>
        </w:rPr>
        <w:t>(</w:t>
      </w:r>
      <w:r w:rsidRPr="00A51826">
        <w:rPr>
          <w:rFonts w:ascii="Times New Roman" w:eastAsia="Times New Roman" w:hAnsi="Times New Roman" w:cs="Times New Roman"/>
          <w:b/>
          <w:color w:val="000000"/>
          <w:lang w:eastAsia="en-AU"/>
        </w:rPr>
        <w:t xml:space="preserve">the </w:t>
      </w:r>
      <w:r w:rsidR="00001350" w:rsidRPr="00A51826">
        <w:rPr>
          <w:rFonts w:ascii="Times New Roman" w:eastAsia="Times New Roman" w:hAnsi="Times New Roman" w:cs="Times New Roman"/>
          <w:b/>
          <w:color w:val="000000"/>
          <w:lang w:eastAsia="en-AU"/>
        </w:rPr>
        <w:t>Guidelines</w:t>
      </w:r>
      <w:r w:rsidR="00001350" w:rsidRPr="00A51826">
        <w:rPr>
          <w:rFonts w:ascii="Times New Roman" w:eastAsia="Times New Roman" w:hAnsi="Times New Roman" w:cs="Times New Roman"/>
          <w:bCs/>
          <w:color w:val="000000"/>
          <w:lang w:eastAsia="en-AU"/>
        </w:rPr>
        <w:t xml:space="preserve">) under </w:t>
      </w:r>
      <w:r w:rsidR="00790CD7" w:rsidRPr="00A51826">
        <w:rPr>
          <w:rFonts w:ascii="Times New Roman" w:eastAsia="Times New Roman" w:hAnsi="Times New Roman" w:cs="Times New Roman"/>
          <w:bCs/>
          <w:color w:val="000000"/>
          <w:lang w:eastAsia="en-AU"/>
        </w:rPr>
        <w:t>subsection</w:t>
      </w:r>
      <w:r w:rsidR="005E1C3E">
        <w:rPr>
          <w:rFonts w:ascii="Times New Roman" w:eastAsia="Times New Roman" w:hAnsi="Times New Roman" w:cs="Times New Roman"/>
          <w:bCs/>
          <w:color w:val="000000"/>
          <w:lang w:eastAsia="en-AU"/>
        </w:rPr>
        <w:t> </w:t>
      </w:r>
      <w:r w:rsidR="00790CD7" w:rsidRPr="00A51826">
        <w:rPr>
          <w:rFonts w:ascii="Times New Roman" w:eastAsia="Times New Roman" w:hAnsi="Times New Roman" w:cs="Times New Roman"/>
          <w:bCs/>
          <w:color w:val="000000"/>
          <w:lang w:eastAsia="en-AU"/>
        </w:rPr>
        <w:t>572</w:t>
      </w:r>
      <w:proofErr w:type="gramStart"/>
      <w:r w:rsidR="00790CD7" w:rsidRPr="00A51826">
        <w:rPr>
          <w:rFonts w:ascii="Times New Roman" w:eastAsia="Times New Roman" w:hAnsi="Times New Roman" w:cs="Times New Roman"/>
          <w:bCs/>
          <w:color w:val="000000"/>
          <w:lang w:eastAsia="en-AU"/>
        </w:rPr>
        <w:t>M(</w:t>
      </w:r>
      <w:proofErr w:type="gramEnd"/>
      <w:r w:rsidR="00790CD7" w:rsidRPr="00A51826">
        <w:rPr>
          <w:rFonts w:ascii="Times New Roman" w:eastAsia="Times New Roman" w:hAnsi="Times New Roman" w:cs="Times New Roman"/>
          <w:bCs/>
          <w:color w:val="000000"/>
          <w:lang w:eastAsia="en-AU"/>
        </w:rPr>
        <w:t xml:space="preserve">2) of the </w:t>
      </w:r>
      <w:r w:rsidR="00790CD7" w:rsidRPr="00A51826">
        <w:rPr>
          <w:rFonts w:ascii="Times New Roman" w:eastAsia="Times New Roman" w:hAnsi="Times New Roman" w:cs="Times New Roman"/>
          <w:bCs/>
          <w:i/>
          <w:iCs/>
          <w:color w:val="000000"/>
          <w:lang w:eastAsia="en-AU"/>
        </w:rPr>
        <w:t xml:space="preserve">Telecommunications Act </w:t>
      </w:r>
      <w:r w:rsidR="00790CD7" w:rsidRPr="00A51826">
        <w:rPr>
          <w:rFonts w:ascii="Times New Roman" w:eastAsia="Times New Roman" w:hAnsi="Times New Roman" w:cs="Times New Roman"/>
          <w:bCs/>
          <w:color w:val="000000"/>
          <w:lang w:eastAsia="en-AU"/>
        </w:rPr>
        <w:t>(</w:t>
      </w:r>
      <w:r w:rsidR="00790CD7" w:rsidRPr="00A51826">
        <w:rPr>
          <w:rFonts w:ascii="Times New Roman" w:eastAsia="Times New Roman" w:hAnsi="Times New Roman" w:cs="Times New Roman"/>
          <w:b/>
          <w:color w:val="000000"/>
          <w:lang w:eastAsia="en-AU"/>
        </w:rPr>
        <w:t>the Telecommunications Act</w:t>
      </w:r>
      <w:r w:rsidR="00790CD7" w:rsidRPr="00A51826">
        <w:rPr>
          <w:rFonts w:ascii="Times New Roman" w:eastAsia="Times New Roman" w:hAnsi="Times New Roman" w:cs="Times New Roman"/>
          <w:bCs/>
          <w:color w:val="000000"/>
          <w:lang w:eastAsia="en-AU"/>
        </w:rPr>
        <w:t xml:space="preserve">). </w:t>
      </w:r>
    </w:p>
    <w:p w14:paraId="7182456A" w14:textId="350B373C" w:rsidR="001867E7" w:rsidRDefault="00A363FC" w:rsidP="00B13EE7">
      <w:pPr>
        <w:spacing w:before="100" w:beforeAutospacing="1" w:after="100" w:afterAutospacing="1" w:line="240" w:lineRule="auto"/>
        <w:rPr>
          <w:rFonts w:ascii="Times New Roman" w:eastAsia="Times New Roman" w:hAnsi="Times New Roman" w:cs="Times New Roman"/>
          <w:bCs/>
          <w:color w:val="000000"/>
          <w:lang w:eastAsia="en-AU"/>
        </w:rPr>
      </w:pPr>
      <w:r>
        <w:rPr>
          <w:rFonts w:ascii="Times New Roman" w:eastAsia="Times New Roman" w:hAnsi="Times New Roman" w:cs="Times New Roman"/>
          <w:bCs/>
          <w:color w:val="000000"/>
          <w:lang w:eastAsia="en-AU"/>
        </w:rPr>
        <w:t>S</w:t>
      </w:r>
      <w:r w:rsidR="00BE3D86">
        <w:rPr>
          <w:rFonts w:ascii="Times New Roman" w:eastAsia="Times New Roman" w:hAnsi="Times New Roman" w:cs="Times New Roman"/>
          <w:bCs/>
          <w:color w:val="000000"/>
          <w:lang w:eastAsia="en-AU"/>
        </w:rPr>
        <w:t>ubsection 572</w:t>
      </w:r>
      <w:proofErr w:type="gramStart"/>
      <w:r w:rsidR="00BE3D86">
        <w:rPr>
          <w:rFonts w:ascii="Times New Roman" w:eastAsia="Times New Roman" w:hAnsi="Times New Roman" w:cs="Times New Roman"/>
          <w:bCs/>
          <w:color w:val="000000"/>
          <w:lang w:eastAsia="en-AU"/>
        </w:rPr>
        <w:t>M(</w:t>
      </w:r>
      <w:proofErr w:type="gramEnd"/>
      <w:r w:rsidR="00BE3D86">
        <w:rPr>
          <w:rFonts w:ascii="Times New Roman" w:eastAsia="Times New Roman" w:hAnsi="Times New Roman" w:cs="Times New Roman"/>
          <w:bCs/>
          <w:color w:val="000000"/>
          <w:lang w:eastAsia="en-AU"/>
        </w:rPr>
        <w:t>1) of the Telecommunications Act</w:t>
      </w:r>
      <w:r>
        <w:rPr>
          <w:rFonts w:ascii="Times New Roman" w:eastAsia="Times New Roman" w:hAnsi="Times New Roman" w:cs="Times New Roman"/>
          <w:bCs/>
          <w:color w:val="000000"/>
          <w:lang w:eastAsia="en-AU"/>
        </w:rPr>
        <w:t xml:space="preserve"> provides that</w:t>
      </w:r>
      <w:r w:rsidR="00BE3D86">
        <w:rPr>
          <w:rFonts w:ascii="Times New Roman" w:eastAsia="Times New Roman" w:hAnsi="Times New Roman" w:cs="Times New Roman"/>
          <w:bCs/>
          <w:color w:val="000000"/>
          <w:lang w:eastAsia="en-AU"/>
        </w:rPr>
        <w:t xml:space="preserve"> an authorised infringement notice officer </w:t>
      </w:r>
      <w:r w:rsidR="00AA775F">
        <w:rPr>
          <w:rFonts w:ascii="Times New Roman" w:eastAsia="Times New Roman" w:hAnsi="Times New Roman" w:cs="Times New Roman"/>
          <w:bCs/>
          <w:color w:val="000000"/>
          <w:lang w:eastAsia="en-AU"/>
        </w:rPr>
        <w:t>must have regard to any relevant guidelines in force under subsection 572M(2) when exercising their power under Part 31B</w:t>
      </w:r>
      <w:r w:rsidR="00B9730E">
        <w:rPr>
          <w:rFonts w:ascii="Times New Roman" w:eastAsia="Times New Roman" w:hAnsi="Times New Roman" w:cs="Times New Roman"/>
          <w:bCs/>
          <w:color w:val="000000"/>
          <w:lang w:eastAsia="en-AU"/>
        </w:rPr>
        <w:t xml:space="preserve"> of that Act</w:t>
      </w:r>
      <w:r w:rsidR="00AA775F">
        <w:rPr>
          <w:rFonts w:ascii="Times New Roman" w:eastAsia="Times New Roman" w:hAnsi="Times New Roman" w:cs="Times New Roman"/>
          <w:bCs/>
          <w:color w:val="000000"/>
          <w:lang w:eastAsia="en-AU"/>
        </w:rPr>
        <w:t xml:space="preserve">. </w:t>
      </w:r>
      <w:r w:rsidR="001867E7">
        <w:rPr>
          <w:rFonts w:ascii="Times New Roman" w:eastAsia="Times New Roman" w:hAnsi="Times New Roman" w:cs="Times New Roman"/>
          <w:bCs/>
          <w:color w:val="000000"/>
          <w:lang w:eastAsia="en-AU"/>
        </w:rPr>
        <w:t>Subsection 572</w:t>
      </w:r>
      <w:proofErr w:type="gramStart"/>
      <w:r w:rsidR="001867E7">
        <w:rPr>
          <w:rFonts w:ascii="Times New Roman" w:eastAsia="Times New Roman" w:hAnsi="Times New Roman" w:cs="Times New Roman"/>
          <w:bCs/>
          <w:color w:val="000000"/>
          <w:lang w:eastAsia="en-AU"/>
        </w:rPr>
        <w:t>M(</w:t>
      </w:r>
      <w:proofErr w:type="gramEnd"/>
      <w:r w:rsidR="001867E7">
        <w:rPr>
          <w:rFonts w:ascii="Times New Roman" w:eastAsia="Times New Roman" w:hAnsi="Times New Roman" w:cs="Times New Roman"/>
          <w:bCs/>
          <w:color w:val="000000"/>
          <w:lang w:eastAsia="en-AU"/>
        </w:rPr>
        <w:t xml:space="preserve">2) provides that the ACMA may formulate guidelines for the purpose of </w:t>
      </w:r>
      <w:r w:rsidR="00AA775F">
        <w:rPr>
          <w:rFonts w:ascii="Times New Roman" w:eastAsia="Times New Roman" w:hAnsi="Times New Roman" w:cs="Times New Roman"/>
          <w:bCs/>
          <w:color w:val="000000"/>
          <w:lang w:eastAsia="en-AU"/>
        </w:rPr>
        <w:t>subsection 57</w:t>
      </w:r>
      <w:r w:rsidR="00962618">
        <w:rPr>
          <w:rFonts w:ascii="Times New Roman" w:eastAsia="Times New Roman" w:hAnsi="Times New Roman" w:cs="Times New Roman"/>
          <w:bCs/>
          <w:color w:val="000000"/>
          <w:lang w:eastAsia="en-AU"/>
        </w:rPr>
        <w:t xml:space="preserve">2M(1) and subsection 572M(3) provides that an authorised infringement notice officer must not give </w:t>
      </w:r>
      <w:r w:rsidR="00481B7E">
        <w:rPr>
          <w:rFonts w:ascii="Times New Roman" w:eastAsia="Times New Roman" w:hAnsi="Times New Roman" w:cs="Times New Roman"/>
          <w:bCs/>
          <w:color w:val="000000"/>
          <w:lang w:eastAsia="en-AU"/>
        </w:rPr>
        <w:t>a</w:t>
      </w:r>
      <w:r w:rsidR="00962618">
        <w:rPr>
          <w:rFonts w:ascii="Times New Roman" w:eastAsia="Times New Roman" w:hAnsi="Times New Roman" w:cs="Times New Roman"/>
          <w:bCs/>
          <w:color w:val="000000"/>
          <w:lang w:eastAsia="en-AU"/>
        </w:rPr>
        <w:t xml:space="preserve">n infringement notice unless guidelines are in force under subsection 572M(2). </w:t>
      </w:r>
    </w:p>
    <w:p w14:paraId="577717F6" w14:textId="43FD3307" w:rsidR="00C87C38" w:rsidRPr="00A51826" w:rsidRDefault="00C87C38" w:rsidP="00B13EE7">
      <w:pPr>
        <w:spacing w:before="100" w:beforeAutospacing="1" w:after="100" w:afterAutospacing="1" w:line="240" w:lineRule="auto"/>
        <w:rPr>
          <w:rFonts w:ascii="Times New Roman" w:eastAsia="Times New Roman" w:hAnsi="Times New Roman" w:cs="Times New Roman"/>
          <w:bCs/>
          <w:color w:val="000000"/>
          <w:lang w:eastAsia="en-AU"/>
        </w:rPr>
      </w:pPr>
      <w:r>
        <w:rPr>
          <w:rFonts w:ascii="Times New Roman" w:eastAsia="Times New Roman" w:hAnsi="Times New Roman" w:cs="Times New Roman"/>
          <w:bCs/>
          <w:color w:val="000000"/>
          <w:lang w:eastAsia="en-AU"/>
        </w:rPr>
        <w:t xml:space="preserve">The Guidelines </w:t>
      </w:r>
      <w:r w:rsidR="00E41EEC">
        <w:rPr>
          <w:rFonts w:ascii="Times New Roman" w:eastAsia="Times New Roman" w:hAnsi="Times New Roman" w:cs="Times New Roman"/>
          <w:bCs/>
          <w:color w:val="000000"/>
          <w:lang w:eastAsia="en-AU"/>
        </w:rPr>
        <w:t xml:space="preserve">replace the </w:t>
      </w:r>
      <w:r w:rsidR="00E41EEC">
        <w:rPr>
          <w:rFonts w:ascii="Times New Roman" w:eastAsia="Times New Roman" w:hAnsi="Times New Roman" w:cs="Times New Roman"/>
          <w:bCs/>
          <w:i/>
          <w:iCs/>
          <w:color w:val="000000"/>
          <w:lang w:eastAsia="en-AU"/>
        </w:rPr>
        <w:t>Telecommunications (Infringement Notices) Guidelines 2011</w:t>
      </w:r>
      <w:r w:rsidR="006C0913">
        <w:rPr>
          <w:rFonts w:ascii="Times New Roman" w:eastAsia="Times New Roman" w:hAnsi="Times New Roman" w:cs="Times New Roman"/>
          <w:bCs/>
          <w:color w:val="000000"/>
          <w:lang w:eastAsia="en-AU"/>
        </w:rPr>
        <w:t xml:space="preserve"> (</w:t>
      </w:r>
      <w:r w:rsidR="006C0913" w:rsidRPr="00A51826">
        <w:rPr>
          <w:rFonts w:ascii="Times New Roman" w:eastAsia="Times New Roman" w:hAnsi="Times New Roman" w:cs="Times New Roman"/>
          <w:b/>
          <w:color w:val="000000"/>
          <w:lang w:eastAsia="en-AU"/>
        </w:rPr>
        <w:t xml:space="preserve">the previous </w:t>
      </w:r>
      <w:r w:rsidR="006C0913">
        <w:rPr>
          <w:rFonts w:ascii="Times New Roman" w:eastAsia="Times New Roman" w:hAnsi="Times New Roman" w:cs="Times New Roman"/>
          <w:b/>
          <w:color w:val="000000"/>
          <w:lang w:eastAsia="en-AU"/>
        </w:rPr>
        <w:t>G</w:t>
      </w:r>
      <w:r w:rsidR="006C0913" w:rsidRPr="00A51826">
        <w:rPr>
          <w:rFonts w:ascii="Times New Roman" w:eastAsia="Times New Roman" w:hAnsi="Times New Roman" w:cs="Times New Roman"/>
          <w:b/>
          <w:color w:val="000000"/>
          <w:lang w:eastAsia="en-AU"/>
        </w:rPr>
        <w:t>uidelines</w:t>
      </w:r>
      <w:r w:rsidR="006C0913">
        <w:rPr>
          <w:rFonts w:ascii="Times New Roman" w:eastAsia="Times New Roman" w:hAnsi="Times New Roman" w:cs="Times New Roman"/>
          <w:bCs/>
          <w:color w:val="000000"/>
          <w:lang w:eastAsia="en-AU"/>
        </w:rPr>
        <w:t>).</w:t>
      </w:r>
    </w:p>
    <w:p w14:paraId="3B8E2976" w14:textId="53D48FCA" w:rsidR="00E468A6" w:rsidRPr="00A51826" w:rsidRDefault="00050D38" w:rsidP="00B17B50">
      <w:pPr>
        <w:spacing w:before="100" w:beforeAutospacing="1" w:after="100" w:afterAutospacing="1" w:line="240" w:lineRule="auto"/>
        <w:rPr>
          <w:rFonts w:ascii="Times New Roman" w:eastAsia="Times New Roman" w:hAnsi="Times New Roman" w:cs="Times New Roman"/>
          <w:b/>
          <w:color w:val="000000"/>
          <w:lang w:eastAsia="en-AU"/>
        </w:rPr>
      </w:pPr>
      <w:r w:rsidRPr="00050D38">
        <w:rPr>
          <w:rFonts w:ascii="Times New Roman" w:eastAsia="Times New Roman" w:hAnsi="Times New Roman" w:cs="Times New Roman"/>
          <w:b/>
          <w:color w:val="000000"/>
          <w:lang w:eastAsia="en-AU"/>
        </w:rPr>
        <w:t>Purpose and operation of the instrument</w:t>
      </w:r>
      <w:r w:rsidRPr="00050D38" w:rsidDel="00050D38">
        <w:rPr>
          <w:rFonts w:ascii="Times New Roman" w:eastAsia="Times New Roman" w:hAnsi="Times New Roman" w:cs="Times New Roman"/>
          <w:b/>
          <w:color w:val="000000"/>
          <w:lang w:eastAsia="en-AU"/>
        </w:rPr>
        <w:t xml:space="preserve"> </w:t>
      </w:r>
    </w:p>
    <w:p w14:paraId="5CBF427C" w14:textId="702E4802" w:rsidR="00705C6A" w:rsidRDefault="00705C6A" w:rsidP="00B13EE7">
      <w:pPr>
        <w:spacing w:before="100" w:beforeAutospacing="1" w:after="100" w:afterAutospacing="1" w:line="240" w:lineRule="auto"/>
        <w:rPr>
          <w:rFonts w:ascii="Times New Roman" w:hAnsi="Times New Roman" w:cs="Times New Roman"/>
        </w:rPr>
      </w:pPr>
      <w:r w:rsidRPr="00A51826">
        <w:rPr>
          <w:rFonts w:ascii="Times New Roman" w:hAnsi="Times New Roman" w:cs="Times New Roman"/>
        </w:rPr>
        <w:t xml:space="preserve">Part 31B of the </w:t>
      </w:r>
      <w:r w:rsidR="00EF041A" w:rsidRPr="00A51826">
        <w:rPr>
          <w:rFonts w:ascii="Times New Roman" w:hAnsi="Times New Roman" w:cs="Times New Roman"/>
          <w:bCs/>
        </w:rPr>
        <w:t>Tel</w:t>
      </w:r>
      <w:r w:rsidR="00B52889" w:rsidRPr="00A51826">
        <w:rPr>
          <w:rFonts w:ascii="Times New Roman" w:hAnsi="Times New Roman" w:cs="Times New Roman"/>
          <w:bCs/>
        </w:rPr>
        <w:t>ecommunications</w:t>
      </w:r>
      <w:r w:rsidR="00EF041A" w:rsidRPr="00A51826">
        <w:rPr>
          <w:rFonts w:ascii="Times New Roman" w:hAnsi="Times New Roman" w:cs="Times New Roman"/>
          <w:bCs/>
        </w:rPr>
        <w:t xml:space="preserve"> </w:t>
      </w:r>
      <w:r w:rsidRPr="00A51826">
        <w:rPr>
          <w:rFonts w:ascii="Times New Roman" w:hAnsi="Times New Roman" w:cs="Times New Roman"/>
          <w:bCs/>
        </w:rPr>
        <w:t>Act</w:t>
      </w:r>
      <w:r w:rsidRPr="00A51826">
        <w:rPr>
          <w:rFonts w:ascii="Times New Roman" w:hAnsi="Times New Roman" w:cs="Times New Roman"/>
        </w:rPr>
        <w:t xml:space="preserve"> </w:t>
      </w:r>
      <w:r w:rsidR="00AD6A89" w:rsidRPr="00A51826">
        <w:rPr>
          <w:rFonts w:ascii="Times New Roman" w:hAnsi="Times New Roman" w:cs="Times New Roman"/>
        </w:rPr>
        <w:t>establishes</w:t>
      </w:r>
      <w:r w:rsidR="00EF041A" w:rsidRPr="00A51826">
        <w:rPr>
          <w:rFonts w:ascii="Times New Roman" w:hAnsi="Times New Roman" w:cs="Times New Roman"/>
        </w:rPr>
        <w:t xml:space="preserve"> a scheme under which authorised officers of the </w:t>
      </w:r>
      <w:r w:rsidR="00EF041A" w:rsidRPr="00A51826">
        <w:rPr>
          <w:rFonts w:ascii="Times New Roman" w:hAnsi="Times New Roman" w:cs="Times New Roman"/>
          <w:bCs/>
        </w:rPr>
        <w:t>ACMA</w:t>
      </w:r>
      <w:r w:rsidR="00EF041A" w:rsidRPr="00A51826">
        <w:rPr>
          <w:rFonts w:ascii="Times New Roman" w:hAnsi="Times New Roman" w:cs="Times New Roman"/>
        </w:rPr>
        <w:t xml:space="preserve"> may issue infringement notices for contraventions of civil penalty provisions </w:t>
      </w:r>
      <w:r w:rsidR="00E43988" w:rsidRPr="00A51826">
        <w:rPr>
          <w:rFonts w:ascii="Times New Roman" w:hAnsi="Times New Roman" w:cs="Times New Roman"/>
        </w:rPr>
        <w:t>under</w:t>
      </w:r>
      <w:r w:rsidR="00AD6A89" w:rsidRPr="00A51826">
        <w:rPr>
          <w:rFonts w:ascii="Times New Roman" w:hAnsi="Times New Roman" w:cs="Times New Roman"/>
        </w:rPr>
        <w:t xml:space="preserve"> </w:t>
      </w:r>
      <w:r w:rsidR="00EF041A" w:rsidRPr="00A51826">
        <w:rPr>
          <w:rFonts w:ascii="Times New Roman" w:hAnsi="Times New Roman" w:cs="Times New Roman"/>
        </w:rPr>
        <w:t>the Tel</w:t>
      </w:r>
      <w:r w:rsidR="00B52889" w:rsidRPr="00A51826">
        <w:rPr>
          <w:rFonts w:ascii="Times New Roman" w:hAnsi="Times New Roman" w:cs="Times New Roman"/>
        </w:rPr>
        <w:t>ecommunications</w:t>
      </w:r>
      <w:r w:rsidR="00EF041A" w:rsidRPr="00A51826">
        <w:rPr>
          <w:rFonts w:ascii="Times New Roman" w:hAnsi="Times New Roman" w:cs="Times New Roman"/>
        </w:rPr>
        <w:t xml:space="preserve"> Act, </w:t>
      </w:r>
      <w:r w:rsidR="00801CFA" w:rsidRPr="00A51826">
        <w:rPr>
          <w:rFonts w:ascii="Times New Roman" w:hAnsi="Times New Roman" w:cs="Times New Roman"/>
          <w:i/>
        </w:rPr>
        <w:t>Telecommunications (Consumer Protection and Service Standards) Act 1999</w:t>
      </w:r>
      <w:r w:rsidR="00EF041A" w:rsidRPr="00A51826">
        <w:rPr>
          <w:rFonts w:ascii="Times New Roman" w:hAnsi="Times New Roman" w:cs="Times New Roman"/>
        </w:rPr>
        <w:t xml:space="preserve"> (</w:t>
      </w:r>
      <w:r w:rsidR="00EF041A" w:rsidRPr="00A51826">
        <w:rPr>
          <w:rFonts w:ascii="Times New Roman" w:hAnsi="Times New Roman" w:cs="Times New Roman"/>
          <w:b/>
        </w:rPr>
        <w:t>the</w:t>
      </w:r>
      <w:r w:rsidR="00EF041A" w:rsidRPr="00A51826">
        <w:rPr>
          <w:rFonts w:ascii="Times New Roman" w:hAnsi="Times New Roman" w:cs="Times New Roman"/>
        </w:rPr>
        <w:t xml:space="preserve"> </w:t>
      </w:r>
      <w:r w:rsidR="00EF041A" w:rsidRPr="00A51826">
        <w:rPr>
          <w:rFonts w:ascii="Times New Roman" w:hAnsi="Times New Roman" w:cs="Times New Roman"/>
          <w:b/>
        </w:rPr>
        <w:t>TCPSS Act</w:t>
      </w:r>
      <w:r w:rsidR="00EF041A" w:rsidRPr="00A51826">
        <w:rPr>
          <w:rFonts w:ascii="Times New Roman" w:hAnsi="Times New Roman" w:cs="Times New Roman"/>
        </w:rPr>
        <w:t xml:space="preserve">) and </w:t>
      </w:r>
      <w:r w:rsidR="005875F7">
        <w:rPr>
          <w:rFonts w:ascii="Times New Roman" w:hAnsi="Times New Roman" w:cs="Times New Roman"/>
        </w:rPr>
        <w:t xml:space="preserve">Chapter 5 of </w:t>
      </w:r>
      <w:r w:rsidR="00EF041A" w:rsidRPr="00A51826">
        <w:rPr>
          <w:rFonts w:ascii="Times New Roman" w:hAnsi="Times New Roman" w:cs="Times New Roman"/>
        </w:rPr>
        <w:t xml:space="preserve">the </w:t>
      </w:r>
      <w:r w:rsidR="001D0B82" w:rsidRPr="00A51826">
        <w:rPr>
          <w:rFonts w:ascii="Times New Roman" w:hAnsi="Times New Roman" w:cs="Times New Roman"/>
          <w:i/>
        </w:rPr>
        <w:t xml:space="preserve">Telecommunications (Interception and Access) Act 1979 </w:t>
      </w:r>
      <w:r w:rsidR="00AD6A89" w:rsidRPr="00A51826">
        <w:rPr>
          <w:rFonts w:ascii="Times New Roman" w:hAnsi="Times New Roman" w:cs="Times New Roman"/>
        </w:rPr>
        <w:t>(</w:t>
      </w:r>
      <w:r w:rsidR="00AD6A89" w:rsidRPr="00A51826">
        <w:rPr>
          <w:rFonts w:ascii="Times New Roman" w:hAnsi="Times New Roman" w:cs="Times New Roman"/>
          <w:b/>
        </w:rPr>
        <w:t>the</w:t>
      </w:r>
      <w:r w:rsidR="00AD6A89" w:rsidRPr="00A51826">
        <w:rPr>
          <w:rFonts w:ascii="Times New Roman" w:hAnsi="Times New Roman" w:cs="Times New Roman"/>
        </w:rPr>
        <w:t xml:space="preserve"> </w:t>
      </w:r>
      <w:r w:rsidR="00E554F4" w:rsidRPr="00A51826">
        <w:rPr>
          <w:rFonts w:ascii="Times New Roman" w:hAnsi="Times New Roman" w:cs="Times New Roman"/>
          <w:b/>
        </w:rPr>
        <w:t>TIA</w:t>
      </w:r>
      <w:r w:rsidR="009271C6" w:rsidRPr="00A51826">
        <w:rPr>
          <w:rFonts w:ascii="Times New Roman" w:hAnsi="Times New Roman" w:cs="Times New Roman"/>
          <w:b/>
        </w:rPr>
        <w:t xml:space="preserve"> Act</w:t>
      </w:r>
      <w:r w:rsidR="00AD6A89" w:rsidRPr="00A51826">
        <w:rPr>
          <w:rFonts w:ascii="Times New Roman" w:hAnsi="Times New Roman" w:cs="Times New Roman"/>
        </w:rPr>
        <w:t>)</w:t>
      </w:r>
      <w:r w:rsidR="00053098" w:rsidRPr="00A51826">
        <w:rPr>
          <w:rFonts w:ascii="Times New Roman" w:hAnsi="Times New Roman" w:cs="Times New Roman"/>
        </w:rPr>
        <w:t>.</w:t>
      </w:r>
      <w:r w:rsidRPr="00A51826">
        <w:rPr>
          <w:rFonts w:ascii="Times New Roman" w:hAnsi="Times New Roman" w:cs="Times New Roman"/>
        </w:rPr>
        <w:t xml:space="preserve"> </w:t>
      </w:r>
    </w:p>
    <w:p w14:paraId="1C7A9FD6" w14:textId="77777777" w:rsidR="00254772" w:rsidRPr="00254772" w:rsidRDefault="00254772" w:rsidP="00B13EE7">
      <w:pPr>
        <w:spacing w:before="100" w:beforeAutospacing="1" w:after="100" w:afterAutospacing="1" w:line="240" w:lineRule="auto"/>
        <w:rPr>
          <w:rFonts w:ascii="Times New Roman" w:hAnsi="Times New Roman" w:cs="Times New Roman"/>
        </w:rPr>
      </w:pPr>
      <w:r w:rsidRPr="00254772">
        <w:rPr>
          <w:rFonts w:ascii="Times New Roman" w:hAnsi="Times New Roman" w:cs="Times New Roman"/>
        </w:rPr>
        <w:t xml:space="preserve">The infringement notice scheme is intended to provide a more efficient means of dealing with contraventions of certain civil penalty provisions as an alternative to instituting civil penalty proceedings. </w:t>
      </w:r>
    </w:p>
    <w:p w14:paraId="5DA5F51A" w14:textId="093B2E21" w:rsidR="000B17C8" w:rsidRPr="000B17C8" w:rsidRDefault="000B17C8" w:rsidP="00B13EE7">
      <w:pPr>
        <w:spacing w:before="100" w:beforeAutospacing="1" w:after="100" w:afterAutospacing="1" w:line="240" w:lineRule="auto"/>
        <w:rPr>
          <w:rFonts w:ascii="Times New Roman" w:hAnsi="Times New Roman" w:cs="Times New Roman"/>
        </w:rPr>
      </w:pPr>
      <w:r w:rsidRPr="000B17C8">
        <w:rPr>
          <w:rFonts w:ascii="Times New Roman" w:hAnsi="Times New Roman" w:cs="Times New Roman"/>
        </w:rPr>
        <w:t>Subsection 572</w:t>
      </w:r>
      <w:proofErr w:type="gramStart"/>
      <w:r w:rsidRPr="000B17C8">
        <w:rPr>
          <w:rFonts w:ascii="Times New Roman" w:hAnsi="Times New Roman" w:cs="Times New Roman"/>
        </w:rPr>
        <w:t>E(</w:t>
      </w:r>
      <w:proofErr w:type="gramEnd"/>
      <w:r w:rsidRPr="000B17C8">
        <w:rPr>
          <w:rFonts w:ascii="Times New Roman" w:hAnsi="Times New Roman" w:cs="Times New Roman"/>
        </w:rPr>
        <w:t>1) of the Telecommunications Act provides that an authorised infringement notice officer of the ACMA is empowered to give a person an infringement notice for a breach of a specified civil penalty provision if the officer has reasonable grounds to believe that the person has contravened the civil penalty provision. A ‘civil penalty provision’ is a provision of the Telecommunications Act, TCPSS Act or TIA Act that is declared by the Telecommunications Act, TCPSS Act or TIA Act to be a civil penalty provision.</w:t>
      </w:r>
      <w:r w:rsidRPr="000B17C8">
        <w:rPr>
          <w:rFonts w:ascii="Times New Roman" w:hAnsi="Times New Roman" w:cs="Times New Roman"/>
          <w:vertAlign w:val="superscript"/>
        </w:rPr>
        <w:footnoteReference w:id="1"/>
      </w:r>
      <w:r w:rsidRPr="000B17C8">
        <w:rPr>
          <w:rFonts w:ascii="Times New Roman" w:hAnsi="Times New Roman" w:cs="Times New Roman"/>
        </w:rPr>
        <w:t xml:space="preserve"> In the case of breaches of sections 68 and 101 of the Telecommunications Act, an infringement notice may only be given in relation to contraventions of provisions which have been listed by the ACMA</w:t>
      </w:r>
      <w:r w:rsidR="00652A83">
        <w:rPr>
          <w:rFonts w:ascii="Times New Roman" w:hAnsi="Times New Roman" w:cs="Times New Roman"/>
        </w:rPr>
        <w:t xml:space="preserve"> in a legislative instrument</w:t>
      </w:r>
      <w:r w:rsidRPr="000B17C8">
        <w:rPr>
          <w:rFonts w:ascii="Times New Roman" w:hAnsi="Times New Roman" w:cs="Times New Roman"/>
        </w:rPr>
        <w:t>.</w:t>
      </w:r>
    </w:p>
    <w:p w14:paraId="509B8B9B" w14:textId="736AB2D6" w:rsidR="0004602F" w:rsidRPr="0004602F" w:rsidRDefault="0004602F" w:rsidP="00B13EE7">
      <w:pPr>
        <w:spacing w:before="100" w:beforeAutospacing="1" w:after="100" w:afterAutospacing="1" w:line="240" w:lineRule="auto"/>
        <w:rPr>
          <w:rFonts w:ascii="Times New Roman" w:hAnsi="Times New Roman" w:cs="Times New Roman"/>
        </w:rPr>
      </w:pPr>
      <w:r w:rsidRPr="0004602F">
        <w:rPr>
          <w:rFonts w:ascii="Times New Roman" w:hAnsi="Times New Roman" w:cs="Times New Roman"/>
        </w:rPr>
        <w:t xml:space="preserve">The </w:t>
      </w:r>
      <w:r w:rsidRPr="0004602F">
        <w:rPr>
          <w:rFonts w:ascii="Times New Roman" w:hAnsi="Times New Roman" w:cs="Times New Roman"/>
          <w:bCs/>
        </w:rPr>
        <w:t>Guidelines</w:t>
      </w:r>
      <w:r w:rsidRPr="0004602F">
        <w:rPr>
          <w:rFonts w:ascii="Times New Roman" w:hAnsi="Times New Roman" w:cs="Times New Roman"/>
        </w:rPr>
        <w:t xml:space="preserve"> have been formulated for the purposes of subsection 572</w:t>
      </w:r>
      <w:proofErr w:type="gramStart"/>
      <w:r w:rsidRPr="0004602F">
        <w:rPr>
          <w:rFonts w:ascii="Times New Roman" w:hAnsi="Times New Roman" w:cs="Times New Roman"/>
        </w:rPr>
        <w:t>M(</w:t>
      </w:r>
      <w:proofErr w:type="gramEnd"/>
      <w:r w:rsidRPr="0004602F">
        <w:rPr>
          <w:rFonts w:ascii="Times New Roman" w:hAnsi="Times New Roman" w:cs="Times New Roman"/>
        </w:rPr>
        <w:t>3) of the Telecommunications Act, which provides that an authorised infringement notice officer must not give an infringement notice to a person unless guidelines are in force under subsection 572M(2). This means that an authorised infringement notice officer cannot issue an infringement notice until the ACMA makes such guidelines.</w:t>
      </w:r>
    </w:p>
    <w:p w14:paraId="7A479CA9" w14:textId="77777777" w:rsidR="0004602F" w:rsidRPr="0004602F" w:rsidRDefault="0004602F" w:rsidP="00B13EE7">
      <w:pPr>
        <w:spacing w:before="100" w:beforeAutospacing="1" w:after="100" w:afterAutospacing="1" w:line="240" w:lineRule="auto"/>
        <w:rPr>
          <w:rFonts w:ascii="Times New Roman" w:hAnsi="Times New Roman" w:cs="Times New Roman"/>
        </w:rPr>
      </w:pPr>
      <w:r w:rsidRPr="0004602F">
        <w:rPr>
          <w:rFonts w:ascii="Times New Roman" w:hAnsi="Times New Roman" w:cs="Times New Roman"/>
        </w:rPr>
        <w:lastRenderedPageBreak/>
        <w:t>Further, subsection 572</w:t>
      </w:r>
      <w:proofErr w:type="gramStart"/>
      <w:r w:rsidRPr="0004602F">
        <w:rPr>
          <w:rFonts w:ascii="Times New Roman" w:hAnsi="Times New Roman" w:cs="Times New Roman"/>
        </w:rPr>
        <w:t>M(</w:t>
      </w:r>
      <w:proofErr w:type="gramEnd"/>
      <w:r w:rsidRPr="0004602F">
        <w:rPr>
          <w:rFonts w:ascii="Times New Roman" w:hAnsi="Times New Roman" w:cs="Times New Roman"/>
        </w:rPr>
        <w:t>1) provides that, in exercising a power conferred under Part 31B, an infringement notice officer must have regard to any relevant guidelines made by the ACMA.</w:t>
      </w:r>
    </w:p>
    <w:p w14:paraId="04A8D744" w14:textId="54FFF2AB" w:rsidR="00E72AAA" w:rsidRDefault="00E72AAA" w:rsidP="00B13EE7">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Cs/>
          <w:color w:val="000000"/>
          <w:lang w:eastAsia="en-AU"/>
        </w:rPr>
        <w:t xml:space="preserve">The purpose of </w:t>
      </w:r>
      <w:r w:rsidR="00D16DD4">
        <w:rPr>
          <w:rFonts w:ascii="Times New Roman" w:eastAsia="Times New Roman" w:hAnsi="Times New Roman" w:cs="Times New Roman"/>
          <w:bCs/>
          <w:color w:val="000000"/>
          <w:lang w:eastAsia="en-AU"/>
        </w:rPr>
        <w:t xml:space="preserve">the </w:t>
      </w:r>
      <w:r w:rsidR="0070415C">
        <w:rPr>
          <w:rFonts w:ascii="Times New Roman" w:eastAsia="Times New Roman" w:hAnsi="Times New Roman" w:cs="Times New Roman"/>
          <w:bCs/>
          <w:color w:val="000000"/>
          <w:lang w:eastAsia="en-AU"/>
        </w:rPr>
        <w:t>Guidelines</w:t>
      </w:r>
      <w:r w:rsidRPr="00A51826">
        <w:rPr>
          <w:rFonts w:ascii="Times New Roman" w:eastAsia="Times New Roman" w:hAnsi="Times New Roman" w:cs="Times New Roman"/>
          <w:bCs/>
          <w:color w:val="000000"/>
          <w:lang w:eastAsia="en-AU"/>
        </w:rPr>
        <w:t xml:space="preserve"> is to establish guidelines that an authorised infringement officer must have regard to when exercising a power conferred by Part 31B to issue an infringement notice. The </w:t>
      </w:r>
      <w:r w:rsidR="0070415C">
        <w:rPr>
          <w:rFonts w:ascii="Times New Roman" w:eastAsia="Times New Roman" w:hAnsi="Times New Roman" w:cs="Times New Roman"/>
          <w:bCs/>
          <w:color w:val="000000"/>
          <w:lang w:eastAsia="en-AU"/>
        </w:rPr>
        <w:t>Guidelines</w:t>
      </w:r>
      <w:r w:rsidRPr="00A51826">
        <w:rPr>
          <w:rFonts w:ascii="Times New Roman" w:eastAsia="Times New Roman" w:hAnsi="Times New Roman" w:cs="Times New Roman"/>
          <w:bCs/>
          <w:color w:val="000000"/>
          <w:lang w:eastAsia="en-AU"/>
        </w:rPr>
        <w:t xml:space="preserve"> will also assist the telecommunications industry and the broader community to understand how the ACMA will use its infringement notice powers. </w:t>
      </w:r>
    </w:p>
    <w:p w14:paraId="0B4219BB" w14:textId="30B36F7A" w:rsidR="00E72AAA" w:rsidRPr="00E72AAA" w:rsidRDefault="00E72AAA" w:rsidP="00B13EE7">
      <w:pPr>
        <w:spacing w:before="100" w:beforeAutospacing="1" w:after="100" w:afterAutospacing="1" w:line="240" w:lineRule="auto"/>
        <w:rPr>
          <w:rFonts w:ascii="Times New Roman" w:eastAsia="Times New Roman" w:hAnsi="Times New Roman" w:cs="Times New Roman"/>
          <w:bCs/>
          <w:color w:val="000000"/>
          <w:lang w:eastAsia="en-AU"/>
        </w:rPr>
      </w:pPr>
      <w:r w:rsidRPr="00E72AAA">
        <w:rPr>
          <w:rFonts w:ascii="Times New Roman" w:eastAsia="Times New Roman" w:hAnsi="Times New Roman" w:cs="Times New Roman"/>
          <w:bCs/>
          <w:color w:val="000000"/>
          <w:lang w:eastAsia="en-AU"/>
        </w:rPr>
        <w:t xml:space="preserve">The previous Guidelines were made to meet this obligation. The Guidelines are substantively </w:t>
      </w:r>
      <w:proofErr w:type="gramStart"/>
      <w:r w:rsidRPr="00E72AAA">
        <w:rPr>
          <w:rFonts w:ascii="Times New Roman" w:eastAsia="Times New Roman" w:hAnsi="Times New Roman" w:cs="Times New Roman"/>
          <w:bCs/>
          <w:color w:val="000000"/>
          <w:lang w:eastAsia="en-AU"/>
        </w:rPr>
        <w:t>similar</w:t>
      </w:r>
      <w:r w:rsidR="00A466EB">
        <w:rPr>
          <w:rFonts w:ascii="Times New Roman" w:eastAsia="Times New Roman" w:hAnsi="Times New Roman" w:cs="Times New Roman"/>
          <w:bCs/>
          <w:color w:val="000000"/>
          <w:lang w:eastAsia="en-AU"/>
        </w:rPr>
        <w:t xml:space="preserve"> </w:t>
      </w:r>
      <w:r w:rsidRPr="00E72AAA">
        <w:rPr>
          <w:rFonts w:ascii="Times New Roman" w:eastAsia="Times New Roman" w:hAnsi="Times New Roman" w:cs="Times New Roman"/>
          <w:bCs/>
          <w:color w:val="000000"/>
          <w:lang w:eastAsia="en-AU"/>
        </w:rPr>
        <w:t>to</w:t>
      </w:r>
      <w:proofErr w:type="gramEnd"/>
      <w:r w:rsidRPr="00E72AAA">
        <w:rPr>
          <w:rFonts w:ascii="Times New Roman" w:eastAsia="Times New Roman" w:hAnsi="Times New Roman" w:cs="Times New Roman"/>
          <w:bCs/>
          <w:color w:val="000000"/>
          <w:lang w:eastAsia="en-AU"/>
        </w:rPr>
        <w:t xml:space="preserve"> the previous Guidelines with some minor and technical amendments. </w:t>
      </w:r>
    </w:p>
    <w:p w14:paraId="5CBF4289" w14:textId="7D03FFEA" w:rsidR="003B3027" w:rsidRPr="00A51826" w:rsidRDefault="00952DEC" w:rsidP="00B13EE7">
      <w:pPr>
        <w:spacing w:before="100" w:beforeAutospacing="1" w:after="100" w:afterAutospacing="1" w:line="240" w:lineRule="auto"/>
        <w:rPr>
          <w:rFonts w:ascii="Times New Roman" w:hAnsi="Times New Roman" w:cs="Times New Roman"/>
        </w:rPr>
      </w:pPr>
      <w:r w:rsidRPr="00A51826">
        <w:rPr>
          <w:rFonts w:ascii="Times New Roman" w:hAnsi="Times New Roman" w:cs="Times New Roman"/>
        </w:rPr>
        <w:t xml:space="preserve">The </w:t>
      </w:r>
      <w:r w:rsidR="007C6E5B" w:rsidRPr="00A51826">
        <w:rPr>
          <w:rFonts w:ascii="Times New Roman" w:hAnsi="Times New Roman" w:cs="Times New Roman"/>
        </w:rPr>
        <w:t>Guidelines</w:t>
      </w:r>
      <w:r w:rsidR="003B3027" w:rsidRPr="00A51826">
        <w:rPr>
          <w:rFonts w:ascii="Times New Roman" w:hAnsi="Times New Roman" w:cs="Times New Roman"/>
        </w:rPr>
        <w:t xml:space="preserve"> highlight the discretionary factors which an authorised infringement notice officer would generally consider when exercising </w:t>
      </w:r>
      <w:r w:rsidR="00D91B95">
        <w:rPr>
          <w:rFonts w:ascii="Times New Roman" w:hAnsi="Times New Roman" w:cs="Times New Roman"/>
        </w:rPr>
        <w:t>their</w:t>
      </w:r>
      <w:r w:rsidR="003B3027" w:rsidRPr="00A51826">
        <w:rPr>
          <w:rFonts w:ascii="Times New Roman" w:hAnsi="Times New Roman" w:cs="Times New Roman"/>
        </w:rPr>
        <w:t xml:space="preserve"> power to issue an infringement notice. The Guidelines also set out other matters in relation to infringement notices</w:t>
      </w:r>
      <w:r w:rsidR="00063A7B" w:rsidRPr="00A51826">
        <w:rPr>
          <w:rFonts w:ascii="Times New Roman" w:hAnsi="Times New Roman" w:cs="Times New Roman"/>
        </w:rPr>
        <w:t>,</w:t>
      </w:r>
      <w:r w:rsidR="003B3027" w:rsidRPr="00A51826">
        <w:rPr>
          <w:rFonts w:ascii="Times New Roman" w:hAnsi="Times New Roman" w:cs="Times New Roman"/>
        </w:rPr>
        <w:t xml:space="preserve"> such as:</w:t>
      </w:r>
    </w:p>
    <w:p w14:paraId="5CBF428A" w14:textId="77777777" w:rsidR="003B3027" w:rsidRPr="00A51826" w:rsidRDefault="003B3027" w:rsidP="00B13EE7">
      <w:pPr>
        <w:pStyle w:val="ListParagraph"/>
        <w:numPr>
          <w:ilvl w:val="0"/>
          <w:numId w:val="19"/>
        </w:numPr>
        <w:spacing w:after="0" w:line="240" w:lineRule="auto"/>
        <w:ind w:left="357" w:hanging="357"/>
        <w:rPr>
          <w:rFonts w:ascii="Times New Roman" w:hAnsi="Times New Roman" w:cs="Times New Roman"/>
        </w:rPr>
      </w:pPr>
      <w:r w:rsidRPr="00A51826">
        <w:rPr>
          <w:rFonts w:ascii="Times New Roman" w:hAnsi="Times New Roman" w:cs="Times New Roman"/>
        </w:rPr>
        <w:t xml:space="preserve">the content of an infringement </w:t>
      </w:r>
      <w:proofErr w:type="gramStart"/>
      <w:r w:rsidRPr="00A51826">
        <w:rPr>
          <w:rFonts w:ascii="Times New Roman" w:hAnsi="Times New Roman" w:cs="Times New Roman"/>
        </w:rPr>
        <w:t>notice;</w:t>
      </w:r>
      <w:proofErr w:type="gramEnd"/>
    </w:p>
    <w:p w14:paraId="5CBF428B" w14:textId="77777777" w:rsidR="003B3027" w:rsidRPr="00A51826" w:rsidRDefault="00E75B51" w:rsidP="00B13EE7">
      <w:pPr>
        <w:pStyle w:val="ListParagraph"/>
        <w:numPr>
          <w:ilvl w:val="0"/>
          <w:numId w:val="19"/>
        </w:numPr>
        <w:spacing w:after="0" w:line="240" w:lineRule="auto"/>
        <w:ind w:left="357" w:hanging="357"/>
        <w:rPr>
          <w:rFonts w:ascii="Times New Roman" w:hAnsi="Times New Roman" w:cs="Times New Roman"/>
        </w:rPr>
      </w:pPr>
      <w:r w:rsidRPr="00A51826">
        <w:rPr>
          <w:rFonts w:ascii="Times New Roman" w:hAnsi="Times New Roman" w:cs="Times New Roman"/>
        </w:rPr>
        <w:t xml:space="preserve">requests for extension of time to pay the penalty specified in an infringement </w:t>
      </w:r>
      <w:proofErr w:type="gramStart"/>
      <w:r w:rsidRPr="00A51826">
        <w:rPr>
          <w:rFonts w:ascii="Times New Roman" w:hAnsi="Times New Roman" w:cs="Times New Roman"/>
        </w:rPr>
        <w:t>notice;</w:t>
      </w:r>
      <w:proofErr w:type="gramEnd"/>
    </w:p>
    <w:p w14:paraId="5CBF428C" w14:textId="77777777" w:rsidR="00E75B51" w:rsidRPr="00A51826" w:rsidRDefault="00E75B51" w:rsidP="00B13EE7">
      <w:pPr>
        <w:pStyle w:val="ListParagraph"/>
        <w:numPr>
          <w:ilvl w:val="0"/>
          <w:numId w:val="19"/>
        </w:numPr>
        <w:spacing w:after="0" w:line="240" w:lineRule="auto"/>
        <w:ind w:left="357" w:hanging="357"/>
        <w:rPr>
          <w:rFonts w:ascii="Times New Roman" w:hAnsi="Times New Roman" w:cs="Times New Roman"/>
        </w:rPr>
      </w:pPr>
      <w:r w:rsidRPr="00A51826">
        <w:rPr>
          <w:rFonts w:ascii="Times New Roman" w:hAnsi="Times New Roman" w:cs="Times New Roman"/>
        </w:rPr>
        <w:t>withdrawal of infringement notices; and</w:t>
      </w:r>
    </w:p>
    <w:p w14:paraId="5CBF428D" w14:textId="6CA3EFD2" w:rsidR="00E75B51" w:rsidRDefault="00E75B51" w:rsidP="00B13EE7">
      <w:pPr>
        <w:pStyle w:val="ListParagraph"/>
        <w:numPr>
          <w:ilvl w:val="0"/>
          <w:numId w:val="19"/>
        </w:numPr>
        <w:spacing w:after="0" w:line="240" w:lineRule="auto"/>
        <w:ind w:left="357" w:hanging="357"/>
        <w:rPr>
          <w:rFonts w:ascii="Times New Roman" w:hAnsi="Times New Roman" w:cs="Times New Roman"/>
        </w:rPr>
      </w:pPr>
      <w:r w:rsidRPr="00A51826">
        <w:rPr>
          <w:rFonts w:ascii="Times New Roman" w:hAnsi="Times New Roman" w:cs="Times New Roman"/>
        </w:rPr>
        <w:t>the ACMA’s approach to publication of infringement notices.</w:t>
      </w:r>
    </w:p>
    <w:p w14:paraId="68344B31" w14:textId="77777777" w:rsidR="00B13EE7" w:rsidRPr="00A51826" w:rsidRDefault="00B13EE7" w:rsidP="00B13EE7">
      <w:pPr>
        <w:pStyle w:val="ListParagraph"/>
        <w:spacing w:after="0" w:line="240" w:lineRule="auto"/>
        <w:ind w:left="357"/>
        <w:rPr>
          <w:rFonts w:ascii="Times New Roman" w:hAnsi="Times New Roman" w:cs="Times New Roman"/>
        </w:rPr>
      </w:pPr>
    </w:p>
    <w:p w14:paraId="4F414979" w14:textId="77777777" w:rsidR="00D041AF" w:rsidRPr="00A51826" w:rsidRDefault="00D041AF" w:rsidP="00D041AF">
      <w:pPr>
        <w:spacing w:after="80"/>
        <w:rPr>
          <w:rFonts w:ascii="Times New Roman" w:hAnsi="Times New Roman" w:cs="Times New Roman"/>
        </w:rPr>
      </w:pPr>
      <w:r w:rsidRPr="00A51826">
        <w:rPr>
          <w:rFonts w:ascii="Times New Roman" w:hAnsi="Times New Roman" w:cs="Times New Roman"/>
        </w:rPr>
        <w:t xml:space="preserve">A provision-by-provision description of the instrument is set out in the notes at </w:t>
      </w:r>
      <w:r w:rsidRPr="00A51826">
        <w:rPr>
          <w:rFonts w:ascii="Times New Roman" w:hAnsi="Times New Roman" w:cs="Times New Roman"/>
          <w:b/>
          <w:bCs/>
        </w:rPr>
        <w:t>Attachment A</w:t>
      </w:r>
      <w:r w:rsidRPr="00A51826">
        <w:rPr>
          <w:rFonts w:ascii="Times New Roman" w:hAnsi="Times New Roman" w:cs="Times New Roman"/>
        </w:rPr>
        <w:t>.</w:t>
      </w:r>
    </w:p>
    <w:p w14:paraId="4588B785" w14:textId="16AC7470" w:rsidR="006A1354" w:rsidRPr="00A51826" w:rsidRDefault="00D041AF" w:rsidP="00D041AF">
      <w:pPr>
        <w:spacing w:after="80"/>
        <w:rPr>
          <w:rFonts w:ascii="Times New Roman" w:hAnsi="Times New Roman" w:cs="Times New Roman"/>
        </w:rPr>
      </w:pPr>
      <w:r w:rsidRPr="00A51826">
        <w:rPr>
          <w:rFonts w:ascii="Times New Roman" w:hAnsi="Times New Roman" w:cs="Times New Roman"/>
        </w:rPr>
        <w:t xml:space="preserve">The instrument is a legislative instrument for the purposes of the </w:t>
      </w:r>
      <w:r w:rsidRPr="00A51826">
        <w:rPr>
          <w:rFonts w:ascii="Times New Roman" w:hAnsi="Times New Roman" w:cs="Times New Roman"/>
          <w:i/>
          <w:iCs/>
        </w:rPr>
        <w:t>Legislation Act 2003</w:t>
      </w:r>
      <w:r w:rsidRPr="00A51826">
        <w:rPr>
          <w:rFonts w:ascii="Times New Roman" w:hAnsi="Times New Roman" w:cs="Times New Roman"/>
        </w:rPr>
        <w:t xml:space="preserve"> (</w:t>
      </w:r>
      <w:r w:rsidRPr="00C71BEF">
        <w:rPr>
          <w:rFonts w:ascii="Times New Roman" w:hAnsi="Times New Roman" w:cs="Times New Roman"/>
          <w:b/>
          <w:bCs/>
        </w:rPr>
        <w:t>the LA</w:t>
      </w:r>
      <w:r w:rsidRPr="00A51826">
        <w:rPr>
          <w:rFonts w:ascii="Times New Roman" w:hAnsi="Times New Roman" w:cs="Times New Roman"/>
        </w:rPr>
        <w:t>).</w:t>
      </w:r>
    </w:p>
    <w:p w14:paraId="26A63252" w14:textId="79DBBC10" w:rsidR="006A1354" w:rsidRPr="009C1C47" w:rsidRDefault="006A1354" w:rsidP="006A1354">
      <w:pPr>
        <w:spacing w:after="80"/>
        <w:rPr>
          <w:rFonts w:ascii="Times New Roman" w:hAnsi="Times New Roman" w:cs="Times New Roman"/>
        </w:rPr>
      </w:pPr>
      <w:r w:rsidRPr="009C1C47">
        <w:rPr>
          <w:rFonts w:ascii="Times New Roman" w:hAnsi="Times New Roman" w:cs="Times New Roman"/>
          <w:b/>
          <w:bCs/>
        </w:rPr>
        <w:t>Documents incorporated by reference</w:t>
      </w:r>
    </w:p>
    <w:p w14:paraId="26D2410F" w14:textId="5ECFA0A7" w:rsidR="00F44FCA" w:rsidRPr="009C1C47" w:rsidRDefault="00F44FCA" w:rsidP="00E21D45">
      <w:pPr>
        <w:spacing w:before="100" w:beforeAutospacing="1" w:after="120" w:line="240" w:lineRule="auto"/>
        <w:rPr>
          <w:rFonts w:ascii="Times New Roman" w:hAnsi="Times New Roman" w:cs="Times New Roman"/>
        </w:rPr>
      </w:pPr>
      <w:r w:rsidRPr="009C1C47">
        <w:rPr>
          <w:rFonts w:ascii="Times New Roman" w:hAnsi="Times New Roman" w:cs="Times New Roman"/>
        </w:rPr>
        <w:t>The Guidelines incorporate by reference the following Acts:</w:t>
      </w:r>
    </w:p>
    <w:p w14:paraId="6B169578" w14:textId="24080ACE" w:rsidR="00F44FCA" w:rsidRPr="00AC3201" w:rsidRDefault="00F44FCA" w:rsidP="003B6170">
      <w:pPr>
        <w:pStyle w:val="ListParagraph"/>
        <w:numPr>
          <w:ilvl w:val="0"/>
          <w:numId w:val="23"/>
        </w:numPr>
        <w:spacing w:after="0" w:line="240" w:lineRule="auto"/>
        <w:rPr>
          <w:rFonts w:ascii="Times New Roman" w:hAnsi="Times New Roman" w:cs="Times New Roman"/>
        </w:rPr>
      </w:pPr>
      <w:r w:rsidRPr="00AC3201">
        <w:rPr>
          <w:rFonts w:ascii="Times New Roman" w:hAnsi="Times New Roman" w:cs="Times New Roman"/>
        </w:rPr>
        <w:t xml:space="preserve">the </w:t>
      </w:r>
      <w:r w:rsidR="00AB17F2" w:rsidRPr="00AC3201">
        <w:rPr>
          <w:rFonts w:ascii="Times New Roman" w:hAnsi="Times New Roman" w:cs="Times New Roman"/>
        </w:rPr>
        <w:t xml:space="preserve">Telecommunications </w:t>
      </w:r>
      <w:proofErr w:type="gramStart"/>
      <w:r w:rsidR="00AB17F2" w:rsidRPr="00AC3201">
        <w:rPr>
          <w:rFonts w:ascii="Times New Roman" w:hAnsi="Times New Roman" w:cs="Times New Roman"/>
        </w:rPr>
        <w:t>Act</w:t>
      </w:r>
      <w:r w:rsidRPr="00AC3201">
        <w:rPr>
          <w:rFonts w:ascii="Times New Roman" w:hAnsi="Times New Roman" w:cs="Times New Roman"/>
        </w:rPr>
        <w:t>;</w:t>
      </w:r>
      <w:proofErr w:type="gramEnd"/>
    </w:p>
    <w:p w14:paraId="5C70FF33" w14:textId="0613DC09" w:rsidR="00F44FCA" w:rsidRPr="003B6170" w:rsidRDefault="00F44FCA" w:rsidP="003B6170">
      <w:pPr>
        <w:pStyle w:val="ListParagraph"/>
        <w:numPr>
          <w:ilvl w:val="0"/>
          <w:numId w:val="23"/>
        </w:numPr>
        <w:spacing w:after="0" w:line="240" w:lineRule="auto"/>
        <w:rPr>
          <w:rFonts w:ascii="Times New Roman" w:hAnsi="Times New Roman" w:cs="Times New Roman"/>
        </w:rPr>
      </w:pPr>
      <w:r w:rsidRPr="003B6170">
        <w:rPr>
          <w:rFonts w:ascii="Times New Roman" w:hAnsi="Times New Roman" w:cs="Times New Roman"/>
        </w:rPr>
        <w:t>the </w:t>
      </w:r>
      <w:r w:rsidR="00AB17F2" w:rsidRPr="003B6170">
        <w:rPr>
          <w:rFonts w:ascii="Times New Roman" w:hAnsi="Times New Roman" w:cs="Times New Roman"/>
        </w:rPr>
        <w:t xml:space="preserve">TCPSS </w:t>
      </w:r>
      <w:proofErr w:type="gramStart"/>
      <w:r w:rsidR="00AB17F2" w:rsidRPr="003B6170">
        <w:rPr>
          <w:rFonts w:ascii="Times New Roman" w:hAnsi="Times New Roman" w:cs="Times New Roman"/>
        </w:rPr>
        <w:t>Act</w:t>
      </w:r>
      <w:r w:rsidRPr="003B6170">
        <w:rPr>
          <w:rFonts w:ascii="Times New Roman" w:hAnsi="Times New Roman" w:cs="Times New Roman"/>
        </w:rPr>
        <w:t>;</w:t>
      </w:r>
      <w:proofErr w:type="gramEnd"/>
    </w:p>
    <w:p w14:paraId="75FB22DD" w14:textId="38A13BDB" w:rsidR="00F44FCA" w:rsidRPr="003B6170" w:rsidRDefault="00F44FCA" w:rsidP="003B6170">
      <w:pPr>
        <w:pStyle w:val="ListParagraph"/>
        <w:numPr>
          <w:ilvl w:val="0"/>
          <w:numId w:val="23"/>
        </w:numPr>
        <w:spacing w:after="0" w:line="240" w:lineRule="auto"/>
        <w:rPr>
          <w:rFonts w:ascii="Times New Roman" w:hAnsi="Times New Roman" w:cs="Times New Roman"/>
        </w:rPr>
      </w:pPr>
      <w:r w:rsidRPr="003B6170">
        <w:rPr>
          <w:rFonts w:ascii="Times New Roman" w:hAnsi="Times New Roman" w:cs="Times New Roman"/>
        </w:rPr>
        <w:t>the </w:t>
      </w:r>
      <w:r w:rsidR="00AB17F2" w:rsidRPr="003B6170">
        <w:rPr>
          <w:rFonts w:ascii="Times New Roman" w:hAnsi="Times New Roman" w:cs="Times New Roman"/>
        </w:rPr>
        <w:t>TIA Act</w:t>
      </w:r>
      <w:r w:rsidRPr="003B6170">
        <w:rPr>
          <w:rFonts w:ascii="Times New Roman" w:hAnsi="Times New Roman" w:cs="Times New Roman"/>
        </w:rPr>
        <w:t>.</w:t>
      </w:r>
    </w:p>
    <w:p w14:paraId="3E75623C" w14:textId="5E53194F" w:rsidR="00F44FCA" w:rsidRPr="009C1C47" w:rsidRDefault="00F44FCA" w:rsidP="00B13EE7">
      <w:pPr>
        <w:spacing w:before="100" w:beforeAutospacing="1" w:after="100" w:afterAutospacing="1" w:line="240" w:lineRule="auto"/>
        <w:rPr>
          <w:rFonts w:ascii="Times New Roman" w:hAnsi="Times New Roman" w:cs="Times New Roman"/>
        </w:rPr>
      </w:pPr>
      <w:r w:rsidRPr="009C1C47">
        <w:rPr>
          <w:rFonts w:ascii="Times New Roman" w:hAnsi="Times New Roman" w:cs="Times New Roman"/>
        </w:rPr>
        <w:t xml:space="preserve">The </w:t>
      </w:r>
      <w:r w:rsidR="00AB17F2" w:rsidRPr="009C1C47">
        <w:rPr>
          <w:rFonts w:ascii="Times New Roman" w:hAnsi="Times New Roman" w:cs="Times New Roman"/>
        </w:rPr>
        <w:t>Guidelines</w:t>
      </w:r>
      <w:r w:rsidRPr="009C1C47">
        <w:rPr>
          <w:rFonts w:ascii="Times New Roman" w:hAnsi="Times New Roman" w:cs="Times New Roman"/>
        </w:rPr>
        <w:t xml:space="preserve"> incorporate those Acts as in force from time to time.</w:t>
      </w:r>
    </w:p>
    <w:p w14:paraId="38466BA4" w14:textId="77777777" w:rsidR="00F44FCA" w:rsidRPr="009C1C47" w:rsidRDefault="00F44FCA" w:rsidP="00B13EE7">
      <w:pPr>
        <w:spacing w:before="100" w:beforeAutospacing="1" w:after="100" w:afterAutospacing="1" w:line="240" w:lineRule="auto"/>
        <w:rPr>
          <w:rFonts w:ascii="Times New Roman" w:hAnsi="Times New Roman" w:cs="Times New Roman"/>
        </w:rPr>
      </w:pPr>
      <w:r w:rsidRPr="009C1C47">
        <w:rPr>
          <w:rFonts w:ascii="Times New Roman" w:hAnsi="Times New Roman" w:cs="Times New Roman"/>
        </w:rPr>
        <w:t>The Acts listed above can be accessed, free of charge, from the Federal Register of Legislation: </w:t>
      </w:r>
      <w:hyperlink r:id="rId8" w:history="1">
        <w:r w:rsidRPr="009C1C47">
          <w:rPr>
            <w:rStyle w:val="Hyperlink"/>
            <w:rFonts w:ascii="Times New Roman" w:hAnsi="Times New Roman" w:cs="Times New Roman"/>
          </w:rPr>
          <w:t>http://www.legislation.gov.au</w:t>
        </w:r>
      </w:hyperlink>
      <w:r w:rsidRPr="009C1C47">
        <w:rPr>
          <w:rFonts w:ascii="Times New Roman" w:hAnsi="Times New Roman" w:cs="Times New Roman"/>
          <w:u w:val="single"/>
        </w:rPr>
        <w:t>.</w:t>
      </w:r>
    </w:p>
    <w:p w14:paraId="5CBF428E" w14:textId="2FEC08B8" w:rsidR="00B17B50" w:rsidRPr="00A51826" w:rsidRDefault="00B17B50" w:rsidP="00B17B50">
      <w:pPr>
        <w:spacing w:before="100" w:beforeAutospacing="1" w:after="100" w:afterAutospacing="1" w:line="240" w:lineRule="auto"/>
        <w:rPr>
          <w:rFonts w:ascii="Times New Roman" w:eastAsia="Times New Roman" w:hAnsi="Times New Roman" w:cs="Times New Roman"/>
          <w:b/>
          <w:color w:val="000000"/>
          <w:lang w:eastAsia="en-AU"/>
        </w:rPr>
      </w:pPr>
      <w:r w:rsidRPr="00A51826">
        <w:rPr>
          <w:rFonts w:ascii="Times New Roman" w:eastAsia="Times New Roman" w:hAnsi="Times New Roman" w:cs="Times New Roman"/>
          <w:b/>
          <w:color w:val="000000"/>
          <w:lang w:eastAsia="en-AU"/>
        </w:rPr>
        <w:t xml:space="preserve">Consultation </w:t>
      </w:r>
    </w:p>
    <w:p w14:paraId="0BAD841A" w14:textId="5E5669C9" w:rsidR="006765AA" w:rsidRDefault="006765AA" w:rsidP="00B13EE7">
      <w:pPr>
        <w:spacing w:before="100" w:beforeAutospacing="1" w:after="100" w:afterAutospacing="1" w:line="240" w:lineRule="auto"/>
        <w:rPr>
          <w:rFonts w:ascii="Times New Roman" w:eastAsia="Times New Roman" w:hAnsi="Times New Roman" w:cs="Times New Roman"/>
          <w:color w:val="000000" w:themeColor="text1"/>
          <w:lang w:eastAsia="en-AU"/>
        </w:rPr>
      </w:pPr>
      <w:r w:rsidRPr="00A51826">
        <w:rPr>
          <w:rFonts w:ascii="Times New Roman" w:eastAsia="Times New Roman" w:hAnsi="Times New Roman" w:cs="Times New Roman"/>
          <w:color w:val="000000" w:themeColor="text1"/>
          <w:lang w:eastAsia="en-AU"/>
        </w:rPr>
        <w:t xml:space="preserve">Before the Guidelines were made, the ACMA was satisfied that consultation was undertaken to the extent appropriate and reasonably practicable, in accordance with section 17 of the LA.  </w:t>
      </w:r>
    </w:p>
    <w:p w14:paraId="6C08B196" w14:textId="55C7DD8F" w:rsidR="00B00DBB" w:rsidRDefault="00782800" w:rsidP="00B13EE7">
      <w:pPr>
        <w:spacing w:before="100" w:beforeAutospacing="1" w:after="100" w:afterAutospacing="1" w:line="240" w:lineRule="auto"/>
        <w:rPr>
          <w:rFonts w:ascii="Times New Roman" w:eastAsia="Times New Roman" w:hAnsi="Times New Roman" w:cs="Times New Roman"/>
          <w:color w:val="000000" w:themeColor="text1"/>
          <w:lang w:eastAsia="en-AU"/>
        </w:rPr>
        <w:sectPr w:rsidR="00B00DBB" w:rsidSect="00892A05">
          <w:footerReference w:type="default" r:id="rId9"/>
          <w:pgSz w:w="11906" w:h="16838"/>
          <w:pgMar w:top="1440" w:right="1440" w:bottom="1440" w:left="1440" w:header="708" w:footer="708" w:gutter="0"/>
          <w:pgNumType w:start="1"/>
          <w:cols w:space="708"/>
          <w:docGrid w:linePitch="360"/>
        </w:sectPr>
      </w:pPr>
      <w:r w:rsidRPr="00381205">
        <w:rPr>
          <w:rFonts w:ascii="Times New Roman" w:eastAsia="Times New Roman" w:hAnsi="Times New Roman" w:cs="Times New Roman"/>
          <w:color w:val="000000" w:themeColor="text1"/>
          <w:lang w:eastAsia="en-AU"/>
        </w:rPr>
        <w:t xml:space="preserve">On 24 November 2021, the ACMA placed a copy of the draft Guidelines, together with an </w:t>
      </w:r>
      <w:r w:rsidRPr="00C90559">
        <w:rPr>
          <w:rFonts w:ascii="Times New Roman" w:eastAsia="Times New Roman" w:hAnsi="Times New Roman" w:cs="Times New Roman"/>
          <w:color w:val="000000" w:themeColor="text1"/>
          <w:lang w:eastAsia="en-AU"/>
        </w:rPr>
        <w:t xml:space="preserve">accompanying consultation paper, on the ACMA's website for public comment by 24 December 2021. The ACMA received </w:t>
      </w:r>
      <w:r w:rsidR="00492952" w:rsidRPr="00C90559">
        <w:rPr>
          <w:rFonts w:ascii="Times New Roman" w:eastAsia="Times New Roman" w:hAnsi="Times New Roman" w:cs="Times New Roman"/>
          <w:color w:val="000000" w:themeColor="text1"/>
          <w:lang w:eastAsia="en-AU"/>
        </w:rPr>
        <w:t>one</w:t>
      </w:r>
      <w:r w:rsidRPr="00C90559">
        <w:rPr>
          <w:rFonts w:ascii="Times New Roman" w:eastAsia="Times New Roman" w:hAnsi="Times New Roman" w:cs="Times New Roman"/>
          <w:color w:val="000000" w:themeColor="text1"/>
          <w:lang w:eastAsia="en-AU"/>
        </w:rPr>
        <w:t xml:space="preserve"> written submission </w:t>
      </w:r>
      <w:proofErr w:type="gramStart"/>
      <w:r w:rsidRPr="00C90559">
        <w:rPr>
          <w:rFonts w:ascii="Times New Roman" w:eastAsia="Times New Roman" w:hAnsi="Times New Roman" w:cs="Times New Roman"/>
          <w:color w:val="000000" w:themeColor="text1"/>
          <w:lang w:eastAsia="en-AU"/>
        </w:rPr>
        <w:t>as a result of</w:t>
      </w:r>
      <w:proofErr w:type="gramEnd"/>
      <w:r w:rsidRPr="00C90559">
        <w:rPr>
          <w:rFonts w:ascii="Times New Roman" w:eastAsia="Times New Roman" w:hAnsi="Times New Roman" w:cs="Times New Roman"/>
          <w:color w:val="000000" w:themeColor="text1"/>
          <w:lang w:eastAsia="en-AU"/>
        </w:rPr>
        <w:t xml:space="preserve"> that public </w:t>
      </w:r>
      <w:r w:rsidR="00482223" w:rsidRPr="00C90559">
        <w:rPr>
          <w:rFonts w:ascii="Times New Roman" w:eastAsia="Times New Roman" w:hAnsi="Times New Roman" w:cs="Times New Roman"/>
          <w:color w:val="000000" w:themeColor="text1"/>
          <w:lang w:eastAsia="en-AU"/>
        </w:rPr>
        <w:t>consultation</w:t>
      </w:r>
      <w:r w:rsidR="00482223">
        <w:rPr>
          <w:rFonts w:ascii="Times New Roman" w:eastAsia="Times New Roman" w:hAnsi="Times New Roman" w:cs="Times New Roman"/>
          <w:color w:val="000000" w:themeColor="text1"/>
          <w:lang w:eastAsia="en-AU"/>
        </w:rPr>
        <w:t xml:space="preserve"> and</w:t>
      </w:r>
      <w:r w:rsidR="00FB116F">
        <w:rPr>
          <w:rFonts w:ascii="Times New Roman" w:eastAsia="Times New Roman" w:hAnsi="Times New Roman" w:cs="Times New Roman"/>
          <w:color w:val="000000" w:themeColor="text1"/>
          <w:lang w:eastAsia="en-AU"/>
        </w:rPr>
        <w:t xml:space="preserve"> took that submission into account when </w:t>
      </w:r>
      <w:r w:rsidR="00F23362">
        <w:rPr>
          <w:rFonts w:ascii="Times New Roman" w:eastAsia="Times New Roman" w:hAnsi="Times New Roman" w:cs="Times New Roman"/>
          <w:color w:val="000000" w:themeColor="text1"/>
          <w:lang w:eastAsia="en-AU"/>
        </w:rPr>
        <w:t>finalising the Guidelines</w:t>
      </w:r>
      <w:r w:rsidRPr="00C90559">
        <w:rPr>
          <w:rFonts w:ascii="Times New Roman" w:eastAsia="Times New Roman" w:hAnsi="Times New Roman" w:cs="Times New Roman"/>
          <w:color w:val="000000" w:themeColor="text1"/>
          <w:lang w:eastAsia="en-AU"/>
        </w:rPr>
        <w:t>.</w:t>
      </w:r>
    </w:p>
    <w:p w14:paraId="5CBF4291" w14:textId="6A058A4D" w:rsidR="00B17B50" w:rsidRPr="00A51826" w:rsidRDefault="00B17B50" w:rsidP="00A20C48">
      <w:pPr>
        <w:pStyle w:val="ACMANumberedList"/>
        <w:numPr>
          <w:ilvl w:val="0"/>
          <w:numId w:val="0"/>
        </w:numPr>
        <w:spacing w:before="100" w:beforeAutospacing="1" w:after="100" w:afterAutospacing="1"/>
        <w:rPr>
          <w:color w:val="595959" w:themeColor="text1" w:themeTint="A6"/>
          <w:sz w:val="22"/>
          <w:szCs w:val="22"/>
          <w:lang w:eastAsia="en-AU"/>
        </w:rPr>
      </w:pPr>
      <w:r w:rsidRPr="00A51826">
        <w:rPr>
          <w:b/>
          <w:color w:val="000000"/>
          <w:sz w:val="22"/>
          <w:szCs w:val="22"/>
          <w:lang w:eastAsia="en-AU"/>
        </w:rPr>
        <w:t>Regulatory Impact</w:t>
      </w:r>
      <w:r w:rsidR="005437C6">
        <w:rPr>
          <w:b/>
          <w:color w:val="000000"/>
          <w:sz w:val="22"/>
          <w:szCs w:val="22"/>
          <w:lang w:eastAsia="en-AU"/>
        </w:rPr>
        <w:t xml:space="preserve"> </w:t>
      </w:r>
    </w:p>
    <w:p w14:paraId="2A122824" w14:textId="1106727E" w:rsidR="00B13E51" w:rsidRDefault="00B13E51" w:rsidP="00B13EE7">
      <w:pPr>
        <w:autoSpaceDE w:val="0"/>
        <w:autoSpaceDN w:val="0"/>
        <w:adjustRightInd w:val="0"/>
        <w:spacing w:after="0" w:line="240" w:lineRule="auto"/>
        <w:rPr>
          <w:rFonts w:ascii="Times New Roman" w:eastAsia="Times New Roman" w:hAnsi="Times New Roman" w:cs="Times New Roman"/>
          <w:lang w:bidi="he-IL"/>
        </w:rPr>
      </w:pPr>
      <w:r w:rsidRPr="00B13E51">
        <w:rPr>
          <w:rFonts w:ascii="Times New Roman" w:eastAsia="Times New Roman" w:hAnsi="Times New Roman" w:cs="Times New Roman"/>
          <w:lang w:bidi="he-IL"/>
        </w:rPr>
        <w:t xml:space="preserve">The ACMA prepared a preliminary regulatory impact assessment </w:t>
      </w:r>
      <w:r w:rsidRPr="00C90559">
        <w:rPr>
          <w:rFonts w:ascii="Times New Roman" w:eastAsia="Times New Roman" w:hAnsi="Times New Roman" w:cs="Times New Roman"/>
          <w:lang w:bidi="he-IL"/>
        </w:rPr>
        <w:t xml:space="preserve">on </w:t>
      </w:r>
      <w:r w:rsidR="00B97ED9" w:rsidRPr="00C90559">
        <w:rPr>
          <w:rFonts w:ascii="Times New Roman" w:eastAsia="Times New Roman" w:hAnsi="Times New Roman" w:cs="Times New Roman"/>
          <w:lang w:bidi="he-IL"/>
        </w:rPr>
        <w:t>26 November 2021</w:t>
      </w:r>
      <w:r w:rsidRPr="00C90559">
        <w:rPr>
          <w:rFonts w:ascii="Times New Roman" w:eastAsia="Times New Roman" w:hAnsi="Times New Roman" w:cs="Times New Roman"/>
          <w:lang w:bidi="he-IL"/>
        </w:rPr>
        <w:t xml:space="preserve">, for the purposes of making the </w:t>
      </w:r>
      <w:r w:rsidR="00F23362">
        <w:rPr>
          <w:rFonts w:ascii="Times New Roman" w:eastAsia="Times New Roman" w:hAnsi="Times New Roman" w:cs="Times New Roman"/>
          <w:lang w:bidi="he-IL"/>
        </w:rPr>
        <w:t>Guidelines</w:t>
      </w:r>
      <w:r w:rsidRPr="00C90559">
        <w:rPr>
          <w:rFonts w:ascii="Times New Roman" w:eastAsia="Times New Roman" w:hAnsi="Times New Roman" w:cs="Times New Roman"/>
          <w:lang w:bidi="he-IL"/>
        </w:rPr>
        <w:t xml:space="preserve">. On </w:t>
      </w:r>
      <w:r w:rsidR="00B97ED9" w:rsidRPr="00C90559">
        <w:rPr>
          <w:rFonts w:ascii="Times New Roman" w:eastAsia="Times New Roman" w:hAnsi="Times New Roman" w:cs="Times New Roman"/>
          <w:lang w:bidi="he-IL"/>
        </w:rPr>
        <w:t>29 November 2021</w:t>
      </w:r>
      <w:r w:rsidRPr="00C90559">
        <w:rPr>
          <w:rFonts w:ascii="Times New Roman" w:eastAsia="Times New Roman" w:hAnsi="Times New Roman" w:cs="Times New Roman"/>
          <w:lang w:bidi="he-IL"/>
        </w:rPr>
        <w:t>, th</w:t>
      </w:r>
      <w:r w:rsidRPr="00B13E51">
        <w:rPr>
          <w:rFonts w:ascii="Times New Roman" w:eastAsia="Times New Roman" w:hAnsi="Times New Roman" w:cs="Times New Roman"/>
          <w:lang w:bidi="he-IL"/>
        </w:rPr>
        <w:t>e Office of Best Practice Regulation (</w:t>
      </w:r>
      <w:r w:rsidRPr="00B13E51">
        <w:rPr>
          <w:rFonts w:ascii="Times New Roman" w:eastAsia="Times New Roman" w:hAnsi="Times New Roman" w:cs="Times New Roman"/>
          <w:b/>
          <w:bCs/>
          <w:lang w:bidi="he-IL"/>
        </w:rPr>
        <w:t>OBPR</w:t>
      </w:r>
      <w:r w:rsidRPr="00B13E51">
        <w:rPr>
          <w:rFonts w:ascii="Times New Roman" w:eastAsia="Times New Roman" w:hAnsi="Times New Roman" w:cs="Times New Roman"/>
          <w:lang w:bidi="he-IL"/>
        </w:rPr>
        <w:t xml:space="preserve">) </w:t>
      </w:r>
      <w:r w:rsidR="00355F22">
        <w:rPr>
          <w:rFonts w:ascii="Times New Roman" w:eastAsia="Times New Roman" w:hAnsi="Times New Roman" w:cs="Times New Roman"/>
          <w:lang w:bidi="he-IL"/>
        </w:rPr>
        <w:t>expressed its view</w:t>
      </w:r>
      <w:r w:rsidRPr="00B13E51">
        <w:rPr>
          <w:rFonts w:ascii="Times New Roman" w:eastAsia="Times New Roman" w:hAnsi="Times New Roman" w:cs="Times New Roman"/>
          <w:lang w:bidi="he-IL"/>
        </w:rPr>
        <w:t xml:space="preserve"> that the changes have a minor regulatory impact and that no formal regulatory impact statement is required. </w:t>
      </w:r>
      <w:r w:rsidRPr="00B13E51">
        <w:rPr>
          <w:rFonts w:ascii="Times New Roman" w:eastAsia="Times New Roman" w:hAnsi="Times New Roman" w:cs="Times New Roman"/>
          <w:lang w:val="en-US" w:bidi="he-IL"/>
        </w:rPr>
        <w:t xml:space="preserve"> </w:t>
      </w:r>
      <w:r w:rsidRPr="00B13E51">
        <w:rPr>
          <w:rFonts w:ascii="Times New Roman" w:eastAsia="Times New Roman" w:hAnsi="Times New Roman" w:cs="Times New Roman"/>
          <w:lang w:bidi="he-IL"/>
        </w:rPr>
        <w:t xml:space="preserve">The OBPR reference number for this matter is </w:t>
      </w:r>
      <w:r w:rsidR="00EB4105">
        <w:rPr>
          <w:rFonts w:ascii="Times New Roman" w:eastAsia="Times New Roman" w:hAnsi="Times New Roman" w:cs="Times New Roman"/>
          <w:lang w:bidi="he-IL"/>
        </w:rPr>
        <w:t>O</w:t>
      </w:r>
      <w:r w:rsidR="002738F1">
        <w:rPr>
          <w:rFonts w:ascii="Times New Roman" w:eastAsia="Times New Roman" w:hAnsi="Times New Roman" w:cs="Times New Roman"/>
          <w:lang w:bidi="he-IL"/>
        </w:rPr>
        <w:t>BPR21-</w:t>
      </w:r>
      <w:r w:rsidR="00D40855">
        <w:rPr>
          <w:rFonts w:ascii="Times New Roman" w:eastAsia="Times New Roman" w:hAnsi="Times New Roman" w:cs="Times New Roman"/>
          <w:lang w:bidi="he-IL"/>
        </w:rPr>
        <w:t>01215</w:t>
      </w:r>
      <w:r w:rsidRPr="00B13E51">
        <w:rPr>
          <w:rFonts w:ascii="Times New Roman" w:eastAsia="Times New Roman" w:hAnsi="Times New Roman" w:cs="Times New Roman"/>
          <w:lang w:bidi="he-IL"/>
        </w:rPr>
        <w:t>.</w:t>
      </w:r>
    </w:p>
    <w:p w14:paraId="710E1C1B" w14:textId="77777777" w:rsidR="00B13EE7" w:rsidRPr="00B13E51" w:rsidRDefault="00B13EE7" w:rsidP="00B13EE7">
      <w:pPr>
        <w:autoSpaceDE w:val="0"/>
        <w:autoSpaceDN w:val="0"/>
        <w:adjustRightInd w:val="0"/>
        <w:spacing w:after="0" w:line="240" w:lineRule="auto"/>
        <w:rPr>
          <w:rFonts w:ascii="Times New Roman" w:eastAsia="Times New Roman" w:hAnsi="Times New Roman" w:cs="Times New Roman"/>
          <w:lang w:bidi="he-IL"/>
        </w:rPr>
      </w:pPr>
    </w:p>
    <w:p w14:paraId="7FFE865E" w14:textId="681F9845" w:rsidR="00723B3A" w:rsidRPr="00A51826" w:rsidRDefault="00723B3A" w:rsidP="00A20C48">
      <w:pPr>
        <w:rPr>
          <w:rFonts w:ascii="Times New Roman" w:eastAsia="Times New Roman" w:hAnsi="Times New Roman" w:cs="Times New Roman"/>
          <w:b/>
          <w:bCs/>
          <w:color w:val="000000" w:themeColor="text1"/>
          <w:lang w:eastAsia="en-AU"/>
        </w:rPr>
      </w:pPr>
      <w:r w:rsidRPr="00A51826">
        <w:rPr>
          <w:rFonts w:ascii="Times New Roman" w:eastAsia="Times New Roman" w:hAnsi="Times New Roman" w:cs="Times New Roman"/>
          <w:b/>
          <w:bCs/>
          <w:color w:val="000000" w:themeColor="text1"/>
          <w:lang w:eastAsia="en-AU"/>
        </w:rPr>
        <w:t>Statement of compat</w:t>
      </w:r>
      <w:r w:rsidR="00B805FA" w:rsidRPr="00A51826">
        <w:rPr>
          <w:rFonts w:ascii="Times New Roman" w:eastAsia="Times New Roman" w:hAnsi="Times New Roman" w:cs="Times New Roman"/>
          <w:b/>
          <w:bCs/>
          <w:color w:val="000000" w:themeColor="text1"/>
          <w:lang w:eastAsia="en-AU"/>
        </w:rPr>
        <w:t>ibility with human rights</w:t>
      </w:r>
    </w:p>
    <w:p w14:paraId="7A856411" w14:textId="400F7E39" w:rsidR="0010166D" w:rsidRDefault="0010166D" w:rsidP="00B13EE7">
      <w:pPr>
        <w:tabs>
          <w:tab w:val="left" w:pos="1560"/>
        </w:tabs>
        <w:spacing w:after="0" w:line="240" w:lineRule="auto"/>
        <w:rPr>
          <w:rFonts w:ascii="Times New Roman" w:eastAsia="Times New Roman" w:hAnsi="Times New Roman" w:cs="Times New Roman"/>
          <w:color w:val="000000" w:themeColor="text1"/>
          <w:lang w:eastAsia="en-AU"/>
        </w:rPr>
      </w:pPr>
      <w:r w:rsidRPr="0010166D">
        <w:rPr>
          <w:rFonts w:ascii="Times New Roman" w:eastAsia="Times New Roman" w:hAnsi="Times New Roman" w:cs="Times New Roman"/>
          <w:color w:val="000000" w:themeColor="text1"/>
          <w:lang w:eastAsia="en-AU"/>
        </w:rPr>
        <w:t xml:space="preserve">Subsection 9(1) of the </w:t>
      </w:r>
      <w:r w:rsidRPr="0010166D">
        <w:rPr>
          <w:rFonts w:ascii="Times New Roman" w:eastAsia="Times New Roman" w:hAnsi="Times New Roman" w:cs="Times New Roman"/>
          <w:i/>
          <w:color w:val="000000" w:themeColor="text1"/>
          <w:lang w:eastAsia="en-AU"/>
        </w:rPr>
        <w:t>Human Rights (Parliamentary Scrutiny) Act 2011</w:t>
      </w:r>
      <w:r w:rsidRPr="0010166D">
        <w:rPr>
          <w:rFonts w:ascii="Times New Roman" w:eastAsia="Times New Roman" w:hAnsi="Times New Roman" w:cs="Times New Roman"/>
          <w:color w:val="000000" w:themeColor="text1"/>
          <w:lang w:eastAsia="en-AU"/>
        </w:rPr>
        <w:t xml:space="preserve"> requires the rule-maker in relation to a legislative instrument to which section 42 (disallowance) of the LA applies to cause a statement of compatibility </w:t>
      </w:r>
      <w:r w:rsidR="001427DC">
        <w:rPr>
          <w:rFonts w:ascii="Times New Roman" w:eastAsia="Times New Roman" w:hAnsi="Times New Roman" w:cs="Times New Roman"/>
          <w:color w:val="000000" w:themeColor="text1"/>
          <w:lang w:eastAsia="en-AU"/>
        </w:rPr>
        <w:t xml:space="preserve">with human rights </w:t>
      </w:r>
      <w:r w:rsidRPr="0010166D">
        <w:rPr>
          <w:rFonts w:ascii="Times New Roman" w:eastAsia="Times New Roman" w:hAnsi="Times New Roman" w:cs="Times New Roman"/>
          <w:color w:val="000000" w:themeColor="text1"/>
          <w:lang w:eastAsia="en-AU"/>
        </w:rPr>
        <w:t xml:space="preserve">to be prepared in respect of that legislative instrument.  </w:t>
      </w:r>
    </w:p>
    <w:p w14:paraId="3E38600B" w14:textId="77777777" w:rsidR="00B13EE7" w:rsidRPr="0010166D" w:rsidRDefault="00B13EE7" w:rsidP="00B13EE7">
      <w:pPr>
        <w:tabs>
          <w:tab w:val="left" w:pos="1560"/>
        </w:tabs>
        <w:spacing w:after="0" w:line="240" w:lineRule="auto"/>
        <w:rPr>
          <w:rFonts w:ascii="Times New Roman" w:eastAsia="Times New Roman" w:hAnsi="Times New Roman" w:cs="Times New Roman"/>
          <w:color w:val="000000" w:themeColor="text1"/>
          <w:lang w:eastAsia="en-AU"/>
        </w:rPr>
      </w:pPr>
    </w:p>
    <w:p w14:paraId="6A5CC8C6" w14:textId="77777777" w:rsidR="0010166D" w:rsidRPr="0010166D" w:rsidRDefault="0010166D" w:rsidP="0010166D">
      <w:pPr>
        <w:tabs>
          <w:tab w:val="left" w:pos="1560"/>
        </w:tabs>
        <w:rPr>
          <w:rFonts w:ascii="Times New Roman" w:eastAsia="Times New Roman" w:hAnsi="Times New Roman" w:cs="Times New Roman"/>
          <w:color w:val="000000" w:themeColor="text1"/>
          <w:lang w:eastAsia="en-AU"/>
        </w:rPr>
      </w:pPr>
      <w:r w:rsidRPr="0010166D">
        <w:rPr>
          <w:rFonts w:ascii="Times New Roman" w:eastAsia="Times New Roman" w:hAnsi="Times New Roman" w:cs="Times New Roman"/>
          <w:color w:val="000000" w:themeColor="text1"/>
          <w:lang w:eastAsia="en-AU"/>
        </w:rPr>
        <w:t>The statement of compatibility set out below has been prepared to meet that requirement.</w:t>
      </w:r>
    </w:p>
    <w:p w14:paraId="048F43A7" w14:textId="77777777" w:rsidR="0010166D" w:rsidRPr="00C60058" w:rsidRDefault="0010166D" w:rsidP="00E21D45">
      <w:pPr>
        <w:tabs>
          <w:tab w:val="left" w:pos="1560"/>
        </w:tabs>
        <w:spacing w:after="120"/>
        <w:rPr>
          <w:rFonts w:ascii="Times New Roman" w:eastAsia="Times New Roman" w:hAnsi="Times New Roman" w:cs="Times New Roman"/>
          <w:b/>
          <w:i/>
          <w:color w:val="000000" w:themeColor="text1"/>
          <w:lang w:eastAsia="en-AU"/>
        </w:rPr>
      </w:pPr>
      <w:r w:rsidRPr="00C60058">
        <w:rPr>
          <w:rFonts w:ascii="Times New Roman" w:eastAsia="Times New Roman" w:hAnsi="Times New Roman" w:cs="Times New Roman"/>
          <w:b/>
          <w:i/>
          <w:color w:val="000000" w:themeColor="text1"/>
          <w:lang w:eastAsia="en-AU"/>
        </w:rPr>
        <w:t>Overview of the instrument</w:t>
      </w:r>
    </w:p>
    <w:p w14:paraId="00682544" w14:textId="42A4CFE1" w:rsidR="00B13EE7" w:rsidRPr="00600B3A" w:rsidRDefault="00A679B1" w:rsidP="00E21D45">
      <w:pPr>
        <w:tabs>
          <w:tab w:val="left" w:pos="1560"/>
        </w:tabs>
        <w:spacing w:after="100" w:afterAutospacing="1" w:line="240" w:lineRule="auto"/>
        <w:rPr>
          <w:rFonts w:ascii="Times New Roman" w:eastAsia="Times New Roman" w:hAnsi="Times New Roman" w:cs="Times New Roman"/>
          <w:bCs/>
          <w:color w:val="000000" w:themeColor="text1"/>
          <w:lang w:eastAsia="en-AU"/>
        </w:rPr>
      </w:pPr>
      <w:r w:rsidRPr="00C60058">
        <w:rPr>
          <w:rFonts w:ascii="Times New Roman" w:eastAsia="Times New Roman" w:hAnsi="Times New Roman" w:cs="Times New Roman"/>
          <w:color w:val="000000" w:themeColor="text1"/>
          <w:lang w:eastAsia="en-AU"/>
        </w:rPr>
        <w:t xml:space="preserve">The </w:t>
      </w:r>
      <w:r w:rsidRPr="00C60058">
        <w:rPr>
          <w:rFonts w:ascii="Times New Roman" w:eastAsia="Times New Roman" w:hAnsi="Times New Roman" w:cs="Times New Roman"/>
          <w:i/>
          <w:iCs/>
          <w:color w:val="000000" w:themeColor="text1"/>
          <w:lang w:eastAsia="en-AU"/>
        </w:rPr>
        <w:t xml:space="preserve">Telecommunications (Infringement Notices) Guidelines 2022 </w:t>
      </w:r>
      <w:r w:rsidR="009B5F63" w:rsidRPr="00C60058">
        <w:rPr>
          <w:rFonts w:ascii="Times New Roman" w:eastAsia="Times New Roman" w:hAnsi="Times New Roman" w:cs="Times New Roman"/>
          <w:color w:val="000000" w:themeColor="text1"/>
          <w:lang w:eastAsia="en-AU"/>
        </w:rPr>
        <w:t xml:space="preserve">(the </w:t>
      </w:r>
      <w:r w:rsidR="009B5F63" w:rsidRPr="00C60058">
        <w:rPr>
          <w:rFonts w:ascii="Times New Roman" w:eastAsia="Times New Roman" w:hAnsi="Times New Roman" w:cs="Times New Roman"/>
          <w:b/>
          <w:bCs/>
          <w:color w:val="000000" w:themeColor="text1"/>
          <w:lang w:eastAsia="en-AU"/>
        </w:rPr>
        <w:t>Guidelines</w:t>
      </w:r>
      <w:r w:rsidR="009B5F63" w:rsidRPr="00C60058">
        <w:rPr>
          <w:rFonts w:ascii="Times New Roman" w:eastAsia="Times New Roman" w:hAnsi="Times New Roman" w:cs="Times New Roman"/>
          <w:color w:val="000000" w:themeColor="text1"/>
          <w:lang w:eastAsia="en-AU"/>
        </w:rPr>
        <w:t>) are made under subsection 572</w:t>
      </w:r>
      <w:proofErr w:type="gramStart"/>
      <w:r w:rsidR="009B5F63" w:rsidRPr="00C60058">
        <w:rPr>
          <w:rFonts w:ascii="Times New Roman" w:eastAsia="Times New Roman" w:hAnsi="Times New Roman" w:cs="Times New Roman"/>
          <w:color w:val="000000" w:themeColor="text1"/>
          <w:lang w:eastAsia="en-AU"/>
        </w:rPr>
        <w:t>M(</w:t>
      </w:r>
      <w:proofErr w:type="gramEnd"/>
      <w:r w:rsidR="009B5F63" w:rsidRPr="00C60058">
        <w:rPr>
          <w:rFonts w:ascii="Times New Roman" w:eastAsia="Times New Roman" w:hAnsi="Times New Roman" w:cs="Times New Roman"/>
          <w:color w:val="000000" w:themeColor="text1"/>
          <w:lang w:eastAsia="en-AU"/>
        </w:rPr>
        <w:t xml:space="preserve">2) of the </w:t>
      </w:r>
      <w:r w:rsidR="009B5F63" w:rsidRPr="00C60058">
        <w:rPr>
          <w:rFonts w:ascii="Times New Roman" w:eastAsia="Times New Roman" w:hAnsi="Times New Roman" w:cs="Times New Roman"/>
          <w:i/>
          <w:iCs/>
          <w:color w:val="000000" w:themeColor="text1"/>
          <w:lang w:eastAsia="en-AU"/>
        </w:rPr>
        <w:t xml:space="preserve">Telecommunications Act 1997 </w:t>
      </w:r>
      <w:r w:rsidR="009B5F63" w:rsidRPr="00C60058">
        <w:rPr>
          <w:rFonts w:ascii="Times New Roman" w:eastAsia="Times New Roman" w:hAnsi="Times New Roman" w:cs="Times New Roman"/>
          <w:color w:val="000000" w:themeColor="text1"/>
          <w:lang w:eastAsia="en-AU"/>
        </w:rPr>
        <w:t xml:space="preserve">(the </w:t>
      </w:r>
      <w:r w:rsidR="009B5F63" w:rsidRPr="00C60058">
        <w:rPr>
          <w:rFonts w:ascii="Times New Roman" w:eastAsia="Times New Roman" w:hAnsi="Times New Roman" w:cs="Times New Roman"/>
          <w:b/>
          <w:bCs/>
          <w:color w:val="000000" w:themeColor="text1"/>
          <w:lang w:eastAsia="en-AU"/>
        </w:rPr>
        <w:t>Telecommunications Act</w:t>
      </w:r>
      <w:r w:rsidR="009B5F63" w:rsidRPr="00C60058">
        <w:rPr>
          <w:rFonts w:ascii="Times New Roman" w:eastAsia="Times New Roman" w:hAnsi="Times New Roman" w:cs="Times New Roman"/>
          <w:color w:val="000000" w:themeColor="text1"/>
          <w:lang w:eastAsia="en-AU"/>
        </w:rPr>
        <w:t>)</w:t>
      </w:r>
      <w:r w:rsidR="009158FA" w:rsidRPr="00C60058">
        <w:rPr>
          <w:rFonts w:ascii="Times New Roman" w:eastAsia="Times New Roman" w:hAnsi="Times New Roman" w:cs="Times New Roman"/>
          <w:color w:val="000000" w:themeColor="text1"/>
          <w:lang w:eastAsia="en-AU"/>
        </w:rPr>
        <w:t xml:space="preserve">. </w:t>
      </w:r>
      <w:r w:rsidR="00B5172C" w:rsidRPr="00600B3A">
        <w:rPr>
          <w:rFonts w:ascii="Times New Roman" w:eastAsia="Times New Roman" w:hAnsi="Times New Roman" w:cs="Times New Roman"/>
          <w:bCs/>
          <w:color w:val="000000" w:themeColor="text1"/>
          <w:lang w:eastAsia="en-AU"/>
        </w:rPr>
        <w:t>The purpose of this instrument is to establish guidelines that an authorised infringement officer must have regard to when exercising a power conferred by Part 31B</w:t>
      </w:r>
      <w:r w:rsidR="0087425E" w:rsidRPr="00C60058">
        <w:rPr>
          <w:rFonts w:ascii="Times New Roman" w:eastAsia="Times New Roman" w:hAnsi="Times New Roman" w:cs="Times New Roman"/>
          <w:bCs/>
          <w:color w:val="000000" w:themeColor="text1"/>
          <w:lang w:eastAsia="en-AU"/>
        </w:rPr>
        <w:t xml:space="preserve"> of the Telecommunications Act</w:t>
      </w:r>
      <w:r w:rsidR="00B5172C" w:rsidRPr="00600B3A">
        <w:rPr>
          <w:rFonts w:ascii="Times New Roman" w:eastAsia="Times New Roman" w:hAnsi="Times New Roman" w:cs="Times New Roman"/>
          <w:bCs/>
          <w:color w:val="000000" w:themeColor="text1"/>
          <w:lang w:eastAsia="en-AU"/>
        </w:rPr>
        <w:t xml:space="preserve"> to issue an infringement notice. The instrument will also assist the telecommunications industry and the broader community to understand how the </w:t>
      </w:r>
      <w:r w:rsidR="00FE590A" w:rsidRPr="00C60058">
        <w:rPr>
          <w:rFonts w:ascii="Times New Roman" w:eastAsia="Times New Roman" w:hAnsi="Times New Roman" w:cs="Times New Roman"/>
          <w:bCs/>
          <w:color w:val="000000" w:themeColor="text1"/>
          <w:lang w:eastAsia="en-AU"/>
        </w:rPr>
        <w:t xml:space="preserve">Australian Communications and Media Authority (the </w:t>
      </w:r>
      <w:r w:rsidR="00B5172C" w:rsidRPr="00600B3A">
        <w:rPr>
          <w:rFonts w:ascii="Times New Roman" w:eastAsia="Times New Roman" w:hAnsi="Times New Roman" w:cs="Times New Roman"/>
          <w:b/>
          <w:color w:val="000000" w:themeColor="text1"/>
          <w:lang w:eastAsia="en-AU"/>
        </w:rPr>
        <w:t>ACMA</w:t>
      </w:r>
      <w:r w:rsidR="00FE590A" w:rsidRPr="00C60058">
        <w:rPr>
          <w:rFonts w:ascii="Times New Roman" w:eastAsia="Times New Roman" w:hAnsi="Times New Roman" w:cs="Times New Roman"/>
          <w:bCs/>
          <w:color w:val="000000" w:themeColor="text1"/>
          <w:lang w:eastAsia="en-AU"/>
        </w:rPr>
        <w:t>)</w:t>
      </w:r>
      <w:r w:rsidR="00B5172C" w:rsidRPr="00600B3A">
        <w:rPr>
          <w:rFonts w:ascii="Times New Roman" w:eastAsia="Times New Roman" w:hAnsi="Times New Roman" w:cs="Times New Roman"/>
          <w:bCs/>
          <w:color w:val="000000" w:themeColor="text1"/>
          <w:lang w:eastAsia="en-AU"/>
        </w:rPr>
        <w:t xml:space="preserve"> will use its infringement notice powers. </w:t>
      </w:r>
    </w:p>
    <w:p w14:paraId="283018F0" w14:textId="0CA3F5D6" w:rsidR="00B13EE7" w:rsidRPr="00600B3A" w:rsidRDefault="00600B3A" w:rsidP="00B13EE7">
      <w:pPr>
        <w:tabs>
          <w:tab w:val="left" w:pos="1560"/>
        </w:tabs>
        <w:spacing w:before="100" w:beforeAutospacing="1" w:after="100" w:afterAutospacing="1" w:line="240" w:lineRule="auto"/>
        <w:rPr>
          <w:rFonts w:ascii="Times New Roman" w:eastAsia="Times New Roman" w:hAnsi="Times New Roman" w:cs="Times New Roman"/>
          <w:color w:val="000000" w:themeColor="text1"/>
          <w:lang w:eastAsia="en-AU"/>
        </w:rPr>
      </w:pPr>
      <w:r w:rsidRPr="00600B3A">
        <w:rPr>
          <w:rFonts w:ascii="Times New Roman" w:eastAsia="Times New Roman" w:hAnsi="Times New Roman" w:cs="Times New Roman"/>
          <w:color w:val="000000" w:themeColor="text1"/>
          <w:lang w:eastAsia="en-AU"/>
        </w:rPr>
        <w:t xml:space="preserve">Part 31B of the </w:t>
      </w:r>
      <w:r w:rsidRPr="00600B3A">
        <w:rPr>
          <w:rFonts w:ascii="Times New Roman" w:eastAsia="Times New Roman" w:hAnsi="Times New Roman" w:cs="Times New Roman"/>
          <w:bCs/>
          <w:color w:val="000000" w:themeColor="text1"/>
          <w:lang w:eastAsia="en-AU"/>
        </w:rPr>
        <w:t>Telecommunications Act</w:t>
      </w:r>
      <w:r w:rsidRPr="00600B3A">
        <w:rPr>
          <w:rFonts w:ascii="Times New Roman" w:eastAsia="Times New Roman" w:hAnsi="Times New Roman" w:cs="Times New Roman"/>
          <w:color w:val="000000" w:themeColor="text1"/>
          <w:lang w:eastAsia="en-AU"/>
        </w:rPr>
        <w:t xml:space="preserve"> establishes a scheme under which authorised officers of the </w:t>
      </w:r>
      <w:r w:rsidRPr="00600B3A">
        <w:rPr>
          <w:rFonts w:ascii="Times New Roman" w:eastAsia="Times New Roman" w:hAnsi="Times New Roman" w:cs="Times New Roman"/>
          <w:bCs/>
          <w:color w:val="000000" w:themeColor="text1"/>
          <w:lang w:eastAsia="en-AU"/>
        </w:rPr>
        <w:t>ACMA</w:t>
      </w:r>
      <w:r w:rsidRPr="00600B3A">
        <w:rPr>
          <w:rFonts w:ascii="Times New Roman" w:eastAsia="Times New Roman" w:hAnsi="Times New Roman" w:cs="Times New Roman"/>
          <w:color w:val="000000" w:themeColor="text1"/>
          <w:lang w:eastAsia="en-AU"/>
        </w:rPr>
        <w:t xml:space="preserve"> may issue infringement notices for contraventions of civil penalty provisions under the Telecommunications Act, </w:t>
      </w:r>
      <w:r w:rsidRPr="00600B3A">
        <w:rPr>
          <w:rFonts w:ascii="Times New Roman" w:eastAsia="Times New Roman" w:hAnsi="Times New Roman" w:cs="Times New Roman"/>
          <w:i/>
          <w:color w:val="000000" w:themeColor="text1"/>
          <w:lang w:eastAsia="en-AU"/>
        </w:rPr>
        <w:t>Telecommunications (Consumer Protection and Service Standards) Act 1999</w:t>
      </w:r>
      <w:r w:rsidRPr="00600B3A">
        <w:rPr>
          <w:rFonts w:ascii="Times New Roman" w:eastAsia="Times New Roman" w:hAnsi="Times New Roman" w:cs="Times New Roman"/>
          <w:color w:val="000000" w:themeColor="text1"/>
          <w:lang w:eastAsia="en-AU"/>
        </w:rPr>
        <w:t xml:space="preserve"> and</w:t>
      </w:r>
      <w:r w:rsidR="006E2269">
        <w:rPr>
          <w:rFonts w:ascii="Times New Roman" w:eastAsia="Times New Roman" w:hAnsi="Times New Roman" w:cs="Times New Roman"/>
          <w:color w:val="000000" w:themeColor="text1"/>
          <w:lang w:eastAsia="en-AU"/>
        </w:rPr>
        <w:t xml:space="preserve"> Chapter 5 of</w:t>
      </w:r>
      <w:r w:rsidRPr="00600B3A">
        <w:rPr>
          <w:rFonts w:ascii="Times New Roman" w:eastAsia="Times New Roman" w:hAnsi="Times New Roman" w:cs="Times New Roman"/>
          <w:color w:val="000000" w:themeColor="text1"/>
          <w:lang w:eastAsia="en-AU"/>
        </w:rPr>
        <w:t xml:space="preserve"> the </w:t>
      </w:r>
      <w:r w:rsidRPr="00600B3A">
        <w:rPr>
          <w:rFonts w:ascii="Times New Roman" w:eastAsia="Times New Roman" w:hAnsi="Times New Roman" w:cs="Times New Roman"/>
          <w:i/>
          <w:color w:val="000000" w:themeColor="text1"/>
          <w:lang w:eastAsia="en-AU"/>
        </w:rPr>
        <w:t>Telecommunications (Interception and Access) Act 1979</w:t>
      </w:r>
      <w:r w:rsidRPr="00600B3A">
        <w:rPr>
          <w:rFonts w:ascii="Times New Roman" w:eastAsia="Times New Roman" w:hAnsi="Times New Roman" w:cs="Times New Roman"/>
          <w:color w:val="000000" w:themeColor="text1"/>
          <w:lang w:eastAsia="en-AU"/>
        </w:rPr>
        <w:t xml:space="preserve">. </w:t>
      </w:r>
    </w:p>
    <w:p w14:paraId="304AFA3C" w14:textId="7C8FA18D" w:rsidR="00B13EE7" w:rsidRPr="00C60058" w:rsidRDefault="00600B3A" w:rsidP="00B13EE7">
      <w:pPr>
        <w:tabs>
          <w:tab w:val="left" w:pos="1560"/>
        </w:tabs>
        <w:spacing w:before="100" w:beforeAutospacing="1" w:after="100" w:afterAutospacing="1" w:line="240" w:lineRule="auto"/>
        <w:rPr>
          <w:rFonts w:ascii="Times New Roman" w:eastAsia="Times New Roman" w:hAnsi="Times New Roman" w:cs="Times New Roman"/>
          <w:color w:val="000000" w:themeColor="text1"/>
          <w:lang w:eastAsia="en-AU"/>
        </w:rPr>
      </w:pPr>
      <w:r w:rsidRPr="00600B3A">
        <w:rPr>
          <w:rFonts w:ascii="Times New Roman" w:eastAsia="Times New Roman" w:hAnsi="Times New Roman" w:cs="Times New Roman"/>
          <w:color w:val="000000" w:themeColor="text1"/>
          <w:lang w:eastAsia="en-AU"/>
        </w:rPr>
        <w:t xml:space="preserve">The infringement notice scheme is intended to provide a more efficient means of dealing with contraventions of certain civil penalty provisions as an alternative to instituting civil penalty proceedings. </w:t>
      </w:r>
    </w:p>
    <w:p w14:paraId="7C0F9CA4" w14:textId="23DF21CB" w:rsidR="00B13EE7" w:rsidRPr="00600B3A" w:rsidRDefault="007F3919" w:rsidP="00B13EE7">
      <w:pPr>
        <w:tabs>
          <w:tab w:val="left" w:pos="1560"/>
        </w:tabs>
        <w:spacing w:before="100" w:beforeAutospacing="1" w:after="100" w:afterAutospacing="1" w:line="240" w:lineRule="auto"/>
        <w:rPr>
          <w:rFonts w:ascii="Times New Roman" w:eastAsia="Times New Roman" w:hAnsi="Times New Roman" w:cs="Times New Roman"/>
          <w:color w:val="000000" w:themeColor="text1"/>
          <w:lang w:eastAsia="en-AU"/>
        </w:rPr>
      </w:pPr>
      <w:r w:rsidRPr="007F3919">
        <w:rPr>
          <w:rFonts w:ascii="Times New Roman" w:eastAsia="Times New Roman" w:hAnsi="Times New Roman" w:cs="Times New Roman"/>
          <w:color w:val="000000" w:themeColor="text1"/>
          <w:lang w:eastAsia="en-AU"/>
        </w:rPr>
        <w:t>The Guidelines fulfil the ACMA’s legislative obligation to maintain</w:t>
      </w:r>
      <w:r w:rsidR="00E05503" w:rsidRPr="00C60058">
        <w:rPr>
          <w:rFonts w:ascii="Times New Roman" w:eastAsia="Times New Roman" w:hAnsi="Times New Roman" w:cs="Times New Roman"/>
          <w:color w:val="000000" w:themeColor="text1"/>
          <w:lang w:eastAsia="en-AU"/>
        </w:rPr>
        <w:t xml:space="preserve"> guidelines </w:t>
      </w:r>
      <w:r w:rsidR="0013518B">
        <w:rPr>
          <w:rFonts w:ascii="Times New Roman" w:eastAsia="Times New Roman" w:hAnsi="Times New Roman" w:cs="Times New Roman"/>
          <w:color w:val="000000" w:themeColor="text1"/>
          <w:lang w:eastAsia="en-AU"/>
        </w:rPr>
        <w:t>that</w:t>
      </w:r>
      <w:r w:rsidRPr="007F3919">
        <w:rPr>
          <w:rFonts w:ascii="Times New Roman" w:eastAsia="Times New Roman" w:hAnsi="Times New Roman" w:cs="Times New Roman"/>
          <w:color w:val="000000" w:themeColor="text1"/>
          <w:lang w:eastAsia="en-AU"/>
        </w:rPr>
        <w:t xml:space="preserve"> an authorised infringement notice officer </w:t>
      </w:r>
      <w:r w:rsidR="0013518B">
        <w:rPr>
          <w:rFonts w:ascii="Times New Roman" w:eastAsia="Times New Roman" w:hAnsi="Times New Roman" w:cs="Times New Roman"/>
          <w:color w:val="000000" w:themeColor="text1"/>
          <w:lang w:eastAsia="en-AU"/>
        </w:rPr>
        <w:t xml:space="preserve">must have regard to in exercising their power under Part 31B of the Telecommunications Act </w:t>
      </w:r>
      <w:r w:rsidRPr="007F3919">
        <w:rPr>
          <w:rFonts w:ascii="Times New Roman" w:eastAsia="Times New Roman" w:hAnsi="Times New Roman" w:cs="Times New Roman"/>
          <w:color w:val="000000" w:themeColor="text1"/>
          <w:lang w:eastAsia="en-AU"/>
        </w:rPr>
        <w:t>to give an infringement notice</w:t>
      </w:r>
      <w:r w:rsidR="00FE590A" w:rsidRPr="00C60058">
        <w:rPr>
          <w:rFonts w:ascii="Times New Roman" w:eastAsia="Times New Roman" w:hAnsi="Times New Roman" w:cs="Times New Roman"/>
          <w:color w:val="000000" w:themeColor="text1"/>
          <w:lang w:eastAsia="en-AU"/>
        </w:rPr>
        <w:t xml:space="preserve"> under </w:t>
      </w:r>
      <w:r w:rsidR="005C3589">
        <w:rPr>
          <w:rFonts w:ascii="Times New Roman" w:eastAsia="Times New Roman" w:hAnsi="Times New Roman" w:cs="Times New Roman"/>
          <w:color w:val="000000" w:themeColor="text1"/>
          <w:lang w:eastAsia="en-AU"/>
        </w:rPr>
        <w:t>that</w:t>
      </w:r>
      <w:r w:rsidR="00FE590A" w:rsidRPr="00C60058">
        <w:rPr>
          <w:rFonts w:ascii="Times New Roman" w:eastAsia="Times New Roman" w:hAnsi="Times New Roman" w:cs="Times New Roman"/>
          <w:color w:val="000000" w:themeColor="text1"/>
          <w:lang w:eastAsia="en-AU"/>
        </w:rPr>
        <w:t xml:space="preserve"> Act</w:t>
      </w:r>
      <w:r w:rsidRPr="007F3919">
        <w:rPr>
          <w:rFonts w:ascii="Times New Roman" w:eastAsia="Times New Roman" w:hAnsi="Times New Roman" w:cs="Times New Roman"/>
          <w:color w:val="000000" w:themeColor="text1"/>
          <w:lang w:eastAsia="en-AU"/>
        </w:rPr>
        <w:t xml:space="preserve">. </w:t>
      </w:r>
    </w:p>
    <w:p w14:paraId="71105110" w14:textId="77777777" w:rsidR="0010166D" w:rsidRPr="0010166D" w:rsidRDefault="0010166D" w:rsidP="0010166D">
      <w:pPr>
        <w:tabs>
          <w:tab w:val="left" w:pos="1560"/>
        </w:tabs>
        <w:rPr>
          <w:rFonts w:ascii="Times New Roman" w:eastAsia="Times New Roman" w:hAnsi="Times New Roman" w:cs="Times New Roman"/>
          <w:b/>
          <w:i/>
          <w:color w:val="000000" w:themeColor="text1"/>
          <w:lang w:eastAsia="en-AU"/>
        </w:rPr>
      </w:pPr>
      <w:r w:rsidRPr="0010166D">
        <w:rPr>
          <w:rFonts w:ascii="Times New Roman" w:eastAsia="Times New Roman" w:hAnsi="Times New Roman" w:cs="Times New Roman"/>
          <w:b/>
          <w:i/>
          <w:color w:val="000000" w:themeColor="text1"/>
          <w:lang w:eastAsia="en-AU"/>
        </w:rPr>
        <w:t>Human rights implications</w:t>
      </w:r>
    </w:p>
    <w:p w14:paraId="1A02C917" w14:textId="616A2339" w:rsidR="0010166D" w:rsidRDefault="0010166D" w:rsidP="004B2EE3">
      <w:pPr>
        <w:tabs>
          <w:tab w:val="left" w:pos="1560"/>
        </w:tabs>
        <w:spacing w:after="0" w:line="240" w:lineRule="auto"/>
        <w:rPr>
          <w:rFonts w:ascii="Times New Roman" w:eastAsia="Times New Roman" w:hAnsi="Times New Roman" w:cs="Times New Roman"/>
          <w:color w:val="000000" w:themeColor="text1"/>
          <w:lang w:eastAsia="en-AU"/>
        </w:rPr>
      </w:pPr>
      <w:r w:rsidRPr="0010166D">
        <w:rPr>
          <w:rFonts w:ascii="Times New Roman" w:eastAsia="Times New Roman" w:hAnsi="Times New Roman" w:cs="Times New Roman"/>
          <w:color w:val="000000" w:themeColor="text1"/>
          <w:lang w:eastAsia="en-AU"/>
        </w:rPr>
        <w:t>The ACMA has assessed whether the instrument is compatible with human rights, being the rights and freedoms recognised or declared by the international instruments listed in subsection 3(1) of the</w:t>
      </w:r>
      <w:r w:rsidRPr="0010166D">
        <w:rPr>
          <w:rFonts w:ascii="Times New Roman" w:eastAsia="Times New Roman" w:hAnsi="Times New Roman" w:cs="Times New Roman"/>
          <w:i/>
          <w:color w:val="000000" w:themeColor="text1"/>
          <w:lang w:eastAsia="en-AU"/>
        </w:rPr>
        <w:t xml:space="preserve"> Human Rights (Parliamentary Scrutiny) Act 2011 </w:t>
      </w:r>
      <w:r w:rsidRPr="0010166D">
        <w:rPr>
          <w:rFonts w:ascii="Times New Roman" w:eastAsia="Times New Roman" w:hAnsi="Times New Roman" w:cs="Times New Roman"/>
          <w:color w:val="000000" w:themeColor="text1"/>
          <w:lang w:eastAsia="en-AU"/>
        </w:rPr>
        <w:t xml:space="preserve">as they apply to Australia. </w:t>
      </w:r>
    </w:p>
    <w:p w14:paraId="3FD63DDD" w14:textId="77777777" w:rsidR="004B2EE3" w:rsidRPr="0010166D" w:rsidRDefault="004B2EE3" w:rsidP="004B2EE3">
      <w:pPr>
        <w:tabs>
          <w:tab w:val="left" w:pos="1560"/>
        </w:tabs>
        <w:spacing w:after="0" w:line="240" w:lineRule="auto"/>
        <w:rPr>
          <w:rFonts w:ascii="Times New Roman" w:eastAsia="Times New Roman" w:hAnsi="Times New Roman" w:cs="Times New Roman"/>
          <w:color w:val="000000" w:themeColor="text1"/>
          <w:lang w:eastAsia="en-AU"/>
        </w:rPr>
      </w:pPr>
    </w:p>
    <w:p w14:paraId="77E9335F" w14:textId="1910204D" w:rsidR="0010166D" w:rsidRDefault="0010166D" w:rsidP="004B2EE3">
      <w:pPr>
        <w:tabs>
          <w:tab w:val="left" w:pos="1560"/>
        </w:tabs>
        <w:spacing w:after="0" w:line="240" w:lineRule="auto"/>
        <w:rPr>
          <w:rFonts w:ascii="Times New Roman" w:eastAsia="Times New Roman" w:hAnsi="Times New Roman" w:cs="Times New Roman"/>
          <w:color w:val="000000" w:themeColor="text1"/>
          <w:lang w:eastAsia="en-AU"/>
        </w:rPr>
      </w:pPr>
      <w:r w:rsidRPr="0010166D">
        <w:rPr>
          <w:rFonts w:ascii="Times New Roman" w:eastAsia="Times New Roman" w:hAnsi="Times New Roman" w:cs="Times New Roman"/>
          <w:color w:val="000000" w:themeColor="text1"/>
          <w:lang w:eastAsia="en-AU"/>
        </w:rPr>
        <w:t xml:space="preserve">Having considered the likely impact of the instrument and the nature of the applicable rights and freedoms, the ACMA has formed the view that the instrument does not engage any of those rights or freedoms.  </w:t>
      </w:r>
    </w:p>
    <w:p w14:paraId="1AB3FBB9" w14:textId="77777777" w:rsidR="004B2EE3" w:rsidRPr="0010166D" w:rsidRDefault="004B2EE3" w:rsidP="004B2EE3">
      <w:pPr>
        <w:tabs>
          <w:tab w:val="left" w:pos="1560"/>
        </w:tabs>
        <w:spacing w:after="0" w:line="240" w:lineRule="auto"/>
        <w:rPr>
          <w:rFonts w:ascii="Times New Roman" w:eastAsia="Times New Roman" w:hAnsi="Times New Roman" w:cs="Times New Roman"/>
          <w:color w:val="000000" w:themeColor="text1"/>
          <w:lang w:eastAsia="en-AU"/>
        </w:rPr>
      </w:pPr>
    </w:p>
    <w:p w14:paraId="4864B04F" w14:textId="77777777" w:rsidR="0010166D" w:rsidRPr="0010166D" w:rsidRDefault="0010166D" w:rsidP="0010166D">
      <w:pPr>
        <w:tabs>
          <w:tab w:val="left" w:pos="1560"/>
        </w:tabs>
        <w:rPr>
          <w:rFonts w:ascii="Times New Roman" w:eastAsia="Times New Roman" w:hAnsi="Times New Roman" w:cs="Times New Roman"/>
          <w:b/>
          <w:i/>
          <w:color w:val="000000" w:themeColor="text1"/>
          <w:lang w:eastAsia="en-AU"/>
        </w:rPr>
      </w:pPr>
      <w:r w:rsidRPr="0010166D">
        <w:rPr>
          <w:rFonts w:ascii="Times New Roman" w:eastAsia="Times New Roman" w:hAnsi="Times New Roman" w:cs="Times New Roman"/>
          <w:b/>
          <w:i/>
          <w:color w:val="000000" w:themeColor="text1"/>
          <w:lang w:eastAsia="en-AU"/>
        </w:rPr>
        <w:t>Conclusion</w:t>
      </w:r>
      <w:r w:rsidRPr="0010166D">
        <w:rPr>
          <w:rFonts w:ascii="Times New Roman" w:eastAsia="Times New Roman" w:hAnsi="Times New Roman" w:cs="Times New Roman"/>
          <w:b/>
          <w:i/>
          <w:color w:val="000000" w:themeColor="text1"/>
          <w:lang w:eastAsia="en-AU"/>
        </w:rPr>
        <w:tab/>
      </w:r>
    </w:p>
    <w:p w14:paraId="59CC96A5" w14:textId="77777777" w:rsidR="0010166D" w:rsidRPr="0010166D" w:rsidRDefault="0010166D" w:rsidP="0010166D">
      <w:pPr>
        <w:tabs>
          <w:tab w:val="left" w:pos="1560"/>
        </w:tabs>
        <w:rPr>
          <w:rFonts w:ascii="Times New Roman" w:eastAsia="Times New Roman" w:hAnsi="Times New Roman" w:cs="Times New Roman"/>
          <w:color w:val="000000" w:themeColor="text1"/>
          <w:lang w:eastAsia="en-AU"/>
        </w:rPr>
      </w:pPr>
      <w:r w:rsidRPr="0010166D">
        <w:rPr>
          <w:rFonts w:ascii="Times New Roman" w:eastAsia="Times New Roman" w:hAnsi="Times New Roman" w:cs="Times New Roman"/>
          <w:color w:val="000000" w:themeColor="text1"/>
          <w:lang w:eastAsia="en-AU"/>
        </w:rPr>
        <w:t>The instrument is compatible with human rights as it does not raise any human rights issues.</w:t>
      </w:r>
    </w:p>
    <w:p w14:paraId="49F7364D" w14:textId="77777777" w:rsidR="007C1E7D" w:rsidRDefault="007C1E7D" w:rsidP="00B17B50">
      <w:pPr>
        <w:spacing w:before="100" w:beforeAutospacing="1" w:after="100" w:afterAutospacing="1" w:line="240" w:lineRule="auto"/>
        <w:jc w:val="right"/>
        <w:rPr>
          <w:rFonts w:ascii="Times New Roman" w:eastAsia="Times New Roman" w:hAnsi="Times New Roman" w:cs="Times New Roman"/>
          <w:b/>
          <w:color w:val="000000"/>
          <w:lang w:eastAsia="en-AU"/>
        </w:rPr>
        <w:sectPr w:rsidR="007C1E7D" w:rsidSect="00733769">
          <w:pgSz w:w="11906" w:h="16838"/>
          <w:pgMar w:top="1440" w:right="1440" w:bottom="1440" w:left="1440" w:header="708" w:footer="708" w:gutter="0"/>
          <w:cols w:space="708"/>
          <w:docGrid w:linePitch="360"/>
        </w:sectPr>
      </w:pPr>
    </w:p>
    <w:p w14:paraId="5CBF4295" w14:textId="77AA3AA8" w:rsidR="00B17B50" w:rsidRPr="00A51826" w:rsidRDefault="00B17B50" w:rsidP="00B17B50">
      <w:pPr>
        <w:spacing w:before="100" w:beforeAutospacing="1" w:after="100" w:afterAutospacing="1" w:line="240" w:lineRule="auto"/>
        <w:jc w:val="right"/>
        <w:rPr>
          <w:rFonts w:ascii="Times New Roman" w:eastAsia="Times New Roman" w:hAnsi="Times New Roman" w:cs="Times New Roman"/>
          <w:b/>
          <w:color w:val="000000"/>
          <w:lang w:eastAsia="en-AU"/>
        </w:rPr>
      </w:pPr>
      <w:r w:rsidRPr="00A51826">
        <w:rPr>
          <w:rFonts w:ascii="Times New Roman" w:eastAsia="Times New Roman" w:hAnsi="Times New Roman" w:cs="Times New Roman"/>
          <w:b/>
          <w:color w:val="000000"/>
          <w:lang w:eastAsia="en-AU"/>
        </w:rPr>
        <w:t>ATTACHMENT</w:t>
      </w:r>
      <w:r w:rsidR="00723B3A" w:rsidRPr="00A51826">
        <w:rPr>
          <w:rFonts w:ascii="Times New Roman" w:eastAsia="Times New Roman" w:hAnsi="Times New Roman" w:cs="Times New Roman"/>
          <w:b/>
          <w:color w:val="000000"/>
          <w:lang w:eastAsia="en-AU"/>
        </w:rPr>
        <w:t xml:space="preserve"> A</w:t>
      </w:r>
    </w:p>
    <w:p w14:paraId="5CBF4296" w14:textId="2EEE6691" w:rsidR="00B17B50" w:rsidRPr="00BF197B" w:rsidRDefault="00BF197B" w:rsidP="00033303">
      <w:pPr>
        <w:spacing w:before="100" w:beforeAutospacing="1" w:after="100" w:afterAutospacing="1" w:line="240" w:lineRule="auto"/>
        <w:jc w:val="center"/>
        <w:rPr>
          <w:rFonts w:ascii="Times New Roman" w:eastAsia="Times New Roman" w:hAnsi="Times New Roman" w:cs="Times New Roman"/>
          <w:b/>
          <w:i/>
          <w:iCs/>
          <w:color w:val="000000"/>
          <w:sz w:val="28"/>
          <w:szCs w:val="28"/>
          <w:lang w:eastAsia="en-AU"/>
        </w:rPr>
      </w:pPr>
      <w:r>
        <w:rPr>
          <w:rFonts w:ascii="Times New Roman" w:eastAsia="Times New Roman" w:hAnsi="Times New Roman" w:cs="Times New Roman"/>
          <w:b/>
          <w:color w:val="000000"/>
          <w:sz w:val="28"/>
          <w:szCs w:val="28"/>
          <w:lang w:eastAsia="en-AU"/>
        </w:rPr>
        <w:t xml:space="preserve">Notes to the </w:t>
      </w:r>
      <w:r>
        <w:rPr>
          <w:rFonts w:ascii="Times New Roman" w:eastAsia="Times New Roman" w:hAnsi="Times New Roman" w:cs="Times New Roman"/>
          <w:b/>
          <w:i/>
          <w:iCs/>
          <w:color w:val="000000"/>
          <w:sz w:val="28"/>
          <w:szCs w:val="28"/>
          <w:lang w:eastAsia="en-AU"/>
        </w:rPr>
        <w:t>Telecommunications (Infringement Notices) Guidelines 2022</w:t>
      </w:r>
    </w:p>
    <w:p w14:paraId="5CBF4297" w14:textId="77777777" w:rsidR="00B17B50" w:rsidRPr="00A51826" w:rsidRDefault="00B17B50" w:rsidP="00B17B50">
      <w:pPr>
        <w:spacing w:before="100" w:beforeAutospacing="1" w:after="100" w:afterAutospacing="1" w:line="240" w:lineRule="auto"/>
        <w:rPr>
          <w:rFonts w:ascii="Times New Roman" w:eastAsia="Times New Roman" w:hAnsi="Times New Roman" w:cs="Times New Roman"/>
          <w:b/>
          <w:color w:val="000000"/>
          <w:lang w:eastAsia="en-AU"/>
        </w:rPr>
      </w:pPr>
      <w:r w:rsidRPr="00A51826">
        <w:rPr>
          <w:rFonts w:ascii="Times New Roman" w:eastAsia="Times New Roman" w:hAnsi="Times New Roman" w:cs="Times New Roman"/>
          <w:b/>
          <w:color w:val="000000"/>
          <w:lang w:eastAsia="en-AU"/>
        </w:rPr>
        <w:t>Section 1</w:t>
      </w:r>
      <w:r w:rsidRPr="00A51826">
        <w:rPr>
          <w:rFonts w:ascii="Times New Roman" w:eastAsia="Times New Roman" w:hAnsi="Times New Roman" w:cs="Times New Roman"/>
          <w:b/>
          <w:color w:val="000000"/>
          <w:lang w:eastAsia="en-AU"/>
        </w:rPr>
        <w:tab/>
        <w:t xml:space="preserve">Name of </w:t>
      </w:r>
      <w:r w:rsidR="00C249CC" w:rsidRPr="00A51826">
        <w:rPr>
          <w:rFonts w:ascii="Times New Roman" w:eastAsia="Times New Roman" w:hAnsi="Times New Roman" w:cs="Times New Roman"/>
          <w:b/>
          <w:color w:val="000000"/>
          <w:lang w:eastAsia="en-AU"/>
        </w:rPr>
        <w:t>Guidelines</w:t>
      </w:r>
    </w:p>
    <w:p w14:paraId="5CBF4298" w14:textId="6130313E" w:rsidR="004F2FB0" w:rsidRPr="00A51826" w:rsidRDefault="00D32E36" w:rsidP="00B17B50">
      <w:pPr>
        <w:spacing w:before="100" w:beforeAutospacing="1" w:after="100" w:afterAutospacing="1" w:line="240" w:lineRule="auto"/>
        <w:rPr>
          <w:rFonts w:ascii="Times New Roman" w:eastAsia="Times New Roman" w:hAnsi="Times New Roman" w:cs="Times New Roman"/>
          <w:i/>
          <w:color w:val="000000"/>
          <w:lang w:eastAsia="en-AU"/>
        </w:rPr>
      </w:pPr>
      <w:r>
        <w:rPr>
          <w:rFonts w:ascii="Times New Roman" w:eastAsia="Times New Roman" w:hAnsi="Times New Roman" w:cs="Times New Roman"/>
          <w:color w:val="000000"/>
          <w:lang w:eastAsia="en-AU"/>
        </w:rPr>
        <w:t>This section provides for the</w:t>
      </w:r>
      <w:r w:rsidR="00B17B50" w:rsidRPr="00A51826">
        <w:rPr>
          <w:rFonts w:ascii="Times New Roman" w:eastAsia="Times New Roman" w:hAnsi="Times New Roman" w:cs="Times New Roman"/>
          <w:color w:val="000000"/>
          <w:lang w:eastAsia="en-AU"/>
        </w:rPr>
        <w:t xml:space="preserve"> </w:t>
      </w:r>
      <w:r w:rsidR="00C249CC" w:rsidRPr="00A51826">
        <w:rPr>
          <w:rFonts w:ascii="Times New Roman" w:eastAsia="Times New Roman" w:hAnsi="Times New Roman" w:cs="Times New Roman"/>
          <w:color w:val="000000"/>
          <w:lang w:eastAsia="en-AU"/>
        </w:rPr>
        <w:t>Guidelines</w:t>
      </w:r>
      <w:r w:rsidR="00B17B50" w:rsidRPr="00A51826">
        <w:rPr>
          <w:rFonts w:ascii="Times New Roman" w:eastAsia="Times New Roman" w:hAnsi="Times New Roman" w:cs="Times New Roman"/>
          <w:color w:val="000000"/>
          <w:lang w:eastAsia="en-AU"/>
        </w:rPr>
        <w:t xml:space="preserve"> </w:t>
      </w:r>
      <w:r w:rsidR="009B3321">
        <w:rPr>
          <w:rFonts w:ascii="Times New Roman" w:eastAsia="Times New Roman" w:hAnsi="Times New Roman" w:cs="Times New Roman"/>
          <w:color w:val="000000"/>
          <w:lang w:eastAsia="en-AU"/>
        </w:rPr>
        <w:t>to be cited as the</w:t>
      </w:r>
      <w:r w:rsidR="00B17B50" w:rsidRPr="00A51826">
        <w:rPr>
          <w:rFonts w:ascii="Times New Roman" w:eastAsia="Times New Roman" w:hAnsi="Times New Roman" w:cs="Times New Roman"/>
          <w:color w:val="000000"/>
          <w:lang w:eastAsia="en-AU"/>
        </w:rPr>
        <w:t xml:space="preserve"> </w:t>
      </w:r>
      <w:r w:rsidR="00B17B50" w:rsidRPr="00A51826">
        <w:rPr>
          <w:rFonts w:ascii="Times New Roman" w:eastAsia="Times New Roman" w:hAnsi="Times New Roman" w:cs="Times New Roman"/>
          <w:i/>
          <w:color w:val="000000"/>
          <w:lang w:eastAsia="en-AU"/>
        </w:rPr>
        <w:t xml:space="preserve">Telecommunications </w:t>
      </w:r>
      <w:r w:rsidR="00C249CC" w:rsidRPr="00A51826">
        <w:rPr>
          <w:rFonts w:ascii="Times New Roman" w:eastAsia="Times New Roman" w:hAnsi="Times New Roman" w:cs="Times New Roman"/>
          <w:i/>
          <w:color w:val="000000"/>
          <w:lang w:eastAsia="en-AU"/>
        </w:rPr>
        <w:t>(</w:t>
      </w:r>
      <w:r w:rsidR="004F2FB0" w:rsidRPr="00A51826">
        <w:rPr>
          <w:rFonts w:ascii="Times New Roman" w:eastAsia="Times New Roman" w:hAnsi="Times New Roman" w:cs="Times New Roman"/>
          <w:i/>
          <w:color w:val="000000"/>
          <w:lang w:eastAsia="en-AU"/>
        </w:rPr>
        <w:t>Infringement Notice</w:t>
      </w:r>
      <w:r w:rsidR="00C249CC" w:rsidRPr="00A51826">
        <w:rPr>
          <w:rFonts w:ascii="Times New Roman" w:eastAsia="Times New Roman" w:hAnsi="Times New Roman" w:cs="Times New Roman"/>
          <w:i/>
          <w:color w:val="000000"/>
          <w:lang w:eastAsia="en-AU"/>
        </w:rPr>
        <w:t>s)</w:t>
      </w:r>
      <w:r w:rsidR="004F2FB0" w:rsidRPr="00A51826">
        <w:rPr>
          <w:rFonts w:ascii="Times New Roman" w:eastAsia="Times New Roman" w:hAnsi="Times New Roman" w:cs="Times New Roman"/>
          <w:i/>
          <w:color w:val="000000"/>
          <w:lang w:eastAsia="en-AU"/>
        </w:rPr>
        <w:t xml:space="preserve"> Guidelines </w:t>
      </w:r>
      <w:r w:rsidR="00C249CC" w:rsidRPr="00A51826">
        <w:rPr>
          <w:rFonts w:ascii="Times New Roman" w:eastAsia="Times New Roman" w:hAnsi="Times New Roman" w:cs="Times New Roman"/>
          <w:i/>
          <w:color w:val="000000"/>
          <w:lang w:eastAsia="en-AU"/>
        </w:rPr>
        <w:t>20</w:t>
      </w:r>
      <w:r w:rsidR="005054B8">
        <w:rPr>
          <w:rFonts w:ascii="Times New Roman" w:eastAsia="Times New Roman" w:hAnsi="Times New Roman" w:cs="Times New Roman"/>
          <w:i/>
          <w:color w:val="000000"/>
          <w:lang w:eastAsia="en-AU"/>
        </w:rPr>
        <w:t>22</w:t>
      </w:r>
      <w:r w:rsidR="00662BC2">
        <w:rPr>
          <w:rFonts w:ascii="Times New Roman" w:eastAsia="Times New Roman" w:hAnsi="Times New Roman" w:cs="Times New Roman"/>
          <w:i/>
          <w:color w:val="000000"/>
          <w:lang w:eastAsia="en-AU"/>
        </w:rPr>
        <w:t xml:space="preserve"> </w:t>
      </w:r>
      <w:r w:rsidR="00662BC2">
        <w:rPr>
          <w:rFonts w:ascii="Times New Roman" w:eastAsia="Times New Roman" w:hAnsi="Times New Roman" w:cs="Times New Roman"/>
          <w:iCs/>
          <w:color w:val="000000"/>
          <w:lang w:eastAsia="en-AU"/>
        </w:rPr>
        <w:t xml:space="preserve">(the </w:t>
      </w:r>
      <w:r w:rsidR="00662BC2">
        <w:rPr>
          <w:rFonts w:ascii="Times New Roman" w:eastAsia="Times New Roman" w:hAnsi="Times New Roman" w:cs="Times New Roman"/>
          <w:b/>
          <w:bCs/>
          <w:iCs/>
          <w:color w:val="000000"/>
          <w:lang w:eastAsia="en-AU"/>
        </w:rPr>
        <w:t>Guidelines</w:t>
      </w:r>
      <w:r w:rsidR="00662BC2">
        <w:rPr>
          <w:rFonts w:ascii="Times New Roman" w:eastAsia="Times New Roman" w:hAnsi="Times New Roman" w:cs="Times New Roman"/>
          <w:iCs/>
          <w:color w:val="000000"/>
          <w:lang w:eastAsia="en-AU"/>
        </w:rPr>
        <w:t>)</w:t>
      </w:r>
      <w:r w:rsidR="004F2FB0" w:rsidRPr="00A51826">
        <w:rPr>
          <w:rFonts w:ascii="Times New Roman" w:eastAsia="Times New Roman" w:hAnsi="Times New Roman" w:cs="Times New Roman"/>
          <w:i/>
          <w:color w:val="000000"/>
          <w:lang w:eastAsia="en-AU"/>
        </w:rPr>
        <w:t>.</w:t>
      </w:r>
    </w:p>
    <w:p w14:paraId="5CBF4299" w14:textId="77777777" w:rsidR="00B17B50" w:rsidRPr="00A51826" w:rsidRDefault="00B17B50" w:rsidP="00B17B50">
      <w:pPr>
        <w:spacing w:before="100" w:beforeAutospacing="1" w:after="100" w:afterAutospacing="1" w:line="240" w:lineRule="auto"/>
        <w:rPr>
          <w:rFonts w:ascii="Times New Roman" w:eastAsia="Times New Roman" w:hAnsi="Times New Roman" w:cs="Times New Roman"/>
          <w:b/>
          <w:color w:val="000000"/>
          <w:lang w:eastAsia="en-AU"/>
        </w:rPr>
      </w:pPr>
      <w:r w:rsidRPr="00A51826">
        <w:rPr>
          <w:rFonts w:ascii="Times New Roman" w:eastAsia="Times New Roman" w:hAnsi="Times New Roman" w:cs="Times New Roman"/>
          <w:b/>
          <w:color w:val="000000"/>
          <w:lang w:eastAsia="en-AU"/>
        </w:rPr>
        <w:t>Section 2</w:t>
      </w:r>
      <w:r w:rsidRPr="00A51826">
        <w:rPr>
          <w:rFonts w:ascii="Times New Roman" w:eastAsia="Times New Roman" w:hAnsi="Times New Roman" w:cs="Times New Roman"/>
          <w:b/>
          <w:color w:val="000000"/>
          <w:lang w:eastAsia="en-AU"/>
        </w:rPr>
        <w:tab/>
        <w:t>Commencement</w:t>
      </w:r>
    </w:p>
    <w:p w14:paraId="5CBF429A" w14:textId="7B29F10C" w:rsidR="00B17B50" w:rsidRDefault="004A7D5A" w:rsidP="00B17B50">
      <w:pPr>
        <w:spacing w:before="100" w:beforeAutospacing="1" w:after="100" w:afterAutospacing="1" w:line="240" w:lineRule="auto"/>
        <w:rPr>
          <w:rFonts w:ascii="Times New Roman" w:eastAsia="Times New Roman" w:hAnsi="Times New Roman" w:cs="Times New Roman"/>
          <w:color w:val="000000"/>
          <w:lang w:eastAsia="en-AU"/>
        </w:rPr>
      </w:pPr>
      <w:r w:rsidRPr="00A51826">
        <w:rPr>
          <w:rFonts w:ascii="Times New Roman" w:eastAsia="Times New Roman" w:hAnsi="Times New Roman" w:cs="Times New Roman"/>
          <w:color w:val="000000"/>
          <w:lang w:eastAsia="en-AU"/>
        </w:rPr>
        <w:t>Section 2 provides that t</w:t>
      </w:r>
      <w:r w:rsidR="00B17B50" w:rsidRPr="00A51826">
        <w:rPr>
          <w:rFonts w:ascii="Times New Roman" w:eastAsia="Times New Roman" w:hAnsi="Times New Roman" w:cs="Times New Roman"/>
          <w:color w:val="000000"/>
          <w:lang w:eastAsia="en-AU"/>
        </w:rPr>
        <w:t xml:space="preserve">he </w:t>
      </w:r>
      <w:r w:rsidRPr="00A51826">
        <w:rPr>
          <w:rFonts w:ascii="Times New Roman" w:eastAsia="Times New Roman" w:hAnsi="Times New Roman" w:cs="Times New Roman"/>
          <w:color w:val="000000"/>
          <w:lang w:eastAsia="en-AU"/>
        </w:rPr>
        <w:t>Guidelines commence</w:t>
      </w:r>
      <w:r w:rsidR="00B17B50" w:rsidRPr="00A51826">
        <w:rPr>
          <w:rFonts w:ascii="Times New Roman" w:eastAsia="Times New Roman" w:hAnsi="Times New Roman" w:cs="Times New Roman"/>
          <w:color w:val="000000"/>
          <w:lang w:eastAsia="en-AU"/>
        </w:rPr>
        <w:t xml:space="preserve"> on </w:t>
      </w:r>
      <w:r w:rsidR="004F2FB0" w:rsidRPr="00A51826">
        <w:rPr>
          <w:rFonts w:ascii="Times New Roman" w:eastAsia="Times New Roman" w:hAnsi="Times New Roman" w:cs="Times New Roman"/>
          <w:color w:val="000000"/>
          <w:lang w:eastAsia="en-AU"/>
        </w:rPr>
        <w:t xml:space="preserve">the day after </w:t>
      </w:r>
      <w:r w:rsidRPr="00A51826">
        <w:rPr>
          <w:rFonts w:ascii="Times New Roman" w:eastAsia="Times New Roman" w:hAnsi="Times New Roman" w:cs="Times New Roman"/>
          <w:color w:val="000000"/>
          <w:lang w:eastAsia="en-AU"/>
        </w:rPr>
        <w:t>they are</w:t>
      </w:r>
      <w:r w:rsidR="004F2FB0" w:rsidRPr="00A51826">
        <w:rPr>
          <w:rFonts w:ascii="Times New Roman" w:eastAsia="Times New Roman" w:hAnsi="Times New Roman" w:cs="Times New Roman"/>
          <w:color w:val="000000"/>
          <w:lang w:eastAsia="en-AU"/>
        </w:rPr>
        <w:t xml:space="preserve"> registered on the Federal Register of Legislative Instruments</w:t>
      </w:r>
      <w:r w:rsidR="00B17B50" w:rsidRPr="00A51826">
        <w:rPr>
          <w:rFonts w:ascii="Times New Roman" w:eastAsia="Times New Roman" w:hAnsi="Times New Roman" w:cs="Times New Roman"/>
          <w:color w:val="000000"/>
          <w:lang w:eastAsia="en-AU"/>
        </w:rPr>
        <w:t>.</w:t>
      </w:r>
    </w:p>
    <w:p w14:paraId="79ACD904" w14:textId="77777777" w:rsidR="001814FE" w:rsidRPr="001814FE" w:rsidRDefault="001814FE" w:rsidP="001814FE">
      <w:pPr>
        <w:spacing w:before="100" w:beforeAutospacing="1" w:after="100" w:afterAutospacing="1" w:line="240" w:lineRule="auto"/>
        <w:rPr>
          <w:rFonts w:ascii="Times New Roman" w:eastAsia="Times New Roman" w:hAnsi="Times New Roman" w:cs="Times New Roman"/>
          <w:color w:val="000000"/>
          <w:lang w:eastAsia="en-AU"/>
        </w:rPr>
      </w:pPr>
      <w:r w:rsidRPr="001814FE">
        <w:rPr>
          <w:rFonts w:ascii="Times New Roman" w:eastAsia="Times New Roman" w:hAnsi="Times New Roman" w:cs="Times New Roman"/>
          <w:color w:val="000000"/>
          <w:lang w:eastAsia="en-AU"/>
        </w:rPr>
        <w:t xml:space="preserve">The Federal Register of Legislation may be accessed free of charge at </w:t>
      </w:r>
      <w:hyperlink r:id="rId10" w:history="1">
        <w:r w:rsidRPr="001814FE">
          <w:rPr>
            <w:rStyle w:val="Hyperlink"/>
            <w:rFonts w:ascii="Times New Roman" w:eastAsia="Times New Roman" w:hAnsi="Times New Roman" w:cs="Times New Roman"/>
            <w:lang w:eastAsia="en-AU"/>
          </w:rPr>
          <w:t>www.legislation.gov.au</w:t>
        </w:r>
      </w:hyperlink>
      <w:r w:rsidRPr="001814FE">
        <w:rPr>
          <w:rFonts w:ascii="Times New Roman" w:eastAsia="Times New Roman" w:hAnsi="Times New Roman" w:cs="Times New Roman"/>
          <w:color w:val="000000"/>
          <w:lang w:eastAsia="en-AU"/>
        </w:rPr>
        <w:t>.</w:t>
      </w:r>
    </w:p>
    <w:p w14:paraId="45442B62" w14:textId="40515F9C" w:rsidR="00CC35F9" w:rsidRDefault="004F2FB0" w:rsidP="00B17B50">
      <w:pPr>
        <w:spacing w:before="100" w:beforeAutospacing="1" w:after="100" w:afterAutospacing="1" w:line="240" w:lineRule="auto"/>
        <w:rPr>
          <w:rFonts w:ascii="Times New Roman" w:eastAsia="Times New Roman" w:hAnsi="Times New Roman" w:cs="Times New Roman"/>
          <w:b/>
          <w:color w:val="000000"/>
          <w:lang w:eastAsia="en-AU"/>
        </w:rPr>
      </w:pPr>
      <w:r w:rsidRPr="00A51826">
        <w:rPr>
          <w:rFonts w:ascii="Times New Roman" w:eastAsia="Times New Roman" w:hAnsi="Times New Roman" w:cs="Times New Roman"/>
          <w:b/>
          <w:color w:val="000000"/>
          <w:lang w:eastAsia="en-AU"/>
        </w:rPr>
        <w:t>Section 3</w:t>
      </w:r>
      <w:r w:rsidRPr="00A51826">
        <w:rPr>
          <w:rFonts w:ascii="Times New Roman" w:eastAsia="Times New Roman" w:hAnsi="Times New Roman" w:cs="Times New Roman"/>
          <w:b/>
          <w:color w:val="000000"/>
          <w:lang w:eastAsia="en-AU"/>
        </w:rPr>
        <w:tab/>
      </w:r>
      <w:r w:rsidR="00003D85">
        <w:rPr>
          <w:rFonts w:ascii="Times New Roman" w:eastAsia="Times New Roman" w:hAnsi="Times New Roman" w:cs="Times New Roman"/>
          <w:b/>
          <w:color w:val="000000"/>
          <w:lang w:eastAsia="en-AU"/>
        </w:rPr>
        <w:t>Authority</w:t>
      </w:r>
    </w:p>
    <w:p w14:paraId="0CCDC921" w14:textId="1820BE1E" w:rsidR="00003D85" w:rsidRDefault="005153B4" w:rsidP="00B17B50">
      <w:pPr>
        <w:spacing w:before="100" w:beforeAutospacing="1" w:after="100" w:afterAutospacing="1" w:line="240" w:lineRule="auto"/>
        <w:rPr>
          <w:rFonts w:ascii="Times New Roman" w:eastAsia="Times New Roman" w:hAnsi="Times New Roman" w:cs="Times New Roman"/>
          <w:bCs/>
          <w:color w:val="000000"/>
          <w:lang w:eastAsia="en-AU"/>
        </w:rPr>
      </w:pPr>
      <w:r w:rsidRPr="005153B4">
        <w:rPr>
          <w:rFonts w:ascii="Times New Roman" w:eastAsia="Times New Roman" w:hAnsi="Times New Roman" w:cs="Times New Roman"/>
          <w:bCs/>
          <w:color w:val="000000"/>
          <w:lang w:eastAsia="en-AU"/>
        </w:rPr>
        <w:t xml:space="preserve">This </w:t>
      </w:r>
      <w:r w:rsidR="00A260B3">
        <w:rPr>
          <w:rFonts w:ascii="Times New Roman" w:eastAsia="Times New Roman" w:hAnsi="Times New Roman" w:cs="Times New Roman"/>
          <w:bCs/>
          <w:color w:val="000000"/>
          <w:lang w:eastAsia="en-AU"/>
        </w:rPr>
        <w:t>section</w:t>
      </w:r>
      <w:r w:rsidRPr="005153B4">
        <w:rPr>
          <w:rFonts w:ascii="Times New Roman" w:eastAsia="Times New Roman" w:hAnsi="Times New Roman" w:cs="Times New Roman"/>
          <w:bCs/>
          <w:color w:val="000000"/>
          <w:lang w:eastAsia="en-AU"/>
        </w:rPr>
        <w:t xml:space="preserve"> identifies the provision that authorises the making of</w:t>
      </w:r>
      <w:r w:rsidRPr="005153B4" w:rsidDel="00C41F72">
        <w:rPr>
          <w:rFonts w:ascii="Times New Roman" w:eastAsia="Times New Roman" w:hAnsi="Times New Roman" w:cs="Times New Roman"/>
          <w:bCs/>
          <w:color w:val="000000"/>
          <w:lang w:eastAsia="en-AU"/>
        </w:rPr>
        <w:t xml:space="preserve"> </w:t>
      </w:r>
      <w:r w:rsidRPr="005153B4">
        <w:rPr>
          <w:rFonts w:ascii="Times New Roman" w:eastAsia="Times New Roman" w:hAnsi="Times New Roman" w:cs="Times New Roman"/>
          <w:bCs/>
          <w:color w:val="000000"/>
          <w:lang w:eastAsia="en-AU"/>
        </w:rPr>
        <w:t>the Guidelines, namely</w:t>
      </w:r>
      <w:r>
        <w:rPr>
          <w:rFonts w:ascii="Times New Roman" w:eastAsia="Times New Roman" w:hAnsi="Times New Roman" w:cs="Times New Roman"/>
          <w:bCs/>
          <w:color w:val="000000"/>
          <w:lang w:eastAsia="en-AU"/>
        </w:rPr>
        <w:t xml:space="preserve"> subsection</w:t>
      </w:r>
      <w:r w:rsidR="001814FE">
        <w:rPr>
          <w:rFonts w:ascii="Times New Roman" w:eastAsia="Times New Roman" w:hAnsi="Times New Roman" w:cs="Times New Roman"/>
          <w:bCs/>
          <w:color w:val="000000"/>
          <w:lang w:eastAsia="en-AU"/>
        </w:rPr>
        <w:t> </w:t>
      </w:r>
      <w:r>
        <w:rPr>
          <w:rFonts w:ascii="Times New Roman" w:eastAsia="Times New Roman" w:hAnsi="Times New Roman" w:cs="Times New Roman"/>
          <w:bCs/>
          <w:color w:val="000000"/>
          <w:lang w:eastAsia="en-AU"/>
        </w:rPr>
        <w:t>572</w:t>
      </w:r>
      <w:proofErr w:type="gramStart"/>
      <w:r>
        <w:rPr>
          <w:rFonts w:ascii="Times New Roman" w:eastAsia="Times New Roman" w:hAnsi="Times New Roman" w:cs="Times New Roman"/>
          <w:bCs/>
          <w:color w:val="000000"/>
          <w:lang w:eastAsia="en-AU"/>
        </w:rPr>
        <w:t>M</w:t>
      </w:r>
      <w:r w:rsidR="00D35568">
        <w:rPr>
          <w:rFonts w:ascii="Times New Roman" w:eastAsia="Times New Roman" w:hAnsi="Times New Roman" w:cs="Times New Roman"/>
          <w:bCs/>
          <w:color w:val="000000"/>
          <w:lang w:eastAsia="en-AU"/>
        </w:rPr>
        <w:t>(</w:t>
      </w:r>
      <w:proofErr w:type="gramEnd"/>
      <w:r w:rsidR="00D35568">
        <w:rPr>
          <w:rFonts w:ascii="Times New Roman" w:eastAsia="Times New Roman" w:hAnsi="Times New Roman" w:cs="Times New Roman"/>
          <w:bCs/>
          <w:color w:val="000000"/>
          <w:lang w:eastAsia="en-AU"/>
        </w:rPr>
        <w:t xml:space="preserve">2) of the </w:t>
      </w:r>
      <w:r w:rsidR="00597E37" w:rsidRPr="00597E37">
        <w:rPr>
          <w:rFonts w:ascii="Times New Roman" w:eastAsia="Times New Roman" w:hAnsi="Times New Roman" w:cs="Times New Roman"/>
          <w:bCs/>
          <w:i/>
          <w:color w:val="000000"/>
          <w:lang w:eastAsia="en-AU"/>
        </w:rPr>
        <w:t>Telecommunications Act 1997</w:t>
      </w:r>
      <w:r w:rsidR="00597E37" w:rsidRPr="00597E37">
        <w:rPr>
          <w:rFonts w:ascii="Times New Roman" w:eastAsia="Times New Roman" w:hAnsi="Times New Roman" w:cs="Times New Roman"/>
          <w:bCs/>
          <w:color w:val="000000"/>
          <w:lang w:eastAsia="en-AU"/>
        </w:rPr>
        <w:t xml:space="preserve"> (the </w:t>
      </w:r>
      <w:r w:rsidR="00D35568" w:rsidRPr="00A51826">
        <w:rPr>
          <w:rFonts w:ascii="Times New Roman" w:eastAsia="Times New Roman" w:hAnsi="Times New Roman" w:cs="Times New Roman"/>
          <w:b/>
          <w:color w:val="000000"/>
          <w:lang w:eastAsia="en-AU"/>
        </w:rPr>
        <w:t>Telecommunications Act</w:t>
      </w:r>
      <w:r w:rsidR="00597E37">
        <w:rPr>
          <w:rFonts w:ascii="Times New Roman" w:eastAsia="Times New Roman" w:hAnsi="Times New Roman" w:cs="Times New Roman"/>
          <w:bCs/>
          <w:color w:val="000000"/>
          <w:lang w:eastAsia="en-AU"/>
        </w:rPr>
        <w:t>)</w:t>
      </w:r>
      <w:r w:rsidR="00D35568">
        <w:rPr>
          <w:rFonts w:ascii="Times New Roman" w:eastAsia="Times New Roman" w:hAnsi="Times New Roman" w:cs="Times New Roman"/>
          <w:bCs/>
          <w:color w:val="000000"/>
          <w:lang w:eastAsia="en-AU"/>
        </w:rPr>
        <w:t xml:space="preserve">. </w:t>
      </w:r>
    </w:p>
    <w:p w14:paraId="77E0F2A5" w14:textId="18E8DDDE" w:rsidR="00D35568" w:rsidRDefault="00D35568" w:rsidP="00B17B50">
      <w:pPr>
        <w:spacing w:before="100" w:beforeAutospacing="1" w:after="100" w:afterAutospacing="1" w:line="240" w:lineRule="auto"/>
        <w:rPr>
          <w:rFonts w:ascii="Times New Roman" w:eastAsia="Times New Roman" w:hAnsi="Times New Roman" w:cs="Times New Roman"/>
          <w:bCs/>
          <w:color w:val="000000"/>
          <w:lang w:eastAsia="en-AU"/>
        </w:rPr>
      </w:pPr>
      <w:r>
        <w:rPr>
          <w:rFonts w:ascii="Times New Roman" w:eastAsia="Times New Roman" w:hAnsi="Times New Roman" w:cs="Times New Roman"/>
          <w:b/>
          <w:color w:val="000000"/>
          <w:lang w:eastAsia="en-AU"/>
        </w:rPr>
        <w:t>Section 4</w:t>
      </w:r>
      <w:r>
        <w:rPr>
          <w:rFonts w:ascii="Times New Roman" w:eastAsia="Times New Roman" w:hAnsi="Times New Roman" w:cs="Times New Roman"/>
          <w:b/>
          <w:color w:val="000000"/>
          <w:lang w:eastAsia="en-AU"/>
        </w:rPr>
        <w:tab/>
        <w:t>Repeal</w:t>
      </w:r>
    </w:p>
    <w:p w14:paraId="38945E32" w14:textId="776F6E39" w:rsidR="00D35568" w:rsidRPr="00A51826" w:rsidRDefault="0063553A" w:rsidP="00B17B50">
      <w:pPr>
        <w:spacing w:before="100" w:beforeAutospacing="1" w:after="100" w:afterAutospacing="1" w:line="240" w:lineRule="auto"/>
        <w:rPr>
          <w:rFonts w:ascii="Times New Roman" w:eastAsia="Times New Roman" w:hAnsi="Times New Roman" w:cs="Times New Roman"/>
          <w:bCs/>
          <w:color w:val="000000"/>
          <w:lang w:eastAsia="en-AU"/>
        </w:rPr>
      </w:pPr>
      <w:r>
        <w:rPr>
          <w:rFonts w:ascii="Times New Roman" w:eastAsia="Times New Roman" w:hAnsi="Times New Roman" w:cs="Times New Roman"/>
          <w:bCs/>
          <w:color w:val="000000"/>
          <w:lang w:eastAsia="en-AU"/>
        </w:rPr>
        <w:t xml:space="preserve">Section 4 provides that the </w:t>
      </w:r>
      <w:r>
        <w:rPr>
          <w:rFonts w:ascii="Times New Roman" w:eastAsia="Times New Roman" w:hAnsi="Times New Roman" w:cs="Times New Roman"/>
          <w:bCs/>
          <w:i/>
          <w:iCs/>
          <w:color w:val="000000"/>
          <w:lang w:eastAsia="en-AU"/>
        </w:rPr>
        <w:t xml:space="preserve">Telecommunications (Infringement Notices) Guidelines 2011 </w:t>
      </w:r>
      <w:r w:rsidR="001D204D">
        <w:rPr>
          <w:rFonts w:ascii="Times New Roman" w:eastAsia="Times New Roman" w:hAnsi="Times New Roman" w:cs="Times New Roman"/>
          <w:bCs/>
          <w:color w:val="000000"/>
          <w:lang w:eastAsia="en-AU"/>
        </w:rPr>
        <w:t xml:space="preserve">are repealed. </w:t>
      </w:r>
    </w:p>
    <w:p w14:paraId="5CBF429B" w14:textId="08F3E632" w:rsidR="00B17B50" w:rsidRPr="00A51826" w:rsidRDefault="001D204D" w:rsidP="00B17B50">
      <w:pPr>
        <w:spacing w:before="100" w:beforeAutospacing="1" w:after="100" w:afterAutospacing="1" w:line="240" w:lineRule="auto"/>
        <w:rPr>
          <w:rFonts w:ascii="Times New Roman" w:eastAsia="Times New Roman" w:hAnsi="Times New Roman" w:cs="Times New Roman"/>
          <w:b/>
          <w:color w:val="000000"/>
          <w:lang w:eastAsia="en-AU"/>
        </w:rPr>
      </w:pPr>
      <w:r>
        <w:rPr>
          <w:rFonts w:ascii="Times New Roman" w:eastAsia="Times New Roman" w:hAnsi="Times New Roman" w:cs="Times New Roman"/>
          <w:b/>
          <w:color w:val="000000"/>
          <w:lang w:eastAsia="en-AU"/>
        </w:rPr>
        <w:t>Section 5</w:t>
      </w:r>
      <w:r>
        <w:rPr>
          <w:rFonts w:ascii="Times New Roman" w:eastAsia="Times New Roman" w:hAnsi="Times New Roman" w:cs="Times New Roman"/>
          <w:b/>
          <w:color w:val="000000"/>
          <w:lang w:eastAsia="en-AU"/>
        </w:rPr>
        <w:tab/>
      </w:r>
      <w:r w:rsidR="004F2FB0" w:rsidRPr="00A51826">
        <w:rPr>
          <w:rFonts w:ascii="Times New Roman" w:eastAsia="Times New Roman" w:hAnsi="Times New Roman" w:cs="Times New Roman"/>
          <w:b/>
          <w:color w:val="000000"/>
          <w:lang w:eastAsia="en-AU"/>
        </w:rPr>
        <w:t>Definitions</w:t>
      </w:r>
      <w:r w:rsidR="002D359C">
        <w:rPr>
          <w:rFonts w:ascii="Times New Roman" w:eastAsia="Times New Roman" w:hAnsi="Times New Roman" w:cs="Times New Roman"/>
          <w:b/>
          <w:color w:val="000000"/>
          <w:lang w:eastAsia="en-AU"/>
        </w:rPr>
        <w:t xml:space="preserve"> and interpretation</w:t>
      </w:r>
    </w:p>
    <w:p w14:paraId="5CBF429C" w14:textId="5A55EA1E" w:rsidR="00B17B50" w:rsidRPr="00A51826" w:rsidRDefault="001D204D" w:rsidP="00B17B50">
      <w:pPr>
        <w:spacing w:before="100" w:beforeAutospacing="1" w:after="100" w:afterAutospacing="1" w:line="240" w:lineRule="auto"/>
        <w:rPr>
          <w:rFonts w:ascii="Times New Roman" w:eastAsia="Times New Roman" w:hAnsi="Times New Roman" w:cs="Times New Roman"/>
          <w:i/>
          <w:color w:val="000000"/>
          <w:lang w:eastAsia="en-AU"/>
        </w:rPr>
      </w:pPr>
      <w:r>
        <w:rPr>
          <w:rFonts w:ascii="Times New Roman" w:eastAsia="Times New Roman" w:hAnsi="Times New Roman" w:cs="Times New Roman"/>
          <w:color w:val="000000"/>
          <w:lang w:eastAsia="en-AU"/>
        </w:rPr>
        <w:t>This section defines terms used in the Guidelines</w:t>
      </w:r>
    </w:p>
    <w:p w14:paraId="07EFFFF3" w14:textId="2D0362E8" w:rsidR="009E4454" w:rsidRDefault="004F2FB0" w:rsidP="00B17B50">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
          <w:color w:val="000000"/>
          <w:lang w:eastAsia="en-AU"/>
        </w:rPr>
        <w:t xml:space="preserve">Section </w:t>
      </w:r>
      <w:r w:rsidR="009E4454">
        <w:rPr>
          <w:rFonts w:ascii="Times New Roman" w:eastAsia="Times New Roman" w:hAnsi="Times New Roman" w:cs="Times New Roman"/>
          <w:b/>
          <w:color w:val="000000"/>
          <w:lang w:eastAsia="en-AU"/>
        </w:rPr>
        <w:t>6</w:t>
      </w:r>
      <w:r w:rsidR="009E4454">
        <w:rPr>
          <w:rFonts w:ascii="Times New Roman" w:eastAsia="Times New Roman" w:hAnsi="Times New Roman" w:cs="Times New Roman"/>
          <w:b/>
          <w:color w:val="000000"/>
          <w:lang w:eastAsia="en-AU"/>
        </w:rPr>
        <w:tab/>
        <w:t>References to other instruments</w:t>
      </w:r>
    </w:p>
    <w:p w14:paraId="313019E1" w14:textId="21C723FE" w:rsidR="00244964" w:rsidRPr="00244964" w:rsidRDefault="00244964" w:rsidP="00244964">
      <w:pPr>
        <w:spacing w:before="100" w:beforeAutospacing="1" w:after="100" w:afterAutospacing="1" w:line="240" w:lineRule="auto"/>
        <w:rPr>
          <w:rFonts w:ascii="Times New Roman" w:eastAsia="Times New Roman" w:hAnsi="Times New Roman" w:cs="Times New Roman"/>
          <w:bCs/>
          <w:color w:val="000000"/>
          <w:lang w:eastAsia="en-AU"/>
        </w:rPr>
      </w:pPr>
      <w:r w:rsidRPr="00244964">
        <w:rPr>
          <w:rFonts w:ascii="Times New Roman" w:eastAsia="Times New Roman" w:hAnsi="Times New Roman" w:cs="Times New Roman"/>
          <w:bCs/>
          <w:color w:val="000000"/>
          <w:lang w:eastAsia="en-AU"/>
        </w:rPr>
        <w:t xml:space="preserve">This section </w:t>
      </w:r>
      <w:r w:rsidR="00940D27" w:rsidRPr="00940D27">
        <w:rPr>
          <w:rFonts w:ascii="Times New Roman" w:eastAsia="Times New Roman" w:hAnsi="Times New Roman" w:cs="Times New Roman"/>
          <w:bCs/>
          <w:color w:val="000000"/>
          <w:lang w:eastAsia="en-AU"/>
        </w:rPr>
        <w:t xml:space="preserve">provides that in the </w:t>
      </w:r>
      <w:r w:rsidR="00940D27">
        <w:rPr>
          <w:rFonts w:ascii="Times New Roman" w:eastAsia="Times New Roman" w:hAnsi="Times New Roman" w:cs="Times New Roman"/>
          <w:bCs/>
          <w:color w:val="000000"/>
          <w:lang w:eastAsia="en-AU"/>
        </w:rPr>
        <w:t>Guidelines</w:t>
      </w:r>
      <w:r w:rsidRPr="00244964">
        <w:rPr>
          <w:rFonts w:ascii="Times New Roman" w:eastAsia="Times New Roman" w:hAnsi="Times New Roman" w:cs="Times New Roman"/>
          <w:bCs/>
          <w:color w:val="000000"/>
          <w:lang w:eastAsia="en-AU"/>
        </w:rPr>
        <w:t>, unless the contrary intention appears:</w:t>
      </w:r>
    </w:p>
    <w:p w14:paraId="1D5D8DA1" w14:textId="050FEB67" w:rsidR="00244964" w:rsidRPr="00AC3201" w:rsidRDefault="00244964" w:rsidP="00AC3201">
      <w:pPr>
        <w:pStyle w:val="ListParagraph"/>
        <w:numPr>
          <w:ilvl w:val="0"/>
          <w:numId w:val="22"/>
        </w:numPr>
        <w:spacing w:before="100" w:beforeAutospacing="1" w:after="100" w:afterAutospacing="1" w:line="240" w:lineRule="auto"/>
        <w:rPr>
          <w:rFonts w:ascii="Times New Roman" w:eastAsia="Times New Roman" w:hAnsi="Times New Roman" w:cs="Times New Roman"/>
          <w:bCs/>
          <w:color w:val="000000"/>
          <w:lang w:eastAsia="en-AU"/>
        </w:rPr>
      </w:pPr>
      <w:r w:rsidRPr="00AC3201">
        <w:rPr>
          <w:rFonts w:ascii="Times New Roman" w:eastAsia="Times New Roman" w:hAnsi="Times New Roman" w:cs="Times New Roman"/>
          <w:bCs/>
          <w:color w:val="000000"/>
          <w:lang w:eastAsia="en-AU"/>
        </w:rPr>
        <w:t>a reference to any other legislative instrument is a reference to that other legislative instrument as in force from time to time; and</w:t>
      </w:r>
    </w:p>
    <w:p w14:paraId="3721F959" w14:textId="0789F17B" w:rsidR="009E4454" w:rsidRPr="00AC3201" w:rsidRDefault="00244964" w:rsidP="00AC3201">
      <w:pPr>
        <w:pStyle w:val="ListParagraph"/>
        <w:numPr>
          <w:ilvl w:val="0"/>
          <w:numId w:val="22"/>
        </w:numPr>
        <w:spacing w:before="100" w:beforeAutospacing="1" w:after="100" w:afterAutospacing="1" w:line="240" w:lineRule="auto"/>
        <w:rPr>
          <w:rFonts w:ascii="Times New Roman" w:eastAsia="Times New Roman" w:hAnsi="Times New Roman" w:cs="Times New Roman"/>
          <w:bCs/>
          <w:color w:val="000000"/>
          <w:lang w:eastAsia="en-AU"/>
        </w:rPr>
      </w:pPr>
      <w:r w:rsidRPr="00AC3201">
        <w:rPr>
          <w:rFonts w:ascii="Times New Roman" w:eastAsia="Times New Roman" w:hAnsi="Times New Roman" w:cs="Times New Roman"/>
          <w:bCs/>
          <w:color w:val="000000"/>
          <w:lang w:eastAsia="en-AU"/>
        </w:rPr>
        <w:t>a reference to any other kind of instrument is a reference to that other instrument as in force from time to time.</w:t>
      </w:r>
    </w:p>
    <w:p w14:paraId="5CBF429D" w14:textId="79FA278D" w:rsidR="00B17B50" w:rsidRPr="00A51826" w:rsidRDefault="00DC38B8" w:rsidP="00B17B50">
      <w:pPr>
        <w:spacing w:before="100" w:beforeAutospacing="1" w:after="100" w:afterAutospacing="1" w:line="240" w:lineRule="auto"/>
        <w:rPr>
          <w:rFonts w:ascii="Times New Roman" w:eastAsia="Times New Roman" w:hAnsi="Times New Roman" w:cs="Times New Roman"/>
          <w:b/>
          <w:color w:val="000000"/>
          <w:lang w:eastAsia="en-AU"/>
        </w:rPr>
      </w:pPr>
      <w:r>
        <w:rPr>
          <w:rFonts w:ascii="Times New Roman" w:eastAsia="Times New Roman" w:hAnsi="Times New Roman" w:cs="Times New Roman"/>
          <w:b/>
          <w:color w:val="000000"/>
          <w:lang w:eastAsia="en-AU"/>
        </w:rPr>
        <w:t>Section 7</w:t>
      </w:r>
      <w:r w:rsidR="00B17B50" w:rsidRPr="00A51826">
        <w:rPr>
          <w:rFonts w:ascii="Times New Roman" w:eastAsia="Times New Roman" w:hAnsi="Times New Roman" w:cs="Times New Roman"/>
          <w:b/>
          <w:color w:val="000000"/>
          <w:lang w:eastAsia="en-AU"/>
        </w:rPr>
        <w:tab/>
      </w:r>
      <w:r w:rsidR="004F2FB0" w:rsidRPr="00A51826">
        <w:rPr>
          <w:rFonts w:ascii="Times New Roman" w:eastAsia="Times New Roman" w:hAnsi="Times New Roman" w:cs="Times New Roman"/>
          <w:b/>
          <w:color w:val="000000"/>
          <w:lang w:eastAsia="en-AU"/>
        </w:rPr>
        <w:t>Introduction</w:t>
      </w:r>
    </w:p>
    <w:p w14:paraId="5CBF429E" w14:textId="096EC347" w:rsidR="00B17B50" w:rsidRPr="00A51826" w:rsidRDefault="00FE13B5" w:rsidP="00B17B50">
      <w:pPr>
        <w:spacing w:before="100" w:beforeAutospacing="1" w:after="100" w:afterAutospacing="1" w:line="240" w:lineRule="auto"/>
        <w:rPr>
          <w:rFonts w:ascii="Times New Roman" w:eastAsia="Times New Roman" w:hAnsi="Times New Roman" w:cs="Times New Roman"/>
          <w:color w:val="000000"/>
          <w:lang w:eastAsia="en-AU"/>
        </w:rPr>
      </w:pPr>
      <w:r w:rsidRPr="00FE13B5">
        <w:rPr>
          <w:rFonts w:ascii="Times New Roman" w:eastAsia="Times New Roman" w:hAnsi="Times New Roman" w:cs="Times New Roman"/>
          <w:color w:val="000000"/>
          <w:lang w:eastAsia="en-AU"/>
        </w:rPr>
        <w:t xml:space="preserve">This </w:t>
      </w:r>
      <w:r>
        <w:rPr>
          <w:rFonts w:ascii="Times New Roman" w:eastAsia="Times New Roman" w:hAnsi="Times New Roman" w:cs="Times New Roman"/>
          <w:color w:val="000000"/>
          <w:lang w:eastAsia="en-AU"/>
        </w:rPr>
        <w:t xml:space="preserve">section </w:t>
      </w:r>
      <w:r w:rsidRPr="00FE13B5">
        <w:rPr>
          <w:rFonts w:ascii="Times New Roman" w:eastAsia="Times New Roman" w:hAnsi="Times New Roman" w:cs="Times New Roman"/>
          <w:color w:val="000000"/>
          <w:lang w:eastAsia="en-AU"/>
        </w:rPr>
        <w:t xml:space="preserve">deals with </w:t>
      </w:r>
      <w:proofErr w:type="gramStart"/>
      <w:r w:rsidRPr="00FE13B5">
        <w:rPr>
          <w:rFonts w:ascii="Times New Roman" w:eastAsia="Times New Roman" w:hAnsi="Times New Roman" w:cs="Times New Roman"/>
          <w:color w:val="000000"/>
          <w:lang w:eastAsia="en-AU"/>
        </w:rPr>
        <w:t>a number of</w:t>
      </w:r>
      <w:proofErr w:type="gramEnd"/>
      <w:r w:rsidRPr="00FE13B5">
        <w:rPr>
          <w:rFonts w:ascii="Times New Roman" w:eastAsia="Times New Roman" w:hAnsi="Times New Roman" w:cs="Times New Roman"/>
          <w:color w:val="000000"/>
          <w:lang w:eastAsia="en-AU"/>
        </w:rPr>
        <w:t xml:space="preserve"> introductory matters including by providing a brief description of the ACMA’s functions under the </w:t>
      </w:r>
      <w:r w:rsidRPr="00FE13B5">
        <w:rPr>
          <w:rFonts w:ascii="Times New Roman" w:eastAsia="Times New Roman" w:hAnsi="Times New Roman" w:cs="Times New Roman"/>
          <w:i/>
          <w:iCs/>
          <w:color w:val="000000"/>
          <w:lang w:eastAsia="en-AU"/>
        </w:rPr>
        <w:t>Australian Communications and Media Authority Act 2005</w:t>
      </w:r>
      <w:r w:rsidR="004669FB">
        <w:rPr>
          <w:rFonts w:ascii="Times New Roman" w:eastAsia="Times New Roman" w:hAnsi="Times New Roman" w:cs="Times New Roman"/>
          <w:i/>
          <w:iCs/>
          <w:color w:val="000000"/>
          <w:lang w:eastAsia="en-AU"/>
        </w:rPr>
        <w:t xml:space="preserve"> </w:t>
      </w:r>
      <w:r w:rsidRPr="00FE13B5">
        <w:rPr>
          <w:rFonts w:ascii="Times New Roman" w:eastAsia="Times New Roman" w:hAnsi="Times New Roman" w:cs="Times New Roman"/>
          <w:color w:val="000000"/>
          <w:lang w:eastAsia="en-AU"/>
        </w:rPr>
        <w:t xml:space="preserve">and its regulatory role under the </w:t>
      </w:r>
      <w:r>
        <w:rPr>
          <w:rFonts w:ascii="Times New Roman" w:eastAsia="Times New Roman" w:hAnsi="Times New Roman" w:cs="Times New Roman"/>
          <w:color w:val="000000"/>
          <w:lang w:eastAsia="en-AU"/>
        </w:rPr>
        <w:t>Telecommunications Act</w:t>
      </w:r>
      <w:r w:rsidRPr="00FE13B5">
        <w:rPr>
          <w:rFonts w:ascii="Times New Roman" w:eastAsia="Times New Roman" w:hAnsi="Times New Roman" w:cs="Times New Roman"/>
          <w:color w:val="000000"/>
          <w:lang w:eastAsia="en-AU"/>
        </w:rPr>
        <w:t xml:space="preserve"> (sub</w:t>
      </w:r>
      <w:r w:rsidR="004B6CC2">
        <w:rPr>
          <w:rFonts w:ascii="Times New Roman" w:eastAsia="Times New Roman" w:hAnsi="Times New Roman" w:cs="Times New Roman"/>
          <w:color w:val="000000"/>
          <w:lang w:eastAsia="en-AU"/>
        </w:rPr>
        <w:t>section</w:t>
      </w:r>
      <w:r w:rsidRPr="00FE13B5">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7</w:t>
      </w:r>
      <w:r w:rsidRPr="00FE13B5">
        <w:rPr>
          <w:rFonts w:ascii="Times New Roman" w:eastAsia="Times New Roman" w:hAnsi="Times New Roman" w:cs="Times New Roman"/>
          <w:color w:val="000000"/>
          <w:lang w:eastAsia="en-AU"/>
        </w:rPr>
        <w:t>.1 and sub</w:t>
      </w:r>
      <w:r w:rsidR="004B6CC2">
        <w:rPr>
          <w:rFonts w:ascii="Times New Roman" w:eastAsia="Times New Roman" w:hAnsi="Times New Roman" w:cs="Times New Roman"/>
          <w:color w:val="000000"/>
          <w:lang w:eastAsia="en-AU"/>
        </w:rPr>
        <w:t>section</w:t>
      </w:r>
      <w:r w:rsidRPr="00FE13B5">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7</w:t>
      </w:r>
      <w:r w:rsidRPr="00FE13B5">
        <w:rPr>
          <w:rFonts w:ascii="Times New Roman" w:eastAsia="Times New Roman" w:hAnsi="Times New Roman" w:cs="Times New Roman"/>
          <w:color w:val="000000"/>
          <w:lang w:eastAsia="en-AU"/>
        </w:rPr>
        <w:t>.2). Sub</w:t>
      </w:r>
      <w:r w:rsidR="004B6CC2">
        <w:rPr>
          <w:rFonts w:ascii="Times New Roman" w:eastAsia="Times New Roman" w:hAnsi="Times New Roman" w:cs="Times New Roman"/>
          <w:color w:val="000000"/>
          <w:lang w:eastAsia="en-AU"/>
        </w:rPr>
        <w:t>section</w:t>
      </w:r>
      <w:r w:rsidRPr="00FE13B5">
        <w:rPr>
          <w:rFonts w:ascii="Times New Roman" w:eastAsia="Times New Roman" w:hAnsi="Times New Roman" w:cs="Times New Roman"/>
          <w:color w:val="000000"/>
          <w:lang w:eastAsia="en-AU"/>
        </w:rPr>
        <w:t xml:space="preserve"> </w:t>
      </w:r>
      <w:r w:rsidR="008C14AF">
        <w:rPr>
          <w:rFonts w:ascii="Times New Roman" w:eastAsia="Times New Roman" w:hAnsi="Times New Roman" w:cs="Times New Roman"/>
          <w:color w:val="000000"/>
          <w:lang w:eastAsia="en-AU"/>
        </w:rPr>
        <w:t>7</w:t>
      </w:r>
      <w:r w:rsidRPr="00FE13B5">
        <w:rPr>
          <w:rFonts w:ascii="Times New Roman" w:eastAsia="Times New Roman" w:hAnsi="Times New Roman" w:cs="Times New Roman"/>
          <w:color w:val="000000"/>
          <w:lang w:eastAsia="en-AU"/>
        </w:rPr>
        <w:t>.3 notes that the Guidelines are made for the purposes of subsection </w:t>
      </w:r>
      <w:r w:rsidR="0088178D">
        <w:rPr>
          <w:rFonts w:ascii="Times New Roman" w:eastAsia="Times New Roman" w:hAnsi="Times New Roman" w:cs="Times New Roman"/>
          <w:color w:val="000000"/>
          <w:lang w:eastAsia="en-AU"/>
        </w:rPr>
        <w:t>572</w:t>
      </w:r>
      <w:proofErr w:type="gramStart"/>
      <w:r w:rsidR="0088178D">
        <w:rPr>
          <w:rFonts w:ascii="Times New Roman" w:eastAsia="Times New Roman" w:hAnsi="Times New Roman" w:cs="Times New Roman"/>
          <w:color w:val="000000"/>
          <w:lang w:eastAsia="en-AU"/>
        </w:rPr>
        <w:t>M(</w:t>
      </w:r>
      <w:proofErr w:type="gramEnd"/>
      <w:r w:rsidR="0088178D">
        <w:rPr>
          <w:rFonts w:ascii="Times New Roman" w:eastAsia="Times New Roman" w:hAnsi="Times New Roman" w:cs="Times New Roman"/>
          <w:color w:val="000000"/>
          <w:lang w:eastAsia="en-AU"/>
        </w:rPr>
        <w:t>3)</w:t>
      </w:r>
      <w:r w:rsidRPr="00FE13B5">
        <w:rPr>
          <w:rFonts w:ascii="Times New Roman" w:eastAsia="Times New Roman" w:hAnsi="Times New Roman" w:cs="Times New Roman"/>
          <w:color w:val="000000"/>
          <w:lang w:eastAsia="en-AU"/>
        </w:rPr>
        <w:t xml:space="preserve"> of the </w:t>
      </w:r>
      <w:r w:rsidR="0088178D">
        <w:rPr>
          <w:rFonts w:ascii="Times New Roman" w:eastAsia="Times New Roman" w:hAnsi="Times New Roman" w:cs="Times New Roman"/>
          <w:color w:val="000000"/>
          <w:lang w:eastAsia="en-AU"/>
        </w:rPr>
        <w:t>Telecommunications Act</w:t>
      </w:r>
      <w:r w:rsidRPr="00FE13B5">
        <w:rPr>
          <w:rFonts w:ascii="Times New Roman" w:eastAsia="Times New Roman" w:hAnsi="Times New Roman" w:cs="Times New Roman"/>
          <w:color w:val="000000"/>
          <w:lang w:eastAsia="en-AU"/>
        </w:rPr>
        <w:t>.</w:t>
      </w:r>
    </w:p>
    <w:p w14:paraId="5CBF429F" w14:textId="3F62FC2D" w:rsidR="00403F77" w:rsidRPr="00A51826" w:rsidRDefault="00D44368" w:rsidP="00B17B50">
      <w:pPr>
        <w:spacing w:before="100" w:beforeAutospacing="1" w:after="100" w:afterAutospacing="1" w:line="240" w:lineRule="auto"/>
        <w:rPr>
          <w:rFonts w:ascii="Times New Roman" w:eastAsia="Times New Roman" w:hAnsi="Times New Roman" w:cs="Times New Roman"/>
          <w:color w:val="000000"/>
          <w:lang w:eastAsia="en-AU"/>
        </w:rPr>
      </w:pPr>
      <w:r w:rsidRPr="00A51826">
        <w:rPr>
          <w:rFonts w:ascii="Times New Roman" w:eastAsia="Times New Roman" w:hAnsi="Times New Roman" w:cs="Times New Roman"/>
          <w:bCs/>
          <w:color w:val="000000"/>
          <w:lang w:eastAsia="en-AU"/>
        </w:rPr>
        <w:t xml:space="preserve">Subsection </w:t>
      </w:r>
      <w:r w:rsidR="007551D4" w:rsidRPr="00A51826">
        <w:rPr>
          <w:rFonts w:ascii="Times New Roman" w:eastAsia="Times New Roman" w:hAnsi="Times New Roman" w:cs="Times New Roman"/>
          <w:bCs/>
          <w:color w:val="000000"/>
          <w:lang w:eastAsia="en-AU"/>
        </w:rPr>
        <w:t>7</w:t>
      </w:r>
      <w:r w:rsidRPr="00A51826">
        <w:rPr>
          <w:rFonts w:ascii="Times New Roman" w:eastAsia="Times New Roman" w:hAnsi="Times New Roman" w:cs="Times New Roman"/>
          <w:bCs/>
          <w:color w:val="000000"/>
          <w:lang w:eastAsia="en-AU"/>
        </w:rPr>
        <w:t>.4</w:t>
      </w:r>
      <w:r w:rsidRPr="00A51826">
        <w:rPr>
          <w:rFonts w:ascii="Times New Roman" w:eastAsia="Times New Roman" w:hAnsi="Times New Roman" w:cs="Times New Roman"/>
          <w:color w:val="000000"/>
          <w:lang w:eastAsia="en-AU"/>
        </w:rPr>
        <w:t xml:space="preserve"> provides that the Guidelines </w:t>
      </w:r>
      <w:r w:rsidR="00461AD0">
        <w:rPr>
          <w:rFonts w:ascii="Times New Roman" w:eastAsia="Times New Roman" w:hAnsi="Times New Roman" w:cs="Times New Roman"/>
          <w:color w:val="000000"/>
          <w:lang w:eastAsia="en-AU"/>
        </w:rPr>
        <w:t>set out</w:t>
      </w:r>
      <w:r w:rsidRPr="00A51826">
        <w:rPr>
          <w:rFonts w:ascii="Times New Roman" w:eastAsia="Times New Roman" w:hAnsi="Times New Roman" w:cs="Times New Roman"/>
          <w:color w:val="000000"/>
          <w:lang w:eastAsia="en-AU"/>
        </w:rPr>
        <w:t xml:space="preserve"> the</w:t>
      </w:r>
      <w:r w:rsidR="000E3762" w:rsidRPr="00A51826">
        <w:rPr>
          <w:rFonts w:ascii="Times New Roman" w:eastAsia="Times New Roman" w:hAnsi="Times New Roman" w:cs="Times New Roman"/>
          <w:color w:val="000000"/>
          <w:lang w:eastAsia="en-AU"/>
        </w:rPr>
        <w:t xml:space="preserve"> discretionary</w:t>
      </w:r>
      <w:r w:rsidRPr="00A51826">
        <w:rPr>
          <w:rFonts w:ascii="Times New Roman" w:eastAsia="Times New Roman" w:hAnsi="Times New Roman" w:cs="Times New Roman"/>
          <w:color w:val="000000"/>
          <w:lang w:eastAsia="en-AU"/>
        </w:rPr>
        <w:t xml:space="preserve"> factors which an authorised infringement notice officer would generally consider in the exercise of </w:t>
      </w:r>
      <w:r w:rsidR="005F0ED6">
        <w:rPr>
          <w:rFonts w:ascii="Times New Roman" w:eastAsia="Times New Roman" w:hAnsi="Times New Roman" w:cs="Times New Roman"/>
          <w:color w:val="000000"/>
          <w:lang w:eastAsia="en-AU"/>
        </w:rPr>
        <w:t>their</w:t>
      </w:r>
      <w:r w:rsidRPr="00A51826">
        <w:rPr>
          <w:rFonts w:ascii="Times New Roman" w:eastAsia="Times New Roman" w:hAnsi="Times New Roman" w:cs="Times New Roman"/>
          <w:color w:val="000000"/>
          <w:lang w:eastAsia="en-AU"/>
        </w:rPr>
        <w:t xml:space="preserve"> power</w:t>
      </w:r>
      <w:r w:rsidR="000E3762" w:rsidRPr="00A51826">
        <w:rPr>
          <w:rFonts w:ascii="Times New Roman" w:eastAsia="Times New Roman" w:hAnsi="Times New Roman" w:cs="Times New Roman"/>
          <w:color w:val="000000"/>
          <w:lang w:eastAsia="en-AU"/>
        </w:rPr>
        <w:t xml:space="preserve"> to give an infringement notice</w:t>
      </w:r>
      <w:r w:rsidR="006C7D55">
        <w:rPr>
          <w:rFonts w:ascii="Times New Roman" w:eastAsia="Times New Roman" w:hAnsi="Times New Roman" w:cs="Times New Roman"/>
          <w:color w:val="000000"/>
          <w:lang w:eastAsia="en-AU"/>
        </w:rPr>
        <w:t xml:space="preserve"> under Part 31B of the Telecommunications Act</w:t>
      </w:r>
      <w:r w:rsidRPr="00A51826">
        <w:rPr>
          <w:rFonts w:ascii="Times New Roman" w:eastAsia="Times New Roman" w:hAnsi="Times New Roman" w:cs="Times New Roman"/>
          <w:color w:val="000000"/>
          <w:lang w:eastAsia="en-AU"/>
        </w:rPr>
        <w:t xml:space="preserve">. </w:t>
      </w:r>
    </w:p>
    <w:p w14:paraId="5CBF42A0" w14:textId="67C64FFB" w:rsidR="00D44368" w:rsidRPr="00A51826" w:rsidRDefault="00D44368" w:rsidP="00B17B50">
      <w:pPr>
        <w:spacing w:before="100" w:beforeAutospacing="1" w:after="100" w:afterAutospacing="1" w:line="240" w:lineRule="auto"/>
        <w:rPr>
          <w:rFonts w:ascii="Times New Roman" w:eastAsia="Times New Roman" w:hAnsi="Times New Roman" w:cs="Times New Roman"/>
          <w:color w:val="000000"/>
          <w:lang w:eastAsia="en-AU"/>
        </w:rPr>
      </w:pPr>
      <w:r w:rsidRPr="00A51826">
        <w:rPr>
          <w:rFonts w:ascii="Times New Roman" w:eastAsia="Times New Roman" w:hAnsi="Times New Roman" w:cs="Times New Roman"/>
          <w:bCs/>
          <w:color w:val="000000"/>
          <w:lang w:eastAsia="en-AU"/>
        </w:rPr>
        <w:t xml:space="preserve">Subsection </w:t>
      </w:r>
      <w:r w:rsidR="00215A1E" w:rsidRPr="00A51826">
        <w:rPr>
          <w:rFonts w:ascii="Times New Roman" w:eastAsia="Times New Roman" w:hAnsi="Times New Roman" w:cs="Times New Roman"/>
          <w:bCs/>
          <w:color w:val="000000"/>
          <w:lang w:eastAsia="en-AU"/>
        </w:rPr>
        <w:t>7</w:t>
      </w:r>
      <w:r w:rsidRPr="00A51826">
        <w:rPr>
          <w:rFonts w:ascii="Times New Roman" w:eastAsia="Times New Roman" w:hAnsi="Times New Roman" w:cs="Times New Roman"/>
          <w:bCs/>
          <w:color w:val="000000"/>
          <w:lang w:eastAsia="en-AU"/>
        </w:rPr>
        <w:t xml:space="preserve">.5 explains that the Guidelines </w:t>
      </w:r>
      <w:proofErr w:type="gramStart"/>
      <w:r w:rsidRPr="00A51826">
        <w:rPr>
          <w:rFonts w:ascii="Times New Roman" w:eastAsia="Times New Roman" w:hAnsi="Times New Roman" w:cs="Times New Roman"/>
          <w:bCs/>
          <w:color w:val="000000"/>
          <w:lang w:eastAsia="en-AU"/>
        </w:rPr>
        <w:t>take into account</w:t>
      </w:r>
      <w:proofErr w:type="gramEnd"/>
      <w:r w:rsidRPr="00A51826">
        <w:rPr>
          <w:rFonts w:ascii="Times New Roman" w:eastAsia="Times New Roman" w:hAnsi="Times New Roman" w:cs="Times New Roman"/>
          <w:bCs/>
          <w:color w:val="000000"/>
          <w:lang w:eastAsia="en-AU"/>
        </w:rPr>
        <w:t xml:space="preserve"> the objects of</w:t>
      </w:r>
      <w:r w:rsidR="00403F77" w:rsidRPr="00A51826">
        <w:rPr>
          <w:rFonts w:ascii="Times New Roman" w:eastAsia="Times New Roman" w:hAnsi="Times New Roman" w:cs="Times New Roman"/>
          <w:bCs/>
          <w:color w:val="000000"/>
          <w:lang w:eastAsia="en-AU"/>
        </w:rPr>
        <w:t xml:space="preserve"> and</w:t>
      </w:r>
      <w:r w:rsidRPr="00A51826">
        <w:rPr>
          <w:rFonts w:ascii="Times New Roman" w:eastAsia="Times New Roman" w:hAnsi="Times New Roman" w:cs="Times New Roman"/>
          <w:bCs/>
          <w:color w:val="000000"/>
          <w:lang w:eastAsia="en-AU"/>
        </w:rPr>
        <w:t xml:space="preserve"> the regulatory policy</w:t>
      </w:r>
      <w:r w:rsidRPr="00A51826">
        <w:rPr>
          <w:rFonts w:ascii="Times New Roman" w:eastAsia="Times New Roman" w:hAnsi="Times New Roman" w:cs="Times New Roman"/>
          <w:color w:val="000000"/>
          <w:lang w:eastAsia="en-AU"/>
        </w:rPr>
        <w:t xml:space="preserve"> underpinning the Acts referred to in the Guidelines.</w:t>
      </w:r>
    </w:p>
    <w:p w14:paraId="5CBF42A1" w14:textId="3DF75136" w:rsidR="00D44368" w:rsidRPr="00A51826" w:rsidRDefault="00D44368" w:rsidP="00B17B50">
      <w:pPr>
        <w:spacing w:before="100" w:beforeAutospacing="1" w:after="100" w:afterAutospacing="1" w:line="240" w:lineRule="auto"/>
        <w:rPr>
          <w:rFonts w:ascii="Times New Roman" w:eastAsia="Times New Roman" w:hAnsi="Times New Roman" w:cs="Times New Roman"/>
          <w:color w:val="000000"/>
          <w:lang w:eastAsia="en-AU"/>
        </w:rPr>
      </w:pPr>
      <w:r w:rsidRPr="00A51826">
        <w:rPr>
          <w:rFonts w:ascii="Times New Roman" w:eastAsia="Times New Roman" w:hAnsi="Times New Roman" w:cs="Times New Roman"/>
          <w:bCs/>
          <w:color w:val="000000"/>
          <w:lang w:eastAsia="en-AU"/>
        </w:rPr>
        <w:t xml:space="preserve">Subsection </w:t>
      </w:r>
      <w:r w:rsidR="00215A1E" w:rsidRPr="00A51826">
        <w:rPr>
          <w:rFonts w:ascii="Times New Roman" w:eastAsia="Times New Roman" w:hAnsi="Times New Roman" w:cs="Times New Roman"/>
          <w:bCs/>
          <w:color w:val="000000"/>
          <w:lang w:eastAsia="en-AU"/>
        </w:rPr>
        <w:t>7</w:t>
      </w:r>
      <w:r w:rsidRPr="00A51826">
        <w:rPr>
          <w:rFonts w:ascii="Times New Roman" w:eastAsia="Times New Roman" w:hAnsi="Times New Roman" w:cs="Times New Roman"/>
          <w:bCs/>
          <w:color w:val="000000"/>
          <w:lang w:eastAsia="en-AU"/>
        </w:rPr>
        <w:t>.6 explains that the Guidelines are intended as a guide and the ACMA retains the</w:t>
      </w:r>
      <w:r w:rsidRPr="00A51826">
        <w:rPr>
          <w:rFonts w:ascii="Times New Roman" w:eastAsia="Times New Roman" w:hAnsi="Times New Roman" w:cs="Times New Roman"/>
          <w:color w:val="000000"/>
          <w:lang w:eastAsia="en-AU"/>
        </w:rPr>
        <w:t xml:space="preserve"> discretion to impose or seek other remedies or sanctions where </w:t>
      </w:r>
      <w:r w:rsidR="000E3762" w:rsidRPr="00A51826">
        <w:rPr>
          <w:rFonts w:ascii="Times New Roman" w:eastAsia="Times New Roman" w:hAnsi="Times New Roman" w:cs="Times New Roman"/>
          <w:color w:val="000000"/>
          <w:lang w:eastAsia="en-AU"/>
        </w:rPr>
        <w:t>the ACMA</w:t>
      </w:r>
      <w:r w:rsidRPr="00A51826">
        <w:rPr>
          <w:rFonts w:ascii="Times New Roman" w:eastAsia="Times New Roman" w:hAnsi="Times New Roman" w:cs="Times New Roman"/>
          <w:color w:val="000000"/>
          <w:lang w:eastAsia="en-AU"/>
        </w:rPr>
        <w:t xml:space="preserve"> consider</w:t>
      </w:r>
      <w:r w:rsidR="000E3762" w:rsidRPr="00A51826">
        <w:rPr>
          <w:rFonts w:ascii="Times New Roman" w:eastAsia="Times New Roman" w:hAnsi="Times New Roman" w:cs="Times New Roman"/>
          <w:color w:val="000000"/>
          <w:lang w:eastAsia="en-AU"/>
        </w:rPr>
        <w:t>s it to be</w:t>
      </w:r>
      <w:r w:rsidRPr="00A51826">
        <w:rPr>
          <w:rFonts w:ascii="Times New Roman" w:eastAsia="Times New Roman" w:hAnsi="Times New Roman" w:cs="Times New Roman"/>
          <w:color w:val="000000"/>
          <w:lang w:eastAsia="en-AU"/>
        </w:rPr>
        <w:t xml:space="preserve"> appropriate.</w:t>
      </w:r>
    </w:p>
    <w:p w14:paraId="5CBF42A2" w14:textId="53F35637" w:rsidR="00B17B50" w:rsidRPr="00A51826" w:rsidRDefault="004F2FB0" w:rsidP="00B17B50">
      <w:pPr>
        <w:spacing w:before="100" w:beforeAutospacing="1" w:after="100" w:afterAutospacing="1" w:line="240" w:lineRule="auto"/>
        <w:rPr>
          <w:rFonts w:ascii="Times New Roman" w:eastAsia="Times New Roman" w:hAnsi="Times New Roman" w:cs="Times New Roman"/>
          <w:b/>
          <w:color w:val="000000"/>
          <w:lang w:eastAsia="en-AU"/>
        </w:rPr>
      </w:pPr>
      <w:r w:rsidRPr="00A51826">
        <w:rPr>
          <w:rFonts w:ascii="Times New Roman" w:eastAsia="Times New Roman" w:hAnsi="Times New Roman" w:cs="Times New Roman"/>
          <w:b/>
          <w:color w:val="000000"/>
          <w:lang w:eastAsia="en-AU"/>
        </w:rPr>
        <w:t xml:space="preserve">Section </w:t>
      </w:r>
      <w:r w:rsidR="001F10B0">
        <w:rPr>
          <w:rFonts w:ascii="Times New Roman" w:eastAsia="Times New Roman" w:hAnsi="Times New Roman" w:cs="Times New Roman"/>
          <w:b/>
          <w:color w:val="000000"/>
          <w:lang w:eastAsia="en-AU"/>
        </w:rPr>
        <w:t>8</w:t>
      </w:r>
      <w:r w:rsidR="00B17B50" w:rsidRPr="00A51826">
        <w:rPr>
          <w:rFonts w:ascii="Times New Roman" w:eastAsia="Times New Roman" w:hAnsi="Times New Roman" w:cs="Times New Roman"/>
          <w:b/>
          <w:color w:val="000000"/>
          <w:lang w:eastAsia="en-AU"/>
        </w:rPr>
        <w:t xml:space="preserve"> </w:t>
      </w:r>
      <w:r w:rsidR="00B17B50" w:rsidRPr="00A51826">
        <w:rPr>
          <w:rFonts w:ascii="Times New Roman" w:eastAsia="Times New Roman" w:hAnsi="Times New Roman" w:cs="Times New Roman"/>
          <w:b/>
          <w:color w:val="000000"/>
          <w:lang w:eastAsia="en-AU"/>
        </w:rPr>
        <w:tab/>
      </w:r>
      <w:r w:rsidRPr="00A51826">
        <w:rPr>
          <w:rFonts w:ascii="Times New Roman" w:eastAsia="Times New Roman" w:hAnsi="Times New Roman" w:cs="Times New Roman"/>
          <w:b/>
          <w:color w:val="000000"/>
          <w:lang w:eastAsia="en-AU"/>
        </w:rPr>
        <w:t>Ex</w:t>
      </w:r>
      <w:r w:rsidR="006E706A" w:rsidRPr="00A51826">
        <w:rPr>
          <w:rFonts w:ascii="Times New Roman" w:eastAsia="Times New Roman" w:hAnsi="Times New Roman" w:cs="Times New Roman"/>
          <w:b/>
          <w:color w:val="000000"/>
          <w:lang w:eastAsia="en-AU"/>
        </w:rPr>
        <w:t>ercising</w:t>
      </w:r>
      <w:r w:rsidRPr="00A51826">
        <w:rPr>
          <w:rFonts w:ascii="Times New Roman" w:eastAsia="Times New Roman" w:hAnsi="Times New Roman" w:cs="Times New Roman"/>
          <w:b/>
          <w:color w:val="000000"/>
          <w:lang w:eastAsia="en-AU"/>
        </w:rPr>
        <w:t xml:space="preserve"> Enforcement Powers</w:t>
      </w:r>
    </w:p>
    <w:p w14:paraId="5CBF42A3" w14:textId="393F4E67" w:rsidR="004F2FB0" w:rsidRPr="00A51826" w:rsidRDefault="00594F57" w:rsidP="00B17B50">
      <w:pPr>
        <w:spacing w:before="100" w:beforeAutospacing="1" w:after="100" w:afterAutospacing="1" w:line="240" w:lineRule="auto"/>
        <w:rPr>
          <w:rFonts w:ascii="Times New Roman" w:eastAsia="Times New Roman" w:hAnsi="Times New Roman" w:cs="Times New Roman"/>
          <w:color w:val="000000"/>
          <w:lang w:eastAsia="en-AU"/>
        </w:rPr>
      </w:pPr>
      <w:r w:rsidRPr="00A51826">
        <w:rPr>
          <w:rFonts w:ascii="Times New Roman" w:eastAsia="Times New Roman" w:hAnsi="Times New Roman" w:cs="Times New Roman"/>
          <w:color w:val="000000"/>
          <w:lang w:eastAsia="en-AU"/>
        </w:rPr>
        <w:t>S</w:t>
      </w:r>
      <w:r w:rsidR="007A757B" w:rsidRPr="00A51826">
        <w:rPr>
          <w:rFonts w:ascii="Times New Roman" w:eastAsia="Times New Roman" w:hAnsi="Times New Roman" w:cs="Times New Roman"/>
          <w:color w:val="000000"/>
          <w:lang w:eastAsia="en-AU"/>
        </w:rPr>
        <w:t>ection</w:t>
      </w:r>
      <w:r w:rsidRPr="00A51826">
        <w:rPr>
          <w:rFonts w:ascii="Times New Roman" w:eastAsia="Times New Roman" w:hAnsi="Times New Roman" w:cs="Times New Roman"/>
          <w:color w:val="000000"/>
          <w:lang w:eastAsia="en-AU"/>
        </w:rPr>
        <w:t xml:space="preserve"> </w:t>
      </w:r>
      <w:r w:rsidR="001F10B0">
        <w:rPr>
          <w:rFonts w:ascii="Times New Roman" w:eastAsia="Times New Roman" w:hAnsi="Times New Roman" w:cs="Times New Roman"/>
          <w:color w:val="000000"/>
          <w:lang w:eastAsia="en-AU"/>
        </w:rPr>
        <w:t>8</w:t>
      </w:r>
      <w:r w:rsidR="007A757B" w:rsidRPr="00A51826">
        <w:rPr>
          <w:rFonts w:ascii="Times New Roman" w:eastAsia="Times New Roman" w:hAnsi="Times New Roman" w:cs="Times New Roman"/>
          <w:color w:val="000000"/>
          <w:lang w:eastAsia="en-AU"/>
        </w:rPr>
        <w:t xml:space="preserve"> provides a list of factors that the ACMA may consider when determining the appropriate enforcement </w:t>
      </w:r>
      <w:r w:rsidR="009F084E" w:rsidRPr="00A51826">
        <w:rPr>
          <w:rFonts w:ascii="Times New Roman" w:eastAsia="Times New Roman" w:hAnsi="Times New Roman" w:cs="Times New Roman"/>
          <w:color w:val="000000"/>
          <w:lang w:eastAsia="en-AU"/>
        </w:rPr>
        <w:t xml:space="preserve">response to </w:t>
      </w:r>
      <w:proofErr w:type="gramStart"/>
      <w:r w:rsidR="009F084E" w:rsidRPr="00A51826">
        <w:rPr>
          <w:rFonts w:ascii="Times New Roman" w:eastAsia="Times New Roman" w:hAnsi="Times New Roman" w:cs="Times New Roman"/>
          <w:color w:val="000000"/>
          <w:lang w:eastAsia="en-AU"/>
        </w:rPr>
        <w:t>particular</w:t>
      </w:r>
      <w:r w:rsidR="007A757B" w:rsidRPr="00A51826">
        <w:rPr>
          <w:rFonts w:ascii="Times New Roman" w:eastAsia="Times New Roman" w:hAnsi="Times New Roman" w:cs="Times New Roman"/>
          <w:color w:val="000000"/>
          <w:lang w:eastAsia="en-AU"/>
        </w:rPr>
        <w:t xml:space="preserve"> conduct</w:t>
      </w:r>
      <w:proofErr w:type="gramEnd"/>
      <w:r w:rsidR="007A757B" w:rsidRPr="00A51826">
        <w:rPr>
          <w:rFonts w:ascii="Times New Roman" w:eastAsia="Times New Roman" w:hAnsi="Times New Roman" w:cs="Times New Roman"/>
          <w:color w:val="000000"/>
          <w:lang w:eastAsia="en-AU"/>
        </w:rPr>
        <w:t>. The list is not exhaustive.</w:t>
      </w:r>
    </w:p>
    <w:p w14:paraId="5CBF42A4" w14:textId="4CAF97C4" w:rsidR="00D44368" w:rsidRPr="00A51826" w:rsidRDefault="004F2FB0" w:rsidP="004F2FB0">
      <w:pPr>
        <w:spacing w:before="100" w:beforeAutospacing="1" w:after="100" w:afterAutospacing="1" w:line="240" w:lineRule="auto"/>
        <w:rPr>
          <w:rFonts w:ascii="Times New Roman" w:eastAsia="Times New Roman" w:hAnsi="Times New Roman" w:cs="Times New Roman"/>
          <w:b/>
          <w:color w:val="000000"/>
          <w:lang w:eastAsia="en-AU"/>
        </w:rPr>
      </w:pPr>
      <w:r w:rsidRPr="00A51826">
        <w:rPr>
          <w:rFonts w:ascii="Times New Roman" w:eastAsia="Times New Roman" w:hAnsi="Times New Roman" w:cs="Times New Roman"/>
          <w:b/>
          <w:color w:val="000000"/>
          <w:lang w:eastAsia="en-AU"/>
        </w:rPr>
        <w:t xml:space="preserve">Section </w:t>
      </w:r>
      <w:r w:rsidR="00DF63CE">
        <w:rPr>
          <w:rFonts w:ascii="Times New Roman" w:eastAsia="Times New Roman" w:hAnsi="Times New Roman" w:cs="Times New Roman"/>
          <w:b/>
          <w:color w:val="000000"/>
          <w:lang w:eastAsia="en-AU"/>
        </w:rPr>
        <w:t>9</w:t>
      </w:r>
      <w:r w:rsidRPr="00A51826">
        <w:rPr>
          <w:rFonts w:ascii="Times New Roman" w:eastAsia="Times New Roman" w:hAnsi="Times New Roman" w:cs="Times New Roman"/>
          <w:b/>
          <w:color w:val="000000"/>
          <w:lang w:eastAsia="en-AU"/>
        </w:rPr>
        <w:tab/>
        <w:t>Infringement Notices</w:t>
      </w:r>
    </w:p>
    <w:p w14:paraId="5CBF42A5" w14:textId="6C32F6BF" w:rsidR="0066798B" w:rsidRPr="00A51826" w:rsidRDefault="009F6D15" w:rsidP="00D50B51">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Cs/>
          <w:color w:val="000000"/>
          <w:lang w:eastAsia="en-AU"/>
        </w:rPr>
        <w:t xml:space="preserve">Subsection </w:t>
      </w:r>
      <w:r w:rsidR="0093490C"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 xml:space="preserve">.1 </w:t>
      </w:r>
      <w:r w:rsidR="00D50B51" w:rsidRPr="00A51826">
        <w:rPr>
          <w:rFonts w:ascii="Times New Roman" w:eastAsia="Times New Roman" w:hAnsi="Times New Roman" w:cs="Times New Roman"/>
          <w:bCs/>
          <w:color w:val="000000"/>
          <w:lang w:eastAsia="en-AU"/>
        </w:rPr>
        <w:t>explains</w:t>
      </w:r>
      <w:r w:rsidRPr="00A51826">
        <w:rPr>
          <w:rFonts w:ascii="Times New Roman" w:eastAsia="Times New Roman" w:hAnsi="Times New Roman" w:cs="Times New Roman"/>
          <w:bCs/>
          <w:color w:val="000000"/>
          <w:lang w:eastAsia="en-AU"/>
        </w:rPr>
        <w:t xml:space="preserve"> that </w:t>
      </w:r>
      <w:r w:rsidR="00D50B51" w:rsidRPr="00A51826">
        <w:rPr>
          <w:rFonts w:ascii="Times New Roman" w:eastAsia="Times New Roman" w:hAnsi="Times New Roman" w:cs="Times New Roman"/>
          <w:bCs/>
          <w:color w:val="000000"/>
          <w:lang w:eastAsia="en-AU"/>
        </w:rPr>
        <w:t>an authorised infringement notice officer may give a person an infringement notice in respect of a contravention of a particular civil penalty provision. It also explains that, in respect of certain civil penalty provisions, namely sections 68 and 101 of the Telecommunications Act, an infringement notice may only be given in respect of certain kinds of contraventions of those provisions (this is dealt with in subsections 572</w:t>
      </w:r>
      <w:proofErr w:type="gramStart"/>
      <w:r w:rsidR="00D50B51" w:rsidRPr="00A51826">
        <w:rPr>
          <w:rFonts w:ascii="Times New Roman" w:eastAsia="Times New Roman" w:hAnsi="Times New Roman" w:cs="Times New Roman"/>
          <w:bCs/>
          <w:color w:val="000000"/>
          <w:lang w:eastAsia="en-AU"/>
        </w:rPr>
        <w:t>E(</w:t>
      </w:r>
      <w:proofErr w:type="gramEnd"/>
      <w:r w:rsidR="00D50B51" w:rsidRPr="00A51826">
        <w:rPr>
          <w:rFonts w:ascii="Times New Roman" w:eastAsia="Times New Roman" w:hAnsi="Times New Roman" w:cs="Times New Roman"/>
          <w:bCs/>
          <w:color w:val="000000"/>
          <w:lang w:eastAsia="en-AU"/>
        </w:rPr>
        <w:t xml:space="preserve">5) and (6) of the Telecommunications Act </w:t>
      </w:r>
      <w:r w:rsidR="007D5450" w:rsidRPr="007D5450">
        <w:rPr>
          <w:rFonts w:ascii="Times New Roman" w:eastAsia="Times New Roman" w:hAnsi="Times New Roman" w:cs="Times New Roman"/>
          <w:bCs/>
          <w:color w:val="000000"/>
          <w:lang w:eastAsia="en-AU"/>
        </w:rPr>
        <w:t>and the  instrument listing infringement notice provisions which is made for the purposes of subsection 572E(7) of the Telecommunications Act</w:t>
      </w:r>
      <w:r w:rsidR="007D5450" w:rsidRPr="007D5450">
        <w:rPr>
          <w:rFonts w:ascii="Times New Roman" w:eastAsia="Times New Roman" w:hAnsi="Times New Roman" w:cs="Times New Roman"/>
          <w:bCs/>
          <w:color w:val="000000"/>
          <w:vertAlign w:val="superscript"/>
          <w:lang w:eastAsia="en-AU"/>
        </w:rPr>
        <w:footnoteReference w:id="2"/>
      </w:r>
      <w:r w:rsidR="00D50B51" w:rsidRPr="00A51826">
        <w:rPr>
          <w:rFonts w:ascii="Times New Roman" w:eastAsia="Times New Roman" w:hAnsi="Times New Roman" w:cs="Times New Roman"/>
          <w:bCs/>
          <w:color w:val="000000"/>
          <w:lang w:eastAsia="en-AU"/>
        </w:rPr>
        <w:t>).</w:t>
      </w:r>
      <w:r w:rsidRPr="00A51826">
        <w:rPr>
          <w:rFonts w:ascii="Times New Roman" w:eastAsia="Times New Roman" w:hAnsi="Times New Roman" w:cs="Times New Roman"/>
          <w:bCs/>
          <w:color w:val="000000"/>
          <w:lang w:eastAsia="en-AU"/>
        </w:rPr>
        <w:t xml:space="preserve"> </w:t>
      </w:r>
    </w:p>
    <w:p w14:paraId="5CBF42A6" w14:textId="162379D3" w:rsidR="007A757B" w:rsidRPr="00A51826" w:rsidRDefault="009F6D15" w:rsidP="00D50B51">
      <w:pPr>
        <w:spacing w:before="100" w:beforeAutospacing="1" w:after="100" w:afterAutospacing="1" w:line="240" w:lineRule="auto"/>
        <w:rPr>
          <w:rFonts w:ascii="Times New Roman" w:eastAsia="Times New Roman" w:hAnsi="Times New Roman" w:cs="Times New Roman"/>
          <w:color w:val="000000"/>
          <w:lang w:eastAsia="en-AU"/>
        </w:rPr>
      </w:pPr>
      <w:r w:rsidRPr="00A51826">
        <w:rPr>
          <w:rFonts w:ascii="Times New Roman" w:eastAsia="Times New Roman" w:hAnsi="Times New Roman" w:cs="Times New Roman"/>
          <w:bCs/>
          <w:color w:val="000000"/>
          <w:lang w:eastAsia="en-AU"/>
        </w:rPr>
        <w:t xml:space="preserve">Subsection </w:t>
      </w:r>
      <w:r w:rsidR="0093490C"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 xml:space="preserve">.2 reiterates that there is no obligation on the ACMA to issue an infringement notice in relation to an alleged contravention and that a range of factors (as outlined in </w:t>
      </w:r>
      <w:r w:rsidR="0093490C" w:rsidRPr="00A51826">
        <w:rPr>
          <w:rFonts w:ascii="Times New Roman" w:eastAsia="Times New Roman" w:hAnsi="Times New Roman" w:cs="Times New Roman"/>
          <w:bCs/>
          <w:color w:val="000000"/>
          <w:lang w:eastAsia="en-AU"/>
        </w:rPr>
        <w:t>s</w:t>
      </w:r>
      <w:r w:rsidRPr="00A51826">
        <w:rPr>
          <w:rFonts w:ascii="Times New Roman" w:eastAsia="Times New Roman" w:hAnsi="Times New Roman" w:cs="Times New Roman"/>
          <w:bCs/>
          <w:color w:val="000000"/>
          <w:lang w:eastAsia="en-AU"/>
        </w:rPr>
        <w:t xml:space="preserve">ection </w:t>
      </w:r>
      <w:r w:rsidR="00EA491B" w:rsidRPr="00A51826">
        <w:rPr>
          <w:rFonts w:ascii="Times New Roman" w:eastAsia="Times New Roman" w:hAnsi="Times New Roman" w:cs="Times New Roman"/>
          <w:bCs/>
          <w:color w:val="000000"/>
          <w:lang w:eastAsia="en-AU"/>
        </w:rPr>
        <w:t>8</w:t>
      </w:r>
      <w:r w:rsidRPr="00A51826">
        <w:rPr>
          <w:rFonts w:ascii="Times New Roman" w:eastAsia="Times New Roman" w:hAnsi="Times New Roman" w:cs="Times New Roman"/>
          <w:bCs/>
          <w:color w:val="000000"/>
          <w:lang w:eastAsia="en-AU"/>
        </w:rPr>
        <w:t xml:space="preserve">) may be considered in deciding </w:t>
      </w:r>
      <w:r w:rsidR="005F0E22" w:rsidRPr="00A51826">
        <w:rPr>
          <w:rFonts w:ascii="Times New Roman" w:eastAsia="Times New Roman" w:hAnsi="Times New Roman" w:cs="Times New Roman"/>
          <w:bCs/>
          <w:color w:val="000000"/>
          <w:lang w:eastAsia="en-AU"/>
        </w:rPr>
        <w:t>whether an infringement notice is</w:t>
      </w:r>
      <w:r w:rsidRPr="00A51826">
        <w:rPr>
          <w:rFonts w:ascii="Times New Roman" w:eastAsia="Times New Roman" w:hAnsi="Times New Roman" w:cs="Times New Roman"/>
          <w:bCs/>
          <w:color w:val="000000"/>
          <w:lang w:eastAsia="en-AU"/>
        </w:rPr>
        <w:t xml:space="preserve"> an appropriate enforcement tool. Subsection</w:t>
      </w:r>
      <w:r w:rsidR="00101952">
        <w:rPr>
          <w:rFonts w:ascii="Times New Roman" w:eastAsia="Times New Roman" w:hAnsi="Times New Roman" w:cs="Times New Roman"/>
          <w:bCs/>
          <w:color w:val="000000"/>
          <w:lang w:eastAsia="en-AU"/>
        </w:rPr>
        <w:t> </w:t>
      </w:r>
      <w:r w:rsidR="00EA491B"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.2 outlines some circumstances where the ACMA may consider an infringement notice is not an appropriate enforcement</w:t>
      </w:r>
      <w:r w:rsidRPr="00A51826">
        <w:rPr>
          <w:rFonts w:ascii="Times New Roman" w:eastAsia="Times New Roman" w:hAnsi="Times New Roman" w:cs="Times New Roman"/>
          <w:color w:val="000000"/>
          <w:lang w:eastAsia="en-AU"/>
        </w:rPr>
        <w:t xml:space="preserve"> tool. </w:t>
      </w:r>
    </w:p>
    <w:p w14:paraId="5CBF42A7" w14:textId="79DBE8C1" w:rsidR="000F5981" w:rsidRDefault="009F6D15" w:rsidP="004F2FB0">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Cs/>
          <w:color w:val="000000"/>
          <w:lang w:eastAsia="en-AU"/>
        </w:rPr>
        <w:t xml:space="preserve">Subsection </w:t>
      </w:r>
      <w:r w:rsidR="00EA491B"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.3 provides that the decision to issue an infringement notice must be made by the Chair</w:t>
      </w:r>
      <w:r w:rsidR="0097281F">
        <w:rPr>
          <w:rFonts w:ascii="Times New Roman" w:eastAsia="Times New Roman" w:hAnsi="Times New Roman" w:cs="Times New Roman"/>
          <w:bCs/>
          <w:color w:val="000000"/>
          <w:lang w:eastAsia="en-AU"/>
        </w:rPr>
        <w:t xml:space="preserve"> of the ACMA</w:t>
      </w:r>
      <w:r w:rsidRPr="00A51826">
        <w:rPr>
          <w:rFonts w:ascii="Times New Roman" w:eastAsia="Times New Roman" w:hAnsi="Times New Roman" w:cs="Times New Roman"/>
          <w:bCs/>
          <w:color w:val="000000"/>
          <w:lang w:eastAsia="en-AU"/>
        </w:rPr>
        <w:t xml:space="preserve"> or </w:t>
      </w:r>
      <w:r w:rsidR="00D50B51" w:rsidRPr="00A51826">
        <w:rPr>
          <w:rFonts w:ascii="Times New Roman" w:eastAsia="Times New Roman" w:hAnsi="Times New Roman" w:cs="Times New Roman"/>
          <w:bCs/>
          <w:color w:val="000000"/>
          <w:lang w:eastAsia="en-AU"/>
        </w:rPr>
        <w:t xml:space="preserve">by a </w:t>
      </w:r>
      <w:r w:rsidR="003F0803" w:rsidRPr="00D23FF2">
        <w:rPr>
          <w:rFonts w:ascii="Times New Roman" w:eastAsia="Times New Roman" w:hAnsi="Times New Roman" w:cs="Times New Roman"/>
          <w:bCs/>
          <w:color w:val="000000"/>
          <w:lang w:eastAsia="en-AU"/>
        </w:rPr>
        <w:t>member of staff of the ACMA</w:t>
      </w:r>
      <w:r w:rsidR="00D50B51" w:rsidRPr="00A51826">
        <w:rPr>
          <w:rFonts w:ascii="Times New Roman" w:eastAsia="Times New Roman" w:hAnsi="Times New Roman" w:cs="Times New Roman"/>
          <w:bCs/>
          <w:color w:val="000000"/>
          <w:lang w:eastAsia="en-AU"/>
        </w:rPr>
        <w:t xml:space="preserve"> </w:t>
      </w:r>
      <w:r w:rsidR="00D47231">
        <w:rPr>
          <w:rFonts w:ascii="Times New Roman" w:eastAsia="Times New Roman" w:hAnsi="Times New Roman" w:cs="Times New Roman"/>
          <w:bCs/>
          <w:color w:val="000000"/>
          <w:lang w:eastAsia="en-AU"/>
        </w:rPr>
        <w:t xml:space="preserve">appointed </w:t>
      </w:r>
      <w:r w:rsidR="00D50B51" w:rsidRPr="00A51826">
        <w:rPr>
          <w:rFonts w:ascii="Times New Roman" w:eastAsia="Times New Roman" w:hAnsi="Times New Roman" w:cs="Times New Roman"/>
          <w:bCs/>
          <w:color w:val="000000"/>
          <w:lang w:eastAsia="en-AU"/>
        </w:rPr>
        <w:t>by the ACMA</w:t>
      </w:r>
      <w:r w:rsidR="00D47231">
        <w:rPr>
          <w:rFonts w:ascii="Times New Roman" w:eastAsia="Times New Roman" w:hAnsi="Times New Roman" w:cs="Times New Roman"/>
          <w:bCs/>
          <w:color w:val="000000"/>
          <w:lang w:eastAsia="en-AU"/>
        </w:rPr>
        <w:t xml:space="preserve"> as an authorised infringement notice officer</w:t>
      </w:r>
      <w:r w:rsidR="00D50B51" w:rsidRPr="00A51826">
        <w:rPr>
          <w:rFonts w:ascii="Times New Roman" w:eastAsia="Times New Roman" w:hAnsi="Times New Roman" w:cs="Times New Roman"/>
          <w:bCs/>
          <w:color w:val="000000"/>
          <w:lang w:eastAsia="en-AU"/>
        </w:rPr>
        <w:t xml:space="preserve"> under section 572L of the Telecommunications Act</w:t>
      </w:r>
      <w:r w:rsidRPr="00A51826">
        <w:rPr>
          <w:rFonts w:ascii="Times New Roman" w:eastAsia="Times New Roman" w:hAnsi="Times New Roman" w:cs="Times New Roman"/>
          <w:bCs/>
          <w:color w:val="000000"/>
          <w:lang w:eastAsia="en-AU"/>
        </w:rPr>
        <w:t xml:space="preserve">. </w:t>
      </w:r>
    </w:p>
    <w:p w14:paraId="03FEB2FD" w14:textId="18EFFE3D" w:rsidR="003F0803" w:rsidRPr="00A51826" w:rsidRDefault="003F0803" w:rsidP="004F2FB0">
      <w:pPr>
        <w:spacing w:before="100" w:beforeAutospacing="1" w:after="100" w:afterAutospacing="1" w:line="240" w:lineRule="auto"/>
        <w:rPr>
          <w:rFonts w:ascii="Times New Roman" w:eastAsia="Times New Roman" w:hAnsi="Times New Roman" w:cs="Times New Roman"/>
          <w:bCs/>
          <w:color w:val="000000"/>
          <w:lang w:eastAsia="en-AU"/>
        </w:rPr>
      </w:pPr>
      <w:r>
        <w:rPr>
          <w:rFonts w:ascii="Times New Roman" w:eastAsia="Times New Roman" w:hAnsi="Times New Roman" w:cs="Times New Roman"/>
          <w:bCs/>
          <w:color w:val="000000"/>
          <w:lang w:eastAsia="en-AU"/>
        </w:rPr>
        <w:t>Subsection 9.</w:t>
      </w:r>
      <w:r w:rsidR="00F719E6">
        <w:rPr>
          <w:rFonts w:ascii="Times New Roman" w:eastAsia="Times New Roman" w:hAnsi="Times New Roman" w:cs="Times New Roman"/>
          <w:bCs/>
          <w:color w:val="000000"/>
          <w:lang w:eastAsia="en-AU"/>
        </w:rPr>
        <w:t xml:space="preserve">4 </w:t>
      </w:r>
      <w:r w:rsidR="00232A16">
        <w:rPr>
          <w:rFonts w:ascii="Times New Roman" w:eastAsia="Times New Roman" w:hAnsi="Times New Roman" w:cs="Times New Roman"/>
          <w:bCs/>
          <w:color w:val="000000"/>
          <w:lang w:eastAsia="en-AU"/>
        </w:rPr>
        <w:t xml:space="preserve">notes </w:t>
      </w:r>
      <w:r w:rsidR="004B17C3">
        <w:rPr>
          <w:rFonts w:ascii="Times New Roman" w:eastAsia="Times New Roman" w:hAnsi="Times New Roman" w:cs="Times New Roman"/>
          <w:bCs/>
          <w:color w:val="000000"/>
          <w:lang w:eastAsia="en-AU"/>
        </w:rPr>
        <w:t xml:space="preserve">that an infringement notice must be given within 12 months after the day on which the </w:t>
      </w:r>
      <w:r w:rsidR="00D05071">
        <w:rPr>
          <w:rFonts w:ascii="Times New Roman" w:eastAsia="Times New Roman" w:hAnsi="Times New Roman" w:cs="Times New Roman"/>
          <w:bCs/>
          <w:color w:val="000000"/>
          <w:lang w:eastAsia="en-AU"/>
        </w:rPr>
        <w:t>contravention is alleged to have taken place</w:t>
      </w:r>
      <w:r w:rsidR="00E96EAA">
        <w:rPr>
          <w:rFonts w:ascii="Times New Roman" w:eastAsia="Times New Roman" w:hAnsi="Times New Roman" w:cs="Times New Roman"/>
          <w:bCs/>
          <w:color w:val="000000"/>
          <w:lang w:eastAsia="en-AU"/>
        </w:rPr>
        <w:t xml:space="preserve">. </w:t>
      </w:r>
    </w:p>
    <w:p w14:paraId="5CBF42A8" w14:textId="53713139" w:rsidR="009F6D15" w:rsidRPr="00A51826" w:rsidRDefault="009F6D15" w:rsidP="004F2FB0">
      <w:pPr>
        <w:spacing w:before="100" w:beforeAutospacing="1" w:after="100" w:afterAutospacing="1" w:line="240" w:lineRule="auto"/>
        <w:rPr>
          <w:rFonts w:ascii="Times New Roman" w:eastAsia="Times New Roman" w:hAnsi="Times New Roman" w:cs="Times New Roman"/>
          <w:color w:val="000000"/>
          <w:lang w:eastAsia="en-AU"/>
        </w:rPr>
      </w:pPr>
      <w:r w:rsidRPr="00A51826">
        <w:rPr>
          <w:rFonts w:ascii="Times New Roman" w:eastAsia="Times New Roman" w:hAnsi="Times New Roman" w:cs="Times New Roman"/>
          <w:bCs/>
          <w:color w:val="000000"/>
          <w:lang w:eastAsia="en-AU"/>
        </w:rPr>
        <w:t xml:space="preserve">Subsection </w:t>
      </w:r>
      <w:r w:rsidR="00EA491B"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w:t>
      </w:r>
      <w:r w:rsidR="003F0803" w:rsidRPr="00A51826">
        <w:rPr>
          <w:rFonts w:ascii="Times New Roman" w:eastAsia="Times New Roman" w:hAnsi="Times New Roman" w:cs="Times New Roman"/>
          <w:bCs/>
          <w:color w:val="000000"/>
          <w:lang w:eastAsia="en-AU"/>
        </w:rPr>
        <w:t>5</w:t>
      </w:r>
      <w:r w:rsidRPr="00A51826">
        <w:rPr>
          <w:rFonts w:ascii="Times New Roman" w:eastAsia="Times New Roman" w:hAnsi="Times New Roman" w:cs="Times New Roman"/>
          <w:bCs/>
          <w:color w:val="000000"/>
          <w:lang w:eastAsia="en-AU"/>
        </w:rPr>
        <w:t xml:space="preserve"> </w:t>
      </w:r>
      <w:r w:rsidR="000F5981" w:rsidRPr="00A51826">
        <w:rPr>
          <w:rFonts w:ascii="Times New Roman" w:eastAsia="Times New Roman" w:hAnsi="Times New Roman" w:cs="Times New Roman"/>
          <w:bCs/>
          <w:color w:val="000000"/>
          <w:lang w:eastAsia="en-AU"/>
        </w:rPr>
        <w:t xml:space="preserve">explains that </w:t>
      </w:r>
      <w:r w:rsidR="001B7DA4" w:rsidRPr="00A51826">
        <w:rPr>
          <w:rFonts w:ascii="Times New Roman" w:eastAsia="Times New Roman" w:hAnsi="Times New Roman" w:cs="Times New Roman"/>
          <w:bCs/>
          <w:color w:val="000000"/>
          <w:lang w:eastAsia="en-AU"/>
        </w:rPr>
        <w:t>the ACMA may not take further action regarding an alleged contravention of a listed infringement notice provision, if the recipient makes</w:t>
      </w:r>
      <w:r w:rsidR="00486A1E">
        <w:rPr>
          <w:rFonts w:ascii="Times New Roman" w:eastAsia="Times New Roman" w:hAnsi="Times New Roman" w:cs="Times New Roman"/>
          <w:bCs/>
          <w:color w:val="000000"/>
          <w:lang w:eastAsia="en-AU"/>
        </w:rPr>
        <w:t>, by the due date,</w:t>
      </w:r>
      <w:r w:rsidR="001B7DA4" w:rsidRPr="00A51826">
        <w:rPr>
          <w:rFonts w:ascii="Times New Roman" w:eastAsia="Times New Roman" w:hAnsi="Times New Roman" w:cs="Times New Roman"/>
          <w:bCs/>
          <w:color w:val="000000"/>
          <w:lang w:eastAsia="en-AU"/>
        </w:rPr>
        <w:t xml:space="preserve"> a payment of the penalty amount specified on the infringement notice. Such payment discharges the liability of the person for that alleged contravention. </w:t>
      </w:r>
      <w:proofErr w:type="gramStart"/>
      <w:r w:rsidR="001B7DA4" w:rsidRPr="00A51826">
        <w:rPr>
          <w:rFonts w:ascii="Times New Roman" w:eastAsia="Times New Roman" w:hAnsi="Times New Roman" w:cs="Times New Roman"/>
          <w:bCs/>
          <w:color w:val="000000"/>
          <w:lang w:eastAsia="en-AU"/>
        </w:rPr>
        <w:t>In the event that</w:t>
      </w:r>
      <w:proofErr w:type="gramEnd"/>
      <w:r w:rsidR="001B7DA4" w:rsidRPr="00A51826">
        <w:rPr>
          <w:rFonts w:ascii="Times New Roman" w:eastAsia="Times New Roman" w:hAnsi="Times New Roman" w:cs="Times New Roman"/>
          <w:bCs/>
          <w:color w:val="000000"/>
          <w:lang w:eastAsia="en-AU"/>
        </w:rPr>
        <w:t xml:space="preserve"> payment is not made in accordance with the infringement notice, the ACMA may take action including the commencement of proceedings for the imposition of a </w:t>
      </w:r>
      <w:r w:rsidR="004641C5" w:rsidRPr="00A51826">
        <w:rPr>
          <w:rFonts w:ascii="Times New Roman" w:eastAsia="Times New Roman" w:hAnsi="Times New Roman" w:cs="Times New Roman"/>
          <w:bCs/>
          <w:color w:val="000000"/>
          <w:lang w:eastAsia="en-AU"/>
        </w:rPr>
        <w:t>pecuniary</w:t>
      </w:r>
      <w:r w:rsidR="001B7DA4" w:rsidRPr="00A51826">
        <w:rPr>
          <w:rFonts w:ascii="Times New Roman" w:eastAsia="Times New Roman" w:hAnsi="Times New Roman" w:cs="Times New Roman"/>
          <w:bCs/>
          <w:color w:val="000000"/>
          <w:lang w:eastAsia="en-AU"/>
        </w:rPr>
        <w:t xml:space="preserve"> penalty, as set out in subsection </w:t>
      </w:r>
      <w:r w:rsidR="00EA491B" w:rsidRPr="00A51826">
        <w:rPr>
          <w:rFonts w:ascii="Times New Roman" w:eastAsia="Times New Roman" w:hAnsi="Times New Roman" w:cs="Times New Roman"/>
          <w:bCs/>
          <w:color w:val="000000"/>
          <w:lang w:eastAsia="en-AU"/>
        </w:rPr>
        <w:t>9</w:t>
      </w:r>
      <w:r w:rsidR="001B7DA4" w:rsidRPr="00A51826">
        <w:rPr>
          <w:rFonts w:ascii="Times New Roman" w:eastAsia="Times New Roman" w:hAnsi="Times New Roman" w:cs="Times New Roman"/>
          <w:bCs/>
          <w:color w:val="000000"/>
          <w:lang w:eastAsia="en-AU"/>
        </w:rPr>
        <w:t>.</w:t>
      </w:r>
      <w:r w:rsidR="00664321">
        <w:rPr>
          <w:rFonts w:ascii="Times New Roman" w:eastAsia="Times New Roman" w:hAnsi="Times New Roman" w:cs="Times New Roman"/>
          <w:bCs/>
          <w:color w:val="000000"/>
          <w:lang w:eastAsia="en-AU"/>
        </w:rPr>
        <w:t>6</w:t>
      </w:r>
      <w:r w:rsidR="001B7DA4" w:rsidRPr="00A51826">
        <w:rPr>
          <w:rFonts w:ascii="Times New Roman" w:eastAsia="Times New Roman" w:hAnsi="Times New Roman" w:cs="Times New Roman"/>
          <w:color w:val="000000"/>
          <w:lang w:eastAsia="en-AU"/>
        </w:rPr>
        <w:t>.</w:t>
      </w:r>
    </w:p>
    <w:p w14:paraId="5CBF42A9" w14:textId="77777777" w:rsidR="004F2FB0" w:rsidRPr="00A51826" w:rsidRDefault="007A757B" w:rsidP="004F2FB0">
      <w:pPr>
        <w:spacing w:before="100" w:beforeAutospacing="1" w:after="100" w:afterAutospacing="1" w:line="240" w:lineRule="auto"/>
        <w:rPr>
          <w:rFonts w:ascii="Times New Roman" w:eastAsia="Times New Roman" w:hAnsi="Times New Roman" w:cs="Times New Roman"/>
          <w:i/>
          <w:color w:val="000000"/>
          <w:lang w:eastAsia="en-AU"/>
        </w:rPr>
      </w:pPr>
      <w:r w:rsidRPr="00A51826">
        <w:rPr>
          <w:rFonts w:ascii="Times New Roman" w:eastAsia="Times New Roman" w:hAnsi="Times New Roman" w:cs="Times New Roman"/>
          <w:i/>
          <w:color w:val="000000"/>
          <w:lang w:eastAsia="en-AU"/>
        </w:rPr>
        <w:t>Content of an infringement notice</w:t>
      </w:r>
    </w:p>
    <w:p w14:paraId="1A312BEE" w14:textId="77777777" w:rsidR="003F11EF" w:rsidRDefault="001B7DA4" w:rsidP="004F2FB0">
      <w:pPr>
        <w:spacing w:before="100" w:beforeAutospacing="1" w:after="100" w:afterAutospacing="1" w:line="240" w:lineRule="auto"/>
        <w:rPr>
          <w:rFonts w:ascii="Times New Roman" w:eastAsia="Times New Roman" w:hAnsi="Times New Roman" w:cs="Times New Roman"/>
          <w:bCs/>
          <w:color w:val="000000"/>
          <w:lang w:eastAsia="en-AU"/>
        </w:rPr>
        <w:sectPr w:rsidR="003F11EF" w:rsidSect="00295BC4">
          <w:pgSz w:w="11906" w:h="16838"/>
          <w:pgMar w:top="1440" w:right="1440" w:bottom="1440" w:left="1440" w:header="708" w:footer="708" w:gutter="0"/>
          <w:pgNumType w:start="4"/>
          <w:cols w:space="708"/>
          <w:docGrid w:linePitch="360"/>
        </w:sectPr>
      </w:pPr>
      <w:r w:rsidRPr="00A51826">
        <w:rPr>
          <w:rFonts w:ascii="Times New Roman" w:eastAsia="Times New Roman" w:hAnsi="Times New Roman" w:cs="Times New Roman"/>
          <w:bCs/>
          <w:color w:val="000000"/>
          <w:lang w:eastAsia="en-AU"/>
        </w:rPr>
        <w:t xml:space="preserve">Subsection </w:t>
      </w:r>
      <w:r w:rsidR="00716EFD"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w:t>
      </w:r>
      <w:r w:rsidR="00716EFD" w:rsidRPr="00A51826">
        <w:rPr>
          <w:rFonts w:ascii="Times New Roman" w:eastAsia="Times New Roman" w:hAnsi="Times New Roman" w:cs="Times New Roman"/>
          <w:bCs/>
          <w:color w:val="000000"/>
          <w:lang w:eastAsia="en-AU"/>
        </w:rPr>
        <w:t>7</w:t>
      </w:r>
      <w:r w:rsidRPr="00A51826">
        <w:rPr>
          <w:rFonts w:ascii="Times New Roman" w:eastAsia="Times New Roman" w:hAnsi="Times New Roman" w:cs="Times New Roman"/>
          <w:bCs/>
          <w:color w:val="000000"/>
          <w:lang w:eastAsia="en-AU"/>
        </w:rPr>
        <w:t xml:space="preserve"> </w:t>
      </w:r>
      <w:r w:rsidR="003341C5" w:rsidRPr="00A51826">
        <w:rPr>
          <w:rFonts w:ascii="Times New Roman" w:eastAsia="Times New Roman" w:hAnsi="Times New Roman" w:cs="Times New Roman"/>
          <w:bCs/>
          <w:color w:val="000000"/>
          <w:lang w:eastAsia="en-AU"/>
        </w:rPr>
        <w:t xml:space="preserve">outlines what information an infringement notice </w:t>
      </w:r>
      <w:r w:rsidR="006E706A" w:rsidRPr="00A51826">
        <w:rPr>
          <w:rFonts w:ascii="Times New Roman" w:eastAsia="Times New Roman" w:hAnsi="Times New Roman" w:cs="Times New Roman"/>
          <w:bCs/>
          <w:color w:val="000000"/>
          <w:lang w:eastAsia="en-AU"/>
        </w:rPr>
        <w:t>given</w:t>
      </w:r>
      <w:r w:rsidR="003341C5" w:rsidRPr="00A51826">
        <w:rPr>
          <w:rFonts w:ascii="Times New Roman" w:eastAsia="Times New Roman" w:hAnsi="Times New Roman" w:cs="Times New Roman"/>
          <w:bCs/>
          <w:color w:val="000000"/>
          <w:lang w:eastAsia="en-AU"/>
        </w:rPr>
        <w:t xml:space="preserve"> by the ACMA under Part 31B of the</w:t>
      </w:r>
      <w:r w:rsidR="0097585D" w:rsidRPr="00A51826">
        <w:rPr>
          <w:rFonts w:ascii="Times New Roman" w:eastAsia="Times New Roman" w:hAnsi="Times New Roman" w:cs="Times New Roman"/>
          <w:bCs/>
          <w:color w:val="000000"/>
          <w:lang w:eastAsia="en-AU"/>
        </w:rPr>
        <w:t xml:space="preserve"> Telecommunications</w:t>
      </w:r>
      <w:r w:rsidR="003341C5" w:rsidRPr="00A51826">
        <w:rPr>
          <w:rFonts w:ascii="Times New Roman" w:eastAsia="Times New Roman" w:hAnsi="Times New Roman" w:cs="Times New Roman"/>
          <w:bCs/>
          <w:color w:val="000000"/>
          <w:lang w:eastAsia="en-AU"/>
        </w:rPr>
        <w:t xml:space="preserve"> Act will include.</w:t>
      </w:r>
    </w:p>
    <w:p w14:paraId="5CBF42AB" w14:textId="77777777" w:rsidR="007A757B" w:rsidRPr="00A51826" w:rsidRDefault="007A757B" w:rsidP="004F2FB0">
      <w:pPr>
        <w:spacing w:before="100" w:beforeAutospacing="1" w:after="100" w:afterAutospacing="1" w:line="240" w:lineRule="auto"/>
        <w:rPr>
          <w:rFonts w:ascii="Times New Roman" w:eastAsia="Times New Roman" w:hAnsi="Times New Roman" w:cs="Times New Roman"/>
          <w:i/>
          <w:color w:val="000000"/>
          <w:lang w:eastAsia="en-AU"/>
        </w:rPr>
      </w:pPr>
      <w:r w:rsidRPr="00A51826">
        <w:rPr>
          <w:rFonts w:ascii="Times New Roman" w:eastAsia="Times New Roman" w:hAnsi="Times New Roman" w:cs="Times New Roman"/>
          <w:i/>
          <w:color w:val="000000"/>
          <w:lang w:eastAsia="en-AU"/>
        </w:rPr>
        <w:t xml:space="preserve">Request for an extension of time in which to pay the penalty </w:t>
      </w:r>
    </w:p>
    <w:p w14:paraId="0C179B2C" w14:textId="387A409C" w:rsidR="00524089" w:rsidRPr="00D23FF2" w:rsidRDefault="003341C5" w:rsidP="004F2FB0">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Cs/>
          <w:color w:val="000000"/>
          <w:lang w:eastAsia="en-AU"/>
        </w:rPr>
        <w:t xml:space="preserve">Subsection </w:t>
      </w:r>
      <w:r w:rsidR="00716EFD" w:rsidRPr="00A51826">
        <w:rPr>
          <w:rFonts w:ascii="Times New Roman" w:eastAsia="Times New Roman" w:hAnsi="Times New Roman" w:cs="Times New Roman"/>
          <w:bCs/>
          <w:color w:val="000000"/>
          <w:lang w:eastAsia="en-AU"/>
        </w:rPr>
        <w:t>9.8</w:t>
      </w:r>
      <w:r w:rsidRPr="00A51826">
        <w:rPr>
          <w:rFonts w:ascii="Times New Roman" w:eastAsia="Times New Roman" w:hAnsi="Times New Roman" w:cs="Times New Roman"/>
          <w:bCs/>
          <w:color w:val="000000"/>
          <w:lang w:eastAsia="en-AU"/>
        </w:rPr>
        <w:t xml:space="preserve"> provides that in most circumstances, payment of the penalty specified in the infringement notice is required within 28 days after the notice is given, however the ACMA has discretion under section 572F of the </w:t>
      </w:r>
      <w:r w:rsidR="0097585D" w:rsidRPr="00A51826">
        <w:rPr>
          <w:rFonts w:ascii="Times New Roman" w:eastAsia="Times New Roman" w:hAnsi="Times New Roman" w:cs="Times New Roman"/>
          <w:bCs/>
          <w:color w:val="000000"/>
          <w:lang w:eastAsia="en-AU"/>
        </w:rPr>
        <w:t>Telecommunication</w:t>
      </w:r>
      <w:r w:rsidR="00776A14">
        <w:rPr>
          <w:rFonts w:ascii="Times New Roman" w:eastAsia="Times New Roman" w:hAnsi="Times New Roman" w:cs="Times New Roman"/>
          <w:bCs/>
          <w:color w:val="000000"/>
          <w:lang w:eastAsia="en-AU"/>
        </w:rPr>
        <w:t>s</w:t>
      </w:r>
      <w:r w:rsidR="0097585D" w:rsidRPr="00A51826">
        <w:rPr>
          <w:rFonts w:ascii="Times New Roman" w:eastAsia="Times New Roman" w:hAnsi="Times New Roman" w:cs="Times New Roman"/>
          <w:bCs/>
          <w:color w:val="000000"/>
          <w:lang w:eastAsia="en-AU"/>
        </w:rPr>
        <w:t xml:space="preserve"> </w:t>
      </w:r>
      <w:r w:rsidRPr="00A51826">
        <w:rPr>
          <w:rFonts w:ascii="Times New Roman" w:eastAsia="Times New Roman" w:hAnsi="Times New Roman" w:cs="Times New Roman"/>
          <w:bCs/>
          <w:color w:val="000000"/>
          <w:lang w:eastAsia="en-AU"/>
        </w:rPr>
        <w:t xml:space="preserve">Act to extend the time for payment. </w:t>
      </w:r>
    </w:p>
    <w:p w14:paraId="5CBF42AC" w14:textId="5044C67A" w:rsidR="003341C5" w:rsidRPr="00A51826" w:rsidRDefault="00C97501" w:rsidP="004F2FB0">
      <w:pPr>
        <w:spacing w:before="100" w:beforeAutospacing="1" w:after="100" w:afterAutospacing="1" w:line="240" w:lineRule="auto"/>
        <w:rPr>
          <w:rFonts w:ascii="Times New Roman" w:eastAsia="Times New Roman" w:hAnsi="Times New Roman" w:cs="Times New Roman"/>
          <w:color w:val="000000"/>
          <w:lang w:eastAsia="en-AU"/>
        </w:rPr>
      </w:pPr>
      <w:r w:rsidRPr="00A51826">
        <w:rPr>
          <w:rFonts w:ascii="Times New Roman" w:eastAsia="Times New Roman" w:hAnsi="Times New Roman" w:cs="Times New Roman"/>
          <w:bCs/>
          <w:color w:val="000000"/>
          <w:lang w:eastAsia="en-AU"/>
        </w:rPr>
        <w:t xml:space="preserve">Subsection </w:t>
      </w:r>
      <w:r w:rsidR="00716EFD" w:rsidRPr="00A51826">
        <w:rPr>
          <w:rFonts w:ascii="Times New Roman" w:eastAsia="Times New Roman" w:hAnsi="Times New Roman" w:cs="Times New Roman"/>
          <w:bCs/>
          <w:color w:val="000000"/>
          <w:lang w:eastAsia="en-AU"/>
        </w:rPr>
        <w:t>9.9</w:t>
      </w:r>
      <w:r w:rsidR="003341C5" w:rsidRPr="00A51826">
        <w:rPr>
          <w:rFonts w:ascii="Times New Roman" w:eastAsia="Times New Roman" w:hAnsi="Times New Roman" w:cs="Times New Roman"/>
          <w:bCs/>
          <w:color w:val="000000"/>
          <w:lang w:eastAsia="en-AU"/>
        </w:rPr>
        <w:t xml:space="preserve"> explains that a request for an extension of time to make a payment must be made before the due date and that the ACMA will consider extension requests on a </w:t>
      </w:r>
      <w:r w:rsidR="004E6BD7" w:rsidRPr="00A51826">
        <w:rPr>
          <w:rFonts w:ascii="Times New Roman" w:eastAsia="Times New Roman" w:hAnsi="Times New Roman" w:cs="Times New Roman"/>
          <w:bCs/>
          <w:color w:val="000000"/>
          <w:lang w:eastAsia="en-AU"/>
        </w:rPr>
        <w:t>case-by-case</w:t>
      </w:r>
      <w:r w:rsidR="003341C5" w:rsidRPr="00A51826">
        <w:rPr>
          <w:rFonts w:ascii="Times New Roman" w:eastAsia="Times New Roman" w:hAnsi="Times New Roman" w:cs="Times New Roman"/>
          <w:bCs/>
          <w:color w:val="000000"/>
          <w:lang w:eastAsia="en-AU"/>
        </w:rPr>
        <w:t xml:space="preserve"> basis. </w:t>
      </w:r>
    </w:p>
    <w:p w14:paraId="5CBF42AD" w14:textId="77777777" w:rsidR="007A757B" w:rsidRPr="00A51826" w:rsidRDefault="007A757B" w:rsidP="004F2FB0">
      <w:pPr>
        <w:spacing w:before="100" w:beforeAutospacing="1" w:after="100" w:afterAutospacing="1" w:line="240" w:lineRule="auto"/>
        <w:rPr>
          <w:rFonts w:ascii="Times New Roman" w:eastAsia="Times New Roman" w:hAnsi="Times New Roman" w:cs="Times New Roman"/>
          <w:i/>
          <w:color w:val="000000"/>
          <w:lang w:eastAsia="en-AU"/>
        </w:rPr>
      </w:pPr>
      <w:r w:rsidRPr="00A51826">
        <w:rPr>
          <w:rFonts w:ascii="Times New Roman" w:eastAsia="Times New Roman" w:hAnsi="Times New Roman" w:cs="Times New Roman"/>
          <w:i/>
          <w:color w:val="000000"/>
          <w:lang w:eastAsia="en-AU"/>
        </w:rPr>
        <w:t>Withdrawal of an infringement notice</w:t>
      </w:r>
    </w:p>
    <w:p w14:paraId="5CBF42AE" w14:textId="59CBC126" w:rsidR="003341C5" w:rsidRPr="00A51826" w:rsidRDefault="002C01C6" w:rsidP="004F2FB0">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Cs/>
          <w:color w:val="000000"/>
          <w:lang w:eastAsia="en-AU"/>
        </w:rPr>
        <w:t xml:space="preserve">Subsection </w:t>
      </w:r>
      <w:r w:rsidR="00D958B9" w:rsidRPr="00A51826">
        <w:rPr>
          <w:rFonts w:ascii="Times New Roman" w:eastAsia="Times New Roman" w:hAnsi="Times New Roman" w:cs="Times New Roman"/>
          <w:bCs/>
          <w:color w:val="000000"/>
          <w:lang w:eastAsia="en-AU"/>
        </w:rPr>
        <w:t>9.10</w:t>
      </w:r>
      <w:r w:rsidRPr="00A51826">
        <w:rPr>
          <w:rFonts w:ascii="Times New Roman" w:eastAsia="Times New Roman" w:hAnsi="Times New Roman" w:cs="Times New Roman"/>
          <w:bCs/>
          <w:color w:val="000000"/>
          <w:lang w:eastAsia="en-AU"/>
        </w:rPr>
        <w:t xml:space="preserve"> provides that an infringement notice may be withdrawn by the ACMA either of its own volition or following a successful request for withdrawal by the recipient of the notice. For </w:t>
      </w:r>
      <w:r w:rsidR="007B0A77" w:rsidRPr="00A51826">
        <w:rPr>
          <w:rFonts w:ascii="Times New Roman" w:eastAsia="Times New Roman" w:hAnsi="Times New Roman" w:cs="Times New Roman"/>
          <w:bCs/>
          <w:color w:val="000000"/>
          <w:lang w:eastAsia="en-AU"/>
        </w:rPr>
        <w:t xml:space="preserve">such </w:t>
      </w:r>
      <w:r w:rsidRPr="00A51826">
        <w:rPr>
          <w:rFonts w:ascii="Times New Roman" w:eastAsia="Times New Roman" w:hAnsi="Times New Roman" w:cs="Times New Roman"/>
          <w:bCs/>
          <w:color w:val="000000"/>
          <w:lang w:eastAsia="en-AU"/>
        </w:rPr>
        <w:t xml:space="preserve">requests to be considered, they must occur within 28 days after the notice was given. </w:t>
      </w:r>
      <w:r w:rsidR="00212427" w:rsidRPr="00D23FF2">
        <w:rPr>
          <w:rFonts w:ascii="Times New Roman" w:eastAsia="Times New Roman" w:hAnsi="Times New Roman" w:cs="Times New Roman"/>
          <w:bCs/>
          <w:color w:val="000000"/>
          <w:lang w:eastAsia="en-AU"/>
        </w:rPr>
        <w:t xml:space="preserve">Subsection 9.10 also notes that a request for withdrawal </w:t>
      </w:r>
      <w:r w:rsidR="001D5C57" w:rsidRPr="00D23FF2">
        <w:rPr>
          <w:rFonts w:ascii="Times New Roman" w:eastAsia="Times New Roman" w:hAnsi="Times New Roman" w:cs="Times New Roman"/>
          <w:bCs/>
          <w:color w:val="000000"/>
          <w:lang w:eastAsia="en-AU"/>
        </w:rPr>
        <w:t xml:space="preserve">should be made as early as possible to ensure that it can be </w:t>
      </w:r>
      <w:r w:rsidR="00AB4074" w:rsidRPr="00A51826">
        <w:rPr>
          <w:rFonts w:ascii="Times New Roman" w:eastAsia="Times New Roman" w:hAnsi="Times New Roman" w:cs="Times New Roman"/>
          <w:bCs/>
          <w:color w:val="000000"/>
          <w:lang w:eastAsia="en-AU"/>
        </w:rPr>
        <w:t xml:space="preserve">given due consideration and a decision, whether or not to withdraw the notice, can be made before the expiration of the </w:t>
      </w:r>
      <w:proofErr w:type="gramStart"/>
      <w:r w:rsidR="00AB4074" w:rsidRPr="00A51826">
        <w:rPr>
          <w:rFonts w:ascii="Times New Roman" w:eastAsia="Times New Roman" w:hAnsi="Times New Roman" w:cs="Times New Roman"/>
          <w:bCs/>
          <w:color w:val="000000"/>
          <w:lang w:eastAsia="en-AU"/>
        </w:rPr>
        <w:t>28 day</w:t>
      </w:r>
      <w:proofErr w:type="gramEnd"/>
      <w:r w:rsidR="00AB4074" w:rsidRPr="00A51826">
        <w:rPr>
          <w:rFonts w:ascii="Times New Roman" w:eastAsia="Times New Roman" w:hAnsi="Times New Roman" w:cs="Times New Roman"/>
          <w:bCs/>
          <w:color w:val="000000"/>
          <w:lang w:eastAsia="en-AU"/>
        </w:rPr>
        <w:t xml:space="preserve"> period</w:t>
      </w:r>
      <w:r w:rsidR="001D5C57" w:rsidRPr="00A51826">
        <w:rPr>
          <w:rFonts w:ascii="Times New Roman" w:eastAsia="Times New Roman" w:hAnsi="Times New Roman" w:cs="Times New Roman"/>
          <w:bCs/>
          <w:color w:val="000000"/>
          <w:lang w:eastAsia="en-AU"/>
        </w:rPr>
        <w:t xml:space="preserve">. </w:t>
      </w:r>
    </w:p>
    <w:p w14:paraId="5CBF42AF" w14:textId="78BDBA53" w:rsidR="007B0A77" w:rsidRPr="00A51826" w:rsidRDefault="007B0A77" w:rsidP="004F2FB0">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Cs/>
          <w:color w:val="000000"/>
          <w:lang w:eastAsia="en-AU"/>
        </w:rPr>
        <w:t xml:space="preserve">Subsection </w:t>
      </w:r>
      <w:r w:rsidR="00D958B9" w:rsidRPr="00A51826">
        <w:rPr>
          <w:rFonts w:ascii="Times New Roman" w:eastAsia="Times New Roman" w:hAnsi="Times New Roman" w:cs="Times New Roman"/>
          <w:bCs/>
          <w:color w:val="000000"/>
          <w:lang w:eastAsia="en-AU"/>
        </w:rPr>
        <w:t>9.11</w:t>
      </w:r>
      <w:r w:rsidRPr="00A51826">
        <w:rPr>
          <w:rFonts w:ascii="Times New Roman" w:eastAsia="Times New Roman" w:hAnsi="Times New Roman" w:cs="Times New Roman"/>
          <w:bCs/>
          <w:color w:val="000000"/>
          <w:lang w:eastAsia="en-AU"/>
        </w:rPr>
        <w:t xml:space="preserve"> outlines factors that </w:t>
      </w:r>
      <w:r w:rsidR="00957027" w:rsidRPr="00A51826">
        <w:rPr>
          <w:rFonts w:ascii="Times New Roman" w:eastAsia="Times New Roman" w:hAnsi="Times New Roman" w:cs="Times New Roman"/>
          <w:bCs/>
          <w:color w:val="000000"/>
          <w:lang w:eastAsia="en-AU"/>
        </w:rPr>
        <w:t>may be relevant in determining</w:t>
      </w:r>
      <w:r w:rsidRPr="00A51826">
        <w:rPr>
          <w:rFonts w:ascii="Times New Roman" w:eastAsia="Times New Roman" w:hAnsi="Times New Roman" w:cs="Times New Roman"/>
          <w:bCs/>
          <w:color w:val="000000"/>
          <w:lang w:eastAsia="en-AU"/>
        </w:rPr>
        <w:t xml:space="preserve"> whether an infringement notice should be withdrawn. These include whether there is further information or evidence suggesting that a breach did not </w:t>
      </w:r>
      <w:proofErr w:type="gramStart"/>
      <w:r w:rsidRPr="00A51826">
        <w:rPr>
          <w:rFonts w:ascii="Times New Roman" w:eastAsia="Times New Roman" w:hAnsi="Times New Roman" w:cs="Times New Roman"/>
          <w:bCs/>
          <w:color w:val="000000"/>
          <w:lang w:eastAsia="en-AU"/>
        </w:rPr>
        <w:t>occur</w:t>
      </w:r>
      <w:proofErr w:type="gramEnd"/>
      <w:r w:rsidRPr="00A51826">
        <w:rPr>
          <w:rFonts w:ascii="Times New Roman" w:eastAsia="Times New Roman" w:hAnsi="Times New Roman" w:cs="Times New Roman"/>
          <w:bCs/>
          <w:color w:val="000000"/>
          <w:lang w:eastAsia="en-AU"/>
        </w:rPr>
        <w:t xml:space="preserve"> or the conduct is more serious tha</w:t>
      </w:r>
      <w:r w:rsidR="004641C5" w:rsidRPr="00A51826">
        <w:rPr>
          <w:rFonts w:ascii="Times New Roman" w:eastAsia="Times New Roman" w:hAnsi="Times New Roman" w:cs="Times New Roman"/>
          <w:bCs/>
          <w:color w:val="000000"/>
          <w:lang w:eastAsia="en-AU"/>
        </w:rPr>
        <w:t>n</w:t>
      </w:r>
      <w:r w:rsidRPr="00A51826">
        <w:rPr>
          <w:rFonts w:ascii="Times New Roman" w:eastAsia="Times New Roman" w:hAnsi="Times New Roman" w:cs="Times New Roman"/>
          <w:bCs/>
          <w:color w:val="000000"/>
          <w:lang w:eastAsia="en-AU"/>
        </w:rPr>
        <w:t xml:space="preserve"> initially believed. </w:t>
      </w:r>
    </w:p>
    <w:p w14:paraId="5CBF42B0" w14:textId="59F8BF45" w:rsidR="007B0A77" w:rsidRPr="00A51826" w:rsidRDefault="007B0A77" w:rsidP="004F2FB0">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Cs/>
          <w:color w:val="000000"/>
          <w:lang w:eastAsia="en-AU"/>
        </w:rPr>
        <w:t xml:space="preserve">Subsection </w:t>
      </w:r>
      <w:r w:rsidR="00D958B9" w:rsidRPr="00A51826">
        <w:rPr>
          <w:rFonts w:ascii="Times New Roman" w:eastAsia="Times New Roman" w:hAnsi="Times New Roman" w:cs="Times New Roman"/>
          <w:bCs/>
          <w:color w:val="000000"/>
          <w:lang w:eastAsia="en-AU"/>
        </w:rPr>
        <w:t>9.12</w:t>
      </w:r>
      <w:r w:rsidRPr="00A51826">
        <w:rPr>
          <w:rFonts w:ascii="Times New Roman" w:eastAsia="Times New Roman" w:hAnsi="Times New Roman" w:cs="Times New Roman"/>
          <w:bCs/>
          <w:color w:val="000000"/>
          <w:lang w:eastAsia="en-AU"/>
        </w:rPr>
        <w:t xml:space="preserve"> </w:t>
      </w:r>
      <w:r w:rsidR="00FC71A8" w:rsidRPr="00A51826">
        <w:rPr>
          <w:rFonts w:ascii="Times New Roman" w:eastAsia="Times New Roman" w:hAnsi="Times New Roman" w:cs="Times New Roman"/>
          <w:bCs/>
          <w:color w:val="000000"/>
          <w:lang w:eastAsia="en-AU"/>
        </w:rPr>
        <w:t xml:space="preserve">provides </w:t>
      </w:r>
      <w:r w:rsidRPr="00A51826">
        <w:rPr>
          <w:rFonts w:ascii="Times New Roman" w:eastAsia="Times New Roman" w:hAnsi="Times New Roman" w:cs="Times New Roman"/>
          <w:bCs/>
          <w:color w:val="000000"/>
          <w:lang w:eastAsia="en-AU"/>
        </w:rPr>
        <w:t xml:space="preserve">that in most cases, the issuing officer will be best placed to review a request made under subsection </w:t>
      </w:r>
      <w:r w:rsidR="00A844E4" w:rsidRPr="00A51826">
        <w:rPr>
          <w:rFonts w:ascii="Times New Roman" w:eastAsia="Times New Roman" w:hAnsi="Times New Roman" w:cs="Times New Roman"/>
          <w:bCs/>
          <w:color w:val="000000"/>
          <w:lang w:eastAsia="en-AU"/>
        </w:rPr>
        <w:t>9.10</w:t>
      </w:r>
      <w:r w:rsidRPr="00A51826">
        <w:rPr>
          <w:rFonts w:ascii="Times New Roman" w:eastAsia="Times New Roman" w:hAnsi="Times New Roman" w:cs="Times New Roman"/>
          <w:bCs/>
          <w:color w:val="000000"/>
          <w:lang w:eastAsia="en-AU"/>
        </w:rPr>
        <w:t xml:space="preserve"> and therefore, such requests should be made to the issuing officer, as outlined in subsection </w:t>
      </w:r>
      <w:r w:rsidR="00A844E4"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.1</w:t>
      </w:r>
      <w:r w:rsidR="00A844E4" w:rsidRPr="00A51826">
        <w:rPr>
          <w:rFonts w:ascii="Times New Roman" w:eastAsia="Times New Roman" w:hAnsi="Times New Roman" w:cs="Times New Roman"/>
          <w:bCs/>
          <w:color w:val="000000"/>
          <w:lang w:eastAsia="en-AU"/>
        </w:rPr>
        <w:t>3</w:t>
      </w:r>
      <w:r w:rsidRPr="00A51826">
        <w:rPr>
          <w:rFonts w:ascii="Times New Roman" w:eastAsia="Times New Roman" w:hAnsi="Times New Roman" w:cs="Times New Roman"/>
          <w:bCs/>
          <w:color w:val="000000"/>
          <w:lang w:eastAsia="en-AU"/>
        </w:rPr>
        <w:t xml:space="preserve">. </w:t>
      </w:r>
    </w:p>
    <w:p w14:paraId="5CBF42B1" w14:textId="77777777" w:rsidR="007A757B" w:rsidRPr="00A51826" w:rsidRDefault="007A757B" w:rsidP="004F2FB0">
      <w:pPr>
        <w:spacing w:before="100" w:beforeAutospacing="1" w:after="100" w:afterAutospacing="1" w:line="240" w:lineRule="auto"/>
        <w:rPr>
          <w:rFonts w:ascii="Times New Roman" w:eastAsia="Times New Roman" w:hAnsi="Times New Roman" w:cs="Times New Roman"/>
          <w:i/>
          <w:color w:val="000000"/>
          <w:lang w:eastAsia="en-AU"/>
        </w:rPr>
      </w:pPr>
      <w:r w:rsidRPr="00A51826">
        <w:rPr>
          <w:rFonts w:ascii="Times New Roman" w:eastAsia="Times New Roman" w:hAnsi="Times New Roman" w:cs="Times New Roman"/>
          <w:i/>
          <w:color w:val="000000"/>
          <w:lang w:eastAsia="en-AU"/>
        </w:rPr>
        <w:t>Effect of withdrawal of an infringement notice</w:t>
      </w:r>
    </w:p>
    <w:p w14:paraId="5CBF42B2" w14:textId="2D7A638D" w:rsidR="007342CA" w:rsidRPr="00A51826" w:rsidRDefault="001E0ACD" w:rsidP="004F2FB0">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Cs/>
          <w:color w:val="000000"/>
          <w:lang w:eastAsia="en-AU"/>
        </w:rPr>
        <w:t xml:space="preserve">Subsection </w:t>
      </w:r>
      <w:r w:rsidR="00980D78" w:rsidRPr="00A51826">
        <w:rPr>
          <w:rFonts w:ascii="Times New Roman" w:eastAsia="Times New Roman" w:hAnsi="Times New Roman" w:cs="Times New Roman"/>
          <w:bCs/>
          <w:color w:val="000000"/>
          <w:lang w:eastAsia="en-AU"/>
        </w:rPr>
        <w:t>9.14</w:t>
      </w:r>
      <w:r w:rsidRPr="00A51826">
        <w:rPr>
          <w:rFonts w:ascii="Times New Roman" w:eastAsia="Times New Roman" w:hAnsi="Times New Roman" w:cs="Times New Roman"/>
          <w:bCs/>
          <w:color w:val="000000"/>
          <w:lang w:eastAsia="en-AU"/>
        </w:rPr>
        <w:t xml:space="preserve"> provides that the penalty amount will be refunded if an infringement notice is withdrawn after payment of the penalty. Subsection </w:t>
      </w:r>
      <w:r w:rsidR="00980D78" w:rsidRPr="00A51826">
        <w:rPr>
          <w:rFonts w:ascii="Times New Roman" w:eastAsia="Times New Roman" w:hAnsi="Times New Roman" w:cs="Times New Roman"/>
          <w:bCs/>
          <w:color w:val="000000"/>
          <w:lang w:eastAsia="en-AU"/>
        </w:rPr>
        <w:t>9.15</w:t>
      </w:r>
      <w:r w:rsidRPr="00A51826">
        <w:rPr>
          <w:rFonts w:ascii="Times New Roman" w:eastAsia="Times New Roman" w:hAnsi="Times New Roman" w:cs="Times New Roman"/>
          <w:bCs/>
          <w:color w:val="000000"/>
          <w:lang w:eastAsia="en-AU"/>
        </w:rPr>
        <w:t xml:space="preserve"> explains that the ACMA will consider whether further action is appropriate if an infringement notice is withdrawn.</w:t>
      </w:r>
    </w:p>
    <w:p w14:paraId="5CBF42B3" w14:textId="77777777" w:rsidR="007A757B" w:rsidRPr="00A51826" w:rsidRDefault="00BC27AD" w:rsidP="004F2FB0">
      <w:pPr>
        <w:spacing w:before="100" w:beforeAutospacing="1" w:after="100" w:afterAutospacing="1" w:line="240" w:lineRule="auto"/>
        <w:rPr>
          <w:rFonts w:ascii="Times New Roman" w:eastAsia="Times New Roman" w:hAnsi="Times New Roman" w:cs="Times New Roman"/>
          <w:i/>
          <w:color w:val="000000"/>
          <w:lang w:eastAsia="en-AU"/>
        </w:rPr>
      </w:pPr>
      <w:r w:rsidRPr="00A51826">
        <w:rPr>
          <w:rFonts w:ascii="Times New Roman" w:eastAsia="Times New Roman" w:hAnsi="Times New Roman" w:cs="Times New Roman"/>
          <w:i/>
          <w:color w:val="000000"/>
          <w:lang w:eastAsia="en-AU"/>
        </w:rPr>
        <w:t>Publication</w:t>
      </w:r>
    </w:p>
    <w:p w14:paraId="5CBF42B4" w14:textId="57A78C3E" w:rsidR="001E0ACD" w:rsidRPr="00A51826" w:rsidRDefault="001E0ACD" w:rsidP="004F2FB0">
      <w:pPr>
        <w:spacing w:before="100" w:beforeAutospacing="1" w:after="100" w:afterAutospacing="1" w:line="240" w:lineRule="auto"/>
        <w:rPr>
          <w:rFonts w:ascii="Times New Roman" w:eastAsia="Times New Roman" w:hAnsi="Times New Roman" w:cs="Times New Roman"/>
          <w:bCs/>
          <w:color w:val="000000"/>
          <w:lang w:eastAsia="en-AU"/>
        </w:rPr>
      </w:pPr>
      <w:r w:rsidRPr="00A51826">
        <w:rPr>
          <w:rFonts w:ascii="Times New Roman" w:eastAsia="Times New Roman" w:hAnsi="Times New Roman" w:cs="Times New Roman"/>
          <w:bCs/>
          <w:color w:val="000000"/>
          <w:lang w:eastAsia="en-AU"/>
        </w:rPr>
        <w:t xml:space="preserve">Subsection </w:t>
      </w:r>
      <w:r w:rsidR="0061142E"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.1</w:t>
      </w:r>
      <w:r w:rsidR="0061142E" w:rsidRPr="00A51826">
        <w:rPr>
          <w:rFonts w:ascii="Times New Roman" w:eastAsia="Times New Roman" w:hAnsi="Times New Roman" w:cs="Times New Roman"/>
          <w:bCs/>
          <w:color w:val="000000"/>
          <w:lang w:eastAsia="en-AU"/>
        </w:rPr>
        <w:t>6</w:t>
      </w:r>
      <w:r w:rsidRPr="00A51826">
        <w:rPr>
          <w:rFonts w:ascii="Times New Roman" w:eastAsia="Times New Roman" w:hAnsi="Times New Roman" w:cs="Times New Roman"/>
          <w:bCs/>
          <w:color w:val="000000"/>
          <w:lang w:eastAsia="en-AU"/>
        </w:rPr>
        <w:t xml:space="preserve"> outlines the ACMA’s general approach to the publication of circumstances relating to infringement notices given under Part 31B of the </w:t>
      </w:r>
      <w:r w:rsidR="0097585D" w:rsidRPr="00A51826">
        <w:rPr>
          <w:rFonts w:ascii="Times New Roman" w:eastAsia="Times New Roman" w:hAnsi="Times New Roman" w:cs="Times New Roman"/>
          <w:bCs/>
          <w:color w:val="000000"/>
          <w:lang w:eastAsia="en-AU"/>
        </w:rPr>
        <w:t xml:space="preserve">Telecommunications </w:t>
      </w:r>
      <w:r w:rsidRPr="00A51826">
        <w:rPr>
          <w:rFonts w:ascii="Times New Roman" w:eastAsia="Times New Roman" w:hAnsi="Times New Roman" w:cs="Times New Roman"/>
          <w:bCs/>
          <w:color w:val="000000"/>
          <w:lang w:eastAsia="en-AU"/>
        </w:rPr>
        <w:t xml:space="preserve">Act. Subsection </w:t>
      </w:r>
      <w:r w:rsidR="0061142E"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.1</w:t>
      </w:r>
      <w:r w:rsidR="0061142E" w:rsidRPr="00A51826">
        <w:rPr>
          <w:rFonts w:ascii="Times New Roman" w:eastAsia="Times New Roman" w:hAnsi="Times New Roman" w:cs="Times New Roman"/>
          <w:bCs/>
          <w:color w:val="000000"/>
          <w:lang w:eastAsia="en-AU"/>
        </w:rPr>
        <w:t>7</w:t>
      </w:r>
      <w:r w:rsidRPr="00A51826">
        <w:rPr>
          <w:rFonts w:ascii="Times New Roman" w:eastAsia="Times New Roman" w:hAnsi="Times New Roman" w:cs="Times New Roman"/>
          <w:bCs/>
          <w:color w:val="000000"/>
          <w:lang w:eastAsia="en-AU"/>
        </w:rPr>
        <w:t xml:space="preserve"> </w:t>
      </w:r>
      <w:r w:rsidR="009431ED" w:rsidRPr="00A51826">
        <w:rPr>
          <w:rFonts w:ascii="Times New Roman" w:eastAsia="Times New Roman" w:hAnsi="Times New Roman" w:cs="Times New Roman"/>
          <w:bCs/>
          <w:color w:val="000000"/>
          <w:lang w:eastAsia="en-AU"/>
        </w:rPr>
        <w:t>sets out the view of the ACMA</w:t>
      </w:r>
      <w:r w:rsidRPr="00A51826">
        <w:rPr>
          <w:rFonts w:ascii="Times New Roman" w:eastAsia="Times New Roman" w:hAnsi="Times New Roman" w:cs="Times New Roman"/>
          <w:bCs/>
          <w:color w:val="000000"/>
          <w:lang w:eastAsia="en-AU"/>
        </w:rPr>
        <w:t xml:space="preserve"> that publication of the fact of compliance, as outlined in subsection </w:t>
      </w:r>
      <w:r w:rsidR="0061142E"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.1</w:t>
      </w:r>
      <w:r w:rsidR="0061142E" w:rsidRPr="00A51826">
        <w:rPr>
          <w:rFonts w:ascii="Times New Roman" w:eastAsia="Times New Roman" w:hAnsi="Times New Roman" w:cs="Times New Roman"/>
          <w:bCs/>
          <w:color w:val="000000"/>
          <w:lang w:eastAsia="en-AU"/>
        </w:rPr>
        <w:t>6</w:t>
      </w:r>
      <w:r w:rsidR="00220AC8">
        <w:rPr>
          <w:rFonts w:ascii="Times New Roman" w:eastAsia="Times New Roman" w:hAnsi="Times New Roman" w:cs="Times New Roman"/>
          <w:bCs/>
          <w:color w:val="000000"/>
          <w:lang w:eastAsia="en-AU"/>
        </w:rPr>
        <w:t>,</w:t>
      </w:r>
      <w:r w:rsidRPr="00A51826">
        <w:rPr>
          <w:rFonts w:ascii="Times New Roman" w:eastAsia="Times New Roman" w:hAnsi="Times New Roman" w:cs="Times New Roman"/>
          <w:bCs/>
          <w:color w:val="000000"/>
          <w:lang w:eastAsia="en-AU"/>
        </w:rPr>
        <w:t xml:space="preserve"> may have an educative and deterrent effect. </w:t>
      </w:r>
    </w:p>
    <w:p w14:paraId="4B29F15B" w14:textId="00D7E54D" w:rsidR="002F441B" w:rsidRPr="002F441B" w:rsidRDefault="001E0ACD" w:rsidP="002F441B">
      <w:pPr>
        <w:spacing w:before="100" w:beforeAutospacing="1" w:after="100" w:afterAutospacing="1" w:line="240" w:lineRule="auto"/>
        <w:rPr>
          <w:rFonts w:ascii="Times New Roman" w:eastAsia="Times New Roman" w:hAnsi="Times New Roman" w:cs="Times New Roman"/>
          <w:lang w:eastAsia="en-AU"/>
        </w:rPr>
      </w:pPr>
      <w:r w:rsidRPr="00A51826">
        <w:rPr>
          <w:rFonts w:ascii="Times New Roman" w:eastAsia="Times New Roman" w:hAnsi="Times New Roman" w:cs="Times New Roman"/>
          <w:bCs/>
          <w:color w:val="000000"/>
          <w:lang w:eastAsia="en-AU"/>
        </w:rPr>
        <w:t xml:space="preserve">Subsection </w:t>
      </w:r>
      <w:r w:rsidR="0061142E"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.1</w:t>
      </w:r>
      <w:r w:rsidR="0061142E" w:rsidRPr="00A51826">
        <w:rPr>
          <w:rFonts w:ascii="Times New Roman" w:eastAsia="Times New Roman" w:hAnsi="Times New Roman" w:cs="Times New Roman"/>
          <w:bCs/>
          <w:color w:val="000000"/>
          <w:lang w:eastAsia="en-AU"/>
        </w:rPr>
        <w:t>8</w:t>
      </w:r>
      <w:r w:rsidRPr="00A51826">
        <w:rPr>
          <w:rFonts w:ascii="Times New Roman" w:eastAsia="Times New Roman" w:hAnsi="Times New Roman" w:cs="Times New Roman"/>
          <w:bCs/>
          <w:color w:val="000000"/>
          <w:lang w:eastAsia="en-AU"/>
        </w:rPr>
        <w:t xml:space="preserve"> outlines a non-exhaustive list of factors the ACMA may consider when deciding </w:t>
      </w:r>
      <w:proofErr w:type="gramStart"/>
      <w:r w:rsidRPr="00A51826">
        <w:rPr>
          <w:rFonts w:ascii="Times New Roman" w:eastAsia="Times New Roman" w:hAnsi="Times New Roman" w:cs="Times New Roman"/>
          <w:bCs/>
          <w:color w:val="000000"/>
          <w:lang w:eastAsia="en-AU"/>
        </w:rPr>
        <w:t>whether or not</w:t>
      </w:r>
      <w:proofErr w:type="gramEnd"/>
      <w:r w:rsidRPr="00A51826">
        <w:rPr>
          <w:rFonts w:ascii="Times New Roman" w:eastAsia="Times New Roman" w:hAnsi="Times New Roman" w:cs="Times New Roman"/>
          <w:bCs/>
          <w:color w:val="000000"/>
          <w:lang w:eastAsia="en-AU"/>
        </w:rPr>
        <w:t xml:space="preserve"> publication should occur. Subsection </w:t>
      </w:r>
      <w:r w:rsidR="0061142E"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.1</w:t>
      </w:r>
      <w:r w:rsidR="0061142E" w:rsidRPr="00A51826">
        <w:rPr>
          <w:rFonts w:ascii="Times New Roman" w:eastAsia="Times New Roman" w:hAnsi="Times New Roman" w:cs="Times New Roman"/>
          <w:bCs/>
          <w:color w:val="000000"/>
          <w:lang w:eastAsia="en-AU"/>
        </w:rPr>
        <w:t>9</w:t>
      </w:r>
      <w:r w:rsidRPr="00A51826">
        <w:rPr>
          <w:rFonts w:ascii="Times New Roman" w:eastAsia="Times New Roman" w:hAnsi="Times New Roman" w:cs="Times New Roman"/>
          <w:bCs/>
          <w:color w:val="000000"/>
          <w:lang w:eastAsia="en-AU"/>
        </w:rPr>
        <w:t xml:space="preserve"> </w:t>
      </w:r>
      <w:r w:rsidR="00E15485" w:rsidRPr="00A51826">
        <w:rPr>
          <w:rFonts w:ascii="Times New Roman" w:eastAsia="Times New Roman" w:hAnsi="Times New Roman" w:cs="Times New Roman"/>
          <w:bCs/>
          <w:color w:val="000000"/>
          <w:lang w:eastAsia="en-AU"/>
        </w:rPr>
        <w:t>provides</w:t>
      </w:r>
      <w:r w:rsidRPr="00A51826">
        <w:rPr>
          <w:rFonts w:ascii="Times New Roman" w:eastAsia="Times New Roman" w:hAnsi="Times New Roman" w:cs="Times New Roman"/>
          <w:bCs/>
          <w:color w:val="000000"/>
          <w:lang w:eastAsia="en-AU"/>
        </w:rPr>
        <w:t xml:space="preserve"> that the ACMA may publish information concerning the issue of, and compliance with</w:t>
      </w:r>
      <w:r w:rsidR="009E45DA">
        <w:rPr>
          <w:rFonts w:ascii="Times New Roman" w:eastAsia="Times New Roman" w:hAnsi="Times New Roman" w:cs="Times New Roman"/>
          <w:bCs/>
          <w:color w:val="000000"/>
          <w:lang w:eastAsia="en-AU"/>
        </w:rPr>
        <w:t>,</w:t>
      </w:r>
      <w:r w:rsidRPr="00A51826">
        <w:rPr>
          <w:rFonts w:ascii="Times New Roman" w:eastAsia="Times New Roman" w:hAnsi="Times New Roman" w:cs="Times New Roman"/>
          <w:bCs/>
          <w:color w:val="000000"/>
          <w:lang w:eastAsia="en-AU"/>
        </w:rPr>
        <w:t xml:space="preserve"> infringement notices</w:t>
      </w:r>
      <w:r w:rsidR="00131638">
        <w:rPr>
          <w:rFonts w:ascii="Times New Roman" w:eastAsia="Times New Roman" w:hAnsi="Times New Roman" w:cs="Times New Roman"/>
          <w:bCs/>
          <w:color w:val="000000"/>
          <w:lang w:eastAsia="en-AU"/>
        </w:rPr>
        <w:t>,</w:t>
      </w:r>
      <w:r w:rsidRPr="00A51826">
        <w:rPr>
          <w:rFonts w:ascii="Times New Roman" w:eastAsia="Times New Roman" w:hAnsi="Times New Roman" w:cs="Times New Roman"/>
          <w:bCs/>
          <w:color w:val="000000"/>
          <w:lang w:eastAsia="en-AU"/>
        </w:rPr>
        <w:t xml:space="preserve"> in an </w:t>
      </w:r>
      <w:r w:rsidR="00E15485" w:rsidRPr="00A51826">
        <w:rPr>
          <w:rFonts w:ascii="Times New Roman" w:eastAsia="Times New Roman" w:hAnsi="Times New Roman" w:cs="Times New Roman"/>
          <w:bCs/>
          <w:color w:val="000000"/>
          <w:lang w:eastAsia="en-AU"/>
        </w:rPr>
        <w:t>aggregated</w:t>
      </w:r>
      <w:r w:rsidRPr="00A51826">
        <w:rPr>
          <w:rFonts w:ascii="Times New Roman" w:eastAsia="Times New Roman" w:hAnsi="Times New Roman" w:cs="Times New Roman"/>
          <w:bCs/>
          <w:color w:val="000000"/>
          <w:lang w:eastAsia="en-AU"/>
        </w:rPr>
        <w:t xml:space="preserve"> manner without the </w:t>
      </w:r>
      <w:r w:rsidR="00E15485" w:rsidRPr="00A51826">
        <w:rPr>
          <w:rFonts w:ascii="Times New Roman" w:eastAsia="Times New Roman" w:hAnsi="Times New Roman" w:cs="Times New Roman"/>
          <w:bCs/>
          <w:color w:val="000000"/>
          <w:lang w:eastAsia="en-AU"/>
        </w:rPr>
        <w:t>identification</w:t>
      </w:r>
      <w:r w:rsidRPr="00A51826">
        <w:rPr>
          <w:rFonts w:ascii="Times New Roman" w:eastAsia="Times New Roman" w:hAnsi="Times New Roman" w:cs="Times New Roman"/>
          <w:bCs/>
          <w:color w:val="000000"/>
          <w:lang w:eastAsia="en-AU"/>
        </w:rPr>
        <w:t xml:space="preserve"> of the individual recipients of the notices.</w:t>
      </w:r>
    </w:p>
    <w:p w14:paraId="2E68E33A" w14:textId="08E1EEBB" w:rsidR="002F441B" w:rsidRPr="002F441B" w:rsidRDefault="002F441B" w:rsidP="002F441B">
      <w:pPr>
        <w:spacing w:before="100" w:beforeAutospacing="1" w:after="100" w:afterAutospacing="1" w:line="240" w:lineRule="auto"/>
        <w:rPr>
          <w:rFonts w:ascii="Times New Roman" w:eastAsia="Times New Roman" w:hAnsi="Times New Roman" w:cs="Times New Roman"/>
          <w:lang w:eastAsia="en-AU"/>
        </w:rPr>
      </w:pPr>
    </w:p>
    <w:p w14:paraId="5E903A6C" w14:textId="5E1E2DCE" w:rsidR="002F441B" w:rsidRPr="002F441B" w:rsidRDefault="002F441B" w:rsidP="002F441B">
      <w:pPr>
        <w:spacing w:before="100" w:beforeAutospacing="1" w:after="100" w:afterAutospacing="1" w:line="240" w:lineRule="auto"/>
        <w:rPr>
          <w:rFonts w:ascii="Times New Roman" w:eastAsia="Times New Roman" w:hAnsi="Times New Roman" w:cs="Times New Roman"/>
          <w:lang w:eastAsia="en-AU"/>
        </w:rPr>
      </w:pPr>
    </w:p>
    <w:p w14:paraId="1F19EDAA" w14:textId="77777777" w:rsidR="002F441B" w:rsidRPr="002F441B" w:rsidRDefault="002F441B" w:rsidP="002F441B">
      <w:pPr>
        <w:jc w:val="center"/>
        <w:rPr>
          <w:rFonts w:ascii="Times New Roman" w:eastAsia="Times New Roman" w:hAnsi="Times New Roman" w:cs="Times New Roman"/>
          <w:lang w:eastAsia="en-AU"/>
        </w:rPr>
      </w:pPr>
    </w:p>
    <w:sectPr w:rsidR="002F441B" w:rsidRPr="002F441B" w:rsidSect="005D5D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9854" w14:textId="77777777" w:rsidR="00CD0615" w:rsidRDefault="00CD0615" w:rsidP="00B17B50">
      <w:pPr>
        <w:spacing w:after="0" w:line="240" w:lineRule="auto"/>
      </w:pPr>
      <w:r>
        <w:separator/>
      </w:r>
    </w:p>
  </w:endnote>
  <w:endnote w:type="continuationSeparator" w:id="0">
    <w:p w14:paraId="70E361E7" w14:textId="77777777" w:rsidR="00CD0615" w:rsidRDefault="00CD0615" w:rsidP="00B1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Malgun Gothic"/>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8AEF" w14:textId="5506045F" w:rsidR="00677F91" w:rsidRPr="00733769" w:rsidRDefault="00677F91" w:rsidP="00733769">
    <w:pPr>
      <w:pStyle w:val="Footer"/>
      <w:pBdr>
        <w:top w:val="single" w:sz="4" w:space="1" w:color="auto"/>
      </w:pBdr>
      <w:jc w:val="center"/>
      <w:rPr>
        <w:rFonts w:ascii="Times New Roman" w:hAnsi="Times New Roman" w:cs="Times New Roman"/>
        <w:i/>
        <w:iCs/>
        <w:sz w:val="20"/>
        <w:szCs w:val="20"/>
      </w:rPr>
    </w:pPr>
    <w:r w:rsidRPr="00733769">
      <w:rPr>
        <w:rFonts w:ascii="Times New Roman" w:hAnsi="Times New Roman" w:cs="Times New Roman"/>
        <w:sz w:val="20"/>
        <w:szCs w:val="20"/>
      </w:rPr>
      <w:t xml:space="preserve">Explanatory Statement to the </w:t>
    </w:r>
    <w:r w:rsidRPr="00733769">
      <w:rPr>
        <w:rFonts w:ascii="Times New Roman" w:hAnsi="Times New Roman" w:cs="Times New Roman"/>
        <w:i/>
        <w:iCs/>
        <w:sz w:val="20"/>
        <w:szCs w:val="20"/>
      </w:rPr>
      <w:t>Telecommunications (Infringement Notices) Guidelines 2022</w:t>
    </w:r>
  </w:p>
  <w:p w14:paraId="5CBF42BE" w14:textId="4A78E5CE" w:rsidR="00A40F0A" w:rsidRPr="00733769" w:rsidRDefault="00733769" w:rsidP="00733769">
    <w:pPr>
      <w:pStyle w:val="Footer"/>
      <w:jc w:val="right"/>
      <w:rPr>
        <w:rFonts w:ascii="Times New Roman" w:hAnsi="Times New Roman" w:cs="Times New Roman"/>
        <w:sz w:val="20"/>
        <w:szCs w:val="20"/>
      </w:rPr>
    </w:pPr>
    <w:r w:rsidRPr="00733769">
      <w:rPr>
        <w:rFonts w:ascii="Times New Roman" w:hAnsi="Times New Roman" w:cs="Times New Roman"/>
        <w:sz w:val="20"/>
        <w:szCs w:val="20"/>
      </w:rPr>
      <w:fldChar w:fldCharType="begin"/>
    </w:r>
    <w:r w:rsidRPr="00733769">
      <w:rPr>
        <w:rFonts w:ascii="Times New Roman" w:hAnsi="Times New Roman" w:cs="Times New Roman"/>
        <w:sz w:val="20"/>
        <w:szCs w:val="20"/>
      </w:rPr>
      <w:instrText xml:space="preserve"> PAGE   \* MERGEFORMAT </w:instrText>
    </w:r>
    <w:r w:rsidRPr="00733769">
      <w:rPr>
        <w:rFonts w:ascii="Times New Roman" w:hAnsi="Times New Roman" w:cs="Times New Roman"/>
        <w:sz w:val="20"/>
        <w:szCs w:val="20"/>
      </w:rPr>
      <w:fldChar w:fldCharType="separate"/>
    </w:r>
    <w:r w:rsidRPr="00733769">
      <w:rPr>
        <w:rFonts w:ascii="Times New Roman" w:hAnsi="Times New Roman" w:cs="Times New Roman"/>
        <w:noProof/>
        <w:sz w:val="20"/>
        <w:szCs w:val="20"/>
      </w:rPr>
      <w:t>1</w:t>
    </w:r>
    <w:r w:rsidRPr="00733769">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1153" w14:textId="77777777" w:rsidR="00CD0615" w:rsidRDefault="00CD0615" w:rsidP="00B17B50">
      <w:pPr>
        <w:spacing w:after="0" w:line="240" w:lineRule="auto"/>
      </w:pPr>
      <w:r>
        <w:separator/>
      </w:r>
    </w:p>
  </w:footnote>
  <w:footnote w:type="continuationSeparator" w:id="0">
    <w:p w14:paraId="2090D590" w14:textId="77777777" w:rsidR="00CD0615" w:rsidRDefault="00CD0615" w:rsidP="00B17B50">
      <w:pPr>
        <w:spacing w:after="0" w:line="240" w:lineRule="auto"/>
      </w:pPr>
      <w:r>
        <w:continuationSeparator/>
      </w:r>
    </w:p>
  </w:footnote>
  <w:footnote w:id="1">
    <w:p w14:paraId="42B8D0EB" w14:textId="7E69EA47" w:rsidR="000B17C8" w:rsidRPr="00FC5A4C" w:rsidRDefault="000B17C8" w:rsidP="000B17C8">
      <w:pPr>
        <w:pStyle w:val="FootnoteText"/>
        <w:rPr>
          <w:rFonts w:ascii="Times New Roman" w:hAnsi="Times New Roman" w:cs="Times New Roman"/>
          <w:sz w:val="16"/>
          <w:szCs w:val="16"/>
        </w:rPr>
      </w:pPr>
      <w:r w:rsidRPr="00FC5A4C">
        <w:rPr>
          <w:rStyle w:val="FootnoteReference"/>
          <w:rFonts w:ascii="Times New Roman" w:hAnsi="Times New Roman" w:cs="Times New Roman"/>
          <w:sz w:val="16"/>
          <w:szCs w:val="16"/>
        </w:rPr>
        <w:footnoteRef/>
      </w:r>
      <w:r w:rsidRPr="00FC5A4C">
        <w:rPr>
          <w:rFonts w:ascii="Times New Roman" w:hAnsi="Times New Roman" w:cs="Times New Roman"/>
          <w:sz w:val="16"/>
          <w:szCs w:val="16"/>
        </w:rPr>
        <w:t xml:space="preserve"> </w:t>
      </w:r>
      <w:r w:rsidRPr="00FC5A4C">
        <w:rPr>
          <w:rFonts w:ascii="Times New Roman" w:hAnsi="Times New Roman" w:cs="Times New Roman"/>
          <w:sz w:val="18"/>
          <w:szCs w:val="18"/>
        </w:rPr>
        <w:t>See definition of civil penalty provision under section 7 of the Telecommunications Act.</w:t>
      </w:r>
    </w:p>
  </w:footnote>
  <w:footnote w:id="2">
    <w:p w14:paraId="7A30F784" w14:textId="77777777" w:rsidR="007D5450" w:rsidRDefault="007D5450" w:rsidP="007D5450">
      <w:pPr>
        <w:pStyle w:val="FootnoteText"/>
      </w:pPr>
      <w:r>
        <w:rPr>
          <w:rStyle w:val="FootnoteReference"/>
        </w:rPr>
        <w:footnoteRef/>
      </w:r>
      <w:r>
        <w:t xml:space="preserve"> </w:t>
      </w:r>
      <w:r w:rsidRPr="005E7450">
        <w:rPr>
          <w:rFonts w:ascii="Times New Roman" w:hAnsi="Times New Roman" w:cs="Times New Roman"/>
          <w:sz w:val="18"/>
          <w:szCs w:val="18"/>
        </w:rPr>
        <w:t>As at the date these guidelines were made that instrument made for the purposes of subsection 572</w:t>
      </w:r>
      <w:proofErr w:type="gramStart"/>
      <w:r w:rsidRPr="005E7450">
        <w:rPr>
          <w:rFonts w:ascii="Times New Roman" w:hAnsi="Times New Roman" w:cs="Times New Roman"/>
          <w:sz w:val="18"/>
          <w:szCs w:val="18"/>
        </w:rPr>
        <w:t>E(</w:t>
      </w:r>
      <w:proofErr w:type="gramEnd"/>
      <w:r w:rsidRPr="005E7450">
        <w:rPr>
          <w:rFonts w:ascii="Times New Roman" w:hAnsi="Times New Roman" w:cs="Times New Roman"/>
          <w:sz w:val="18"/>
          <w:szCs w:val="18"/>
        </w:rPr>
        <w:t xml:space="preserve">7) of the Telecommunications Act was the </w:t>
      </w:r>
      <w:r w:rsidRPr="005E7450">
        <w:rPr>
          <w:rFonts w:ascii="Times New Roman" w:hAnsi="Times New Roman" w:cs="Times New Roman"/>
          <w:i/>
          <w:iCs/>
          <w:sz w:val="18"/>
          <w:szCs w:val="18"/>
        </w:rPr>
        <w:t>Telecommunications (Listed Infringement Notice Provisions) Declaration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06E375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11FF099B"/>
    <w:multiLevelType w:val="hybridMultilevel"/>
    <w:tmpl w:val="57722D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1F3884"/>
    <w:multiLevelType w:val="hybridMultilevel"/>
    <w:tmpl w:val="9E664A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0D07B2C"/>
    <w:multiLevelType w:val="hybridMultilevel"/>
    <w:tmpl w:val="3C36496C"/>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4" w15:restartNumberingAfterBreak="0">
    <w:nsid w:val="25247F3B"/>
    <w:multiLevelType w:val="hybridMultilevel"/>
    <w:tmpl w:val="C0DEA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B04650"/>
    <w:multiLevelType w:val="hybridMultilevel"/>
    <w:tmpl w:val="53765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403ADB"/>
    <w:multiLevelType w:val="hybridMultilevel"/>
    <w:tmpl w:val="4FC0DE8E"/>
    <w:lvl w:ilvl="0" w:tplc="097883BA">
      <w:numFmt w:val="bullet"/>
      <w:lvlText w:val=""/>
      <w:lvlJc w:val="left"/>
      <w:pPr>
        <w:ind w:left="1080" w:hanging="72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710A0C"/>
    <w:multiLevelType w:val="hybridMultilevel"/>
    <w:tmpl w:val="252EC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F84D94"/>
    <w:multiLevelType w:val="hybridMultilevel"/>
    <w:tmpl w:val="E38E782E"/>
    <w:lvl w:ilvl="0" w:tplc="40964FD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9A09F8"/>
    <w:multiLevelType w:val="hybridMultilevel"/>
    <w:tmpl w:val="0D48FACC"/>
    <w:lvl w:ilvl="0" w:tplc="097883BA">
      <w:numFmt w:val="bullet"/>
      <w:lvlText w:val=""/>
      <w:lvlJc w:val="left"/>
      <w:pPr>
        <w:ind w:left="1080" w:hanging="72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975E2E"/>
    <w:multiLevelType w:val="hybridMultilevel"/>
    <w:tmpl w:val="9D44D22E"/>
    <w:lvl w:ilvl="0" w:tplc="0C090017">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9226E4"/>
    <w:multiLevelType w:val="hybridMultilevel"/>
    <w:tmpl w:val="AD6C736A"/>
    <w:lvl w:ilvl="0" w:tplc="86224984">
      <w:start w:val="5"/>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C35025B"/>
    <w:multiLevelType w:val="hybridMultilevel"/>
    <w:tmpl w:val="402AD5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9944E0"/>
    <w:multiLevelType w:val="hybridMultilevel"/>
    <w:tmpl w:val="44CCD2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6097D57"/>
    <w:multiLevelType w:val="hybridMultilevel"/>
    <w:tmpl w:val="C310E7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B1685D"/>
    <w:multiLevelType w:val="hybridMultilevel"/>
    <w:tmpl w:val="2CA03D62"/>
    <w:lvl w:ilvl="0" w:tplc="097883BA">
      <w:numFmt w:val="bullet"/>
      <w:lvlText w:val=""/>
      <w:lvlJc w:val="left"/>
      <w:pPr>
        <w:ind w:left="1080" w:hanging="72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5F13F8"/>
    <w:multiLevelType w:val="hybridMultilevel"/>
    <w:tmpl w:val="69602A12"/>
    <w:lvl w:ilvl="0" w:tplc="40964FD0">
      <w:start w:val="1"/>
      <w:numFmt w:val="bullet"/>
      <w:lvlText w:val=""/>
      <w:lvlJc w:val="left"/>
      <w:pPr>
        <w:ind w:left="1080" w:hanging="72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53732B"/>
    <w:multiLevelType w:val="hybridMultilevel"/>
    <w:tmpl w:val="2C4240F2"/>
    <w:lvl w:ilvl="0" w:tplc="40964FD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412437"/>
    <w:multiLevelType w:val="hybridMultilevel"/>
    <w:tmpl w:val="21701E52"/>
    <w:lvl w:ilvl="0" w:tplc="40964FD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16"/>
  </w:num>
  <w:num w:numId="5">
    <w:abstractNumId w:val="11"/>
  </w:num>
  <w:num w:numId="6">
    <w:abstractNumId w:val="0"/>
  </w:num>
  <w:num w:numId="7">
    <w:abstractNumId w:val="20"/>
  </w:num>
  <w:num w:numId="8">
    <w:abstractNumId w:val="10"/>
  </w:num>
  <w:num w:numId="9">
    <w:abstractNumId w:val="17"/>
  </w:num>
  <w:num w:numId="10">
    <w:abstractNumId w:val="7"/>
  </w:num>
  <w:num w:numId="11">
    <w:abstractNumId w:val="18"/>
  </w:num>
  <w:num w:numId="12">
    <w:abstractNumId w:val="9"/>
  </w:num>
  <w:num w:numId="13">
    <w:abstractNumId w:val="19"/>
  </w:num>
  <w:num w:numId="14">
    <w:abstractNumId w:val="4"/>
  </w:num>
  <w:num w:numId="15">
    <w:abstractNumId w:val="6"/>
  </w:num>
  <w:num w:numId="16">
    <w:abstractNumId w:val="14"/>
  </w:num>
  <w:num w:numId="17">
    <w:abstractNumId w:val="3"/>
  </w:num>
  <w:num w:numId="18">
    <w:abstractNumId w:val="0"/>
  </w:num>
  <w:num w:numId="19">
    <w:abstractNumId w:val="1"/>
  </w:num>
  <w:num w:numId="20">
    <w:abstractNumId w:val="12"/>
  </w:num>
  <w:num w:numId="21">
    <w:abstractNumId w:val="15"/>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50"/>
    <w:rsid w:val="00001350"/>
    <w:rsid w:val="00003D85"/>
    <w:rsid w:val="00010732"/>
    <w:rsid w:val="00013DD6"/>
    <w:rsid w:val="0001621C"/>
    <w:rsid w:val="000202C6"/>
    <w:rsid w:val="0002031C"/>
    <w:rsid w:val="00033303"/>
    <w:rsid w:val="00036A3C"/>
    <w:rsid w:val="00040DB6"/>
    <w:rsid w:val="0004602F"/>
    <w:rsid w:val="00050D38"/>
    <w:rsid w:val="00053098"/>
    <w:rsid w:val="00056022"/>
    <w:rsid w:val="00063A7B"/>
    <w:rsid w:val="000650DB"/>
    <w:rsid w:val="000651CC"/>
    <w:rsid w:val="000809D7"/>
    <w:rsid w:val="00083266"/>
    <w:rsid w:val="00084C87"/>
    <w:rsid w:val="000853A6"/>
    <w:rsid w:val="000900B4"/>
    <w:rsid w:val="000931ED"/>
    <w:rsid w:val="00097B5F"/>
    <w:rsid w:val="000B17C8"/>
    <w:rsid w:val="000C36F5"/>
    <w:rsid w:val="000E3762"/>
    <w:rsid w:val="000F5981"/>
    <w:rsid w:val="0010166D"/>
    <w:rsid w:val="00101952"/>
    <w:rsid w:val="001223C6"/>
    <w:rsid w:val="00125BBD"/>
    <w:rsid w:val="001265D2"/>
    <w:rsid w:val="00126AFE"/>
    <w:rsid w:val="00126B72"/>
    <w:rsid w:val="00131638"/>
    <w:rsid w:val="0013518B"/>
    <w:rsid w:val="001427DC"/>
    <w:rsid w:val="00155A53"/>
    <w:rsid w:val="00157145"/>
    <w:rsid w:val="00163C23"/>
    <w:rsid w:val="00163DC3"/>
    <w:rsid w:val="00171072"/>
    <w:rsid w:val="001814FE"/>
    <w:rsid w:val="00182DE4"/>
    <w:rsid w:val="001867E7"/>
    <w:rsid w:val="00195F5E"/>
    <w:rsid w:val="001A2788"/>
    <w:rsid w:val="001B156E"/>
    <w:rsid w:val="001B42C3"/>
    <w:rsid w:val="001B6456"/>
    <w:rsid w:val="001B7DA4"/>
    <w:rsid w:val="001D0B82"/>
    <w:rsid w:val="001D204D"/>
    <w:rsid w:val="001D5077"/>
    <w:rsid w:val="001D5C57"/>
    <w:rsid w:val="001E0ACD"/>
    <w:rsid w:val="001F10B0"/>
    <w:rsid w:val="001F5441"/>
    <w:rsid w:val="00201DAF"/>
    <w:rsid w:val="00210684"/>
    <w:rsid w:val="00212336"/>
    <w:rsid w:val="00212427"/>
    <w:rsid w:val="00215A1E"/>
    <w:rsid w:val="00220AC8"/>
    <w:rsid w:val="00232A16"/>
    <w:rsid w:val="00244964"/>
    <w:rsid w:val="00253C13"/>
    <w:rsid w:val="00254772"/>
    <w:rsid w:val="00254882"/>
    <w:rsid w:val="0025489E"/>
    <w:rsid w:val="00256B49"/>
    <w:rsid w:val="00256C71"/>
    <w:rsid w:val="002605DD"/>
    <w:rsid w:val="002738F1"/>
    <w:rsid w:val="00283B57"/>
    <w:rsid w:val="00283E86"/>
    <w:rsid w:val="00295BC4"/>
    <w:rsid w:val="002A1977"/>
    <w:rsid w:val="002B22E9"/>
    <w:rsid w:val="002C01C6"/>
    <w:rsid w:val="002D359C"/>
    <w:rsid w:val="002E287A"/>
    <w:rsid w:val="002E7479"/>
    <w:rsid w:val="002F441B"/>
    <w:rsid w:val="002F6183"/>
    <w:rsid w:val="002F75A3"/>
    <w:rsid w:val="002F7633"/>
    <w:rsid w:val="003005E0"/>
    <w:rsid w:val="00310D4C"/>
    <w:rsid w:val="003124D9"/>
    <w:rsid w:val="003125A2"/>
    <w:rsid w:val="003222F0"/>
    <w:rsid w:val="00332ABD"/>
    <w:rsid w:val="003341C5"/>
    <w:rsid w:val="00347B14"/>
    <w:rsid w:val="00355F22"/>
    <w:rsid w:val="00381205"/>
    <w:rsid w:val="003B3027"/>
    <w:rsid w:val="003B6170"/>
    <w:rsid w:val="003D7B2B"/>
    <w:rsid w:val="003E4EE7"/>
    <w:rsid w:val="003F0803"/>
    <w:rsid w:val="003F11EF"/>
    <w:rsid w:val="00403F77"/>
    <w:rsid w:val="004151B7"/>
    <w:rsid w:val="00416987"/>
    <w:rsid w:val="00452361"/>
    <w:rsid w:val="0045633B"/>
    <w:rsid w:val="00461AD0"/>
    <w:rsid w:val="004624CD"/>
    <w:rsid w:val="004641C5"/>
    <w:rsid w:val="004669FB"/>
    <w:rsid w:val="00470C2B"/>
    <w:rsid w:val="00481B7E"/>
    <w:rsid w:val="00482223"/>
    <w:rsid w:val="004833AB"/>
    <w:rsid w:val="00484184"/>
    <w:rsid w:val="00486A1E"/>
    <w:rsid w:val="004907E7"/>
    <w:rsid w:val="00492952"/>
    <w:rsid w:val="004978C5"/>
    <w:rsid w:val="004A7D5A"/>
    <w:rsid w:val="004B17C3"/>
    <w:rsid w:val="004B2EE3"/>
    <w:rsid w:val="004B6CC2"/>
    <w:rsid w:val="004E6BD7"/>
    <w:rsid w:val="004F0503"/>
    <w:rsid w:val="004F2FB0"/>
    <w:rsid w:val="0050121F"/>
    <w:rsid w:val="005054B8"/>
    <w:rsid w:val="005153B4"/>
    <w:rsid w:val="00524089"/>
    <w:rsid w:val="00526B81"/>
    <w:rsid w:val="005357A4"/>
    <w:rsid w:val="005428D1"/>
    <w:rsid w:val="005437C6"/>
    <w:rsid w:val="00550369"/>
    <w:rsid w:val="00565C8A"/>
    <w:rsid w:val="00584F9A"/>
    <w:rsid w:val="005875F7"/>
    <w:rsid w:val="00594F57"/>
    <w:rsid w:val="00597E37"/>
    <w:rsid w:val="005A1CA9"/>
    <w:rsid w:val="005A57C0"/>
    <w:rsid w:val="005B16BF"/>
    <w:rsid w:val="005B4E7F"/>
    <w:rsid w:val="005C3589"/>
    <w:rsid w:val="005C7B1E"/>
    <w:rsid w:val="005D5DE0"/>
    <w:rsid w:val="005E1C3E"/>
    <w:rsid w:val="005E7450"/>
    <w:rsid w:val="005F0E22"/>
    <w:rsid w:val="005F0ED6"/>
    <w:rsid w:val="00600B3A"/>
    <w:rsid w:val="0060567A"/>
    <w:rsid w:val="00606FFE"/>
    <w:rsid w:val="00607427"/>
    <w:rsid w:val="0061074F"/>
    <w:rsid w:val="0061142E"/>
    <w:rsid w:val="0061493B"/>
    <w:rsid w:val="006212DF"/>
    <w:rsid w:val="006231C3"/>
    <w:rsid w:val="00624A9E"/>
    <w:rsid w:val="0063553A"/>
    <w:rsid w:val="00642413"/>
    <w:rsid w:val="00643746"/>
    <w:rsid w:val="00652A83"/>
    <w:rsid w:val="00662BC2"/>
    <w:rsid w:val="00664321"/>
    <w:rsid w:val="006660D3"/>
    <w:rsid w:val="0066798B"/>
    <w:rsid w:val="006700AE"/>
    <w:rsid w:val="0067284D"/>
    <w:rsid w:val="006765AA"/>
    <w:rsid w:val="00677F91"/>
    <w:rsid w:val="006A0830"/>
    <w:rsid w:val="006A1354"/>
    <w:rsid w:val="006B2B47"/>
    <w:rsid w:val="006B46CF"/>
    <w:rsid w:val="006C0913"/>
    <w:rsid w:val="006C50D9"/>
    <w:rsid w:val="006C7D55"/>
    <w:rsid w:val="006D0B8A"/>
    <w:rsid w:val="006D3394"/>
    <w:rsid w:val="006E1079"/>
    <w:rsid w:val="006E2269"/>
    <w:rsid w:val="006E5615"/>
    <w:rsid w:val="006E706A"/>
    <w:rsid w:val="007008F7"/>
    <w:rsid w:val="0070110A"/>
    <w:rsid w:val="0070415C"/>
    <w:rsid w:val="00705C6A"/>
    <w:rsid w:val="00716EFD"/>
    <w:rsid w:val="007202DF"/>
    <w:rsid w:val="00721C32"/>
    <w:rsid w:val="00723B3A"/>
    <w:rsid w:val="00733769"/>
    <w:rsid w:val="007342CA"/>
    <w:rsid w:val="007435AF"/>
    <w:rsid w:val="007551D4"/>
    <w:rsid w:val="00760A33"/>
    <w:rsid w:val="00764763"/>
    <w:rsid w:val="00776A14"/>
    <w:rsid w:val="00782800"/>
    <w:rsid w:val="00785882"/>
    <w:rsid w:val="00790CD7"/>
    <w:rsid w:val="007A33F2"/>
    <w:rsid w:val="007A757B"/>
    <w:rsid w:val="007B0A77"/>
    <w:rsid w:val="007C1E7D"/>
    <w:rsid w:val="007C6E5B"/>
    <w:rsid w:val="007D5450"/>
    <w:rsid w:val="007F227B"/>
    <w:rsid w:val="007F3919"/>
    <w:rsid w:val="007F4DF1"/>
    <w:rsid w:val="00801CFA"/>
    <w:rsid w:val="0080427D"/>
    <w:rsid w:val="008066E0"/>
    <w:rsid w:val="00806814"/>
    <w:rsid w:val="00806E8D"/>
    <w:rsid w:val="00807CE8"/>
    <w:rsid w:val="00810F04"/>
    <w:rsid w:val="008237BB"/>
    <w:rsid w:val="008265DD"/>
    <w:rsid w:val="00834E82"/>
    <w:rsid w:val="00837D1B"/>
    <w:rsid w:val="00845CDB"/>
    <w:rsid w:val="00851ED0"/>
    <w:rsid w:val="00861F05"/>
    <w:rsid w:val="008622E3"/>
    <w:rsid w:val="0087425E"/>
    <w:rsid w:val="0087679C"/>
    <w:rsid w:val="0088178D"/>
    <w:rsid w:val="00882736"/>
    <w:rsid w:val="00885F51"/>
    <w:rsid w:val="00892A05"/>
    <w:rsid w:val="00897DDA"/>
    <w:rsid w:val="008A27B6"/>
    <w:rsid w:val="008C14AF"/>
    <w:rsid w:val="008D02A2"/>
    <w:rsid w:val="008D0437"/>
    <w:rsid w:val="008D5FB2"/>
    <w:rsid w:val="008E1684"/>
    <w:rsid w:val="008E6704"/>
    <w:rsid w:val="008E696B"/>
    <w:rsid w:val="008F601A"/>
    <w:rsid w:val="00906060"/>
    <w:rsid w:val="00906FAF"/>
    <w:rsid w:val="00915197"/>
    <w:rsid w:val="009158FA"/>
    <w:rsid w:val="00921B6F"/>
    <w:rsid w:val="009271C6"/>
    <w:rsid w:val="0093490C"/>
    <w:rsid w:val="00940D27"/>
    <w:rsid w:val="00941789"/>
    <w:rsid w:val="009431ED"/>
    <w:rsid w:val="009466A5"/>
    <w:rsid w:val="00952DEC"/>
    <w:rsid w:val="00955223"/>
    <w:rsid w:val="00957027"/>
    <w:rsid w:val="009574A1"/>
    <w:rsid w:val="00962618"/>
    <w:rsid w:val="0097281F"/>
    <w:rsid w:val="0097585D"/>
    <w:rsid w:val="00980D78"/>
    <w:rsid w:val="00992837"/>
    <w:rsid w:val="009A3670"/>
    <w:rsid w:val="009B3321"/>
    <w:rsid w:val="009B5F63"/>
    <w:rsid w:val="009C1C47"/>
    <w:rsid w:val="009D2AE8"/>
    <w:rsid w:val="009D7970"/>
    <w:rsid w:val="009E197E"/>
    <w:rsid w:val="009E4454"/>
    <w:rsid w:val="009E45DA"/>
    <w:rsid w:val="009F084E"/>
    <w:rsid w:val="009F1A25"/>
    <w:rsid w:val="009F432F"/>
    <w:rsid w:val="009F6D15"/>
    <w:rsid w:val="00A20C48"/>
    <w:rsid w:val="00A20C83"/>
    <w:rsid w:val="00A260B3"/>
    <w:rsid w:val="00A3009A"/>
    <w:rsid w:val="00A363FC"/>
    <w:rsid w:val="00A40611"/>
    <w:rsid w:val="00A40F0A"/>
    <w:rsid w:val="00A42BDC"/>
    <w:rsid w:val="00A466EB"/>
    <w:rsid w:val="00A51826"/>
    <w:rsid w:val="00A521A7"/>
    <w:rsid w:val="00A53778"/>
    <w:rsid w:val="00A679B1"/>
    <w:rsid w:val="00A77BD3"/>
    <w:rsid w:val="00A844E4"/>
    <w:rsid w:val="00A85569"/>
    <w:rsid w:val="00A85B20"/>
    <w:rsid w:val="00AA17FD"/>
    <w:rsid w:val="00AA775F"/>
    <w:rsid w:val="00AB17F2"/>
    <w:rsid w:val="00AB4074"/>
    <w:rsid w:val="00AC3201"/>
    <w:rsid w:val="00AC72E0"/>
    <w:rsid w:val="00AD1993"/>
    <w:rsid w:val="00AD38E9"/>
    <w:rsid w:val="00AD6A89"/>
    <w:rsid w:val="00AE4EF2"/>
    <w:rsid w:val="00AE54C7"/>
    <w:rsid w:val="00AF7F5B"/>
    <w:rsid w:val="00B00DBB"/>
    <w:rsid w:val="00B05DAD"/>
    <w:rsid w:val="00B13E51"/>
    <w:rsid w:val="00B13EE7"/>
    <w:rsid w:val="00B17B50"/>
    <w:rsid w:val="00B34897"/>
    <w:rsid w:val="00B358B8"/>
    <w:rsid w:val="00B5172C"/>
    <w:rsid w:val="00B52889"/>
    <w:rsid w:val="00B76DCB"/>
    <w:rsid w:val="00B805FA"/>
    <w:rsid w:val="00B96350"/>
    <w:rsid w:val="00B9730E"/>
    <w:rsid w:val="00B97AB0"/>
    <w:rsid w:val="00B97ED9"/>
    <w:rsid w:val="00BA643D"/>
    <w:rsid w:val="00BB54DC"/>
    <w:rsid w:val="00BC27AD"/>
    <w:rsid w:val="00BD0B0A"/>
    <w:rsid w:val="00BE0E23"/>
    <w:rsid w:val="00BE3D86"/>
    <w:rsid w:val="00BE4D2C"/>
    <w:rsid w:val="00BE5124"/>
    <w:rsid w:val="00BF197B"/>
    <w:rsid w:val="00BF7475"/>
    <w:rsid w:val="00C049CE"/>
    <w:rsid w:val="00C05A30"/>
    <w:rsid w:val="00C05FEE"/>
    <w:rsid w:val="00C13F87"/>
    <w:rsid w:val="00C23194"/>
    <w:rsid w:val="00C249CC"/>
    <w:rsid w:val="00C24F26"/>
    <w:rsid w:val="00C37EAF"/>
    <w:rsid w:val="00C5003C"/>
    <w:rsid w:val="00C5657A"/>
    <w:rsid w:val="00C57CEB"/>
    <w:rsid w:val="00C60058"/>
    <w:rsid w:val="00C71BEF"/>
    <w:rsid w:val="00C872C3"/>
    <w:rsid w:val="00C87C38"/>
    <w:rsid w:val="00C90559"/>
    <w:rsid w:val="00C97501"/>
    <w:rsid w:val="00CA2EE1"/>
    <w:rsid w:val="00CA673B"/>
    <w:rsid w:val="00CA7A28"/>
    <w:rsid w:val="00CB3849"/>
    <w:rsid w:val="00CC01CE"/>
    <w:rsid w:val="00CC35F9"/>
    <w:rsid w:val="00CD0615"/>
    <w:rsid w:val="00CE3DE1"/>
    <w:rsid w:val="00CE4CF6"/>
    <w:rsid w:val="00D041AF"/>
    <w:rsid w:val="00D05071"/>
    <w:rsid w:val="00D1126B"/>
    <w:rsid w:val="00D16DD4"/>
    <w:rsid w:val="00D17E11"/>
    <w:rsid w:val="00D23FF2"/>
    <w:rsid w:val="00D32E36"/>
    <w:rsid w:val="00D35568"/>
    <w:rsid w:val="00D35E4A"/>
    <w:rsid w:val="00D40855"/>
    <w:rsid w:val="00D44368"/>
    <w:rsid w:val="00D47231"/>
    <w:rsid w:val="00D50093"/>
    <w:rsid w:val="00D50B51"/>
    <w:rsid w:val="00D72B43"/>
    <w:rsid w:val="00D7491B"/>
    <w:rsid w:val="00D91B95"/>
    <w:rsid w:val="00D958B9"/>
    <w:rsid w:val="00DB35A2"/>
    <w:rsid w:val="00DB6786"/>
    <w:rsid w:val="00DC38B8"/>
    <w:rsid w:val="00DC48D6"/>
    <w:rsid w:val="00DE183A"/>
    <w:rsid w:val="00DE1F62"/>
    <w:rsid w:val="00DF63CE"/>
    <w:rsid w:val="00E05503"/>
    <w:rsid w:val="00E15485"/>
    <w:rsid w:val="00E21D45"/>
    <w:rsid w:val="00E41EEC"/>
    <w:rsid w:val="00E43988"/>
    <w:rsid w:val="00E468A6"/>
    <w:rsid w:val="00E5216C"/>
    <w:rsid w:val="00E52B4A"/>
    <w:rsid w:val="00E554F4"/>
    <w:rsid w:val="00E72AAA"/>
    <w:rsid w:val="00E75B51"/>
    <w:rsid w:val="00E969BF"/>
    <w:rsid w:val="00E96EAA"/>
    <w:rsid w:val="00EA16EE"/>
    <w:rsid w:val="00EA491B"/>
    <w:rsid w:val="00EB0A97"/>
    <w:rsid w:val="00EB4105"/>
    <w:rsid w:val="00ED0DD8"/>
    <w:rsid w:val="00EF041A"/>
    <w:rsid w:val="00EF08A5"/>
    <w:rsid w:val="00EF5CE7"/>
    <w:rsid w:val="00F23291"/>
    <w:rsid w:val="00F23362"/>
    <w:rsid w:val="00F32763"/>
    <w:rsid w:val="00F34B9A"/>
    <w:rsid w:val="00F44FCA"/>
    <w:rsid w:val="00F54055"/>
    <w:rsid w:val="00F614F3"/>
    <w:rsid w:val="00F719E6"/>
    <w:rsid w:val="00F94B79"/>
    <w:rsid w:val="00FB116F"/>
    <w:rsid w:val="00FC0D32"/>
    <w:rsid w:val="00FC5A4C"/>
    <w:rsid w:val="00FC71A8"/>
    <w:rsid w:val="00FE13B5"/>
    <w:rsid w:val="00FE59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F4277"/>
  <w15:docId w15:val="{1305D801-AE62-4B23-A015-23BF8470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7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B50"/>
  </w:style>
  <w:style w:type="paragraph" w:styleId="ListParagraph">
    <w:name w:val="List Paragraph"/>
    <w:basedOn w:val="Normal"/>
    <w:uiPriority w:val="34"/>
    <w:qFormat/>
    <w:rsid w:val="00B17B50"/>
    <w:pPr>
      <w:ind w:left="720"/>
      <w:contextualSpacing/>
    </w:pPr>
  </w:style>
  <w:style w:type="paragraph" w:styleId="FootnoteText">
    <w:name w:val="footnote text"/>
    <w:aliases w:val="ACMA Footnote Text"/>
    <w:basedOn w:val="Normal"/>
    <w:link w:val="FootnoteTextChar"/>
    <w:uiPriority w:val="99"/>
    <w:unhideWhenUsed/>
    <w:rsid w:val="00B17B50"/>
    <w:pPr>
      <w:spacing w:after="0" w:line="240" w:lineRule="auto"/>
    </w:pPr>
    <w:rPr>
      <w:sz w:val="20"/>
      <w:szCs w:val="20"/>
    </w:rPr>
  </w:style>
  <w:style w:type="character" w:customStyle="1" w:styleId="FootnoteTextChar">
    <w:name w:val="Footnote Text Char"/>
    <w:aliases w:val="ACMA Footnote Text Char"/>
    <w:basedOn w:val="DefaultParagraphFont"/>
    <w:link w:val="FootnoteText"/>
    <w:rsid w:val="00B17B50"/>
    <w:rPr>
      <w:sz w:val="20"/>
      <w:szCs w:val="20"/>
    </w:rPr>
  </w:style>
  <w:style w:type="character" w:styleId="FootnoteReference">
    <w:name w:val="footnote reference"/>
    <w:aliases w:val="(NECG) Footnote Reference,(NECG) Footnote Reference1,(NECG) Footnote Reference2,o,Footnote Reference 1"/>
    <w:basedOn w:val="DefaultParagraphFont"/>
    <w:unhideWhenUsed/>
    <w:rsid w:val="00B17B50"/>
    <w:rPr>
      <w:vertAlign w:val="superscript"/>
    </w:rPr>
  </w:style>
  <w:style w:type="table" w:styleId="TableGrid">
    <w:name w:val="Table Grid"/>
    <w:basedOn w:val="TableNormal"/>
    <w:rsid w:val="00B17B50"/>
    <w:pPr>
      <w:spacing w:after="0" w:line="24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NumberedList">
    <w:name w:val="ACMA Numbered List"/>
    <w:rsid w:val="00B17B50"/>
    <w:pPr>
      <w:numPr>
        <w:numId w:val="3"/>
      </w:numPr>
      <w:spacing w:before="20" w:after="20" w:line="240" w:lineRule="auto"/>
    </w:pPr>
    <w:rPr>
      <w:rFonts w:ascii="Times New Roman" w:eastAsia="Times New Roman" w:hAnsi="Times New Roman" w:cs="Times New Roman"/>
      <w:sz w:val="24"/>
      <w:szCs w:val="20"/>
    </w:rPr>
  </w:style>
  <w:style w:type="paragraph" w:styleId="ListBullet">
    <w:name w:val="List Bullet"/>
    <w:basedOn w:val="Normal"/>
    <w:rsid w:val="006C50D9"/>
    <w:pPr>
      <w:numPr>
        <w:numId w:val="6"/>
      </w:numPr>
      <w:spacing w:after="80" w:line="240" w:lineRule="atLeast"/>
    </w:pPr>
    <w:rPr>
      <w:rFonts w:ascii="Arial" w:eastAsia="Times New Roman" w:hAnsi="Arial" w:cs="Times New Roman"/>
      <w:sz w:val="20"/>
      <w:szCs w:val="24"/>
      <w:lang w:eastAsia="en-AU"/>
    </w:rPr>
  </w:style>
  <w:style w:type="paragraph" w:styleId="BalloonText">
    <w:name w:val="Balloon Text"/>
    <w:basedOn w:val="Normal"/>
    <w:link w:val="BalloonTextChar"/>
    <w:uiPriority w:val="99"/>
    <w:semiHidden/>
    <w:unhideWhenUsed/>
    <w:rsid w:val="00EF0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41A"/>
    <w:rPr>
      <w:rFonts w:ascii="Tahoma" w:hAnsi="Tahoma" w:cs="Tahoma"/>
      <w:sz w:val="16"/>
      <w:szCs w:val="16"/>
    </w:rPr>
  </w:style>
  <w:style w:type="paragraph" w:styleId="Header">
    <w:name w:val="header"/>
    <w:basedOn w:val="Normal"/>
    <w:link w:val="HeaderChar"/>
    <w:uiPriority w:val="99"/>
    <w:unhideWhenUsed/>
    <w:rsid w:val="009D7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970"/>
  </w:style>
  <w:style w:type="character" w:styleId="CommentReference">
    <w:name w:val="annotation reference"/>
    <w:basedOn w:val="DefaultParagraphFont"/>
    <w:uiPriority w:val="99"/>
    <w:semiHidden/>
    <w:unhideWhenUsed/>
    <w:rsid w:val="002E7479"/>
    <w:rPr>
      <w:sz w:val="16"/>
      <w:szCs w:val="16"/>
    </w:rPr>
  </w:style>
  <w:style w:type="paragraph" w:styleId="CommentText">
    <w:name w:val="annotation text"/>
    <w:basedOn w:val="Normal"/>
    <w:link w:val="CommentTextChar"/>
    <w:uiPriority w:val="99"/>
    <w:unhideWhenUsed/>
    <w:rsid w:val="002E7479"/>
    <w:pPr>
      <w:spacing w:line="240" w:lineRule="auto"/>
    </w:pPr>
    <w:rPr>
      <w:sz w:val="20"/>
      <w:szCs w:val="20"/>
    </w:rPr>
  </w:style>
  <w:style w:type="character" w:customStyle="1" w:styleId="CommentTextChar">
    <w:name w:val="Comment Text Char"/>
    <w:basedOn w:val="DefaultParagraphFont"/>
    <w:link w:val="CommentText"/>
    <w:uiPriority w:val="99"/>
    <w:rsid w:val="002E7479"/>
    <w:rPr>
      <w:sz w:val="20"/>
      <w:szCs w:val="20"/>
    </w:rPr>
  </w:style>
  <w:style w:type="paragraph" w:styleId="CommentSubject">
    <w:name w:val="annotation subject"/>
    <w:basedOn w:val="CommentText"/>
    <w:next w:val="CommentText"/>
    <w:link w:val="CommentSubjectChar"/>
    <w:uiPriority w:val="99"/>
    <w:semiHidden/>
    <w:unhideWhenUsed/>
    <w:rsid w:val="002E7479"/>
    <w:rPr>
      <w:b/>
      <w:bCs/>
    </w:rPr>
  </w:style>
  <w:style w:type="character" w:customStyle="1" w:styleId="CommentSubjectChar">
    <w:name w:val="Comment Subject Char"/>
    <w:basedOn w:val="CommentTextChar"/>
    <w:link w:val="CommentSubject"/>
    <w:uiPriority w:val="99"/>
    <w:semiHidden/>
    <w:rsid w:val="002E7479"/>
    <w:rPr>
      <w:b/>
      <w:bCs/>
      <w:sz w:val="20"/>
      <w:szCs w:val="20"/>
    </w:rPr>
  </w:style>
  <w:style w:type="paragraph" w:styleId="Revision">
    <w:name w:val="Revision"/>
    <w:hidden/>
    <w:uiPriority w:val="99"/>
    <w:semiHidden/>
    <w:rsid w:val="002E7479"/>
    <w:pPr>
      <w:spacing w:after="0" w:line="240" w:lineRule="auto"/>
    </w:pPr>
  </w:style>
  <w:style w:type="character" w:styleId="Hyperlink">
    <w:name w:val="Hyperlink"/>
    <w:basedOn w:val="DefaultParagraphFont"/>
    <w:uiPriority w:val="99"/>
    <w:unhideWhenUsed/>
    <w:rsid w:val="00DE183A"/>
    <w:rPr>
      <w:color w:val="0000FF" w:themeColor="hyperlink"/>
      <w:u w:val="single"/>
    </w:rPr>
  </w:style>
  <w:style w:type="character" w:styleId="UnresolvedMention">
    <w:name w:val="Unresolved Mention"/>
    <w:basedOn w:val="DefaultParagraphFont"/>
    <w:uiPriority w:val="99"/>
    <w:semiHidden/>
    <w:unhideWhenUsed/>
    <w:rsid w:val="00DE1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4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legislation.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C8FEBE29DB2A4FA4C0856B7BE6B334" ma:contentTypeVersion="2" ma:contentTypeDescription="Create a new document." ma:contentTypeScope="" ma:versionID="9374ccaf966f82c76b8986f0d348e7d1">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UQVA7MFFXVNW-2139912385-251</_dlc_DocId>
    <_dlc_DocIdUrl xmlns="04b8ec43-391f-4ce4-8841-d6a482add564">
      <Url>http://collaboration/organisation/auth/Chair/Auth/_layouts/15/DocIdRedir.aspx?ID=UQVA7MFFXVNW-2139912385-251</Url>
      <Description>UQVA7MFFXVNW-2139912385-251</Description>
    </_dlc_DocIdUrl>
    <Category xmlns="026d8262-4725-4a9c-834e-3f991ab17ffd">(none)</Category>
  </documentManagement>
</p:properties>
</file>

<file path=customXml/itemProps1.xml><?xml version="1.0" encoding="utf-8"?>
<ds:datastoreItem xmlns:ds="http://schemas.openxmlformats.org/officeDocument/2006/customXml" ds:itemID="{1741C62E-5158-44F7-897B-B148D1403917}">
  <ds:schemaRefs>
    <ds:schemaRef ds:uri="http://schemas.openxmlformats.org/officeDocument/2006/bibliography"/>
  </ds:schemaRefs>
</ds:datastoreItem>
</file>

<file path=customXml/itemProps2.xml><?xml version="1.0" encoding="utf-8"?>
<ds:datastoreItem xmlns:ds="http://schemas.openxmlformats.org/officeDocument/2006/customXml" ds:itemID="{BAA4A6ED-E4AE-4F63-940A-92137FBCA6C1}"/>
</file>

<file path=customXml/itemProps3.xml><?xml version="1.0" encoding="utf-8"?>
<ds:datastoreItem xmlns:ds="http://schemas.openxmlformats.org/officeDocument/2006/customXml" ds:itemID="{EF1D6955-8A3F-48F8-9A08-3947736C68A9}"/>
</file>

<file path=customXml/itemProps4.xml><?xml version="1.0" encoding="utf-8"?>
<ds:datastoreItem xmlns:ds="http://schemas.openxmlformats.org/officeDocument/2006/customXml" ds:itemID="{65349228-36F4-4AA9-9D28-5E2E6260593F}"/>
</file>

<file path=customXml/itemProps5.xml><?xml version="1.0" encoding="utf-8"?>
<ds:datastoreItem xmlns:ds="http://schemas.openxmlformats.org/officeDocument/2006/customXml" ds:itemID="{191BF3F8-8609-4078-9FC5-D93B25B2661A}"/>
</file>

<file path=docProps/app.xml><?xml version="1.0" encoding="utf-8"?>
<Properties xmlns="http://schemas.openxmlformats.org/officeDocument/2006/extended-properties" xmlns:vt="http://schemas.openxmlformats.org/officeDocument/2006/docPropsVTypes">
  <Template>Normal</Template>
  <TotalTime>80</TotalTime>
  <Pages>6</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jfam</dc:creator>
  <cp:lastModifiedBy>Belinda Lewis</cp:lastModifiedBy>
  <cp:revision>14</cp:revision>
  <cp:lastPrinted>2011-10-05T04:35:00Z</cp:lastPrinted>
  <dcterms:created xsi:type="dcterms:W3CDTF">2022-02-13T22:36:00Z</dcterms:created>
  <dcterms:modified xsi:type="dcterms:W3CDTF">2022-02-15T01:56:00Z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eeb205df-1365-4a18-b7e4-bf8dc4dbcfd6</vt:lpwstr>
  </property>
  <property fmtid="{D5CDD505-2E9C-101B-9397-08002B2CF9AE}" pid="4" name="ContentTypeId">
    <vt:lpwstr>0x010100D9C8FEBE29DB2A4FA4C0856B7BE6B334</vt:lpwstr>
  </property>
</Properties>
</file>