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9B178" w14:textId="1E0772C2" w:rsidR="0041338D" w:rsidRDefault="0041338D" w:rsidP="00775F79">
      <w:pPr>
        <w:pStyle w:val="Title"/>
        <w:rPr>
          <w:szCs w:val="24"/>
        </w:rPr>
      </w:pPr>
      <w:r w:rsidRPr="00BA306B">
        <w:rPr>
          <w:szCs w:val="24"/>
        </w:rPr>
        <w:t xml:space="preserve">EXPLANATORY </w:t>
      </w:r>
      <w:r w:rsidR="00775F79">
        <w:rPr>
          <w:szCs w:val="24"/>
        </w:rPr>
        <w:t>STATEMENT</w:t>
      </w:r>
    </w:p>
    <w:p w14:paraId="0069FE9F" w14:textId="77777777" w:rsidR="0041338D" w:rsidRPr="00BA306B" w:rsidRDefault="0041338D" w:rsidP="0041338D">
      <w:pPr>
        <w:pStyle w:val="Title"/>
        <w:rPr>
          <w:szCs w:val="24"/>
        </w:rPr>
      </w:pPr>
    </w:p>
    <w:p w14:paraId="7D59CBCF" w14:textId="77777777" w:rsidR="003A401D" w:rsidRDefault="003A401D" w:rsidP="0041338D">
      <w:pPr>
        <w:rPr>
          <w:szCs w:val="24"/>
          <w:u w:val="single"/>
        </w:rPr>
      </w:pPr>
    </w:p>
    <w:p w14:paraId="3A0DB90E" w14:textId="389B89B8" w:rsidR="0041338D" w:rsidRPr="006C6CBB" w:rsidRDefault="0041338D" w:rsidP="00775F79">
      <w:pPr>
        <w:jc w:val="center"/>
        <w:rPr>
          <w:i/>
          <w:szCs w:val="24"/>
        </w:rPr>
      </w:pPr>
      <w:r w:rsidRPr="006C6CBB">
        <w:rPr>
          <w:i/>
          <w:szCs w:val="24"/>
        </w:rPr>
        <w:t>Therapeutic Goods Act 1989</w:t>
      </w:r>
    </w:p>
    <w:p w14:paraId="588B54CA" w14:textId="1370BC7F" w:rsidR="00C72681" w:rsidRPr="006C6CBB" w:rsidRDefault="00C72681" w:rsidP="00775F79">
      <w:pPr>
        <w:jc w:val="center"/>
        <w:rPr>
          <w:i/>
          <w:szCs w:val="24"/>
        </w:rPr>
      </w:pPr>
      <w:r w:rsidRPr="006C6CBB">
        <w:rPr>
          <w:i/>
          <w:szCs w:val="24"/>
        </w:rPr>
        <w:t>Narcotic Drugs Act 1967</w:t>
      </w:r>
    </w:p>
    <w:p w14:paraId="3B812142" w14:textId="77777777" w:rsidR="0041338D" w:rsidRPr="006C6CBB" w:rsidRDefault="0041338D" w:rsidP="0041338D">
      <w:pPr>
        <w:ind w:firstLine="1134"/>
        <w:rPr>
          <w:i/>
          <w:szCs w:val="24"/>
        </w:rPr>
      </w:pPr>
    </w:p>
    <w:p w14:paraId="63E5AC47" w14:textId="25D119D2" w:rsidR="0041338D" w:rsidRPr="006C6CBB" w:rsidRDefault="0041338D" w:rsidP="00775F79">
      <w:pPr>
        <w:jc w:val="center"/>
        <w:rPr>
          <w:i/>
          <w:szCs w:val="24"/>
        </w:rPr>
      </w:pPr>
      <w:r w:rsidRPr="006C6CBB">
        <w:rPr>
          <w:i/>
          <w:szCs w:val="24"/>
        </w:rPr>
        <w:t xml:space="preserve">Therapeutic Goods </w:t>
      </w:r>
      <w:r w:rsidR="00313E21" w:rsidRPr="006C6CBB">
        <w:rPr>
          <w:i/>
          <w:szCs w:val="24"/>
        </w:rPr>
        <w:t xml:space="preserve">Legislation </w:t>
      </w:r>
      <w:r w:rsidR="001C435D" w:rsidRPr="006C6CBB">
        <w:rPr>
          <w:i/>
          <w:szCs w:val="24"/>
        </w:rPr>
        <w:t>Amendment</w:t>
      </w:r>
      <w:r w:rsidRPr="006C6CBB">
        <w:rPr>
          <w:i/>
          <w:szCs w:val="24"/>
        </w:rPr>
        <w:t xml:space="preserve"> </w:t>
      </w:r>
      <w:r w:rsidR="00634D4D" w:rsidRPr="006C6CBB">
        <w:rPr>
          <w:i/>
          <w:szCs w:val="24"/>
        </w:rPr>
        <w:t>(</w:t>
      </w:r>
      <w:r w:rsidR="004033CC" w:rsidRPr="006C6CBB">
        <w:rPr>
          <w:i/>
          <w:szCs w:val="24"/>
        </w:rPr>
        <w:t>202</w:t>
      </w:r>
      <w:r w:rsidR="00D46F21" w:rsidRPr="006C6CBB">
        <w:rPr>
          <w:i/>
          <w:szCs w:val="24"/>
        </w:rPr>
        <w:t>2</w:t>
      </w:r>
      <w:r w:rsidR="00343AD3" w:rsidRPr="006C6CBB">
        <w:rPr>
          <w:i/>
          <w:szCs w:val="24"/>
        </w:rPr>
        <w:t> </w:t>
      </w:r>
      <w:r w:rsidR="004033CC" w:rsidRPr="006C6CBB">
        <w:rPr>
          <w:i/>
          <w:szCs w:val="24"/>
        </w:rPr>
        <w:t>Measures No.</w:t>
      </w:r>
      <w:r w:rsidR="00343AD3" w:rsidRPr="006C6CBB">
        <w:rPr>
          <w:i/>
          <w:szCs w:val="24"/>
        </w:rPr>
        <w:t> </w:t>
      </w:r>
      <w:r w:rsidR="00D46F21" w:rsidRPr="006C6CBB">
        <w:rPr>
          <w:i/>
          <w:szCs w:val="24"/>
        </w:rPr>
        <w:t>1</w:t>
      </w:r>
      <w:r w:rsidR="00634D4D" w:rsidRPr="006C6CBB">
        <w:rPr>
          <w:i/>
          <w:szCs w:val="24"/>
        </w:rPr>
        <w:t xml:space="preserve">) </w:t>
      </w:r>
      <w:r w:rsidRPr="006C6CBB">
        <w:rPr>
          <w:i/>
          <w:szCs w:val="24"/>
        </w:rPr>
        <w:t>Regulations</w:t>
      </w:r>
      <w:r w:rsidR="00343AD3" w:rsidRPr="006C6CBB">
        <w:rPr>
          <w:i/>
          <w:szCs w:val="24"/>
        </w:rPr>
        <w:t> </w:t>
      </w:r>
      <w:r w:rsidR="004033CC" w:rsidRPr="006C6CBB">
        <w:rPr>
          <w:i/>
          <w:szCs w:val="24"/>
        </w:rPr>
        <w:t>202</w:t>
      </w:r>
      <w:r w:rsidR="00D46F21" w:rsidRPr="006C6CBB">
        <w:rPr>
          <w:i/>
          <w:szCs w:val="24"/>
        </w:rPr>
        <w:t>2</w:t>
      </w:r>
    </w:p>
    <w:p w14:paraId="45B3492F" w14:textId="77777777" w:rsidR="00313E21" w:rsidRPr="006C6CBB" w:rsidRDefault="00313E21" w:rsidP="00775F79">
      <w:pPr>
        <w:rPr>
          <w:szCs w:val="24"/>
        </w:rPr>
      </w:pPr>
    </w:p>
    <w:p w14:paraId="0A0B626D" w14:textId="4B79265F" w:rsidR="001C77A1" w:rsidRPr="006C6CBB" w:rsidRDefault="001C77A1" w:rsidP="00775F79">
      <w:pPr>
        <w:rPr>
          <w:szCs w:val="24"/>
        </w:rPr>
      </w:pPr>
      <w:r w:rsidRPr="006C6CBB">
        <w:rPr>
          <w:szCs w:val="24"/>
        </w:rPr>
        <w:t xml:space="preserve">The </w:t>
      </w:r>
      <w:r w:rsidR="00590099" w:rsidRPr="006C6CBB">
        <w:rPr>
          <w:szCs w:val="24"/>
        </w:rPr>
        <w:t xml:space="preserve">Regulations </w:t>
      </w:r>
      <w:r w:rsidR="00A17CD2" w:rsidRPr="006C6CBB">
        <w:rPr>
          <w:szCs w:val="24"/>
        </w:rPr>
        <w:t xml:space="preserve">support the safe use of </w:t>
      </w:r>
      <w:proofErr w:type="gramStart"/>
      <w:r w:rsidR="00A17CD2" w:rsidRPr="006C6CBB">
        <w:rPr>
          <w:szCs w:val="24"/>
        </w:rPr>
        <w:t>extemporaneously</w:t>
      </w:r>
      <w:r w:rsidR="00DF008C" w:rsidRPr="006C6CBB">
        <w:rPr>
          <w:szCs w:val="24"/>
        </w:rPr>
        <w:t>-</w:t>
      </w:r>
      <w:r w:rsidR="00A17CD2" w:rsidRPr="006C6CBB">
        <w:rPr>
          <w:szCs w:val="24"/>
        </w:rPr>
        <w:t>compounded</w:t>
      </w:r>
      <w:proofErr w:type="gramEnd"/>
      <w:r w:rsidR="00A17CD2" w:rsidRPr="006C6CBB">
        <w:rPr>
          <w:szCs w:val="24"/>
        </w:rPr>
        <w:t xml:space="preserve"> medicinal cannabis products in Australia</w:t>
      </w:r>
      <w:r w:rsidR="00DF008C" w:rsidRPr="006C6CBB">
        <w:rPr>
          <w:szCs w:val="24"/>
        </w:rPr>
        <w:t xml:space="preserve"> and provide clarity to industry</w:t>
      </w:r>
      <w:r w:rsidR="00803815" w:rsidRPr="006C6CBB">
        <w:rPr>
          <w:szCs w:val="24"/>
        </w:rPr>
        <w:t xml:space="preserve">. </w:t>
      </w:r>
    </w:p>
    <w:p w14:paraId="2A111A89" w14:textId="77777777" w:rsidR="001C77A1" w:rsidRPr="006C6CBB" w:rsidRDefault="001C77A1" w:rsidP="00327A28">
      <w:pPr>
        <w:rPr>
          <w:szCs w:val="24"/>
        </w:rPr>
      </w:pPr>
    </w:p>
    <w:p w14:paraId="191521E3" w14:textId="6E23E817" w:rsidR="00C04075" w:rsidRPr="006C6CBB" w:rsidRDefault="00875813" w:rsidP="00327A28">
      <w:pPr>
        <w:rPr>
          <w:szCs w:val="24"/>
        </w:rPr>
      </w:pPr>
      <w:r w:rsidRPr="006C6CBB">
        <w:rPr>
          <w:szCs w:val="24"/>
        </w:rPr>
        <w:t>An</w:t>
      </w:r>
      <w:r w:rsidR="00327A28" w:rsidRPr="006C6CBB">
        <w:rPr>
          <w:szCs w:val="24"/>
        </w:rPr>
        <w:t xml:space="preserve"> object of the </w:t>
      </w:r>
      <w:r w:rsidR="00327A28" w:rsidRPr="006C6CBB">
        <w:rPr>
          <w:i/>
          <w:szCs w:val="24"/>
        </w:rPr>
        <w:t>Therapeutic Goods Act 1989</w:t>
      </w:r>
      <w:r w:rsidR="00327A28" w:rsidRPr="006C6CBB">
        <w:rPr>
          <w:szCs w:val="24"/>
        </w:rPr>
        <w:t xml:space="preserve"> (the </w:t>
      </w:r>
      <w:r w:rsidR="00681045" w:rsidRPr="006C6CBB">
        <w:rPr>
          <w:szCs w:val="24"/>
        </w:rPr>
        <w:t xml:space="preserve">TG </w:t>
      </w:r>
      <w:r w:rsidR="00DE19C6" w:rsidRPr="006C6CBB">
        <w:rPr>
          <w:szCs w:val="24"/>
        </w:rPr>
        <w:t xml:space="preserve">Act) </w:t>
      </w:r>
      <w:r w:rsidR="00327A28" w:rsidRPr="006C6CBB">
        <w:rPr>
          <w:szCs w:val="24"/>
        </w:rPr>
        <w:t xml:space="preserve">is to establish and maintain a national system of controls for the quality, safety, </w:t>
      </w:r>
      <w:proofErr w:type="gramStart"/>
      <w:r w:rsidR="00327A28" w:rsidRPr="006C6CBB">
        <w:rPr>
          <w:szCs w:val="24"/>
        </w:rPr>
        <w:t>efficacy</w:t>
      </w:r>
      <w:proofErr w:type="gramEnd"/>
      <w:r w:rsidR="00327A28" w:rsidRPr="006C6CBB">
        <w:rPr>
          <w:szCs w:val="24"/>
        </w:rPr>
        <w:t xml:space="preserve"> and timely availability of therapeutic goods used in</w:t>
      </w:r>
      <w:r w:rsidR="00DE19C6" w:rsidRPr="006C6CBB">
        <w:rPr>
          <w:szCs w:val="24"/>
        </w:rPr>
        <w:t>, or exported from,</w:t>
      </w:r>
      <w:r w:rsidR="00327A28" w:rsidRPr="006C6CBB">
        <w:rPr>
          <w:szCs w:val="24"/>
        </w:rPr>
        <w:t xml:space="preserve"> Australia. </w:t>
      </w:r>
      <w:r w:rsidR="00681045" w:rsidRPr="006C6CBB">
        <w:rPr>
          <w:color w:val="000000"/>
          <w:shd w:val="clear" w:color="auto" w:fill="FFFFFF"/>
        </w:rPr>
        <w:t>The </w:t>
      </w:r>
      <w:r w:rsidR="00681045" w:rsidRPr="006C6CBB">
        <w:rPr>
          <w:i/>
          <w:iCs/>
          <w:color w:val="000000"/>
          <w:shd w:val="clear" w:color="auto" w:fill="FFFFFF"/>
        </w:rPr>
        <w:t>Narcotic Drugs Act 1967</w:t>
      </w:r>
      <w:r w:rsidR="00681045" w:rsidRPr="006C6CBB">
        <w:rPr>
          <w:color w:val="000000"/>
          <w:shd w:val="clear" w:color="auto" w:fill="FFFFFF"/>
        </w:rPr>
        <w:t xml:space="preserve"> (the ND Act) gives effect to certain of Australia’s obligations under the Single Convention on Narcotic Drugs, 1961 as in force from time to time. </w:t>
      </w:r>
      <w:r w:rsidR="00327A28" w:rsidRPr="006C6CBB">
        <w:rPr>
          <w:szCs w:val="24"/>
        </w:rPr>
        <w:t xml:space="preserve">Subsection 63(1) of the </w:t>
      </w:r>
      <w:r w:rsidR="00DE19C6" w:rsidRPr="006C6CBB">
        <w:rPr>
          <w:szCs w:val="24"/>
        </w:rPr>
        <w:t xml:space="preserve">TG </w:t>
      </w:r>
      <w:r w:rsidR="00327A28" w:rsidRPr="006C6CBB">
        <w:rPr>
          <w:szCs w:val="24"/>
        </w:rPr>
        <w:t>Act</w:t>
      </w:r>
      <w:r w:rsidR="00DE19C6" w:rsidRPr="006C6CBB">
        <w:rPr>
          <w:szCs w:val="24"/>
        </w:rPr>
        <w:t xml:space="preserve"> </w:t>
      </w:r>
      <w:r w:rsidR="007D357E" w:rsidRPr="006C6CBB">
        <w:rPr>
          <w:szCs w:val="24"/>
        </w:rPr>
        <w:t>enables</w:t>
      </w:r>
      <w:r w:rsidR="00DE19C6" w:rsidRPr="006C6CBB">
        <w:rPr>
          <w:szCs w:val="24"/>
        </w:rPr>
        <w:t xml:space="preserve"> the Governor-General </w:t>
      </w:r>
      <w:r w:rsidR="007D357E" w:rsidRPr="006C6CBB">
        <w:rPr>
          <w:szCs w:val="24"/>
        </w:rPr>
        <w:t>to</w:t>
      </w:r>
      <w:r w:rsidR="00DE19C6" w:rsidRPr="006C6CBB">
        <w:rPr>
          <w:szCs w:val="24"/>
        </w:rPr>
        <w:t xml:space="preserve"> make regulations, not inconsistent with the TG Act, prescribing matters required or permitted by the TG Act or necessary or convenient to be prescribed for carrying out or giving effect to the TG Act. S</w:t>
      </w:r>
      <w:r w:rsidR="00DF008C" w:rsidRPr="006C6CBB">
        <w:rPr>
          <w:szCs w:val="24"/>
        </w:rPr>
        <w:t xml:space="preserve">ection </w:t>
      </w:r>
      <w:r w:rsidR="00681045" w:rsidRPr="006C6CBB">
        <w:rPr>
          <w:szCs w:val="24"/>
        </w:rPr>
        <w:t>27 of the ND Act</w:t>
      </w:r>
      <w:r w:rsidR="00DE19C6" w:rsidRPr="006C6CBB">
        <w:rPr>
          <w:szCs w:val="24"/>
        </w:rPr>
        <w:t xml:space="preserve"> enables</w:t>
      </w:r>
      <w:r w:rsidR="00327A28" w:rsidRPr="006C6CBB">
        <w:rPr>
          <w:szCs w:val="24"/>
        </w:rPr>
        <w:t xml:space="preserve"> the Governor-General </w:t>
      </w:r>
      <w:r w:rsidR="00DE19C6" w:rsidRPr="006C6CBB">
        <w:rPr>
          <w:szCs w:val="24"/>
        </w:rPr>
        <w:t>to</w:t>
      </w:r>
      <w:r w:rsidR="00327A28" w:rsidRPr="006C6CBB">
        <w:rPr>
          <w:szCs w:val="24"/>
        </w:rPr>
        <w:t xml:space="preserve"> make regulations prescribing matters required or permitted to be prescribed by the </w:t>
      </w:r>
      <w:r w:rsidR="00DE19C6" w:rsidRPr="006C6CBB">
        <w:rPr>
          <w:szCs w:val="24"/>
        </w:rPr>
        <w:t xml:space="preserve">ND </w:t>
      </w:r>
      <w:r w:rsidR="00327A28" w:rsidRPr="006C6CBB">
        <w:rPr>
          <w:szCs w:val="24"/>
        </w:rPr>
        <w:t xml:space="preserve">Act or necessary or convenient for carrying out or giving effect to the </w:t>
      </w:r>
      <w:r w:rsidR="00681045" w:rsidRPr="006C6CBB">
        <w:rPr>
          <w:szCs w:val="24"/>
        </w:rPr>
        <w:t>ND Act</w:t>
      </w:r>
      <w:r w:rsidR="00327A28" w:rsidRPr="006C6CBB">
        <w:rPr>
          <w:szCs w:val="24"/>
        </w:rPr>
        <w:t>.</w:t>
      </w:r>
      <w:r w:rsidR="004A3028" w:rsidRPr="006C6CBB">
        <w:rPr>
          <w:szCs w:val="24"/>
        </w:rPr>
        <w:t xml:space="preserve"> </w:t>
      </w:r>
    </w:p>
    <w:p w14:paraId="5AC1C0EE" w14:textId="77777777" w:rsidR="00C04075" w:rsidRPr="006C6CBB" w:rsidRDefault="00C04075" w:rsidP="00327A28">
      <w:pPr>
        <w:rPr>
          <w:szCs w:val="24"/>
        </w:rPr>
      </w:pPr>
    </w:p>
    <w:p w14:paraId="4C92BA48" w14:textId="37D8F7E9" w:rsidR="00B00485" w:rsidRPr="006C6CBB" w:rsidRDefault="001C77A1" w:rsidP="00654712">
      <w:pPr>
        <w:rPr>
          <w:szCs w:val="24"/>
        </w:rPr>
      </w:pPr>
      <w:r w:rsidRPr="006C6CBB">
        <w:rPr>
          <w:szCs w:val="24"/>
        </w:rPr>
        <w:t xml:space="preserve">The </w:t>
      </w:r>
      <w:r w:rsidRPr="006C6CBB">
        <w:rPr>
          <w:i/>
          <w:szCs w:val="24"/>
        </w:rPr>
        <w:t>Therapeutic Goods</w:t>
      </w:r>
      <w:r w:rsidR="00313E21" w:rsidRPr="006C6CBB">
        <w:rPr>
          <w:i/>
          <w:szCs w:val="24"/>
        </w:rPr>
        <w:t xml:space="preserve"> Legislation Amendment (202</w:t>
      </w:r>
      <w:r w:rsidR="00803815" w:rsidRPr="006C6CBB">
        <w:rPr>
          <w:i/>
          <w:szCs w:val="24"/>
        </w:rPr>
        <w:t>2</w:t>
      </w:r>
      <w:r w:rsidR="00313E21" w:rsidRPr="006C6CBB">
        <w:rPr>
          <w:i/>
          <w:szCs w:val="24"/>
        </w:rPr>
        <w:t xml:space="preserve"> Measures No.</w:t>
      </w:r>
      <w:r w:rsidR="000C71BB" w:rsidRPr="006C6CBB">
        <w:rPr>
          <w:i/>
          <w:szCs w:val="24"/>
        </w:rPr>
        <w:t> </w:t>
      </w:r>
      <w:r w:rsidR="00803815" w:rsidRPr="006C6CBB">
        <w:rPr>
          <w:i/>
          <w:szCs w:val="24"/>
        </w:rPr>
        <w:t>1</w:t>
      </w:r>
      <w:r w:rsidR="00313E21" w:rsidRPr="006C6CBB">
        <w:rPr>
          <w:i/>
          <w:szCs w:val="24"/>
        </w:rPr>
        <w:t>) Regulations 202</w:t>
      </w:r>
      <w:r w:rsidR="00803815" w:rsidRPr="006C6CBB">
        <w:rPr>
          <w:i/>
          <w:szCs w:val="24"/>
        </w:rPr>
        <w:t>2</w:t>
      </w:r>
      <w:r w:rsidRPr="006C6CBB">
        <w:rPr>
          <w:szCs w:val="24"/>
        </w:rPr>
        <w:t xml:space="preserve"> (</w:t>
      </w:r>
      <w:r w:rsidR="00313E21" w:rsidRPr="006C6CBB">
        <w:rPr>
          <w:szCs w:val="24"/>
        </w:rPr>
        <w:t xml:space="preserve">the Regulations) </w:t>
      </w:r>
      <w:r w:rsidR="00614D84" w:rsidRPr="006C6CBB">
        <w:rPr>
          <w:szCs w:val="24"/>
        </w:rPr>
        <w:t>amend</w:t>
      </w:r>
      <w:r w:rsidR="00775F79">
        <w:rPr>
          <w:szCs w:val="24"/>
        </w:rPr>
        <w:t>s</w:t>
      </w:r>
      <w:r w:rsidR="00614D84" w:rsidRPr="006C6CBB">
        <w:rPr>
          <w:szCs w:val="24"/>
        </w:rPr>
        <w:t xml:space="preserve"> the</w:t>
      </w:r>
      <w:r w:rsidR="00803815" w:rsidRPr="006C6CBB">
        <w:rPr>
          <w:szCs w:val="24"/>
        </w:rPr>
        <w:t xml:space="preserve"> </w:t>
      </w:r>
      <w:r w:rsidR="00614D84" w:rsidRPr="006C6CBB">
        <w:rPr>
          <w:i/>
          <w:szCs w:val="24"/>
        </w:rPr>
        <w:t>Therapeutic Goods Regulations 1990</w:t>
      </w:r>
      <w:r w:rsidR="00614D84" w:rsidRPr="006C6CBB">
        <w:rPr>
          <w:szCs w:val="24"/>
        </w:rPr>
        <w:t xml:space="preserve"> (the TG Regulations)</w:t>
      </w:r>
      <w:r w:rsidR="00A17CD2" w:rsidRPr="006C6CBB">
        <w:rPr>
          <w:szCs w:val="24"/>
        </w:rPr>
        <w:t xml:space="preserve"> </w:t>
      </w:r>
      <w:r w:rsidR="00803815" w:rsidRPr="006C6CBB">
        <w:rPr>
          <w:szCs w:val="24"/>
        </w:rPr>
        <w:t xml:space="preserve">and the </w:t>
      </w:r>
      <w:r w:rsidR="00803815" w:rsidRPr="006C6CBB">
        <w:rPr>
          <w:i/>
          <w:iCs/>
          <w:szCs w:val="24"/>
        </w:rPr>
        <w:t>Narcotic Drug</w:t>
      </w:r>
      <w:r w:rsidR="00614D90" w:rsidRPr="006C6CBB">
        <w:rPr>
          <w:i/>
          <w:iCs/>
          <w:szCs w:val="24"/>
        </w:rPr>
        <w:t>s</w:t>
      </w:r>
      <w:r w:rsidR="00803815" w:rsidRPr="006C6CBB">
        <w:rPr>
          <w:i/>
          <w:iCs/>
          <w:szCs w:val="24"/>
        </w:rPr>
        <w:t xml:space="preserve"> Regulation 2016</w:t>
      </w:r>
      <w:r w:rsidR="00803815" w:rsidRPr="006C6CBB">
        <w:rPr>
          <w:szCs w:val="24"/>
        </w:rPr>
        <w:t xml:space="preserve"> (the ND Regulations), </w:t>
      </w:r>
      <w:r w:rsidR="008D71E3" w:rsidRPr="006C6CBB">
        <w:rPr>
          <w:szCs w:val="24"/>
        </w:rPr>
        <w:t xml:space="preserve">principally to </w:t>
      </w:r>
      <w:r w:rsidR="00803815" w:rsidRPr="006C6CBB">
        <w:rPr>
          <w:szCs w:val="24"/>
        </w:rPr>
        <w:t>implement reforms to the regulation of medicinal cannabis products in Australia</w:t>
      </w:r>
      <w:r w:rsidR="004108F0" w:rsidRPr="006C6CBB">
        <w:rPr>
          <w:szCs w:val="24"/>
        </w:rPr>
        <w:t>,</w:t>
      </w:r>
      <w:r w:rsidR="00803815" w:rsidRPr="006C6CBB">
        <w:rPr>
          <w:szCs w:val="24"/>
        </w:rPr>
        <w:t xml:space="preserve"> and </w:t>
      </w:r>
      <w:r w:rsidR="004108F0" w:rsidRPr="006C6CBB">
        <w:rPr>
          <w:szCs w:val="24"/>
        </w:rPr>
        <w:t xml:space="preserve">to </w:t>
      </w:r>
      <w:r w:rsidR="00803815" w:rsidRPr="006C6CBB">
        <w:rPr>
          <w:szCs w:val="24"/>
        </w:rPr>
        <w:t xml:space="preserve">make a </w:t>
      </w:r>
      <w:r w:rsidR="004108F0" w:rsidRPr="006C6CBB">
        <w:rPr>
          <w:szCs w:val="24"/>
        </w:rPr>
        <w:t xml:space="preserve">small </w:t>
      </w:r>
      <w:r w:rsidR="00803815" w:rsidRPr="006C6CBB">
        <w:rPr>
          <w:szCs w:val="24"/>
        </w:rPr>
        <w:t>number of other</w:t>
      </w:r>
      <w:r w:rsidR="004108F0" w:rsidRPr="006C6CBB">
        <w:rPr>
          <w:szCs w:val="24"/>
        </w:rPr>
        <w:t>,</w:t>
      </w:r>
      <w:r w:rsidR="00803815" w:rsidRPr="006C6CBB">
        <w:rPr>
          <w:szCs w:val="24"/>
        </w:rPr>
        <w:t xml:space="preserve"> more minor amendments</w:t>
      </w:r>
      <w:r w:rsidR="004108F0" w:rsidRPr="006C6CBB">
        <w:rPr>
          <w:szCs w:val="24"/>
        </w:rPr>
        <w:t>,</w:t>
      </w:r>
      <w:r w:rsidR="00803815" w:rsidRPr="006C6CBB">
        <w:rPr>
          <w:szCs w:val="24"/>
        </w:rPr>
        <w:t xml:space="preserve"> to</w:t>
      </w:r>
      <w:r w:rsidR="004108F0" w:rsidRPr="006C6CBB">
        <w:rPr>
          <w:szCs w:val="24"/>
        </w:rPr>
        <w:t xml:space="preserve"> the TG Regulations and the </w:t>
      </w:r>
      <w:r w:rsidR="004108F0" w:rsidRPr="006C6CBB">
        <w:rPr>
          <w:i/>
          <w:iCs/>
          <w:szCs w:val="24"/>
        </w:rPr>
        <w:t>Therapeutic Goods (Medical Devices) Regulations 2002</w:t>
      </w:r>
      <w:r w:rsidR="004108F0" w:rsidRPr="006C6CBB">
        <w:rPr>
          <w:szCs w:val="24"/>
        </w:rPr>
        <w:t xml:space="preserve"> (the MD Regulations) to</w:t>
      </w:r>
      <w:r w:rsidR="00803815" w:rsidRPr="006C6CBB">
        <w:rPr>
          <w:szCs w:val="24"/>
        </w:rPr>
        <w:t xml:space="preserve"> </w:t>
      </w:r>
      <w:r w:rsidR="001C7C24" w:rsidRPr="006C6CBB">
        <w:rPr>
          <w:szCs w:val="24"/>
        </w:rPr>
        <w:t xml:space="preserve">reduce regulatory burden </w:t>
      </w:r>
      <w:r w:rsidR="00803815" w:rsidRPr="006C6CBB">
        <w:rPr>
          <w:szCs w:val="24"/>
        </w:rPr>
        <w:t>and provide clarity to industry</w:t>
      </w:r>
      <w:r w:rsidR="00B00485" w:rsidRPr="006C6CBB">
        <w:rPr>
          <w:szCs w:val="24"/>
        </w:rPr>
        <w:t xml:space="preserve">. </w:t>
      </w:r>
    </w:p>
    <w:p w14:paraId="2B5F21E2" w14:textId="77777777" w:rsidR="00B00485" w:rsidRPr="006C6CBB" w:rsidRDefault="00B00485" w:rsidP="00654712">
      <w:pPr>
        <w:rPr>
          <w:szCs w:val="24"/>
        </w:rPr>
      </w:pPr>
    </w:p>
    <w:p w14:paraId="7B16D3CE" w14:textId="61792E83" w:rsidR="00B00485" w:rsidRPr="006C6CBB" w:rsidRDefault="00B00485" w:rsidP="00654712">
      <w:pPr>
        <w:rPr>
          <w:szCs w:val="24"/>
        </w:rPr>
      </w:pPr>
      <w:r w:rsidRPr="006C6CBB">
        <w:rPr>
          <w:szCs w:val="24"/>
        </w:rPr>
        <w:t>The Regulations:</w:t>
      </w:r>
      <w:r w:rsidR="00E638B2" w:rsidRPr="006C6CBB">
        <w:rPr>
          <w:szCs w:val="24"/>
        </w:rPr>
        <w:t xml:space="preserve"> </w:t>
      </w:r>
    </w:p>
    <w:p w14:paraId="152580DD" w14:textId="1596B118" w:rsidR="00C73C54" w:rsidRPr="006C6CBB" w:rsidRDefault="00C73C54" w:rsidP="00227B72">
      <w:pPr>
        <w:pStyle w:val="ListParagraph"/>
        <w:numPr>
          <w:ilvl w:val="0"/>
          <w:numId w:val="15"/>
        </w:numPr>
        <w:ind w:left="709" w:hanging="709"/>
        <w:rPr>
          <w:szCs w:val="24"/>
        </w:rPr>
      </w:pPr>
      <w:r w:rsidRPr="006C6CBB">
        <w:rPr>
          <w:szCs w:val="24"/>
        </w:rPr>
        <w:t>enable</w:t>
      </w:r>
      <w:r w:rsidR="00803815" w:rsidRPr="006C6CBB">
        <w:rPr>
          <w:szCs w:val="24"/>
        </w:rPr>
        <w:t xml:space="preserve"> a licence to be issued</w:t>
      </w:r>
      <w:r w:rsidRPr="006C6CBB">
        <w:rPr>
          <w:szCs w:val="24"/>
        </w:rPr>
        <w:t xml:space="preserve"> under the ND Regulations </w:t>
      </w:r>
      <w:r w:rsidR="00803815" w:rsidRPr="006C6CBB">
        <w:rPr>
          <w:szCs w:val="24"/>
        </w:rPr>
        <w:t>for the manufacture of cannabis drugs</w:t>
      </w:r>
      <w:r w:rsidR="00BB5C99" w:rsidRPr="006C6CBB">
        <w:rPr>
          <w:szCs w:val="24"/>
        </w:rPr>
        <w:t xml:space="preserve"> and a medicinal cannabis permit to be issued for the supply of cannabis or cannabis resin, where the cannabis drug, cannabis or cannabis resin is </w:t>
      </w:r>
      <w:r w:rsidRPr="006C6CBB">
        <w:rPr>
          <w:szCs w:val="24"/>
        </w:rPr>
        <w:t xml:space="preserve">to be supplied to a person for </w:t>
      </w:r>
      <w:r w:rsidR="005D21E7" w:rsidRPr="006C6CBB">
        <w:rPr>
          <w:szCs w:val="24"/>
        </w:rPr>
        <w:t xml:space="preserve">the purposes of </w:t>
      </w:r>
      <w:r w:rsidRPr="006C6CBB">
        <w:rPr>
          <w:szCs w:val="24"/>
        </w:rPr>
        <w:t xml:space="preserve">that person </w:t>
      </w:r>
      <w:r w:rsidR="005D21E7" w:rsidRPr="006C6CBB">
        <w:rPr>
          <w:szCs w:val="24"/>
        </w:rPr>
        <w:t>supplying an</w:t>
      </w:r>
      <w:r w:rsidRPr="006C6CBB">
        <w:rPr>
          <w:szCs w:val="24"/>
        </w:rPr>
        <w:t xml:space="preserve"> extemporaneously</w:t>
      </w:r>
      <w:r w:rsidR="00DF008C" w:rsidRPr="006C6CBB">
        <w:rPr>
          <w:szCs w:val="24"/>
        </w:rPr>
        <w:t>-</w:t>
      </w:r>
      <w:r w:rsidRPr="006C6CBB">
        <w:rPr>
          <w:szCs w:val="24"/>
        </w:rPr>
        <w:t>compound</w:t>
      </w:r>
      <w:r w:rsidR="005D21E7" w:rsidRPr="006C6CBB">
        <w:rPr>
          <w:szCs w:val="24"/>
        </w:rPr>
        <w:t>ed</w:t>
      </w:r>
      <w:r w:rsidRPr="006C6CBB">
        <w:rPr>
          <w:szCs w:val="24"/>
        </w:rPr>
        <w:t xml:space="preserve"> </w:t>
      </w:r>
      <w:r w:rsidR="00681045" w:rsidRPr="00B24115">
        <w:rPr>
          <w:szCs w:val="24"/>
        </w:rPr>
        <w:t xml:space="preserve">(i.e. prepared for a particular patient for that patient’s needs) </w:t>
      </w:r>
      <w:r w:rsidRPr="006C6CBB">
        <w:rPr>
          <w:szCs w:val="24"/>
        </w:rPr>
        <w:t>medicinal cannabis product in accordance with the TG Act</w:t>
      </w:r>
      <w:r w:rsidR="00BB5C99" w:rsidRPr="006C6CBB">
        <w:rPr>
          <w:szCs w:val="24"/>
        </w:rPr>
        <w:t xml:space="preserve"> – </w:t>
      </w:r>
      <w:r w:rsidR="005D21E7" w:rsidRPr="006C6CBB">
        <w:rPr>
          <w:szCs w:val="24"/>
        </w:rPr>
        <w:t xml:space="preserve">with </w:t>
      </w:r>
      <w:r w:rsidR="00BB5C99" w:rsidRPr="006C6CBB">
        <w:rPr>
          <w:szCs w:val="24"/>
        </w:rPr>
        <w:t xml:space="preserve">the effect that cannabis drugs </w:t>
      </w:r>
      <w:r w:rsidR="005D21E7" w:rsidRPr="006C6CBB">
        <w:rPr>
          <w:szCs w:val="24"/>
        </w:rPr>
        <w:t xml:space="preserve">that are </w:t>
      </w:r>
      <w:r w:rsidR="00C46277" w:rsidRPr="006C6CBB">
        <w:rPr>
          <w:szCs w:val="24"/>
        </w:rPr>
        <w:t xml:space="preserve">cultivated or </w:t>
      </w:r>
      <w:r w:rsidR="00BB5C99" w:rsidRPr="006C6CBB">
        <w:rPr>
          <w:szCs w:val="24"/>
        </w:rPr>
        <w:t xml:space="preserve">manufactured </w:t>
      </w:r>
      <w:r w:rsidRPr="006C6CBB">
        <w:rPr>
          <w:szCs w:val="24"/>
        </w:rPr>
        <w:t xml:space="preserve">domestically </w:t>
      </w:r>
      <w:r w:rsidR="00222F8B" w:rsidRPr="006C6CBB">
        <w:rPr>
          <w:szCs w:val="24"/>
        </w:rPr>
        <w:t>(like imported product) could</w:t>
      </w:r>
      <w:r w:rsidRPr="006C6CBB">
        <w:rPr>
          <w:szCs w:val="24"/>
        </w:rPr>
        <w:t xml:space="preserve"> be supplied </w:t>
      </w:r>
      <w:r w:rsidR="00222F8B" w:rsidRPr="006C6CBB">
        <w:rPr>
          <w:szCs w:val="24"/>
        </w:rPr>
        <w:t>for the extemporaneous compounding of medicinal cannabis products</w:t>
      </w:r>
      <w:r w:rsidRPr="006C6CBB">
        <w:rPr>
          <w:szCs w:val="24"/>
        </w:rPr>
        <w:t xml:space="preserve">; </w:t>
      </w:r>
      <w:r w:rsidR="00BB5C99" w:rsidRPr="006C6CBB">
        <w:rPr>
          <w:szCs w:val="24"/>
        </w:rPr>
        <w:t>and</w:t>
      </w:r>
    </w:p>
    <w:p w14:paraId="1B583275" w14:textId="19DD8FAE" w:rsidR="00B00485" w:rsidRPr="006C6CBB" w:rsidRDefault="00BB5C99" w:rsidP="00CF42B0">
      <w:pPr>
        <w:pStyle w:val="ListParagraph"/>
        <w:numPr>
          <w:ilvl w:val="0"/>
          <w:numId w:val="15"/>
        </w:numPr>
        <w:ind w:hanging="720"/>
        <w:rPr>
          <w:szCs w:val="24"/>
        </w:rPr>
      </w:pPr>
      <w:r w:rsidRPr="006C6CBB">
        <w:rPr>
          <w:szCs w:val="24"/>
        </w:rPr>
        <w:t xml:space="preserve">remove </w:t>
      </w:r>
      <w:r w:rsidR="005D21E7" w:rsidRPr="006C6CBB">
        <w:rPr>
          <w:szCs w:val="24"/>
        </w:rPr>
        <w:t xml:space="preserve">medicinal cannabis products from </w:t>
      </w:r>
      <w:r w:rsidRPr="006C6CBB">
        <w:rPr>
          <w:szCs w:val="24"/>
        </w:rPr>
        <w:t xml:space="preserve">the </w:t>
      </w:r>
      <w:r w:rsidR="005D21E7" w:rsidRPr="006C6CBB">
        <w:rPr>
          <w:szCs w:val="24"/>
        </w:rPr>
        <w:t xml:space="preserve">current </w:t>
      </w:r>
      <w:r w:rsidRPr="006C6CBB">
        <w:rPr>
          <w:szCs w:val="24"/>
        </w:rPr>
        <w:t>exemption from inclusion in the Australian Register of Therapeutic Goods (the Register) for extemporaneously</w:t>
      </w:r>
      <w:r w:rsidR="00DF008C" w:rsidRPr="006C6CBB">
        <w:rPr>
          <w:szCs w:val="24"/>
        </w:rPr>
        <w:t>-</w:t>
      </w:r>
      <w:r w:rsidRPr="006C6CBB">
        <w:rPr>
          <w:szCs w:val="24"/>
        </w:rPr>
        <w:t xml:space="preserve">compounded </w:t>
      </w:r>
      <w:r w:rsidR="000F104E">
        <w:rPr>
          <w:szCs w:val="24"/>
        </w:rPr>
        <w:t>medicines</w:t>
      </w:r>
      <w:r w:rsidRPr="006C6CBB">
        <w:rPr>
          <w:szCs w:val="24"/>
        </w:rPr>
        <w:t xml:space="preserve">, so </w:t>
      </w:r>
      <w:r w:rsidR="004108F0" w:rsidRPr="006C6CBB">
        <w:rPr>
          <w:szCs w:val="24"/>
        </w:rPr>
        <w:t xml:space="preserve">that </w:t>
      </w:r>
      <w:r w:rsidR="00681045" w:rsidRPr="006C6CBB">
        <w:rPr>
          <w:szCs w:val="24"/>
        </w:rPr>
        <w:t xml:space="preserve">such </w:t>
      </w:r>
      <w:r w:rsidRPr="006C6CBB">
        <w:rPr>
          <w:szCs w:val="24"/>
        </w:rPr>
        <w:t>unapproved products need to be accessed through one of the unapproved access pathways –</w:t>
      </w:r>
      <w:r w:rsidR="005F71E1" w:rsidRPr="006C6CBB">
        <w:rPr>
          <w:szCs w:val="24"/>
        </w:rPr>
        <w:t xml:space="preserve">to better ensure the safe use of such products </w:t>
      </w:r>
      <w:r w:rsidR="00681045" w:rsidRPr="006C6CBB">
        <w:rPr>
          <w:szCs w:val="24"/>
        </w:rPr>
        <w:t xml:space="preserve">with </w:t>
      </w:r>
      <w:r w:rsidR="006C6CBB" w:rsidRPr="006C6CBB">
        <w:rPr>
          <w:szCs w:val="24"/>
        </w:rPr>
        <w:t>appropriate</w:t>
      </w:r>
      <w:r w:rsidR="00681045" w:rsidRPr="006C6CBB">
        <w:rPr>
          <w:szCs w:val="24"/>
        </w:rPr>
        <w:t xml:space="preserve"> regulatory oversight</w:t>
      </w:r>
      <w:r w:rsidRPr="006C6CBB">
        <w:rPr>
          <w:szCs w:val="24"/>
        </w:rPr>
        <w:t>.</w:t>
      </w:r>
    </w:p>
    <w:p w14:paraId="56D6ABCF" w14:textId="77777777" w:rsidR="00B00485" w:rsidRPr="006C6CBB" w:rsidRDefault="00B00485" w:rsidP="00654712">
      <w:pPr>
        <w:rPr>
          <w:szCs w:val="24"/>
        </w:rPr>
      </w:pPr>
    </w:p>
    <w:p w14:paraId="7C32C555" w14:textId="543B8F81" w:rsidR="00BB5C99" w:rsidRPr="006C6CBB" w:rsidRDefault="00F437BC" w:rsidP="005C48C5">
      <w:pPr>
        <w:rPr>
          <w:szCs w:val="24"/>
        </w:rPr>
      </w:pPr>
      <w:r w:rsidRPr="006C6CBB">
        <w:rPr>
          <w:szCs w:val="24"/>
        </w:rPr>
        <w:t>T</w:t>
      </w:r>
      <w:r w:rsidR="00DD6CD2" w:rsidRPr="006C6CBB">
        <w:rPr>
          <w:szCs w:val="24"/>
        </w:rPr>
        <w:t xml:space="preserve">he Regulations </w:t>
      </w:r>
      <w:r w:rsidR="00592989" w:rsidRPr="006C6CBB">
        <w:rPr>
          <w:szCs w:val="24"/>
        </w:rPr>
        <w:t>also make minor amendments</w:t>
      </w:r>
      <w:r w:rsidR="00DF008C" w:rsidRPr="006C6CBB">
        <w:rPr>
          <w:szCs w:val="24"/>
        </w:rPr>
        <w:t xml:space="preserve"> including to</w:t>
      </w:r>
      <w:r w:rsidR="00590099" w:rsidRPr="006C6CBB">
        <w:rPr>
          <w:szCs w:val="24"/>
        </w:rPr>
        <w:t>:</w:t>
      </w:r>
    </w:p>
    <w:p w14:paraId="063EFB89" w14:textId="30C0DFC6" w:rsidR="005C48C5" w:rsidRPr="006C6CBB" w:rsidRDefault="00AF26F3" w:rsidP="00EC015F">
      <w:pPr>
        <w:pStyle w:val="ListParagraph"/>
        <w:numPr>
          <w:ilvl w:val="0"/>
          <w:numId w:val="16"/>
        </w:numPr>
        <w:ind w:hanging="720"/>
        <w:rPr>
          <w:szCs w:val="24"/>
        </w:rPr>
      </w:pPr>
      <w:r w:rsidRPr="006C6CBB">
        <w:rPr>
          <w:szCs w:val="24"/>
        </w:rPr>
        <w:t xml:space="preserve">provide review rights for decisions under the TG Regulations relating to </w:t>
      </w:r>
      <w:r w:rsidR="005C48C5" w:rsidRPr="006C6CBB">
        <w:rPr>
          <w:szCs w:val="24"/>
        </w:rPr>
        <w:t xml:space="preserve">approvals for </w:t>
      </w:r>
      <w:r w:rsidRPr="006C6CBB">
        <w:rPr>
          <w:szCs w:val="24"/>
        </w:rPr>
        <w:t>the</w:t>
      </w:r>
      <w:r w:rsidR="005C48C5" w:rsidRPr="006C6CBB">
        <w:rPr>
          <w:szCs w:val="24"/>
        </w:rPr>
        <w:t xml:space="preserve"> import or export of </w:t>
      </w:r>
      <w:r w:rsidR="005F71E1" w:rsidRPr="006C6CBB">
        <w:rPr>
          <w:szCs w:val="24"/>
        </w:rPr>
        <w:t xml:space="preserve">therapeutic goods </w:t>
      </w:r>
      <w:r w:rsidR="006C6CBB" w:rsidRPr="006C6CBB">
        <w:rPr>
          <w:szCs w:val="24"/>
        </w:rPr>
        <w:t>comprised of</w:t>
      </w:r>
      <w:r w:rsidR="005F71E1" w:rsidRPr="006C6CBB">
        <w:rPr>
          <w:szCs w:val="24"/>
        </w:rPr>
        <w:t xml:space="preserve"> </w:t>
      </w:r>
      <w:r w:rsidR="005C48C5" w:rsidRPr="006C6CBB">
        <w:rPr>
          <w:szCs w:val="24"/>
        </w:rPr>
        <w:t xml:space="preserve">mercury, or the revocation or variation of such </w:t>
      </w:r>
      <w:proofErr w:type="gramStart"/>
      <w:r w:rsidR="005C48C5" w:rsidRPr="006C6CBB">
        <w:rPr>
          <w:szCs w:val="24"/>
        </w:rPr>
        <w:t>approvals;</w:t>
      </w:r>
      <w:proofErr w:type="gramEnd"/>
      <w:r w:rsidRPr="006C6CBB">
        <w:rPr>
          <w:szCs w:val="24"/>
        </w:rPr>
        <w:t xml:space="preserve"> </w:t>
      </w:r>
    </w:p>
    <w:p w14:paraId="32CD3590" w14:textId="2781697E" w:rsidR="00EC015F" w:rsidRPr="006C6CBB" w:rsidRDefault="00AF26F3" w:rsidP="00AF26F3">
      <w:pPr>
        <w:pStyle w:val="ListParagraph"/>
        <w:numPr>
          <w:ilvl w:val="0"/>
          <w:numId w:val="16"/>
        </w:numPr>
        <w:ind w:hanging="720"/>
        <w:rPr>
          <w:szCs w:val="24"/>
        </w:rPr>
      </w:pPr>
      <w:r w:rsidRPr="006C6CBB">
        <w:rPr>
          <w:szCs w:val="24"/>
        </w:rPr>
        <w:t xml:space="preserve">remove the requirement for </w:t>
      </w:r>
      <w:r w:rsidR="00E61C71">
        <w:rPr>
          <w:szCs w:val="24"/>
        </w:rPr>
        <w:t>European</w:t>
      </w:r>
      <w:r w:rsidR="00D720A8">
        <w:rPr>
          <w:szCs w:val="24"/>
        </w:rPr>
        <w:t>-</w:t>
      </w:r>
      <w:r w:rsidR="00BF625D">
        <w:rPr>
          <w:szCs w:val="24"/>
        </w:rPr>
        <w:t xml:space="preserve">specific </w:t>
      </w:r>
      <w:r w:rsidRPr="006C6CBB">
        <w:rPr>
          <w:szCs w:val="24"/>
        </w:rPr>
        <w:t>unique device identifiers of medical devices to be included on patient implant cards</w:t>
      </w:r>
      <w:r w:rsidR="005F71E1" w:rsidRPr="006C6CBB">
        <w:rPr>
          <w:szCs w:val="24"/>
        </w:rPr>
        <w:t xml:space="preserve"> for implantable medical devices or </w:t>
      </w:r>
      <w:r w:rsidR="005F71E1" w:rsidRPr="006C6CBB">
        <w:rPr>
          <w:szCs w:val="24"/>
        </w:rPr>
        <w:lastRenderedPageBreak/>
        <w:t>active implantable medical devices</w:t>
      </w:r>
      <w:r w:rsidRPr="006C6CBB">
        <w:rPr>
          <w:szCs w:val="24"/>
        </w:rPr>
        <w:t xml:space="preserve">, as this requirement will be postponed until the development of the Australian </w:t>
      </w:r>
      <w:r w:rsidR="00EC015F" w:rsidRPr="006C6CBB">
        <w:rPr>
          <w:szCs w:val="24"/>
        </w:rPr>
        <w:t>U</w:t>
      </w:r>
      <w:r w:rsidRPr="006C6CBB">
        <w:rPr>
          <w:szCs w:val="24"/>
        </w:rPr>
        <w:t xml:space="preserve">nique </w:t>
      </w:r>
      <w:r w:rsidR="00EC015F" w:rsidRPr="006C6CBB">
        <w:rPr>
          <w:szCs w:val="24"/>
        </w:rPr>
        <w:t>D</w:t>
      </w:r>
      <w:r w:rsidRPr="006C6CBB">
        <w:rPr>
          <w:szCs w:val="24"/>
        </w:rPr>
        <w:t xml:space="preserve">evice </w:t>
      </w:r>
      <w:r w:rsidR="00EC015F" w:rsidRPr="006C6CBB">
        <w:rPr>
          <w:szCs w:val="24"/>
        </w:rPr>
        <w:t>I</w:t>
      </w:r>
      <w:r w:rsidRPr="006C6CBB">
        <w:rPr>
          <w:szCs w:val="24"/>
        </w:rPr>
        <w:t>dentification system</w:t>
      </w:r>
      <w:r w:rsidR="00EC015F" w:rsidRPr="006C6CBB">
        <w:rPr>
          <w:szCs w:val="24"/>
        </w:rPr>
        <w:t>; and</w:t>
      </w:r>
    </w:p>
    <w:p w14:paraId="748CD7BA" w14:textId="29C0BA2E" w:rsidR="0098501B" w:rsidRPr="006C6CBB" w:rsidRDefault="00EC015F" w:rsidP="00AF26F3">
      <w:pPr>
        <w:pStyle w:val="ListParagraph"/>
        <w:numPr>
          <w:ilvl w:val="0"/>
          <w:numId w:val="16"/>
        </w:numPr>
        <w:ind w:hanging="720"/>
        <w:rPr>
          <w:szCs w:val="24"/>
        </w:rPr>
      </w:pPr>
      <w:r w:rsidRPr="006C6CBB">
        <w:rPr>
          <w:szCs w:val="24"/>
        </w:rPr>
        <w:t xml:space="preserve">clarify that medicines listed in Schedule 10 to the current Poisons Standard cannot be accessed via the Special Access Scheme – Category A pathway </w:t>
      </w:r>
      <w:r w:rsidR="00CF3E5D" w:rsidRPr="006C6CBB">
        <w:rPr>
          <w:szCs w:val="24"/>
        </w:rPr>
        <w:t xml:space="preserve">(the pathway for accessing unapproved therapeutic goods for a </w:t>
      </w:r>
      <w:r w:rsidR="00B24115">
        <w:rPr>
          <w:szCs w:val="24"/>
        </w:rPr>
        <w:t>seriously</w:t>
      </w:r>
      <w:r w:rsidR="00CF3E5D" w:rsidRPr="006C6CBB">
        <w:rPr>
          <w:szCs w:val="24"/>
        </w:rPr>
        <w:t xml:space="preserve"> ill patient) </w:t>
      </w:r>
      <w:r w:rsidRPr="006C6CBB">
        <w:rPr>
          <w:szCs w:val="24"/>
        </w:rPr>
        <w:t>as such medicines are not suitable for, and therefore prohibited from, sale, supply and use under state and territory legislation</w:t>
      </w:r>
      <w:r w:rsidR="00AF26F3" w:rsidRPr="006C6CBB">
        <w:rPr>
          <w:szCs w:val="24"/>
        </w:rPr>
        <w:t xml:space="preserve">. </w:t>
      </w:r>
    </w:p>
    <w:p w14:paraId="65F17C70" w14:textId="77777777" w:rsidR="006C125C" w:rsidRPr="006C6CBB" w:rsidRDefault="006C125C" w:rsidP="00D839E8">
      <w:pPr>
        <w:pStyle w:val="ListParagraph"/>
        <w:rPr>
          <w:szCs w:val="24"/>
        </w:rPr>
      </w:pPr>
    </w:p>
    <w:p w14:paraId="1D3E82E2" w14:textId="022FE3DC" w:rsidR="00037852" w:rsidRPr="006C6CBB" w:rsidRDefault="00037852" w:rsidP="0041338D">
      <w:pPr>
        <w:rPr>
          <w:szCs w:val="24"/>
        </w:rPr>
      </w:pPr>
    </w:p>
    <w:p w14:paraId="74670CE5" w14:textId="49D9400F" w:rsidR="0041338D" w:rsidRPr="006C6CBB" w:rsidRDefault="0041338D" w:rsidP="0041338D">
      <w:pPr>
        <w:rPr>
          <w:szCs w:val="24"/>
        </w:rPr>
      </w:pPr>
      <w:r w:rsidRPr="006C6CBB">
        <w:rPr>
          <w:szCs w:val="24"/>
        </w:rPr>
        <w:t xml:space="preserve">Details of the Regulations are set out in the </w:t>
      </w:r>
      <w:r w:rsidRPr="006C6CBB">
        <w:rPr>
          <w:szCs w:val="24"/>
          <w:u w:val="single"/>
        </w:rPr>
        <w:t>Attachment</w:t>
      </w:r>
      <w:r w:rsidRPr="006C6CBB">
        <w:rPr>
          <w:szCs w:val="24"/>
        </w:rPr>
        <w:t>.</w:t>
      </w:r>
    </w:p>
    <w:p w14:paraId="3066A168" w14:textId="77777777" w:rsidR="0041338D" w:rsidRPr="006C6CBB" w:rsidRDefault="0041338D" w:rsidP="0041338D">
      <w:pPr>
        <w:rPr>
          <w:szCs w:val="24"/>
        </w:rPr>
      </w:pPr>
    </w:p>
    <w:p w14:paraId="5583F154" w14:textId="57D28FBC" w:rsidR="00CA79E9" w:rsidRPr="006C6CBB" w:rsidRDefault="0041338D" w:rsidP="00916862">
      <w:pPr>
        <w:rPr>
          <w:szCs w:val="24"/>
        </w:rPr>
      </w:pPr>
      <w:r w:rsidRPr="006C6CBB">
        <w:rPr>
          <w:szCs w:val="24"/>
        </w:rPr>
        <w:t>The Act specifies no conditions that need to be satisfied before the power to make the Regulations may be exercised.</w:t>
      </w:r>
      <w:r w:rsidR="007E6B92" w:rsidRPr="006C6CBB">
        <w:rPr>
          <w:szCs w:val="24"/>
        </w:rPr>
        <w:t xml:space="preserve"> </w:t>
      </w:r>
      <w:r w:rsidRPr="006C6CBB">
        <w:rPr>
          <w:szCs w:val="24"/>
        </w:rPr>
        <w:t xml:space="preserve">The Regulations </w:t>
      </w:r>
      <w:r w:rsidR="00775F79">
        <w:rPr>
          <w:szCs w:val="24"/>
        </w:rPr>
        <w:t>are</w:t>
      </w:r>
      <w:r w:rsidRPr="006C6CBB">
        <w:rPr>
          <w:szCs w:val="24"/>
        </w:rPr>
        <w:t xml:space="preserve"> a legislative instrument for the purposes of the </w:t>
      </w:r>
      <w:r w:rsidRPr="006C6CBB">
        <w:rPr>
          <w:i/>
          <w:szCs w:val="24"/>
        </w:rPr>
        <w:t>Legislation</w:t>
      </w:r>
      <w:r w:rsidRPr="006C6CBB">
        <w:rPr>
          <w:szCs w:val="24"/>
        </w:rPr>
        <w:t xml:space="preserve"> </w:t>
      </w:r>
      <w:r w:rsidRPr="006C6CBB">
        <w:rPr>
          <w:i/>
          <w:szCs w:val="24"/>
        </w:rPr>
        <w:t>Act 2003</w:t>
      </w:r>
      <w:r w:rsidR="00CA79E9" w:rsidRPr="006C6CBB">
        <w:rPr>
          <w:szCs w:val="24"/>
        </w:rPr>
        <w:t>.</w:t>
      </w:r>
    </w:p>
    <w:p w14:paraId="27AFD4DE" w14:textId="77777777" w:rsidR="00CA79E9" w:rsidRPr="006C6CBB" w:rsidRDefault="00CA79E9" w:rsidP="00916862">
      <w:pPr>
        <w:rPr>
          <w:szCs w:val="24"/>
        </w:rPr>
      </w:pPr>
    </w:p>
    <w:p w14:paraId="0478D02D" w14:textId="2D51058B" w:rsidR="0041338D" w:rsidRPr="006C6CBB" w:rsidRDefault="00CA79E9" w:rsidP="00916862">
      <w:pPr>
        <w:rPr>
          <w:szCs w:val="24"/>
        </w:rPr>
      </w:pPr>
      <w:r w:rsidRPr="006C6CBB">
        <w:rPr>
          <w:szCs w:val="24"/>
        </w:rPr>
        <w:t xml:space="preserve">The Regulations </w:t>
      </w:r>
      <w:r w:rsidRPr="006C6CBB">
        <w:t xml:space="preserve">commence on the day after </w:t>
      </w:r>
      <w:r w:rsidR="007E6B92" w:rsidRPr="006C6CBB">
        <w:t>they are</w:t>
      </w:r>
      <w:r w:rsidRPr="006C6CBB">
        <w:t xml:space="preserve"> registered on the Federal Register of Legislation</w:t>
      </w:r>
      <w:r w:rsidR="003A776F" w:rsidRPr="006C6CBB">
        <w:t xml:space="preserve">, except </w:t>
      </w:r>
      <w:r w:rsidR="00EC015F" w:rsidRPr="006C6CBB">
        <w:t>Schedule 1 which commence</w:t>
      </w:r>
      <w:r w:rsidR="00775F79">
        <w:t>s</w:t>
      </w:r>
      <w:r w:rsidR="00EC015F" w:rsidRPr="006C6CBB">
        <w:t xml:space="preserve"> on </w:t>
      </w:r>
      <w:r w:rsidR="00E31BF2" w:rsidRPr="006C6CBB">
        <w:t>31 March 2022</w:t>
      </w:r>
      <w:r w:rsidR="00EC015F" w:rsidRPr="006C6CBB">
        <w:t xml:space="preserve"> and Schedule 2 which commence</w:t>
      </w:r>
      <w:r w:rsidR="00775F79">
        <w:t>s</w:t>
      </w:r>
      <w:r w:rsidR="00EC015F" w:rsidRPr="006C6CBB">
        <w:t xml:space="preserve"> the later of the day after registration and the day on which the </w:t>
      </w:r>
      <w:r w:rsidR="00EC015F" w:rsidRPr="006C6CBB">
        <w:rPr>
          <w:i/>
        </w:rPr>
        <w:t>Minamata Convention on Mercury (Consequential Amendments) Regulations 2021</w:t>
      </w:r>
      <w:r w:rsidR="00EC015F" w:rsidRPr="006C6CBB">
        <w:t xml:space="preserve"> </w:t>
      </w:r>
      <w:r w:rsidR="00614D90" w:rsidRPr="006C6CBB">
        <w:t xml:space="preserve">commence </w:t>
      </w:r>
      <w:r w:rsidR="00805BEB" w:rsidRPr="006C6CBB">
        <w:t xml:space="preserve">(provided those regulations </w:t>
      </w:r>
      <w:r w:rsidR="00614D90" w:rsidRPr="006C6CBB">
        <w:t xml:space="preserve">do </w:t>
      </w:r>
      <w:r w:rsidR="00805BEB" w:rsidRPr="006C6CBB">
        <w:t xml:space="preserve">commence). </w:t>
      </w:r>
    </w:p>
    <w:p w14:paraId="29D6F610" w14:textId="77777777" w:rsidR="0041338D" w:rsidRPr="006C6CBB" w:rsidRDefault="0041338D" w:rsidP="0041338D">
      <w:pPr>
        <w:rPr>
          <w:szCs w:val="24"/>
        </w:rPr>
      </w:pPr>
    </w:p>
    <w:p w14:paraId="5A7978DE" w14:textId="77777777" w:rsidR="00775F79" w:rsidRPr="000F104E" w:rsidRDefault="00775F79" w:rsidP="0041338D">
      <w:pPr>
        <w:rPr>
          <w:b/>
          <w:bCs/>
          <w:szCs w:val="24"/>
        </w:rPr>
      </w:pPr>
      <w:r w:rsidRPr="000F104E">
        <w:rPr>
          <w:b/>
          <w:bCs/>
          <w:szCs w:val="24"/>
        </w:rPr>
        <w:t xml:space="preserve">Consultation </w:t>
      </w:r>
    </w:p>
    <w:p w14:paraId="139BFBF4" w14:textId="77777777" w:rsidR="00775F79" w:rsidRDefault="00775F79" w:rsidP="0041338D">
      <w:pPr>
        <w:rPr>
          <w:szCs w:val="24"/>
        </w:rPr>
      </w:pPr>
    </w:p>
    <w:p w14:paraId="621D833A" w14:textId="184E7406" w:rsidR="00775F79" w:rsidRPr="006C6CBB" w:rsidRDefault="00775F79" w:rsidP="00775F79">
      <w:pPr>
        <w:rPr>
          <w:szCs w:val="24"/>
        </w:rPr>
      </w:pPr>
      <w:r w:rsidRPr="006C6CBB">
        <w:rPr>
          <w:szCs w:val="24"/>
        </w:rPr>
        <w:t xml:space="preserve">The TGA undertook public consultation on the proposed reforms to the regulation of medicinal cannabis products in Australia, including with manufacturers, other sponsors, industry professional associations, various state and territory government departments, chief pharmacists, and patient and advocate bodies. Forty-eight stakeholders provided feedback to the consultation paper, predominantly manufacturers and sponsors, as well as health industry bodies and professional societies, pharmacists and herbalists, and government organisations. There was variation in the level of support for changes relating to the extemporaneous compounding reforms, with pharmacists and their professional societies objecting to significant changes to the compounding exemptions. These amendments allow for extemporaneous compounding of medicinal cannabis products to continue where the prescriber has an approval or authority under the Act, which addresses the mains concerns raised in consultation about safe use and not limiting access to these goods. </w:t>
      </w:r>
    </w:p>
    <w:p w14:paraId="21402745" w14:textId="77777777" w:rsidR="00775F79" w:rsidRPr="006C6CBB" w:rsidRDefault="00775F79" w:rsidP="00775F79">
      <w:pPr>
        <w:rPr>
          <w:szCs w:val="24"/>
        </w:rPr>
      </w:pPr>
    </w:p>
    <w:p w14:paraId="352F401C" w14:textId="44416238" w:rsidR="00775F79" w:rsidRPr="006C6CBB" w:rsidRDefault="00775F79" w:rsidP="00775F79">
      <w:r w:rsidRPr="006C6CBB">
        <w:t xml:space="preserve">In relation to </w:t>
      </w:r>
      <w:r w:rsidR="00D720A8">
        <w:t>removing the requirement for European-</w:t>
      </w:r>
      <w:proofErr w:type="gramStart"/>
      <w:r w:rsidR="00D720A8">
        <w:t>specific</w:t>
      </w:r>
      <w:r w:rsidRPr="006C6CBB">
        <w:t xml:space="preserve">  unique</w:t>
      </w:r>
      <w:proofErr w:type="gramEnd"/>
      <w:r w:rsidRPr="006C6CBB">
        <w:t xml:space="preserve"> device identifiers on patient implant cards, discussions were held with the medical device Regulatory and Technical Consultative Forum in November 2021. Members were supportive of the proposal to postpone until the Australian Unique Device Identification system is implemented. </w:t>
      </w:r>
      <w:r w:rsidRPr="006C6CBB">
        <w:rPr>
          <w:szCs w:val="24"/>
        </w:rPr>
        <w:t xml:space="preserve">The TGA consulted with the </w:t>
      </w:r>
      <w:r w:rsidRPr="006C6CBB">
        <w:t xml:space="preserve">Department of Agriculture, </w:t>
      </w:r>
      <w:proofErr w:type="gramStart"/>
      <w:r w:rsidRPr="006C6CBB">
        <w:t>Water</w:t>
      </w:r>
      <w:proofErr w:type="gramEnd"/>
      <w:r w:rsidRPr="006C6CBB">
        <w:t xml:space="preserve"> and the Environment on review rights for decisions relating to the import and export of mercury to ensure consistency across relevant Commonwealth legislation. </w:t>
      </w:r>
    </w:p>
    <w:p w14:paraId="41F5C8CD" w14:textId="77777777" w:rsidR="00CE48AE" w:rsidRPr="006C6CBB" w:rsidRDefault="00CE48AE" w:rsidP="000C6B8D">
      <w:pPr>
        <w:spacing w:before="120"/>
      </w:pPr>
    </w:p>
    <w:p w14:paraId="0D25434E" w14:textId="0B4A4670" w:rsidR="0041338D" w:rsidRPr="00B24115" w:rsidRDefault="0041338D" w:rsidP="0041338D">
      <w:pPr>
        <w:ind w:left="5670" w:hanging="1134"/>
        <w:rPr>
          <w:i/>
          <w:szCs w:val="24"/>
        </w:rPr>
      </w:pPr>
      <w:r w:rsidRPr="006C6CBB">
        <w:rPr>
          <w:szCs w:val="24"/>
          <w:u w:val="single"/>
        </w:rPr>
        <w:t>Authority:</w:t>
      </w:r>
      <w:r w:rsidRPr="006C6CBB">
        <w:rPr>
          <w:szCs w:val="24"/>
        </w:rPr>
        <w:t xml:space="preserve"> </w:t>
      </w:r>
      <w:r w:rsidRPr="006C6CBB">
        <w:rPr>
          <w:szCs w:val="24"/>
        </w:rPr>
        <w:tab/>
        <w:t xml:space="preserve">Subsection 63(1) of the </w:t>
      </w:r>
      <w:r w:rsidRPr="006C6CBB">
        <w:rPr>
          <w:i/>
          <w:szCs w:val="24"/>
        </w:rPr>
        <w:t>Therapeutic Goods Act 1989</w:t>
      </w:r>
      <w:r w:rsidR="00CF3E5D" w:rsidRPr="006C6CBB">
        <w:rPr>
          <w:i/>
          <w:szCs w:val="24"/>
        </w:rPr>
        <w:t xml:space="preserve"> </w:t>
      </w:r>
      <w:r w:rsidR="00CF3E5D" w:rsidRPr="006C6CBB">
        <w:rPr>
          <w:iCs/>
          <w:szCs w:val="24"/>
        </w:rPr>
        <w:t xml:space="preserve">and subsection 27(1) of the </w:t>
      </w:r>
      <w:r w:rsidR="00CF3E5D" w:rsidRPr="006C6CBB">
        <w:rPr>
          <w:i/>
          <w:szCs w:val="24"/>
        </w:rPr>
        <w:t>Narcotic Drugs Act 1967</w:t>
      </w:r>
    </w:p>
    <w:p w14:paraId="6993D137" w14:textId="77777777" w:rsidR="0041338D" w:rsidRPr="006C6CBB" w:rsidRDefault="0041338D" w:rsidP="0041338D">
      <w:pPr>
        <w:ind w:left="5670" w:hanging="1134"/>
        <w:rPr>
          <w:szCs w:val="24"/>
        </w:rPr>
        <w:sectPr w:rsidR="0041338D" w:rsidRPr="006C6CBB" w:rsidSect="008D4C93">
          <w:footerReference w:type="default" r:id="rId8"/>
          <w:footerReference w:type="first" r:id="rId9"/>
          <w:pgSz w:w="11906" w:h="16838" w:code="9"/>
          <w:pgMar w:top="993" w:right="1440" w:bottom="1304" w:left="1440" w:header="426" w:footer="709" w:gutter="0"/>
          <w:cols w:space="708"/>
          <w:titlePg/>
          <w:docGrid w:linePitch="360"/>
        </w:sectPr>
      </w:pPr>
    </w:p>
    <w:p w14:paraId="66CE0890" w14:textId="77777777" w:rsidR="0041338D" w:rsidRPr="006C6CBB" w:rsidRDefault="0041338D" w:rsidP="0041338D">
      <w:pPr>
        <w:ind w:left="6237" w:firstLine="3"/>
        <w:jc w:val="right"/>
        <w:rPr>
          <w:b/>
          <w:szCs w:val="24"/>
          <w:u w:val="single"/>
        </w:rPr>
      </w:pPr>
      <w:r w:rsidRPr="006C6CBB">
        <w:rPr>
          <w:b/>
          <w:szCs w:val="24"/>
          <w:u w:val="single"/>
        </w:rPr>
        <w:lastRenderedPageBreak/>
        <w:t>ATTACHMENT</w:t>
      </w:r>
    </w:p>
    <w:p w14:paraId="092B7780" w14:textId="77777777" w:rsidR="0041338D" w:rsidRPr="006C6CBB" w:rsidRDefault="0041338D" w:rsidP="0041338D">
      <w:pPr>
        <w:ind w:firstLine="3"/>
        <w:rPr>
          <w:b/>
          <w:szCs w:val="24"/>
        </w:rPr>
      </w:pPr>
    </w:p>
    <w:p w14:paraId="5D64F6BA" w14:textId="77777777" w:rsidR="005F1741" w:rsidRPr="006C6CBB" w:rsidRDefault="005F1741" w:rsidP="00327A28">
      <w:pPr>
        <w:ind w:firstLine="3"/>
        <w:rPr>
          <w:b/>
          <w:szCs w:val="24"/>
          <w:u w:val="single"/>
        </w:rPr>
      </w:pPr>
    </w:p>
    <w:p w14:paraId="63940E4A" w14:textId="4A86D531" w:rsidR="00327A28" w:rsidRPr="006C6CBB" w:rsidRDefault="00327A28" w:rsidP="00327A28">
      <w:pPr>
        <w:ind w:firstLine="3"/>
        <w:rPr>
          <w:b/>
          <w:i/>
          <w:caps/>
          <w:szCs w:val="24"/>
          <w:u w:val="single"/>
        </w:rPr>
      </w:pPr>
      <w:r w:rsidRPr="006C6CBB">
        <w:rPr>
          <w:b/>
          <w:szCs w:val="24"/>
          <w:u w:val="single"/>
        </w:rPr>
        <w:t>Details of the</w:t>
      </w:r>
      <w:r w:rsidR="00DA05A8" w:rsidRPr="006C6CBB">
        <w:rPr>
          <w:b/>
          <w:szCs w:val="24"/>
          <w:u w:val="single"/>
        </w:rPr>
        <w:t xml:space="preserve"> </w:t>
      </w:r>
      <w:r w:rsidRPr="006C6CBB">
        <w:rPr>
          <w:b/>
          <w:i/>
          <w:szCs w:val="24"/>
          <w:u w:val="single"/>
        </w:rPr>
        <w:t xml:space="preserve">Therapeutic Goods </w:t>
      </w:r>
      <w:r w:rsidR="00313E21" w:rsidRPr="006C6CBB">
        <w:rPr>
          <w:b/>
          <w:i/>
          <w:szCs w:val="24"/>
          <w:u w:val="single"/>
        </w:rPr>
        <w:t>Legislati</w:t>
      </w:r>
      <w:r w:rsidR="002A5B62" w:rsidRPr="006C6CBB">
        <w:rPr>
          <w:b/>
          <w:i/>
          <w:szCs w:val="24"/>
          <w:u w:val="single"/>
        </w:rPr>
        <w:t>on Amendment (202</w:t>
      </w:r>
      <w:r w:rsidR="00805BEB" w:rsidRPr="006C6CBB">
        <w:rPr>
          <w:b/>
          <w:i/>
          <w:szCs w:val="24"/>
          <w:u w:val="single"/>
        </w:rPr>
        <w:t>2</w:t>
      </w:r>
      <w:r w:rsidR="002A5B62" w:rsidRPr="006C6CBB">
        <w:rPr>
          <w:b/>
          <w:i/>
          <w:szCs w:val="24"/>
          <w:u w:val="single"/>
        </w:rPr>
        <w:t xml:space="preserve"> Measures No. </w:t>
      </w:r>
      <w:r w:rsidR="00805BEB" w:rsidRPr="006C6CBB">
        <w:rPr>
          <w:b/>
          <w:i/>
          <w:szCs w:val="24"/>
          <w:u w:val="single"/>
        </w:rPr>
        <w:t>1</w:t>
      </w:r>
      <w:r w:rsidR="00313E21" w:rsidRPr="006C6CBB">
        <w:rPr>
          <w:b/>
          <w:i/>
          <w:szCs w:val="24"/>
          <w:u w:val="single"/>
        </w:rPr>
        <w:t>) Regulations 202</w:t>
      </w:r>
      <w:r w:rsidR="00805BEB" w:rsidRPr="006C6CBB">
        <w:rPr>
          <w:b/>
          <w:i/>
          <w:szCs w:val="24"/>
          <w:u w:val="single"/>
        </w:rPr>
        <w:t>2</w:t>
      </w:r>
    </w:p>
    <w:p w14:paraId="41F50DD7" w14:textId="77777777" w:rsidR="00327A28" w:rsidRPr="00B24115" w:rsidRDefault="00327A28" w:rsidP="00327A28">
      <w:pPr>
        <w:ind w:firstLine="3"/>
        <w:rPr>
          <w:b/>
          <w:szCs w:val="24"/>
        </w:rPr>
      </w:pPr>
    </w:p>
    <w:p w14:paraId="7120CC97" w14:textId="56048F88" w:rsidR="00327A28" w:rsidRPr="006C6CBB" w:rsidRDefault="00327A28" w:rsidP="00327A28">
      <w:pPr>
        <w:ind w:firstLine="3"/>
        <w:rPr>
          <w:szCs w:val="24"/>
          <w:u w:val="single"/>
        </w:rPr>
      </w:pPr>
      <w:r w:rsidRPr="006C6CBB">
        <w:rPr>
          <w:szCs w:val="24"/>
          <w:u w:val="single"/>
        </w:rPr>
        <w:t>Section 1 – Name</w:t>
      </w:r>
    </w:p>
    <w:p w14:paraId="1255B4BE" w14:textId="77777777" w:rsidR="00C82355" w:rsidRPr="006C6CBB" w:rsidRDefault="00C82355" w:rsidP="00327A28">
      <w:pPr>
        <w:ind w:firstLine="3"/>
        <w:rPr>
          <w:szCs w:val="24"/>
        </w:rPr>
      </w:pPr>
    </w:p>
    <w:p w14:paraId="7D03A879" w14:textId="31AD9FC1" w:rsidR="00327A28" w:rsidRPr="006C6CBB" w:rsidRDefault="00327A28" w:rsidP="00327A28">
      <w:pPr>
        <w:ind w:firstLine="3"/>
        <w:rPr>
          <w:szCs w:val="24"/>
        </w:rPr>
      </w:pPr>
      <w:r w:rsidRPr="006C6CBB">
        <w:rPr>
          <w:szCs w:val="24"/>
        </w:rPr>
        <w:t>This section provide</w:t>
      </w:r>
      <w:r w:rsidR="00775F79">
        <w:rPr>
          <w:szCs w:val="24"/>
        </w:rPr>
        <w:t>s</w:t>
      </w:r>
      <w:r w:rsidRPr="006C6CBB">
        <w:rPr>
          <w:szCs w:val="24"/>
        </w:rPr>
        <w:t xml:space="preserve"> </w:t>
      </w:r>
      <w:r w:rsidR="00590099" w:rsidRPr="006C6CBB">
        <w:rPr>
          <w:szCs w:val="24"/>
        </w:rPr>
        <w:t xml:space="preserve">that </w:t>
      </w:r>
      <w:r w:rsidRPr="006C6CBB">
        <w:rPr>
          <w:szCs w:val="24"/>
        </w:rPr>
        <w:t xml:space="preserve">the </w:t>
      </w:r>
      <w:r w:rsidR="00D13E53" w:rsidRPr="006C6CBB">
        <w:rPr>
          <w:szCs w:val="24"/>
        </w:rPr>
        <w:t xml:space="preserve">title </w:t>
      </w:r>
      <w:r w:rsidR="00590099" w:rsidRPr="006C6CBB">
        <w:rPr>
          <w:szCs w:val="24"/>
        </w:rPr>
        <w:t xml:space="preserve">of the </w:t>
      </w:r>
      <w:r w:rsidRPr="006C6CBB">
        <w:rPr>
          <w:szCs w:val="24"/>
        </w:rPr>
        <w:t xml:space="preserve">Regulations </w:t>
      </w:r>
      <w:r w:rsidR="00590099" w:rsidRPr="006C6CBB">
        <w:rPr>
          <w:szCs w:val="24"/>
        </w:rPr>
        <w:t>i</w:t>
      </w:r>
      <w:r w:rsidR="00D13E53" w:rsidRPr="006C6CBB">
        <w:rPr>
          <w:szCs w:val="24"/>
        </w:rPr>
        <w:t xml:space="preserve">s </w:t>
      </w:r>
      <w:r w:rsidRPr="006C6CBB">
        <w:rPr>
          <w:szCs w:val="24"/>
        </w:rPr>
        <w:t xml:space="preserve">the </w:t>
      </w:r>
      <w:r w:rsidRPr="006C6CBB">
        <w:rPr>
          <w:i/>
          <w:szCs w:val="24"/>
        </w:rPr>
        <w:t xml:space="preserve">Therapeutic Goods </w:t>
      </w:r>
      <w:r w:rsidR="00313E21" w:rsidRPr="006C6CBB">
        <w:rPr>
          <w:i/>
          <w:szCs w:val="24"/>
        </w:rPr>
        <w:t>Legislatio</w:t>
      </w:r>
      <w:r w:rsidR="00BF0DB3" w:rsidRPr="006C6CBB">
        <w:rPr>
          <w:i/>
          <w:szCs w:val="24"/>
        </w:rPr>
        <w:t>n Amendment (202</w:t>
      </w:r>
      <w:r w:rsidR="00805BEB" w:rsidRPr="006C6CBB">
        <w:rPr>
          <w:i/>
          <w:szCs w:val="24"/>
        </w:rPr>
        <w:t>2</w:t>
      </w:r>
      <w:r w:rsidR="00BF0DB3" w:rsidRPr="006C6CBB">
        <w:rPr>
          <w:i/>
          <w:szCs w:val="24"/>
        </w:rPr>
        <w:t xml:space="preserve"> Measures No. </w:t>
      </w:r>
      <w:r w:rsidR="00805BEB" w:rsidRPr="006C6CBB">
        <w:rPr>
          <w:i/>
          <w:szCs w:val="24"/>
        </w:rPr>
        <w:t>1</w:t>
      </w:r>
      <w:r w:rsidR="00313E21" w:rsidRPr="006C6CBB">
        <w:rPr>
          <w:i/>
          <w:szCs w:val="24"/>
        </w:rPr>
        <w:t>)</w:t>
      </w:r>
      <w:r w:rsidR="001512CA" w:rsidRPr="006C6CBB">
        <w:rPr>
          <w:i/>
          <w:szCs w:val="24"/>
        </w:rPr>
        <w:t xml:space="preserve"> Regulations</w:t>
      </w:r>
      <w:r w:rsidR="00313E21" w:rsidRPr="006C6CBB">
        <w:rPr>
          <w:i/>
          <w:szCs w:val="24"/>
        </w:rPr>
        <w:t xml:space="preserve"> 202</w:t>
      </w:r>
      <w:r w:rsidR="00805BEB" w:rsidRPr="006C6CBB">
        <w:rPr>
          <w:i/>
          <w:szCs w:val="24"/>
        </w:rPr>
        <w:t>2</w:t>
      </w:r>
      <w:r w:rsidRPr="006C6CBB">
        <w:rPr>
          <w:i/>
          <w:szCs w:val="24"/>
        </w:rPr>
        <w:t>.</w:t>
      </w:r>
    </w:p>
    <w:p w14:paraId="106326CA" w14:textId="77777777" w:rsidR="00327A28" w:rsidRPr="006C6CBB" w:rsidRDefault="00327A28" w:rsidP="00327A28">
      <w:pPr>
        <w:ind w:firstLine="3"/>
        <w:rPr>
          <w:szCs w:val="24"/>
        </w:rPr>
      </w:pPr>
    </w:p>
    <w:p w14:paraId="46D3DE89" w14:textId="77777777" w:rsidR="00327A28" w:rsidRPr="006C6CBB" w:rsidRDefault="00327A28" w:rsidP="00327A28">
      <w:pPr>
        <w:ind w:firstLine="3"/>
        <w:rPr>
          <w:szCs w:val="24"/>
          <w:u w:val="single"/>
        </w:rPr>
      </w:pPr>
      <w:r w:rsidRPr="006C6CBB">
        <w:rPr>
          <w:szCs w:val="24"/>
          <w:u w:val="single"/>
        </w:rPr>
        <w:t>Section 2 – Commencement</w:t>
      </w:r>
    </w:p>
    <w:p w14:paraId="490D0EBA" w14:textId="4015E858" w:rsidR="00C82355" w:rsidRPr="006C6CBB" w:rsidRDefault="00C82355" w:rsidP="00327A28">
      <w:pPr>
        <w:ind w:firstLine="3"/>
        <w:rPr>
          <w:b/>
          <w:szCs w:val="24"/>
        </w:rPr>
      </w:pPr>
    </w:p>
    <w:p w14:paraId="7532FDF8" w14:textId="37780C4A" w:rsidR="00327A28" w:rsidRPr="006C6CBB" w:rsidRDefault="00327A28" w:rsidP="00805BEB">
      <w:r w:rsidRPr="006C6CBB">
        <w:rPr>
          <w:szCs w:val="24"/>
        </w:rPr>
        <w:t>This section provide</w:t>
      </w:r>
      <w:r w:rsidR="00775F79">
        <w:rPr>
          <w:szCs w:val="24"/>
        </w:rPr>
        <w:t>s</w:t>
      </w:r>
      <w:r w:rsidRPr="006C6CBB">
        <w:rPr>
          <w:szCs w:val="24"/>
        </w:rPr>
        <w:t xml:space="preserve"> for the </w:t>
      </w:r>
      <w:r w:rsidR="001578B2" w:rsidRPr="006C6CBB">
        <w:rPr>
          <w:szCs w:val="24"/>
        </w:rPr>
        <w:t xml:space="preserve">Regulations to </w:t>
      </w:r>
      <w:r w:rsidRPr="006C6CBB">
        <w:rPr>
          <w:szCs w:val="24"/>
        </w:rPr>
        <w:t xml:space="preserve">commence </w:t>
      </w:r>
      <w:r w:rsidR="00BF0DB3" w:rsidRPr="006C6CBB">
        <w:rPr>
          <w:szCs w:val="24"/>
        </w:rPr>
        <w:t xml:space="preserve">on the day after </w:t>
      </w:r>
      <w:r w:rsidR="0009133D" w:rsidRPr="006C6CBB">
        <w:rPr>
          <w:szCs w:val="24"/>
        </w:rPr>
        <w:t xml:space="preserve">registration </w:t>
      </w:r>
      <w:r w:rsidR="001578B2" w:rsidRPr="006C6CBB">
        <w:rPr>
          <w:szCs w:val="24"/>
        </w:rPr>
        <w:t>on the Federal Register of Legislation</w:t>
      </w:r>
      <w:r w:rsidR="00D946B9" w:rsidRPr="006C6CBB">
        <w:rPr>
          <w:szCs w:val="24"/>
        </w:rPr>
        <w:t xml:space="preserve">, except </w:t>
      </w:r>
      <w:r w:rsidR="00805BEB" w:rsidRPr="006C6CBB">
        <w:t>Schedule 1 which commence</w:t>
      </w:r>
      <w:r w:rsidR="00775F79">
        <w:t>s</w:t>
      </w:r>
      <w:r w:rsidR="00805BEB" w:rsidRPr="006C6CBB">
        <w:t xml:space="preserve"> on </w:t>
      </w:r>
      <w:r w:rsidR="00E31BF2" w:rsidRPr="006C6CBB">
        <w:t>31 March 2022</w:t>
      </w:r>
      <w:r w:rsidR="00805BEB" w:rsidRPr="006C6CBB">
        <w:t xml:space="preserve"> and Schedule 2 which commence</w:t>
      </w:r>
      <w:r w:rsidR="00775F79">
        <w:t>s</w:t>
      </w:r>
      <w:r w:rsidR="00805BEB" w:rsidRPr="006C6CBB">
        <w:t xml:space="preserve"> the later of the day after registration and the day on which the </w:t>
      </w:r>
      <w:r w:rsidR="00805BEB" w:rsidRPr="006C6CBB">
        <w:rPr>
          <w:i/>
        </w:rPr>
        <w:t>Minamata Convention on Mercury (Consequential Amendments) Regulations 2021</w:t>
      </w:r>
      <w:r w:rsidR="00805BEB" w:rsidRPr="006C6CBB">
        <w:t xml:space="preserve"> </w:t>
      </w:r>
      <w:r w:rsidR="00614D90" w:rsidRPr="006C6CBB">
        <w:t xml:space="preserve">commence </w:t>
      </w:r>
      <w:r w:rsidR="00805BEB" w:rsidRPr="006C6CBB">
        <w:t xml:space="preserve">(provided those regulations </w:t>
      </w:r>
      <w:r w:rsidR="00614D90" w:rsidRPr="006C6CBB">
        <w:t xml:space="preserve">do </w:t>
      </w:r>
      <w:r w:rsidR="00805BEB" w:rsidRPr="006C6CBB">
        <w:t>commence).</w:t>
      </w:r>
    </w:p>
    <w:p w14:paraId="64C95A79" w14:textId="77777777" w:rsidR="00805BEB" w:rsidRPr="006C6CBB" w:rsidRDefault="00805BEB" w:rsidP="00805BEB">
      <w:pPr>
        <w:rPr>
          <w:szCs w:val="24"/>
        </w:rPr>
      </w:pPr>
    </w:p>
    <w:p w14:paraId="404604E9" w14:textId="77777777" w:rsidR="00327A28" w:rsidRPr="006C6CBB" w:rsidRDefault="00327A28" w:rsidP="009D47AE">
      <w:pPr>
        <w:ind w:firstLine="3"/>
        <w:rPr>
          <w:szCs w:val="24"/>
          <w:u w:val="single"/>
        </w:rPr>
      </w:pPr>
      <w:r w:rsidRPr="006C6CBB">
        <w:rPr>
          <w:szCs w:val="24"/>
          <w:u w:val="single"/>
        </w:rPr>
        <w:t xml:space="preserve">Section 3 – Authority </w:t>
      </w:r>
    </w:p>
    <w:p w14:paraId="5937352F" w14:textId="77777777" w:rsidR="00C82355" w:rsidRPr="006C6CBB" w:rsidRDefault="00C82355" w:rsidP="009D47AE">
      <w:pPr>
        <w:ind w:firstLine="3"/>
        <w:rPr>
          <w:szCs w:val="24"/>
          <w:u w:val="single"/>
        </w:rPr>
      </w:pPr>
    </w:p>
    <w:p w14:paraId="36004469" w14:textId="7D955F2E" w:rsidR="00327A28" w:rsidRPr="006C6CBB" w:rsidRDefault="001578B2" w:rsidP="009D47AE">
      <w:pPr>
        <w:ind w:firstLine="3"/>
        <w:rPr>
          <w:szCs w:val="24"/>
        </w:rPr>
      </w:pPr>
      <w:r w:rsidRPr="006C6CBB">
        <w:rPr>
          <w:szCs w:val="24"/>
        </w:rPr>
        <w:t>T</w:t>
      </w:r>
      <w:r w:rsidR="00327A28" w:rsidRPr="006C6CBB">
        <w:rPr>
          <w:szCs w:val="24"/>
        </w:rPr>
        <w:t xml:space="preserve">he Regulations </w:t>
      </w:r>
      <w:r w:rsidR="00775F79">
        <w:rPr>
          <w:szCs w:val="24"/>
        </w:rPr>
        <w:t>are</w:t>
      </w:r>
      <w:r w:rsidRPr="006C6CBB">
        <w:rPr>
          <w:szCs w:val="24"/>
        </w:rPr>
        <w:t xml:space="preserve"> </w:t>
      </w:r>
      <w:r w:rsidR="00327A28" w:rsidRPr="006C6CBB">
        <w:rPr>
          <w:szCs w:val="24"/>
        </w:rPr>
        <w:t xml:space="preserve">made under the </w:t>
      </w:r>
      <w:r w:rsidR="00327A28" w:rsidRPr="006C6CBB">
        <w:rPr>
          <w:i/>
          <w:szCs w:val="24"/>
        </w:rPr>
        <w:t xml:space="preserve">Therapeutic Goods Act 1989 </w:t>
      </w:r>
      <w:r w:rsidR="00327A28" w:rsidRPr="006C6CBB">
        <w:rPr>
          <w:szCs w:val="24"/>
        </w:rPr>
        <w:t>(the Act).</w:t>
      </w:r>
    </w:p>
    <w:p w14:paraId="434D3F0B" w14:textId="77777777" w:rsidR="00327A28" w:rsidRPr="006C6CBB" w:rsidRDefault="00327A28" w:rsidP="009D47AE">
      <w:pPr>
        <w:ind w:firstLine="3"/>
        <w:rPr>
          <w:szCs w:val="24"/>
          <w:u w:val="single"/>
        </w:rPr>
      </w:pPr>
    </w:p>
    <w:p w14:paraId="05786D1B" w14:textId="77777777" w:rsidR="00327A28" w:rsidRPr="006C6CBB" w:rsidRDefault="00327A28" w:rsidP="009D47AE">
      <w:pPr>
        <w:pStyle w:val="Heading1"/>
        <w:rPr>
          <w:b w:val="0"/>
          <w:szCs w:val="24"/>
          <w:u w:val="single"/>
        </w:rPr>
      </w:pPr>
      <w:r w:rsidRPr="006C6CBB">
        <w:rPr>
          <w:b w:val="0"/>
          <w:szCs w:val="24"/>
          <w:u w:val="single"/>
        </w:rPr>
        <w:t>Section 4 – Schedules</w:t>
      </w:r>
    </w:p>
    <w:p w14:paraId="77FE4BB1" w14:textId="77777777" w:rsidR="00C82355" w:rsidRPr="006C6CBB" w:rsidRDefault="00C82355" w:rsidP="009D47AE">
      <w:pPr>
        <w:rPr>
          <w:b/>
        </w:rPr>
      </w:pPr>
    </w:p>
    <w:p w14:paraId="509EF2C2" w14:textId="6671569A" w:rsidR="00CD63D7" w:rsidRPr="006C6CBB" w:rsidRDefault="001578B2" w:rsidP="009D47AE">
      <w:pPr>
        <w:rPr>
          <w:szCs w:val="24"/>
        </w:rPr>
      </w:pPr>
      <w:r w:rsidRPr="006C6CBB">
        <w:rPr>
          <w:szCs w:val="24"/>
        </w:rPr>
        <w:t>This section give</w:t>
      </w:r>
      <w:r w:rsidR="00775F79">
        <w:rPr>
          <w:szCs w:val="24"/>
        </w:rPr>
        <w:t>s</w:t>
      </w:r>
      <w:r w:rsidRPr="006C6CBB">
        <w:rPr>
          <w:szCs w:val="24"/>
        </w:rPr>
        <w:t xml:space="preserve"> legal effect to the amendments in the Schedules. </w:t>
      </w:r>
    </w:p>
    <w:p w14:paraId="46D9BA35" w14:textId="77777777" w:rsidR="009D47AE" w:rsidRPr="006C6CBB" w:rsidRDefault="009D47AE" w:rsidP="009D47AE">
      <w:pPr>
        <w:rPr>
          <w:szCs w:val="24"/>
        </w:rPr>
      </w:pPr>
    </w:p>
    <w:p w14:paraId="64AE316A" w14:textId="77777777" w:rsidR="009D47AE" w:rsidRPr="006C6CBB" w:rsidRDefault="009D47AE" w:rsidP="009D47AE">
      <w:pPr>
        <w:rPr>
          <w:u w:val="single"/>
        </w:rPr>
      </w:pPr>
    </w:p>
    <w:p w14:paraId="75221EF4" w14:textId="6259B996" w:rsidR="00327A28" w:rsidRPr="006C6CBB" w:rsidRDefault="00CD63D7" w:rsidP="008C2D89">
      <w:pPr>
        <w:keepNext/>
        <w:keepLines/>
        <w:rPr>
          <w:u w:val="single"/>
        </w:rPr>
      </w:pPr>
      <w:r w:rsidRPr="006C6CBB">
        <w:rPr>
          <w:u w:val="single"/>
        </w:rPr>
        <w:t>Schedule</w:t>
      </w:r>
      <w:r w:rsidR="00327A28" w:rsidRPr="006C6CBB">
        <w:rPr>
          <w:u w:val="single"/>
        </w:rPr>
        <w:t xml:space="preserve"> 1 – </w:t>
      </w:r>
      <w:r w:rsidR="00805BEB" w:rsidRPr="006C6CBB">
        <w:rPr>
          <w:u w:val="single"/>
        </w:rPr>
        <w:t>Extemporaneously</w:t>
      </w:r>
      <w:r w:rsidR="00DF008C" w:rsidRPr="006C6CBB">
        <w:rPr>
          <w:u w:val="single"/>
        </w:rPr>
        <w:t>-</w:t>
      </w:r>
      <w:r w:rsidR="00805BEB" w:rsidRPr="006C6CBB">
        <w:rPr>
          <w:u w:val="single"/>
        </w:rPr>
        <w:t>compounded medicinal cannabis products</w:t>
      </w:r>
    </w:p>
    <w:p w14:paraId="63F17C0F" w14:textId="19C1E9DD" w:rsidR="00BF27FE" w:rsidRPr="006C6CBB" w:rsidRDefault="00E13524" w:rsidP="008C2D89">
      <w:pPr>
        <w:keepNext/>
        <w:keepLines/>
        <w:rPr>
          <w:b/>
          <w:i/>
        </w:rPr>
      </w:pPr>
      <w:r w:rsidRPr="006C6CBB">
        <w:rPr>
          <w:bCs/>
          <w:iCs/>
        </w:rPr>
        <w:br/>
      </w:r>
      <w:r w:rsidR="00805BEB" w:rsidRPr="006C6CBB">
        <w:rPr>
          <w:b/>
          <w:i/>
        </w:rPr>
        <w:t>Narcotic Drugs Regulation 2016</w:t>
      </w:r>
    </w:p>
    <w:p w14:paraId="14DC4F9F" w14:textId="300B30B2" w:rsidR="00BF27FE" w:rsidRPr="006C6CBB" w:rsidRDefault="00BF27FE" w:rsidP="008C2D89">
      <w:pPr>
        <w:keepNext/>
        <w:keepLines/>
        <w:rPr>
          <w:bCs/>
          <w:iCs/>
        </w:rPr>
      </w:pPr>
    </w:p>
    <w:p w14:paraId="1ED95699" w14:textId="0B502567" w:rsidR="002E0D45" w:rsidRPr="006C6CBB" w:rsidRDefault="002E0D45" w:rsidP="002E0D45">
      <w:pPr>
        <w:keepNext/>
        <w:keepLines/>
        <w:rPr>
          <w:b/>
          <w:iCs/>
        </w:rPr>
      </w:pPr>
      <w:r w:rsidRPr="006C6CBB">
        <w:rPr>
          <w:b/>
          <w:iCs/>
        </w:rPr>
        <w:t>Item</w:t>
      </w:r>
      <w:r w:rsidR="00805BEB" w:rsidRPr="006C6CBB">
        <w:rPr>
          <w:b/>
          <w:iCs/>
        </w:rPr>
        <w:t>s</w:t>
      </w:r>
      <w:r w:rsidRPr="006C6CBB">
        <w:rPr>
          <w:b/>
          <w:iCs/>
        </w:rPr>
        <w:t xml:space="preserve"> [1] </w:t>
      </w:r>
      <w:r w:rsidR="00805BEB" w:rsidRPr="006C6CBB">
        <w:rPr>
          <w:b/>
          <w:iCs/>
        </w:rPr>
        <w:t>and [2]</w:t>
      </w:r>
      <w:r w:rsidRPr="006C6CBB">
        <w:rPr>
          <w:b/>
          <w:iCs/>
        </w:rPr>
        <w:t xml:space="preserve">– </w:t>
      </w:r>
      <w:r w:rsidR="00805BEB" w:rsidRPr="006C6CBB">
        <w:rPr>
          <w:b/>
          <w:iCs/>
        </w:rPr>
        <w:t>After paragraph 4B(b) and after paragraph 11(c)</w:t>
      </w:r>
    </w:p>
    <w:p w14:paraId="0A7D2CC3" w14:textId="1394B456" w:rsidR="00805BEB" w:rsidRPr="006C6CBB" w:rsidRDefault="002E0D45" w:rsidP="002E0D45">
      <w:pPr>
        <w:rPr>
          <w:bCs/>
          <w:iCs/>
        </w:rPr>
      </w:pPr>
      <w:r w:rsidRPr="006C6CBB">
        <w:rPr>
          <w:bCs/>
          <w:iCs/>
        </w:rPr>
        <w:t>Th</w:t>
      </w:r>
      <w:r w:rsidR="00805BEB" w:rsidRPr="006C6CBB">
        <w:rPr>
          <w:bCs/>
          <w:iCs/>
        </w:rPr>
        <w:t xml:space="preserve">ese items amend regulation 4B and regulation 11 to introduce new paragraphs (b) and (c) respectively. </w:t>
      </w:r>
      <w:r w:rsidR="00C31F3B" w:rsidRPr="006C6CBB">
        <w:rPr>
          <w:bCs/>
          <w:iCs/>
        </w:rPr>
        <w:t>These amendments allow the domestic medi</w:t>
      </w:r>
      <w:r w:rsidR="008705B3" w:rsidRPr="006C6CBB">
        <w:rPr>
          <w:bCs/>
          <w:iCs/>
        </w:rPr>
        <w:t>cinal</w:t>
      </w:r>
      <w:r w:rsidR="00C31F3B" w:rsidRPr="006C6CBB">
        <w:rPr>
          <w:bCs/>
          <w:iCs/>
        </w:rPr>
        <w:t xml:space="preserve"> cannabis industry to supply </w:t>
      </w:r>
      <w:r w:rsidR="00614D90" w:rsidRPr="006C6CBB">
        <w:rPr>
          <w:bCs/>
          <w:iCs/>
        </w:rPr>
        <w:t>cannabis drugs</w:t>
      </w:r>
      <w:r w:rsidR="00C31F3B" w:rsidRPr="006C6CBB">
        <w:rPr>
          <w:bCs/>
          <w:iCs/>
        </w:rPr>
        <w:t xml:space="preserve"> for the extemporaneous compounding of medicinal cannabis products. </w:t>
      </w:r>
    </w:p>
    <w:p w14:paraId="4D331102" w14:textId="3B2050B8" w:rsidR="00C31F3B" w:rsidRPr="006C6CBB" w:rsidRDefault="00C31F3B" w:rsidP="002E0D45">
      <w:pPr>
        <w:rPr>
          <w:bCs/>
          <w:iCs/>
        </w:rPr>
      </w:pPr>
    </w:p>
    <w:p w14:paraId="61C57843" w14:textId="27319446" w:rsidR="00C31F3B" w:rsidRPr="006C6CBB" w:rsidRDefault="00C31F3B" w:rsidP="002E0D45">
      <w:pPr>
        <w:rPr>
          <w:bCs/>
          <w:iCs/>
        </w:rPr>
      </w:pPr>
      <w:r w:rsidRPr="006C6CBB">
        <w:rPr>
          <w:bCs/>
          <w:iCs/>
        </w:rPr>
        <w:t xml:space="preserve">Currently, supply of domestic medicinal cannabis is prohibited for extemporaneous compounding due to the risk of misuse. </w:t>
      </w:r>
      <w:r w:rsidR="008705B3" w:rsidRPr="006C6CBB">
        <w:rPr>
          <w:bCs/>
          <w:iCs/>
        </w:rPr>
        <w:t xml:space="preserve">Almost all </w:t>
      </w:r>
      <w:proofErr w:type="gramStart"/>
      <w:r w:rsidR="008705B3" w:rsidRPr="006C6CBB">
        <w:rPr>
          <w:bCs/>
          <w:iCs/>
        </w:rPr>
        <w:t>extemporaneously</w:t>
      </w:r>
      <w:r w:rsidR="004C0E6A" w:rsidRPr="006C6CBB">
        <w:rPr>
          <w:bCs/>
          <w:iCs/>
        </w:rPr>
        <w:t>-</w:t>
      </w:r>
      <w:r w:rsidR="008705B3" w:rsidRPr="006C6CBB">
        <w:rPr>
          <w:bCs/>
          <w:iCs/>
        </w:rPr>
        <w:t>compounded</w:t>
      </w:r>
      <w:proofErr w:type="gramEnd"/>
      <w:r w:rsidR="008705B3" w:rsidRPr="006C6CBB">
        <w:rPr>
          <w:bCs/>
          <w:iCs/>
        </w:rPr>
        <w:t xml:space="preserve"> medicinal cannabis products are made from imported medicinal cannabis starting material. </w:t>
      </w:r>
      <w:r w:rsidRPr="006C6CBB">
        <w:rPr>
          <w:bCs/>
          <w:iCs/>
        </w:rPr>
        <w:t xml:space="preserve">However, other amendments in this Schedule to increase regulatory oversight of the extemporaneous compounding of medicinal cannabis products </w:t>
      </w:r>
      <w:r w:rsidR="008705B3" w:rsidRPr="006C6CBB">
        <w:rPr>
          <w:bCs/>
          <w:iCs/>
        </w:rPr>
        <w:t xml:space="preserve">are intended to support the safe supply of medicinal cannabis products and supports </w:t>
      </w:r>
      <w:r w:rsidRPr="006C6CBB">
        <w:rPr>
          <w:bCs/>
          <w:iCs/>
        </w:rPr>
        <w:t xml:space="preserve">enabling the domestic medical cannabis industry to supply medicinal cannabis for extemporaneous compounding. </w:t>
      </w:r>
      <w:r w:rsidR="00A10755" w:rsidRPr="006C6CBB">
        <w:rPr>
          <w:bCs/>
          <w:iCs/>
        </w:rPr>
        <w:t xml:space="preserve">This measure </w:t>
      </w:r>
      <w:r w:rsidR="008705B3" w:rsidRPr="006C6CBB">
        <w:rPr>
          <w:bCs/>
          <w:iCs/>
        </w:rPr>
        <w:t xml:space="preserve">has the effect of supporting the domestic medicinal cannabis industry by providing a level playing field for domestic and imported medicinal cannabis for extemporaneous compounding.  </w:t>
      </w:r>
    </w:p>
    <w:p w14:paraId="595CA379" w14:textId="51F83C50" w:rsidR="00C31F3B" w:rsidRPr="006C6CBB" w:rsidRDefault="00C31F3B" w:rsidP="002E0D45">
      <w:pPr>
        <w:rPr>
          <w:bCs/>
          <w:iCs/>
        </w:rPr>
      </w:pPr>
    </w:p>
    <w:p w14:paraId="3B2E9D5C" w14:textId="6C068787" w:rsidR="00C31F3B" w:rsidRPr="006C6CBB" w:rsidRDefault="00C31F3B" w:rsidP="002E0D45">
      <w:pPr>
        <w:rPr>
          <w:bCs/>
          <w:iCs/>
        </w:rPr>
      </w:pPr>
      <w:r w:rsidRPr="006C6CBB">
        <w:rPr>
          <w:bCs/>
          <w:iCs/>
        </w:rPr>
        <w:t xml:space="preserve">Under the </w:t>
      </w:r>
      <w:r w:rsidRPr="006C6CBB">
        <w:rPr>
          <w:bCs/>
          <w:i/>
        </w:rPr>
        <w:t>Narcotic Drugs Act 1967</w:t>
      </w:r>
      <w:r w:rsidRPr="006C6CBB">
        <w:rPr>
          <w:bCs/>
          <w:iCs/>
        </w:rPr>
        <w:t xml:space="preserve"> (the ND Act), </w:t>
      </w:r>
      <w:r w:rsidR="00985374" w:rsidRPr="006C6CBB">
        <w:rPr>
          <w:bCs/>
          <w:iCs/>
        </w:rPr>
        <w:t xml:space="preserve">a medicinal cannabis licence may authorise the cultivation, production and/or manufacture of cannabis for medicinal or scientific purposes. It is a requirement of the grant of a licence that authorises the </w:t>
      </w:r>
      <w:r w:rsidR="00985374" w:rsidRPr="006C6CBB">
        <w:rPr>
          <w:bCs/>
          <w:iCs/>
        </w:rPr>
        <w:lastRenderedPageBreak/>
        <w:t xml:space="preserve">manufacture of a cannabis drug, as well as an ongoing condition of that licence, that the supply by that licence holder of a cannabis drug is only for the purposes of certain permitted supplies authorised by the ND Act and ND Regulations (‘permitted supply’ being in section 4(1) of the ND Act). </w:t>
      </w:r>
    </w:p>
    <w:p w14:paraId="31BCA7C0" w14:textId="2D7C3AEE" w:rsidR="00C31F3B" w:rsidRPr="006C6CBB" w:rsidRDefault="00C31F3B" w:rsidP="002E0D45">
      <w:pPr>
        <w:rPr>
          <w:bCs/>
          <w:iCs/>
        </w:rPr>
      </w:pPr>
    </w:p>
    <w:p w14:paraId="11ED8F8F" w14:textId="362CEA6B" w:rsidR="00C31F3B" w:rsidRPr="006C6CBB" w:rsidRDefault="00985374" w:rsidP="002E0D45">
      <w:pPr>
        <w:rPr>
          <w:bCs/>
          <w:iCs/>
        </w:rPr>
      </w:pPr>
      <w:r w:rsidRPr="006C6CBB">
        <w:rPr>
          <w:bCs/>
          <w:iCs/>
        </w:rPr>
        <w:t>Item 1 amend</w:t>
      </w:r>
      <w:r w:rsidR="00775F79">
        <w:rPr>
          <w:bCs/>
          <w:iCs/>
        </w:rPr>
        <w:t>s</w:t>
      </w:r>
      <w:r w:rsidRPr="006C6CBB">
        <w:rPr>
          <w:bCs/>
          <w:iCs/>
        </w:rPr>
        <w:t xml:space="preserve"> regulation 4B of the ND Regulations to provide a permitted supply, for the purposes of paragraph (e) of the definition ‘permitted supply’ in subsection 4(1) of the ND Act), where the supply is to a person for the purposes of that person </w:t>
      </w:r>
      <w:r w:rsidR="00614D90" w:rsidRPr="006C6CBB">
        <w:rPr>
          <w:bCs/>
          <w:iCs/>
        </w:rPr>
        <w:t xml:space="preserve">supplying an </w:t>
      </w:r>
      <w:proofErr w:type="gramStart"/>
      <w:r w:rsidRPr="006C6CBB">
        <w:rPr>
          <w:bCs/>
          <w:iCs/>
        </w:rPr>
        <w:t>extemporaneously</w:t>
      </w:r>
      <w:r w:rsidR="00CF3E5D" w:rsidRPr="006C6CBB">
        <w:rPr>
          <w:bCs/>
          <w:iCs/>
        </w:rPr>
        <w:t>-</w:t>
      </w:r>
      <w:r w:rsidRPr="006C6CBB">
        <w:rPr>
          <w:bCs/>
          <w:iCs/>
        </w:rPr>
        <w:t>compound</w:t>
      </w:r>
      <w:r w:rsidR="00614D90" w:rsidRPr="006C6CBB">
        <w:rPr>
          <w:bCs/>
          <w:iCs/>
        </w:rPr>
        <w:t>ed</w:t>
      </w:r>
      <w:proofErr w:type="gramEnd"/>
      <w:r w:rsidR="00614D90" w:rsidRPr="006C6CBB">
        <w:rPr>
          <w:bCs/>
          <w:iCs/>
        </w:rPr>
        <w:t xml:space="preserve"> </w:t>
      </w:r>
      <w:r w:rsidRPr="006C6CBB">
        <w:rPr>
          <w:bCs/>
          <w:iCs/>
        </w:rPr>
        <w:t>medicinal cannabis product in accordance with the TG Act.</w:t>
      </w:r>
      <w:r w:rsidR="00614D90" w:rsidRPr="006C6CBB">
        <w:rPr>
          <w:bCs/>
          <w:iCs/>
        </w:rPr>
        <w:t xml:space="preserve"> The effect of this is that t</w:t>
      </w:r>
      <w:r w:rsidRPr="006C6CBB">
        <w:rPr>
          <w:bCs/>
          <w:iCs/>
        </w:rPr>
        <w:t>he supply of a cannabis drug by the holder of a licence under the ND Act that authorises the manufacture of a cannabis drug may be for the purposes of extemporaneous compounding of a medicinal cannabis product. This amendment facilitate</w:t>
      </w:r>
      <w:r w:rsidR="00775F79">
        <w:rPr>
          <w:bCs/>
          <w:iCs/>
        </w:rPr>
        <w:t>s</w:t>
      </w:r>
      <w:r w:rsidRPr="006C6CBB">
        <w:rPr>
          <w:bCs/>
          <w:iCs/>
        </w:rPr>
        <w:t xml:space="preserve"> a manufacturer licenced under the ND Act to lawfully supply, for example, an extract of cannabis to a private compounding pharmacist where the </w:t>
      </w:r>
      <w:proofErr w:type="gramStart"/>
      <w:r w:rsidRPr="006C6CBB">
        <w:rPr>
          <w:bCs/>
          <w:iCs/>
        </w:rPr>
        <w:t>extemporaneously</w:t>
      </w:r>
      <w:r w:rsidR="00C27E37" w:rsidRPr="006C6CBB">
        <w:rPr>
          <w:bCs/>
          <w:iCs/>
        </w:rPr>
        <w:t>-</w:t>
      </w:r>
      <w:r w:rsidRPr="006C6CBB">
        <w:rPr>
          <w:bCs/>
          <w:iCs/>
        </w:rPr>
        <w:t>compounded</w:t>
      </w:r>
      <w:proofErr w:type="gramEnd"/>
      <w:r w:rsidRPr="006C6CBB">
        <w:rPr>
          <w:bCs/>
          <w:iCs/>
        </w:rPr>
        <w:t xml:space="preserve"> medicinal cannabis product is to be suppl</w:t>
      </w:r>
      <w:r w:rsidR="00757609" w:rsidRPr="006C6CBB">
        <w:rPr>
          <w:bCs/>
          <w:iCs/>
        </w:rPr>
        <w:t>ied</w:t>
      </w:r>
      <w:r w:rsidRPr="006C6CBB">
        <w:rPr>
          <w:bCs/>
          <w:iCs/>
        </w:rPr>
        <w:t xml:space="preserve"> in accordance with the TG Act.    </w:t>
      </w:r>
    </w:p>
    <w:p w14:paraId="30EAA69A" w14:textId="77777777" w:rsidR="00985374" w:rsidRPr="006C6CBB" w:rsidRDefault="00985374" w:rsidP="002E0D45">
      <w:pPr>
        <w:rPr>
          <w:bCs/>
          <w:iCs/>
        </w:rPr>
      </w:pPr>
    </w:p>
    <w:p w14:paraId="34DE202A" w14:textId="2E69801D" w:rsidR="00A10755" w:rsidRPr="006C6CBB" w:rsidRDefault="00985374" w:rsidP="00614D90">
      <w:pPr>
        <w:rPr>
          <w:bCs/>
          <w:iCs/>
        </w:rPr>
      </w:pPr>
      <w:r w:rsidRPr="006C6CBB">
        <w:rPr>
          <w:bCs/>
          <w:iCs/>
        </w:rPr>
        <w:t>Item 2 make</w:t>
      </w:r>
      <w:r w:rsidR="00775F79">
        <w:rPr>
          <w:bCs/>
          <w:iCs/>
        </w:rPr>
        <w:t>s</w:t>
      </w:r>
      <w:r w:rsidRPr="006C6CBB">
        <w:rPr>
          <w:bCs/>
          <w:iCs/>
        </w:rPr>
        <w:t xml:space="preserve"> a similar amendment </w:t>
      </w:r>
      <w:r w:rsidR="00614D90" w:rsidRPr="006C6CBB">
        <w:rPr>
          <w:bCs/>
          <w:iCs/>
        </w:rPr>
        <w:t xml:space="preserve">to regulation 11 </w:t>
      </w:r>
      <w:r w:rsidRPr="006C6CBB">
        <w:rPr>
          <w:bCs/>
          <w:iCs/>
        </w:rPr>
        <w:t>to facilitate the supply of cannabis by a licensed cannabis cultivator</w:t>
      </w:r>
      <w:r w:rsidR="00A10755" w:rsidRPr="006C6CBB">
        <w:rPr>
          <w:bCs/>
          <w:iCs/>
        </w:rPr>
        <w:t xml:space="preserve"> under the ND Act (who would be</w:t>
      </w:r>
      <w:r w:rsidRPr="006C6CBB">
        <w:rPr>
          <w:bCs/>
          <w:iCs/>
        </w:rPr>
        <w:t xml:space="preserve"> authorised to produce the cannabis, but not authorised to manufacture cannabis drugs</w:t>
      </w:r>
      <w:r w:rsidR="00A10755" w:rsidRPr="006C6CBB">
        <w:rPr>
          <w:bCs/>
          <w:iCs/>
        </w:rPr>
        <w:t xml:space="preserve">) to a person for the purposes of that person </w:t>
      </w:r>
      <w:r w:rsidR="00614D90" w:rsidRPr="006C6CBB">
        <w:rPr>
          <w:bCs/>
          <w:iCs/>
        </w:rPr>
        <w:t xml:space="preserve">supplying an </w:t>
      </w:r>
      <w:proofErr w:type="gramStart"/>
      <w:r w:rsidR="00A10755" w:rsidRPr="006C6CBB">
        <w:rPr>
          <w:bCs/>
          <w:iCs/>
        </w:rPr>
        <w:t>extemporaneously</w:t>
      </w:r>
      <w:r w:rsidR="00C27E37" w:rsidRPr="006C6CBB">
        <w:rPr>
          <w:bCs/>
          <w:iCs/>
        </w:rPr>
        <w:t>-</w:t>
      </w:r>
      <w:r w:rsidR="00A10755" w:rsidRPr="006C6CBB">
        <w:rPr>
          <w:bCs/>
          <w:iCs/>
        </w:rPr>
        <w:t>compound</w:t>
      </w:r>
      <w:r w:rsidR="00614D90" w:rsidRPr="006C6CBB">
        <w:rPr>
          <w:bCs/>
          <w:iCs/>
        </w:rPr>
        <w:t>ed</w:t>
      </w:r>
      <w:proofErr w:type="gramEnd"/>
      <w:r w:rsidR="00614D90" w:rsidRPr="006C6CBB">
        <w:rPr>
          <w:bCs/>
          <w:iCs/>
        </w:rPr>
        <w:t xml:space="preserve"> medicinal cannabis product in accordance with the TG Act. </w:t>
      </w:r>
      <w:r w:rsidR="00A10755" w:rsidRPr="006C6CBB">
        <w:rPr>
          <w:bCs/>
          <w:iCs/>
        </w:rPr>
        <w:t xml:space="preserve">Subparagraph 9(4)(d)(ii) of the ND Act provides that a medicinal cannabis permit that relates to a licence that authorises the production of cannabis or cannabis resin (but not manufacture of a cannabis drug) must be refused if the Secretary is not satisfied on reasonable grounds that the production of the cannabis or cannabis resin is for a purpose prescribed by the Regulations. </w:t>
      </w:r>
      <w:r w:rsidR="00614D90" w:rsidRPr="006C6CBB">
        <w:rPr>
          <w:bCs/>
          <w:iCs/>
        </w:rPr>
        <w:t xml:space="preserve">The effect of this item </w:t>
      </w:r>
      <w:r w:rsidR="00775F79">
        <w:rPr>
          <w:bCs/>
          <w:iCs/>
        </w:rPr>
        <w:t>is</w:t>
      </w:r>
      <w:r w:rsidR="00C46277" w:rsidRPr="006C6CBB">
        <w:rPr>
          <w:bCs/>
          <w:iCs/>
        </w:rPr>
        <w:t>, for example,</w:t>
      </w:r>
      <w:r w:rsidR="00614D90" w:rsidRPr="006C6CBB">
        <w:rPr>
          <w:bCs/>
          <w:iCs/>
        </w:rPr>
        <w:t xml:space="preserve"> to allow a permit holder to </w:t>
      </w:r>
      <w:r w:rsidR="00A10755" w:rsidRPr="006C6CBB">
        <w:rPr>
          <w:bCs/>
          <w:iCs/>
        </w:rPr>
        <w:t xml:space="preserve">supply cannabis to a person for the purpose of that person </w:t>
      </w:r>
      <w:r w:rsidR="00614D90" w:rsidRPr="006C6CBB">
        <w:rPr>
          <w:bCs/>
          <w:iCs/>
        </w:rPr>
        <w:t xml:space="preserve">supplying an </w:t>
      </w:r>
      <w:proofErr w:type="gramStart"/>
      <w:r w:rsidR="00A10755" w:rsidRPr="006C6CBB">
        <w:rPr>
          <w:bCs/>
          <w:iCs/>
        </w:rPr>
        <w:t>extemporaneously</w:t>
      </w:r>
      <w:r w:rsidR="00CF3E5D" w:rsidRPr="006C6CBB">
        <w:rPr>
          <w:bCs/>
          <w:iCs/>
        </w:rPr>
        <w:t>-</w:t>
      </w:r>
      <w:r w:rsidR="00A10755" w:rsidRPr="006C6CBB">
        <w:rPr>
          <w:bCs/>
          <w:iCs/>
        </w:rPr>
        <w:t>compound</w:t>
      </w:r>
      <w:r w:rsidR="00614D90" w:rsidRPr="006C6CBB">
        <w:rPr>
          <w:bCs/>
          <w:iCs/>
        </w:rPr>
        <w:t>ed</w:t>
      </w:r>
      <w:proofErr w:type="gramEnd"/>
      <w:r w:rsidR="00614D90" w:rsidRPr="006C6CBB">
        <w:rPr>
          <w:bCs/>
          <w:iCs/>
        </w:rPr>
        <w:t xml:space="preserve"> medicinal cannabis product </w:t>
      </w:r>
      <w:r w:rsidR="00A10755" w:rsidRPr="006C6CBB">
        <w:rPr>
          <w:bCs/>
          <w:iCs/>
        </w:rPr>
        <w:t xml:space="preserve">in accordance with the TG Act. </w:t>
      </w:r>
    </w:p>
    <w:p w14:paraId="52CCB073" w14:textId="23DB1B1E" w:rsidR="00805BEB" w:rsidRPr="006C6CBB" w:rsidRDefault="00805BEB" w:rsidP="002E0D45">
      <w:pPr>
        <w:rPr>
          <w:bCs/>
          <w:iCs/>
        </w:rPr>
      </w:pPr>
    </w:p>
    <w:p w14:paraId="27AC13F5" w14:textId="0F86717A" w:rsidR="00A10755" w:rsidRPr="006C6CBB" w:rsidRDefault="00A10755" w:rsidP="002E0D45">
      <w:pPr>
        <w:rPr>
          <w:bCs/>
          <w:iCs/>
        </w:rPr>
      </w:pPr>
    </w:p>
    <w:p w14:paraId="33BC1622" w14:textId="4DA7EE1B" w:rsidR="00A10755" w:rsidRPr="006C6CBB" w:rsidRDefault="00A10755" w:rsidP="002E0D45">
      <w:pPr>
        <w:rPr>
          <w:b/>
          <w:i/>
        </w:rPr>
      </w:pPr>
      <w:r w:rsidRPr="006C6CBB">
        <w:rPr>
          <w:b/>
          <w:i/>
        </w:rPr>
        <w:t xml:space="preserve">Therapeutic Goods Regulations 1990 </w:t>
      </w:r>
    </w:p>
    <w:p w14:paraId="3E6672BA" w14:textId="77777777" w:rsidR="00A10755" w:rsidRPr="006C6CBB" w:rsidRDefault="00A10755" w:rsidP="002E0D45">
      <w:pPr>
        <w:rPr>
          <w:bCs/>
          <w:iCs/>
        </w:rPr>
      </w:pPr>
    </w:p>
    <w:p w14:paraId="0B76BC6B" w14:textId="03F8241F" w:rsidR="00614D90" w:rsidRPr="006C6CBB" w:rsidRDefault="006552DA" w:rsidP="008C2D89">
      <w:pPr>
        <w:keepNext/>
        <w:keepLines/>
        <w:rPr>
          <w:b/>
          <w:iCs/>
        </w:rPr>
      </w:pPr>
      <w:r w:rsidRPr="006C6CBB">
        <w:rPr>
          <w:b/>
          <w:iCs/>
        </w:rPr>
        <w:t>Item [</w:t>
      </w:r>
      <w:r w:rsidR="00A10755" w:rsidRPr="006C6CBB">
        <w:rPr>
          <w:b/>
          <w:iCs/>
        </w:rPr>
        <w:t>3</w:t>
      </w:r>
      <w:r w:rsidRPr="006C6CBB">
        <w:rPr>
          <w:b/>
          <w:iCs/>
        </w:rPr>
        <w:t xml:space="preserve">] – </w:t>
      </w:r>
      <w:r w:rsidR="00614D90" w:rsidRPr="006C6CBB">
        <w:rPr>
          <w:b/>
          <w:iCs/>
        </w:rPr>
        <w:t>In the appropriate position in Part 9</w:t>
      </w:r>
    </w:p>
    <w:p w14:paraId="252D535E" w14:textId="6EA330EC" w:rsidR="00614D90" w:rsidRPr="006C6CBB" w:rsidRDefault="00614D90" w:rsidP="008C2D89">
      <w:pPr>
        <w:keepNext/>
        <w:keepLines/>
        <w:rPr>
          <w:bCs/>
          <w:iCs/>
        </w:rPr>
      </w:pPr>
      <w:r w:rsidRPr="006C6CBB">
        <w:rPr>
          <w:bCs/>
          <w:iCs/>
        </w:rPr>
        <w:t>This item amend</w:t>
      </w:r>
      <w:r w:rsidR="00775F79">
        <w:rPr>
          <w:bCs/>
          <w:iCs/>
        </w:rPr>
        <w:t>s</w:t>
      </w:r>
      <w:r w:rsidRPr="006C6CBB">
        <w:rPr>
          <w:bCs/>
          <w:iCs/>
        </w:rPr>
        <w:t xml:space="preserve"> Part 9 of the TG Regulations to introduce Division 18 which include</w:t>
      </w:r>
      <w:r w:rsidR="00775F79">
        <w:rPr>
          <w:bCs/>
          <w:iCs/>
        </w:rPr>
        <w:t>s</w:t>
      </w:r>
      <w:r w:rsidRPr="006C6CBB">
        <w:rPr>
          <w:bCs/>
          <w:iCs/>
        </w:rPr>
        <w:t xml:space="preserve"> an application provision for the amendments made in item 4. New regulation 86 </w:t>
      </w:r>
      <w:r w:rsidR="00B72087" w:rsidRPr="006C6CBB">
        <w:rPr>
          <w:bCs/>
          <w:iCs/>
        </w:rPr>
        <w:t>provide</w:t>
      </w:r>
      <w:r w:rsidR="00775F79">
        <w:rPr>
          <w:bCs/>
          <w:iCs/>
        </w:rPr>
        <w:t>s</w:t>
      </w:r>
      <w:r w:rsidR="00B72087" w:rsidRPr="006C6CBB">
        <w:rPr>
          <w:bCs/>
          <w:iCs/>
        </w:rPr>
        <w:t xml:space="preserve"> that the amendments to Schedule 5 to the TG Regulations made by this Schedule do not apply in relation to a medicinal cannabis product that is </w:t>
      </w:r>
      <w:proofErr w:type="gramStart"/>
      <w:r w:rsidR="00B72087" w:rsidRPr="006C6CBB">
        <w:rPr>
          <w:bCs/>
          <w:iCs/>
        </w:rPr>
        <w:t>extemporaneously</w:t>
      </w:r>
      <w:r w:rsidR="00CF3E5D" w:rsidRPr="006C6CBB">
        <w:rPr>
          <w:bCs/>
          <w:iCs/>
        </w:rPr>
        <w:t>-</w:t>
      </w:r>
      <w:r w:rsidR="00B72087" w:rsidRPr="006C6CBB">
        <w:rPr>
          <w:bCs/>
          <w:iCs/>
        </w:rPr>
        <w:t>compounded</w:t>
      </w:r>
      <w:proofErr w:type="gramEnd"/>
      <w:r w:rsidR="00B72087" w:rsidRPr="006C6CBB">
        <w:rPr>
          <w:bCs/>
          <w:iCs/>
        </w:rPr>
        <w:t xml:space="preserve"> before 28 April 2022. This is to enable prescribers sufficient time to obtain an approval or authority under section 19 of the TG Act to supply an unapproved therapeutic good. </w:t>
      </w:r>
    </w:p>
    <w:p w14:paraId="0610C812" w14:textId="77777777" w:rsidR="00614D90" w:rsidRPr="006C6CBB" w:rsidRDefault="00614D90" w:rsidP="008C2D89">
      <w:pPr>
        <w:keepNext/>
        <w:keepLines/>
        <w:rPr>
          <w:b/>
          <w:iCs/>
        </w:rPr>
      </w:pPr>
    </w:p>
    <w:p w14:paraId="4B018AB4" w14:textId="639CFD55" w:rsidR="006552DA" w:rsidRPr="006C6CBB" w:rsidRDefault="00614D90" w:rsidP="008C2D89">
      <w:pPr>
        <w:keepNext/>
        <w:keepLines/>
        <w:rPr>
          <w:b/>
          <w:iCs/>
        </w:rPr>
      </w:pPr>
      <w:r w:rsidRPr="006C6CBB">
        <w:rPr>
          <w:b/>
          <w:iCs/>
        </w:rPr>
        <w:t xml:space="preserve">Item [4] - </w:t>
      </w:r>
      <w:r w:rsidR="00A10755" w:rsidRPr="006C6CBB">
        <w:rPr>
          <w:b/>
          <w:iCs/>
        </w:rPr>
        <w:t>Schedule 5 (at the end of the cell at table item 6, column 2)</w:t>
      </w:r>
    </w:p>
    <w:p w14:paraId="16E8A7C3" w14:textId="772B27DB" w:rsidR="00554949" w:rsidRPr="006C6CBB" w:rsidRDefault="006552DA" w:rsidP="008C2D89">
      <w:pPr>
        <w:rPr>
          <w:bCs/>
          <w:iCs/>
        </w:rPr>
      </w:pPr>
      <w:r w:rsidRPr="006C6CBB">
        <w:rPr>
          <w:bCs/>
          <w:iCs/>
        </w:rPr>
        <w:t xml:space="preserve">This item </w:t>
      </w:r>
      <w:r w:rsidR="00A10755" w:rsidRPr="006C6CBB">
        <w:rPr>
          <w:bCs/>
          <w:iCs/>
        </w:rPr>
        <w:t>amend</w:t>
      </w:r>
      <w:r w:rsidR="00775F79">
        <w:rPr>
          <w:bCs/>
          <w:iCs/>
        </w:rPr>
        <w:t>s</w:t>
      </w:r>
      <w:r w:rsidR="00A10755" w:rsidRPr="006C6CBB">
        <w:rPr>
          <w:bCs/>
          <w:iCs/>
        </w:rPr>
        <w:t xml:space="preserve"> item 6 of Schedule 5 to the TG Regulations to exclude medicinal cannabis products from the exemption, from inclusion in the Register, for </w:t>
      </w:r>
      <w:proofErr w:type="gramStart"/>
      <w:r w:rsidR="00A10755" w:rsidRPr="006C6CBB">
        <w:rPr>
          <w:bCs/>
          <w:iCs/>
        </w:rPr>
        <w:t>extemporaneously</w:t>
      </w:r>
      <w:r w:rsidR="005966A8" w:rsidRPr="006C6CBB">
        <w:rPr>
          <w:bCs/>
          <w:iCs/>
        </w:rPr>
        <w:t>-</w:t>
      </w:r>
      <w:r w:rsidR="00A10755" w:rsidRPr="006C6CBB">
        <w:rPr>
          <w:bCs/>
          <w:iCs/>
        </w:rPr>
        <w:t>compounded</w:t>
      </w:r>
      <w:proofErr w:type="gramEnd"/>
      <w:r w:rsidR="00A10755" w:rsidRPr="006C6CBB">
        <w:rPr>
          <w:bCs/>
          <w:iCs/>
        </w:rPr>
        <w:t xml:space="preserve"> medicines.</w:t>
      </w:r>
      <w:r w:rsidR="00614D90" w:rsidRPr="006C6CBB">
        <w:rPr>
          <w:bCs/>
          <w:iCs/>
        </w:rPr>
        <w:t xml:space="preserve"> This provide</w:t>
      </w:r>
      <w:r w:rsidR="000F104E">
        <w:rPr>
          <w:bCs/>
          <w:iCs/>
        </w:rPr>
        <w:t>s</w:t>
      </w:r>
      <w:r w:rsidR="00614D90" w:rsidRPr="006C6CBB">
        <w:rPr>
          <w:bCs/>
          <w:iCs/>
        </w:rPr>
        <w:t xml:space="preserve"> </w:t>
      </w:r>
      <w:r w:rsidR="000F104E">
        <w:rPr>
          <w:bCs/>
          <w:iCs/>
        </w:rPr>
        <w:t>appropriate</w:t>
      </w:r>
      <w:r w:rsidR="000F104E" w:rsidRPr="006C6CBB">
        <w:rPr>
          <w:bCs/>
          <w:iCs/>
        </w:rPr>
        <w:t xml:space="preserve"> </w:t>
      </w:r>
      <w:r w:rsidR="00614D90" w:rsidRPr="006C6CBB">
        <w:rPr>
          <w:bCs/>
          <w:iCs/>
        </w:rPr>
        <w:t>regulatory oversight for the extemporaneous compounding of medicinal cannabis products.</w:t>
      </w:r>
    </w:p>
    <w:p w14:paraId="2A67A612" w14:textId="655ABBF5" w:rsidR="00A10755" w:rsidRPr="006C6CBB" w:rsidRDefault="00A10755" w:rsidP="008C2D89">
      <w:pPr>
        <w:rPr>
          <w:bCs/>
          <w:iCs/>
        </w:rPr>
      </w:pPr>
    </w:p>
    <w:p w14:paraId="64E9816A" w14:textId="70D24B26" w:rsidR="00A10755" w:rsidRPr="006C6CBB" w:rsidRDefault="008705B3" w:rsidP="008C2D89">
      <w:pPr>
        <w:rPr>
          <w:bCs/>
          <w:iCs/>
        </w:rPr>
      </w:pPr>
      <w:r w:rsidRPr="006C6CBB">
        <w:rPr>
          <w:bCs/>
          <w:iCs/>
        </w:rPr>
        <w:t xml:space="preserve">Currently, medical practitioners and pharmacists involved in extemporaneous compounding are exempt from the requirement to hold a manufacturing licence issued under Part 3-3 of the TG Act </w:t>
      </w:r>
      <w:proofErr w:type="gramStart"/>
      <w:r w:rsidRPr="006C6CBB">
        <w:rPr>
          <w:bCs/>
          <w:iCs/>
        </w:rPr>
        <w:t>on the basis of</w:t>
      </w:r>
      <w:proofErr w:type="gramEnd"/>
      <w:r w:rsidRPr="006C6CBB">
        <w:rPr>
          <w:bCs/>
          <w:iCs/>
        </w:rPr>
        <w:t xml:space="preserve"> items 1, 2 and 3 of Schedule </w:t>
      </w:r>
      <w:r w:rsidR="00CF42B0" w:rsidRPr="006C6CBB">
        <w:rPr>
          <w:bCs/>
          <w:iCs/>
        </w:rPr>
        <w:t xml:space="preserve">8 to the TG Regulations. In addition, </w:t>
      </w:r>
      <w:proofErr w:type="gramStart"/>
      <w:r w:rsidR="00CF42B0" w:rsidRPr="006C6CBB">
        <w:rPr>
          <w:bCs/>
          <w:iCs/>
        </w:rPr>
        <w:t>extemporaneously</w:t>
      </w:r>
      <w:r w:rsidR="00CF3E5D" w:rsidRPr="006C6CBB">
        <w:rPr>
          <w:bCs/>
          <w:iCs/>
        </w:rPr>
        <w:t>-</w:t>
      </w:r>
      <w:r w:rsidR="00CF42B0" w:rsidRPr="006C6CBB">
        <w:rPr>
          <w:bCs/>
          <w:iCs/>
        </w:rPr>
        <w:t>compounded</w:t>
      </w:r>
      <w:proofErr w:type="gramEnd"/>
      <w:r w:rsidR="00CF42B0" w:rsidRPr="006C6CBB">
        <w:rPr>
          <w:bCs/>
          <w:iCs/>
        </w:rPr>
        <w:t xml:space="preserve"> medicines are not required to be included in the Register on the basis of item 6 of schedule 5 to the TG Regulations. Accordingly, prescribers are not </w:t>
      </w:r>
      <w:r w:rsidR="00CF42B0" w:rsidRPr="006C6CBB">
        <w:rPr>
          <w:bCs/>
          <w:iCs/>
        </w:rPr>
        <w:lastRenderedPageBreak/>
        <w:t xml:space="preserve">required to seek an approval under the Special Access Scheme for unapproved therapeutic goods or an authority under the Authorised Prescriber Scheme. </w:t>
      </w:r>
    </w:p>
    <w:p w14:paraId="3AB53FFB" w14:textId="566440D8" w:rsidR="00CF42B0" w:rsidRPr="006C6CBB" w:rsidRDefault="00CF42B0" w:rsidP="008C2D89">
      <w:pPr>
        <w:rPr>
          <w:bCs/>
          <w:iCs/>
        </w:rPr>
      </w:pPr>
    </w:p>
    <w:p w14:paraId="03215FA2" w14:textId="019A78AB" w:rsidR="00CF42B0" w:rsidRPr="006C6CBB" w:rsidRDefault="00CF42B0" w:rsidP="008C2D89">
      <w:pPr>
        <w:rPr>
          <w:bCs/>
          <w:iCs/>
        </w:rPr>
      </w:pPr>
      <w:r w:rsidRPr="006C6CBB">
        <w:rPr>
          <w:bCs/>
          <w:iCs/>
        </w:rPr>
        <w:t xml:space="preserve">The lack of regulatory oversight of the supply of </w:t>
      </w:r>
      <w:proofErr w:type="gramStart"/>
      <w:r w:rsidRPr="006C6CBB">
        <w:rPr>
          <w:bCs/>
          <w:iCs/>
        </w:rPr>
        <w:t>extemporaneously</w:t>
      </w:r>
      <w:r w:rsidR="00CF3E5D" w:rsidRPr="006C6CBB">
        <w:rPr>
          <w:bCs/>
          <w:iCs/>
        </w:rPr>
        <w:t>-</w:t>
      </w:r>
      <w:r w:rsidRPr="006C6CBB">
        <w:rPr>
          <w:bCs/>
          <w:iCs/>
        </w:rPr>
        <w:t>compounded</w:t>
      </w:r>
      <w:proofErr w:type="gramEnd"/>
      <w:r w:rsidRPr="006C6CBB">
        <w:rPr>
          <w:bCs/>
          <w:iCs/>
        </w:rPr>
        <w:t xml:space="preserve"> medicinal cannabis products has raised a number of concerns. There is currently no visibility of the conditions for which these medicinal cannabis products are being compounded, the appropriateness of the use, the patient groups being prescribed, the number of prescriptions written, the active ingredients and quantities included in the dispensed product, or who is extemporaneously compounding medicinal cannabis products. Further, the TGA is not able to assess the quality and safety of </w:t>
      </w:r>
      <w:proofErr w:type="gramStart"/>
      <w:r w:rsidRPr="006C6CBB">
        <w:rPr>
          <w:bCs/>
          <w:iCs/>
        </w:rPr>
        <w:t>extemporaneously</w:t>
      </w:r>
      <w:r w:rsidR="00CF3E5D" w:rsidRPr="006C6CBB">
        <w:rPr>
          <w:bCs/>
          <w:iCs/>
        </w:rPr>
        <w:t>-</w:t>
      </w:r>
      <w:r w:rsidRPr="006C6CBB">
        <w:rPr>
          <w:bCs/>
          <w:iCs/>
        </w:rPr>
        <w:t>compounded</w:t>
      </w:r>
      <w:proofErr w:type="gramEnd"/>
      <w:r w:rsidRPr="006C6CBB">
        <w:rPr>
          <w:bCs/>
          <w:iCs/>
        </w:rPr>
        <w:t xml:space="preserve"> medicinal cannabis products and may not receive reports of adverse events experienced by patients.</w:t>
      </w:r>
    </w:p>
    <w:p w14:paraId="7098930E" w14:textId="77777777" w:rsidR="00CF42B0" w:rsidRPr="006C6CBB" w:rsidRDefault="00CF42B0" w:rsidP="008C2D89">
      <w:pPr>
        <w:rPr>
          <w:bCs/>
          <w:iCs/>
        </w:rPr>
      </w:pPr>
    </w:p>
    <w:p w14:paraId="6B783F2F" w14:textId="463F344F" w:rsidR="00057830" w:rsidRPr="006C6CBB" w:rsidRDefault="00CF42B0" w:rsidP="008C2D89">
      <w:pPr>
        <w:rPr>
          <w:bCs/>
          <w:iCs/>
        </w:rPr>
      </w:pPr>
      <w:r w:rsidRPr="006C6CBB">
        <w:rPr>
          <w:bCs/>
          <w:iCs/>
        </w:rPr>
        <w:t xml:space="preserve">To address these </w:t>
      </w:r>
      <w:proofErr w:type="gramStart"/>
      <w:r w:rsidRPr="006C6CBB">
        <w:rPr>
          <w:bCs/>
          <w:iCs/>
        </w:rPr>
        <w:t>risks, and</w:t>
      </w:r>
      <w:proofErr w:type="gramEnd"/>
      <w:r w:rsidRPr="006C6CBB">
        <w:rPr>
          <w:bCs/>
          <w:iCs/>
        </w:rPr>
        <w:t xml:space="preserve"> maintain the availability of extemporaneously</w:t>
      </w:r>
      <w:r w:rsidR="00CF3E5D" w:rsidRPr="006C6CBB">
        <w:rPr>
          <w:bCs/>
          <w:iCs/>
        </w:rPr>
        <w:t>-</w:t>
      </w:r>
      <w:r w:rsidRPr="006C6CBB">
        <w:rPr>
          <w:bCs/>
          <w:iCs/>
        </w:rPr>
        <w:t xml:space="preserve">compounded medicinal cannabis products in Australia, it </w:t>
      </w:r>
      <w:r w:rsidR="000F104E">
        <w:rPr>
          <w:bCs/>
          <w:iCs/>
        </w:rPr>
        <w:t>is</w:t>
      </w:r>
      <w:r w:rsidRPr="006C6CBB">
        <w:rPr>
          <w:bCs/>
          <w:iCs/>
        </w:rPr>
        <w:t xml:space="preserve"> appropriate for extemporaneously</w:t>
      </w:r>
      <w:r w:rsidR="00CF3E5D" w:rsidRPr="006C6CBB">
        <w:rPr>
          <w:bCs/>
          <w:iCs/>
        </w:rPr>
        <w:t>-</w:t>
      </w:r>
      <w:r w:rsidRPr="006C6CBB">
        <w:rPr>
          <w:bCs/>
          <w:iCs/>
        </w:rPr>
        <w:t>compounded medicinal cannabis products to be accessed in the same manner as other unapproved medicines – through one of the special access pathways for unapproved medicines provided for under the TG Act</w:t>
      </w:r>
      <w:r w:rsidR="00057830" w:rsidRPr="006C6CBB">
        <w:rPr>
          <w:bCs/>
          <w:iCs/>
        </w:rPr>
        <w:t xml:space="preserve">. Excluding </w:t>
      </w:r>
      <w:proofErr w:type="gramStart"/>
      <w:r w:rsidR="00057830" w:rsidRPr="006C6CBB">
        <w:rPr>
          <w:bCs/>
          <w:iCs/>
        </w:rPr>
        <w:t>extemporaneously</w:t>
      </w:r>
      <w:r w:rsidR="00CF3E5D" w:rsidRPr="006C6CBB">
        <w:rPr>
          <w:bCs/>
          <w:iCs/>
        </w:rPr>
        <w:t>-</w:t>
      </w:r>
      <w:r w:rsidR="00057830" w:rsidRPr="006C6CBB">
        <w:rPr>
          <w:bCs/>
          <w:iCs/>
        </w:rPr>
        <w:t>compounded</w:t>
      </w:r>
      <w:proofErr w:type="gramEnd"/>
      <w:r w:rsidR="00057830" w:rsidRPr="006C6CBB">
        <w:rPr>
          <w:bCs/>
          <w:iCs/>
        </w:rPr>
        <w:t xml:space="preserve"> medicinal cannabis products from the exemption from inclusion in the Register in item 6 </w:t>
      </w:r>
      <w:r w:rsidR="000F104E">
        <w:rPr>
          <w:bCs/>
          <w:iCs/>
        </w:rPr>
        <w:t>has</w:t>
      </w:r>
      <w:r w:rsidR="00057830" w:rsidRPr="006C6CBB">
        <w:rPr>
          <w:bCs/>
          <w:iCs/>
        </w:rPr>
        <w:t xml:space="preserve"> the effect that such medicines could only be accessed through one of the pathways for access to unapproved medicines, </w:t>
      </w:r>
      <w:r w:rsidRPr="006C6CBB">
        <w:rPr>
          <w:bCs/>
          <w:iCs/>
        </w:rPr>
        <w:t xml:space="preserve">particularly the Special Access Scheme Category B pathway (SAS B) and the Authorised Prescriber (AP) scheme. </w:t>
      </w:r>
    </w:p>
    <w:p w14:paraId="11BA84E4" w14:textId="77777777" w:rsidR="00057830" w:rsidRPr="006C6CBB" w:rsidRDefault="00057830" w:rsidP="008C2D89">
      <w:pPr>
        <w:rPr>
          <w:bCs/>
          <w:iCs/>
        </w:rPr>
      </w:pPr>
    </w:p>
    <w:p w14:paraId="5F18954E" w14:textId="78A11AD3" w:rsidR="00CF42B0" w:rsidRPr="006C6CBB" w:rsidRDefault="00CF42B0" w:rsidP="008C2D89">
      <w:pPr>
        <w:rPr>
          <w:bCs/>
          <w:iCs/>
        </w:rPr>
      </w:pPr>
      <w:r w:rsidRPr="006C6CBB">
        <w:rPr>
          <w:bCs/>
          <w:iCs/>
        </w:rPr>
        <w:t>Under the SAS B and AP schemes, the TGA asses</w:t>
      </w:r>
      <w:r w:rsidR="000F104E">
        <w:rPr>
          <w:bCs/>
          <w:iCs/>
        </w:rPr>
        <w:t>s</w:t>
      </w:r>
      <w:r w:rsidRPr="006C6CBB">
        <w:rPr>
          <w:bCs/>
          <w:iCs/>
        </w:rPr>
        <w:t xml:space="preserve"> applications for such an approval or authority to supply </w:t>
      </w:r>
      <w:proofErr w:type="gramStart"/>
      <w:r w:rsidRPr="006C6CBB">
        <w:rPr>
          <w:bCs/>
          <w:iCs/>
        </w:rPr>
        <w:t>extemporaneously</w:t>
      </w:r>
      <w:r w:rsidR="00CF3E5D" w:rsidRPr="006C6CBB">
        <w:rPr>
          <w:bCs/>
          <w:iCs/>
        </w:rPr>
        <w:t>-</w:t>
      </w:r>
      <w:r w:rsidRPr="006C6CBB">
        <w:rPr>
          <w:bCs/>
          <w:iCs/>
        </w:rPr>
        <w:t>compounded</w:t>
      </w:r>
      <w:proofErr w:type="gramEnd"/>
      <w:r w:rsidRPr="006C6CBB">
        <w:rPr>
          <w:bCs/>
          <w:iCs/>
        </w:rPr>
        <w:t xml:space="preserve"> medicinal cannabis products and practitioners are required to submit adverse event reports as a condition of an approval or authority, supporting the continuing monitoring of potential safety concerns associated with use of medicinal cannabis products.  Further, the TGA would be informed of the indications for which such a product is being prescribed, </w:t>
      </w:r>
      <w:proofErr w:type="gramStart"/>
      <w:r w:rsidRPr="006C6CBB">
        <w:rPr>
          <w:bCs/>
          <w:iCs/>
        </w:rPr>
        <w:t>have the ability to</w:t>
      </w:r>
      <w:proofErr w:type="gramEnd"/>
      <w:r w:rsidRPr="006C6CBB">
        <w:rPr>
          <w:bCs/>
          <w:iCs/>
        </w:rPr>
        <w:t xml:space="preserve"> refuse SAS B or AP applications, and would be aware of the number of prescriptions filled by extemporaneous compounding (to address the risks of bulk manufacture and related safety concerns). </w:t>
      </w:r>
    </w:p>
    <w:p w14:paraId="0E1E7D9D" w14:textId="566163BB" w:rsidR="005E693D" w:rsidRPr="006C6CBB" w:rsidRDefault="005E693D" w:rsidP="008C2D89">
      <w:pPr>
        <w:rPr>
          <w:bCs/>
          <w:iCs/>
        </w:rPr>
      </w:pPr>
    </w:p>
    <w:p w14:paraId="713BD100" w14:textId="77777777" w:rsidR="00587E79" w:rsidRPr="006C6CBB" w:rsidRDefault="00587E79" w:rsidP="008C2D89">
      <w:pPr>
        <w:rPr>
          <w:bCs/>
          <w:iCs/>
        </w:rPr>
      </w:pPr>
    </w:p>
    <w:p w14:paraId="405D8EA3" w14:textId="68545AB6" w:rsidR="00805BEB" w:rsidRPr="006C6CBB" w:rsidRDefault="00805BEB" w:rsidP="00805BEB">
      <w:pPr>
        <w:keepNext/>
        <w:keepLines/>
        <w:rPr>
          <w:u w:val="single"/>
        </w:rPr>
      </w:pPr>
      <w:r w:rsidRPr="006C6CBB">
        <w:rPr>
          <w:u w:val="single"/>
        </w:rPr>
        <w:t>Schedule 2 – Minamata Convention on Mercury</w:t>
      </w:r>
    </w:p>
    <w:p w14:paraId="08A4E145" w14:textId="3862D448" w:rsidR="00B0244D" w:rsidRPr="006C6CBB" w:rsidRDefault="00B0244D" w:rsidP="00B0244D">
      <w:pPr>
        <w:keepNext/>
        <w:keepLines/>
        <w:rPr>
          <w:b/>
          <w:iCs/>
        </w:rPr>
      </w:pPr>
    </w:p>
    <w:p w14:paraId="42769B2F" w14:textId="3CD6D24D" w:rsidR="00B0244D" w:rsidRPr="006C6CBB" w:rsidRDefault="00B0244D" w:rsidP="00B0244D">
      <w:pPr>
        <w:keepNext/>
        <w:keepLines/>
        <w:rPr>
          <w:b/>
          <w:i/>
        </w:rPr>
      </w:pPr>
      <w:r w:rsidRPr="006C6CBB">
        <w:rPr>
          <w:b/>
          <w:i/>
        </w:rPr>
        <w:t>Therapeutic Goods Regulations 1990</w:t>
      </w:r>
    </w:p>
    <w:p w14:paraId="43223BAE" w14:textId="2B112E4A" w:rsidR="00235CFC" w:rsidRPr="006C6CBB" w:rsidRDefault="00235CFC" w:rsidP="008C2D89">
      <w:pPr>
        <w:rPr>
          <w:bCs/>
          <w:iCs/>
        </w:rPr>
      </w:pPr>
    </w:p>
    <w:p w14:paraId="2C84A78F" w14:textId="0B26D153" w:rsidR="00D85632" w:rsidRPr="006C6CBB" w:rsidRDefault="00C93D3E" w:rsidP="00C93D3E">
      <w:pPr>
        <w:rPr>
          <w:b/>
          <w:iCs/>
        </w:rPr>
      </w:pPr>
      <w:r w:rsidRPr="006C6CBB">
        <w:rPr>
          <w:b/>
          <w:iCs/>
        </w:rPr>
        <w:t>Item</w:t>
      </w:r>
      <w:r w:rsidR="00D85632" w:rsidRPr="006C6CBB">
        <w:rPr>
          <w:b/>
          <w:iCs/>
        </w:rPr>
        <w:t>s</w:t>
      </w:r>
      <w:r w:rsidRPr="006C6CBB">
        <w:rPr>
          <w:b/>
          <w:iCs/>
        </w:rPr>
        <w:t xml:space="preserve"> [</w:t>
      </w:r>
      <w:r w:rsidR="00D85632" w:rsidRPr="006C6CBB">
        <w:rPr>
          <w:b/>
          <w:iCs/>
        </w:rPr>
        <w:t>1</w:t>
      </w:r>
      <w:r w:rsidRPr="006C6CBB">
        <w:rPr>
          <w:b/>
          <w:iCs/>
        </w:rPr>
        <w:t xml:space="preserve">] </w:t>
      </w:r>
      <w:r w:rsidR="00D85632" w:rsidRPr="006C6CBB">
        <w:rPr>
          <w:b/>
          <w:iCs/>
        </w:rPr>
        <w:t>to [13]</w:t>
      </w:r>
      <w:r w:rsidRPr="006C6CBB">
        <w:rPr>
          <w:b/>
          <w:iCs/>
        </w:rPr>
        <w:t xml:space="preserve">– </w:t>
      </w:r>
      <w:r w:rsidR="00D85632" w:rsidRPr="006C6CBB">
        <w:rPr>
          <w:b/>
          <w:iCs/>
        </w:rPr>
        <w:t>Amendments to regulation 48</w:t>
      </w:r>
    </w:p>
    <w:p w14:paraId="183590E4" w14:textId="3BEC7068" w:rsidR="00D85632" w:rsidRPr="006C6CBB" w:rsidRDefault="00D85632" w:rsidP="00C93D3E">
      <w:pPr>
        <w:rPr>
          <w:lang w:eastAsia="en-US"/>
        </w:rPr>
      </w:pPr>
      <w:r w:rsidRPr="006C6CBB">
        <w:rPr>
          <w:lang w:eastAsia="en-US"/>
        </w:rPr>
        <w:t xml:space="preserve">These items amend regulation 48 of the TG Regulations to provide review rights for decisions relating to the import and export of mercury, which was an inadvertent omission from the </w:t>
      </w:r>
      <w:r w:rsidRPr="006C6CBB">
        <w:rPr>
          <w:i/>
          <w:iCs/>
          <w:lang w:eastAsia="en-US"/>
        </w:rPr>
        <w:t>Minamata Convention on Mercury (Consequential Amendments) Regulations 2021</w:t>
      </w:r>
      <w:r w:rsidRPr="006C6CBB">
        <w:rPr>
          <w:lang w:eastAsia="en-US"/>
        </w:rPr>
        <w:t xml:space="preserve"> (the Minamata Regulations) which amended the TG Regulations to implement the Minamata Convention on Mercury (Minamata Convention). </w:t>
      </w:r>
    </w:p>
    <w:p w14:paraId="717089F7" w14:textId="3E88750D" w:rsidR="00D85632" w:rsidRPr="006C6CBB" w:rsidRDefault="00D85632" w:rsidP="00C93D3E">
      <w:pPr>
        <w:rPr>
          <w:lang w:eastAsia="en-US"/>
        </w:rPr>
      </w:pPr>
    </w:p>
    <w:p w14:paraId="13FF5BCD" w14:textId="48D2BB99" w:rsidR="00D85632" w:rsidRPr="006C6CBB" w:rsidRDefault="00D85632" w:rsidP="00C93D3E">
      <w:pPr>
        <w:rPr>
          <w:lang w:eastAsia="en-US"/>
        </w:rPr>
      </w:pPr>
      <w:r w:rsidRPr="006C6CBB">
        <w:rPr>
          <w:lang w:eastAsia="en-US"/>
        </w:rPr>
        <w:t xml:space="preserve">Item 58 of the Minamata Regulations inserts a new Part 2CA into the TG Regulations that allows the Secretary to grant an application for approval to import or export mercury that is a therapeutic good only if the Secretary is satisfied that it is consistent with specified requirements designed to reflect Australia’s obligations under Article 3 of the Minamata Convention. </w:t>
      </w:r>
    </w:p>
    <w:p w14:paraId="5773B0A7" w14:textId="0C4CC8DE" w:rsidR="00D85632" w:rsidRPr="006C6CBB" w:rsidRDefault="00D85632" w:rsidP="00C93D3E">
      <w:pPr>
        <w:rPr>
          <w:lang w:eastAsia="en-US"/>
        </w:rPr>
      </w:pPr>
    </w:p>
    <w:p w14:paraId="78C2AA16" w14:textId="578F07B6" w:rsidR="00D85632" w:rsidRPr="006C6CBB" w:rsidRDefault="00D85632" w:rsidP="00C93D3E">
      <w:pPr>
        <w:rPr>
          <w:lang w:eastAsia="en-US"/>
        </w:rPr>
      </w:pPr>
      <w:r w:rsidRPr="006C6CBB">
        <w:rPr>
          <w:lang w:eastAsia="en-US"/>
        </w:rPr>
        <w:lastRenderedPageBreak/>
        <w:t>A decision to refuse to approve or to vary or revoke an approval is intended to be subject to review rights</w:t>
      </w:r>
      <w:r w:rsidR="00BD42B8" w:rsidRPr="006C6CBB">
        <w:rPr>
          <w:lang w:eastAsia="en-US"/>
        </w:rPr>
        <w:t xml:space="preserve">, consistent </w:t>
      </w:r>
      <w:r w:rsidRPr="006C6CBB">
        <w:rPr>
          <w:lang w:eastAsia="en-US"/>
        </w:rPr>
        <w:t xml:space="preserve">with the </w:t>
      </w:r>
      <w:r w:rsidR="00BD42B8" w:rsidRPr="006C6CBB">
        <w:rPr>
          <w:i/>
          <w:iCs/>
          <w:lang w:eastAsia="en-US"/>
        </w:rPr>
        <w:t>Agricultural and Veterinary Chemicals (Administration) Regulations 1995</w:t>
      </w:r>
      <w:r w:rsidR="00BD42B8" w:rsidRPr="006C6CBB">
        <w:rPr>
          <w:lang w:eastAsia="en-US"/>
        </w:rPr>
        <w:t>. Accordingly, these amendments introduce review rights</w:t>
      </w:r>
      <w:r w:rsidR="00E31BF2" w:rsidRPr="006C6CBB">
        <w:rPr>
          <w:lang w:eastAsia="en-US"/>
        </w:rPr>
        <w:t xml:space="preserve">, for applicants or approval-holders, for </w:t>
      </w:r>
      <w:r w:rsidR="00BD42B8" w:rsidRPr="006C6CBB">
        <w:rPr>
          <w:lang w:eastAsia="en-US"/>
        </w:rPr>
        <w:t xml:space="preserve">decisions under regulations 10JE and 10JF of the TG Regulations to not approve an application to import or export a therapeutic good that is mercury, or </w:t>
      </w:r>
      <w:r w:rsidR="00E31BF2" w:rsidRPr="006C6CBB">
        <w:rPr>
          <w:lang w:eastAsia="en-US"/>
        </w:rPr>
        <w:t xml:space="preserve">to </w:t>
      </w:r>
      <w:r w:rsidR="00BD42B8" w:rsidRPr="006C6CBB">
        <w:rPr>
          <w:lang w:eastAsia="en-US"/>
        </w:rPr>
        <w:t xml:space="preserve">vary or revoke such an approval. </w:t>
      </w:r>
    </w:p>
    <w:p w14:paraId="73FDCC56" w14:textId="77777777" w:rsidR="00672F80" w:rsidRPr="00B24115" w:rsidRDefault="00672F80" w:rsidP="00C93D3E">
      <w:pPr>
        <w:rPr>
          <w:lang w:eastAsia="en-US"/>
        </w:rPr>
      </w:pPr>
    </w:p>
    <w:p w14:paraId="798AAFC7" w14:textId="0173E109" w:rsidR="00BD42B8" w:rsidRPr="006C6CBB" w:rsidRDefault="00E31BF2" w:rsidP="00C93D3E">
      <w:pPr>
        <w:rPr>
          <w:lang w:eastAsia="en-US"/>
        </w:rPr>
      </w:pPr>
      <w:r w:rsidRPr="006C6CBB">
        <w:rPr>
          <w:lang w:eastAsia="en-US"/>
        </w:rPr>
        <w:t xml:space="preserve">These items also make a number of </w:t>
      </w:r>
      <w:proofErr w:type="gramStart"/>
      <w:r w:rsidRPr="006C6CBB">
        <w:rPr>
          <w:lang w:eastAsia="en-US"/>
        </w:rPr>
        <w:t>minor</w:t>
      </w:r>
      <w:proofErr w:type="gramEnd"/>
      <w:r w:rsidRPr="006C6CBB">
        <w:rPr>
          <w:lang w:eastAsia="en-US"/>
        </w:rPr>
        <w:t>, consequential editorial amendments to regulation 48 to insert subheadings and refer to an eligible person</w:t>
      </w:r>
      <w:r w:rsidR="005966A8" w:rsidRPr="006C6CBB">
        <w:rPr>
          <w:lang w:eastAsia="en-US"/>
        </w:rPr>
        <w:t xml:space="preserve"> </w:t>
      </w:r>
      <w:r w:rsidR="00CF3E5D" w:rsidRPr="006C6CBB">
        <w:rPr>
          <w:lang w:eastAsia="en-US"/>
        </w:rPr>
        <w:t xml:space="preserve">which </w:t>
      </w:r>
      <w:r w:rsidR="000F104E">
        <w:rPr>
          <w:lang w:eastAsia="en-US"/>
        </w:rPr>
        <w:t xml:space="preserve">is </w:t>
      </w:r>
      <w:r w:rsidR="00CF3E5D" w:rsidRPr="006C6CBB">
        <w:rPr>
          <w:lang w:eastAsia="en-US"/>
        </w:rPr>
        <w:t xml:space="preserve">now defined in </w:t>
      </w:r>
      <w:proofErr w:type="spellStart"/>
      <w:r w:rsidR="00CF3E5D" w:rsidRPr="006C6CBB">
        <w:rPr>
          <w:lang w:eastAsia="en-US"/>
        </w:rPr>
        <w:t>subregulation</w:t>
      </w:r>
      <w:proofErr w:type="spellEnd"/>
      <w:r w:rsidR="00CF3E5D" w:rsidRPr="006C6CBB">
        <w:rPr>
          <w:lang w:eastAsia="en-US"/>
        </w:rPr>
        <w:t xml:space="preserve"> 48(1)</w:t>
      </w:r>
      <w:r w:rsidRPr="006C6CBB">
        <w:rPr>
          <w:lang w:eastAsia="en-US"/>
        </w:rPr>
        <w:t xml:space="preserve">. </w:t>
      </w:r>
    </w:p>
    <w:p w14:paraId="09B7432D" w14:textId="5698C095" w:rsidR="00672F80" w:rsidRPr="006C6CBB" w:rsidRDefault="00672F80" w:rsidP="00C93D3E">
      <w:pPr>
        <w:rPr>
          <w:lang w:eastAsia="en-US"/>
        </w:rPr>
      </w:pPr>
    </w:p>
    <w:p w14:paraId="32398192" w14:textId="1946F896" w:rsidR="00672F80" w:rsidRPr="006C6CBB" w:rsidRDefault="00672F80" w:rsidP="00672F80">
      <w:pPr>
        <w:rPr>
          <w:b/>
          <w:iCs/>
        </w:rPr>
      </w:pPr>
      <w:r w:rsidRPr="006C6CBB">
        <w:rPr>
          <w:b/>
          <w:iCs/>
        </w:rPr>
        <w:t xml:space="preserve">Item [14] – </w:t>
      </w:r>
      <w:r w:rsidR="00B72087" w:rsidRPr="006C6CBB">
        <w:rPr>
          <w:b/>
          <w:iCs/>
        </w:rPr>
        <w:t xml:space="preserve">at the end of Division 18 of Part 9 </w:t>
      </w:r>
    </w:p>
    <w:p w14:paraId="632C896A" w14:textId="176EDBAE" w:rsidR="00672F80" w:rsidRPr="006C6CBB" w:rsidRDefault="00672F80" w:rsidP="00672F80">
      <w:pPr>
        <w:rPr>
          <w:lang w:eastAsia="en-US"/>
        </w:rPr>
      </w:pPr>
      <w:r w:rsidRPr="006C6CBB">
        <w:rPr>
          <w:lang w:eastAsia="en-US"/>
        </w:rPr>
        <w:t>This item introduce</w:t>
      </w:r>
      <w:r w:rsidR="000F104E">
        <w:rPr>
          <w:lang w:eastAsia="en-US"/>
        </w:rPr>
        <w:t>s</w:t>
      </w:r>
      <w:r w:rsidRPr="006C6CBB">
        <w:rPr>
          <w:lang w:eastAsia="en-US"/>
        </w:rPr>
        <w:t xml:space="preserve"> Division 18 </w:t>
      </w:r>
      <w:r w:rsidR="003941B7" w:rsidRPr="006C6CBB">
        <w:rPr>
          <w:lang w:eastAsia="en-US"/>
        </w:rPr>
        <w:t>to</w:t>
      </w:r>
      <w:r w:rsidRPr="006C6CBB">
        <w:rPr>
          <w:lang w:eastAsia="en-US"/>
        </w:rPr>
        <w:t xml:space="preserve"> Part 9 of the TG Regulations</w:t>
      </w:r>
      <w:r w:rsidR="003941B7" w:rsidRPr="006C6CBB">
        <w:rPr>
          <w:lang w:eastAsia="en-US"/>
        </w:rPr>
        <w:t xml:space="preserve"> to provide for the application of the amendments made by this Schedule. New </w:t>
      </w:r>
      <w:r w:rsidR="005966A8" w:rsidRPr="006C6CBB">
        <w:rPr>
          <w:lang w:eastAsia="en-US"/>
        </w:rPr>
        <w:t xml:space="preserve">regulation </w:t>
      </w:r>
      <w:r w:rsidR="003941B7" w:rsidRPr="006C6CBB">
        <w:rPr>
          <w:lang w:eastAsia="en-US"/>
        </w:rPr>
        <w:t>8</w:t>
      </w:r>
      <w:r w:rsidR="00B72087" w:rsidRPr="006C6CBB">
        <w:rPr>
          <w:lang w:eastAsia="en-US"/>
        </w:rPr>
        <w:t>7</w:t>
      </w:r>
      <w:r w:rsidR="003941B7" w:rsidRPr="006C6CBB">
        <w:rPr>
          <w:lang w:eastAsia="en-US"/>
        </w:rPr>
        <w:t xml:space="preserve"> provide</w:t>
      </w:r>
      <w:r w:rsidR="000F104E">
        <w:rPr>
          <w:lang w:eastAsia="en-US"/>
        </w:rPr>
        <w:t>s</w:t>
      </w:r>
      <w:r w:rsidR="003941B7" w:rsidRPr="006C6CBB">
        <w:rPr>
          <w:lang w:eastAsia="en-US"/>
        </w:rPr>
        <w:t xml:space="preserve"> that the amendments of regulation 48 made by Schedule 2 of these regulations apply in relation to initial decisions made on or after the commencement of this regulation. </w:t>
      </w:r>
    </w:p>
    <w:p w14:paraId="3D20E68D" w14:textId="77777777" w:rsidR="00672F80" w:rsidRPr="006C6CBB" w:rsidRDefault="00672F80" w:rsidP="00C93D3E">
      <w:pPr>
        <w:rPr>
          <w:lang w:eastAsia="en-US"/>
        </w:rPr>
      </w:pPr>
    </w:p>
    <w:p w14:paraId="2185921E" w14:textId="4D14AA3A" w:rsidR="00C93D3E" w:rsidRPr="006C6CBB" w:rsidRDefault="00C93D3E" w:rsidP="008C2D89">
      <w:pPr>
        <w:rPr>
          <w:bCs/>
          <w:iCs/>
        </w:rPr>
      </w:pPr>
    </w:p>
    <w:p w14:paraId="0728F51A" w14:textId="18EF1CD4" w:rsidR="00805BEB" w:rsidRPr="006C6CBB" w:rsidRDefault="00805BEB" w:rsidP="00805BEB">
      <w:pPr>
        <w:keepNext/>
        <w:keepLines/>
        <w:rPr>
          <w:u w:val="single"/>
        </w:rPr>
      </w:pPr>
      <w:r w:rsidRPr="006C6CBB">
        <w:rPr>
          <w:u w:val="single"/>
        </w:rPr>
        <w:t>Schedule 3 – Other amendments</w:t>
      </w:r>
    </w:p>
    <w:p w14:paraId="3108ED91" w14:textId="77777777" w:rsidR="00C93D3E" w:rsidRPr="006C6CBB" w:rsidRDefault="00C93D3E" w:rsidP="00C93D3E">
      <w:pPr>
        <w:keepNext/>
        <w:keepLines/>
        <w:rPr>
          <w:b/>
          <w:iCs/>
        </w:rPr>
      </w:pPr>
    </w:p>
    <w:p w14:paraId="3E8EB455" w14:textId="4F5D582F" w:rsidR="00C93D3E" w:rsidRPr="006C6CBB" w:rsidRDefault="00C93D3E" w:rsidP="00C93D3E">
      <w:pPr>
        <w:keepNext/>
        <w:keepLines/>
        <w:rPr>
          <w:b/>
          <w:i/>
        </w:rPr>
      </w:pPr>
      <w:r w:rsidRPr="006C6CBB">
        <w:rPr>
          <w:b/>
          <w:i/>
        </w:rPr>
        <w:t xml:space="preserve">Therapeutic Goods </w:t>
      </w:r>
      <w:r w:rsidR="00BD42B8" w:rsidRPr="006C6CBB">
        <w:rPr>
          <w:b/>
          <w:i/>
        </w:rPr>
        <w:t xml:space="preserve">(Medical Devices) </w:t>
      </w:r>
      <w:r w:rsidRPr="006C6CBB">
        <w:rPr>
          <w:b/>
          <w:i/>
        </w:rPr>
        <w:t xml:space="preserve">Regulations </w:t>
      </w:r>
      <w:r w:rsidR="00BD42B8" w:rsidRPr="006C6CBB">
        <w:rPr>
          <w:b/>
          <w:i/>
        </w:rPr>
        <w:t>2002</w:t>
      </w:r>
    </w:p>
    <w:p w14:paraId="6AD27F53" w14:textId="77777777" w:rsidR="00C93D3E" w:rsidRPr="006C6CBB" w:rsidRDefault="00C93D3E" w:rsidP="008C2D89">
      <w:pPr>
        <w:rPr>
          <w:bCs/>
          <w:iCs/>
        </w:rPr>
      </w:pPr>
    </w:p>
    <w:p w14:paraId="04A60A94" w14:textId="795E4500" w:rsidR="00672D00" w:rsidRPr="006C6CBB" w:rsidRDefault="00672D00" w:rsidP="00672D00">
      <w:pPr>
        <w:keepNext/>
        <w:keepLines/>
        <w:rPr>
          <w:b/>
          <w:i/>
        </w:rPr>
      </w:pPr>
      <w:r w:rsidRPr="006C6CBB">
        <w:rPr>
          <w:b/>
          <w:iCs/>
        </w:rPr>
        <w:t>Items [</w:t>
      </w:r>
      <w:r w:rsidR="00645E88" w:rsidRPr="006C6CBB">
        <w:rPr>
          <w:b/>
          <w:iCs/>
        </w:rPr>
        <w:t>1</w:t>
      </w:r>
      <w:r w:rsidRPr="006C6CBB">
        <w:rPr>
          <w:b/>
          <w:iCs/>
        </w:rPr>
        <w:t xml:space="preserve">] </w:t>
      </w:r>
      <w:r w:rsidR="00BD42B8" w:rsidRPr="006C6CBB">
        <w:rPr>
          <w:b/>
          <w:iCs/>
        </w:rPr>
        <w:t>to</w:t>
      </w:r>
      <w:r w:rsidRPr="006C6CBB">
        <w:rPr>
          <w:b/>
          <w:iCs/>
        </w:rPr>
        <w:t xml:space="preserve"> [</w:t>
      </w:r>
      <w:r w:rsidR="00463D11" w:rsidRPr="006C6CBB">
        <w:rPr>
          <w:b/>
          <w:iCs/>
        </w:rPr>
        <w:t>2</w:t>
      </w:r>
      <w:r w:rsidRPr="006C6CBB">
        <w:rPr>
          <w:b/>
          <w:iCs/>
        </w:rPr>
        <w:t xml:space="preserve">] – </w:t>
      </w:r>
      <w:r w:rsidR="00BD42B8" w:rsidRPr="006C6CBB">
        <w:rPr>
          <w:b/>
          <w:iCs/>
        </w:rPr>
        <w:t xml:space="preserve">Subclause 13A.2(2) of Schedule 1 </w:t>
      </w:r>
      <w:r w:rsidR="00463D11" w:rsidRPr="006C6CBB">
        <w:rPr>
          <w:b/>
          <w:iCs/>
        </w:rPr>
        <w:t xml:space="preserve">(table item 1, column headed “Information”, paragraphs (c) and (d)) </w:t>
      </w:r>
    </w:p>
    <w:p w14:paraId="030F7887" w14:textId="12EE6400" w:rsidR="00846E15" w:rsidRPr="006C6CBB" w:rsidRDefault="00416407" w:rsidP="00235CFC">
      <w:pPr>
        <w:rPr>
          <w:lang w:eastAsia="en-US"/>
        </w:rPr>
      </w:pPr>
      <w:r w:rsidRPr="006C6CBB">
        <w:rPr>
          <w:lang w:eastAsia="en-US"/>
        </w:rPr>
        <w:t>This item amend</w:t>
      </w:r>
      <w:r w:rsidR="000F104E">
        <w:rPr>
          <w:lang w:eastAsia="en-US"/>
        </w:rPr>
        <w:t>s</w:t>
      </w:r>
      <w:r w:rsidRPr="006C6CBB">
        <w:rPr>
          <w:lang w:eastAsia="en-US"/>
        </w:rPr>
        <w:t xml:space="preserve"> subclause 13A.2(2) of Schedule 1 to the MD Regulations to remove the requirement for a unique device identifier on patient implant cards.</w:t>
      </w:r>
      <w:r w:rsidR="00846E15" w:rsidRPr="006C6CBB">
        <w:rPr>
          <w:lang w:eastAsia="en-US"/>
        </w:rPr>
        <w:t xml:space="preserve"> </w:t>
      </w:r>
    </w:p>
    <w:p w14:paraId="331A3A26" w14:textId="77777777" w:rsidR="00846E15" w:rsidRPr="006C6CBB" w:rsidRDefault="00846E15" w:rsidP="00235CFC">
      <w:pPr>
        <w:rPr>
          <w:lang w:eastAsia="en-US"/>
        </w:rPr>
      </w:pPr>
    </w:p>
    <w:p w14:paraId="45EB5274" w14:textId="10359193" w:rsidR="00645E88" w:rsidRPr="006C6CBB" w:rsidRDefault="00846E15" w:rsidP="00235CFC">
      <w:pPr>
        <w:rPr>
          <w:lang w:eastAsia="en-US"/>
        </w:rPr>
      </w:pPr>
      <w:r w:rsidRPr="006C6CBB">
        <w:rPr>
          <w:lang w:eastAsia="en-US"/>
        </w:rPr>
        <w:t>Clause 13A.2(2) requires a manufacturer or sponsor to include a unique device identifier on a patient implant card for any device that has a unique device identifier. U</w:t>
      </w:r>
      <w:r w:rsidR="004161D1" w:rsidRPr="006C6CBB">
        <w:rPr>
          <w:lang w:eastAsia="en-US"/>
        </w:rPr>
        <w:t>nique device identifier is defined</w:t>
      </w:r>
      <w:r w:rsidRPr="006C6CBB">
        <w:rPr>
          <w:lang w:eastAsia="en-US"/>
        </w:rPr>
        <w:t xml:space="preserve"> as meaning, in short, a unique device identifier issued in accordance with EU Medical Devices Regulation 2017/745 of the European Parliament and of the Council. </w:t>
      </w:r>
    </w:p>
    <w:p w14:paraId="721E6D75" w14:textId="145A1AC7" w:rsidR="00846E15" w:rsidRPr="006C6CBB" w:rsidRDefault="00846E15" w:rsidP="00235CFC">
      <w:pPr>
        <w:rPr>
          <w:lang w:eastAsia="en-US"/>
        </w:rPr>
      </w:pPr>
    </w:p>
    <w:p w14:paraId="45B86533" w14:textId="77777777" w:rsidR="00672F80" w:rsidRPr="006C6CBB" w:rsidRDefault="00846E15" w:rsidP="00235CFC">
      <w:pPr>
        <w:rPr>
          <w:lang w:eastAsia="en-US"/>
        </w:rPr>
      </w:pPr>
      <w:r w:rsidRPr="006C6CBB">
        <w:rPr>
          <w:lang w:eastAsia="en-US"/>
        </w:rPr>
        <w:t>As unique device identifiers are not harmonised globally, there are some concerns about complying with the unique device identifier requirement in clause 13A.2</w:t>
      </w:r>
      <w:r w:rsidR="00672F80" w:rsidRPr="006C6CBB">
        <w:rPr>
          <w:lang w:eastAsia="en-US"/>
        </w:rPr>
        <w:t xml:space="preserve"> and potential confusion for consumers. Manufacturers may apply a unique device identifier from another jurisdiction if a European unique device identifier has not been assigned. Patients would then not know where information about the device can be accessed. Patients will need to know where and how to search for information using the </w:t>
      </w:r>
      <w:proofErr w:type="gramStart"/>
      <w:r w:rsidR="00672F80" w:rsidRPr="006C6CBB">
        <w:rPr>
          <w:lang w:eastAsia="en-US"/>
        </w:rPr>
        <w:t>particular unique</w:t>
      </w:r>
      <w:proofErr w:type="gramEnd"/>
      <w:r w:rsidR="00672F80" w:rsidRPr="006C6CBB">
        <w:rPr>
          <w:lang w:eastAsia="en-US"/>
        </w:rPr>
        <w:t xml:space="preserve"> device identifier. </w:t>
      </w:r>
    </w:p>
    <w:p w14:paraId="383FB352" w14:textId="77777777" w:rsidR="00672F80" w:rsidRPr="006C6CBB" w:rsidRDefault="00672F80" w:rsidP="00235CFC">
      <w:pPr>
        <w:rPr>
          <w:lang w:eastAsia="en-US"/>
        </w:rPr>
      </w:pPr>
    </w:p>
    <w:p w14:paraId="0C38F914" w14:textId="1A9696F2" w:rsidR="00672F80" w:rsidRPr="006C6CBB" w:rsidRDefault="00672F80" w:rsidP="00235CFC">
      <w:pPr>
        <w:rPr>
          <w:lang w:eastAsia="en-US"/>
        </w:rPr>
      </w:pPr>
      <w:r w:rsidRPr="006C6CBB">
        <w:rPr>
          <w:lang w:eastAsia="en-US"/>
        </w:rPr>
        <w:t xml:space="preserve">Accordingly, it is proposed that the requirement for a unique device identifier on patient information cards be postponed until the Australian Unique Device Identification system has been implemented. </w:t>
      </w:r>
    </w:p>
    <w:p w14:paraId="5AF9AE8F" w14:textId="77777777" w:rsidR="001E0013" w:rsidRPr="006C6CBB" w:rsidRDefault="001E0013" w:rsidP="00235CFC">
      <w:pPr>
        <w:rPr>
          <w:lang w:eastAsia="en-US"/>
        </w:rPr>
      </w:pPr>
    </w:p>
    <w:p w14:paraId="0BC52910" w14:textId="5E7F19E8" w:rsidR="007A27A1" w:rsidRPr="006C6CBB" w:rsidRDefault="00B70372" w:rsidP="00463D11">
      <w:pPr>
        <w:keepNext/>
        <w:keepLines/>
        <w:rPr>
          <w:lang w:eastAsia="en-US"/>
        </w:rPr>
      </w:pPr>
      <w:r w:rsidRPr="006C6CBB">
        <w:rPr>
          <w:b/>
          <w:iCs/>
        </w:rPr>
        <w:lastRenderedPageBreak/>
        <w:t>Item [</w:t>
      </w:r>
      <w:r w:rsidR="00463D11" w:rsidRPr="006C6CBB">
        <w:rPr>
          <w:b/>
          <w:iCs/>
        </w:rPr>
        <w:t>3</w:t>
      </w:r>
      <w:r w:rsidRPr="006C6CBB">
        <w:rPr>
          <w:b/>
          <w:iCs/>
        </w:rPr>
        <w:t>] –</w:t>
      </w:r>
      <w:r w:rsidR="00463D11" w:rsidRPr="006C6CBB">
        <w:rPr>
          <w:b/>
          <w:iCs/>
        </w:rPr>
        <w:t xml:space="preserve">Dictionary (Definition of </w:t>
      </w:r>
      <w:r w:rsidR="00463D11" w:rsidRPr="006C6CBB">
        <w:rPr>
          <w:b/>
          <w:i/>
        </w:rPr>
        <w:t>unique device identifier</w:t>
      </w:r>
      <w:r w:rsidR="00463D11" w:rsidRPr="006C6CBB">
        <w:rPr>
          <w:b/>
          <w:iCs/>
        </w:rPr>
        <w:t>)</w:t>
      </w:r>
      <w:r w:rsidRPr="006C6CBB">
        <w:rPr>
          <w:b/>
          <w:iCs/>
        </w:rPr>
        <w:br/>
      </w:r>
      <w:r w:rsidR="006C2379" w:rsidRPr="006C6CBB">
        <w:rPr>
          <w:lang w:eastAsia="en-US"/>
        </w:rPr>
        <w:t>These items</w:t>
      </w:r>
      <w:r w:rsidR="0020789E" w:rsidRPr="006C6CBB">
        <w:rPr>
          <w:lang w:eastAsia="en-US"/>
        </w:rPr>
        <w:t xml:space="preserve"> </w:t>
      </w:r>
      <w:r w:rsidR="00463D11" w:rsidRPr="006C6CBB">
        <w:rPr>
          <w:lang w:eastAsia="en-US"/>
        </w:rPr>
        <w:t xml:space="preserve">repeal the definition of ‘unique device identifier’ in the Dictionary to the MD Regulations as, with the above amendment, </w:t>
      </w:r>
      <w:proofErr w:type="gramStart"/>
      <w:r w:rsidR="00463D11" w:rsidRPr="006C6CBB">
        <w:rPr>
          <w:lang w:eastAsia="en-US"/>
        </w:rPr>
        <w:t>this terms</w:t>
      </w:r>
      <w:proofErr w:type="gramEnd"/>
      <w:r w:rsidR="00463D11" w:rsidRPr="006C6CBB">
        <w:rPr>
          <w:lang w:eastAsia="en-US"/>
        </w:rPr>
        <w:t xml:space="preserve"> is no longer used in the MD Regulations</w:t>
      </w:r>
      <w:r w:rsidR="0020789E" w:rsidRPr="006C6CBB">
        <w:rPr>
          <w:lang w:eastAsia="en-US"/>
        </w:rPr>
        <w:t xml:space="preserve">. </w:t>
      </w:r>
    </w:p>
    <w:p w14:paraId="5067EE25" w14:textId="28175FEC" w:rsidR="00463D11" w:rsidRPr="006C6CBB" w:rsidRDefault="00463D11" w:rsidP="00463D11">
      <w:pPr>
        <w:keepNext/>
        <w:keepLines/>
        <w:rPr>
          <w:lang w:eastAsia="en-US"/>
        </w:rPr>
      </w:pPr>
    </w:p>
    <w:p w14:paraId="23C7BBD9" w14:textId="77777777" w:rsidR="00463D11" w:rsidRPr="006C6CBB" w:rsidRDefault="00463D11" w:rsidP="00463D11">
      <w:pPr>
        <w:keepNext/>
        <w:keepLines/>
        <w:rPr>
          <w:lang w:eastAsia="en-US"/>
        </w:rPr>
      </w:pPr>
    </w:p>
    <w:p w14:paraId="1D6FA429" w14:textId="06EC08B9" w:rsidR="00463D11" w:rsidRPr="006C6CBB" w:rsidRDefault="00463D11" w:rsidP="00463D11">
      <w:pPr>
        <w:keepNext/>
        <w:keepLines/>
        <w:rPr>
          <w:b/>
          <w:bCs/>
          <w:i/>
          <w:iCs/>
        </w:rPr>
      </w:pPr>
      <w:r w:rsidRPr="006C6CBB">
        <w:rPr>
          <w:b/>
          <w:bCs/>
          <w:i/>
          <w:iCs/>
          <w:lang w:eastAsia="en-US"/>
        </w:rPr>
        <w:t>Therapeutic Goods Regulations 1990</w:t>
      </w:r>
    </w:p>
    <w:p w14:paraId="09772CA0" w14:textId="3BF79A51" w:rsidR="00170B6E" w:rsidRPr="006C6CBB" w:rsidRDefault="00170B6E" w:rsidP="00235CFC">
      <w:pPr>
        <w:rPr>
          <w:lang w:eastAsia="en-US"/>
        </w:rPr>
      </w:pPr>
    </w:p>
    <w:p w14:paraId="72BB2360" w14:textId="691D1BDB" w:rsidR="00170B6E" w:rsidRPr="006C6CBB" w:rsidRDefault="00170B6E" w:rsidP="00170B6E">
      <w:pPr>
        <w:rPr>
          <w:b/>
          <w:bCs/>
          <w:lang w:eastAsia="en-US"/>
        </w:rPr>
      </w:pPr>
      <w:r w:rsidRPr="006C6CBB">
        <w:rPr>
          <w:b/>
          <w:bCs/>
          <w:lang w:eastAsia="en-US"/>
        </w:rPr>
        <w:t>Item [</w:t>
      </w:r>
      <w:r w:rsidR="00463D11" w:rsidRPr="006C6CBB">
        <w:rPr>
          <w:b/>
          <w:bCs/>
          <w:lang w:eastAsia="en-US"/>
        </w:rPr>
        <w:t>4</w:t>
      </w:r>
      <w:r w:rsidRPr="006C6CBB">
        <w:rPr>
          <w:b/>
          <w:bCs/>
          <w:lang w:eastAsia="en-US"/>
        </w:rPr>
        <w:t xml:space="preserve">] – </w:t>
      </w:r>
      <w:proofErr w:type="spellStart"/>
      <w:r w:rsidR="00463D11" w:rsidRPr="006C6CBB">
        <w:rPr>
          <w:b/>
          <w:bCs/>
          <w:lang w:eastAsia="en-US"/>
        </w:rPr>
        <w:t>Subregulation</w:t>
      </w:r>
      <w:proofErr w:type="spellEnd"/>
      <w:r w:rsidR="00463D11" w:rsidRPr="006C6CBB">
        <w:rPr>
          <w:b/>
          <w:bCs/>
          <w:lang w:eastAsia="en-US"/>
        </w:rPr>
        <w:t xml:space="preserve"> 12</w:t>
      </w:r>
      <w:proofErr w:type="gramStart"/>
      <w:r w:rsidR="00463D11" w:rsidRPr="006C6CBB">
        <w:rPr>
          <w:b/>
          <w:bCs/>
          <w:lang w:eastAsia="en-US"/>
        </w:rPr>
        <w:t>A(</w:t>
      </w:r>
      <w:proofErr w:type="gramEnd"/>
      <w:r w:rsidR="00463D11" w:rsidRPr="006C6CBB">
        <w:rPr>
          <w:b/>
          <w:bCs/>
          <w:lang w:eastAsia="en-US"/>
        </w:rPr>
        <w:t>1)</w:t>
      </w:r>
      <w:r w:rsidRPr="006C6CBB">
        <w:rPr>
          <w:b/>
          <w:bCs/>
          <w:lang w:eastAsia="en-US"/>
        </w:rPr>
        <w:t xml:space="preserve"> </w:t>
      </w:r>
    </w:p>
    <w:p w14:paraId="5DD229DE" w14:textId="4D11C52D" w:rsidR="00463D11" w:rsidRDefault="00170B6E" w:rsidP="00170B6E">
      <w:pPr>
        <w:rPr>
          <w:lang w:eastAsia="en-US"/>
        </w:rPr>
      </w:pPr>
      <w:r w:rsidRPr="006C6CBB">
        <w:rPr>
          <w:lang w:eastAsia="en-US"/>
        </w:rPr>
        <w:t xml:space="preserve">This item </w:t>
      </w:r>
      <w:r w:rsidR="00463D11" w:rsidRPr="006C6CBB">
        <w:rPr>
          <w:lang w:eastAsia="en-US"/>
        </w:rPr>
        <w:t>amend</w:t>
      </w:r>
      <w:r w:rsidR="00775F79">
        <w:rPr>
          <w:lang w:eastAsia="en-US"/>
        </w:rPr>
        <w:t>s</w:t>
      </w:r>
      <w:r w:rsidR="00463D11" w:rsidRPr="006C6CBB">
        <w:rPr>
          <w:lang w:eastAsia="en-US"/>
        </w:rPr>
        <w:t xml:space="preserve"> </w:t>
      </w:r>
      <w:proofErr w:type="spellStart"/>
      <w:r w:rsidR="00463D11" w:rsidRPr="006C6CBB">
        <w:rPr>
          <w:lang w:eastAsia="en-US"/>
        </w:rPr>
        <w:t>subregulation</w:t>
      </w:r>
      <w:proofErr w:type="spellEnd"/>
      <w:r w:rsidR="00463D11" w:rsidRPr="006C6CBB">
        <w:rPr>
          <w:lang w:eastAsia="en-US"/>
        </w:rPr>
        <w:t xml:space="preserve"> 12</w:t>
      </w:r>
      <w:proofErr w:type="gramStart"/>
      <w:r w:rsidR="00463D11" w:rsidRPr="006C6CBB">
        <w:rPr>
          <w:lang w:eastAsia="en-US"/>
        </w:rPr>
        <w:t>A(</w:t>
      </w:r>
      <w:proofErr w:type="gramEnd"/>
      <w:r w:rsidR="00463D11" w:rsidRPr="006C6CBB">
        <w:rPr>
          <w:lang w:eastAsia="en-US"/>
        </w:rPr>
        <w:t xml:space="preserve">1) of the TG Regulations to provide that medicines in Schedule 10 to the current Poisons Standard are excluded from the exemption in regulation 12A, commonly known as the Special Access Scheme Category A (SAS A) pathway. This amendment reflects that it is not appropriate for medicines in Schedules 9 and 10 to the current Poisons Standard to be accessed through the SAS A scheme as they are prohibited from sale, supply and use </w:t>
      </w:r>
      <w:r w:rsidR="006C5274" w:rsidRPr="006C6CBB">
        <w:rPr>
          <w:lang w:eastAsia="en-US"/>
        </w:rPr>
        <w:t>under the Poisons Standard and state and territory legislation.</w:t>
      </w:r>
      <w:r w:rsidR="006C5274">
        <w:rPr>
          <w:lang w:eastAsia="en-US"/>
        </w:rPr>
        <w:t xml:space="preserve"> </w:t>
      </w:r>
    </w:p>
    <w:p w14:paraId="3DA6F80E" w14:textId="77777777" w:rsidR="00463D11" w:rsidRDefault="00463D11" w:rsidP="00170B6E">
      <w:pPr>
        <w:rPr>
          <w:lang w:eastAsia="en-US"/>
        </w:rPr>
      </w:pPr>
    </w:p>
    <w:p w14:paraId="0313AAEF" w14:textId="70BB34EE" w:rsidR="00775F79" w:rsidRDefault="00775F79">
      <w:pPr>
        <w:spacing w:after="200" w:line="276" w:lineRule="auto"/>
      </w:pPr>
      <w:r>
        <w:br w:type="page"/>
      </w:r>
    </w:p>
    <w:p w14:paraId="0A7CA039" w14:textId="77777777" w:rsidR="000F104E" w:rsidRPr="00FF19B7" w:rsidRDefault="000F104E" w:rsidP="000F104E">
      <w:pPr>
        <w:jc w:val="center"/>
        <w:rPr>
          <w:b/>
          <w:sz w:val="28"/>
          <w:szCs w:val="28"/>
        </w:rPr>
      </w:pPr>
      <w:r w:rsidRPr="00FF19B7">
        <w:rPr>
          <w:b/>
          <w:sz w:val="28"/>
          <w:szCs w:val="28"/>
        </w:rPr>
        <w:lastRenderedPageBreak/>
        <w:t>Statement of Compatibility with Human Rights</w:t>
      </w:r>
    </w:p>
    <w:p w14:paraId="6A1B6034" w14:textId="77777777" w:rsidR="000F104E" w:rsidRPr="00FF19B7" w:rsidRDefault="000F104E" w:rsidP="000F104E">
      <w:pPr>
        <w:rPr>
          <w:szCs w:val="24"/>
        </w:rPr>
      </w:pPr>
    </w:p>
    <w:p w14:paraId="37469F41" w14:textId="77777777" w:rsidR="000F104E" w:rsidRPr="00FF19B7" w:rsidRDefault="000F104E" w:rsidP="000F104E">
      <w:pPr>
        <w:rPr>
          <w:szCs w:val="24"/>
        </w:rPr>
      </w:pPr>
      <w:r w:rsidRPr="00FF19B7">
        <w:rPr>
          <w:szCs w:val="24"/>
        </w:rPr>
        <w:t xml:space="preserve">Prepared in accordance with Part 3 of the </w:t>
      </w:r>
      <w:r w:rsidRPr="00FF19B7">
        <w:rPr>
          <w:i/>
          <w:szCs w:val="24"/>
        </w:rPr>
        <w:t>Human Rights (Parliamentary Scrutiny) Act 2011</w:t>
      </w:r>
    </w:p>
    <w:p w14:paraId="2B585DD3" w14:textId="77777777" w:rsidR="000F104E" w:rsidRPr="00FF19B7" w:rsidRDefault="000F104E" w:rsidP="000F104E">
      <w:pPr>
        <w:rPr>
          <w:b/>
          <w:szCs w:val="24"/>
        </w:rPr>
      </w:pPr>
    </w:p>
    <w:p w14:paraId="78143FFD" w14:textId="77777777" w:rsidR="000F104E" w:rsidRPr="00FF19B7" w:rsidRDefault="000F104E" w:rsidP="000F104E">
      <w:pPr>
        <w:ind w:firstLine="3"/>
        <w:jc w:val="center"/>
        <w:rPr>
          <w:b/>
          <w:caps/>
          <w:szCs w:val="24"/>
        </w:rPr>
      </w:pPr>
      <w:r w:rsidRPr="00FF19B7">
        <w:rPr>
          <w:b/>
          <w:szCs w:val="24"/>
        </w:rPr>
        <w:t>Therapeutic Goods Legislation Amendment (202</w:t>
      </w:r>
      <w:r>
        <w:rPr>
          <w:b/>
          <w:szCs w:val="24"/>
        </w:rPr>
        <w:t>2</w:t>
      </w:r>
      <w:r w:rsidRPr="00FF19B7">
        <w:rPr>
          <w:b/>
          <w:szCs w:val="24"/>
        </w:rPr>
        <w:t xml:space="preserve"> Measures No. </w:t>
      </w:r>
      <w:r>
        <w:rPr>
          <w:b/>
          <w:szCs w:val="24"/>
        </w:rPr>
        <w:t>1</w:t>
      </w:r>
      <w:r w:rsidRPr="00FF19B7">
        <w:rPr>
          <w:b/>
          <w:szCs w:val="24"/>
        </w:rPr>
        <w:t>) Regulations 202</w:t>
      </w:r>
      <w:r>
        <w:rPr>
          <w:b/>
          <w:szCs w:val="24"/>
        </w:rPr>
        <w:t>2</w:t>
      </w:r>
      <w:r w:rsidRPr="00FF19B7">
        <w:rPr>
          <w:b/>
          <w:szCs w:val="24"/>
        </w:rPr>
        <w:t xml:space="preserve"> </w:t>
      </w:r>
    </w:p>
    <w:p w14:paraId="3BE7D308" w14:textId="77777777" w:rsidR="000F104E" w:rsidRPr="00FF19B7" w:rsidRDefault="000F104E" w:rsidP="000F104E">
      <w:pPr>
        <w:rPr>
          <w:szCs w:val="24"/>
        </w:rPr>
      </w:pPr>
    </w:p>
    <w:p w14:paraId="4797B924" w14:textId="77777777" w:rsidR="000F104E" w:rsidRPr="00FF19B7" w:rsidRDefault="000F104E" w:rsidP="000F104E">
      <w:pPr>
        <w:rPr>
          <w:b/>
          <w:szCs w:val="24"/>
        </w:rPr>
      </w:pPr>
      <w:r w:rsidRPr="00FF19B7">
        <w:rPr>
          <w:szCs w:val="24"/>
        </w:rPr>
        <w:t xml:space="preserve">The </w:t>
      </w:r>
      <w:r w:rsidRPr="00FF19B7">
        <w:rPr>
          <w:i/>
          <w:szCs w:val="24"/>
        </w:rPr>
        <w:t>Therapeutic Goods Legislation Amendment (202</w:t>
      </w:r>
      <w:r>
        <w:rPr>
          <w:i/>
          <w:szCs w:val="24"/>
        </w:rPr>
        <w:t>2</w:t>
      </w:r>
      <w:r w:rsidRPr="00FF19B7">
        <w:rPr>
          <w:i/>
          <w:szCs w:val="24"/>
        </w:rPr>
        <w:t xml:space="preserve"> Measures No. </w:t>
      </w:r>
      <w:r>
        <w:rPr>
          <w:i/>
          <w:szCs w:val="24"/>
        </w:rPr>
        <w:t>1</w:t>
      </w:r>
      <w:r w:rsidRPr="00FF19B7">
        <w:rPr>
          <w:i/>
          <w:szCs w:val="24"/>
        </w:rPr>
        <w:t>) Regulations 202</w:t>
      </w:r>
      <w:r>
        <w:rPr>
          <w:i/>
          <w:szCs w:val="24"/>
        </w:rPr>
        <w:t>2</w:t>
      </w:r>
      <w:r w:rsidRPr="00FF19B7">
        <w:rPr>
          <w:i/>
          <w:szCs w:val="24"/>
        </w:rPr>
        <w:t xml:space="preserve"> </w:t>
      </w:r>
      <w:r w:rsidRPr="00FF19B7">
        <w:rPr>
          <w:szCs w:val="24"/>
        </w:rPr>
        <w:t xml:space="preserve">(the Regulations) are compatible with the human rights and freedoms recognised or declared in the international instruments listed in section 3 of the </w:t>
      </w:r>
      <w:r w:rsidRPr="00FF19B7">
        <w:rPr>
          <w:i/>
          <w:szCs w:val="24"/>
        </w:rPr>
        <w:t>Human Rights (Parliamentary Scrutiny) Act 2011</w:t>
      </w:r>
      <w:r w:rsidRPr="00FF19B7">
        <w:rPr>
          <w:szCs w:val="24"/>
        </w:rPr>
        <w:t>.</w:t>
      </w:r>
    </w:p>
    <w:p w14:paraId="22A66EC0" w14:textId="77777777" w:rsidR="000F104E" w:rsidRPr="00FF19B7" w:rsidRDefault="000F104E" w:rsidP="000F104E">
      <w:pPr>
        <w:rPr>
          <w:szCs w:val="24"/>
        </w:rPr>
      </w:pPr>
    </w:p>
    <w:p w14:paraId="65F378F7" w14:textId="77777777" w:rsidR="000F104E" w:rsidRPr="00FF19B7" w:rsidRDefault="000F104E" w:rsidP="000F104E">
      <w:pPr>
        <w:rPr>
          <w:b/>
          <w:szCs w:val="24"/>
        </w:rPr>
      </w:pPr>
      <w:r w:rsidRPr="00FF19B7">
        <w:rPr>
          <w:b/>
          <w:szCs w:val="24"/>
        </w:rPr>
        <w:t>Overview of the Legislative Instrument</w:t>
      </w:r>
    </w:p>
    <w:p w14:paraId="487484EE" w14:textId="77777777" w:rsidR="000F104E" w:rsidRDefault="000F104E" w:rsidP="000F104E">
      <w:pPr>
        <w:rPr>
          <w:szCs w:val="24"/>
        </w:rPr>
      </w:pPr>
      <w:r w:rsidRPr="00FF19B7">
        <w:rPr>
          <w:szCs w:val="24"/>
        </w:rPr>
        <w:t xml:space="preserve">The Regulations are made under subsection 63(1) of the </w:t>
      </w:r>
      <w:r w:rsidRPr="00FF19B7">
        <w:rPr>
          <w:i/>
          <w:szCs w:val="24"/>
        </w:rPr>
        <w:t>Therapeutic Goods Act 1989</w:t>
      </w:r>
      <w:r w:rsidRPr="00FF19B7">
        <w:rPr>
          <w:szCs w:val="24"/>
        </w:rPr>
        <w:t xml:space="preserve"> (the Act)</w:t>
      </w:r>
      <w:r>
        <w:rPr>
          <w:szCs w:val="24"/>
        </w:rPr>
        <w:t xml:space="preserve">, and section 27 of the </w:t>
      </w:r>
      <w:r w:rsidRPr="00CD155C">
        <w:rPr>
          <w:i/>
          <w:iCs/>
          <w:szCs w:val="24"/>
        </w:rPr>
        <w:t>Narcotic Drugs Act 1967</w:t>
      </w:r>
      <w:r>
        <w:rPr>
          <w:szCs w:val="24"/>
        </w:rPr>
        <w:t xml:space="preserve"> (the ND Act)</w:t>
      </w:r>
      <w:r w:rsidRPr="00FF19B7">
        <w:rPr>
          <w:szCs w:val="24"/>
        </w:rPr>
        <w:t xml:space="preserve">. </w:t>
      </w:r>
    </w:p>
    <w:p w14:paraId="391C7933" w14:textId="77777777" w:rsidR="000F104E" w:rsidRDefault="000F104E" w:rsidP="000F104E">
      <w:pPr>
        <w:rPr>
          <w:szCs w:val="24"/>
        </w:rPr>
      </w:pPr>
    </w:p>
    <w:p w14:paraId="14627218" w14:textId="77777777" w:rsidR="000F104E" w:rsidRDefault="000F104E" w:rsidP="000F104E">
      <w:pPr>
        <w:rPr>
          <w:szCs w:val="24"/>
        </w:rPr>
      </w:pPr>
      <w:r>
        <w:rPr>
          <w:szCs w:val="24"/>
        </w:rPr>
        <w:t xml:space="preserve">The purpose of the </w:t>
      </w:r>
      <w:r w:rsidRPr="00381E90">
        <w:rPr>
          <w:i/>
          <w:szCs w:val="24"/>
        </w:rPr>
        <w:t>Therapeutic Goods</w:t>
      </w:r>
      <w:r>
        <w:rPr>
          <w:i/>
          <w:szCs w:val="24"/>
        </w:rPr>
        <w:t xml:space="preserve"> Legislation Amendment (2022 Measures No. 1) Regulations 2022</w:t>
      </w:r>
      <w:r>
        <w:rPr>
          <w:szCs w:val="24"/>
        </w:rPr>
        <w:t xml:space="preserve"> (the  Regulations) is to amend the </w:t>
      </w:r>
      <w:r w:rsidRPr="00614D84">
        <w:rPr>
          <w:i/>
          <w:szCs w:val="24"/>
        </w:rPr>
        <w:t>Therapeutic Goods Regulations 1990</w:t>
      </w:r>
      <w:r>
        <w:rPr>
          <w:szCs w:val="24"/>
        </w:rPr>
        <w:t xml:space="preserve"> (the TG Regulations) and the </w:t>
      </w:r>
      <w:r w:rsidRPr="00803815">
        <w:rPr>
          <w:i/>
          <w:iCs/>
          <w:szCs w:val="24"/>
        </w:rPr>
        <w:t>Narcotic Drug</w:t>
      </w:r>
      <w:r>
        <w:rPr>
          <w:i/>
          <w:iCs/>
          <w:szCs w:val="24"/>
        </w:rPr>
        <w:t>s</w:t>
      </w:r>
      <w:r w:rsidRPr="00803815">
        <w:rPr>
          <w:i/>
          <w:iCs/>
          <w:szCs w:val="24"/>
        </w:rPr>
        <w:t xml:space="preserve"> Regulation 2016</w:t>
      </w:r>
      <w:r>
        <w:rPr>
          <w:szCs w:val="24"/>
        </w:rPr>
        <w:t xml:space="preserve"> (the ND Regulations), principally to implement reforms to the regulation of medicinal cannabis products in Australia and support the safe use of extemporaneously compounded medicinal cannabis products in Australia, and to make a small number of other, more minor amendments, to the TG Regulations and the </w:t>
      </w:r>
      <w:r w:rsidRPr="004108F0">
        <w:rPr>
          <w:i/>
          <w:iCs/>
          <w:szCs w:val="24"/>
        </w:rPr>
        <w:t>Therapeutic Goods (Medical Devices) Regulations 2002</w:t>
      </w:r>
      <w:r>
        <w:rPr>
          <w:szCs w:val="24"/>
        </w:rPr>
        <w:t xml:space="preserve"> (the MD Regulations) to reduce regulatory burden and provide clarity to industry. </w:t>
      </w:r>
    </w:p>
    <w:p w14:paraId="1FBFD105" w14:textId="77777777" w:rsidR="000F104E" w:rsidRDefault="000F104E" w:rsidP="000F104E">
      <w:pPr>
        <w:rPr>
          <w:szCs w:val="24"/>
        </w:rPr>
      </w:pPr>
    </w:p>
    <w:p w14:paraId="1CC27F8A" w14:textId="77777777" w:rsidR="000F104E" w:rsidRDefault="000F104E" w:rsidP="000F104E">
      <w:pPr>
        <w:rPr>
          <w:szCs w:val="24"/>
        </w:rPr>
      </w:pPr>
      <w:r>
        <w:rPr>
          <w:szCs w:val="24"/>
        </w:rPr>
        <w:t xml:space="preserve">The Regulations have the effect of: </w:t>
      </w:r>
    </w:p>
    <w:p w14:paraId="6CA398FD" w14:textId="77777777" w:rsidR="000F104E" w:rsidRDefault="000F104E" w:rsidP="000F104E">
      <w:pPr>
        <w:pStyle w:val="ListParagraph"/>
        <w:numPr>
          <w:ilvl w:val="0"/>
          <w:numId w:val="15"/>
        </w:numPr>
        <w:ind w:left="709" w:hanging="709"/>
        <w:rPr>
          <w:szCs w:val="24"/>
        </w:rPr>
      </w:pPr>
      <w:r>
        <w:rPr>
          <w:szCs w:val="24"/>
        </w:rPr>
        <w:t>enabling a licence to be issued under the ND Regulations for the manufacture of cannabis drugs and a medicinal cannabis permit to be issued for the supply of cannabis or cannabis resin, where the cannabis drug, cannabis or cannabis resin is to be supplied to a person for the purposes of that person supplying an extemporaneously compounded (i.e. prepared for a particular patient for that patient’s needs) medicinal cannabis product in accordance with the TG Act – with the effect that cannabis drugs that are cultivated or manufactured domestically (like imported product) can be supplied for the extemporaneous compounding of medicinal cannabis products; and</w:t>
      </w:r>
    </w:p>
    <w:p w14:paraId="5B31032A" w14:textId="77777777" w:rsidR="000F104E" w:rsidRPr="00BB5C99" w:rsidRDefault="000F104E" w:rsidP="000F104E">
      <w:pPr>
        <w:pStyle w:val="ListParagraph"/>
        <w:numPr>
          <w:ilvl w:val="0"/>
          <w:numId w:val="15"/>
        </w:numPr>
        <w:ind w:hanging="720"/>
        <w:rPr>
          <w:szCs w:val="24"/>
        </w:rPr>
      </w:pPr>
      <w:r w:rsidRPr="00BB5C99">
        <w:rPr>
          <w:szCs w:val="24"/>
        </w:rPr>
        <w:t>remov</w:t>
      </w:r>
      <w:r>
        <w:rPr>
          <w:szCs w:val="24"/>
        </w:rPr>
        <w:t>ing</w:t>
      </w:r>
      <w:r w:rsidRPr="00BB5C99">
        <w:rPr>
          <w:szCs w:val="24"/>
        </w:rPr>
        <w:t xml:space="preserve"> </w:t>
      </w:r>
      <w:r>
        <w:rPr>
          <w:szCs w:val="24"/>
        </w:rPr>
        <w:t xml:space="preserve">medicinal cannabis products from </w:t>
      </w:r>
      <w:r w:rsidRPr="00BB5C99">
        <w:rPr>
          <w:szCs w:val="24"/>
        </w:rPr>
        <w:t xml:space="preserve">the </w:t>
      </w:r>
      <w:r>
        <w:rPr>
          <w:szCs w:val="24"/>
        </w:rPr>
        <w:t xml:space="preserve">current </w:t>
      </w:r>
      <w:r w:rsidRPr="00BB5C99">
        <w:rPr>
          <w:szCs w:val="24"/>
        </w:rPr>
        <w:t xml:space="preserve">exemption from inclusion in the Australian Register of Therapeutic Goods (the Register) for extemporaneously compounded </w:t>
      </w:r>
      <w:r>
        <w:rPr>
          <w:szCs w:val="24"/>
        </w:rPr>
        <w:t>medicines</w:t>
      </w:r>
      <w:r w:rsidRPr="00BB5C99">
        <w:rPr>
          <w:szCs w:val="24"/>
        </w:rPr>
        <w:t xml:space="preserve">, so </w:t>
      </w:r>
      <w:r>
        <w:rPr>
          <w:szCs w:val="24"/>
        </w:rPr>
        <w:t xml:space="preserve">that </w:t>
      </w:r>
      <w:r w:rsidRPr="00BB5C99">
        <w:rPr>
          <w:szCs w:val="24"/>
        </w:rPr>
        <w:t>unapproved extemporaneously compounded medicinal cannabis products</w:t>
      </w:r>
      <w:r>
        <w:rPr>
          <w:szCs w:val="24"/>
        </w:rPr>
        <w:t xml:space="preserve"> are</w:t>
      </w:r>
      <w:r w:rsidRPr="00BB5C99">
        <w:rPr>
          <w:szCs w:val="24"/>
        </w:rPr>
        <w:t xml:space="preserve"> accessed through one of the unapproved access pathways (i.e. the Special Access Scheme Category B pathway or Authorised Prescriber scheme) – </w:t>
      </w:r>
      <w:r>
        <w:rPr>
          <w:szCs w:val="24"/>
        </w:rPr>
        <w:t>this is designed to better ensure the safe use of such products with appropriate regulatory</w:t>
      </w:r>
      <w:r w:rsidRPr="00BB5C99">
        <w:rPr>
          <w:szCs w:val="24"/>
        </w:rPr>
        <w:t xml:space="preserve"> oversight</w:t>
      </w:r>
      <w:r>
        <w:rPr>
          <w:szCs w:val="24"/>
        </w:rPr>
        <w:t>.</w:t>
      </w:r>
    </w:p>
    <w:p w14:paraId="025359C6" w14:textId="77777777" w:rsidR="000F104E" w:rsidRDefault="000F104E" w:rsidP="000F104E">
      <w:pPr>
        <w:rPr>
          <w:szCs w:val="24"/>
        </w:rPr>
      </w:pPr>
    </w:p>
    <w:p w14:paraId="52A7A98A" w14:textId="77777777" w:rsidR="000F104E" w:rsidRPr="005C48C5" w:rsidRDefault="000F104E" w:rsidP="000F104E">
      <w:pPr>
        <w:rPr>
          <w:szCs w:val="24"/>
        </w:rPr>
      </w:pPr>
      <w:r>
        <w:rPr>
          <w:szCs w:val="24"/>
        </w:rPr>
        <w:t>The Regulations also make a small number of more minor amendments, principally to:</w:t>
      </w:r>
    </w:p>
    <w:p w14:paraId="051FFE36" w14:textId="77777777" w:rsidR="000F104E" w:rsidRPr="00EC015F" w:rsidRDefault="000F104E" w:rsidP="000F104E">
      <w:pPr>
        <w:pStyle w:val="ListParagraph"/>
        <w:numPr>
          <w:ilvl w:val="0"/>
          <w:numId w:val="16"/>
        </w:numPr>
        <w:ind w:hanging="720"/>
        <w:rPr>
          <w:szCs w:val="24"/>
        </w:rPr>
      </w:pPr>
      <w:r>
        <w:rPr>
          <w:szCs w:val="24"/>
        </w:rPr>
        <w:t xml:space="preserve">provide review rights for decisions under the TG Regulations relating to approvals for the import or export of therapeutic goods that are mercury, or the revocation or variation of such </w:t>
      </w:r>
      <w:proofErr w:type="gramStart"/>
      <w:r>
        <w:rPr>
          <w:szCs w:val="24"/>
        </w:rPr>
        <w:t>approvals;</w:t>
      </w:r>
      <w:proofErr w:type="gramEnd"/>
      <w:r>
        <w:rPr>
          <w:szCs w:val="24"/>
        </w:rPr>
        <w:t xml:space="preserve"> </w:t>
      </w:r>
    </w:p>
    <w:p w14:paraId="37681763" w14:textId="4F68BE54" w:rsidR="000F104E" w:rsidRDefault="000F104E" w:rsidP="000F104E">
      <w:pPr>
        <w:pStyle w:val="ListParagraph"/>
        <w:numPr>
          <w:ilvl w:val="0"/>
          <w:numId w:val="16"/>
        </w:numPr>
        <w:ind w:hanging="720"/>
        <w:rPr>
          <w:szCs w:val="24"/>
        </w:rPr>
      </w:pPr>
      <w:r>
        <w:rPr>
          <w:szCs w:val="24"/>
        </w:rPr>
        <w:t>remove the requirement for</w:t>
      </w:r>
      <w:r w:rsidR="00BF625D">
        <w:rPr>
          <w:szCs w:val="24"/>
        </w:rPr>
        <w:t xml:space="preserve"> European</w:t>
      </w:r>
      <w:r w:rsidR="00D720A8">
        <w:rPr>
          <w:szCs w:val="24"/>
        </w:rPr>
        <w:t>-</w:t>
      </w:r>
      <w:r w:rsidR="00BF625D">
        <w:rPr>
          <w:szCs w:val="24"/>
        </w:rPr>
        <w:t>specific</w:t>
      </w:r>
      <w:r>
        <w:rPr>
          <w:szCs w:val="24"/>
        </w:rPr>
        <w:t xml:space="preserve"> unique device identifiers of medical devices to be included on patient implant cards for implantable medical devices or active implantable medical devices, as this requirement will be postponed until the development of the Australian Unique Device Identification system; and</w:t>
      </w:r>
    </w:p>
    <w:p w14:paraId="2F560C87" w14:textId="77777777" w:rsidR="000F104E" w:rsidRPr="00AF26F3" w:rsidRDefault="000F104E" w:rsidP="000F104E">
      <w:pPr>
        <w:pStyle w:val="ListParagraph"/>
        <w:numPr>
          <w:ilvl w:val="0"/>
          <w:numId w:val="16"/>
        </w:numPr>
        <w:ind w:hanging="720"/>
        <w:rPr>
          <w:szCs w:val="24"/>
        </w:rPr>
      </w:pPr>
      <w:r>
        <w:rPr>
          <w:szCs w:val="24"/>
        </w:rPr>
        <w:lastRenderedPageBreak/>
        <w:t xml:space="preserve">clarify that medicines listed in Schedule 10 to the current Poisons Standard cannot be accessed via the Special Access Scheme – Category A pathway (the pathway for accessing unapproved therapeutic goods for a critically ill patient) as such medicines are not suitable for, and therefore prohibited from, sale, supply and use under state and territory legislation. </w:t>
      </w:r>
    </w:p>
    <w:p w14:paraId="132B6F89" w14:textId="77777777" w:rsidR="000F104E" w:rsidRPr="00FF19B7" w:rsidRDefault="000F104E" w:rsidP="000F104E">
      <w:pPr>
        <w:rPr>
          <w:b/>
          <w:szCs w:val="24"/>
        </w:rPr>
      </w:pPr>
    </w:p>
    <w:p w14:paraId="0462A21B" w14:textId="77777777" w:rsidR="000F104E" w:rsidRPr="00FF19B7" w:rsidRDefault="000F104E" w:rsidP="000F104E">
      <w:pPr>
        <w:keepNext/>
        <w:keepLines/>
        <w:rPr>
          <w:b/>
          <w:szCs w:val="24"/>
        </w:rPr>
      </w:pPr>
      <w:r w:rsidRPr="00FF19B7">
        <w:rPr>
          <w:b/>
          <w:szCs w:val="24"/>
        </w:rPr>
        <w:t>Human rights implications</w:t>
      </w:r>
    </w:p>
    <w:p w14:paraId="56F19649" w14:textId="77777777" w:rsidR="000F104E" w:rsidRDefault="000F104E" w:rsidP="000F104E">
      <w:pPr>
        <w:rPr>
          <w:szCs w:val="24"/>
        </w:rPr>
      </w:pPr>
      <w:r w:rsidRPr="00FF19B7">
        <w:rPr>
          <w:szCs w:val="24"/>
        </w:rPr>
        <w:t>The Regulations engage the right to health in Article 12 of the International Covenant on Economic, Social and Cultural Rights (</w:t>
      </w:r>
      <w:r>
        <w:rPr>
          <w:szCs w:val="24"/>
        </w:rPr>
        <w:t xml:space="preserve">the </w:t>
      </w:r>
      <w:r w:rsidRPr="00FF19B7">
        <w:rPr>
          <w:szCs w:val="24"/>
        </w:rPr>
        <w:t xml:space="preserve">ICESCR). Article 12 of the ICESCR promotes the right of all individuals to enjoy the highest attainable standards of physical and mental health.  </w:t>
      </w:r>
    </w:p>
    <w:p w14:paraId="0D1F5C5E" w14:textId="77777777" w:rsidR="000F104E" w:rsidRDefault="000F104E" w:rsidP="000F104E">
      <w:pPr>
        <w:rPr>
          <w:szCs w:val="24"/>
        </w:rPr>
      </w:pPr>
    </w:p>
    <w:p w14:paraId="07274091" w14:textId="77777777" w:rsidR="000F104E" w:rsidRPr="00FF19B7" w:rsidRDefault="000F104E" w:rsidP="000F104E">
      <w:pPr>
        <w:rPr>
          <w:szCs w:val="24"/>
        </w:rPr>
      </w:pPr>
      <w:r w:rsidRPr="00FF19B7">
        <w:rPr>
          <w:szCs w:val="24"/>
        </w:rPr>
        <w:t xml:space="preserve">In General Comment No.14: The Right to the Highest Attainable Standard of Health (Art.12) (2000), the United Nations Committee on Economic, Social and Cultural Rights states that health is a ‘fundamental human right indispensable for the exercise of other human rights’, and that the right to health is not be understood as the right to be </w:t>
      </w:r>
      <w:proofErr w:type="gramStart"/>
      <w:r w:rsidRPr="00FF19B7">
        <w:rPr>
          <w:szCs w:val="24"/>
        </w:rPr>
        <w:t>healthy, but</w:t>
      </w:r>
      <w:proofErr w:type="gramEnd"/>
      <w:r w:rsidRPr="00FF19B7">
        <w:rPr>
          <w:szCs w:val="24"/>
        </w:rPr>
        <w:t xml:space="preserve"> includes the right to a system of health protection which provides equal opportunity for people to enjoy the highest attainable level of health.</w:t>
      </w:r>
    </w:p>
    <w:p w14:paraId="07E4B9EB" w14:textId="77777777" w:rsidR="000F104E" w:rsidRPr="00FF19B7" w:rsidRDefault="000F104E" w:rsidP="000F104E">
      <w:pPr>
        <w:rPr>
          <w:szCs w:val="24"/>
        </w:rPr>
      </w:pPr>
    </w:p>
    <w:p w14:paraId="6CBD2B89" w14:textId="77777777" w:rsidR="000F104E" w:rsidRPr="00FF19B7" w:rsidRDefault="000F104E" w:rsidP="000F104E">
      <w:pPr>
        <w:rPr>
          <w:szCs w:val="24"/>
        </w:rPr>
      </w:pPr>
      <w:r w:rsidRPr="00FF19B7">
        <w:rPr>
          <w:szCs w:val="24"/>
        </w:rPr>
        <w:t>The Regulations take positive steps to support the right to health by:</w:t>
      </w:r>
    </w:p>
    <w:p w14:paraId="303C0555" w14:textId="77777777" w:rsidR="000F104E" w:rsidRPr="009F16BC" w:rsidRDefault="000F104E" w:rsidP="000F104E">
      <w:pPr>
        <w:pStyle w:val="ListParagraph"/>
        <w:numPr>
          <w:ilvl w:val="0"/>
          <w:numId w:val="17"/>
        </w:numPr>
      </w:pPr>
      <w:r>
        <w:rPr>
          <w:szCs w:val="24"/>
        </w:rPr>
        <w:t xml:space="preserve">supporting the safe use of extemporaneously compounded medicinal cannabis products in Australia, in a manner that enables the continued supply of medicinal cannabis products for patients that require such treatment while improving </w:t>
      </w:r>
      <w:proofErr w:type="gramStart"/>
      <w:r>
        <w:rPr>
          <w:szCs w:val="24"/>
        </w:rPr>
        <w:t>oversight  -</w:t>
      </w:r>
      <w:proofErr w:type="gramEnd"/>
      <w:r>
        <w:rPr>
          <w:szCs w:val="24"/>
        </w:rPr>
        <w:t xml:space="preserve"> this will for instance better enable the identification of safety signals and help reduce the risk of misuse associated with such products; </w:t>
      </w:r>
    </w:p>
    <w:p w14:paraId="09A54A5A" w14:textId="77777777" w:rsidR="000F104E" w:rsidRPr="00660489" w:rsidRDefault="000F104E" w:rsidP="000F104E">
      <w:pPr>
        <w:pStyle w:val="ListParagraph"/>
        <w:numPr>
          <w:ilvl w:val="0"/>
          <w:numId w:val="17"/>
        </w:numPr>
      </w:pPr>
      <w:r>
        <w:rPr>
          <w:szCs w:val="24"/>
        </w:rPr>
        <w:t>postponing the implementation of a requirement for unique device identifiers of medical devices to be included on patient implant cards until the development of the Australian Unique Device Identification system, to prevent avoid confusing patients if a manufacturer were to apply a unique device identifier from another jurisdiction; and</w:t>
      </w:r>
    </w:p>
    <w:p w14:paraId="25220237" w14:textId="77777777" w:rsidR="000F104E" w:rsidRPr="009F16BC" w:rsidRDefault="000F104E" w:rsidP="000F104E">
      <w:pPr>
        <w:pStyle w:val="ListParagraph"/>
        <w:numPr>
          <w:ilvl w:val="0"/>
          <w:numId w:val="17"/>
        </w:numPr>
      </w:pPr>
      <w:r>
        <w:rPr>
          <w:szCs w:val="24"/>
        </w:rPr>
        <w:t xml:space="preserve">clarifying that substances in Schedule 10 to the Poisons Standard, that are prohibited from sale, supply and use </w:t>
      </w:r>
      <w:r>
        <w:rPr>
          <w:lang w:eastAsia="en-US"/>
        </w:rPr>
        <w:t>under the Poisons Standard and state and territory legislation, cannot be accessed through the Special Access Scheme Category A (SAS A) pathway</w:t>
      </w:r>
      <w:r>
        <w:rPr>
          <w:szCs w:val="24"/>
        </w:rPr>
        <w:t xml:space="preserve"> for accessing unapproved therapeutic goods because these substances are of such danger to health as to warrant the prohibition on sale, use and supply.</w:t>
      </w:r>
    </w:p>
    <w:p w14:paraId="24BBAF34" w14:textId="77777777" w:rsidR="000F104E" w:rsidRPr="00FF19B7" w:rsidRDefault="000F104E" w:rsidP="000F104E">
      <w:pPr>
        <w:rPr>
          <w:b/>
          <w:szCs w:val="24"/>
        </w:rPr>
      </w:pPr>
    </w:p>
    <w:p w14:paraId="4F3D32B5" w14:textId="77777777" w:rsidR="000F104E" w:rsidRPr="00FF19B7" w:rsidRDefault="000F104E" w:rsidP="000F104E">
      <w:pPr>
        <w:rPr>
          <w:b/>
          <w:szCs w:val="24"/>
        </w:rPr>
      </w:pPr>
      <w:r w:rsidRPr="00FF19B7">
        <w:rPr>
          <w:b/>
          <w:szCs w:val="24"/>
        </w:rPr>
        <w:t>Conclusion</w:t>
      </w:r>
    </w:p>
    <w:p w14:paraId="79CF3B44" w14:textId="77777777" w:rsidR="000F104E" w:rsidRPr="00FF19B7" w:rsidRDefault="000F104E" w:rsidP="000F104E">
      <w:pPr>
        <w:rPr>
          <w:szCs w:val="24"/>
        </w:rPr>
      </w:pPr>
      <w:r w:rsidRPr="00FF19B7">
        <w:rPr>
          <w:szCs w:val="24"/>
        </w:rPr>
        <w:t>The Regulations are compatible with human rights because they maintain and support the right to health in Article 12 of the ICESCR as outlined above, and do not raise any other human rights issues.</w:t>
      </w:r>
    </w:p>
    <w:p w14:paraId="1E21A707" w14:textId="77777777" w:rsidR="000F104E" w:rsidRPr="00FF19B7" w:rsidRDefault="000F104E" w:rsidP="000F104E">
      <w:pPr>
        <w:rPr>
          <w:szCs w:val="24"/>
        </w:rPr>
      </w:pPr>
    </w:p>
    <w:p w14:paraId="0C116CD2" w14:textId="77777777" w:rsidR="000F104E" w:rsidRPr="00AD3E28" w:rsidRDefault="000F104E" w:rsidP="000F104E">
      <w:pPr>
        <w:jc w:val="center"/>
      </w:pPr>
      <w:r w:rsidRPr="00FF19B7">
        <w:rPr>
          <w:b/>
          <w:szCs w:val="24"/>
        </w:rPr>
        <w:t>Greg Hunt, Minister for Health and Aged Care</w:t>
      </w:r>
    </w:p>
    <w:p w14:paraId="13886D63" w14:textId="77777777" w:rsidR="000F104E" w:rsidRPr="00156B13" w:rsidRDefault="000F104E" w:rsidP="000F104E"/>
    <w:p w14:paraId="58EA8898" w14:textId="77777777" w:rsidR="00F51945" w:rsidRPr="00156B13" w:rsidRDefault="00F51945" w:rsidP="00156B13"/>
    <w:sectPr w:rsidR="00F51945" w:rsidRPr="00156B13" w:rsidSect="00095F94">
      <w:head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54CEF" w14:textId="77777777" w:rsidR="00944200" w:rsidRDefault="00944200">
      <w:r>
        <w:separator/>
      </w:r>
    </w:p>
  </w:endnote>
  <w:endnote w:type="continuationSeparator" w:id="0">
    <w:p w14:paraId="26C22A6E" w14:textId="77777777" w:rsidR="00944200" w:rsidRDefault="00944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5892149"/>
      <w:docPartObj>
        <w:docPartGallery w:val="Page Numbers (Bottom of Page)"/>
        <w:docPartUnique/>
      </w:docPartObj>
    </w:sdtPr>
    <w:sdtEndPr>
      <w:rPr>
        <w:noProof/>
      </w:rPr>
    </w:sdtEndPr>
    <w:sdtContent>
      <w:p w14:paraId="0291A7F0" w14:textId="2F863FB9" w:rsidR="00CF42B0" w:rsidRDefault="00CF42B0">
        <w:pPr>
          <w:pStyle w:val="Footer"/>
          <w:jc w:val="center"/>
        </w:pPr>
        <w:r>
          <w:fldChar w:fldCharType="begin"/>
        </w:r>
        <w:r>
          <w:instrText xml:space="preserve"> PAGE   \* MERGEFORMAT </w:instrText>
        </w:r>
        <w:r>
          <w:fldChar w:fldCharType="separate"/>
        </w:r>
        <w:r w:rsidR="005966A8">
          <w:rPr>
            <w:noProof/>
          </w:rPr>
          <w:t>3</w:t>
        </w:r>
        <w:r>
          <w:rPr>
            <w:noProof/>
          </w:rPr>
          <w:fldChar w:fldCharType="end"/>
        </w:r>
      </w:p>
    </w:sdtContent>
  </w:sdt>
  <w:p w14:paraId="28E4628D" w14:textId="77777777" w:rsidR="00CF42B0" w:rsidRDefault="00CF4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F8D8C" w14:textId="77777777" w:rsidR="00CF42B0" w:rsidRDefault="00CF42B0">
    <w:pPr>
      <w:pStyle w:val="Footer"/>
      <w:jc w:val="center"/>
    </w:pPr>
  </w:p>
  <w:p w14:paraId="53661318" w14:textId="77777777" w:rsidR="00CF42B0" w:rsidRDefault="00CF42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6033216"/>
      <w:docPartObj>
        <w:docPartGallery w:val="Page Numbers (Bottom of Page)"/>
        <w:docPartUnique/>
      </w:docPartObj>
    </w:sdtPr>
    <w:sdtEndPr>
      <w:rPr>
        <w:noProof/>
      </w:rPr>
    </w:sdtEndPr>
    <w:sdtContent>
      <w:p w14:paraId="7B451566" w14:textId="01B4B045" w:rsidR="00CF42B0" w:rsidRDefault="00CF42B0">
        <w:pPr>
          <w:pStyle w:val="Footer"/>
          <w:jc w:val="center"/>
        </w:pPr>
        <w:r>
          <w:fldChar w:fldCharType="begin"/>
        </w:r>
        <w:r>
          <w:instrText xml:space="preserve"> PAGE   \* MERGEFORMAT </w:instrText>
        </w:r>
        <w:r>
          <w:fldChar w:fldCharType="separate"/>
        </w:r>
        <w:r w:rsidR="005966A8">
          <w:rPr>
            <w:noProof/>
          </w:rPr>
          <w:t>4</w:t>
        </w:r>
        <w:r>
          <w:rPr>
            <w:noProof/>
          </w:rPr>
          <w:fldChar w:fldCharType="end"/>
        </w:r>
      </w:p>
    </w:sdtContent>
  </w:sdt>
  <w:p w14:paraId="2452E8FC" w14:textId="77777777" w:rsidR="00CF42B0" w:rsidRDefault="00CF4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E18B7" w14:textId="77777777" w:rsidR="00944200" w:rsidRDefault="00944200">
      <w:r>
        <w:separator/>
      </w:r>
    </w:p>
  </w:footnote>
  <w:footnote w:type="continuationSeparator" w:id="0">
    <w:p w14:paraId="23215B41" w14:textId="77777777" w:rsidR="00944200" w:rsidRDefault="00944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D3D8B" w14:textId="77777777" w:rsidR="00CF42B0" w:rsidRDefault="00CF4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B29AE"/>
    <w:multiLevelType w:val="hybridMultilevel"/>
    <w:tmpl w:val="4C84E0B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572D72"/>
    <w:multiLevelType w:val="hybridMultilevel"/>
    <w:tmpl w:val="A74E0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8B66B6"/>
    <w:multiLevelType w:val="hybridMultilevel"/>
    <w:tmpl w:val="447497EC"/>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3" w15:restartNumberingAfterBreak="0">
    <w:nsid w:val="16F97BF5"/>
    <w:multiLevelType w:val="hybridMultilevel"/>
    <w:tmpl w:val="75387D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0592907"/>
    <w:multiLevelType w:val="hybridMultilevel"/>
    <w:tmpl w:val="D3281F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A97597"/>
    <w:multiLevelType w:val="hybridMultilevel"/>
    <w:tmpl w:val="CA9E9300"/>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6" w15:restartNumberingAfterBreak="0">
    <w:nsid w:val="25F8526C"/>
    <w:multiLevelType w:val="hybridMultilevel"/>
    <w:tmpl w:val="77F8BF6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7" w15:restartNumberingAfterBreak="0">
    <w:nsid w:val="287F3880"/>
    <w:multiLevelType w:val="hybridMultilevel"/>
    <w:tmpl w:val="6F2678A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8" w15:restartNumberingAfterBreak="0">
    <w:nsid w:val="2F076734"/>
    <w:multiLevelType w:val="hybridMultilevel"/>
    <w:tmpl w:val="0B145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C86535"/>
    <w:multiLevelType w:val="hybridMultilevel"/>
    <w:tmpl w:val="C9E4C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8053E3"/>
    <w:multiLevelType w:val="hybridMultilevel"/>
    <w:tmpl w:val="C4EE7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7526C9"/>
    <w:multiLevelType w:val="hybridMultilevel"/>
    <w:tmpl w:val="2B7A3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57A118A"/>
    <w:multiLevelType w:val="hybridMultilevel"/>
    <w:tmpl w:val="409E5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BA692D"/>
    <w:multiLevelType w:val="hybridMultilevel"/>
    <w:tmpl w:val="3E84A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3C10DD"/>
    <w:multiLevelType w:val="hybridMultilevel"/>
    <w:tmpl w:val="0164B3D0"/>
    <w:lvl w:ilvl="0" w:tplc="2F88D8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752D8A"/>
    <w:multiLevelType w:val="hybridMultilevel"/>
    <w:tmpl w:val="8F649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4C6C8C"/>
    <w:multiLevelType w:val="hybridMultilevel"/>
    <w:tmpl w:val="1B62D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0"/>
  </w:num>
  <w:num w:numId="6">
    <w:abstractNumId w:val="14"/>
  </w:num>
  <w:num w:numId="7">
    <w:abstractNumId w:val="16"/>
  </w:num>
  <w:num w:numId="8">
    <w:abstractNumId w:val="6"/>
  </w:num>
  <w:num w:numId="9">
    <w:abstractNumId w:val="13"/>
  </w:num>
  <w:num w:numId="10">
    <w:abstractNumId w:val="8"/>
  </w:num>
  <w:num w:numId="11">
    <w:abstractNumId w:val="10"/>
  </w:num>
  <w:num w:numId="12">
    <w:abstractNumId w:val="2"/>
  </w:num>
  <w:num w:numId="13">
    <w:abstractNumId w:val="11"/>
  </w:num>
  <w:num w:numId="14">
    <w:abstractNumId w:val="3"/>
  </w:num>
  <w:num w:numId="15">
    <w:abstractNumId w:val="9"/>
  </w:num>
  <w:num w:numId="16">
    <w:abstractNumId w:val="15"/>
  </w:num>
  <w:num w:numId="1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22B7823-E80A-4D00-BFE4-D99344DC444D}"/>
    <w:docVar w:name="dgnword-eventsink" w:val="278907656"/>
  </w:docVars>
  <w:rsids>
    <w:rsidRoot w:val="0041338D"/>
    <w:rsid w:val="00000557"/>
    <w:rsid w:val="000028EF"/>
    <w:rsid w:val="00002CEE"/>
    <w:rsid w:val="000033F2"/>
    <w:rsid w:val="00004B40"/>
    <w:rsid w:val="00004B9F"/>
    <w:rsid w:val="00005D56"/>
    <w:rsid w:val="00010686"/>
    <w:rsid w:val="0001129B"/>
    <w:rsid w:val="000116AA"/>
    <w:rsid w:val="00011EC7"/>
    <w:rsid w:val="00012049"/>
    <w:rsid w:val="000134D0"/>
    <w:rsid w:val="00013BA5"/>
    <w:rsid w:val="00015704"/>
    <w:rsid w:val="00016217"/>
    <w:rsid w:val="00017072"/>
    <w:rsid w:val="00020B0B"/>
    <w:rsid w:val="000211C2"/>
    <w:rsid w:val="00022E58"/>
    <w:rsid w:val="000239D9"/>
    <w:rsid w:val="000248B4"/>
    <w:rsid w:val="00026B5C"/>
    <w:rsid w:val="0002737D"/>
    <w:rsid w:val="0002768E"/>
    <w:rsid w:val="0003120E"/>
    <w:rsid w:val="00031879"/>
    <w:rsid w:val="0003289F"/>
    <w:rsid w:val="00033C66"/>
    <w:rsid w:val="00034802"/>
    <w:rsid w:val="000350CB"/>
    <w:rsid w:val="00035447"/>
    <w:rsid w:val="0003544A"/>
    <w:rsid w:val="00036DC9"/>
    <w:rsid w:val="00037852"/>
    <w:rsid w:val="00041F29"/>
    <w:rsid w:val="00042117"/>
    <w:rsid w:val="0004252B"/>
    <w:rsid w:val="00042BE2"/>
    <w:rsid w:val="00042CAE"/>
    <w:rsid w:val="000445C5"/>
    <w:rsid w:val="0004695C"/>
    <w:rsid w:val="00051985"/>
    <w:rsid w:val="000527AF"/>
    <w:rsid w:val="000531C7"/>
    <w:rsid w:val="00053BCA"/>
    <w:rsid w:val="0005431B"/>
    <w:rsid w:val="00054AA6"/>
    <w:rsid w:val="000550E0"/>
    <w:rsid w:val="00057830"/>
    <w:rsid w:val="00061C44"/>
    <w:rsid w:val="00062427"/>
    <w:rsid w:val="00065EC5"/>
    <w:rsid w:val="00066C64"/>
    <w:rsid w:val="000710E4"/>
    <w:rsid w:val="0007223E"/>
    <w:rsid w:val="000729E9"/>
    <w:rsid w:val="00072B42"/>
    <w:rsid w:val="00072D71"/>
    <w:rsid w:val="000820E1"/>
    <w:rsid w:val="0008230F"/>
    <w:rsid w:val="00082693"/>
    <w:rsid w:val="000833CE"/>
    <w:rsid w:val="00083684"/>
    <w:rsid w:val="000847C3"/>
    <w:rsid w:val="000850B6"/>
    <w:rsid w:val="00086CA3"/>
    <w:rsid w:val="00087C6B"/>
    <w:rsid w:val="000907E2"/>
    <w:rsid w:val="0009133D"/>
    <w:rsid w:val="00091646"/>
    <w:rsid w:val="00091A77"/>
    <w:rsid w:val="000957F1"/>
    <w:rsid w:val="00095A07"/>
    <w:rsid w:val="00095F94"/>
    <w:rsid w:val="000A08D5"/>
    <w:rsid w:val="000A1409"/>
    <w:rsid w:val="000A182E"/>
    <w:rsid w:val="000A34E2"/>
    <w:rsid w:val="000A5EC1"/>
    <w:rsid w:val="000A69CD"/>
    <w:rsid w:val="000A6FCA"/>
    <w:rsid w:val="000A7FB9"/>
    <w:rsid w:val="000B28C1"/>
    <w:rsid w:val="000B3970"/>
    <w:rsid w:val="000B546B"/>
    <w:rsid w:val="000B5629"/>
    <w:rsid w:val="000B6ED4"/>
    <w:rsid w:val="000C38BF"/>
    <w:rsid w:val="000C5316"/>
    <w:rsid w:val="000C6706"/>
    <w:rsid w:val="000C6B8D"/>
    <w:rsid w:val="000C71BB"/>
    <w:rsid w:val="000C747B"/>
    <w:rsid w:val="000C7EE1"/>
    <w:rsid w:val="000D4C4A"/>
    <w:rsid w:val="000D58FD"/>
    <w:rsid w:val="000D69D1"/>
    <w:rsid w:val="000D6FDD"/>
    <w:rsid w:val="000E0701"/>
    <w:rsid w:val="000E0A1D"/>
    <w:rsid w:val="000E2AB6"/>
    <w:rsid w:val="000E2F3C"/>
    <w:rsid w:val="000E3641"/>
    <w:rsid w:val="000E3AB5"/>
    <w:rsid w:val="000E4872"/>
    <w:rsid w:val="000E5060"/>
    <w:rsid w:val="000E690F"/>
    <w:rsid w:val="000E69C5"/>
    <w:rsid w:val="000E760A"/>
    <w:rsid w:val="000F104E"/>
    <w:rsid w:val="000F11C2"/>
    <w:rsid w:val="000F1400"/>
    <w:rsid w:val="000F5368"/>
    <w:rsid w:val="000F5E72"/>
    <w:rsid w:val="000F69F0"/>
    <w:rsid w:val="000F71D2"/>
    <w:rsid w:val="000F795B"/>
    <w:rsid w:val="00101011"/>
    <w:rsid w:val="00101BCD"/>
    <w:rsid w:val="0010327A"/>
    <w:rsid w:val="00104784"/>
    <w:rsid w:val="00105C7A"/>
    <w:rsid w:val="00105D07"/>
    <w:rsid w:val="001064CA"/>
    <w:rsid w:val="001067F5"/>
    <w:rsid w:val="00106DBB"/>
    <w:rsid w:val="001076B3"/>
    <w:rsid w:val="00107E82"/>
    <w:rsid w:val="0011408C"/>
    <w:rsid w:val="0011516F"/>
    <w:rsid w:val="00115ECF"/>
    <w:rsid w:val="00116884"/>
    <w:rsid w:val="00116978"/>
    <w:rsid w:val="00116C84"/>
    <w:rsid w:val="0011724B"/>
    <w:rsid w:val="00120B89"/>
    <w:rsid w:val="00121B12"/>
    <w:rsid w:val="001226AE"/>
    <w:rsid w:val="001242D9"/>
    <w:rsid w:val="00124958"/>
    <w:rsid w:val="00125370"/>
    <w:rsid w:val="001255FB"/>
    <w:rsid w:val="0012714E"/>
    <w:rsid w:val="00127C2A"/>
    <w:rsid w:val="001304BA"/>
    <w:rsid w:val="00131067"/>
    <w:rsid w:val="00132321"/>
    <w:rsid w:val="001325A4"/>
    <w:rsid w:val="00133524"/>
    <w:rsid w:val="00133CD9"/>
    <w:rsid w:val="0014163A"/>
    <w:rsid w:val="00142C4C"/>
    <w:rsid w:val="00146AB1"/>
    <w:rsid w:val="0014789F"/>
    <w:rsid w:val="0015104E"/>
    <w:rsid w:val="001512CA"/>
    <w:rsid w:val="00151D02"/>
    <w:rsid w:val="00153689"/>
    <w:rsid w:val="0015383D"/>
    <w:rsid w:val="00156225"/>
    <w:rsid w:val="0015647E"/>
    <w:rsid w:val="00156B13"/>
    <w:rsid w:val="00156B2A"/>
    <w:rsid w:val="001578B2"/>
    <w:rsid w:val="00160FE1"/>
    <w:rsid w:val="00162B86"/>
    <w:rsid w:val="0016352E"/>
    <w:rsid w:val="00163BB7"/>
    <w:rsid w:val="00163CF8"/>
    <w:rsid w:val="0016584C"/>
    <w:rsid w:val="00165B0E"/>
    <w:rsid w:val="00170B31"/>
    <w:rsid w:val="00170B6E"/>
    <w:rsid w:val="00170C8C"/>
    <w:rsid w:val="0017140B"/>
    <w:rsid w:val="00172807"/>
    <w:rsid w:val="001728D9"/>
    <w:rsid w:val="00172DE4"/>
    <w:rsid w:val="001770A4"/>
    <w:rsid w:val="00181743"/>
    <w:rsid w:val="00182094"/>
    <w:rsid w:val="001823B4"/>
    <w:rsid w:val="00182BCD"/>
    <w:rsid w:val="001844FE"/>
    <w:rsid w:val="00184798"/>
    <w:rsid w:val="001848D5"/>
    <w:rsid w:val="00185C84"/>
    <w:rsid w:val="0018756B"/>
    <w:rsid w:val="00187BDB"/>
    <w:rsid w:val="0019028C"/>
    <w:rsid w:val="001912E2"/>
    <w:rsid w:val="00191F57"/>
    <w:rsid w:val="0019262A"/>
    <w:rsid w:val="0019295A"/>
    <w:rsid w:val="00193D5E"/>
    <w:rsid w:val="00197175"/>
    <w:rsid w:val="001972F0"/>
    <w:rsid w:val="0019787A"/>
    <w:rsid w:val="00197B2E"/>
    <w:rsid w:val="001A203E"/>
    <w:rsid w:val="001A2C62"/>
    <w:rsid w:val="001A2D45"/>
    <w:rsid w:val="001A2E95"/>
    <w:rsid w:val="001A35DE"/>
    <w:rsid w:val="001A4E20"/>
    <w:rsid w:val="001B0F90"/>
    <w:rsid w:val="001B7831"/>
    <w:rsid w:val="001C1A80"/>
    <w:rsid w:val="001C231D"/>
    <w:rsid w:val="001C3D3C"/>
    <w:rsid w:val="001C435D"/>
    <w:rsid w:val="001C51CD"/>
    <w:rsid w:val="001C5252"/>
    <w:rsid w:val="001C6B2A"/>
    <w:rsid w:val="001C74FB"/>
    <w:rsid w:val="001C77A1"/>
    <w:rsid w:val="001C7C24"/>
    <w:rsid w:val="001D2366"/>
    <w:rsid w:val="001D5299"/>
    <w:rsid w:val="001D5E39"/>
    <w:rsid w:val="001D6A5F"/>
    <w:rsid w:val="001E0013"/>
    <w:rsid w:val="001E0328"/>
    <w:rsid w:val="001E167A"/>
    <w:rsid w:val="001E1D15"/>
    <w:rsid w:val="001E1D6F"/>
    <w:rsid w:val="001E3F86"/>
    <w:rsid w:val="001E64F4"/>
    <w:rsid w:val="001E7177"/>
    <w:rsid w:val="001F03B3"/>
    <w:rsid w:val="001F05E1"/>
    <w:rsid w:val="001F1AC0"/>
    <w:rsid w:val="001F25FC"/>
    <w:rsid w:val="001F2C0E"/>
    <w:rsid w:val="001F379F"/>
    <w:rsid w:val="001F4152"/>
    <w:rsid w:val="001F4C2A"/>
    <w:rsid w:val="001F5DFE"/>
    <w:rsid w:val="001F74CD"/>
    <w:rsid w:val="0020097F"/>
    <w:rsid w:val="00202A56"/>
    <w:rsid w:val="00203045"/>
    <w:rsid w:val="00203483"/>
    <w:rsid w:val="00204B60"/>
    <w:rsid w:val="00205A81"/>
    <w:rsid w:val="002060D8"/>
    <w:rsid w:val="0020789E"/>
    <w:rsid w:val="00211340"/>
    <w:rsid w:val="002161CF"/>
    <w:rsid w:val="00222823"/>
    <w:rsid w:val="00222F8B"/>
    <w:rsid w:val="0022491F"/>
    <w:rsid w:val="002277B3"/>
    <w:rsid w:val="00227B72"/>
    <w:rsid w:val="00227EC7"/>
    <w:rsid w:val="00230C8E"/>
    <w:rsid w:val="00230CD4"/>
    <w:rsid w:val="00232794"/>
    <w:rsid w:val="00234486"/>
    <w:rsid w:val="00235CFC"/>
    <w:rsid w:val="00236BDF"/>
    <w:rsid w:val="002406EA"/>
    <w:rsid w:val="00242687"/>
    <w:rsid w:val="00242904"/>
    <w:rsid w:val="002435FC"/>
    <w:rsid w:val="002437CB"/>
    <w:rsid w:val="00245ADE"/>
    <w:rsid w:val="002462C9"/>
    <w:rsid w:val="0024774A"/>
    <w:rsid w:val="00250C9A"/>
    <w:rsid w:val="00252135"/>
    <w:rsid w:val="00252192"/>
    <w:rsid w:val="00252276"/>
    <w:rsid w:val="0025525F"/>
    <w:rsid w:val="00255F3C"/>
    <w:rsid w:val="002567A9"/>
    <w:rsid w:val="00256B7C"/>
    <w:rsid w:val="00257823"/>
    <w:rsid w:val="0026048F"/>
    <w:rsid w:val="00261D9D"/>
    <w:rsid w:val="00263140"/>
    <w:rsid w:val="0026444E"/>
    <w:rsid w:val="002672CB"/>
    <w:rsid w:val="00267792"/>
    <w:rsid w:val="00274170"/>
    <w:rsid w:val="0027665C"/>
    <w:rsid w:val="00280029"/>
    <w:rsid w:val="00280936"/>
    <w:rsid w:val="00281FE5"/>
    <w:rsid w:val="00282135"/>
    <w:rsid w:val="0028270A"/>
    <w:rsid w:val="00283267"/>
    <w:rsid w:val="00283595"/>
    <w:rsid w:val="00285F49"/>
    <w:rsid w:val="00286384"/>
    <w:rsid w:val="0028663F"/>
    <w:rsid w:val="00286D7D"/>
    <w:rsid w:val="00290BA7"/>
    <w:rsid w:val="002914EF"/>
    <w:rsid w:val="0029304A"/>
    <w:rsid w:val="00293312"/>
    <w:rsid w:val="002935EE"/>
    <w:rsid w:val="00293B84"/>
    <w:rsid w:val="00294159"/>
    <w:rsid w:val="0029423F"/>
    <w:rsid w:val="00294D91"/>
    <w:rsid w:val="00295B9B"/>
    <w:rsid w:val="002968B9"/>
    <w:rsid w:val="002A5B62"/>
    <w:rsid w:val="002A602E"/>
    <w:rsid w:val="002B1784"/>
    <w:rsid w:val="002B7128"/>
    <w:rsid w:val="002C0606"/>
    <w:rsid w:val="002C0FA7"/>
    <w:rsid w:val="002C4468"/>
    <w:rsid w:val="002C5BAD"/>
    <w:rsid w:val="002C725B"/>
    <w:rsid w:val="002D05EF"/>
    <w:rsid w:val="002D18B7"/>
    <w:rsid w:val="002D440E"/>
    <w:rsid w:val="002D518F"/>
    <w:rsid w:val="002D5910"/>
    <w:rsid w:val="002D6C56"/>
    <w:rsid w:val="002E05C2"/>
    <w:rsid w:val="002E0D45"/>
    <w:rsid w:val="002E2DFF"/>
    <w:rsid w:val="002E2F9F"/>
    <w:rsid w:val="002E5660"/>
    <w:rsid w:val="002F00C8"/>
    <w:rsid w:val="002F01E5"/>
    <w:rsid w:val="002F40B7"/>
    <w:rsid w:val="002F4217"/>
    <w:rsid w:val="002F4536"/>
    <w:rsid w:val="002F5033"/>
    <w:rsid w:val="002F5AF8"/>
    <w:rsid w:val="002F6A52"/>
    <w:rsid w:val="003006D6"/>
    <w:rsid w:val="0030123F"/>
    <w:rsid w:val="003016FA"/>
    <w:rsid w:val="003022CB"/>
    <w:rsid w:val="00303452"/>
    <w:rsid w:val="00304EC6"/>
    <w:rsid w:val="0030572F"/>
    <w:rsid w:val="003057BA"/>
    <w:rsid w:val="00305B39"/>
    <w:rsid w:val="00306020"/>
    <w:rsid w:val="003071E1"/>
    <w:rsid w:val="0031025A"/>
    <w:rsid w:val="003107CE"/>
    <w:rsid w:val="00311704"/>
    <w:rsid w:val="003136CE"/>
    <w:rsid w:val="003137FB"/>
    <w:rsid w:val="00313E21"/>
    <w:rsid w:val="00315062"/>
    <w:rsid w:val="00315304"/>
    <w:rsid w:val="00316D1D"/>
    <w:rsid w:val="00317C4A"/>
    <w:rsid w:val="00320DF0"/>
    <w:rsid w:val="00320EF0"/>
    <w:rsid w:val="003220DB"/>
    <w:rsid w:val="003227FB"/>
    <w:rsid w:val="00323C7F"/>
    <w:rsid w:val="00324C43"/>
    <w:rsid w:val="00325C9B"/>
    <w:rsid w:val="00327850"/>
    <w:rsid w:val="00327A28"/>
    <w:rsid w:val="00330E4C"/>
    <w:rsid w:val="00333813"/>
    <w:rsid w:val="003342CD"/>
    <w:rsid w:val="003350AB"/>
    <w:rsid w:val="003363BE"/>
    <w:rsid w:val="003431AD"/>
    <w:rsid w:val="00343AD3"/>
    <w:rsid w:val="0034455B"/>
    <w:rsid w:val="00344B09"/>
    <w:rsid w:val="00345D59"/>
    <w:rsid w:val="003468E5"/>
    <w:rsid w:val="00346B66"/>
    <w:rsid w:val="00351692"/>
    <w:rsid w:val="0035252B"/>
    <w:rsid w:val="003530BD"/>
    <w:rsid w:val="003604EF"/>
    <w:rsid w:val="00361741"/>
    <w:rsid w:val="003632C3"/>
    <w:rsid w:val="00366602"/>
    <w:rsid w:val="0037005E"/>
    <w:rsid w:val="00373E86"/>
    <w:rsid w:val="003748D9"/>
    <w:rsid w:val="00374949"/>
    <w:rsid w:val="00381E90"/>
    <w:rsid w:val="00381F90"/>
    <w:rsid w:val="0038299C"/>
    <w:rsid w:val="00385A9B"/>
    <w:rsid w:val="0038704C"/>
    <w:rsid w:val="00390D7B"/>
    <w:rsid w:val="003916DC"/>
    <w:rsid w:val="00391939"/>
    <w:rsid w:val="003925F1"/>
    <w:rsid w:val="00393DDB"/>
    <w:rsid w:val="003941B7"/>
    <w:rsid w:val="003954EC"/>
    <w:rsid w:val="00395A51"/>
    <w:rsid w:val="00395BA4"/>
    <w:rsid w:val="00396C66"/>
    <w:rsid w:val="0039777E"/>
    <w:rsid w:val="003A0487"/>
    <w:rsid w:val="003A171C"/>
    <w:rsid w:val="003A401D"/>
    <w:rsid w:val="003A5CAD"/>
    <w:rsid w:val="003A776F"/>
    <w:rsid w:val="003B0A54"/>
    <w:rsid w:val="003B2067"/>
    <w:rsid w:val="003B2CAD"/>
    <w:rsid w:val="003B2F85"/>
    <w:rsid w:val="003B39E5"/>
    <w:rsid w:val="003B3C7E"/>
    <w:rsid w:val="003B4693"/>
    <w:rsid w:val="003B66B8"/>
    <w:rsid w:val="003B680D"/>
    <w:rsid w:val="003C0F42"/>
    <w:rsid w:val="003C144C"/>
    <w:rsid w:val="003C2FC0"/>
    <w:rsid w:val="003C327F"/>
    <w:rsid w:val="003C408C"/>
    <w:rsid w:val="003C4907"/>
    <w:rsid w:val="003C655D"/>
    <w:rsid w:val="003C7C6F"/>
    <w:rsid w:val="003D06FF"/>
    <w:rsid w:val="003D0926"/>
    <w:rsid w:val="003D0D55"/>
    <w:rsid w:val="003D5CA8"/>
    <w:rsid w:val="003D5D6C"/>
    <w:rsid w:val="003D7FE6"/>
    <w:rsid w:val="003E07DA"/>
    <w:rsid w:val="003E1D7C"/>
    <w:rsid w:val="003E25BC"/>
    <w:rsid w:val="003E5E77"/>
    <w:rsid w:val="003E7DDF"/>
    <w:rsid w:val="003F19BC"/>
    <w:rsid w:val="003F356E"/>
    <w:rsid w:val="003F3934"/>
    <w:rsid w:val="003F4AD3"/>
    <w:rsid w:val="003F6631"/>
    <w:rsid w:val="003F6AFC"/>
    <w:rsid w:val="003F72D3"/>
    <w:rsid w:val="004008AC"/>
    <w:rsid w:val="00402FE2"/>
    <w:rsid w:val="004033CC"/>
    <w:rsid w:val="004037E3"/>
    <w:rsid w:val="00404A71"/>
    <w:rsid w:val="00404AF2"/>
    <w:rsid w:val="004108F0"/>
    <w:rsid w:val="00412B4E"/>
    <w:rsid w:val="0041338D"/>
    <w:rsid w:val="004136D1"/>
    <w:rsid w:val="00413AF5"/>
    <w:rsid w:val="00414943"/>
    <w:rsid w:val="004161D1"/>
    <w:rsid w:val="004161DE"/>
    <w:rsid w:val="00416407"/>
    <w:rsid w:val="0042083F"/>
    <w:rsid w:val="00420B2D"/>
    <w:rsid w:val="004265F8"/>
    <w:rsid w:val="004267DD"/>
    <w:rsid w:val="00430EB5"/>
    <w:rsid w:val="00432372"/>
    <w:rsid w:val="00433498"/>
    <w:rsid w:val="00434DFA"/>
    <w:rsid w:val="004357A5"/>
    <w:rsid w:val="004359A8"/>
    <w:rsid w:val="00436623"/>
    <w:rsid w:val="00436C5B"/>
    <w:rsid w:val="00436CF8"/>
    <w:rsid w:val="00437A55"/>
    <w:rsid w:val="00442B0A"/>
    <w:rsid w:val="004432C4"/>
    <w:rsid w:val="00446503"/>
    <w:rsid w:val="00446FC9"/>
    <w:rsid w:val="00447607"/>
    <w:rsid w:val="00450494"/>
    <w:rsid w:val="00451B3B"/>
    <w:rsid w:val="00453837"/>
    <w:rsid w:val="00455482"/>
    <w:rsid w:val="004570F6"/>
    <w:rsid w:val="0046204B"/>
    <w:rsid w:val="00463D11"/>
    <w:rsid w:val="004656EF"/>
    <w:rsid w:val="00465DAE"/>
    <w:rsid w:val="004666D8"/>
    <w:rsid w:val="004711E2"/>
    <w:rsid w:val="0047182B"/>
    <w:rsid w:val="00473E6F"/>
    <w:rsid w:val="00475002"/>
    <w:rsid w:val="004751D6"/>
    <w:rsid w:val="0047522F"/>
    <w:rsid w:val="00477066"/>
    <w:rsid w:val="00480B58"/>
    <w:rsid w:val="00480E9A"/>
    <w:rsid w:val="00481EF8"/>
    <w:rsid w:val="00483635"/>
    <w:rsid w:val="00484292"/>
    <w:rsid w:val="0048736D"/>
    <w:rsid w:val="00487418"/>
    <w:rsid w:val="00490B9D"/>
    <w:rsid w:val="00490CAD"/>
    <w:rsid w:val="00491232"/>
    <w:rsid w:val="00493C0A"/>
    <w:rsid w:val="00496C67"/>
    <w:rsid w:val="004974E2"/>
    <w:rsid w:val="004A153A"/>
    <w:rsid w:val="004A23CD"/>
    <w:rsid w:val="004A243C"/>
    <w:rsid w:val="004A3028"/>
    <w:rsid w:val="004A32D4"/>
    <w:rsid w:val="004A5F17"/>
    <w:rsid w:val="004A63F0"/>
    <w:rsid w:val="004A6AE8"/>
    <w:rsid w:val="004A7C31"/>
    <w:rsid w:val="004B0E21"/>
    <w:rsid w:val="004B23A8"/>
    <w:rsid w:val="004B3314"/>
    <w:rsid w:val="004B3529"/>
    <w:rsid w:val="004B465B"/>
    <w:rsid w:val="004B5001"/>
    <w:rsid w:val="004B54CA"/>
    <w:rsid w:val="004B7343"/>
    <w:rsid w:val="004C0E6A"/>
    <w:rsid w:val="004C455B"/>
    <w:rsid w:val="004C7AF5"/>
    <w:rsid w:val="004D06A0"/>
    <w:rsid w:val="004D3CFD"/>
    <w:rsid w:val="004D3D93"/>
    <w:rsid w:val="004D7C6E"/>
    <w:rsid w:val="004E0397"/>
    <w:rsid w:val="004E23FF"/>
    <w:rsid w:val="004E589D"/>
    <w:rsid w:val="004E60EB"/>
    <w:rsid w:val="004F08EC"/>
    <w:rsid w:val="004F0900"/>
    <w:rsid w:val="004F0915"/>
    <w:rsid w:val="004F4E64"/>
    <w:rsid w:val="004F5F6B"/>
    <w:rsid w:val="004F61C6"/>
    <w:rsid w:val="004F6935"/>
    <w:rsid w:val="004F78DB"/>
    <w:rsid w:val="005004C6"/>
    <w:rsid w:val="00500854"/>
    <w:rsid w:val="00504518"/>
    <w:rsid w:val="00506469"/>
    <w:rsid w:val="00506A55"/>
    <w:rsid w:val="005070BD"/>
    <w:rsid w:val="00507CBF"/>
    <w:rsid w:val="005103C1"/>
    <w:rsid w:val="00510FD7"/>
    <w:rsid w:val="00511032"/>
    <w:rsid w:val="00511FB2"/>
    <w:rsid w:val="0051292F"/>
    <w:rsid w:val="00512FC6"/>
    <w:rsid w:val="005159A3"/>
    <w:rsid w:val="005223EF"/>
    <w:rsid w:val="00522979"/>
    <w:rsid w:val="00522D3B"/>
    <w:rsid w:val="00523691"/>
    <w:rsid w:val="00524A2B"/>
    <w:rsid w:val="00526263"/>
    <w:rsid w:val="0052634C"/>
    <w:rsid w:val="0052725A"/>
    <w:rsid w:val="00527E72"/>
    <w:rsid w:val="005308D3"/>
    <w:rsid w:val="00530E80"/>
    <w:rsid w:val="0053145E"/>
    <w:rsid w:val="00531D55"/>
    <w:rsid w:val="005339E4"/>
    <w:rsid w:val="00533C49"/>
    <w:rsid w:val="00534B3C"/>
    <w:rsid w:val="00537346"/>
    <w:rsid w:val="00537D2F"/>
    <w:rsid w:val="00537DA8"/>
    <w:rsid w:val="00540432"/>
    <w:rsid w:val="00541EEB"/>
    <w:rsid w:val="00545196"/>
    <w:rsid w:val="005459E6"/>
    <w:rsid w:val="0055017B"/>
    <w:rsid w:val="00551E23"/>
    <w:rsid w:val="005533BB"/>
    <w:rsid w:val="005540CA"/>
    <w:rsid w:val="00554552"/>
    <w:rsid w:val="00554761"/>
    <w:rsid w:val="00554949"/>
    <w:rsid w:val="0055541D"/>
    <w:rsid w:val="00555FBC"/>
    <w:rsid w:val="00556160"/>
    <w:rsid w:val="005572BB"/>
    <w:rsid w:val="00563A7C"/>
    <w:rsid w:val="0056500C"/>
    <w:rsid w:val="00567B85"/>
    <w:rsid w:val="00567BE9"/>
    <w:rsid w:val="00567FDF"/>
    <w:rsid w:val="00573311"/>
    <w:rsid w:val="00574790"/>
    <w:rsid w:val="00575042"/>
    <w:rsid w:val="00575345"/>
    <w:rsid w:val="005768EA"/>
    <w:rsid w:val="00581869"/>
    <w:rsid w:val="00583EA6"/>
    <w:rsid w:val="005840E1"/>
    <w:rsid w:val="00584F5D"/>
    <w:rsid w:val="00585A4F"/>
    <w:rsid w:val="00587E79"/>
    <w:rsid w:val="00590099"/>
    <w:rsid w:val="005907C6"/>
    <w:rsid w:val="00592989"/>
    <w:rsid w:val="0059452B"/>
    <w:rsid w:val="00595AA8"/>
    <w:rsid w:val="005966A8"/>
    <w:rsid w:val="005A338D"/>
    <w:rsid w:val="005A4BF3"/>
    <w:rsid w:val="005A4E7F"/>
    <w:rsid w:val="005A6D6A"/>
    <w:rsid w:val="005A6D92"/>
    <w:rsid w:val="005A745D"/>
    <w:rsid w:val="005A7535"/>
    <w:rsid w:val="005B0F24"/>
    <w:rsid w:val="005B1560"/>
    <w:rsid w:val="005B5C84"/>
    <w:rsid w:val="005B7830"/>
    <w:rsid w:val="005C022F"/>
    <w:rsid w:val="005C03D6"/>
    <w:rsid w:val="005C0546"/>
    <w:rsid w:val="005C27B6"/>
    <w:rsid w:val="005C48C5"/>
    <w:rsid w:val="005C7049"/>
    <w:rsid w:val="005C74F4"/>
    <w:rsid w:val="005C7A22"/>
    <w:rsid w:val="005D21E7"/>
    <w:rsid w:val="005D227C"/>
    <w:rsid w:val="005D4B80"/>
    <w:rsid w:val="005D7B72"/>
    <w:rsid w:val="005D7BDE"/>
    <w:rsid w:val="005E0B43"/>
    <w:rsid w:val="005E0D9C"/>
    <w:rsid w:val="005E2691"/>
    <w:rsid w:val="005E2927"/>
    <w:rsid w:val="005E3EE8"/>
    <w:rsid w:val="005E693D"/>
    <w:rsid w:val="005F1741"/>
    <w:rsid w:val="005F2C2B"/>
    <w:rsid w:val="005F3697"/>
    <w:rsid w:val="005F3D44"/>
    <w:rsid w:val="005F5E2C"/>
    <w:rsid w:val="005F617F"/>
    <w:rsid w:val="005F71E1"/>
    <w:rsid w:val="005F7201"/>
    <w:rsid w:val="00602596"/>
    <w:rsid w:val="00602B1D"/>
    <w:rsid w:val="00604FC1"/>
    <w:rsid w:val="0060606A"/>
    <w:rsid w:val="00607ED3"/>
    <w:rsid w:val="00611A3B"/>
    <w:rsid w:val="0061313F"/>
    <w:rsid w:val="00614D84"/>
    <w:rsid w:val="00614D90"/>
    <w:rsid w:val="006205EB"/>
    <w:rsid w:val="00621E8C"/>
    <w:rsid w:val="006236F5"/>
    <w:rsid w:val="00623E73"/>
    <w:rsid w:val="00624290"/>
    <w:rsid w:val="00625240"/>
    <w:rsid w:val="00625353"/>
    <w:rsid w:val="00625B35"/>
    <w:rsid w:val="00625F98"/>
    <w:rsid w:val="00627A20"/>
    <w:rsid w:val="0063062B"/>
    <w:rsid w:val="00632C87"/>
    <w:rsid w:val="00633919"/>
    <w:rsid w:val="00634D4D"/>
    <w:rsid w:val="00635907"/>
    <w:rsid w:val="00635A72"/>
    <w:rsid w:val="00640254"/>
    <w:rsid w:val="0064146B"/>
    <w:rsid w:val="0064211A"/>
    <w:rsid w:val="00644028"/>
    <w:rsid w:val="006444CB"/>
    <w:rsid w:val="00645E88"/>
    <w:rsid w:val="006478ED"/>
    <w:rsid w:val="00651E33"/>
    <w:rsid w:val="006532B3"/>
    <w:rsid w:val="00654684"/>
    <w:rsid w:val="00654712"/>
    <w:rsid w:val="00655077"/>
    <w:rsid w:val="006552DA"/>
    <w:rsid w:val="00655ED6"/>
    <w:rsid w:val="00655EF6"/>
    <w:rsid w:val="00657A39"/>
    <w:rsid w:val="00662662"/>
    <w:rsid w:val="00662914"/>
    <w:rsid w:val="00662A35"/>
    <w:rsid w:val="006632CA"/>
    <w:rsid w:val="00671FEF"/>
    <w:rsid w:val="00672D00"/>
    <w:rsid w:val="00672F80"/>
    <w:rsid w:val="006759E6"/>
    <w:rsid w:val="00675CF9"/>
    <w:rsid w:val="00681045"/>
    <w:rsid w:val="006843D6"/>
    <w:rsid w:val="006849F6"/>
    <w:rsid w:val="006867F0"/>
    <w:rsid w:val="00686A96"/>
    <w:rsid w:val="0068701B"/>
    <w:rsid w:val="00687312"/>
    <w:rsid w:val="0069078A"/>
    <w:rsid w:val="00690E53"/>
    <w:rsid w:val="00693711"/>
    <w:rsid w:val="00695E1C"/>
    <w:rsid w:val="0069699D"/>
    <w:rsid w:val="00697903"/>
    <w:rsid w:val="006A1043"/>
    <w:rsid w:val="006A1A82"/>
    <w:rsid w:val="006A367C"/>
    <w:rsid w:val="006A468B"/>
    <w:rsid w:val="006A54D8"/>
    <w:rsid w:val="006A6A4E"/>
    <w:rsid w:val="006B2A0F"/>
    <w:rsid w:val="006B2C56"/>
    <w:rsid w:val="006B3A10"/>
    <w:rsid w:val="006B4635"/>
    <w:rsid w:val="006B513C"/>
    <w:rsid w:val="006B5A18"/>
    <w:rsid w:val="006B60B9"/>
    <w:rsid w:val="006B6A2F"/>
    <w:rsid w:val="006B6A37"/>
    <w:rsid w:val="006B6BEE"/>
    <w:rsid w:val="006C121C"/>
    <w:rsid w:val="006C125C"/>
    <w:rsid w:val="006C1BFC"/>
    <w:rsid w:val="006C1CB2"/>
    <w:rsid w:val="006C2379"/>
    <w:rsid w:val="006C4112"/>
    <w:rsid w:val="006C4A1F"/>
    <w:rsid w:val="006C4D48"/>
    <w:rsid w:val="006C4E66"/>
    <w:rsid w:val="006C5274"/>
    <w:rsid w:val="006C59C5"/>
    <w:rsid w:val="006C6CBB"/>
    <w:rsid w:val="006C7E3D"/>
    <w:rsid w:val="006D150F"/>
    <w:rsid w:val="006D4F76"/>
    <w:rsid w:val="006D51CA"/>
    <w:rsid w:val="006D5752"/>
    <w:rsid w:val="006D6693"/>
    <w:rsid w:val="006D754C"/>
    <w:rsid w:val="006E0596"/>
    <w:rsid w:val="006E05EF"/>
    <w:rsid w:val="006E1D6F"/>
    <w:rsid w:val="006E2ECA"/>
    <w:rsid w:val="006E321E"/>
    <w:rsid w:val="006E34E8"/>
    <w:rsid w:val="006E3D1F"/>
    <w:rsid w:val="006E4DBB"/>
    <w:rsid w:val="006E5CAA"/>
    <w:rsid w:val="006F03D0"/>
    <w:rsid w:val="006F1CBE"/>
    <w:rsid w:val="006F1E8F"/>
    <w:rsid w:val="006F254A"/>
    <w:rsid w:val="006F3101"/>
    <w:rsid w:val="006F3B93"/>
    <w:rsid w:val="006F3E25"/>
    <w:rsid w:val="006F46F3"/>
    <w:rsid w:val="006F4781"/>
    <w:rsid w:val="006F4D0D"/>
    <w:rsid w:val="006F5557"/>
    <w:rsid w:val="006F5ED4"/>
    <w:rsid w:val="007022E9"/>
    <w:rsid w:val="00702F7D"/>
    <w:rsid w:val="007032CC"/>
    <w:rsid w:val="007065B4"/>
    <w:rsid w:val="00707F4D"/>
    <w:rsid w:val="00711512"/>
    <w:rsid w:val="00711D9F"/>
    <w:rsid w:val="007122B8"/>
    <w:rsid w:val="00712B87"/>
    <w:rsid w:val="00714297"/>
    <w:rsid w:val="00715EDD"/>
    <w:rsid w:val="0071717E"/>
    <w:rsid w:val="007177F0"/>
    <w:rsid w:val="007207B1"/>
    <w:rsid w:val="0072139D"/>
    <w:rsid w:val="007312DD"/>
    <w:rsid w:val="0073249F"/>
    <w:rsid w:val="00732C24"/>
    <w:rsid w:val="00732FCA"/>
    <w:rsid w:val="00733CCF"/>
    <w:rsid w:val="00735155"/>
    <w:rsid w:val="007364E0"/>
    <w:rsid w:val="007366DA"/>
    <w:rsid w:val="007373F2"/>
    <w:rsid w:val="007379B2"/>
    <w:rsid w:val="0074670F"/>
    <w:rsid w:val="007469B6"/>
    <w:rsid w:val="00746DB3"/>
    <w:rsid w:val="0074708E"/>
    <w:rsid w:val="00747748"/>
    <w:rsid w:val="00752772"/>
    <w:rsid w:val="00753B06"/>
    <w:rsid w:val="00754156"/>
    <w:rsid w:val="00754871"/>
    <w:rsid w:val="00754EF2"/>
    <w:rsid w:val="0075701E"/>
    <w:rsid w:val="00757609"/>
    <w:rsid w:val="007619CF"/>
    <w:rsid w:val="00763A77"/>
    <w:rsid w:val="00764077"/>
    <w:rsid w:val="00764AB3"/>
    <w:rsid w:val="00765021"/>
    <w:rsid w:val="007667E5"/>
    <w:rsid w:val="00773B53"/>
    <w:rsid w:val="007744F6"/>
    <w:rsid w:val="00774825"/>
    <w:rsid w:val="00774A0C"/>
    <w:rsid w:val="00775125"/>
    <w:rsid w:val="00775368"/>
    <w:rsid w:val="00775F79"/>
    <w:rsid w:val="00776454"/>
    <w:rsid w:val="00781D0E"/>
    <w:rsid w:val="0078335F"/>
    <w:rsid w:val="00786D0D"/>
    <w:rsid w:val="00790415"/>
    <w:rsid w:val="00794007"/>
    <w:rsid w:val="00794455"/>
    <w:rsid w:val="007958EB"/>
    <w:rsid w:val="007A27A1"/>
    <w:rsid w:val="007A28EE"/>
    <w:rsid w:val="007A5C50"/>
    <w:rsid w:val="007A605D"/>
    <w:rsid w:val="007A68DE"/>
    <w:rsid w:val="007A7C89"/>
    <w:rsid w:val="007B09DA"/>
    <w:rsid w:val="007B2683"/>
    <w:rsid w:val="007B2B7C"/>
    <w:rsid w:val="007B3F41"/>
    <w:rsid w:val="007B3FE4"/>
    <w:rsid w:val="007B654F"/>
    <w:rsid w:val="007B7287"/>
    <w:rsid w:val="007C333A"/>
    <w:rsid w:val="007C4A51"/>
    <w:rsid w:val="007C54B3"/>
    <w:rsid w:val="007C75E8"/>
    <w:rsid w:val="007D090D"/>
    <w:rsid w:val="007D18DC"/>
    <w:rsid w:val="007D1E65"/>
    <w:rsid w:val="007D2531"/>
    <w:rsid w:val="007D2AFA"/>
    <w:rsid w:val="007D357E"/>
    <w:rsid w:val="007D39E3"/>
    <w:rsid w:val="007D4DB9"/>
    <w:rsid w:val="007D4EC5"/>
    <w:rsid w:val="007D705A"/>
    <w:rsid w:val="007D7881"/>
    <w:rsid w:val="007E0677"/>
    <w:rsid w:val="007E1F45"/>
    <w:rsid w:val="007E2A48"/>
    <w:rsid w:val="007E3132"/>
    <w:rsid w:val="007E455F"/>
    <w:rsid w:val="007E4C52"/>
    <w:rsid w:val="007E5113"/>
    <w:rsid w:val="007E6B92"/>
    <w:rsid w:val="007E7A38"/>
    <w:rsid w:val="007E7E3B"/>
    <w:rsid w:val="007F0C6E"/>
    <w:rsid w:val="007F2534"/>
    <w:rsid w:val="007F4B5B"/>
    <w:rsid w:val="007F5848"/>
    <w:rsid w:val="007F785E"/>
    <w:rsid w:val="007F7A30"/>
    <w:rsid w:val="00801048"/>
    <w:rsid w:val="008026A7"/>
    <w:rsid w:val="008028E4"/>
    <w:rsid w:val="00802976"/>
    <w:rsid w:val="00802A24"/>
    <w:rsid w:val="0080356D"/>
    <w:rsid w:val="00803815"/>
    <w:rsid w:val="00803998"/>
    <w:rsid w:val="00804196"/>
    <w:rsid w:val="00805BEB"/>
    <w:rsid w:val="00806671"/>
    <w:rsid w:val="00806788"/>
    <w:rsid w:val="00806945"/>
    <w:rsid w:val="0081190E"/>
    <w:rsid w:val="00814BFF"/>
    <w:rsid w:val="008153D9"/>
    <w:rsid w:val="00816A4B"/>
    <w:rsid w:val="00820BC1"/>
    <w:rsid w:val="00821741"/>
    <w:rsid w:val="00822F26"/>
    <w:rsid w:val="00823632"/>
    <w:rsid w:val="00824669"/>
    <w:rsid w:val="0082521C"/>
    <w:rsid w:val="00826D5E"/>
    <w:rsid w:val="0082755C"/>
    <w:rsid w:val="00827F06"/>
    <w:rsid w:val="00830A53"/>
    <w:rsid w:val="008349C2"/>
    <w:rsid w:val="008354D3"/>
    <w:rsid w:val="008357C0"/>
    <w:rsid w:val="00836AC1"/>
    <w:rsid w:val="00842C99"/>
    <w:rsid w:val="008432E7"/>
    <w:rsid w:val="00843F4F"/>
    <w:rsid w:val="008445B8"/>
    <w:rsid w:val="008465BD"/>
    <w:rsid w:val="00846E15"/>
    <w:rsid w:val="00847D43"/>
    <w:rsid w:val="00850C7A"/>
    <w:rsid w:val="0085114D"/>
    <w:rsid w:val="008519B8"/>
    <w:rsid w:val="00852E8D"/>
    <w:rsid w:val="0085330E"/>
    <w:rsid w:val="00853F0A"/>
    <w:rsid w:val="0085578C"/>
    <w:rsid w:val="008563D4"/>
    <w:rsid w:val="00857CFA"/>
    <w:rsid w:val="00861EE0"/>
    <w:rsid w:val="00862AFA"/>
    <w:rsid w:val="008636B8"/>
    <w:rsid w:val="008662A7"/>
    <w:rsid w:val="008673E5"/>
    <w:rsid w:val="00867ACF"/>
    <w:rsid w:val="008705B3"/>
    <w:rsid w:val="008710D2"/>
    <w:rsid w:val="00871639"/>
    <w:rsid w:val="008721D5"/>
    <w:rsid w:val="00872997"/>
    <w:rsid w:val="00873237"/>
    <w:rsid w:val="00873263"/>
    <w:rsid w:val="00873BE7"/>
    <w:rsid w:val="00873BF4"/>
    <w:rsid w:val="00875813"/>
    <w:rsid w:val="00875BBE"/>
    <w:rsid w:val="008766BB"/>
    <w:rsid w:val="0087679A"/>
    <w:rsid w:val="008770A8"/>
    <w:rsid w:val="0087743A"/>
    <w:rsid w:val="00877AAB"/>
    <w:rsid w:val="0088253B"/>
    <w:rsid w:val="00883A31"/>
    <w:rsid w:val="00883E26"/>
    <w:rsid w:val="00884BC3"/>
    <w:rsid w:val="00890058"/>
    <w:rsid w:val="00890F50"/>
    <w:rsid w:val="00895FE1"/>
    <w:rsid w:val="00897469"/>
    <w:rsid w:val="0089793E"/>
    <w:rsid w:val="008A7BCE"/>
    <w:rsid w:val="008B2BF4"/>
    <w:rsid w:val="008B31D2"/>
    <w:rsid w:val="008B3456"/>
    <w:rsid w:val="008B50FC"/>
    <w:rsid w:val="008B5DA4"/>
    <w:rsid w:val="008B66F8"/>
    <w:rsid w:val="008B707E"/>
    <w:rsid w:val="008B7BA4"/>
    <w:rsid w:val="008C2379"/>
    <w:rsid w:val="008C2D89"/>
    <w:rsid w:val="008C2F04"/>
    <w:rsid w:val="008C460B"/>
    <w:rsid w:val="008C48A9"/>
    <w:rsid w:val="008C4A1A"/>
    <w:rsid w:val="008C4C79"/>
    <w:rsid w:val="008C56EC"/>
    <w:rsid w:val="008C76BA"/>
    <w:rsid w:val="008D05B6"/>
    <w:rsid w:val="008D2CEC"/>
    <w:rsid w:val="008D2FB1"/>
    <w:rsid w:val="008D40BE"/>
    <w:rsid w:val="008D497C"/>
    <w:rsid w:val="008D4C93"/>
    <w:rsid w:val="008D6EE2"/>
    <w:rsid w:val="008D71E3"/>
    <w:rsid w:val="008D7733"/>
    <w:rsid w:val="008D781D"/>
    <w:rsid w:val="008E1467"/>
    <w:rsid w:val="008E16B3"/>
    <w:rsid w:val="008E1B28"/>
    <w:rsid w:val="008E1C10"/>
    <w:rsid w:val="008E465E"/>
    <w:rsid w:val="008E5963"/>
    <w:rsid w:val="008E72E7"/>
    <w:rsid w:val="008E799D"/>
    <w:rsid w:val="008E7BDA"/>
    <w:rsid w:val="008E7C3D"/>
    <w:rsid w:val="008F0A56"/>
    <w:rsid w:val="008F1B00"/>
    <w:rsid w:val="008F36D6"/>
    <w:rsid w:val="008F5687"/>
    <w:rsid w:val="008F5FD4"/>
    <w:rsid w:val="00900795"/>
    <w:rsid w:val="00902CEB"/>
    <w:rsid w:val="00903490"/>
    <w:rsid w:val="00903AF7"/>
    <w:rsid w:val="00905AFA"/>
    <w:rsid w:val="0090650C"/>
    <w:rsid w:val="0090721C"/>
    <w:rsid w:val="00910617"/>
    <w:rsid w:val="00913A57"/>
    <w:rsid w:val="00914B99"/>
    <w:rsid w:val="00914F99"/>
    <w:rsid w:val="00916862"/>
    <w:rsid w:val="00925042"/>
    <w:rsid w:val="009251BB"/>
    <w:rsid w:val="00927AF8"/>
    <w:rsid w:val="00930392"/>
    <w:rsid w:val="00930597"/>
    <w:rsid w:val="00930FBE"/>
    <w:rsid w:val="009335D9"/>
    <w:rsid w:val="009345F9"/>
    <w:rsid w:val="00934A69"/>
    <w:rsid w:val="00935C63"/>
    <w:rsid w:val="00936134"/>
    <w:rsid w:val="00940E77"/>
    <w:rsid w:val="0094168E"/>
    <w:rsid w:val="00944200"/>
    <w:rsid w:val="00944D70"/>
    <w:rsid w:val="00944ED4"/>
    <w:rsid w:val="00945308"/>
    <w:rsid w:val="00945625"/>
    <w:rsid w:val="009464E9"/>
    <w:rsid w:val="00950263"/>
    <w:rsid w:val="0095069D"/>
    <w:rsid w:val="00953011"/>
    <w:rsid w:val="00953334"/>
    <w:rsid w:val="0095456F"/>
    <w:rsid w:val="00961438"/>
    <w:rsid w:val="00961AD6"/>
    <w:rsid w:val="009626A3"/>
    <w:rsid w:val="009652E5"/>
    <w:rsid w:val="009655DF"/>
    <w:rsid w:val="009656DC"/>
    <w:rsid w:val="00965737"/>
    <w:rsid w:val="0096633B"/>
    <w:rsid w:val="00966982"/>
    <w:rsid w:val="00967333"/>
    <w:rsid w:val="00967B17"/>
    <w:rsid w:val="00970028"/>
    <w:rsid w:val="00971E05"/>
    <w:rsid w:val="009730CE"/>
    <w:rsid w:val="009754B7"/>
    <w:rsid w:val="00981288"/>
    <w:rsid w:val="00983725"/>
    <w:rsid w:val="0098501B"/>
    <w:rsid w:val="00985374"/>
    <w:rsid w:val="0098611A"/>
    <w:rsid w:val="009873C3"/>
    <w:rsid w:val="0099039D"/>
    <w:rsid w:val="00991050"/>
    <w:rsid w:val="00991910"/>
    <w:rsid w:val="00991EB0"/>
    <w:rsid w:val="009922D2"/>
    <w:rsid w:val="00993C34"/>
    <w:rsid w:val="00995169"/>
    <w:rsid w:val="00996A39"/>
    <w:rsid w:val="0099792C"/>
    <w:rsid w:val="0099796A"/>
    <w:rsid w:val="009A0537"/>
    <w:rsid w:val="009A062D"/>
    <w:rsid w:val="009A44B6"/>
    <w:rsid w:val="009A51BC"/>
    <w:rsid w:val="009A7D0F"/>
    <w:rsid w:val="009B5044"/>
    <w:rsid w:val="009B6FA0"/>
    <w:rsid w:val="009B769D"/>
    <w:rsid w:val="009C1823"/>
    <w:rsid w:val="009C1A26"/>
    <w:rsid w:val="009C73BE"/>
    <w:rsid w:val="009C7F09"/>
    <w:rsid w:val="009D34FC"/>
    <w:rsid w:val="009D47AE"/>
    <w:rsid w:val="009D65E8"/>
    <w:rsid w:val="009D796F"/>
    <w:rsid w:val="009D79E5"/>
    <w:rsid w:val="009E0747"/>
    <w:rsid w:val="009E12D0"/>
    <w:rsid w:val="009E33D8"/>
    <w:rsid w:val="009E4892"/>
    <w:rsid w:val="009E48A6"/>
    <w:rsid w:val="009E6274"/>
    <w:rsid w:val="009E6605"/>
    <w:rsid w:val="009E6776"/>
    <w:rsid w:val="009E7936"/>
    <w:rsid w:val="009F309C"/>
    <w:rsid w:val="009F4BF4"/>
    <w:rsid w:val="009F54B8"/>
    <w:rsid w:val="00A016D8"/>
    <w:rsid w:val="00A01C4B"/>
    <w:rsid w:val="00A03DE3"/>
    <w:rsid w:val="00A0407E"/>
    <w:rsid w:val="00A058B5"/>
    <w:rsid w:val="00A05ED4"/>
    <w:rsid w:val="00A067CE"/>
    <w:rsid w:val="00A06848"/>
    <w:rsid w:val="00A07327"/>
    <w:rsid w:val="00A10755"/>
    <w:rsid w:val="00A12273"/>
    <w:rsid w:val="00A125B7"/>
    <w:rsid w:val="00A13982"/>
    <w:rsid w:val="00A146E9"/>
    <w:rsid w:val="00A1653F"/>
    <w:rsid w:val="00A17068"/>
    <w:rsid w:val="00A17CD2"/>
    <w:rsid w:val="00A2250A"/>
    <w:rsid w:val="00A2346C"/>
    <w:rsid w:val="00A23B50"/>
    <w:rsid w:val="00A24A95"/>
    <w:rsid w:val="00A24CD8"/>
    <w:rsid w:val="00A27417"/>
    <w:rsid w:val="00A2777C"/>
    <w:rsid w:val="00A31830"/>
    <w:rsid w:val="00A32BC3"/>
    <w:rsid w:val="00A33B30"/>
    <w:rsid w:val="00A35CD8"/>
    <w:rsid w:val="00A36065"/>
    <w:rsid w:val="00A37B08"/>
    <w:rsid w:val="00A407ED"/>
    <w:rsid w:val="00A41908"/>
    <w:rsid w:val="00A4278F"/>
    <w:rsid w:val="00A42BE0"/>
    <w:rsid w:val="00A5032F"/>
    <w:rsid w:val="00A50A7F"/>
    <w:rsid w:val="00A51B51"/>
    <w:rsid w:val="00A5333D"/>
    <w:rsid w:val="00A53EAF"/>
    <w:rsid w:val="00A54198"/>
    <w:rsid w:val="00A54C17"/>
    <w:rsid w:val="00A54FBB"/>
    <w:rsid w:val="00A62E99"/>
    <w:rsid w:val="00A63022"/>
    <w:rsid w:val="00A63262"/>
    <w:rsid w:val="00A672AA"/>
    <w:rsid w:val="00A67B88"/>
    <w:rsid w:val="00A719AA"/>
    <w:rsid w:val="00A7349F"/>
    <w:rsid w:val="00A75214"/>
    <w:rsid w:val="00A77174"/>
    <w:rsid w:val="00A80211"/>
    <w:rsid w:val="00A80988"/>
    <w:rsid w:val="00A82BF6"/>
    <w:rsid w:val="00A82F5A"/>
    <w:rsid w:val="00A83258"/>
    <w:rsid w:val="00A83D64"/>
    <w:rsid w:val="00A850FB"/>
    <w:rsid w:val="00A8798F"/>
    <w:rsid w:val="00A87BD7"/>
    <w:rsid w:val="00A907E0"/>
    <w:rsid w:val="00A90AA9"/>
    <w:rsid w:val="00A91883"/>
    <w:rsid w:val="00A924F6"/>
    <w:rsid w:val="00A92C4C"/>
    <w:rsid w:val="00A933F0"/>
    <w:rsid w:val="00A93DEE"/>
    <w:rsid w:val="00A94562"/>
    <w:rsid w:val="00A95C1C"/>
    <w:rsid w:val="00AA04A5"/>
    <w:rsid w:val="00AA2487"/>
    <w:rsid w:val="00AA45BD"/>
    <w:rsid w:val="00AA461D"/>
    <w:rsid w:val="00AA4B34"/>
    <w:rsid w:val="00AA55C7"/>
    <w:rsid w:val="00AA7F1D"/>
    <w:rsid w:val="00AB01DF"/>
    <w:rsid w:val="00AB1F76"/>
    <w:rsid w:val="00AB619E"/>
    <w:rsid w:val="00AB7936"/>
    <w:rsid w:val="00AC2A9D"/>
    <w:rsid w:val="00AC3BA0"/>
    <w:rsid w:val="00AC3BFE"/>
    <w:rsid w:val="00AC3F61"/>
    <w:rsid w:val="00AC5D1D"/>
    <w:rsid w:val="00AC5EF6"/>
    <w:rsid w:val="00AC6E0E"/>
    <w:rsid w:val="00AC7BA6"/>
    <w:rsid w:val="00AC7FF3"/>
    <w:rsid w:val="00AD0E94"/>
    <w:rsid w:val="00AD0F1C"/>
    <w:rsid w:val="00AD0F6F"/>
    <w:rsid w:val="00AD2337"/>
    <w:rsid w:val="00AD272D"/>
    <w:rsid w:val="00AD50A1"/>
    <w:rsid w:val="00AD57E5"/>
    <w:rsid w:val="00AD5F39"/>
    <w:rsid w:val="00AD6334"/>
    <w:rsid w:val="00AE1CEF"/>
    <w:rsid w:val="00AE1F8C"/>
    <w:rsid w:val="00AE4B9B"/>
    <w:rsid w:val="00AE551D"/>
    <w:rsid w:val="00AF129C"/>
    <w:rsid w:val="00AF23BF"/>
    <w:rsid w:val="00AF26F3"/>
    <w:rsid w:val="00AF28D8"/>
    <w:rsid w:val="00AF2965"/>
    <w:rsid w:val="00AF2BE4"/>
    <w:rsid w:val="00AF3526"/>
    <w:rsid w:val="00AF5229"/>
    <w:rsid w:val="00AF6BA4"/>
    <w:rsid w:val="00AF7794"/>
    <w:rsid w:val="00B00485"/>
    <w:rsid w:val="00B009AD"/>
    <w:rsid w:val="00B00F09"/>
    <w:rsid w:val="00B01683"/>
    <w:rsid w:val="00B018A7"/>
    <w:rsid w:val="00B0244D"/>
    <w:rsid w:val="00B02739"/>
    <w:rsid w:val="00B052AB"/>
    <w:rsid w:val="00B07D7E"/>
    <w:rsid w:val="00B10F91"/>
    <w:rsid w:val="00B12898"/>
    <w:rsid w:val="00B15C6C"/>
    <w:rsid w:val="00B1699B"/>
    <w:rsid w:val="00B209FB"/>
    <w:rsid w:val="00B20AB2"/>
    <w:rsid w:val="00B219EF"/>
    <w:rsid w:val="00B23945"/>
    <w:rsid w:val="00B2395E"/>
    <w:rsid w:val="00B23EB1"/>
    <w:rsid w:val="00B24115"/>
    <w:rsid w:val="00B256FC"/>
    <w:rsid w:val="00B25B65"/>
    <w:rsid w:val="00B32703"/>
    <w:rsid w:val="00B33467"/>
    <w:rsid w:val="00B33784"/>
    <w:rsid w:val="00B35520"/>
    <w:rsid w:val="00B361ED"/>
    <w:rsid w:val="00B36620"/>
    <w:rsid w:val="00B36A45"/>
    <w:rsid w:val="00B4177A"/>
    <w:rsid w:val="00B41F77"/>
    <w:rsid w:val="00B447D3"/>
    <w:rsid w:val="00B45AE7"/>
    <w:rsid w:val="00B51E46"/>
    <w:rsid w:val="00B555FF"/>
    <w:rsid w:val="00B5604D"/>
    <w:rsid w:val="00B56A57"/>
    <w:rsid w:val="00B56FE0"/>
    <w:rsid w:val="00B57310"/>
    <w:rsid w:val="00B57C10"/>
    <w:rsid w:val="00B618BF"/>
    <w:rsid w:val="00B62277"/>
    <w:rsid w:val="00B62283"/>
    <w:rsid w:val="00B6383D"/>
    <w:rsid w:val="00B63A26"/>
    <w:rsid w:val="00B65149"/>
    <w:rsid w:val="00B6557B"/>
    <w:rsid w:val="00B679C8"/>
    <w:rsid w:val="00B70372"/>
    <w:rsid w:val="00B71840"/>
    <w:rsid w:val="00B72087"/>
    <w:rsid w:val="00B72B06"/>
    <w:rsid w:val="00B72ED5"/>
    <w:rsid w:val="00B76351"/>
    <w:rsid w:val="00B76A6C"/>
    <w:rsid w:val="00B771AE"/>
    <w:rsid w:val="00B77E27"/>
    <w:rsid w:val="00B80321"/>
    <w:rsid w:val="00B80BE4"/>
    <w:rsid w:val="00B80DF5"/>
    <w:rsid w:val="00B8210A"/>
    <w:rsid w:val="00B82437"/>
    <w:rsid w:val="00B827E5"/>
    <w:rsid w:val="00B828F8"/>
    <w:rsid w:val="00B844A9"/>
    <w:rsid w:val="00B8556D"/>
    <w:rsid w:val="00B8667F"/>
    <w:rsid w:val="00B867BD"/>
    <w:rsid w:val="00B8745D"/>
    <w:rsid w:val="00B92016"/>
    <w:rsid w:val="00B921D9"/>
    <w:rsid w:val="00B93368"/>
    <w:rsid w:val="00B935B8"/>
    <w:rsid w:val="00B95AE7"/>
    <w:rsid w:val="00B965B5"/>
    <w:rsid w:val="00B97E68"/>
    <w:rsid w:val="00BA093C"/>
    <w:rsid w:val="00BA1976"/>
    <w:rsid w:val="00BA239A"/>
    <w:rsid w:val="00BA2DF7"/>
    <w:rsid w:val="00BA3F96"/>
    <w:rsid w:val="00BA5490"/>
    <w:rsid w:val="00BA5BE4"/>
    <w:rsid w:val="00BA6708"/>
    <w:rsid w:val="00BA6BAF"/>
    <w:rsid w:val="00BA6CE0"/>
    <w:rsid w:val="00BB0136"/>
    <w:rsid w:val="00BB0379"/>
    <w:rsid w:val="00BB0E95"/>
    <w:rsid w:val="00BB10B3"/>
    <w:rsid w:val="00BB1D6D"/>
    <w:rsid w:val="00BB2F72"/>
    <w:rsid w:val="00BB43A9"/>
    <w:rsid w:val="00BB5C99"/>
    <w:rsid w:val="00BB62AC"/>
    <w:rsid w:val="00BB6816"/>
    <w:rsid w:val="00BB7299"/>
    <w:rsid w:val="00BB7CD4"/>
    <w:rsid w:val="00BB7D2E"/>
    <w:rsid w:val="00BC5341"/>
    <w:rsid w:val="00BC588D"/>
    <w:rsid w:val="00BC6811"/>
    <w:rsid w:val="00BD2832"/>
    <w:rsid w:val="00BD42B8"/>
    <w:rsid w:val="00BD46D1"/>
    <w:rsid w:val="00BE08DA"/>
    <w:rsid w:val="00BE1178"/>
    <w:rsid w:val="00BE1798"/>
    <w:rsid w:val="00BE3C89"/>
    <w:rsid w:val="00BE54BA"/>
    <w:rsid w:val="00BE6C22"/>
    <w:rsid w:val="00BF0DB3"/>
    <w:rsid w:val="00BF27FE"/>
    <w:rsid w:val="00BF5F36"/>
    <w:rsid w:val="00BF625D"/>
    <w:rsid w:val="00BF67E7"/>
    <w:rsid w:val="00BF6D86"/>
    <w:rsid w:val="00BF7C89"/>
    <w:rsid w:val="00C01D14"/>
    <w:rsid w:val="00C0237D"/>
    <w:rsid w:val="00C0405E"/>
    <w:rsid w:val="00C04075"/>
    <w:rsid w:val="00C06925"/>
    <w:rsid w:val="00C0726F"/>
    <w:rsid w:val="00C10CD3"/>
    <w:rsid w:val="00C10E8F"/>
    <w:rsid w:val="00C12CC0"/>
    <w:rsid w:val="00C134A0"/>
    <w:rsid w:val="00C151AD"/>
    <w:rsid w:val="00C15CD2"/>
    <w:rsid w:val="00C22C5F"/>
    <w:rsid w:val="00C233E3"/>
    <w:rsid w:val="00C23819"/>
    <w:rsid w:val="00C23D20"/>
    <w:rsid w:val="00C26176"/>
    <w:rsid w:val="00C270CB"/>
    <w:rsid w:val="00C27E37"/>
    <w:rsid w:val="00C31F3B"/>
    <w:rsid w:val="00C33234"/>
    <w:rsid w:val="00C338A8"/>
    <w:rsid w:val="00C340A9"/>
    <w:rsid w:val="00C3519B"/>
    <w:rsid w:val="00C3568C"/>
    <w:rsid w:val="00C402A6"/>
    <w:rsid w:val="00C41F4D"/>
    <w:rsid w:val="00C42A7B"/>
    <w:rsid w:val="00C4337B"/>
    <w:rsid w:val="00C433F9"/>
    <w:rsid w:val="00C43AF8"/>
    <w:rsid w:val="00C44200"/>
    <w:rsid w:val="00C46277"/>
    <w:rsid w:val="00C5130B"/>
    <w:rsid w:val="00C53B79"/>
    <w:rsid w:val="00C54344"/>
    <w:rsid w:val="00C547E9"/>
    <w:rsid w:val="00C55C54"/>
    <w:rsid w:val="00C561A1"/>
    <w:rsid w:val="00C565C4"/>
    <w:rsid w:val="00C60830"/>
    <w:rsid w:val="00C620DD"/>
    <w:rsid w:val="00C624AC"/>
    <w:rsid w:val="00C6367A"/>
    <w:rsid w:val="00C63EDE"/>
    <w:rsid w:val="00C72681"/>
    <w:rsid w:val="00C72B16"/>
    <w:rsid w:val="00C73403"/>
    <w:rsid w:val="00C73C30"/>
    <w:rsid w:val="00C73C54"/>
    <w:rsid w:val="00C74E47"/>
    <w:rsid w:val="00C756F5"/>
    <w:rsid w:val="00C7669D"/>
    <w:rsid w:val="00C77AA3"/>
    <w:rsid w:val="00C82355"/>
    <w:rsid w:val="00C82EE5"/>
    <w:rsid w:val="00C84CBD"/>
    <w:rsid w:val="00C85181"/>
    <w:rsid w:val="00C85A40"/>
    <w:rsid w:val="00C86B6B"/>
    <w:rsid w:val="00C920CB"/>
    <w:rsid w:val="00C93D3E"/>
    <w:rsid w:val="00C95155"/>
    <w:rsid w:val="00C9568F"/>
    <w:rsid w:val="00C979D1"/>
    <w:rsid w:val="00CA0115"/>
    <w:rsid w:val="00CA0699"/>
    <w:rsid w:val="00CA206E"/>
    <w:rsid w:val="00CA26F1"/>
    <w:rsid w:val="00CA3E48"/>
    <w:rsid w:val="00CA3EC4"/>
    <w:rsid w:val="00CA417D"/>
    <w:rsid w:val="00CA636A"/>
    <w:rsid w:val="00CA79E9"/>
    <w:rsid w:val="00CB1A1D"/>
    <w:rsid w:val="00CB1EA8"/>
    <w:rsid w:val="00CB2518"/>
    <w:rsid w:val="00CB3573"/>
    <w:rsid w:val="00CB3B10"/>
    <w:rsid w:val="00CB54AD"/>
    <w:rsid w:val="00CB5C6F"/>
    <w:rsid w:val="00CB5EF4"/>
    <w:rsid w:val="00CB5F30"/>
    <w:rsid w:val="00CC093C"/>
    <w:rsid w:val="00CC2C85"/>
    <w:rsid w:val="00CC3BAE"/>
    <w:rsid w:val="00CC5C1F"/>
    <w:rsid w:val="00CC6221"/>
    <w:rsid w:val="00CC633F"/>
    <w:rsid w:val="00CC64E5"/>
    <w:rsid w:val="00CC7C5F"/>
    <w:rsid w:val="00CD12B2"/>
    <w:rsid w:val="00CD326F"/>
    <w:rsid w:val="00CD41D7"/>
    <w:rsid w:val="00CD4D14"/>
    <w:rsid w:val="00CD5A79"/>
    <w:rsid w:val="00CD5A95"/>
    <w:rsid w:val="00CD63D7"/>
    <w:rsid w:val="00CD7B0A"/>
    <w:rsid w:val="00CE16ED"/>
    <w:rsid w:val="00CE178A"/>
    <w:rsid w:val="00CE30C3"/>
    <w:rsid w:val="00CE38E2"/>
    <w:rsid w:val="00CE3EF0"/>
    <w:rsid w:val="00CE48AE"/>
    <w:rsid w:val="00CE4ACD"/>
    <w:rsid w:val="00CE4D67"/>
    <w:rsid w:val="00CE54E9"/>
    <w:rsid w:val="00CF02BD"/>
    <w:rsid w:val="00CF0FD1"/>
    <w:rsid w:val="00CF2675"/>
    <w:rsid w:val="00CF26D0"/>
    <w:rsid w:val="00CF3E5D"/>
    <w:rsid w:val="00CF42B0"/>
    <w:rsid w:val="00CF4377"/>
    <w:rsid w:val="00CF5BC6"/>
    <w:rsid w:val="00CF5FDA"/>
    <w:rsid w:val="00CF6CEB"/>
    <w:rsid w:val="00CF7482"/>
    <w:rsid w:val="00D01B29"/>
    <w:rsid w:val="00D01B36"/>
    <w:rsid w:val="00D0426E"/>
    <w:rsid w:val="00D053B9"/>
    <w:rsid w:val="00D06024"/>
    <w:rsid w:val="00D06AF8"/>
    <w:rsid w:val="00D07C9C"/>
    <w:rsid w:val="00D101A1"/>
    <w:rsid w:val="00D10FF1"/>
    <w:rsid w:val="00D12667"/>
    <w:rsid w:val="00D13224"/>
    <w:rsid w:val="00D137A8"/>
    <w:rsid w:val="00D13DBC"/>
    <w:rsid w:val="00D13E53"/>
    <w:rsid w:val="00D140BE"/>
    <w:rsid w:val="00D1510C"/>
    <w:rsid w:val="00D169E5"/>
    <w:rsid w:val="00D17001"/>
    <w:rsid w:val="00D17A8E"/>
    <w:rsid w:val="00D21BD7"/>
    <w:rsid w:val="00D23A81"/>
    <w:rsid w:val="00D2411A"/>
    <w:rsid w:val="00D25C9B"/>
    <w:rsid w:val="00D2774B"/>
    <w:rsid w:val="00D30D22"/>
    <w:rsid w:val="00D31B19"/>
    <w:rsid w:val="00D32262"/>
    <w:rsid w:val="00D32956"/>
    <w:rsid w:val="00D33F35"/>
    <w:rsid w:val="00D3494E"/>
    <w:rsid w:val="00D350C2"/>
    <w:rsid w:val="00D35161"/>
    <w:rsid w:val="00D35E45"/>
    <w:rsid w:val="00D412D7"/>
    <w:rsid w:val="00D45346"/>
    <w:rsid w:val="00D468AE"/>
    <w:rsid w:val="00D46CC8"/>
    <w:rsid w:val="00D46F21"/>
    <w:rsid w:val="00D47919"/>
    <w:rsid w:val="00D50E40"/>
    <w:rsid w:val="00D51477"/>
    <w:rsid w:val="00D533A8"/>
    <w:rsid w:val="00D53A48"/>
    <w:rsid w:val="00D56209"/>
    <w:rsid w:val="00D566CA"/>
    <w:rsid w:val="00D571E5"/>
    <w:rsid w:val="00D604ED"/>
    <w:rsid w:val="00D60500"/>
    <w:rsid w:val="00D62651"/>
    <w:rsid w:val="00D63E9A"/>
    <w:rsid w:val="00D64C9B"/>
    <w:rsid w:val="00D654EC"/>
    <w:rsid w:val="00D65584"/>
    <w:rsid w:val="00D65B08"/>
    <w:rsid w:val="00D7035A"/>
    <w:rsid w:val="00D720A8"/>
    <w:rsid w:val="00D72329"/>
    <w:rsid w:val="00D72B61"/>
    <w:rsid w:val="00D74EA6"/>
    <w:rsid w:val="00D75310"/>
    <w:rsid w:val="00D80C20"/>
    <w:rsid w:val="00D81B02"/>
    <w:rsid w:val="00D8280D"/>
    <w:rsid w:val="00D839E8"/>
    <w:rsid w:val="00D85632"/>
    <w:rsid w:val="00D85909"/>
    <w:rsid w:val="00D86574"/>
    <w:rsid w:val="00D867DA"/>
    <w:rsid w:val="00D87110"/>
    <w:rsid w:val="00D87617"/>
    <w:rsid w:val="00D9369A"/>
    <w:rsid w:val="00D93DD1"/>
    <w:rsid w:val="00D946B9"/>
    <w:rsid w:val="00D94AE2"/>
    <w:rsid w:val="00D962DC"/>
    <w:rsid w:val="00D96FA9"/>
    <w:rsid w:val="00D975AB"/>
    <w:rsid w:val="00DA01E0"/>
    <w:rsid w:val="00DA05A8"/>
    <w:rsid w:val="00DA091B"/>
    <w:rsid w:val="00DA2F17"/>
    <w:rsid w:val="00DA4F8E"/>
    <w:rsid w:val="00DA4FC9"/>
    <w:rsid w:val="00DA562D"/>
    <w:rsid w:val="00DA5E14"/>
    <w:rsid w:val="00DA6B70"/>
    <w:rsid w:val="00DA7162"/>
    <w:rsid w:val="00DA7532"/>
    <w:rsid w:val="00DB1FE1"/>
    <w:rsid w:val="00DB3767"/>
    <w:rsid w:val="00DB6989"/>
    <w:rsid w:val="00DB6FE7"/>
    <w:rsid w:val="00DB7201"/>
    <w:rsid w:val="00DB7EC1"/>
    <w:rsid w:val="00DC247A"/>
    <w:rsid w:val="00DC4EDE"/>
    <w:rsid w:val="00DC5F8D"/>
    <w:rsid w:val="00DD141F"/>
    <w:rsid w:val="00DD468B"/>
    <w:rsid w:val="00DD5FBC"/>
    <w:rsid w:val="00DD6CD2"/>
    <w:rsid w:val="00DE19C6"/>
    <w:rsid w:val="00DE31DB"/>
    <w:rsid w:val="00DE59B2"/>
    <w:rsid w:val="00DF008C"/>
    <w:rsid w:val="00DF0DC3"/>
    <w:rsid w:val="00DF1CB1"/>
    <w:rsid w:val="00DF23D1"/>
    <w:rsid w:val="00DF5368"/>
    <w:rsid w:val="00DF593B"/>
    <w:rsid w:val="00E00625"/>
    <w:rsid w:val="00E00B7D"/>
    <w:rsid w:val="00E03FD2"/>
    <w:rsid w:val="00E04C64"/>
    <w:rsid w:val="00E05042"/>
    <w:rsid w:val="00E0590E"/>
    <w:rsid w:val="00E05BE7"/>
    <w:rsid w:val="00E05DB8"/>
    <w:rsid w:val="00E07879"/>
    <w:rsid w:val="00E07AA7"/>
    <w:rsid w:val="00E103BB"/>
    <w:rsid w:val="00E10953"/>
    <w:rsid w:val="00E114AB"/>
    <w:rsid w:val="00E13524"/>
    <w:rsid w:val="00E13FF6"/>
    <w:rsid w:val="00E148C4"/>
    <w:rsid w:val="00E17F13"/>
    <w:rsid w:val="00E205BC"/>
    <w:rsid w:val="00E2106D"/>
    <w:rsid w:val="00E2127D"/>
    <w:rsid w:val="00E21592"/>
    <w:rsid w:val="00E21E9B"/>
    <w:rsid w:val="00E22834"/>
    <w:rsid w:val="00E24E13"/>
    <w:rsid w:val="00E25FE1"/>
    <w:rsid w:val="00E265B7"/>
    <w:rsid w:val="00E275E9"/>
    <w:rsid w:val="00E3041B"/>
    <w:rsid w:val="00E30A4E"/>
    <w:rsid w:val="00E30E8F"/>
    <w:rsid w:val="00E31BF2"/>
    <w:rsid w:val="00E32C24"/>
    <w:rsid w:val="00E336B5"/>
    <w:rsid w:val="00E33BBA"/>
    <w:rsid w:val="00E36AC0"/>
    <w:rsid w:val="00E3770A"/>
    <w:rsid w:val="00E3796A"/>
    <w:rsid w:val="00E4208F"/>
    <w:rsid w:val="00E42B37"/>
    <w:rsid w:val="00E43970"/>
    <w:rsid w:val="00E44AB9"/>
    <w:rsid w:val="00E46031"/>
    <w:rsid w:val="00E461E2"/>
    <w:rsid w:val="00E468CF"/>
    <w:rsid w:val="00E478B8"/>
    <w:rsid w:val="00E50A0E"/>
    <w:rsid w:val="00E520B2"/>
    <w:rsid w:val="00E520EF"/>
    <w:rsid w:val="00E52EDC"/>
    <w:rsid w:val="00E561F0"/>
    <w:rsid w:val="00E5637C"/>
    <w:rsid w:val="00E56674"/>
    <w:rsid w:val="00E56C85"/>
    <w:rsid w:val="00E57122"/>
    <w:rsid w:val="00E57739"/>
    <w:rsid w:val="00E60AC3"/>
    <w:rsid w:val="00E60D63"/>
    <w:rsid w:val="00E61082"/>
    <w:rsid w:val="00E61360"/>
    <w:rsid w:val="00E61C71"/>
    <w:rsid w:val="00E620D8"/>
    <w:rsid w:val="00E6227E"/>
    <w:rsid w:val="00E633A9"/>
    <w:rsid w:val="00E638B2"/>
    <w:rsid w:val="00E65C9B"/>
    <w:rsid w:val="00E6603E"/>
    <w:rsid w:val="00E66D59"/>
    <w:rsid w:val="00E75BA8"/>
    <w:rsid w:val="00E76636"/>
    <w:rsid w:val="00E80598"/>
    <w:rsid w:val="00E806AF"/>
    <w:rsid w:val="00E82C58"/>
    <w:rsid w:val="00E83387"/>
    <w:rsid w:val="00E846A4"/>
    <w:rsid w:val="00E84D54"/>
    <w:rsid w:val="00E86B60"/>
    <w:rsid w:val="00E86FCF"/>
    <w:rsid w:val="00E87491"/>
    <w:rsid w:val="00E879CD"/>
    <w:rsid w:val="00E87B35"/>
    <w:rsid w:val="00E912B2"/>
    <w:rsid w:val="00E91E6F"/>
    <w:rsid w:val="00E92611"/>
    <w:rsid w:val="00E941E2"/>
    <w:rsid w:val="00E95858"/>
    <w:rsid w:val="00EA1319"/>
    <w:rsid w:val="00EA1CE7"/>
    <w:rsid w:val="00EA1D98"/>
    <w:rsid w:val="00EA2A2A"/>
    <w:rsid w:val="00EA63AE"/>
    <w:rsid w:val="00EB1AB3"/>
    <w:rsid w:val="00EB42C9"/>
    <w:rsid w:val="00EB4C0C"/>
    <w:rsid w:val="00EB685D"/>
    <w:rsid w:val="00EB6A07"/>
    <w:rsid w:val="00EC015F"/>
    <w:rsid w:val="00EC05C9"/>
    <w:rsid w:val="00EC08E7"/>
    <w:rsid w:val="00EC0B91"/>
    <w:rsid w:val="00EC1425"/>
    <w:rsid w:val="00EC230A"/>
    <w:rsid w:val="00EC7FBC"/>
    <w:rsid w:val="00ED2071"/>
    <w:rsid w:val="00ED27AE"/>
    <w:rsid w:val="00ED3987"/>
    <w:rsid w:val="00ED4278"/>
    <w:rsid w:val="00ED47A1"/>
    <w:rsid w:val="00ED7065"/>
    <w:rsid w:val="00EE3423"/>
    <w:rsid w:val="00EE3442"/>
    <w:rsid w:val="00EE3912"/>
    <w:rsid w:val="00EE41D2"/>
    <w:rsid w:val="00EE50D1"/>
    <w:rsid w:val="00EE60D7"/>
    <w:rsid w:val="00EE7618"/>
    <w:rsid w:val="00EF1082"/>
    <w:rsid w:val="00EF25B1"/>
    <w:rsid w:val="00EF332E"/>
    <w:rsid w:val="00EF3480"/>
    <w:rsid w:val="00F008BB"/>
    <w:rsid w:val="00F03E48"/>
    <w:rsid w:val="00F047B6"/>
    <w:rsid w:val="00F0681F"/>
    <w:rsid w:val="00F06DD1"/>
    <w:rsid w:val="00F07026"/>
    <w:rsid w:val="00F07134"/>
    <w:rsid w:val="00F1019C"/>
    <w:rsid w:val="00F10285"/>
    <w:rsid w:val="00F13EE3"/>
    <w:rsid w:val="00F147A3"/>
    <w:rsid w:val="00F14ECF"/>
    <w:rsid w:val="00F1639A"/>
    <w:rsid w:val="00F20090"/>
    <w:rsid w:val="00F20AE2"/>
    <w:rsid w:val="00F20E33"/>
    <w:rsid w:val="00F210A7"/>
    <w:rsid w:val="00F22BEB"/>
    <w:rsid w:val="00F23861"/>
    <w:rsid w:val="00F2395C"/>
    <w:rsid w:val="00F23B45"/>
    <w:rsid w:val="00F249AC"/>
    <w:rsid w:val="00F25AB1"/>
    <w:rsid w:val="00F25E71"/>
    <w:rsid w:val="00F2655E"/>
    <w:rsid w:val="00F27FAD"/>
    <w:rsid w:val="00F31287"/>
    <w:rsid w:val="00F33A79"/>
    <w:rsid w:val="00F357BE"/>
    <w:rsid w:val="00F37853"/>
    <w:rsid w:val="00F409EC"/>
    <w:rsid w:val="00F437BC"/>
    <w:rsid w:val="00F465BC"/>
    <w:rsid w:val="00F504E4"/>
    <w:rsid w:val="00F51811"/>
    <w:rsid w:val="00F51881"/>
    <w:rsid w:val="00F51945"/>
    <w:rsid w:val="00F53952"/>
    <w:rsid w:val="00F54E4F"/>
    <w:rsid w:val="00F55CA4"/>
    <w:rsid w:val="00F56274"/>
    <w:rsid w:val="00F564EB"/>
    <w:rsid w:val="00F570B9"/>
    <w:rsid w:val="00F57E8F"/>
    <w:rsid w:val="00F621B1"/>
    <w:rsid w:val="00F6281A"/>
    <w:rsid w:val="00F62DD3"/>
    <w:rsid w:val="00F63856"/>
    <w:rsid w:val="00F63885"/>
    <w:rsid w:val="00F643AC"/>
    <w:rsid w:val="00F64B23"/>
    <w:rsid w:val="00F64EDF"/>
    <w:rsid w:val="00F65D90"/>
    <w:rsid w:val="00F708CE"/>
    <w:rsid w:val="00F70B76"/>
    <w:rsid w:val="00F70F57"/>
    <w:rsid w:val="00F71FF0"/>
    <w:rsid w:val="00F72A07"/>
    <w:rsid w:val="00F72EB7"/>
    <w:rsid w:val="00F7360D"/>
    <w:rsid w:val="00F74843"/>
    <w:rsid w:val="00F76613"/>
    <w:rsid w:val="00F804E8"/>
    <w:rsid w:val="00F82176"/>
    <w:rsid w:val="00F82A5B"/>
    <w:rsid w:val="00F83C38"/>
    <w:rsid w:val="00F85D21"/>
    <w:rsid w:val="00F86596"/>
    <w:rsid w:val="00F87222"/>
    <w:rsid w:val="00F905D5"/>
    <w:rsid w:val="00F91AD9"/>
    <w:rsid w:val="00F9289A"/>
    <w:rsid w:val="00F93510"/>
    <w:rsid w:val="00F93DF0"/>
    <w:rsid w:val="00F94768"/>
    <w:rsid w:val="00F964FA"/>
    <w:rsid w:val="00F96922"/>
    <w:rsid w:val="00FA10EF"/>
    <w:rsid w:val="00FA1121"/>
    <w:rsid w:val="00FA2313"/>
    <w:rsid w:val="00FA373B"/>
    <w:rsid w:val="00FA3810"/>
    <w:rsid w:val="00FA3CDE"/>
    <w:rsid w:val="00FA4EA6"/>
    <w:rsid w:val="00FA57D8"/>
    <w:rsid w:val="00FA581A"/>
    <w:rsid w:val="00FA6FC7"/>
    <w:rsid w:val="00FA78EB"/>
    <w:rsid w:val="00FB03B8"/>
    <w:rsid w:val="00FB3964"/>
    <w:rsid w:val="00FB3CEE"/>
    <w:rsid w:val="00FB5C42"/>
    <w:rsid w:val="00FB68E9"/>
    <w:rsid w:val="00FB7A29"/>
    <w:rsid w:val="00FB7F7D"/>
    <w:rsid w:val="00FC3472"/>
    <w:rsid w:val="00FD0F35"/>
    <w:rsid w:val="00FD2F09"/>
    <w:rsid w:val="00FD3E73"/>
    <w:rsid w:val="00FD6205"/>
    <w:rsid w:val="00FD7212"/>
    <w:rsid w:val="00FD75DF"/>
    <w:rsid w:val="00FE1786"/>
    <w:rsid w:val="00FE2075"/>
    <w:rsid w:val="00FE30E0"/>
    <w:rsid w:val="00FE4D28"/>
    <w:rsid w:val="00FE4E0E"/>
    <w:rsid w:val="00FE5109"/>
    <w:rsid w:val="00FE6AD2"/>
    <w:rsid w:val="00FE70DF"/>
    <w:rsid w:val="00FF1889"/>
    <w:rsid w:val="00FF4DF4"/>
    <w:rsid w:val="00FF582B"/>
    <w:rsid w:val="00FF6C68"/>
    <w:rsid w:val="00FF70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6FB6"/>
  <w15:docId w15:val="{59E045D9-12B9-4F78-96CC-890A2F86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38D"/>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9"/>
    <w:qFormat/>
    <w:rsid w:val="0041338D"/>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338D"/>
    <w:rPr>
      <w:rFonts w:ascii="Times New Roman" w:eastAsia="Times New Roman" w:hAnsi="Times New Roman" w:cs="Times New Roman"/>
      <w:b/>
      <w:sz w:val="24"/>
      <w:szCs w:val="20"/>
      <w:lang w:eastAsia="en-AU"/>
    </w:rPr>
  </w:style>
  <w:style w:type="paragraph" w:styleId="Title">
    <w:name w:val="Title"/>
    <w:basedOn w:val="Normal"/>
    <w:link w:val="TitleChar"/>
    <w:uiPriority w:val="99"/>
    <w:qFormat/>
    <w:rsid w:val="0041338D"/>
    <w:pPr>
      <w:jc w:val="center"/>
    </w:pPr>
    <w:rPr>
      <w:b/>
      <w:u w:val="single"/>
    </w:rPr>
  </w:style>
  <w:style w:type="character" w:customStyle="1" w:styleId="TitleChar">
    <w:name w:val="Title Char"/>
    <w:basedOn w:val="DefaultParagraphFont"/>
    <w:link w:val="Title"/>
    <w:uiPriority w:val="99"/>
    <w:rsid w:val="0041338D"/>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41338D"/>
    <w:pPr>
      <w:tabs>
        <w:tab w:val="center" w:pos="4513"/>
        <w:tab w:val="right" w:pos="9026"/>
      </w:tabs>
    </w:pPr>
  </w:style>
  <w:style w:type="character" w:customStyle="1" w:styleId="HeaderChar">
    <w:name w:val="Header Char"/>
    <w:basedOn w:val="DefaultParagraphFont"/>
    <w:link w:val="Header"/>
    <w:uiPriority w:val="99"/>
    <w:rsid w:val="0041338D"/>
    <w:rPr>
      <w:rFonts w:ascii="Times New Roman" w:eastAsia="Times New Roman" w:hAnsi="Times New Roman" w:cs="Times New Roman"/>
      <w:sz w:val="24"/>
      <w:szCs w:val="20"/>
      <w:lang w:eastAsia="en-AU"/>
    </w:rPr>
  </w:style>
  <w:style w:type="paragraph" w:styleId="Footer">
    <w:name w:val="footer"/>
    <w:basedOn w:val="Normal"/>
    <w:link w:val="FooterChar"/>
    <w:uiPriority w:val="99"/>
    <w:rsid w:val="0041338D"/>
    <w:pPr>
      <w:tabs>
        <w:tab w:val="center" w:pos="4513"/>
        <w:tab w:val="right" w:pos="9026"/>
      </w:tabs>
    </w:pPr>
  </w:style>
  <w:style w:type="character" w:customStyle="1" w:styleId="FooterChar">
    <w:name w:val="Footer Char"/>
    <w:basedOn w:val="DefaultParagraphFont"/>
    <w:link w:val="Footer"/>
    <w:uiPriority w:val="99"/>
    <w:rsid w:val="0041338D"/>
    <w:rPr>
      <w:rFonts w:ascii="Times New Roman" w:eastAsia="Times New Roman" w:hAnsi="Times New Roman" w:cs="Times New Roman"/>
      <w:sz w:val="24"/>
      <w:szCs w:val="20"/>
      <w:lang w:eastAsia="en-AU"/>
    </w:rPr>
  </w:style>
  <w:style w:type="character" w:styleId="Hyperlink">
    <w:name w:val="Hyperlink"/>
    <w:basedOn w:val="DefaultParagraphFont"/>
    <w:uiPriority w:val="99"/>
    <w:semiHidden/>
    <w:rsid w:val="0041338D"/>
    <w:rPr>
      <w:rFonts w:cs="Times New Roman"/>
      <w:color w:val="0000FF"/>
      <w:u w:val="single"/>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rsid w:val="0041338D"/>
    <w:pPr>
      <w:ind w:left="720"/>
      <w:contextualSpacing/>
    </w:p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locked/>
    <w:rsid w:val="0041338D"/>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442B0A"/>
    <w:rPr>
      <w:sz w:val="16"/>
      <w:szCs w:val="16"/>
    </w:rPr>
  </w:style>
  <w:style w:type="paragraph" w:styleId="CommentText">
    <w:name w:val="annotation text"/>
    <w:basedOn w:val="Normal"/>
    <w:link w:val="CommentTextChar"/>
    <w:uiPriority w:val="99"/>
    <w:unhideWhenUsed/>
    <w:rsid w:val="00442B0A"/>
    <w:rPr>
      <w:sz w:val="20"/>
    </w:rPr>
  </w:style>
  <w:style w:type="character" w:customStyle="1" w:styleId="CommentTextChar">
    <w:name w:val="Comment Text Char"/>
    <w:basedOn w:val="DefaultParagraphFont"/>
    <w:link w:val="CommentText"/>
    <w:uiPriority w:val="99"/>
    <w:rsid w:val="00442B0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42B0A"/>
    <w:rPr>
      <w:b/>
      <w:bCs/>
    </w:rPr>
  </w:style>
  <w:style w:type="character" w:customStyle="1" w:styleId="CommentSubjectChar">
    <w:name w:val="Comment Subject Char"/>
    <w:basedOn w:val="CommentTextChar"/>
    <w:link w:val="CommentSubject"/>
    <w:uiPriority w:val="99"/>
    <w:semiHidden/>
    <w:rsid w:val="00442B0A"/>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42B0A"/>
    <w:rPr>
      <w:rFonts w:ascii="Tahoma" w:hAnsi="Tahoma" w:cs="Tahoma"/>
      <w:sz w:val="16"/>
      <w:szCs w:val="16"/>
    </w:rPr>
  </w:style>
  <w:style w:type="character" w:customStyle="1" w:styleId="BalloonTextChar">
    <w:name w:val="Balloon Text Char"/>
    <w:basedOn w:val="DefaultParagraphFont"/>
    <w:link w:val="BalloonText"/>
    <w:uiPriority w:val="99"/>
    <w:semiHidden/>
    <w:rsid w:val="00442B0A"/>
    <w:rPr>
      <w:rFonts w:ascii="Tahoma" w:eastAsia="Times New Roman" w:hAnsi="Tahoma" w:cs="Tahoma"/>
      <w:sz w:val="16"/>
      <w:szCs w:val="16"/>
      <w:lang w:eastAsia="en-AU"/>
    </w:rPr>
  </w:style>
  <w:style w:type="character" w:styleId="FollowedHyperlink">
    <w:name w:val="FollowedHyperlink"/>
    <w:basedOn w:val="DefaultParagraphFont"/>
    <w:uiPriority w:val="99"/>
    <w:semiHidden/>
    <w:unhideWhenUsed/>
    <w:rsid w:val="00434DFA"/>
    <w:rPr>
      <w:color w:val="800080" w:themeColor="followedHyperlink"/>
      <w:u w:val="single"/>
    </w:rPr>
  </w:style>
  <w:style w:type="character" w:customStyle="1" w:styleId="UnresolvedMention1">
    <w:name w:val="Unresolved Mention1"/>
    <w:basedOn w:val="DefaultParagraphFont"/>
    <w:uiPriority w:val="99"/>
    <w:semiHidden/>
    <w:unhideWhenUsed/>
    <w:rsid w:val="00A23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7927">
      <w:bodyDiv w:val="1"/>
      <w:marLeft w:val="0"/>
      <w:marRight w:val="0"/>
      <w:marTop w:val="0"/>
      <w:marBottom w:val="0"/>
      <w:divBdr>
        <w:top w:val="none" w:sz="0" w:space="0" w:color="auto"/>
        <w:left w:val="none" w:sz="0" w:space="0" w:color="auto"/>
        <w:bottom w:val="none" w:sz="0" w:space="0" w:color="auto"/>
        <w:right w:val="none" w:sz="0" w:space="0" w:color="auto"/>
      </w:divBdr>
    </w:div>
    <w:div w:id="117651793">
      <w:bodyDiv w:val="1"/>
      <w:marLeft w:val="0"/>
      <w:marRight w:val="0"/>
      <w:marTop w:val="0"/>
      <w:marBottom w:val="0"/>
      <w:divBdr>
        <w:top w:val="none" w:sz="0" w:space="0" w:color="auto"/>
        <w:left w:val="none" w:sz="0" w:space="0" w:color="auto"/>
        <w:bottom w:val="none" w:sz="0" w:space="0" w:color="auto"/>
        <w:right w:val="none" w:sz="0" w:space="0" w:color="auto"/>
      </w:divBdr>
    </w:div>
    <w:div w:id="117723301">
      <w:bodyDiv w:val="1"/>
      <w:marLeft w:val="0"/>
      <w:marRight w:val="0"/>
      <w:marTop w:val="0"/>
      <w:marBottom w:val="0"/>
      <w:divBdr>
        <w:top w:val="none" w:sz="0" w:space="0" w:color="auto"/>
        <w:left w:val="none" w:sz="0" w:space="0" w:color="auto"/>
        <w:bottom w:val="none" w:sz="0" w:space="0" w:color="auto"/>
        <w:right w:val="none" w:sz="0" w:space="0" w:color="auto"/>
      </w:divBdr>
    </w:div>
    <w:div w:id="270363211">
      <w:bodyDiv w:val="1"/>
      <w:marLeft w:val="0"/>
      <w:marRight w:val="0"/>
      <w:marTop w:val="0"/>
      <w:marBottom w:val="0"/>
      <w:divBdr>
        <w:top w:val="none" w:sz="0" w:space="0" w:color="auto"/>
        <w:left w:val="none" w:sz="0" w:space="0" w:color="auto"/>
        <w:bottom w:val="none" w:sz="0" w:space="0" w:color="auto"/>
        <w:right w:val="none" w:sz="0" w:space="0" w:color="auto"/>
      </w:divBdr>
    </w:div>
    <w:div w:id="333844675">
      <w:bodyDiv w:val="1"/>
      <w:marLeft w:val="0"/>
      <w:marRight w:val="0"/>
      <w:marTop w:val="0"/>
      <w:marBottom w:val="0"/>
      <w:divBdr>
        <w:top w:val="none" w:sz="0" w:space="0" w:color="auto"/>
        <w:left w:val="none" w:sz="0" w:space="0" w:color="auto"/>
        <w:bottom w:val="none" w:sz="0" w:space="0" w:color="auto"/>
        <w:right w:val="none" w:sz="0" w:space="0" w:color="auto"/>
      </w:divBdr>
    </w:div>
    <w:div w:id="895553095">
      <w:bodyDiv w:val="1"/>
      <w:marLeft w:val="0"/>
      <w:marRight w:val="0"/>
      <w:marTop w:val="0"/>
      <w:marBottom w:val="0"/>
      <w:divBdr>
        <w:top w:val="none" w:sz="0" w:space="0" w:color="auto"/>
        <w:left w:val="none" w:sz="0" w:space="0" w:color="auto"/>
        <w:bottom w:val="none" w:sz="0" w:space="0" w:color="auto"/>
        <w:right w:val="none" w:sz="0" w:space="0" w:color="auto"/>
      </w:divBdr>
    </w:div>
    <w:div w:id="1091390345">
      <w:bodyDiv w:val="1"/>
      <w:marLeft w:val="0"/>
      <w:marRight w:val="0"/>
      <w:marTop w:val="0"/>
      <w:marBottom w:val="0"/>
      <w:divBdr>
        <w:top w:val="none" w:sz="0" w:space="0" w:color="auto"/>
        <w:left w:val="none" w:sz="0" w:space="0" w:color="auto"/>
        <w:bottom w:val="none" w:sz="0" w:space="0" w:color="auto"/>
        <w:right w:val="none" w:sz="0" w:space="0" w:color="auto"/>
      </w:divBdr>
    </w:div>
    <w:div w:id="1212841667">
      <w:bodyDiv w:val="1"/>
      <w:marLeft w:val="0"/>
      <w:marRight w:val="0"/>
      <w:marTop w:val="0"/>
      <w:marBottom w:val="0"/>
      <w:divBdr>
        <w:top w:val="none" w:sz="0" w:space="0" w:color="auto"/>
        <w:left w:val="none" w:sz="0" w:space="0" w:color="auto"/>
        <w:bottom w:val="none" w:sz="0" w:space="0" w:color="auto"/>
        <w:right w:val="none" w:sz="0" w:space="0" w:color="auto"/>
      </w:divBdr>
    </w:div>
    <w:div w:id="1256862289">
      <w:bodyDiv w:val="1"/>
      <w:marLeft w:val="0"/>
      <w:marRight w:val="0"/>
      <w:marTop w:val="0"/>
      <w:marBottom w:val="0"/>
      <w:divBdr>
        <w:top w:val="none" w:sz="0" w:space="0" w:color="auto"/>
        <w:left w:val="none" w:sz="0" w:space="0" w:color="auto"/>
        <w:bottom w:val="none" w:sz="0" w:space="0" w:color="auto"/>
        <w:right w:val="none" w:sz="0" w:space="0" w:color="auto"/>
      </w:divBdr>
    </w:div>
    <w:div w:id="1699893959">
      <w:bodyDiv w:val="1"/>
      <w:marLeft w:val="0"/>
      <w:marRight w:val="0"/>
      <w:marTop w:val="0"/>
      <w:marBottom w:val="0"/>
      <w:divBdr>
        <w:top w:val="none" w:sz="0" w:space="0" w:color="auto"/>
        <w:left w:val="none" w:sz="0" w:space="0" w:color="auto"/>
        <w:bottom w:val="none" w:sz="0" w:space="0" w:color="auto"/>
        <w:right w:val="none" w:sz="0" w:space="0" w:color="auto"/>
      </w:divBdr>
    </w:div>
    <w:div w:id="1703823637">
      <w:bodyDiv w:val="1"/>
      <w:marLeft w:val="0"/>
      <w:marRight w:val="0"/>
      <w:marTop w:val="0"/>
      <w:marBottom w:val="0"/>
      <w:divBdr>
        <w:top w:val="none" w:sz="0" w:space="0" w:color="auto"/>
        <w:left w:val="none" w:sz="0" w:space="0" w:color="auto"/>
        <w:bottom w:val="none" w:sz="0" w:space="0" w:color="auto"/>
        <w:right w:val="none" w:sz="0" w:space="0" w:color="auto"/>
      </w:divBdr>
    </w:div>
    <w:div w:id="1885484547">
      <w:bodyDiv w:val="1"/>
      <w:marLeft w:val="0"/>
      <w:marRight w:val="0"/>
      <w:marTop w:val="0"/>
      <w:marBottom w:val="0"/>
      <w:divBdr>
        <w:top w:val="none" w:sz="0" w:space="0" w:color="auto"/>
        <w:left w:val="none" w:sz="0" w:space="0" w:color="auto"/>
        <w:bottom w:val="none" w:sz="0" w:space="0" w:color="auto"/>
        <w:right w:val="none" w:sz="0" w:space="0" w:color="auto"/>
      </w:divBdr>
    </w:div>
    <w:div w:id="197618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C89B5-542C-4A80-9FB6-C665E12E4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9</Pages>
  <Words>3649</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KULAR, Navreen</dc:creator>
  <cp:lastModifiedBy>KULAR, Navreen</cp:lastModifiedBy>
  <cp:revision>11</cp:revision>
  <cp:lastPrinted>2021-03-16T01:16:00Z</cp:lastPrinted>
  <dcterms:created xsi:type="dcterms:W3CDTF">2022-02-15T05:37:00Z</dcterms:created>
  <dcterms:modified xsi:type="dcterms:W3CDTF">2022-02-17T03:54:00Z</dcterms:modified>
</cp:coreProperties>
</file>